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Experimental Medicine</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82822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ORIGINAL ARTICLE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Basic Study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Personalized clinical managements through exploring circulating neural cells and electroencephalography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Mehdipour P</w:t>
      </w:r>
      <w:r>
        <w:rPr>
          <w:rFonts w:ascii="Book Antiqua" w:hAnsi="Book Antiqua" w:eastAsia="Book Antiqua" w:cs="Book Antiqua"/>
          <w:i/>
          <w:iCs/>
          <w:color w:val="000000" w:themeColor="text1"/>
          <w14:textFill>
            <w14:solidFill>
              <w14:schemeClr w14:val="tx1"/>
            </w14:solidFill>
          </w14:textFill>
        </w:rPr>
        <w:t xml:space="preserve"> et al</w:t>
      </w:r>
      <w:r>
        <w:rPr>
          <w:rFonts w:ascii="Book Antiqua" w:hAnsi="Book Antiqua" w:eastAsia="Book Antiqua" w:cs="Book Antiqua"/>
          <w:color w:val="000000" w:themeColor="text1"/>
          <w14:textFill>
            <w14:solidFill>
              <w14:schemeClr w14:val="tx1"/>
            </w14:solidFill>
          </w14:textFill>
        </w:rPr>
        <w:t xml:space="preserve">. Exploring </w:t>
      </w:r>
      <w:r>
        <w:rPr>
          <w:rFonts w:ascii="Book Antiqua" w:hAnsi="Book Antiqua" w:cs="Book Antiqua"/>
          <w:color w:val="000000" w:themeColor="text1"/>
          <w:lang w:eastAsia="zh-CN"/>
          <w14:textFill>
            <w14:solidFill>
              <w14:schemeClr w14:val="tx1"/>
            </w14:solidFill>
          </w14:textFill>
        </w:rPr>
        <w:t>CNC</w:t>
      </w:r>
      <w:r>
        <w:rPr>
          <w:rFonts w:ascii="Book Antiqua" w:hAnsi="Book Antiqua" w:eastAsia="Book Antiqua" w:cs="Book Antiqua"/>
          <w:color w:val="000000" w:themeColor="text1"/>
          <w14:textFill>
            <w14:solidFill>
              <w14:schemeClr w14:val="tx1"/>
            </w14:solidFill>
          </w14:textFill>
        </w:rPr>
        <w:t xml:space="preserve">s and </w:t>
      </w:r>
      <w:r>
        <w:rPr>
          <w:rFonts w:ascii="Book Antiqua" w:hAnsi="Book Antiqua" w:cs="Book Antiqua"/>
          <w:color w:val="000000" w:themeColor="text1"/>
          <w:lang w:eastAsia="zh-CN"/>
          <w14:textFill>
            <w14:solidFill>
              <w14:schemeClr w14:val="tx1"/>
            </w14:solidFill>
          </w14:textFill>
        </w:rPr>
        <w:t>EEG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Parvin Mehdipour, Nima Fathi, Masoud Nosratabadi</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Parvin Mehdipour,</w:t>
      </w:r>
      <w:r>
        <w:rPr>
          <w:rFonts w:ascii="Book Antiqua" w:hAnsi="Book Antiqua" w:eastAsia="Book Antiqua" w:cs="Book Antiqua"/>
          <w:color w:val="000000" w:themeColor="text1"/>
          <w14:textFill>
            <w14:solidFill>
              <w14:schemeClr w14:val="tx1"/>
            </w14:solidFill>
          </w14:textFill>
        </w:rPr>
        <w:t xml:space="preserve"> Department of Medical Genetics, Tehran University of Medical Sciences, Tehran 14176-1315, Iran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Nima Fathi, </w:t>
      </w:r>
      <w:r>
        <w:rPr>
          <w:rFonts w:ascii="Book Antiqua" w:hAnsi="Book Antiqua" w:eastAsia="Book Antiqua" w:cs="Book Antiqua"/>
          <w:color w:val="000000" w:themeColor="text1"/>
          <w14:textFill>
            <w14:solidFill>
              <w14:schemeClr w14:val="tx1"/>
            </w14:solidFill>
          </w14:textFill>
        </w:rPr>
        <w:t>Neuro-Science, Paarand Specialized Center for Human Enhancement, Tehran 157699304, Iran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Masoud Nosratabadi, </w:t>
      </w:r>
      <w:r>
        <w:rPr>
          <w:rFonts w:ascii="Book Antiqua" w:hAnsi="Book Antiqua" w:eastAsia="Book Antiqua" w:cs="Book Antiqua"/>
          <w:color w:val="000000" w:themeColor="text1"/>
          <w14:textFill>
            <w14:solidFill>
              <w14:schemeClr w14:val="tx1"/>
            </w14:solidFill>
          </w14:textFill>
        </w:rPr>
        <w:t xml:space="preserve">Department </w:t>
      </w:r>
      <w:r>
        <w:rPr>
          <w:rFonts w:ascii="Book Antiqua" w:hAnsi="Book Antiqua" w:cs="Book Antiqua"/>
          <w:color w:val="000000" w:themeColor="text1"/>
          <w:lang w:eastAsia="zh-CN"/>
          <w14:textFill>
            <w14:solidFill>
              <w14:schemeClr w14:val="tx1"/>
            </w14:solidFill>
          </w14:textFill>
        </w:rPr>
        <w:t xml:space="preserve">of </w:t>
      </w:r>
      <w:r>
        <w:rPr>
          <w:rFonts w:ascii="Book Antiqua" w:hAnsi="Book Antiqua" w:eastAsia="Book Antiqua" w:cs="Book Antiqua"/>
          <w:color w:val="000000" w:themeColor="text1"/>
          <w14:textFill>
            <w14:solidFill>
              <w14:schemeClr w14:val="tx1"/>
            </w14:solidFill>
          </w14:textFill>
        </w:rPr>
        <w:t xml:space="preserve">Research, </w:t>
      </w:r>
      <w:r>
        <w:rPr>
          <w:rFonts w:ascii="Book Antiqua" w:hAnsi="Book Antiqua" w:eastAsia="Times New Roman" w:cs="Arial"/>
          <w:color w:val="000000" w:themeColor="text1"/>
          <w14:textFill>
            <w14:solidFill>
              <w14:schemeClr w14:val="tx1"/>
            </w14:solidFill>
          </w14:textFill>
        </w:rPr>
        <w:t>Paarand Specialized Center for Human Enhancement,</w:t>
      </w:r>
      <w:r>
        <w:rPr>
          <w:rFonts w:ascii="Book Antiqua" w:hAnsi="Book Antiqua" w:eastAsia="Book Antiqua" w:cs="Book Antiqua"/>
          <w:color w:val="000000" w:themeColor="text1"/>
          <w14:textFill>
            <w14:solidFill>
              <w14:schemeClr w14:val="tx1"/>
            </w14:solidFill>
          </w14:textFill>
        </w:rPr>
        <w:t xml:space="preserve"> Tehran 157699304, Iran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Mehdipour P designed the research, analytical strategy and contributed the data on genetics and cell biology; Fathi N and Nosratabadi M, and Mehdipour P contributed equally to this work and analysed data of the brain channels; all authors wrote, have read, and approved the final manuscript.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Parvin Mehdipour, PhD, Full Professor, </w:t>
      </w:r>
      <w:r>
        <w:rPr>
          <w:rFonts w:ascii="Book Antiqua" w:hAnsi="Book Antiqua" w:eastAsia="Book Antiqua" w:cs="Book Antiqua"/>
          <w:color w:val="000000" w:themeColor="text1"/>
          <w14:textFill>
            <w14:solidFill>
              <w14:schemeClr w14:val="tx1"/>
            </w14:solidFill>
          </w14:textFill>
        </w:rPr>
        <w:t>Department of Medical Genetics, Tehran University of Medical Sciences, Pour Sina Ave, Tehran 14176-1315, Iran. mehdipor@tums.ac.ir</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January 20, 2023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May 22, 2023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color w:val="000000" w:themeColor="text1"/>
          <w14:textFill>
            <w14:solidFill>
              <w14:schemeClr w14:val="tx1"/>
            </w14:solidFill>
          </w14:textFill>
        </w:rPr>
        <w:t>July 11, 2023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eastAsia="Book Antiqua" w:cs="Book Antiqua"/>
          <w:color w:val="000000" w:themeColor="text1"/>
          <w14:textFill>
            <w14:solidFill>
              <w14:schemeClr w14:val="tx1"/>
            </w14:solidFill>
          </w14:textFill>
        </w:rPr>
        <w:t>September 20, 2023</w:t>
      </w: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Since an initial diagnosis of Alzheimer disease (AD) in 1907, early detection, was unavailable through 116 years. Up-regulation of V-Ets erythroblastosis virus E26 oncogene homolog 2 (Ets2) is capable to enhance neuronal susceptibility and degeneration. Protein expression (PE) of Ets2 has functional impact on AD and Down’s syndrome, with diverse intensity. PE of Ets2 has an influential pathogenic impact on AD.</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Clinical aspects of neurological disorders directly interact with psychological maladies. However, deterioration requires an early management including programmed based protection.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AIM</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To include cell biology in neuro-genetics; personalized, prognostics, predictive, preventive, predisposing (5xP) platform, accompanied by stratifying brain channels behavior pre- and post-intervention by light music in the AD-patients.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Include exploration of PE assay and electroencephalography of brain channels.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processes are applied according to: (1) Triangle style, by application of cellular network; </w:t>
      </w:r>
      <w:r>
        <w:rPr>
          <w:rFonts w:ascii="Book Antiqua" w:hAnsi="Book Antiqua" w:cs="Book Antiqua"/>
          <w:color w:val="000000" w:themeColor="text1"/>
          <w:lang w:eastAsia="zh-CN"/>
          <w14:textFill>
            <w14:solidFill>
              <w14:schemeClr w14:val="tx1"/>
            </w14:solidFill>
          </w14:textFill>
        </w:rPr>
        <w:t xml:space="preserve">and </w:t>
      </w:r>
      <w:r>
        <w:rPr>
          <w:rFonts w:ascii="Book Antiqua" w:hAnsi="Book Antiqua" w:eastAsia="Book Antiqua" w:cs="Book Antiqua"/>
          <w:color w:val="000000" w:themeColor="text1"/>
          <w14:textFill>
            <w14:solidFill>
              <w14:schemeClr w14:val="tx1"/>
            </w14:solidFill>
          </w14:textFill>
        </w:rPr>
        <w:t>(2)</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PE assay of Ets2 in the peripheral blood of the patients with AD, by Manual single cell based analysis, and Flow-cytometry.</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(1) Applying the Genetic counselling and pedigree analysis; (2) </w:t>
      </w:r>
      <w:r>
        <w:rPr>
          <w:rFonts w:hint="eastAsia"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onsidering the psychological status of the referral cases; (3) </w:t>
      </w:r>
      <w:r>
        <w:rPr>
          <w:rFonts w:hint="eastAsia"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onsidering the macro-and/or micro-environmental factors; (4) </w:t>
      </w:r>
      <w:r>
        <w:rPr>
          <w:rFonts w:hint="eastAsia" w:ascii="Book Antiqua" w:hAnsi="Book Antiqua" w:eastAsia="宋体"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erforming the required Genetics’ analysis; and (5) </w:t>
      </w:r>
      <w:r>
        <w:rPr>
          <w:rFonts w:hint="eastAsia" w:ascii="Book Antiqua" w:hAnsi="Book Antiqua" w:eastAsia="宋体"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pplying the required complementary test(s).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RESULTS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stheme="minorHAnsi"/>
          <w:color w:val="000000" w:themeColor="text1"/>
          <w14:textFill>
            <w14:solidFill>
              <w14:schemeClr w14:val="tx1"/>
            </w14:solidFill>
          </w14:textFill>
        </w:rPr>
        <w:t>PE of Ets2 has pathogenic role in AD. PE unmasked the nature of heterogeneity/diversity/course of evolution by exploring Ets2, D1853N polymorphism in Ataxia Telangiectasia mutated gene (ATM), vascular endothelial growth factor (VEGF), epidermal growth factor (EGF) and course of evolution at the single cell level of the brain. Ets2 revealed different cellular behavior in the blood and suggested the strategy as</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eastAsia="ArialMT" w:cstheme="minorHAnsi"/>
          <w:color w:val="000000" w:themeColor="text1"/>
          <w14:textFill>
            <w14:solidFill>
              <w14:schemeClr w14:val="tx1"/>
            </w14:solidFill>
          </w14:textFill>
        </w:rPr>
        <w:t>Gene Product-Based Therapy</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ArialMT" w:cstheme="minorHAnsi"/>
          <w:color w:val="000000" w:themeColor="text1"/>
          <w14:textFill>
            <w14:solidFill>
              <w14:schemeClr w14:val="tx1"/>
            </w14:solidFill>
          </w14:textFill>
        </w:rPr>
        <w:t xml:space="preserve"> and the personalized managements for the patients.</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eastAsia="ArialMT" w:cstheme="minorHAnsi"/>
          <w:color w:val="000000" w:themeColor="text1"/>
          <w14:textFill>
            <w14:solidFill>
              <w14:schemeClr w14:val="tx1"/>
            </w14:solidFill>
          </w14:textFill>
        </w:rPr>
        <w:t>PE reflected weak expression of ATM, mosaic pattern of Ets2; remarkable expression of VEGF and EGF by</w:t>
      </w:r>
      <w:r>
        <w:rPr>
          <w:rFonts w:ascii="Book Antiqua" w:hAnsi="Book Antiqua" w:cstheme="minorHAnsi"/>
          <w:color w:val="000000" w:themeColor="text1"/>
          <w:lang w:eastAsia="zh-CN"/>
          <w14:textFill>
            <w14:solidFill>
              <w14:schemeClr w14:val="tx1"/>
            </w14:solidFill>
          </w14:textFill>
        </w:rPr>
        <w:t xml:space="preserve"> h</w:t>
      </w:r>
      <w:r>
        <w:rPr>
          <w:rFonts w:ascii="Book Antiqua" w:hAnsi="Book Antiqua" w:eastAsia="ArialMT" w:cstheme="minorHAnsi"/>
          <w:color w:val="000000" w:themeColor="text1"/>
          <w14:textFill>
            <w14:solidFill>
              <w14:schemeClr w14:val="tx1"/>
            </w14:solidFill>
          </w14:textFill>
        </w:rPr>
        <w:t>ighlight</w:t>
      </w:r>
      <w:r>
        <w:rPr>
          <w:rFonts w:ascii="Book Antiqua" w:hAnsi="Book Antiqua" w:cstheme="minorHAnsi"/>
          <w:color w:val="000000" w:themeColor="text1"/>
          <w:lang w:eastAsia="zh-CN"/>
          <w14:textFill>
            <w14:solidFill>
              <w14:schemeClr w14:val="tx1"/>
            </w14:solidFill>
          </w14:textFill>
        </w:rPr>
        <w:t>ing</w:t>
      </w:r>
      <w:r>
        <w:rPr>
          <w:rFonts w:ascii="Book Antiqua" w:hAnsi="Book Antiqua" w:eastAsia="ArialMT" w:cstheme="minorHAnsi"/>
          <w:color w:val="000000" w:themeColor="text1"/>
          <w14:textFill>
            <w14:solidFill>
              <w14:schemeClr w14:val="tx1"/>
            </w14:solidFill>
          </w14:textFill>
        </w:rPr>
        <w:t xml:space="preserve"> an early detective platform, considering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irculating </w:t>
      </w:r>
      <w:r>
        <w:rPr>
          <w:rFonts w:ascii="Book Antiqua" w:hAnsi="Book Antiqua" w:cs="Book Antiqua"/>
          <w:color w:val="000000" w:themeColor="text1"/>
          <w:lang w:eastAsia="zh-CN"/>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eural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ells (CNCs)</w:t>
      </w:r>
      <w:r>
        <w:rPr>
          <w:rFonts w:ascii="Book Antiqua" w:hAnsi="Book Antiqua" w:eastAsia="ArialMT" w:cstheme="minorHAnsi"/>
          <w:color w:val="000000" w:themeColor="text1"/>
          <w14:textFill>
            <w14:solidFill>
              <w14:schemeClr w14:val="tx1"/>
            </w14:solidFill>
          </w14:textFill>
        </w:rPr>
        <w:t xml:space="preserve"> and the required molecular investigation, for the target individual(s) predisposed to AD or other neural disease including brain neoplasia.</w:t>
      </w:r>
      <w:r>
        <w:rPr>
          <w:rFonts w:ascii="Book Antiqua" w:hAnsi="Book Antiqua"/>
          <w:color w:val="000000" w:themeColor="text1"/>
          <w14:textFill>
            <w14:solidFill>
              <w14:schemeClr w14:val="tx1"/>
            </w14:solidFill>
          </w14:textFill>
        </w:rPr>
        <w:t xml:space="preserve"> Brain channels-cooperation with diverse/interactive-ratios lead to strategic balancing for improving the life-quality in AD.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We highlighted application of the </w:t>
      </w:r>
      <w:r>
        <w:rPr>
          <w:rFonts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ingle CNCs and correlated Ratio based between Brain channels by providing the 5xP personalized clinical management model for an early detection and therapy of the patients with AD and their targeted/predisposed relatives.</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Novel-evolutionary/</w:t>
      </w:r>
      <w:r>
        <w:rPr>
          <w:rFonts w:ascii="Book Antiqua" w:hAnsi="Book Antiqua"/>
          <w:color w:val="000000" w:themeColor="text1"/>
          <w14:textFill>
            <w14:solidFill>
              <w14:schemeClr w14:val="tx1"/>
            </w14:solidFill>
          </w14:textFill>
        </w:rPr>
        <w:t xml:space="preserve">hypothetic/heterogenic-results in brain-channels offer personalizd/constructive markers with unlimited cooperation in health and disease. </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Alzheimer; Protein expression; Brain channels</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Predictive/early detection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color w:val="000000" w:themeColor="text1"/>
          <w14:textFill>
            <w14:solidFill>
              <w14:schemeClr w14:val="tx1"/>
            </w14:solidFill>
          </w14:textFill>
        </w:rPr>
        <w:t>Mehdipour P, Fathi N,</w:t>
      </w:r>
      <w:r>
        <w:rPr>
          <w:rFonts w:ascii="Book Antiqua" w:hAnsi="Book Antiqua"/>
          <w:color w:val="000000" w:themeColor="text1"/>
          <w14:textFill>
            <w14:solidFill>
              <w14:schemeClr w14:val="tx1"/>
            </w14:solidFill>
          </w14:textFill>
        </w:rPr>
        <w:t xml:space="preserve"> Nosratabadi</w:t>
      </w:r>
      <w:r>
        <w:rPr>
          <w:rFonts w:ascii="Book Antiqua" w:hAnsi="Book Antiqua" w:eastAsia="Book Antiqua" w:cs="Book Antiqua"/>
          <w:color w:val="000000" w:themeColor="text1"/>
          <w14:textFill>
            <w14:solidFill>
              <w14:schemeClr w14:val="tx1"/>
            </w14:solidFill>
          </w14:textFill>
        </w:rPr>
        <w:t xml:space="preserve"> M. Personalized clinical managements through exploring circulating neural cells and electroencephalography. </w:t>
      </w:r>
      <w:r>
        <w:rPr>
          <w:rFonts w:ascii="Book Antiqua" w:hAnsi="Book Antiqua" w:eastAsia="Book Antiqua" w:cs="Book Antiqua"/>
          <w:i/>
          <w:iCs/>
          <w:color w:val="000000" w:themeColor="text1"/>
          <w14:textFill>
            <w14:solidFill>
              <w14:schemeClr w14:val="tx1"/>
            </w14:solidFill>
          </w14:textFill>
        </w:rPr>
        <w:t>World J Exp Med</w:t>
      </w:r>
      <w:r>
        <w:rPr>
          <w:rFonts w:ascii="Book Antiqua" w:hAnsi="Book Antiqua" w:eastAsia="Book Antiqua" w:cs="Book Antiqua"/>
          <w:color w:val="000000" w:themeColor="text1"/>
          <w14:textFill>
            <w14:solidFill>
              <w14:schemeClr w14:val="tx1"/>
            </w14:solidFill>
          </w14:textFill>
        </w:rPr>
        <w:t xml:space="preserve"> 2023; </w:t>
      </w:r>
      <w:r>
        <w:rPr>
          <w:rFonts w:hint="eastAsia" w:ascii="Book Antiqua" w:hAnsi="Book Antiqua" w:eastAsia="Book Antiqua" w:cs="Book Antiqua"/>
        </w:rPr>
        <w:t>13(</w:t>
      </w:r>
      <w:r>
        <w:rPr>
          <w:rFonts w:hint="eastAsia" w:ascii="Book Antiqua" w:hAnsi="Book Antiqua" w:eastAsia="宋体" w:cs="Book Antiqua"/>
          <w:lang w:val="en-US" w:eastAsia="zh-CN"/>
        </w:rPr>
        <w:t>4</w:t>
      </w:r>
      <w:r>
        <w:rPr>
          <w:rFonts w:hint="eastAsia" w:ascii="Book Antiqua" w:hAnsi="Book Antiqua" w:eastAsia="Book Antiqua" w:cs="Book Antiqua"/>
        </w:rPr>
        <w:t xml:space="preserve">): </w:t>
      </w:r>
      <w:r>
        <w:rPr>
          <w:rStyle w:val="21"/>
          <w:rFonts w:hint="default" w:ascii="Book Antiqua" w:hAnsi="Book Antiqua" w:eastAsia="宋体" w:cs="Book Antiqua"/>
          <w:b w:val="0"/>
          <w:bCs w:val="0"/>
          <w:sz w:val="24"/>
          <w:szCs w:val="24"/>
          <w:lang w:val="en-US" w:eastAsia="zh-CN" w:bidi="ar"/>
        </w:rPr>
        <w:t>75</w:t>
      </w:r>
      <w:r>
        <w:rPr>
          <w:rStyle w:val="22"/>
          <w:rFonts w:hint="default" w:ascii="Book Antiqua" w:hAnsi="Book Antiqua" w:eastAsia="宋体" w:cs="Book Antiqua"/>
          <w:b w:val="0"/>
          <w:bCs w:val="0"/>
          <w:sz w:val="24"/>
          <w:szCs w:val="24"/>
          <w:lang w:val="en-US" w:eastAsia="zh-CN" w:bidi="ar"/>
        </w:rPr>
        <w:t>-94</w:t>
      </w:r>
      <w:r>
        <w:rPr>
          <w:rFonts w:hint="eastAsia" w:ascii="Book Antiqua" w:hAnsi="Book Antiqua" w:eastAsia="Book Antiqua" w:cs="Book Antiqua"/>
        </w:rPr>
        <w:t xml:space="preserve"> </w:t>
      </w: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https://www.wjgnet.com/2220-315</w:t>
      </w:r>
      <w:r>
        <w:rPr>
          <w:rFonts w:hint="eastAsia" w:ascii="Book Antiqua" w:hAnsi="Book Antiqua" w:eastAsia="宋体" w:cs="Book Antiqua"/>
          <w:lang w:val="en-US" w:eastAsia="zh-CN"/>
        </w:rPr>
        <w:t>x</w:t>
      </w:r>
      <w:r>
        <w:rPr>
          <w:rFonts w:hint="eastAsia" w:ascii="Book Antiqua" w:hAnsi="Book Antiqua" w:eastAsia="Book Antiqua" w:cs="Book Antiqua"/>
        </w:rPr>
        <w:t>/full/v13/i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Style w:val="21"/>
          <w:rFonts w:hint="default" w:ascii="Book Antiqua" w:hAnsi="Book Antiqua" w:eastAsia="宋体" w:cs="Book Antiqua"/>
          <w:b w:val="0"/>
          <w:bCs w:val="0"/>
          <w:sz w:val="24"/>
          <w:szCs w:val="24"/>
          <w:lang w:val="en-US" w:eastAsia="zh-CN" w:bidi="ar"/>
        </w:rPr>
        <w:t>75</w:t>
      </w:r>
      <w:r>
        <w:rPr>
          <w:rFonts w:hint="eastAsia" w:ascii="Book Antiqua" w:hAnsi="Book Antiqua" w:eastAsia="Book Antiqua" w:cs="Book Antiqua"/>
        </w:rPr>
        <w:t xml:space="preserve">.htm </w:t>
      </w:r>
    </w:p>
    <w:p>
      <w:pPr>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Book Antiqua" w:cs="Book Antiqua"/>
          <w:b/>
          <w:bCs/>
        </w:rPr>
        <w:t>DOI</w:t>
      </w:r>
      <w:r>
        <w:rPr>
          <w:rFonts w:hint="eastAsia" w:ascii="Book Antiqua" w:hAnsi="Book Antiqua" w:eastAsia="Book Antiqua" w:cs="Book Antiqua"/>
        </w:rPr>
        <w:t>: https://dx.doi.org/10.5493/wjem.v13.i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Style w:val="21"/>
          <w:rFonts w:hint="default" w:ascii="Book Antiqua" w:hAnsi="Book Antiqua" w:eastAsia="宋体" w:cs="Book Antiqua"/>
          <w:b w:val="0"/>
          <w:bCs w:val="0"/>
          <w:sz w:val="24"/>
          <w:szCs w:val="24"/>
          <w:lang w:val="en-US" w:eastAsia="zh-CN" w:bidi="ar"/>
        </w:rPr>
        <w:t>75</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The provided outcomes emphasize on the personalized/classified/functional/single cell based/complementary insights, and systematic strategy in Neuro-Science.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successful bridging approach between Neuro-Science and Medicine requires: (1) The combination of the molecular and functional insights at single cell level; (2) </w:t>
      </w:r>
      <w:r>
        <w:rPr>
          <w:rFonts w:hint="eastAsia" w:ascii="Book Antiqua" w:hAnsi="Book Antiqua" w:eastAsia="宋体" w:cs="Book Antiqua"/>
          <w:color w:val="000000" w:themeColor="text1"/>
          <w:lang w:eastAsia="zh-CN"/>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 xml:space="preserve">y emphasizing on the course of evolution; and (3) </w:t>
      </w:r>
      <w:r>
        <w:rPr>
          <w:rFonts w:hint="eastAsia" w:ascii="Book Antiqua" w:hAnsi="Book Antiqua" w:eastAsia="宋体"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o expedite towards unmasking the functional modifications in the blood stream of the patients with neurological disorders including Alzheimer disease (AD). However, exploration of the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irculating </w:t>
      </w:r>
      <w:r>
        <w:rPr>
          <w:rFonts w:ascii="Book Antiqua" w:hAnsi="Book Antiqua" w:cs="Book Antiqua"/>
          <w:color w:val="000000" w:themeColor="text1"/>
          <w:lang w:eastAsia="zh-CN"/>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eural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ells accelerate to unmask the course of evolution by providing the personalized and translatable model to the target based therapy. Let’s improve the life quality of the patients with neurological disorders including AD with simply the light music which corresponds with 40 Hz in gamma sensory stimulation therapy. It is essential to differentiate between neurological- and neuro-psychiatric diseases. Surprisingly, we offer an early detection of the stem cells, including the neural CD133 at fetal period, </w:t>
      </w:r>
      <w:r>
        <w:rPr>
          <w:rFonts w:ascii="Book Antiqua" w:hAnsi="Book Antiqua" w:eastAsia="Book Antiqua" w:cs="Book Antiqua"/>
          <w:i/>
          <w:iCs/>
          <w:color w:val="000000" w:themeColor="text1"/>
          <w14:textFill>
            <w14:solidFill>
              <w14:schemeClr w14:val="tx1"/>
            </w14:solidFill>
          </w14:textFill>
        </w:rPr>
        <w:t>i.e.,</w:t>
      </w:r>
      <w:r>
        <w:rPr>
          <w:rFonts w:ascii="Book Antiqua" w:hAnsi="Book Antiqua" w:eastAsia="Book Antiqua" w:cs="Book Antiqua"/>
          <w:color w:val="000000" w:themeColor="text1"/>
          <w14:textFill>
            <w14:solidFill>
              <w14:schemeClr w14:val="tx1"/>
            </w14:solidFill>
          </w14:textFill>
        </w:rPr>
        <w:t xml:space="preserve"> as early as 8-9 wk, or later through the circulating fetal cells in the maternal blood stream.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Present introduction provides the multi-directional insights towards the Alzheimer disease (AD), including the function of involved </w:t>
      </w:r>
      <w:r>
        <w:rPr>
          <w:rFonts w:ascii="Book Antiqua" w:hAnsi="Book Antiqua"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rotein expression (PE) at single cell level; and electroencephalography (EEG), to observe the role of light music (LM) on the brain channels, and the interaction between different brain channels. It was also aimed to provide the personalized periodic chart for the predisposed individual and/or patients affected with AD. In addition, </w:t>
      </w:r>
      <w:r>
        <w:rPr>
          <w:rFonts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n initial description of the histopathology of AD has been provided by Alois Alzheimer</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xml:space="preserve"> in 1907, which is categorized by brain atrophy, an extracellular, cumulated of Aβ peptide (amyloid plaques), loss of neuron and synapse, composition of tau protein, as neurofibrillary ingredient</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Regulation of the Human Presenilin-1 Gene by V-Ets erythroblastosis virus E26 oncogene homolog 2 (Ets2) Transcription Factors and p53 play key role in AD-pathogenesis</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The decisive role of DNA by controlling 90% of the expression of presenilin 1 gene located in chromosome 21 (-35 to +6) is highlighted. This region harbors an Ets transcription factor-binding motif, and a 2-base pair alteration within the sequence of (GGAA to TTAA) of the Ets2 territory leading to the 90% transcriptional reduction. It was also reported that Ets1/2 transcription factors activate PS1 transcription.</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pathological diagnosis in AD, and accumulation of amyloid, occur almost decades before an initial sign of clinical symptoms</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Besides, functional aspect of brain network could be unmasked by magnetoencephalography. Most importantly, application of the non-invasive strategy, as an early detection of the symptom(s) of neuropathology at pre-developmental period of the AD is essential.</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Initially, the micro- and macro-environmental factors, including nutrition play, partly, the influential roles in initiation and progression of AD. The most challenging panel in this topic is the late diagnosis and the risky procedures through the exploration of AD and therapy. In addition, EEG is the non-invasive and trustable method to detect synaptic dysfunction and the course of the disease. However, performance of EEG is helpful, but very late.</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addition, the combined strategy to classify the EEG-data, by applying an early functional assay of the target protein(s), at single cell level, and as the personalized analytical procedures in AD is, currently, our ongoing process.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Brain function could be, routinely, examined by EEG in AD with significant resolution</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xml:space="preserve">. EEG is revealed to be: (1) Non-invasive; (2) </w:t>
      </w:r>
      <w:r>
        <w:rPr>
          <w:rFonts w:hint="eastAsia" w:ascii="Book Antiqua" w:hAnsi="Book Antiqua" w:eastAsia="宋体" w:cs="Book Antiqua"/>
          <w:color w:val="000000" w:themeColor="text1"/>
          <w:lang w:eastAsia="zh-CN"/>
          <w14:textFill>
            <w14:solidFill>
              <w14:schemeClr w14:val="tx1"/>
            </w14:solidFill>
          </w14:textFill>
        </w:rPr>
        <w:t>u</w:t>
      </w:r>
      <w:r>
        <w:rPr>
          <w:rFonts w:ascii="Book Antiqua" w:hAnsi="Book Antiqua" w:eastAsia="Book Antiqua" w:cs="Book Antiqua"/>
          <w:color w:val="000000" w:themeColor="text1"/>
          <w14:textFill>
            <w14:solidFill>
              <w14:schemeClr w14:val="tx1"/>
            </w14:solidFill>
          </w14:textFill>
        </w:rPr>
        <w:t xml:space="preserve">nmasks the alphabetic informative codes of the neural territory; (3) </w:t>
      </w:r>
      <w:r>
        <w:rPr>
          <w:rFonts w:hint="eastAsia" w:ascii="Book Antiqua" w:hAnsi="Book Antiqua" w:eastAsia="宋体"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 xml:space="preserve">ecording many required targets; (4) </w:t>
      </w:r>
      <w:r>
        <w:rPr>
          <w:rFonts w:hint="eastAsia" w:ascii="Book Antiqua" w:hAnsi="Book Antiqua" w:eastAsia="宋体" w:cs="Book Antiqua"/>
          <w:color w:val="000000" w:themeColor="text1"/>
          <w:lang w:eastAsia="zh-CN"/>
          <w14:textFill>
            <w14:solidFill>
              <w14:schemeClr w14:val="tx1"/>
            </w14:solidFill>
          </w14:textFill>
        </w:rPr>
        <w:t>u</w:t>
      </w:r>
      <w:r>
        <w:rPr>
          <w:rFonts w:ascii="Book Antiqua" w:hAnsi="Book Antiqua" w:eastAsia="Book Antiqua" w:cs="Book Antiqua"/>
          <w:color w:val="000000" w:themeColor="text1"/>
          <w14:textFill>
            <w14:solidFill>
              <w14:schemeClr w14:val="tx1"/>
            </w14:solidFill>
          </w14:textFill>
        </w:rPr>
        <w:t xml:space="preserve">nmasking the health conditions related to the patients’ age; and (5) </w:t>
      </w:r>
      <w:r>
        <w:rPr>
          <w:rFonts w:hint="eastAsia" w:ascii="Book Antiqua" w:hAnsi="Book Antiqua" w:eastAsia="宋体" w:cs="Book Antiqua"/>
          <w:color w:val="000000" w:themeColor="text1"/>
          <w:lang w:eastAsia="zh-CN"/>
          <w14:textFill>
            <w14:solidFill>
              <w14:schemeClr w14:val="tx1"/>
            </w14:solidFill>
          </w14:textFill>
        </w:rPr>
        <w:t>d</w:t>
      </w:r>
      <w:r>
        <w:rPr>
          <w:rFonts w:ascii="Book Antiqua" w:hAnsi="Book Antiqua" w:eastAsia="Book Antiqua" w:cs="Book Antiqua"/>
          <w:color w:val="000000" w:themeColor="text1"/>
          <w14:textFill>
            <w14:solidFill>
              <w14:schemeClr w14:val="tx1"/>
            </w14:solidFill>
          </w14:textFill>
        </w:rPr>
        <w:t xml:space="preserve">eals with the pharmacological </w:t>
      </w:r>
      <w:r>
        <w:t>modeling</w:t>
      </w:r>
      <w:r>
        <w:rPr>
          <w:rFonts w:ascii="Book Antiqua" w:hAnsi="Book Antiqua" w:eastAsia="Book Antiqua" w:cs="Book Antiqua"/>
          <w:color w:val="000000" w:themeColor="text1"/>
          <w:vertAlign w:val="superscript"/>
          <w14:textFill>
            <w14:solidFill>
              <w14:schemeClr w14:val="tx1"/>
            </w14:solidFill>
          </w14:textFill>
        </w:rPr>
        <w:t>[5,6]</w:t>
      </w:r>
      <w:r>
        <w:rPr>
          <w:rFonts w:ascii="Book Antiqua" w:hAnsi="Book Antiqua" w:eastAsia="Book Antiqua" w:cs="Book Antiqua"/>
          <w:color w:val="000000" w:themeColor="text1"/>
          <w14:textFill>
            <w14:solidFill>
              <w14:schemeClr w14:val="tx1"/>
            </w14:solidFill>
          </w14:textFill>
        </w:rPr>
        <w:t>. Actually, EEG is capable to unmask the basic prognostic mechanisms in AD. Furthermore, it is proposed that the progression in AD is supposed to be associated to the “functional disconnection”</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the resting phase, the increased and decreased functional connection is indicative of activity for the prefrontal and posterior regions through the alpha band</w:t>
      </w:r>
      <w:r>
        <w:rPr>
          <w:rFonts w:ascii="Book Antiqua" w:hAnsi="Book Antiqua" w:eastAsia="Book Antiqua" w:cs="Book Antiqua"/>
          <w:color w:val="000000" w:themeColor="text1"/>
          <w:vertAlign w:val="superscript"/>
          <w14:textFill>
            <w14:solidFill>
              <w14:schemeClr w14:val="tx1"/>
            </w14:solidFill>
          </w14:textFill>
        </w:rPr>
        <w:t>[8,9]</w:t>
      </w:r>
      <w:r>
        <w:rPr>
          <w:rFonts w:ascii="Book Antiqua" w:hAnsi="Book Antiqua" w:eastAsia="Book Antiqua" w:cs="Book Antiqua"/>
          <w:color w:val="000000" w:themeColor="text1"/>
          <w14:textFill>
            <w14:solidFill>
              <w14:schemeClr w14:val="tx1"/>
            </w14:solidFill>
          </w14:textFill>
        </w:rPr>
        <w:t>. Besides, by considering the decreased function in EEG exploration, its consequences on the connectivity is remarkable which depends on the individuals and technology.</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Regarding the genetic test, the Ets2 up-regulation may lead to an increased neuronal degeneration,</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apoptosis and susceptibility</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xml:space="preserve">. The </w:t>
      </w:r>
      <w:r>
        <w:rPr>
          <w:rFonts w:ascii="Book Antiqua" w:hAnsi="Book Antiqua" w:eastAsia="Book Antiqua" w:cs="Book Antiqua"/>
          <w:i/>
          <w:color w:val="000000" w:themeColor="text1"/>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gene is involved in two different group of patients, affected at totally diverse age of onset including AD and Down’s syndrome (DS)</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primary predisposing/predictive/early detective strategy is the pedigree-based analysis of the proband affected with nervous system/brain disorder(s) including AD. Such approach will cover the candidate relatives of the proband(s) for the screening program. This strategy will unmask: (1) The predisposing factor through the pedigree; and (2) </w:t>
      </w:r>
      <w:r>
        <w:rPr>
          <w:rFonts w:hint="eastAsia" w:ascii="Book Antiqua" w:hAnsi="Book Antiqua" w:eastAsia="宋体"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he target and candidate relatives for an early and non-invasive screening.</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irculating </w:t>
      </w:r>
      <w:r>
        <w:rPr>
          <w:rFonts w:ascii="Book Antiqua" w:hAnsi="Book Antiqua" w:cs="Book Antiqua"/>
          <w:color w:val="000000" w:themeColor="text1"/>
          <w:lang w:eastAsia="zh-CN"/>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eural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ells (CNCs) offer: (1) The non-invasive screening; (2) </w:t>
      </w:r>
      <w:r>
        <w:rPr>
          <w:rFonts w:hint="eastAsia" w:ascii="Book Antiqua" w:hAnsi="Book Antiqua" w:eastAsia="宋体"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 xml:space="preserve">t single cell level; and (3) </w:t>
      </w:r>
      <w:r>
        <w:rPr>
          <w:rFonts w:hint="eastAsia" w:ascii="Book Antiqua" w:hAnsi="Book Antiqua" w:eastAsia="宋体" w:cs="Book Antiqua"/>
          <w:color w:val="000000" w:themeColor="text1"/>
          <w:lang w:eastAsia="zh-CN"/>
          <w14:textFill>
            <w14:solidFill>
              <w14:schemeClr w14:val="tx1"/>
            </w14:solidFill>
          </w14:textFill>
        </w:rPr>
        <w:t>u</w:t>
      </w:r>
      <w:r>
        <w:rPr>
          <w:rFonts w:ascii="Book Antiqua" w:hAnsi="Book Antiqua" w:eastAsia="Book Antiqua" w:cs="Book Antiqua"/>
          <w:color w:val="000000" w:themeColor="text1"/>
          <w14:textFill>
            <w14:solidFill>
              <w14:schemeClr w14:val="tx1"/>
            </w14:solidFill>
          </w14:textFill>
        </w:rPr>
        <w:t>nmasking the heterogeneity/diversity and evolution.</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Ethics play fundamental and supportive role in Genetics and Psychiatry. It facilitates, care and guarantee the benefit of patients in different stages including sampling, research, and clinical managements. Through such platforms, the chain of events including predisposition, prognosis, prediction, prevention (as 4xP aim), diagnosis and personalized therapy are required to be considered. In cell biology, the single cell level play the key role in unmasking the brain’s behavior and have complimentary role and functional impact on the neurological system.</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personalized, prognostics, predictive, preventive, predisposing (5xP) strategy would be achievable through the systematic exploration with an early-detection and personalized therapeutic management. Besides, the pedigree-based analysis provides the predictive stage for the relatives of proband, affected with AD at any age.</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Personalized screening, at single cell level, with adequate cell analysis, as early as possible, is scientifically trustable. Therefore, it is an urgent aim for both Scientific and Medical platforms to consider an early detection of the neural disorders.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Brain is a sophisticated and transmittable organ. The pathology of the brain is classified and available</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By considering Genetics and cell biology, the specific factors in the neural cells play key role in the neural territory. As a result, the manner of current systems have the influential and functional roles on the specific neurological mechanisms at single cell level. Therefore, to unmask the alterations, it requires the most comprehensive exploration at somatic- and genomics level</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Brain harbors the multi-channels, which is characterized with the miscellaneous and essential proteins.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Conclusively, </w:t>
      </w:r>
      <w:r>
        <w:rPr>
          <w:rFonts w:ascii="Book Antiqua" w:hAnsi="Book Antiqua" w:cs="Book Antiqua"/>
          <w:color w:val="000000" w:themeColor="text1"/>
          <w:lang w:eastAsia="zh-CN"/>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eural cells are derived from the pool of homogeneous progenitor cells. Furthermore, environmental factors, affect the genetic variations and predisposing factors. Concerning the required techniques and the essential therapeutic aspects of the neurological disorders, the informative panel including the histo-pathologic, PE at single cell level and the molecular techniques are required.</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As the routine manner, the most puzzling information achieved at the global level, which does not provide the essential Information on the diversity and heterogeneity. Furthermore, the single cell based analysis of PE, is capable to unmask the architecture of the expression and co-expression at the final cellular procedure and production.</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routine </w:t>
      </w:r>
      <w:r>
        <w:rPr>
          <w:rFonts w:hint="eastAsia" w:ascii="Book Antiqua" w:hAnsi="Book Antiqua" w:eastAsia="Book Antiqua" w:cs="Book Antiqua"/>
          <w:color w:val="000000" w:themeColor="text1"/>
          <w:lang w:val="en-US" w:eastAsia="zh-CN"/>
          <w14:textFill>
            <w14:solidFill>
              <w14:schemeClr w14:val="tx1"/>
            </w14:solidFill>
          </w14:textFill>
        </w:rPr>
        <w:t>and</w:t>
      </w:r>
      <w:r>
        <w:rPr>
          <w:rFonts w:ascii="Book Antiqua" w:hAnsi="Book Antiqua" w:eastAsia="Book Antiqua" w:cs="Book Antiqua"/>
          <w:color w:val="000000" w:themeColor="text1"/>
          <w14:textFill>
            <w14:solidFill>
              <w14:schemeClr w14:val="tx1"/>
            </w14:solidFill>
          </w14:textFill>
        </w:rPr>
        <w:t xml:space="preserve"> global molecular based analysis are, rapidly, used in the neuroscience research and diagnosis, but are not informative to unmask the heterogeneity and diversity of the functional single cell based which has key role on the occurrence of evolution.</w:t>
      </w:r>
    </w:p>
    <w:p>
      <w:pPr>
        <w:spacing w:line="360" w:lineRule="auto"/>
        <w:ind w:firstLine="480" w:firstLineChars="200"/>
        <w:jc w:val="both"/>
        <w:rPr>
          <w:rFonts w:ascii="Book Antiqua" w:hAnsi="Book Antiqua" w:eastAsia="Book Antiqua" w:cs="Book Antiqua"/>
          <w:b/>
          <w:caps/>
          <w:color w:val="000000" w:themeColor="text1"/>
          <w:u w:val="single"/>
          <w14:textFill>
            <w14:solidFill>
              <w14:schemeClr w14:val="tx1"/>
            </w14:solidFill>
          </w14:textFill>
        </w:rPr>
      </w:pPr>
      <w:r>
        <w:rPr>
          <w:rFonts w:ascii="Book Antiqua" w:hAnsi="Book Antiqua"/>
          <w:color w:val="000000" w:themeColor="text1"/>
          <w14:textFill>
            <w14:solidFill>
              <w14:schemeClr w14:val="tx1"/>
            </w14:solidFill>
          </w14:textFill>
        </w:rPr>
        <w:t>As the matter of fact, the roots of different diseases including cancer and non-cancerous are</w:t>
      </w:r>
      <w:r>
        <w:rPr>
          <w:rFonts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 xml:space="preserve">either related to their ancestral lines and sides through the pedigrees, or the rules and natural events at embryonic, and/or fetal, adulthood and elderly durations (Figure 1). However, micro- and macro-environmental factors play the influential role </w:t>
      </w:r>
      <w:r>
        <w:rPr>
          <w:rFonts w:ascii="Book Antiqua" w:hAnsi="Book Antiqua"/>
          <w:color w:val="000000" w:themeColor="text1"/>
          <w:lang w:eastAsia="zh-CN"/>
          <w14:textFill>
            <w14:solidFill>
              <w14:schemeClr w14:val="tx1"/>
            </w14:solidFill>
          </w14:textFill>
        </w:rPr>
        <w:t>t</w:t>
      </w:r>
      <w:r>
        <w:rPr>
          <w:rFonts w:ascii="Book Antiqua" w:hAnsi="Book Antiqua"/>
          <w:color w:val="000000" w:themeColor="text1"/>
          <w14:textFill>
            <w14:solidFill>
              <w14:schemeClr w14:val="tx1"/>
            </w14:solidFill>
          </w14:textFill>
        </w:rPr>
        <w:t>o initiate and developing disorders. Finally, the complicated periodic chart is required to be considered in the management of health and diseases for the index</w:t>
      </w:r>
      <w:r>
        <w:rPr>
          <w:rFonts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case and their targeted relatives through their pedigrees.</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Cancer and Alzheimer are</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historical diseases and have, their roots, hidden at the single cells and brain</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territory.</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physicians and scientists need to take their valuable action as the experienced archeologists, to trace the roots of both diseases, one by one at single cell level and not at global dimension.</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Figure 1 presents the flow-chart which may assist the medical team, including</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clinicians, pharmacologists, nurses, and scientists to achieve the required complementary data, as early as possible. The prompt therapy requires an early diagnosis. At a glance, the matter of fact includes the occurrence and diagnosis of diversity, heterogeneity and evolution. Such a triangle, will direct the medical, pharmaceutics and scientific teams to: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1)</w:t>
      </w:r>
      <w:r>
        <w:rPr>
          <w:rFonts w:ascii="Book Antiqua" w:hAnsi="Book Antiqua" w:cs="Book Antiqua"/>
          <w:color w:val="000000" w:themeColor="text1"/>
          <w:lang w:eastAsia="zh-CN"/>
          <w14:textFill>
            <w14:solidFill>
              <w14:schemeClr w14:val="tx1"/>
            </w14:solidFill>
          </w14:textFill>
        </w:rPr>
        <w:t xml:space="preserve"> T</w:t>
      </w:r>
      <w:r>
        <w:rPr>
          <w:rFonts w:ascii="Book Antiqua" w:hAnsi="Book Antiqua" w:eastAsia="Book Antiqua" w:cs="Book Antiqua"/>
          <w:color w:val="000000" w:themeColor="text1"/>
          <w14:textFill>
            <w14:solidFill>
              <w14:schemeClr w14:val="tx1"/>
            </w14:solidFill>
          </w14:textFill>
        </w:rPr>
        <w:t>he translatable platform</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and (</w:t>
      </w:r>
      <w:r>
        <w:rPr>
          <w:rFonts w:ascii="Book Antiqua" w:hAnsi="Book Antiqua" w:eastAsia="Book Antiqua" w:cs="Book Antiqua"/>
          <w:color w:val="000000" w:themeColor="text1"/>
          <w14:textFill>
            <w14:solidFill>
              <w14:schemeClr w14:val="tx1"/>
            </w14:solidFill>
          </w14:textFill>
        </w:rPr>
        <w:t xml:space="preserve">2) </w:t>
      </w:r>
      <w:r>
        <w:rPr>
          <w:rFonts w:hint="eastAsia" w:ascii="Book Antiqua" w:hAnsi="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o plan the personalized clinical management including an early-therapy (Figure 1).</w:t>
      </w:r>
    </w:p>
    <w:p>
      <w:pPr>
        <w:spacing w:line="360" w:lineRule="auto"/>
        <w:jc w:val="both"/>
        <w:rPr>
          <w:rFonts w:ascii="Book Antiqua" w:hAnsi="Book Antiqua" w:cs="Book Antiqua"/>
          <w:b/>
          <w:caps/>
          <w:color w:val="000000" w:themeColor="text1"/>
          <w:u w:val="single"/>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MATERIALS AND METHODS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Ten patients, including six females and four males, affected with AD; and ten healthy individuals are participated in our previous study</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The lymphocytes were cultured in RPMI media (Sigma Aldrich, St Louis, MO, United States) for 35 min at 37</w:t>
      </w:r>
      <w:r>
        <w:rPr>
          <w:rFonts w:ascii="Book Antiqua" w:hAnsi="Book Antiqua" w:cs="Book Antiqua"/>
          <w:color w:val="000000" w:themeColor="text1"/>
          <w:lang w:eastAsia="zh-CN"/>
          <w14:textFill>
            <w14:solidFill>
              <w14:schemeClr w14:val="tx1"/>
            </w14:solidFill>
          </w14:textFill>
        </w:rPr>
        <w:t xml:space="preserve"> ºC</w:t>
      </w:r>
      <w:r>
        <w:rPr>
          <w:rFonts w:ascii="Book Antiqua" w:hAnsi="Book Antiqua" w:eastAsia="Book Antiqua" w:cs="Book Antiqua"/>
          <w:color w:val="000000" w:themeColor="text1"/>
          <w14:textFill>
            <w14:solidFill>
              <w14:schemeClr w14:val="tx1"/>
            </w14:solidFill>
          </w14:textFill>
        </w:rPr>
        <w:t>. Then the cells were treated with the hypertonic solution, and were fixed. The lymphocytes were stained with the polyclonal Ets2 antibody (Avivasysbio, CA, United States), washed by Phosphate buffer solution, and then stained with secondary antibody (FITC-conjugated goat-anti-rabbit). Flow-cytometry (FC) assay was performed by BD FACS Calibur FC (BD FACSCALIBUR</w:t>
      </w:r>
      <w:r>
        <w:rPr>
          <w:rFonts w:ascii="Book Antiqua" w:hAnsi="Book Antiqua" w:eastAsia="Book Antiqua" w:cs="Book Antiqua"/>
          <w:color w:val="000000" w:themeColor="text1"/>
          <w:vertAlign w:val="superscript"/>
          <w14:textFill>
            <w14:solidFill>
              <w14:schemeClr w14:val="tx1"/>
            </w14:solidFill>
          </w14:textFill>
        </w:rPr>
        <w:t xml:space="preserve">TM </w:t>
      </w:r>
      <w:r>
        <w:rPr>
          <w:rFonts w:ascii="Book Antiqua" w:hAnsi="Book Antiqua" w:eastAsia="Book Antiqua" w:cs="Book Antiqua"/>
          <w:color w:val="000000" w:themeColor="text1"/>
          <w14:textFill>
            <w14:solidFill>
              <w14:schemeClr w14:val="tx1"/>
            </w14:solidFill>
          </w14:textFill>
        </w:rPr>
        <w:t>FC-System, United States) and the results were analyzed by Flowjo-7.6. software.</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Data was analyzed by SPSS 18 (SPSS Inc, IL, United States) The Spearman and Pearson Correlation Coefficients were also performed. The,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 less than 0.05 was considered as significant</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single cell based assay is an essential channel to unmask heterogeneity, diversity, and evolution. Besides, the high cell enumeration is required. There are apparatus; capable to automate, cell analysis, but very few cells is enumerated. Besides, through the manual analysis, broad exploration of multi thousand single cells are analyzable to unmask the new cellular function and their interaction.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PE has been assayed by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Manual single cell based analysis by </w:t>
      </w:r>
      <w:r>
        <w:rPr>
          <w:rFonts w:ascii="Book Antiqua" w:hAnsi="Book Antiqua" w:cs="Book Antiqua"/>
          <w:color w:val="000000" w:themeColor="text1"/>
          <w:lang w:eastAsia="zh-CN"/>
          <w14:textFill>
            <w14:solidFill>
              <w14:schemeClr w14:val="tx1"/>
            </w14:solidFill>
          </w14:textFill>
        </w:rPr>
        <w:t>i</w:t>
      </w:r>
      <w:r>
        <w:rPr>
          <w:rFonts w:ascii="Book Antiqua" w:hAnsi="Book Antiqua" w:eastAsia="Book Antiqua" w:cs="Book Antiqua"/>
          <w:color w:val="000000" w:themeColor="text1"/>
          <w14:textFill>
            <w14:solidFill>
              <w14:schemeClr w14:val="tx1"/>
            </w14:solidFill>
          </w14:textFill>
        </w:rPr>
        <w:t>mmunofluorescence (IF), also based on high enumeration, with different magnification, which provides the classified intensity of the PE. However, FC is totally machinery based and non- classified cellular screening according to the degree of intensity of the whole cell population with manual IF, and FC.</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Visions and visualization: PE assay and EEG</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applied processes are performed according to the triangle style, by highlighting the power of cellular network, which reflects the association between the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PE of Ets2 is also performed in the peripheral blood of the patients with AD, according to the standard flow cytometry technique</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xml:space="preserve">. The PE assay was capable to unveil the nature of heterogeneity/diversity/course of evolution by exploring D1853N polymorphism in </w:t>
      </w:r>
      <w:r>
        <w:rPr>
          <w:rFonts w:ascii="Book Antiqua" w:hAnsi="Book Antiqua" w:cstheme="minorHAnsi"/>
          <w:color w:val="000000" w:themeColor="text1"/>
          <w14:textFill>
            <w14:solidFill>
              <w14:schemeClr w14:val="tx1"/>
            </w14:solidFill>
          </w14:textFill>
        </w:rPr>
        <w:t>ATM</w:t>
      </w:r>
      <w:r>
        <w:rPr>
          <w:rFonts w:ascii="Book Antiqua" w:hAnsi="Book Antiqua" w:eastAsia="Book Antiqua" w:cs="Book Antiqua"/>
          <w:color w:val="000000" w:themeColor="text1"/>
          <w14:textFill>
            <w14:solidFill>
              <w14:schemeClr w14:val="tx1"/>
            </w14:solidFill>
          </w14:textFill>
        </w:rPr>
        <w:t xml:space="preserve"> gene, and PE assay of vascular endothelial growth factor (VEGF), epidermal growth factor (EGF) at the single cell level of the brain and through the course of evolution</w:t>
      </w:r>
      <w:r>
        <w:rPr>
          <w:rFonts w:ascii="Book Antiqua" w:hAnsi="Book Antiqua" w:eastAsia="Book Antiqua" w:cs="Book Antiqua"/>
          <w:color w:val="000000" w:themeColor="text1"/>
          <w:vertAlign w:val="superscript"/>
          <w14:textFill>
            <w14:solidFill>
              <w14:schemeClr w14:val="tx1"/>
            </w14:solidFill>
          </w14:textFill>
        </w:rPr>
        <w:t>[12,13]</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However, there are challenges regarding the CNCs in neurological disorders</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Furthermore, an innovative and complementary insight is required for an intensive exploring of the brain channels as well. Buzsáki </w:t>
      </w:r>
      <w:r>
        <w:rPr>
          <w:rFonts w:ascii="Book Antiqua" w:hAnsi="Book Antiqua" w:cs="Book Antiqua"/>
          <w:i/>
          <w:color w:val="000000" w:themeColor="text1"/>
          <w:lang w:eastAsia="zh-CN"/>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xml:space="preserve"> have focused on “The origin of extracellular fields and currents</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EEG, ECoG, LFP and spikes”</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Briefly, the challenges and achieved data in circulating tumor cells, and EEG highlights the involvement of two diverse territories and the related machinery in AD</w:t>
      </w:r>
      <w:r>
        <w:rPr>
          <w:rFonts w:ascii="Book Antiqua" w:hAnsi="Book Antiqua" w:eastAsia="Book Antiqua" w:cs="Book Antiqua"/>
          <w:color w:val="000000" w:themeColor="text1"/>
          <w:vertAlign w:val="superscript"/>
          <w14:textFill>
            <w14:solidFill>
              <w14:schemeClr w14:val="tx1"/>
            </w14:solidFill>
          </w14:textFill>
        </w:rPr>
        <w:t>[14,15]</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By considering the presence of family history of AD in the related pedigree; CNCs is offered as an applicable biomarker based test: (1) At any age, by only 2 mL of the pregnant maternal peripheral blood to screen the status of target embryo and/or fetus for </w:t>
      </w:r>
      <w:r>
        <w:rPr>
          <w:rFonts w:ascii="Book Antiqua" w:hAnsi="Book Antiqua" w:eastAsia="Book Antiqua" w:cs="Book Antiqua"/>
          <w:iCs/>
          <w:color w:val="000000" w:themeColor="text1"/>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gene and the CNCs; and (2) </w:t>
      </w:r>
      <w:r>
        <w:rPr>
          <w:rFonts w:hint="eastAsia" w:ascii="Book Antiqua" w:hAnsi="Book Antiqua" w:eastAsia="宋体"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creening the same test by buccal mucosa or buccal smear of the born child at different stages of his or her life.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RESULTS</w:t>
      </w:r>
    </w:p>
    <w:p>
      <w:pPr>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PE assay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Analysis of PE was performed in the embryonic and chorionic villus samples; and patients affected with AD.</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PE is assayed by IF in the peripheral blood samples and 1000-3000 cells were analyzed at single cell level, by the manual </w:t>
      </w:r>
      <w:r>
        <w:t>exploration</w:t>
      </w:r>
      <w:r>
        <w:rPr>
          <w:rFonts w:hint="eastAsia"/>
          <w:lang w:val="en-US" w:eastAsia="zh-CN"/>
        </w:rPr>
        <w:t>.</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宋体" w:cs="Book Antiqua"/>
          <w:color w:val="000000" w:themeColor="text1"/>
          <w:lang w:val="en-US"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 xml:space="preserve">n aborted embryonic sample at the early gestational week has been explored to assay the mode of PE, including neural marker (NE), neural stem cell (CD133) and VEGF (Figure 2A-C). PE at early stage of embryonic period revealed to be high for </w:t>
      </w:r>
      <w:r>
        <w:rPr>
          <w:rFonts w:ascii="Book Antiqua" w:hAnsi="Book Antiqua" w:cs="Book Antiqua"/>
          <w:color w:val="000000" w:themeColor="text1"/>
          <w:lang w:eastAsia="zh-CN"/>
          <w14:textFill>
            <w14:solidFill>
              <w14:schemeClr w14:val="tx1"/>
            </w14:solidFill>
          </w14:textFill>
        </w:rPr>
        <w:t>NE</w:t>
      </w:r>
      <w:r>
        <w:rPr>
          <w:rFonts w:ascii="Book Antiqua" w:hAnsi="Book Antiqua" w:eastAsia="Book Antiqua" w:cs="Book Antiqua"/>
          <w:color w:val="000000" w:themeColor="text1"/>
          <w14:textFill>
            <w14:solidFill>
              <w14:schemeClr w14:val="tx1"/>
            </w14:solidFill>
          </w14:textFill>
        </w:rPr>
        <w:t xml:space="preserve"> (Figure 2A) and VEGF (Figure 2C). But, the Neural stem cell marker (CD133) is characterized with an absolutely lack of PE, which reflects no sign of stem cell function at early stage of embryo in this aborted sample (Figure 2A-D).</w:t>
      </w:r>
    </w:p>
    <w:p>
      <w:pPr>
        <w:spacing w:line="360" w:lineRule="auto"/>
        <w:ind w:firstLine="480" w:firstLineChars="200"/>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Regarding the chorionic villus, sample, the behavior of PE seems to be diverse, the highest PE is traced for VEGF with high angiogenesis in the whole sample (Figure 2E-H); mosaic pattern of PE for the NE is more remarkable (Figure 2B) than VEGF, the stem cell CD133, reveals a notable</w:t>
      </w:r>
      <w:r>
        <w:rPr>
          <w:rFonts w:hint="eastAsia" w:ascii="Book Antiqua" w:hAnsi="Book Antiqua" w:eastAsia="宋体" w:cs="Book Antiqua"/>
          <w:color w:val="000000" w:themeColor="text1"/>
          <w:lang w:val="en-US"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宋体" w:cs="Book Antiqua"/>
          <w:color w:val="000000" w:themeColor="text1"/>
          <w:lang w:val="en-US" w:eastAsia="zh-CN"/>
          <w14:textFill>
            <w14:solidFill>
              <w14:schemeClr w14:val="tx1"/>
            </w14:solidFill>
          </w14:textFill>
        </w:rPr>
        <w:t>l</w:t>
      </w:r>
      <w:r>
        <w:rPr>
          <w:rFonts w:ascii="Book Antiqua" w:hAnsi="Book Antiqua" w:eastAsia="Book Antiqua" w:cs="Book Antiqua"/>
          <w:color w:val="000000" w:themeColor="text1"/>
          <w14:textFill>
            <w14:solidFill>
              <w14:schemeClr w14:val="tx1"/>
            </w14:solidFill>
          </w14:textFill>
        </w:rPr>
        <w:t>ow expression, accompanied by few cells with high expression (Figure 2E-H) which reflect the initiative step for activation of CD133 stem cell, and significantly differs from the embryonic sample, lacking any expression of CD133. This is the course of evolution, which could be influenced by micro- and macro environmental factor during the fetal growth. Such behavior could occur for any other involved marker(s) for cancer initiation and/or progression. By projecting the impact of early detection, the initial target to unmask any sign of functional alteration related to the neurological disorders including AD by circulating fetal cells (CFCs), is available. In this regard, we offer an extremely early detection of neural stem cell (CD133), Ets2, and any related key proteins, involved in the initiation and progression of neurological disorders including AD at 8-9 gestational week (Figure 2E-H). Furthermore, screening the evolutionary course of the molecular and functional alteration(s) is possible by the follow-up strategy and only 2-3 mL maternal peripheral blood as often as, is essential.</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addition, we provide an early detective platform including the stem cells (CD133) at fetal period,</w:t>
      </w:r>
      <w:r>
        <w:rPr>
          <w:rFonts w:ascii="Book Antiqua" w:hAnsi="Book Antiqua" w:eastAsia="Book Antiqua" w:cs="Book Antiqua"/>
          <w:i/>
          <w:iCs/>
          <w:color w:val="000000" w:themeColor="text1"/>
          <w14:textFill>
            <w14:solidFill>
              <w14:schemeClr w14:val="tx1"/>
            </w14:solidFill>
          </w14:textFill>
        </w:rPr>
        <w:t xml:space="preserve"> i.e.,</w:t>
      </w:r>
      <w:r>
        <w:rPr>
          <w:rFonts w:ascii="Book Antiqua" w:hAnsi="Book Antiqua" w:eastAsia="Book Antiqua" w:cs="Book Antiqua"/>
          <w:color w:val="000000" w:themeColor="text1"/>
          <w14:textFill>
            <w14:solidFill>
              <w14:schemeClr w14:val="tx1"/>
            </w14:solidFill>
          </w14:textFill>
        </w:rPr>
        <w:t xml:space="preserve"> as early as 8-9 wk through the CFCs/chorionic villus in the maternal blood stream. Besides the key proteins including cyclins B, D, E, </w:t>
      </w:r>
      <w:r>
        <w:rPr>
          <w:rFonts w:ascii="Book Antiqua" w:hAnsi="Book Antiqua" w:cs="Book Antiqua"/>
          <w:color w:val="000000" w:themeColor="text1"/>
          <w:lang w:eastAsia="zh-CN"/>
          <w14:textFill>
            <w14:solidFill>
              <w14:schemeClr w14:val="tx1"/>
            </w14:solidFill>
          </w14:textFill>
        </w:rPr>
        <w:t>EGF</w:t>
      </w:r>
      <w:r>
        <w:rPr>
          <w:rFonts w:ascii="Book Antiqua" w:hAnsi="Book Antiqua" w:eastAsia="Book Antiqua" w:cs="Book Antiqua"/>
          <w:color w:val="000000" w:themeColor="text1"/>
          <w14:textFill>
            <w14:solidFill>
              <w14:schemeClr w14:val="tx1"/>
            </w14:solidFill>
          </w14:textFill>
        </w:rPr>
        <w:t>s and VEGF could be also analysed. The benefit of such an extremely early screening is to deliberate the preliminary and preventive strategy including micro- and macro-environmental factors, counting nutrition. Besides, planning the essential and non-invasive screening, such as EEG at the right time through the offspring’s life, under the guide and care of physician could be planned to detect any sign of AD manifestation(s) for applying any essential 5xP aims.</w:t>
      </w:r>
    </w:p>
    <w:p>
      <w:pPr>
        <w:spacing w:line="360" w:lineRule="auto"/>
        <w:ind w:firstLine="480" w:firstLineChars="200"/>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Besides the manual detection by immunofluorescence, automated analysis of PE by FC, is performed for Ets2 protein (Figure 3).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Three proteins including ATM, </w:t>
      </w:r>
      <w:r>
        <w:rPr>
          <w:rFonts w:ascii="Book Antiqua" w:hAnsi="Book Antiqua" w:cs="Book Antiqua"/>
          <w:color w:val="000000" w:themeColor="text1"/>
          <w:lang w:eastAsia="zh-CN"/>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and VEGF are reflective of: (1) Weak expression of ATM as a tumor suppressor gene; (2) </w:t>
      </w:r>
      <w:r>
        <w:rPr>
          <w:rFonts w:hint="eastAsia" w:ascii="Book Antiqua" w:hAnsi="Book Antiqua" w:eastAsia="宋体"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 xml:space="preserve">osaic pattern of PE for </w:t>
      </w:r>
      <w:r>
        <w:rPr>
          <w:rFonts w:ascii="Book Antiqua" w:hAnsi="Book Antiqua" w:cs="Book Antiqua"/>
          <w:color w:val="000000" w:themeColor="text1"/>
          <w:lang w:eastAsia="zh-CN"/>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and (3) </w:t>
      </w:r>
      <w:r>
        <w:rPr>
          <w:rFonts w:hint="eastAsia" w:ascii="Book Antiqua" w:hAnsi="Book Antiqua" w:eastAsia="宋体"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emarkable expression of VEGF which is indicative of angiogenesis in the neural cells (Figure 4).</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CNCs were explored by IF method for combination of NE, neural stem cell and angiogenesis (N</w:t>
      </w:r>
      <w:r>
        <w:rPr>
          <w:rFonts w:ascii="Book Antiqua" w:hAnsi="Book Antiqua" w:cs="Book Antiqua"/>
          <w:color w:val="000000" w:themeColor="text1"/>
          <w:lang w:eastAsia="zh-CN"/>
          <w14:textFill>
            <w14:solidFill>
              <w14:schemeClr w14:val="tx1"/>
            </w14:solidFill>
          </w14:textFill>
        </w:rPr>
        <w:t>E</w:t>
      </w:r>
      <w:r>
        <w:rPr>
          <w:rFonts w:ascii="Book Antiqua" w:hAnsi="Book Antiqua" w:eastAsia="Book Antiqua" w:cs="Book Antiqua"/>
          <w:color w:val="000000" w:themeColor="text1"/>
          <w14:textFill>
            <w14:solidFill>
              <w14:schemeClr w14:val="tx1"/>
            </w14:solidFill>
          </w14:textFill>
        </w:rPr>
        <w:t xml:space="preserve">/CD133/VEGF (Figures 5 </w:t>
      </w:r>
      <w:r>
        <w:rPr>
          <w:rFonts w:ascii="Book Antiqua" w:hAnsi="Book Antiqua" w:cs="Book Antiqua"/>
          <w:color w:val="000000" w:themeColor="text1"/>
          <w:lang w:eastAsia="zh-CN"/>
          <w14:textFill>
            <w14:solidFill>
              <w14:schemeClr w14:val="tx1"/>
            </w14:solidFill>
          </w14:textFill>
        </w:rPr>
        <w:t>and</w:t>
      </w:r>
      <w:r>
        <w:rPr>
          <w:rFonts w:ascii="Book Antiqua" w:hAnsi="Book Antiqua" w:eastAsia="Book Antiqua" w:cs="Book Antiqua"/>
          <w:color w:val="000000" w:themeColor="text1"/>
          <w14:textFill>
            <w14:solidFill>
              <w14:schemeClr w14:val="tx1"/>
            </w14:solidFill>
          </w14:textFill>
        </w:rPr>
        <w:t xml:space="preserve"> 6); and for Ne/CD133 (Figure 7). The PE of N</w:t>
      </w:r>
      <w:r>
        <w:rPr>
          <w:rFonts w:ascii="Book Antiqua" w:hAnsi="Book Antiqua" w:cs="Book Antiqua"/>
          <w:color w:val="000000" w:themeColor="text1"/>
          <w:lang w:eastAsia="zh-CN"/>
          <w14:textFill>
            <w14:solidFill>
              <w14:schemeClr w14:val="tx1"/>
            </w14:solidFill>
          </w14:textFill>
        </w:rPr>
        <w:t>E</w:t>
      </w:r>
      <w:r>
        <w:rPr>
          <w:rFonts w:ascii="Book Antiqua" w:hAnsi="Book Antiqua" w:eastAsia="Book Antiqua" w:cs="Book Antiqua"/>
          <w:color w:val="000000" w:themeColor="text1"/>
          <w14:textFill>
            <w14:solidFill>
              <w14:schemeClr w14:val="tx1"/>
            </w14:solidFill>
          </w14:textFill>
        </w:rPr>
        <w:t>/VEGF/</w:t>
      </w:r>
      <w:r>
        <w:rPr>
          <w:rFonts w:ascii="Book Antiqua" w:hAnsi="Book Antiqua" w:cs="Book Antiqua"/>
          <w:color w:val="000000" w:themeColor="text1"/>
          <w:lang w:eastAsia="zh-CN"/>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is also provided (Figure 8).</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migrated neural cells with high or low expression are shown with arrows. The micro-vesicle and the vascular section harboring the migrated neural cells are detectable. The CNCs were explored by IF method for combination of NE</w:t>
      </w:r>
      <w:r>
        <w:rPr>
          <w:rFonts w:ascii="Book Antiqua" w:hAnsi="Book Antiqua" w:cs="Book Antiqua"/>
          <w:color w:val="000000" w:themeColor="text1"/>
          <w:lang w:eastAsia="zh-CN"/>
          <w14:textFill>
            <w14:solidFill>
              <w14:schemeClr w14:val="tx1"/>
            </w14:solidFill>
          </w14:textFill>
        </w:rPr>
        <w:t xml:space="preserve"> and</w:t>
      </w:r>
      <w:r>
        <w:rPr>
          <w:rFonts w:ascii="Book Antiqua" w:hAnsi="Book Antiqua" w:eastAsia="Book Antiqua" w:cs="Book Antiqua"/>
          <w:color w:val="000000" w:themeColor="text1"/>
          <w14:textFill>
            <w14:solidFill>
              <w14:schemeClr w14:val="tx1"/>
            </w14:solidFill>
          </w14:textFill>
        </w:rPr>
        <w:t xml:space="preserve"> neural stem cell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N</w:t>
      </w:r>
      <w:r>
        <w:rPr>
          <w:rFonts w:ascii="Book Antiqua" w:hAnsi="Book Antiqua" w:cs="Book Antiqua"/>
          <w:color w:val="000000" w:themeColor="text1"/>
          <w:lang w:eastAsia="zh-CN"/>
          <w14:textFill>
            <w14:solidFill>
              <w14:schemeClr w14:val="tx1"/>
            </w14:solidFill>
          </w14:textFill>
        </w:rPr>
        <w:t>E</w:t>
      </w:r>
      <w:r>
        <w:rPr>
          <w:rFonts w:ascii="Book Antiqua" w:hAnsi="Book Antiqua" w:eastAsia="Book Antiqua" w:cs="Book Antiqua"/>
          <w:color w:val="000000" w:themeColor="text1"/>
          <w14:textFill>
            <w14:solidFill>
              <w14:schemeClr w14:val="tx1"/>
            </w14:solidFill>
          </w14:textFill>
        </w:rPr>
        <w:t>/CD133</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(Figure 7). The PE of N</w:t>
      </w:r>
      <w:r>
        <w:rPr>
          <w:rFonts w:ascii="Book Antiqua" w:hAnsi="Book Antiqua" w:cs="Book Antiqua"/>
          <w:color w:val="000000" w:themeColor="text1"/>
          <w:lang w:eastAsia="zh-CN"/>
          <w14:textFill>
            <w14:solidFill>
              <w14:schemeClr w14:val="tx1"/>
            </w14:solidFill>
          </w14:textFill>
        </w:rPr>
        <w:t>E</w:t>
      </w:r>
      <w:r>
        <w:rPr>
          <w:rFonts w:ascii="Book Antiqua" w:hAnsi="Book Antiqua" w:eastAsia="Book Antiqua" w:cs="Book Antiqua"/>
          <w:color w:val="000000" w:themeColor="text1"/>
          <w14:textFill>
            <w14:solidFill>
              <w14:schemeClr w14:val="tx1"/>
            </w14:solidFill>
          </w14:textFill>
        </w:rPr>
        <w:t>/VEGF/</w:t>
      </w:r>
      <w:r>
        <w:rPr>
          <w:rFonts w:ascii="Book Antiqua" w:hAnsi="Book Antiqua" w:cs="Book Antiqua"/>
          <w:color w:val="000000" w:themeColor="text1"/>
          <w:lang w:eastAsia="zh-CN"/>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is also provided (Figure 8).</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Lower expression of this triangle (N</w:t>
      </w:r>
      <w:r>
        <w:rPr>
          <w:rFonts w:ascii="Book Antiqua" w:hAnsi="Book Antiqua" w:cs="Book Antiqua"/>
          <w:color w:val="000000" w:themeColor="text1"/>
          <w:lang w:eastAsia="zh-CN"/>
          <w14:textFill>
            <w14:solidFill>
              <w14:schemeClr w14:val="tx1"/>
            </w14:solidFill>
          </w14:textFill>
        </w:rPr>
        <w:t>E</w:t>
      </w:r>
      <w:r>
        <w:rPr>
          <w:rFonts w:ascii="Book Antiqua" w:hAnsi="Book Antiqua" w:eastAsia="Book Antiqua" w:cs="Book Antiqua"/>
          <w:color w:val="000000" w:themeColor="text1"/>
          <w14:textFill>
            <w14:solidFill>
              <w14:schemeClr w14:val="tx1"/>
            </w14:solidFill>
          </w14:textFill>
        </w:rPr>
        <w:t>/VEGF/</w:t>
      </w:r>
      <w:r>
        <w:rPr>
          <w:rFonts w:ascii="Book Antiqua" w:hAnsi="Book Antiqua" w:cs="Book Antiqua"/>
          <w:color w:val="000000" w:themeColor="text1"/>
          <w:lang w:eastAsia="zh-CN"/>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is a reliable predictive/early and non-invasive platform for exploring the status of AD at any stage of life.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CNCs’ ratio, between pre- and post- intervention were analyzed based on the PE-screening of cytokeratin 19</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(CK19), and leukocyte common antigen (CD45) and EGF. The cells conjugated with VEGF (Rpe), having lower expression (Figure 8), the CNCs’ ratio, between pre- and post- intervention were analyzed based on the PE-screening of CK19, and leukocyte common antigen (CD45) and EGF. The personalized insight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considered/and the ratio value is estimated for the cases. The Ratios are characterized as &lt; 1 and &gt; 1 between different channels within the horizontal and vertical axes. Finally, the diverse patterns were classified according to the distribution including clusters or sporadically forms.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CNCs’ ratio, between pre- and post- intervention were analyzed based on the PE- screening of CK19, leukocyte common antigen (CD45) and EGF</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(Figure 9).</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confirmation of CNCs was based on the mode of positive CK19</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and negative CD45.</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personalized insight is considered. The ratio value is estimated in cases. The Ratios are characterized as &lt; 1 and &gt; 1 between different channels within the horizontal and vertical axes. Finally, the diverse patterns were classified according to the distribution including clusters or sporadically forms.</w:t>
      </w:r>
    </w:p>
    <w:p>
      <w:pPr>
        <w:spacing w:line="360" w:lineRule="auto"/>
        <w:ind w:firstLine="480" w:firstLineChars="200"/>
        <w:jc w:val="both"/>
        <w:rPr>
          <w:rFonts w:ascii="Book Antiqua" w:hAnsi="Book Antiqua" w:cstheme="minorHAnsi"/>
          <w:b/>
          <w:bCs/>
          <w:lang w:eastAsia="zh-CN"/>
        </w:rPr>
      </w:pPr>
      <w:r>
        <w:rPr>
          <w:rFonts w:ascii="Book Antiqua" w:hAnsi="Book Antiqua"/>
          <w:color w:val="000000" w:themeColor="text1"/>
          <w:lang w:eastAsia="zh-CN"/>
          <w14:textFill>
            <w14:solidFill>
              <w14:schemeClr w14:val="tx1"/>
            </w14:solidFill>
          </w14:textFill>
        </w:rPr>
        <w:t xml:space="preserve">Conclusively, by aiming an early clinical management, including diagnosis and therapy, </w:t>
      </w:r>
      <w:r>
        <w:rPr>
          <w:rFonts w:ascii="Book Antiqua" w:hAnsi="Book Antiqua" w:cstheme="minorHAnsi"/>
          <w:color w:val="000000" w:themeColor="text1"/>
          <w14:textFill>
            <w14:solidFill>
              <w14:schemeClr w14:val="tx1"/>
            </w14:solidFill>
          </w14:textFill>
        </w:rPr>
        <w:t xml:space="preserve">the application of an available multi-panels based on: (1) Non-Invasive; (2) </w:t>
      </w:r>
      <w:r>
        <w:rPr>
          <w:rFonts w:hint="eastAsia" w:ascii="Book Antiqua" w:hAnsi="Book Antiqua" w:cstheme="minorHAnsi"/>
          <w:color w:val="000000" w:themeColor="text1"/>
          <w:lang w:eastAsia="zh-CN"/>
          <w14:textFill>
            <w14:solidFill>
              <w14:schemeClr w14:val="tx1"/>
            </w14:solidFill>
          </w14:textFill>
        </w:rPr>
        <w:t>r</w:t>
      </w:r>
      <w:r>
        <w:rPr>
          <w:rFonts w:ascii="Book Antiqua" w:hAnsi="Book Antiqua" w:cstheme="minorHAnsi"/>
          <w:color w:val="000000" w:themeColor="text1"/>
          <w14:textFill>
            <w14:solidFill>
              <w14:schemeClr w14:val="tx1"/>
            </w14:solidFill>
          </w14:textFill>
        </w:rPr>
        <w:t xml:space="preserve">epeatable; (3) </w:t>
      </w:r>
      <w:r>
        <w:rPr>
          <w:rFonts w:hint="eastAsia" w:ascii="Book Antiqua" w:hAnsi="Book Antiqua" w:cstheme="minorHAnsi"/>
          <w:color w:val="000000" w:themeColor="text1"/>
          <w:lang w:eastAsia="zh-CN"/>
          <w14:textFill>
            <w14:solidFill>
              <w14:schemeClr w14:val="tx1"/>
            </w14:solidFill>
          </w14:textFill>
        </w:rPr>
        <w:t>c</w:t>
      </w:r>
      <w:r>
        <w:rPr>
          <w:rFonts w:ascii="Book Antiqua" w:hAnsi="Book Antiqua" w:cstheme="minorHAnsi"/>
          <w:color w:val="000000" w:themeColor="text1"/>
          <w14:textFill>
            <w14:solidFill>
              <w14:schemeClr w14:val="tx1"/>
            </w14:solidFill>
          </w14:textFill>
        </w:rPr>
        <w:t xml:space="preserve">ost benefit; and (4) </w:t>
      </w:r>
      <w:r>
        <w:rPr>
          <w:rFonts w:hint="eastAsia" w:ascii="Book Antiqua" w:hAnsi="Book Antiqua" w:cstheme="minorHAnsi"/>
          <w:color w:val="000000" w:themeColor="text1"/>
          <w:lang w:eastAsia="zh-CN"/>
          <w14:textFill>
            <w14:solidFill>
              <w14:schemeClr w14:val="tx1"/>
            </w14:solidFill>
          </w14:textFill>
        </w:rPr>
        <w:t>s</w:t>
      </w:r>
      <w:r>
        <w:rPr>
          <w:rFonts w:ascii="Book Antiqua" w:hAnsi="Book Antiqua" w:cstheme="minorHAnsi"/>
          <w:color w:val="000000" w:themeColor="text1"/>
          <w14:textFill>
            <w14:solidFill>
              <w14:schemeClr w14:val="tx1"/>
            </w14:solidFill>
          </w14:textFill>
        </w:rPr>
        <w:t xml:space="preserve">afe </w:t>
      </w:r>
      <w:r>
        <w:rPr>
          <w:rFonts w:hint="eastAsia" w:ascii="Book Antiqua" w:hAnsi="Book Antiqua" w:cstheme="minorHAnsi"/>
          <w:color w:val="000000" w:themeColor="text1"/>
          <w:lang w:eastAsia="zh-CN"/>
          <w14:textFill>
            <w14:solidFill>
              <w14:schemeClr w14:val="tx1"/>
            </w14:solidFill>
          </w14:textFill>
        </w:rPr>
        <w:t>CNC</w:t>
      </w:r>
      <w:r>
        <w:rPr>
          <w:rFonts w:ascii="Book Antiqua" w:hAnsi="Book Antiqua" w:cstheme="minorHAnsi"/>
          <w:color w:val="000000" w:themeColor="text1"/>
          <w14:textFill>
            <w14:solidFill>
              <w14:schemeClr w14:val="tx1"/>
            </w14:solidFill>
          </w14:textFill>
        </w:rPr>
        <w:t>s sample, in only 2</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cstheme="minorHAnsi"/>
          <w:color w:val="000000" w:themeColor="text1"/>
          <w14:textFill>
            <w14:solidFill>
              <w14:schemeClr w14:val="tx1"/>
            </w14:solidFill>
          </w14:textFill>
        </w:rPr>
        <w:t>m</w:t>
      </w:r>
      <w:r>
        <w:rPr>
          <w:rFonts w:ascii="Book Antiqua" w:hAnsi="Book Antiqua" w:cstheme="minorHAnsi"/>
          <w:color w:val="000000" w:themeColor="text1"/>
          <w:lang w:eastAsia="zh-CN"/>
          <w14:textFill>
            <w14:solidFill>
              <w14:schemeClr w14:val="tx1"/>
            </w14:solidFill>
          </w14:textFill>
        </w:rPr>
        <w:t>L</w:t>
      </w:r>
      <w:r>
        <w:rPr>
          <w:rFonts w:ascii="Book Antiqua" w:hAnsi="Book Antiqua" w:cstheme="minorHAnsi"/>
          <w:color w:val="000000" w:themeColor="text1"/>
          <w14:textFill>
            <w14:solidFill>
              <w14:schemeClr w14:val="tx1"/>
            </w14:solidFill>
          </w14:textFill>
        </w:rPr>
        <w:t xml:space="preserve"> peripheral blood or buccal smear, for an early detection of the target proteins expression in the brain cells could be considered.</w:t>
      </w:r>
      <w:r>
        <w:rPr>
          <w:rFonts w:ascii="Book Antiqua" w:hAnsi="Book Antiqua"/>
          <w:color w:val="000000" w:themeColor="text1"/>
          <w:lang w:eastAsia="zh-CN"/>
          <w14:textFill>
            <w14:solidFill>
              <w14:schemeClr w14:val="tx1"/>
            </w14:solidFill>
          </w14:textFill>
        </w:rPr>
        <w:t xml:space="preserve"> </w:t>
      </w:r>
      <w:r>
        <w:rPr>
          <w:rFonts w:ascii="Book Antiqua" w:hAnsi="Book Antiqua" w:cstheme="majorBidi"/>
          <w:color w:val="000000" w:themeColor="text1"/>
          <w14:textFill>
            <w14:solidFill>
              <w14:schemeClr w14:val="tx1"/>
            </w14:solidFill>
          </w14:textFill>
        </w:rPr>
        <w:t>Let’s Revise Alzheimer disease,</w:t>
      </w:r>
      <w:r>
        <w:rPr>
          <w:rFonts w:ascii="Book Antiqua" w:hAnsi="Book Antiqua"/>
          <w:color w:val="000000" w:themeColor="text1"/>
          <w:lang w:eastAsia="zh-CN"/>
          <w14:textFill>
            <w14:solidFill>
              <w14:schemeClr w14:val="tx1"/>
            </w14:solidFill>
          </w14:textFill>
        </w:rPr>
        <w:t xml:space="preserve"> </w:t>
      </w:r>
      <w:r>
        <w:rPr>
          <w:rFonts w:ascii="Book Antiqua" w:hAnsi="Book Antiqua" w:cstheme="majorBidi"/>
          <w:color w:val="000000" w:themeColor="text1"/>
          <w14:textFill>
            <w14:solidFill>
              <w14:schemeClr w14:val="tx1"/>
            </w14:solidFill>
          </w14:textFill>
        </w:rPr>
        <w:t>based on single cell based vocabulary (</w:t>
      </w:r>
      <w:r>
        <w:rPr>
          <w:rFonts w:ascii="Book Antiqua" w:hAnsi="Book Antiqua" w:cstheme="majorBidi"/>
        </w:rPr>
        <w:t>Figure 10).</w:t>
      </w:r>
    </w:p>
    <w:p>
      <w:pPr>
        <w:spacing w:line="360" w:lineRule="auto"/>
        <w:jc w:val="both"/>
        <w:rPr>
          <w:rFonts w:ascii="Book Antiqua" w:hAnsi="Book Antiqua" w:cstheme="minorHAnsi"/>
          <w:b/>
          <w:bCs/>
          <w:color w:val="000000" w:themeColor="text1"/>
          <w:lang w:eastAsia="zh-CN"/>
          <w14:textFill>
            <w14:solidFill>
              <w14:schemeClr w14:val="tx1"/>
            </w14:solidFill>
          </w14:textFill>
        </w:rPr>
      </w:pPr>
    </w:p>
    <w:p>
      <w:pPr>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Applicability at a glance</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combination of neurology/genetics/cell biology/psychology/ethics is required for</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research and clinical management for the neurological disorders. Moreover, the following items harmonize the 5xP by: (1) Applying the Genetic counselling by documenting the patients’ pedigree, including the family history of the related diseases, up to 3-4 or more generations;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 </w:t>
      </w:r>
      <w:r>
        <w:rPr>
          <w:rFonts w:hint="eastAsia" w:ascii="Book Antiqua" w:hAnsi="Book Antiqua" w:eastAsia="宋体" w:cs="Book Antiqua"/>
          <w:color w:val="000000" w:themeColor="text1"/>
          <w:lang w:eastAsia="zh-CN"/>
          <w14:textFill>
            <w14:solidFill>
              <w14:schemeClr w14:val="tx1"/>
            </w14:solidFill>
          </w14:textFill>
        </w:rPr>
        <w:t>o</w:t>
      </w:r>
      <w:r>
        <w:rPr>
          <w:rFonts w:ascii="Book Antiqua" w:hAnsi="Book Antiqua" w:eastAsia="Book Antiqua" w:cs="Book Antiqua"/>
          <w:color w:val="000000" w:themeColor="text1"/>
          <w14:textFill>
            <w14:solidFill>
              <w14:schemeClr w14:val="tx1"/>
            </w14:solidFill>
          </w14:textFill>
        </w:rPr>
        <w:t xml:space="preserve">rganization of the accustomed plan according to the psychological status of the referral cases; (3) </w:t>
      </w:r>
      <w:r>
        <w:rPr>
          <w:rFonts w:hint="eastAsia"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onsidering the macro-and/or micro-environmental factors in the patients’ pedigrees; (4) </w:t>
      </w:r>
      <w:r>
        <w:rPr>
          <w:rFonts w:hint="eastAsia" w:ascii="Book Antiqua" w:hAnsi="Book Antiqua" w:eastAsia="宋体"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erforming the required Genetics’ analysis according to the information, based on the pedigree study; (5) </w:t>
      </w:r>
      <w:r>
        <w:rPr>
          <w:rFonts w:hint="eastAsia" w:ascii="Book Antiqua" w:hAnsi="Book Antiqua" w:eastAsia="宋体" w:cs="Book Antiqua"/>
          <w:color w:val="000000" w:themeColor="text1"/>
          <w:lang w:eastAsia="zh-CN"/>
          <w14:textFill>
            <w14:solidFill>
              <w14:schemeClr w14:val="tx1"/>
            </w14:solidFill>
          </w14:textFill>
        </w:rPr>
        <w:t>f</w:t>
      </w:r>
      <w:r>
        <w:rPr>
          <w:rFonts w:ascii="Book Antiqua" w:hAnsi="Book Antiqua" w:eastAsia="Book Antiqua" w:cs="Book Antiqua"/>
          <w:color w:val="000000" w:themeColor="text1"/>
          <w14:textFill>
            <w14:solidFill>
              <w14:schemeClr w14:val="tx1"/>
            </w14:solidFill>
          </w14:textFill>
        </w:rPr>
        <w:t xml:space="preserve">ocusing on the apparently normal relatives, having the family history of the relatives affected with the diseases through generations in the pedigree; </w:t>
      </w:r>
      <w:r>
        <w:rPr>
          <w:rFonts w:ascii="Book Antiqua" w:hAnsi="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6) </w:t>
      </w:r>
      <w:r>
        <w:rPr>
          <w:rFonts w:hint="eastAsia" w:ascii="Book Antiqua" w:hAnsi="Book Antiqua" w:eastAsia="宋体"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pplying the required complementary test(s); and</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(7) </w:t>
      </w:r>
      <w:r>
        <w:rPr>
          <w:rFonts w:hint="eastAsia" w:ascii="Book Antiqua" w:hAnsi="Book Antiqua" w:eastAsia="宋体"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pplication of the predictive and early detective strategy for the target suspicious patients with AD and their target relatives.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Genetics/cell biology organize and play the most fundamental roles, by considering a triangle model to unmask the heterogeneity/diversity/evolution. Through such manner, the personalized diagnosis and therapy could be developed. AD as a major aim is selected to explore Ets2. This gene has been explored in two different group of patients affected with neuro-degenerative disorder including AD and DS</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Ets2 with its pathogenic role, revealed different cellular behavior in two different diseases. The results have suggested the strategy as ‘Gene Product-Based Therapy’ and the personalized managements for both diseases.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information of patients’ and controls are provided in Table</w:t>
      </w:r>
      <w:r>
        <w:rPr>
          <w:rFonts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 1 and 2. Total cells of 10000 in AD patients were analyzed by FC, but without providing any heterogeneity. The FC-results of Ets2, is provided (Figure 3).</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PE assay unmasked the nature of heterogeneity/diversity/course of evolution by exploring Ets2, D1853N polymorphism in ATM gene, VEGF, </w:t>
      </w:r>
      <w:r>
        <w:rPr>
          <w:rFonts w:ascii="Book Antiqua" w:hAnsi="Book Antiqua" w:cs="Book Antiqua"/>
          <w:color w:val="000000" w:themeColor="text1"/>
          <w:lang w:eastAsia="zh-CN"/>
          <w14:textFill>
            <w14:solidFill>
              <w14:schemeClr w14:val="tx1"/>
            </w14:solidFill>
          </w14:textFill>
        </w:rPr>
        <w:t>EGF</w:t>
      </w:r>
      <w:r>
        <w:rPr>
          <w:rFonts w:ascii="Book Antiqua" w:hAnsi="Book Antiqua" w:eastAsia="Book Antiqua" w:cs="Book Antiqua"/>
          <w:color w:val="000000" w:themeColor="text1"/>
          <w14:textFill>
            <w14:solidFill>
              <w14:schemeClr w14:val="tx1"/>
            </w14:solidFill>
          </w14:textFill>
        </w:rPr>
        <w:t xml:space="preserve"> and course of evolution at the single cell level of the brain. The arrangement of Genetics/Cell biology/Psychology/Ethics is essential quadrat-radial format for</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programming</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research and clinical management. The required steps in the Genetics and cell biological programs include</w:t>
      </w:r>
      <w:r>
        <w:rPr>
          <w:rFonts w:hint="eastAsia"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 Genetic counselling/pedigree documentation; (2) </w:t>
      </w:r>
      <w:r>
        <w:rPr>
          <w:rFonts w:hint="eastAsia"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onsidering the macro-and/or micro-environmental factors; (3) </w:t>
      </w:r>
      <w:r>
        <w:rPr>
          <w:rFonts w:hint="eastAsia" w:ascii="Book Antiqua" w:hAnsi="Book Antiqua" w:eastAsia="宋体"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erforming the required Genetics’ analysis, based on the pedigree-information; (4) </w:t>
      </w:r>
      <w:r>
        <w:rPr>
          <w:rFonts w:hint="eastAsia"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onsidering the target proband’s relatives for the required screening; and (5) </w:t>
      </w:r>
      <w:r>
        <w:rPr>
          <w:rFonts w:hint="eastAsia" w:ascii="Book Antiqua" w:hAnsi="Book Antiqua" w:eastAsia="宋体"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pplying the required Genetic test(s). Besides, harmonizing the 5xP insights are the essential target in the clinics.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Complementary and comparative insights between different panels of PE assay is the key aim in the patients with AD</w:t>
      </w:r>
      <w:r>
        <w:rPr>
          <w:rFonts w:ascii="Book Antiqua" w:hAnsi="Book Antiqua" w:cs="Book Antiqua"/>
          <w:color w:val="000000" w:themeColor="text1"/>
          <w:lang w:eastAsia="zh-CN"/>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PE of Ets2 by IF at analyzable single cell level of the AD patients are provided (Figures 4 and 9). However, PE is a challenging assay and the cells with high magnification are required to: (1) Reflect the clear panorama of the PE; and (2) </w:t>
      </w:r>
      <w:r>
        <w:rPr>
          <w:rFonts w:hint="eastAsia" w:ascii="Book Antiqua" w:hAnsi="Book Antiqua" w:eastAsia="宋体"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ost importantly, to echo the cellular heterogeneity clearly. The PE of Ets2 is also assayed for ten control individuals (Table 2).</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Two different single cell- based platforms are indicative of diverse conclusions. In fact, the most diagnostic and visibility of cellular diversity is achievable by IF through which the territory of the migrated cells from the brain domain is detectable (Figures 3 and 8). The provided figure by IF, clearly, reflect heterogeneity at single cell level.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An extra copy of </w:t>
      </w:r>
      <w:r>
        <w:rPr>
          <w:rFonts w:ascii="Book Antiqua" w:hAnsi="Book Antiqua" w:eastAsia="Book Antiqua" w:cs="Book Antiqua"/>
          <w:iCs/>
          <w:color w:val="000000" w:themeColor="text1"/>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gene in the DNA of brain cells is reported by quantitative densitometry</w:t>
      </w:r>
      <w:r>
        <w:rPr>
          <w:rFonts w:ascii="Book Antiqua" w:hAnsi="Book Antiqua" w:eastAsia="Book Antiqua" w:cs="Book Antiqua"/>
          <w:color w:val="000000" w:themeColor="text1"/>
          <w:vertAlign w:val="superscript"/>
          <w14:textFill>
            <w14:solidFill>
              <w14:schemeClr w14:val="tx1"/>
            </w14:solidFill>
          </w14:textFill>
        </w:rPr>
        <w:t xml:space="preserve">[16] </w:t>
      </w:r>
      <w:r>
        <w:rPr>
          <w:rFonts w:ascii="Book Antiqua" w:hAnsi="Book Antiqua" w:eastAsia="Book Antiqua" w:cs="Book Antiqua"/>
          <w:color w:val="000000" w:themeColor="text1"/>
          <w14:textFill>
            <w14:solidFill>
              <w14:schemeClr w14:val="tx1"/>
            </w14:solidFill>
          </w14:textFill>
        </w:rPr>
        <w:t>and the provided guidlines</w:t>
      </w:r>
      <w:r>
        <w:rPr>
          <w:rFonts w:ascii="Book Antiqua" w:hAnsi="Book Antiqua" w:eastAsia="Book Antiqua" w:cs="Book Antiqua"/>
          <w:color w:val="000000" w:themeColor="text1"/>
          <w:vertAlign w:val="superscript"/>
          <w14:textFill>
            <w14:solidFill>
              <w14:schemeClr w14:val="tx1"/>
            </w14:solidFill>
          </w14:textFill>
        </w:rPr>
        <w:t>[17,18]</w:t>
      </w:r>
      <w:r>
        <w:rPr>
          <w:rFonts w:ascii="Book Antiqua" w:hAnsi="Book Antiqua" w:eastAsia="Book Antiqua" w:cs="Book Antiqua"/>
          <w:color w:val="000000" w:themeColor="text1"/>
          <w14:textFill>
            <w14:solidFill>
              <w14:schemeClr w14:val="tx1"/>
            </w14:solidFill>
          </w14:textFill>
        </w:rPr>
        <w:t>. Based on this valuable finding, the possible correlation of an extra chromosome 21 in DS as the cause of AD was also reported. In this regard, the expression of Ets2 was also high in DS by: (1) A segmental trisomy model for transcriptome during postnatal development of DS in a mouse model</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xml:space="preserve">; (2) </w:t>
      </w:r>
      <w:r>
        <w:rPr>
          <w:rFonts w:hint="eastAsia" w:ascii="Book Antiqua" w:hAnsi="Book Antiqua" w:eastAsia="宋体" w:cs="Book Antiqua"/>
          <w:color w:val="000000" w:themeColor="text1"/>
          <w:lang w:eastAsia="zh-CN"/>
          <w14:textFill>
            <w14:solidFill>
              <w14:schemeClr w14:val="tx1"/>
            </w14:solidFill>
          </w14:textFill>
        </w:rPr>
        <w:t>l</w:t>
      </w:r>
      <w:r>
        <w:rPr>
          <w:rFonts w:ascii="Book Antiqua" w:hAnsi="Book Antiqua" w:eastAsia="Book Antiqua" w:cs="Book Antiqua"/>
          <w:color w:val="000000" w:themeColor="text1"/>
          <w14:textFill>
            <w14:solidFill>
              <w14:schemeClr w14:val="tx1"/>
            </w14:solidFill>
          </w14:textFill>
        </w:rPr>
        <w:t>eading to induction of neural apoptosis</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xml:space="preserve">; and (3) </w:t>
      </w:r>
      <w:r>
        <w:rPr>
          <w:rFonts w:hint="eastAsia" w:ascii="Book Antiqua" w:hAnsi="Book Antiqua" w:eastAsia="宋体" w:cs="Book Antiqua"/>
          <w:color w:val="000000" w:themeColor="text1"/>
          <w:lang w:eastAsia="zh-CN"/>
          <w14:textFill>
            <w14:solidFill>
              <w14:schemeClr w14:val="tx1"/>
            </w14:solidFill>
          </w14:textFill>
        </w:rPr>
        <w:t>h</w:t>
      </w:r>
      <w:r>
        <w:rPr>
          <w:rFonts w:ascii="Book Antiqua" w:hAnsi="Book Antiqua" w:eastAsia="Book Antiqua" w:cs="Book Antiqua"/>
          <w:color w:val="000000" w:themeColor="text1"/>
          <w14:textFill>
            <w14:solidFill>
              <w14:schemeClr w14:val="tx1"/>
            </w14:solidFill>
          </w14:textFill>
        </w:rPr>
        <w:t xml:space="preserve">igh-expression of Ets2 </w:t>
      </w:r>
      <w:r>
        <w:rPr>
          <w:rFonts w:hint="eastAsia" w:ascii="Book Antiqua" w:hAnsi="Book Antiqua" w:eastAsia="宋体" w:cs="Book Antiqua"/>
          <w:color w:val="000000" w:themeColor="text1"/>
          <w:lang w:val="en-US" w:eastAsia="zh-CN"/>
          <w14:textFill>
            <w14:solidFill>
              <w14:schemeClr w14:val="tx1"/>
            </w14:solidFill>
          </w14:textFill>
        </w:rPr>
        <w:t>l</w:t>
      </w:r>
      <w:r>
        <w:rPr>
          <w:rFonts w:ascii="Book Antiqua" w:hAnsi="Book Antiqua" w:eastAsia="Book Antiqua" w:cs="Book Antiqua"/>
          <w:color w:val="000000" w:themeColor="text1"/>
          <w14:textFill>
            <w14:solidFill>
              <w14:schemeClr w14:val="tx1"/>
            </w14:solidFill>
          </w14:textFill>
        </w:rPr>
        <w:t xml:space="preserve">ed to amplification of the APP gene expression and raising </w:t>
      </w:r>
      <w:r>
        <w:rPr>
          <w:rFonts w:ascii="Book Antiqua" w:hAnsi="Book Antiqua" w:cs="Book Antiqua"/>
          <w:color w:val="000000" w:themeColor="text1"/>
          <w:lang w:eastAsia="zh-CN"/>
          <w14:textFill>
            <w14:solidFill>
              <w14:schemeClr w14:val="tx1"/>
            </w14:solidFill>
          </w14:textFill>
        </w:rPr>
        <w:t>β</w:t>
      </w:r>
      <w:r>
        <w:rPr>
          <w:rFonts w:ascii="Book Antiqua" w:hAnsi="Book Antiqua" w:eastAsia="Book Antiqua" w:cs="Book Antiqua"/>
          <w:color w:val="000000" w:themeColor="text1"/>
          <w14:textFill>
            <w14:solidFill>
              <w14:schemeClr w14:val="tx1"/>
            </w14:solidFill>
          </w14:textFill>
        </w:rPr>
        <w:t>-amyloid proteins, with consequential brain anomaly in AD and DS</w:t>
      </w:r>
      <w:r>
        <w:rPr>
          <w:rFonts w:ascii="Book Antiqua" w:hAnsi="Book Antiqua" w:eastAsia="Book Antiqua" w:cs="Book Antiqua"/>
          <w:b/>
          <w:bCs/>
          <w:color w:val="000000" w:themeColor="text1"/>
          <w:vertAlign w:val="superscript"/>
          <w14:textFill>
            <w14:solidFill>
              <w14:schemeClr w14:val="tx1"/>
            </w14:solidFill>
          </w14:textFill>
        </w:rPr>
        <w:t>[</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The Most interesting report was related to the beta amyloid gene duplication in both Alzheimer's disease and the case of DS with normal karyotype</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xml:space="preserve">. It has been, also, emphasized that through the mechanism of an imbalance process for gene dosage, the mental disorder could be evolved through the molecular/cellular </w:t>
      </w:r>
      <w:r>
        <w:t>machinery</w:t>
      </w:r>
      <w:r>
        <w:rPr>
          <w:rFonts w:ascii="Book Antiqua" w:hAnsi="Book Antiqua" w:eastAsia="Book Antiqua" w:cs="Book Antiqua"/>
          <w:color w:val="000000" w:themeColor="text1"/>
          <w14:textFill>
            <w14:solidFill>
              <w14:schemeClr w14:val="tx1"/>
            </w14:solidFill>
          </w14:textFill>
        </w:rPr>
        <w:t xml:space="preserve"> in DS</w:t>
      </w:r>
      <w:r>
        <w:rPr>
          <w:rFonts w:ascii="Book Antiqua" w:hAnsi="Book Antiqua" w:eastAsia="Book Antiqua" w:cs="Book Antiqua"/>
          <w:color w:val="000000" w:themeColor="text1"/>
          <w:vertAlign w:val="superscript"/>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color w:val="000000" w:themeColor="text1"/>
          <w:vertAlign w:val="superscript"/>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Conclusively, the PE</w:t>
      </w:r>
      <w:r>
        <w:rPr>
          <w:rFonts w:hint="eastAsia" w:ascii="Book Antiqua" w:hAnsi="Book Antiqua" w:eastAsia="宋体" w:cs="Book Antiqua"/>
          <w:color w:val="000000" w:themeColor="text1"/>
          <w:lang w:val="en-US" w:eastAsia="zh-CN"/>
          <w14:textFill>
            <w14:solidFill>
              <w14:schemeClr w14:val="tx1"/>
            </w14:solidFill>
          </w14:textFill>
        </w:rPr>
        <w:t xml:space="preserve"> of</w:t>
      </w:r>
      <w:r>
        <w:rPr>
          <w:rFonts w:ascii="Book Antiqua" w:hAnsi="Book Antiqua" w:eastAsia="Book Antiqua" w:cs="Book Antiqua"/>
          <w:color w:val="000000" w:themeColor="text1"/>
          <w14:textFill>
            <w14:solidFill>
              <w14:schemeClr w14:val="tx1"/>
            </w14:solidFill>
          </w14:textFill>
        </w:rPr>
        <w:t xml:space="preserve"> Ets2, as a remarkable pathogenic factor, has the fundamental role at single cell level of two different disease including AD and DS.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It is reported that</w:t>
      </w:r>
      <w:r>
        <w:rPr>
          <w:rFonts w:ascii="Book Antiqua" w:hAnsi="Book Antiqua"/>
          <w:b/>
          <w:b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application of “Sensory-Evoked 40-Hz Gamma” facilitates and improves sleeping process and the quality of life in the patients affected with Alzheimer's Disease</w:t>
      </w:r>
      <w:r>
        <w:rPr>
          <w:rFonts w:ascii="Book Antiqua" w:hAnsi="Book Antiqua"/>
          <w:color w:val="000000" w:themeColor="text1"/>
          <w:vertAlign w:val="superscript"/>
          <w14:textFill>
            <w14:solidFill>
              <w14:schemeClr w14:val="tx1"/>
            </w14:solidFill>
          </w14:textFill>
        </w:rPr>
        <w:t>[23]</w:t>
      </w:r>
      <w:r>
        <w:rPr>
          <w:rFonts w:ascii="Book Antiqua" w:hAnsi="Book Antiqua"/>
          <w:color w:val="000000" w:themeColor="text1"/>
          <w14:textFill>
            <w14:solidFill>
              <w14:schemeClr w14:val="tx1"/>
            </w14:solidFill>
          </w14:textFill>
        </w:rPr>
        <w:t>. Similarly, the light music has also the same impact on the individuals affected with AD as well.</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Frontal lobe functions and AD</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As a major component of the cerebral cortex, the frontal lobe serves a variety of functions. It is believed that the </w:t>
      </w:r>
      <w:r>
        <w:rPr>
          <w:rFonts w:ascii="Book Antiqua" w:hAnsi="Book Antiqua" w:cs="Arial"/>
          <w:color w:val="000000" w:themeColor="text1"/>
          <w14:textFill>
            <w14:solidFill>
              <w14:schemeClr w14:val="tx1"/>
            </w14:solidFill>
          </w14:textFill>
        </w:rPr>
        <w:t>orbitofrontal cortex (</w:t>
      </w:r>
      <w:r>
        <w:rPr>
          <w:rFonts w:ascii="Book Antiqua" w:hAnsi="Book Antiqua" w:eastAsia="Book Antiqua" w:cs="Book Antiqua"/>
          <w:color w:val="000000" w:themeColor="text1"/>
          <w14:textFill>
            <w14:solidFill>
              <w14:schemeClr w14:val="tx1"/>
            </w14:solidFill>
          </w14:textFill>
        </w:rPr>
        <w:t xml:space="preserve">PFC) </w:t>
      </w:r>
      <w:r>
        <w:rPr>
          <w:rFonts w:ascii="Book Antiqua" w:hAnsi="Book Antiqua" w:cs="Arial"/>
          <w:color w:val="000000" w:themeColor="text1"/>
          <w14:textFill>
            <w14:solidFill>
              <w14:schemeClr w14:val="tx1"/>
            </w14:solidFill>
          </w14:textFill>
        </w:rPr>
        <w:t>is involved in the cognitive process of decision-making</w:t>
      </w:r>
      <w:r>
        <w:rPr>
          <w:rFonts w:ascii="Book Antiqua" w:hAnsi="Book Antiqua" w:eastAsia="Book Antiqua" w:cs="Book Antiqua"/>
          <w:color w:val="000000" w:themeColor="text1"/>
          <w14:textFill>
            <w14:solidFill>
              <w14:schemeClr w14:val="tx1"/>
            </w14:solidFill>
          </w14:textFill>
        </w:rPr>
        <w:t xml:space="preserve"> and other ventromedial prefrontal cortex regions of frontal lobe; </w:t>
      </w:r>
      <w:r>
        <w:rPr>
          <w:rFonts w:hint="eastAsia" w:ascii="Book Antiqua" w:hAnsi="Book Antiqua" w:cs="Book Antiqua"/>
          <w:color w:val="000000" w:themeColor="text1"/>
          <w:lang w:eastAsia="zh-CN"/>
          <w14:textFill>
            <w14:solidFill>
              <w14:schemeClr w14:val="tx1"/>
            </w14:solidFill>
          </w14:textFill>
        </w:rPr>
        <w:t>i</w:t>
      </w:r>
      <w:r>
        <w:rPr>
          <w:rFonts w:ascii="Book Antiqua" w:hAnsi="Book Antiqua" w:eastAsia="Book Antiqua" w:cs="Book Antiqua"/>
          <w:color w:val="000000" w:themeColor="text1"/>
          <w14:textFill>
            <w14:solidFill>
              <w14:schemeClr w14:val="tx1"/>
            </w14:solidFill>
          </w14:textFill>
        </w:rPr>
        <w:t>t plays a significant role in the regulation of motivation and emotion as well</w:t>
      </w:r>
      <w:r>
        <w:rPr>
          <w:rFonts w:ascii="Book Antiqua" w:hAnsi="Book Antiqua" w:eastAsia="Book Antiqua" w:cs="Book Antiqua"/>
          <w:color w:val="000000" w:themeColor="text1"/>
          <w:vertAlign w:val="superscript"/>
          <w14:textFill>
            <w14:solidFill>
              <w14:schemeClr w14:val="tx1"/>
            </w14:solidFill>
          </w14:textFill>
        </w:rPr>
        <w:t>[24,25]</w:t>
      </w:r>
      <w:r>
        <w:rPr>
          <w:rFonts w:ascii="Book Antiqua" w:hAnsi="Book Antiqua" w:eastAsia="Book Antiqua" w:cs="Book Antiqua"/>
          <w:color w:val="000000" w:themeColor="text1"/>
          <w14:textFill>
            <w14:solidFill>
              <w14:schemeClr w14:val="tx1"/>
            </w14:solidFill>
          </w14:textFill>
        </w:rPr>
        <w:t>. The ventromedial PFC plays a more specialized function in pleasure, happiness, and reward conditioning</w:t>
      </w:r>
      <w:r>
        <w:rPr>
          <w:rFonts w:ascii="Book Antiqua" w:hAnsi="Book Antiqua" w:eastAsia="Book Antiqua" w:cs="Book Antiqua"/>
          <w:color w:val="000000" w:themeColor="text1"/>
          <w:vertAlign w:val="superscript"/>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 Executive function, however, is one of the most significant frontal lobe-related functional groups. Executive functions are typically cognitive processes that help people tackle challenging, unique, and complicated tasks by choosing and fusing actions or thoughts with internal goals and mediating activities over time</w:t>
      </w:r>
      <w:r>
        <w:rPr>
          <w:rFonts w:ascii="Book Antiqua" w:hAnsi="Book Antiqua" w:eastAsia="Book Antiqua" w:cs="Book Antiqua"/>
          <w:color w:val="000000" w:themeColor="text1"/>
          <w:vertAlign w:val="superscript"/>
          <w14:textFill>
            <w14:solidFill>
              <w14:schemeClr w14:val="tx1"/>
            </w14:solidFill>
          </w14:textFill>
        </w:rPr>
        <w:t>[27-29]</w:t>
      </w:r>
      <w:r>
        <w:rPr>
          <w:rFonts w:ascii="Book Antiqua" w:hAnsi="Book Antiqua" w:eastAsia="Book Antiqua" w:cs="Book Antiqua"/>
          <w:color w:val="000000" w:themeColor="text1"/>
          <w14:textFill>
            <w14:solidFill>
              <w14:schemeClr w14:val="tx1"/>
            </w14:solidFill>
          </w14:textFill>
        </w:rPr>
        <w:t>. Working memory, cognitive flexibility, and inhibition are all components of executive function, which is reliant on top-down (</w:t>
      </w:r>
      <w:r>
        <w:rPr>
          <w:rFonts w:ascii="Book Antiqua" w:hAnsi="Book Antiqua" w:eastAsia="Book Antiqua" w:cs="Book Antiqua"/>
          <w:i/>
          <w:iCs/>
          <w:color w:val="000000" w:themeColor="text1"/>
          <w14:textFill>
            <w14:solidFill>
              <w14:schemeClr w14:val="tx1"/>
            </w14:solidFill>
          </w14:textFill>
        </w:rPr>
        <w:t>i.e.</w:t>
      </w:r>
      <w:r>
        <w:rPr>
          <w:rFonts w:ascii="Book Antiqua" w:hAnsi="Book Antiqua" w:eastAsia="Book Antiqua" w:cs="Book Antiqua"/>
          <w:color w:val="000000" w:themeColor="text1"/>
          <w14:textFill>
            <w14:solidFill>
              <w14:schemeClr w14:val="tx1"/>
            </w14:solidFill>
          </w14:textFill>
        </w:rPr>
        <w:t>, goal-driven) control of distributed processes taking place across the brain. The nature of the processes being controlled determines the precise behavioral output</w:t>
      </w:r>
      <w:r>
        <w:rPr>
          <w:rFonts w:ascii="Book Antiqua" w:hAnsi="Book Antiqua" w:eastAsia="Book Antiqua" w:cs="Book Antiqua"/>
          <w:color w:val="000000" w:themeColor="text1"/>
          <w:vertAlign w:val="superscript"/>
          <w14:textFill>
            <w14:solidFill>
              <w14:schemeClr w14:val="tx1"/>
            </w14:solidFill>
          </w14:textFill>
        </w:rPr>
        <w:t>[30]</w:t>
      </w:r>
      <w:r>
        <w:rPr>
          <w:rFonts w:ascii="Book Antiqua" w:hAnsi="Book Antiqua" w:eastAsia="Book Antiqua" w:cs="Book Antiqua"/>
          <w:color w:val="000000" w:themeColor="text1"/>
          <w14:textFill>
            <w14:solidFill>
              <w14:schemeClr w14:val="tx1"/>
            </w14:solidFill>
          </w14:textFill>
        </w:rPr>
        <w:t>. Key cognitive processes relating to social, emotional, and motivational elements of conduct are carried out by prefrontal cortical areas. Working memory, goal-driven attention, task switching, planning, problem-solving, and the need for novelty are all functions of the dorsal lateral prefrontal cortex. The medial prefrontal cortex is involved in self-awareness, motivation, emotional regulation, and updating goal-directed behavior; the orbitofrontal cortex is involved in personality, inhibition, and emotional and social reasoning. The ventral lateral prefrontal cortex is involved in inhibition, response selection, and monitoring</w:t>
      </w:r>
      <w:r>
        <w:rPr>
          <w:rFonts w:ascii="Book Antiqua" w:hAnsi="Book Antiqua" w:eastAsia="Book Antiqua" w:cs="Book Antiqua"/>
          <w:color w:val="000000" w:themeColor="text1"/>
          <w:vertAlign w:val="superscript"/>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Dysexecutive syndromes have historically been linked to dorsolateral prefrontal cortex damage, but it is now understood that they can also be caused by a parietal-temporal-frontal system impairment, which is the focus of a specific type of atypical AD. Simple daily tasks requiring executive control and a variety of neuropsychological tests are among the tasks that this dysexecutive Alzheimer phenotype performs poorly on. Disrupted executive control over social, emotional, and motivational elements of behavior characterizes dysexecutive syndromes, which are more closely associated with the frontal lobe</w:t>
      </w:r>
      <w:r>
        <w:rPr>
          <w:rFonts w:ascii="Book Antiqua" w:hAnsi="Book Antiqua" w:eastAsia="Book Antiqua" w:cs="Book Antiqua"/>
          <w:color w:val="000000" w:themeColor="text1"/>
          <w:vertAlign w:val="superscript"/>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EEG findings in AD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It is crucial to take into account both the rhythms' location in the brain during EEG analysis in addition to the rhythms themselves. For instance, because alpha rhythms represent the activity of several neuronal populations, they have different neurological </w:t>
      </w:r>
      <w:r>
        <w:t>correlations</w:t>
      </w:r>
      <w:r>
        <w:rPr>
          <w:rFonts w:ascii="Book Antiqua" w:hAnsi="Book Antiqua" w:eastAsia="Book Antiqua" w:cs="Book Antiqua"/>
          <w:color w:val="000000" w:themeColor="text1"/>
          <w14:textFill>
            <w14:solidFill>
              <w14:schemeClr w14:val="tx1"/>
            </w14:solidFill>
          </w14:textFill>
        </w:rPr>
        <w:t xml:space="preserve"> when they are observed in the occipital, temporal, or frontal cortexes</w:t>
      </w:r>
      <w:r>
        <w:rPr>
          <w:rFonts w:ascii="Book Antiqua" w:hAnsi="Book Antiqua" w:eastAsia="Book Antiqua" w:cs="Book Antiqua"/>
          <w:color w:val="000000" w:themeColor="text1"/>
          <w:vertAlign w:val="superscript"/>
          <w14:textFill>
            <w14:solidFill>
              <w14:schemeClr w14:val="tx1"/>
            </w14:solidFill>
          </w14:textFill>
        </w:rPr>
        <w:t>[32]</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majority of EEG studies used to diagnose AD have been based on spectral decomposition of scalp signals in both the resting state with closed eyes and open eyes. We now understand that healthy aging causes changes in brain activity, which are consequently recorded in EEG recordings. They include an increase in delta (1-4 Hz) and theta (4-8 Hz) power, a decrease in background activity, and a slowing of alpha activity (8-13 Hz)</w:t>
      </w:r>
      <w:r>
        <w:rPr>
          <w:rFonts w:ascii="Book Antiqua" w:hAnsi="Book Antiqua" w:eastAsia="Book Antiqua" w:cs="Book Antiqua"/>
          <w:color w:val="000000" w:themeColor="text1"/>
          <w:vertAlign w:val="superscript"/>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During physiological aging, the magnitude of the alpha rhythm reduces in posterior cortical regions, and this is related to the level of general cognitive function</w:t>
      </w:r>
      <w:r>
        <w:rPr>
          <w:rFonts w:ascii="Book Antiqua" w:hAnsi="Book Antiqua" w:eastAsia="Book Antiqua" w:cs="Book Antiqua"/>
          <w:color w:val="000000" w:themeColor="text1"/>
          <w:vertAlign w:val="superscript"/>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However, numerous studies indicate that compared to age-matched controls, both mild cognitive impairment (MCI) and AD suffer from changes in the pattern of their EEG recordings: Alpha and beta rhythms typically decline, whereas delta and theta oscillations generally increase</w:t>
      </w:r>
      <w:r>
        <w:rPr>
          <w:rFonts w:ascii="Book Antiqua" w:hAnsi="Book Antiqua" w:eastAsia="Book Antiqua" w:cs="Book Antiqua"/>
          <w:color w:val="000000" w:themeColor="text1"/>
          <w:vertAlign w:val="superscript"/>
          <w14:textFill>
            <w14:solidFill>
              <w14:schemeClr w14:val="tx1"/>
            </w14:solidFill>
          </w14:textFill>
        </w:rPr>
        <w:t>[35-37]</w:t>
      </w:r>
      <w:r>
        <w:rPr>
          <w:rFonts w:ascii="Book Antiqua" w:hAnsi="Book Antiqua" w:eastAsia="Book Antiqua" w:cs="Book Antiqua"/>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Such evidences highlight the key application of EEG through the course of disease. </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At the </w:t>
      </w:r>
      <w:r>
        <w:rPr>
          <w:rFonts w:ascii="Book Antiqua" w:hAnsi="Book Antiqua" w:cs="Book Antiqua"/>
          <w:color w:val="000000" w:themeColor="text1"/>
          <w:lang w:eastAsia="zh-CN"/>
          <w14:textFill>
            <w14:solidFill>
              <w14:schemeClr w14:val="tx1"/>
            </w14:solidFill>
          </w14:textFill>
        </w:rPr>
        <w:t>AD</w:t>
      </w:r>
      <w:r>
        <w:rPr>
          <w:rFonts w:ascii="Book Antiqua" w:hAnsi="Book Antiqua" w:eastAsia="Book Antiqua" w:cs="Book Antiqua"/>
          <w:color w:val="000000" w:themeColor="text1"/>
          <w14:textFill>
            <w14:solidFill>
              <w14:schemeClr w14:val="tx1"/>
            </w14:solidFill>
          </w14:textFill>
        </w:rPr>
        <w:t>-initiation, there is an increase in slow waves, notably in the theta rhythm. The earliest indicators of cognitive deterioration and the theta power rise are related</w:t>
      </w:r>
      <w:r>
        <w:rPr>
          <w:rFonts w:ascii="Book Antiqua" w:hAnsi="Book Antiqua" w:eastAsia="Book Antiqua" w:cs="Book Antiqua"/>
          <w:color w:val="000000" w:themeColor="text1"/>
          <w:vertAlign w:val="superscript"/>
          <w14:textFill>
            <w14:solidFill>
              <w14:schemeClr w14:val="tx1"/>
            </w14:solidFill>
          </w14:textFill>
        </w:rPr>
        <w:t>[38]</w:t>
      </w:r>
      <w:r>
        <w:rPr>
          <w:rFonts w:ascii="Book Antiqua" w:hAnsi="Book Antiqua" w:eastAsia="Book Antiqua" w:cs="Book Antiqua"/>
          <w:color w:val="000000" w:themeColor="text1"/>
          <w14:textFill>
            <w14:solidFill>
              <w14:schemeClr w14:val="tx1"/>
            </w14:solidFill>
          </w14:textFill>
        </w:rPr>
        <w:t>. Theta relative power, (which is expressed as the percentage of theta band power to all other bands), is higher in AD than in MCI and higher in MCI than in healthy controls and is associated with worsening performance across all cognitive domains</w:t>
      </w:r>
      <w:r>
        <w:rPr>
          <w:rFonts w:ascii="Book Antiqua" w:hAnsi="Book Antiqua" w:eastAsia="Book Antiqua" w:cs="Book Antiqua"/>
          <w:color w:val="000000" w:themeColor="text1"/>
          <w:vertAlign w:val="superscript"/>
          <w14:textFill>
            <w14:solidFill>
              <w14:schemeClr w14:val="tx1"/>
            </w14:solidFill>
          </w14:textFill>
        </w:rPr>
        <w:t>[39]</w:t>
      </w:r>
      <w:r>
        <w:rPr>
          <w:rFonts w:ascii="Book Antiqua" w:hAnsi="Book Antiqua" w:eastAsia="Book Antiqua" w:cs="Book Antiqua"/>
          <w:color w:val="000000" w:themeColor="text1"/>
          <w14:textFill>
            <w14:solidFill>
              <w14:schemeClr w14:val="tx1"/>
            </w14:solidFill>
          </w14:textFill>
        </w:rPr>
        <w:t>. alpha power is lower in AD than in MCI, and in MCI than in normal people</w:t>
      </w:r>
      <w:r>
        <w:rPr>
          <w:rFonts w:ascii="Book Antiqua" w:hAnsi="Book Antiqua" w:eastAsia="Book Antiqua" w:cs="Book Antiqua"/>
          <w:color w:val="000000" w:themeColor="text1"/>
          <w:vertAlign w:val="superscript"/>
          <w14:textFill>
            <w14:solidFill>
              <w14:schemeClr w14:val="tx1"/>
            </w14:solidFill>
          </w14:textFill>
        </w:rPr>
        <w:t>[40]</w:t>
      </w:r>
      <w:r>
        <w:rPr>
          <w:rFonts w:ascii="Book Antiqua" w:hAnsi="Book Antiqua" w:eastAsia="Book Antiqua" w:cs="Book Antiqua"/>
          <w:color w:val="000000" w:themeColor="text1"/>
          <w14:textFill>
            <w14:solidFill>
              <w14:schemeClr w14:val="tx1"/>
            </w14:solidFill>
          </w14:textFill>
        </w:rPr>
        <w:t>. There is a correlation between the decline in alpha activity and the severity of the illness and the cognitive abnormalities</w:t>
      </w:r>
      <w:r>
        <w:rPr>
          <w:rFonts w:ascii="Book Antiqua" w:hAnsi="Book Antiqua" w:eastAsia="Book Antiqua" w:cs="Book Antiqua"/>
          <w:color w:val="000000" w:themeColor="text1"/>
          <w:vertAlign w:val="superscript"/>
          <w14:textFill>
            <w14:solidFill>
              <w14:schemeClr w14:val="tx1"/>
            </w14:solidFill>
          </w14:textFill>
        </w:rPr>
        <w:t>[40]</w:t>
      </w:r>
      <w:r>
        <w:rPr>
          <w:rFonts w:ascii="Book Antiqua" w:hAnsi="Book Antiqua" w:eastAsia="Book Antiqua" w:cs="Book Antiqua"/>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In addition to spectrum features, EEG also has synchronization features. EEG synchronization also describes how various brain oscillations are adjusted. When two distinct signals lock in phase, become phase-amplitude coupling, or modulate their amplitudes simultaneously (amplitude-amplitude coupling), they are said to be coupled</w:t>
      </w:r>
      <w:r>
        <w:rPr>
          <w:rFonts w:ascii="Book Antiqua" w:hAnsi="Book Antiqua" w:eastAsia="Book Antiqua" w:cs="Book Antiqua"/>
          <w:color w:val="000000" w:themeColor="text1"/>
          <w:vertAlign w:val="superscript"/>
          <w14:textFill>
            <w14:solidFill>
              <w14:schemeClr w14:val="tx1"/>
            </w14:solidFill>
          </w14:textFill>
        </w:rPr>
        <w:t>[41]</w:t>
      </w:r>
      <w:r>
        <w:rPr>
          <w:rFonts w:ascii="Book Antiqua" w:hAnsi="Book Antiqua" w:eastAsia="Book Antiqua" w:cs="Book Antiqua"/>
          <w:color w:val="000000" w:themeColor="text1"/>
          <w14:textFill>
            <w14:solidFill>
              <w14:schemeClr w14:val="tx1"/>
            </w14:solidFill>
          </w14:textFill>
        </w:rPr>
        <w:t>. One of these is spectral coherence measurement, which measures the spectral covariance of activity between two electrode locations. When compared to healthy controls, EEG coherence in AD participants exhibited statistically significant changes</w:t>
      </w:r>
      <w:r>
        <w:rPr>
          <w:rFonts w:ascii="Book Antiqua" w:hAnsi="Book Antiqua" w:eastAsia="Book Antiqua" w:cs="Book Antiqua"/>
          <w:color w:val="000000" w:themeColor="text1"/>
          <w:vertAlign w:val="superscript"/>
          <w14:textFill>
            <w14:solidFill>
              <w14:schemeClr w14:val="tx1"/>
            </w14:solidFill>
          </w14:textFill>
        </w:rPr>
        <w:t>[42-44]</w:t>
      </w:r>
      <w:r>
        <w:rPr>
          <w:rFonts w:ascii="Book Antiqua" w:hAnsi="Book Antiqua" w:eastAsia="Book Antiqua" w:cs="Book Antiqua"/>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Alpha wave coherence in the temporo-parieto-occipital regions decreased in AD patients, although delta wave coherence between the frontal and posterior regions increased</w:t>
      </w:r>
      <w:r>
        <w:rPr>
          <w:rFonts w:ascii="Book Antiqua" w:hAnsi="Book Antiqua" w:eastAsia="Book Antiqua" w:cs="Book Antiqua"/>
          <w:color w:val="000000" w:themeColor="text1"/>
          <w:vertAlign w:val="superscript"/>
          <w14:textFill>
            <w14:solidFill>
              <w14:schemeClr w14:val="tx1"/>
            </w14:solidFill>
          </w14:textFill>
        </w:rPr>
        <w:t>[45]</w:t>
      </w:r>
      <w:r>
        <w:rPr>
          <w:rFonts w:ascii="Book Antiqua" w:hAnsi="Book Antiqua" w:eastAsia="Book Antiqua" w:cs="Book Antiqua"/>
          <w:color w:val="000000" w:themeColor="text1"/>
          <w14:textFill>
            <w14:solidFill>
              <w14:schemeClr w14:val="tx1"/>
            </w14:solidFill>
          </w14:textFill>
        </w:rPr>
        <w:t>. Considering the previously mentioned theory that basal forebrain neurons are severely impaired, all EEG characteristics associated with AD, such as changes in frequency patterns and synchrony measurements, may be caused by the loss of neurons, altered anatomical structure of the neuronal tracts, as well as altered release of neurotransmitters, all of which lead to impairments in neural activity</w:t>
      </w:r>
      <w:r>
        <w:rPr>
          <w:rFonts w:ascii="Book Antiqua" w:hAnsi="Book Antiqua" w:eastAsia="Book Antiqua" w:cs="Book Antiqua"/>
          <w:color w:val="000000" w:themeColor="text1"/>
          <w:vertAlign w:val="superscript"/>
          <w14:textFill>
            <w14:solidFill>
              <w14:schemeClr w14:val="tx1"/>
            </w14:solidFill>
          </w14:textFill>
        </w:rPr>
        <w:t>[44]</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eastAsiaTheme="minorHAnsi"/>
          <w:b/>
          <w:bCs/>
          <w:i/>
          <w:iCs/>
          <w:color w:val="000000" w:themeColor="text1"/>
          <w14:textFill>
            <w14:solidFill>
              <w14:schemeClr w14:val="tx1"/>
            </w14:solidFill>
          </w14:textFill>
        </w:rPr>
      </w:pPr>
      <w:r>
        <w:rPr>
          <w:rFonts w:ascii="Book Antiqua" w:hAnsi="Book Antiqua" w:eastAsiaTheme="minorHAnsi"/>
          <w:b/>
          <w:bCs/>
          <w:i/>
          <w:iCs/>
          <w:color w:val="000000" w:themeColor="text1"/>
          <w14:textFill>
            <w14:solidFill>
              <w14:schemeClr w14:val="tx1"/>
            </w14:solidFill>
          </w14:textFill>
        </w:rPr>
        <w:t>Highlighted points of view</w:t>
      </w:r>
    </w:p>
    <w:p>
      <w:pPr>
        <w:spacing w:line="360" w:lineRule="auto"/>
        <w:jc w:val="both"/>
        <w:rPr>
          <w:rFonts w:ascii="Book Antiqua" w:hAnsi="Book Antiqua" w:eastAsiaTheme="minorHAnsi"/>
          <w:color w:val="000000" w:themeColor="text1"/>
          <w14:textFill>
            <w14:solidFill>
              <w14:schemeClr w14:val="tx1"/>
            </w14:solidFill>
          </w14:textFill>
        </w:rPr>
      </w:pPr>
      <w:r>
        <w:rPr>
          <w:rFonts w:ascii="Book Antiqua" w:hAnsi="Book Antiqua" w:eastAsiaTheme="minorHAnsi"/>
          <w:color w:val="000000" w:themeColor="text1"/>
          <w14:textFill>
            <w14:solidFill>
              <w14:schemeClr w14:val="tx1"/>
            </w14:solidFill>
          </w14:textFill>
        </w:rPr>
        <w:t>Neurological disorders are extremely complicated with an influential impact on the whole society including the patients’ family and close friends. Therefore, the educational packages are required to create the cooperative surrounded living atmosphere between the patients, family and the friend.</w:t>
      </w:r>
    </w:p>
    <w:p>
      <w:pPr>
        <w:spacing w:line="360" w:lineRule="auto"/>
        <w:ind w:firstLine="480" w:firstLineChars="200"/>
        <w:jc w:val="both"/>
        <w:rPr>
          <w:rFonts w:ascii="Book Antiqua" w:hAnsi="Book Antiqua" w:eastAsiaTheme="minorHAnsi"/>
          <w:color w:val="000000" w:themeColor="text1"/>
          <w14:textFill>
            <w14:solidFill>
              <w14:schemeClr w14:val="tx1"/>
            </w14:solidFill>
          </w14:textFill>
        </w:rPr>
      </w:pPr>
      <w:r>
        <w:rPr>
          <w:rFonts w:ascii="Book Antiqua" w:hAnsi="Book Antiqua" w:eastAsiaTheme="minorHAnsi"/>
          <w:color w:val="000000" w:themeColor="text1"/>
          <w14:textFill>
            <w14:solidFill>
              <w14:schemeClr w14:val="tx1"/>
            </w14:solidFill>
          </w14:textFill>
        </w:rPr>
        <w:t xml:space="preserve">Regarding the muti-dimentional approach of the neurological disorders, including AD, the following facts and directive points of view in the recent review article provided by </w:t>
      </w:r>
      <w:r>
        <w:fldChar w:fldCharType="begin"/>
      </w:r>
      <w:r>
        <w:instrText xml:space="preserve"> HYPERLINK "https://pubmed.ncbi.nlm.nih.gov/?term=Tanaka+M&amp;cauthor_id=35805990" </w:instrText>
      </w:r>
      <w:r>
        <w:fldChar w:fldCharType="separate"/>
      </w:r>
      <w:r>
        <w:rPr>
          <w:rFonts w:ascii="Book Antiqua" w:hAnsi="Book Antiqua" w:eastAsia="Times New Roman" w:cstheme="minorHAnsi"/>
          <w:color w:val="000000" w:themeColor="text1"/>
          <w14:textFill>
            <w14:solidFill>
              <w14:schemeClr w14:val="tx1"/>
            </w14:solidFill>
          </w14:textFill>
        </w:rPr>
        <w:t>Tanaka</w:t>
      </w:r>
      <w:r>
        <w:rPr>
          <w:rFonts w:ascii="Book Antiqua" w:hAnsi="Book Antiqua" w:eastAsia="Times New Roman" w:cstheme="minorHAnsi"/>
          <w:color w:val="000000" w:themeColor="text1"/>
          <w14:textFill>
            <w14:solidFill>
              <w14:schemeClr w14:val="tx1"/>
            </w14:solidFill>
          </w14:textFill>
        </w:rPr>
        <w:fldChar w:fldCharType="end"/>
      </w:r>
      <w:r>
        <w:rPr>
          <w:rFonts w:ascii="Book Antiqua" w:hAnsi="Book Antiqua" w:eastAsia="Times New Roman" w:cstheme="minorHAnsi"/>
          <w:color w:val="000000" w:themeColor="text1"/>
          <w14:textFill>
            <w14:solidFill>
              <w14:schemeClr w14:val="tx1"/>
            </w14:solidFill>
          </w14:textFill>
        </w:rPr>
        <w:t xml:space="preserve"> and Vécsei</w:t>
      </w:r>
      <w:r>
        <w:rPr>
          <w:rFonts w:ascii="Book Antiqua" w:hAnsi="Book Antiqua" w:eastAsia="Times New Roman" w:cstheme="minorHAnsi"/>
          <w:color w:val="000000" w:themeColor="text1"/>
          <w:vertAlign w:val="superscript"/>
          <w14:textFill>
            <w14:solidFill>
              <w14:schemeClr w14:val="tx1"/>
            </w14:solidFill>
          </w14:textFill>
        </w:rPr>
        <w:t>[46]</w:t>
      </w:r>
      <w:r>
        <w:rPr>
          <w:rFonts w:ascii="Book Antiqua" w:hAnsi="Book Antiqua" w:eastAsia="Times New Roman" w:cstheme="minorHAnsi"/>
          <w:color w:val="000000" w:themeColor="text1"/>
          <w:kern w:val="36"/>
          <w14:textFill>
            <w14:solidFill>
              <w14:schemeClr w14:val="tx1"/>
            </w14:solidFill>
          </w14:textFill>
        </w:rPr>
        <w:t>:</w:t>
      </w:r>
      <w:r>
        <w:rPr>
          <w:rFonts w:ascii="Book Antiqua" w:hAnsi="Book Antiqua" w:eastAsia="宋体" w:cs="宋体"/>
          <w:color w:val="000000" w:themeColor="text1"/>
          <w:kern w:val="36"/>
          <w:lang w:eastAsia="zh-CN"/>
          <w14:textFill>
            <w14:solidFill>
              <w14:schemeClr w14:val="tx1"/>
            </w14:solidFill>
          </w14:textFill>
        </w:rPr>
        <w:t xml:space="preserve"> </w:t>
      </w:r>
      <w:r>
        <w:rPr>
          <w:rFonts w:ascii="Book Antiqua" w:hAnsi="Book Antiqua" w:eastAsiaTheme="minorHAnsi" w:cstheme="minorHAnsi"/>
          <w:color w:val="000000" w:themeColor="text1"/>
          <w14:textFill>
            <w14:solidFill>
              <w14:schemeClr w14:val="tx1"/>
            </w14:solidFill>
          </w14:textFill>
        </w:rPr>
        <w:t>Differentiating the “neuroprotective and neurodegenerative modules of neurological and neuropsychiatric diseases”, highlighting the etiology, available techniques, diagnostic and therapeutic approaches of neurodegenerative diseases.</w:t>
      </w:r>
    </w:p>
    <w:p>
      <w:pPr>
        <w:shd w:val="clear" w:color="auto" w:fill="FFFFFF"/>
        <w:spacing w:line="360" w:lineRule="auto"/>
        <w:ind w:firstLine="480" w:firstLineChars="200"/>
        <w:jc w:val="both"/>
        <w:rPr>
          <w:rFonts w:ascii="Book Antiqua" w:hAnsi="Book Antiqua" w:eastAsia="Times New Roman" w:cs="Arial"/>
          <w:color w:val="000000" w:themeColor="text1"/>
          <w14:textFill>
            <w14:solidFill>
              <w14:schemeClr w14:val="tx1"/>
            </w14:solidFill>
          </w14:textFill>
        </w:rPr>
      </w:pPr>
      <w:r>
        <w:rPr>
          <w:rFonts w:ascii="Book Antiqua" w:hAnsi="Book Antiqua" w:eastAsia="Times New Roman" w:cs="Arial"/>
          <w:color w:val="000000" w:themeColor="text1"/>
          <w14:textFill>
            <w14:solidFill>
              <w14:schemeClr w14:val="tx1"/>
            </w14:solidFill>
          </w14:textFill>
        </w:rPr>
        <w:t xml:space="preserve">As the whole, neural engagements can be stabilized by the” neuroplasticity” which is characterized by: (1) The nervous system capabilities to convert other components; (2) </w:t>
      </w:r>
      <w:r>
        <w:rPr>
          <w:rFonts w:hint="eastAsia" w:ascii="Book Antiqua" w:hAnsi="Book Antiqua" w:eastAsia="宋体" w:cs="Arial"/>
          <w:color w:val="000000" w:themeColor="text1"/>
          <w:lang w:eastAsia="zh-CN"/>
          <w14:textFill>
            <w14:solidFill>
              <w14:schemeClr w14:val="tx1"/>
            </w14:solidFill>
          </w14:textFill>
        </w:rPr>
        <w:t>b</w:t>
      </w:r>
      <w:r>
        <w:rPr>
          <w:rFonts w:ascii="Book Antiqua" w:hAnsi="Book Antiqua" w:eastAsia="Times New Roman" w:cs="Arial"/>
          <w:color w:val="000000" w:themeColor="text1"/>
          <w14:textFill>
            <w14:solidFill>
              <w14:schemeClr w14:val="tx1"/>
            </w14:solidFill>
          </w14:textFill>
        </w:rPr>
        <w:t xml:space="preserve">ased on the status of functions, structural format, and constructive ability; and (3) </w:t>
      </w:r>
      <w:r>
        <w:rPr>
          <w:rFonts w:hint="eastAsia" w:ascii="Book Antiqua" w:hAnsi="Book Antiqua" w:cs="Arial"/>
          <w:color w:val="000000" w:themeColor="text1"/>
          <w:lang w:eastAsia="zh-CN"/>
          <w14:textFill>
            <w14:solidFill>
              <w14:schemeClr w14:val="tx1"/>
            </w14:solidFill>
          </w14:textFill>
        </w:rPr>
        <w:t>b</w:t>
      </w:r>
      <w:r>
        <w:rPr>
          <w:rFonts w:ascii="Book Antiqua" w:hAnsi="Book Antiqua" w:eastAsia="Times New Roman" w:cs="Arial"/>
          <w:color w:val="000000" w:themeColor="text1"/>
          <w14:textFill>
            <w14:solidFill>
              <w14:schemeClr w14:val="tx1"/>
            </w14:solidFill>
          </w14:textFill>
        </w:rPr>
        <w:t>eing malleable, tolerated and adaptive against the non-desirable event and challenges</w:t>
      </w:r>
      <w:r>
        <w:rPr>
          <w:rFonts w:ascii="Book Antiqua" w:hAnsi="Book Antiqua" w:eastAsia="Times New Roman" w:cs="Arial"/>
          <w:color w:val="000000" w:themeColor="text1"/>
          <w:vertAlign w:val="superscript"/>
          <w14:textFill>
            <w14:solidFill>
              <w14:schemeClr w14:val="tx1"/>
            </w14:solidFill>
          </w14:textFill>
        </w:rPr>
        <w:t>[46]</w:t>
      </w:r>
      <w:r>
        <w:rPr>
          <w:rFonts w:ascii="Book Antiqua" w:hAnsi="Book Antiqua" w:eastAsia="Times New Roman" w:cs="Arial"/>
          <w:color w:val="000000" w:themeColor="text1"/>
          <w14:textFill>
            <w14:solidFill>
              <w14:schemeClr w14:val="tx1"/>
            </w14:solidFill>
          </w14:textFill>
        </w:rPr>
        <w:t>.</w:t>
      </w:r>
    </w:p>
    <w:p>
      <w:pPr>
        <w:shd w:val="clear" w:color="auto" w:fill="FFFFFF"/>
        <w:spacing w:line="360" w:lineRule="auto"/>
        <w:jc w:val="both"/>
        <w:rPr>
          <w:rStyle w:val="20"/>
          <w:rFonts w:ascii="Book Antiqua" w:hAnsi="Book Antiqua" w:cstheme="minorHAnsi"/>
          <w:b/>
          <w:bCs/>
          <w:color w:val="000000" w:themeColor="text1"/>
          <w:sz w:val="24"/>
          <w:szCs w:val="24"/>
          <w14:textFill>
            <w14:solidFill>
              <w14:schemeClr w14:val="tx1"/>
            </w14:solidFill>
          </w14:textFill>
        </w:rPr>
      </w:pPr>
    </w:p>
    <w:p>
      <w:pPr>
        <w:spacing w:line="360" w:lineRule="auto"/>
        <w:jc w:val="both"/>
        <w:rPr>
          <w:rFonts w:ascii="Book Antiqua" w:hAnsi="Book Antiqua" w:eastAsia="Times New Roman"/>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Brain EEG</w:t>
      </w:r>
    </w:p>
    <w:p>
      <w:pPr>
        <w:spacing w:line="360" w:lineRule="auto"/>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Regarding the traditional brain technology for AD- patients, and by focusing on the psychological disorders, the neuro-developmental aspects of the brain, have not been much unmasked. Indeed, EEG, as a globally trusted screening system, applied to measure the brain motion for a century. EEG affords the brain’s electrical motion and measure the electro cortical rhythms</w:t>
      </w:r>
      <w:r>
        <w:rPr>
          <w:rFonts w:ascii="Book Antiqua" w:hAnsi="Book Antiqua" w:eastAsia="Book Antiqua" w:cs="Book Antiqua"/>
          <w:color w:val="000000" w:themeColor="text1"/>
          <w:vertAlign w:val="superscript"/>
          <w14:textFill>
            <w14:solidFill>
              <w14:schemeClr w14:val="tx1"/>
            </w14:solidFill>
          </w14:textFill>
        </w:rPr>
        <w:t>[6,7,9,14]</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EEG reports are skillful in: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 xml:space="preserve">esting status; and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2) </w:t>
      </w:r>
      <w:r>
        <w:rPr>
          <w:rFonts w:hint="eastAsia"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losed eyes using a Delta</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med digital EEG acquisition system for 20 min. Scalp electrodes were adjusted according to “the modified International 10</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20 system plus 11 additional electrodes by 256 Hz sampling rate”. Thirty electrodes were positioned on the scalp include Fp1, Fp2, F7, F3, Fz, F4, F8, FT7, FC3, FC7, FC4, FT8, T3, C3, Cz, C4, T4, TP7, CP3, CPz, CP4, TP8, T5, P3, Pz, P4, T6, O1, Oz, and O2.</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Furthermore, by considering especial care about the patients affected with AD at preclinical zone, information including classification up to the diagnostic principles requires the complementary</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attention</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Ratio was calculated between different brain- channels to achieve the manner of motions between different channels at pre- and post-mediation with the LM. Therefore, the LM as a balancing and relaxing the neural targets mediated the Volunteers.</w:t>
      </w:r>
    </w:p>
    <w:p>
      <w:pPr>
        <w:spacing w:line="360" w:lineRule="auto"/>
        <w:jc w:val="both"/>
        <w:rPr>
          <w:rFonts w:ascii="Book Antiqua" w:hAnsi="Book Antiqua" w:eastAsia="Book Antiqua" w:cs="Book Antiqua"/>
          <w:b/>
          <w:bCs/>
          <w:color w:val="000000" w:themeColor="text1"/>
          <w14:textFill>
            <w14:solidFill>
              <w14:schemeClr w14:val="tx1"/>
            </w14:solidFill>
          </w14:textFill>
        </w:rPr>
      </w:pPr>
    </w:p>
    <w:p>
      <w:pPr>
        <w:spacing w:line="360" w:lineRule="auto"/>
        <w:jc w:val="both"/>
        <w:rPr>
          <w:rFonts w:ascii="Book Antiqua" w:hAnsi="Book Antiqua"/>
          <w:b/>
          <w:bCs/>
          <w:i/>
          <w:iCs/>
          <w:color w:val="000000" w:themeColor="text1"/>
          <w:lang w:eastAsia="zh-CN"/>
          <w14:textFill>
            <w14:solidFill>
              <w14:schemeClr w14:val="tx1"/>
            </w14:solidFill>
          </w14:textFill>
        </w:rPr>
      </w:pPr>
      <w:r>
        <w:rPr>
          <w:rFonts w:ascii="Book Antiqua" w:hAnsi="Book Antiqua" w:eastAsia="Times New Roman" w:cs="Arial"/>
          <w:b/>
          <w:i/>
          <w:color w:val="000000" w:themeColor="text1"/>
          <w14:textFill>
            <w14:solidFill>
              <w14:schemeClr w14:val="tx1"/>
            </w14:solidFill>
          </w14:textFill>
        </w:rPr>
        <w:t xml:space="preserve">Complementary </w:t>
      </w:r>
      <w:r>
        <w:rPr>
          <w:rFonts w:ascii="Book Antiqua" w:hAnsi="Book Antiqua"/>
          <w:b/>
          <w:bCs/>
          <w:i/>
          <w:iCs/>
          <w:color w:val="000000" w:themeColor="text1"/>
          <w:lang w:eastAsia="zh-CN"/>
          <w14:textFill>
            <w14:solidFill>
              <w14:schemeClr w14:val="tx1"/>
            </w14:solidFill>
          </w14:textFill>
        </w:rPr>
        <w:t>notes</w:t>
      </w:r>
      <w:r>
        <w:rPr>
          <w:rFonts w:ascii="Book Antiqua" w:hAnsi="Book Antiqua" w:eastAsiaTheme="minorHAnsi"/>
          <w:b/>
          <w:bCs/>
          <w:i/>
          <w:iCs/>
          <w:color w:val="000000" w:themeColor="text1"/>
          <w14:textFill>
            <w14:solidFill>
              <w14:schemeClr w14:val="tx1"/>
            </w14:solidFill>
          </w14:textFill>
        </w:rPr>
        <w:t xml:space="preserve">, </w:t>
      </w:r>
      <w:r>
        <w:rPr>
          <w:rFonts w:ascii="Book Antiqua" w:hAnsi="Book Antiqua" w:eastAsia="Times New Roman" w:cs="Arial"/>
          <w:b/>
          <w:i/>
          <w:color w:val="000000" w:themeColor="text1"/>
          <w14:textFill>
            <w14:solidFill>
              <w14:schemeClr w14:val="tx1"/>
            </w14:solidFill>
          </w14:textFill>
        </w:rPr>
        <w:t>challenges</w:t>
      </w:r>
      <w:r>
        <w:rPr>
          <w:rFonts w:ascii="Book Antiqua" w:hAnsi="Book Antiqua" w:eastAsiaTheme="minorHAnsi"/>
          <w:b/>
          <w:bCs/>
          <w:i/>
          <w:iCs/>
          <w:color w:val="000000" w:themeColor="text1"/>
          <w14:textFill>
            <w14:solidFill>
              <w14:schemeClr w14:val="tx1"/>
            </w14:solidFill>
          </w14:textFill>
        </w:rPr>
        <w:t xml:space="preserve"> </w:t>
      </w:r>
      <w:r>
        <w:rPr>
          <w:rFonts w:ascii="Book Antiqua" w:hAnsi="Book Antiqua"/>
          <w:b/>
          <w:bCs/>
          <w:i/>
          <w:iCs/>
          <w:color w:val="000000" w:themeColor="text1"/>
          <w:lang w:eastAsia="zh-CN"/>
          <w14:textFill>
            <w14:solidFill>
              <w14:schemeClr w14:val="tx1"/>
            </w14:solidFill>
          </w14:textFill>
        </w:rPr>
        <w:t>and</w:t>
      </w:r>
      <w:r>
        <w:rPr>
          <w:rFonts w:ascii="Book Antiqua" w:hAnsi="Book Antiqua" w:eastAsiaTheme="minorHAnsi"/>
          <w:b/>
          <w:bCs/>
          <w:i/>
          <w:iCs/>
          <w:color w:val="000000" w:themeColor="text1"/>
          <w14:textFill>
            <w14:solidFill>
              <w14:schemeClr w14:val="tx1"/>
            </w14:solidFill>
          </w14:textFill>
        </w:rPr>
        <w:t xml:space="preserve"> </w:t>
      </w:r>
      <w:r>
        <w:rPr>
          <w:rFonts w:ascii="Book Antiqua" w:hAnsi="Book Antiqua"/>
          <w:b/>
          <w:bCs/>
          <w:i/>
          <w:iCs/>
          <w:color w:val="000000" w:themeColor="text1"/>
          <w:lang w:eastAsia="zh-CN"/>
          <w14:textFill>
            <w14:solidFill>
              <w14:schemeClr w14:val="tx1"/>
            </w14:solidFill>
          </w14:textFill>
        </w:rPr>
        <w:t>highlights</w:t>
      </w:r>
      <w:r>
        <w:rPr>
          <w:rFonts w:ascii="Book Antiqua" w:hAnsi="Book Antiqua" w:eastAsiaTheme="minorHAnsi"/>
          <w:b/>
          <w:bCs/>
          <w:i/>
          <w:iCs/>
          <w:color w:val="000000" w:themeColor="text1"/>
          <w14:textFill>
            <w14:solidFill>
              <w14:schemeClr w14:val="tx1"/>
            </w14:solidFill>
          </w14:textFill>
        </w:rPr>
        <w:t xml:space="preserve"> </w:t>
      </w:r>
      <w:r>
        <w:rPr>
          <w:rFonts w:ascii="Book Antiqua" w:hAnsi="Book Antiqua"/>
          <w:b/>
          <w:bCs/>
          <w:i/>
          <w:iCs/>
          <w:color w:val="000000" w:themeColor="text1"/>
          <w:lang w:eastAsia="zh-CN"/>
          <w14:textFill>
            <w14:solidFill>
              <w14:schemeClr w14:val="tx1"/>
            </w14:solidFill>
          </w14:textFill>
        </w:rPr>
        <w:t>on</w:t>
      </w:r>
      <w:r>
        <w:rPr>
          <w:rFonts w:ascii="Book Antiqua" w:hAnsi="Book Antiqua" w:eastAsiaTheme="minorHAnsi"/>
          <w:b/>
          <w:bCs/>
          <w:i/>
          <w:iCs/>
          <w:color w:val="000000" w:themeColor="text1"/>
          <w14:textFill>
            <w14:solidFill>
              <w14:schemeClr w14:val="tx1"/>
            </w14:solidFill>
          </w14:textFill>
        </w:rPr>
        <w:t xml:space="preserve"> EEG </w:t>
      </w:r>
      <w:r>
        <w:rPr>
          <w:rFonts w:ascii="Book Antiqua" w:hAnsi="Book Antiqua"/>
          <w:b/>
          <w:bCs/>
          <w:i/>
          <w:iCs/>
          <w:color w:val="000000" w:themeColor="text1"/>
          <w:lang w:eastAsia="zh-CN"/>
          <w14:textFill>
            <w14:solidFill>
              <w14:schemeClr w14:val="tx1"/>
            </w14:solidFill>
          </w14:textFill>
        </w:rPr>
        <w:t>in</w:t>
      </w:r>
      <w:r>
        <w:rPr>
          <w:rFonts w:ascii="Book Antiqua" w:hAnsi="Book Antiqua" w:eastAsiaTheme="minorHAnsi"/>
          <w:b/>
          <w:bCs/>
          <w:i/>
          <w:iCs/>
          <w:color w:val="000000" w:themeColor="text1"/>
          <w14:textFill>
            <w14:solidFill>
              <w14:schemeClr w14:val="tx1"/>
            </w14:solidFill>
          </w14:textFill>
        </w:rPr>
        <w:t xml:space="preserve"> </w:t>
      </w:r>
      <w:r>
        <w:rPr>
          <w:rFonts w:ascii="Book Antiqua" w:hAnsi="Book Antiqua"/>
          <w:b/>
          <w:bCs/>
          <w:i/>
          <w:iCs/>
          <w:color w:val="000000" w:themeColor="text1"/>
          <w:lang w:eastAsia="zh-CN"/>
          <w14:textFill>
            <w14:solidFill>
              <w14:schemeClr w14:val="tx1"/>
            </w14:solidFill>
          </w14:textFill>
        </w:rPr>
        <w:t>brain</w:t>
      </w:r>
      <w:r>
        <w:rPr>
          <w:rFonts w:ascii="Book Antiqua" w:hAnsi="Book Antiqua" w:eastAsiaTheme="minorHAnsi"/>
          <w:b/>
          <w:bCs/>
          <w:i/>
          <w:iCs/>
          <w:color w:val="000000" w:themeColor="text1"/>
          <w14:textFill>
            <w14:solidFill>
              <w14:schemeClr w14:val="tx1"/>
            </w14:solidFill>
          </w14:textFill>
        </w:rPr>
        <w:t>: F</w:t>
      </w:r>
      <w:r>
        <w:rPr>
          <w:rFonts w:ascii="Book Antiqua" w:hAnsi="Book Antiqua"/>
          <w:b/>
          <w:bCs/>
          <w:i/>
          <w:iCs/>
          <w:color w:val="000000" w:themeColor="text1"/>
          <w:lang w:eastAsia="zh-CN"/>
          <w14:textFill>
            <w14:solidFill>
              <w14:schemeClr w14:val="tx1"/>
            </w14:solidFill>
          </w14:textFill>
        </w:rPr>
        <w:t>ocusing</w:t>
      </w:r>
      <w:r>
        <w:rPr>
          <w:rFonts w:ascii="Book Antiqua" w:hAnsi="Book Antiqua" w:eastAsiaTheme="minorHAnsi"/>
          <w:b/>
          <w:bCs/>
          <w:i/>
          <w:iCs/>
          <w:color w:val="000000" w:themeColor="text1"/>
          <w14:textFill>
            <w14:solidFill>
              <w14:schemeClr w14:val="tx1"/>
            </w14:solidFill>
          </w14:textFill>
        </w:rPr>
        <w:t xml:space="preserve"> </w:t>
      </w:r>
      <w:r>
        <w:rPr>
          <w:rFonts w:ascii="Book Antiqua" w:hAnsi="Book Antiqua"/>
          <w:b/>
          <w:bCs/>
          <w:i/>
          <w:iCs/>
          <w:color w:val="000000" w:themeColor="text1"/>
          <w:lang w:eastAsia="zh-CN"/>
          <w14:textFill>
            <w14:solidFill>
              <w14:schemeClr w14:val="tx1"/>
            </w14:solidFill>
          </w14:textFill>
        </w:rPr>
        <w:t>on</w:t>
      </w:r>
      <w:r>
        <w:rPr>
          <w:rFonts w:ascii="Book Antiqua" w:hAnsi="Book Antiqua" w:eastAsiaTheme="minorHAnsi"/>
          <w:b/>
          <w:bCs/>
          <w:i/>
          <w:iCs/>
          <w:color w:val="000000" w:themeColor="text1"/>
          <w14:textFill>
            <w14:solidFill>
              <w14:schemeClr w14:val="tx1"/>
            </w14:solidFill>
          </w14:textFill>
        </w:rPr>
        <w:t xml:space="preserve"> </w:t>
      </w:r>
      <w:r>
        <w:rPr>
          <w:rFonts w:ascii="Book Antiqua" w:hAnsi="Book Antiqua" w:cs="Book Antiqua"/>
          <w:b/>
          <w:i/>
          <w:color w:val="000000" w:themeColor="text1"/>
          <w:lang w:eastAsia="zh-CN"/>
          <w14:textFill>
            <w14:solidFill>
              <w14:schemeClr w14:val="tx1"/>
            </w14:solidFill>
          </w14:textFill>
        </w:rPr>
        <w:t>AD</w:t>
      </w:r>
    </w:p>
    <w:p>
      <w:pPr>
        <w:spacing w:line="360" w:lineRule="auto"/>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history and the benefit of EEG in research and clinics </w:t>
      </w:r>
      <w:r>
        <w:rPr>
          <w:rFonts w:ascii="Book Antiqua" w:hAnsi="Book Antiqua" w:cs="Book Antiqua"/>
          <w:color w:val="000000" w:themeColor="text1"/>
          <w:lang w:eastAsia="zh-CN"/>
          <w14:textFill>
            <w14:solidFill>
              <w14:schemeClr w14:val="tx1"/>
            </w14:solidFill>
          </w14:textFill>
        </w:rPr>
        <w:t>are</w:t>
      </w:r>
      <w:r>
        <w:rPr>
          <w:rFonts w:ascii="Book Antiqua" w:hAnsi="Book Antiqua" w:eastAsia="Book Antiqua" w:cs="Book Antiqua"/>
          <w:color w:val="000000" w:themeColor="text1"/>
          <w14:textFill>
            <w14:solidFill>
              <w14:schemeClr w14:val="tx1"/>
            </w14:solidFill>
          </w14:textFill>
        </w:rPr>
        <w:t xml:space="preserve">, approximately, related to the 120 years ago (since 1930s). However, the scientific knowledge lacks the course of evolution through the brain channels. Whatever the Scientists unmask, is required to reflect: (1) </w:t>
      </w:r>
      <w:r>
        <w:rPr>
          <w:rFonts w:ascii="Book Antiqua" w:hAnsi="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he initial/fundamental event(s) through the brain channels; (2) </w:t>
      </w:r>
      <w:r>
        <w:rPr>
          <w:rFonts w:hint="eastAsia" w:ascii="Book Antiqua" w:hAnsi="Book Antiqua"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riority of the events; (3) </w:t>
      </w:r>
      <w:r>
        <w:rPr>
          <w:rFonts w:hint="eastAsia" w:ascii="Book Antiqua" w:hAnsi="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 xml:space="preserve">he cascade manner of the alterations; (4) </w:t>
      </w:r>
      <w:r>
        <w:rPr>
          <w:rFonts w:hint="eastAsia" w:ascii="Book Antiqua" w:hAnsi="Book Antiqua" w:cs="Book Antiqua"/>
          <w:color w:val="000000" w:themeColor="text1"/>
          <w:lang w:eastAsia="zh-CN"/>
          <w14:textFill>
            <w14:solidFill>
              <w14:schemeClr w14:val="tx1"/>
            </w14:solidFill>
          </w14:textFill>
        </w:rPr>
        <w:t>i</w:t>
      </w:r>
      <w:r>
        <w:rPr>
          <w:rFonts w:ascii="Book Antiqua" w:hAnsi="Book Antiqua" w:eastAsia="Book Antiqua" w:cs="Book Antiqua"/>
          <w:color w:val="000000" w:themeColor="text1"/>
          <w14:textFill>
            <w14:solidFill>
              <w14:schemeClr w14:val="tx1"/>
            </w14:solidFill>
          </w14:textFill>
        </w:rPr>
        <w:t xml:space="preserve">nteraction between the channels; (5) </w:t>
      </w:r>
      <w:r>
        <w:rPr>
          <w:rFonts w:hint="eastAsia"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tability of the alteration(s); (6) </w:t>
      </w:r>
      <w:r>
        <w:rPr>
          <w:rFonts w:hint="eastAsia" w:ascii="Book Antiqua" w:hAnsi="Book Antiqua" w:cs="Book Antiqua"/>
          <w:color w:val="000000" w:themeColor="text1"/>
          <w:lang w:eastAsia="zh-CN"/>
          <w14:textFill>
            <w14:solidFill>
              <w14:schemeClr w14:val="tx1"/>
            </w14:solidFill>
          </w14:textFill>
        </w:rPr>
        <w:t>u</w:t>
      </w:r>
      <w:r>
        <w:rPr>
          <w:rFonts w:ascii="Book Antiqua" w:hAnsi="Book Antiqua" w:eastAsia="Book Antiqua" w:cs="Book Antiqua"/>
          <w:color w:val="000000" w:themeColor="text1"/>
          <w14:textFill>
            <w14:solidFill>
              <w14:schemeClr w14:val="tx1"/>
            </w14:solidFill>
          </w14:textFill>
        </w:rPr>
        <w:t xml:space="preserve">nmasking the resting state of EEG; and </w:t>
      </w:r>
      <w:r>
        <w:rPr>
          <w:rFonts w:hint="eastAsia" w:ascii="Book Antiqua" w:hAnsi="Book Antiqua" w:cs="Book Antiqua"/>
          <w:color w:val="000000" w:themeColor="text1"/>
          <w:lang w:eastAsia="zh-CN"/>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cs="Book Antiqua"/>
          <w:color w:val="000000" w:themeColor="text1"/>
          <w:lang w:eastAsia="zh-CN"/>
          <w14:textFill>
            <w14:solidFill>
              <w14:schemeClr w14:val="tx1"/>
            </w14:solidFill>
          </w14:textFill>
        </w:rPr>
        <w:t xml:space="preserve"> u</w:t>
      </w:r>
      <w:r>
        <w:rPr>
          <w:rFonts w:ascii="Book Antiqua" w:hAnsi="Book Antiqua" w:eastAsia="Book Antiqua" w:cs="Book Antiqua"/>
          <w:color w:val="000000" w:themeColor="text1"/>
          <w14:textFill>
            <w14:solidFill>
              <w14:schemeClr w14:val="tx1"/>
            </w14:solidFill>
          </w14:textFill>
        </w:rPr>
        <w:t>nveiling the course of evolution in the human brain channels.</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function and role of Broadman’s areas including 64 channels of EEG are directive to unmask the complementary/paralleled function of the brain territory. However, the interaction between the channels requires to be personalized and classified. Any kind of mediation may increase or decrease the activity of alpha and gamma waves, respectively, and affect the brain metabolism and anxiety.</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Mediation by </w:t>
      </w:r>
      <w:r>
        <w:rPr>
          <w:rFonts w:ascii="Book Antiqua" w:hAnsi="Book Antiqua" w:cs="Book Antiqua"/>
          <w:color w:val="000000" w:themeColor="text1"/>
          <w:lang w:eastAsia="zh-CN"/>
          <w14:textFill>
            <w14:solidFill>
              <w14:schemeClr w14:val="tx1"/>
            </w14:solidFill>
          </w14:textFill>
        </w:rPr>
        <w:t>LM</w:t>
      </w:r>
      <w:r>
        <w:rPr>
          <w:rFonts w:ascii="Book Antiqua" w:hAnsi="Book Antiqua" w:eastAsia="Book Antiqua" w:cs="Book Antiqua"/>
          <w:color w:val="000000" w:themeColor="text1"/>
          <w14:textFill>
            <w14:solidFill>
              <w14:schemeClr w14:val="tx1"/>
            </w14:solidFill>
          </w14:textFill>
        </w:rPr>
        <w:t xml:space="preserve"> led us to provide a brain channel based and personalized model, and to unmask the nature of process through the brain channels, including a significant increase in Alpha and Beta bands at frontal, central and occipital lobes of the brain.</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Ratio between different brain channels unveil the diverse signal pattern at the pre- and post-mediation with the LM. </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As a question, whether any mechanism relies on an interactive system between the brain’s channels or not. So, 63 channels were investigated in 5 cases, at </w:t>
      </w:r>
      <w:r>
        <w:rPr>
          <w:rFonts w:ascii="Book Antiqua" w:hAnsi="Book Antiqua"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re- and post-mediation with LM.</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Based on the </w:t>
      </w:r>
      <w:r>
        <w:rPr>
          <w:rFonts w:ascii="Book Antiqua" w:hAnsi="Book Antiqua" w:eastAsia="Book Antiqua" w:cs="Book Antiqua"/>
          <w:i/>
          <w:iCs/>
          <w:color w:val="000000" w:themeColor="text1"/>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-test, a significant increased pattern in alpha wave- and decreased in gamma wave activity, and reduction in the brain metabolism and anxiety were observed in the candidates’ EEG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&lt; 0.05). As the result, a significant increase in Alpha and Beta bands of the frontal, central and occipital lobes of the brain were observed. The waves including </w:t>
      </w:r>
      <w:r>
        <w:rPr>
          <w:rFonts w:ascii="Book Antiqua" w:hAnsi="Book Antiqua" w:eastAsia="Book Antiqua" w:cs="Book Antiqua"/>
          <w:bCs/>
          <w:color w:val="000000" w:themeColor="text1"/>
          <w14:textFill>
            <w14:solidFill>
              <w14:schemeClr w14:val="tx1"/>
            </w14:solidFill>
          </w14:textFill>
        </w:rPr>
        <w:t>Alpha 1,2; Beta 1-3</w:t>
      </w:r>
      <w:r>
        <w:rPr>
          <w:rFonts w:ascii="Book Antiqua" w:hAnsi="Book Antiqua" w:eastAsia="Book Antiqua" w:cs="Book Antiqua"/>
          <w:color w:val="000000" w:themeColor="text1"/>
          <w14:textFill>
            <w14:solidFill>
              <w14:schemeClr w14:val="tx1"/>
            </w14:solidFill>
          </w14:textFill>
        </w:rPr>
        <w:t xml:space="preserve">, in both eye conditions, either open or close, the power is found between 1 to 1.6. Diversity is remarkable with close eyes than in open eyes condition. </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By considering the </w:t>
      </w:r>
      <w:r>
        <w:rPr>
          <w:rFonts w:hint="eastAsia" w:ascii="Book Antiqua" w:hAnsi="Book Antiqua"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ower </w:t>
      </w:r>
      <w:r>
        <w:rPr>
          <w:rFonts w:hint="eastAsia" w:ascii="Book Antiqua" w:hAnsi="Book Antiqua"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 xml:space="preserve">atio of brain signals, the post- </w:t>
      </w:r>
      <w:r>
        <w:rPr>
          <w:rFonts w:ascii="Book Antiqua" w:hAnsi="Book Antiqua" w:cs="Book Antiqua"/>
          <w:i/>
          <w:color w:val="000000" w:themeColor="text1"/>
          <w:lang w:eastAsia="zh-CN"/>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re-mediation of LM was explored in the candidates. The outcomes of mediation with LM commanded to significant escalation of the power of alpha band wave at Fz, F4, FC2 sites (frontal lobe), Cz (central lobe) and O1 (occipital lobe). The increased activity of Alpha waves in Centro-frontal regions represents </w:t>
      </w:r>
      <w:r>
        <w:rPr>
          <w:rFonts w:ascii="Book Antiqua" w:hAnsi="Book Antiqua" w:eastAsia="Book Antiqua" w:cs="Book Antiqua"/>
          <w:i/>
          <w:iCs/>
          <w:color w:val="000000" w:themeColor="text1"/>
          <w14:textFill>
            <w14:solidFill>
              <w14:schemeClr w14:val="tx1"/>
            </w14:solidFill>
          </w14:textFill>
        </w:rPr>
        <w:t>edited</w:t>
      </w:r>
      <w:r>
        <w:rPr>
          <w:rFonts w:ascii="Book Antiqua" w:hAnsi="Book Antiqua" w:eastAsia="Book Antiqua" w:cs="Book Antiqua"/>
          <w:color w:val="000000" w:themeColor="text1"/>
          <w14:textFill>
            <w14:solidFill>
              <w14:schemeClr w14:val="tx1"/>
            </w14:solidFill>
          </w14:textFill>
        </w:rPr>
        <w:t xml:space="preserve"> brain activity, metabolism, and reduced anxiety. Conclusively, the brain requires fewer properties for managing its cognitive task. Data of EEG revealed that the mediation, has significantly led to: (1) Increasing the Alpha and Beta bands of the frontal, central and occipital lobes of the brain; (2) </w:t>
      </w:r>
      <w:r>
        <w:rPr>
          <w:rFonts w:hint="eastAsia" w:ascii="Book Antiqua" w:hAnsi="Book Antiqua" w:eastAsia="宋体"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eduction of the brain metabolism and anxiety</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and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3) </w:t>
      </w:r>
      <w:r>
        <w:rPr>
          <w:rFonts w:hint="eastAsia" w:ascii="Book Antiqua" w:hAnsi="Book Antiqua" w:cs="Book Antiqua"/>
          <w:color w:val="000000" w:themeColor="text1"/>
          <w:lang w:eastAsia="zh-CN"/>
          <w14:textFill>
            <w14:solidFill>
              <w14:schemeClr w14:val="tx1"/>
            </w14:solidFill>
          </w14:textFill>
        </w:rPr>
        <w:t>d</w:t>
      </w:r>
      <w:r>
        <w:rPr>
          <w:rFonts w:ascii="Book Antiqua" w:hAnsi="Book Antiqua" w:eastAsia="Book Antiqua" w:cs="Book Antiqua"/>
          <w:color w:val="000000" w:themeColor="text1"/>
          <w14:textFill>
            <w14:solidFill>
              <w14:schemeClr w14:val="tx1"/>
            </w14:solidFill>
          </w14:textFill>
        </w:rPr>
        <w:t>eclining the activity of gamma wave in the EEG.</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Remarkable diverse pattern was observable between absolute pattern for Gamma 1 and 2 at open eye- (characterized with &lt; 1 absolute power) than close eye-condition (characterized with &gt; 1, ranging between 1-7).</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Status of the absolute power </w:t>
      </w:r>
      <w:r>
        <w:rPr>
          <w:rFonts w:ascii="Book Antiqua" w:hAnsi="Book Antiqua"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 xml:space="preserve">atio in all brain channels sounds as an Informative panel in the brain research and with possible translational impact on personalized classification in Medical Neurology. Exploring of the absolute power </w:t>
      </w:r>
      <w:r>
        <w:rPr>
          <w:rFonts w:ascii="Book Antiqua" w:hAnsi="Book Antiqua"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atio in all brain channels could be performed upon the physician’s authorization, at different periods of life, including childhood, adulthood and elderly, by issuing the ‘</w:t>
      </w:r>
      <w:r>
        <w:rPr>
          <w:rFonts w:ascii="Book Antiqua" w:hAnsi="Book Antiqua" w:eastAsia="Book Antiqua" w:cs="Book Antiqua"/>
          <w:i/>
          <w:iCs/>
          <w:color w:val="000000" w:themeColor="text1"/>
          <w14:textFill>
            <w14:solidFill>
              <w14:schemeClr w14:val="tx1"/>
            </w14:solidFill>
          </w14:textFill>
        </w:rPr>
        <w:t xml:space="preserve">Brain ID card’. </w:t>
      </w:r>
      <w:r>
        <w:rPr>
          <w:rFonts w:ascii="Book Antiqua" w:hAnsi="Book Antiqua" w:eastAsia="Book Antiqua" w:cs="Book Antiqua"/>
          <w:color w:val="000000" w:themeColor="text1"/>
          <w14:textFill>
            <w14:solidFill>
              <w14:schemeClr w14:val="tx1"/>
            </w14:solidFill>
          </w14:textFill>
        </w:rPr>
        <w:t xml:space="preserve">Such preliminary and three complementary ID-card pave the way towards tracing the course of </w:t>
      </w:r>
      <w:r>
        <w:rPr>
          <w:rFonts w:ascii="Book Antiqua" w:hAnsi="Book Antiqua" w:eastAsia="Book Antiqua" w:cs="Book Antiqua"/>
          <w:i/>
          <w:iCs/>
          <w:color w:val="000000" w:themeColor="text1"/>
          <w14:textFill>
            <w14:solidFill>
              <w14:schemeClr w14:val="tx1"/>
            </w14:solidFill>
          </w14:textFill>
        </w:rPr>
        <w:t>evolution</w:t>
      </w:r>
      <w:r>
        <w:rPr>
          <w:rFonts w:ascii="Book Antiqua" w:hAnsi="Book Antiqua" w:eastAsia="Book Antiqua" w:cs="Book Antiqua"/>
          <w:color w:val="000000" w:themeColor="text1"/>
          <w14:textFill>
            <w14:solidFill>
              <w14:schemeClr w14:val="tx1"/>
            </w14:solidFill>
          </w14:textFill>
        </w:rPr>
        <w:t xml:space="preserve"> at brain channels, and the probable connective pathways to the certain disorders. Such Information provides the 5xP package for any preventive, and/or the clinical recommendations to the target patients (Figures 10-1</w:t>
      </w:r>
      <w:r>
        <w:rPr>
          <w:rFonts w:hint="eastAsia" w:ascii="Book Antiqua" w:hAnsi="Book Antiqua" w:cs="Book Antiqua"/>
          <w:color w:val="000000" w:themeColor="text1"/>
          <w:lang w:eastAsia="zh-CN"/>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b/>
          <w:bCs/>
          <w:i/>
          <w:color w:val="000000" w:themeColor="text1"/>
          <w:lang w:eastAsia="zh-CN"/>
          <w14:textFill>
            <w14:solidFill>
              <w14:schemeClr w14:val="tx1"/>
            </w14:solidFill>
          </w14:textFill>
        </w:rPr>
      </w:pPr>
      <w:r>
        <w:rPr>
          <w:rFonts w:ascii="Book Antiqua" w:hAnsi="Book Antiqua"/>
          <w:b/>
          <w:bCs/>
          <w:i/>
          <w:color w:val="000000" w:themeColor="text1"/>
          <w14:textFill>
            <w14:solidFill>
              <w14:schemeClr w14:val="tx1"/>
            </w14:solidFill>
          </w14:textFill>
        </w:rPr>
        <w:t>Conclusively</w:t>
      </w:r>
    </w:p>
    <w:p>
      <w:pPr>
        <w:spacing w:line="360" w:lineRule="auto"/>
        <w:jc w:val="both"/>
        <w:rPr>
          <w:rFonts w:ascii="Book Antiqua" w:hAnsi="Book Antiqua"/>
          <w:bCs/>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provided Ratios are considered as the reliable indices for organizing the behavioral status of brain channels </w:t>
      </w:r>
      <w:r>
        <w:rPr>
          <w:rFonts w:ascii="Book Antiqua" w:hAnsi="Book Antiqua"/>
          <w:bCs/>
          <w:color w:val="000000" w:themeColor="text1"/>
          <w14:textFill>
            <w14:solidFill>
              <w14:schemeClr w14:val="tx1"/>
            </w14:solidFill>
          </w14:textFill>
        </w:rPr>
        <w:t>(Figures 10-</w:t>
      </w:r>
      <w:r>
        <w:rPr>
          <w:rFonts w:hint="eastAsia" w:ascii="Book Antiqua" w:hAnsi="Book Antiqua"/>
          <w:bCs/>
          <w:color w:val="000000" w:themeColor="text1"/>
          <w:lang w:eastAsia="zh-CN"/>
          <w14:textFill>
            <w14:solidFill>
              <w14:schemeClr w14:val="tx1"/>
            </w14:solidFill>
          </w14:textFill>
        </w:rPr>
        <w:t>13</w:t>
      </w:r>
      <w:r>
        <w:rPr>
          <w:rFonts w:ascii="Book Antiqua" w:hAnsi="Book Antiqua"/>
          <w:bCs/>
          <w:color w:val="000000" w:themeColor="text1"/>
          <w14:textFill>
            <w14:solidFill>
              <w14:schemeClr w14:val="tx1"/>
            </w14:solidFill>
          </w14:textFill>
        </w:rPr>
        <w:t>)</w:t>
      </w:r>
      <w:r>
        <w:rPr>
          <w:rFonts w:ascii="Book Antiqua" w:hAnsi="Book Antiqua"/>
          <w:bCs/>
          <w:color w:val="000000" w:themeColor="text1"/>
          <w:lang w:eastAsia="zh-CN"/>
          <w14:textFill>
            <w14:solidFill>
              <w14:schemeClr w14:val="tx1"/>
            </w14:solidFill>
          </w14:textFill>
        </w:rPr>
        <w:t xml:space="preserve"> to</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1) Guarantee an early detection;</w:t>
      </w:r>
      <w:r>
        <w:rPr>
          <w:rFonts w:ascii="Book Antiqua" w:hAnsi="Book Antiqua"/>
          <w:bCs/>
          <w:color w:val="000000" w:themeColor="text1"/>
          <w:lang w:eastAsia="zh-CN"/>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2) </w:t>
      </w:r>
      <w:r>
        <w:rPr>
          <w:rFonts w:hint="eastAsia" w:ascii="Book Antiqua" w:hAnsi="Book Antiqua" w:eastAsia="宋体" w:cs="Book Antiqua"/>
          <w:color w:val="000000" w:themeColor="text1"/>
          <w:lang w:eastAsia="zh-CN"/>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eing accompanied by performance of PE in the non-invasive tissues, including 2-3 m</w:t>
      </w:r>
      <w:r>
        <w:rPr>
          <w:rFonts w:ascii="Book Antiqua" w:hAnsi="Book Antiqua" w:cs="Book Antiqua"/>
          <w:color w:val="000000" w:themeColor="text1"/>
          <w:lang w:eastAsia="zh-CN"/>
          <w14:textFill>
            <w14:solidFill>
              <w14:schemeClr w14:val="tx1"/>
            </w14:solidFill>
          </w14:textFill>
        </w:rPr>
        <w:t>L</w:t>
      </w:r>
      <w:r>
        <w:rPr>
          <w:rFonts w:ascii="Book Antiqua" w:hAnsi="Book Antiqua" w:eastAsia="Book Antiqua" w:cs="Book Antiqua"/>
          <w:color w:val="000000" w:themeColor="text1"/>
          <w14:textFill>
            <w14:solidFill>
              <w14:schemeClr w14:val="tx1"/>
            </w14:solidFill>
          </w14:textFill>
        </w:rPr>
        <w:t xml:space="preserve"> peripheral blood, buccal smear and/or mucosa, nail, urine, stool, and/or through performing circulating cells from the target organs/tissues;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3) </w:t>
      </w:r>
      <w:r>
        <w:rPr>
          <w:rFonts w:hint="eastAsia"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onsidering as the personalized, predictive, preventive, and prognostic panel for the patient’s relatives within the pedigree; </w:t>
      </w:r>
      <w:r>
        <w:rPr>
          <w:rFonts w:ascii="Book Antiqua" w:hAnsi="Book Antiqua"/>
          <w:bCs/>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4</w:t>
      </w:r>
      <w:r>
        <w:rPr>
          <w:rFonts w:ascii="Book Antiqua" w:hAnsi="Book Antiqua"/>
          <w:bCs/>
          <w:color w:val="000000" w:themeColor="text1"/>
          <w14:textFill>
            <w14:solidFill>
              <w14:schemeClr w14:val="tx1"/>
            </w14:solidFill>
          </w14:textFill>
        </w:rPr>
        <w:t xml:space="preserve">) </w:t>
      </w:r>
      <w:r>
        <w:rPr>
          <w:rFonts w:hint="eastAsia" w:ascii="Book Antiqua" w:hAnsi="Book Antiqua"/>
          <w:bCs/>
          <w:color w:val="000000" w:themeColor="text1"/>
          <w:lang w:eastAsia="zh-CN"/>
          <w14:textFill>
            <w14:solidFill>
              <w14:schemeClr w14:val="tx1"/>
            </w14:solidFill>
          </w14:textFill>
        </w:rPr>
        <w:t>c</w:t>
      </w:r>
      <w:r>
        <w:rPr>
          <w:rFonts w:ascii="Book Antiqua" w:hAnsi="Book Antiqua"/>
          <w:bCs/>
          <w:color w:val="000000" w:themeColor="text1"/>
          <w14:textFill>
            <w14:solidFill>
              <w14:schemeClr w14:val="tx1"/>
            </w14:solidFill>
          </w14:textFill>
        </w:rPr>
        <w:t>ooperation between different channels with diverse interactive ratios lead to the balancing strategy for improving the life-quality and quantity of the patients with neurological disorders and an apparently normal individuals, by light nusic and any other safe, non-invasive and beneficial intervention(s)</w:t>
      </w:r>
      <w:r>
        <w:rPr>
          <w:rFonts w:ascii="Book Antiqua" w:hAnsi="Book Antiqua"/>
          <w:bCs/>
          <w:color w:val="000000" w:themeColor="text1"/>
          <w:lang w:eastAsia="zh-CN"/>
          <w14:textFill>
            <w14:solidFill>
              <w14:schemeClr w14:val="tx1"/>
            </w14:solidFill>
          </w14:textFill>
        </w:rPr>
        <w:t>;</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and (</w:t>
      </w:r>
      <w:r>
        <w:rPr>
          <w:rFonts w:ascii="Book Antiqua" w:hAnsi="Book Antiqua"/>
          <w:bCs/>
          <w:color w:val="000000" w:themeColor="text1"/>
          <w14:textFill>
            <w14:solidFill>
              <w14:schemeClr w14:val="tx1"/>
            </w14:solidFill>
          </w14:textFill>
        </w:rPr>
        <w:t xml:space="preserve">5) </w:t>
      </w:r>
      <w:r>
        <w:t>by considering</w:t>
      </w:r>
      <w:r>
        <w:rPr>
          <w:rFonts w:ascii="Book Antiqua" w:hAnsi="Book Antiqua"/>
          <w:bCs/>
          <w:color w:val="000000" w:themeColor="text1"/>
          <w14:textFill>
            <w14:solidFill>
              <w14:schemeClr w14:val="tx1"/>
            </w14:solidFill>
          </w14:textFill>
        </w:rPr>
        <w:t xml:space="preserve"> the provided hypothetic based data, heterogenic/diverse results presented the occurrence of evolutionary course within the brain channels. Multi-interaction between different channels, are suggested as the personalized and constructive markers with unlimited cooperation in health and disease. </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14:textFill>
            <w14:solidFill>
              <w14:schemeClr w14:val="tx1"/>
            </w14:solidFill>
          </w14:textFill>
        </w:rPr>
        <w:t>The influence of the</w:t>
      </w:r>
      <w:r>
        <w:rPr>
          <w:rFonts w:ascii="Book Antiqua" w:hAnsi="Book Antiqua"/>
          <w:b/>
          <w:b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light music on the brain channels reflected the diverse patterns in the absolute power ratio at pre- to post</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intervention (Figures 10-13)</w:t>
      </w:r>
      <w:r>
        <w:rPr>
          <w:rFonts w:hint="eastAsia" w:ascii="Book Antiqua" w:hAnsi="Book Antiqua"/>
          <w:color w:val="000000" w:themeColor="text1"/>
          <w:lang w:eastAsia="zh-CN"/>
          <w14:textFill>
            <w14:solidFill>
              <w14:schemeClr w14:val="tx1"/>
            </w14:solidFill>
          </w14:textFill>
        </w:rPr>
        <w:t>.</w:t>
      </w:r>
    </w:p>
    <w:p>
      <w:pPr>
        <w:spacing w:line="360" w:lineRule="auto"/>
        <w:jc w:val="both"/>
        <w:rPr>
          <w:rFonts w:ascii="Book Antiqua" w:hAnsi="Book Antiqua" w:eastAsia="Times New Roman"/>
          <w:color w:val="000000" w:themeColor="text1"/>
          <w:lang w:eastAsia="zh-CN"/>
          <w14:textFill>
            <w14:solidFill>
              <w14:schemeClr w14:val="tx1"/>
            </w14:solidFill>
          </w14:textFill>
        </w:rPr>
      </w:pPr>
    </w:p>
    <w:p>
      <w:pPr>
        <w:spacing w:line="360" w:lineRule="auto"/>
        <w:jc w:val="both"/>
        <w:rPr>
          <w:rFonts w:ascii="Book Antiqua" w:hAnsi="Book Antiqua" w:eastAsia="Times New Roman"/>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Power of</w:t>
      </w:r>
      <w:r>
        <w:rPr>
          <w:rFonts w:ascii="Book Antiqua" w:hAnsi="Book Antiqua" w:eastAsia="Book Antiqua" w:cs="Book Antiqua"/>
          <w:b/>
          <w:bCs/>
          <w:i/>
          <w:color w:val="000000" w:themeColor="text1"/>
          <w14:textFill>
            <w14:solidFill>
              <w14:schemeClr w14:val="tx1"/>
            </w14:solidFill>
          </w14:textFill>
        </w:rPr>
        <w:t xml:space="preserve"> </w:t>
      </w:r>
      <w:r>
        <w:rPr>
          <w:rFonts w:ascii="Book Antiqua" w:hAnsi="Book Antiqua" w:cs="Book Antiqua"/>
          <w:b/>
          <w:bCs/>
          <w:i/>
          <w:color w:val="000000" w:themeColor="text1"/>
          <w:lang w:eastAsia="zh-CN"/>
          <w14:textFill>
            <w14:solidFill>
              <w14:schemeClr w14:val="tx1"/>
            </w14:solidFill>
          </w14:textFill>
        </w:rPr>
        <w:t>the</w:t>
      </w:r>
      <w:r>
        <w:rPr>
          <w:rFonts w:ascii="Book Antiqua" w:hAnsi="Book Antiqua" w:eastAsia="Book Antiqua" w:cs="Book Antiqua"/>
          <w:b/>
          <w:bCs/>
          <w:i/>
          <w:color w:val="000000" w:themeColor="text1"/>
          <w14:textFill>
            <w14:solidFill>
              <w14:schemeClr w14:val="tx1"/>
            </w14:solidFill>
          </w14:textFill>
        </w:rPr>
        <w:t xml:space="preserve"> </w:t>
      </w:r>
      <w:r>
        <w:rPr>
          <w:rFonts w:ascii="Book Antiqua" w:hAnsi="Book Antiqua" w:cs="Book Antiqua"/>
          <w:b/>
          <w:bCs/>
          <w:i/>
          <w:color w:val="000000" w:themeColor="text1"/>
          <w:lang w:eastAsia="zh-CN"/>
          <w14:textFill>
            <w14:solidFill>
              <w14:schemeClr w14:val="tx1"/>
            </w14:solidFill>
          </w14:textFill>
        </w:rPr>
        <w:t>brain</w:t>
      </w:r>
      <w:r>
        <w:rPr>
          <w:rFonts w:ascii="Book Antiqua" w:hAnsi="Book Antiqua" w:eastAsia="Book Antiqua" w:cs="Book Antiqua"/>
          <w:b/>
          <w:bCs/>
          <w:i/>
          <w:color w:val="000000" w:themeColor="text1"/>
          <w14:textFill>
            <w14:solidFill>
              <w14:schemeClr w14:val="tx1"/>
            </w14:solidFill>
          </w14:textFill>
        </w:rPr>
        <w:t xml:space="preserve"> </w:t>
      </w:r>
      <w:r>
        <w:rPr>
          <w:rFonts w:ascii="Book Antiqua" w:hAnsi="Book Antiqua" w:eastAsia="Book Antiqua" w:cs="Book Antiqua"/>
          <w:b/>
          <w:i/>
          <w:color w:val="000000" w:themeColor="text1"/>
          <w14:textFill>
            <w14:solidFill>
              <w14:schemeClr w14:val="tx1"/>
            </w14:solidFill>
          </w14:textFill>
        </w:rPr>
        <w:t>channels</w:t>
      </w:r>
    </w:p>
    <w:p>
      <w:pPr>
        <w:spacing w:line="360" w:lineRule="auto"/>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Mean Power of Delta (HZ)</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before and 20 min after mediation with LM revealed the significant differences, in the following brain channels: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Mean Power of the Delta waves frequency (Hz) at before and after mediation with LM is found to be significant with p-value ranging between 0.013-0.031 for the channels including Fz-, F44, FC2-,Cz- and O1-LE. Furthermore, the mean power of Beta- gamma</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before and after mediation ranged between 0.001-and 0.048 for the channels Fz-Le; F4-Le; FC2-Le; Cz-Le; and O1-Le of Alpha wave.</w:t>
      </w:r>
    </w:p>
    <w:p>
      <w:pPr>
        <w:spacing w:line="360" w:lineRule="auto"/>
        <w:ind w:firstLine="520" w:firstLineChars="217"/>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It is not documented that whether status of the delta-wave frequency, between the closed and opened eyes in different brain channels is diverse or not. Therefore, we aimed to explore the ratio-pattern between absolute powers in different channels (</w:t>
      </w:r>
      <w:r>
        <w:rPr>
          <w:rFonts w:ascii="Book Antiqua" w:hAnsi="Book Antiqua" w:eastAsia="Book Antiqua" w:cs="Book Antiqua"/>
          <w:bCs/>
          <w:color w:val="000000" w:themeColor="text1"/>
          <w14:textFill>
            <w14:solidFill>
              <w14:schemeClr w14:val="tx1"/>
            </w14:solidFill>
          </w14:textFill>
        </w:rPr>
        <w:t>Figures 10-13</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Interaction between different brain channels, either balanced or imbalanced, is a personalized pattern, leading to the new classification in the brain. Exploration of EEG according to the following results and discussion reflect the remarkable diversity between different channels, which could be classified as the unique/personalized classification for the brain behavioral Science (Figures 10-13)</w:t>
      </w:r>
      <w:r>
        <w:rPr>
          <w:rFonts w:hint="eastAsia" w:ascii="Book Antiqua" w:hAnsi="Book Antiqua" w:cs="Book Antiqua"/>
          <w:color w:val="000000" w:themeColor="text1"/>
          <w:lang w:eastAsia="zh-CN"/>
          <w14:textFill>
            <w14:solidFill>
              <w14:schemeClr w14:val="tx1"/>
            </w14:solidFill>
          </w14:textFill>
        </w:rPr>
        <w:t>.</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Amongst the current diverse status of the delta-wave frequency, 8/9 ratios are characterized with the higher frequency for the closed eyes than in the opened eyes’ condition including F8, F7, FP1, T7, C4, F3, and F4. Besides, the diverse status includes the ratio with higher values in the opened eyes including Cz, F3, Fz, Pz, P4, P8, P3, O1 and O2 with less remarkable diversity, but still diversity is notable.</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By considering the wave frequency of Delta, the ratio of closed eyes to the open eyes is reflective of: The most stable targets are traced in the C3</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(12.23392/12.9445), T8</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(CE: 6.965104/6.241952); and P7 (CE: 7.173759/OE: 7.919045) (Figure 11).</w:t>
      </w:r>
      <w:r>
        <w:rPr>
          <w:rFonts w:ascii="Book Antiqua" w:hAnsi="Book Antiqua" w:eastAsia="Book Antiqua" w:cs="Book Antiqua"/>
          <w:b/>
          <w:bCs/>
          <w:color w:val="000000" w:themeColor="text1"/>
          <w14:textFill>
            <w14:solidFill>
              <w14:schemeClr w14:val="tx1"/>
            </w14:solidFill>
          </w14:textFill>
        </w:rPr>
        <w:t xml:space="preserve"> </w:t>
      </w:r>
    </w:p>
    <w:p>
      <w:pPr>
        <w:spacing w:line="360" w:lineRule="auto"/>
        <w:jc w:val="both"/>
        <w:rPr>
          <w:rFonts w:ascii="Book Antiqua" w:hAnsi="Book Antiqua" w:cs="Book Antiqua"/>
          <w:color w:val="000000" w:themeColor="text1"/>
          <w:lang w:eastAsia="zh-CN"/>
          <w14:textFill>
            <w14:solidFill>
              <w14:schemeClr w14:val="tx1"/>
            </w14:solidFill>
          </w14:textFill>
        </w:rPr>
      </w:pPr>
    </w:p>
    <w:p>
      <w:pPr>
        <w:spacing w:line="360" w:lineRule="auto"/>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The indices as discordance based grouping with &lt; 1 </w:t>
      </w:r>
      <w:r>
        <w:rPr>
          <w:rFonts w:ascii="Book Antiqua" w:hAnsi="Book Antiqua" w:cs="Book Antiqua"/>
          <w:b/>
          <w:color w:val="000000" w:themeColor="text1"/>
          <w:lang w:eastAsia="zh-CN"/>
          <w14:textFill>
            <w14:solidFill>
              <w14:schemeClr w14:val="tx1"/>
            </w14:solidFill>
          </w14:textFill>
        </w:rPr>
        <w:t>r</w:t>
      </w:r>
      <w:r>
        <w:rPr>
          <w:rFonts w:ascii="Book Antiqua" w:hAnsi="Book Antiqua" w:eastAsia="Book Antiqua" w:cs="Book Antiqua"/>
          <w:b/>
          <w:color w:val="000000" w:themeColor="text1"/>
          <w14:textFill>
            <w14:solidFill>
              <w14:schemeClr w14:val="tx1"/>
            </w14:solidFill>
          </w14:textFill>
        </w:rPr>
        <w:t xml:space="preserve">atio, at post mediation by </w:t>
      </w:r>
      <w:r>
        <w:rPr>
          <w:rFonts w:ascii="Book Antiqua" w:hAnsi="Book Antiqua" w:cs="Book Antiqua"/>
          <w:b/>
          <w:color w:val="000000" w:themeColor="text1"/>
          <w:lang w:eastAsia="zh-CN"/>
          <w14:textFill>
            <w14:solidFill>
              <w14:schemeClr w14:val="tx1"/>
            </w14:solidFill>
          </w14:textFill>
        </w:rPr>
        <w:t>LM</w:t>
      </w:r>
      <w:r>
        <w:rPr>
          <w:rFonts w:ascii="Book Antiqua" w:hAnsi="Book Antiqua" w:eastAsia="Book Antiqua" w:cs="Book Antiqua"/>
          <w:color w:val="000000" w:themeColor="text1"/>
          <w14:textFill>
            <w14:solidFill>
              <w14:schemeClr w14:val="tx1"/>
            </w14:solidFill>
          </w14:textFill>
        </w:rPr>
        <w:t>: The F3,</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Fz,</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Cz,</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P3,</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Pz,</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P4,</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P8,</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O1,</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O2 are classified as discordance grouping with </w:t>
      </w:r>
      <w:r>
        <w:rPr>
          <w:rFonts w:ascii="Book Antiqua" w:hAnsi="Book Antiqua"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atio &lt; 1. With the current diverse status of the Delta-wave frequencies, 8/9 ratios are characterized with the higher frequency for the closed eyes than in the opened eyes’ condition including F8, F7, FP1, T7, C4, F3, and F4. Besides, the diverse status includes the ratio with higher values in the opened eyes including Cz,</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F3, Fz, Pz, P4, P8, P3, O1, and O2 with less remarkable diversity</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(Figure 11).</w:t>
      </w:r>
    </w:p>
    <w:p>
      <w:pPr>
        <w:spacing w:line="360" w:lineRule="auto"/>
        <w:ind w:firstLine="480" w:firstLineChars="200"/>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By considering the wave frequency of Delta, the ratio of closed eyes to the open eyes is reflective of: The most stable targets are traced in the C3 (12.23392/12.9445), T8 (CE: 6.965104/6.241952), and P7 (CE: 7.3759/OE:</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7.919045)</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Figures 11 and 12). </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Diverse </w:t>
      </w:r>
      <w:r>
        <w:rPr>
          <w:rFonts w:ascii="Book Antiqua" w:hAnsi="Book Antiqua" w:cs="Book Antiqua"/>
          <w:b/>
          <w:color w:val="000000" w:themeColor="text1"/>
          <w:lang w:eastAsia="zh-CN"/>
          <w14:textFill>
            <w14:solidFill>
              <w14:schemeClr w14:val="tx1"/>
            </w14:solidFill>
          </w14:textFill>
        </w:rPr>
        <w:t>g</w:t>
      </w:r>
      <w:r>
        <w:rPr>
          <w:rFonts w:ascii="Book Antiqua" w:hAnsi="Book Antiqua" w:eastAsia="Book Antiqua" w:cs="Book Antiqua"/>
          <w:b/>
          <w:color w:val="000000" w:themeColor="text1"/>
          <w14:textFill>
            <w14:solidFill>
              <w14:schemeClr w14:val="tx1"/>
            </w14:solidFill>
          </w14:textFill>
        </w:rPr>
        <w:t>rouping with discordance index</w:t>
      </w:r>
      <w:r>
        <w:rPr>
          <w:rFonts w:ascii="Book Antiqua" w:hAnsi="Book Antiqua" w:eastAsia="Book Antiqua" w:cs="Book Antiqua"/>
          <w:color w:val="000000" w:themeColor="text1"/>
          <w14:textFill>
            <w14:solidFill>
              <w14:schemeClr w14:val="tx1"/>
            </w14:solidFill>
          </w14:textFill>
        </w:rPr>
        <w:t>: The indices as discordance based grouping with &gt;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cs="Book Antiqua"/>
          <w:color w:val="000000" w:themeColor="text1"/>
          <w:lang w:eastAsia="zh-CN"/>
          <w14:textFill>
            <w14:solidFill>
              <w14:schemeClr w14:val="tx1"/>
            </w14:solidFill>
          </w14:textFill>
        </w:rPr>
        <w:t>r</w:t>
      </w:r>
      <w:r>
        <w:rPr>
          <w:rFonts w:ascii="Book Antiqua" w:hAnsi="Book Antiqua" w:eastAsia="Book Antiqua" w:cs="Book Antiqua"/>
          <w:color w:val="000000" w:themeColor="text1"/>
          <w14:textFill>
            <w14:solidFill>
              <w14:schemeClr w14:val="tx1"/>
            </w14:solidFill>
          </w14:textFill>
        </w:rPr>
        <w:t xml:space="preserve">atio, at post mediation by </w:t>
      </w:r>
      <w:r>
        <w:rPr>
          <w:rFonts w:ascii="Book Antiqua" w:hAnsi="Book Antiqua" w:cs="Book Antiqua"/>
          <w:color w:val="000000" w:themeColor="text1"/>
          <w:lang w:eastAsia="zh-CN"/>
          <w14:textFill>
            <w14:solidFill>
              <w14:schemeClr w14:val="tx1"/>
            </w14:solidFill>
          </w14:textFill>
        </w:rPr>
        <w:t>LM</w:t>
      </w:r>
      <w:r>
        <w:rPr>
          <w:rFonts w:ascii="Book Antiqua" w:hAnsi="Book Antiqua" w:eastAsia="Book Antiqua" w:cs="Book Antiqua"/>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F7, Fp2, F8, FP1,</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T7 in &gt;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 category, of those F8, and F7, reflect remarkable high ratio than others in this classified group (Figure 12).</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Conclusively, remarkable diversity is detectable for the Ratio between closed eye/open eye</w:t>
      </w:r>
      <w:r>
        <w:rPr>
          <w:rFonts w:hint="eastAsia"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 after the post mediation by </w:t>
      </w:r>
      <w:r>
        <w:rPr>
          <w:rFonts w:ascii="Book Antiqua" w:hAnsi="Book Antiqua" w:cs="Book Antiqua"/>
          <w:color w:val="000000" w:themeColor="text1"/>
          <w:lang w:eastAsia="zh-CN"/>
          <w14:textFill>
            <w14:solidFill>
              <w14:schemeClr w14:val="tx1"/>
            </w14:solidFill>
          </w14:textFill>
        </w:rPr>
        <w:t>LM</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Descriptive data includes before and after mediation with the LM, at the significant level of the alpha band. Mediation by LM, significantly decreases the power of Beta-Gamma band wave at points Fz, F4, FC2 (forehead areas), Cz (central region) and O1 (occipital region of the brain). Such a decreased power of beta-gamma reflects the reduced activity and connectivity of brain between frontal/central regions. </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Concisely, an increased alpha power and decreased beta-gamma power after mediation of the LM is remarkable. This link between neural oscillations in diverse frequency bands proposed to harmonize neural processing. </w:t>
      </w:r>
    </w:p>
    <w:p>
      <w:pPr>
        <w:spacing w:line="360" w:lineRule="auto"/>
        <w:ind w:firstLine="480" w:firstLineChars="200"/>
        <w:jc w:val="both"/>
        <w:rPr>
          <w:rFonts w:ascii="Book Antiqua" w:hAnsi="Book Antiqua" w:eastAsia="Times New Roman"/>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Furthermore, concordance and discordance between different channels of brain is the 5xP model after mediation with </w:t>
      </w:r>
      <w:r>
        <w:rPr>
          <w:rFonts w:ascii="Book Antiqua" w:hAnsi="Book Antiqua" w:cs="Book Antiqua"/>
          <w:color w:val="000000" w:themeColor="text1"/>
          <w:lang w:eastAsia="zh-CN"/>
          <w14:textFill>
            <w14:solidFill>
              <w14:schemeClr w14:val="tx1"/>
            </w14:solidFill>
          </w14:textFill>
        </w:rPr>
        <w:t>LM</w:t>
      </w:r>
      <w:r>
        <w:rPr>
          <w:rFonts w:ascii="Book Antiqua" w:hAnsi="Book Antiqua" w:eastAsia="Book Antiqua" w:cs="Book Antiqua"/>
          <w:color w:val="000000" w:themeColor="text1"/>
          <w14:textFill>
            <w14:solidFill>
              <w14:schemeClr w14:val="tx1"/>
            </w14:solidFill>
          </w14:textFill>
        </w:rPr>
        <w:t xml:space="preserve"> or any selected mediated factor, upon the specialists/physician’s recommendation for further planned clinical management(s).</w:t>
      </w:r>
    </w:p>
    <w:p>
      <w:pPr>
        <w:spacing w:line="360" w:lineRule="auto"/>
        <w:jc w:val="both"/>
        <w:rPr>
          <w:rFonts w:ascii="Book Antiqua" w:hAnsi="Book Antiqua" w:eastAsia="Times New Roman"/>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Application of CNCs and correlated Ratio based between brain channels by providing the 5xP personalized clinical management model for early detection and therapy of the patients with AD and their targeted/predisposed relatives.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Highlights offer an early detective platform by considering neuro-genetics/cell biology, CNCs; molecular investigation, for the predisposed individuals to AD- or other neural disease.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initiation and functional stage of triangle PE including neural-marker, stem cell (CD133), and VEGF is unmasked </w:t>
      </w:r>
      <w:r>
        <w:t>not only at</w:t>
      </w:r>
      <w:r>
        <w:rPr>
          <w:rFonts w:ascii="Book Antiqua" w:hAnsi="Book Antiqua" w:eastAsia="Book Antiqua" w:cs="Book Antiqua"/>
          <w:color w:val="000000" w:themeColor="text1"/>
          <w14:textFill>
            <w14:solidFill>
              <w14:schemeClr w14:val="tx1"/>
            </w14:solidFill>
          </w14:textFill>
        </w:rPr>
        <w:t xml:space="preserve"> the embryonic phase, but through the beginning of chorionic villus period around 8</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-10</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of gestational weeks.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mediation with LM resulted to remarkable escalation of the power of alpha band wave at frontal lobe including Fz, F4, FC2 sites, Cz in central lobe and O1 in occipital lobe</w:t>
      </w:r>
      <w:r>
        <w:rPr>
          <w:rFonts w:ascii="Book Antiqua" w:hAnsi="Book Antiqua" w:cs="Book Antiqua"/>
          <w:color w:val="000000" w:themeColor="text1"/>
          <w:lang w:eastAsia="zh-CN"/>
          <w14:textFill>
            <w14:solidFill>
              <w14:schemeClr w14:val="tx1"/>
            </w14:solidFill>
          </w14:textFill>
        </w:rPr>
        <w:t xml:space="preserve"> and the </w:t>
      </w:r>
      <w:r>
        <w:rPr>
          <w:rFonts w:ascii="Book Antiqua" w:hAnsi="Book Antiqua" w:eastAsia="Book Antiqua" w:cs="Book Antiqua"/>
          <w:color w:val="000000" w:themeColor="text1"/>
          <w14:textFill>
            <w14:solidFill>
              <w14:schemeClr w14:val="tx1"/>
            </w14:solidFill>
          </w14:textFill>
        </w:rPr>
        <w:t>increased activity of Alpha waves in Centro-frontal regions.</w:t>
      </w:r>
    </w:p>
    <w:p>
      <w:pPr>
        <w:spacing w:line="360" w:lineRule="auto"/>
        <w:jc w:val="both"/>
        <w:rPr>
          <w:rFonts w:ascii="Book Antiqua" w:hAnsi="Book Antiqua" w:eastAsia="Book Antiqua" w:cs="Book Antiqua"/>
          <w:b/>
          <w:bCs/>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ARTICLE HIGHLIGHTS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background</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Circulating </w:t>
      </w:r>
      <w:r>
        <w:rPr>
          <w:rFonts w:ascii="Book Antiqua" w:hAnsi="Book Antiqua" w:cs="Book Antiqua"/>
          <w:color w:val="000000" w:themeColor="text1"/>
          <w:lang w:eastAsia="zh-CN"/>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eural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ells (CNCs) is an essential strategy which offers the </w:t>
      </w:r>
      <w:r>
        <w:rPr>
          <w:rFonts w:ascii="Book Antiqua" w:hAnsi="Book Antiqua" w:eastAsia="Book Antiqua" w:cs="Book Antiqua"/>
          <w:i/>
          <w:iCs/>
          <w:color w:val="000000" w:themeColor="text1"/>
          <w14:textFill>
            <w14:solidFill>
              <w14:schemeClr w14:val="tx1"/>
            </w14:solidFill>
          </w14:textFill>
        </w:rPr>
        <w:t>pentagonal</w:t>
      </w:r>
      <w:r>
        <w:rPr>
          <w:rFonts w:ascii="Book Antiqua" w:hAnsi="Book Antiqua" w:eastAsia="Book Antiqua" w:cs="Book Antiqua"/>
          <w:color w:val="000000" w:themeColor="text1"/>
          <w14:textFill>
            <w14:solidFill>
              <w14:schemeClr w14:val="tx1"/>
            </w14:solidFill>
          </w14:textFill>
        </w:rPr>
        <w:t xml:space="preserve"> application including the Personalized, Prognostics, Predictive, Preventive, predisposing (5xP) panel in the clinical neurology and Neuro-Science. Therefore, it was aimed to explore the developing picture of CNCs’ behavior of the brain cells in the blood stream. CNCs are an available approach for the preventive Medicine and the personalized/target-</w:t>
      </w:r>
      <w:r>
        <w:t>based</w:t>
      </w:r>
      <w:r>
        <w:rPr>
          <w:rFonts w:ascii="Book Antiqua" w:hAnsi="Book Antiqua" w:eastAsia="Book Antiqua" w:cs="Book Antiqua"/>
          <w:color w:val="000000" w:themeColor="text1"/>
          <w14:textFill>
            <w14:solidFill>
              <w14:schemeClr w14:val="tx1"/>
            </w14:solidFill>
          </w14:textFill>
        </w:rPr>
        <w:t xml:space="preserve"> therapy</w:t>
      </w:r>
      <w:r>
        <w:rPr>
          <w:rFonts w:hint="eastAsia" w:ascii="Book Antiqua" w:hAnsi="Book Antiqua" w:cs="Book Antiqua"/>
          <w:color w:val="000000" w:themeColor="text1"/>
          <w:lang w:eastAsia="zh-CN"/>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motivation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strategy include</w:t>
      </w:r>
      <w:r>
        <w:rPr>
          <w:rFonts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 and offers: (1) Routinizing the CNCs assay through the high and reliable enumeration of the CNCs; (2) </w:t>
      </w:r>
      <w:r>
        <w:rPr>
          <w:rFonts w:hint="eastAsia" w:ascii="Book Antiqua" w:hAnsi="Book Antiqua" w:eastAsia="宋体"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roviding the required information’s of CNCs to the </w:t>
      </w:r>
      <w:r>
        <w:rPr>
          <w:rFonts w:ascii="Book Antiqua" w:hAnsi="Book Antiqua" w:cs="Book Antiqua"/>
          <w:color w:val="000000" w:themeColor="text1"/>
          <w:lang w:eastAsia="zh-CN"/>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eurological clinics for the patients affected with neurological disorders including Alzheimer disease</w:t>
      </w:r>
      <w:r>
        <w:rPr>
          <w:rFonts w:ascii="Book Antiqua" w:hAnsi="Book Antiqua" w:cs="Book Antiqua"/>
          <w:color w:val="000000" w:themeColor="text1"/>
          <w:lang w:eastAsia="zh-CN"/>
          <w14:textFill>
            <w14:solidFill>
              <w14:schemeClr w14:val="tx1"/>
            </w14:solidFill>
          </w14:textFill>
        </w:rPr>
        <w:t xml:space="preserve"> (AD)</w:t>
      </w:r>
      <w:r>
        <w:rPr>
          <w:rFonts w:ascii="Book Antiqua" w:hAnsi="Book Antiqua" w:eastAsia="Book Antiqua" w:cs="Book Antiqua"/>
          <w:color w:val="000000" w:themeColor="text1"/>
          <w14:textFill>
            <w14:solidFill>
              <w14:schemeClr w14:val="tx1"/>
            </w14:solidFill>
          </w14:textFill>
        </w:rPr>
        <w:t xml:space="preserve">; (3) </w:t>
      </w:r>
      <w:r>
        <w:rPr>
          <w:rFonts w:hint="eastAsia" w:ascii="Book Antiqua" w:hAnsi="Book Antiqua" w:eastAsia="宋体"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roviding adequate Information on the application of CNCs for the protocol to the target clinical centers for either their referral patients affected with, or predisposed to AD as promptly as possible; (4) </w:t>
      </w:r>
      <w:r>
        <w:rPr>
          <w:rFonts w:hint="eastAsia" w:ascii="Book Antiqua" w:hAnsi="Book Antiqua" w:eastAsia="宋体" w:cs="Book Antiqua"/>
          <w:color w:val="000000" w:themeColor="text1"/>
          <w:lang w:eastAsia="zh-CN"/>
          <w14:textFill>
            <w14:solidFill>
              <w14:schemeClr w14:val="tx1"/>
            </w14:solidFill>
          </w14:textFill>
        </w:rPr>
        <w:t>h</w:t>
      </w:r>
      <w:r>
        <w:rPr>
          <w:rFonts w:ascii="Book Antiqua" w:hAnsi="Book Antiqua" w:eastAsia="Book Antiqua" w:cs="Book Antiqua"/>
          <w:color w:val="000000" w:themeColor="text1"/>
          <w14:textFill>
            <w14:solidFill>
              <w14:schemeClr w14:val="tx1"/>
            </w14:solidFill>
          </w14:textFill>
        </w:rPr>
        <w:t>ighlighting the safety, rapidness of the process, non-invasiveness of the CNCs exploration; and an early/preventive strategic detection of the AD in the probands and the relatives through their pedigree; and</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(5) </w:t>
      </w:r>
      <w:r>
        <w:rPr>
          <w:rFonts w:hint="eastAsia"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onsidering the pedigree-based analysis for tracing of any micro- and macro-environmental predisposing factors, including nutrition and the history of the neurological based diseases including AD.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objectives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the Alzheimer-prone families, the history of any related clinical sign of the neurological symptoms including light and/or progressive through different generations of the referral suspicious case, could be candidate for exploring CNCs. If there is any persuasive micro-and/or macro-environmental risks, the target of the proband’s offspring may be candidate for the CNCs.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originality of the provided research is based on the Manuel performance and exploration of the single cell based analysis with high enumeration. This strategy is capable to unmask the heterogeneity, diversity and highlights the specific role of the target proteins, and identification of the novel involvement of additional protein through the developmental stages of AD.</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Furthermore, by respecting the bridging system between Medicine and Science, and according to the primary results of Electroencephalography, as a golden performance, an innovative, complementary and predictive model is provided in this paper.</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Finally, based on an early detection, and the developmental process through the passed progressive period of AD, the personalized detection, hopefully, leads to the personalized therapy.</w:t>
      </w:r>
    </w:p>
    <w:p>
      <w:pPr>
        <w:spacing w:line="360" w:lineRule="auto"/>
        <w:jc w:val="both"/>
        <w:rPr>
          <w:rFonts w:ascii="Book Antiqua" w:hAnsi="Book Antiqua" w:cs="Book Antiqua"/>
          <w:b/>
          <w:i/>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novel results of the provided manuscript are characterized with: Personalized data; Single cell based strategy; and translatable data for the index case and their relatives;</w:t>
      </w:r>
      <w:r>
        <w:rPr>
          <w:rFonts w:ascii="Book Antiqua" w:hAnsi="Book Antiqua" w:cs="Book Antiqua"/>
          <w:color w:val="000000" w:themeColor="text1"/>
          <w:lang w:eastAsia="zh-CN"/>
          <w14:textFill>
            <w14:solidFill>
              <w14:schemeClr w14:val="tx1"/>
            </w14:solidFill>
          </w14:textFill>
        </w:rPr>
        <w:t xml:space="preserve"> a</w:t>
      </w:r>
      <w:r>
        <w:rPr>
          <w:rFonts w:ascii="Book Antiqua" w:hAnsi="Book Antiqua" w:eastAsia="Book Antiqua" w:cs="Book Antiqua"/>
          <w:color w:val="000000" w:themeColor="text1"/>
          <w14:textFill>
            <w14:solidFill>
              <w14:schemeClr w14:val="tx1"/>
            </w14:solidFill>
          </w14:textFill>
        </w:rPr>
        <w:t>n early detection of the protein expression (PE) and brain channels bridging systems, the personalized therapy, could be translated, either for Alzheimer or the related psychological related to the brain disorders.</w:t>
      </w:r>
      <w:r>
        <w:rPr>
          <w:rFonts w:ascii="Book Antiqua" w:hAnsi="Book Antiqua"/>
          <w:b/>
          <w:b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Hypothetic/heterogenic/diverse results highlight evolutionary course within the brain channels.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conclusions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Unmasking the diverse pattern of PE of the migrated cells from brain to the blood stream, by an adequate enumeration of the CNCs based on the Manuel analytical approach.</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Unveil the heterogenic pattern of the analyzed target proteins’ expression.</w:t>
      </w:r>
      <w:r>
        <w:rPr>
          <w:rFonts w:ascii="Book Antiqua" w:hAnsi="Book Antiqua"/>
          <w:color w:val="000000" w:themeColor="text1"/>
          <w14:textFill>
            <w14:solidFill>
              <w14:schemeClr w14:val="tx1"/>
            </w14:solidFill>
          </w14:textFill>
        </w:rPr>
        <w:t xml:space="preserve"> Multi-interaction between brain channels, are considered as the personalizd/constructive markers with unlimited cooperation in health and disease.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perspectives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Unmasking the role of other candidate protein(s).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Considering the </w:t>
      </w:r>
      <w:r>
        <w:rPr>
          <w:rFonts w:ascii="Book Antiqua" w:hAnsi="Book Antiqua" w:cs="Book Antiqua"/>
          <w:color w:val="000000" w:themeColor="text1"/>
          <w:lang w:eastAsia="zh-CN"/>
          <w14:textFill>
            <w14:solidFill>
              <w14:schemeClr w14:val="tx1"/>
            </w14:solidFill>
          </w14:textFill>
        </w:rPr>
        <w:t>i</w:t>
      </w:r>
      <w:r>
        <w:rPr>
          <w:rFonts w:ascii="Book Antiqua" w:hAnsi="Book Antiqua" w:eastAsia="Book Antiqua" w:cs="Book Antiqua"/>
          <w:color w:val="000000" w:themeColor="text1"/>
          <w14:textFill>
            <w14:solidFill>
              <w14:schemeClr w14:val="tx1"/>
            </w14:solidFill>
          </w14:textFill>
        </w:rPr>
        <w:t>nformative publication(s) as the complementary educational package.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Bridging between Science and Medicine by considering the pedigree based translational system for neuro-model, as an early </w:t>
      </w:r>
      <w:r>
        <w:t>detective</w:t>
      </w:r>
      <w:r>
        <w:rPr>
          <w:rFonts w:ascii="Book Antiqua" w:hAnsi="Book Antiqua" w:eastAsia="Book Antiqua" w:cs="Book Antiqua"/>
          <w:color w:val="000000" w:themeColor="text1"/>
          <w14:textFill>
            <w14:solidFill>
              <w14:schemeClr w14:val="tx1"/>
            </w14:solidFill>
          </w14:textFill>
        </w:rPr>
        <w:t xml:space="preserve"> platform. Suggesting for stablishing the Neuro-clinic with the aims including ‘Personalized-Predictive/Early detection/Preventive clinic for the families with ‘Alzheimer disease’ and in future with neuro-genetics disorders’.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 </w:t>
      </w:r>
      <w:r>
        <w:rPr>
          <w:rFonts w:ascii="Book Antiqua" w:hAnsi="Book Antiqua"/>
          <w:b/>
          <w:bCs/>
          <w:color w:val="000000" w:themeColor="text1"/>
          <w14:textFill>
            <w14:solidFill>
              <w14:schemeClr w14:val="tx1"/>
            </w14:solidFill>
          </w14:textFill>
        </w:rPr>
        <w:t>Alzheimer A</w:t>
      </w:r>
      <w:r>
        <w:rPr>
          <w:rFonts w:ascii="Book Antiqua" w:hAnsi="Book Antiqua"/>
          <w:color w:val="000000" w:themeColor="text1"/>
          <w14:textFill>
            <w14:solidFill>
              <w14:schemeClr w14:val="tx1"/>
            </w14:solidFill>
          </w14:textFill>
        </w:rPr>
        <w:t xml:space="preserve">, Stelzmann RA, Schnitzlein HN, Murtagh FR. An English translation of Alzheimer's 1907 paper, "Uber eine eigenartige Erkankung der Hirnrinde". </w:t>
      </w:r>
      <w:r>
        <w:rPr>
          <w:rFonts w:ascii="Book Antiqua" w:hAnsi="Book Antiqua"/>
          <w:i/>
          <w:iCs/>
          <w:color w:val="000000" w:themeColor="text1"/>
          <w14:textFill>
            <w14:solidFill>
              <w14:schemeClr w14:val="tx1"/>
            </w14:solidFill>
          </w14:textFill>
        </w:rPr>
        <w:t>Clin Anat</w:t>
      </w:r>
      <w:r>
        <w:rPr>
          <w:rFonts w:ascii="Book Antiqua" w:hAnsi="Book Antiqua"/>
          <w:color w:val="000000" w:themeColor="text1"/>
          <w14:textFill>
            <w14:solidFill>
              <w14:schemeClr w14:val="tx1"/>
            </w14:solidFill>
          </w14:textFill>
        </w:rPr>
        <w:t xml:space="preserve"> 1995; </w:t>
      </w:r>
      <w:r>
        <w:rPr>
          <w:rFonts w:ascii="Book Antiqua" w:hAnsi="Book Antiqua"/>
          <w:b/>
          <w:bCs/>
          <w:color w:val="000000" w:themeColor="text1"/>
          <w14:textFill>
            <w14:solidFill>
              <w14:schemeClr w14:val="tx1"/>
            </w14:solidFill>
          </w14:textFill>
        </w:rPr>
        <w:t>8</w:t>
      </w:r>
      <w:r>
        <w:rPr>
          <w:rFonts w:ascii="Book Antiqua" w:hAnsi="Book Antiqua"/>
          <w:color w:val="000000" w:themeColor="text1"/>
          <w14:textFill>
            <w14:solidFill>
              <w14:schemeClr w14:val="tx1"/>
            </w14:solidFill>
          </w14:textFill>
        </w:rPr>
        <w:t>: 429-431 [PMID: 8713166 DOI: 10.1002/ca.980080612]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 </w:t>
      </w:r>
      <w:r>
        <w:rPr>
          <w:rFonts w:ascii="Book Antiqua" w:hAnsi="Book Antiqua"/>
          <w:b/>
          <w:bCs/>
          <w:color w:val="000000" w:themeColor="text1"/>
          <w14:textFill>
            <w14:solidFill>
              <w14:schemeClr w14:val="tx1"/>
            </w14:solidFill>
          </w14:textFill>
        </w:rPr>
        <w:t>Pastorcic M</w:t>
      </w:r>
      <w:r>
        <w:rPr>
          <w:rFonts w:ascii="Book Antiqua" w:hAnsi="Book Antiqua"/>
          <w:color w:val="000000" w:themeColor="text1"/>
          <w14:textFill>
            <w14:solidFill>
              <w14:schemeClr w14:val="tx1"/>
            </w14:solidFill>
          </w14:textFill>
        </w:rPr>
        <w:t xml:space="preserve">, Das HK. Regulation of transcription of the human presenilin-1 gene by Ets transcription factors and the p53 protooncogene. </w:t>
      </w:r>
      <w:r>
        <w:rPr>
          <w:rFonts w:ascii="Book Antiqua" w:hAnsi="Book Antiqua"/>
          <w:i/>
          <w:iCs/>
          <w:color w:val="000000" w:themeColor="text1"/>
          <w14:textFill>
            <w14:solidFill>
              <w14:schemeClr w14:val="tx1"/>
            </w14:solidFill>
          </w14:textFill>
        </w:rPr>
        <w:t>J Biol Chem</w:t>
      </w:r>
      <w:r>
        <w:rPr>
          <w:rFonts w:ascii="Book Antiqua" w:hAnsi="Book Antiqua"/>
          <w:color w:val="000000" w:themeColor="text1"/>
          <w14:textFill>
            <w14:solidFill>
              <w14:schemeClr w14:val="tx1"/>
            </w14:solidFill>
          </w14:textFill>
        </w:rPr>
        <w:t xml:space="preserve"> 2000; </w:t>
      </w:r>
      <w:r>
        <w:rPr>
          <w:rFonts w:ascii="Book Antiqua" w:hAnsi="Book Antiqua"/>
          <w:b/>
          <w:bCs/>
          <w:color w:val="000000" w:themeColor="text1"/>
          <w14:textFill>
            <w14:solidFill>
              <w14:schemeClr w14:val="tx1"/>
            </w14:solidFill>
          </w14:textFill>
        </w:rPr>
        <w:t>275</w:t>
      </w:r>
      <w:r>
        <w:rPr>
          <w:rFonts w:ascii="Book Antiqua" w:hAnsi="Book Antiqua"/>
          <w:color w:val="000000" w:themeColor="text1"/>
          <w14:textFill>
            <w14:solidFill>
              <w14:schemeClr w14:val="tx1"/>
            </w14:solidFill>
          </w14:textFill>
        </w:rPr>
        <w:t>: 34938-34945 [PMID: 10942770 DOI: 10.1074/jbc.M005411200]</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 </w:t>
      </w:r>
      <w:r>
        <w:rPr>
          <w:rFonts w:ascii="Book Antiqua" w:hAnsi="Book Antiqua"/>
          <w:b/>
          <w:bCs/>
          <w:color w:val="000000" w:themeColor="text1"/>
          <w14:textFill>
            <w14:solidFill>
              <w14:schemeClr w14:val="tx1"/>
            </w14:solidFill>
          </w14:textFill>
        </w:rPr>
        <w:t>Zeng H</w:t>
      </w:r>
      <w:r>
        <w:rPr>
          <w:rFonts w:ascii="Book Antiqua" w:hAnsi="Book Antiqua"/>
          <w:color w:val="000000" w:themeColor="text1"/>
          <w14:textFill>
            <w14:solidFill>
              <w14:schemeClr w14:val="tx1"/>
            </w14:solidFill>
          </w14:textFill>
        </w:rPr>
        <w:t xml:space="preserve">, Sanes JR. Neuronal cell-type classification: challenges, opportunities and the path forward. </w:t>
      </w:r>
      <w:r>
        <w:rPr>
          <w:rFonts w:ascii="Book Antiqua" w:hAnsi="Book Antiqua"/>
          <w:i/>
          <w:iCs/>
          <w:color w:val="000000" w:themeColor="text1"/>
          <w14:textFill>
            <w14:solidFill>
              <w14:schemeClr w14:val="tx1"/>
            </w14:solidFill>
          </w14:textFill>
        </w:rPr>
        <w:t>Nat Rev Neurosci</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18</w:t>
      </w:r>
      <w:r>
        <w:rPr>
          <w:rFonts w:ascii="Book Antiqua" w:hAnsi="Book Antiqua"/>
          <w:color w:val="000000" w:themeColor="text1"/>
          <w14:textFill>
            <w14:solidFill>
              <w14:schemeClr w14:val="tx1"/>
            </w14:solidFill>
          </w14:textFill>
        </w:rPr>
        <w:t>: 530-546 [PMID: 28775344 DOI: 10.1038/nrn.2017.85]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 </w:t>
      </w:r>
      <w:r>
        <w:rPr>
          <w:rFonts w:ascii="Book Antiqua" w:hAnsi="Book Antiqua"/>
          <w:b/>
          <w:bCs/>
          <w:color w:val="000000" w:themeColor="text1"/>
          <w14:textFill>
            <w14:solidFill>
              <w14:schemeClr w14:val="tx1"/>
            </w14:solidFill>
          </w14:textFill>
        </w:rPr>
        <w:t>Stam CJ</w:t>
      </w:r>
      <w:r>
        <w:rPr>
          <w:rFonts w:ascii="Book Antiqua" w:hAnsi="Book Antiqua"/>
          <w:color w:val="000000" w:themeColor="text1"/>
          <w14:textFill>
            <w14:solidFill>
              <w14:schemeClr w14:val="tx1"/>
            </w14:solidFill>
          </w14:textFill>
        </w:rPr>
        <w:t xml:space="preserve">. Use of magnetoencephalography (MEG) to study functional brain networks in neurodegenerative disorders. </w:t>
      </w:r>
      <w:r>
        <w:rPr>
          <w:rFonts w:ascii="Book Antiqua" w:hAnsi="Book Antiqua"/>
          <w:i/>
          <w:iCs/>
          <w:color w:val="000000" w:themeColor="text1"/>
          <w14:textFill>
            <w14:solidFill>
              <w14:schemeClr w14:val="tx1"/>
            </w14:solidFill>
          </w14:textFill>
        </w:rPr>
        <w:t>J Neurol Sci</w:t>
      </w:r>
      <w:r>
        <w:rPr>
          <w:rFonts w:ascii="Book Antiqua" w:hAnsi="Book Antiqua"/>
          <w:color w:val="000000" w:themeColor="text1"/>
          <w14:textFill>
            <w14:solidFill>
              <w14:schemeClr w14:val="tx1"/>
            </w14:solidFill>
          </w14:textFill>
        </w:rPr>
        <w:t xml:space="preserve"> 2010; </w:t>
      </w:r>
      <w:r>
        <w:rPr>
          <w:rFonts w:ascii="Book Antiqua" w:hAnsi="Book Antiqua"/>
          <w:b/>
          <w:bCs/>
          <w:color w:val="000000" w:themeColor="text1"/>
          <w14:textFill>
            <w14:solidFill>
              <w14:schemeClr w14:val="tx1"/>
            </w14:solidFill>
          </w14:textFill>
        </w:rPr>
        <w:t>289</w:t>
      </w:r>
      <w:r>
        <w:rPr>
          <w:rFonts w:ascii="Book Antiqua" w:hAnsi="Book Antiqua"/>
          <w:color w:val="000000" w:themeColor="text1"/>
          <w14:textFill>
            <w14:solidFill>
              <w14:schemeClr w14:val="tx1"/>
            </w14:solidFill>
          </w14:textFill>
        </w:rPr>
        <w:t>: 128-134 [PMID: 19729174 DOI: 10.1016/j.jns.2009.08.028]</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5 </w:t>
      </w:r>
      <w:r>
        <w:rPr>
          <w:rFonts w:ascii="Book Antiqua" w:hAnsi="Book Antiqua"/>
          <w:b/>
          <w:bCs/>
          <w:color w:val="000000" w:themeColor="text1"/>
          <w14:textFill>
            <w14:solidFill>
              <w14:schemeClr w14:val="tx1"/>
            </w14:solidFill>
          </w14:textFill>
        </w:rPr>
        <w:t>Fernández A</w:t>
      </w:r>
      <w:r>
        <w:rPr>
          <w:rFonts w:ascii="Book Antiqua" w:hAnsi="Book Antiqua"/>
          <w:color w:val="000000" w:themeColor="text1"/>
          <w14:textFill>
            <w14:solidFill>
              <w14:schemeClr w14:val="tx1"/>
            </w14:solidFill>
          </w14:textFill>
        </w:rPr>
        <w:t xml:space="preserve">, Zuluaga P, Abásolo D, Gómez C, Serra A, Méndez MA, Hornero R. Brain oscillatory complexity across the life span. </w:t>
      </w:r>
      <w:r>
        <w:rPr>
          <w:rFonts w:ascii="Book Antiqua" w:hAnsi="Book Antiqua"/>
          <w:i/>
          <w:iCs/>
          <w:color w:val="000000" w:themeColor="text1"/>
          <w14:textFill>
            <w14:solidFill>
              <w14:schemeClr w14:val="tx1"/>
            </w14:solidFill>
          </w14:textFill>
        </w:rPr>
        <w:t>Clin Neurophysiol</w:t>
      </w:r>
      <w:r>
        <w:rPr>
          <w:rFonts w:ascii="Book Antiqua" w:hAnsi="Book Antiqua"/>
          <w:color w:val="000000" w:themeColor="text1"/>
          <w14:textFill>
            <w14:solidFill>
              <w14:schemeClr w14:val="tx1"/>
            </w14:solidFill>
          </w14:textFill>
        </w:rPr>
        <w:t xml:space="preserve"> 2012; </w:t>
      </w:r>
      <w:r>
        <w:rPr>
          <w:rFonts w:ascii="Book Antiqua" w:hAnsi="Book Antiqua"/>
          <w:b/>
          <w:bCs/>
          <w:color w:val="000000" w:themeColor="text1"/>
          <w14:textFill>
            <w14:solidFill>
              <w14:schemeClr w14:val="tx1"/>
            </w14:solidFill>
          </w14:textFill>
        </w:rPr>
        <w:t>123</w:t>
      </w:r>
      <w:r>
        <w:rPr>
          <w:rFonts w:ascii="Book Antiqua" w:hAnsi="Book Antiqua"/>
          <w:color w:val="000000" w:themeColor="text1"/>
          <w14:textFill>
            <w14:solidFill>
              <w14:schemeClr w14:val="tx1"/>
            </w14:solidFill>
          </w14:textFill>
        </w:rPr>
        <w:t>: 2154-2162 [PMID: 22647457 DOI: 10.1016/j.clinph.2012.04.025]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6 </w:t>
      </w:r>
      <w:r>
        <w:rPr>
          <w:rFonts w:ascii="Book Antiqua" w:hAnsi="Book Antiqua"/>
          <w:b/>
          <w:bCs/>
          <w:color w:val="000000" w:themeColor="text1"/>
          <w14:textFill>
            <w14:solidFill>
              <w14:schemeClr w14:val="tx1"/>
            </w14:solidFill>
          </w14:textFill>
        </w:rPr>
        <w:t>Porcaro C</w:t>
      </w:r>
      <w:r>
        <w:rPr>
          <w:rFonts w:ascii="Book Antiqua" w:hAnsi="Book Antiqua"/>
          <w:color w:val="000000" w:themeColor="text1"/>
          <w14:textFill>
            <w14:solidFill>
              <w14:schemeClr w14:val="tx1"/>
            </w14:solidFill>
          </w14:textFill>
        </w:rPr>
        <w:t xml:space="preserve">, Balsters JH, Mantini D, Robertson IH, Wenderoth N. P3b amplitude as a signature of cognitive decline in the older population: An EEG study enhanced by Functional Source Separation. </w:t>
      </w:r>
      <w:r>
        <w:rPr>
          <w:rFonts w:ascii="Book Antiqua" w:hAnsi="Book Antiqua"/>
          <w:i/>
          <w:iCs/>
          <w:color w:val="000000" w:themeColor="text1"/>
          <w14:textFill>
            <w14:solidFill>
              <w14:schemeClr w14:val="tx1"/>
            </w14:solidFill>
          </w14:textFill>
        </w:rPr>
        <w:t>Neuroimage</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184</w:t>
      </w:r>
      <w:r>
        <w:rPr>
          <w:rFonts w:ascii="Book Antiqua" w:hAnsi="Book Antiqua"/>
          <w:color w:val="000000" w:themeColor="text1"/>
          <w14:textFill>
            <w14:solidFill>
              <w14:schemeClr w14:val="tx1"/>
            </w14:solidFill>
          </w14:textFill>
        </w:rPr>
        <w:t>: 535-546 [PMID: 30248455 DOI: 10.1016/j.neuroimage.2018.09.057]</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7 </w:t>
      </w:r>
      <w:r>
        <w:rPr>
          <w:rFonts w:ascii="Book Antiqua" w:hAnsi="Book Antiqua"/>
          <w:b/>
          <w:bCs/>
          <w:color w:val="000000" w:themeColor="text1"/>
          <w14:textFill>
            <w14:solidFill>
              <w14:schemeClr w14:val="tx1"/>
            </w14:solidFill>
          </w14:textFill>
        </w:rPr>
        <w:t>Stam CJ</w:t>
      </w:r>
      <w:r>
        <w:rPr>
          <w:rFonts w:ascii="Book Antiqua" w:hAnsi="Book Antiqua"/>
          <w:color w:val="000000" w:themeColor="text1"/>
          <w14:textFill>
            <w14:solidFill>
              <w14:schemeClr w14:val="tx1"/>
            </w14:solidFill>
          </w14:textFill>
        </w:rPr>
        <w:t xml:space="preserve">, de Haan W, Daffertshofer A, Jones BF, Manshanden I, van Cappellen van Walsum AM, Montez T, Verbunt JP, de Munck JC, van Dijk BW, Berendse HW, Scheltens P. Graph theoretical analysis of magnetoencephalographic functional connectivity in Alzheimer's disease. </w:t>
      </w:r>
      <w:r>
        <w:rPr>
          <w:rFonts w:ascii="Book Antiqua" w:hAnsi="Book Antiqua"/>
          <w:i/>
          <w:iCs/>
          <w:color w:val="000000" w:themeColor="text1"/>
          <w14:textFill>
            <w14:solidFill>
              <w14:schemeClr w14:val="tx1"/>
            </w14:solidFill>
          </w14:textFill>
        </w:rPr>
        <w:t>Brain</w:t>
      </w:r>
      <w:r>
        <w:rPr>
          <w:rFonts w:ascii="Book Antiqua" w:hAnsi="Book Antiqua"/>
          <w:color w:val="000000" w:themeColor="text1"/>
          <w14:textFill>
            <w14:solidFill>
              <w14:schemeClr w14:val="tx1"/>
            </w14:solidFill>
          </w14:textFill>
        </w:rPr>
        <w:t xml:space="preserve"> 2009; </w:t>
      </w:r>
      <w:r>
        <w:rPr>
          <w:rFonts w:ascii="Book Antiqua" w:hAnsi="Book Antiqua"/>
          <w:b/>
          <w:bCs/>
          <w:color w:val="000000" w:themeColor="text1"/>
          <w14:textFill>
            <w14:solidFill>
              <w14:schemeClr w14:val="tx1"/>
            </w14:solidFill>
          </w14:textFill>
        </w:rPr>
        <w:t>132</w:t>
      </w:r>
      <w:r>
        <w:rPr>
          <w:rFonts w:ascii="Book Antiqua" w:hAnsi="Book Antiqua"/>
          <w:color w:val="000000" w:themeColor="text1"/>
          <w14:textFill>
            <w14:solidFill>
              <w14:schemeClr w14:val="tx1"/>
            </w14:solidFill>
          </w14:textFill>
        </w:rPr>
        <w:t>: 213-224 [PMID: 18952674 DOI: 10.1093/brain/awn262]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8 </w:t>
      </w:r>
      <w:r>
        <w:rPr>
          <w:rFonts w:ascii="Book Antiqua" w:hAnsi="Book Antiqua"/>
          <w:b/>
          <w:bCs/>
          <w:color w:val="000000" w:themeColor="text1"/>
          <w14:textFill>
            <w14:solidFill>
              <w14:schemeClr w14:val="tx1"/>
            </w14:solidFill>
          </w14:textFill>
        </w:rPr>
        <w:t>Maestú F</w:t>
      </w:r>
      <w:r>
        <w:rPr>
          <w:rFonts w:ascii="Book Antiqua" w:hAnsi="Book Antiqua"/>
          <w:color w:val="000000" w:themeColor="text1"/>
          <w14:textFill>
            <w14:solidFill>
              <w14:schemeClr w14:val="tx1"/>
            </w14:solidFill>
          </w14:textFill>
        </w:rPr>
        <w:t xml:space="preserve">, Campo P, Del Río D, Moratti S, Gil-Gregorio P, Fernández A, Capilla A, Ortiz T. Increased biomagnetic activity in the ventral pathway in mild cognitive impairment. </w:t>
      </w:r>
      <w:r>
        <w:rPr>
          <w:rFonts w:ascii="Book Antiqua" w:hAnsi="Book Antiqua"/>
          <w:i/>
          <w:iCs/>
          <w:color w:val="000000" w:themeColor="text1"/>
          <w14:textFill>
            <w14:solidFill>
              <w14:schemeClr w14:val="tx1"/>
            </w14:solidFill>
          </w14:textFill>
        </w:rPr>
        <w:t>Clin Neurophysiol</w:t>
      </w:r>
      <w:r>
        <w:rPr>
          <w:rFonts w:ascii="Book Antiqua" w:hAnsi="Book Antiqua"/>
          <w:color w:val="000000" w:themeColor="text1"/>
          <w14:textFill>
            <w14:solidFill>
              <w14:schemeClr w14:val="tx1"/>
            </w14:solidFill>
          </w14:textFill>
        </w:rPr>
        <w:t xml:space="preserve"> 2008; </w:t>
      </w:r>
      <w:r>
        <w:rPr>
          <w:rFonts w:ascii="Book Antiqua" w:hAnsi="Book Antiqua"/>
          <w:b/>
          <w:bCs/>
          <w:color w:val="000000" w:themeColor="text1"/>
          <w14:textFill>
            <w14:solidFill>
              <w14:schemeClr w14:val="tx1"/>
            </w14:solidFill>
          </w14:textFill>
        </w:rPr>
        <w:t>119</w:t>
      </w:r>
      <w:r>
        <w:rPr>
          <w:rFonts w:ascii="Book Antiqua" w:hAnsi="Book Antiqua"/>
          <w:color w:val="000000" w:themeColor="text1"/>
          <w14:textFill>
            <w14:solidFill>
              <w14:schemeClr w14:val="tx1"/>
            </w14:solidFill>
          </w14:textFill>
        </w:rPr>
        <w:t>: 1320-1327 [PMID: 18400555 DOI: 10.1016/j.clinph.2008.01.105]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9 </w:t>
      </w:r>
      <w:r>
        <w:rPr>
          <w:rFonts w:ascii="Book Antiqua" w:hAnsi="Book Antiqua"/>
          <w:b/>
          <w:bCs/>
          <w:color w:val="000000" w:themeColor="text1"/>
          <w14:textFill>
            <w14:solidFill>
              <w14:schemeClr w14:val="tx1"/>
            </w14:solidFill>
          </w14:textFill>
        </w:rPr>
        <w:t>López-Sanz D</w:t>
      </w:r>
      <w:r>
        <w:rPr>
          <w:rFonts w:ascii="Book Antiqua" w:hAnsi="Book Antiqua"/>
          <w:color w:val="000000" w:themeColor="text1"/>
          <w14:textFill>
            <w14:solidFill>
              <w14:schemeClr w14:val="tx1"/>
            </w14:solidFill>
          </w14:textFill>
        </w:rPr>
        <w:t xml:space="preserve">, Bruña R, Garcés P, Martín-Buro MC, Walter S, Delgado ML, Montenegro M, López Higes R, Marcos A, Maestú F. Functional Connectivity Disruption in Subjective Cognitive Decline and Mild Cognitive Impairment: A Common Pattern of Alterations. </w:t>
      </w:r>
      <w:r>
        <w:rPr>
          <w:rFonts w:ascii="Book Antiqua" w:hAnsi="Book Antiqua"/>
          <w:i/>
          <w:iCs/>
          <w:color w:val="000000" w:themeColor="text1"/>
          <w14:textFill>
            <w14:solidFill>
              <w14:schemeClr w14:val="tx1"/>
            </w14:solidFill>
          </w14:textFill>
        </w:rPr>
        <w:t>Front Aging Neurosci</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9</w:t>
      </w:r>
      <w:r>
        <w:rPr>
          <w:rFonts w:ascii="Book Antiqua" w:hAnsi="Book Antiqua"/>
          <w:color w:val="000000" w:themeColor="text1"/>
          <w14:textFill>
            <w14:solidFill>
              <w14:schemeClr w14:val="tx1"/>
            </w14:solidFill>
          </w14:textFill>
        </w:rPr>
        <w:t>: 109 [PMID: 28484387 DOI: 10.3389/fnagi.2017.00109]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10 </w:t>
      </w:r>
      <w:r>
        <w:rPr>
          <w:rFonts w:ascii="Book Antiqua" w:hAnsi="Book Antiqua"/>
          <w:b/>
          <w:bCs/>
          <w:color w:val="000000" w:themeColor="text1"/>
          <w14:textFill>
            <w14:solidFill>
              <w14:schemeClr w14:val="tx1"/>
            </w14:solidFill>
          </w14:textFill>
        </w:rPr>
        <w:t>Wolvetang EJ</w:t>
      </w:r>
      <w:r>
        <w:rPr>
          <w:rFonts w:ascii="Book Antiqua" w:hAnsi="Book Antiqua"/>
          <w:color w:val="000000" w:themeColor="text1"/>
          <w14:textFill>
            <w14:solidFill>
              <w14:schemeClr w14:val="tx1"/>
            </w14:solidFill>
          </w14:textFill>
        </w:rPr>
        <w:t xml:space="preserve">, Bradfield OM, Hatzistavrou T, Crack PJ, Busciglio J, Kola I, Hertzog PJ. Overexpression of the chromosome 21 transcription factor Ets2 induces neuronal apoptosis. </w:t>
      </w:r>
      <w:r>
        <w:rPr>
          <w:rFonts w:ascii="Book Antiqua" w:hAnsi="Book Antiqua"/>
          <w:i/>
          <w:iCs/>
          <w:color w:val="000000" w:themeColor="text1"/>
          <w14:textFill>
            <w14:solidFill>
              <w14:schemeClr w14:val="tx1"/>
            </w14:solidFill>
          </w14:textFill>
        </w:rPr>
        <w:t>Neurobiol Dis</w:t>
      </w:r>
      <w:r>
        <w:rPr>
          <w:rFonts w:ascii="Book Antiqua" w:hAnsi="Book Antiqua"/>
          <w:color w:val="000000" w:themeColor="text1"/>
          <w14:textFill>
            <w14:solidFill>
              <w14:schemeClr w14:val="tx1"/>
            </w14:solidFill>
          </w14:textFill>
        </w:rPr>
        <w:t xml:space="preserve"> 2003; </w:t>
      </w:r>
      <w:r>
        <w:rPr>
          <w:rFonts w:ascii="Book Antiqua" w:hAnsi="Book Antiqua"/>
          <w:b/>
          <w:bCs/>
          <w:color w:val="000000" w:themeColor="text1"/>
          <w14:textFill>
            <w14:solidFill>
              <w14:schemeClr w14:val="tx1"/>
            </w14:solidFill>
          </w14:textFill>
        </w:rPr>
        <w:t>14</w:t>
      </w:r>
      <w:r>
        <w:rPr>
          <w:rFonts w:ascii="Book Antiqua" w:hAnsi="Book Antiqua"/>
          <w:color w:val="000000" w:themeColor="text1"/>
          <w14:textFill>
            <w14:solidFill>
              <w14:schemeClr w14:val="tx1"/>
            </w14:solidFill>
          </w14:textFill>
        </w:rPr>
        <w:t>: 349-356 [PMID: 14678752 DOI: 10.1016/s0969-9961(03)00107-4]</w:t>
      </w:r>
    </w:p>
    <w:p>
      <w:pPr>
        <w:spacing w:line="360" w:lineRule="auto"/>
        <w:jc w:val="both"/>
        <w:rPr>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Mehdipour P,</w:t>
      </w:r>
      <w:r>
        <w:rPr>
          <w:rFonts w:ascii="Book Antiqua" w:hAnsi="Book Antiqua" w:eastAsia="Book Antiqua" w:cs="Book Antiqua"/>
          <w:color w:val="000000" w:themeColor="text1"/>
          <w14:textFill>
            <w14:solidFill>
              <w14:schemeClr w14:val="tx1"/>
            </w14:solidFill>
          </w14:textFill>
        </w:rPr>
        <w:t xml:space="preserve"> Javan J, Estiar MA, Khaleghian M, Novin N, Zaeim G, Kohan H, Akhondzadeh S. Protein Expression of ETS2 in Alzheimer’s Disease and Down’s syndrome as a Personalized Insight: One Gene, One Feature in Common, Diverse-Function-and Diseases. </w:t>
      </w:r>
      <w:r>
        <w:rPr>
          <w:rFonts w:ascii="Book Antiqua" w:hAnsi="Book Antiqua" w:eastAsia="Book Antiqua" w:cs="Book Antiqua"/>
          <w:i/>
          <w:color w:val="000000" w:themeColor="text1"/>
          <w14:textFill>
            <w14:solidFill>
              <w14:schemeClr w14:val="tx1"/>
            </w14:solidFill>
          </w14:textFill>
        </w:rPr>
        <w:t>SRL Neuro Neurosur</w:t>
      </w:r>
      <w:r>
        <w:rPr>
          <w:rFonts w:ascii="Book Antiqua" w:hAnsi="Book Antiqua" w:eastAsia="Book Antiqua" w:cs="Book Antiqua"/>
          <w:color w:val="000000" w:themeColor="text1"/>
          <w14:textFill>
            <w14:solidFill>
              <w14:schemeClr w14:val="tx1"/>
            </w14:solidFill>
          </w14:textFill>
        </w:rPr>
        <w:t xml:space="preserve"> 2017;</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001-007</w:t>
      </w:r>
      <w:r>
        <w:rPr>
          <w:rFonts w:ascii="Book Antiqua" w:hAnsi="Book Antiqua" w:eastAsia="Book Antiqua" w:cs="Book Antiqua"/>
        </w:rPr>
        <w:t xml:space="preserve"> [DOI:</w:t>
      </w:r>
      <w:r>
        <w:rPr>
          <w:rFonts w:hint="eastAsia" w:ascii="Book Antiqua" w:hAnsi="Book Antiqua" w:cs="Book Antiqua"/>
          <w:lang w:eastAsia="zh-CN"/>
        </w:rPr>
        <w:t xml:space="preserve"> </w:t>
      </w:r>
      <w:r>
        <w:rPr>
          <w:rFonts w:ascii="Book Antiqua" w:hAnsi="Book Antiqua" w:eastAsia="Book Antiqua" w:cs="Book Antiqua"/>
        </w:rPr>
        <w:t>10.3233/cbm-160546]</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12 </w:t>
      </w:r>
      <w:r>
        <w:rPr>
          <w:rFonts w:ascii="Book Antiqua" w:hAnsi="Book Antiqua"/>
          <w:b/>
          <w:bCs/>
          <w:color w:val="000000" w:themeColor="text1"/>
          <w14:textFill>
            <w14:solidFill>
              <w14:schemeClr w14:val="tx1"/>
            </w14:solidFill>
          </w14:textFill>
        </w:rPr>
        <w:t>Mehdipour P</w:t>
      </w:r>
      <w:r>
        <w:rPr>
          <w:rFonts w:ascii="Book Antiqua" w:hAnsi="Book Antiqua"/>
          <w:color w:val="000000" w:themeColor="text1"/>
          <w14:textFill>
            <w14:solidFill>
              <w14:schemeClr w14:val="tx1"/>
            </w14:solidFill>
          </w14:textFill>
        </w:rPr>
        <w:t xml:space="preserve">, Javan F, Jouibari MF, Khaleghi M, Mehrazin M. Evolutionary model of brain tumor circulating cells: Cellular galaxy. </w:t>
      </w:r>
      <w:r>
        <w:rPr>
          <w:rFonts w:ascii="Book Antiqua" w:hAnsi="Book Antiqua"/>
          <w:i/>
          <w:iCs/>
          <w:color w:val="000000" w:themeColor="text1"/>
          <w14:textFill>
            <w14:solidFill>
              <w14:schemeClr w14:val="tx1"/>
            </w14:solidFill>
          </w14:textFill>
        </w:rPr>
        <w:t>World J Clin Oncol</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12</w:t>
      </w:r>
      <w:r>
        <w:rPr>
          <w:rFonts w:ascii="Book Antiqua" w:hAnsi="Book Antiqua"/>
          <w:color w:val="000000" w:themeColor="text1"/>
          <w14:textFill>
            <w14:solidFill>
              <w14:schemeClr w14:val="tx1"/>
            </w14:solidFill>
          </w14:textFill>
        </w:rPr>
        <w:t>: 13-30 [PMID: 33552936 DOI: 10.5306/wjco.v12.i1.13]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13 </w:t>
      </w:r>
      <w:r>
        <w:rPr>
          <w:rFonts w:ascii="Book Antiqua" w:hAnsi="Book Antiqua"/>
          <w:b/>
          <w:bCs/>
          <w:color w:val="000000" w:themeColor="text1"/>
          <w14:textFill>
            <w14:solidFill>
              <w14:schemeClr w14:val="tx1"/>
            </w14:solidFill>
          </w14:textFill>
        </w:rPr>
        <w:t>Mehdipour P</w:t>
      </w:r>
      <w:r>
        <w:rPr>
          <w:rFonts w:ascii="Book Antiqua" w:hAnsi="Book Antiqua"/>
          <w:color w:val="000000" w:themeColor="text1"/>
          <w14:textFill>
            <w14:solidFill>
              <w14:schemeClr w14:val="tx1"/>
            </w14:solidFill>
          </w14:textFill>
        </w:rPr>
        <w:t xml:space="preserve">, Javan F, Faghih-Jouibari M, Khaleghi M. Diversity in tumor territory of meningioma: Protein expression in vascular endothelial growth factor and epidermal growth factor. </w:t>
      </w:r>
      <w:r>
        <w:rPr>
          <w:rFonts w:ascii="Book Antiqua" w:hAnsi="Book Antiqua"/>
          <w:i/>
          <w:iCs/>
          <w:color w:val="000000" w:themeColor="text1"/>
          <w14:textFill>
            <w14:solidFill>
              <w14:schemeClr w14:val="tx1"/>
            </w14:solidFill>
          </w14:textFill>
        </w:rPr>
        <w:t>Iran J Neurol</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18</w:t>
      </w:r>
      <w:r>
        <w:rPr>
          <w:rFonts w:ascii="Book Antiqua" w:hAnsi="Book Antiqua"/>
          <w:color w:val="000000" w:themeColor="text1"/>
          <w14:textFill>
            <w14:solidFill>
              <w14:schemeClr w14:val="tx1"/>
            </w14:solidFill>
          </w14:textFill>
        </w:rPr>
        <w:t>: 43-49 [PMID: 31565199]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14 </w:t>
      </w:r>
      <w:r>
        <w:rPr>
          <w:rFonts w:ascii="Book Antiqua" w:hAnsi="Book Antiqua"/>
          <w:b/>
          <w:bCs/>
          <w:color w:val="000000" w:themeColor="text1"/>
          <w14:textFill>
            <w14:solidFill>
              <w14:schemeClr w14:val="tx1"/>
            </w14:solidFill>
          </w14:textFill>
        </w:rPr>
        <w:t>Buzsáki G</w:t>
      </w:r>
      <w:r>
        <w:rPr>
          <w:rFonts w:ascii="Book Antiqua" w:hAnsi="Book Antiqua"/>
          <w:color w:val="000000" w:themeColor="text1"/>
          <w14:textFill>
            <w14:solidFill>
              <w14:schemeClr w14:val="tx1"/>
            </w14:solidFill>
          </w14:textFill>
        </w:rPr>
        <w:t xml:space="preserve">, Anastassiou CA, Koch C. The origin of extracellular fields and currents--EEG, ECoG, LFP and spikes. </w:t>
      </w:r>
      <w:r>
        <w:rPr>
          <w:rFonts w:ascii="Book Antiqua" w:hAnsi="Book Antiqua"/>
          <w:i/>
          <w:iCs/>
          <w:color w:val="000000" w:themeColor="text1"/>
          <w14:textFill>
            <w14:solidFill>
              <w14:schemeClr w14:val="tx1"/>
            </w14:solidFill>
          </w14:textFill>
        </w:rPr>
        <w:t>Nat Rev Neurosci</w:t>
      </w:r>
      <w:r>
        <w:rPr>
          <w:rFonts w:ascii="Book Antiqua" w:hAnsi="Book Antiqua"/>
          <w:color w:val="000000" w:themeColor="text1"/>
          <w14:textFill>
            <w14:solidFill>
              <w14:schemeClr w14:val="tx1"/>
            </w14:solidFill>
          </w14:textFill>
        </w:rPr>
        <w:t xml:space="preserve"> 2012; </w:t>
      </w:r>
      <w:r>
        <w:rPr>
          <w:rFonts w:ascii="Book Antiqua" w:hAnsi="Book Antiqua"/>
          <w:b/>
          <w:bCs/>
          <w:color w:val="000000" w:themeColor="text1"/>
          <w14:textFill>
            <w14:solidFill>
              <w14:schemeClr w14:val="tx1"/>
            </w14:solidFill>
          </w14:textFill>
        </w:rPr>
        <w:t>13</w:t>
      </w:r>
      <w:r>
        <w:rPr>
          <w:rFonts w:ascii="Book Antiqua" w:hAnsi="Book Antiqua"/>
          <w:color w:val="000000" w:themeColor="text1"/>
          <w14:textFill>
            <w14:solidFill>
              <w14:schemeClr w14:val="tx1"/>
            </w14:solidFill>
          </w14:textFill>
        </w:rPr>
        <w:t>: 407-420 [PMID: 22595786 DOI: 10.1038/nrn3241]</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15 </w:t>
      </w:r>
      <w:r>
        <w:rPr>
          <w:rFonts w:ascii="Book Antiqua" w:hAnsi="Book Antiqua"/>
          <w:b/>
          <w:bCs/>
          <w:color w:val="000000" w:themeColor="text1"/>
          <w14:textFill>
            <w14:solidFill>
              <w14:schemeClr w14:val="tx1"/>
            </w14:solidFill>
          </w14:textFill>
        </w:rPr>
        <w:t>Alix-Panabières C</w:t>
      </w:r>
      <w:r>
        <w:rPr>
          <w:rFonts w:ascii="Book Antiqua" w:hAnsi="Book Antiqua"/>
          <w:color w:val="000000" w:themeColor="text1"/>
          <w14:textFill>
            <w14:solidFill>
              <w14:schemeClr w14:val="tx1"/>
            </w14:solidFill>
          </w14:textFill>
        </w:rPr>
        <w:t xml:space="preserve">, Pantel K. Challenges in circulating tumour cell research. </w:t>
      </w:r>
      <w:r>
        <w:rPr>
          <w:rFonts w:ascii="Book Antiqua" w:hAnsi="Book Antiqua"/>
          <w:i/>
          <w:iCs/>
          <w:color w:val="000000" w:themeColor="text1"/>
          <w14:textFill>
            <w14:solidFill>
              <w14:schemeClr w14:val="tx1"/>
            </w14:solidFill>
          </w14:textFill>
        </w:rPr>
        <w:t>Nat Rev Cancer</w:t>
      </w:r>
      <w:r>
        <w:rPr>
          <w:rFonts w:ascii="Book Antiqua" w:hAnsi="Book Antiqua"/>
          <w:color w:val="000000" w:themeColor="text1"/>
          <w14:textFill>
            <w14:solidFill>
              <w14:schemeClr w14:val="tx1"/>
            </w14:solidFill>
          </w14:textFill>
        </w:rPr>
        <w:t xml:space="preserve"> 2014; </w:t>
      </w:r>
      <w:r>
        <w:rPr>
          <w:rFonts w:ascii="Book Antiqua" w:hAnsi="Book Antiqua"/>
          <w:b/>
          <w:bCs/>
          <w:color w:val="000000" w:themeColor="text1"/>
          <w14:textFill>
            <w14:solidFill>
              <w14:schemeClr w14:val="tx1"/>
            </w14:solidFill>
          </w14:textFill>
        </w:rPr>
        <w:t>14</w:t>
      </w:r>
      <w:r>
        <w:rPr>
          <w:rFonts w:ascii="Book Antiqua" w:hAnsi="Book Antiqua"/>
          <w:color w:val="000000" w:themeColor="text1"/>
          <w14:textFill>
            <w14:solidFill>
              <w14:schemeClr w14:val="tx1"/>
            </w14:solidFill>
          </w14:textFill>
        </w:rPr>
        <w:t>: 623-631 [PMID: 25154812 DOI: 10.1038/nrc3820]</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16 </w:t>
      </w:r>
      <w:r>
        <w:rPr>
          <w:rFonts w:ascii="Book Antiqua" w:hAnsi="Book Antiqua"/>
          <w:b/>
          <w:bCs/>
          <w:color w:val="000000" w:themeColor="text1"/>
          <w14:textFill>
            <w14:solidFill>
              <w14:schemeClr w14:val="tx1"/>
            </w14:solidFill>
          </w14:textFill>
        </w:rPr>
        <w:t>Jelski W</w:t>
      </w:r>
      <w:r>
        <w:rPr>
          <w:rFonts w:ascii="Book Antiqua" w:hAnsi="Book Antiqua"/>
          <w:color w:val="000000" w:themeColor="text1"/>
          <w14:textFill>
            <w14:solidFill>
              <w14:schemeClr w14:val="tx1"/>
            </w14:solidFill>
          </w14:textFill>
        </w:rPr>
        <w:t xml:space="preserve">, Mroczko B. Molecular and Circulating Biomarkers of Brain Tumors. </w:t>
      </w:r>
      <w:r>
        <w:rPr>
          <w:rFonts w:ascii="Book Antiqua" w:hAnsi="Book Antiqua"/>
          <w:i/>
          <w:iCs/>
          <w:color w:val="000000" w:themeColor="text1"/>
          <w14:textFill>
            <w14:solidFill>
              <w14:schemeClr w14:val="tx1"/>
            </w14:solidFill>
          </w14:textFill>
        </w:rPr>
        <w:t>Int J Mol Sci</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22</w:t>
      </w:r>
      <w:r>
        <w:rPr>
          <w:rFonts w:ascii="Book Antiqua" w:hAnsi="Book Antiqua"/>
          <w:color w:val="000000" w:themeColor="text1"/>
          <w14:textFill>
            <w14:solidFill>
              <w14:schemeClr w14:val="tx1"/>
            </w14:solidFill>
          </w14:textFill>
        </w:rPr>
        <w:t xml:space="preserve"> [PMID: 34210107 DOI: 10.3390/ijms22137039]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17 </w:t>
      </w:r>
      <w:r>
        <w:rPr>
          <w:rFonts w:ascii="Book Antiqua" w:hAnsi="Book Antiqua"/>
          <w:b/>
          <w:bCs/>
          <w:color w:val="000000" w:themeColor="text1"/>
          <w14:textFill>
            <w14:solidFill>
              <w14:schemeClr w14:val="tx1"/>
            </w14:solidFill>
          </w14:textFill>
        </w:rPr>
        <w:t>Dubois B</w:t>
      </w:r>
      <w:r>
        <w:rPr>
          <w:rFonts w:ascii="Book Antiqua" w:hAnsi="Book Antiqua"/>
          <w:color w:val="000000" w:themeColor="text1"/>
          <w14:textFill>
            <w14:solidFill>
              <w14:schemeClr w14:val="tx1"/>
            </w14:solidFill>
          </w14:textFill>
        </w:rPr>
        <w:t xml:space="preserve">, Hampel H, Feldman HH, Scheltens P, Aisen P, Andrieu S, Bakardjian H, Benali H, Bertram L, Blennow K, Broich K, Cavedo E, Crutch S, Dartigues JF, Duyckaerts C, Epelbaum S, Frisoni GB, Gauthier S, Genthon R, Gouw AA, Habert MO, Holtzman DM, Kivipelto M, Lista S, Molinuevo JL, O'Bryant SE, Rabinovici GD, Rowe C, Salloway S, Schneider LS, Sperling R, Teichmann M, Carrillo MC, Cummings J, Jack CR Jr; Proceedings of the Meeting of the International Working Group (IWG) and the American Alzheimer's Association on “The Preclinical State of AD”; July 23, 2015; Washington DC, USA. Preclinical Alzheimer's disease: Definition, natural history, and diagnostic criteria. </w:t>
      </w:r>
      <w:r>
        <w:rPr>
          <w:rFonts w:ascii="Book Antiqua" w:hAnsi="Book Antiqua"/>
          <w:i/>
          <w:iCs/>
          <w:color w:val="000000" w:themeColor="text1"/>
          <w14:textFill>
            <w14:solidFill>
              <w14:schemeClr w14:val="tx1"/>
            </w14:solidFill>
          </w14:textFill>
        </w:rPr>
        <w:t>Alzheimers Dement</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12</w:t>
      </w:r>
      <w:r>
        <w:rPr>
          <w:rFonts w:ascii="Book Antiqua" w:hAnsi="Book Antiqua"/>
          <w:color w:val="000000" w:themeColor="text1"/>
          <w14:textFill>
            <w14:solidFill>
              <w14:schemeClr w14:val="tx1"/>
            </w14:solidFill>
          </w14:textFill>
        </w:rPr>
        <w:t>: 292-323 [PMID: 27012484 DOI: 10.1016/j.jalz.2016.02.002]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18 </w:t>
      </w:r>
      <w:r>
        <w:rPr>
          <w:rFonts w:ascii="Book Antiqua" w:hAnsi="Book Antiqua"/>
          <w:b/>
          <w:bCs/>
          <w:color w:val="000000" w:themeColor="text1"/>
          <w14:textFill>
            <w14:solidFill>
              <w14:schemeClr w14:val="tx1"/>
            </w14:solidFill>
          </w14:textFill>
        </w:rPr>
        <w:t>World Alzheimer Report 2015</w:t>
      </w:r>
      <w:r>
        <w:rPr>
          <w:rFonts w:ascii="Book Antiqua" w:hAnsi="Book Antiqua"/>
          <w:color w:val="000000" w:themeColor="text1"/>
          <w14:textFill>
            <w14:solidFill>
              <w14:schemeClr w14:val="tx1"/>
            </w14:solidFill>
          </w14:textFill>
        </w:rPr>
        <w:t>. The Global Impact of Dementia: An analysis of prevalence, incidence, cost and trends. Alzheimer's disease International. 2015. Available from: https://www.alzint.org/resource/world-alzheimer-report-2015/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19 </w:t>
      </w:r>
      <w:r>
        <w:rPr>
          <w:rFonts w:ascii="Book Antiqua" w:hAnsi="Book Antiqua"/>
          <w:b/>
          <w:bCs/>
          <w:color w:val="000000" w:themeColor="text1"/>
          <w14:textFill>
            <w14:solidFill>
              <w14:schemeClr w14:val="tx1"/>
            </w14:solidFill>
          </w14:textFill>
        </w:rPr>
        <w:t>Dauphinot L</w:t>
      </w:r>
      <w:r>
        <w:rPr>
          <w:rFonts w:ascii="Book Antiqua" w:hAnsi="Book Antiqua"/>
          <w:color w:val="000000" w:themeColor="text1"/>
          <w14:textFill>
            <w14:solidFill>
              <w14:schemeClr w14:val="tx1"/>
            </w14:solidFill>
          </w14:textFill>
        </w:rPr>
        <w:t xml:space="preserve">, Lyle R, Rivals I, Dang MT, Moldrich RX, Golfier G, Ettwiller L, Toyama K, Rossier J, Personnaz L, Antonarakis SE, Epstein CJ, Sinet PM, Potier MC. The cerebellar transcriptome during postnatal development of the Ts1Cje mouse, a segmental trisomy model for Down syndrome. </w:t>
      </w:r>
      <w:r>
        <w:rPr>
          <w:rFonts w:ascii="Book Antiqua" w:hAnsi="Book Antiqua"/>
          <w:i/>
          <w:iCs/>
          <w:color w:val="000000" w:themeColor="text1"/>
          <w14:textFill>
            <w14:solidFill>
              <w14:schemeClr w14:val="tx1"/>
            </w14:solidFill>
          </w14:textFill>
        </w:rPr>
        <w:t>Hum Mol Genet</w:t>
      </w:r>
      <w:r>
        <w:rPr>
          <w:rFonts w:ascii="Book Antiqua" w:hAnsi="Book Antiqua"/>
          <w:color w:val="000000" w:themeColor="text1"/>
          <w14:textFill>
            <w14:solidFill>
              <w14:schemeClr w14:val="tx1"/>
            </w14:solidFill>
          </w14:textFill>
        </w:rPr>
        <w:t xml:space="preserve"> 2005; </w:t>
      </w:r>
      <w:r>
        <w:rPr>
          <w:rFonts w:ascii="Book Antiqua" w:hAnsi="Book Antiqua"/>
          <w:b/>
          <w:bCs/>
          <w:color w:val="000000" w:themeColor="text1"/>
          <w14:textFill>
            <w14:solidFill>
              <w14:schemeClr w14:val="tx1"/>
            </w14:solidFill>
          </w14:textFill>
        </w:rPr>
        <w:t>14</w:t>
      </w:r>
      <w:r>
        <w:rPr>
          <w:rFonts w:ascii="Book Antiqua" w:hAnsi="Book Antiqua"/>
          <w:color w:val="000000" w:themeColor="text1"/>
          <w14:textFill>
            <w14:solidFill>
              <w14:schemeClr w14:val="tx1"/>
            </w14:solidFill>
          </w14:textFill>
        </w:rPr>
        <w:t>: 373-384 [PMID: 15590701 DOI: 10.1093/hmg/ddi033]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20 </w:t>
      </w:r>
      <w:r>
        <w:rPr>
          <w:rFonts w:ascii="Book Antiqua" w:hAnsi="Book Antiqua"/>
          <w:b/>
          <w:bCs/>
          <w:color w:val="000000" w:themeColor="text1"/>
          <w14:textFill>
            <w14:solidFill>
              <w14:schemeClr w14:val="tx1"/>
            </w14:solidFill>
          </w14:textFill>
        </w:rPr>
        <w:t>Lyle R</w:t>
      </w:r>
      <w:r>
        <w:rPr>
          <w:rFonts w:ascii="Book Antiqua" w:hAnsi="Book Antiqua"/>
          <w:color w:val="000000" w:themeColor="text1"/>
          <w14:textFill>
            <w14:solidFill>
              <w14:schemeClr w14:val="tx1"/>
            </w14:solidFill>
          </w14:textFill>
        </w:rPr>
        <w:t xml:space="preserve">, Gehrig C, Neergaard-Henrichsen C, Deutsch S, Antonarakis SE. Gene expression from the aneuploid chromosome in a trisomy mouse model of down syndrome. </w:t>
      </w:r>
      <w:r>
        <w:rPr>
          <w:rFonts w:ascii="Book Antiqua" w:hAnsi="Book Antiqua"/>
          <w:i/>
          <w:iCs/>
          <w:color w:val="000000" w:themeColor="text1"/>
          <w14:textFill>
            <w14:solidFill>
              <w14:schemeClr w14:val="tx1"/>
            </w14:solidFill>
          </w14:textFill>
        </w:rPr>
        <w:t>Genome Res</w:t>
      </w:r>
      <w:r>
        <w:rPr>
          <w:rFonts w:ascii="Book Antiqua" w:hAnsi="Book Antiqua"/>
          <w:color w:val="000000" w:themeColor="text1"/>
          <w14:textFill>
            <w14:solidFill>
              <w14:schemeClr w14:val="tx1"/>
            </w14:solidFill>
          </w14:textFill>
        </w:rPr>
        <w:t xml:space="preserve"> 2004; </w:t>
      </w:r>
      <w:r>
        <w:rPr>
          <w:rFonts w:ascii="Book Antiqua" w:hAnsi="Book Antiqua"/>
          <w:b/>
          <w:bCs/>
          <w:color w:val="000000" w:themeColor="text1"/>
          <w14:textFill>
            <w14:solidFill>
              <w14:schemeClr w14:val="tx1"/>
            </w14:solidFill>
          </w14:textFill>
        </w:rPr>
        <w:t>14</w:t>
      </w:r>
      <w:r>
        <w:rPr>
          <w:rFonts w:ascii="Book Antiqua" w:hAnsi="Book Antiqua"/>
          <w:color w:val="000000" w:themeColor="text1"/>
          <w14:textFill>
            <w14:solidFill>
              <w14:schemeClr w14:val="tx1"/>
            </w14:solidFill>
          </w14:textFill>
        </w:rPr>
        <w:t>: 1268-1274 [PMID: 15231743 DOI: 10.1101/gr.2090904]</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21 </w:t>
      </w:r>
      <w:r>
        <w:rPr>
          <w:rFonts w:ascii="Book Antiqua" w:hAnsi="Book Antiqua"/>
          <w:b/>
          <w:bCs/>
          <w:color w:val="000000" w:themeColor="text1"/>
          <w14:textFill>
            <w14:solidFill>
              <w14:schemeClr w14:val="tx1"/>
            </w14:solidFill>
          </w14:textFill>
        </w:rPr>
        <w:t>Saran NG</w:t>
      </w:r>
      <w:r>
        <w:rPr>
          <w:rFonts w:ascii="Book Antiqua" w:hAnsi="Book Antiqua"/>
          <w:color w:val="000000" w:themeColor="text1"/>
          <w14:textFill>
            <w14:solidFill>
              <w14:schemeClr w14:val="tx1"/>
            </w14:solidFill>
          </w14:textFill>
        </w:rPr>
        <w:t xml:space="preserve">, Pletcher MT, Natale JE, Cheng Y, Reeves RH. Global disruption of the cerebellar transcriptome in a Down syndrome mouse model. </w:t>
      </w:r>
      <w:r>
        <w:rPr>
          <w:rFonts w:ascii="Book Antiqua" w:hAnsi="Book Antiqua"/>
          <w:i/>
          <w:iCs/>
          <w:color w:val="000000" w:themeColor="text1"/>
          <w14:textFill>
            <w14:solidFill>
              <w14:schemeClr w14:val="tx1"/>
            </w14:solidFill>
          </w14:textFill>
        </w:rPr>
        <w:t>Hum Mol Genet</w:t>
      </w:r>
      <w:r>
        <w:rPr>
          <w:rFonts w:ascii="Book Antiqua" w:hAnsi="Book Antiqua"/>
          <w:color w:val="000000" w:themeColor="text1"/>
          <w14:textFill>
            <w14:solidFill>
              <w14:schemeClr w14:val="tx1"/>
            </w14:solidFill>
          </w14:textFill>
        </w:rPr>
        <w:t xml:space="preserve"> 2003; </w:t>
      </w:r>
      <w:r>
        <w:rPr>
          <w:rFonts w:ascii="Book Antiqua" w:hAnsi="Book Antiqua"/>
          <w:b/>
          <w:bCs/>
          <w:color w:val="000000" w:themeColor="text1"/>
          <w14:textFill>
            <w14:solidFill>
              <w14:schemeClr w14:val="tx1"/>
            </w14:solidFill>
          </w14:textFill>
        </w:rPr>
        <w:t>12</w:t>
      </w:r>
      <w:r>
        <w:rPr>
          <w:rFonts w:ascii="Book Antiqua" w:hAnsi="Book Antiqua"/>
          <w:color w:val="000000" w:themeColor="text1"/>
          <w14:textFill>
            <w14:solidFill>
              <w14:schemeClr w14:val="tx1"/>
            </w14:solidFill>
          </w14:textFill>
        </w:rPr>
        <w:t>: 2013-2019 [PMID: 12913072 DOI: 10.1093/hmg/ddg217]</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22 </w:t>
      </w:r>
      <w:r>
        <w:rPr>
          <w:rFonts w:ascii="Book Antiqua" w:hAnsi="Book Antiqua"/>
          <w:b/>
          <w:bCs/>
          <w:color w:val="000000" w:themeColor="text1"/>
          <w14:textFill>
            <w14:solidFill>
              <w14:schemeClr w14:val="tx1"/>
            </w14:solidFill>
          </w14:textFill>
        </w:rPr>
        <w:t>Rachidi M</w:t>
      </w:r>
      <w:r>
        <w:rPr>
          <w:rFonts w:ascii="Book Antiqua" w:hAnsi="Book Antiqua"/>
          <w:color w:val="000000" w:themeColor="text1"/>
          <w14:textFill>
            <w14:solidFill>
              <w14:schemeClr w14:val="tx1"/>
            </w14:solidFill>
          </w14:textFill>
        </w:rPr>
        <w:t xml:space="preserve">, Lopes C. Mental retardation in Down syndrome: from gene dosage imbalance to molecular and cellular mechanisms. </w:t>
      </w:r>
      <w:r>
        <w:rPr>
          <w:rFonts w:ascii="Book Antiqua" w:hAnsi="Book Antiqua"/>
          <w:i/>
          <w:iCs/>
          <w:color w:val="000000" w:themeColor="text1"/>
          <w14:textFill>
            <w14:solidFill>
              <w14:schemeClr w14:val="tx1"/>
            </w14:solidFill>
          </w14:textFill>
        </w:rPr>
        <w:t>Neurosci Res</w:t>
      </w:r>
      <w:r>
        <w:rPr>
          <w:rFonts w:ascii="Book Antiqua" w:hAnsi="Book Antiqua"/>
          <w:color w:val="000000" w:themeColor="text1"/>
          <w14:textFill>
            <w14:solidFill>
              <w14:schemeClr w14:val="tx1"/>
            </w14:solidFill>
          </w14:textFill>
        </w:rPr>
        <w:t xml:space="preserve"> 2007; </w:t>
      </w:r>
      <w:r>
        <w:rPr>
          <w:rFonts w:ascii="Book Antiqua" w:hAnsi="Book Antiqua"/>
          <w:b/>
          <w:bCs/>
          <w:color w:val="000000" w:themeColor="text1"/>
          <w14:textFill>
            <w14:solidFill>
              <w14:schemeClr w14:val="tx1"/>
            </w14:solidFill>
          </w14:textFill>
        </w:rPr>
        <w:t>59</w:t>
      </w:r>
      <w:r>
        <w:rPr>
          <w:rFonts w:ascii="Book Antiqua" w:hAnsi="Book Antiqua"/>
          <w:color w:val="000000" w:themeColor="text1"/>
          <w14:textFill>
            <w14:solidFill>
              <w14:schemeClr w14:val="tx1"/>
            </w14:solidFill>
          </w14:textFill>
        </w:rPr>
        <w:t>: 349-369 [PMID: 17897742 DOI: 10.1016/j.neures.2007.08.007]</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23 </w:t>
      </w:r>
      <w:r>
        <w:rPr>
          <w:rFonts w:ascii="Book Antiqua" w:hAnsi="Book Antiqua"/>
          <w:b/>
          <w:bCs/>
          <w:color w:val="000000" w:themeColor="text1"/>
          <w14:textFill>
            <w14:solidFill>
              <w14:schemeClr w14:val="tx1"/>
            </w14:solidFill>
          </w14:textFill>
        </w:rPr>
        <w:t>Cimenser A</w:t>
      </w:r>
      <w:r>
        <w:rPr>
          <w:rFonts w:ascii="Book Antiqua" w:hAnsi="Book Antiqua"/>
          <w:color w:val="000000" w:themeColor="text1"/>
          <w14:textFill>
            <w14:solidFill>
              <w14:schemeClr w14:val="tx1"/>
            </w14:solidFill>
          </w14:textFill>
        </w:rPr>
        <w:t xml:space="preserve">, Hempel E, Travers T, Strozewski N, Martin K, Malchano Z, Hajós M. Sensory-Evoked 40-Hz Gamma Oscillation Improves Sleep and Daily Living Activities in Alzheimer's Disease Patients. </w:t>
      </w:r>
      <w:r>
        <w:rPr>
          <w:rFonts w:ascii="Book Antiqua" w:hAnsi="Book Antiqua"/>
          <w:i/>
          <w:iCs/>
          <w:color w:val="000000" w:themeColor="text1"/>
          <w14:textFill>
            <w14:solidFill>
              <w14:schemeClr w14:val="tx1"/>
            </w14:solidFill>
          </w14:textFill>
        </w:rPr>
        <w:t>Front Syst Neurosci</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15</w:t>
      </w:r>
      <w:r>
        <w:rPr>
          <w:rFonts w:ascii="Book Antiqua" w:hAnsi="Book Antiqua"/>
          <w:color w:val="000000" w:themeColor="text1"/>
          <w14:textFill>
            <w14:solidFill>
              <w14:schemeClr w14:val="tx1"/>
            </w14:solidFill>
          </w14:textFill>
        </w:rPr>
        <w:t>: 746859 [PMID: 34630050 DOI: 10.3389/fnsys.2021.746859]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24 </w:t>
      </w:r>
      <w:r>
        <w:rPr>
          <w:rFonts w:ascii="Book Antiqua" w:hAnsi="Book Antiqua"/>
          <w:b/>
          <w:bCs/>
          <w:color w:val="000000" w:themeColor="text1"/>
          <w14:textFill>
            <w14:solidFill>
              <w14:schemeClr w14:val="tx1"/>
            </w14:solidFill>
          </w14:textFill>
        </w:rPr>
        <w:t>Damasio AR</w:t>
      </w:r>
      <w:r>
        <w:rPr>
          <w:rFonts w:ascii="Book Antiqua" w:hAnsi="Book Antiqua"/>
          <w:color w:val="000000" w:themeColor="text1"/>
          <w14:textFill>
            <w14:solidFill>
              <w14:schemeClr w14:val="tx1"/>
            </w14:solidFill>
          </w14:textFill>
        </w:rPr>
        <w:t xml:space="preserve">. Descartes' error and the future of human life. </w:t>
      </w:r>
      <w:r>
        <w:rPr>
          <w:rFonts w:ascii="Book Antiqua" w:hAnsi="Book Antiqua"/>
          <w:i/>
          <w:iCs/>
          <w:color w:val="000000" w:themeColor="text1"/>
          <w14:textFill>
            <w14:solidFill>
              <w14:schemeClr w14:val="tx1"/>
            </w14:solidFill>
          </w14:textFill>
        </w:rPr>
        <w:t>Sci Am</w:t>
      </w:r>
      <w:r>
        <w:rPr>
          <w:rFonts w:ascii="Book Antiqua" w:hAnsi="Book Antiqua"/>
          <w:color w:val="000000" w:themeColor="text1"/>
          <w14:textFill>
            <w14:solidFill>
              <w14:schemeClr w14:val="tx1"/>
            </w14:solidFill>
          </w14:textFill>
        </w:rPr>
        <w:t xml:space="preserve"> 1994; </w:t>
      </w:r>
      <w:r>
        <w:rPr>
          <w:rFonts w:ascii="Book Antiqua" w:hAnsi="Book Antiqua"/>
          <w:b/>
          <w:bCs/>
          <w:color w:val="000000" w:themeColor="text1"/>
          <w14:textFill>
            <w14:solidFill>
              <w14:schemeClr w14:val="tx1"/>
            </w14:solidFill>
          </w14:textFill>
        </w:rPr>
        <w:t>271</w:t>
      </w:r>
      <w:r>
        <w:rPr>
          <w:rFonts w:ascii="Book Antiqua" w:hAnsi="Book Antiqua"/>
          <w:color w:val="000000" w:themeColor="text1"/>
          <w14:textFill>
            <w14:solidFill>
              <w14:schemeClr w14:val="tx1"/>
            </w14:solidFill>
          </w14:textFill>
        </w:rPr>
        <w:t>: 144 [PMID: 7939563 DOI: 10.1038/scientificamerican1094-144]</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25 </w:t>
      </w:r>
      <w:r>
        <w:rPr>
          <w:rFonts w:ascii="Book Antiqua" w:hAnsi="Book Antiqua"/>
          <w:b/>
          <w:bCs/>
          <w:color w:val="000000" w:themeColor="text1"/>
          <w14:textFill>
            <w14:solidFill>
              <w14:schemeClr w14:val="tx1"/>
            </w14:solidFill>
          </w14:textFill>
        </w:rPr>
        <w:t>Anderson SW</w:t>
      </w:r>
      <w:r>
        <w:rPr>
          <w:rFonts w:ascii="Book Antiqua" w:hAnsi="Book Antiqua"/>
          <w:color w:val="000000" w:themeColor="text1"/>
          <w14:textFill>
            <w14:solidFill>
              <w14:schemeClr w14:val="tx1"/>
            </w14:solidFill>
          </w14:textFill>
        </w:rPr>
        <w:t xml:space="preserve">, Barrash J, Bechara A, Tranel D. Impairments of emotion and real-world complex behavior following childhood- or adult-onset damage to ventromedial prefrontal cortex. </w:t>
      </w:r>
      <w:r>
        <w:rPr>
          <w:rFonts w:ascii="Book Antiqua" w:hAnsi="Book Antiqua"/>
          <w:i/>
          <w:iCs/>
          <w:color w:val="000000" w:themeColor="text1"/>
          <w14:textFill>
            <w14:solidFill>
              <w14:schemeClr w14:val="tx1"/>
            </w14:solidFill>
          </w14:textFill>
        </w:rPr>
        <w:t>J Int Neuropsychol Soc</w:t>
      </w:r>
      <w:r>
        <w:rPr>
          <w:rFonts w:ascii="Book Antiqua" w:hAnsi="Book Antiqua"/>
          <w:color w:val="000000" w:themeColor="text1"/>
          <w14:textFill>
            <w14:solidFill>
              <w14:schemeClr w14:val="tx1"/>
            </w14:solidFill>
          </w14:textFill>
        </w:rPr>
        <w:t xml:space="preserve"> 2006; </w:t>
      </w:r>
      <w:r>
        <w:rPr>
          <w:rFonts w:ascii="Book Antiqua" w:hAnsi="Book Antiqua"/>
          <w:b/>
          <w:bCs/>
          <w:color w:val="000000" w:themeColor="text1"/>
          <w14:textFill>
            <w14:solidFill>
              <w14:schemeClr w14:val="tx1"/>
            </w14:solidFill>
          </w14:textFill>
        </w:rPr>
        <w:t>12</w:t>
      </w:r>
      <w:r>
        <w:rPr>
          <w:rFonts w:ascii="Book Antiqua" w:hAnsi="Book Antiqua"/>
          <w:color w:val="000000" w:themeColor="text1"/>
          <w14:textFill>
            <w14:solidFill>
              <w14:schemeClr w14:val="tx1"/>
            </w14:solidFill>
          </w14:textFill>
        </w:rPr>
        <w:t>: 224-235 [PMID: 16573856 DOI: 10.1017/S1355617706060346]</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26 </w:t>
      </w:r>
      <w:r>
        <w:rPr>
          <w:rFonts w:ascii="Book Antiqua" w:hAnsi="Book Antiqua"/>
          <w:b/>
          <w:bCs/>
          <w:color w:val="000000" w:themeColor="text1"/>
          <w14:textFill>
            <w14:solidFill>
              <w14:schemeClr w14:val="tx1"/>
            </w14:solidFill>
          </w14:textFill>
        </w:rPr>
        <w:t>Kringelbach ML</w:t>
      </w:r>
      <w:r>
        <w:rPr>
          <w:rFonts w:ascii="Book Antiqua" w:hAnsi="Book Antiqua"/>
          <w:color w:val="000000" w:themeColor="text1"/>
          <w14:textFill>
            <w14:solidFill>
              <w14:schemeClr w14:val="tx1"/>
            </w14:solidFill>
          </w14:textFill>
        </w:rPr>
        <w:t xml:space="preserve">, Berridge KC. Towards a functional neuroanatomy of pleasure and happiness. </w:t>
      </w:r>
      <w:r>
        <w:rPr>
          <w:rFonts w:ascii="Book Antiqua" w:hAnsi="Book Antiqua"/>
          <w:i/>
          <w:iCs/>
          <w:color w:val="000000" w:themeColor="text1"/>
          <w14:textFill>
            <w14:solidFill>
              <w14:schemeClr w14:val="tx1"/>
            </w14:solidFill>
          </w14:textFill>
        </w:rPr>
        <w:t>Trends Cogn Sci</w:t>
      </w:r>
      <w:r>
        <w:rPr>
          <w:rFonts w:ascii="Book Antiqua" w:hAnsi="Book Antiqua"/>
          <w:color w:val="000000" w:themeColor="text1"/>
          <w14:textFill>
            <w14:solidFill>
              <w14:schemeClr w14:val="tx1"/>
            </w14:solidFill>
          </w14:textFill>
        </w:rPr>
        <w:t xml:space="preserve"> 2009; </w:t>
      </w:r>
      <w:r>
        <w:rPr>
          <w:rFonts w:ascii="Book Antiqua" w:hAnsi="Book Antiqua"/>
          <w:b/>
          <w:bCs/>
          <w:color w:val="000000" w:themeColor="text1"/>
          <w14:textFill>
            <w14:solidFill>
              <w14:schemeClr w14:val="tx1"/>
            </w14:solidFill>
          </w14:textFill>
        </w:rPr>
        <w:t>13</w:t>
      </w:r>
      <w:r>
        <w:rPr>
          <w:rFonts w:ascii="Book Antiqua" w:hAnsi="Book Antiqua"/>
          <w:color w:val="000000" w:themeColor="text1"/>
          <w14:textFill>
            <w14:solidFill>
              <w14:schemeClr w14:val="tx1"/>
            </w14:solidFill>
          </w14:textFill>
        </w:rPr>
        <w:t>: 479-487 [PMID: 19782634 DOI: 10.1016/j.tics.2009.08.006]</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27 </w:t>
      </w:r>
      <w:r>
        <w:rPr>
          <w:rFonts w:ascii="Book Antiqua" w:hAnsi="Book Antiqua"/>
          <w:b/>
          <w:bCs/>
          <w:color w:val="000000" w:themeColor="text1"/>
          <w14:textFill>
            <w14:solidFill>
              <w14:schemeClr w14:val="tx1"/>
            </w14:solidFill>
          </w14:textFill>
        </w:rPr>
        <w:t>MacDonald AW 3rd</w:t>
      </w:r>
      <w:r>
        <w:rPr>
          <w:rFonts w:ascii="Book Antiqua" w:hAnsi="Book Antiqua"/>
          <w:color w:val="000000" w:themeColor="text1"/>
          <w14:textFill>
            <w14:solidFill>
              <w14:schemeClr w14:val="tx1"/>
            </w14:solidFill>
          </w14:textFill>
        </w:rPr>
        <w:t xml:space="preserve">, Cohen JD, Stenger VA, Carter CS. Dissociating the role of the dorsolateral prefrontal and anterior cingulate cortex in cognitive control. </w:t>
      </w:r>
      <w:r>
        <w:rPr>
          <w:rFonts w:ascii="Book Antiqua" w:hAnsi="Book Antiqua"/>
          <w:i/>
          <w:iCs/>
          <w:color w:val="000000" w:themeColor="text1"/>
          <w14:textFill>
            <w14:solidFill>
              <w14:schemeClr w14:val="tx1"/>
            </w14:solidFill>
          </w14:textFill>
        </w:rPr>
        <w:t>Science</w:t>
      </w:r>
      <w:r>
        <w:rPr>
          <w:rFonts w:ascii="Book Antiqua" w:hAnsi="Book Antiqua"/>
          <w:color w:val="000000" w:themeColor="text1"/>
          <w14:textFill>
            <w14:solidFill>
              <w14:schemeClr w14:val="tx1"/>
            </w14:solidFill>
          </w14:textFill>
        </w:rPr>
        <w:t xml:space="preserve"> 2000; </w:t>
      </w:r>
      <w:r>
        <w:rPr>
          <w:rFonts w:ascii="Book Antiqua" w:hAnsi="Book Antiqua"/>
          <w:b/>
          <w:bCs/>
          <w:color w:val="000000" w:themeColor="text1"/>
          <w14:textFill>
            <w14:solidFill>
              <w14:schemeClr w14:val="tx1"/>
            </w14:solidFill>
          </w14:textFill>
        </w:rPr>
        <w:t>288</w:t>
      </w:r>
      <w:r>
        <w:rPr>
          <w:rFonts w:ascii="Book Antiqua" w:hAnsi="Book Antiqua"/>
          <w:color w:val="000000" w:themeColor="text1"/>
          <w14:textFill>
            <w14:solidFill>
              <w14:schemeClr w14:val="tx1"/>
            </w14:solidFill>
          </w14:textFill>
        </w:rPr>
        <w:t>: 1835-1838 [PMID: 10846167 DOI: 10.1126/science.288.5472.1835]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28 </w:t>
      </w:r>
      <w:r>
        <w:rPr>
          <w:rFonts w:ascii="Book Antiqua" w:hAnsi="Book Antiqua"/>
          <w:b/>
          <w:bCs/>
          <w:color w:val="000000" w:themeColor="text1"/>
          <w14:textFill>
            <w14:solidFill>
              <w14:schemeClr w14:val="tx1"/>
            </w14:solidFill>
          </w14:textFill>
        </w:rPr>
        <w:t>Fuster JM</w:t>
      </w:r>
      <w:r>
        <w:rPr>
          <w:rFonts w:ascii="Book Antiqua" w:hAnsi="Book Antiqua"/>
          <w:color w:val="000000" w:themeColor="text1"/>
          <w14:textFill>
            <w14:solidFill>
              <w14:schemeClr w14:val="tx1"/>
            </w14:solidFill>
          </w14:textFill>
        </w:rPr>
        <w:t xml:space="preserve">. The prefrontal cortex--an update: time is of the essence. </w:t>
      </w:r>
      <w:r>
        <w:rPr>
          <w:rFonts w:ascii="Book Antiqua" w:hAnsi="Book Antiqua"/>
          <w:i/>
          <w:iCs/>
          <w:color w:val="000000" w:themeColor="text1"/>
          <w14:textFill>
            <w14:solidFill>
              <w14:schemeClr w14:val="tx1"/>
            </w14:solidFill>
          </w14:textFill>
        </w:rPr>
        <w:t>Neuron</w:t>
      </w:r>
      <w:r>
        <w:rPr>
          <w:rFonts w:ascii="Book Antiqua" w:hAnsi="Book Antiqua"/>
          <w:color w:val="000000" w:themeColor="text1"/>
          <w14:textFill>
            <w14:solidFill>
              <w14:schemeClr w14:val="tx1"/>
            </w14:solidFill>
          </w14:textFill>
        </w:rPr>
        <w:t xml:space="preserve"> 2001; </w:t>
      </w:r>
      <w:r>
        <w:rPr>
          <w:rFonts w:ascii="Book Antiqua" w:hAnsi="Book Antiqua"/>
          <w:b/>
          <w:bCs/>
          <w:color w:val="000000" w:themeColor="text1"/>
          <w14:textFill>
            <w14:solidFill>
              <w14:schemeClr w14:val="tx1"/>
            </w14:solidFill>
          </w14:textFill>
        </w:rPr>
        <w:t>30</w:t>
      </w:r>
      <w:r>
        <w:rPr>
          <w:rFonts w:ascii="Book Antiqua" w:hAnsi="Book Antiqua"/>
          <w:color w:val="000000" w:themeColor="text1"/>
          <w14:textFill>
            <w14:solidFill>
              <w14:schemeClr w14:val="tx1"/>
            </w14:solidFill>
          </w14:textFill>
        </w:rPr>
        <w:t>: 319-333 [PMID: 11394996 DOI: 10.1016/s0896-6273(01)00285-9]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29 </w:t>
      </w:r>
      <w:r>
        <w:rPr>
          <w:rFonts w:ascii="Book Antiqua" w:hAnsi="Book Antiqua"/>
          <w:b/>
          <w:bCs/>
          <w:color w:val="000000" w:themeColor="text1"/>
          <w14:textFill>
            <w14:solidFill>
              <w14:schemeClr w14:val="tx1"/>
            </w14:solidFill>
          </w14:textFill>
        </w:rPr>
        <w:t>Miller EK</w:t>
      </w:r>
      <w:r>
        <w:rPr>
          <w:rFonts w:ascii="Book Antiqua" w:hAnsi="Book Antiqua"/>
          <w:color w:val="000000" w:themeColor="text1"/>
          <w14:textFill>
            <w14:solidFill>
              <w14:schemeClr w14:val="tx1"/>
            </w14:solidFill>
          </w14:textFill>
        </w:rPr>
        <w:t xml:space="preserve">, Cohen JD. An integrative theory of prefrontal cortex function. </w:t>
      </w:r>
      <w:r>
        <w:rPr>
          <w:rFonts w:ascii="Book Antiqua" w:hAnsi="Book Antiqua"/>
          <w:i/>
          <w:iCs/>
          <w:color w:val="000000" w:themeColor="text1"/>
          <w14:textFill>
            <w14:solidFill>
              <w14:schemeClr w14:val="tx1"/>
            </w14:solidFill>
          </w14:textFill>
        </w:rPr>
        <w:t>Annu Rev Neurosci</w:t>
      </w:r>
      <w:r>
        <w:rPr>
          <w:rFonts w:ascii="Book Antiqua" w:hAnsi="Book Antiqua"/>
          <w:color w:val="000000" w:themeColor="text1"/>
          <w14:textFill>
            <w14:solidFill>
              <w14:schemeClr w14:val="tx1"/>
            </w14:solidFill>
          </w14:textFill>
        </w:rPr>
        <w:t xml:space="preserve"> 2001; </w:t>
      </w:r>
      <w:r>
        <w:rPr>
          <w:rFonts w:ascii="Book Antiqua" w:hAnsi="Book Antiqua"/>
          <w:b/>
          <w:bCs/>
          <w:color w:val="000000" w:themeColor="text1"/>
          <w14:textFill>
            <w14:solidFill>
              <w14:schemeClr w14:val="tx1"/>
            </w14:solidFill>
          </w14:textFill>
        </w:rPr>
        <w:t>24</w:t>
      </w:r>
      <w:r>
        <w:rPr>
          <w:rFonts w:ascii="Book Antiqua" w:hAnsi="Book Antiqua"/>
          <w:color w:val="000000" w:themeColor="text1"/>
          <w14:textFill>
            <w14:solidFill>
              <w14:schemeClr w14:val="tx1"/>
            </w14:solidFill>
          </w14:textFill>
        </w:rPr>
        <w:t>: 167-202 [PMID: 11283309 DOI: 10.1146/annurev.neuro.24.1.167]</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30 </w:t>
      </w:r>
      <w:r>
        <w:rPr>
          <w:rFonts w:ascii="Book Antiqua" w:hAnsi="Book Antiqua"/>
          <w:b/>
          <w:bCs/>
          <w:color w:val="000000" w:themeColor="text1"/>
          <w14:textFill>
            <w14:solidFill>
              <w14:schemeClr w14:val="tx1"/>
            </w14:solidFill>
          </w14:textFill>
        </w:rPr>
        <w:t>Alvarez JA</w:t>
      </w:r>
      <w:r>
        <w:rPr>
          <w:rFonts w:ascii="Book Antiqua" w:hAnsi="Book Antiqua"/>
          <w:color w:val="000000" w:themeColor="text1"/>
          <w14:textFill>
            <w14:solidFill>
              <w14:schemeClr w14:val="tx1"/>
            </w14:solidFill>
          </w14:textFill>
        </w:rPr>
        <w:t xml:space="preserve">, Emory E. Executive function and the frontal lobes: a meta-analytic review. </w:t>
      </w:r>
      <w:r>
        <w:rPr>
          <w:rFonts w:ascii="Book Antiqua" w:hAnsi="Book Antiqua"/>
          <w:i/>
          <w:iCs/>
          <w:color w:val="000000" w:themeColor="text1"/>
          <w14:textFill>
            <w14:solidFill>
              <w14:schemeClr w14:val="tx1"/>
            </w14:solidFill>
          </w14:textFill>
        </w:rPr>
        <w:t>Neuropsychol Rev</w:t>
      </w:r>
      <w:r>
        <w:rPr>
          <w:rFonts w:ascii="Book Antiqua" w:hAnsi="Book Antiqua"/>
          <w:color w:val="000000" w:themeColor="text1"/>
          <w14:textFill>
            <w14:solidFill>
              <w14:schemeClr w14:val="tx1"/>
            </w14:solidFill>
          </w14:textFill>
        </w:rPr>
        <w:t xml:space="preserve"> 2006; </w:t>
      </w:r>
      <w:r>
        <w:rPr>
          <w:rFonts w:ascii="Book Antiqua" w:hAnsi="Book Antiqua"/>
          <w:b/>
          <w:bCs/>
          <w:color w:val="000000" w:themeColor="text1"/>
          <w14:textFill>
            <w14:solidFill>
              <w14:schemeClr w14:val="tx1"/>
            </w14:solidFill>
          </w14:textFill>
        </w:rPr>
        <w:t>16</w:t>
      </w:r>
      <w:r>
        <w:rPr>
          <w:rFonts w:ascii="Book Antiqua" w:hAnsi="Book Antiqua"/>
          <w:color w:val="000000" w:themeColor="text1"/>
          <w14:textFill>
            <w14:solidFill>
              <w14:schemeClr w14:val="tx1"/>
            </w14:solidFill>
          </w14:textFill>
        </w:rPr>
        <w:t>: 17-42 [PMID: 16794878 DOI: 10.1007/s11065-006-9002-x]</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31 </w:t>
      </w:r>
      <w:r>
        <w:rPr>
          <w:rFonts w:ascii="Book Antiqua" w:hAnsi="Book Antiqua"/>
          <w:b/>
          <w:bCs/>
          <w:color w:val="000000" w:themeColor="text1"/>
          <w14:textFill>
            <w14:solidFill>
              <w14:schemeClr w14:val="tx1"/>
            </w14:solidFill>
          </w14:textFill>
        </w:rPr>
        <w:t>Jones DT</w:t>
      </w:r>
      <w:r>
        <w:rPr>
          <w:rFonts w:ascii="Book Antiqua" w:hAnsi="Book Antiqua"/>
          <w:color w:val="000000" w:themeColor="text1"/>
          <w14:textFill>
            <w14:solidFill>
              <w14:schemeClr w14:val="tx1"/>
            </w14:solidFill>
          </w14:textFill>
        </w:rPr>
        <w:t xml:space="preserve">, Graff-Radford J. Executive Dysfunction and the Prefrontal Cortex. </w:t>
      </w:r>
      <w:r>
        <w:rPr>
          <w:rFonts w:ascii="Book Antiqua" w:hAnsi="Book Antiqua"/>
          <w:i/>
          <w:iCs/>
          <w:color w:val="000000" w:themeColor="text1"/>
          <w14:textFill>
            <w14:solidFill>
              <w14:schemeClr w14:val="tx1"/>
            </w14:solidFill>
          </w14:textFill>
        </w:rPr>
        <w:t>Continuum (Minneap Minn)</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27</w:t>
      </w:r>
      <w:r>
        <w:rPr>
          <w:rFonts w:ascii="Book Antiqua" w:hAnsi="Book Antiqua"/>
          <w:color w:val="000000" w:themeColor="text1"/>
          <w14:textFill>
            <w14:solidFill>
              <w14:schemeClr w14:val="tx1"/>
            </w14:solidFill>
          </w14:textFill>
        </w:rPr>
        <w:t>: 1586-1601 [PMID: 34881727 DOI: 10.1212/CON.0000000000001009]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32 </w:t>
      </w:r>
      <w:r>
        <w:rPr>
          <w:rFonts w:ascii="Book Antiqua" w:hAnsi="Book Antiqua"/>
          <w:b/>
          <w:bCs/>
          <w:color w:val="000000" w:themeColor="text1"/>
          <w14:textFill>
            <w14:solidFill>
              <w14:schemeClr w14:val="tx1"/>
            </w14:solidFill>
          </w14:textFill>
        </w:rPr>
        <w:t>Asadzadeh S</w:t>
      </w:r>
      <w:r>
        <w:rPr>
          <w:rFonts w:ascii="Book Antiqua" w:hAnsi="Book Antiqua"/>
          <w:color w:val="000000" w:themeColor="text1"/>
          <w14:textFill>
            <w14:solidFill>
              <w14:schemeClr w14:val="tx1"/>
            </w14:solidFill>
          </w14:textFill>
        </w:rPr>
        <w:t xml:space="preserve">, Yousefi Rezaii T, Beheshti S, Delpak A, Meshgini S. A systematic review of EEG source localization techniques and their applications on diagnosis of brain abnormalities. </w:t>
      </w:r>
      <w:r>
        <w:rPr>
          <w:rFonts w:ascii="Book Antiqua" w:hAnsi="Book Antiqua"/>
          <w:i/>
          <w:iCs/>
          <w:color w:val="000000" w:themeColor="text1"/>
          <w14:textFill>
            <w14:solidFill>
              <w14:schemeClr w14:val="tx1"/>
            </w14:solidFill>
          </w14:textFill>
        </w:rPr>
        <w:t>J Neurosci Methods</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339</w:t>
      </w:r>
      <w:r>
        <w:rPr>
          <w:rFonts w:ascii="Book Antiqua" w:hAnsi="Book Antiqua"/>
          <w:color w:val="000000" w:themeColor="text1"/>
          <w14:textFill>
            <w14:solidFill>
              <w14:schemeClr w14:val="tx1"/>
            </w14:solidFill>
          </w14:textFill>
        </w:rPr>
        <w:t>: 108740 [PMID: 32353472 DOI: 10.1016/j.jneumeth.2020.108740]</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33 </w:t>
      </w:r>
      <w:r>
        <w:rPr>
          <w:rFonts w:ascii="Book Antiqua" w:hAnsi="Book Antiqua"/>
          <w:b/>
          <w:bCs/>
          <w:color w:val="000000" w:themeColor="text1"/>
          <w14:textFill>
            <w14:solidFill>
              <w14:schemeClr w14:val="tx1"/>
            </w14:solidFill>
          </w14:textFill>
        </w:rPr>
        <w:t>Ishii R</w:t>
      </w:r>
      <w:r>
        <w:rPr>
          <w:rFonts w:ascii="Book Antiqua" w:hAnsi="Book Antiqua"/>
          <w:color w:val="000000" w:themeColor="text1"/>
          <w14:textFill>
            <w14:solidFill>
              <w14:schemeClr w14:val="tx1"/>
            </w14:solidFill>
          </w14:textFill>
        </w:rPr>
        <w:t xml:space="preserve">, Canuet L, Aoki Y, Hata M, Iwase M, Ikeda S, Nishida K, Ikeda M. Healthy and Pathological Brain Aging: From the Perspective of Oscillations, Functional Connectivity, and Signal Complexity. </w:t>
      </w:r>
      <w:r>
        <w:rPr>
          <w:rFonts w:ascii="Book Antiqua" w:hAnsi="Book Antiqua"/>
          <w:i/>
          <w:iCs/>
          <w:color w:val="000000" w:themeColor="text1"/>
          <w14:textFill>
            <w14:solidFill>
              <w14:schemeClr w14:val="tx1"/>
            </w14:solidFill>
          </w14:textFill>
        </w:rPr>
        <w:t>Neuropsychobiology</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75</w:t>
      </w:r>
      <w:r>
        <w:rPr>
          <w:rFonts w:ascii="Book Antiqua" w:hAnsi="Book Antiqua"/>
          <w:color w:val="000000" w:themeColor="text1"/>
          <w14:textFill>
            <w14:solidFill>
              <w14:schemeClr w14:val="tx1"/>
            </w14:solidFill>
          </w14:textFill>
        </w:rPr>
        <w:t>: 151-161 [PMID: 29466802 DOI: 10.1159/000486870]</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34 </w:t>
      </w:r>
      <w:r>
        <w:rPr>
          <w:rFonts w:ascii="Book Antiqua" w:hAnsi="Book Antiqua"/>
          <w:b/>
          <w:bCs/>
          <w:color w:val="000000" w:themeColor="text1"/>
          <w14:textFill>
            <w14:solidFill>
              <w14:schemeClr w14:val="tx1"/>
            </w14:solidFill>
          </w14:textFill>
        </w:rPr>
        <w:t>Babiloni C</w:t>
      </w:r>
      <w:r>
        <w:rPr>
          <w:rFonts w:ascii="Book Antiqua" w:hAnsi="Book Antiqua"/>
          <w:color w:val="000000" w:themeColor="text1"/>
          <w14:textFill>
            <w14:solidFill>
              <w14:schemeClr w14:val="tx1"/>
            </w14:solidFill>
          </w14:textFill>
        </w:rPr>
        <w:t xml:space="preserve">, Binetti G, Cassarino A, Dal Forno G, Del Percio C, Ferreri F, Ferri R, Frisoni G, Galderisi S, Hirata K, Lanuzza B, Miniussi C, Mucci A, Nobili F, Rodriguez G, Luca Romani G, Rossini PM. Sources of cortical rhythms in adults during physiological aging: a multicentric EEG study. </w:t>
      </w:r>
      <w:r>
        <w:rPr>
          <w:rFonts w:ascii="Book Antiqua" w:hAnsi="Book Antiqua"/>
          <w:i/>
          <w:iCs/>
          <w:color w:val="000000" w:themeColor="text1"/>
          <w14:textFill>
            <w14:solidFill>
              <w14:schemeClr w14:val="tx1"/>
            </w14:solidFill>
          </w14:textFill>
        </w:rPr>
        <w:t>Hum Brain Mapp</w:t>
      </w:r>
      <w:r>
        <w:rPr>
          <w:rFonts w:ascii="Book Antiqua" w:hAnsi="Book Antiqua"/>
          <w:color w:val="000000" w:themeColor="text1"/>
          <w14:textFill>
            <w14:solidFill>
              <w14:schemeClr w14:val="tx1"/>
            </w14:solidFill>
          </w14:textFill>
        </w:rPr>
        <w:t xml:space="preserve"> 2006; </w:t>
      </w:r>
      <w:r>
        <w:rPr>
          <w:rFonts w:ascii="Book Antiqua" w:hAnsi="Book Antiqua"/>
          <w:b/>
          <w:bCs/>
          <w:color w:val="000000" w:themeColor="text1"/>
          <w14:textFill>
            <w14:solidFill>
              <w14:schemeClr w14:val="tx1"/>
            </w14:solidFill>
          </w14:textFill>
        </w:rPr>
        <w:t>27</w:t>
      </w:r>
      <w:r>
        <w:rPr>
          <w:rFonts w:ascii="Book Antiqua" w:hAnsi="Book Antiqua"/>
          <w:color w:val="000000" w:themeColor="text1"/>
          <w14:textFill>
            <w14:solidFill>
              <w14:schemeClr w14:val="tx1"/>
            </w14:solidFill>
          </w14:textFill>
        </w:rPr>
        <w:t>: 162-172 [PMID: 16108018 DOI: 10.1002/hbm.20175]</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35 </w:t>
      </w:r>
      <w:r>
        <w:rPr>
          <w:rFonts w:ascii="Book Antiqua" w:hAnsi="Book Antiqua"/>
          <w:b/>
          <w:bCs/>
          <w:color w:val="000000" w:themeColor="text1"/>
          <w14:textFill>
            <w14:solidFill>
              <w14:schemeClr w14:val="tx1"/>
            </w14:solidFill>
          </w14:textFill>
        </w:rPr>
        <w:t>Kowalski JW</w:t>
      </w:r>
      <w:r>
        <w:rPr>
          <w:rFonts w:ascii="Book Antiqua" w:hAnsi="Book Antiqua"/>
          <w:color w:val="000000" w:themeColor="text1"/>
          <w14:textFill>
            <w14:solidFill>
              <w14:schemeClr w14:val="tx1"/>
            </w14:solidFill>
          </w14:textFill>
        </w:rPr>
        <w:t xml:space="preserve">, Gawel M, Pfeffer A, Barcikowska M. The diagnostic value of EEG in Alzheimer disease: correlation with the severity of mental impairment. </w:t>
      </w:r>
      <w:r>
        <w:rPr>
          <w:rFonts w:ascii="Book Antiqua" w:hAnsi="Book Antiqua"/>
          <w:i/>
          <w:iCs/>
          <w:color w:val="000000" w:themeColor="text1"/>
          <w14:textFill>
            <w14:solidFill>
              <w14:schemeClr w14:val="tx1"/>
            </w14:solidFill>
          </w14:textFill>
        </w:rPr>
        <w:t>J Clin Neurophysiol</w:t>
      </w:r>
      <w:r>
        <w:rPr>
          <w:rFonts w:ascii="Book Antiqua" w:hAnsi="Book Antiqua"/>
          <w:color w:val="000000" w:themeColor="text1"/>
          <w14:textFill>
            <w14:solidFill>
              <w14:schemeClr w14:val="tx1"/>
            </w14:solidFill>
          </w14:textFill>
        </w:rPr>
        <w:t xml:space="preserve"> 2001; </w:t>
      </w:r>
      <w:r>
        <w:rPr>
          <w:rFonts w:ascii="Book Antiqua" w:hAnsi="Book Antiqua"/>
          <w:b/>
          <w:bCs/>
          <w:color w:val="000000" w:themeColor="text1"/>
          <w14:textFill>
            <w14:solidFill>
              <w14:schemeClr w14:val="tx1"/>
            </w14:solidFill>
          </w14:textFill>
        </w:rPr>
        <w:t>18</w:t>
      </w:r>
      <w:r>
        <w:rPr>
          <w:rFonts w:ascii="Book Antiqua" w:hAnsi="Book Antiqua"/>
          <w:color w:val="000000" w:themeColor="text1"/>
          <w14:textFill>
            <w14:solidFill>
              <w14:schemeClr w14:val="tx1"/>
            </w14:solidFill>
          </w14:textFill>
        </w:rPr>
        <w:t>: 570-575 [PMID: 11779971 DOI: 10.1097/00004691-200111000-00008]</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36 </w:t>
      </w:r>
      <w:r>
        <w:rPr>
          <w:rFonts w:ascii="Book Antiqua" w:hAnsi="Book Antiqua"/>
          <w:b/>
          <w:bCs/>
          <w:color w:val="000000" w:themeColor="text1"/>
          <w14:textFill>
            <w14:solidFill>
              <w14:schemeClr w14:val="tx1"/>
            </w14:solidFill>
          </w14:textFill>
        </w:rPr>
        <w:t>van der Hiele K</w:t>
      </w:r>
      <w:r>
        <w:rPr>
          <w:rFonts w:ascii="Book Antiqua" w:hAnsi="Book Antiqua"/>
          <w:color w:val="000000" w:themeColor="text1"/>
          <w14:textFill>
            <w14:solidFill>
              <w14:schemeClr w14:val="tx1"/>
            </w14:solidFill>
          </w14:textFill>
        </w:rPr>
        <w:t xml:space="preserve">, Vein AA, Reijntjes RH, Westendorp RG, Bollen EL, van Buchem MA, van Dijk JG, Middelkoop HA. EEG correlates in the spectrum of cognitive decline. </w:t>
      </w:r>
      <w:r>
        <w:rPr>
          <w:rFonts w:ascii="Book Antiqua" w:hAnsi="Book Antiqua"/>
          <w:i/>
          <w:iCs/>
          <w:color w:val="000000" w:themeColor="text1"/>
          <w14:textFill>
            <w14:solidFill>
              <w14:schemeClr w14:val="tx1"/>
            </w14:solidFill>
          </w14:textFill>
        </w:rPr>
        <w:t>Clin Neurophysiol</w:t>
      </w:r>
      <w:r>
        <w:rPr>
          <w:rFonts w:ascii="Book Antiqua" w:hAnsi="Book Antiqua"/>
          <w:color w:val="000000" w:themeColor="text1"/>
          <w14:textFill>
            <w14:solidFill>
              <w14:schemeClr w14:val="tx1"/>
            </w14:solidFill>
          </w14:textFill>
        </w:rPr>
        <w:t xml:space="preserve"> 2007; </w:t>
      </w:r>
      <w:r>
        <w:rPr>
          <w:rFonts w:ascii="Book Antiqua" w:hAnsi="Book Antiqua"/>
          <w:b/>
          <w:bCs/>
          <w:color w:val="000000" w:themeColor="text1"/>
          <w14:textFill>
            <w14:solidFill>
              <w14:schemeClr w14:val="tx1"/>
            </w14:solidFill>
          </w14:textFill>
        </w:rPr>
        <w:t>118</w:t>
      </w:r>
      <w:r>
        <w:rPr>
          <w:rFonts w:ascii="Book Antiqua" w:hAnsi="Book Antiqua"/>
          <w:color w:val="000000" w:themeColor="text1"/>
          <w14:textFill>
            <w14:solidFill>
              <w14:schemeClr w14:val="tx1"/>
            </w14:solidFill>
          </w14:textFill>
        </w:rPr>
        <w:t>: 1931-1939 [PMID: 17604688 DOI: 10.1016/j.clinph.2007.05.070]</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37 </w:t>
      </w:r>
      <w:r>
        <w:rPr>
          <w:rFonts w:ascii="Book Antiqua" w:hAnsi="Book Antiqua"/>
          <w:b/>
          <w:bCs/>
          <w:color w:val="000000" w:themeColor="text1"/>
          <w14:textFill>
            <w14:solidFill>
              <w14:schemeClr w14:val="tx1"/>
            </w14:solidFill>
          </w14:textFill>
        </w:rPr>
        <w:t>Lizio R</w:t>
      </w:r>
      <w:r>
        <w:rPr>
          <w:rFonts w:ascii="Book Antiqua" w:hAnsi="Book Antiqua"/>
          <w:color w:val="000000" w:themeColor="text1"/>
          <w14:textFill>
            <w14:solidFill>
              <w14:schemeClr w14:val="tx1"/>
            </w14:solidFill>
          </w14:textFill>
        </w:rPr>
        <w:t>, Del Percio C, Marzano N, Soricelli A, Yener GG, Ba</w:t>
      </w:r>
      <w:r>
        <w:rPr>
          <w:rFonts w:ascii="Book Antiqua" w:hAnsi="Book Antiqua" w:cs="Cambria"/>
          <w:color w:val="000000" w:themeColor="text1"/>
          <w14:textFill>
            <w14:solidFill>
              <w14:schemeClr w14:val="tx1"/>
            </w14:solidFill>
          </w14:textFill>
        </w:rPr>
        <w:t>ş</w:t>
      </w:r>
      <w:r>
        <w:rPr>
          <w:rFonts w:ascii="Book Antiqua" w:hAnsi="Book Antiqua"/>
          <w:color w:val="000000" w:themeColor="text1"/>
          <w14:textFill>
            <w14:solidFill>
              <w14:schemeClr w14:val="tx1"/>
            </w14:solidFill>
          </w14:textFill>
        </w:rPr>
        <w:t xml:space="preserve">ar E, Mundi C, De Rosa S, Triggiani AI, Ferri R, Arnaldi D, Nobili FM, Cordone S, Lopez S, Carducci F, Santi G, Gesualdo L, Rossini PM, Cavedo E, Mauri M, Frisoni GB, Babiloni C. Neurophysiological assessment of Alzheimer's disease individuals by a single electroencephalographic marker. </w:t>
      </w:r>
      <w:r>
        <w:rPr>
          <w:rFonts w:ascii="Book Antiqua" w:hAnsi="Book Antiqua"/>
          <w:i/>
          <w:iCs/>
          <w:color w:val="000000" w:themeColor="text1"/>
          <w14:textFill>
            <w14:solidFill>
              <w14:schemeClr w14:val="tx1"/>
            </w14:solidFill>
          </w14:textFill>
        </w:rPr>
        <w:t>J Alzheimers Dis</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49</w:t>
      </w:r>
      <w:r>
        <w:rPr>
          <w:rFonts w:ascii="Book Antiqua" w:hAnsi="Book Antiqua"/>
          <w:color w:val="000000" w:themeColor="text1"/>
          <w14:textFill>
            <w14:solidFill>
              <w14:schemeClr w14:val="tx1"/>
            </w14:solidFill>
          </w14:textFill>
        </w:rPr>
        <w:t>: 159-177 [PMID: 26444753 DOI: 10.3233/JAD-143042]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38 </w:t>
      </w:r>
      <w:r>
        <w:rPr>
          <w:rFonts w:ascii="Book Antiqua" w:hAnsi="Book Antiqua"/>
          <w:b/>
          <w:bCs/>
          <w:color w:val="000000" w:themeColor="text1"/>
          <w14:textFill>
            <w14:solidFill>
              <w14:schemeClr w14:val="tx1"/>
            </w14:solidFill>
          </w14:textFill>
        </w:rPr>
        <w:t>Prichep LS</w:t>
      </w:r>
      <w:r>
        <w:rPr>
          <w:rFonts w:ascii="Book Antiqua" w:hAnsi="Book Antiqua"/>
          <w:color w:val="000000" w:themeColor="text1"/>
          <w14:textFill>
            <w14:solidFill>
              <w14:schemeClr w14:val="tx1"/>
            </w14:solidFill>
          </w14:textFill>
        </w:rPr>
        <w:t xml:space="preserve">, John ER, Ferris SH, Reisberg B, Almas M, Alper K, Cancro R. Quantitative EEG correlates of cognitive deterioration in the elderly. </w:t>
      </w:r>
      <w:r>
        <w:rPr>
          <w:rFonts w:ascii="Book Antiqua" w:hAnsi="Book Antiqua"/>
          <w:i/>
          <w:iCs/>
          <w:color w:val="000000" w:themeColor="text1"/>
          <w14:textFill>
            <w14:solidFill>
              <w14:schemeClr w14:val="tx1"/>
            </w14:solidFill>
          </w14:textFill>
        </w:rPr>
        <w:t>Neurobiol Aging</w:t>
      </w:r>
      <w:r>
        <w:rPr>
          <w:rFonts w:ascii="Book Antiqua" w:hAnsi="Book Antiqua"/>
          <w:color w:val="000000" w:themeColor="text1"/>
          <w14:textFill>
            <w14:solidFill>
              <w14:schemeClr w14:val="tx1"/>
            </w14:solidFill>
          </w14:textFill>
        </w:rPr>
        <w:t xml:space="preserve"> 1994; </w:t>
      </w:r>
      <w:r>
        <w:rPr>
          <w:rFonts w:ascii="Book Antiqua" w:hAnsi="Book Antiqua"/>
          <w:b/>
          <w:bCs/>
          <w:color w:val="000000" w:themeColor="text1"/>
          <w14:textFill>
            <w14:solidFill>
              <w14:schemeClr w14:val="tx1"/>
            </w14:solidFill>
          </w14:textFill>
        </w:rPr>
        <w:t>15</w:t>
      </w:r>
      <w:r>
        <w:rPr>
          <w:rFonts w:ascii="Book Antiqua" w:hAnsi="Book Antiqua"/>
          <w:color w:val="000000" w:themeColor="text1"/>
          <w14:textFill>
            <w14:solidFill>
              <w14:schemeClr w14:val="tx1"/>
            </w14:solidFill>
          </w14:textFill>
        </w:rPr>
        <w:t>: 85-90 [PMID: 8159266 DOI: 10.1016/0197-4580(94)90147-3]</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39 </w:t>
      </w:r>
      <w:r>
        <w:rPr>
          <w:rFonts w:ascii="Book Antiqua" w:hAnsi="Book Antiqua"/>
          <w:b/>
          <w:bCs/>
          <w:color w:val="000000" w:themeColor="text1"/>
          <w14:textFill>
            <w14:solidFill>
              <w14:schemeClr w14:val="tx1"/>
            </w14:solidFill>
          </w14:textFill>
        </w:rPr>
        <w:t>Jeong J</w:t>
      </w:r>
      <w:r>
        <w:rPr>
          <w:rFonts w:ascii="Book Antiqua" w:hAnsi="Book Antiqua"/>
          <w:color w:val="000000" w:themeColor="text1"/>
          <w14:textFill>
            <w14:solidFill>
              <w14:schemeClr w14:val="tx1"/>
            </w14:solidFill>
          </w14:textFill>
        </w:rPr>
        <w:t xml:space="preserve">. EEG dynamics in patients with Alzheimer's disease. </w:t>
      </w:r>
      <w:r>
        <w:rPr>
          <w:rFonts w:ascii="Book Antiqua" w:hAnsi="Book Antiqua"/>
          <w:i/>
          <w:iCs/>
          <w:color w:val="000000" w:themeColor="text1"/>
          <w14:textFill>
            <w14:solidFill>
              <w14:schemeClr w14:val="tx1"/>
            </w14:solidFill>
          </w14:textFill>
        </w:rPr>
        <w:t>Clin Neurophysiol</w:t>
      </w:r>
      <w:r>
        <w:rPr>
          <w:rFonts w:ascii="Book Antiqua" w:hAnsi="Book Antiqua"/>
          <w:color w:val="000000" w:themeColor="text1"/>
          <w14:textFill>
            <w14:solidFill>
              <w14:schemeClr w14:val="tx1"/>
            </w14:solidFill>
          </w14:textFill>
        </w:rPr>
        <w:t xml:space="preserve"> 2004; </w:t>
      </w:r>
      <w:r>
        <w:rPr>
          <w:rFonts w:ascii="Book Antiqua" w:hAnsi="Book Antiqua"/>
          <w:b/>
          <w:bCs/>
          <w:color w:val="000000" w:themeColor="text1"/>
          <w14:textFill>
            <w14:solidFill>
              <w14:schemeClr w14:val="tx1"/>
            </w14:solidFill>
          </w14:textFill>
        </w:rPr>
        <w:t>115</w:t>
      </w:r>
      <w:r>
        <w:rPr>
          <w:rFonts w:ascii="Book Antiqua" w:hAnsi="Book Antiqua"/>
          <w:color w:val="000000" w:themeColor="text1"/>
          <w14:textFill>
            <w14:solidFill>
              <w14:schemeClr w14:val="tx1"/>
            </w14:solidFill>
          </w14:textFill>
        </w:rPr>
        <w:t>: 1490-1505 [PMID: 15203050 DOI: 10.1016/j.clinph.2004.01.001]</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40 </w:t>
      </w:r>
      <w:r>
        <w:rPr>
          <w:rFonts w:ascii="Book Antiqua" w:hAnsi="Book Antiqua"/>
          <w:b/>
          <w:bCs/>
          <w:color w:val="000000" w:themeColor="text1"/>
          <w14:textFill>
            <w14:solidFill>
              <w14:schemeClr w14:val="tx1"/>
            </w14:solidFill>
          </w14:textFill>
        </w:rPr>
        <w:t>Lejko N</w:t>
      </w:r>
      <w:r>
        <w:rPr>
          <w:rFonts w:ascii="Book Antiqua" w:hAnsi="Book Antiqua"/>
          <w:color w:val="000000" w:themeColor="text1"/>
          <w14:textFill>
            <w14:solidFill>
              <w14:schemeClr w14:val="tx1"/>
            </w14:solidFill>
          </w14:textFill>
        </w:rPr>
        <w:t xml:space="preserve">, Larabi DI, Herrmann CS, Aleman A, </w:t>
      </w:r>
      <w:r>
        <w:rPr>
          <w:rFonts w:ascii="Book Antiqua" w:hAnsi="Book Antiqua" w:cs="Cambria"/>
          <w:color w:val="000000" w:themeColor="text1"/>
          <w14:textFill>
            <w14:solidFill>
              <w14:schemeClr w14:val="tx1"/>
            </w14:solidFill>
          </w14:textFill>
        </w:rPr>
        <w:t>Ć</w:t>
      </w:r>
      <w:r>
        <w:rPr>
          <w:rFonts w:ascii="Book Antiqua" w:hAnsi="Book Antiqua"/>
          <w:color w:val="000000" w:themeColor="text1"/>
          <w14:textFill>
            <w14:solidFill>
              <w14:schemeClr w14:val="tx1"/>
            </w14:solidFill>
          </w14:textFill>
        </w:rPr>
        <w:t>ur</w:t>
      </w:r>
      <w:r>
        <w:rPr>
          <w:rFonts w:ascii="Book Antiqua" w:hAnsi="Book Antiqua" w:cs="Cambria"/>
          <w:color w:val="000000" w:themeColor="text1"/>
          <w14:textFill>
            <w14:solidFill>
              <w14:schemeClr w14:val="tx1"/>
            </w14:solidFill>
          </w14:textFill>
        </w:rPr>
        <w:t>č</w:t>
      </w:r>
      <w:r>
        <w:rPr>
          <w:rFonts w:ascii="Book Antiqua" w:hAnsi="Book Antiqua"/>
          <w:color w:val="000000" w:themeColor="text1"/>
          <w14:textFill>
            <w14:solidFill>
              <w14:schemeClr w14:val="tx1"/>
            </w14:solidFill>
          </w14:textFill>
        </w:rPr>
        <w:t>i</w:t>
      </w:r>
      <w:r>
        <w:rPr>
          <w:rFonts w:ascii="Book Antiqua" w:hAnsi="Book Antiqua" w:cs="Cambria"/>
          <w:color w:val="000000" w:themeColor="text1"/>
          <w14:textFill>
            <w14:solidFill>
              <w14:schemeClr w14:val="tx1"/>
            </w14:solidFill>
          </w14:textFill>
        </w:rPr>
        <w:t>ć</w:t>
      </w:r>
      <w:r>
        <w:rPr>
          <w:rFonts w:ascii="Book Antiqua" w:hAnsi="Book Antiqua"/>
          <w:color w:val="000000" w:themeColor="text1"/>
          <w14:textFill>
            <w14:solidFill>
              <w14:schemeClr w14:val="tx1"/>
            </w14:solidFill>
          </w14:textFill>
        </w:rPr>
        <w:t xml:space="preserve">-Blake B. Alpha Power and Functional Connectivity in Cognitive Decline: A Systematic Review and Meta-Analysis. </w:t>
      </w:r>
      <w:r>
        <w:rPr>
          <w:rFonts w:ascii="Book Antiqua" w:hAnsi="Book Antiqua"/>
          <w:i/>
          <w:iCs/>
          <w:color w:val="000000" w:themeColor="text1"/>
          <w14:textFill>
            <w14:solidFill>
              <w14:schemeClr w14:val="tx1"/>
            </w14:solidFill>
          </w14:textFill>
        </w:rPr>
        <w:t>J Alzheimers Dis</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78</w:t>
      </w:r>
      <w:r>
        <w:rPr>
          <w:rFonts w:ascii="Book Antiqua" w:hAnsi="Book Antiqua"/>
          <w:color w:val="000000" w:themeColor="text1"/>
          <w14:textFill>
            <w14:solidFill>
              <w14:schemeClr w14:val="tx1"/>
            </w14:solidFill>
          </w14:textFill>
        </w:rPr>
        <w:t>: 1047-1088 [PMID: 33185607 DOI: 10.3233/JAD-200962]</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41 </w:t>
      </w:r>
      <w:r>
        <w:rPr>
          <w:rFonts w:ascii="Book Antiqua" w:hAnsi="Book Antiqua"/>
          <w:b/>
          <w:bCs/>
          <w:color w:val="000000" w:themeColor="text1"/>
          <w14:textFill>
            <w14:solidFill>
              <w14:schemeClr w14:val="tx1"/>
            </w14:solidFill>
          </w14:textFill>
        </w:rPr>
        <w:t>Pikovsky A,</w:t>
      </w:r>
      <w:r>
        <w:rPr>
          <w:rFonts w:ascii="Book Antiqua" w:hAnsi="Book Antiqua"/>
          <w:color w:val="000000" w:themeColor="text1"/>
          <w14:textFill>
            <w14:solidFill>
              <w14:schemeClr w14:val="tx1"/>
            </w14:solidFill>
          </w14:textFill>
        </w:rPr>
        <w:t xml:space="preserve"> Rosenblum M, Kurths J. Synchronization: a universal concept in nonlinear science. American Association of Physics Teachers; 2002. Available from: assEts.cambridge.org/97805215/92857/frontmatter/9780521592857_frontmatter.pdf</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42 </w:t>
      </w:r>
      <w:r>
        <w:rPr>
          <w:rFonts w:ascii="Book Antiqua" w:hAnsi="Book Antiqua"/>
          <w:b/>
          <w:bCs/>
          <w:color w:val="000000" w:themeColor="text1"/>
          <w14:textFill>
            <w14:solidFill>
              <w14:schemeClr w14:val="tx1"/>
            </w14:solidFill>
          </w14:textFill>
        </w:rPr>
        <w:t>Wang R</w:t>
      </w:r>
      <w:r>
        <w:rPr>
          <w:rFonts w:ascii="Book Antiqua" w:hAnsi="Book Antiqua"/>
          <w:color w:val="000000" w:themeColor="text1"/>
          <w14:textFill>
            <w14:solidFill>
              <w14:schemeClr w14:val="tx1"/>
            </w14:solidFill>
          </w14:textFill>
        </w:rPr>
        <w:t xml:space="preserve">, Wang J, Yu H, Wei X, Yang C, Deng B. Power spectral density and coherence analysis of Alzheimer's EEG. </w:t>
      </w:r>
      <w:r>
        <w:rPr>
          <w:rFonts w:ascii="Book Antiqua" w:hAnsi="Book Antiqua"/>
          <w:i/>
          <w:iCs/>
          <w:color w:val="000000" w:themeColor="text1"/>
          <w14:textFill>
            <w14:solidFill>
              <w14:schemeClr w14:val="tx1"/>
            </w14:solidFill>
          </w14:textFill>
        </w:rPr>
        <w:t>Cogn Neurodyn</w:t>
      </w:r>
      <w:r>
        <w:rPr>
          <w:rFonts w:ascii="Book Antiqua" w:hAnsi="Book Antiqua"/>
          <w:color w:val="000000" w:themeColor="text1"/>
          <w14:textFill>
            <w14:solidFill>
              <w14:schemeClr w14:val="tx1"/>
            </w14:solidFill>
          </w14:textFill>
        </w:rPr>
        <w:t xml:space="preserve"> 2015; </w:t>
      </w:r>
      <w:r>
        <w:rPr>
          <w:rFonts w:ascii="Book Antiqua" w:hAnsi="Book Antiqua"/>
          <w:b/>
          <w:bCs/>
          <w:color w:val="000000" w:themeColor="text1"/>
          <w14:textFill>
            <w14:solidFill>
              <w14:schemeClr w14:val="tx1"/>
            </w14:solidFill>
          </w14:textFill>
        </w:rPr>
        <w:t>9</w:t>
      </w:r>
      <w:r>
        <w:rPr>
          <w:rFonts w:ascii="Book Antiqua" w:hAnsi="Book Antiqua"/>
          <w:color w:val="000000" w:themeColor="text1"/>
          <w14:textFill>
            <w14:solidFill>
              <w14:schemeClr w14:val="tx1"/>
            </w14:solidFill>
          </w14:textFill>
        </w:rPr>
        <w:t>: 291-304 [PMID: 25972978 DOI: 10.1007/s11571-014-9325-x]</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43 </w:t>
      </w:r>
      <w:r>
        <w:rPr>
          <w:rFonts w:ascii="Book Antiqua" w:hAnsi="Book Antiqua"/>
          <w:b/>
          <w:bCs/>
          <w:color w:val="000000" w:themeColor="text1"/>
          <w14:textFill>
            <w14:solidFill>
              <w14:schemeClr w14:val="tx1"/>
            </w14:solidFill>
          </w14:textFill>
        </w:rPr>
        <w:t>Handayani S,</w:t>
      </w:r>
      <w:r>
        <w:rPr>
          <w:rFonts w:ascii="Book Antiqua" w:hAnsi="Book Antiqua"/>
          <w:color w:val="000000" w:themeColor="text1"/>
          <w14:textFill>
            <w14:solidFill>
              <w14:schemeClr w14:val="tx1"/>
            </w14:solidFill>
          </w14:textFill>
        </w:rPr>
        <w:t xml:space="preserve"> Diansari Y, Bahar E, Novantina W. EEG changes in patients with intracranial tumors and seizures symptom at Mohammad Hoesin Hospital Palembang. </w:t>
      </w:r>
      <w:r>
        <w:rPr>
          <w:rFonts w:ascii="Book Antiqua" w:hAnsi="Book Antiqua"/>
          <w:i/>
          <w:iCs/>
          <w:color w:val="000000" w:themeColor="text1"/>
          <w14:textFill>
            <w14:solidFill>
              <w14:schemeClr w14:val="tx1"/>
            </w14:solidFill>
          </w14:textFill>
        </w:rPr>
        <w:t xml:space="preserve">J Phys Conf Ser </w:t>
      </w:r>
      <w:r>
        <w:rPr>
          <w:rFonts w:ascii="Book Antiqua" w:hAnsi="Book Antiqua"/>
          <w:color w:val="000000" w:themeColor="text1"/>
          <w14:textFill>
            <w14:solidFill>
              <w14:schemeClr w14:val="tx1"/>
            </w14:solidFill>
          </w14:textFill>
        </w:rPr>
        <w:t xml:space="preserve">2019; </w:t>
      </w:r>
      <w:r>
        <w:rPr>
          <w:rFonts w:ascii="Book Antiqua" w:hAnsi="Book Antiqua"/>
          <w:b/>
          <w:color w:val="000000" w:themeColor="text1"/>
          <w14:textFill>
            <w14:solidFill>
              <w14:schemeClr w14:val="tx1"/>
            </w14:solidFill>
          </w14:textFill>
        </w:rPr>
        <w:t>1246</w:t>
      </w:r>
      <w:r>
        <w:rPr>
          <w:rFonts w:ascii="Book Antiqua" w:hAnsi="Book Antiqua"/>
          <w:color w:val="000000" w:themeColor="text1"/>
          <w14:textFill>
            <w14:solidFill>
              <w14:schemeClr w14:val="tx1"/>
            </w14:solidFill>
          </w14:textFill>
        </w:rPr>
        <w:t>: 012014 [DOI: 10.1088/1742-6596/1246/1/012014]</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44 </w:t>
      </w:r>
      <w:r>
        <w:rPr>
          <w:rFonts w:ascii="Book Antiqua" w:hAnsi="Book Antiqua"/>
          <w:b/>
          <w:bCs/>
          <w:color w:val="000000" w:themeColor="text1"/>
          <w14:textFill>
            <w14:solidFill>
              <w14:schemeClr w14:val="tx1"/>
            </w14:solidFill>
          </w14:textFill>
        </w:rPr>
        <w:t>Monllor P</w:t>
      </w:r>
      <w:r>
        <w:rPr>
          <w:rFonts w:ascii="Book Antiqua" w:hAnsi="Book Antiqua"/>
          <w:color w:val="000000" w:themeColor="text1"/>
          <w14:textFill>
            <w14:solidFill>
              <w14:schemeClr w14:val="tx1"/>
            </w14:solidFill>
          </w14:textFill>
        </w:rPr>
        <w:t xml:space="preserve">, Cervera-Ferri A, Lloret MA, Esteve D, Lopez B, Leon JL, Lloret A. Electroencephalography as a Non-Invasive Biomarker of Alzheimer's Disease: A Forgotten Candidate to Substitute CSF Molecules? </w:t>
      </w:r>
      <w:r>
        <w:rPr>
          <w:rFonts w:ascii="Book Antiqua" w:hAnsi="Book Antiqua"/>
          <w:i/>
          <w:iCs/>
          <w:color w:val="000000" w:themeColor="text1"/>
          <w14:textFill>
            <w14:solidFill>
              <w14:schemeClr w14:val="tx1"/>
            </w14:solidFill>
          </w14:textFill>
        </w:rPr>
        <w:t>Int J Mol Sci</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22</w:t>
      </w:r>
      <w:r>
        <w:rPr>
          <w:rFonts w:ascii="Book Antiqua" w:hAnsi="Book Antiqua"/>
          <w:color w:val="000000" w:themeColor="text1"/>
          <w14:textFill>
            <w14:solidFill>
              <w14:schemeClr w14:val="tx1"/>
            </w14:solidFill>
          </w14:textFill>
        </w:rPr>
        <w:t xml:space="preserve"> [PMID: 34639229 DOI: 10.3390/ijms221910889]</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45 </w:t>
      </w:r>
      <w:r>
        <w:rPr>
          <w:rFonts w:ascii="Book Antiqua" w:hAnsi="Book Antiqua"/>
          <w:b/>
          <w:bCs/>
          <w:color w:val="000000" w:themeColor="text1"/>
          <w14:textFill>
            <w14:solidFill>
              <w14:schemeClr w14:val="tx1"/>
            </w14:solidFill>
          </w14:textFill>
        </w:rPr>
        <w:t>Locatelli T</w:t>
      </w:r>
      <w:r>
        <w:rPr>
          <w:rFonts w:ascii="Book Antiqua" w:hAnsi="Book Antiqua"/>
          <w:color w:val="000000" w:themeColor="text1"/>
          <w14:textFill>
            <w14:solidFill>
              <w14:schemeClr w14:val="tx1"/>
            </w14:solidFill>
          </w14:textFill>
        </w:rPr>
        <w:t xml:space="preserve">, Cursi M, Liberati D, Franceschi M, Comi G. EEG coherence in Alzheimer's disease. </w:t>
      </w:r>
      <w:r>
        <w:rPr>
          <w:rFonts w:ascii="Book Antiqua" w:hAnsi="Book Antiqua"/>
          <w:i/>
          <w:iCs/>
          <w:color w:val="000000" w:themeColor="text1"/>
          <w14:textFill>
            <w14:solidFill>
              <w14:schemeClr w14:val="tx1"/>
            </w14:solidFill>
          </w14:textFill>
        </w:rPr>
        <w:t>Electroencephalogr Clin Neurophysiol</w:t>
      </w:r>
      <w:r>
        <w:rPr>
          <w:rFonts w:ascii="Book Antiqua" w:hAnsi="Book Antiqua"/>
          <w:color w:val="000000" w:themeColor="text1"/>
          <w14:textFill>
            <w14:solidFill>
              <w14:schemeClr w14:val="tx1"/>
            </w14:solidFill>
          </w14:textFill>
        </w:rPr>
        <w:t xml:space="preserve"> 1998; </w:t>
      </w:r>
      <w:r>
        <w:rPr>
          <w:rFonts w:ascii="Book Antiqua" w:hAnsi="Book Antiqua"/>
          <w:b/>
          <w:bCs/>
          <w:color w:val="000000" w:themeColor="text1"/>
          <w14:textFill>
            <w14:solidFill>
              <w14:schemeClr w14:val="tx1"/>
            </w14:solidFill>
          </w14:textFill>
        </w:rPr>
        <w:t>106</w:t>
      </w:r>
      <w:r>
        <w:rPr>
          <w:rFonts w:ascii="Book Antiqua" w:hAnsi="Book Antiqua"/>
          <w:color w:val="000000" w:themeColor="text1"/>
          <w14:textFill>
            <w14:solidFill>
              <w14:schemeClr w14:val="tx1"/>
            </w14:solidFill>
          </w14:textFill>
        </w:rPr>
        <w:t>: 229-237 [PMID: 9743281 DOI: 10.1016/s0013-4694(97)00129-6]</w:t>
      </w:r>
    </w:p>
    <w:p>
      <w:pPr>
        <w:pStyle w:val="6"/>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46 </w:t>
      </w:r>
      <w:r>
        <w:rPr>
          <w:rFonts w:ascii="Book Antiqua" w:hAnsi="Book Antiqua"/>
          <w:b/>
          <w:bCs/>
          <w:color w:val="000000" w:themeColor="text1"/>
          <w14:textFill>
            <w14:solidFill>
              <w14:schemeClr w14:val="tx1"/>
            </w14:solidFill>
          </w14:textFill>
        </w:rPr>
        <w:t>Tanaka M</w:t>
      </w:r>
      <w:r>
        <w:rPr>
          <w:rFonts w:ascii="Book Antiqua" w:hAnsi="Book Antiqua"/>
          <w:color w:val="000000" w:themeColor="text1"/>
          <w14:textFill>
            <w14:solidFill>
              <w14:schemeClr w14:val="tx1"/>
            </w14:solidFill>
          </w14:textFill>
        </w:rPr>
        <w:t xml:space="preserve">, Vécsei L. Editorial of Special Issue 'Dissecting Neurological and Neuropsychiatric Diseases: Neurodegeneration and Neuroprotection'. </w:t>
      </w:r>
      <w:r>
        <w:rPr>
          <w:rFonts w:ascii="Book Antiqua" w:hAnsi="Book Antiqua"/>
          <w:i/>
          <w:iCs/>
          <w:color w:val="000000" w:themeColor="text1"/>
          <w14:textFill>
            <w14:solidFill>
              <w14:schemeClr w14:val="tx1"/>
            </w14:solidFill>
          </w14:textFill>
        </w:rPr>
        <w:t>Int J Mol Sci</w:t>
      </w:r>
      <w:r>
        <w:rPr>
          <w:rFonts w:ascii="Book Antiqua" w:hAnsi="Book Antiqua"/>
          <w:color w:val="000000" w:themeColor="text1"/>
          <w14:textFill>
            <w14:solidFill>
              <w14:schemeClr w14:val="tx1"/>
            </w14:solidFill>
          </w14:textFill>
        </w:rPr>
        <w:t xml:space="preserve"> 2022; </w:t>
      </w:r>
      <w:r>
        <w:rPr>
          <w:rFonts w:ascii="Book Antiqua" w:hAnsi="Book Antiqua"/>
          <w:b/>
          <w:bCs/>
          <w:color w:val="000000" w:themeColor="text1"/>
          <w14:textFill>
            <w14:solidFill>
              <w14:schemeClr w14:val="tx1"/>
            </w14:solidFill>
          </w14:textFill>
        </w:rPr>
        <w:t>23</w:t>
      </w:r>
      <w:r>
        <w:rPr>
          <w:rFonts w:ascii="Book Antiqua" w:hAnsi="Book Antiqua"/>
          <w:color w:val="000000" w:themeColor="text1"/>
          <w14:textFill>
            <w14:solidFill>
              <w14:schemeClr w14:val="tx1"/>
            </w14:solidFill>
          </w14:textFill>
        </w:rPr>
        <w:t xml:space="preserve"> [PMID: 35805990 DOI: 10.3390/ijms23136991]</w:t>
      </w: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pStyle w:val="6"/>
        <w:spacing w:before="0" w:beforeAutospacing="0" w:after="0" w:afterAutospacing="0" w:line="360" w:lineRule="auto"/>
        <w:jc w:val="both"/>
      </w:pPr>
      <w:r>
        <w:rPr>
          <w:rFonts w:ascii="Book Antiqua" w:hAnsi="Book Antiqua"/>
          <w:b/>
          <w:bCs/>
        </w:rPr>
        <w:t xml:space="preserve">Institutional review board statement: </w:t>
      </w:r>
      <w:r>
        <w:rPr>
          <w:rFonts w:ascii="Book Antiqua" w:hAnsi="Book Antiqua"/>
        </w:rPr>
        <w:t>The study was reviewed and approved by investigation of the fundamental pattern in the brain channels’ EEG of five apparently healthy individuals, with ethics ID “IR.IUMS.REC.1399.310”.</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rPr>
        <w:t xml:space="preserve">Institutional animal care and use committee statement: </w:t>
      </w:r>
      <w:r>
        <w:rPr>
          <w:rFonts w:ascii="Book Antiqua" w:hAnsi="Book Antiqua"/>
        </w:rPr>
        <w:t>This study was not involved any animal experiments.</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rPr>
        <w:t xml:space="preserve">Conflict-of-interest statement: </w:t>
      </w:r>
      <w:r>
        <w:rPr>
          <w:rFonts w:ascii="Book Antiqua" w:hAnsi="Book Antiqua"/>
        </w:rPr>
        <w:t>The authors declare that they have no conflict of interest.</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rPr>
        <w:t xml:space="preserve">Data sharing statement: </w:t>
      </w:r>
      <w:r>
        <w:rPr>
          <w:rFonts w:ascii="Book Antiqua" w:hAnsi="Book Antiqua"/>
        </w:rPr>
        <w:t>No additional data are available.</w:t>
      </w:r>
    </w:p>
    <w:p>
      <w:pPr>
        <w:pStyle w:val="6"/>
        <w:spacing w:before="0" w:beforeAutospacing="0" w:after="0" w:afterAutospacing="0" w:line="360" w:lineRule="auto"/>
        <w:jc w:val="both"/>
      </w:pPr>
    </w:p>
    <w:p>
      <w:pPr>
        <w:pStyle w:val="6"/>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pPr>
        <w:pStyle w:val="6"/>
        <w:spacing w:before="0" w:beforeAutospacing="0" w:after="0" w:afterAutospacing="0" w:line="360" w:lineRule="auto"/>
        <w:jc w:val="both"/>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Invited article; Externally peer reviewed.</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January 20, 2023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April 13, 2023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color w:val="000000" w:themeColor="text1"/>
          <w14:textFill>
            <w14:solidFill>
              <w14:schemeClr w14:val="tx1"/>
            </w14:solidFill>
          </w14:textFill>
        </w:rPr>
        <w:t>July 11, 2023</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Medicine, research and experimental</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Iran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宋体" w:cs="宋体"/>
          <w:bCs/>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Arslan M, Turkey; Masaru T, Hungary</w:t>
      </w:r>
      <w:r>
        <w:rPr>
          <w:rFonts w:ascii="Book Antiqua" w:hAnsi="Book Antiqua" w:eastAsia="Book Antiqua" w:cs="Book Antiqua"/>
          <w:b/>
          <w:color w:val="000000" w:themeColor="text1"/>
          <w14:textFill>
            <w14:solidFill>
              <w14:schemeClr w14:val="tx1"/>
            </w14:solidFill>
          </w14:textFill>
        </w:rPr>
        <w:t xml:space="preserve"> S-Editor:</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cs="Book Antiqua"/>
          <w:bCs/>
          <w:color w:val="000000" w:themeColor="text1"/>
          <w:lang w:eastAsia="zh-CN"/>
          <w14:textFill>
            <w14:solidFill>
              <w14:schemeClr w14:val="tx1"/>
            </w14:solidFill>
          </w14:textFill>
        </w:rPr>
        <w:t>Fan JR</w:t>
      </w:r>
      <w:r>
        <w:rPr>
          <w:rFonts w:ascii="Book Antiqua" w:hAnsi="Book Antiqua" w:eastAsia="宋体" w:cs="宋体"/>
          <w:bCs/>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 xml:space="preserve">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hint="eastAsia" w:ascii="Book Antiqua" w:hAnsi="Book Antiqua" w:eastAsia="宋体" w:cs="Book Antiqua"/>
          <w:bCs/>
          <w:color w:val="000000" w:themeColor="text1"/>
          <w:lang w:eastAsia="zh-CN"/>
          <w14:textFill>
            <w14:solidFill>
              <w14:schemeClr w14:val="tx1"/>
            </w14:solidFill>
          </w14:textFill>
        </w:rPr>
        <w:t>Xu ZH</w:t>
      </w:r>
    </w:p>
    <w:p>
      <w:pPr>
        <w:spacing w:line="360" w:lineRule="auto"/>
        <w:jc w:val="both"/>
        <w:rPr>
          <w:rFonts w:ascii="Book Antiqua" w:hAnsi="Book Antiqua" w:eastAsia="Book Antiqua" w:cs="Book Antiqua"/>
          <w:b/>
          <w:caps/>
          <w:color w:val="000000" w:themeColor="text1"/>
          <w:u w:val="single"/>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br w:type="page"/>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aps/>
          <w:color w:val="000000" w:themeColor="text1"/>
          <w:u w:val="single"/>
          <w:lang w:eastAsia="zh-CN"/>
          <w14:textFill>
            <w14:solidFill>
              <w14:schemeClr w14:val="tx1"/>
            </w14:solidFill>
          </w14:textFill>
        </w:rPr>
      </w:pPr>
      <w:r>
        <w:rPr>
          <w:rFonts w:hint="eastAsia" w:ascii="Book Antiqua" w:hAnsi="Book Antiqua" w:eastAsia="宋体" w:cs="Book Antiqua"/>
          <w:b/>
          <w:caps/>
          <w:color w:val="000000" w:themeColor="text1"/>
          <w:u w:val="single"/>
          <w:lang w:eastAsia="zh-CN"/>
          <w14:textFill>
            <w14:solidFill>
              <w14:schemeClr w14:val="tx1"/>
            </w14:solidFill>
          </w14:textFill>
        </w:rPr>
        <w:drawing>
          <wp:inline distT="0" distB="0" distL="114300" distR="114300">
            <wp:extent cx="5941060" cy="2371090"/>
            <wp:effectExtent l="0" t="0" r="2540" b="635"/>
            <wp:docPr id="7" name="图片 7" descr="WJEM-13-7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EM-13-75-g001"/>
                    <pic:cNvPicPr>
                      <a:picLocks noChangeAspect="1"/>
                    </pic:cNvPicPr>
                  </pic:nvPicPr>
                  <pic:blipFill>
                    <a:blip r:embed="rId5"/>
                    <a:stretch>
                      <a:fillRect/>
                    </a:stretch>
                  </pic:blipFill>
                  <pic:spPr>
                    <a:xfrm>
                      <a:off x="0" y="0"/>
                      <a:ext cx="5941060" cy="2371090"/>
                    </a:xfrm>
                    <a:prstGeom prst="rect">
                      <a:avLst/>
                    </a:prstGeom>
                  </pic:spPr>
                </pic:pic>
              </a:graphicData>
            </a:graphic>
          </wp:inline>
        </w:drawing>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1</w:t>
      </w:r>
      <w:r>
        <w:rPr>
          <w:rFonts w:ascii="Book Antiqua" w:hAnsi="Book Antiqua" w:cs="Book Antiqua"/>
          <w:b/>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The required managements for early detection and therapy:</w:t>
      </w:r>
      <w:r>
        <w:rPr>
          <w:rFonts w:ascii="Book Antiqua" w:hAnsi="Book Antiqua" w:cs="Book Antiqua"/>
          <w:b/>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A Journey from embryonic and fetal periods to elderly.</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color w:val="000000" w:themeColor="text1"/>
          <w:lang w:eastAsia="zh-CN"/>
          <w14:textFill>
            <w14:solidFill>
              <w14:schemeClr w14:val="tx1"/>
            </w14:solidFill>
          </w14:textFill>
        </w:rPr>
      </w:pPr>
      <w:r>
        <w:rPr>
          <w:rFonts w:hint="eastAsia" w:ascii="Book Antiqua" w:hAnsi="Book Antiqua" w:eastAsia="宋体" w:cs="Book Antiqua"/>
          <w:b/>
          <w:color w:val="000000" w:themeColor="text1"/>
          <w:lang w:eastAsia="zh-CN"/>
          <w14:textFill>
            <w14:solidFill>
              <w14:schemeClr w14:val="tx1"/>
            </w14:solidFill>
          </w14:textFill>
        </w:rPr>
        <w:drawing>
          <wp:inline distT="0" distB="0" distL="114300" distR="114300">
            <wp:extent cx="3950335" cy="5650865"/>
            <wp:effectExtent l="0" t="0" r="2540" b="6985"/>
            <wp:docPr id="8" name="图片 8" descr="WJEM-13-7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EM-13-75-g002"/>
                    <pic:cNvPicPr>
                      <a:picLocks noChangeAspect="1"/>
                    </pic:cNvPicPr>
                  </pic:nvPicPr>
                  <pic:blipFill>
                    <a:blip r:embed="rId6"/>
                    <a:stretch>
                      <a:fillRect/>
                    </a:stretch>
                  </pic:blipFill>
                  <pic:spPr>
                    <a:xfrm>
                      <a:off x="0" y="0"/>
                      <a:ext cx="3950335" cy="5650865"/>
                    </a:xfrm>
                    <a:prstGeom prst="rect">
                      <a:avLst/>
                    </a:prstGeom>
                  </pic:spPr>
                </pic:pic>
              </a:graphicData>
            </a:graphic>
          </wp:inline>
        </w:drawing>
      </w:r>
    </w:p>
    <w:p>
      <w:pPr>
        <w:spacing w:line="360" w:lineRule="auto"/>
        <w:jc w:val="both"/>
        <w:rPr>
          <w:rFonts w:ascii="Book Antiqua" w:hAnsi="Book Antiqua" w:cstheme="majorBidi"/>
          <w:b/>
          <w:bCs/>
          <w:color w:val="000000" w:themeColor="text1"/>
          <w14:textFill>
            <w14:solidFill>
              <w14:schemeClr w14:val="tx1"/>
            </w14:solidFill>
          </w14:textFill>
        </w:rPr>
      </w:pPr>
      <w:r>
        <w:rPr>
          <w:rFonts w:ascii="Book Antiqua" w:hAnsi="Book Antiqua" w:cstheme="majorBidi"/>
          <w:b/>
          <w:bCs/>
          <w:color w:val="000000" w:themeColor="text1"/>
          <w14:textFill>
            <w14:solidFill>
              <w14:schemeClr w14:val="tx1"/>
            </w14:solidFill>
          </w14:textFill>
        </w:rPr>
        <w:t xml:space="preserve">Figure 2 Circulating neural cells in embryonic and chorionic villus samples. </w:t>
      </w:r>
      <w:r>
        <w:rPr>
          <w:rFonts w:ascii="Book Antiqua" w:hAnsi="Book Antiqua" w:cstheme="majorBidi"/>
          <w:color w:val="000000" w:themeColor="text1"/>
          <w14:textFill>
            <w14:solidFill>
              <w14:schemeClr w14:val="tx1"/>
            </w14:solidFill>
          </w14:textFill>
        </w:rPr>
        <w:t>A:</w:t>
      </w:r>
      <w:r>
        <w:rPr>
          <w:rFonts w:ascii="Book Antiqua" w:hAnsi="Book Antiqua" w:cstheme="majorBidi"/>
          <w:b/>
          <w:bCs/>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Circulated neural cells (CNCs) conjugated with Dapi/Ne/CD133/vascular endothelial growth (VEG); B: Same cells conjugated with fluorescein isothiocyanate (FITC) (Ne) reflecting</w:t>
      </w:r>
      <w:r>
        <w:rPr>
          <w:rFonts w:ascii="Book Antiqua" w:hAnsi="Book Antiqua" w:eastAsiaTheme="minorHAnsi"/>
          <w:color w:val="000000" w:themeColor="text1"/>
          <w14:textFill>
            <w14:solidFill>
              <w14:schemeClr w14:val="tx1"/>
            </w14:solidFill>
          </w14:textFill>
        </w:rPr>
        <w:t xml:space="preserve"> high protein expression in the limited cells; C: </w:t>
      </w:r>
      <w:r>
        <w:rPr>
          <w:rFonts w:ascii="Book Antiqua" w:hAnsi="Book Antiqua"/>
          <w:color w:val="000000" w:themeColor="text1"/>
          <w14:textFill>
            <w14:solidFill>
              <w14:schemeClr w14:val="tx1"/>
            </w14:solidFill>
          </w14:textFill>
        </w:rPr>
        <w:t>Same cells conjugated with Rpe (CD133), totally lacks expression in stem cells; D:</w:t>
      </w:r>
      <w:r>
        <w:rPr>
          <w:rFonts w:ascii="Book Antiqua" w:hAnsi="Book Antiqua" w:cstheme="majorBidi"/>
          <w:b/>
          <w:bCs/>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 xml:space="preserve">Same cells conjugated with Pe-Cy5, reflecting high </w:t>
      </w:r>
      <w:r>
        <w:rPr>
          <w:rFonts w:ascii="Book Antiqua" w:hAnsi="Book Antiqua" w:eastAsiaTheme="minorHAnsi"/>
          <w:color w:val="000000" w:themeColor="text1"/>
          <w14:textFill>
            <w14:solidFill>
              <w14:schemeClr w14:val="tx1"/>
            </w14:solidFill>
          </w14:textFill>
        </w:rPr>
        <w:t>protein</w:t>
      </w:r>
      <w:r>
        <w:rPr>
          <w:rFonts w:ascii="Book Antiqua" w:hAnsi="Book Antiqua"/>
          <w:color w:val="000000" w:themeColor="text1"/>
          <w14:textFill>
            <w14:solidFill>
              <w14:schemeClr w14:val="tx1"/>
            </w14:solidFill>
          </w14:textFill>
        </w:rPr>
        <w:t xml:space="preserve"> expression, accompanied by few cells with low expression; E-H: Reflect protein expression in chorionic villus sample including; E: CNCs conjugated with Dapi/Ne/CD133/VEG; F: Same cells conjugated with FITC (Ne) reflecting</w:t>
      </w:r>
      <w:r>
        <w:rPr>
          <w:rFonts w:ascii="Book Antiqua" w:hAnsi="Book Antiqua" w:eastAsiaTheme="minorHAnsi"/>
          <w:color w:val="000000" w:themeColor="text1"/>
          <w14:textFill>
            <w14:solidFill>
              <w14:schemeClr w14:val="tx1"/>
            </w14:solidFill>
          </w14:textFill>
        </w:rPr>
        <w:t xml:space="preserve"> high protein expression; G: </w:t>
      </w:r>
      <w:r>
        <w:rPr>
          <w:rFonts w:ascii="Book Antiqua" w:hAnsi="Book Antiqua"/>
          <w:color w:val="000000" w:themeColor="text1"/>
          <w14:textFill>
            <w14:solidFill>
              <w14:schemeClr w14:val="tx1"/>
            </w14:solidFill>
          </w14:textFill>
        </w:rPr>
        <w:t xml:space="preserve">Same cells conjugated with Rpe (CD133), lack of expression is observable, accompanied by few cells with positive CD133; H: Same cells conjugated with Cy5 (VEGF), reflecting high </w:t>
      </w:r>
      <w:r>
        <w:rPr>
          <w:rFonts w:ascii="Book Antiqua" w:hAnsi="Book Antiqua" w:eastAsiaTheme="minorHAnsi"/>
          <w:color w:val="000000" w:themeColor="text1"/>
          <w14:textFill>
            <w14:solidFill>
              <w14:schemeClr w14:val="tx1"/>
            </w14:solidFill>
          </w14:textFill>
        </w:rPr>
        <w:t>protein</w:t>
      </w:r>
      <w:r>
        <w:rPr>
          <w:rFonts w:ascii="Book Antiqua" w:hAnsi="Book Antiqua"/>
          <w:color w:val="000000" w:themeColor="text1"/>
          <w14:textFill>
            <w14:solidFill>
              <w14:schemeClr w14:val="tx1"/>
            </w14:solidFill>
          </w14:textFill>
        </w:rPr>
        <w:t xml:space="preserve"> expression and remarkable angiogenesis.</w:t>
      </w:r>
      <w:r>
        <w:rPr>
          <w:rFonts w:ascii="Book Antiqua" w:hAnsi="Book Antiqua" w:eastAsiaTheme="minorHAnsi"/>
          <w:b/>
          <w:bCs/>
          <w:color w:val="000000" w:themeColor="text1"/>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Bars = 20 μm.</w:t>
      </w:r>
    </w:p>
    <w:p>
      <w:pPr>
        <w:spacing w:line="360" w:lineRule="auto"/>
        <w:jc w:val="both"/>
        <w:rPr>
          <w:rFonts w:ascii="Book Antiqua" w:hAnsi="Book Antiqua" w:cstheme="majorBidi"/>
          <w:b/>
          <w:bCs/>
          <w:color w:val="000000" w:themeColor="text1"/>
          <w14:textFill>
            <w14:solidFill>
              <w14:schemeClr w14:val="tx1"/>
            </w14:solidFill>
          </w14:textFill>
        </w:rPr>
      </w:pPr>
    </w:p>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br w:type="page"/>
      </w:r>
    </w:p>
    <w:p>
      <w:pPr>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4546600" cy="2196465"/>
            <wp:effectExtent l="0" t="0" r="6350" b="3810"/>
            <wp:docPr id="9" name="图片 9" descr="WJEM-13-7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EM-13-75-g003"/>
                    <pic:cNvPicPr>
                      <a:picLocks noChangeAspect="1"/>
                    </pic:cNvPicPr>
                  </pic:nvPicPr>
                  <pic:blipFill>
                    <a:blip r:embed="rId7"/>
                    <a:stretch>
                      <a:fillRect/>
                    </a:stretch>
                  </pic:blipFill>
                  <pic:spPr>
                    <a:xfrm>
                      <a:off x="0" y="0"/>
                      <a:ext cx="4546600" cy="2196465"/>
                    </a:xfrm>
                    <a:prstGeom prst="rect">
                      <a:avLst/>
                    </a:prstGeom>
                  </pic:spPr>
                </pic:pic>
              </a:graphicData>
            </a:graphic>
          </wp:inline>
        </w:drawing>
      </w:r>
    </w:p>
    <w:p>
      <w:pPr>
        <w:spacing w:line="360" w:lineRule="auto"/>
        <w:jc w:val="both"/>
        <w:rPr>
          <w:rFonts w:ascii="Book Antiqua" w:hAnsi="Book Antiqua" w:eastAsia="Times New Roman" w:cs="Arial"/>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3 Flow-cytometry results of erythroblastosis virus E26 oncogene homolog 2 protein expression in a patient affected with Alzheimer disease.</w:t>
      </w:r>
      <w:r>
        <w:rPr>
          <w:rFonts w:ascii="Book Antiqua" w:hAnsi="Book Antiqua" w:cs="Book Antiqua"/>
          <w:b/>
          <w:bCs/>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 xml:space="preserve">A: </w:t>
      </w:r>
      <w:r>
        <w:rPr>
          <w:rFonts w:ascii="Book Antiqua" w:hAnsi="Book Antiqua" w:cs="Arial"/>
          <w:color w:val="000000" w:themeColor="text1"/>
          <w14:textFill>
            <w14:solidFill>
              <w14:schemeClr w14:val="tx1"/>
            </w14:solidFill>
          </w14:textFill>
        </w:rPr>
        <w:t xml:space="preserve">R1: 78.1 % (7812/10000 cells); </w:t>
      </w:r>
      <w:r>
        <w:rPr>
          <w:rFonts w:ascii="Book Antiqua" w:hAnsi="Book Antiqua" w:eastAsia="Times New Roman" w:cs="Arial"/>
          <w:color w:val="000000" w:themeColor="text1"/>
          <w:lang w:val="en"/>
          <w14:textFill>
            <w14:solidFill>
              <w14:schemeClr w14:val="tx1"/>
            </w14:solidFill>
          </w14:textFill>
        </w:rPr>
        <w:t xml:space="preserve">B: </w:t>
      </w:r>
      <w:r>
        <w:rPr>
          <w:rFonts w:ascii="Book Antiqua" w:hAnsi="Book Antiqua" w:eastAsia="Book Antiqua" w:cs="Book Antiqua"/>
          <w:color w:val="000000" w:themeColor="text1"/>
          <w14:textFill>
            <w14:solidFill>
              <w14:schemeClr w14:val="tx1"/>
            </w14:solidFill>
          </w14:textFill>
        </w:rPr>
        <w:t>Erythroblastosis virus E26 oncogene homolog 2</w:t>
      </w:r>
      <w:r>
        <w:rPr>
          <w:rFonts w:ascii="Book Antiqua" w:hAnsi="Book Antiqua" w:eastAsia="Times New Roman" w:cs="Arial"/>
          <w:color w:val="000000" w:themeColor="text1"/>
          <w14:textFill>
            <w14:solidFill>
              <w14:schemeClr w14:val="tx1"/>
            </w14:solidFill>
          </w14:textFill>
        </w:rPr>
        <w:t>: 2.59 % (202/7812 cells)</w:t>
      </w:r>
      <w:r>
        <w:rPr>
          <w:rFonts w:ascii="Book Antiqua" w:hAnsi="Book Antiqua" w:cs="Arial"/>
          <w:color w:val="000000" w:themeColor="text1"/>
          <w:lang w:eastAsia="zh-CN"/>
          <w14:textFill>
            <w14:solidFill>
              <w14:schemeClr w14:val="tx1"/>
            </w14:solidFill>
          </w14:textFill>
        </w:rPr>
        <w:t>.</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cs="Arial"/>
          <w:color w:val="000000" w:themeColor="text1"/>
          <w:lang w:eastAsia="zh-CN"/>
          <w14:textFill>
            <w14:solidFill>
              <w14:schemeClr w14:val="tx1"/>
            </w14:solidFill>
          </w14:textFill>
        </w:rPr>
        <w:t xml:space="preserve">Ets2: </w:t>
      </w:r>
      <w:r>
        <w:rPr>
          <w:rFonts w:ascii="Book Antiqua" w:hAnsi="Book Antiqua" w:eastAsia="Book Antiqua" w:cs="Book Antiqua"/>
          <w:color w:val="000000" w:themeColor="text1"/>
          <w14:textFill>
            <w14:solidFill>
              <w14:schemeClr w14:val="tx1"/>
            </w14:solidFill>
          </w14:textFill>
        </w:rPr>
        <w:t xml:space="preserve">Erythroblastosis virus E26 oncogene homolog 2; </w:t>
      </w:r>
      <w:r>
        <w:rPr>
          <w:rFonts w:ascii="Book Antiqua" w:hAnsi="Book Antiqua" w:cs="Arial"/>
          <w:color w:val="000000" w:themeColor="text1"/>
          <w14:textFill>
            <w14:solidFill>
              <w14:schemeClr w14:val="tx1"/>
            </w14:solidFill>
          </w14:textFill>
        </w:rPr>
        <w:t>SSC: Side scatter reflects the internal complexity. Adapted from Reference</w:t>
      </w:r>
      <w:r>
        <w:rPr>
          <w:rFonts w:ascii="Book Antiqua" w:hAnsi="Book Antiqua" w:cs="Arial"/>
          <w:color w:val="000000" w:themeColor="text1"/>
          <w:vertAlign w:val="superscript"/>
          <w14:textFill>
            <w14:solidFill>
              <w14:schemeClr w14:val="tx1"/>
            </w14:solidFill>
          </w14:textFill>
        </w:rPr>
        <w:t>[11]</w:t>
      </w:r>
      <w:r>
        <w:rPr>
          <w:rFonts w:ascii="Book Antiqua" w:hAnsi="Book Antiqua" w:cs="Arial"/>
          <w:color w:val="000000" w:themeColor="text1"/>
          <w14:textFill>
            <w14:solidFill>
              <w14:schemeClr w14:val="tx1"/>
            </w14:solidFill>
          </w14:textFill>
        </w:rPr>
        <w:t>.</w:t>
      </w:r>
    </w:p>
    <w:p>
      <w:pPr>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4001135" cy="5168265"/>
            <wp:effectExtent l="0" t="0" r="8890" b="3810"/>
            <wp:docPr id="11" name="图片 11" descr="WJEM-13-7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EM-13-75-g004"/>
                    <pic:cNvPicPr>
                      <a:picLocks noChangeAspect="1"/>
                    </pic:cNvPicPr>
                  </pic:nvPicPr>
                  <pic:blipFill>
                    <a:blip r:embed="rId8"/>
                    <a:stretch>
                      <a:fillRect/>
                    </a:stretch>
                  </pic:blipFill>
                  <pic:spPr>
                    <a:xfrm>
                      <a:off x="0" y="0"/>
                      <a:ext cx="4001135" cy="516826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000000" w:themeColor="text1"/>
          <w14:textFill>
            <w14:solidFill>
              <w14:schemeClr w14:val="tx1"/>
            </w14:solidFill>
          </w14:textFill>
        </w:rPr>
        <w:t xml:space="preserve">Figure 4 Protein expression of </w:t>
      </w:r>
      <w:r>
        <w:rPr>
          <w:rFonts w:ascii="Book Antiqua" w:hAnsi="Book Antiqua" w:cstheme="minorHAnsi"/>
          <w:b/>
          <w:bCs/>
          <w:color w:val="000000" w:themeColor="text1"/>
          <w14:textFill>
            <w14:solidFill>
              <w14:schemeClr w14:val="tx1"/>
            </w14:solidFill>
          </w14:textFill>
        </w:rPr>
        <w:t>Ataxia Telangiectasia mutated gene</w:t>
      </w:r>
      <w:r>
        <w:rPr>
          <w:rFonts w:ascii="Book Antiqua" w:hAnsi="Book Antiqua"/>
          <w:b/>
          <w:bCs/>
          <w:color w:val="000000" w:themeColor="text1"/>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erythroblastosis virus E26 oncogene homolog 2</w:t>
      </w:r>
      <w:r>
        <w:rPr>
          <w:rFonts w:ascii="Book Antiqua" w:hAnsi="Book Antiqua"/>
          <w:b/>
          <w:bCs/>
          <w:color w:val="000000" w:themeColor="text1"/>
          <w14:textFill>
            <w14:solidFill>
              <w14:schemeClr w14:val="tx1"/>
            </w14:solidFill>
          </w14:textFill>
        </w:rPr>
        <w:t xml:space="preserve">, and </w:t>
      </w:r>
      <w:r>
        <w:rPr>
          <w:rFonts w:ascii="Book Antiqua" w:hAnsi="Book Antiqua" w:cstheme="minorHAnsi"/>
          <w:b/>
          <w:bCs/>
          <w:color w:val="000000" w:themeColor="text1"/>
          <w14:textFill>
            <w14:solidFill>
              <w14:schemeClr w14:val="tx1"/>
            </w14:solidFill>
          </w14:textFill>
        </w:rPr>
        <w:t>vascular endothelial growth factor</w:t>
      </w:r>
      <w:r>
        <w:rPr>
          <w:rFonts w:ascii="Book Antiqua" w:hAnsi="Book Antiqua"/>
          <w:b/>
          <w:bCs/>
          <w:color w:val="000000" w:themeColor="text1"/>
          <w14:textFill>
            <w14:solidFill>
              <w14:schemeClr w14:val="tx1"/>
            </w14:solidFill>
          </w14:textFill>
        </w:rPr>
        <w:t xml:space="preserve"> in the circulated neural cells from the neural system to the blood stream in a patient with Alzheimer disease. </w:t>
      </w:r>
      <w:r>
        <w:rPr>
          <w:rFonts w:ascii="Book Antiqua" w:hAnsi="Book Antiqua"/>
          <w:color w:val="000000" w:themeColor="text1"/>
          <w:lang w:eastAsia="zh-CN"/>
          <w14:textFill>
            <w14:solidFill>
              <w14:schemeClr w14:val="tx1"/>
            </w14:solidFill>
          </w14:textFill>
        </w:rPr>
        <w:t xml:space="preserve">A: </w:t>
      </w:r>
      <w:r>
        <w:rPr>
          <w:rFonts w:ascii="Book Antiqua" w:hAnsi="Book Antiqua"/>
          <w:color w:val="000000" w:themeColor="text1"/>
          <w14:textFill>
            <w14:solidFill>
              <w14:schemeClr w14:val="tx1"/>
            </w14:solidFill>
          </w14:textFill>
        </w:rPr>
        <w:t xml:space="preserve">Circulated neural cells (CNCs) with dapi; B: CNCs conjugated with </w:t>
      </w:r>
      <w:r>
        <w:rPr>
          <w:rFonts w:ascii="Book Antiqua" w:hAnsi="Book Antiqua" w:cstheme="minorHAnsi"/>
          <w:color w:val="000000" w:themeColor="text1"/>
          <w14:textFill>
            <w14:solidFill>
              <w14:schemeClr w14:val="tx1"/>
            </w14:solidFill>
          </w14:textFill>
        </w:rPr>
        <w:t>Ataxia Telangiectasia mutated</w:t>
      </w:r>
      <w:r>
        <w:rPr>
          <w:rFonts w:ascii="Book Antiqua" w:hAnsi="Book Antiqua"/>
          <w:color w:val="000000" w:themeColor="text1"/>
          <w14:textFill>
            <w14:solidFill>
              <w14:schemeClr w14:val="tx1"/>
            </w14:solidFill>
          </w14:textFill>
        </w:rPr>
        <w:t xml:space="preserve"> (Rpe), reflecting lack or very low expression; C: The same cells conjugated with Ets2 (Fluorescein isothiocyanate) with a mosaic pattern of expression; D: Same cells conjugated with vascular endothelial growth factor (Rpe), reflecting mosaic angiogenesis.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p>
    <w:p>
      <w:pPr>
        <w:spacing w:line="360" w:lineRule="auto"/>
        <w:jc w:val="both"/>
        <w:rPr>
          <w:rFonts w:hint="eastAsia" w:ascii="Book Antiqua" w:hAnsi="Book Antiqua" w:eastAsia="宋体" w:cs="Book Antiqua"/>
          <w:b/>
          <w:color w:val="000000" w:themeColor="text1"/>
          <w:lang w:eastAsia="zh-CN"/>
          <w14:textFill>
            <w14:solidFill>
              <w14:schemeClr w14:val="tx1"/>
            </w14:solidFill>
          </w14:textFill>
        </w:rPr>
      </w:pPr>
      <w:r>
        <w:rPr>
          <w:rFonts w:hint="eastAsia" w:ascii="Book Antiqua" w:hAnsi="Book Antiqua" w:eastAsia="宋体" w:cs="Book Antiqua"/>
          <w:b/>
          <w:color w:val="000000" w:themeColor="text1"/>
          <w:lang w:eastAsia="zh-CN"/>
          <w14:textFill>
            <w14:solidFill>
              <w14:schemeClr w14:val="tx1"/>
            </w14:solidFill>
          </w14:textFill>
        </w:rPr>
        <w:drawing>
          <wp:inline distT="0" distB="0" distL="114300" distR="114300">
            <wp:extent cx="4623435" cy="3175000"/>
            <wp:effectExtent l="0" t="0" r="5715" b="6350"/>
            <wp:docPr id="13" name="图片 13" descr="WJEM-13-7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EM-13-75-g005"/>
                    <pic:cNvPicPr>
                      <a:picLocks noChangeAspect="1"/>
                    </pic:cNvPicPr>
                  </pic:nvPicPr>
                  <pic:blipFill>
                    <a:blip r:embed="rId9"/>
                    <a:stretch>
                      <a:fillRect/>
                    </a:stretch>
                  </pic:blipFill>
                  <pic:spPr>
                    <a:xfrm>
                      <a:off x="0" y="0"/>
                      <a:ext cx="4623435" cy="3175000"/>
                    </a:xfrm>
                    <a:prstGeom prst="rect">
                      <a:avLst/>
                    </a:prstGeom>
                  </pic:spPr>
                </pic:pic>
              </a:graphicData>
            </a:graphic>
          </wp:inline>
        </w:drawing>
      </w:r>
    </w:p>
    <w:p>
      <w:pPr>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5 Protein expression of neural marker, CD133, and </w:t>
      </w:r>
      <w:r>
        <w:rPr>
          <w:rFonts w:ascii="Book Antiqua" w:hAnsi="Book Antiqua"/>
          <w:b/>
          <w:bCs/>
          <w:color w:val="000000" w:themeColor="text1"/>
          <w14:textFill>
            <w14:solidFill>
              <w14:schemeClr w14:val="tx1"/>
            </w14:solidFill>
          </w14:textFill>
        </w:rPr>
        <w:t>vascular endothelial growth factor</w:t>
      </w:r>
      <w:r>
        <w:rPr>
          <w:rFonts w:ascii="Book Antiqua" w:hAnsi="Book Antiqua" w:eastAsia="Book Antiqua" w:cs="Book Antiqua"/>
          <w:b/>
          <w:bCs/>
          <w:color w:val="000000" w:themeColor="text1"/>
          <w14:textFill>
            <w14:solidFill>
              <w14:schemeClr w14:val="tx1"/>
            </w14:solidFill>
          </w14:textFill>
        </w:rPr>
        <w:t xml:space="preserve"> in the circulated neural cells from the neural system to the blood stream in a patient with Alzheimer disease. </w:t>
      </w:r>
      <w:r>
        <w:rPr>
          <w:rFonts w:ascii="Book Antiqua" w:hAnsi="Book Antiqua" w:eastAsiaTheme="minorHAnsi"/>
          <w:color w:val="000000" w:themeColor="text1"/>
          <w14:textFill>
            <w14:solidFill>
              <w14:schemeClr w14:val="tx1"/>
            </w14:solidFill>
          </w14:textFill>
        </w:rPr>
        <w:t>A: Merged of dapi/fluorescein isothiocyanate/CD133/</w:t>
      </w:r>
      <w:r>
        <w:rPr>
          <w:rFonts w:ascii="Book Antiqua" w:hAnsi="Book Antiqua"/>
          <w:color w:val="000000" w:themeColor="text1"/>
          <w14:textFill>
            <w14:solidFill>
              <w14:schemeClr w14:val="tx1"/>
            </w14:solidFill>
          </w14:textFill>
        </w:rPr>
        <w:t>vascular endothelial growth factor (VEGF)</w:t>
      </w:r>
      <w:r>
        <w:rPr>
          <w:rFonts w:ascii="Book Antiqua" w:hAnsi="Book Antiqua" w:eastAsiaTheme="minorHAnsi"/>
          <w:color w:val="000000" w:themeColor="text1"/>
          <w14:textFill>
            <w14:solidFill>
              <w14:schemeClr w14:val="tx1"/>
            </w14:solidFill>
          </w14:textFill>
        </w:rPr>
        <w:t xml:space="preserve">; B: Neural cells, conjugated with FITC with low expression, accompanied by the cells with high expression; C: Neural cells conjugated with Pe-cy5 also with low expression, accompanied by the cells with high expression; D: Cells conjugated with </w:t>
      </w:r>
      <w:r>
        <w:rPr>
          <w:rFonts w:ascii="Book Antiqua" w:hAnsi="Book Antiqua" w:eastAsia="Book Antiqua" w:cstheme="minorHAnsi"/>
          <w:color w:val="000000" w:themeColor="text1"/>
          <w14:textFill>
            <w14:solidFill>
              <w14:schemeClr w14:val="tx1"/>
            </w14:solidFill>
          </w14:textFill>
        </w:rPr>
        <w:t>R-phycoerythrin</w:t>
      </w:r>
      <w:r>
        <w:rPr>
          <w:rFonts w:ascii="Book Antiqua" w:hAnsi="Book Antiqua" w:eastAsiaTheme="minorHAnsi"/>
          <w:color w:val="000000" w:themeColor="text1"/>
          <w14:textFill>
            <w14:solidFill>
              <w14:schemeClr w14:val="tx1"/>
            </w14:solidFill>
          </w14:textFill>
        </w:rPr>
        <w:t xml:space="preserve"> and </w:t>
      </w:r>
      <w:r>
        <w:rPr>
          <w:rFonts w:ascii="Book Antiqua" w:hAnsi="Book Antiqua"/>
          <w:color w:val="000000" w:themeColor="text1"/>
          <w14:textFill>
            <w14:solidFill>
              <w14:schemeClr w14:val="tx1"/>
            </w14:solidFill>
          </w14:textFill>
        </w:rPr>
        <w:t>VEGF, majority of cells reflecting low expression, accompanied with a minor cells with l</w:t>
      </w:r>
      <w:r>
        <w:rPr>
          <w:rFonts w:ascii="Book Antiqua" w:hAnsi="Book Antiqua"/>
          <w:color w:val="000000" w:themeColor="text1"/>
          <w:lang w:eastAsia="zh-CN"/>
          <w14:textFill>
            <w14:solidFill>
              <w14:schemeClr w14:val="tx1"/>
            </w14:solidFill>
          </w14:textFill>
        </w:rPr>
        <w:t>ack</w:t>
      </w:r>
      <w:r>
        <w:rPr>
          <w:rFonts w:ascii="Book Antiqua" w:hAnsi="Book Antiqua"/>
          <w:color w:val="000000" w:themeColor="text1"/>
          <w14:textFill>
            <w14:solidFill>
              <w14:schemeClr w14:val="tx1"/>
            </w14:solidFill>
          </w14:textFill>
        </w:rPr>
        <w:t xml:space="preserve"> of expression.</w:t>
      </w:r>
    </w:p>
    <w:p>
      <w:pPr>
        <w:spacing w:line="360" w:lineRule="auto"/>
        <w:jc w:val="both"/>
        <w:rPr>
          <w:rFonts w:ascii="Book Antiqua" w:hAnsi="Book Antiqua" w:eastAsia="Times New Roman"/>
          <w:color w:val="000000" w:themeColor="text1"/>
          <w14:textFill>
            <w14:solidFill>
              <w14:schemeClr w14:val="tx1"/>
            </w14:solidFill>
          </w14:textFill>
        </w:rPr>
      </w:pPr>
      <w:r>
        <w:rPr>
          <w:rFonts w:ascii="Book Antiqua" w:hAnsi="Book Antiqua" w:eastAsia="Times New Roman"/>
          <w:color w:val="000000" w:themeColor="text1"/>
          <w14:textFill>
            <w14:solidFill>
              <w14:schemeClr w14:val="tx1"/>
            </w14:solidFill>
          </w14:textFill>
        </w:rPr>
        <w:br w:type="page"/>
      </w:r>
    </w:p>
    <w:p>
      <w:pPr>
        <w:spacing w:line="360" w:lineRule="auto"/>
        <w:jc w:val="both"/>
        <w:rPr>
          <w:rFonts w:hint="eastAsia" w:ascii="Book Antiqua" w:hAnsi="Book Antiqua" w:eastAsia="宋体" w:cs="Book Antiqua"/>
          <w:b/>
          <w:bCs/>
          <w:color w:val="000000" w:themeColor="text1"/>
          <w:lang w:eastAsia="zh-CN"/>
          <w14:textFill>
            <w14:solidFill>
              <w14:schemeClr w14:val="tx1"/>
            </w14:solidFill>
          </w14:textFill>
        </w:rPr>
      </w:pPr>
      <w:r>
        <w:rPr>
          <w:rFonts w:hint="eastAsia" w:ascii="Book Antiqua" w:hAnsi="Book Antiqua" w:eastAsia="宋体" w:cs="Book Antiqua"/>
          <w:b/>
          <w:bCs/>
          <w:color w:val="000000" w:themeColor="text1"/>
          <w:lang w:eastAsia="zh-CN"/>
          <w14:textFill>
            <w14:solidFill>
              <w14:schemeClr w14:val="tx1"/>
            </w14:solidFill>
          </w14:textFill>
        </w:rPr>
        <w:drawing>
          <wp:inline distT="0" distB="0" distL="114300" distR="114300">
            <wp:extent cx="5939155" cy="5067935"/>
            <wp:effectExtent l="0" t="0" r="4445" b="8890"/>
            <wp:docPr id="14" name="图片 14" descr="WJEM-13-7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EM-13-75-g006"/>
                    <pic:cNvPicPr>
                      <a:picLocks noChangeAspect="1"/>
                    </pic:cNvPicPr>
                  </pic:nvPicPr>
                  <pic:blipFill>
                    <a:blip r:embed="rId10"/>
                    <a:stretch>
                      <a:fillRect/>
                    </a:stretch>
                  </pic:blipFill>
                  <pic:spPr>
                    <a:xfrm>
                      <a:off x="0" y="0"/>
                      <a:ext cx="5939155" cy="506793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6 Protein expression of neural marker/CD133/</w:t>
      </w:r>
      <w:r>
        <w:rPr>
          <w:rFonts w:ascii="Book Antiqua" w:hAnsi="Book Antiqua"/>
          <w:b/>
          <w:bCs/>
          <w:color w:val="000000" w:themeColor="text1"/>
          <w14:textFill>
            <w14:solidFill>
              <w14:schemeClr w14:val="tx1"/>
            </w14:solidFill>
          </w14:textFill>
        </w:rPr>
        <w:t>vascular endothelial growth factor</w:t>
      </w:r>
      <w:r>
        <w:rPr>
          <w:rFonts w:ascii="Book Antiqua" w:hAnsi="Book Antiqua" w:eastAsia="Book Antiqua" w:cs="Book Antiqua"/>
          <w:b/>
          <w:bCs/>
          <w:color w:val="000000" w:themeColor="text1"/>
          <w14:textFill>
            <w14:solidFill>
              <w14:schemeClr w14:val="tx1"/>
            </w14:solidFill>
          </w14:textFill>
        </w:rPr>
        <w:t xml:space="preserve"> in the circulated neural cells from the neural system to the blood stream in a patient with Alzheimer disease.</w:t>
      </w:r>
      <w:r>
        <w:rPr>
          <w:rFonts w:ascii="Book Antiqua" w:hAnsi="Book Antiqua" w:cs="Book Antiqua"/>
          <w:b/>
          <w:bCs/>
          <w:color w:val="000000" w:themeColor="text1"/>
          <w:lang w:eastAsia="zh-CN"/>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A: Merged of dapi/Ne (</w:t>
      </w:r>
      <w:r>
        <w:rPr>
          <w:rFonts w:ascii="Book Antiqua" w:hAnsi="Book Antiqua" w:eastAsiaTheme="minorHAnsi"/>
          <w:color w:val="000000" w:themeColor="text1"/>
          <w14:textFill>
            <w14:solidFill>
              <w14:schemeClr w14:val="tx1"/>
            </w14:solidFill>
          </w14:textFill>
        </w:rPr>
        <w:t>Ne:</w:t>
      </w:r>
      <w:r>
        <w:rPr>
          <w:rFonts w:ascii="Book Antiqua" w:hAnsi="Book Antiqua"/>
          <w:color w:val="000000" w:themeColor="text1"/>
          <w14:textFill>
            <w14:solidFill>
              <w14:schemeClr w14:val="tx1"/>
            </w14:solidFill>
          </w14:textFill>
        </w:rPr>
        <w:t xml:space="preserve"> Neural cells</w:t>
      </w:r>
      <w:r>
        <w:rPr>
          <w:rFonts w:ascii="Book Antiqua" w:hAnsi="Book Antiqua" w:eastAsiaTheme="minorHAnsi"/>
          <w:color w:val="000000" w:themeColor="text1"/>
          <w14:textFill>
            <w14:solidFill>
              <w14:schemeClr w14:val="tx1"/>
            </w14:solidFill>
          </w14:textFill>
        </w:rPr>
        <w:t xml:space="preserve"> conjugated with dapi/Ne</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Theme="minorHAnsi"/>
          <w:color w:val="000000" w:themeColor="text1"/>
          <w14:textFill>
            <w14:solidFill>
              <w14:schemeClr w14:val="tx1"/>
            </w14:solidFill>
          </w14:textFill>
        </w:rPr>
        <w:t>;</w:t>
      </w:r>
      <w:r>
        <w:rPr>
          <w:rFonts w:ascii="Book Antiqua" w:hAnsi="Book Antiqua" w:cs="Book Antiqua"/>
          <w:color w:val="000000" w:themeColor="text1"/>
          <w:lang w:eastAsia="zh-CN"/>
          <w14:textFill>
            <w14:solidFill>
              <w14:schemeClr w14:val="tx1"/>
            </w14:solidFill>
          </w14:textFill>
        </w:rPr>
        <w:t xml:space="preserve"> B: Merged of dapi/Pe-cy5, CD133, </w:t>
      </w:r>
      <w:r>
        <w:rPr>
          <w:rFonts w:ascii="Book Antiqua" w:hAnsi="Book Antiqua" w:eastAsiaTheme="minorHAnsi"/>
          <w:color w:val="000000" w:themeColor="text1"/>
          <w14:textFill>
            <w14:solidFill>
              <w14:schemeClr w14:val="tx1"/>
            </w14:solidFill>
          </w14:textFill>
        </w:rPr>
        <w:t>Same cells conjugated with fluorescein isothiocyanate reflecting high expression</w:t>
      </w:r>
      <w:r>
        <w:rPr>
          <w:rFonts w:ascii="Book Antiqua" w:hAnsi="Book Antiqua" w:cs="Book Antiqua"/>
          <w:color w:val="000000" w:themeColor="text1"/>
          <w:lang w:eastAsia="zh-CN"/>
          <w14:textFill>
            <w14:solidFill>
              <w14:schemeClr w14:val="tx1"/>
            </w14:solidFill>
          </w14:textFill>
        </w:rPr>
        <w:t xml:space="preserve">; C: </w:t>
      </w:r>
      <w:r>
        <w:rPr>
          <w:rFonts w:ascii="Book Antiqua" w:hAnsi="Book Antiqua" w:eastAsiaTheme="minorHAnsi"/>
          <w:color w:val="000000" w:themeColor="text1"/>
          <w14:textFill>
            <w14:solidFill>
              <w14:schemeClr w14:val="tx1"/>
            </w14:solidFill>
          </w14:textFill>
        </w:rPr>
        <w:t>Neural cells,</w:t>
      </w:r>
      <w:r>
        <w:rPr>
          <w:rFonts w:ascii="Book Antiqua" w:hAnsi="Book Antiqua" w:cs="Book Antiqua"/>
          <w:color w:val="000000" w:themeColor="text1"/>
          <w:lang w:eastAsia="zh-CN"/>
          <w14:textFill>
            <w14:solidFill>
              <w14:schemeClr w14:val="tx1"/>
            </w14:solidFill>
          </w14:textFill>
        </w:rPr>
        <w:t xml:space="preserve"> conjugated with fluorescein isothiocyanate (FITC)/Ne; D: </w:t>
      </w:r>
      <w:r>
        <w:rPr>
          <w:rFonts w:ascii="Book Antiqua" w:hAnsi="Book Antiqua" w:eastAsiaTheme="minorHAnsi"/>
          <w:color w:val="000000" w:themeColor="text1"/>
          <w14:textFill>
            <w14:solidFill>
              <w14:schemeClr w14:val="tx1"/>
            </w14:solidFill>
          </w14:textFill>
        </w:rPr>
        <w:t>Neural stem cells, conjugated with Pe-cy5 with mosaic pattern including the cells with high, very low-, and lacking-expression</w:t>
      </w:r>
      <w:r>
        <w:rPr>
          <w:rFonts w:ascii="Book Antiqua" w:hAnsi="Book Antiqua" w:cs="Book Antiqua"/>
          <w:color w:val="000000" w:themeColor="text1"/>
          <w:lang w:eastAsia="zh-CN"/>
          <w14:textFill>
            <w14:solidFill>
              <w14:schemeClr w14:val="tx1"/>
            </w14:solidFill>
          </w14:textFill>
        </w:rPr>
        <w:t xml:space="preserve">; E: Conjugated with Pe-cy5/neural cells; F: Co-expression of Dapi/Ne/CD133/VEGF; G: Neural cells conjugated with FITC; H: Vascular endothelial growth factor conjugated with Rpe; I: CD133 conjugated with Pe-cy5. The migrated neural cells with high or low expression are shown with arrows. The micro-vesicle and the vascular section harboring the migrated neural cells are detectable. </w:t>
      </w:r>
      <w:r>
        <w:rPr>
          <w:rFonts w:ascii="Book Antiqua" w:hAnsi="Book Antiqua"/>
          <w:color w:val="000000" w:themeColor="text1"/>
          <w14:textFill>
            <w14:solidFill>
              <w14:schemeClr w14:val="tx1"/>
            </w14:solidFill>
          </w14:textFill>
        </w:rPr>
        <w:t xml:space="preserve">The micro-vesicle and the vascular section harboring the migrated neural cells are detectable. </w:t>
      </w:r>
      <w:r>
        <w:rPr>
          <w:rFonts w:ascii="Book Antiqua" w:hAnsi="Book Antiqua" w:cs="Book Antiqua"/>
          <w:color w:val="000000" w:themeColor="text1"/>
          <w:lang w:eastAsia="zh-CN"/>
          <w14:textFill>
            <w14:solidFill>
              <w14:schemeClr w14:val="tx1"/>
            </w14:solidFill>
          </w14:textFill>
        </w:rPr>
        <w:t xml:space="preserve">Ne: Neural cells conjugated with FITC; CD133: Neural stem cells, conjugated with Pe-cy5; VEGF: Vascular endothelial growth factor, conjugated with RPe; </w:t>
      </w:r>
      <w:r>
        <w:rPr>
          <w:rFonts w:ascii="Book Antiqua" w:hAnsi="Book Antiqua" w:cstheme="minorHAnsi"/>
          <w:color w:val="000000" w:themeColor="text1"/>
          <w14:textFill>
            <w14:solidFill>
              <w14:schemeClr w14:val="tx1"/>
            </w14:solidFill>
          </w14:textFill>
        </w:rPr>
        <w:t xml:space="preserve">The CNCs were explored by IF method for combination of </w:t>
      </w:r>
      <w:r>
        <w:rPr>
          <w:rFonts w:ascii="Book Antiqua" w:hAnsi="Book Antiqua"/>
          <w:color w:val="000000" w:themeColor="text1"/>
          <w14:textFill>
            <w14:solidFill>
              <w14:schemeClr w14:val="tx1"/>
            </w14:solidFill>
          </w14:textFill>
        </w:rPr>
        <w:t xml:space="preserve">neural marker, neural </w:t>
      </w:r>
      <w:r>
        <w:rPr>
          <w:rFonts w:ascii="Book Antiqua" w:hAnsi="Book Antiqua" w:cstheme="minorHAnsi"/>
          <w:color w:val="000000" w:themeColor="text1"/>
          <w14:textFill>
            <w14:solidFill>
              <w14:schemeClr w14:val="tx1"/>
            </w14:solidFill>
          </w14:textFill>
        </w:rPr>
        <w:t xml:space="preserve">stem cell for </w:t>
      </w:r>
      <w:r>
        <w:rPr>
          <w:rFonts w:ascii="Book Antiqua" w:hAnsi="Book Antiqua"/>
          <w:color w:val="000000" w:themeColor="text1"/>
          <w14:textFill>
            <w14:solidFill>
              <w14:schemeClr w14:val="tx1"/>
            </w14:solidFill>
          </w14:textFill>
        </w:rPr>
        <w:t>Ne/CD133 (</w:t>
      </w:r>
      <w:r>
        <w:rPr>
          <w:rFonts w:ascii="Book Antiqua" w:hAnsi="Book Antiqua" w:cstheme="minorHAnsi"/>
          <w:color w:val="000000" w:themeColor="text1"/>
          <w14:textFill>
            <w14:solidFill>
              <w14:schemeClr w14:val="tx1"/>
            </w14:solidFill>
          </w14:textFill>
        </w:rPr>
        <w:t>Figure 7).</w:t>
      </w:r>
      <w:r>
        <w:rPr>
          <w:rFonts w:ascii="Book Antiqua" w:hAnsi="Book Antiqua"/>
          <w:color w:val="000000" w:themeColor="text1"/>
          <w14:textFill>
            <w14:solidFill>
              <w14:schemeClr w14:val="tx1"/>
            </w14:solidFill>
          </w14:textFill>
        </w:rPr>
        <w:t xml:space="preserve"> </w:t>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br w:type="page"/>
      </w:r>
    </w:p>
    <w:p>
      <w:pPr>
        <w:spacing w:line="360" w:lineRule="auto"/>
        <w:jc w:val="both"/>
        <w:rPr>
          <w:rFonts w:hint="eastAsia" w:ascii="Book Antiqua" w:hAnsi="Book Antiqua" w:eastAsia="宋体" w:cs="Book Antiqua"/>
          <w:b/>
          <w:color w:val="000000" w:themeColor="text1"/>
          <w:lang w:eastAsia="zh-CN"/>
          <w14:textFill>
            <w14:solidFill>
              <w14:schemeClr w14:val="tx1"/>
            </w14:solidFill>
          </w14:textFill>
        </w:rPr>
      </w:pPr>
      <w:r>
        <w:rPr>
          <w:rFonts w:hint="eastAsia" w:ascii="Book Antiqua" w:hAnsi="Book Antiqua" w:eastAsia="宋体" w:cs="Book Antiqua"/>
          <w:b/>
          <w:color w:val="000000" w:themeColor="text1"/>
          <w:lang w:eastAsia="zh-CN"/>
          <w14:textFill>
            <w14:solidFill>
              <w14:schemeClr w14:val="tx1"/>
            </w14:solidFill>
          </w14:textFill>
        </w:rPr>
        <w:drawing>
          <wp:inline distT="0" distB="0" distL="114300" distR="114300">
            <wp:extent cx="4279265" cy="3543935"/>
            <wp:effectExtent l="0" t="0" r="6985" b="8890"/>
            <wp:docPr id="15" name="图片 15" descr="WJEM-13-7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EM-13-75-g007"/>
                    <pic:cNvPicPr>
                      <a:picLocks noChangeAspect="1"/>
                    </pic:cNvPicPr>
                  </pic:nvPicPr>
                  <pic:blipFill>
                    <a:blip r:embed="rId11"/>
                    <a:stretch>
                      <a:fillRect/>
                    </a:stretch>
                  </pic:blipFill>
                  <pic:spPr>
                    <a:xfrm>
                      <a:off x="0" y="0"/>
                      <a:ext cx="4279265" cy="354393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7</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 xml:space="preserve">Protein expression of neural marker, and CD133 in the circulated neural cells from the neural system to the blood stream in a patient with Alzheimer disease. </w:t>
      </w:r>
      <w:r>
        <w:rPr>
          <w:rFonts w:ascii="Book Antiqua" w:hAnsi="Book Antiqua"/>
          <w:color w:val="000000" w:themeColor="text1"/>
          <w14:textFill>
            <w14:solidFill>
              <w14:schemeClr w14:val="tx1"/>
            </w14:solidFill>
          </w14:textFill>
        </w:rPr>
        <w:t>A: Merged of phase contrast/dapi/neural marker</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NE</w:t>
      </w:r>
      <w:r>
        <w:rPr>
          <w:rFonts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/CD133, in which the presence of beta-Amyloid is remarkable in the background of this image; B: Merged dapi/N</w:t>
      </w:r>
      <w:r>
        <w:rPr>
          <w:rFonts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/CD133, reflects the co-expression between N</w:t>
      </w:r>
      <w:r>
        <w:rPr>
          <w:rFonts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 xml:space="preserve"> and CD133; C: Diverse expression of </w:t>
      </w:r>
      <w:r>
        <w:rPr>
          <w:rFonts w:ascii="Book Antiqua" w:hAnsi="Book Antiqua" w:eastAsia="Book Antiqua" w:cs="Book Antiqua"/>
          <w:color w:val="000000" w:themeColor="text1"/>
          <w14:textFill>
            <w14:solidFill>
              <w14:schemeClr w14:val="tx1"/>
            </w14:solidFill>
          </w14:textFill>
        </w:rPr>
        <w:t>NE</w:t>
      </w:r>
      <w:r>
        <w:rPr>
          <w:rFonts w:ascii="Book Antiqua" w:hAnsi="Book Antiqua"/>
          <w:color w:val="000000" w:themeColor="text1"/>
          <w14:textFill>
            <w14:solidFill>
              <w14:schemeClr w14:val="tx1"/>
            </w14:solidFill>
          </w14:textFill>
        </w:rPr>
        <w:t xml:space="preserve">, reflects the dissected of only upper section of image with low expression of </w:t>
      </w:r>
      <w:r>
        <w:rPr>
          <w:rFonts w:ascii="Book Antiqua" w:hAnsi="Book Antiqua" w:eastAsia="Book Antiqua" w:cs="Book Antiqua"/>
          <w:color w:val="000000" w:themeColor="text1"/>
          <w14:textFill>
            <w14:solidFill>
              <w14:schemeClr w14:val="tx1"/>
            </w14:solidFill>
          </w14:textFill>
        </w:rPr>
        <w:t>NE</w:t>
      </w:r>
      <w:r>
        <w:rPr>
          <w:rFonts w:ascii="Book Antiqua" w:hAnsi="Book Antiqua"/>
          <w:color w:val="000000" w:themeColor="text1"/>
          <w14:textFill>
            <w14:solidFill>
              <w14:schemeClr w14:val="tx1"/>
            </w14:solidFill>
          </w14:textFill>
        </w:rPr>
        <w:t>; accompanied by an isolated section with low expression of N</w:t>
      </w:r>
      <w:r>
        <w:rPr>
          <w:rFonts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 xml:space="preserve">; including group of cells with positive expression; D: Diverse protein function including high and low expression of CD133. The </w:t>
      </w:r>
      <w:r>
        <w:rPr>
          <w:rFonts w:ascii="Book Antiqua" w:hAnsi="Book Antiqua" w:cs="Book Antiqua"/>
          <w:color w:val="000000" w:themeColor="text1"/>
          <w:lang w:eastAsia="zh-CN"/>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rotein expression</w:t>
      </w:r>
      <w:r>
        <w:rPr>
          <w:rFonts w:ascii="Book Antiqua" w:hAnsi="Book Antiqua"/>
          <w:color w:val="000000" w:themeColor="text1"/>
          <w14:textFill>
            <w14:solidFill>
              <w14:schemeClr w14:val="tx1"/>
            </w14:solidFill>
          </w14:textFill>
        </w:rPr>
        <w:t xml:space="preserve"> of N</w:t>
      </w:r>
      <w:r>
        <w:rPr>
          <w:rFonts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w:t>
      </w:r>
      <w:r>
        <w:rPr>
          <w:rFonts w:ascii="Book Antiqua" w:hAnsi="Book Antiqua" w:cs="Book Antiqua"/>
          <w:color w:val="000000" w:themeColor="text1"/>
          <w:lang w:eastAsia="zh-CN"/>
          <w14:textFill>
            <w14:solidFill>
              <w14:schemeClr w14:val="tx1"/>
            </w14:solidFill>
          </w14:textFill>
        </w:rPr>
        <w:t>vascular endothelial growth factor</w:t>
      </w:r>
      <w:r>
        <w:rPr>
          <w:rFonts w:ascii="Book Antiqua" w:hAnsi="Book Antiqua"/>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erythroblastosis virus E26 oncogene homolog 2</w:t>
      </w:r>
      <w:r>
        <w:rPr>
          <w:rFonts w:ascii="Book Antiqua" w:hAnsi="Book Antiqua"/>
          <w:color w:val="000000" w:themeColor="text1"/>
          <w14:textFill>
            <w14:solidFill>
              <w14:schemeClr w14:val="tx1"/>
            </w14:solidFill>
          </w14:textFill>
        </w:rPr>
        <w:t xml:space="preserve"> is also provided (Figure 8).</w:t>
      </w:r>
    </w:p>
    <w:p>
      <w:pPr>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p>
    <w:p>
      <w:pPr>
        <w:spacing w:line="360" w:lineRule="auto"/>
        <w:jc w:val="both"/>
        <w:rPr>
          <w:rFonts w:hint="eastAsia" w:ascii="Book Antiqua" w:hAnsi="Book Antiqua" w:eastAsia="宋体" w:cs="Book Antiqua"/>
          <w:b/>
          <w:color w:val="000000" w:themeColor="text1"/>
          <w:lang w:eastAsia="zh-CN"/>
          <w14:textFill>
            <w14:solidFill>
              <w14:schemeClr w14:val="tx1"/>
            </w14:solidFill>
          </w14:textFill>
        </w:rPr>
      </w:pPr>
      <w:r>
        <w:rPr>
          <w:rFonts w:hint="eastAsia" w:ascii="Book Antiqua" w:hAnsi="Book Antiqua" w:eastAsia="宋体" w:cs="Book Antiqua"/>
          <w:b/>
          <w:color w:val="000000" w:themeColor="text1"/>
          <w:lang w:eastAsia="zh-CN"/>
          <w14:textFill>
            <w14:solidFill>
              <w14:schemeClr w14:val="tx1"/>
            </w14:solidFill>
          </w14:textFill>
        </w:rPr>
        <w:drawing>
          <wp:inline distT="0" distB="0" distL="114300" distR="114300">
            <wp:extent cx="4852035" cy="4648835"/>
            <wp:effectExtent l="0" t="0" r="5715" b="8890"/>
            <wp:docPr id="16" name="图片 16" descr="WJEM-13-75-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EM-13-75-g008"/>
                    <pic:cNvPicPr>
                      <a:picLocks noChangeAspect="1"/>
                    </pic:cNvPicPr>
                  </pic:nvPicPr>
                  <pic:blipFill>
                    <a:blip r:embed="rId12"/>
                    <a:stretch>
                      <a:fillRect/>
                    </a:stretch>
                  </pic:blipFill>
                  <pic:spPr>
                    <a:xfrm>
                      <a:off x="0" y="0"/>
                      <a:ext cx="4852035" cy="464883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8 Protein expression of </w:t>
      </w:r>
      <w:r>
        <w:rPr>
          <w:rFonts w:ascii="Book Antiqua" w:hAnsi="Book Antiqua"/>
          <w:b/>
          <w:color w:val="000000" w:themeColor="text1"/>
          <w14:textFill>
            <w14:solidFill>
              <w14:schemeClr w14:val="tx1"/>
            </w14:solidFill>
          </w14:textFill>
        </w:rPr>
        <w:t>neural marker</w:t>
      </w:r>
      <w:r>
        <w:rPr>
          <w:rFonts w:ascii="Book Antiqua" w:hAnsi="Book Antiqua" w:eastAsia="Book Antiqua" w:cs="Book Antiqua"/>
          <w:b/>
          <w:bCs/>
          <w:color w:val="000000" w:themeColor="text1"/>
          <w14:textFill>
            <w14:solidFill>
              <w14:schemeClr w14:val="tx1"/>
            </w14:solidFill>
          </w14:textFill>
        </w:rPr>
        <w:t>/vascular endothelial growth factor/</w:t>
      </w:r>
      <w:r>
        <w:rPr>
          <w:rFonts w:ascii="Book Antiqua" w:hAnsi="Book Antiqua" w:eastAsia="Book Antiqua" w:cs="Book Antiqua"/>
          <w:b/>
          <w:color w:val="000000" w:themeColor="text1"/>
          <w14:textFill>
            <w14:solidFill>
              <w14:schemeClr w14:val="tx1"/>
            </w14:solidFill>
          </w14:textFill>
        </w:rPr>
        <w:t>erythroblastosis virus E26 oncogene homolog 2</w:t>
      </w:r>
      <w:r>
        <w:rPr>
          <w:rFonts w:ascii="Book Antiqua" w:hAnsi="Book Antiqua" w:eastAsia="Book Antiqua" w:cs="Book Antiqua"/>
          <w:b/>
          <w:bCs/>
          <w:color w:val="000000" w:themeColor="text1"/>
          <w14:textFill>
            <w14:solidFill>
              <w14:schemeClr w14:val="tx1"/>
            </w14:solidFill>
          </w14:textFill>
        </w:rPr>
        <w:t xml:space="preserve"> in the circulated neural cells from the neural system to the blood stream in a patient with Alzheimer disease.</w:t>
      </w:r>
      <w:r>
        <w:rPr>
          <w:rFonts w:ascii="Book Antiqua" w:hAnsi="Book Antiqua"/>
          <w:b/>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A: Circulated neural cells (CNCs) with dapi/neural marker/vascular endothelial growth factor (VEGF)/</w:t>
      </w:r>
      <w:r>
        <w:rPr>
          <w:rFonts w:ascii="Book Antiqua" w:hAnsi="Book Antiqua" w:eastAsia="Book Antiqua" w:cs="Book Antiqua"/>
          <w:color w:val="000000" w:themeColor="text1"/>
          <w14:textFill>
            <w14:solidFill>
              <w14:schemeClr w14:val="tx1"/>
            </w14:solidFill>
          </w14:textFill>
        </w:rPr>
        <w:t>erythroblastosis virus E26 oncogene homolog 2 (Ets2)</w:t>
      </w:r>
      <w:r>
        <w:rPr>
          <w:rFonts w:ascii="Book Antiqua" w:hAnsi="Book Antiqua"/>
          <w:color w:val="000000" w:themeColor="text1"/>
          <w14:textFill>
            <w14:solidFill>
              <w14:schemeClr w14:val="tx1"/>
            </w14:solidFill>
          </w14:textFill>
        </w:rPr>
        <w:t xml:space="preserve"> reflecting remarkable co-epression between 3 proteins; B: Few CNCs with Ne (conjugated with fluorescein isothiocyanate), reflecting high expression; C: The cells are conjugated with RPe and reflects VEGF with diverse high-, low- expression; D: Cells are conjugated with Pe-cy5 reflects </w:t>
      </w:r>
      <w:r>
        <w:rPr>
          <w:rFonts w:ascii="Book Antiqua" w:hAnsi="Book Antiqua"/>
          <w:color w:val="000000" w:themeColor="text1"/>
          <w:lang w:eastAsia="zh-CN"/>
          <w14:textFill>
            <w14:solidFill>
              <w14:schemeClr w14:val="tx1"/>
            </w14:solidFill>
          </w14:textFill>
        </w:rPr>
        <w:t>Ets</w:t>
      </w:r>
      <w:r>
        <w:rPr>
          <w:rFonts w:ascii="Book Antiqua" w:hAnsi="Book Antiqua"/>
          <w:color w:val="000000" w:themeColor="text1"/>
          <w14:textFill>
            <w14:solidFill>
              <w14:schemeClr w14:val="tx1"/>
            </w14:solidFill>
          </w14:textFill>
        </w:rPr>
        <w:t>2 with diverse, mostly low-, accompanied by cells with high- and lack of expression.</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br w:type="page"/>
      </w:r>
    </w:p>
    <w:p>
      <w:pPr>
        <w:spacing w:line="360" w:lineRule="auto"/>
        <w:jc w:val="both"/>
        <w:rPr>
          <w:rFonts w:hint="eastAsia" w:ascii="Book Antiqua" w:hAnsi="Book Antiqua" w:eastAsia="宋体" w:cs="Book Antiqua"/>
          <w:b/>
          <w:color w:val="000000" w:themeColor="text1"/>
          <w:lang w:eastAsia="zh-CN"/>
          <w14:textFill>
            <w14:solidFill>
              <w14:schemeClr w14:val="tx1"/>
            </w14:solidFill>
          </w14:textFill>
        </w:rPr>
      </w:pPr>
      <w:r>
        <w:rPr>
          <w:rFonts w:hint="eastAsia" w:ascii="Book Antiqua" w:hAnsi="Book Antiqua" w:eastAsia="宋体" w:cs="Book Antiqua"/>
          <w:b/>
          <w:color w:val="000000" w:themeColor="text1"/>
          <w:lang w:eastAsia="zh-CN"/>
          <w14:textFill>
            <w14:solidFill>
              <w14:schemeClr w14:val="tx1"/>
            </w14:solidFill>
          </w14:textFill>
        </w:rPr>
        <w:drawing>
          <wp:inline distT="0" distB="0" distL="114300" distR="114300">
            <wp:extent cx="3988435" cy="4952365"/>
            <wp:effectExtent l="0" t="0" r="2540" b="635"/>
            <wp:docPr id="17" name="图片 17" descr="WJEM-13-75-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EM-13-75-g009"/>
                    <pic:cNvPicPr>
                      <a:picLocks noChangeAspect="1"/>
                    </pic:cNvPicPr>
                  </pic:nvPicPr>
                  <pic:blipFill>
                    <a:blip r:embed="rId13"/>
                    <a:stretch>
                      <a:fillRect/>
                    </a:stretch>
                  </pic:blipFill>
                  <pic:spPr>
                    <a:xfrm>
                      <a:off x="0" y="0"/>
                      <a:ext cx="3988435" cy="4952365"/>
                    </a:xfrm>
                    <a:prstGeom prst="rect">
                      <a:avLst/>
                    </a:prstGeom>
                  </pic:spPr>
                </pic:pic>
              </a:graphicData>
            </a:graphic>
          </wp:inline>
        </w:drawing>
      </w:r>
    </w:p>
    <w:p>
      <w:pPr>
        <w:spacing w:line="360" w:lineRule="auto"/>
        <w:jc w:val="both"/>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Figure 9</w:t>
      </w:r>
      <w:r>
        <w:rPr>
          <w:rFonts w:ascii="Book Antiqua" w:hAnsi="Book Antiqua" w:cstheme="minorHAnsi"/>
          <w:color w:val="000000" w:themeColor="text1"/>
          <w14:textFill>
            <w14:solidFill>
              <w14:schemeClr w14:val="tx1"/>
            </w14:solidFill>
          </w14:textFill>
        </w:rPr>
        <w:t xml:space="preserve"> </w:t>
      </w:r>
      <w:r>
        <w:rPr>
          <w:rFonts w:ascii="Book Antiqua" w:hAnsi="Book Antiqua" w:cstheme="minorHAnsi"/>
          <w:b/>
          <w:bCs/>
          <w:color w:val="000000" w:themeColor="text1"/>
          <w:lang w:eastAsia="zh-CN"/>
          <w14:textFill>
            <w14:solidFill>
              <w14:schemeClr w14:val="tx1"/>
            </w14:solidFill>
          </w14:textFill>
        </w:rPr>
        <w:t>Protein expression of cytokeratin-19/CD45/</w:t>
      </w:r>
      <w:r>
        <w:rPr>
          <w:rFonts w:ascii="Book Antiqua" w:hAnsi="Book Antiqua" w:cstheme="minorHAnsi"/>
          <w:b/>
          <w:bCs/>
          <w:color w:val="000000" w:themeColor="text1"/>
          <w14:textFill>
            <w14:solidFill>
              <w14:schemeClr w14:val="tx1"/>
            </w14:solidFill>
          </w14:textFill>
        </w:rPr>
        <w:t>endothelial growth factor</w:t>
      </w:r>
      <w:r>
        <w:rPr>
          <w:rFonts w:ascii="Book Antiqua" w:hAnsi="Book Antiqua" w:cstheme="minorHAnsi"/>
          <w:b/>
          <w:bCs/>
          <w:color w:val="000000" w:themeColor="text1"/>
          <w:lang w:eastAsia="zh-CN"/>
          <w14:textFill>
            <w14:solidFill>
              <w14:schemeClr w14:val="tx1"/>
            </w14:solidFill>
          </w14:textFill>
        </w:rPr>
        <w:t xml:space="preserve"> in circulating neural cells </w:t>
      </w:r>
      <w:r>
        <w:rPr>
          <w:rFonts w:ascii="Book Antiqua" w:hAnsi="Book Antiqua" w:cstheme="minorHAnsi"/>
          <w:b/>
          <w:bCs/>
          <w:color w:val="000000" w:themeColor="text1"/>
          <w14:textFill>
            <w14:solidFill>
              <w14:schemeClr w14:val="tx1"/>
            </w14:solidFill>
          </w14:textFill>
        </w:rPr>
        <w:t>in the blood stream of an apparently healthy individual under mediation with light music.</w:t>
      </w:r>
      <w:r>
        <w:rPr>
          <w:rFonts w:ascii="Book Antiqua" w:hAnsi="Book Antiqua" w:cstheme="minorHAnsi"/>
          <w:b/>
          <w:bCs/>
          <w:color w:val="000000" w:themeColor="text1"/>
          <w:lang w:eastAsia="zh-CN"/>
          <w14:textFill>
            <w14:solidFill>
              <w14:schemeClr w14:val="tx1"/>
            </w14:solidFill>
          </w14:textFill>
        </w:rPr>
        <w:t xml:space="preserve"> </w:t>
      </w:r>
      <w:r>
        <w:rPr>
          <w:rFonts w:ascii="Book Antiqua" w:hAnsi="Book Antiqua" w:cstheme="minorHAnsi"/>
          <w:color w:val="000000" w:themeColor="text1"/>
          <w:lang w:eastAsia="zh-CN"/>
          <w14:textFill>
            <w14:solidFill>
              <w14:schemeClr w14:val="tx1"/>
            </w14:solidFill>
          </w14:textFill>
        </w:rPr>
        <w:t xml:space="preserve">A: </w:t>
      </w:r>
      <w:r>
        <w:rPr>
          <w:rFonts w:ascii="Book Antiqua" w:hAnsi="Book Antiqua" w:cstheme="minorHAnsi"/>
          <w:color w:val="000000" w:themeColor="text1"/>
          <w14:textFill>
            <w14:solidFill>
              <w14:schemeClr w14:val="tx1"/>
            </w14:solidFill>
          </w14:textFill>
        </w:rPr>
        <w:t xml:space="preserve">The </w:t>
      </w:r>
      <w:r>
        <w:rPr>
          <w:rFonts w:ascii="Book Antiqua" w:hAnsi="Book Antiqua" w:cstheme="minorHAnsi"/>
          <w:color w:val="000000" w:themeColor="text1"/>
          <w:lang w:eastAsia="zh-CN"/>
          <w14:textFill>
            <w14:solidFill>
              <w14:schemeClr w14:val="tx1"/>
            </w14:solidFill>
          </w14:textFill>
        </w:rPr>
        <w:t>c</w:t>
      </w:r>
      <w:r>
        <w:rPr>
          <w:rFonts w:ascii="Book Antiqua" w:hAnsi="Book Antiqua" w:cstheme="minorHAnsi"/>
          <w:color w:val="000000" w:themeColor="text1"/>
          <w14:textFill>
            <w14:solidFill>
              <w14:schemeClr w14:val="tx1"/>
            </w14:solidFill>
          </w14:textFill>
        </w:rPr>
        <w:t xml:space="preserve">irculating </w:t>
      </w:r>
      <w:r>
        <w:rPr>
          <w:rFonts w:ascii="Book Antiqua" w:hAnsi="Book Antiqua" w:cstheme="minorHAnsi"/>
          <w:color w:val="000000" w:themeColor="text1"/>
          <w:lang w:eastAsia="zh-CN"/>
          <w14:textFill>
            <w14:solidFill>
              <w14:schemeClr w14:val="tx1"/>
            </w14:solidFill>
          </w14:textFill>
        </w:rPr>
        <w:t>n</w:t>
      </w:r>
      <w:r>
        <w:rPr>
          <w:rFonts w:ascii="Book Antiqua" w:hAnsi="Book Antiqua" w:cstheme="minorHAnsi"/>
          <w:color w:val="000000" w:themeColor="text1"/>
          <w14:textFill>
            <w14:solidFill>
              <w14:schemeClr w14:val="tx1"/>
            </w14:solidFill>
          </w14:textFill>
        </w:rPr>
        <w:t>eural cells (CNCs), conjugated with fluorescein isothiocyanate for cytokeratin 19 (CK19)</w:t>
      </w:r>
      <w:r>
        <w:rPr>
          <w:rFonts w:ascii="Book Antiqua" w:hAnsi="Book Antiqua" w:cstheme="minorHAnsi"/>
          <w:color w:val="000000" w:themeColor="text1"/>
          <w:lang w:eastAsia="zh-CN"/>
          <w14:textFill>
            <w14:solidFill>
              <w14:schemeClr w14:val="tx1"/>
            </w14:solidFill>
          </w14:textFill>
        </w:rPr>
        <w:t xml:space="preserve">; B: </w:t>
      </w:r>
      <w:r>
        <w:rPr>
          <w:rFonts w:ascii="Book Antiqua" w:hAnsi="Book Antiqua" w:cstheme="minorHAnsi"/>
          <w:color w:val="000000" w:themeColor="text1"/>
          <w14:textFill>
            <w14:solidFill>
              <w14:schemeClr w14:val="tx1"/>
            </w14:solidFill>
          </w14:textFill>
        </w:rPr>
        <w:t xml:space="preserve">Same image with Cy5 for endothelial growth factor (EGF); </w:t>
      </w:r>
      <w:r>
        <w:rPr>
          <w:rFonts w:ascii="Book Antiqua" w:hAnsi="Book Antiqua"/>
          <w:color w:val="000000" w:themeColor="text1"/>
          <w14:textFill>
            <w14:solidFill>
              <w14:schemeClr w14:val="tx1"/>
            </w14:solidFill>
          </w14:textFill>
        </w:rPr>
        <w:t xml:space="preserve">presenting less cells expressing than CK19; </w:t>
      </w:r>
      <w:r>
        <w:rPr>
          <w:rFonts w:ascii="Book Antiqua" w:hAnsi="Book Antiqua" w:cstheme="minorHAnsi"/>
          <w:color w:val="000000" w:themeColor="text1"/>
          <w:lang w:eastAsia="zh-CN"/>
          <w14:textFill>
            <w14:solidFill>
              <w14:schemeClr w14:val="tx1"/>
            </w14:solidFill>
          </w14:textFill>
        </w:rPr>
        <w:t xml:space="preserve">C: </w:t>
      </w:r>
      <w:r>
        <w:rPr>
          <w:rFonts w:ascii="Book Antiqua" w:hAnsi="Book Antiqua" w:cstheme="minorHAnsi"/>
          <w:color w:val="000000" w:themeColor="text1"/>
          <w14:textFill>
            <w14:solidFill>
              <w14:schemeClr w14:val="tx1"/>
            </w14:solidFill>
          </w14:textFill>
        </w:rPr>
        <w:t xml:space="preserve">Same image with </w:t>
      </w:r>
      <w:r>
        <w:rPr>
          <w:rFonts w:ascii="Book Antiqua" w:hAnsi="Book Antiqua" w:eastAsia="Book Antiqua" w:cstheme="minorHAnsi"/>
          <w:color w:val="000000" w:themeColor="text1"/>
          <w14:textFill>
            <w14:solidFill>
              <w14:schemeClr w14:val="tx1"/>
            </w14:solidFill>
          </w14:textFill>
        </w:rPr>
        <w:t>R-phycoerythrin</w:t>
      </w:r>
      <w:r>
        <w:rPr>
          <w:rFonts w:ascii="Book Antiqua" w:hAnsi="Book Antiqua" w:cstheme="minorHAnsi"/>
          <w:color w:val="000000" w:themeColor="text1"/>
          <w14:textFill>
            <w14:solidFill>
              <w14:schemeClr w14:val="tx1"/>
            </w14:solidFill>
          </w14:textFill>
        </w:rPr>
        <w:t xml:space="preserve"> for CD45, and </w:t>
      </w:r>
      <w:r>
        <w:rPr>
          <w:rFonts w:ascii="Book Antiqua" w:hAnsi="Book Antiqua" w:eastAsia="Book Antiqua" w:cstheme="minorHAnsi"/>
          <w:color w:val="000000" w:themeColor="text1"/>
          <w14:textFill>
            <w14:solidFill>
              <w14:schemeClr w14:val="tx1"/>
            </w14:solidFill>
          </w14:textFill>
        </w:rPr>
        <w:t xml:space="preserve">expressing less than CK19; </w:t>
      </w:r>
      <w:r>
        <w:rPr>
          <w:rFonts w:ascii="Book Antiqua" w:hAnsi="Book Antiqua" w:cstheme="minorHAnsi"/>
          <w:color w:val="000000" w:themeColor="text1"/>
          <w:lang w:eastAsia="zh-CN"/>
          <w14:textFill>
            <w14:solidFill>
              <w14:schemeClr w14:val="tx1"/>
            </w14:solidFill>
          </w14:textFill>
        </w:rPr>
        <w:t xml:space="preserve">D: </w:t>
      </w:r>
      <w:r>
        <w:rPr>
          <w:rFonts w:ascii="Book Antiqua" w:hAnsi="Book Antiqua" w:eastAsia="Book Antiqua" w:cstheme="minorHAnsi"/>
          <w:color w:val="000000" w:themeColor="text1"/>
          <w14:textFill>
            <w14:solidFill>
              <w14:schemeClr w14:val="tx1"/>
            </w14:solidFill>
          </w14:textFill>
        </w:rPr>
        <w:t>Co-expression of dapi/</w:t>
      </w:r>
      <w:r>
        <w:rPr>
          <w:rFonts w:ascii="Book Antiqua" w:hAnsi="Book Antiqua" w:cstheme="minorHAnsi"/>
          <w:color w:val="000000" w:themeColor="text1"/>
          <w14:textFill>
            <w14:solidFill>
              <w14:schemeClr w14:val="tx1"/>
            </w14:solidFill>
          </w14:textFill>
        </w:rPr>
        <w:t>CK19/EGF/CD45.</w:t>
      </w:r>
      <w:r>
        <w:rPr>
          <w:rFonts w:ascii="Book Antiqua" w:hAnsi="Book Antiqua" w:cstheme="minorHAnsi"/>
          <w:b/>
          <w:bCs/>
          <w:color w:val="000000" w:themeColor="text1"/>
          <w:lang w:eastAsia="zh-CN"/>
          <w14:textFill>
            <w14:solidFill>
              <w14:schemeClr w14:val="tx1"/>
            </w14:solidFill>
          </w14:textFill>
        </w:rPr>
        <w:t xml:space="preserve"> </w:t>
      </w:r>
      <w:r>
        <w:rPr>
          <w:rFonts w:ascii="Book Antiqua" w:hAnsi="Book Antiqua" w:cstheme="minorHAnsi"/>
          <w:color w:val="000000" w:themeColor="text1"/>
          <w14:textFill>
            <w14:solidFill>
              <w14:schemeClr w14:val="tx1"/>
            </w14:solidFill>
          </w14:textFill>
        </w:rPr>
        <w:t xml:space="preserve">The arrow refers to the CNCs </w:t>
      </w:r>
      <w:r>
        <w:rPr>
          <w:rFonts w:ascii="Book Antiqua" w:hAnsi="Book Antiqua"/>
          <w:color w:val="000000" w:themeColor="text1"/>
          <w14:textFill>
            <w14:solidFill>
              <w14:schemeClr w14:val="tx1"/>
            </w14:solidFill>
          </w14:textFill>
        </w:rPr>
        <w:t>cells with remarkable expression.</w:t>
      </w:r>
      <w:r>
        <w:rPr>
          <w:rFonts w:ascii="Book Antiqua" w:hAnsi="Book Antiqua" w:cstheme="minorHAnsi"/>
          <w:b/>
          <w:bCs/>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Presence of CNCs was confirmed by the mode of cytokeratin 19+/CD45.</w:t>
      </w:r>
      <w:r>
        <w:rPr>
          <w:rFonts w:ascii="Book Antiqua" w:hAnsi="Book Antiqua" w:cstheme="minorHAnsi"/>
          <w:b/>
          <w:bCs/>
          <w:color w:val="000000" w:themeColor="text1"/>
          <w:lang w:eastAsia="zh-CN"/>
          <w14:textFill>
            <w14:solidFill>
              <w14:schemeClr w14:val="tx1"/>
            </w14:solidFill>
          </w14:textFill>
        </w:rPr>
        <w:t xml:space="preserve">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p>
    <w:p>
      <w:pPr>
        <w:spacing w:line="360" w:lineRule="auto"/>
        <w:jc w:val="both"/>
        <w:rPr>
          <w:rFonts w:hint="eastAsia" w:ascii="Book Antiqua" w:hAnsi="Book Antiqua" w:eastAsiaTheme="minorEastAsia"/>
          <w:color w:val="000000" w:themeColor="text1"/>
          <w:lang w:eastAsia="zh-CN"/>
          <w14:textFill>
            <w14:solidFill>
              <w14:schemeClr w14:val="tx1"/>
            </w14:solidFill>
          </w14:textFill>
        </w:rPr>
      </w:pPr>
      <w:r>
        <w:rPr>
          <w:rFonts w:hint="eastAsia" w:ascii="Book Antiqua" w:hAnsi="Book Antiqua" w:eastAsiaTheme="minorEastAsia"/>
          <w:color w:val="000000" w:themeColor="text1"/>
          <w:lang w:eastAsia="zh-CN"/>
          <w14:textFill>
            <w14:solidFill>
              <w14:schemeClr w14:val="tx1"/>
            </w14:solidFill>
          </w14:textFill>
        </w:rPr>
        <w:drawing>
          <wp:inline distT="0" distB="0" distL="114300" distR="114300">
            <wp:extent cx="3924300" cy="4012565"/>
            <wp:effectExtent l="0" t="0" r="0" b="6985"/>
            <wp:docPr id="19" name="图片 19" descr="WJEM-13-75-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EM-13-75-g010"/>
                    <pic:cNvPicPr>
                      <a:picLocks noChangeAspect="1"/>
                    </pic:cNvPicPr>
                  </pic:nvPicPr>
                  <pic:blipFill>
                    <a:blip r:embed="rId14"/>
                    <a:stretch>
                      <a:fillRect/>
                    </a:stretch>
                  </pic:blipFill>
                  <pic:spPr>
                    <a:xfrm>
                      <a:off x="0" y="0"/>
                      <a:ext cx="3924300" cy="4012565"/>
                    </a:xfrm>
                    <a:prstGeom prst="rect">
                      <a:avLst/>
                    </a:prstGeom>
                  </pic:spPr>
                </pic:pic>
              </a:graphicData>
            </a:graphic>
          </wp:inline>
        </w:drawing>
      </w: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 xml:space="preserve">Figure 10 Circulating neural cells. </w:t>
      </w:r>
      <w:r>
        <w:rPr>
          <w:rFonts w:ascii="Book Antiqua" w:hAnsi="Book Antiqua" w:cstheme="majorBidi"/>
          <w:color w:val="000000" w:themeColor="text1"/>
          <w14:textFill>
            <w14:solidFill>
              <w14:schemeClr w14:val="tx1"/>
            </w14:solidFill>
          </w14:textFill>
        </w:rPr>
        <w:t xml:space="preserve">A: </w:t>
      </w:r>
      <w:r>
        <w:rPr>
          <w:rFonts w:ascii="Book Antiqua" w:hAnsi="Book Antiqua" w:cstheme="majorBidi"/>
          <w:color w:val="000000" w:themeColor="text1"/>
          <w:lang w:eastAsia="zh-CN"/>
          <w14:textFill>
            <w14:solidFill>
              <w14:schemeClr w14:val="tx1"/>
            </w14:solidFill>
          </w14:textFill>
        </w:rPr>
        <w:t>C</w:t>
      </w:r>
      <w:r>
        <w:rPr>
          <w:rFonts w:ascii="Book Antiqua" w:hAnsi="Book Antiqua" w:cstheme="majorBidi"/>
          <w:color w:val="000000" w:themeColor="text1"/>
          <w14:textFill>
            <w14:solidFill>
              <w14:schemeClr w14:val="tx1"/>
            </w14:solidFill>
          </w14:textFill>
        </w:rPr>
        <w:t>o-expression of Dapi/</w:t>
      </w:r>
      <w:r>
        <w:rPr>
          <w:rFonts w:ascii="Book Antiqua" w:hAnsi="Book Antiqua" w:cstheme="majorBidi"/>
          <w:color w:val="000000" w:themeColor="text1"/>
          <w:lang w:eastAsia="zh-CN"/>
          <w14:textFill>
            <w14:solidFill>
              <w14:schemeClr w14:val="tx1"/>
            </w14:solidFill>
          </w14:textFill>
        </w:rPr>
        <w:t>NE</w:t>
      </w:r>
      <w:r>
        <w:rPr>
          <w:rFonts w:ascii="Book Antiqua" w:hAnsi="Book Antiqua" w:cstheme="majorBidi"/>
          <w:color w:val="000000" w:themeColor="text1"/>
          <w14:textFill>
            <w14:solidFill>
              <w14:schemeClr w14:val="tx1"/>
            </w14:solidFill>
          </w14:textFill>
        </w:rPr>
        <w:t>/CD133/</w:t>
      </w:r>
      <w:r>
        <w:rPr>
          <w:rFonts w:ascii="Book Antiqua" w:hAnsi="Book Antiqua"/>
          <w:color w:val="000000" w:themeColor="text1"/>
          <w14:textFill>
            <w14:solidFill>
              <w14:schemeClr w14:val="tx1"/>
            </w14:solidFill>
          </w14:textFill>
        </w:rPr>
        <w:t>vascular endothelial growth</w:t>
      </w:r>
      <w:r>
        <w:rPr>
          <w:rFonts w:ascii="Book Antiqua" w:hAnsi="Book Antiqua"/>
          <w:color w:val="000000" w:themeColor="text1"/>
          <w:lang w:eastAsia="zh-CN"/>
          <w14:textFill>
            <w14:solidFill>
              <w14:schemeClr w14:val="tx1"/>
            </w14:solidFill>
          </w14:textFill>
        </w:rPr>
        <w:t xml:space="preserve"> (VEG)</w:t>
      </w:r>
      <w:r>
        <w:rPr>
          <w:rFonts w:ascii="Book Antiqua" w:hAnsi="Book Antiqua" w:cstheme="majorBidi"/>
          <w:color w:val="000000" w:themeColor="text1"/>
          <w14:textFill>
            <w14:solidFill>
              <w14:schemeClr w14:val="tx1"/>
            </w14:solidFill>
          </w14:textFill>
        </w:rPr>
        <w:t xml:space="preserve">; B: Neural marker, conjugated with </w:t>
      </w:r>
      <w:r>
        <w:rPr>
          <w:rFonts w:ascii="Book Antiqua" w:hAnsi="Book Antiqua"/>
          <w:color w:val="000000" w:themeColor="text1"/>
          <w14:textFill>
            <w14:solidFill>
              <w14:schemeClr w14:val="tx1"/>
            </w14:solidFill>
          </w14:textFill>
        </w:rPr>
        <w:t>fluorescein isothiocyanate</w:t>
      </w:r>
      <w:r>
        <w:rPr>
          <w:rFonts w:ascii="Book Antiqua" w:hAnsi="Book Antiqua" w:cstheme="majorBidi"/>
          <w:color w:val="000000" w:themeColor="text1"/>
          <w14:textFill>
            <w14:solidFill>
              <w14:schemeClr w14:val="tx1"/>
            </w14:solidFill>
          </w14:textFill>
        </w:rPr>
        <w:t xml:space="preserve">; C: CD133: Neural stem cell, conjugated with </w:t>
      </w:r>
      <w:r>
        <w:rPr>
          <w:rFonts w:ascii="Book Antiqua" w:hAnsi="Book Antiqua" w:eastAsia="Book Antiqua" w:cstheme="minorHAnsi"/>
          <w:color w:val="000000" w:themeColor="text1"/>
          <w14:textFill>
            <w14:solidFill>
              <w14:schemeClr w14:val="tx1"/>
            </w14:solidFill>
          </w14:textFill>
        </w:rPr>
        <w:t>R-phycoerythrin</w:t>
      </w:r>
      <w:r>
        <w:rPr>
          <w:rFonts w:ascii="Book Antiqua" w:hAnsi="Book Antiqua" w:cstheme="majorBidi"/>
          <w:color w:val="000000" w:themeColor="text1"/>
          <w14:textFill>
            <w14:solidFill>
              <w14:schemeClr w14:val="tx1"/>
            </w14:solidFill>
          </w14:textFill>
        </w:rPr>
        <w:t>; D:</w:t>
      </w:r>
      <w:r>
        <w:rPr>
          <w:rFonts w:ascii="Book Antiqua" w:hAnsi="Book Antiqua" w:cstheme="majorBidi"/>
          <w:color w:val="000000" w:themeColor="text1"/>
          <w:lang w:eastAsia="zh-CN"/>
          <w14:textFill>
            <w14:solidFill>
              <w14:schemeClr w14:val="tx1"/>
            </w14:solidFill>
          </w14:textFill>
        </w:rPr>
        <w:t xml:space="preserve"> </w:t>
      </w:r>
      <w:r>
        <w:rPr>
          <w:rFonts w:ascii="Book Antiqua" w:hAnsi="Book Antiqua" w:cstheme="majorBidi"/>
          <w:color w:val="000000" w:themeColor="text1"/>
          <w14:textFill>
            <w14:solidFill>
              <w14:schemeClr w14:val="tx1"/>
            </w14:solidFill>
          </w14:textFill>
        </w:rPr>
        <w:t>Vascular endothelial growth factor, conjugated with Pe-cy5.</w:t>
      </w:r>
      <w:r>
        <w:rPr>
          <w:rFonts w:ascii="Book Antiqua" w:hAnsi="Book Antiqua"/>
          <w:b/>
          <w:bCs/>
          <w:color w:val="000000" w:themeColor="text1"/>
          <w:lang w:eastAsia="zh-CN"/>
          <w14:textFill>
            <w14:solidFill>
              <w14:schemeClr w14:val="tx1"/>
            </w14:solidFill>
          </w14:textFill>
        </w:rPr>
        <w:t xml:space="preserve"> </w:t>
      </w:r>
      <w:r>
        <w:rPr>
          <w:rFonts w:ascii="Book Antiqua" w:hAnsi="Book Antiqua" w:cstheme="majorBidi"/>
          <w:color w:val="000000" w:themeColor="text1"/>
          <w14:textFill>
            <w14:solidFill>
              <w14:schemeClr w14:val="tx1"/>
            </w14:solidFill>
          </w14:textFill>
        </w:rPr>
        <w:t>A-D images present circulating neural cells within the blood stream.</w:t>
      </w:r>
      <w:r>
        <w:rPr>
          <w:rFonts w:ascii="Book Antiqua" w:hAnsi="Book Antiqua"/>
          <w:b/>
          <w:bCs/>
          <w:color w:val="000000" w:themeColor="text1"/>
          <w:lang w:eastAsia="zh-CN"/>
          <w14:textFill>
            <w14:solidFill>
              <w14:schemeClr w14:val="tx1"/>
            </w14:solidFill>
          </w14:textFill>
        </w:rPr>
        <w:t xml:space="preserve"> </w:t>
      </w:r>
      <w:r>
        <w:rPr>
          <w:rFonts w:ascii="Book Antiqua" w:hAnsi="Book Antiqua" w:cstheme="majorBidi"/>
          <w:color w:val="000000" w:themeColor="text1"/>
          <w14:textFill>
            <w14:solidFill>
              <w14:schemeClr w14:val="tx1"/>
            </w14:solidFill>
          </w14:textFill>
        </w:rPr>
        <w:t>Neural marker (B) reflects high expression; neural stem cell (C) and VEGF (D) are characterized with the harmonic and</w:t>
      </w:r>
      <w:r>
        <w:rPr>
          <w:rFonts w:ascii="Book Antiqua" w:hAnsi="Book Antiqua" w:cstheme="majorBidi"/>
          <w:color w:val="000000" w:themeColor="text1"/>
          <w:lang w:eastAsia="zh-CN"/>
          <w14:textFill>
            <w14:solidFill>
              <w14:schemeClr w14:val="tx1"/>
            </w14:solidFill>
          </w14:textFill>
        </w:rPr>
        <w:t xml:space="preserve"> </w:t>
      </w:r>
      <w:r>
        <w:rPr>
          <w:rFonts w:ascii="Book Antiqua" w:hAnsi="Book Antiqua" w:cstheme="majorBidi"/>
          <w:color w:val="000000" w:themeColor="text1"/>
          <w14:textFill>
            <w14:solidFill>
              <w14:schemeClr w14:val="tx1"/>
            </w14:solidFill>
          </w14:textFill>
        </w:rPr>
        <w:t>higher protein expression.</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Times New Roman"/>
          <w:color w:val="000000" w:themeColor="text1"/>
          <w14:textFill>
            <w14:solidFill>
              <w14:schemeClr w14:val="tx1"/>
            </w14:solidFill>
          </w14:textFill>
        </w:rPr>
        <w:br w:type="page"/>
      </w:r>
    </w:p>
    <w:p>
      <w:pPr>
        <w:spacing w:line="360" w:lineRule="auto"/>
        <w:jc w:val="both"/>
        <w:rPr>
          <w:rFonts w:hint="eastAsia" w:ascii="Book Antiqua" w:hAnsi="Book Antiqua" w:eastAsia="宋体" w:cs="Book Antiqua"/>
          <w:b/>
          <w:color w:val="000000" w:themeColor="text1"/>
          <w:lang w:eastAsia="zh-CN"/>
          <w14:textFill>
            <w14:solidFill>
              <w14:schemeClr w14:val="tx1"/>
            </w14:solidFill>
          </w14:textFill>
        </w:rPr>
      </w:pPr>
      <w:r>
        <w:rPr>
          <w:rFonts w:hint="eastAsia" w:ascii="Book Antiqua" w:hAnsi="Book Antiqua" w:eastAsia="宋体" w:cs="Book Antiqua"/>
          <w:b/>
          <w:color w:val="000000" w:themeColor="text1"/>
          <w:lang w:eastAsia="zh-CN"/>
          <w14:textFill>
            <w14:solidFill>
              <w14:schemeClr w14:val="tx1"/>
            </w14:solidFill>
          </w14:textFill>
        </w:rPr>
        <w:drawing>
          <wp:inline distT="0" distB="0" distL="114300" distR="114300">
            <wp:extent cx="5067300" cy="4698365"/>
            <wp:effectExtent l="0" t="0" r="0" b="6985"/>
            <wp:docPr id="20" name="图片 20" descr="WJEM-13-75-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JEM-13-75-g011"/>
                    <pic:cNvPicPr>
                      <a:picLocks noChangeAspect="1"/>
                    </pic:cNvPicPr>
                  </pic:nvPicPr>
                  <pic:blipFill>
                    <a:blip r:embed="rId15"/>
                    <a:stretch>
                      <a:fillRect/>
                    </a:stretch>
                  </pic:blipFill>
                  <pic:spPr>
                    <a:xfrm>
                      <a:off x="0" y="0"/>
                      <a:ext cx="5067300" cy="4698365"/>
                    </a:xfrm>
                    <a:prstGeom prst="rect">
                      <a:avLst/>
                    </a:prstGeom>
                  </pic:spPr>
                </pic:pic>
              </a:graphicData>
            </a:graphic>
          </wp:inline>
        </w:drawing>
      </w:r>
    </w:p>
    <w:p>
      <w:pPr>
        <w:spacing w:line="360" w:lineRule="auto"/>
        <w:jc w:val="both"/>
        <w:rPr>
          <w:rFonts w:ascii="Book Antiqua" w:hAnsi="Book Antiqua" w:eastAsia="Times New Roman" w:cstheme="minorHAnsi"/>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 xml:space="preserve">11 Power </w:t>
      </w:r>
      <w:r>
        <w:rPr>
          <w:rFonts w:ascii="Book Antiqua" w:hAnsi="Book Antiqua" w:cs="Book Antiqua"/>
          <w:b/>
          <w:bCs/>
          <w:color w:val="000000" w:themeColor="text1"/>
          <w:lang w:eastAsia="zh-CN"/>
          <w14:textFill>
            <w14:solidFill>
              <w14:schemeClr w14:val="tx1"/>
            </w14:solidFill>
          </w14:textFill>
        </w:rPr>
        <w:t>r</w:t>
      </w:r>
      <w:r>
        <w:rPr>
          <w:rFonts w:ascii="Book Antiqua" w:hAnsi="Book Antiqua" w:eastAsia="Book Antiqua" w:cs="Book Antiqua"/>
          <w:b/>
          <w:bCs/>
          <w:color w:val="000000" w:themeColor="text1"/>
          <w14:textFill>
            <w14:solidFill>
              <w14:schemeClr w14:val="tx1"/>
            </w14:solidFill>
          </w14:textFill>
        </w:rPr>
        <w:t>atio at pre- to post applied condition of closed/open eyes in an apparently healthy individu</w:t>
      </w:r>
      <w:r>
        <w:rPr>
          <w:rFonts w:ascii="Book Antiqua" w:hAnsi="Book Antiqua" w:eastAsia="Book Antiqua" w:cs="Book Antiqua"/>
          <w:color w:val="000000" w:themeColor="text1"/>
          <w14:textFill>
            <w14:solidFill>
              <w14:schemeClr w14:val="tx1"/>
            </w14:solidFill>
          </w14:textFill>
        </w:rPr>
        <w:t>a</w:t>
      </w:r>
      <w:r>
        <w:rPr>
          <w:rFonts w:ascii="Book Antiqua" w:hAnsi="Book Antiqua" w:eastAsia="Book Antiqua" w:cs="Book Antiqua"/>
          <w:b/>
          <w:bCs/>
          <w:color w:val="000000" w:themeColor="text1"/>
          <w14:textFill>
            <w14:solidFill>
              <w14:schemeClr w14:val="tx1"/>
            </w14:solidFill>
          </w14:textFill>
        </w:rPr>
        <w:t>l.</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By considering the applied condition- model as closed/opened eyes, evaluation was performed by considering the ratio of FP1 to other channels:</w:t>
      </w:r>
      <w:r>
        <w:rPr>
          <w:rFonts w:ascii="Book Antiqua" w:hAnsi="Book Antiqua"/>
          <w:color w:val="000000" w:themeColor="text1"/>
          <w:lang w:eastAsia="zh-CN"/>
          <w14:textFill>
            <w14:solidFill>
              <w14:schemeClr w14:val="tx1"/>
            </w14:solidFill>
          </w14:textFill>
        </w:rPr>
        <w:t xml:space="preserve"> (1) </w:t>
      </w:r>
      <w:r>
        <w:rPr>
          <w:rFonts w:ascii="Book Antiqua" w:hAnsi="Book Antiqua" w:eastAsiaTheme="minorHAnsi"/>
          <w:color w:val="000000" w:themeColor="text1"/>
          <w14:textFill>
            <w14:solidFill>
              <w14:schemeClr w14:val="tx1"/>
            </w14:solidFill>
          </w14:textFill>
        </w:rPr>
        <w:t xml:space="preserve">Minor group: Cooperation from polar section of brain, </w:t>
      </w:r>
      <w:r>
        <w:rPr>
          <w:rFonts w:ascii="Book Antiqua" w:hAnsi="Book Antiqua" w:eastAsiaTheme="minorHAnsi"/>
          <w:i/>
          <w:iCs/>
          <w:color w:val="000000" w:themeColor="text1"/>
          <w14:textFill>
            <w14:solidFill>
              <w14:schemeClr w14:val="tx1"/>
            </w14:solidFill>
          </w14:textFill>
        </w:rPr>
        <w:t>i.e.,</w:t>
      </w:r>
      <w:r>
        <w:rPr>
          <w:rFonts w:ascii="Book Antiqua" w:hAnsi="Book Antiqua" w:eastAsiaTheme="minorHAnsi"/>
          <w:color w:val="000000" w:themeColor="text1"/>
          <w14:textFill>
            <w14:solidFill>
              <w14:schemeClr w14:val="tx1"/>
            </w14:solidFill>
          </w14:textFill>
        </w:rPr>
        <w:t xml:space="preserve"> between FP1/Fp2 = 0.888; FP1/F8 = 0.5918; FP1/O2 = 0.2633; FP1/O1 = 0.8145; FP1/P7</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0.6686. A</w:t>
      </w:r>
      <w:r>
        <w:rPr>
          <w:rFonts w:ascii="Book Antiqua" w:hAnsi="Book Antiqua"/>
          <w:color w:val="000000" w:themeColor="text1"/>
          <w:lang w:eastAsia="zh-CN"/>
          <w14:textFill>
            <w14:solidFill>
              <w14:schemeClr w14:val="tx1"/>
            </w14:solidFill>
          </w14:textFill>
        </w:rPr>
        <w:t>ll</w:t>
      </w:r>
      <w:r>
        <w:rPr>
          <w:rFonts w:ascii="Book Antiqua" w:hAnsi="Book Antiqua" w:eastAsiaTheme="minorHAnsi"/>
          <w:color w:val="000000" w:themeColor="text1"/>
          <w14:textFill>
            <w14:solidFill>
              <w14:schemeClr w14:val="tx1"/>
            </w14:solidFill>
          </w14:textFill>
        </w:rPr>
        <w:t xml:space="preserve"> ratio &lt; 1. Range of </w:t>
      </w:r>
      <w:r>
        <w:rPr>
          <w:rFonts w:ascii="Book Antiqua" w:hAnsi="Book Antiqua"/>
          <w:color w:val="000000" w:themeColor="text1"/>
          <w:lang w:eastAsia="zh-CN"/>
          <w14:textFill>
            <w14:solidFill>
              <w14:schemeClr w14:val="tx1"/>
            </w14:solidFill>
          </w14:textFill>
        </w:rPr>
        <w:t>r</w:t>
      </w:r>
      <w:r>
        <w:rPr>
          <w:rFonts w:ascii="Book Antiqua" w:hAnsi="Book Antiqua" w:eastAsiaTheme="minorHAnsi"/>
          <w:color w:val="000000" w:themeColor="text1"/>
          <w14:textFill>
            <w14:solidFill>
              <w14:schemeClr w14:val="tx1"/>
            </w14:solidFill>
          </w14:textFill>
        </w:rPr>
        <w:t xml:space="preserve">atio: 0.2633-0.8145; (2) </w:t>
      </w:r>
      <w:r>
        <w:rPr>
          <w:rFonts w:hint="eastAsia" w:ascii="Book Antiqua" w:hAnsi="Book Antiqua" w:eastAsia="宋体"/>
          <w:color w:val="000000" w:themeColor="text1"/>
          <w:lang w:eastAsia="zh-CN"/>
          <w14:textFill>
            <w14:solidFill>
              <w14:schemeClr w14:val="tx1"/>
            </w14:solidFill>
          </w14:textFill>
        </w:rPr>
        <w:t>m</w:t>
      </w:r>
      <w:r>
        <w:rPr>
          <w:rFonts w:ascii="Book Antiqua" w:hAnsi="Book Antiqua" w:eastAsiaTheme="minorHAnsi"/>
          <w:color w:val="000000" w:themeColor="text1"/>
          <w14:textFill>
            <w14:solidFill>
              <w14:schemeClr w14:val="tx1"/>
            </w14:solidFill>
          </w14:textFill>
        </w:rPr>
        <w:t>ajor group: have diverse destinations including FP1/T8 = 1.2647; FP1/P8 = 1.2137; FP1/F4=1.4017; FP1/C4 = 1.7180; FP1/P4 = 1.0706; FP1/F3 = 1.4605; FP1/C3 = 1.7861; FP1/F7 = 1.2240; FP1/P3 = 1.2306; and FP1/T7 = 1.0558. A</w:t>
      </w:r>
      <w:r>
        <w:rPr>
          <w:rFonts w:ascii="Book Antiqua" w:hAnsi="Book Antiqua"/>
          <w:color w:val="000000" w:themeColor="text1"/>
          <w:lang w:eastAsia="zh-CN"/>
          <w14:textFill>
            <w14:solidFill>
              <w14:schemeClr w14:val="tx1"/>
            </w14:solidFill>
          </w14:textFill>
        </w:rPr>
        <w:t>ll</w:t>
      </w:r>
      <w:r>
        <w:rPr>
          <w:rFonts w:ascii="Book Antiqua" w:hAnsi="Book Antiqua" w:eastAsiaTheme="minorHAnsi"/>
          <w:color w:val="000000" w:themeColor="text1"/>
          <w14:textFill>
            <w14:solidFill>
              <w14:schemeClr w14:val="tx1"/>
            </w14:solidFill>
          </w14:textFill>
        </w:rPr>
        <w:t xml:space="preserve"> ratio &gt; 1</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Range of ratio: 1.0558-1.7861.</w:t>
      </w:r>
      <w:r>
        <w:rPr>
          <w:rFonts w:ascii="Book Antiqua" w:hAnsi="Book Antiqua" w:eastAsia="Calibri" w:cstheme="minorHAnsi"/>
          <w:color w:val="000000" w:themeColor="text1"/>
          <w:lang w:bidi="fa-IR"/>
          <w14:textFill>
            <w14:solidFill>
              <w14:schemeClr w14:val="tx1"/>
            </w14:solidFill>
          </w14:textFill>
        </w:rPr>
        <w:t xml:space="preserve"> </w:t>
      </w:r>
      <w:r>
        <w:rPr>
          <w:rFonts w:ascii="Book Antiqua" w:hAnsi="Book Antiqua" w:eastAsia="Times New Roman" w:cstheme="minorHAnsi"/>
          <w:color w:val="000000" w:themeColor="text1"/>
          <w14:textFill>
            <w14:solidFill>
              <w14:schemeClr w14:val="tx1"/>
            </w14:solidFill>
          </w14:textFill>
        </w:rPr>
        <w:t>In this image, FP1 is the unique station as the primary initiating action within the brian channels, as octopods. There is a uique pattern as one direction from the upper to lower-section of the brain, including 10 indices less than 1 ratio (the blue lines) and 10 indices higher than 1</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eastAsia="Times New Roman" w:cstheme="minorHAnsi"/>
          <w:color w:val="000000" w:themeColor="text1"/>
          <w14:textFill>
            <w14:solidFill>
              <w14:schemeClr w14:val="tx1"/>
            </w14:solidFill>
          </w14:textFill>
        </w:rPr>
        <w:t>(brown lines). Such remarkable diversity is indicative of the well defined as two opposite directions from a unique central station towards 20 destinations. By defining the status of closed- to open eyes including &gt;</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eastAsia="Times New Roman" w:cstheme="minorHAnsi"/>
          <w:color w:val="000000" w:themeColor="text1"/>
          <w14:textFill>
            <w14:solidFill>
              <w14:schemeClr w14:val="tx1"/>
            </w14:solidFill>
          </w14:textFill>
        </w:rPr>
        <w:t>1 as relaxation and &lt;</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eastAsia="Times New Roman" w:cstheme="minorHAnsi"/>
          <w:color w:val="000000" w:themeColor="text1"/>
          <w14:textFill>
            <w14:solidFill>
              <w14:schemeClr w14:val="tx1"/>
            </w14:solidFill>
          </w14:textFill>
        </w:rPr>
        <w:t xml:space="preserve">1 as stressful conditions, then the challenging points are related to two distinct-outcomes. But as the matter of fact, the imposed rule is the unique major initiator, as the main station towards two categorized destinations. This regulation is considered as: </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Times New Roman" w:cstheme="minorHAnsi"/>
          <w:color w:val="000000" w:themeColor="text1"/>
          <w14:textFill>
            <w14:solidFill>
              <w14:schemeClr w14:val="tx1"/>
            </w14:solidFill>
          </w14:textFill>
        </w:rPr>
        <w:t xml:space="preserve">1) </w:t>
      </w:r>
      <w:r>
        <w:rPr>
          <w:rFonts w:hint="eastAsia" w:ascii="Book Antiqua" w:hAnsi="Book Antiqua" w:eastAsia="宋体" w:cstheme="minorHAnsi"/>
          <w:color w:val="000000" w:themeColor="text1"/>
          <w:lang w:eastAsia="zh-CN"/>
          <w14:textFill>
            <w14:solidFill>
              <w14:schemeClr w14:val="tx1"/>
            </w14:solidFill>
          </w14:textFill>
        </w:rPr>
        <w:t>T</w:t>
      </w:r>
      <w:r>
        <w:rPr>
          <w:rFonts w:ascii="Book Antiqua" w:hAnsi="Book Antiqua" w:eastAsia="Times New Roman" w:cstheme="minorHAnsi"/>
          <w:color w:val="000000" w:themeColor="text1"/>
          <w14:textFill>
            <w14:solidFill>
              <w14:schemeClr w14:val="tx1"/>
            </w14:solidFill>
          </w14:textFill>
        </w:rPr>
        <w:t xml:space="preserve">he correlative/single station, as major initiator/hypothesis; and </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Times New Roman" w:cstheme="minorHAnsi"/>
          <w:color w:val="000000" w:themeColor="text1"/>
          <w14:textFill>
            <w14:solidFill>
              <w14:schemeClr w14:val="tx1"/>
            </w14:solidFill>
          </w14:textFill>
        </w:rPr>
        <w:t>2) two distinct Ratio based categories, including &gt;</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eastAsia="Times New Roman" w:cstheme="minorHAnsi"/>
          <w:color w:val="000000" w:themeColor="text1"/>
          <w14:textFill>
            <w14:solidFill>
              <w14:schemeClr w14:val="tx1"/>
            </w14:solidFill>
          </w14:textFill>
        </w:rPr>
        <w:t>1 and &lt;</w:t>
      </w:r>
      <w:r>
        <w:rPr>
          <w:rFonts w:ascii="Book Antiqua" w:hAnsi="Book Antiqua" w:cstheme="minorHAnsi"/>
          <w:color w:val="000000" w:themeColor="text1"/>
          <w:lang w:eastAsia="zh-CN"/>
          <w14:textFill>
            <w14:solidFill>
              <w14:schemeClr w14:val="tx1"/>
            </w14:solidFill>
          </w14:textFill>
        </w:rPr>
        <w:t xml:space="preserve"> </w:t>
      </w:r>
      <w:r>
        <w:rPr>
          <w:rFonts w:ascii="Book Antiqua" w:hAnsi="Book Antiqua" w:eastAsia="Times New Roman" w:cstheme="minorHAnsi"/>
          <w:color w:val="000000" w:themeColor="text1"/>
          <w14:textFill>
            <w14:solidFill>
              <w14:schemeClr w14:val="tx1"/>
            </w14:solidFill>
          </w14:textFill>
        </w:rPr>
        <w:t xml:space="preserve">1 (Figure 11). The question is related to the diverse impact on the behavioral, emotional and other related physical and/or mental behaviors. Keeping the stable behavioral balances is the major aim with the reliable, harmless, and available tools such as light music and/or any relaxation method. This data reflects: </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Times New Roman" w:cstheme="minorHAnsi"/>
          <w:color w:val="000000" w:themeColor="text1"/>
          <w14:textFill>
            <w14:solidFill>
              <w14:schemeClr w14:val="tx1"/>
            </w14:solidFill>
          </w14:textFill>
        </w:rPr>
        <w:t xml:space="preserve">1) </w:t>
      </w:r>
      <w:r>
        <w:rPr>
          <w:rFonts w:hint="eastAsia" w:ascii="Book Antiqua" w:hAnsi="Book Antiqua" w:eastAsia="宋体" w:cstheme="minorHAnsi"/>
          <w:color w:val="000000" w:themeColor="text1"/>
          <w:lang w:eastAsia="zh-CN"/>
          <w14:textFill>
            <w14:solidFill>
              <w14:schemeClr w14:val="tx1"/>
            </w14:solidFill>
          </w14:textFill>
        </w:rPr>
        <w:t>A</w:t>
      </w:r>
      <w:r>
        <w:rPr>
          <w:rFonts w:ascii="Book Antiqua" w:hAnsi="Book Antiqua" w:eastAsia="Times New Roman" w:cstheme="minorHAnsi"/>
          <w:color w:val="000000" w:themeColor="text1"/>
          <w14:textFill>
            <w14:solidFill>
              <w14:schemeClr w14:val="tx1"/>
            </w14:solidFill>
          </w14:textFill>
        </w:rPr>
        <w:t xml:space="preserve">n EEG, personalized based and reliable categorized hypothesis; </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Times New Roman" w:cstheme="minorHAnsi"/>
          <w:color w:val="000000" w:themeColor="text1"/>
          <w14:textFill>
            <w14:solidFill>
              <w14:schemeClr w14:val="tx1"/>
            </w14:solidFill>
          </w14:textFill>
        </w:rPr>
        <w:t xml:space="preserve">2) with aim of detecting the behavioral characteristics of both group of individuals including an apparently healthy and individuals with either affected with Alzheimer disease, or at primary stages of AD; </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Times New Roman" w:cstheme="minorHAnsi"/>
          <w:color w:val="000000" w:themeColor="text1"/>
          <w14:textFill>
            <w14:solidFill>
              <w14:schemeClr w14:val="tx1"/>
            </w14:solidFill>
          </w14:textFill>
        </w:rPr>
        <w:t xml:space="preserve">3) considering an early detective strategy; and </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Times New Roman" w:cstheme="minorHAnsi"/>
          <w:color w:val="000000" w:themeColor="text1"/>
          <w14:textFill>
            <w14:solidFill>
              <w14:schemeClr w14:val="tx1"/>
            </w14:solidFill>
          </w14:textFill>
        </w:rPr>
        <w:t xml:space="preserve">4) organizing the prognostic, predictive, and preventive management as early as possible. </w:t>
      </w:r>
      <w:r>
        <w:rPr>
          <w:rFonts w:ascii="Book Antiqua" w:hAnsi="Book Antiqua" w:eastAsia="Calibri" w:cstheme="minorHAnsi"/>
          <w:color w:val="000000" w:themeColor="text1"/>
          <w:lang w:bidi="fa-IR"/>
          <w14:textFill>
            <w14:solidFill>
              <w14:schemeClr w14:val="tx1"/>
            </w14:solidFill>
          </w14:textFill>
        </w:rPr>
        <w:t>F: Frontal</w:t>
      </w:r>
      <w:r>
        <w:rPr>
          <w:rFonts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O: Occipital</w:t>
      </w:r>
      <w:r>
        <w:rPr>
          <w:rFonts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C: Central</w:t>
      </w:r>
      <w:r>
        <w:rPr>
          <w:rFonts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FC: Between F and C</w:t>
      </w:r>
      <w:r>
        <w:rPr>
          <w:rFonts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AF: Between Fp and F;</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stheme="minorHAnsi"/>
          <w:color w:val="000000" w:themeColor="text1"/>
          <w14:textFill>
            <w14:solidFill>
              <w14:schemeClr w14:val="tx1"/>
            </w14:solidFill>
          </w14:textFill>
        </w:rPr>
        <w:t>C3,4: Central Lobe; F3,4,7,8,z: Frontal lobe; FP1,2</w:t>
      </w:r>
      <w:r>
        <w:rPr>
          <w:rFonts w:ascii="Book Antiqua" w:hAnsi="Book Antiqua" w:cstheme="minorHAnsi"/>
          <w:color w:val="000000" w:themeColor="text1"/>
          <w:lang w:eastAsia="zh-CN"/>
          <w14:textFill>
            <w14:solidFill>
              <w14:schemeClr w14:val="tx1"/>
            </w14:solidFill>
          </w14:textFill>
        </w:rPr>
        <w:t>:</w:t>
      </w:r>
      <w:r>
        <w:rPr>
          <w:rFonts w:ascii="Book Antiqua" w:hAnsi="Book Antiqua" w:eastAsia="Times New Roman" w:cstheme="minorHAnsi"/>
          <w:color w:val="000000" w:themeColor="text1"/>
          <w14:textFill>
            <w14:solidFill>
              <w14:schemeClr w14:val="tx1"/>
            </w14:solidFill>
          </w14:textFill>
        </w:rPr>
        <w:t xml:space="preserve"> Pre frontal cortex; PF3,4,7,8: Partial Lobe; O1,2: Occipital lobe; T7,8: Temporal 7,8.</w:t>
      </w:r>
    </w:p>
    <w:p>
      <w:pPr>
        <w:spacing w:line="360" w:lineRule="auto"/>
        <w:jc w:val="both"/>
        <w:rPr>
          <w:rFonts w:ascii="Book Antiqua" w:hAnsi="Book Antiqua" w:eastAsia="Times New Roman" w:cstheme="minorHAnsi"/>
          <w:color w:val="000000" w:themeColor="text1"/>
          <w14:textFill>
            <w14:solidFill>
              <w14:schemeClr w14:val="tx1"/>
            </w14:solidFill>
          </w14:textFill>
        </w:rPr>
      </w:pPr>
      <w:r>
        <w:rPr>
          <w:rFonts w:ascii="Book Antiqua" w:hAnsi="Book Antiqua" w:eastAsia="Times New Roman" w:cstheme="minorHAnsi"/>
          <w:color w:val="000000" w:themeColor="text1"/>
          <w14:textFill>
            <w14:solidFill>
              <w14:schemeClr w14:val="tx1"/>
            </w14:solidFill>
          </w14:textFill>
        </w:rPr>
        <w:br w:type="page"/>
      </w:r>
    </w:p>
    <w:p>
      <w:pPr>
        <w:spacing w:line="360" w:lineRule="auto"/>
        <w:jc w:val="both"/>
        <w:rPr>
          <w:rFonts w:hint="eastAsia" w:ascii="Book Antiqua" w:hAnsi="Book Antiqua" w:cs="Book Antiqua" w:eastAsiaTheme="minorEastAsia"/>
          <w:b/>
          <w:color w:val="000000" w:themeColor="text1"/>
          <w:lang w:eastAsia="zh-CN"/>
          <w14:textFill>
            <w14:solidFill>
              <w14:schemeClr w14:val="tx1"/>
            </w14:solidFill>
          </w14:textFill>
        </w:rPr>
      </w:pPr>
      <w:r>
        <w:rPr>
          <w:rFonts w:hint="eastAsia" w:ascii="Book Antiqua" w:hAnsi="Book Antiqua" w:cs="Book Antiqua" w:eastAsiaTheme="minorEastAsia"/>
          <w:b/>
          <w:color w:val="000000" w:themeColor="text1"/>
          <w:lang w:eastAsia="zh-CN"/>
          <w14:textFill>
            <w14:solidFill>
              <w14:schemeClr w14:val="tx1"/>
            </w14:solidFill>
          </w14:textFill>
        </w:rPr>
        <w:drawing>
          <wp:inline distT="0" distB="0" distL="114300" distR="114300">
            <wp:extent cx="5003800" cy="4407535"/>
            <wp:effectExtent l="0" t="0" r="6350" b="2540"/>
            <wp:docPr id="21" name="图片 21" descr="WJEM-13-75-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JEM-13-75-g012"/>
                    <pic:cNvPicPr>
                      <a:picLocks noChangeAspect="1"/>
                    </pic:cNvPicPr>
                  </pic:nvPicPr>
                  <pic:blipFill>
                    <a:blip r:embed="rId16"/>
                    <a:stretch>
                      <a:fillRect/>
                    </a:stretch>
                  </pic:blipFill>
                  <pic:spPr>
                    <a:xfrm>
                      <a:off x="0" y="0"/>
                      <a:ext cx="5003800" cy="440753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000000" w:themeColor="text1"/>
          <w14:textFill>
            <w14:solidFill>
              <w14:schemeClr w14:val="tx1"/>
            </w14:solidFill>
          </w14:textFill>
        </w:rPr>
        <w:t>Figure 12 Status of the absolute power Ratio by considering closed eye to open eye, based on the mediation of light music on the selected brain channels of a healthy individual.</w:t>
      </w:r>
      <w:r>
        <w:rPr>
          <w:rFonts w:ascii="Book Antiqua" w:hAnsi="Book Antiqua"/>
          <w:color w:val="000000" w:themeColor="text1"/>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 xml:space="preserve">This </w:t>
      </w:r>
      <w:r>
        <w:rPr>
          <w:rFonts w:ascii="Book Antiqua" w:hAnsi="Book Antiqua" w:cstheme="minorHAnsi"/>
          <w:color w:val="000000" w:themeColor="text1"/>
          <w:lang w:eastAsia="zh-CN" w:bidi="fa-IR"/>
          <w14:textFill>
            <w14:solidFill>
              <w14:schemeClr w14:val="tx1"/>
            </w14:solidFill>
          </w14:textFill>
        </w:rPr>
        <w:t>f</w:t>
      </w:r>
      <w:r>
        <w:rPr>
          <w:rFonts w:ascii="Book Antiqua" w:hAnsi="Book Antiqua" w:eastAsia="Calibri" w:cstheme="minorHAnsi"/>
          <w:color w:val="000000" w:themeColor="text1"/>
          <w:lang w:bidi="fa-IR"/>
          <w14:textFill>
            <w14:solidFill>
              <w14:schemeClr w14:val="tx1"/>
            </w14:solidFill>
          </w14:textFill>
        </w:rPr>
        <w:t>igure includes 19 brain channels.</w:t>
      </w:r>
      <w:r>
        <w:rPr>
          <w:rFonts w:ascii="Book Antiqua" w:hAnsi="Book Antiqua"/>
          <w:color w:val="000000" w:themeColor="text1"/>
          <w14:textFill>
            <w14:solidFill>
              <w14:schemeClr w14:val="tx1"/>
            </w14:solidFill>
          </w14:textFill>
        </w:rPr>
        <w:t xml:space="preserve"> (1)</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Mean power of delta (HZ)</w:t>
      </w:r>
      <w:r>
        <w:rPr>
          <w:rFonts w:ascii="Book Antiqua" w:hAnsi="Book Antiqua" w:eastAsia="Calibri" w:cstheme="minorHAnsi"/>
          <w:b/>
          <w:bCs/>
          <w:color w:val="000000" w:themeColor="text1"/>
          <w:lang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20 min post mediation with light music; (2)</w:t>
      </w:r>
      <w:r>
        <w:rPr>
          <w:rFonts w:ascii="Book Antiqua" w:hAnsi="Book Antiqua"/>
          <w:color w:val="000000" w:themeColor="text1"/>
          <w:lang w:eastAsia="zh-CN"/>
          <w14:textFill>
            <w14:solidFill>
              <w14:schemeClr w14:val="tx1"/>
            </w14:solidFill>
          </w14:textFill>
        </w:rPr>
        <w:t xml:space="preserve"> </w:t>
      </w:r>
      <w:r>
        <w:rPr>
          <w:rFonts w:hint="eastAsia" w:ascii="Book Antiqua" w:hAnsi="Book Antiqua"/>
          <w:color w:val="000000" w:themeColor="text1"/>
          <w:lang w:eastAsia="zh-CN"/>
          <w14:textFill>
            <w14:solidFill>
              <w14:schemeClr w14:val="tx1"/>
            </w14:solidFill>
          </w14:textFill>
        </w:rPr>
        <w:t>c</w:t>
      </w:r>
      <w:r>
        <w:rPr>
          <w:rFonts w:ascii="Book Antiqua" w:hAnsi="Book Antiqua" w:eastAsia="Calibri" w:cstheme="minorHAnsi"/>
          <w:color w:val="000000" w:themeColor="text1"/>
          <w:lang w:bidi="fa-IR"/>
          <w14:textFill>
            <w14:solidFill>
              <w14:schemeClr w14:val="tx1"/>
            </w14:solidFill>
          </w14:textFill>
        </w:rPr>
        <w:t xml:space="preserve">hannel’s names represent locations of brain including Frontal </w:t>
      </w:r>
      <w:r>
        <w:rPr>
          <w:rFonts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F</w:t>
      </w:r>
      <w:r>
        <w:rPr>
          <w:rFonts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Occipital, central</w:t>
      </w:r>
      <w:r>
        <w:rPr>
          <w:rFonts w:ascii="Book Antiqua" w:hAnsi="Book Antiqua" w:cstheme="minorHAnsi"/>
          <w:color w:val="000000" w:themeColor="text1"/>
          <w:lang w:eastAsia="zh-CN" w:bidi="fa-IR"/>
          <w14:textFill>
            <w14:solidFill>
              <w14:schemeClr w14:val="tx1"/>
            </w14:solidFill>
          </w14:textFill>
        </w:rPr>
        <w:t xml:space="preserve"> (C)</w:t>
      </w:r>
      <w:r>
        <w:rPr>
          <w:rFonts w:ascii="Book Antiqua" w:hAnsi="Book Antiqua" w:eastAsia="Calibri" w:cstheme="minorHAnsi"/>
          <w:color w:val="000000" w:themeColor="text1"/>
          <w:lang w:bidi="fa-IR"/>
          <w14:textFill>
            <w14:solidFill>
              <w14:schemeClr w14:val="tx1"/>
            </w14:solidFill>
          </w14:textFill>
        </w:rPr>
        <w:t xml:space="preserve">, between F and C, between Fp and F; </w:t>
      </w:r>
      <w:r>
        <w:rPr>
          <w:rFonts w:ascii="Book Antiqua" w:hAnsi="Book Antiqua" w:cstheme="minorHAnsi"/>
          <w:color w:val="000000" w:themeColor="text1"/>
          <w:lang w:eastAsia="zh-CN" w:bidi="fa-IR"/>
          <w14:textFill>
            <w14:solidFill>
              <w14:schemeClr w14:val="tx1"/>
            </w14:solidFill>
          </w14:textFill>
        </w:rPr>
        <w:t xml:space="preserve">and </w:t>
      </w:r>
      <w:r>
        <w:rPr>
          <w:rFonts w:ascii="Book Antiqua" w:hAnsi="Book Antiqua" w:eastAsia="Calibri" w:cstheme="minorHAnsi"/>
          <w:color w:val="000000" w:themeColor="text1"/>
          <w:lang w:bidi="fa-IR"/>
          <w14:textFill>
            <w14:solidFill>
              <w14:schemeClr w14:val="tx1"/>
            </w14:solidFill>
          </w14:textFill>
        </w:rPr>
        <w:t>(3)</w:t>
      </w:r>
      <w:r>
        <w:rPr>
          <w:rFonts w:ascii="Book Antiqua" w:hAnsi="Book Antiqua"/>
          <w:color w:val="000000" w:themeColor="text1"/>
          <w:lang w:eastAsia="zh-CN"/>
          <w14:textFill>
            <w14:solidFill>
              <w14:schemeClr w14:val="tx1"/>
            </w14:solidFill>
          </w14:textFill>
        </w:rPr>
        <w:t xml:space="preserve"> </w:t>
      </w:r>
      <w:r>
        <w:rPr>
          <w:rFonts w:hint="eastAsia" w:ascii="Book Antiqua" w:hAnsi="Book Antiqua" w:eastAsia="宋体" w:cstheme="minorHAnsi"/>
          <w:color w:val="000000" w:themeColor="text1"/>
          <w:lang w:eastAsia="zh-CN" w:bidi="fa-IR"/>
          <w14:textFill>
            <w14:solidFill>
              <w14:schemeClr w14:val="tx1"/>
            </w14:solidFill>
          </w14:textFill>
        </w:rPr>
        <w:t>t</w:t>
      </w:r>
      <w:r>
        <w:rPr>
          <w:rFonts w:ascii="Book Antiqua" w:hAnsi="Book Antiqua" w:eastAsia="Calibri" w:cstheme="minorHAnsi"/>
          <w:color w:val="000000" w:themeColor="text1"/>
          <w:lang w:bidi="fa-IR"/>
          <w14:textFill>
            <w14:solidFill>
              <w14:schemeClr w14:val="tx1"/>
            </w14:solidFill>
          </w14:textFill>
        </w:rPr>
        <w:t xml:space="preserve">he significant value: </w:t>
      </w:r>
      <w:r>
        <w:rPr>
          <w:rFonts w:ascii="Book Antiqua" w:hAnsi="Book Antiqua" w:eastAsia="Calibri" w:cstheme="minorHAnsi"/>
          <w:i/>
          <w:iCs/>
          <w:color w:val="000000" w:themeColor="text1"/>
          <w:lang w:bidi="fa-IR"/>
          <w14:textFill>
            <w14:solidFill>
              <w14:schemeClr w14:val="tx1"/>
            </w14:solidFill>
          </w14:textFill>
        </w:rPr>
        <w:t>P</w:t>
      </w:r>
      <w:r>
        <w:rPr>
          <w:rFonts w:ascii="Book Antiqua" w:hAnsi="Book Antiqua" w:eastAsia="Calibri" w:cstheme="minorHAnsi"/>
          <w:color w:val="000000" w:themeColor="text1"/>
          <w:lang w:bidi="fa-IR"/>
          <w14:textFill>
            <w14:solidFill>
              <w14:schemeClr w14:val="tx1"/>
            </w14:solidFill>
          </w14:textFill>
        </w:rPr>
        <w:t xml:space="preserve"> &lt; 0.05. </w:t>
      </w:r>
      <w:r>
        <w:rPr>
          <w:rFonts w:ascii="Book Antiqua" w:hAnsi="Book Antiqua"/>
          <w:color w:val="000000" w:themeColor="text1"/>
          <w:lang w:eastAsia="zh-CN"/>
          <w14:textFill>
            <w14:solidFill>
              <w14:schemeClr w14:val="tx1"/>
            </w14:solidFill>
          </w14:textFill>
        </w:rPr>
        <w:t xml:space="preserve">Figure 12 is indicative of the cooperative/multi-centers/and two distinct categorized correlations including 6 and 8 destinations include: (1) Indices &gt; 1, characterized with diverse degrees of ratio as &gt; 1; and (2) </w:t>
      </w:r>
      <w:r>
        <w:rPr>
          <w:rFonts w:hint="eastAsia" w:ascii="Book Antiqua" w:hAnsi="Book Antiqua"/>
          <w:color w:val="000000" w:themeColor="text1"/>
          <w:lang w:eastAsia="zh-CN"/>
          <w14:textFill>
            <w14:solidFill>
              <w14:schemeClr w14:val="tx1"/>
            </w14:solidFill>
          </w14:textFill>
        </w:rPr>
        <w:t>t</w:t>
      </w:r>
      <w:r>
        <w:rPr>
          <w:rFonts w:ascii="Book Antiqua" w:hAnsi="Book Antiqua"/>
          <w:color w:val="000000" w:themeColor="text1"/>
          <w:lang w:eastAsia="zh-CN"/>
          <w14:textFill>
            <w14:solidFill>
              <w14:schemeClr w14:val="tx1"/>
            </w14:solidFill>
          </w14:textFill>
        </w:rPr>
        <w:t xml:space="preserve">he cooperative cluster involed 8 channels, including F3, Fz, F4, Cz, P3, Pz, P4, O1, nd O2 all with ratio &lt; 1. These channels have impact through the middle section of brain brain from up-to down-destination. Channel C3 is characterized with almost ratio = 1, and it seems that the cooperative manner with other channels, is considered as an independent chanel. </w:t>
      </w:r>
      <w:r>
        <w:rPr>
          <w:rFonts w:ascii="Book Antiqua" w:hAnsi="Book Antiqua" w:eastAsiaTheme="minorHAnsi"/>
          <w:color w:val="000000" w:themeColor="text1"/>
          <w14:textFill>
            <w14:solidFill>
              <w14:schemeClr w14:val="tx1"/>
            </w14:solidFill>
          </w14:textFill>
        </w:rPr>
        <w:t>Catagories: Closed eyes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CE</w:t>
      </w:r>
      <w:r>
        <w:rPr>
          <w:rFonts w:ascii="Book Antiqua" w:hAnsi="Book Antiqua"/>
          <w:color w:val="000000" w:themeColor="text1"/>
          <w:lang w:eastAsia="zh-CN"/>
          <w14:textFill>
            <w14:solidFill>
              <w14:schemeClr w14:val="tx1"/>
            </w14:solidFill>
          </w14:textFill>
        </w:rPr>
        <w:t>),</w:t>
      </w:r>
      <w:r>
        <w:rPr>
          <w:rFonts w:ascii="Book Antiqua" w:hAnsi="Book Antiqua" w:eastAsiaTheme="minorHAnsi"/>
          <w:color w:val="000000" w:themeColor="text1"/>
          <w14:textFill>
            <w14:solidFill>
              <w14:schemeClr w14:val="tx1"/>
            </w14:solidFill>
          </w14:textFill>
        </w:rPr>
        <w:t xml:space="preserve"> opened eyes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OE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CE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&lt; OE; CE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&gt; OE; CE remarkably</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heme="minorHAnsi"/>
          <w:color w:val="000000" w:themeColor="text1"/>
          <w14:textFill>
            <w14:solidFill>
              <w14:schemeClr w14:val="tx1"/>
            </w14:solidFill>
          </w14:textFill>
        </w:rPr>
        <w:t>&gt; OE; Almost equal CE and OE</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 xml:space="preserve">This </w:t>
      </w:r>
      <w:r>
        <w:rPr>
          <w:rFonts w:ascii="Book Antiqua" w:hAnsi="Book Antiqua"/>
          <w:color w:val="000000" w:themeColor="text1"/>
          <w:lang w:eastAsia="zh-CN"/>
          <w14:textFill>
            <w14:solidFill>
              <w14:schemeClr w14:val="tx1"/>
            </w14:solidFill>
          </w14:textFill>
        </w:rPr>
        <w:t>f</w:t>
      </w:r>
      <w:r>
        <w:rPr>
          <w:rFonts w:ascii="Book Antiqua" w:hAnsi="Book Antiqua" w:eastAsia="Times New Roman"/>
          <w:color w:val="000000" w:themeColor="text1"/>
          <w14:textFill>
            <w14:solidFill>
              <w14:schemeClr w14:val="tx1"/>
            </w14:solidFill>
          </w14:textFill>
        </w:rPr>
        <w:t>igure includes 19 brain channels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F: Frontal</w:t>
      </w:r>
      <w:r>
        <w:rPr>
          <w:rFonts w:hint="eastAsia"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O: Occipital</w:t>
      </w:r>
      <w:r>
        <w:rPr>
          <w:rFonts w:hint="eastAsia"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C: </w:t>
      </w:r>
      <w:r>
        <w:rPr>
          <w:rFonts w:hint="eastAsia" w:ascii="Book Antiqua" w:hAnsi="Book Antiqua" w:cstheme="minorHAnsi"/>
          <w:color w:val="000000" w:themeColor="text1"/>
          <w:lang w:eastAsia="zh-CN" w:bidi="fa-IR"/>
          <w14:textFill>
            <w14:solidFill>
              <w14:schemeClr w14:val="tx1"/>
            </w14:solidFill>
          </w14:textFill>
        </w:rPr>
        <w:t>C</w:t>
      </w:r>
      <w:r>
        <w:rPr>
          <w:rFonts w:ascii="Book Antiqua" w:hAnsi="Book Antiqua" w:eastAsia="Calibri" w:cstheme="minorHAnsi"/>
          <w:color w:val="000000" w:themeColor="text1"/>
          <w:lang w:bidi="fa-IR"/>
          <w14:textFill>
            <w14:solidFill>
              <w14:schemeClr w14:val="tx1"/>
            </w14:solidFill>
          </w14:textFill>
        </w:rPr>
        <w:t>entral</w:t>
      </w:r>
      <w:r>
        <w:rPr>
          <w:rFonts w:hint="eastAsia"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FC: </w:t>
      </w:r>
      <w:r>
        <w:rPr>
          <w:rFonts w:hint="eastAsia" w:ascii="Book Antiqua" w:hAnsi="Book Antiqua" w:cstheme="minorHAnsi"/>
          <w:color w:val="000000" w:themeColor="text1"/>
          <w:lang w:eastAsia="zh-CN" w:bidi="fa-IR"/>
          <w14:textFill>
            <w14:solidFill>
              <w14:schemeClr w14:val="tx1"/>
            </w14:solidFill>
          </w14:textFill>
        </w:rPr>
        <w:t>B</w:t>
      </w:r>
      <w:r>
        <w:rPr>
          <w:rFonts w:ascii="Book Antiqua" w:hAnsi="Book Antiqua" w:eastAsia="Calibri" w:cstheme="minorHAnsi"/>
          <w:color w:val="000000" w:themeColor="text1"/>
          <w:lang w:bidi="fa-IR"/>
          <w14:textFill>
            <w14:solidFill>
              <w14:schemeClr w14:val="tx1"/>
            </w14:solidFill>
          </w14:textFill>
        </w:rPr>
        <w:t>etween F and C</w:t>
      </w:r>
      <w:r>
        <w:rPr>
          <w:rFonts w:hint="eastAsia" w:ascii="Book Antiqua" w:hAnsi="Book Antiqua" w:cstheme="minorHAnsi"/>
          <w:color w:val="000000" w:themeColor="text1"/>
          <w:lang w:eastAsia="zh-CN" w:bidi="fa-IR"/>
          <w14:textFill>
            <w14:solidFill>
              <w14:schemeClr w14:val="tx1"/>
            </w14:solidFill>
          </w14:textFill>
        </w:rPr>
        <w:t>;</w:t>
      </w:r>
      <w:r>
        <w:rPr>
          <w:rFonts w:ascii="Book Antiqua" w:hAnsi="Book Antiqua" w:eastAsia="Calibri" w:cstheme="minorHAnsi"/>
          <w:color w:val="000000" w:themeColor="text1"/>
          <w:lang w:bidi="fa-IR"/>
          <w14:textFill>
            <w14:solidFill>
              <w14:schemeClr w14:val="tx1"/>
            </w14:solidFill>
          </w14:textFill>
        </w:rPr>
        <w:t xml:space="preserve"> AF: </w:t>
      </w:r>
      <w:r>
        <w:rPr>
          <w:rFonts w:hint="eastAsia" w:ascii="Book Antiqua" w:hAnsi="Book Antiqua" w:cstheme="minorHAnsi"/>
          <w:color w:val="000000" w:themeColor="text1"/>
          <w:lang w:eastAsia="zh-CN" w:bidi="fa-IR"/>
          <w14:textFill>
            <w14:solidFill>
              <w14:schemeClr w14:val="tx1"/>
            </w14:solidFill>
          </w14:textFill>
        </w:rPr>
        <w:t>B</w:t>
      </w:r>
      <w:r>
        <w:rPr>
          <w:rFonts w:ascii="Book Antiqua" w:hAnsi="Book Antiqua" w:eastAsia="Calibri" w:cstheme="minorHAnsi"/>
          <w:color w:val="000000" w:themeColor="text1"/>
          <w:lang w:bidi="fa-IR"/>
          <w14:textFill>
            <w14:solidFill>
              <w14:schemeClr w14:val="tx1"/>
            </w14:solidFill>
          </w14:textFill>
        </w:rPr>
        <w:t>etween Fp and F</w:t>
      </w:r>
      <w:r>
        <w:rPr>
          <w:rFonts w:ascii="Book Antiqua" w:hAnsi="Book Antiqua" w:cstheme="minorHAnsi"/>
          <w:color w:val="000000" w:themeColor="text1"/>
          <w:lang w:eastAsia="zh-CN" w:bidi="fa-IR"/>
          <w14:textFill>
            <w14:solidFill>
              <w14:schemeClr w14:val="tx1"/>
            </w14:solidFill>
          </w14:textFill>
        </w:rPr>
        <w:t>;</w:t>
      </w:r>
      <w:r>
        <w:rPr>
          <w:rFonts w:ascii="Book Antiqua" w:hAnsi="Book Antiqua" w:eastAsiaTheme="minorHAnsi"/>
          <w:color w:val="000000" w:themeColor="text1"/>
          <w14:textFill>
            <w14:solidFill>
              <w14:schemeClr w14:val="tx1"/>
            </w14:solidFill>
          </w14:textFill>
        </w:rPr>
        <w:t xml:space="preserve"> CE</w:t>
      </w:r>
      <w:r>
        <w:rPr>
          <w:rFonts w:ascii="Book Antiqua" w:hAnsi="Book Antiqua"/>
          <w:color w:val="000000" w:themeColor="text1"/>
          <w:lang w:eastAsia="zh-CN"/>
          <w14:textFill>
            <w14:solidFill>
              <w14:schemeClr w14:val="tx1"/>
            </w14:solidFill>
          </w14:textFill>
        </w:rPr>
        <w:t>:</w:t>
      </w:r>
      <w:r>
        <w:rPr>
          <w:rFonts w:ascii="Book Antiqua" w:hAnsi="Book Antiqua" w:eastAsiaTheme="minorHAnsi"/>
          <w:color w:val="000000" w:themeColor="text1"/>
          <w14:textFill>
            <w14:solidFill>
              <w14:schemeClr w14:val="tx1"/>
            </w14:solidFill>
          </w14:textFill>
        </w:rPr>
        <w:t xml:space="preserve"> Closed eyes</w:t>
      </w:r>
      <w:r>
        <w:rPr>
          <w:rFonts w:ascii="Book Antiqua" w:hAnsi="Book Antiqua"/>
          <w:color w:val="000000" w:themeColor="text1"/>
          <w:lang w:eastAsia="zh-CN"/>
          <w14:textFill>
            <w14:solidFill>
              <w14:schemeClr w14:val="tx1"/>
            </w14:solidFill>
          </w14:textFill>
        </w:rPr>
        <w:t>;</w:t>
      </w:r>
      <w:r>
        <w:rPr>
          <w:rFonts w:ascii="Book Antiqua" w:hAnsi="Book Antiqua" w:eastAsiaTheme="minorHAnsi"/>
          <w:color w:val="000000" w:themeColor="text1"/>
          <w14:textFill>
            <w14:solidFill>
              <w14:schemeClr w14:val="tx1"/>
            </w14:solidFill>
          </w14:textFill>
        </w:rPr>
        <w:t xml:space="preserve"> OE</w:t>
      </w:r>
      <w:r>
        <w:rPr>
          <w:rFonts w:ascii="Book Antiqua" w:hAnsi="Book Antiqua"/>
          <w:color w:val="000000" w:themeColor="text1"/>
          <w:lang w:eastAsia="zh-CN"/>
          <w14:textFill>
            <w14:solidFill>
              <w14:schemeClr w14:val="tx1"/>
            </w14:solidFill>
          </w14:textFill>
        </w:rPr>
        <w:t>:</w:t>
      </w:r>
      <w:r>
        <w:rPr>
          <w:rFonts w:ascii="Book Antiqua" w:hAnsi="Book Antiqua" w:eastAsiaTheme="minorHAnsi"/>
          <w:color w:val="000000" w:themeColor="text1"/>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O</w:t>
      </w:r>
      <w:r>
        <w:rPr>
          <w:rFonts w:ascii="Book Antiqua" w:hAnsi="Book Antiqua" w:eastAsiaTheme="minorHAnsi"/>
          <w:color w:val="000000" w:themeColor="text1"/>
          <w14:textFill>
            <w14:solidFill>
              <w14:schemeClr w14:val="tx1"/>
            </w14:solidFill>
          </w14:textFill>
        </w:rPr>
        <w:t>pened eyes</w:t>
      </w:r>
      <w:r>
        <w:rPr>
          <w:rFonts w:ascii="Book Antiqua" w:hAnsi="Book Antiqua"/>
          <w:color w:val="000000" w:themeColor="text1"/>
          <w:lang w:eastAsia="zh-CN"/>
          <w14:textFill>
            <w14:solidFill>
              <w14:schemeClr w14:val="tx1"/>
            </w14:solidFill>
          </w14:textFill>
        </w:rPr>
        <w:t>.</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 xml:space="preserve">By considering 19 channels, the absolute </w:t>
      </w:r>
      <w:r>
        <w:rPr>
          <w:rFonts w:ascii="Book Antiqua" w:hAnsi="Book Antiqua"/>
          <w:color w:val="000000" w:themeColor="text1"/>
          <w14:textFill>
            <w14:solidFill>
              <w14:schemeClr w14:val="tx1"/>
            </w14:solidFill>
          </w14:textFill>
        </w:rPr>
        <w:t xml:space="preserve">power </w:t>
      </w:r>
      <w:r>
        <w:rPr>
          <w:rFonts w:hint="eastAsia" w:ascii="Book Antiqua" w:hAnsi="Book Antiqua"/>
          <w:color w:val="000000" w:themeColor="text1"/>
          <w:lang w:eastAsia="zh-CN"/>
          <w14:textFill>
            <w14:solidFill>
              <w14:schemeClr w14:val="tx1"/>
            </w14:solidFill>
          </w14:textFill>
        </w:rPr>
        <w:t>r</w:t>
      </w:r>
      <w:r>
        <w:rPr>
          <w:rFonts w:ascii="Book Antiqua" w:hAnsi="Book Antiqua"/>
          <w:color w:val="000000" w:themeColor="text1"/>
          <w14:textFill>
            <w14:solidFill>
              <w14:schemeClr w14:val="tx1"/>
            </w14:solidFill>
          </w14:textFill>
        </w:rPr>
        <w:t>atio in all brain channels by considering close eye to open eye, based on the mediation of light music in the brain channels of a healthy individual provided the following results (Figure 13):</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 xml:space="preserve">Diverse </w:t>
      </w:r>
      <w:r>
        <w:rPr>
          <w:rFonts w:ascii="Book Antiqua" w:hAnsi="Book Antiqua"/>
          <w:color w:val="000000" w:themeColor="text1"/>
          <w:lang w:eastAsia="zh-CN"/>
          <w14:textFill>
            <w14:solidFill>
              <w14:schemeClr w14:val="tx1"/>
            </w14:solidFill>
          </w14:textFill>
        </w:rPr>
        <w:t>g</w:t>
      </w:r>
      <w:r>
        <w:rPr>
          <w:rFonts w:ascii="Book Antiqua" w:hAnsi="Book Antiqua" w:eastAsia="Times New Roman"/>
          <w:color w:val="000000" w:themeColor="text1"/>
          <w14:textFill>
            <w14:solidFill>
              <w14:schemeClr w14:val="tx1"/>
            </w14:solidFill>
          </w14:textFill>
        </w:rPr>
        <w:t xml:space="preserve">rouping with discordance index includes: The indices as discordance based grouping with &lt; 1 </w:t>
      </w:r>
      <w:r>
        <w:rPr>
          <w:rFonts w:ascii="Book Antiqua" w:hAnsi="Book Antiqua"/>
          <w:color w:val="000000" w:themeColor="text1"/>
          <w:lang w:eastAsia="zh-CN"/>
          <w14:textFill>
            <w14:solidFill>
              <w14:schemeClr w14:val="tx1"/>
            </w14:solidFill>
          </w14:textFill>
        </w:rPr>
        <w:t>r</w:t>
      </w:r>
      <w:r>
        <w:rPr>
          <w:rFonts w:ascii="Book Antiqua" w:hAnsi="Book Antiqua" w:eastAsia="Times New Roman"/>
          <w:color w:val="000000" w:themeColor="text1"/>
          <w14:textFill>
            <w14:solidFill>
              <w14:schemeClr w14:val="tx1"/>
            </w14:solidFill>
          </w14:textFill>
        </w:rPr>
        <w:t>atio, at post mediation by light music, and includes: F3,</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Fz,</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Cz,</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P3,</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Pz,</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P4,</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P8,</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O1,</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O2 which are classified as discordance grouping</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 xml:space="preserve">The indices as </w:t>
      </w:r>
      <w:r>
        <w:rPr>
          <w:rFonts w:ascii="Book Antiqua" w:hAnsi="Book Antiqua"/>
          <w:color w:val="000000" w:themeColor="text1"/>
          <w:lang w:eastAsia="zh-CN"/>
          <w14:textFill>
            <w14:solidFill>
              <w14:schemeClr w14:val="tx1"/>
            </w14:solidFill>
          </w14:textFill>
        </w:rPr>
        <w:t>c</w:t>
      </w:r>
      <w:r>
        <w:rPr>
          <w:rFonts w:ascii="Book Antiqua" w:hAnsi="Book Antiqua" w:eastAsia="Times New Roman"/>
          <w:color w:val="000000" w:themeColor="text1"/>
          <w14:textFill>
            <w14:solidFill>
              <w14:schemeClr w14:val="tx1"/>
            </w14:solidFill>
          </w14:textFill>
        </w:rPr>
        <w:t>oncordance based grouping and includes:</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 xml:space="preserve">(1) </w:t>
      </w:r>
      <w:r>
        <w:rPr>
          <w:rFonts w:ascii="Book Antiqua" w:hAnsi="Book Antiqua" w:eastAsia="Calibri" w:cstheme="minorHAnsi"/>
          <w:color w:val="000000" w:themeColor="text1"/>
          <w:lang w:bidi="fa-IR"/>
          <w14:textFill>
            <w14:solidFill>
              <w14:schemeClr w14:val="tx1"/>
            </w14:solidFill>
          </w14:textFill>
        </w:rPr>
        <w:t>HZ</w:t>
      </w:r>
      <w:r>
        <w:rPr>
          <w:rFonts w:ascii="Book Antiqua" w:hAnsi="Book Antiqua" w:eastAsia="Calibri" w:cstheme="minorHAnsi"/>
          <w:b/>
          <w:bCs/>
          <w:color w:val="000000" w:themeColor="text1"/>
          <w:lang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Pre- and 20 min post mediation with light music</w:t>
      </w:r>
      <w:r>
        <w:rPr>
          <w:rFonts w:ascii="Book Antiqua" w:hAnsi="Book Antiqua" w:cstheme="minorHAnsi"/>
          <w:color w:val="000000" w:themeColor="text1"/>
          <w:lang w:eastAsia="zh-CN" w:bidi="fa-IR"/>
          <w14:textFill>
            <w14:solidFill>
              <w14:schemeClr w14:val="tx1"/>
            </w14:solidFill>
          </w14:textFill>
        </w:rPr>
        <w:t>; (2)</w:t>
      </w:r>
      <w:r>
        <w:rPr>
          <w:rFonts w:ascii="Book Antiqua" w:hAnsi="Book Antiqua" w:eastAsia="Calibri" w:cstheme="minorHAnsi"/>
          <w:color w:val="000000" w:themeColor="text1"/>
          <w:lang w:bidi="fa-IR"/>
          <w14:textFill>
            <w14:solidFill>
              <w14:schemeClr w14:val="tx1"/>
            </w14:solidFill>
          </w14:textFill>
        </w:rPr>
        <w:t xml:space="preserve"> </w:t>
      </w:r>
      <w:r>
        <w:rPr>
          <w:rFonts w:hint="eastAsia" w:ascii="Book Antiqua" w:hAnsi="Book Antiqua" w:eastAsia="宋体" w:cstheme="minorHAnsi"/>
          <w:color w:val="000000" w:themeColor="text1"/>
          <w:lang w:eastAsia="zh-CN" w:bidi="fa-IR"/>
          <w14:textFill>
            <w14:solidFill>
              <w14:schemeClr w14:val="tx1"/>
            </w14:solidFill>
          </w14:textFill>
        </w:rPr>
        <w:t>c</w:t>
      </w:r>
      <w:r>
        <w:rPr>
          <w:rFonts w:ascii="Book Antiqua" w:hAnsi="Book Antiqua" w:eastAsia="Calibri" w:cstheme="minorHAnsi"/>
          <w:color w:val="000000" w:themeColor="text1"/>
          <w:lang w:bidi="fa-IR"/>
          <w14:textFill>
            <w14:solidFill>
              <w14:schemeClr w14:val="tx1"/>
            </w14:solidFill>
          </w14:textFill>
        </w:rPr>
        <w:t>hannels’ names represent locations of 19 channels in the brain including</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stheme="majorBidi"/>
          <w:color w:val="000000" w:themeColor="text1"/>
          <w14:textFill>
            <w14:solidFill>
              <w14:schemeClr w14:val="tx1"/>
            </w14:solidFill>
          </w14:textFill>
        </w:rPr>
        <w:t>C3,4,z: Central Lobe; F3,4,7,8,z: Frontal lobe; FP1,2</w:t>
      </w:r>
      <w:r>
        <w:rPr>
          <w:rFonts w:ascii="Book Antiqua" w:hAnsi="Book Antiqua" w:cstheme="majorBidi"/>
          <w:color w:val="000000" w:themeColor="text1"/>
          <w:lang w:eastAsia="zh-CN"/>
          <w14:textFill>
            <w14:solidFill>
              <w14:schemeClr w14:val="tx1"/>
            </w14:solidFill>
          </w14:textFill>
        </w:rPr>
        <w:t>:</w:t>
      </w:r>
      <w:r>
        <w:rPr>
          <w:rFonts w:ascii="Book Antiqua" w:hAnsi="Book Antiqua" w:eastAsia="Times New Roman" w:cstheme="majorBidi"/>
          <w:color w:val="000000" w:themeColor="text1"/>
          <w14:textFill>
            <w14:solidFill>
              <w14:schemeClr w14:val="tx1"/>
            </w14:solidFill>
          </w14:textFill>
        </w:rPr>
        <w:t xml:space="preserve"> Pre frontal cortex; PF3,4,7,8,z: Partial Lobe</w:t>
      </w:r>
      <w:r>
        <w:rPr>
          <w:rFonts w:ascii="Book Antiqua" w:hAnsi="Book Antiqua" w:cstheme="majorBidi"/>
          <w:color w:val="000000" w:themeColor="text1"/>
          <w:lang w:eastAsia="zh-CN"/>
          <w14:textFill>
            <w14:solidFill>
              <w14:schemeClr w14:val="tx1"/>
            </w14:solidFill>
          </w14:textFill>
        </w:rPr>
        <w:t xml:space="preserve">; (3) </w:t>
      </w:r>
      <w:r>
        <w:rPr>
          <w:rFonts w:hint="eastAsia" w:ascii="Book Antiqua" w:hAnsi="Book Antiqua" w:eastAsia="宋体" w:cstheme="minorHAnsi"/>
          <w:color w:val="000000" w:themeColor="text1"/>
          <w:lang w:eastAsia="zh-CN" w:bidi="fa-IR"/>
          <w14:textFill>
            <w14:solidFill>
              <w14:schemeClr w14:val="tx1"/>
            </w14:solidFill>
          </w14:textFill>
        </w:rPr>
        <w:t>t</w:t>
      </w:r>
      <w:r>
        <w:rPr>
          <w:rFonts w:ascii="Book Antiqua" w:hAnsi="Book Antiqua" w:eastAsia="Calibri" w:cstheme="minorHAnsi"/>
          <w:color w:val="000000" w:themeColor="text1"/>
          <w:lang w:bidi="fa-IR"/>
          <w14:textFill>
            <w14:solidFill>
              <w14:schemeClr w14:val="tx1"/>
            </w14:solidFill>
          </w14:textFill>
        </w:rPr>
        <w:t xml:space="preserve">he results, based on the </w:t>
      </w:r>
      <w:r>
        <w:rPr>
          <w:rFonts w:ascii="Book Antiqua" w:hAnsi="Book Antiqua" w:eastAsiaTheme="minorHAnsi"/>
          <w:color w:val="000000" w:themeColor="text1"/>
          <w14:textFill>
            <w14:solidFill>
              <w14:schemeClr w14:val="tx1"/>
            </w14:solidFill>
          </w14:textFill>
        </w:rPr>
        <w:t>ratio of closed eyes to the open eyes</w:t>
      </w:r>
      <w:r>
        <w:rPr>
          <w:rFonts w:ascii="Book Antiqua" w:hAnsi="Book Antiqua" w:eastAsia="Calibri" w:cstheme="minorHAnsi"/>
          <w:color w:val="000000" w:themeColor="text1"/>
          <w:lang w:bidi="fa-IR"/>
          <w14:textFill>
            <w14:solidFill>
              <w14:schemeClr w14:val="tx1"/>
            </w14:solidFill>
          </w14:textFill>
        </w:rPr>
        <w:t xml:space="preserve"> is classified as concordance and discordance;</w:t>
      </w:r>
      <w:r>
        <w:rPr>
          <w:rFonts w:ascii="Book Antiqua" w:hAnsi="Book Antiqua" w:cstheme="minorHAnsi"/>
          <w:color w:val="000000" w:themeColor="text1"/>
          <w:lang w:eastAsia="zh-CN" w:bidi="fa-IR"/>
          <w14:textFill>
            <w14:solidFill>
              <w14:schemeClr w14:val="tx1"/>
            </w14:solidFill>
          </w14:textFill>
        </w:rPr>
        <w:t xml:space="preserve"> and (4) </w:t>
      </w:r>
      <w:r>
        <w:rPr>
          <w:rFonts w:hint="eastAsia" w:ascii="Book Antiqua" w:hAnsi="Book Antiqua" w:eastAsia="宋体"/>
          <w:color w:val="000000" w:themeColor="text1"/>
          <w:lang w:eastAsia="zh-CN"/>
          <w14:textFill>
            <w14:solidFill>
              <w14:schemeClr w14:val="tx1"/>
            </w14:solidFill>
          </w14:textFill>
        </w:rPr>
        <w:t>c</w:t>
      </w:r>
      <w:r>
        <w:rPr>
          <w:rFonts w:ascii="Book Antiqua" w:hAnsi="Book Antiqua" w:eastAsiaTheme="minorHAnsi"/>
          <w:color w:val="000000" w:themeColor="text1"/>
          <w14:textFill>
            <w14:solidFill>
              <w14:schemeClr w14:val="tx1"/>
            </w14:solidFill>
          </w14:textFill>
        </w:rPr>
        <w:t>losed eyes</w:t>
      </w:r>
      <w:r>
        <w:rPr>
          <w:rFonts w:ascii="Book Antiqua" w:hAnsi="Book Antiqua"/>
          <w:color w:val="000000" w:themeColor="text1"/>
          <w:lang w:eastAsia="zh-CN"/>
          <w14:textFill>
            <w14:solidFill>
              <w14:schemeClr w14:val="tx1"/>
            </w14:solidFill>
          </w14:textFill>
        </w:rPr>
        <w:t>,</w:t>
      </w:r>
      <w:r>
        <w:rPr>
          <w:rFonts w:ascii="Book Antiqua" w:hAnsi="Book Antiqua" w:eastAsiaTheme="minorHAnsi"/>
          <w:color w:val="000000" w:themeColor="text1"/>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and o</w:t>
      </w:r>
      <w:r>
        <w:rPr>
          <w:rFonts w:ascii="Book Antiqua" w:hAnsi="Book Antiqua" w:eastAsiaTheme="minorHAnsi"/>
          <w:color w:val="000000" w:themeColor="text1"/>
          <w14:textFill>
            <w14:solidFill>
              <w14:schemeClr w14:val="tx1"/>
            </w14:solidFill>
          </w14:textFill>
        </w:rPr>
        <w:t>pened eyes</w:t>
      </w:r>
      <w:r>
        <w:rPr>
          <w:rFonts w:ascii="Book Antiqua" w:hAnsi="Book Antiqua"/>
          <w:color w:val="000000" w:themeColor="text1"/>
          <w:lang w:eastAsia="zh-CN"/>
          <w14:textFill>
            <w14:solidFill>
              <w14:schemeClr w14:val="tx1"/>
            </w14:solidFill>
          </w14:textFill>
        </w:rPr>
        <w:t xml:space="preserve"> (</w:t>
      </w:r>
      <w:r>
        <w:rPr>
          <w:rFonts w:hint="eastAsia" w:ascii="Book Antiqua" w:hAnsi="Book Antiqua" w:cstheme="minorHAnsi"/>
          <w:i/>
          <w:color w:val="000000" w:themeColor="text1"/>
          <w:lang w:eastAsia="zh-CN" w:bidi="fa-IR"/>
          <w14:textFill>
            <w14:solidFill>
              <w14:schemeClr w14:val="tx1"/>
            </w14:solidFill>
          </w14:textFill>
        </w:rPr>
        <w:t>P</w:t>
      </w:r>
      <w:r>
        <w:rPr>
          <w:rFonts w:ascii="Book Antiqua" w:hAnsi="Book Antiqua" w:eastAsia="Calibri" w:cstheme="minorHAnsi"/>
          <w:color w:val="000000" w:themeColor="text1"/>
          <w:lang w:bidi="fa-IR"/>
          <w14:textFill>
            <w14:solidFill>
              <w14:schemeClr w14:val="tx1"/>
            </w14:solidFill>
          </w14:textFill>
        </w:rPr>
        <w:t xml:space="preserve"> value: </w:t>
      </w:r>
      <w:r>
        <w:rPr>
          <w:rFonts w:ascii="Book Antiqua" w:hAnsi="Book Antiqua" w:eastAsia="Calibri" w:cstheme="minorHAnsi"/>
          <w:i/>
          <w:iCs/>
          <w:color w:val="000000" w:themeColor="text1"/>
          <w:lang w:bidi="fa-IR"/>
          <w14:textFill>
            <w14:solidFill>
              <w14:schemeClr w14:val="tx1"/>
            </w14:solidFill>
          </w14:textFill>
        </w:rPr>
        <w:t>P</w:t>
      </w:r>
      <w:r>
        <w:rPr>
          <w:rFonts w:ascii="Book Antiqua" w:hAnsi="Book Antiqua" w:eastAsia="Calibri" w:cstheme="minorHAnsi"/>
          <w:color w:val="000000" w:themeColor="text1"/>
          <w:lang w:bidi="fa-IR"/>
          <w14:textFill>
            <w14:solidFill>
              <w14:schemeClr w14:val="tx1"/>
            </w14:solidFill>
          </w14:textFill>
        </w:rPr>
        <w:t xml:space="preserve"> &lt; 0.05).</w:t>
      </w:r>
      <w:r>
        <w:rPr>
          <w:rFonts w:ascii="Book Antiqua" w:hAnsi="Book Antiqua" w:cstheme="minorHAnsi"/>
          <w:color w:val="000000" w:themeColor="text1"/>
          <w:lang w:eastAsia="zh-CN"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In upper frame, except F3 with ratio of &lt;</w:t>
      </w:r>
      <w:r>
        <w:rPr>
          <w:rFonts w:ascii="Book Antiqua" w:hAnsi="Book Antiqua" w:cstheme="minorHAnsi"/>
          <w:color w:val="000000" w:themeColor="text1"/>
          <w:lang w:eastAsia="zh-CN"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1, the other 9 channels present ratio of &gt;</w:t>
      </w:r>
      <w:r>
        <w:rPr>
          <w:rFonts w:ascii="Book Antiqua" w:hAnsi="Book Antiqua" w:cstheme="minorHAnsi"/>
          <w:color w:val="000000" w:themeColor="text1"/>
          <w:lang w:eastAsia="zh-CN"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1.</w:t>
      </w:r>
      <w:r>
        <w:rPr>
          <w:rFonts w:ascii="Book Antiqua" w:hAnsi="Book Antiqua" w:eastAsia="Times New Roman"/>
          <w:color w:val="000000" w:themeColor="text1"/>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The blue-line group, are reflective of mosaicism including P7, C3 and T8 with equal ratio; Cz with &lt;</w:t>
      </w:r>
      <w:r>
        <w:rPr>
          <w:rFonts w:ascii="Book Antiqua" w:hAnsi="Book Antiqua" w:cstheme="minorHAnsi"/>
          <w:color w:val="000000" w:themeColor="text1"/>
          <w:lang w:eastAsia="zh-CN"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1, and C4 with &gt;</w:t>
      </w:r>
      <w:r>
        <w:rPr>
          <w:rFonts w:ascii="Book Antiqua" w:hAnsi="Book Antiqua" w:cstheme="minorHAnsi"/>
          <w:color w:val="000000" w:themeColor="text1"/>
          <w:lang w:eastAsia="zh-CN"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1. Interestingly, the most harmonic channels are traced within the middle region (red line includes the cooperative panel) which are characterized with the &lt;</w:t>
      </w:r>
      <w:r>
        <w:rPr>
          <w:rFonts w:ascii="Book Antiqua" w:hAnsi="Book Antiqua" w:cstheme="minorHAnsi"/>
          <w:color w:val="000000" w:themeColor="text1"/>
          <w:lang w:eastAsia="zh-CN"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1 ratio between 9 different channels through the horizontal and vertical distributed channels (Figure 13).</w:t>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br w:type="page"/>
      </w:r>
    </w:p>
    <w:p>
      <w:pPr>
        <w:spacing w:line="360" w:lineRule="auto"/>
        <w:jc w:val="both"/>
        <w:rPr>
          <w:rFonts w:hint="eastAsia" w:ascii="Book Antiqua" w:hAnsi="Book Antiqua" w:eastAsia="宋体" w:cs="Book Antiqua"/>
          <w:b/>
          <w:color w:val="000000" w:themeColor="text1"/>
          <w:lang w:eastAsia="zh-CN"/>
          <w14:textFill>
            <w14:solidFill>
              <w14:schemeClr w14:val="tx1"/>
            </w14:solidFill>
          </w14:textFill>
        </w:rPr>
      </w:pPr>
      <w:r>
        <w:rPr>
          <w:rFonts w:hint="eastAsia" w:ascii="Book Antiqua" w:hAnsi="Book Antiqua" w:eastAsia="宋体" w:cs="Book Antiqua"/>
          <w:b/>
          <w:color w:val="000000" w:themeColor="text1"/>
          <w:lang w:eastAsia="zh-CN"/>
          <w14:textFill>
            <w14:solidFill>
              <w14:schemeClr w14:val="tx1"/>
            </w14:solidFill>
          </w14:textFill>
        </w:rPr>
        <w:drawing>
          <wp:inline distT="0" distB="0" distL="114300" distR="114300">
            <wp:extent cx="5016500" cy="4507865"/>
            <wp:effectExtent l="0" t="0" r="3175" b="6985"/>
            <wp:docPr id="23" name="图片 23" descr="WJEM-13-75-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JEM-13-75-g013"/>
                    <pic:cNvPicPr>
                      <a:picLocks noChangeAspect="1"/>
                    </pic:cNvPicPr>
                  </pic:nvPicPr>
                  <pic:blipFill>
                    <a:blip r:embed="rId17"/>
                    <a:stretch>
                      <a:fillRect/>
                    </a:stretch>
                  </pic:blipFill>
                  <pic:spPr>
                    <a:xfrm>
                      <a:off x="0" y="0"/>
                      <a:ext cx="5016500" cy="4507865"/>
                    </a:xfrm>
                    <a:prstGeom prst="rect">
                      <a:avLst/>
                    </a:prstGeom>
                  </pic:spPr>
                </pic:pic>
              </a:graphicData>
            </a:graphic>
          </wp:inline>
        </w:drawing>
      </w:r>
      <w:bookmarkStart w:id="0" w:name="_GoBack"/>
      <w:bookmarkEnd w:id="0"/>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Times New Roman"/>
          <w:b/>
          <w:bCs/>
          <w:color w:val="000000" w:themeColor="text1"/>
          <w14:textFill>
            <w14:solidFill>
              <w14:schemeClr w14:val="tx1"/>
            </w14:solidFill>
          </w14:textFill>
        </w:rPr>
        <w:t xml:space="preserve">Figure 13 </w:t>
      </w:r>
      <w:r>
        <w:rPr>
          <w:rFonts w:ascii="Book Antiqua" w:hAnsi="Book Antiqua"/>
          <w:b/>
          <w:bCs/>
          <w:color w:val="000000" w:themeColor="text1"/>
          <w14:textFill>
            <w14:solidFill>
              <w14:schemeClr w14:val="tx1"/>
            </w14:solidFill>
          </w14:textFill>
        </w:rPr>
        <w:t>Status of the absolute power Ratio in all brain channels by considering close eye to open eye, based on the mediation of light music in the brain channels of a healthy individual.</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Times New Roman"/>
          <w:color w:val="000000" w:themeColor="text1"/>
          <w14:textFill>
            <w14:solidFill>
              <w14:schemeClr w14:val="tx1"/>
            </w14:solidFill>
          </w14:textFill>
        </w:rPr>
        <w:t xml:space="preserve">This figure includes 19 brain channels. </w:t>
      </w:r>
      <w:r>
        <w:rPr>
          <w:rFonts w:ascii="Book Antiqua" w:hAnsi="Book Antiqua"/>
          <w:color w:val="000000" w:themeColor="text1"/>
          <w14:textFill>
            <w14:solidFill>
              <w14:schemeClr w14:val="tx1"/>
            </w14:solidFill>
          </w14:textFill>
        </w:rPr>
        <w:t xml:space="preserve">The absolute power </w:t>
      </w:r>
      <w:r>
        <w:rPr>
          <w:rFonts w:ascii="Book Antiqua" w:hAnsi="Book Antiqua"/>
          <w:color w:val="000000" w:themeColor="text1"/>
          <w:lang w:eastAsia="zh-CN"/>
          <w14:textFill>
            <w14:solidFill>
              <w14:schemeClr w14:val="tx1"/>
            </w14:solidFill>
          </w14:textFill>
        </w:rPr>
        <w:t>r</w:t>
      </w:r>
      <w:r>
        <w:rPr>
          <w:rFonts w:ascii="Book Antiqua" w:hAnsi="Book Antiqua"/>
          <w:color w:val="000000" w:themeColor="text1"/>
          <w14:textFill>
            <w14:solidFill>
              <w14:schemeClr w14:val="tx1"/>
            </w14:solidFill>
          </w14:textFill>
        </w:rPr>
        <w:t>atio in all channels are an Informative frame in the brain research with target based translational impact on personalized classification in Medicine/Neulogy.</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The cooperative strategy between different channels is rather complicated in which 3 diverse, unique and cooperative platforms are established which could optimize the status of the mental behavior and health status of the target individuals.</w:t>
      </w:r>
      <w:r>
        <w:rPr>
          <w:rFonts w:ascii="Book Antiqua" w:hAnsi="Book Antiqua" w:cstheme="minorHAnsi"/>
          <w:color w:val="000000" w:themeColor="text1"/>
          <w:lang w:eastAsia="zh-CN" w:bidi="fa-IR"/>
          <w14:textFill>
            <w14:solidFill>
              <w14:schemeClr w14:val="tx1"/>
            </w14:solidFill>
          </w14:textFill>
        </w:rPr>
        <w:t xml:space="preserve"> </w:t>
      </w:r>
      <w:r>
        <w:rPr>
          <w:rFonts w:ascii="Book Antiqua" w:hAnsi="Book Antiqua" w:eastAsia="Calibri" w:cstheme="minorHAnsi"/>
          <w:color w:val="000000" w:themeColor="text1"/>
          <w:lang w:bidi="fa-IR"/>
          <w14:textFill>
            <w14:solidFill>
              <w14:schemeClr w14:val="tx1"/>
            </w14:solidFill>
          </w14:textFill>
        </w:rPr>
        <w:t>Brain is governed by multi-centered channels, being capable of influential cooperation.</w:t>
      </w:r>
      <w:r>
        <w:rPr>
          <w:rFonts w:ascii="Book Antiqua" w:hAnsi="Book Antiqua" w:cstheme="minorHAnsi"/>
          <w:color w:val="000000" w:themeColor="text1"/>
          <w:lang w:eastAsia="zh-CN" w:bidi="fa-IR"/>
          <w14:textFill>
            <w14:solidFill>
              <w14:schemeClr w14:val="tx1"/>
            </w14:solidFill>
          </w14:textFill>
        </w:rPr>
        <w:t xml:space="preserve">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p>
    <w:p>
      <w:pPr>
        <w:spacing w:line="360" w:lineRule="auto"/>
        <w:jc w:val="both"/>
        <w:rPr>
          <w:rFonts w:ascii="Book Antiqua" w:hAnsi="Book Antiqua" w:cstheme="majorBidi"/>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Table 1</w:t>
      </w:r>
      <w:r>
        <w:rPr>
          <w:rFonts w:ascii="Book Antiqua" w:hAnsi="Book Antiqua" w:cstheme="majorBidi"/>
          <w:b/>
          <w:bCs/>
          <w:color w:val="000000" w:themeColor="text1"/>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Erythroblastosis virus E26 oncogene homolog 2</w:t>
      </w:r>
      <w:r>
        <w:rPr>
          <w:rFonts w:ascii="Book Antiqua" w:hAnsi="Book Antiqua" w:cstheme="majorBidi"/>
          <w:b/>
          <w:bCs/>
          <w:color w:val="000000" w:themeColor="text1"/>
          <w14:textFill>
            <w14:solidFill>
              <w14:schemeClr w14:val="tx1"/>
            </w14:solidFill>
          </w14:textFill>
        </w:rPr>
        <w:t xml:space="preserve"> protein expressions status and clinical features of Alzheimer's disease patients</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
        <w:gridCol w:w="912"/>
        <w:gridCol w:w="638"/>
        <w:gridCol w:w="946"/>
        <w:gridCol w:w="1028"/>
        <w:gridCol w:w="1204"/>
        <w:gridCol w:w="386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563" w:type="pct"/>
            <w:tcBorders>
              <w:top w:val="single" w:color="auto" w:sz="4" w:space="0"/>
              <w:bottom w:val="single" w:color="auto" w:sz="4" w:space="0"/>
            </w:tcBorders>
            <w:noWrap/>
          </w:tcPr>
          <w:p>
            <w:pPr>
              <w:spacing w:line="360" w:lineRule="auto"/>
              <w:jc w:val="both"/>
              <w:rPr>
                <w:rFonts w:ascii="Book Antiqua" w:hAnsi="Book Antiqua" w:cstheme="minorBidi"/>
                <w:b/>
                <w:bCs/>
                <w:color w:val="000000" w:themeColor="text1"/>
                <w:kern w:val="2"/>
                <w:lang w:eastAsia="zh-CN"/>
                <w14:textFill>
                  <w14:solidFill>
                    <w14:schemeClr w14:val="tx1"/>
                  </w14:solidFill>
                </w14:textFill>
              </w:rPr>
            </w:pPr>
            <w:r>
              <w:rPr>
                <w:rFonts w:ascii="Book Antiqua" w:hAnsi="Book Antiqua" w:cstheme="minorBidi"/>
                <w:b/>
                <w:bCs/>
                <w:color w:val="000000" w:themeColor="text1"/>
                <w:kern w:val="2"/>
                <w:lang w:eastAsia="zh-CN"/>
                <w14:textFill>
                  <w14:solidFill>
                    <w14:schemeClr w14:val="tx1"/>
                  </w14:solidFill>
                </w14:textFill>
              </w:rPr>
              <w:t>Case No</w:t>
            </w:r>
          </w:p>
        </w:tc>
        <w:tc>
          <w:tcPr>
            <w:tcW w:w="580" w:type="pct"/>
            <w:tcBorders>
              <w:top w:val="single" w:color="auto" w:sz="4" w:space="0"/>
              <w:bottom w:val="single" w:color="auto" w:sz="4" w:space="0"/>
            </w:tcBorders>
            <w:noWrap/>
          </w:tcPr>
          <w:p>
            <w:pPr>
              <w:spacing w:line="360" w:lineRule="auto"/>
              <w:jc w:val="both"/>
              <w:rPr>
                <w:rFonts w:ascii="Book Antiqua" w:hAnsi="Book Antiqua" w:cstheme="minorBidi"/>
                <w:b/>
                <w:bCs/>
                <w:color w:val="000000" w:themeColor="text1"/>
                <w:kern w:val="2"/>
                <w:lang w:eastAsia="zh-CN"/>
                <w14:textFill>
                  <w14:solidFill>
                    <w14:schemeClr w14:val="tx1"/>
                  </w14:solidFill>
                </w14:textFill>
              </w:rPr>
            </w:pPr>
            <w:r>
              <w:rPr>
                <w:rFonts w:ascii="Book Antiqua" w:hAnsi="Book Antiqua" w:cstheme="minorBidi"/>
                <w:b/>
                <w:bCs/>
                <w:color w:val="000000" w:themeColor="text1"/>
                <w:kern w:val="2"/>
                <w:lang w:eastAsia="zh-CN"/>
                <w14:textFill>
                  <w14:solidFill>
                    <w14:schemeClr w14:val="tx1"/>
                  </w14:solidFill>
                </w14:textFill>
              </w:rPr>
              <w:t>Gender</w:t>
            </w:r>
          </w:p>
        </w:tc>
        <w:tc>
          <w:tcPr>
            <w:tcW w:w="470" w:type="pct"/>
            <w:tcBorders>
              <w:top w:val="single" w:color="auto" w:sz="4" w:space="0"/>
              <w:bottom w:val="single" w:color="auto" w:sz="4" w:space="0"/>
            </w:tcBorders>
          </w:tcPr>
          <w:p>
            <w:pPr>
              <w:spacing w:line="360" w:lineRule="auto"/>
              <w:jc w:val="both"/>
              <w:rPr>
                <w:rFonts w:ascii="Book Antiqua" w:hAnsi="Book Antiqua" w:cstheme="minorBidi"/>
                <w:b/>
                <w:bCs/>
                <w:color w:val="000000" w:themeColor="text1"/>
                <w:kern w:val="2"/>
                <w:lang w:eastAsia="zh-CN"/>
                <w14:textFill>
                  <w14:solidFill>
                    <w14:schemeClr w14:val="tx1"/>
                  </w14:solidFill>
                </w14:textFill>
              </w:rPr>
            </w:pPr>
            <w:r>
              <w:rPr>
                <w:rFonts w:ascii="Book Antiqua" w:hAnsi="Book Antiqua" w:cstheme="minorBidi"/>
                <w:b/>
                <w:bCs/>
                <w:color w:val="000000" w:themeColor="text1"/>
                <w:kern w:val="2"/>
                <w:lang w:eastAsia="zh-CN"/>
                <w14:textFill>
                  <w14:solidFill>
                    <w14:schemeClr w14:val="tx1"/>
                  </w14:solidFill>
                </w14:textFill>
              </w:rPr>
              <w:t>Age, yr</w:t>
            </w:r>
          </w:p>
        </w:tc>
        <w:tc>
          <w:tcPr>
            <w:tcW w:w="1008" w:type="pct"/>
            <w:tcBorders>
              <w:top w:val="single" w:color="auto" w:sz="4" w:space="0"/>
              <w:bottom w:val="single" w:color="auto" w:sz="4" w:space="0"/>
            </w:tcBorders>
          </w:tcPr>
          <w:p>
            <w:pPr>
              <w:spacing w:line="360" w:lineRule="auto"/>
              <w:jc w:val="both"/>
              <w:rPr>
                <w:rFonts w:ascii="Book Antiqua" w:hAnsi="Book Antiqua" w:cstheme="minorBidi"/>
                <w:b/>
                <w:bCs/>
                <w:color w:val="000000" w:themeColor="text1"/>
                <w:kern w:val="2"/>
                <w:lang w:eastAsia="zh-CN"/>
                <w14:textFill>
                  <w14:solidFill>
                    <w14:schemeClr w14:val="tx1"/>
                  </w14:solidFill>
                </w14:textFill>
              </w:rPr>
            </w:pPr>
            <w:r>
              <w:rPr>
                <w:rFonts w:ascii="Book Antiqua" w:hAnsi="Book Antiqua" w:cstheme="minorBidi"/>
                <w:b/>
                <w:bCs/>
                <w:color w:val="000000" w:themeColor="text1"/>
                <w:kern w:val="2"/>
                <w:lang w:eastAsia="zh-CN"/>
                <w14:textFill>
                  <w14:solidFill>
                    <w14:schemeClr w14:val="tx1"/>
                  </w14:solidFill>
                </w14:textFill>
              </w:rPr>
              <w:t>Clinical feature</w:t>
            </w:r>
          </w:p>
        </w:tc>
        <w:tc>
          <w:tcPr>
            <w:tcW w:w="656" w:type="pct"/>
            <w:tcBorders>
              <w:top w:val="single" w:color="auto" w:sz="4" w:space="0"/>
              <w:bottom w:val="single" w:color="auto" w:sz="4" w:space="0"/>
            </w:tcBorders>
          </w:tcPr>
          <w:p>
            <w:pPr>
              <w:spacing w:line="360" w:lineRule="auto"/>
              <w:jc w:val="both"/>
              <w:rPr>
                <w:rFonts w:ascii="Book Antiqua" w:hAnsi="Book Antiqua" w:cstheme="minorBidi"/>
                <w:b/>
                <w:bCs/>
                <w:color w:val="000000" w:themeColor="text1"/>
                <w:kern w:val="2"/>
                <w:lang w:eastAsia="zh-CN"/>
                <w14:textFill>
                  <w14:solidFill>
                    <w14:schemeClr w14:val="tx1"/>
                  </w14:solidFill>
                </w14:textFill>
              </w:rPr>
            </w:pPr>
            <w:r>
              <w:rPr>
                <w:rFonts w:ascii="Book Antiqua" w:hAnsi="Book Antiqua" w:cstheme="majorBidi"/>
                <w:b/>
                <w:bCs/>
                <w:color w:val="000000" w:themeColor="text1"/>
                <w:kern w:val="2"/>
                <w:lang w:eastAsia="zh-CN"/>
                <w14:textFill>
                  <w14:solidFill>
                    <w14:schemeClr w14:val="tx1"/>
                  </w14:solidFill>
                </w14:textFill>
              </w:rPr>
              <w:t>Family History of AD (years old)</w:t>
            </w:r>
          </w:p>
        </w:tc>
        <w:tc>
          <w:tcPr>
            <w:tcW w:w="773" w:type="pct"/>
            <w:tcBorders>
              <w:top w:val="single" w:color="auto" w:sz="4" w:space="0"/>
              <w:bottom w:val="single" w:color="auto" w:sz="4" w:space="0"/>
            </w:tcBorders>
          </w:tcPr>
          <w:p>
            <w:pPr>
              <w:spacing w:line="360" w:lineRule="auto"/>
              <w:jc w:val="both"/>
              <w:rPr>
                <w:rFonts w:ascii="Book Antiqua" w:hAnsi="Book Antiqua" w:cstheme="minorBidi"/>
                <w:b/>
                <w:bCs/>
                <w:color w:val="000000" w:themeColor="text1"/>
                <w:kern w:val="2"/>
                <w:lang w:eastAsia="zh-CN"/>
                <w14:textFill>
                  <w14:solidFill>
                    <w14:schemeClr w14:val="tx1"/>
                  </w14:solidFill>
                </w14:textFill>
              </w:rPr>
            </w:pPr>
            <w:r>
              <w:rPr>
                <w:rFonts w:ascii="Book Antiqua" w:hAnsi="Book Antiqua" w:cstheme="majorBidi"/>
                <w:b/>
                <w:bCs/>
                <w:color w:val="000000" w:themeColor="text1"/>
                <w:kern w:val="2"/>
                <w:lang w:eastAsia="zh-CN"/>
                <w14:textFill>
                  <w14:solidFill>
                    <w14:schemeClr w14:val="tx1"/>
                  </w14:solidFill>
                </w14:textFill>
              </w:rPr>
              <w:t>Ets2 protein expression (%)</w:t>
            </w:r>
          </w:p>
        </w:tc>
        <w:tc>
          <w:tcPr>
            <w:tcW w:w="951" w:type="pct"/>
            <w:tcBorders>
              <w:top w:val="single" w:color="auto" w:sz="4" w:space="0"/>
              <w:bottom w:val="single" w:color="auto" w:sz="4" w:space="0"/>
            </w:tcBorders>
            <w:noWrap/>
          </w:tcPr>
          <w:p>
            <w:pPr>
              <w:spacing w:line="360" w:lineRule="auto"/>
              <w:jc w:val="both"/>
              <w:rPr>
                <w:rFonts w:ascii="Book Antiqua" w:hAnsi="Book Antiqua" w:cstheme="minorBidi"/>
                <w:b/>
                <w:bCs/>
                <w:color w:val="000000" w:themeColor="text1"/>
                <w:kern w:val="2"/>
                <w:lang w:eastAsia="zh-CN"/>
                <w14:textFill>
                  <w14:solidFill>
                    <w14:schemeClr w14:val="tx1"/>
                  </w14:solidFill>
                </w14:textFill>
              </w:rPr>
            </w:pPr>
            <w:r>
              <w:rPr>
                <w:rFonts w:ascii="Book Antiqua" w:hAnsi="Book Antiqua" w:cstheme="minorBidi"/>
                <w:b/>
                <w:bCs/>
                <w:color w:val="000000" w:themeColor="text1"/>
                <w:kern w:val="2"/>
                <w:lang w:eastAsia="zh-CN"/>
                <w14:textFill>
                  <w14:solidFill>
                    <w14:schemeClr w14:val="tx1"/>
                  </w14:solidFill>
                </w14:textFill>
              </w:rPr>
              <w:t>Total cells evaluated by flow-cytometry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tcBorders>
              <w:top w:val="single" w:color="auto" w:sz="4" w:space="0"/>
            </w:tcBorders>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1</w:t>
            </w:r>
          </w:p>
        </w:tc>
        <w:tc>
          <w:tcPr>
            <w:tcW w:w="580" w:type="pct"/>
            <w:tcBorders>
              <w:top w:val="single" w:color="auto" w:sz="4" w:space="0"/>
            </w:tcBorders>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F</w:t>
            </w:r>
          </w:p>
        </w:tc>
        <w:tc>
          <w:tcPr>
            <w:tcW w:w="470" w:type="pct"/>
            <w:tcBorders>
              <w:top w:val="single" w:color="auto" w:sz="4" w:space="0"/>
            </w:tcBorders>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69</w:t>
            </w:r>
          </w:p>
        </w:tc>
        <w:tc>
          <w:tcPr>
            <w:tcW w:w="1008" w:type="pct"/>
            <w:tcBorders>
              <w:top w:val="single" w:color="auto" w:sz="4" w:space="0"/>
            </w:tcBorders>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w:t>
            </w:r>
          </w:p>
        </w:tc>
        <w:tc>
          <w:tcPr>
            <w:tcW w:w="656" w:type="pct"/>
            <w:tcBorders>
              <w:top w:val="single" w:color="auto" w:sz="4" w:space="0"/>
            </w:tcBorders>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w:t>
            </w:r>
          </w:p>
        </w:tc>
        <w:tc>
          <w:tcPr>
            <w:tcW w:w="773" w:type="pct"/>
            <w:tcBorders>
              <w:top w:val="single" w:color="auto" w:sz="4" w:space="0"/>
            </w:tcBorders>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bidi="fa-IR"/>
                <w14:textFill>
                  <w14:solidFill>
                    <w14:schemeClr w14:val="tx1"/>
                  </w14:solidFill>
                </w14:textFill>
              </w:rPr>
              <w:t xml:space="preserve">146 </w:t>
            </w:r>
            <w:r>
              <w:rPr>
                <w:rFonts w:ascii="Book Antiqua" w:hAnsi="Book Antiqua" w:cstheme="majorBidi"/>
                <w:color w:val="000000" w:themeColor="text1"/>
                <w:kern w:val="2"/>
                <w:lang w:eastAsia="zh-CN"/>
                <w14:textFill>
                  <w14:solidFill>
                    <w14:schemeClr w14:val="tx1"/>
                  </w14:solidFill>
                </w14:textFill>
              </w:rPr>
              <w:t>(3.47)</w:t>
            </w:r>
          </w:p>
        </w:tc>
        <w:tc>
          <w:tcPr>
            <w:tcW w:w="951" w:type="pct"/>
            <w:tcBorders>
              <w:top w:val="single" w:color="auto" w:sz="4" w:space="0"/>
            </w:tcBorders>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bidi="fa-IR"/>
                <w14:textFill>
                  <w14:solidFill>
                    <w14:schemeClr w14:val="tx1"/>
                  </w14:solidFill>
                </w14:textFill>
              </w:rPr>
              <w:t>4207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2</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F</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57</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 xml:space="preserve">ML, </w:t>
            </w:r>
            <w:r>
              <w:rPr>
                <w:rFonts w:hint="eastAsia" w:ascii="Book Antiqua" w:hAnsi="Book Antiqua" w:cstheme="majorBidi"/>
                <w:color w:val="000000" w:themeColor="text1"/>
                <w:kern w:val="2"/>
                <w:lang w:eastAsia="zh-CN"/>
                <w14:textFill>
                  <w14:solidFill>
                    <w14:schemeClr w14:val="tx1"/>
                  </w14:solidFill>
                </w14:textFill>
              </w:rPr>
              <w:t>t</w:t>
            </w:r>
            <w:r>
              <w:rPr>
                <w:rFonts w:ascii="Book Antiqua" w:hAnsi="Book Antiqua" w:cstheme="majorBidi"/>
                <w:color w:val="000000" w:themeColor="text1"/>
                <w:kern w:val="2"/>
                <w:lang w:eastAsia="zh-CN"/>
                <w14:textFill>
                  <w14:solidFill>
                    <w14:schemeClr w14:val="tx1"/>
                  </w14:solidFill>
                </w14:textFill>
              </w:rPr>
              <w:t>remble (hands)</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 xml:space="preserve">Cousin of paternal </w:t>
            </w:r>
            <w:r>
              <w:rPr>
                <w:rFonts w:hint="eastAsia" w:ascii="Book Antiqua" w:hAnsi="Book Antiqua" w:cstheme="majorBidi"/>
                <w:color w:val="000000" w:themeColor="text1"/>
                <w:kern w:val="2"/>
                <w:lang w:eastAsia="zh-CN"/>
                <w14:textFill>
                  <w14:solidFill>
                    <w14:schemeClr w14:val="tx1"/>
                  </w14:solidFill>
                </w14:textFill>
              </w:rPr>
              <w:t>f</w:t>
            </w:r>
            <w:r>
              <w:rPr>
                <w:rFonts w:ascii="Book Antiqua" w:hAnsi="Book Antiqua" w:cstheme="majorBidi"/>
                <w:color w:val="000000" w:themeColor="text1"/>
                <w:kern w:val="2"/>
                <w:lang w:eastAsia="zh-CN"/>
                <w14:textFill>
                  <w14:solidFill>
                    <w14:schemeClr w14:val="tx1"/>
                  </w14:solidFill>
                </w14:textFill>
              </w:rPr>
              <w:t>ather (65)</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155 (2.13)</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7276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3</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F</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92</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 MD</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121 (1.11)</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10900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4</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M</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76</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ML</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 xml:space="preserve">Half </w:t>
            </w:r>
            <w:r>
              <w:rPr>
                <w:rFonts w:hint="eastAsia" w:ascii="Book Antiqua" w:hAnsi="Book Antiqua" w:cstheme="majorBidi"/>
                <w:color w:val="000000" w:themeColor="text1"/>
                <w:kern w:val="2"/>
                <w:lang w:eastAsia="zh-CN"/>
                <w14:textFill>
                  <w14:solidFill>
                    <w14:schemeClr w14:val="tx1"/>
                  </w14:solidFill>
                </w14:textFill>
              </w:rPr>
              <w:t>b</w:t>
            </w:r>
            <w:r>
              <w:rPr>
                <w:rFonts w:ascii="Book Antiqua" w:hAnsi="Book Antiqua" w:cstheme="majorBidi"/>
                <w:color w:val="000000" w:themeColor="text1"/>
                <w:kern w:val="2"/>
                <w:lang w:eastAsia="zh-CN"/>
                <w14:textFill>
                  <w14:solidFill>
                    <w14:schemeClr w14:val="tx1"/>
                  </w14:solidFill>
                </w14:textFill>
              </w:rPr>
              <w:t>rother (70)</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607 (15.8)</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3841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5</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M</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79</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bidi="fa-IR"/>
                <w14:textFill>
                  <w14:solidFill>
                    <w14:schemeClr w14:val="tx1"/>
                  </w14:solidFill>
                </w14:textFill>
              </w:rPr>
              <w:t xml:space="preserve">810 </w:t>
            </w:r>
            <w:r>
              <w:rPr>
                <w:rFonts w:ascii="Book Antiqua" w:hAnsi="Book Antiqua" w:cstheme="majorBidi"/>
                <w:color w:val="000000" w:themeColor="text1"/>
                <w:kern w:val="2"/>
                <w:lang w:eastAsia="zh-CN"/>
                <w14:textFill>
                  <w14:solidFill>
                    <w14:schemeClr w14:val="tx1"/>
                  </w14:solidFill>
                </w14:textFill>
              </w:rPr>
              <w:t>(11)</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7363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6</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M</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67</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 (severe)</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166 (2.43)</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6831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7</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M</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42</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 (severe)</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bidi="fa-IR"/>
                <w14:textFill>
                  <w14:solidFill>
                    <w14:schemeClr w14:val="tx1"/>
                  </w14:solidFill>
                </w14:textFill>
              </w:rPr>
              <w:t xml:space="preserve">1100 </w:t>
            </w:r>
            <w:r>
              <w:rPr>
                <w:rFonts w:ascii="Book Antiqua" w:hAnsi="Book Antiqua" w:cstheme="majorBidi"/>
                <w:color w:val="000000" w:themeColor="text1"/>
                <w:kern w:val="2"/>
                <w:lang w:eastAsia="zh-CN"/>
                <w14:textFill>
                  <w14:solidFill>
                    <w14:schemeClr w14:val="tx1"/>
                  </w14:solidFill>
                </w14:textFill>
              </w:rPr>
              <w:t>(6.75)</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bidi="fa-IR"/>
                <w14:textFill>
                  <w14:solidFill>
                    <w14:schemeClr w14:val="tx1"/>
                  </w14:solidFill>
                </w14:textFill>
              </w:rPr>
              <w:t>16296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8</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F</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54</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bidi="fa-IR"/>
                <w14:textFill>
                  <w14:solidFill>
                    <w14:schemeClr w14:val="tx1"/>
                  </w14:solidFill>
                </w14:textFill>
              </w:rPr>
              <w:t xml:space="preserve">228 </w:t>
            </w:r>
            <w:r>
              <w:rPr>
                <w:rFonts w:ascii="Book Antiqua" w:hAnsi="Book Antiqua" w:cstheme="majorBidi"/>
                <w:color w:val="000000" w:themeColor="text1"/>
                <w:kern w:val="2"/>
                <w:lang w:eastAsia="zh-CN"/>
                <w14:textFill>
                  <w14:solidFill>
                    <w14:schemeClr w14:val="tx1"/>
                  </w14:solidFill>
                </w14:textFill>
              </w:rPr>
              <w:t>(3)</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7600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9</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F</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81</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 HC, BP</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 xml:space="preserve">Maternal </w:t>
            </w:r>
            <w:r>
              <w:rPr>
                <w:rFonts w:hint="eastAsia" w:ascii="Book Antiqua" w:hAnsi="Book Antiqua" w:cstheme="majorBidi"/>
                <w:color w:val="000000" w:themeColor="text1"/>
                <w:kern w:val="2"/>
                <w:lang w:eastAsia="zh-CN"/>
                <w14:textFill>
                  <w14:solidFill>
                    <w14:schemeClr w14:val="tx1"/>
                  </w14:solidFill>
                </w14:textFill>
              </w:rPr>
              <w:t>a</w:t>
            </w:r>
            <w:r>
              <w:rPr>
                <w:rFonts w:ascii="Book Antiqua" w:hAnsi="Book Antiqua" w:cstheme="majorBidi"/>
                <w:color w:val="000000" w:themeColor="text1"/>
                <w:kern w:val="2"/>
                <w:lang w:eastAsia="zh-CN"/>
                <w14:textFill>
                  <w14:solidFill>
                    <w14:schemeClr w14:val="tx1"/>
                  </w14:solidFill>
                </w14:textFill>
              </w:rPr>
              <w:t>unt (95)</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98 (5.12)</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1914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563"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10</w:t>
            </w:r>
          </w:p>
        </w:tc>
        <w:tc>
          <w:tcPr>
            <w:tcW w:w="580"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F</w:t>
            </w:r>
          </w:p>
        </w:tc>
        <w:tc>
          <w:tcPr>
            <w:tcW w:w="470"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79</w:t>
            </w:r>
          </w:p>
        </w:tc>
        <w:tc>
          <w:tcPr>
            <w:tcW w:w="1008"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ML</w:t>
            </w:r>
          </w:p>
        </w:tc>
        <w:tc>
          <w:tcPr>
            <w:tcW w:w="656"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w:t>
            </w:r>
          </w:p>
        </w:tc>
        <w:tc>
          <w:tcPr>
            <w:tcW w:w="773" w:type="pct"/>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ajorBidi"/>
                <w:color w:val="000000" w:themeColor="text1"/>
                <w:kern w:val="2"/>
                <w:lang w:eastAsia="zh-CN"/>
                <w14:textFill>
                  <w14:solidFill>
                    <w14:schemeClr w14:val="tx1"/>
                  </w14:solidFill>
                </w14:textFill>
              </w:rPr>
              <w:t>541 (18.9)</w:t>
            </w:r>
          </w:p>
        </w:tc>
        <w:tc>
          <w:tcPr>
            <w:tcW w:w="951" w:type="pct"/>
            <w:noWrap/>
          </w:tcPr>
          <w:p>
            <w:pPr>
              <w:spacing w:line="360" w:lineRule="auto"/>
              <w:jc w:val="both"/>
              <w:rPr>
                <w:rFonts w:ascii="Book Antiqua" w:hAnsi="Book Antiqua" w:cstheme="minorBidi"/>
                <w:color w:val="000000" w:themeColor="text1"/>
                <w:kern w:val="2"/>
                <w:lang w:eastAsia="zh-CN"/>
                <w14:textFill>
                  <w14:solidFill>
                    <w14:schemeClr w14:val="tx1"/>
                  </w14:solidFill>
                </w14:textFill>
              </w:rPr>
            </w:pPr>
            <w:r>
              <w:rPr>
                <w:rFonts w:ascii="Book Antiqua" w:hAnsi="Book Antiqua" w:cstheme="minorBidi"/>
                <w:color w:val="000000" w:themeColor="text1"/>
                <w:kern w:val="2"/>
                <w:lang w:eastAsia="zh-CN"/>
                <w14:textFill>
                  <w14:solidFill>
                    <w14:schemeClr w14:val="tx1"/>
                  </w14:solidFill>
                </w14:textFill>
              </w:rPr>
              <w:t>2862</w:t>
            </w:r>
          </w:p>
        </w:tc>
      </w:tr>
    </w:tbl>
    <w:p>
      <w:pPr>
        <w:spacing w:line="360" w:lineRule="auto"/>
        <w:jc w:val="both"/>
        <w:rPr>
          <w:rFonts w:ascii="Book Antiqua" w:hAnsi="Book Antiqua" w:cstheme="majorBidi"/>
          <w:b/>
          <w:bCs/>
          <w:color w:val="000000" w:themeColor="text1"/>
          <w:lang w:eastAsia="zh-CN"/>
          <w14:textFill>
            <w14:solidFill>
              <w14:schemeClr w14:val="tx1"/>
            </w14:solidFill>
          </w14:textFill>
        </w:rPr>
      </w:pPr>
      <w:r>
        <w:rPr>
          <w:rFonts w:ascii="Book Antiqua" w:hAnsi="Book Antiqua" w:eastAsia="等线" w:cs="Arial"/>
          <w:color w:val="000000" w:themeColor="text1"/>
          <w:kern w:val="2"/>
          <w:lang w:eastAsia="zh-CN"/>
          <w14:textFill>
            <w14:solidFill>
              <w14:schemeClr w14:val="tx1"/>
            </w14:solidFill>
          </w14:textFill>
        </w:rPr>
        <w:t xml:space="preserve">M: Male; F: Female; </w:t>
      </w:r>
      <w:r>
        <w:rPr>
          <w:rFonts w:ascii="Book Antiqua" w:hAnsi="Book Antiqua" w:eastAsia="等线"/>
          <w:color w:val="000000" w:themeColor="text1"/>
          <w:kern w:val="2"/>
          <w:lang w:eastAsia="zh-CN"/>
          <w14:textFill>
            <w14:solidFill>
              <w14:schemeClr w14:val="tx1"/>
            </w14:solidFill>
          </w14:textFill>
        </w:rPr>
        <w:t xml:space="preserve">ML: Memorial loss; MD: Movement disorder; HC: Heart complication, BP: High blood pressure; AD: Alzheimer disease; </w:t>
      </w:r>
      <w:r>
        <w:rPr>
          <w:rFonts w:ascii="Book Antiqua" w:hAnsi="Book Antiqua" w:cstheme="majorBidi"/>
          <w:color w:val="000000" w:themeColor="text1"/>
          <w14:textFill>
            <w14:solidFill>
              <w14:schemeClr w14:val="tx1"/>
            </w14:solidFill>
          </w14:textFill>
        </w:rPr>
        <w:t>Ets2:</w:t>
      </w:r>
      <w:r>
        <w:rPr>
          <w:rFonts w:ascii="Book Antiqua" w:hAnsi="Book Antiqua" w:eastAsia="Book Antiqua" w:cs="Book Antiqua"/>
          <w:color w:val="000000" w:themeColor="text1"/>
          <w14:textFill>
            <w14:solidFill>
              <w14:schemeClr w14:val="tx1"/>
            </w14:solidFill>
          </w14:textFill>
        </w:rPr>
        <w:t xml:space="preserve"> Erythroblastosis virus E26 oncogene homolog 2;</w:t>
      </w:r>
      <w:r>
        <w:rPr>
          <w:rFonts w:ascii="Book Antiqua" w:hAnsi="Book Antiqua" w:cstheme="majorBidi"/>
          <w:b/>
          <w:bCs/>
          <w:color w:val="000000" w:themeColor="text1"/>
          <w14:textFill>
            <w14:solidFill>
              <w14:schemeClr w14:val="tx1"/>
            </w14:solidFill>
          </w14:textFill>
        </w:rPr>
        <w:t xml:space="preserve"> </w:t>
      </w:r>
      <w:r>
        <w:rPr>
          <w:rFonts w:ascii="Book Antiqua" w:hAnsi="Book Antiqua" w:eastAsia="等线"/>
          <w:color w:val="000000" w:themeColor="text1"/>
          <w:kern w:val="2"/>
          <w:lang w:eastAsia="zh-CN"/>
          <w14:textFill>
            <w14:solidFill>
              <w14:schemeClr w14:val="tx1"/>
            </w14:solidFill>
          </w14:textFill>
        </w:rPr>
        <w:t>Total cells analyzed in 10 patients: 69090</w:t>
      </w:r>
      <w:r>
        <w:rPr>
          <w:rFonts w:ascii="Book Antiqua" w:hAnsi="Book Antiqua" w:eastAsia="等线"/>
          <w:color w:val="000000" w:themeColor="text1"/>
          <w:kern w:val="2"/>
          <w:vertAlign w:val="superscript"/>
          <w:lang w:eastAsia="zh-CN"/>
          <w14:textFill>
            <w14:solidFill>
              <w14:schemeClr w14:val="tx1"/>
            </w14:solidFill>
          </w14:textFill>
        </w:rPr>
        <w:t>[</w:t>
      </w:r>
      <w:r>
        <w:rPr>
          <w:rFonts w:ascii="Book Antiqua" w:hAnsi="Book Antiqua" w:cstheme="majorBidi"/>
          <w:color w:val="000000" w:themeColor="text1"/>
          <w:vertAlign w:val="superscript"/>
          <w14:textFill>
            <w14:solidFill>
              <w14:schemeClr w14:val="tx1"/>
            </w14:solidFill>
          </w14:textFill>
        </w:rPr>
        <w:t>11]</w:t>
      </w:r>
      <w:r>
        <w:rPr>
          <w:rFonts w:ascii="Book Antiqua" w:hAnsi="Book Antiqua" w:cstheme="majorBidi"/>
          <w:color w:val="000000" w:themeColor="text1"/>
          <w14:textFill>
            <w14:solidFill>
              <w14:schemeClr w14:val="tx1"/>
            </w14:solidFill>
          </w14:textFill>
        </w:rPr>
        <w:t>.</w:t>
      </w:r>
    </w:p>
    <w:p>
      <w:pPr>
        <w:spacing w:line="360" w:lineRule="auto"/>
        <w:jc w:val="both"/>
        <w:rPr>
          <w:rFonts w:ascii="Book Antiqua" w:hAnsi="Book Antiqua" w:cstheme="majorBidi"/>
          <w:b/>
          <w:bCs/>
          <w:color w:val="000000" w:themeColor="text1"/>
          <w:vertAlign w:val="superscript"/>
          <w:lang w:eastAsia="zh-CN"/>
          <w14:textFill>
            <w14:solidFill>
              <w14:schemeClr w14:val="tx1"/>
            </w14:solidFill>
          </w14:textFill>
        </w:rPr>
      </w:pPr>
    </w:p>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br w:type="page"/>
      </w:r>
    </w:p>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Table 2</w:t>
      </w:r>
      <w:r>
        <w:rPr>
          <w:rFonts w:ascii="Book Antiqua" w:hAnsi="Book Antiqua"/>
          <w:b/>
          <w:color w:val="000000" w:themeColor="text1"/>
          <w14:textFill>
            <w14:solidFill>
              <w14:schemeClr w14:val="tx1"/>
            </w14:solidFill>
          </w14:textFill>
        </w:rPr>
        <w:t xml:space="preserve"> </w:t>
      </w:r>
      <w:r>
        <w:rPr>
          <w:rFonts w:ascii="Book Antiqua" w:hAnsi="Book Antiqua" w:cs="Book Antiqua"/>
          <w:b/>
          <w:color w:val="000000" w:themeColor="text1"/>
          <w:lang w:eastAsia="zh-CN"/>
          <w14:textFill>
            <w14:solidFill>
              <w14:schemeClr w14:val="tx1"/>
            </w14:solidFill>
          </w14:textFill>
        </w:rPr>
        <w:t>E</w:t>
      </w:r>
      <w:r>
        <w:rPr>
          <w:rFonts w:ascii="Book Antiqua" w:hAnsi="Book Antiqua" w:eastAsia="Book Antiqua" w:cs="Book Antiqua"/>
          <w:b/>
          <w:color w:val="000000" w:themeColor="text1"/>
          <w14:textFill>
            <w14:solidFill>
              <w14:schemeClr w14:val="tx1"/>
            </w14:solidFill>
          </w14:textFill>
        </w:rPr>
        <w:t>rythroblastosis virus E26 oncogene homolog 2</w:t>
      </w:r>
      <w:r>
        <w:rPr>
          <w:rFonts w:ascii="Book Antiqua" w:hAnsi="Book Antiqua"/>
          <w:b/>
          <w:bCs/>
          <w:color w:val="000000" w:themeColor="text1"/>
          <w14:textFill>
            <w14:solidFill>
              <w14:schemeClr w14:val="tx1"/>
            </w14:solidFill>
          </w14:textFill>
        </w:rPr>
        <w:t xml:space="preserve"> protein expressions status in healthy individuals as control for the patients with Alzheimer disease</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1"/>
        <w:gridCol w:w="1333"/>
        <w:gridCol w:w="4104"/>
        <w:gridCol w:w="307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54" w:type="pct"/>
            <w:tcBorders>
              <w:top w:val="single" w:color="auto" w:sz="4" w:space="0"/>
              <w:bottom w:val="single" w:color="auto" w:sz="4" w:space="0"/>
            </w:tcBorders>
          </w:tcPr>
          <w:p>
            <w:pPr>
              <w:tabs>
                <w:tab w:val="left" w:pos="1200"/>
              </w:tabs>
              <w:spacing w:line="360" w:lineRule="auto"/>
              <w:jc w:val="both"/>
              <w:rPr>
                <w:rFonts w:ascii="Book Antiqua" w:hAnsi="Book Antiqua" w:cs="Calibri"/>
                <w:b/>
                <w:bCs/>
                <w:color w:val="000000" w:themeColor="text1"/>
                <w:kern w:val="2"/>
                <w:lang w:eastAsia="zh-CN"/>
                <w14:textFill>
                  <w14:solidFill>
                    <w14:schemeClr w14:val="tx1"/>
                  </w14:solidFill>
                </w14:textFill>
              </w:rPr>
            </w:pPr>
            <w:r>
              <w:rPr>
                <w:rFonts w:ascii="Book Antiqua" w:hAnsi="Book Antiqua" w:cs="Calibri"/>
                <w:b/>
                <w:bCs/>
                <w:color w:val="000000" w:themeColor="text1"/>
                <w:kern w:val="2"/>
                <w:lang w:eastAsia="zh-CN"/>
                <w14:textFill>
                  <w14:solidFill>
                    <w14:schemeClr w14:val="tx1"/>
                  </w14:solidFill>
                </w14:textFill>
              </w:rPr>
              <w:t>ID</w:t>
            </w:r>
          </w:p>
        </w:tc>
        <w:tc>
          <w:tcPr>
            <w:tcW w:w="696" w:type="pct"/>
            <w:tcBorders>
              <w:top w:val="single" w:color="auto" w:sz="4" w:space="0"/>
              <w:bottom w:val="single" w:color="auto" w:sz="4" w:space="0"/>
            </w:tcBorders>
          </w:tcPr>
          <w:p>
            <w:pPr>
              <w:tabs>
                <w:tab w:val="left" w:pos="1200"/>
              </w:tabs>
              <w:spacing w:line="360" w:lineRule="auto"/>
              <w:jc w:val="both"/>
              <w:rPr>
                <w:rFonts w:ascii="Book Antiqua" w:hAnsi="Book Antiqua" w:cs="Calibri"/>
                <w:b/>
                <w:bCs/>
                <w:color w:val="000000" w:themeColor="text1"/>
                <w:kern w:val="2"/>
                <w:lang w:eastAsia="zh-CN"/>
                <w14:textFill>
                  <w14:solidFill>
                    <w14:schemeClr w14:val="tx1"/>
                  </w14:solidFill>
                </w14:textFill>
              </w:rPr>
            </w:pPr>
            <w:r>
              <w:rPr>
                <w:rFonts w:ascii="Book Antiqua" w:hAnsi="Book Antiqua" w:cs="Calibri"/>
                <w:b/>
                <w:bCs/>
                <w:color w:val="000000" w:themeColor="text1"/>
                <w:kern w:val="2"/>
                <w:lang w:eastAsia="zh-CN"/>
                <w14:textFill>
                  <w14:solidFill>
                    <w14:schemeClr w14:val="tx1"/>
                  </w14:solidFill>
                </w14:textFill>
              </w:rPr>
              <w:t>Age, yr</w:t>
            </w:r>
          </w:p>
        </w:tc>
        <w:tc>
          <w:tcPr>
            <w:tcW w:w="2143" w:type="pct"/>
            <w:tcBorders>
              <w:top w:val="single" w:color="auto" w:sz="4" w:space="0"/>
              <w:bottom w:val="single" w:color="auto" w:sz="4" w:space="0"/>
            </w:tcBorders>
          </w:tcPr>
          <w:p>
            <w:pPr>
              <w:tabs>
                <w:tab w:val="left" w:pos="1200"/>
              </w:tabs>
              <w:spacing w:line="360" w:lineRule="auto"/>
              <w:jc w:val="both"/>
              <w:rPr>
                <w:rFonts w:ascii="Book Antiqua" w:hAnsi="Book Antiqua" w:cs="Calibri"/>
                <w:b/>
                <w:bCs/>
                <w:color w:val="000000" w:themeColor="text1"/>
                <w:kern w:val="2"/>
                <w:lang w:eastAsia="zh-CN"/>
                <w14:textFill>
                  <w14:solidFill>
                    <w14:schemeClr w14:val="tx1"/>
                  </w14:solidFill>
                </w14:textFill>
              </w:rPr>
            </w:pPr>
            <w:r>
              <w:rPr>
                <w:rFonts w:ascii="Book Antiqua" w:hAnsi="Book Antiqua" w:cs="Calibri"/>
                <w:b/>
                <w:bCs/>
                <w:color w:val="000000" w:themeColor="text1"/>
                <w:kern w:val="2"/>
                <w:lang w:eastAsia="zh-CN"/>
                <w14:textFill>
                  <w14:solidFill>
                    <w14:schemeClr w14:val="tx1"/>
                  </w14:solidFill>
                </w14:textFill>
              </w:rPr>
              <w:t>Ets2 protein expression (%)</w:t>
            </w:r>
          </w:p>
        </w:tc>
        <w:tc>
          <w:tcPr>
            <w:tcW w:w="1607" w:type="pct"/>
            <w:tcBorders>
              <w:top w:val="single" w:color="auto" w:sz="4" w:space="0"/>
              <w:bottom w:val="single" w:color="auto" w:sz="4" w:space="0"/>
            </w:tcBorders>
          </w:tcPr>
          <w:p>
            <w:pPr>
              <w:tabs>
                <w:tab w:val="left" w:pos="1200"/>
              </w:tabs>
              <w:spacing w:line="360" w:lineRule="auto"/>
              <w:jc w:val="both"/>
              <w:rPr>
                <w:rFonts w:ascii="Book Antiqua" w:hAnsi="Book Antiqua" w:cs="Calibri"/>
                <w:b/>
                <w:bCs/>
                <w:color w:val="000000" w:themeColor="text1"/>
                <w:kern w:val="2"/>
                <w:lang w:eastAsia="zh-CN"/>
                <w14:textFill>
                  <w14:solidFill>
                    <w14:schemeClr w14:val="tx1"/>
                  </w14:solidFill>
                </w14:textFill>
              </w:rPr>
            </w:pPr>
            <w:r>
              <w:rPr>
                <w:rFonts w:ascii="Book Antiqua" w:hAnsi="Book Antiqua" w:cs="Calibri"/>
                <w:b/>
                <w:bCs/>
                <w:color w:val="000000" w:themeColor="text1"/>
                <w:kern w:val="2"/>
                <w:lang w:eastAsia="zh-CN"/>
                <w14:textFill>
                  <w14:solidFill>
                    <w14:schemeClr w14:val="tx1"/>
                  </w14:solidFill>
                </w14:textFill>
              </w:rPr>
              <w:t>Total cells analyzed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54" w:type="pct"/>
            <w:tcBorders>
              <w:top w:val="single" w:color="auto" w:sz="4" w:space="0"/>
            </w:tcBorders>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C-1</w:t>
            </w:r>
          </w:p>
        </w:tc>
        <w:tc>
          <w:tcPr>
            <w:tcW w:w="696" w:type="pct"/>
            <w:tcBorders>
              <w:top w:val="single" w:color="auto" w:sz="4" w:space="0"/>
            </w:tcBorders>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65</w:t>
            </w:r>
          </w:p>
        </w:tc>
        <w:tc>
          <w:tcPr>
            <w:tcW w:w="2143" w:type="pct"/>
            <w:tcBorders>
              <w:top w:val="single" w:color="auto" w:sz="4" w:space="0"/>
            </w:tcBorders>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2 (0.066)</w:t>
            </w:r>
          </w:p>
        </w:tc>
        <w:tc>
          <w:tcPr>
            <w:tcW w:w="1607" w:type="pct"/>
            <w:tcBorders>
              <w:top w:val="single" w:color="auto" w:sz="4" w:space="0"/>
            </w:tcBorders>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3025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54"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C-2</w:t>
            </w:r>
          </w:p>
        </w:tc>
        <w:tc>
          <w:tcPr>
            <w:tcW w:w="696"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56</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10 (0.19)</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5214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4" w:type="pct"/>
          </w:tcPr>
          <w:p>
            <w:pPr>
              <w:spacing w:line="360" w:lineRule="auto"/>
              <w:jc w:val="both"/>
              <w:rPr>
                <w:rFonts w:ascii="Book Antiqua" w:hAnsi="Book Antiqua" w:cs="Calibri"/>
                <w:color w:val="000000" w:themeColor="text1"/>
                <w:kern w:val="2"/>
                <w:rtl/>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C-3</w:t>
            </w:r>
          </w:p>
        </w:tc>
        <w:tc>
          <w:tcPr>
            <w:tcW w:w="696" w:type="pct"/>
          </w:tcPr>
          <w:p>
            <w:pPr>
              <w:spacing w:line="360" w:lineRule="auto"/>
              <w:jc w:val="both"/>
              <w:rPr>
                <w:rFonts w:ascii="Book Antiqua" w:hAnsi="Book Antiqua" w:cs="Calibri"/>
                <w:color w:val="000000" w:themeColor="text1"/>
                <w:kern w:val="2"/>
                <w:rtl/>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79</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0 (0)</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1546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54"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C-4</w:t>
            </w:r>
          </w:p>
        </w:tc>
        <w:tc>
          <w:tcPr>
            <w:tcW w:w="696"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74</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3 (0.065)</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4587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4"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C-5</w:t>
            </w:r>
          </w:p>
        </w:tc>
        <w:tc>
          <w:tcPr>
            <w:tcW w:w="696"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79</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6 (0.48)</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1232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54"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C-6</w:t>
            </w:r>
          </w:p>
        </w:tc>
        <w:tc>
          <w:tcPr>
            <w:tcW w:w="696"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62</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3 (0.38)</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783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554"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C-7</w:t>
            </w:r>
          </w:p>
        </w:tc>
        <w:tc>
          <w:tcPr>
            <w:tcW w:w="696"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42</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0 (0)</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923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554"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C-8</w:t>
            </w:r>
          </w:p>
        </w:tc>
        <w:tc>
          <w:tcPr>
            <w:tcW w:w="696"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54</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4 (0.10)</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9823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554"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C-9</w:t>
            </w:r>
          </w:p>
        </w:tc>
        <w:tc>
          <w:tcPr>
            <w:tcW w:w="696"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81</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7 (004)</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874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54"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C-10</w:t>
            </w:r>
          </w:p>
        </w:tc>
        <w:tc>
          <w:tcPr>
            <w:tcW w:w="696" w:type="pct"/>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79</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3 (0.19)</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1542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250" w:type="pct"/>
            <w:gridSpan w:val="2"/>
          </w:tcPr>
          <w:p>
            <w:pPr>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Total</w:t>
            </w:r>
          </w:p>
        </w:tc>
        <w:tc>
          <w:tcPr>
            <w:tcW w:w="2143"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38 (0.12)</w:t>
            </w:r>
          </w:p>
        </w:tc>
        <w:tc>
          <w:tcPr>
            <w:tcW w:w="1607" w:type="pct"/>
          </w:tcPr>
          <w:p>
            <w:pPr>
              <w:tabs>
                <w:tab w:val="left" w:pos="1200"/>
              </w:tabs>
              <w:spacing w:line="360" w:lineRule="auto"/>
              <w:jc w:val="both"/>
              <w:rPr>
                <w:rFonts w:ascii="Book Antiqua" w:hAnsi="Book Antiqua" w:cs="Calibri"/>
                <w:color w:val="000000" w:themeColor="text1"/>
                <w:kern w:val="2"/>
                <w:lang w:eastAsia="zh-CN"/>
                <w14:textFill>
                  <w14:solidFill>
                    <w14:schemeClr w14:val="tx1"/>
                  </w14:solidFill>
                </w14:textFill>
              </w:rPr>
            </w:pPr>
            <w:r>
              <w:rPr>
                <w:rFonts w:ascii="Book Antiqua" w:hAnsi="Book Antiqua" w:cs="Calibri"/>
                <w:color w:val="000000" w:themeColor="text1"/>
                <w:kern w:val="2"/>
                <w:lang w:eastAsia="zh-CN"/>
                <w14:textFill>
                  <w14:solidFill>
                    <w14:schemeClr w14:val="tx1"/>
                  </w14:solidFill>
                </w14:textFill>
              </w:rPr>
              <w:t>29549</w:t>
            </w:r>
          </w:p>
        </w:tc>
      </w:tr>
    </w:tbl>
    <w:p>
      <w:pPr>
        <w:spacing w:line="360" w:lineRule="auto"/>
        <w:jc w:val="both"/>
        <w:rPr>
          <w:rFonts w:ascii="Book Antiqua" w:hAnsi="Book Antiqua" w:cs="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cs="Calibri"/>
          <w:color w:val="000000" w:themeColor="text1"/>
          <w14:textFill>
            <w14:solidFill>
              <w14:schemeClr w14:val="tx1"/>
            </w14:solidFill>
          </w14:textFill>
        </w:rPr>
        <w:t>The cells were analysed by flow cytometry:</w:t>
      </w:r>
      <w:r>
        <w:rPr>
          <w:rFonts w:ascii="Book Antiqua" w:hAnsi="Book Antiqua" w:cs="Calibri"/>
          <w:color w:val="000000" w:themeColor="text1"/>
          <w:lang w:eastAsia="zh-CN"/>
          <w14:textFill>
            <w14:solidFill>
              <w14:schemeClr w14:val="tx1"/>
            </w14:solidFill>
          </w14:textFill>
        </w:rPr>
        <w:t xml:space="preserve"> </w:t>
      </w:r>
      <w:r>
        <w:rPr>
          <w:rFonts w:ascii="Book Antiqua" w:hAnsi="Book Antiqua" w:cs="Calibri"/>
          <w:color w:val="000000" w:themeColor="text1"/>
          <w14:textFill>
            <w14:solidFill>
              <w14:schemeClr w14:val="tx1"/>
            </w14:solidFill>
          </w14:textFill>
        </w:rPr>
        <w:t>All controls (C) had no family history of Alzheimer disease</w:t>
      </w:r>
      <w:r>
        <w:rPr>
          <w:rFonts w:ascii="Book Antiqua" w:hAnsi="Book Antiqua" w:cs="Calibri"/>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C: </w:t>
      </w:r>
      <w:r>
        <w:rPr>
          <w:rFonts w:ascii="Book Antiqua" w:hAnsi="Book Antiqua"/>
          <w:color w:val="000000" w:themeColor="text1"/>
          <w:lang w:eastAsia="zh-CN"/>
          <w14:textFill>
            <w14:solidFill>
              <w14:schemeClr w14:val="tx1"/>
            </w14:solidFill>
          </w14:textFill>
        </w:rPr>
        <w:t>C</w:t>
      </w:r>
      <w:r>
        <w:rPr>
          <w:rFonts w:ascii="Book Antiqua" w:hAnsi="Book Antiqua"/>
          <w:color w:val="000000" w:themeColor="text1"/>
          <w14:textFill>
            <w14:solidFill>
              <w14:schemeClr w14:val="tx1"/>
            </w14:solidFill>
          </w14:textFill>
        </w:rPr>
        <w:t>ontrol</w:t>
      </w:r>
      <w:r>
        <w:rPr>
          <w:rFonts w:ascii="Book Antiqua" w:hAnsi="Book Antiqua"/>
          <w:color w:val="000000" w:themeColor="text1"/>
          <w:lang w:eastAsia="zh-CN"/>
          <w14:textFill>
            <w14:solidFill>
              <w14:schemeClr w14:val="tx1"/>
            </w14:solidFill>
          </w14:textFill>
        </w:rPr>
        <w:t xml:space="preserve">; </w:t>
      </w:r>
      <w:r>
        <w:rPr>
          <w:rFonts w:ascii="Book Antiqua" w:hAnsi="Book Antiqua" w:cs="Calibri"/>
          <w:bCs/>
          <w:color w:val="000000" w:themeColor="text1"/>
          <w14:textFill>
            <w14:solidFill>
              <w14:schemeClr w14:val="tx1"/>
            </w14:solidFill>
          </w14:textFill>
        </w:rPr>
        <w:t>Ets2</w:t>
      </w:r>
      <w:r>
        <w:rPr>
          <w:rFonts w:ascii="Book Antiqua" w:hAnsi="Book Antiqua" w:cs="Calibri"/>
          <w:bCs/>
          <w:color w:val="000000" w:themeColor="text1"/>
          <w:lang w:eastAsia="zh-CN"/>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E</w:t>
      </w:r>
      <w:r>
        <w:rPr>
          <w:rFonts w:ascii="Book Antiqua" w:hAnsi="Book Antiqua" w:eastAsia="Book Antiqua" w:cs="Book Antiqua"/>
          <w:color w:val="000000" w:themeColor="text1"/>
          <w14:textFill>
            <w14:solidFill>
              <w14:schemeClr w14:val="tx1"/>
            </w14:solidFill>
          </w14:textFill>
        </w:rPr>
        <w:t>rythroblastosis virus E26 oncogene homolog 2</w:t>
      </w:r>
      <w:r>
        <w:rPr>
          <w:rFonts w:ascii="Book Antiqua" w:hAnsi="Book Antiqua" w:cs="Book Antiqua"/>
          <w:color w:val="000000" w:themeColor="text1"/>
          <w:lang w:eastAsia="zh-CN"/>
          <w14:textFill>
            <w14:solidFill>
              <w14:schemeClr w14:val="tx1"/>
            </w14:solidFill>
          </w14:textFill>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dvTTe692faf0">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ArialMT">
    <w:altName w:val="Times New Roman"/>
    <w:panose1 w:val="00000000000000000000"/>
    <w:charset w:val="80"/>
    <w:family w:val="auto"/>
    <w:pitch w:val="default"/>
    <w:sig w:usb0="00000000" w:usb1="00000000" w:usb2="00000010" w:usb3="00000000" w:csb0="0002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14:textFill>
          <w14:solidFill>
            <w14:schemeClr w14:val="tx1"/>
          </w14:solidFill>
        </w14:textFill>
      </w:rPr>
      <w:t>1</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14:textFill>
          <w14:solidFill>
            <w14:schemeClr w14:val="tx1"/>
          </w14:solidFill>
        </w14:textFill>
      </w:rPr>
      <w:t>1</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00A4D"/>
    <w:rsid w:val="00001060"/>
    <w:rsid w:val="00002BB5"/>
    <w:rsid w:val="00003D03"/>
    <w:rsid w:val="00005F40"/>
    <w:rsid w:val="00006270"/>
    <w:rsid w:val="00006961"/>
    <w:rsid w:val="00010805"/>
    <w:rsid w:val="000117CA"/>
    <w:rsid w:val="000133AF"/>
    <w:rsid w:val="00014580"/>
    <w:rsid w:val="00014C3F"/>
    <w:rsid w:val="000164FC"/>
    <w:rsid w:val="00022AED"/>
    <w:rsid w:val="000230CF"/>
    <w:rsid w:val="00025A1C"/>
    <w:rsid w:val="00025F67"/>
    <w:rsid w:val="00027C63"/>
    <w:rsid w:val="0003027D"/>
    <w:rsid w:val="00030C16"/>
    <w:rsid w:val="00033FF6"/>
    <w:rsid w:val="00035CE8"/>
    <w:rsid w:val="00037321"/>
    <w:rsid w:val="000375F3"/>
    <w:rsid w:val="000379C4"/>
    <w:rsid w:val="00041980"/>
    <w:rsid w:val="000432CC"/>
    <w:rsid w:val="00043628"/>
    <w:rsid w:val="00044530"/>
    <w:rsid w:val="00045352"/>
    <w:rsid w:val="000510FA"/>
    <w:rsid w:val="0005213E"/>
    <w:rsid w:val="000529E3"/>
    <w:rsid w:val="00053159"/>
    <w:rsid w:val="00053421"/>
    <w:rsid w:val="00054C39"/>
    <w:rsid w:val="00055843"/>
    <w:rsid w:val="00057807"/>
    <w:rsid w:val="000607E6"/>
    <w:rsid w:val="00061E23"/>
    <w:rsid w:val="00064E7F"/>
    <w:rsid w:val="00064E80"/>
    <w:rsid w:val="00065F2D"/>
    <w:rsid w:val="00065FF1"/>
    <w:rsid w:val="00066141"/>
    <w:rsid w:val="00070BD1"/>
    <w:rsid w:val="00072B76"/>
    <w:rsid w:val="00073E5F"/>
    <w:rsid w:val="000744DA"/>
    <w:rsid w:val="000749A4"/>
    <w:rsid w:val="00075E3C"/>
    <w:rsid w:val="0008099E"/>
    <w:rsid w:val="00084EC0"/>
    <w:rsid w:val="00085473"/>
    <w:rsid w:val="0008606A"/>
    <w:rsid w:val="000877E3"/>
    <w:rsid w:val="00092838"/>
    <w:rsid w:val="00095710"/>
    <w:rsid w:val="0009585B"/>
    <w:rsid w:val="00095E5C"/>
    <w:rsid w:val="000A02E3"/>
    <w:rsid w:val="000A1C4D"/>
    <w:rsid w:val="000A31BF"/>
    <w:rsid w:val="000A4539"/>
    <w:rsid w:val="000A59A0"/>
    <w:rsid w:val="000B0086"/>
    <w:rsid w:val="000B0669"/>
    <w:rsid w:val="000B1DBE"/>
    <w:rsid w:val="000B5EC0"/>
    <w:rsid w:val="000B657F"/>
    <w:rsid w:val="000B67BA"/>
    <w:rsid w:val="000C066E"/>
    <w:rsid w:val="000C137B"/>
    <w:rsid w:val="000C22D5"/>
    <w:rsid w:val="000C2C4D"/>
    <w:rsid w:val="000C3078"/>
    <w:rsid w:val="000C514A"/>
    <w:rsid w:val="000C6D64"/>
    <w:rsid w:val="000C734D"/>
    <w:rsid w:val="000C7734"/>
    <w:rsid w:val="000C7C57"/>
    <w:rsid w:val="000D1AD5"/>
    <w:rsid w:val="000D1DCD"/>
    <w:rsid w:val="000D1F7C"/>
    <w:rsid w:val="000D2D5F"/>
    <w:rsid w:val="000D3F98"/>
    <w:rsid w:val="000D416C"/>
    <w:rsid w:val="000D63F7"/>
    <w:rsid w:val="000E0D37"/>
    <w:rsid w:val="000E0DE2"/>
    <w:rsid w:val="000E1BBB"/>
    <w:rsid w:val="000E2273"/>
    <w:rsid w:val="000E3B4B"/>
    <w:rsid w:val="000E5C16"/>
    <w:rsid w:val="000E6327"/>
    <w:rsid w:val="000E6CE1"/>
    <w:rsid w:val="000F1973"/>
    <w:rsid w:val="000F2337"/>
    <w:rsid w:val="000F2E77"/>
    <w:rsid w:val="000F47F6"/>
    <w:rsid w:val="000F4BD3"/>
    <w:rsid w:val="000F70E4"/>
    <w:rsid w:val="000F7276"/>
    <w:rsid w:val="0010179D"/>
    <w:rsid w:val="00102C2F"/>
    <w:rsid w:val="0010310D"/>
    <w:rsid w:val="001031DB"/>
    <w:rsid w:val="00104136"/>
    <w:rsid w:val="00104884"/>
    <w:rsid w:val="00105987"/>
    <w:rsid w:val="00107CAB"/>
    <w:rsid w:val="00107E3B"/>
    <w:rsid w:val="00107F7C"/>
    <w:rsid w:val="001101F9"/>
    <w:rsid w:val="0011067B"/>
    <w:rsid w:val="00111EBE"/>
    <w:rsid w:val="00112489"/>
    <w:rsid w:val="0011590E"/>
    <w:rsid w:val="0012134F"/>
    <w:rsid w:val="00123D48"/>
    <w:rsid w:val="00123FA1"/>
    <w:rsid w:val="00124185"/>
    <w:rsid w:val="001257CC"/>
    <w:rsid w:val="00127BE7"/>
    <w:rsid w:val="00130F35"/>
    <w:rsid w:val="00131B49"/>
    <w:rsid w:val="00131D51"/>
    <w:rsid w:val="001328A6"/>
    <w:rsid w:val="0013493C"/>
    <w:rsid w:val="00135901"/>
    <w:rsid w:val="00136213"/>
    <w:rsid w:val="001376E3"/>
    <w:rsid w:val="00137ED3"/>
    <w:rsid w:val="0014117D"/>
    <w:rsid w:val="00142A7E"/>
    <w:rsid w:val="00142F29"/>
    <w:rsid w:val="00151D7B"/>
    <w:rsid w:val="00154160"/>
    <w:rsid w:val="001551A6"/>
    <w:rsid w:val="00155A34"/>
    <w:rsid w:val="00157DD8"/>
    <w:rsid w:val="0016090D"/>
    <w:rsid w:val="00160F7D"/>
    <w:rsid w:val="001611F4"/>
    <w:rsid w:val="00161BD3"/>
    <w:rsid w:val="001631A9"/>
    <w:rsid w:val="0016320F"/>
    <w:rsid w:val="00163D06"/>
    <w:rsid w:val="001668DD"/>
    <w:rsid w:val="00166A01"/>
    <w:rsid w:val="00172349"/>
    <w:rsid w:val="00172737"/>
    <w:rsid w:val="00172DBB"/>
    <w:rsid w:val="00180453"/>
    <w:rsid w:val="00181B6B"/>
    <w:rsid w:val="0018430A"/>
    <w:rsid w:val="00186810"/>
    <w:rsid w:val="00187A07"/>
    <w:rsid w:val="001902C9"/>
    <w:rsid w:val="0019040D"/>
    <w:rsid w:val="0019151C"/>
    <w:rsid w:val="0019284A"/>
    <w:rsid w:val="001937E4"/>
    <w:rsid w:val="0019463A"/>
    <w:rsid w:val="00195DF6"/>
    <w:rsid w:val="001A2A57"/>
    <w:rsid w:val="001A459B"/>
    <w:rsid w:val="001A6E0A"/>
    <w:rsid w:val="001A7559"/>
    <w:rsid w:val="001B0288"/>
    <w:rsid w:val="001B279C"/>
    <w:rsid w:val="001B2ADE"/>
    <w:rsid w:val="001B485D"/>
    <w:rsid w:val="001B4F55"/>
    <w:rsid w:val="001B5D94"/>
    <w:rsid w:val="001B5FE1"/>
    <w:rsid w:val="001B6F67"/>
    <w:rsid w:val="001C1D3D"/>
    <w:rsid w:val="001C2B81"/>
    <w:rsid w:val="001C47AA"/>
    <w:rsid w:val="001C4E70"/>
    <w:rsid w:val="001C4F09"/>
    <w:rsid w:val="001C513C"/>
    <w:rsid w:val="001C6D50"/>
    <w:rsid w:val="001D0761"/>
    <w:rsid w:val="001D21EA"/>
    <w:rsid w:val="001D2CB5"/>
    <w:rsid w:val="001D2E97"/>
    <w:rsid w:val="001D5600"/>
    <w:rsid w:val="001D5D1A"/>
    <w:rsid w:val="001D663C"/>
    <w:rsid w:val="001D6A82"/>
    <w:rsid w:val="001E0FAC"/>
    <w:rsid w:val="001E152C"/>
    <w:rsid w:val="001E23E6"/>
    <w:rsid w:val="001E2634"/>
    <w:rsid w:val="001F2252"/>
    <w:rsid w:val="001F4D96"/>
    <w:rsid w:val="001F521F"/>
    <w:rsid w:val="001F6E26"/>
    <w:rsid w:val="001F77C9"/>
    <w:rsid w:val="0020068B"/>
    <w:rsid w:val="00200757"/>
    <w:rsid w:val="00202926"/>
    <w:rsid w:val="00202CAC"/>
    <w:rsid w:val="00203B00"/>
    <w:rsid w:val="0020416C"/>
    <w:rsid w:val="00205C36"/>
    <w:rsid w:val="00205FE2"/>
    <w:rsid w:val="0020603D"/>
    <w:rsid w:val="002073D2"/>
    <w:rsid w:val="00210323"/>
    <w:rsid w:val="002110A9"/>
    <w:rsid w:val="00213757"/>
    <w:rsid w:val="00213C4A"/>
    <w:rsid w:val="00215C33"/>
    <w:rsid w:val="00222A4F"/>
    <w:rsid w:val="0022425D"/>
    <w:rsid w:val="00225072"/>
    <w:rsid w:val="002251E3"/>
    <w:rsid w:val="00225202"/>
    <w:rsid w:val="00225E2C"/>
    <w:rsid w:val="00227728"/>
    <w:rsid w:val="00227C25"/>
    <w:rsid w:val="00227D1B"/>
    <w:rsid w:val="002310BD"/>
    <w:rsid w:val="002357C2"/>
    <w:rsid w:val="002363F6"/>
    <w:rsid w:val="0024538D"/>
    <w:rsid w:val="002465BE"/>
    <w:rsid w:val="00246A3A"/>
    <w:rsid w:val="00250816"/>
    <w:rsid w:val="002512D9"/>
    <w:rsid w:val="002518CF"/>
    <w:rsid w:val="00251F7E"/>
    <w:rsid w:val="0025289A"/>
    <w:rsid w:val="00254F6D"/>
    <w:rsid w:val="0025603E"/>
    <w:rsid w:val="00257B4D"/>
    <w:rsid w:val="00260174"/>
    <w:rsid w:val="00261109"/>
    <w:rsid w:val="002653F7"/>
    <w:rsid w:val="002656AC"/>
    <w:rsid w:val="00265D4D"/>
    <w:rsid w:val="00265ED2"/>
    <w:rsid w:val="002664A1"/>
    <w:rsid w:val="00267D5E"/>
    <w:rsid w:val="00271F24"/>
    <w:rsid w:val="002727D9"/>
    <w:rsid w:val="0027469F"/>
    <w:rsid w:val="00274739"/>
    <w:rsid w:val="0027490A"/>
    <w:rsid w:val="00277AEE"/>
    <w:rsid w:val="00277E30"/>
    <w:rsid w:val="00277FA6"/>
    <w:rsid w:val="00280643"/>
    <w:rsid w:val="00281943"/>
    <w:rsid w:val="00281CE6"/>
    <w:rsid w:val="00282677"/>
    <w:rsid w:val="0028331E"/>
    <w:rsid w:val="00283D8C"/>
    <w:rsid w:val="00284330"/>
    <w:rsid w:val="0028463C"/>
    <w:rsid w:val="002847B9"/>
    <w:rsid w:val="00284A48"/>
    <w:rsid w:val="00285119"/>
    <w:rsid w:val="0028587F"/>
    <w:rsid w:val="00285ED7"/>
    <w:rsid w:val="00286552"/>
    <w:rsid w:val="00286FB0"/>
    <w:rsid w:val="00291280"/>
    <w:rsid w:val="0029146C"/>
    <w:rsid w:val="00291F7C"/>
    <w:rsid w:val="002922CA"/>
    <w:rsid w:val="002923C4"/>
    <w:rsid w:val="00292A8C"/>
    <w:rsid w:val="00292ED6"/>
    <w:rsid w:val="00294315"/>
    <w:rsid w:val="00297537"/>
    <w:rsid w:val="002A0332"/>
    <w:rsid w:val="002A0591"/>
    <w:rsid w:val="002A0D0E"/>
    <w:rsid w:val="002A128E"/>
    <w:rsid w:val="002A1EC3"/>
    <w:rsid w:val="002A2200"/>
    <w:rsid w:val="002A2905"/>
    <w:rsid w:val="002A2BE5"/>
    <w:rsid w:val="002A6B62"/>
    <w:rsid w:val="002B1328"/>
    <w:rsid w:val="002B31DC"/>
    <w:rsid w:val="002B4B9D"/>
    <w:rsid w:val="002C066C"/>
    <w:rsid w:val="002C142B"/>
    <w:rsid w:val="002C17DB"/>
    <w:rsid w:val="002C2680"/>
    <w:rsid w:val="002C43E4"/>
    <w:rsid w:val="002C545B"/>
    <w:rsid w:val="002C555B"/>
    <w:rsid w:val="002C57CA"/>
    <w:rsid w:val="002C675F"/>
    <w:rsid w:val="002C73F4"/>
    <w:rsid w:val="002C7D85"/>
    <w:rsid w:val="002D31C5"/>
    <w:rsid w:val="002D60D8"/>
    <w:rsid w:val="002D70D4"/>
    <w:rsid w:val="002D7B40"/>
    <w:rsid w:val="002D7C72"/>
    <w:rsid w:val="002E1976"/>
    <w:rsid w:val="002E1B7B"/>
    <w:rsid w:val="002E440F"/>
    <w:rsid w:val="002E4B86"/>
    <w:rsid w:val="002E6CB0"/>
    <w:rsid w:val="002E701B"/>
    <w:rsid w:val="002E71EA"/>
    <w:rsid w:val="002F0432"/>
    <w:rsid w:val="002F04C9"/>
    <w:rsid w:val="002F1174"/>
    <w:rsid w:val="002F248C"/>
    <w:rsid w:val="002F31F6"/>
    <w:rsid w:val="002F416C"/>
    <w:rsid w:val="002F4236"/>
    <w:rsid w:val="002F438E"/>
    <w:rsid w:val="003010BD"/>
    <w:rsid w:val="00302A13"/>
    <w:rsid w:val="003054FC"/>
    <w:rsid w:val="00306ACB"/>
    <w:rsid w:val="003107C3"/>
    <w:rsid w:val="003121E3"/>
    <w:rsid w:val="003126AF"/>
    <w:rsid w:val="003133B9"/>
    <w:rsid w:val="003134D0"/>
    <w:rsid w:val="00314515"/>
    <w:rsid w:val="00316E08"/>
    <w:rsid w:val="003176CA"/>
    <w:rsid w:val="00326168"/>
    <w:rsid w:val="00327A0D"/>
    <w:rsid w:val="00327C23"/>
    <w:rsid w:val="0033061F"/>
    <w:rsid w:val="0033063B"/>
    <w:rsid w:val="003309A2"/>
    <w:rsid w:val="00332F2A"/>
    <w:rsid w:val="00333A16"/>
    <w:rsid w:val="00333AD4"/>
    <w:rsid w:val="003354DA"/>
    <w:rsid w:val="0033673B"/>
    <w:rsid w:val="00340262"/>
    <w:rsid w:val="003409DA"/>
    <w:rsid w:val="00341FDC"/>
    <w:rsid w:val="003450CC"/>
    <w:rsid w:val="0034546F"/>
    <w:rsid w:val="00345E51"/>
    <w:rsid w:val="003519A5"/>
    <w:rsid w:val="003531B5"/>
    <w:rsid w:val="003539B5"/>
    <w:rsid w:val="00353A8F"/>
    <w:rsid w:val="00354D76"/>
    <w:rsid w:val="00356280"/>
    <w:rsid w:val="003567E3"/>
    <w:rsid w:val="0036040D"/>
    <w:rsid w:val="0036157B"/>
    <w:rsid w:val="00361707"/>
    <w:rsid w:val="00361FB9"/>
    <w:rsid w:val="003631A1"/>
    <w:rsid w:val="0036355A"/>
    <w:rsid w:val="00363A70"/>
    <w:rsid w:val="00365461"/>
    <w:rsid w:val="003655F4"/>
    <w:rsid w:val="003716F4"/>
    <w:rsid w:val="003717C7"/>
    <w:rsid w:val="00371B16"/>
    <w:rsid w:val="003727FA"/>
    <w:rsid w:val="00372E96"/>
    <w:rsid w:val="00374B98"/>
    <w:rsid w:val="00376CE7"/>
    <w:rsid w:val="00381B5A"/>
    <w:rsid w:val="00383FDB"/>
    <w:rsid w:val="00385237"/>
    <w:rsid w:val="003858AF"/>
    <w:rsid w:val="00385CCB"/>
    <w:rsid w:val="00387317"/>
    <w:rsid w:val="00387FBB"/>
    <w:rsid w:val="0039283E"/>
    <w:rsid w:val="003973DB"/>
    <w:rsid w:val="003A1418"/>
    <w:rsid w:val="003A1764"/>
    <w:rsid w:val="003A4996"/>
    <w:rsid w:val="003A4B69"/>
    <w:rsid w:val="003A4F1C"/>
    <w:rsid w:val="003A581E"/>
    <w:rsid w:val="003A6575"/>
    <w:rsid w:val="003B0CA2"/>
    <w:rsid w:val="003B2FDB"/>
    <w:rsid w:val="003B3365"/>
    <w:rsid w:val="003B5397"/>
    <w:rsid w:val="003B680F"/>
    <w:rsid w:val="003C05F0"/>
    <w:rsid w:val="003C0E6F"/>
    <w:rsid w:val="003C1BFE"/>
    <w:rsid w:val="003C207D"/>
    <w:rsid w:val="003C51D3"/>
    <w:rsid w:val="003C5C2D"/>
    <w:rsid w:val="003C6872"/>
    <w:rsid w:val="003C72BC"/>
    <w:rsid w:val="003C7932"/>
    <w:rsid w:val="003D0423"/>
    <w:rsid w:val="003D12BE"/>
    <w:rsid w:val="003D1FF1"/>
    <w:rsid w:val="003D210C"/>
    <w:rsid w:val="003D337F"/>
    <w:rsid w:val="003D3A99"/>
    <w:rsid w:val="003D57B4"/>
    <w:rsid w:val="003D5D22"/>
    <w:rsid w:val="003D6BD8"/>
    <w:rsid w:val="003D7000"/>
    <w:rsid w:val="003E0786"/>
    <w:rsid w:val="003E0A3D"/>
    <w:rsid w:val="003E114C"/>
    <w:rsid w:val="003E2098"/>
    <w:rsid w:val="003E40D7"/>
    <w:rsid w:val="003E5DCC"/>
    <w:rsid w:val="003E7EDE"/>
    <w:rsid w:val="003F41E4"/>
    <w:rsid w:val="003F5FB1"/>
    <w:rsid w:val="004017DC"/>
    <w:rsid w:val="00402DD6"/>
    <w:rsid w:val="00404148"/>
    <w:rsid w:val="0040570F"/>
    <w:rsid w:val="00405819"/>
    <w:rsid w:val="00405856"/>
    <w:rsid w:val="0041201E"/>
    <w:rsid w:val="0041262B"/>
    <w:rsid w:val="004129FD"/>
    <w:rsid w:val="004137D6"/>
    <w:rsid w:val="00414A2E"/>
    <w:rsid w:val="00414BFC"/>
    <w:rsid w:val="0041590F"/>
    <w:rsid w:val="00415BFB"/>
    <w:rsid w:val="00415EBF"/>
    <w:rsid w:val="00416150"/>
    <w:rsid w:val="00417A47"/>
    <w:rsid w:val="0042270A"/>
    <w:rsid w:val="00423F25"/>
    <w:rsid w:val="004240F2"/>
    <w:rsid w:val="00425892"/>
    <w:rsid w:val="004273E4"/>
    <w:rsid w:val="00430E1C"/>
    <w:rsid w:val="00431CFA"/>
    <w:rsid w:val="00433589"/>
    <w:rsid w:val="0043409F"/>
    <w:rsid w:val="00435C73"/>
    <w:rsid w:val="00437FD7"/>
    <w:rsid w:val="00440513"/>
    <w:rsid w:val="00441275"/>
    <w:rsid w:val="004421E6"/>
    <w:rsid w:val="004424C0"/>
    <w:rsid w:val="0044411E"/>
    <w:rsid w:val="0044421A"/>
    <w:rsid w:val="00444DDF"/>
    <w:rsid w:val="00445D75"/>
    <w:rsid w:val="00446CB6"/>
    <w:rsid w:val="00446F4A"/>
    <w:rsid w:val="00447C16"/>
    <w:rsid w:val="00447D82"/>
    <w:rsid w:val="00450903"/>
    <w:rsid w:val="0045331E"/>
    <w:rsid w:val="0045454E"/>
    <w:rsid w:val="004546E3"/>
    <w:rsid w:val="00460687"/>
    <w:rsid w:val="00460AEC"/>
    <w:rsid w:val="00462BDA"/>
    <w:rsid w:val="00464288"/>
    <w:rsid w:val="0046680F"/>
    <w:rsid w:val="00467869"/>
    <w:rsid w:val="0046787F"/>
    <w:rsid w:val="00467BFD"/>
    <w:rsid w:val="004707D5"/>
    <w:rsid w:val="00470937"/>
    <w:rsid w:val="0047479B"/>
    <w:rsid w:val="00475F89"/>
    <w:rsid w:val="004766BE"/>
    <w:rsid w:val="00476E36"/>
    <w:rsid w:val="004801BA"/>
    <w:rsid w:val="0048082A"/>
    <w:rsid w:val="00481BA0"/>
    <w:rsid w:val="00484A36"/>
    <w:rsid w:val="00485E45"/>
    <w:rsid w:val="0048648F"/>
    <w:rsid w:val="0048699D"/>
    <w:rsid w:val="00486F9F"/>
    <w:rsid w:val="00487D5E"/>
    <w:rsid w:val="004928FB"/>
    <w:rsid w:val="00492F77"/>
    <w:rsid w:val="00492FA5"/>
    <w:rsid w:val="004A13C8"/>
    <w:rsid w:val="004A21F2"/>
    <w:rsid w:val="004A3C3E"/>
    <w:rsid w:val="004A3DF4"/>
    <w:rsid w:val="004A40A2"/>
    <w:rsid w:val="004A5975"/>
    <w:rsid w:val="004A5BEB"/>
    <w:rsid w:val="004A5EBC"/>
    <w:rsid w:val="004B0AED"/>
    <w:rsid w:val="004B0E50"/>
    <w:rsid w:val="004B3242"/>
    <w:rsid w:val="004B4234"/>
    <w:rsid w:val="004B429B"/>
    <w:rsid w:val="004B6B0B"/>
    <w:rsid w:val="004B7623"/>
    <w:rsid w:val="004C0081"/>
    <w:rsid w:val="004C213E"/>
    <w:rsid w:val="004C30C5"/>
    <w:rsid w:val="004C49AE"/>
    <w:rsid w:val="004C5F2E"/>
    <w:rsid w:val="004C7089"/>
    <w:rsid w:val="004C769C"/>
    <w:rsid w:val="004D34E7"/>
    <w:rsid w:val="004D4525"/>
    <w:rsid w:val="004E00F3"/>
    <w:rsid w:val="004E0814"/>
    <w:rsid w:val="004E1DFA"/>
    <w:rsid w:val="004E2349"/>
    <w:rsid w:val="004E30EB"/>
    <w:rsid w:val="004E42B1"/>
    <w:rsid w:val="004E54FD"/>
    <w:rsid w:val="004E77B5"/>
    <w:rsid w:val="004F67BB"/>
    <w:rsid w:val="004F73CB"/>
    <w:rsid w:val="00500976"/>
    <w:rsid w:val="00502305"/>
    <w:rsid w:val="00503191"/>
    <w:rsid w:val="00504332"/>
    <w:rsid w:val="00505AF8"/>
    <w:rsid w:val="00505B76"/>
    <w:rsid w:val="00505CC2"/>
    <w:rsid w:val="005062E4"/>
    <w:rsid w:val="00506EB4"/>
    <w:rsid w:val="005116E9"/>
    <w:rsid w:val="0051261B"/>
    <w:rsid w:val="00513741"/>
    <w:rsid w:val="00514507"/>
    <w:rsid w:val="00515311"/>
    <w:rsid w:val="005174C9"/>
    <w:rsid w:val="005201C5"/>
    <w:rsid w:val="00520655"/>
    <w:rsid w:val="005206FA"/>
    <w:rsid w:val="0052138C"/>
    <w:rsid w:val="0052248D"/>
    <w:rsid w:val="005243C6"/>
    <w:rsid w:val="005250AB"/>
    <w:rsid w:val="0052648F"/>
    <w:rsid w:val="0053266C"/>
    <w:rsid w:val="00532773"/>
    <w:rsid w:val="00532FE7"/>
    <w:rsid w:val="005334DA"/>
    <w:rsid w:val="00533EE4"/>
    <w:rsid w:val="00534243"/>
    <w:rsid w:val="00534733"/>
    <w:rsid w:val="00535168"/>
    <w:rsid w:val="0053641B"/>
    <w:rsid w:val="0054020F"/>
    <w:rsid w:val="005446BE"/>
    <w:rsid w:val="00545F4F"/>
    <w:rsid w:val="00547918"/>
    <w:rsid w:val="00547F21"/>
    <w:rsid w:val="00550072"/>
    <w:rsid w:val="00551A2B"/>
    <w:rsid w:val="005528EA"/>
    <w:rsid w:val="00554402"/>
    <w:rsid w:val="005546B4"/>
    <w:rsid w:val="00557AA4"/>
    <w:rsid w:val="00560783"/>
    <w:rsid w:val="00562467"/>
    <w:rsid w:val="00563B4A"/>
    <w:rsid w:val="00564688"/>
    <w:rsid w:val="00565016"/>
    <w:rsid w:val="00565279"/>
    <w:rsid w:val="00565E6B"/>
    <w:rsid w:val="00570B37"/>
    <w:rsid w:val="00570B69"/>
    <w:rsid w:val="0057318C"/>
    <w:rsid w:val="005734C5"/>
    <w:rsid w:val="00575B1A"/>
    <w:rsid w:val="00576361"/>
    <w:rsid w:val="00577E9E"/>
    <w:rsid w:val="0058237D"/>
    <w:rsid w:val="00584780"/>
    <w:rsid w:val="005867EA"/>
    <w:rsid w:val="00586BEB"/>
    <w:rsid w:val="005872FC"/>
    <w:rsid w:val="00587470"/>
    <w:rsid w:val="005876C4"/>
    <w:rsid w:val="0059169A"/>
    <w:rsid w:val="0059345D"/>
    <w:rsid w:val="00594085"/>
    <w:rsid w:val="00594D66"/>
    <w:rsid w:val="00595490"/>
    <w:rsid w:val="005A28A2"/>
    <w:rsid w:val="005A32BF"/>
    <w:rsid w:val="005A5C5E"/>
    <w:rsid w:val="005A7328"/>
    <w:rsid w:val="005A7D7D"/>
    <w:rsid w:val="005B258F"/>
    <w:rsid w:val="005B26AE"/>
    <w:rsid w:val="005B3116"/>
    <w:rsid w:val="005B479A"/>
    <w:rsid w:val="005B5BDE"/>
    <w:rsid w:val="005B6E3A"/>
    <w:rsid w:val="005C1881"/>
    <w:rsid w:val="005C2267"/>
    <w:rsid w:val="005C2F57"/>
    <w:rsid w:val="005C4070"/>
    <w:rsid w:val="005C4B6D"/>
    <w:rsid w:val="005C4BA0"/>
    <w:rsid w:val="005C50C2"/>
    <w:rsid w:val="005C6A55"/>
    <w:rsid w:val="005C7EA3"/>
    <w:rsid w:val="005D1B5C"/>
    <w:rsid w:val="005D1D00"/>
    <w:rsid w:val="005D255F"/>
    <w:rsid w:val="005D297C"/>
    <w:rsid w:val="005D3D60"/>
    <w:rsid w:val="005D44D4"/>
    <w:rsid w:val="005D4C45"/>
    <w:rsid w:val="005D51FE"/>
    <w:rsid w:val="005D5280"/>
    <w:rsid w:val="005D77D8"/>
    <w:rsid w:val="005D7D22"/>
    <w:rsid w:val="005E0D18"/>
    <w:rsid w:val="005E132E"/>
    <w:rsid w:val="005E1351"/>
    <w:rsid w:val="005E17A0"/>
    <w:rsid w:val="005E3E98"/>
    <w:rsid w:val="005E4F56"/>
    <w:rsid w:val="005E5044"/>
    <w:rsid w:val="005E5BCF"/>
    <w:rsid w:val="005E7E6C"/>
    <w:rsid w:val="005F1B81"/>
    <w:rsid w:val="005F1D3D"/>
    <w:rsid w:val="005F346B"/>
    <w:rsid w:val="005F6A3C"/>
    <w:rsid w:val="006020F9"/>
    <w:rsid w:val="0060210A"/>
    <w:rsid w:val="0060216A"/>
    <w:rsid w:val="006025E2"/>
    <w:rsid w:val="00612B46"/>
    <w:rsid w:val="006155C2"/>
    <w:rsid w:val="00616BBC"/>
    <w:rsid w:val="00623AEF"/>
    <w:rsid w:val="006258C1"/>
    <w:rsid w:val="00626054"/>
    <w:rsid w:val="00626D86"/>
    <w:rsid w:val="006270D1"/>
    <w:rsid w:val="006277A2"/>
    <w:rsid w:val="00627ADA"/>
    <w:rsid w:val="00632599"/>
    <w:rsid w:val="00632E2E"/>
    <w:rsid w:val="00634320"/>
    <w:rsid w:val="006344A6"/>
    <w:rsid w:val="00634902"/>
    <w:rsid w:val="006352ED"/>
    <w:rsid w:val="00636A38"/>
    <w:rsid w:val="00637912"/>
    <w:rsid w:val="00641A23"/>
    <w:rsid w:val="00641F24"/>
    <w:rsid w:val="0064233E"/>
    <w:rsid w:val="00642E48"/>
    <w:rsid w:val="006434C6"/>
    <w:rsid w:val="00645F99"/>
    <w:rsid w:val="006464A4"/>
    <w:rsid w:val="0064766D"/>
    <w:rsid w:val="00651112"/>
    <w:rsid w:val="00651E7E"/>
    <w:rsid w:val="00652A21"/>
    <w:rsid w:val="00653FCF"/>
    <w:rsid w:val="00654FEA"/>
    <w:rsid w:val="00657394"/>
    <w:rsid w:val="00661CC8"/>
    <w:rsid w:val="0066639A"/>
    <w:rsid w:val="00666765"/>
    <w:rsid w:val="00670796"/>
    <w:rsid w:val="006717F2"/>
    <w:rsid w:val="006720F8"/>
    <w:rsid w:val="006737CF"/>
    <w:rsid w:val="006748B7"/>
    <w:rsid w:val="00676948"/>
    <w:rsid w:val="006770A6"/>
    <w:rsid w:val="00677232"/>
    <w:rsid w:val="006801C8"/>
    <w:rsid w:val="00681CDE"/>
    <w:rsid w:val="006831C5"/>
    <w:rsid w:val="00683473"/>
    <w:rsid w:val="00683CD6"/>
    <w:rsid w:val="00685A57"/>
    <w:rsid w:val="0068798A"/>
    <w:rsid w:val="006921DB"/>
    <w:rsid w:val="006939C1"/>
    <w:rsid w:val="00693F27"/>
    <w:rsid w:val="0069488D"/>
    <w:rsid w:val="006955F6"/>
    <w:rsid w:val="0069747B"/>
    <w:rsid w:val="006A1EA1"/>
    <w:rsid w:val="006A1F3D"/>
    <w:rsid w:val="006A496D"/>
    <w:rsid w:val="006A5881"/>
    <w:rsid w:val="006A7269"/>
    <w:rsid w:val="006B12A7"/>
    <w:rsid w:val="006B20DF"/>
    <w:rsid w:val="006B2364"/>
    <w:rsid w:val="006B2FC8"/>
    <w:rsid w:val="006B4BBD"/>
    <w:rsid w:val="006B57DD"/>
    <w:rsid w:val="006C09F4"/>
    <w:rsid w:val="006C0DA2"/>
    <w:rsid w:val="006C1E61"/>
    <w:rsid w:val="006C3DC1"/>
    <w:rsid w:val="006C404F"/>
    <w:rsid w:val="006C4152"/>
    <w:rsid w:val="006C4691"/>
    <w:rsid w:val="006C4ABD"/>
    <w:rsid w:val="006C4F9B"/>
    <w:rsid w:val="006D201B"/>
    <w:rsid w:val="006D232E"/>
    <w:rsid w:val="006D4881"/>
    <w:rsid w:val="006D4C27"/>
    <w:rsid w:val="006D586F"/>
    <w:rsid w:val="006E02C3"/>
    <w:rsid w:val="006E0DA9"/>
    <w:rsid w:val="006E3452"/>
    <w:rsid w:val="006E3646"/>
    <w:rsid w:val="006E4462"/>
    <w:rsid w:val="006E7662"/>
    <w:rsid w:val="006F0492"/>
    <w:rsid w:val="006F06A0"/>
    <w:rsid w:val="006F08FE"/>
    <w:rsid w:val="006F1A21"/>
    <w:rsid w:val="006F2219"/>
    <w:rsid w:val="006F463D"/>
    <w:rsid w:val="006F59B5"/>
    <w:rsid w:val="006F5B86"/>
    <w:rsid w:val="006F5ED0"/>
    <w:rsid w:val="006F6030"/>
    <w:rsid w:val="006F6B07"/>
    <w:rsid w:val="007017C3"/>
    <w:rsid w:val="00701BFA"/>
    <w:rsid w:val="00701DE5"/>
    <w:rsid w:val="007020A1"/>
    <w:rsid w:val="007028A6"/>
    <w:rsid w:val="00704759"/>
    <w:rsid w:val="007055B4"/>
    <w:rsid w:val="00705D48"/>
    <w:rsid w:val="0070677F"/>
    <w:rsid w:val="00706CF4"/>
    <w:rsid w:val="00707D9A"/>
    <w:rsid w:val="00710A56"/>
    <w:rsid w:val="00712538"/>
    <w:rsid w:val="00713E3E"/>
    <w:rsid w:val="00714B42"/>
    <w:rsid w:val="00716CC5"/>
    <w:rsid w:val="00721450"/>
    <w:rsid w:val="00722785"/>
    <w:rsid w:val="0072384E"/>
    <w:rsid w:val="0072588B"/>
    <w:rsid w:val="00725C93"/>
    <w:rsid w:val="00725F20"/>
    <w:rsid w:val="007267D0"/>
    <w:rsid w:val="00727543"/>
    <w:rsid w:val="00730939"/>
    <w:rsid w:val="00730F80"/>
    <w:rsid w:val="00740C09"/>
    <w:rsid w:val="0074143C"/>
    <w:rsid w:val="0074189C"/>
    <w:rsid w:val="00741F9D"/>
    <w:rsid w:val="007425AC"/>
    <w:rsid w:val="00742CCD"/>
    <w:rsid w:val="00746A73"/>
    <w:rsid w:val="007508A8"/>
    <w:rsid w:val="0075143B"/>
    <w:rsid w:val="00755049"/>
    <w:rsid w:val="00755AEA"/>
    <w:rsid w:val="00755AF7"/>
    <w:rsid w:val="0076058D"/>
    <w:rsid w:val="00760F17"/>
    <w:rsid w:val="007663CE"/>
    <w:rsid w:val="0076678E"/>
    <w:rsid w:val="00770122"/>
    <w:rsid w:val="00772B2A"/>
    <w:rsid w:val="007735F8"/>
    <w:rsid w:val="00774F5C"/>
    <w:rsid w:val="007756B3"/>
    <w:rsid w:val="00775F76"/>
    <w:rsid w:val="0077727E"/>
    <w:rsid w:val="00782C8A"/>
    <w:rsid w:val="0078343D"/>
    <w:rsid w:val="00783AA7"/>
    <w:rsid w:val="00784442"/>
    <w:rsid w:val="00784915"/>
    <w:rsid w:val="0078492A"/>
    <w:rsid w:val="00785F0C"/>
    <w:rsid w:val="00787A6E"/>
    <w:rsid w:val="00790B41"/>
    <w:rsid w:val="007923C5"/>
    <w:rsid w:val="00792634"/>
    <w:rsid w:val="00792C58"/>
    <w:rsid w:val="00793291"/>
    <w:rsid w:val="00793895"/>
    <w:rsid w:val="00793F32"/>
    <w:rsid w:val="007942E0"/>
    <w:rsid w:val="00794E27"/>
    <w:rsid w:val="007950EF"/>
    <w:rsid w:val="007972CE"/>
    <w:rsid w:val="007A2766"/>
    <w:rsid w:val="007A2A9C"/>
    <w:rsid w:val="007A343D"/>
    <w:rsid w:val="007A37BB"/>
    <w:rsid w:val="007A5375"/>
    <w:rsid w:val="007A7156"/>
    <w:rsid w:val="007A7E72"/>
    <w:rsid w:val="007B16CE"/>
    <w:rsid w:val="007B38DC"/>
    <w:rsid w:val="007B5C25"/>
    <w:rsid w:val="007B6A01"/>
    <w:rsid w:val="007C038A"/>
    <w:rsid w:val="007C03ED"/>
    <w:rsid w:val="007C0AEE"/>
    <w:rsid w:val="007C41C0"/>
    <w:rsid w:val="007D04AC"/>
    <w:rsid w:val="007D0C8E"/>
    <w:rsid w:val="007D6362"/>
    <w:rsid w:val="007D6402"/>
    <w:rsid w:val="007D6705"/>
    <w:rsid w:val="007D7403"/>
    <w:rsid w:val="007E079B"/>
    <w:rsid w:val="007E1B19"/>
    <w:rsid w:val="007E22A6"/>
    <w:rsid w:val="007E23ED"/>
    <w:rsid w:val="007E49FE"/>
    <w:rsid w:val="007E6157"/>
    <w:rsid w:val="007E7777"/>
    <w:rsid w:val="007F010B"/>
    <w:rsid w:val="007F06D3"/>
    <w:rsid w:val="007F0A03"/>
    <w:rsid w:val="007F36A6"/>
    <w:rsid w:val="007F4C1F"/>
    <w:rsid w:val="00803729"/>
    <w:rsid w:val="0080445C"/>
    <w:rsid w:val="008048FB"/>
    <w:rsid w:val="00805596"/>
    <w:rsid w:val="00805F1B"/>
    <w:rsid w:val="00806766"/>
    <w:rsid w:val="008101E1"/>
    <w:rsid w:val="00811C61"/>
    <w:rsid w:val="008136D7"/>
    <w:rsid w:val="00815FE6"/>
    <w:rsid w:val="008207D0"/>
    <w:rsid w:val="00821883"/>
    <w:rsid w:val="008222B8"/>
    <w:rsid w:val="0082396E"/>
    <w:rsid w:val="00824C61"/>
    <w:rsid w:val="00831CC2"/>
    <w:rsid w:val="00832959"/>
    <w:rsid w:val="00833C6F"/>
    <w:rsid w:val="0083524C"/>
    <w:rsid w:val="00837586"/>
    <w:rsid w:val="008376E3"/>
    <w:rsid w:val="008424CC"/>
    <w:rsid w:val="00843A7D"/>
    <w:rsid w:val="00844D9A"/>
    <w:rsid w:val="00844F90"/>
    <w:rsid w:val="00845716"/>
    <w:rsid w:val="00845FC9"/>
    <w:rsid w:val="0085065B"/>
    <w:rsid w:val="008514FF"/>
    <w:rsid w:val="0085211C"/>
    <w:rsid w:val="008525B3"/>
    <w:rsid w:val="008526DB"/>
    <w:rsid w:val="0085281A"/>
    <w:rsid w:val="008529D0"/>
    <w:rsid w:val="00853695"/>
    <w:rsid w:val="0086019F"/>
    <w:rsid w:val="008606F3"/>
    <w:rsid w:val="008607DA"/>
    <w:rsid w:val="00861D08"/>
    <w:rsid w:val="008626E4"/>
    <w:rsid w:val="008647F8"/>
    <w:rsid w:val="008649BD"/>
    <w:rsid w:val="00870AFD"/>
    <w:rsid w:val="00870C94"/>
    <w:rsid w:val="008717DD"/>
    <w:rsid w:val="00875A82"/>
    <w:rsid w:val="00876967"/>
    <w:rsid w:val="008772ED"/>
    <w:rsid w:val="00881512"/>
    <w:rsid w:val="00882BBC"/>
    <w:rsid w:val="00883312"/>
    <w:rsid w:val="00883B70"/>
    <w:rsid w:val="00883B78"/>
    <w:rsid w:val="0088488E"/>
    <w:rsid w:val="008869DF"/>
    <w:rsid w:val="00886ED6"/>
    <w:rsid w:val="00890030"/>
    <w:rsid w:val="0089195C"/>
    <w:rsid w:val="00892E24"/>
    <w:rsid w:val="00896AF8"/>
    <w:rsid w:val="008978C0"/>
    <w:rsid w:val="00897CFF"/>
    <w:rsid w:val="008A05BB"/>
    <w:rsid w:val="008A25E4"/>
    <w:rsid w:val="008A299A"/>
    <w:rsid w:val="008A33AB"/>
    <w:rsid w:val="008A40B5"/>
    <w:rsid w:val="008A5444"/>
    <w:rsid w:val="008A6E69"/>
    <w:rsid w:val="008A79A5"/>
    <w:rsid w:val="008B13AD"/>
    <w:rsid w:val="008B1FBF"/>
    <w:rsid w:val="008B2402"/>
    <w:rsid w:val="008B417B"/>
    <w:rsid w:val="008B487A"/>
    <w:rsid w:val="008B5C58"/>
    <w:rsid w:val="008B62B5"/>
    <w:rsid w:val="008B6DB9"/>
    <w:rsid w:val="008C0C33"/>
    <w:rsid w:val="008C2432"/>
    <w:rsid w:val="008C4DE4"/>
    <w:rsid w:val="008C5035"/>
    <w:rsid w:val="008C64E2"/>
    <w:rsid w:val="008C69EF"/>
    <w:rsid w:val="008C7E6B"/>
    <w:rsid w:val="008D046B"/>
    <w:rsid w:val="008D40E5"/>
    <w:rsid w:val="008D5220"/>
    <w:rsid w:val="008E1153"/>
    <w:rsid w:val="008E1574"/>
    <w:rsid w:val="008E1B80"/>
    <w:rsid w:val="008E50AF"/>
    <w:rsid w:val="008E72DA"/>
    <w:rsid w:val="008E7664"/>
    <w:rsid w:val="008F026B"/>
    <w:rsid w:val="008F0BDC"/>
    <w:rsid w:val="008F1283"/>
    <w:rsid w:val="008F1720"/>
    <w:rsid w:val="008F1F2D"/>
    <w:rsid w:val="008F275A"/>
    <w:rsid w:val="008F34F0"/>
    <w:rsid w:val="008F355B"/>
    <w:rsid w:val="008F4BC6"/>
    <w:rsid w:val="008F6D58"/>
    <w:rsid w:val="008F722F"/>
    <w:rsid w:val="008F7942"/>
    <w:rsid w:val="008F7BDF"/>
    <w:rsid w:val="00900BB7"/>
    <w:rsid w:val="00900CCB"/>
    <w:rsid w:val="00903BD4"/>
    <w:rsid w:val="00903DAD"/>
    <w:rsid w:val="009044E1"/>
    <w:rsid w:val="00904A1E"/>
    <w:rsid w:val="00906152"/>
    <w:rsid w:val="00906BA3"/>
    <w:rsid w:val="00906CC0"/>
    <w:rsid w:val="0090797A"/>
    <w:rsid w:val="00907DE0"/>
    <w:rsid w:val="00910872"/>
    <w:rsid w:val="00911600"/>
    <w:rsid w:val="00911693"/>
    <w:rsid w:val="00911DD4"/>
    <w:rsid w:val="009131B6"/>
    <w:rsid w:val="00913F13"/>
    <w:rsid w:val="00914217"/>
    <w:rsid w:val="0091476E"/>
    <w:rsid w:val="009157AF"/>
    <w:rsid w:val="00915DDA"/>
    <w:rsid w:val="0091623C"/>
    <w:rsid w:val="00917641"/>
    <w:rsid w:val="009179CA"/>
    <w:rsid w:val="00921407"/>
    <w:rsid w:val="00921BF8"/>
    <w:rsid w:val="009230E4"/>
    <w:rsid w:val="0092382A"/>
    <w:rsid w:val="00924BC2"/>
    <w:rsid w:val="00926966"/>
    <w:rsid w:val="009269A6"/>
    <w:rsid w:val="009272E4"/>
    <w:rsid w:val="00927443"/>
    <w:rsid w:val="0093096D"/>
    <w:rsid w:val="009334DC"/>
    <w:rsid w:val="00934400"/>
    <w:rsid w:val="0093635E"/>
    <w:rsid w:val="009370C4"/>
    <w:rsid w:val="009370FA"/>
    <w:rsid w:val="00937629"/>
    <w:rsid w:val="009407F5"/>
    <w:rsid w:val="00940966"/>
    <w:rsid w:val="00941C35"/>
    <w:rsid w:val="00942136"/>
    <w:rsid w:val="00942CF7"/>
    <w:rsid w:val="0094339C"/>
    <w:rsid w:val="00944353"/>
    <w:rsid w:val="00944603"/>
    <w:rsid w:val="0094492E"/>
    <w:rsid w:val="009459F3"/>
    <w:rsid w:val="009460BA"/>
    <w:rsid w:val="009471D2"/>
    <w:rsid w:val="009500EC"/>
    <w:rsid w:val="00950225"/>
    <w:rsid w:val="00951183"/>
    <w:rsid w:val="00951F56"/>
    <w:rsid w:val="0095785D"/>
    <w:rsid w:val="00960553"/>
    <w:rsid w:val="00961EE8"/>
    <w:rsid w:val="00961F8E"/>
    <w:rsid w:val="00962D7B"/>
    <w:rsid w:val="00964195"/>
    <w:rsid w:val="0096543E"/>
    <w:rsid w:val="00966BB2"/>
    <w:rsid w:val="00970278"/>
    <w:rsid w:val="00971379"/>
    <w:rsid w:val="00971668"/>
    <w:rsid w:val="009721EF"/>
    <w:rsid w:val="0097250C"/>
    <w:rsid w:val="009726CF"/>
    <w:rsid w:val="00972955"/>
    <w:rsid w:val="009738A5"/>
    <w:rsid w:val="00973ED7"/>
    <w:rsid w:val="00974312"/>
    <w:rsid w:val="0097459C"/>
    <w:rsid w:val="0097585E"/>
    <w:rsid w:val="00977A84"/>
    <w:rsid w:val="00980DE3"/>
    <w:rsid w:val="00980DEA"/>
    <w:rsid w:val="009816A0"/>
    <w:rsid w:val="00981D40"/>
    <w:rsid w:val="0098206E"/>
    <w:rsid w:val="00982FF0"/>
    <w:rsid w:val="00991F08"/>
    <w:rsid w:val="00993A9E"/>
    <w:rsid w:val="00996DE9"/>
    <w:rsid w:val="0099727C"/>
    <w:rsid w:val="009A00E8"/>
    <w:rsid w:val="009A07AB"/>
    <w:rsid w:val="009A0AAC"/>
    <w:rsid w:val="009A2FAF"/>
    <w:rsid w:val="009A34E3"/>
    <w:rsid w:val="009A5200"/>
    <w:rsid w:val="009A5CC8"/>
    <w:rsid w:val="009B142D"/>
    <w:rsid w:val="009B1835"/>
    <w:rsid w:val="009B2657"/>
    <w:rsid w:val="009B2D91"/>
    <w:rsid w:val="009B2EC1"/>
    <w:rsid w:val="009B323D"/>
    <w:rsid w:val="009B429D"/>
    <w:rsid w:val="009B555E"/>
    <w:rsid w:val="009B5DBB"/>
    <w:rsid w:val="009C145D"/>
    <w:rsid w:val="009C2E88"/>
    <w:rsid w:val="009C3E28"/>
    <w:rsid w:val="009C3F29"/>
    <w:rsid w:val="009C5517"/>
    <w:rsid w:val="009D0472"/>
    <w:rsid w:val="009D344F"/>
    <w:rsid w:val="009D3A3E"/>
    <w:rsid w:val="009D4D32"/>
    <w:rsid w:val="009D67B9"/>
    <w:rsid w:val="009E0481"/>
    <w:rsid w:val="009E4F67"/>
    <w:rsid w:val="009E5147"/>
    <w:rsid w:val="009E7A1C"/>
    <w:rsid w:val="009E7A2D"/>
    <w:rsid w:val="009F0808"/>
    <w:rsid w:val="009F12CD"/>
    <w:rsid w:val="009F12FD"/>
    <w:rsid w:val="009F3270"/>
    <w:rsid w:val="009F40A9"/>
    <w:rsid w:val="009F410E"/>
    <w:rsid w:val="009F5F7A"/>
    <w:rsid w:val="009F6C64"/>
    <w:rsid w:val="009F707C"/>
    <w:rsid w:val="009F7C2C"/>
    <w:rsid w:val="00A001F7"/>
    <w:rsid w:val="00A00F96"/>
    <w:rsid w:val="00A0158F"/>
    <w:rsid w:val="00A0189D"/>
    <w:rsid w:val="00A024F5"/>
    <w:rsid w:val="00A03411"/>
    <w:rsid w:val="00A0598B"/>
    <w:rsid w:val="00A06931"/>
    <w:rsid w:val="00A072C5"/>
    <w:rsid w:val="00A13D7D"/>
    <w:rsid w:val="00A15B6F"/>
    <w:rsid w:val="00A167BE"/>
    <w:rsid w:val="00A169EC"/>
    <w:rsid w:val="00A174D8"/>
    <w:rsid w:val="00A21394"/>
    <w:rsid w:val="00A2208E"/>
    <w:rsid w:val="00A22CEA"/>
    <w:rsid w:val="00A24466"/>
    <w:rsid w:val="00A25026"/>
    <w:rsid w:val="00A251FF"/>
    <w:rsid w:val="00A31C82"/>
    <w:rsid w:val="00A3215D"/>
    <w:rsid w:val="00A3255C"/>
    <w:rsid w:val="00A33BB2"/>
    <w:rsid w:val="00A354D0"/>
    <w:rsid w:val="00A367BE"/>
    <w:rsid w:val="00A37B67"/>
    <w:rsid w:val="00A41F18"/>
    <w:rsid w:val="00A42309"/>
    <w:rsid w:val="00A44BFB"/>
    <w:rsid w:val="00A459EE"/>
    <w:rsid w:val="00A46646"/>
    <w:rsid w:val="00A5160E"/>
    <w:rsid w:val="00A53F30"/>
    <w:rsid w:val="00A53FC6"/>
    <w:rsid w:val="00A54580"/>
    <w:rsid w:val="00A54E57"/>
    <w:rsid w:val="00A552F8"/>
    <w:rsid w:val="00A55BEE"/>
    <w:rsid w:val="00A56729"/>
    <w:rsid w:val="00A62F7D"/>
    <w:rsid w:val="00A63D16"/>
    <w:rsid w:val="00A66B7D"/>
    <w:rsid w:val="00A67499"/>
    <w:rsid w:val="00A6777B"/>
    <w:rsid w:val="00A705A1"/>
    <w:rsid w:val="00A72B13"/>
    <w:rsid w:val="00A743CF"/>
    <w:rsid w:val="00A7443C"/>
    <w:rsid w:val="00A7616A"/>
    <w:rsid w:val="00A776A6"/>
    <w:rsid w:val="00A77B3E"/>
    <w:rsid w:val="00A80697"/>
    <w:rsid w:val="00A828BD"/>
    <w:rsid w:val="00A8291C"/>
    <w:rsid w:val="00A8344F"/>
    <w:rsid w:val="00A86B0B"/>
    <w:rsid w:val="00A87727"/>
    <w:rsid w:val="00A87DA5"/>
    <w:rsid w:val="00A905D8"/>
    <w:rsid w:val="00A909F3"/>
    <w:rsid w:val="00A90F6E"/>
    <w:rsid w:val="00A91553"/>
    <w:rsid w:val="00A9192A"/>
    <w:rsid w:val="00A9204B"/>
    <w:rsid w:val="00A94CDA"/>
    <w:rsid w:val="00A9539A"/>
    <w:rsid w:val="00A95963"/>
    <w:rsid w:val="00AA058D"/>
    <w:rsid w:val="00AA0657"/>
    <w:rsid w:val="00AA1375"/>
    <w:rsid w:val="00AA24E8"/>
    <w:rsid w:val="00AA253C"/>
    <w:rsid w:val="00AA2A15"/>
    <w:rsid w:val="00AA3129"/>
    <w:rsid w:val="00AB07F0"/>
    <w:rsid w:val="00AB21DA"/>
    <w:rsid w:val="00AB3823"/>
    <w:rsid w:val="00AB3AB0"/>
    <w:rsid w:val="00AB3CF5"/>
    <w:rsid w:val="00AB4A23"/>
    <w:rsid w:val="00AB4E35"/>
    <w:rsid w:val="00AB4E77"/>
    <w:rsid w:val="00AB7CA4"/>
    <w:rsid w:val="00AC1521"/>
    <w:rsid w:val="00AC2472"/>
    <w:rsid w:val="00AC2D38"/>
    <w:rsid w:val="00AC3E15"/>
    <w:rsid w:val="00AC4AE8"/>
    <w:rsid w:val="00AC70D2"/>
    <w:rsid w:val="00AC72B2"/>
    <w:rsid w:val="00AD1A38"/>
    <w:rsid w:val="00AD200C"/>
    <w:rsid w:val="00AD2D14"/>
    <w:rsid w:val="00AD5EB1"/>
    <w:rsid w:val="00AE04E2"/>
    <w:rsid w:val="00AE16B6"/>
    <w:rsid w:val="00AE2AD2"/>
    <w:rsid w:val="00AE37C3"/>
    <w:rsid w:val="00AE476E"/>
    <w:rsid w:val="00AE514B"/>
    <w:rsid w:val="00AE67A8"/>
    <w:rsid w:val="00AE6CCF"/>
    <w:rsid w:val="00AE76D3"/>
    <w:rsid w:val="00AE79C1"/>
    <w:rsid w:val="00AF01E4"/>
    <w:rsid w:val="00AF11CD"/>
    <w:rsid w:val="00AF2B79"/>
    <w:rsid w:val="00AF471E"/>
    <w:rsid w:val="00AF5419"/>
    <w:rsid w:val="00AF598F"/>
    <w:rsid w:val="00AF6524"/>
    <w:rsid w:val="00AF7CE4"/>
    <w:rsid w:val="00B0065C"/>
    <w:rsid w:val="00B024E2"/>
    <w:rsid w:val="00B02BA6"/>
    <w:rsid w:val="00B03CCF"/>
    <w:rsid w:val="00B067D1"/>
    <w:rsid w:val="00B068B6"/>
    <w:rsid w:val="00B07832"/>
    <w:rsid w:val="00B1185D"/>
    <w:rsid w:val="00B11AB6"/>
    <w:rsid w:val="00B11F64"/>
    <w:rsid w:val="00B14068"/>
    <w:rsid w:val="00B16985"/>
    <w:rsid w:val="00B1770A"/>
    <w:rsid w:val="00B17D07"/>
    <w:rsid w:val="00B25363"/>
    <w:rsid w:val="00B25813"/>
    <w:rsid w:val="00B2659A"/>
    <w:rsid w:val="00B30028"/>
    <w:rsid w:val="00B309C8"/>
    <w:rsid w:val="00B30EA1"/>
    <w:rsid w:val="00B3341D"/>
    <w:rsid w:val="00B405DE"/>
    <w:rsid w:val="00B40FF6"/>
    <w:rsid w:val="00B417B4"/>
    <w:rsid w:val="00B422C5"/>
    <w:rsid w:val="00B42442"/>
    <w:rsid w:val="00B426B1"/>
    <w:rsid w:val="00B42AC4"/>
    <w:rsid w:val="00B42F8E"/>
    <w:rsid w:val="00B43E88"/>
    <w:rsid w:val="00B44337"/>
    <w:rsid w:val="00B45540"/>
    <w:rsid w:val="00B4627D"/>
    <w:rsid w:val="00B46846"/>
    <w:rsid w:val="00B52AFC"/>
    <w:rsid w:val="00B55679"/>
    <w:rsid w:val="00B573D5"/>
    <w:rsid w:val="00B57597"/>
    <w:rsid w:val="00B57F1B"/>
    <w:rsid w:val="00B60986"/>
    <w:rsid w:val="00B6288B"/>
    <w:rsid w:val="00B63CB4"/>
    <w:rsid w:val="00B65096"/>
    <w:rsid w:val="00B65280"/>
    <w:rsid w:val="00B65E77"/>
    <w:rsid w:val="00B67BDE"/>
    <w:rsid w:val="00B71405"/>
    <w:rsid w:val="00B748F6"/>
    <w:rsid w:val="00B7612E"/>
    <w:rsid w:val="00B76173"/>
    <w:rsid w:val="00B81361"/>
    <w:rsid w:val="00B8180B"/>
    <w:rsid w:val="00B83395"/>
    <w:rsid w:val="00B83F6A"/>
    <w:rsid w:val="00B85086"/>
    <w:rsid w:val="00B85E1D"/>
    <w:rsid w:val="00B85E70"/>
    <w:rsid w:val="00B86070"/>
    <w:rsid w:val="00B87702"/>
    <w:rsid w:val="00B905AD"/>
    <w:rsid w:val="00B91B63"/>
    <w:rsid w:val="00B96160"/>
    <w:rsid w:val="00B96364"/>
    <w:rsid w:val="00B96449"/>
    <w:rsid w:val="00B966F3"/>
    <w:rsid w:val="00B96769"/>
    <w:rsid w:val="00BA01A1"/>
    <w:rsid w:val="00BA38D5"/>
    <w:rsid w:val="00BA5C24"/>
    <w:rsid w:val="00BB563A"/>
    <w:rsid w:val="00BB5F7B"/>
    <w:rsid w:val="00BB7708"/>
    <w:rsid w:val="00BB7F8C"/>
    <w:rsid w:val="00BC310A"/>
    <w:rsid w:val="00BC31BE"/>
    <w:rsid w:val="00BC3FC6"/>
    <w:rsid w:val="00BC4F10"/>
    <w:rsid w:val="00BC6027"/>
    <w:rsid w:val="00BC7815"/>
    <w:rsid w:val="00BD21E7"/>
    <w:rsid w:val="00BD2A57"/>
    <w:rsid w:val="00BD2C6C"/>
    <w:rsid w:val="00BD33C0"/>
    <w:rsid w:val="00BD4C0D"/>
    <w:rsid w:val="00BD55E1"/>
    <w:rsid w:val="00BD5F72"/>
    <w:rsid w:val="00BD631B"/>
    <w:rsid w:val="00BD63ED"/>
    <w:rsid w:val="00BD660A"/>
    <w:rsid w:val="00BD6ECE"/>
    <w:rsid w:val="00BD729F"/>
    <w:rsid w:val="00BD7518"/>
    <w:rsid w:val="00BD7CDE"/>
    <w:rsid w:val="00BD7DFF"/>
    <w:rsid w:val="00BE046B"/>
    <w:rsid w:val="00BE088B"/>
    <w:rsid w:val="00BE17DC"/>
    <w:rsid w:val="00BE2B14"/>
    <w:rsid w:val="00BE2E74"/>
    <w:rsid w:val="00BE39DC"/>
    <w:rsid w:val="00BE3AE5"/>
    <w:rsid w:val="00BE53C2"/>
    <w:rsid w:val="00BF13F6"/>
    <w:rsid w:val="00BF1CAB"/>
    <w:rsid w:val="00BF5472"/>
    <w:rsid w:val="00BF5BBC"/>
    <w:rsid w:val="00BF62BC"/>
    <w:rsid w:val="00BF7A5C"/>
    <w:rsid w:val="00C0052E"/>
    <w:rsid w:val="00C0065B"/>
    <w:rsid w:val="00C00CB3"/>
    <w:rsid w:val="00C00E00"/>
    <w:rsid w:val="00C01D49"/>
    <w:rsid w:val="00C01DEA"/>
    <w:rsid w:val="00C02A42"/>
    <w:rsid w:val="00C04101"/>
    <w:rsid w:val="00C06A36"/>
    <w:rsid w:val="00C13933"/>
    <w:rsid w:val="00C14B97"/>
    <w:rsid w:val="00C212EF"/>
    <w:rsid w:val="00C22ACE"/>
    <w:rsid w:val="00C2343D"/>
    <w:rsid w:val="00C2431C"/>
    <w:rsid w:val="00C269BE"/>
    <w:rsid w:val="00C26C4D"/>
    <w:rsid w:val="00C276F8"/>
    <w:rsid w:val="00C308DA"/>
    <w:rsid w:val="00C3412C"/>
    <w:rsid w:val="00C35946"/>
    <w:rsid w:val="00C35B4A"/>
    <w:rsid w:val="00C37F64"/>
    <w:rsid w:val="00C40147"/>
    <w:rsid w:val="00C41E39"/>
    <w:rsid w:val="00C45D30"/>
    <w:rsid w:val="00C46572"/>
    <w:rsid w:val="00C4779E"/>
    <w:rsid w:val="00C51B92"/>
    <w:rsid w:val="00C5211B"/>
    <w:rsid w:val="00C5390C"/>
    <w:rsid w:val="00C54352"/>
    <w:rsid w:val="00C56213"/>
    <w:rsid w:val="00C56BBD"/>
    <w:rsid w:val="00C571CA"/>
    <w:rsid w:val="00C6155E"/>
    <w:rsid w:val="00C62535"/>
    <w:rsid w:val="00C62F85"/>
    <w:rsid w:val="00C63B02"/>
    <w:rsid w:val="00C713CC"/>
    <w:rsid w:val="00C71813"/>
    <w:rsid w:val="00C719D8"/>
    <w:rsid w:val="00C72AE6"/>
    <w:rsid w:val="00C73652"/>
    <w:rsid w:val="00C75884"/>
    <w:rsid w:val="00C75BF8"/>
    <w:rsid w:val="00C768DB"/>
    <w:rsid w:val="00C770EB"/>
    <w:rsid w:val="00C77DC7"/>
    <w:rsid w:val="00C803A7"/>
    <w:rsid w:val="00C808CC"/>
    <w:rsid w:val="00C81146"/>
    <w:rsid w:val="00C81A10"/>
    <w:rsid w:val="00C834A4"/>
    <w:rsid w:val="00C836D8"/>
    <w:rsid w:val="00C84C77"/>
    <w:rsid w:val="00C84C98"/>
    <w:rsid w:val="00C854DA"/>
    <w:rsid w:val="00C8617F"/>
    <w:rsid w:val="00C86906"/>
    <w:rsid w:val="00C87F7D"/>
    <w:rsid w:val="00C90F70"/>
    <w:rsid w:val="00C91C1E"/>
    <w:rsid w:val="00C92979"/>
    <w:rsid w:val="00C930F8"/>
    <w:rsid w:val="00C938B6"/>
    <w:rsid w:val="00C94E94"/>
    <w:rsid w:val="00C954D5"/>
    <w:rsid w:val="00C95CA9"/>
    <w:rsid w:val="00CA0A81"/>
    <w:rsid w:val="00CA24CF"/>
    <w:rsid w:val="00CA2A55"/>
    <w:rsid w:val="00CA452B"/>
    <w:rsid w:val="00CA65DF"/>
    <w:rsid w:val="00CB0E24"/>
    <w:rsid w:val="00CB0FE6"/>
    <w:rsid w:val="00CB1191"/>
    <w:rsid w:val="00CB1644"/>
    <w:rsid w:val="00CB1817"/>
    <w:rsid w:val="00CB397D"/>
    <w:rsid w:val="00CB651D"/>
    <w:rsid w:val="00CB7015"/>
    <w:rsid w:val="00CB7E10"/>
    <w:rsid w:val="00CC037C"/>
    <w:rsid w:val="00CC184E"/>
    <w:rsid w:val="00CC1D5B"/>
    <w:rsid w:val="00CC50C4"/>
    <w:rsid w:val="00CC5616"/>
    <w:rsid w:val="00CC656F"/>
    <w:rsid w:val="00CC6A70"/>
    <w:rsid w:val="00CC7D4C"/>
    <w:rsid w:val="00CD0900"/>
    <w:rsid w:val="00CD124A"/>
    <w:rsid w:val="00CD1A13"/>
    <w:rsid w:val="00CD1B7B"/>
    <w:rsid w:val="00CD33F4"/>
    <w:rsid w:val="00CD4D67"/>
    <w:rsid w:val="00CD4E52"/>
    <w:rsid w:val="00CD55DC"/>
    <w:rsid w:val="00CD5E00"/>
    <w:rsid w:val="00CD6988"/>
    <w:rsid w:val="00CE1F11"/>
    <w:rsid w:val="00CE2447"/>
    <w:rsid w:val="00CE28D8"/>
    <w:rsid w:val="00CE449D"/>
    <w:rsid w:val="00CE4995"/>
    <w:rsid w:val="00CE5ABD"/>
    <w:rsid w:val="00CE616B"/>
    <w:rsid w:val="00CE7047"/>
    <w:rsid w:val="00CF0601"/>
    <w:rsid w:val="00CF28BA"/>
    <w:rsid w:val="00CF2970"/>
    <w:rsid w:val="00CF38B8"/>
    <w:rsid w:val="00CF6C31"/>
    <w:rsid w:val="00CF799E"/>
    <w:rsid w:val="00D0080E"/>
    <w:rsid w:val="00D00A6B"/>
    <w:rsid w:val="00D0357A"/>
    <w:rsid w:val="00D05F06"/>
    <w:rsid w:val="00D0768D"/>
    <w:rsid w:val="00D10C39"/>
    <w:rsid w:val="00D11684"/>
    <w:rsid w:val="00D12B62"/>
    <w:rsid w:val="00D13AFA"/>
    <w:rsid w:val="00D15D98"/>
    <w:rsid w:val="00D168C5"/>
    <w:rsid w:val="00D16AF2"/>
    <w:rsid w:val="00D16D4C"/>
    <w:rsid w:val="00D212D2"/>
    <w:rsid w:val="00D26E12"/>
    <w:rsid w:val="00D27D3F"/>
    <w:rsid w:val="00D27E55"/>
    <w:rsid w:val="00D309FE"/>
    <w:rsid w:val="00D31FF0"/>
    <w:rsid w:val="00D32936"/>
    <w:rsid w:val="00D329D7"/>
    <w:rsid w:val="00D333D5"/>
    <w:rsid w:val="00D33BB2"/>
    <w:rsid w:val="00D346F1"/>
    <w:rsid w:val="00D34EF2"/>
    <w:rsid w:val="00D447D0"/>
    <w:rsid w:val="00D44FD0"/>
    <w:rsid w:val="00D45AE7"/>
    <w:rsid w:val="00D5071B"/>
    <w:rsid w:val="00D5142A"/>
    <w:rsid w:val="00D524B1"/>
    <w:rsid w:val="00D52F07"/>
    <w:rsid w:val="00D54E22"/>
    <w:rsid w:val="00D62CB0"/>
    <w:rsid w:val="00D635D6"/>
    <w:rsid w:val="00D637B1"/>
    <w:rsid w:val="00D63F2F"/>
    <w:rsid w:val="00D66F47"/>
    <w:rsid w:val="00D675FD"/>
    <w:rsid w:val="00D71015"/>
    <w:rsid w:val="00D75BFA"/>
    <w:rsid w:val="00D75EA3"/>
    <w:rsid w:val="00D76696"/>
    <w:rsid w:val="00D76751"/>
    <w:rsid w:val="00D76E9B"/>
    <w:rsid w:val="00D7705D"/>
    <w:rsid w:val="00D77261"/>
    <w:rsid w:val="00D7774C"/>
    <w:rsid w:val="00D80149"/>
    <w:rsid w:val="00D832C5"/>
    <w:rsid w:val="00D837B5"/>
    <w:rsid w:val="00D86356"/>
    <w:rsid w:val="00D93331"/>
    <w:rsid w:val="00D94412"/>
    <w:rsid w:val="00D95821"/>
    <w:rsid w:val="00D9622B"/>
    <w:rsid w:val="00D96344"/>
    <w:rsid w:val="00D966AD"/>
    <w:rsid w:val="00D97739"/>
    <w:rsid w:val="00DA110C"/>
    <w:rsid w:val="00DA1518"/>
    <w:rsid w:val="00DA1DE5"/>
    <w:rsid w:val="00DA1E67"/>
    <w:rsid w:val="00DA25D6"/>
    <w:rsid w:val="00DA299F"/>
    <w:rsid w:val="00DA2B98"/>
    <w:rsid w:val="00DA2E2B"/>
    <w:rsid w:val="00DA43B9"/>
    <w:rsid w:val="00DA6247"/>
    <w:rsid w:val="00DA646A"/>
    <w:rsid w:val="00DA7DA5"/>
    <w:rsid w:val="00DB10D3"/>
    <w:rsid w:val="00DB1869"/>
    <w:rsid w:val="00DB284C"/>
    <w:rsid w:val="00DB5C0F"/>
    <w:rsid w:val="00DB74F0"/>
    <w:rsid w:val="00DC3D49"/>
    <w:rsid w:val="00DC3F76"/>
    <w:rsid w:val="00DC5762"/>
    <w:rsid w:val="00DC5A4A"/>
    <w:rsid w:val="00DC6DE8"/>
    <w:rsid w:val="00DD1718"/>
    <w:rsid w:val="00DD2E0E"/>
    <w:rsid w:val="00DD5D57"/>
    <w:rsid w:val="00DD6EA6"/>
    <w:rsid w:val="00DD7687"/>
    <w:rsid w:val="00DD7FDF"/>
    <w:rsid w:val="00DE1BBD"/>
    <w:rsid w:val="00DE1D3D"/>
    <w:rsid w:val="00DF3624"/>
    <w:rsid w:val="00DF53AA"/>
    <w:rsid w:val="00DF63DF"/>
    <w:rsid w:val="00DF74C3"/>
    <w:rsid w:val="00E0103B"/>
    <w:rsid w:val="00E010A4"/>
    <w:rsid w:val="00E02006"/>
    <w:rsid w:val="00E03F67"/>
    <w:rsid w:val="00E04902"/>
    <w:rsid w:val="00E06DA0"/>
    <w:rsid w:val="00E07780"/>
    <w:rsid w:val="00E10CAF"/>
    <w:rsid w:val="00E12554"/>
    <w:rsid w:val="00E139D8"/>
    <w:rsid w:val="00E13E79"/>
    <w:rsid w:val="00E146D4"/>
    <w:rsid w:val="00E21CDB"/>
    <w:rsid w:val="00E21DD4"/>
    <w:rsid w:val="00E22082"/>
    <w:rsid w:val="00E23C6B"/>
    <w:rsid w:val="00E2469E"/>
    <w:rsid w:val="00E26093"/>
    <w:rsid w:val="00E26292"/>
    <w:rsid w:val="00E26E44"/>
    <w:rsid w:val="00E311C2"/>
    <w:rsid w:val="00E32991"/>
    <w:rsid w:val="00E340D7"/>
    <w:rsid w:val="00E354AE"/>
    <w:rsid w:val="00E35696"/>
    <w:rsid w:val="00E3573B"/>
    <w:rsid w:val="00E4012A"/>
    <w:rsid w:val="00E40B42"/>
    <w:rsid w:val="00E41A7F"/>
    <w:rsid w:val="00E420CB"/>
    <w:rsid w:val="00E42D6D"/>
    <w:rsid w:val="00E430EE"/>
    <w:rsid w:val="00E451E2"/>
    <w:rsid w:val="00E4579E"/>
    <w:rsid w:val="00E468D3"/>
    <w:rsid w:val="00E46F3C"/>
    <w:rsid w:val="00E50E4B"/>
    <w:rsid w:val="00E50F59"/>
    <w:rsid w:val="00E526E8"/>
    <w:rsid w:val="00E5287F"/>
    <w:rsid w:val="00E53313"/>
    <w:rsid w:val="00E53A5B"/>
    <w:rsid w:val="00E53DFA"/>
    <w:rsid w:val="00E55730"/>
    <w:rsid w:val="00E55F9C"/>
    <w:rsid w:val="00E565BF"/>
    <w:rsid w:val="00E57EC8"/>
    <w:rsid w:val="00E60328"/>
    <w:rsid w:val="00E63176"/>
    <w:rsid w:val="00E6331E"/>
    <w:rsid w:val="00E63823"/>
    <w:rsid w:val="00E64414"/>
    <w:rsid w:val="00E64C79"/>
    <w:rsid w:val="00E66243"/>
    <w:rsid w:val="00E66778"/>
    <w:rsid w:val="00E66CCA"/>
    <w:rsid w:val="00E70B45"/>
    <w:rsid w:val="00E716F4"/>
    <w:rsid w:val="00E733AF"/>
    <w:rsid w:val="00E73A2D"/>
    <w:rsid w:val="00E7410A"/>
    <w:rsid w:val="00E774EB"/>
    <w:rsid w:val="00E80747"/>
    <w:rsid w:val="00E80ABB"/>
    <w:rsid w:val="00E854E6"/>
    <w:rsid w:val="00E87C25"/>
    <w:rsid w:val="00E903DC"/>
    <w:rsid w:val="00E9192F"/>
    <w:rsid w:val="00E93113"/>
    <w:rsid w:val="00E936CD"/>
    <w:rsid w:val="00E93C53"/>
    <w:rsid w:val="00E95206"/>
    <w:rsid w:val="00E963D2"/>
    <w:rsid w:val="00EA1847"/>
    <w:rsid w:val="00EA23F1"/>
    <w:rsid w:val="00EA4569"/>
    <w:rsid w:val="00EA4EDE"/>
    <w:rsid w:val="00EA529F"/>
    <w:rsid w:val="00EA640B"/>
    <w:rsid w:val="00EB0023"/>
    <w:rsid w:val="00EB0D89"/>
    <w:rsid w:val="00EB2A7B"/>
    <w:rsid w:val="00EB2BFB"/>
    <w:rsid w:val="00EB38DA"/>
    <w:rsid w:val="00EB4071"/>
    <w:rsid w:val="00EB4A93"/>
    <w:rsid w:val="00EB501B"/>
    <w:rsid w:val="00EB61E8"/>
    <w:rsid w:val="00EB64B4"/>
    <w:rsid w:val="00EB6CE6"/>
    <w:rsid w:val="00EB7574"/>
    <w:rsid w:val="00EC0654"/>
    <w:rsid w:val="00EC0804"/>
    <w:rsid w:val="00EC0CBE"/>
    <w:rsid w:val="00EC1A41"/>
    <w:rsid w:val="00EC5777"/>
    <w:rsid w:val="00EC6891"/>
    <w:rsid w:val="00EC73E6"/>
    <w:rsid w:val="00ED15D0"/>
    <w:rsid w:val="00ED197C"/>
    <w:rsid w:val="00ED3396"/>
    <w:rsid w:val="00ED42D6"/>
    <w:rsid w:val="00ED5D68"/>
    <w:rsid w:val="00ED5E34"/>
    <w:rsid w:val="00ED64BF"/>
    <w:rsid w:val="00ED6AF2"/>
    <w:rsid w:val="00ED6EEE"/>
    <w:rsid w:val="00EE0774"/>
    <w:rsid w:val="00EE0D17"/>
    <w:rsid w:val="00EE1253"/>
    <w:rsid w:val="00EE173F"/>
    <w:rsid w:val="00EE234C"/>
    <w:rsid w:val="00EE2B41"/>
    <w:rsid w:val="00EE52F2"/>
    <w:rsid w:val="00EE6041"/>
    <w:rsid w:val="00EE6756"/>
    <w:rsid w:val="00EE685D"/>
    <w:rsid w:val="00EE7629"/>
    <w:rsid w:val="00EF1014"/>
    <w:rsid w:val="00EF3663"/>
    <w:rsid w:val="00EF7C6B"/>
    <w:rsid w:val="00F004B6"/>
    <w:rsid w:val="00F02ABF"/>
    <w:rsid w:val="00F031D6"/>
    <w:rsid w:val="00F0374A"/>
    <w:rsid w:val="00F05320"/>
    <w:rsid w:val="00F079A4"/>
    <w:rsid w:val="00F10336"/>
    <w:rsid w:val="00F1156F"/>
    <w:rsid w:val="00F11CD3"/>
    <w:rsid w:val="00F165FB"/>
    <w:rsid w:val="00F16A6F"/>
    <w:rsid w:val="00F20748"/>
    <w:rsid w:val="00F215A4"/>
    <w:rsid w:val="00F23A12"/>
    <w:rsid w:val="00F23DAA"/>
    <w:rsid w:val="00F24FD9"/>
    <w:rsid w:val="00F31B58"/>
    <w:rsid w:val="00F34160"/>
    <w:rsid w:val="00F41AA9"/>
    <w:rsid w:val="00F42633"/>
    <w:rsid w:val="00F42A42"/>
    <w:rsid w:val="00F44040"/>
    <w:rsid w:val="00F44078"/>
    <w:rsid w:val="00F45473"/>
    <w:rsid w:val="00F463C9"/>
    <w:rsid w:val="00F512DC"/>
    <w:rsid w:val="00F51A4C"/>
    <w:rsid w:val="00F54859"/>
    <w:rsid w:val="00F54C11"/>
    <w:rsid w:val="00F55734"/>
    <w:rsid w:val="00F55A16"/>
    <w:rsid w:val="00F63DC1"/>
    <w:rsid w:val="00F65078"/>
    <w:rsid w:val="00F67A7E"/>
    <w:rsid w:val="00F67EE2"/>
    <w:rsid w:val="00F71805"/>
    <w:rsid w:val="00F72357"/>
    <w:rsid w:val="00F75ABA"/>
    <w:rsid w:val="00F75BD4"/>
    <w:rsid w:val="00F77785"/>
    <w:rsid w:val="00F8002E"/>
    <w:rsid w:val="00F84F8C"/>
    <w:rsid w:val="00F87D1D"/>
    <w:rsid w:val="00F91EFA"/>
    <w:rsid w:val="00F92536"/>
    <w:rsid w:val="00F9589A"/>
    <w:rsid w:val="00F95C13"/>
    <w:rsid w:val="00F96E32"/>
    <w:rsid w:val="00F977C9"/>
    <w:rsid w:val="00F97864"/>
    <w:rsid w:val="00FA0444"/>
    <w:rsid w:val="00FA0605"/>
    <w:rsid w:val="00FA2B66"/>
    <w:rsid w:val="00FA4B02"/>
    <w:rsid w:val="00FA4E52"/>
    <w:rsid w:val="00FB2E3C"/>
    <w:rsid w:val="00FB46E7"/>
    <w:rsid w:val="00FB57B7"/>
    <w:rsid w:val="00FB6666"/>
    <w:rsid w:val="00FC1DB1"/>
    <w:rsid w:val="00FC2AFF"/>
    <w:rsid w:val="00FC2BA4"/>
    <w:rsid w:val="00FC3DB9"/>
    <w:rsid w:val="00FC4BD6"/>
    <w:rsid w:val="00FD121E"/>
    <w:rsid w:val="00FD3986"/>
    <w:rsid w:val="00FD4CB8"/>
    <w:rsid w:val="00FE3B18"/>
    <w:rsid w:val="00FE3D22"/>
    <w:rsid w:val="00FE4E86"/>
    <w:rsid w:val="00FE4F5E"/>
    <w:rsid w:val="00FE50EC"/>
    <w:rsid w:val="00FE5AA3"/>
    <w:rsid w:val="00FE7E57"/>
    <w:rsid w:val="00FF45C6"/>
    <w:rsid w:val="00FF66D5"/>
    <w:rsid w:val="00FF7666"/>
    <w:rsid w:val="00FF797A"/>
    <w:rsid w:val="12C62939"/>
    <w:rsid w:val="1B5423E6"/>
    <w:rsid w:val="24C5117C"/>
    <w:rsid w:val="3B4A0DAC"/>
    <w:rsid w:val="41F027F8"/>
    <w:rsid w:val="5498452A"/>
    <w:rsid w:val="689746B1"/>
    <w:rsid w:val="69697A22"/>
    <w:rsid w:val="697906D6"/>
    <w:rsid w:val="6A7028D2"/>
    <w:rsid w:val="6DA47D1E"/>
    <w:rsid w:val="7E5239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unhideWhenUsed/>
    <w:qFormat/>
    <w:uiPriority w:val="0"/>
  </w:style>
  <w:style w:type="paragraph" w:styleId="3">
    <w:name w:val="Balloon Text"/>
    <w:basedOn w:val="1"/>
    <w:link w:val="18"/>
    <w:qFormat/>
    <w:uiPriority w:val="0"/>
    <w:rPr>
      <w:rFonts w:ascii="Segoe UI" w:hAnsi="Segoe UI" w:cs="Segoe UI"/>
      <w:sz w:val="18"/>
      <w:szCs w:val="18"/>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qFormat/>
    <w:uiPriority w:val="0"/>
    <w:pP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semiHidden/>
    <w:unhideWhenUsed/>
    <w:qFormat/>
    <w:uiPriority w:val="0"/>
    <w:rPr>
      <w:b/>
      <w:bCs/>
    </w:rPr>
  </w:style>
  <w:style w:type="table" w:styleId="9">
    <w:name w:val="Table Grid"/>
    <w:basedOn w:val="8"/>
    <w:qFormat/>
    <w:uiPriority w:val="5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20"/>
    <w:rPr>
      <w:i/>
      <w:iCs/>
    </w:rPr>
  </w:style>
  <w:style w:type="character" w:styleId="12">
    <w:name w:val="annotation reference"/>
    <w:basedOn w:val="10"/>
    <w:semiHidden/>
    <w:unhideWhenUsed/>
    <w:qFormat/>
    <w:uiPriority w:val="0"/>
    <w:rPr>
      <w:sz w:val="21"/>
      <w:szCs w:val="21"/>
    </w:rPr>
  </w:style>
  <w:style w:type="character" w:customStyle="1" w:styleId="13">
    <w:name w:val="Header Char"/>
    <w:basedOn w:val="10"/>
    <w:link w:val="5"/>
    <w:qFormat/>
    <w:uiPriority w:val="0"/>
    <w:rPr>
      <w:sz w:val="18"/>
      <w:szCs w:val="18"/>
    </w:rPr>
  </w:style>
  <w:style w:type="character" w:customStyle="1" w:styleId="14">
    <w:name w:val="Footer Char"/>
    <w:basedOn w:val="10"/>
    <w:link w:val="4"/>
    <w:qFormat/>
    <w:uiPriority w:val="99"/>
    <w:rPr>
      <w:sz w:val="18"/>
      <w:szCs w:val="18"/>
    </w:rPr>
  </w:style>
  <w:style w:type="character" w:customStyle="1" w:styleId="15">
    <w:name w:val="Comment Text Char"/>
    <w:basedOn w:val="10"/>
    <w:link w:val="2"/>
    <w:qFormat/>
    <w:uiPriority w:val="0"/>
    <w:rPr>
      <w:sz w:val="24"/>
      <w:szCs w:val="24"/>
    </w:rPr>
  </w:style>
  <w:style w:type="character" w:customStyle="1" w:styleId="16">
    <w:name w:val="Comment Subject Char"/>
    <w:basedOn w:val="15"/>
    <w:link w:val="7"/>
    <w:semiHidden/>
    <w:qFormat/>
    <w:uiPriority w:val="0"/>
    <w:rPr>
      <w:b/>
      <w:bCs/>
      <w:sz w:val="24"/>
      <w:szCs w:val="24"/>
    </w:rPr>
  </w:style>
  <w:style w:type="paragraph" w:customStyle="1" w:styleId="17">
    <w:name w:val="Revision1"/>
    <w:hidden/>
    <w:semiHidden/>
    <w:qFormat/>
    <w:uiPriority w:val="99"/>
    <w:rPr>
      <w:rFonts w:ascii="Times New Roman" w:hAnsi="Times New Roman" w:cs="Times New Roman" w:eastAsiaTheme="minorEastAsia"/>
      <w:sz w:val="24"/>
      <w:szCs w:val="24"/>
      <w:lang w:val="en-US" w:eastAsia="en-US" w:bidi="ar-SA"/>
    </w:rPr>
  </w:style>
  <w:style w:type="character" w:customStyle="1" w:styleId="18">
    <w:name w:val="Balloon Text Char"/>
    <w:basedOn w:val="10"/>
    <w:link w:val="3"/>
    <w:qFormat/>
    <w:uiPriority w:val="0"/>
    <w:rPr>
      <w:rFonts w:ascii="Segoe UI" w:hAnsi="Segoe UI" w:cs="Segoe UI"/>
      <w:sz w:val="18"/>
      <w:szCs w:val="18"/>
    </w:rPr>
  </w:style>
  <w:style w:type="paragraph" w:styleId="19">
    <w:name w:val="List Paragraph"/>
    <w:basedOn w:val="1"/>
    <w:qFormat/>
    <w:uiPriority w:val="34"/>
    <w:pPr>
      <w:spacing w:after="120" w:line="264" w:lineRule="auto"/>
      <w:ind w:left="720"/>
      <w:contextualSpacing/>
    </w:pPr>
    <w:rPr>
      <w:rFonts w:asciiTheme="minorHAnsi" w:hAnsiTheme="minorHAnsi" w:cstheme="minorBidi"/>
      <w:sz w:val="21"/>
      <w:szCs w:val="21"/>
    </w:rPr>
  </w:style>
  <w:style w:type="character" w:customStyle="1" w:styleId="20">
    <w:name w:val="fontstyle01"/>
    <w:basedOn w:val="10"/>
    <w:qFormat/>
    <w:uiPriority w:val="0"/>
    <w:rPr>
      <w:rFonts w:hint="default" w:ascii="AdvTTe692faf0" w:hAnsi="AdvTTe692faf0"/>
      <w:color w:val="000000"/>
      <w:sz w:val="28"/>
      <w:szCs w:val="28"/>
    </w:rPr>
  </w:style>
  <w:style w:type="character" w:customStyle="1" w:styleId="21">
    <w:name w:val="font31"/>
    <w:basedOn w:val="10"/>
    <w:qFormat/>
    <w:uiPriority w:val="0"/>
    <w:rPr>
      <w:rFonts w:hint="default" w:ascii="Times New Roman" w:hAnsi="Times New Roman" w:cs="Times New Roman"/>
      <w:b/>
      <w:bCs/>
      <w:color w:val="000000"/>
      <w:sz w:val="21"/>
      <w:szCs w:val="21"/>
      <w:u w:val="none"/>
    </w:rPr>
  </w:style>
  <w:style w:type="character" w:customStyle="1" w:styleId="22">
    <w:name w:val="font41"/>
    <w:basedOn w:val="10"/>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92DD2-2293-4D45-8709-A12C354EFC9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53</Pages>
  <Words>11624</Words>
  <Characters>66260</Characters>
  <Lines>552</Lines>
  <Paragraphs>155</Paragraphs>
  <TotalTime>3</TotalTime>
  <ScaleCrop>false</ScaleCrop>
  <LinksUpToDate>false</LinksUpToDate>
  <CharactersWithSpaces>77729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2023-09-09T16:45:00Z</dcterms:created>
  <dc:creator>qwer</dc:creator>
  <cp:lastModifiedBy>xzh</cp:lastModifiedBy>
  <dcterms:modified xsi:type="dcterms:W3CDTF">2023-09-14T15:11:26Z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65B14AB60C634104AA7E06D75F229836_13</vt:lpwstr>
  </property>
</Properties>
</file>