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4D58E" w14:textId="77777777" w:rsidR="00680DB2" w:rsidRDefault="00000000">
      <w:pPr>
        <w:spacing w:line="360" w:lineRule="auto"/>
        <w:jc w:val="both"/>
        <w:rPr>
          <w:rFonts w:ascii="Book Antiqua" w:hAnsi="Book Antiqua"/>
        </w:rPr>
      </w:pPr>
      <w:bookmarkStart w:id="0" w:name="OLE_LINK5878"/>
      <w:bookmarkStart w:id="1" w:name="OLE_LINK5880"/>
      <w:bookmarkStart w:id="2" w:name="OLE_LINK5877"/>
      <w:bookmarkStart w:id="3" w:name="OLE_LINK5879"/>
      <w:r>
        <w:rPr>
          <w:rFonts w:ascii="Book Antiqua" w:eastAsia="Book Antiqua" w:hAnsi="Book Antiqua" w:cs="Book Antiqua"/>
          <w:b/>
        </w:rPr>
        <w:t xml:space="preserve">Name of Journal: </w:t>
      </w:r>
      <w:r>
        <w:rPr>
          <w:rFonts w:ascii="Book Antiqua" w:eastAsia="Book Antiqua" w:hAnsi="Book Antiqua" w:cs="Book Antiqua"/>
          <w:i/>
        </w:rPr>
        <w:t>World Journal of Stem Cells</w:t>
      </w:r>
    </w:p>
    <w:p w14:paraId="08019131" w14:textId="77777777" w:rsidR="00680DB2"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82843</w:t>
      </w:r>
    </w:p>
    <w:p w14:paraId="3F2BA7CB" w14:textId="77777777" w:rsidR="00680DB2"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REVIEW</w:t>
      </w:r>
    </w:p>
    <w:p w14:paraId="08D0E9EC" w14:textId="77777777" w:rsidR="00680DB2" w:rsidRDefault="00680DB2">
      <w:pPr>
        <w:spacing w:line="360" w:lineRule="auto"/>
        <w:jc w:val="both"/>
        <w:rPr>
          <w:rFonts w:ascii="Book Antiqua" w:hAnsi="Book Antiqua"/>
        </w:rPr>
      </w:pPr>
    </w:p>
    <w:p w14:paraId="51AAA7AC" w14:textId="77777777" w:rsidR="00680DB2" w:rsidRDefault="00000000">
      <w:pPr>
        <w:spacing w:line="360" w:lineRule="auto"/>
        <w:jc w:val="both"/>
        <w:rPr>
          <w:rFonts w:ascii="Book Antiqua" w:hAnsi="Book Antiqua"/>
        </w:rPr>
      </w:pPr>
      <w:bookmarkStart w:id="4" w:name="OLE_LINK5882"/>
      <w:bookmarkStart w:id="5" w:name="OLE_LINK5881"/>
      <w:r>
        <w:rPr>
          <w:rFonts w:ascii="Book Antiqua" w:eastAsia="Book Antiqua" w:hAnsi="Book Antiqua" w:cs="Book Antiqua"/>
          <w:b/>
          <w:bCs/>
          <w:color w:val="000000"/>
        </w:rPr>
        <w:t>Advances of nanotechnology applied to cancer stem cells</w:t>
      </w:r>
    </w:p>
    <w:bookmarkEnd w:id="4"/>
    <w:bookmarkEnd w:id="5"/>
    <w:p w14:paraId="1AEF6061" w14:textId="77777777" w:rsidR="00680DB2" w:rsidRDefault="00680DB2">
      <w:pPr>
        <w:spacing w:line="360" w:lineRule="auto"/>
        <w:jc w:val="both"/>
        <w:rPr>
          <w:rFonts w:ascii="Book Antiqua" w:hAnsi="Book Antiqua"/>
        </w:rPr>
      </w:pPr>
    </w:p>
    <w:p w14:paraId="6C513C7B" w14:textId="77777777" w:rsidR="00680DB2" w:rsidRDefault="00000000">
      <w:pPr>
        <w:spacing w:line="360" w:lineRule="auto"/>
        <w:jc w:val="both"/>
        <w:rPr>
          <w:rFonts w:ascii="Book Antiqua" w:hAnsi="Book Antiqua"/>
        </w:rPr>
      </w:pPr>
      <w:r>
        <w:rPr>
          <w:rFonts w:ascii="Book Antiqua" w:eastAsia="Book Antiqua" w:hAnsi="Book Antiqua" w:cs="Book Antiqua"/>
          <w:color w:val="000000"/>
        </w:rPr>
        <w:t>Yue M</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6" w:name="OLE_LINK5883"/>
      <w:bookmarkStart w:id="7" w:name="OLE_LINK5884"/>
      <w:r>
        <w:rPr>
          <w:rFonts w:ascii="Book Antiqua" w:eastAsia="Book Antiqua" w:hAnsi="Book Antiqua" w:cs="Book Antiqua"/>
          <w:color w:val="000000"/>
        </w:rPr>
        <w:t>Nanotechnology applied to cancer stem cells</w:t>
      </w:r>
      <w:bookmarkEnd w:id="6"/>
      <w:bookmarkEnd w:id="7"/>
    </w:p>
    <w:p w14:paraId="038A3352" w14:textId="77777777" w:rsidR="00680DB2" w:rsidRDefault="00680DB2">
      <w:pPr>
        <w:spacing w:line="360" w:lineRule="auto"/>
        <w:jc w:val="both"/>
        <w:rPr>
          <w:rFonts w:ascii="Book Antiqua" w:hAnsi="Book Antiqua"/>
        </w:rPr>
      </w:pPr>
    </w:p>
    <w:p w14:paraId="67DF9559" w14:textId="77777777" w:rsidR="00680DB2" w:rsidRDefault="00000000">
      <w:pPr>
        <w:spacing w:line="360" w:lineRule="auto"/>
        <w:jc w:val="both"/>
        <w:rPr>
          <w:rFonts w:ascii="Book Antiqua" w:hAnsi="Book Antiqua"/>
        </w:rPr>
      </w:pPr>
      <w:bookmarkStart w:id="8" w:name="OLE_LINK5525"/>
      <w:bookmarkStart w:id="9" w:name="OLE_LINK5526"/>
      <w:r>
        <w:rPr>
          <w:rFonts w:ascii="Book Antiqua" w:eastAsia="Book Antiqua" w:hAnsi="Book Antiqua" w:cs="Book Antiqua"/>
          <w:color w:val="000000"/>
        </w:rPr>
        <w:t>Miao Yue, Ting Guo, Deng-Yun Nie, Yin-Xing Zhu, Mei Lin</w:t>
      </w:r>
    </w:p>
    <w:bookmarkEnd w:id="8"/>
    <w:bookmarkEnd w:id="9"/>
    <w:p w14:paraId="077158E4" w14:textId="77777777" w:rsidR="00680DB2" w:rsidRDefault="00680DB2">
      <w:pPr>
        <w:spacing w:line="360" w:lineRule="auto"/>
        <w:jc w:val="both"/>
        <w:rPr>
          <w:rFonts w:ascii="Book Antiqua" w:hAnsi="Book Antiqua"/>
        </w:rPr>
      </w:pPr>
    </w:p>
    <w:p w14:paraId="226BE956" w14:textId="77777777" w:rsidR="00680DB2" w:rsidRDefault="00000000">
      <w:pPr>
        <w:spacing w:line="360" w:lineRule="auto"/>
        <w:jc w:val="both"/>
        <w:rPr>
          <w:rFonts w:ascii="Book Antiqua" w:hAnsi="Book Antiqua"/>
        </w:rPr>
      </w:pPr>
      <w:r>
        <w:rPr>
          <w:rFonts w:ascii="Book Antiqua" w:eastAsia="Book Antiqua" w:hAnsi="Book Antiqua" w:cs="Book Antiqua"/>
          <w:b/>
          <w:bCs/>
          <w:color w:val="000000"/>
        </w:rPr>
        <w:t>Miao Yue, Deng-Yun Nie</w:t>
      </w:r>
      <w:r>
        <w:rPr>
          <w:rFonts w:ascii="Book Antiqua" w:hAnsi="Book Antiqua" w:cs="Book Antiqua" w:hint="eastAsia"/>
          <w:b/>
          <w:bCs/>
          <w:color w:val="000000"/>
          <w:lang w:eastAsia="zh-CN"/>
        </w:rPr>
        <w:t>,</w:t>
      </w:r>
      <w:r>
        <w:rPr>
          <w:rFonts w:ascii="Book Antiqua" w:eastAsia="Book Antiqua" w:hAnsi="Book Antiqua" w:cs="Book Antiqua"/>
          <w:color w:val="000000"/>
        </w:rPr>
        <w:t>Clinical Laboratory, Nanjing University of Chinese Medicine, Taizhou 225300, J</w:t>
      </w:r>
      <w:r>
        <w:rPr>
          <w:rFonts w:ascii="Book Antiqua" w:eastAsia="Book Antiqua" w:hAnsi="Book Antiqua" w:cs="Book Antiqua"/>
          <w:color w:val="000000"/>
          <w:lang w:eastAsia="zh-CN"/>
        </w:rPr>
        <w:t xml:space="preserve">iangsu Province, </w:t>
      </w:r>
      <w:r>
        <w:rPr>
          <w:rFonts w:ascii="Book Antiqua" w:eastAsia="Book Antiqua" w:hAnsi="Book Antiqua" w:cs="Book Antiqua"/>
          <w:color w:val="000000"/>
        </w:rPr>
        <w:t>China</w:t>
      </w:r>
    </w:p>
    <w:p w14:paraId="20E35F29" w14:textId="77777777" w:rsidR="00680DB2" w:rsidRDefault="00680DB2">
      <w:pPr>
        <w:spacing w:line="360" w:lineRule="auto"/>
        <w:jc w:val="both"/>
        <w:rPr>
          <w:rFonts w:ascii="Book Antiqua" w:hAnsi="Book Antiqua"/>
        </w:rPr>
      </w:pPr>
    </w:p>
    <w:p w14:paraId="4DC67658" w14:textId="77777777" w:rsidR="00680DB2" w:rsidRDefault="00000000">
      <w:pPr>
        <w:spacing w:line="360" w:lineRule="auto"/>
        <w:jc w:val="both"/>
        <w:rPr>
          <w:rFonts w:ascii="Book Antiqua" w:hAnsi="Book Antiqua"/>
        </w:rPr>
      </w:pPr>
      <w:r>
        <w:rPr>
          <w:rFonts w:ascii="Book Antiqua" w:eastAsia="Book Antiqua" w:hAnsi="Book Antiqua" w:cs="Book Antiqua"/>
          <w:b/>
          <w:bCs/>
          <w:color w:val="000000"/>
        </w:rPr>
        <w:t>Ting Guo, Yin-Xing Zhu, Mei Lin,</w:t>
      </w:r>
      <w:r>
        <w:rPr>
          <w:rFonts w:ascii="Book Antiqua" w:eastAsia="Book Antiqua" w:hAnsi="Book Antiqua" w:cs="Book Antiqua"/>
          <w:color w:val="000000"/>
        </w:rPr>
        <w:t>Taizhou School of Clinical Medicine, The Affiliated Taizhou People's Hospital of Nanjing Medical University, Taizhou 225300, J</w:t>
      </w:r>
      <w:r>
        <w:rPr>
          <w:rFonts w:ascii="Book Antiqua" w:eastAsia="Book Antiqua" w:hAnsi="Book Antiqua" w:cs="Book Antiqua"/>
          <w:color w:val="000000"/>
          <w:lang w:eastAsia="zh-CN"/>
        </w:rPr>
        <w:t xml:space="preserve">iangsu Province, </w:t>
      </w:r>
      <w:r>
        <w:rPr>
          <w:rFonts w:ascii="Book Antiqua" w:eastAsia="Book Antiqua" w:hAnsi="Book Antiqua" w:cs="Book Antiqua"/>
          <w:color w:val="000000"/>
        </w:rPr>
        <w:t>China</w:t>
      </w:r>
    </w:p>
    <w:p w14:paraId="51B6EEA0" w14:textId="77777777" w:rsidR="00680DB2" w:rsidRDefault="00680DB2">
      <w:pPr>
        <w:spacing w:line="360" w:lineRule="auto"/>
        <w:jc w:val="both"/>
        <w:rPr>
          <w:rFonts w:ascii="Book Antiqua" w:hAnsi="Book Antiqua"/>
        </w:rPr>
      </w:pPr>
    </w:p>
    <w:p w14:paraId="71ED561A" w14:textId="77777777" w:rsidR="00680DB2" w:rsidRDefault="00680DB2">
      <w:pPr>
        <w:spacing w:line="360" w:lineRule="auto"/>
        <w:jc w:val="both"/>
        <w:rPr>
          <w:rFonts w:ascii="Book Antiqua" w:hAnsi="Book Antiqua"/>
        </w:rPr>
      </w:pPr>
    </w:p>
    <w:p w14:paraId="390D0574" w14:textId="77777777" w:rsidR="00680DB2"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Yue M wrote the original draft of the manuscript; Guo T and Nie DY drew the charts; Zhu YX wrote and edited the final paper; Lin M was responsible for the overall direction of the paper and for editing of the manuscript.</w:t>
      </w:r>
    </w:p>
    <w:p w14:paraId="4396FD18" w14:textId="77777777" w:rsidR="00680DB2" w:rsidRDefault="00680DB2">
      <w:pPr>
        <w:spacing w:line="360" w:lineRule="auto"/>
        <w:jc w:val="both"/>
        <w:rPr>
          <w:rFonts w:ascii="Book Antiqua" w:hAnsi="Book Antiqua"/>
        </w:rPr>
      </w:pPr>
    </w:p>
    <w:p w14:paraId="12786647" w14:textId="77777777" w:rsidR="00680DB2" w:rsidRDefault="00000000">
      <w:pPr>
        <w:spacing w:line="360" w:lineRule="auto"/>
        <w:jc w:val="both"/>
        <w:rPr>
          <w:rFonts w:ascii="Book Antiqua" w:hAnsi="Book Antiqua" w:cs="宋体"/>
          <w:lang w:eastAsia="zh-CN"/>
        </w:rPr>
      </w:pPr>
      <w:r>
        <w:rPr>
          <w:rFonts w:ascii="Book Antiqua" w:eastAsia="Book Antiqua" w:hAnsi="Book Antiqua" w:cs="Book Antiqua"/>
          <w:b/>
          <w:bCs/>
          <w:color w:val="000000"/>
        </w:rPr>
        <w:t xml:space="preserve">Supported by </w:t>
      </w:r>
      <w:bookmarkStart w:id="10" w:name="OLE_LINK5893"/>
      <w:bookmarkStart w:id="11" w:name="OLE_LINK5894"/>
      <w:r>
        <w:rPr>
          <w:rFonts w:ascii="Book Antiqua" w:eastAsia="Book Antiqua" w:hAnsi="Book Antiqua" w:cs="Book Antiqua"/>
          <w:color w:val="000000"/>
        </w:rPr>
        <w:t>Natural Science Foundation of Nanjing University of Chinese Medicine China, No. XZR2020093</w:t>
      </w:r>
      <w:bookmarkEnd w:id="10"/>
      <w:bookmarkEnd w:id="11"/>
      <w:r>
        <w:rPr>
          <w:rFonts w:ascii="Book Antiqua" w:eastAsia="Book Antiqua" w:hAnsi="Book Antiqua" w:cs="Book Antiqua"/>
          <w:color w:val="000000"/>
        </w:rPr>
        <w:t>.</w:t>
      </w:r>
    </w:p>
    <w:p w14:paraId="2FF85C21" w14:textId="77777777" w:rsidR="00680DB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Mei Lin, MD, PhD, Senior Scientist, </w:t>
      </w:r>
      <w:r>
        <w:rPr>
          <w:rFonts w:ascii="Book Antiqua" w:eastAsia="Book Antiqua" w:hAnsi="Book Antiqua" w:cs="Book Antiqua"/>
          <w:color w:val="000000"/>
          <w:lang w:bidi="ar"/>
        </w:rPr>
        <w:t>Taizhou School of Clinical Medicine</w:t>
      </w:r>
      <w:r>
        <w:rPr>
          <w:rFonts w:ascii="Book Antiqua" w:eastAsia="Book Antiqua" w:hAnsi="Book Antiqua" w:cs="Book Antiqua"/>
          <w:color w:val="000000"/>
        </w:rPr>
        <w:t xml:space="preserve">, The Affiliated Taizhou People’s Hospital of Nanjing Medical University, </w:t>
      </w:r>
      <w:bookmarkStart w:id="12" w:name="OLE_LINK5897"/>
      <w:bookmarkStart w:id="13" w:name="OLE_LINK5898"/>
      <w:r>
        <w:rPr>
          <w:rFonts w:ascii="Book Antiqua" w:eastAsia="Book Antiqua" w:hAnsi="Book Antiqua" w:cs="Book Antiqua"/>
          <w:color w:val="000000"/>
        </w:rPr>
        <w:t>No. 366 Taihu Road</w:t>
      </w:r>
      <w:bookmarkEnd w:id="12"/>
      <w:bookmarkEnd w:id="13"/>
      <w:r>
        <w:rPr>
          <w:rFonts w:ascii="Book Antiqua" w:eastAsia="Book Antiqua" w:hAnsi="Book Antiqua" w:cs="Book Antiqua"/>
          <w:color w:val="000000"/>
        </w:rPr>
        <w:t xml:space="preserve">, Taizhou 225300, </w:t>
      </w:r>
      <w:bookmarkStart w:id="14" w:name="OLE_LINK5900"/>
      <w:bookmarkStart w:id="15" w:name="OLE_LINK5899"/>
      <w:r>
        <w:rPr>
          <w:rFonts w:ascii="Book Antiqua" w:eastAsia="Book Antiqua" w:hAnsi="Book Antiqua" w:cs="Book Antiqua"/>
          <w:color w:val="000000"/>
        </w:rPr>
        <w:t>Jiangsu Province</w:t>
      </w:r>
      <w:bookmarkEnd w:id="14"/>
      <w:bookmarkEnd w:id="15"/>
      <w:r>
        <w:rPr>
          <w:rFonts w:ascii="Book Antiqua" w:eastAsia="Book Antiqua" w:hAnsi="Book Antiqua" w:cs="Book Antiqua"/>
          <w:color w:val="000000"/>
        </w:rPr>
        <w:t>, China.</w:t>
      </w:r>
      <w:r>
        <w:rPr>
          <w:rFonts w:ascii="Book Antiqua" w:eastAsia="Book Antiqua" w:hAnsi="Book Antiqua" w:cs="Book Antiqua"/>
          <w:b/>
          <w:bCs/>
          <w:color w:val="000000"/>
        </w:rPr>
        <w:t xml:space="preserve"> </w:t>
      </w:r>
      <w:r>
        <w:rPr>
          <w:rFonts w:ascii="Book Antiqua" w:eastAsia="Book Antiqua" w:hAnsi="Book Antiqua" w:cs="Book Antiqua"/>
          <w:color w:val="000000"/>
        </w:rPr>
        <w:t>l_mei@163.com</w:t>
      </w:r>
    </w:p>
    <w:p w14:paraId="65F32984" w14:textId="77777777" w:rsidR="00680DB2" w:rsidRDefault="00680DB2">
      <w:pPr>
        <w:spacing w:line="360" w:lineRule="auto"/>
        <w:jc w:val="both"/>
        <w:rPr>
          <w:rFonts w:ascii="Book Antiqua" w:hAnsi="Book Antiqua"/>
        </w:rPr>
      </w:pPr>
    </w:p>
    <w:p w14:paraId="3C8C8A64" w14:textId="77777777" w:rsidR="00680DB2"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December 28, 2022</w:t>
      </w:r>
    </w:p>
    <w:p w14:paraId="76A5E535" w14:textId="77777777" w:rsidR="00680DB2"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Revised: </w:t>
      </w:r>
      <w:r>
        <w:rPr>
          <w:rFonts w:ascii="Book Antiqua" w:eastAsia="Book Antiqua" w:hAnsi="Book Antiqua" w:cs="Book Antiqua"/>
        </w:rPr>
        <w:t>March 1, 2023</w:t>
      </w:r>
    </w:p>
    <w:p w14:paraId="55571C03" w14:textId="77777777" w:rsidR="00680DB2"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Accepted: </w:t>
      </w:r>
      <w:r>
        <w:rPr>
          <w:rFonts w:ascii="Book Antiqua" w:eastAsia="Book Antiqua" w:hAnsi="Book Antiqua" w:cs="Book Antiqua"/>
        </w:rPr>
        <w:t>April 18, 2023</w:t>
      </w:r>
    </w:p>
    <w:p w14:paraId="09DA7F60" w14:textId="2F3B936C" w:rsidR="00680DB2"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sidR="004525D4">
        <w:rPr>
          <w:rFonts w:ascii="Book Antiqua" w:hAnsi="Book Antiqua"/>
          <w:color w:val="000000"/>
          <w:shd w:val="clear" w:color="auto" w:fill="FFFFFF"/>
        </w:rPr>
        <w:t>June 26, 2023</w:t>
      </w:r>
    </w:p>
    <w:p w14:paraId="1E554903" w14:textId="77777777" w:rsidR="00680DB2" w:rsidRPr="00641A01" w:rsidRDefault="00680DB2">
      <w:pPr>
        <w:spacing w:line="360" w:lineRule="auto"/>
        <w:jc w:val="both"/>
        <w:rPr>
          <w:rFonts w:ascii="Book Antiqua" w:hAnsi="Book Antiqua"/>
        </w:rPr>
        <w:sectPr w:rsidR="00680DB2" w:rsidRPr="00641A01">
          <w:footerReference w:type="default" r:id="rId6"/>
          <w:pgSz w:w="12240" w:h="15840"/>
          <w:pgMar w:top="1440" w:right="1440" w:bottom="1440" w:left="1440" w:header="720" w:footer="720" w:gutter="0"/>
          <w:cols w:space="720"/>
          <w:docGrid w:linePitch="360"/>
        </w:sectPr>
      </w:pPr>
    </w:p>
    <w:p w14:paraId="48DEC856" w14:textId="77777777" w:rsidR="00680DB2"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5B879B0" w14:textId="77777777" w:rsidR="00680DB2" w:rsidRDefault="00000000">
      <w:pPr>
        <w:spacing w:line="360" w:lineRule="auto"/>
        <w:jc w:val="both"/>
        <w:rPr>
          <w:rFonts w:ascii="Book Antiqua" w:hAnsi="Book Antiqua"/>
        </w:rPr>
      </w:pPr>
      <w:bookmarkStart w:id="16" w:name="OLE_LINK5521"/>
      <w:bookmarkStart w:id="17" w:name="OLE_LINK5522"/>
      <w:r>
        <w:rPr>
          <w:rFonts w:ascii="Book Antiqua" w:eastAsia="Book Antiqua" w:hAnsi="Book Antiqua" w:cs="Book Antiqua"/>
        </w:rPr>
        <w:t>Cancer stem cell</w:t>
      </w:r>
      <w:bookmarkEnd w:id="16"/>
      <w:bookmarkEnd w:id="17"/>
      <w:r>
        <w:rPr>
          <w:rFonts w:ascii="Book Antiqua" w:eastAsia="Book Antiqua" w:hAnsi="Book Antiqua" w:cs="Book Antiqua"/>
        </w:rPr>
        <w:t>s (CSCs) are a small proportion of the cells that exist in cancer tissues. They are considered to be the culprit of tumor genesis, development, drug resistance, metastasis and recurrence because of their self-renewal, proliferation, and differentiation potential. The elimination of CSCs is thus the key to cur</w:t>
      </w:r>
      <w:r>
        <w:rPr>
          <w:rFonts w:ascii="Book Antiqua" w:hAnsi="Book Antiqua" w:cs="Book Antiqua" w:hint="eastAsia"/>
          <w:lang w:eastAsia="zh-CN"/>
        </w:rPr>
        <w:t xml:space="preserve">e </w:t>
      </w:r>
      <w:r>
        <w:rPr>
          <w:rFonts w:ascii="Book Antiqua" w:eastAsia="Book Antiqua" w:hAnsi="Book Antiqua" w:cs="Book Antiqua"/>
        </w:rPr>
        <w:t xml:space="preserve">cancer, and targeting CSCs provides a new method for tumor treatment. Due to the advantages of controlled sustained release, targeting and high biocompatibility, a variety of nanomaterials are used in the diagnosis and treatments targeting CSCs and promote the recognition and removal of tumor cells and CSCs. This article mainly reviews the research progress of nanotechnology in sorting CSCs and nanodrug delivery systems targeting </w:t>
      </w:r>
      <w:bookmarkStart w:id="18" w:name="OLE_LINK5524"/>
      <w:bookmarkStart w:id="19" w:name="OLE_LINK5523"/>
      <w:r>
        <w:rPr>
          <w:rFonts w:ascii="Book Antiqua" w:eastAsia="Book Antiqua" w:hAnsi="Book Antiqua" w:cs="Book Antiqua"/>
        </w:rPr>
        <w:t xml:space="preserve">CSCs. </w:t>
      </w:r>
      <w:bookmarkEnd w:id="18"/>
      <w:bookmarkEnd w:id="19"/>
      <w:r>
        <w:rPr>
          <w:rFonts w:ascii="Book Antiqua" w:eastAsia="Book Antiqua" w:hAnsi="Book Antiqua" w:cs="Book Antiqua"/>
        </w:rPr>
        <w:t xml:space="preserve">Furthermore, we identify the problems and future research directions of nanotechnology in CSC therapy. We hope that this review will provide guidance for the design of nanotechnology as a drug carrier so that it can be used in clinic for cancer </w:t>
      </w:r>
      <w:r>
        <w:rPr>
          <w:rFonts w:ascii="Book Antiqua" w:hAnsi="Book Antiqua" w:cs="Book Antiqua" w:hint="eastAsia"/>
          <w:lang w:eastAsia="zh-CN"/>
        </w:rPr>
        <w:t xml:space="preserve">therapy </w:t>
      </w:r>
      <w:r>
        <w:rPr>
          <w:rFonts w:ascii="Book Antiqua" w:eastAsia="Book Antiqua" w:hAnsi="Book Antiqua" w:cs="Book Antiqua"/>
        </w:rPr>
        <w:t>as soon as possible.</w:t>
      </w:r>
    </w:p>
    <w:p w14:paraId="312124BD" w14:textId="77777777" w:rsidR="00680DB2" w:rsidRDefault="00680DB2">
      <w:pPr>
        <w:spacing w:line="360" w:lineRule="auto"/>
        <w:jc w:val="both"/>
        <w:rPr>
          <w:rFonts w:ascii="Book Antiqua" w:hAnsi="Book Antiqua"/>
        </w:rPr>
      </w:pPr>
    </w:p>
    <w:p w14:paraId="5F8B2B4B" w14:textId="77777777" w:rsidR="00680DB2" w:rsidRDefault="00000000">
      <w:pPr>
        <w:spacing w:line="360" w:lineRule="auto"/>
        <w:jc w:val="both"/>
        <w:rPr>
          <w:rFonts w:ascii="Book Antiqua" w:hAnsi="Book Antiqua"/>
        </w:rPr>
      </w:pPr>
      <w:r>
        <w:rPr>
          <w:rFonts w:ascii="Book Antiqua" w:eastAsia="Book Antiqua" w:hAnsi="Book Antiqua" w:cs="Book Antiqua"/>
          <w:b/>
          <w:bCs/>
        </w:rPr>
        <w:t xml:space="preserve">Key Words: </w:t>
      </w:r>
      <w:bookmarkStart w:id="20" w:name="OLE_LINK5886"/>
      <w:bookmarkStart w:id="21" w:name="OLE_LINK5885"/>
      <w:r>
        <w:rPr>
          <w:rFonts w:ascii="Book Antiqua" w:eastAsia="Book Antiqua" w:hAnsi="Book Antiqua" w:cs="Book Antiqua"/>
        </w:rPr>
        <w:t xml:space="preserve">Cancer stem cells; Nanotechnology; </w:t>
      </w:r>
      <w:r>
        <w:rPr>
          <w:rFonts w:ascii="Book Antiqua" w:eastAsia="Book Antiqua" w:hAnsi="Book Antiqua" w:cs="Book Antiqua"/>
          <w:color w:val="000000"/>
        </w:rPr>
        <w:t>Nanoparticles</w:t>
      </w:r>
      <w:r>
        <w:rPr>
          <w:rFonts w:ascii="Book Antiqua" w:eastAsia="Book Antiqua" w:hAnsi="Book Antiqua" w:cs="Book Antiqua"/>
        </w:rPr>
        <w:t xml:space="preserve">; </w:t>
      </w:r>
      <w:r>
        <w:rPr>
          <w:rFonts w:ascii="Book Antiqua" w:eastAsia="Book Antiqua" w:hAnsi="Book Antiqua" w:cs="Book Antiqua"/>
          <w:color w:val="000000"/>
        </w:rPr>
        <w:t>Nanodrug delivery systems; Drug resistance</w:t>
      </w:r>
      <w:r>
        <w:rPr>
          <w:rFonts w:ascii="Book Antiqua" w:eastAsia="Book Antiqua" w:hAnsi="Book Antiqua" w:cs="Book Antiqua"/>
        </w:rPr>
        <w:t>; Therapy</w:t>
      </w:r>
      <w:bookmarkEnd w:id="20"/>
      <w:bookmarkEnd w:id="21"/>
    </w:p>
    <w:p w14:paraId="7908C4C5" w14:textId="77777777" w:rsidR="00680DB2" w:rsidRDefault="00680DB2">
      <w:pPr>
        <w:spacing w:line="360" w:lineRule="auto"/>
        <w:jc w:val="both"/>
        <w:rPr>
          <w:rFonts w:ascii="Book Antiqua" w:hAnsi="Book Antiqua"/>
        </w:rPr>
      </w:pPr>
    </w:p>
    <w:p w14:paraId="47643E2E" w14:textId="77777777" w:rsidR="00D74371" w:rsidRDefault="00D74371" w:rsidP="00D7437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A847AB4" w14:textId="77777777" w:rsidR="00D74371" w:rsidRDefault="00D74371">
      <w:pPr>
        <w:spacing w:line="360" w:lineRule="auto"/>
        <w:jc w:val="both"/>
        <w:rPr>
          <w:rFonts w:ascii="Book Antiqua" w:hAnsi="Book Antiqua"/>
        </w:rPr>
      </w:pPr>
    </w:p>
    <w:p w14:paraId="436EE914" w14:textId="7A2F1C77" w:rsidR="00D74371" w:rsidRDefault="00D74371">
      <w:pPr>
        <w:spacing w:line="360" w:lineRule="auto"/>
        <w:jc w:val="both"/>
        <w:rPr>
          <w:rFonts w:ascii="Book Antiqua" w:eastAsia="Book Antiqua" w:hAnsi="Book Antiqua" w:cs="Book Antiqua"/>
        </w:rPr>
      </w:pPr>
      <w:bookmarkStart w:id="22" w:name="OLE_LINK5887"/>
      <w:bookmarkStart w:id="23" w:name="OLE_LINK5888"/>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 xml:space="preserve">Yue M, Guo T, Nie DY, Zhu YX, Lin M. Advances of nanotechnology applied to cancer stem cells. </w:t>
      </w:r>
      <w:r>
        <w:rPr>
          <w:rFonts w:ascii="Book Antiqua" w:eastAsia="Book Antiqua" w:hAnsi="Book Antiqua" w:cs="Book Antiqua"/>
          <w:i/>
          <w:iCs/>
        </w:rPr>
        <w:t>World J Stem Cells</w:t>
      </w:r>
      <w:r>
        <w:rPr>
          <w:rFonts w:ascii="Book Antiqua" w:eastAsia="Book Antiqua" w:hAnsi="Book Antiqua" w:cs="Book Antiqua"/>
        </w:rPr>
        <w:t xml:space="preserve"> 2023; </w:t>
      </w:r>
      <w:r w:rsidR="00F04889" w:rsidRPr="00F04889">
        <w:rPr>
          <w:rFonts w:ascii="Book Antiqua" w:eastAsia="Book Antiqua" w:hAnsi="Book Antiqua" w:cs="Book Antiqua"/>
        </w:rPr>
        <w:t xml:space="preserve">15(6): </w:t>
      </w:r>
      <w:r w:rsidRPr="00E114C1">
        <w:rPr>
          <w:rFonts w:ascii="Book Antiqua" w:eastAsia="DengXian" w:hAnsi="Book Antiqua" w:cs="宋体"/>
          <w:color w:val="000000"/>
        </w:rPr>
        <w:t>514-529</w:t>
      </w:r>
    </w:p>
    <w:p w14:paraId="15F60976" w14:textId="446B2CAC" w:rsidR="00D74371" w:rsidRDefault="00F04889">
      <w:pPr>
        <w:spacing w:line="360" w:lineRule="auto"/>
        <w:jc w:val="both"/>
        <w:rPr>
          <w:rFonts w:ascii="Book Antiqua" w:eastAsia="Book Antiqua" w:hAnsi="Book Antiqua" w:cs="Book Antiqua"/>
        </w:rPr>
      </w:pPr>
      <w:r w:rsidRPr="00D74371">
        <w:rPr>
          <w:rFonts w:ascii="Book Antiqua" w:eastAsia="Book Antiqua" w:hAnsi="Book Antiqua" w:cs="Book Antiqua"/>
          <w:b/>
          <w:bCs/>
        </w:rPr>
        <w:t>URL</w:t>
      </w:r>
      <w:r w:rsidRPr="00F04889">
        <w:rPr>
          <w:rFonts w:ascii="Book Antiqua" w:eastAsia="Book Antiqua" w:hAnsi="Book Antiqua" w:cs="Book Antiqua"/>
        </w:rPr>
        <w:t xml:space="preserve">: </w:t>
      </w:r>
      <w:r w:rsidR="00D74371" w:rsidRPr="00D74371">
        <w:rPr>
          <w:rFonts w:ascii="Book Antiqua" w:eastAsia="Book Antiqua" w:hAnsi="Book Antiqua" w:cs="Book Antiqua"/>
        </w:rPr>
        <w:t>https://www.wjgnet.com/1948-0210/full/v15/i6/</w:t>
      </w:r>
      <w:r w:rsidR="00D74371" w:rsidRPr="00E114C1">
        <w:rPr>
          <w:rFonts w:ascii="Book Antiqua" w:eastAsia="DengXian" w:hAnsi="Book Antiqua" w:cs="宋体"/>
          <w:color w:val="000000"/>
        </w:rPr>
        <w:t>514</w:t>
      </w:r>
      <w:r w:rsidR="00D74371" w:rsidRPr="00D74371">
        <w:rPr>
          <w:rFonts w:ascii="Book Antiqua" w:eastAsia="Book Antiqua" w:hAnsi="Book Antiqua" w:cs="Book Antiqua"/>
        </w:rPr>
        <w:t>.htm</w:t>
      </w:r>
    </w:p>
    <w:p w14:paraId="6071A251" w14:textId="6ED4285B" w:rsidR="00680DB2" w:rsidRDefault="00F04889">
      <w:pPr>
        <w:spacing w:line="360" w:lineRule="auto"/>
        <w:jc w:val="both"/>
        <w:rPr>
          <w:rFonts w:ascii="Book Antiqua" w:hAnsi="Book Antiqua"/>
        </w:rPr>
      </w:pPr>
      <w:r w:rsidRPr="00D74371">
        <w:rPr>
          <w:rFonts w:ascii="Book Antiqua" w:eastAsia="Book Antiqua" w:hAnsi="Book Antiqua" w:cs="Book Antiqua"/>
          <w:b/>
          <w:bCs/>
        </w:rPr>
        <w:t>DOI</w:t>
      </w:r>
      <w:r w:rsidRPr="00F04889">
        <w:rPr>
          <w:rFonts w:ascii="Book Antiqua" w:eastAsia="Book Antiqua" w:hAnsi="Book Antiqua" w:cs="Book Antiqua"/>
        </w:rPr>
        <w:t>: https://dx.doi.org/10.4252/wjsc.v15.i6.</w:t>
      </w:r>
      <w:r w:rsidR="00D74371" w:rsidRPr="00E114C1">
        <w:rPr>
          <w:rFonts w:ascii="Book Antiqua" w:eastAsia="DengXian" w:hAnsi="Book Antiqua" w:cs="宋体"/>
          <w:color w:val="000000"/>
        </w:rPr>
        <w:t>514</w:t>
      </w:r>
    </w:p>
    <w:bookmarkEnd w:id="22"/>
    <w:bookmarkEnd w:id="23"/>
    <w:p w14:paraId="026CD4DF" w14:textId="77777777" w:rsidR="00680DB2" w:rsidRDefault="00680DB2">
      <w:pPr>
        <w:spacing w:line="360" w:lineRule="auto"/>
        <w:jc w:val="both"/>
        <w:rPr>
          <w:rFonts w:ascii="Book Antiqua" w:hAnsi="Book Antiqua"/>
        </w:rPr>
      </w:pPr>
    </w:p>
    <w:p w14:paraId="242F2184" w14:textId="77777777" w:rsidR="00680DB2" w:rsidRDefault="00000000">
      <w:pPr>
        <w:spacing w:line="360" w:lineRule="auto"/>
        <w:jc w:val="both"/>
        <w:rPr>
          <w:rFonts w:ascii="Book Antiqua" w:hAnsi="Book Antiqua"/>
          <w:lang w:eastAsia="zh-CN"/>
        </w:rPr>
      </w:pPr>
      <w:r>
        <w:rPr>
          <w:rFonts w:ascii="Book Antiqua" w:eastAsia="Book Antiqua" w:hAnsi="Book Antiqua" w:cs="Book Antiqua"/>
          <w:b/>
          <w:bCs/>
        </w:rPr>
        <w:t xml:space="preserve">Core Tip: </w:t>
      </w:r>
      <w:bookmarkStart w:id="24" w:name="OLE_LINK5890"/>
      <w:bookmarkStart w:id="25" w:name="OLE_LINK5889"/>
      <w:r>
        <w:rPr>
          <w:rFonts w:ascii="Book Antiqua" w:eastAsia="Book Antiqua" w:hAnsi="Book Antiqua" w:cs="Book Antiqua"/>
          <w:color w:val="000000"/>
          <w:shd w:val="clear" w:color="auto" w:fill="FFFFFF"/>
        </w:rPr>
        <w:t xml:space="preserve">Cancer stem cells (CSCs) have the potential to self-renew, proliferate, and differentiate. CSCs play a key role in the occurrence, development, recurrence, and metastasis of tumors. Due to the good compatibility and biodegradability of </w:t>
      </w:r>
      <w:r>
        <w:rPr>
          <w:rFonts w:ascii="Book Antiqua" w:eastAsia="Book Antiqua" w:hAnsi="Book Antiqua" w:cs="Book Antiqua"/>
          <w:color w:val="000000"/>
          <w:shd w:val="clear" w:color="auto" w:fill="FFFFFF"/>
        </w:rPr>
        <w:lastRenderedPageBreak/>
        <w:t>nanomaterials, they are applied to target CSCs for drug delivery</w:t>
      </w:r>
      <w:r>
        <w:rPr>
          <w:rFonts w:ascii="Book Antiqua" w:hAnsi="Book Antiqua" w:cs="Book Antiqua"/>
          <w:color w:val="000000"/>
          <w:shd w:val="clear" w:color="auto" w:fill="FFFFFF"/>
          <w:lang w:eastAsia="zh-CN"/>
        </w:rPr>
        <w:t>,</w:t>
      </w:r>
      <w:r>
        <w:rPr>
          <w:rFonts w:ascii="Book Antiqua" w:eastAsia="Book Antiqua" w:hAnsi="Book Antiqua" w:cs="Book Antiqua"/>
          <w:color w:val="000000"/>
          <w:shd w:val="clear" w:color="auto" w:fill="FFFFFF"/>
        </w:rPr>
        <w:t xml:space="preserve"> photothermal therapy,</w:t>
      </w:r>
      <w:r>
        <w:rPr>
          <w:rFonts w:ascii="Book Antiqua" w:hAnsi="Book Antiqua" w:cs="Book Antiqu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w:t>
      </w:r>
      <w:r>
        <w:rPr>
          <w:rFonts w:ascii="Book Antiqua" w:hAnsi="Book Antiqua" w:cs="Book Antiqua"/>
          <w:color w:val="000000"/>
          <w:shd w:val="clear" w:color="auto" w:fill="FFFFFF"/>
          <w:lang w:eastAsia="zh-CN"/>
        </w:rPr>
        <w:t>m</w:t>
      </w:r>
      <w:r>
        <w:rPr>
          <w:rFonts w:ascii="Book Antiqua" w:eastAsia="Book Antiqua" w:hAnsi="Book Antiqua" w:cs="Book Antiqua"/>
          <w:color w:val="000000"/>
          <w:shd w:val="clear" w:color="auto" w:fill="FFFFFF"/>
        </w:rPr>
        <w:t>agnetic hyperthermia to</w:t>
      </w:r>
      <w:r>
        <w:rPr>
          <w:rFonts w:ascii="Book Antiqua" w:hAnsi="Book Antiqua" w:cs="Book Antiqua"/>
          <w:color w:val="000000"/>
          <w:shd w:val="clear" w:color="auto" w:fill="FFFFFF"/>
          <w:lang w:eastAsia="zh-CN"/>
        </w:rPr>
        <w:t xml:space="preserve"> treat cancer.</w:t>
      </w:r>
      <w:bookmarkEnd w:id="24"/>
      <w:bookmarkEnd w:id="25"/>
    </w:p>
    <w:p w14:paraId="3F2588C4" w14:textId="77777777" w:rsidR="00680DB2" w:rsidRDefault="00680DB2">
      <w:pPr>
        <w:spacing w:line="360" w:lineRule="auto"/>
        <w:jc w:val="both"/>
        <w:rPr>
          <w:rFonts w:ascii="Book Antiqua" w:hAnsi="Book Antiqua"/>
        </w:rPr>
      </w:pPr>
    </w:p>
    <w:p w14:paraId="1DFCA072" w14:textId="77777777" w:rsidR="00680DB2" w:rsidRDefault="00680DB2">
      <w:pPr>
        <w:spacing w:line="360" w:lineRule="auto"/>
        <w:jc w:val="both"/>
        <w:rPr>
          <w:rFonts w:ascii="Book Antiqua" w:hAnsi="Book Antiqua"/>
        </w:rPr>
      </w:pPr>
    </w:p>
    <w:p w14:paraId="7FA3F5B3" w14:textId="77777777" w:rsidR="00680DB2" w:rsidRDefault="00680DB2">
      <w:pPr>
        <w:spacing w:line="360" w:lineRule="auto"/>
        <w:jc w:val="both"/>
        <w:rPr>
          <w:rFonts w:ascii="Book Antiqua" w:hAnsi="Book Antiqua"/>
        </w:rPr>
      </w:pPr>
    </w:p>
    <w:p w14:paraId="5015CE62" w14:textId="77777777" w:rsidR="00680DB2" w:rsidRDefault="00680DB2">
      <w:pPr>
        <w:spacing w:line="360" w:lineRule="auto"/>
        <w:jc w:val="both"/>
        <w:rPr>
          <w:rFonts w:ascii="Book Antiqua" w:hAnsi="Book Antiqua"/>
        </w:rPr>
      </w:pPr>
    </w:p>
    <w:p w14:paraId="6F9B7744"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aps/>
          <w:color w:val="000000"/>
          <w:u w:val="single"/>
        </w:rPr>
        <w:t>INTRODUCTION</w:t>
      </w:r>
    </w:p>
    <w:p w14:paraId="3A3B5A99"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Cancer is a major threat to people’s health and life worldwide</w:t>
      </w:r>
      <w:r>
        <w:rPr>
          <w:rFonts w:ascii="Book Antiqua" w:eastAsia="Book Antiqua" w:hAnsi="Book Antiqua" w:cs="Book Antiqua"/>
          <w:color w:val="000000"/>
          <w:vertAlign w:val="superscript"/>
        </w:rPr>
        <w:t>[1]</w:t>
      </w:r>
      <w:r>
        <w:rPr>
          <w:rFonts w:ascii="Book Antiqua" w:eastAsia="Book Antiqua" w:hAnsi="Book Antiqua" w:cs="Book Antiqua"/>
          <w:color w:val="000000"/>
        </w:rPr>
        <w:t>. One of every eight deaths is caused by cancer</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Current cancer treatments </w:t>
      </w:r>
      <w:r>
        <w:rPr>
          <w:rFonts w:ascii="Book Antiqua" w:hAnsi="Book Antiqua" w:cs="Book Antiqua"/>
          <w:color w:val="000000"/>
          <w:lang w:eastAsia="zh-CN"/>
        </w:rPr>
        <w:t xml:space="preserve">mainly </w:t>
      </w:r>
      <w:r>
        <w:rPr>
          <w:rFonts w:ascii="Book Antiqua" w:eastAsia="Book Antiqua" w:hAnsi="Book Antiqua" w:cs="Book Antiqua"/>
          <w:color w:val="000000"/>
        </w:rPr>
        <w:t xml:space="preserve">include surgical intervention, radiation therapy, and chemotherapy, </w:t>
      </w:r>
      <w:r>
        <w:rPr>
          <w:rFonts w:ascii="Book Antiqua" w:hAnsi="Book Antiqua" w:cs="Book Antiqua"/>
          <w:color w:val="000000"/>
          <w:lang w:eastAsia="zh-CN"/>
        </w:rPr>
        <w:t xml:space="preserve">which </w:t>
      </w:r>
      <w:r>
        <w:rPr>
          <w:rFonts w:ascii="Book Antiqua" w:eastAsia="Book Antiqua" w:hAnsi="Book Antiqua" w:cs="Book Antiqua"/>
          <w:color w:val="000000"/>
        </w:rPr>
        <w:t>often kill healthy cells and</w:t>
      </w:r>
      <w:r>
        <w:rPr>
          <w:rFonts w:ascii="Book Antiqua" w:hAnsi="Book Antiqua" w:cs="Book Antiqua"/>
          <w:color w:val="000000"/>
          <w:lang w:eastAsia="zh-CN"/>
        </w:rPr>
        <w:t xml:space="preserve"> are</w:t>
      </w:r>
      <w:r>
        <w:rPr>
          <w:rFonts w:ascii="Book Antiqua" w:eastAsia="Book Antiqua" w:hAnsi="Book Antiqua" w:cs="Book Antiqua"/>
          <w:color w:val="000000"/>
        </w:rPr>
        <w:t xml:space="preserve"> harmful to patient</w:t>
      </w:r>
      <w:r>
        <w:rPr>
          <w:rFonts w:ascii="Book Antiqua" w:hAnsi="Book Antiqua" w:cs="Book Antiqua"/>
          <w:color w:val="000000"/>
          <w:lang w:eastAsia="zh-CN"/>
        </w:rPr>
        <w:t>s</w:t>
      </w:r>
      <w:r>
        <w:rPr>
          <w:rFonts w:ascii="Book Antiqua" w:eastAsia="Book Antiqua" w:hAnsi="Book Antiqua" w:cs="Book Antiqua"/>
          <w:color w:val="000000"/>
        </w:rPr>
        <w:t xml:space="preserve">. Therefore, researchers are </w:t>
      </w:r>
      <w:r>
        <w:rPr>
          <w:rFonts w:ascii="Book Antiqua" w:hAnsi="Book Antiqua" w:cs="Book Antiqua"/>
          <w:color w:val="000000"/>
          <w:lang w:eastAsia="zh-CN"/>
        </w:rPr>
        <w:t xml:space="preserve">seeking better </w:t>
      </w:r>
      <w:r>
        <w:rPr>
          <w:rFonts w:ascii="Book Antiqua" w:eastAsia="Book Antiqua" w:hAnsi="Book Antiqua" w:cs="Book Antiqua"/>
          <w:color w:val="000000"/>
        </w:rPr>
        <w:t>ways to eliminate cancer cells</w:t>
      </w:r>
      <w:r>
        <w:rPr>
          <w:rFonts w:ascii="Book Antiqua" w:hAnsi="Book Antiqua" w:cs="Book Antiqua"/>
          <w:color w:val="000000"/>
          <w:lang w:eastAsia="zh-CN"/>
        </w:rPr>
        <w:t>, with less side effects</w:t>
      </w:r>
      <w:r>
        <w:rPr>
          <w:rFonts w:ascii="Book Antiqua" w:eastAsia="Book Antiqua" w:hAnsi="Book Antiqua" w:cs="Book Antiqua"/>
          <w:color w:val="000000"/>
        </w:rPr>
        <w:t>. Some researchers are working on the use of various macrocyclic ligands for cancer</w:t>
      </w:r>
      <w:r>
        <w:rPr>
          <w:rFonts w:ascii="Book Antiqua" w:hAnsi="Book Antiqua" w:cs="Book Antiqua"/>
          <w:color w:val="000000"/>
          <w:lang w:eastAsia="zh-CN"/>
        </w:rPr>
        <w:t xml:space="preserve"> therapy</w:t>
      </w:r>
      <w:r>
        <w:rPr>
          <w:rFonts w:ascii="Book Antiqua" w:eastAsia="Book Antiqua" w:hAnsi="Book Antiqua" w:cs="Book Antiqua"/>
          <w:color w:val="000000"/>
        </w:rPr>
        <w:t>, making ruthenium an ideal choice over other transition metals due to its special chemical properties</w:t>
      </w:r>
      <w:r>
        <w:rPr>
          <w:rFonts w:ascii="Book Antiqua" w:eastAsia="Book Antiqua" w:hAnsi="Book Antiqua" w:cs="Book Antiqua"/>
          <w:color w:val="000000"/>
          <w:vertAlign w:val="superscript"/>
        </w:rPr>
        <w:t>[4]</w:t>
      </w:r>
      <w:r>
        <w:rPr>
          <w:rFonts w:ascii="Book Antiqua" w:eastAsia="Book Antiqua" w:hAnsi="Book Antiqua" w:cs="Book Antiqua"/>
          <w:color w:val="000000"/>
        </w:rPr>
        <w:t>. However, what plagues most cancer treatments is the presence of a small number of cancer stem cells (CSCs) in tumor tissues</w:t>
      </w:r>
      <w:r>
        <w:rPr>
          <w:rFonts w:ascii="Book Antiqua" w:eastAsia="Book Antiqua" w:hAnsi="Book Antiqua" w:cs="Book Antiqua"/>
          <w:color w:val="000000"/>
          <w:vertAlign w:val="superscript"/>
        </w:rPr>
        <w:t>[5,6]</w:t>
      </w:r>
      <w:r>
        <w:rPr>
          <w:rFonts w:ascii="Book Antiqua" w:eastAsia="Book Antiqua" w:hAnsi="Book Antiqua" w:cs="Book Antiqua"/>
          <w:color w:val="000000"/>
        </w:rPr>
        <w:t>, which have the potential for self-renewal, unlimited proliferative capacity, and multidirectional differentiation</w:t>
      </w:r>
      <w:r>
        <w:rPr>
          <w:rFonts w:ascii="Book Antiqua" w:eastAsia="Book Antiqua" w:hAnsi="Book Antiqua" w:cs="Book Antiqua"/>
          <w:color w:val="000000"/>
          <w:vertAlign w:val="superscript"/>
        </w:rPr>
        <w:t>[5,7]</w:t>
      </w:r>
      <w:r>
        <w:rPr>
          <w:rFonts w:ascii="Book Antiqua" w:eastAsia="Book Antiqua" w:hAnsi="Book Antiqua" w:cs="Book Antiqua"/>
          <w:color w:val="000000"/>
        </w:rPr>
        <w:t>. These cells are in the G0 phase and hypoxic microenvironment and play a key role in tumorigenesis, progression, recurrence, and metastasis. The presence of CSCs in solid tumors such as breast cancer (BC)</w:t>
      </w:r>
      <w:r>
        <w:rPr>
          <w:rFonts w:ascii="Book Antiqua" w:eastAsia="Book Antiqua" w:hAnsi="Book Antiqua" w:cs="Book Antiqua"/>
          <w:color w:val="000000"/>
          <w:vertAlign w:val="superscript"/>
        </w:rPr>
        <w:t>[8,9]</w:t>
      </w:r>
      <w:r>
        <w:rPr>
          <w:rFonts w:ascii="Book Antiqua" w:eastAsia="Book Antiqua" w:hAnsi="Book Antiqua" w:cs="Book Antiqua"/>
          <w:color w:val="000000"/>
        </w:rPr>
        <w:t>, human leukemia</w:t>
      </w:r>
      <w:r>
        <w:rPr>
          <w:rFonts w:ascii="Book Antiqua" w:eastAsia="Book Antiqua" w:hAnsi="Book Antiqua" w:cs="Book Antiqua"/>
          <w:color w:val="000000"/>
          <w:vertAlign w:val="superscript"/>
        </w:rPr>
        <w:t>[10,11]</w:t>
      </w:r>
      <w:r>
        <w:rPr>
          <w:rFonts w:ascii="Book Antiqua" w:eastAsia="Book Antiqua" w:hAnsi="Book Antiqua" w:cs="Book Antiqua"/>
          <w:color w:val="000000"/>
        </w:rPr>
        <w:t>, colorectal cancer</w:t>
      </w:r>
      <w:r>
        <w:rPr>
          <w:rFonts w:ascii="Book Antiqua" w:eastAsia="Book Antiqua" w:hAnsi="Book Antiqua" w:cs="Book Antiqua"/>
          <w:color w:val="000000"/>
          <w:vertAlign w:val="superscript"/>
        </w:rPr>
        <w:t>[12,13]</w:t>
      </w:r>
      <w:r>
        <w:rPr>
          <w:rFonts w:ascii="Book Antiqua" w:eastAsia="Book Antiqua" w:hAnsi="Book Antiqua" w:cs="Book Antiqua"/>
          <w:color w:val="000000"/>
        </w:rPr>
        <w:t>, glioblastoma multiforme (GBM)</w:t>
      </w:r>
      <w:r>
        <w:rPr>
          <w:rFonts w:ascii="Book Antiqua" w:eastAsia="Book Antiqua" w:hAnsi="Book Antiqua" w:cs="Book Antiqua"/>
          <w:color w:val="000000"/>
          <w:vertAlign w:val="superscript"/>
        </w:rPr>
        <w:t>[14]</w:t>
      </w:r>
      <w:r>
        <w:rPr>
          <w:rFonts w:ascii="Book Antiqua" w:eastAsia="Book Antiqua" w:hAnsi="Book Antiqua" w:cs="Book Antiqua"/>
          <w:color w:val="000000"/>
        </w:rPr>
        <w:t>, and ovarian cancer</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has been reported, and </w:t>
      </w:r>
      <w:r>
        <w:rPr>
          <w:rFonts w:ascii="Book Antiqua" w:hAnsi="Book Antiqua" w:cs="Book Antiqua"/>
          <w:color w:val="000000"/>
          <w:lang w:eastAsia="zh-CN"/>
        </w:rPr>
        <w:t xml:space="preserve">it has been </w:t>
      </w:r>
      <w:r>
        <w:rPr>
          <w:rFonts w:ascii="Book Antiqua" w:eastAsia="Book Antiqua" w:hAnsi="Book Antiqua" w:cs="Book Antiqua"/>
          <w:color w:val="000000"/>
        </w:rPr>
        <w:t>confirmed that CSCs play an important role in the development of tumors.</w:t>
      </w:r>
    </w:p>
    <w:p w14:paraId="120F72D5"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CSCs have inherent properties such as phenotypic plasticity, drug efflux transporters, overexpression of antiapoptotic proteins, an efficient DNA repair system and a persistent stemness profile that make them resistant to conventional therapies such as chemotherapy and radiation</w:t>
      </w:r>
      <w:r>
        <w:rPr>
          <w:rFonts w:ascii="Book Antiqua" w:eastAsia="Book Antiqua" w:hAnsi="Book Antiqua" w:cs="Book Antiqua"/>
          <w:color w:val="000000"/>
          <w:vertAlign w:val="superscript"/>
        </w:rPr>
        <w:t>[16-18]</w:t>
      </w:r>
      <w:r>
        <w:rPr>
          <w:rFonts w:ascii="Book Antiqua" w:eastAsia="Book Antiqua" w:hAnsi="Book Antiqua" w:cs="Book Antiqua"/>
          <w:color w:val="000000"/>
        </w:rPr>
        <w:t>. In general, CSC resistance mainly occur through stem cell pathways including the hedgehog</w:t>
      </w:r>
      <w:r>
        <w:rPr>
          <w:rFonts w:ascii="Book Antiqua" w:eastAsia="Book Antiqua" w:hAnsi="Book Antiqua" w:cs="Book Antiqua"/>
          <w:color w:val="000000"/>
          <w:vertAlign w:val="superscript"/>
        </w:rPr>
        <w:t>[19,20]</w:t>
      </w:r>
      <w:r>
        <w:rPr>
          <w:rFonts w:ascii="Book Antiqua" w:eastAsia="Book Antiqua" w:hAnsi="Book Antiqua" w:cs="Book Antiqua"/>
          <w:color w:val="000000"/>
        </w:rPr>
        <w:t>, Notch</w:t>
      </w:r>
      <w:r>
        <w:rPr>
          <w:rFonts w:ascii="Book Antiqua" w:eastAsia="Book Antiqua" w:hAnsi="Book Antiqua" w:cs="Book Antiqua"/>
          <w:color w:val="000000"/>
          <w:vertAlign w:val="superscript"/>
        </w:rPr>
        <w:t>[21,22]</w:t>
      </w:r>
      <w:r>
        <w:rPr>
          <w:rFonts w:ascii="Book Antiqua" w:eastAsia="Book Antiqua" w:hAnsi="Book Antiqua" w:cs="Book Antiqua"/>
          <w:color w:val="000000"/>
        </w:rPr>
        <w:t>, Wnt/β-linked protein</w:t>
      </w:r>
      <w:r>
        <w:rPr>
          <w:rFonts w:ascii="Book Antiqua" w:eastAsia="Book Antiqua" w:hAnsi="Book Antiqua" w:cs="Book Antiqua"/>
          <w:color w:val="000000"/>
          <w:vertAlign w:val="superscript"/>
        </w:rPr>
        <w:t>[23,24]</w:t>
      </w:r>
      <w:r>
        <w:rPr>
          <w:rFonts w:ascii="Book Antiqua" w:eastAsia="Book Antiqua" w:hAnsi="Book Antiqua" w:cs="Book Antiqua"/>
          <w:color w:val="000000"/>
        </w:rPr>
        <w:t>, Nanog</w:t>
      </w:r>
      <w:r>
        <w:rPr>
          <w:rFonts w:ascii="Book Antiqua" w:eastAsia="Book Antiqua" w:hAnsi="Book Antiqua" w:cs="Book Antiqua"/>
          <w:color w:val="000000"/>
          <w:vertAlign w:val="superscript"/>
        </w:rPr>
        <w:t>[25,26]</w:t>
      </w:r>
      <w:r>
        <w:rPr>
          <w:rFonts w:ascii="Book Antiqua" w:eastAsia="Book Antiqua" w:hAnsi="Book Antiqua" w:cs="Book Antiqua"/>
          <w:color w:val="000000"/>
        </w:rPr>
        <w:t>, nuclear factor kappa B (NF-</w:t>
      </w:r>
      <w:r>
        <w:rPr>
          <w:rFonts w:ascii="Symbol" w:eastAsia="Book Antiqua" w:hAnsi="Symbol" w:cs="Book Antiqua"/>
          <w:color w:val="000000"/>
        </w:rPr>
        <w:t></w:t>
      </w:r>
      <w:r>
        <w:rPr>
          <w:rFonts w:ascii="Book Antiqua" w:eastAsia="Book Antiqua" w:hAnsi="Book Antiqua" w:cs="Book Antiqua"/>
          <w:color w:val="000000"/>
        </w:rPr>
        <w:t>B)</w:t>
      </w:r>
      <w:r>
        <w:rPr>
          <w:rFonts w:ascii="Book Antiqua" w:eastAsia="Book Antiqua" w:hAnsi="Book Antiqua" w:cs="Book Antiqua"/>
          <w:color w:val="000000"/>
          <w:vertAlign w:val="superscript"/>
        </w:rPr>
        <w:t>[27]</w:t>
      </w:r>
      <w:r>
        <w:rPr>
          <w:rFonts w:ascii="Book Antiqua" w:eastAsia="Book Antiqua" w:hAnsi="Book Antiqua" w:cs="Book Antiqua"/>
          <w:color w:val="000000"/>
        </w:rPr>
        <w:t>, and epidermal growth factor receptor pathways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They express </w:t>
      </w:r>
      <w:bookmarkStart w:id="26" w:name="OLE_LINK5528"/>
      <w:bookmarkStart w:id="27" w:name="OLE_LINK5527"/>
      <w:r>
        <w:rPr>
          <w:rFonts w:ascii="Book Antiqua" w:eastAsia="Book Antiqua" w:hAnsi="Book Antiqua" w:cs="Book Antiqua"/>
          <w:color w:val="000000"/>
        </w:rPr>
        <w:t>ATP-binding cassette</w:t>
      </w:r>
      <w:bookmarkEnd w:id="26"/>
      <w:bookmarkEnd w:id="27"/>
      <w:r>
        <w:rPr>
          <w:rFonts w:ascii="Book Antiqua" w:eastAsia="Book Antiqua" w:hAnsi="Book Antiqua" w:cs="Book Antiqua"/>
          <w:color w:val="000000"/>
        </w:rPr>
        <w:t xml:space="preserve"> (ABC) transporter proteins that can abrogate potential drug damage. CSCs also activate DNA repair capacity within tumor cells and are resistant to cell death</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which helps </w:t>
      </w:r>
      <w:r>
        <w:rPr>
          <w:rFonts w:ascii="Book Antiqua" w:hAnsi="Book Antiqua" w:cs="Book Antiqua"/>
          <w:color w:val="000000"/>
          <w:lang w:eastAsia="zh-CN"/>
        </w:rPr>
        <w:t xml:space="preserve">to </w:t>
      </w:r>
      <w:r>
        <w:rPr>
          <w:rFonts w:ascii="Book Antiqua" w:eastAsia="Book Antiqua" w:hAnsi="Book Antiqua" w:cs="Book Antiqua"/>
          <w:color w:val="000000"/>
        </w:rPr>
        <w:t xml:space="preserve">prevent the recruitment of apoptotic </w:t>
      </w:r>
      <w:r>
        <w:rPr>
          <w:rFonts w:ascii="Book Antiqua" w:eastAsia="Book Antiqua" w:hAnsi="Book Antiqua" w:cs="Book Antiqua"/>
          <w:color w:val="000000"/>
        </w:rPr>
        <w:lastRenderedPageBreak/>
        <w:t>factors</w:t>
      </w:r>
      <w:r>
        <w:rPr>
          <w:rFonts w:ascii="Book Antiqua" w:eastAsia="Book Antiqua" w:hAnsi="Book Antiqua" w:cs="Book Antiqua"/>
          <w:color w:val="000000"/>
          <w:vertAlign w:val="superscript"/>
        </w:rPr>
        <w:t>[5,30]</w:t>
      </w:r>
      <w:r>
        <w:rPr>
          <w:rFonts w:ascii="Book Antiqua" w:eastAsia="Book Antiqua" w:hAnsi="Book Antiqua" w:cs="Book Antiqua"/>
          <w:color w:val="000000"/>
        </w:rPr>
        <w:t>. Therefore, the development of effective anticancer strategies to specifically kill tumor cells and tumor stem cells will be central to cancer therapy.</w:t>
      </w:r>
    </w:p>
    <w:p w14:paraId="75B50149"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recent years, the popularity of nanotechnology has promoted the development of nanodrug delivery systems (NDDS), and various nanodrug carriers have been applied to the treatment of tumors. Due to their </w:t>
      </w:r>
      <w:r>
        <w:rPr>
          <w:rFonts w:ascii="Book Antiqua" w:hAnsi="Book Antiqua" w:cs="Book Antiqua"/>
          <w:color w:val="000000"/>
          <w:lang w:eastAsia="zh-CN"/>
        </w:rPr>
        <w:t xml:space="preserve">small </w:t>
      </w:r>
      <w:r>
        <w:rPr>
          <w:rFonts w:ascii="Book Antiqua" w:eastAsia="Book Antiqua" w:hAnsi="Book Antiqua" w:cs="Book Antiqua"/>
          <w:color w:val="000000"/>
        </w:rPr>
        <w:t>size, biocompatibility, and biodegradability, nanoparticles (NPs) help to fully exploit the function of NDDSs as drug delivery systems/drug carriers, including as imaging agents and for photothermal therapy (PTT), recognition, and drug and gene delivery</w:t>
      </w:r>
      <w:r>
        <w:rPr>
          <w:rFonts w:ascii="Book Antiqua" w:eastAsia="Book Antiqua" w:hAnsi="Book Antiqua" w:cs="Book Antiqua"/>
          <w:color w:val="000000"/>
          <w:vertAlign w:val="superscript"/>
        </w:rPr>
        <w:t>[31]</w:t>
      </w:r>
      <w:r>
        <w:rPr>
          <w:rFonts w:ascii="Book Antiqua" w:eastAsia="Book Antiqua" w:hAnsi="Book Antiqua" w:cs="Book Antiqua"/>
          <w:color w:val="000000"/>
        </w:rPr>
        <w:t>. As the carrier of active drugs in the drug delivery model, NDDSs can ensure the specific release of active drugs in the patient's body, improve drug solubility and bioavailability and prolong maintenance to improve drug efficacy</w:t>
      </w:r>
      <w:r>
        <w:rPr>
          <w:rFonts w:ascii="Book Antiqua" w:eastAsia="Book Antiqua" w:hAnsi="Book Antiqua" w:cs="Book Antiqua"/>
          <w:color w:val="000000"/>
          <w:vertAlign w:val="superscript"/>
        </w:rPr>
        <w:t>[32]</w:t>
      </w:r>
      <w:r>
        <w:rPr>
          <w:rFonts w:ascii="Book Antiqua" w:eastAsia="Book Antiqua" w:hAnsi="Book Antiqua" w:cs="Book Antiqua"/>
          <w:color w:val="000000"/>
        </w:rPr>
        <w:t>. Nanocarriers offer remarkable specificity in targeted delivery through active and passive targeting mechanisms (Figure 1)</w:t>
      </w:r>
      <w:r>
        <w:rPr>
          <w:rFonts w:ascii="Book Antiqua" w:eastAsia="Book Antiqua" w:hAnsi="Book Antiqua" w:cs="Book Antiqua"/>
          <w:color w:val="000000"/>
          <w:vertAlign w:val="superscript"/>
        </w:rPr>
        <w:t>[33,34]</w:t>
      </w:r>
      <w:r>
        <w:rPr>
          <w:rFonts w:ascii="Book Antiqua" w:eastAsia="Book Antiqua" w:hAnsi="Book Antiqua" w:cs="Book Antiqua"/>
          <w:color w:val="000000"/>
        </w:rPr>
        <w:t>. In active targeting, NPs are conjugated to antibodies, peptides, aptamers, and other small molecules</w:t>
      </w:r>
      <w:r>
        <w:rPr>
          <w:rFonts w:ascii="Book Antiqua" w:eastAsia="Book Antiqua" w:hAnsi="Book Antiqua" w:cs="Book Antiqua"/>
          <w:color w:val="000000"/>
          <w:vertAlign w:val="superscript"/>
        </w:rPr>
        <w:t>[34]</w:t>
      </w:r>
      <w:r>
        <w:rPr>
          <w:rFonts w:ascii="Book Antiqua" w:eastAsia="Book Antiqua" w:hAnsi="Book Antiqua" w:cs="Book Antiqua"/>
          <w:color w:val="000000"/>
        </w:rPr>
        <w:t>. Drug delivery using NP targeting reduces toxicity in healthy cells, prevents drug degradation, and has the advantages of better specificity, biocompatibility, less cytotoxicity, extended half-lives, controlled drug release, and high drug loading capacity for NP-based cancer treatments compared to traditional chemo-cancer treatments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passive targeting, enhanced permeability and retention (EPR) effects result in NPs circulating slowly in the tumor </w:t>
      </w:r>
      <w:r>
        <w:rPr>
          <w:rFonts w:ascii="Book Antiqua" w:hAnsi="Book Antiqua" w:cs="Book Antiqua"/>
          <w:color w:val="000000"/>
          <w:lang w:eastAsia="zh-CN"/>
        </w:rPr>
        <w:t>micro</w:t>
      </w:r>
      <w:r>
        <w:rPr>
          <w:rFonts w:ascii="Book Antiqua" w:eastAsia="Book Antiqua" w:hAnsi="Book Antiqua" w:cs="Book Antiqua"/>
          <w:color w:val="000000"/>
        </w:rPr>
        <w:t>environment and being more concentrated there than in healthy tissue</w:t>
      </w:r>
      <w:r>
        <w:rPr>
          <w:rFonts w:ascii="Book Antiqua" w:eastAsia="Book Antiqua" w:hAnsi="Book Antiqua" w:cs="Book Antiqua"/>
          <w:color w:val="000000"/>
          <w:vertAlign w:val="superscript"/>
        </w:rPr>
        <w:t>[36]</w:t>
      </w:r>
      <w:r>
        <w:rPr>
          <w:rFonts w:ascii="Book Antiqua" w:eastAsia="Book Antiqua" w:hAnsi="Book Antiqua" w:cs="Book Antiqua"/>
          <w:color w:val="000000"/>
        </w:rPr>
        <w:t>. Some commonly used nanocarriers (Figure 2) include lipid and micelle-based NPs, polymer/non-polymer NPs, nanobinding, carbon nanotubes (CNTs), graphene oxide (GO), nanocapsules, dendritic macromolecules, polymer micelles, and quantum dots (QDs), which are used to enhance the effectiveness of therapeutic interventions by delivering nontoxic large payloads</w:t>
      </w:r>
      <w:r>
        <w:rPr>
          <w:rFonts w:ascii="Book Antiqua" w:eastAsia="Book Antiqua" w:hAnsi="Book Antiqua" w:cs="Book Antiqua"/>
          <w:color w:val="000000"/>
          <w:vertAlign w:val="superscript"/>
        </w:rPr>
        <w:t>[37-39]</w:t>
      </w:r>
      <w:r>
        <w:rPr>
          <w:rFonts w:ascii="Book Antiqua" w:eastAsia="Book Antiqua" w:hAnsi="Book Antiqua" w:cs="Book Antiqua"/>
          <w:color w:val="000000"/>
        </w:rPr>
        <w:t>. Recent advances in nanotherapeutics have led to the development and exploration of various nanomaterial carriers for efficient drug/therapeutic delivery.</w:t>
      </w:r>
    </w:p>
    <w:p w14:paraId="3BFF384B"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CSCs have been identified as playing a central role in the setbacks currently faced in clinical trials and research. Therefore, designing a system that can target them at the cellular and system levels is the most promising avenue in the evolution of therapeutic design. By reviewing the application of nanotechnology in CSCs, we hope to provide </w:t>
      </w:r>
      <w:r>
        <w:rPr>
          <w:rFonts w:ascii="Book Antiqua" w:eastAsia="Book Antiqua" w:hAnsi="Book Antiqua" w:cs="Book Antiqua"/>
          <w:color w:val="000000"/>
        </w:rPr>
        <w:lastRenderedPageBreak/>
        <w:t xml:space="preserve">guidance for the design and in-depth study of nanotechnology drug carriers so that they can be </w:t>
      </w:r>
      <w:r>
        <w:rPr>
          <w:rFonts w:ascii="Book Antiqua" w:hAnsi="Book Antiqua" w:cs="Book Antiqua" w:hint="eastAsia"/>
          <w:color w:val="000000"/>
          <w:lang w:eastAsia="zh-CN"/>
        </w:rPr>
        <w:t>applied</w:t>
      </w:r>
      <w:r>
        <w:rPr>
          <w:rFonts w:ascii="Book Antiqua" w:eastAsia="Book Antiqua" w:hAnsi="Book Antiqua" w:cs="Book Antiqua"/>
          <w:color w:val="000000"/>
        </w:rPr>
        <w:t xml:space="preserve"> in clinic</w:t>
      </w:r>
      <w:r>
        <w:rPr>
          <w:rFonts w:ascii="Book Antiqua" w:hAnsi="Book Antiqua" w:cs="Book Antiqua" w:hint="eastAsia"/>
          <w:color w:val="000000"/>
          <w:lang w:eastAsia="zh-CN"/>
        </w:rPr>
        <w:t xml:space="preserve"> to treat</w:t>
      </w:r>
      <w:r>
        <w:rPr>
          <w:rFonts w:ascii="Book Antiqua" w:eastAsia="Book Antiqua" w:hAnsi="Book Antiqua" w:cs="Book Antiqua"/>
          <w:color w:val="000000"/>
        </w:rPr>
        <w:t xml:space="preserve"> cancer.</w:t>
      </w:r>
    </w:p>
    <w:p w14:paraId="491F68F1" w14:textId="77777777" w:rsidR="00680DB2" w:rsidRDefault="00680DB2">
      <w:pPr>
        <w:spacing w:line="360" w:lineRule="auto"/>
        <w:jc w:val="both"/>
        <w:rPr>
          <w:rFonts w:ascii="Book Antiqua" w:hAnsi="Book Antiqua"/>
        </w:rPr>
      </w:pPr>
    </w:p>
    <w:p w14:paraId="5509BB45" w14:textId="77777777" w:rsidR="00680DB2"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NANOTECHNOLOGY FOR CSC SORTING</w:t>
      </w:r>
    </w:p>
    <w:p w14:paraId="7162181C"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better understand the molecular basis of the contribution of CSCs to tumor progression, metastasis, and treatment resistance, many studies have identified biomarkers on the surface of CSC populations to distinguish them from the majority of tumor cells. Magnetic-activated cell sorting (MACS) is a CSC sorting technique. Magnetic NPs have unique magnetic activity and are one of the most actively studied NPs, usually ranging in diameter from 1 to 100 nanometers. Basically, magnetic NPs are classified as magnetically manipulated substances, consisting mainly of iron oxides or other metals (iron, nickel, or cobalt). MACS microbeads are superparamagnetic particles coupled to highly specific monoclonal antibodies. The cell surface-specific antigens are combined with stem cell markers such as CD44, CD133, and epithelial cell adhesion molecule (EpCAM), connected to the magnetic bead, and the cells labeled with the conjugated magnetic bead is separated by providing a uniform magnetic field to sort out the corresponding CSC population (Figure 3).</w:t>
      </w:r>
    </w:p>
    <w:p w14:paraId="5B43E667" w14:textId="77777777" w:rsidR="00680DB2" w:rsidRDefault="00680DB2">
      <w:pPr>
        <w:spacing w:line="360" w:lineRule="auto"/>
        <w:jc w:val="both"/>
        <w:rPr>
          <w:rFonts w:ascii="Book Antiqua" w:hAnsi="Book Antiqua"/>
        </w:rPr>
      </w:pPr>
    </w:p>
    <w:p w14:paraId="56EADD8D" w14:textId="77777777" w:rsidR="00680DB2"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KINDS OF NANODRUG DELIVERY SYSTEMS</w:t>
      </w:r>
    </w:p>
    <w:p w14:paraId="0B4245CA"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date, nanomedicine has been focused on identifying alternatives to tumor therapy, with researchers focusing on the design of various nanocarriers, which have been used to load various anticancer drugs and herbal medicines to target tumor cells. In fact, according to the National Institutes of Health, there have been clinical trials involving the use of nanotechnology in CSC therapy (Table 1). Because the mechanisms of multidrug resistance are very complex and varied, targeting one mechanism alone does not address clinical needs. Nanocarriers have good stability, a high encapsulation rate and a high drug loading rate and have been proven to be effective carriers for genes and drugs delivered to tumor cells. This delivery induces apoptotic pathways and inactivates resistance genes for targeting tumor tissue to eliminate CSCs. According to the classification of nanotechnology used to target CSCs, they can be divided into Polymeric </w:t>
      </w:r>
      <w:r>
        <w:rPr>
          <w:rFonts w:ascii="Book Antiqua" w:eastAsia="Book Antiqua" w:hAnsi="Book Antiqua" w:cs="Book Antiqua"/>
          <w:color w:val="000000"/>
        </w:rPr>
        <w:lastRenderedPageBreak/>
        <w:t>NP</w:t>
      </w:r>
      <w:r>
        <w:rPr>
          <w:rFonts w:ascii="宋体" w:hAnsi="宋体" w:cs="宋体" w:hint="eastAsia"/>
          <w:color w:val="000000"/>
          <w:lang w:eastAsia="zh-CN"/>
        </w:rPr>
        <w:t>s</w:t>
      </w:r>
      <w:r>
        <w:rPr>
          <w:rFonts w:ascii="宋体" w:hAnsi="宋体" w:cs="宋体"/>
          <w:color w:val="000000"/>
          <w:lang w:eastAsia="zh-CN"/>
        </w:rPr>
        <w:t>(PNPs)</w:t>
      </w:r>
      <w:r>
        <w:rPr>
          <w:rFonts w:ascii="Book Antiqua" w:eastAsia="Book Antiqua" w:hAnsi="Book Antiqua" w:cs="Book Antiqua"/>
          <w:color w:val="000000"/>
        </w:rPr>
        <w:t>, liposomes, gold (Au) nanorods (GNRs), QDs, CNTs, GO, PTT, and magnetic fluid hyperthermia (Table 2).</w:t>
      </w:r>
    </w:p>
    <w:p w14:paraId="087C0883" w14:textId="77777777" w:rsidR="00680DB2" w:rsidRDefault="00680DB2">
      <w:pPr>
        <w:spacing w:line="360" w:lineRule="auto"/>
        <w:jc w:val="both"/>
        <w:rPr>
          <w:rFonts w:ascii="Book Antiqua" w:hAnsi="Book Antiqua"/>
        </w:rPr>
      </w:pPr>
    </w:p>
    <w:p w14:paraId="195F50ED" w14:textId="77777777" w:rsidR="00680DB2" w:rsidRDefault="00000000">
      <w:pPr>
        <w:spacing w:line="360" w:lineRule="auto"/>
        <w:jc w:val="both"/>
        <w:rPr>
          <w:rFonts w:ascii="DengXian" w:eastAsia="DengXian" w:hAnsi="DengXian" w:cs="Book Antiqua"/>
          <w:b/>
          <w:bCs/>
          <w:i/>
          <w:iCs/>
          <w:color w:val="000000"/>
          <w:lang w:eastAsia="zh-CN"/>
        </w:rPr>
      </w:pPr>
      <w:r w:rsidRPr="00641A01">
        <w:rPr>
          <w:rFonts w:ascii="Book Antiqua" w:eastAsia="Book Antiqua" w:hAnsi="Book Antiqua" w:cs="Book Antiqua"/>
          <w:b/>
          <w:bCs/>
          <w:i/>
          <w:iCs/>
          <w:color w:val="000000"/>
        </w:rPr>
        <w:t>PNP</w:t>
      </w:r>
      <w:r w:rsidRPr="00641A01">
        <w:rPr>
          <w:rFonts w:ascii="Book Antiqua" w:eastAsia="Book Antiqua" w:hAnsi="Book Antiqua" w:cs="Book Antiqua" w:hint="eastAsia"/>
          <w:b/>
          <w:bCs/>
          <w:i/>
          <w:iCs/>
          <w:color w:val="000000"/>
        </w:rPr>
        <w:t>s</w:t>
      </w:r>
      <w:r>
        <w:rPr>
          <w:rFonts w:ascii="DengXian" w:eastAsia="DengXian" w:hAnsi="DengXian" w:cs="Book Antiqua"/>
          <w:b/>
          <w:bCs/>
          <w:i/>
          <w:iCs/>
          <w:color w:val="000000"/>
          <w:lang w:eastAsia="zh-CN"/>
        </w:rPr>
        <w:t xml:space="preserve"> </w:t>
      </w:r>
    </w:p>
    <w:p w14:paraId="78B04493"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PNP</w:t>
      </w:r>
      <w:r>
        <w:rPr>
          <w:rFonts w:ascii="DengXian" w:eastAsia="DengXian" w:hAnsi="DengXian" w:cs="Book Antiqua" w:hint="eastAsia"/>
          <w:color w:val="000000"/>
          <w:lang w:eastAsia="zh-CN"/>
        </w:rPr>
        <w:t>s</w:t>
      </w:r>
      <w:r>
        <w:rPr>
          <w:rFonts w:ascii="Book Antiqua" w:eastAsia="Book Antiqua" w:hAnsi="Book Antiqua" w:cs="Book Antiqua"/>
          <w:color w:val="000000"/>
        </w:rPr>
        <w:t xml:space="preserve"> can enhance the therapeutic effects of drugs, reduce the drug resistance of CSCs, and improve the therapeutic effects of chemotherapy drugs. The following is a summary of the classification of PNPs through different antibody-ligand recognition (Figure 4), mesoporous silica (mSiO</w:t>
      </w:r>
      <w:r>
        <w:rPr>
          <w:rFonts w:ascii="Book Antiqua" w:eastAsia="Book Antiqua" w:hAnsi="Book Antiqua" w:cs="Book Antiqua"/>
          <w:color w:val="000000"/>
          <w:vertAlign w:val="subscript"/>
        </w:rPr>
        <w:t>2</w:t>
      </w:r>
      <w:r>
        <w:rPr>
          <w:rFonts w:ascii="Book Antiqua" w:eastAsia="Book Antiqua" w:hAnsi="Book Antiqua" w:cs="Book Antiqua"/>
          <w:color w:val="000000"/>
        </w:rPr>
        <w:t>) NPs (MSNs), and other nanodrug delivery systems.</w:t>
      </w:r>
    </w:p>
    <w:p w14:paraId="1D43A940" w14:textId="77777777" w:rsidR="00680DB2" w:rsidRDefault="00680DB2">
      <w:pPr>
        <w:spacing w:line="360" w:lineRule="auto"/>
        <w:jc w:val="both"/>
        <w:rPr>
          <w:rFonts w:ascii="Book Antiqua" w:hAnsi="Book Antiqua"/>
        </w:rPr>
      </w:pPr>
    </w:p>
    <w:p w14:paraId="47C0BAD1"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CD44</w:t>
      </w:r>
    </w:p>
    <w:p w14:paraId="47CBB11A"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CD44</w:t>
      </w:r>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is a non-kinase transmembrane glycoprotein that is overexpressed in several cell types, including CSCs. Hyaluronic acid (HA) has become a research hotspot in drug release due to its simple chemical structure and inherent properties of targeting CD44. </w:t>
      </w:r>
      <w:bookmarkStart w:id="28" w:name="OLE_LINK5529"/>
      <w:bookmarkStart w:id="29" w:name="OLE_LINK5530"/>
      <w:r>
        <w:rPr>
          <w:rFonts w:ascii="Book Antiqua" w:eastAsia="Book Antiqua" w:hAnsi="Book Antiqua" w:cs="Book Antiqua"/>
          <w:color w:val="000000"/>
        </w:rPr>
        <w:t>Kesharwani</w:t>
      </w:r>
      <w:bookmarkEnd w:id="28"/>
      <w:bookmarkEnd w:id="29"/>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designed a novel HA copolymerized styrene maleic acid and the effective anticancer agent 3,4-difluoromethylcurcumin to form nanomicelles. CD44+/CD133+/EpCAM+ pancreatic CSCs showed better uptake of HA-engineered nanomicelles and a better anticancer effect on CD44+ pancreatic CSCs. Furthermore, these nanomicelles significantly inhibited the expression of NF-κB, thereby reducing its proliferation and invasion. </w:t>
      </w:r>
      <w:bookmarkStart w:id="30" w:name="OLE_LINK5532"/>
      <w:bookmarkStart w:id="31" w:name="OLE_LINK5531"/>
      <w:r>
        <w:rPr>
          <w:rFonts w:ascii="Book Antiqua" w:eastAsia="Book Antiqua" w:hAnsi="Book Antiqua" w:cs="Book Antiqua"/>
          <w:color w:val="000000"/>
        </w:rPr>
        <w:t>Debele</w:t>
      </w:r>
      <w:bookmarkEnd w:id="30"/>
      <w:bookmarkEnd w:id="31"/>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conjugated HA with hydrophobic 6-mercaptopurine (MP) and introduced doxorubicin (D</w:t>
      </w:r>
      <w:r>
        <w:rPr>
          <w:rFonts w:ascii="Book Antiqua" w:hAnsi="Book Antiqua" w:cs="Book Antiqua"/>
          <w:color w:val="000000"/>
          <w:lang w:eastAsia="zh-CN"/>
        </w:rPr>
        <w:t>OX</w:t>
      </w:r>
      <w:r>
        <w:rPr>
          <w:rFonts w:ascii="Book Antiqua" w:eastAsia="Book Antiqua" w:hAnsi="Book Antiqua" w:cs="Book Antiqua"/>
          <w:color w:val="000000"/>
        </w:rPr>
        <w:t>) into colon cancer</w:t>
      </w:r>
      <w:r>
        <w:rPr>
          <w:rFonts w:ascii="Book Antiqua" w:hAnsi="Book Antiqua" w:cs="Book Antiqua"/>
          <w:color w:val="000000"/>
          <w:lang w:eastAsia="zh-CN"/>
        </w:rPr>
        <w:t xml:space="preserve"> cells</w:t>
      </w:r>
      <w:r>
        <w:rPr>
          <w:rFonts w:ascii="Book Antiqua" w:eastAsia="Book Antiqua" w:hAnsi="Book Antiqua" w:cs="Book Antiqua"/>
          <w:color w:val="000000"/>
        </w:rPr>
        <w:t xml:space="preserve"> and colon CSCs through ligands. The inhibitory effect of the synthesized bisensitive polymer drug conjugate (HA-SS-MP) micelles on tumor growth was significantly higher than that of free drugs. In </w:t>
      </w:r>
      <w:r>
        <w:rPr>
          <w:rFonts w:ascii="Book Antiqua" w:eastAsia="Book Antiqua" w:hAnsi="Book Antiqua" w:cs="Book Antiqua"/>
          <w:i/>
          <w:color w:val="000000"/>
        </w:rPr>
        <w:t>vitro</w:t>
      </w:r>
      <w:r>
        <w:rPr>
          <w:rFonts w:ascii="Book Antiqua" w:eastAsia="Book Antiqua" w:hAnsi="Book Antiqua" w:cs="Book Antiqua"/>
          <w:color w:val="000000"/>
        </w:rPr>
        <w:t xml:space="preserve"> cytotoxicity of HA-SS-MP and D</w:t>
      </w:r>
      <w:r>
        <w:rPr>
          <w:rFonts w:ascii="Book Antiqua" w:hAnsi="Book Antiqua" w:cs="Book Antiqua"/>
          <w:color w:val="000000"/>
          <w:lang w:eastAsia="zh-CN"/>
        </w:rPr>
        <w:t>OX</w:t>
      </w:r>
      <w:r>
        <w:rPr>
          <w:rFonts w:ascii="Book Antiqua" w:eastAsia="Book Antiqua" w:hAnsi="Book Antiqua" w:cs="Book Antiqua"/>
          <w:color w:val="000000"/>
        </w:rPr>
        <w:t>-loaded HA-SS-MP micelles was great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for CSCs (HCT116-CSCs). Gu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prepared mineralized HA-SS-tetracylecyl nanocarriers (M-HA-SS-TA) from oily, hydrophobic, and unstable sulforaphane (SFN), which showed a good response to highly reduced and weakly acidic tumor niches. The SFN nanomaterials (SFN/M-HA-SS-TA) can release SFN rapidly. Compared to free SFN, SFN/M-HA-SS-TA rapidly releases SFN in response to tumor niches, showing stronger inhibition of breast CSC (BCSC)-like properties (invasions, self-renewal, and tumor </w:t>
      </w:r>
      <w:r>
        <w:rPr>
          <w:rFonts w:ascii="Book Antiqua" w:eastAsia="Book Antiqua" w:hAnsi="Book Antiqua" w:cs="Book Antiqua"/>
          <w:color w:val="000000"/>
        </w:rPr>
        <w:lastRenderedPageBreak/>
        <w:t xml:space="preserve">growth) </w:t>
      </w:r>
      <w:r w:rsidRPr="00641A01">
        <w:rPr>
          <w:rFonts w:ascii="Book Antiqua" w:eastAsia="Book Antiqua" w:hAnsi="Book Antiqua" w:cs="Book Antiqua"/>
          <w:i/>
          <w:iCs/>
        </w:rPr>
        <w:t>in vitro</w:t>
      </w:r>
      <w:r w:rsidRPr="00641A01">
        <w:rPr>
          <w:rFonts w:ascii="Book Antiqua" w:eastAsia="Book Antiqua" w:hAnsi="Book Antiqua" w:cs="Book Antiqua"/>
        </w:rPr>
        <w:t xml:space="preserve"> and </w:t>
      </w:r>
      <w:r w:rsidRPr="00641A01">
        <w:rPr>
          <w:rFonts w:ascii="Book Antiqua" w:eastAsia="Book Antiqua" w:hAnsi="Book Antiqua" w:cs="Book Antiqua"/>
          <w:i/>
        </w:rPr>
        <w:t>in vivo</w:t>
      </w:r>
      <w:r w:rsidRPr="00641A01">
        <w:rPr>
          <w:rFonts w:ascii="Book Antiqua" w:eastAsia="Book Antiqua" w:hAnsi="Book Antiqua" w:cs="Book Antiqua"/>
        </w:rPr>
        <w:t>.</w:t>
      </w:r>
      <w:r>
        <w:rPr>
          <w:rFonts w:ascii="Book Antiqua" w:eastAsia="Book Antiqua" w:hAnsi="Book Antiqua" w:cs="Book Antiqua"/>
          <w:color w:val="FF0000"/>
        </w:rPr>
        <w:t xml:space="preserve"> </w:t>
      </w:r>
      <w:r>
        <w:rPr>
          <w:rFonts w:ascii="Book Antiqua" w:eastAsia="Book Antiqua" w:hAnsi="Book Antiqua" w:cs="Book Antiqua"/>
          <w:color w:val="000000"/>
        </w:rPr>
        <w:t xml:space="preserve">However, magnetic fluid hyperthermia </w:t>
      </w:r>
      <w:r>
        <w:rPr>
          <w:rFonts w:ascii="Book Antiqua" w:hAnsi="Book Antiqua" w:cs="Book Antiqua"/>
          <w:color w:val="000000"/>
          <w:lang w:eastAsia="zh-CN"/>
        </w:rPr>
        <w:t>(MFH)</w:t>
      </w:r>
      <w:r>
        <w:rPr>
          <w:rFonts w:ascii="Book Antiqua" w:eastAsia="Book Antiqua" w:hAnsi="Book Antiqua" w:cs="Book Antiqua"/>
          <w:color w:val="000000"/>
        </w:rPr>
        <w:t xml:space="preserve"> mediated by anti-CD44 antibody-modified superparamagnetic iron oxide NPs (SPIONPs) can kill CSCs, and significantly inhibit the growth of transplanted Cal-27 tumors in mice</w:t>
      </w:r>
      <w:r>
        <w:rPr>
          <w:rFonts w:ascii="Book Antiqua" w:eastAsia="Book Antiqua" w:hAnsi="Book Antiqua" w:cs="Book Antiqua"/>
          <w:color w:val="000000"/>
          <w:vertAlign w:val="superscript"/>
        </w:rPr>
        <w:t>[45]</w:t>
      </w:r>
      <w:r>
        <w:rPr>
          <w:rFonts w:ascii="Book Antiqua" w:eastAsia="Book Antiqua" w:hAnsi="Book Antiqua" w:cs="Book Antiqua"/>
          <w:color w:val="000000"/>
        </w:rPr>
        <w:t>.</w:t>
      </w:r>
    </w:p>
    <w:p w14:paraId="6C560FBB" w14:textId="77777777" w:rsidR="00680DB2" w:rsidRDefault="00680DB2">
      <w:pPr>
        <w:spacing w:line="360" w:lineRule="auto"/>
        <w:jc w:val="both"/>
        <w:rPr>
          <w:rFonts w:ascii="Book Antiqua" w:hAnsi="Book Antiqua"/>
        </w:rPr>
      </w:pPr>
    </w:p>
    <w:p w14:paraId="3CA6583E"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CD133</w:t>
      </w:r>
    </w:p>
    <w:p w14:paraId="54941E29"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CD133 antigen is a five-fold transmembrane single-chain glycoprotein that exists on the surface of tumor stem cells. It is a key molecule that regulates the fate of stem cells and a functional marker of stem cells. It can be used to detect and isolate CSCs in various solid tumors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NPs with SN-38 </w:t>
      </w:r>
      <w:r>
        <w:rPr>
          <w:rFonts w:ascii="Book Antiqua" w:hAnsi="Book Antiqua" w:cs="Book Antiqua" w:hint="eastAsia"/>
          <w:color w:val="000000"/>
          <w:lang w:eastAsia="zh-CN"/>
        </w:rPr>
        <w:t>(</w:t>
      </w:r>
      <w:r>
        <w:rPr>
          <w:rFonts w:ascii="Book Antiqua" w:eastAsia="Book Antiqua" w:hAnsi="Book Antiqua" w:cs="Book Antiqua" w:hint="eastAsia"/>
          <w:color w:val="000000"/>
        </w:rPr>
        <w:t xml:space="preserve">anti-CD133 antibody-conjugated SN-38-loaded nanoparticles </w:t>
      </w:r>
      <w:r>
        <w:rPr>
          <w:rFonts w:ascii="Book Antiqua" w:hAnsi="Book Antiqua" w:cs="Book Antiqua" w:hint="eastAsia"/>
          <w:color w:val="000000"/>
          <w:lang w:eastAsia="zh-CN"/>
        </w:rPr>
        <w:t>(</w:t>
      </w:r>
      <w:r>
        <w:rPr>
          <w:rFonts w:ascii="Book Antiqua" w:eastAsia="Book Antiqua" w:hAnsi="Book Antiqua" w:cs="Book Antiqua"/>
          <w:color w:val="000000"/>
        </w:rPr>
        <w:t>CD133Ab-NPs-SN-38</w:t>
      </w:r>
      <w:r>
        <w:rPr>
          <w:rFonts w:ascii="Book Antiqua" w:hAnsi="Book Antiqua" w:cs="Book Antiqua" w:hint="eastAsia"/>
          <w:color w:val="000000"/>
          <w:lang w:eastAsia="zh-CN"/>
        </w:rPr>
        <w:t>))</w:t>
      </w:r>
      <w:r>
        <w:rPr>
          <w:rFonts w:ascii="Book Antiqua" w:eastAsia="Book Antiqua" w:hAnsi="Book Antiqua" w:cs="Book Antiqua"/>
          <w:color w:val="000000"/>
        </w:rPr>
        <w:t>, a topoisomerase inhibitor conjured by anti-CD133 antibody, targets CD133+HCT116 cells and inhibits colony formation. The CD133-targeted NP delivery system can eliminate CD133-positive cells</w:t>
      </w:r>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The Wnt/β-catenin pathway plays critical roles in CSC generation and maintenance as well as in normal stem cells. Integrin subunit alpha 5-targeting NPs attenuate β-catenin and significantly reduce triple-negative BC </w:t>
      </w:r>
      <w:r>
        <w:rPr>
          <w:rFonts w:ascii="Book Antiqua" w:hAnsi="Book Antiqua" w:cs="Book Antiqua"/>
          <w:color w:val="000000"/>
          <w:lang w:eastAsia="zh-CN"/>
        </w:rPr>
        <w:t>(</w:t>
      </w:r>
      <w:r>
        <w:rPr>
          <w:rFonts w:ascii="Book Antiqua" w:eastAsia="Book Antiqua" w:hAnsi="Book Antiqua" w:cs="Book Antiqua"/>
          <w:color w:val="000000"/>
        </w:rPr>
        <w:t>TNBC</w:t>
      </w:r>
      <w:r>
        <w:rPr>
          <w:rFonts w:ascii="Book Antiqua" w:hAnsi="Book Antiqua" w:cs="Book Antiqua"/>
          <w:color w:val="000000"/>
          <w:lang w:eastAsia="zh-CN"/>
        </w:rPr>
        <w:t>)</w:t>
      </w:r>
      <w:r>
        <w:rPr>
          <w:rFonts w:ascii="Book Antiqua" w:eastAsia="Book Antiqua" w:hAnsi="Book Antiqua" w:cs="Book Antiqua"/>
          <w:color w:val="000000"/>
        </w:rPr>
        <w:t xml:space="preserve"> metastasis and may provide a facile and unique strategy of specially attenuating β-catenin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for treating metastatic TNBC</w:t>
      </w:r>
      <w:r>
        <w:rPr>
          <w:rFonts w:ascii="Book Antiqua" w:eastAsia="Book Antiqua" w:hAnsi="Book Antiqua" w:cs="Book Antiqua"/>
          <w:color w:val="000000"/>
          <w:vertAlign w:val="superscript"/>
        </w:rPr>
        <w:t>[48]</w:t>
      </w:r>
      <w:r>
        <w:rPr>
          <w:rFonts w:ascii="Book Antiqua" w:eastAsia="Book Antiqua" w:hAnsi="Book Antiqua" w:cs="Book Antiqua"/>
          <w:color w:val="000000"/>
        </w:rPr>
        <w:t>. Codelivery of D</w:t>
      </w:r>
      <w:r>
        <w:rPr>
          <w:rFonts w:ascii="Book Antiqua" w:hAnsi="Book Antiqua" w:cs="Book Antiqua"/>
          <w:color w:val="000000"/>
          <w:lang w:eastAsia="zh-CN"/>
        </w:rPr>
        <w:t>OX</w:t>
      </w:r>
      <w:r>
        <w:rPr>
          <w:rFonts w:ascii="Book Antiqua" w:eastAsia="Book Antiqua" w:hAnsi="Book Antiqua" w:cs="Book Antiqua"/>
          <w:color w:val="000000"/>
        </w:rPr>
        <w:t xml:space="preserve"> and salomycin (S</w:t>
      </w:r>
      <w:r>
        <w:rPr>
          <w:rFonts w:ascii="Book Antiqua" w:hAnsi="Book Antiqua" w:cs="Book Antiqua"/>
          <w:color w:val="000000"/>
          <w:lang w:eastAsia="zh-CN"/>
        </w:rPr>
        <w:t>AL</w:t>
      </w:r>
      <w:r>
        <w:rPr>
          <w:rFonts w:ascii="Book Antiqua" w:eastAsia="Book Antiqua" w:hAnsi="Book Antiqua" w:cs="Book Antiqua"/>
          <w:color w:val="000000"/>
        </w:rPr>
        <w:t>) REDOX-triggered double-targeted liposomes CEP-LP@S/D can be used for the synergistic treatment of liver cancer. The system is based on the binding of CD133- and EpCAM-targeting peptides to form Y-shaped CEP ligands that anchor to the liposome surface and allow selective targeting of CD133EpCAMlCSC</w:t>
      </w:r>
      <w:r>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5155EA5A" w14:textId="77777777" w:rsidR="00680DB2" w:rsidRDefault="00680DB2">
      <w:pPr>
        <w:spacing w:line="360" w:lineRule="auto"/>
        <w:jc w:val="both"/>
        <w:rPr>
          <w:rFonts w:ascii="Book Antiqua" w:hAnsi="Book Antiqua"/>
        </w:rPr>
      </w:pPr>
    </w:p>
    <w:p w14:paraId="680C6844"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EpCAM</w:t>
      </w:r>
    </w:p>
    <w:p w14:paraId="3F08F649"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EpCAM, considered to be a homogenous cell-cell adhesion glycoprotein, is expressed in epithelial and circulating tumor cells (CTC</w:t>
      </w:r>
      <w:r>
        <w:rPr>
          <w:rFonts w:ascii="Book Antiqua" w:eastAsia="Book Antiqua" w:hAnsi="Book Antiqua" w:cs="Book Antiqua"/>
          <w:color w:val="000000"/>
          <w:lang w:eastAsia="zh-CN"/>
        </w:rPr>
        <w:t>s</w:t>
      </w:r>
      <w:r>
        <w:rPr>
          <w:rFonts w:ascii="Book Antiqua" w:eastAsia="Book Antiqua" w:hAnsi="Book Antiqua" w:cs="Book Antiqua"/>
          <w:color w:val="000000"/>
        </w:rPr>
        <w:t>), as well as CSCs</w:t>
      </w:r>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and is involved in the regulation of cell adhesion, proliferation, migration, dryness, and the epithelial-to-mesenchymal transition (EMT) of cancer cells. </w:t>
      </w:r>
      <w:bookmarkStart w:id="32" w:name="OLE_LINK5534"/>
      <w:bookmarkStart w:id="33" w:name="OLE_LINK5533"/>
      <w:r>
        <w:rPr>
          <w:rFonts w:ascii="Book Antiqua" w:eastAsia="Book Antiqua" w:hAnsi="Book Antiqua" w:cs="Book Antiqua"/>
          <w:color w:val="000000"/>
        </w:rPr>
        <w:t>Locatelli</w:t>
      </w:r>
      <w:bookmarkEnd w:id="32"/>
      <w:bookmarkEnd w:id="33"/>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coloaded GNRs and adriamycin (Adr) to label EpCAM by targeting the surface of CSCs and killed CSCs under laser ablation. Ishiguro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used RNA nanotechnology to pair milk source nanocapsules (MNVs) with synthetic oligonucleotide aptamers that could bind to EPCAM with high affinity and specificity and loaded small interfering RNA (siRNA) </w:t>
      </w:r>
      <w:r>
        <w:rPr>
          <w:rFonts w:ascii="Book Antiqua" w:eastAsia="Book Antiqua" w:hAnsi="Book Antiqua" w:cs="Book Antiqua"/>
          <w:color w:val="000000"/>
        </w:rPr>
        <w:lastRenderedPageBreak/>
        <w:t>onto β-catenin. The EpCAM-targeted (ET) therapeutic MNV has been prepared. These ET-TMNVs can target EPCAM-positive stem cell populations and effectively release siRNAs within cells that inhibit β-catenin expression and tumor growth. For polymer nanomicelles (GNRS-1/curc@Pms) made from biocompatible poly(L-lactide-co-glycolide)-block-poly(ethylene glycol) (PLGA-b-PEG) copolymer as drug carriers for Adr and GNRs, when Adr/GNRs@Pms-antiEpCAM with EpCAM antibodies are modified, they are delivered to specific tumor stem cells and increase the drug concentration at the tumor site, thereby killing the entire tumor stem cell population</w:t>
      </w:r>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55DD127A" w14:textId="77777777" w:rsidR="00680DB2" w:rsidRDefault="00680DB2">
      <w:pPr>
        <w:spacing w:line="360" w:lineRule="auto"/>
        <w:jc w:val="both"/>
        <w:rPr>
          <w:rFonts w:ascii="Book Antiqua" w:hAnsi="Book Antiqua"/>
        </w:rPr>
      </w:pPr>
    </w:p>
    <w:p w14:paraId="1D1AC8DC"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MSN</w:t>
      </w:r>
    </w:p>
    <w:p w14:paraId="27986109"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MSN drug loading</w:t>
      </w:r>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can significantly enhance the cytotoxicity of anticancer drugs with low potency. Therefore, the positive polymer polyethylenimine (PEI) is usually coated and chemically modified to introduce a positive charge on the surface of MSNs, which can effectively bind the DNA structure, siRNAs, and other nucleic acids, thus enhancing their uptake by cells. The PEI-modified MSN was used for double delivery of the chemotherapy drug cisplatin, and the DNA encoding the hepatocyte nuclear factor 4 alpha transcription factor was used for gene therapy of liver cancer. This therapy inhibited the proliferation of CD133+ HUH7 cells, reduced the proportion of CSCs, and reduced the expression of dry-related genes. The nuclear targeting system of MSNs by 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[54]</w:t>
      </w:r>
      <w:r>
        <w:rPr>
          <w:rFonts w:ascii="Book Antiqua" w:eastAsia="Book Antiqua" w:hAnsi="Book Antiqua" w:cs="Book Antiqua"/>
          <w:color w:val="000000"/>
        </w:rPr>
        <w:t xml:space="preserve"> can directly target CSCs and enter the nucleus through anti-CD133 surface modification and heat-triggered exposure of the TAT polypeptide under an alternating magnetic field (AMF). Combined with hyperthermia and hypoxia-activated chemotherapy, the release of nuclear-targeted drugs eventually leads to complete apoptosis of CSCs. CSC-specific targeting of mSiO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-dendritic polyglycerol (dPG) nanocarriers delivered the chemotherapy drug DOX and the P-glycoprotein (P-gp) inhibitor tariquidar (Tar) to reverse </w:t>
      </w:r>
      <w:r w:rsidRPr="00641A01">
        <w:rPr>
          <w:rFonts w:ascii="Book Antiqua" w:eastAsia="Cambria" w:hAnsi="Book Antiqua" w:cs="Cambria"/>
          <w:color w:val="212121"/>
          <w:shd w:val="clear" w:color="auto" w:fill="FFFFFF"/>
        </w:rPr>
        <w:t xml:space="preserve">multidrug resistance </w:t>
      </w:r>
      <w:r>
        <w:rPr>
          <w:rFonts w:ascii="Book Antiqua" w:hAnsi="Book Antiqua" w:cs="Cambria"/>
          <w:color w:val="212121"/>
          <w:shd w:val="clear" w:color="auto" w:fill="FFFFFF"/>
          <w:lang w:eastAsia="zh-CN"/>
        </w:rPr>
        <w:t>(</w:t>
      </w:r>
      <w:r>
        <w:rPr>
          <w:rFonts w:ascii="Book Antiqua" w:eastAsia="Book Antiqua" w:hAnsi="Book Antiqua" w:cs="Book Antiqua"/>
          <w:color w:val="000000"/>
        </w:rPr>
        <w:t>MDR</w:t>
      </w:r>
      <w:r>
        <w:rPr>
          <w:rFonts w:ascii="Book Antiqua" w:hAnsi="Book Antiqua" w:cs="Book Antiqua"/>
          <w:color w:val="000000"/>
          <w:lang w:eastAsia="zh-CN"/>
        </w:rPr>
        <w:t>)</w:t>
      </w:r>
      <w:r>
        <w:rPr>
          <w:rFonts w:ascii="Book Antiqua" w:eastAsia="Book Antiqua" w:hAnsi="Book Antiqua" w:cs="Book Antiqua"/>
          <w:color w:val="000000"/>
        </w:rPr>
        <w:t xml:space="preserve"> and enhance chemotherapy efficacy in bCSCs</w:t>
      </w:r>
      <w:r>
        <w:rPr>
          <w:rFonts w:ascii="Book Antiqua" w:eastAsia="Book Antiqua" w:hAnsi="Book Antiqua" w:cs="Book Antiqua"/>
          <w:color w:val="000000"/>
          <w:vertAlign w:val="superscript"/>
        </w:rPr>
        <w:t>[55]</w:t>
      </w:r>
      <w:r>
        <w:rPr>
          <w:rFonts w:ascii="Book Antiqua" w:eastAsia="Book Antiqua" w:hAnsi="Book Antiqua" w:cs="Book Antiqua"/>
          <w:color w:val="000000"/>
        </w:rPr>
        <w:t>. A targeted theranostic nano vehicle (TTNV) was designed using manganese-doped MSNs with an ideal surface area and pore volume for loading optimized ratios of antitumor D</w:t>
      </w:r>
      <w:r>
        <w:rPr>
          <w:rFonts w:ascii="Book Antiqua" w:hAnsi="Book Antiqua" w:cs="Book Antiqua"/>
          <w:color w:val="000000"/>
          <w:lang w:eastAsia="zh-CN"/>
        </w:rPr>
        <w:t>OX</w:t>
      </w:r>
      <w:r>
        <w:rPr>
          <w:rFonts w:ascii="Book Antiqua" w:eastAsia="Book Antiqua" w:hAnsi="Book Antiqua" w:cs="Book Antiqua"/>
          <w:color w:val="000000"/>
        </w:rPr>
        <w:t xml:space="preserve"> and the drug efflux inhibitor Tar. This strategically framed TTNV, which is chemically coupled with folic acid and HA, as a </w:t>
      </w:r>
      <w:r>
        <w:rPr>
          <w:rFonts w:ascii="Book Antiqua" w:eastAsia="Book Antiqua" w:hAnsi="Book Antiqua" w:cs="Book Antiqua"/>
          <w:color w:val="000000"/>
        </w:rPr>
        <w:lastRenderedPageBreak/>
        <w:t>dual-targeted entity to promote folate receptor (FR)-mediated cancer cells and CD44-mediated CSC uptake, respectively</w:t>
      </w:r>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1BCF6A31" w14:textId="77777777" w:rsidR="00680DB2" w:rsidRPr="00641A01" w:rsidRDefault="00680DB2">
      <w:pPr>
        <w:spacing w:line="360" w:lineRule="auto"/>
        <w:jc w:val="both"/>
        <w:rPr>
          <w:rFonts w:ascii="Book Antiqua" w:hAnsi="Book Antiqua"/>
        </w:rPr>
      </w:pPr>
    </w:p>
    <w:p w14:paraId="7F299E0F"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Other nanodrug delivery systems</w:t>
      </w:r>
    </w:p>
    <w:p w14:paraId="7AA1917E"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N-(2-hydroxypropyl) methylacrylamide (HPMA) cyclopamine delivery system, as a selective macromolecular therapy for CSCs, has improved drug solubility and reduced systemic toxicity, allowing it to effectively remove CD133+ tumor stem cells in prostate tumors. HPI-1 was loaded with PLGA-PEG NPs to solve the problem of poor water solubility and effectively eliminate CD133+ CSCs in pancreatic and liver cancer</w:t>
      </w:r>
      <w:r>
        <w:rPr>
          <w:rFonts w:ascii="Book Antiqua" w:eastAsia="Book Antiqua" w:hAnsi="Book Antiqua" w:cs="Book Antiqua"/>
          <w:color w:val="000000"/>
          <w:vertAlign w:val="superscript"/>
        </w:rPr>
        <w:t>[57,58]</w:t>
      </w:r>
      <w:r>
        <w:rPr>
          <w:rFonts w:ascii="Book Antiqua" w:eastAsia="Book Antiqua" w:hAnsi="Book Antiqua" w:cs="Book Antiqua"/>
          <w:color w:val="000000"/>
        </w:rPr>
        <w:t>.</w:t>
      </w:r>
    </w:p>
    <w:p w14:paraId="23578C48"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GBM stem cells (GSCs) are the leading cause of chemotherapy failure in GBM. PLGA NP-encapsulated disulfiram effectively inhibited </w:t>
      </w:r>
      <w:r w:rsidRPr="00641A01">
        <w:rPr>
          <w:rFonts w:ascii="Book Antiqua" w:eastAsia="Book Antiqua" w:hAnsi="Book Antiqua" w:cs="Book Antiqua"/>
          <w:i/>
          <w:iCs/>
          <w:color w:val="000000"/>
        </w:rPr>
        <w:t>in situ</w:t>
      </w:r>
      <w:r>
        <w:rPr>
          <w:rFonts w:ascii="Book Antiqua" w:eastAsia="Book Antiqua" w:hAnsi="Book Antiqua" w:cs="Book Antiqua"/>
          <w:color w:val="000000"/>
        </w:rPr>
        <w:t xml:space="preserve"> and subcutaneous GSC xenografting in mouse models</w:t>
      </w:r>
      <w:r>
        <w:rPr>
          <w:rFonts w:ascii="Book Antiqua" w:eastAsia="Book Antiqua" w:hAnsi="Book Antiqua" w:cs="Book Antiqua"/>
          <w:color w:val="000000"/>
          <w:vertAlign w:val="superscript"/>
        </w:rPr>
        <w:t>[59]</w:t>
      </w:r>
      <w:r>
        <w:rPr>
          <w:rFonts w:ascii="Book Antiqua" w:eastAsia="Book Antiqua" w:hAnsi="Book Antiqua" w:cs="Book Antiqua"/>
          <w:color w:val="000000"/>
        </w:rPr>
        <w:t>. Although we are increasingly understanding GBM at the molecular level, treatment options are still limited. We have developed bioreducible poly(β-aminoester) NPs that exhibit high intracellular delivery efficacy and low cytotoxicity that have the ability to escape from endosomes and facilitate the release of cytoplasmic environment-triggered cargo for the delivery of microRNAs to tumor-reproducing human CSCs</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In the study by </w:t>
      </w:r>
      <w:bookmarkStart w:id="34" w:name="OLE_LINK5535"/>
      <w:bookmarkStart w:id="35" w:name="OLE_LINK5536"/>
      <w:r>
        <w:rPr>
          <w:rFonts w:ascii="Book Antiqua" w:eastAsia="Book Antiqua" w:hAnsi="Book Antiqua" w:cs="Book Antiqua"/>
          <w:color w:val="000000"/>
        </w:rPr>
        <w:t>Wang</w:t>
      </w:r>
      <w:bookmarkEnd w:id="34"/>
      <w:bookmarkEnd w:id="35"/>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a high temperature thermal breakdown approach was used to create composite magnetic nanocubes modified by PEI and HA. The ferric oxide nanocubes recognized hepatocellular carcinoma (HCC)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receptor-ligand binding of HA and CD44 (HA receptor), while loading small molecule LDN193189 inhibited the expression of stemness-related genes octamer-binding transcription factor 4 and Nanog. Double pH-sensitive polymeric drug-conjugated NPs showed enhanced inhibition of the progression of drug-resistant SK-3 CSCs, whereas AuNPs conjugated to Adr </w:t>
      </w:r>
      <w:r>
        <w:rPr>
          <w:rFonts w:ascii="Book Antiqua" w:eastAsia="Book Antiqua" w:hAnsi="Book Antiqua" w:cs="Book Antiqua"/>
          <w:i/>
          <w:iCs/>
          <w:color w:val="000000"/>
        </w:rPr>
        <w:t>via</w:t>
      </w:r>
      <w:r>
        <w:rPr>
          <w:rFonts w:ascii="Book Antiqua" w:eastAsia="Book Antiqua" w:hAnsi="Book Antiqua" w:cs="Book Antiqua"/>
          <w:color w:val="000000"/>
        </w:rPr>
        <w:t xml:space="preserve"> nitrogen reduction bonds overcame resistance by avoiding P-gp efflux, thereby delivering more D</w:t>
      </w:r>
      <w:r>
        <w:rPr>
          <w:rFonts w:ascii="Book Antiqua" w:hAnsi="Book Antiqua" w:cs="Book Antiqua"/>
          <w:color w:val="000000"/>
          <w:lang w:eastAsia="zh-CN"/>
        </w:rPr>
        <w:t>OX</w:t>
      </w:r>
      <w:r>
        <w:rPr>
          <w:rFonts w:ascii="Book Antiqua" w:eastAsia="Book Antiqua" w:hAnsi="Book Antiqua" w:cs="Book Antiqua"/>
          <w:color w:val="000000"/>
        </w:rPr>
        <w:t xml:space="preserve"> to tumor stem cells. This mechanism resulted in the elimination of all tumor cell subpopulations and prevented the potential reaggregation of CSCs</w:t>
      </w:r>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w:t>
      </w:r>
      <w:bookmarkStart w:id="36" w:name="OLE_LINK5538"/>
      <w:bookmarkStart w:id="37" w:name="OLE_LINK5537"/>
      <w:r>
        <w:rPr>
          <w:rFonts w:ascii="Book Antiqua" w:eastAsia="Book Antiqua" w:hAnsi="Book Antiqua" w:cs="Book Antiqua"/>
          <w:color w:val="000000"/>
        </w:rPr>
        <w:t>Tran</w:t>
      </w:r>
      <w:bookmarkEnd w:id="36"/>
      <w:bookmarkEnd w:id="37"/>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inhibited the transfer of MCF-7-SCs by inhibiting the EMT process, revealing the potential role of nanozinc sulfide in inhibiting the migration and invasion of bCSCs, which opened up a new way of thinking and provided a potential approach for the treatment of BC.</w:t>
      </w:r>
    </w:p>
    <w:p w14:paraId="70AD6338"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It has also been shown that the constructed amphiphilic polymer, HA-cystine-PLGA, can be used to deliver D</w:t>
      </w:r>
      <w:r>
        <w:rPr>
          <w:rFonts w:ascii="Book Antiqua" w:hAnsi="Book Antiqua" w:cs="Book Antiqua"/>
          <w:color w:val="000000"/>
          <w:lang w:eastAsia="zh-CN"/>
        </w:rPr>
        <w:t>OX</w:t>
      </w:r>
      <w:r>
        <w:rPr>
          <w:rFonts w:ascii="Book Antiqua" w:eastAsia="Book Antiqua" w:hAnsi="Book Antiqua" w:cs="Book Antiqua"/>
          <w:color w:val="000000"/>
        </w:rPr>
        <w:t xml:space="preserve"> and cyclopamine to CD44-high-expressing bCSC subpopulations and a large number of BC cells, and allow on-demand release. The dual delivery particles effectively reduce the number and size of tumor spheroids, and HA shows targeting effects on bCSCs</w:t>
      </w:r>
      <w:r>
        <w:rPr>
          <w:rFonts w:ascii="Book Antiqua" w:eastAsia="Book Antiqua" w:hAnsi="Book Antiqua" w:cs="Book Antiqua"/>
          <w:color w:val="000000"/>
          <w:vertAlign w:val="superscript"/>
        </w:rPr>
        <w:t>[64]</w:t>
      </w:r>
      <w:r>
        <w:rPr>
          <w:rFonts w:ascii="Book Antiqua" w:eastAsia="Book Antiqua" w:hAnsi="Book Antiqua" w:cs="Book Antiqua"/>
          <w:color w:val="000000"/>
        </w:rPr>
        <w:t>.</w:t>
      </w:r>
    </w:p>
    <w:p w14:paraId="46C45CF8"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Gao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proposed a novel intravenous photodynamic therapy (PDT) platform based on stem cell simulation of SUCNPs@mSiO2 for tumor targeting and enhanced PDT efficacy. Due to the coating of the stem cell membrane, the prepared nano SUCNPs@mSiO2 has good stability and biocompatibility. Moreover, it has the ability to be intravenously injected and escape immunity, extend the blood circulation time, and improve the tumor targeting function of stem cells, paving the way for the development of photosensitizers with bioactive cell components, such as SUCNPs@mSiO2, as a platform for targeting PDT. Sorafenib and glucose oxidase were integrated into the N-acetylgalactosamine-modified zeolite imidazolate framework (ZIF-8), designated SG@GR-ZIF-8, and this nano preparation exhibited significant antimetastatic HCC activity against C5 WN1 cells, a liver CSC-like cell line with tumorigenic and lung metastatic activity</w:t>
      </w:r>
      <w:r>
        <w:rPr>
          <w:rFonts w:ascii="Book Antiqua" w:eastAsia="Book Antiqua" w:hAnsi="Book Antiqua" w:cs="Book Antiqua"/>
          <w:color w:val="000000"/>
          <w:vertAlign w:val="superscript"/>
        </w:rPr>
        <w:t>[66]</w:t>
      </w:r>
      <w:r>
        <w:rPr>
          <w:rFonts w:ascii="Book Antiqua" w:eastAsia="Book Antiqua" w:hAnsi="Book Antiqua" w:cs="Book Antiqua"/>
          <w:color w:val="000000"/>
        </w:rPr>
        <w:t>. PT chemotherapy synergy was achieved by loading crocodile-based PT agents with natural cytotoxic heat shock protein (HSP) inhibitors that had high potency biradical characteristics into a redox-sensitive chitosan (CHI) matrix. Within solid tumors, PEG shells that prevent nano-assembled mono nuclei from phagocytosing were cleared quickly to expose the positively charged CHI, and the isolated peptide iRGD was further activated. This step drives tumor penetration of CHI NPs and allows CSC targeting by selective identification of CD44 proteins. Due to the inhibition and chemosensitization of HSPs, the designed nano assembly can completely eliminate CSCs and non-CSCs, thereby inhibiting tumor growth and metastasis</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used PLGA/</w:t>
      </w:r>
      <w:r w:rsidRPr="00641A01">
        <w:rPr>
          <w:rFonts w:ascii="Book Antiqua" w:eastAsia="Cambria" w:hAnsi="Book Antiqua" w:cs="Cambria"/>
          <w:color w:val="212121"/>
          <w:shd w:val="clear" w:color="auto" w:fill="FFFFFF"/>
        </w:rPr>
        <w:t xml:space="preserve">d-alpha-tocopherol </w:t>
      </w:r>
      <w:r>
        <w:rPr>
          <w:rFonts w:ascii="Book Antiqua" w:eastAsia="Cambria" w:hAnsi="Book Antiqua" w:cs="Cambria"/>
          <w:color w:val="212121"/>
          <w:shd w:val="clear" w:color="auto" w:fill="FFFFFF"/>
        </w:rPr>
        <w:t>PEG</w:t>
      </w:r>
      <w:r w:rsidRPr="00641A01">
        <w:rPr>
          <w:rFonts w:ascii="Book Antiqua" w:eastAsia="Cambria" w:hAnsi="Book Antiqua" w:cs="Cambria"/>
          <w:color w:val="212121"/>
          <w:shd w:val="clear" w:color="auto" w:fill="FFFFFF"/>
        </w:rPr>
        <w:t xml:space="preserve"> 1000 succinate </w:t>
      </w:r>
      <w:r>
        <w:rPr>
          <w:rFonts w:ascii="Book Antiqua" w:hAnsi="Book Antiqua" w:cs="Cambria"/>
          <w:color w:val="212121"/>
          <w:shd w:val="clear" w:color="auto" w:fill="FFFFFF"/>
          <w:lang w:eastAsia="zh-CN"/>
        </w:rPr>
        <w:t>(</w:t>
      </w:r>
      <w:r>
        <w:rPr>
          <w:rFonts w:ascii="Book Antiqua" w:eastAsia="Book Antiqua" w:hAnsi="Book Antiqua" w:cs="Book Antiqua"/>
          <w:color w:val="000000"/>
        </w:rPr>
        <w:t>TPGS</w:t>
      </w:r>
      <w:r>
        <w:rPr>
          <w:rFonts w:ascii="Book Antiqua" w:hAnsi="Book Antiqua" w:cs="Book Antiqua"/>
          <w:color w:val="000000"/>
          <w:lang w:eastAsia="zh-CN"/>
        </w:rPr>
        <w:t>)</w:t>
      </w:r>
      <w:r>
        <w:rPr>
          <w:rFonts w:ascii="Book Antiqua" w:eastAsia="Book Antiqua" w:hAnsi="Book Antiqua" w:cs="Book Antiqua"/>
          <w:color w:val="000000"/>
        </w:rPr>
        <w:t xml:space="preserve"> NPs for the first time with the combination of chemotherapy drugs and </w:t>
      </w:r>
      <w:r w:rsidRPr="00641A01">
        <w:rPr>
          <w:rFonts w:ascii="Book Antiqua" w:eastAsia="Cambria" w:hAnsi="Book Antiqua" w:cs="Cambria"/>
          <w:color w:val="212121"/>
          <w:shd w:val="clear" w:color="auto" w:fill="FFFFFF"/>
        </w:rPr>
        <w:t>ATP-binding cassette (ABC)</w:t>
      </w:r>
      <w:r w:rsidRPr="00641A01">
        <w:rPr>
          <w:rFonts w:ascii="Book Antiqua" w:hAnsi="Book Antiqua" w:cs="Cambria"/>
          <w:color w:val="212121"/>
          <w:shd w:val="clear" w:color="auto" w:fill="FFFFFF"/>
          <w:lang w:eastAsia="zh-CN"/>
        </w:rPr>
        <w:t xml:space="preserve"> </w:t>
      </w:r>
      <w:r w:rsidRPr="00641A01">
        <w:rPr>
          <w:rFonts w:ascii="Book Antiqua" w:eastAsia="Cambria" w:hAnsi="Book Antiqua" w:cs="Cambria"/>
          <w:color w:val="212121"/>
          <w:shd w:val="clear" w:color="auto" w:fill="FFFFFF"/>
        </w:rPr>
        <w:t>transporter inhibitors</w:t>
      </w:r>
      <w:r w:rsidRPr="00641A01">
        <w:rPr>
          <w:rFonts w:ascii="Book Antiqua" w:hAnsi="Book Antiqua" w:cs="Cambria"/>
          <w:color w:val="212121"/>
          <w:shd w:val="clear" w:color="auto" w:fill="FFFFFF"/>
          <w:lang w:eastAsia="zh-CN"/>
        </w:rPr>
        <w:t xml:space="preserve"> </w:t>
      </w:r>
      <w:r>
        <w:rPr>
          <w:rFonts w:ascii="Book Antiqua" w:hAnsi="Book Antiqua" w:cs="Cambria"/>
          <w:color w:val="212121"/>
          <w:shd w:val="clear" w:color="auto" w:fill="FFFFFF"/>
          <w:lang w:eastAsia="zh-CN"/>
        </w:rPr>
        <w:t>(</w:t>
      </w:r>
      <w:r>
        <w:rPr>
          <w:rFonts w:ascii="Book Antiqua" w:eastAsia="Book Antiqua" w:hAnsi="Book Antiqua" w:cs="Book Antiqua"/>
          <w:color w:val="000000"/>
        </w:rPr>
        <w:t xml:space="preserve">ATIs) and used TPGS and PLGA to prepare NPs. Due to the overexpression of ABC transporters in CSCs, the combination of ATIs and chemotherapy drugs can overcome the multidrug resistance of CSCs. PLGA/TPGS NPs were prepared for the </w:t>
      </w:r>
      <w:r>
        <w:rPr>
          <w:rFonts w:ascii="Book Antiqua" w:eastAsia="Book Antiqua" w:hAnsi="Book Antiqua" w:cs="Book Antiqua"/>
          <w:color w:val="000000"/>
        </w:rPr>
        <w:lastRenderedPageBreak/>
        <w:t>codelivery of D</w:t>
      </w:r>
      <w:r>
        <w:rPr>
          <w:rFonts w:ascii="Book Antiqua" w:hAnsi="Book Antiqua" w:cs="Book Antiqua"/>
          <w:color w:val="000000"/>
          <w:lang w:eastAsia="zh-CN"/>
        </w:rPr>
        <w:t xml:space="preserve">OX </w:t>
      </w:r>
      <w:r>
        <w:rPr>
          <w:rFonts w:ascii="Book Antiqua" w:eastAsia="Book Antiqua" w:hAnsi="Book Antiqua" w:cs="Book Antiqua"/>
          <w:color w:val="000000"/>
        </w:rPr>
        <w:t>and extracellular lipopeptide composite to reach the tumor site with an optimized synergistic ratio, and resveratrol NP reduces cancer activity and decreases inflammation in CSC-rich oral cancer</w:t>
      </w:r>
      <w:r>
        <w:rPr>
          <w:rFonts w:ascii="Book Antiqua" w:eastAsia="Book Antiqua" w:hAnsi="Book Antiqua" w:cs="Book Antiqua"/>
          <w:color w:val="000000"/>
          <w:vertAlign w:val="superscript"/>
        </w:rPr>
        <w:t>[69]</w:t>
      </w:r>
      <w:r>
        <w:rPr>
          <w:rFonts w:ascii="Book Antiqua" w:eastAsia="Book Antiqua" w:hAnsi="Book Antiqua" w:cs="Book Antiqua"/>
          <w:color w:val="000000"/>
        </w:rPr>
        <w:t>. In addition to active targeting strategies, relying on intelligent changes in nanodrug size to penetrate deep into tumor tissues and improve the clearance rate of CSCs is also an important strategy for efficient reversal of MDR. On this basis, a special morphologically tunable nanodrug was developed, which integrated chemotherapy and immune checkpoint blocking therapy for large tumor cells and CSCs into drug delivery systems. As NPs are transferred from circulation to tumor tissue, particle size shrinks, favoring pharmacokinetics and cellular uptake while enabling sequential drug release when needed. The nanomedicine reduced the proportion of CSCs and enhanced the therapeutic effect on tumors, thereby prolonging the survival time of mice</w:t>
      </w:r>
      <w:r>
        <w:rPr>
          <w:rFonts w:ascii="Book Antiqua" w:eastAsia="Book Antiqua" w:hAnsi="Book Antiqua" w:cs="Book Antiqua"/>
          <w:color w:val="000000"/>
          <w:vertAlign w:val="superscript"/>
        </w:rPr>
        <w:t>[70]</w:t>
      </w:r>
      <w:r>
        <w:rPr>
          <w:rFonts w:ascii="Book Antiqua" w:eastAsia="Book Antiqua" w:hAnsi="Book Antiqua" w:cs="Book Antiqua"/>
          <w:color w:val="000000"/>
        </w:rPr>
        <w:t>.</w:t>
      </w:r>
    </w:p>
    <w:p w14:paraId="762F7939" w14:textId="77777777" w:rsidR="00680DB2" w:rsidRPr="00641A01" w:rsidRDefault="00680DB2">
      <w:pPr>
        <w:spacing w:line="360" w:lineRule="auto"/>
        <w:jc w:val="both"/>
        <w:rPr>
          <w:rFonts w:ascii="Book Antiqua" w:hAnsi="Book Antiqua"/>
        </w:rPr>
      </w:pPr>
    </w:p>
    <w:p w14:paraId="164A6576"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Liposomes</w:t>
      </w:r>
    </w:p>
    <w:p w14:paraId="3F232D1E"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Liposomes are spherical vesicles consisting of one or more concentric phospholipid bilayer layers that enclose a water core. Liposomes are both nontoxic and biodegradable, making them powerful drug delivery systems. They improve the therapeutic effect of drugs by stabilizing compounds, overcoming barriers to cell and tissue uptake, and increasing the biological distribution of drugs at target sites in the body while minimizing systemic toxicity</w:t>
      </w:r>
      <w:r>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4386BC27"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Tumor necrosis factor-associated apoptosis-inducing ligands (TRAILs) have received much attention for their favorable ability to activate apoptosis in cancer cells by interacting with death receptors (DRs). However, CSC-like cells lack or express low levels of the death receptor DR and are highly resistant to apoptosis mediated by TRAIL, limiting therapeutic efficacy. The liposomal component of the plasmid DNA encoding TRAIL and </w:t>
      </w:r>
      <w:r w:rsidRPr="00641A01">
        <w:rPr>
          <w:rFonts w:ascii="Book Antiqua" w:eastAsia="Book Antiqua" w:hAnsi="Book Antiqua" w:cs="Book Antiqua"/>
        </w:rPr>
        <w:t>S</w:t>
      </w:r>
      <w:r w:rsidRPr="00641A01">
        <w:rPr>
          <w:rFonts w:ascii="Book Antiqua" w:hAnsi="Book Antiqua" w:cs="Book Antiqua"/>
          <w:lang w:eastAsia="zh-CN"/>
        </w:rPr>
        <w:t>AL</w:t>
      </w:r>
      <w:r w:rsidRPr="00641A01">
        <w:rPr>
          <w:rFonts w:ascii="Book Antiqua" w:eastAsia="Book Antiqua" w:hAnsi="Book Antiqua" w:cs="Book Antiqua"/>
        </w:rPr>
        <w:t xml:space="preserve"> </w:t>
      </w:r>
      <w:r>
        <w:rPr>
          <w:rFonts w:ascii="Book Antiqua" w:eastAsia="Book Antiqua" w:hAnsi="Book Antiqua" w:cs="Book Antiqua"/>
          <w:color w:val="000000"/>
        </w:rPr>
        <w:t xml:space="preserve">enables cancer cells to express TRAIL as protein generators, and more importantly, to upregulate DR expression through </w:t>
      </w:r>
      <w:r w:rsidRPr="00641A01">
        <w:rPr>
          <w:rFonts w:ascii="Book Antiqua" w:eastAsia="Book Antiqua" w:hAnsi="Book Antiqua" w:cs="Book Antiqua"/>
        </w:rPr>
        <w:t>S</w:t>
      </w:r>
      <w:r w:rsidRPr="00641A01">
        <w:rPr>
          <w:rFonts w:ascii="Book Antiqua" w:hAnsi="Book Antiqua" w:cs="Book Antiqua"/>
          <w:lang w:eastAsia="zh-CN"/>
        </w:rPr>
        <w:t>AL</w:t>
      </w:r>
      <w:r>
        <w:rPr>
          <w:rFonts w:ascii="Book Antiqua" w:eastAsia="Book Antiqua" w:hAnsi="Book Antiqua" w:cs="Book Antiqua"/>
          <w:color w:val="000000"/>
        </w:rPr>
        <w:t xml:space="preserve">-induced CSCs, making drug-resistant CSCs sensitive to TRAIL-triggered apoptosis. This liposome-based programmable drug codelivery system shows the potential to effectively eliminate CSCs and inhibit CSC-rich tumor growth in mouse models of colon tumors </w:t>
      </w:r>
      <w:r w:rsidRPr="00641A01">
        <w:rPr>
          <w:rFonts w:ascii="Book Antiqua" w:eastAsia="Book Antiqua" w:hAnsi="Book Antiqua" w:cs="Book Antiqua"/>
          <w:i/>
          <w:iCs/>
          <w:color w:val="000000"/>
        </w:rPr>
        <w:t>in situ</w:t>
      </w:r>
      <w:r>
        <w:rPr>
          <w:rFonts w:ascii="Book Antiqua" w:eastAsia="Book Antiqua" w:hAnsi="Book Antiqua" w:cs="Book Antiqua"/>
          <w:color w:val="000000"/>
          <w:vertAlign w:val="superscript"/>
        </w:rPr>
        <w:t>[72]</w:t>
      </w:r>
      <w:r>
        <w:rPr>
          <w:rFonts w:ascii="Book Antiqua" w:eastAsia="Book Antiqua" w:hAnsi="Book Antiqua" w:cs="Book Antiqua"/>
          <w:color w:val="000000"/>
        </w:rPr>
        <w:t>.</w:t>
      </w:r>
    </w:p>
    <w:p w14:paraId="22ECFF5C"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Gong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prepared and characterized S</w:t>
      </w:r>
      <w:r>
        <w:rPr>
          <w:rFonts w:ascii="Book Antiqua" w:hAnsi="Book Antiqua" w:cs="Book Antiqua"/>
          <w:color w:val="000000"/>
          <w:lang w:eastAsia="zh-CN"/>
        </w:rPr>
        <w:t>AL</w:t>
      </w:r>
      <w:r>
        <w:rPr>
          <w:rFonts w:ascii="Book Antiqua" w:eastAsia="Book Antiqua" w:hAnsi="Book Antiqua" w:cs="Book Antiqua"/>
          <w:color w:val="000000"/>
        </w:rPr>
        <w:t>-loaded nanoliposomes (SLNs), DOX-LNs (DLNs) and S</w:t>
      </w:r>
      <w:r>
        <w:rPr>
          <w:rFonts w:ascii="Book Antiqua" w:hAnsi="Book Antiqua" w:cs="Book Antiqua"/>
          <w:color w:val="000000"/>
          <w:lang w:eastAsia="zh-CN"/>
        </w:rPr>
        <w:t xml:space="preserve">AL </w:t>
      </w:r>
      <w:r>
        <w:rPr>
          <w:rFonts w:ascii="Book Antiqua" w:eastAsia="Book Antiqua" w:hAnsi="Book Antiqua" w:cs="Book Antiqua"/>
          <w:color w:val="000000"/>
        </w:rPr>
        <w:t>and D</w:t>
      </w:r>
      <w:r>
        <w:rPr>
          <w:rFonts w:ascii="Book Antiqua" w:hAnsi="Book Antiqua" w:cs="Book Antiqua"/>
          <w:color w:val="000000"/>
          <w:lang w:eastAsia="zh-CN"/>
        </w:rPr>
        <w:t xml:space="preserve">OX </w:t>
      </w:r>
      <w:r>
        <w:rPr>
          <w:rFonts w:ascii="Book Antiqua" w:eastAsia="Book Antiqua" w:hAnsi="Book Antiqua" w:cs="Book Antiqua"/>
          <w:color w:val="000000"/>
        </w:rPr>
        <w:t>simultaneously delivered nanoliposomes (S</w:t>
      </w:r>
      <w:r>
        <w:rPr>
          <w:rFonts w:ascii="Book Antiqua" w:hAnsi="Book Antiqua" w:cs="Book Antiqua"/>
          <w:color w:val="000000"/>
          <w:lang w:eastAsia="zh-CN"/>
        </w:rPr>
        <w:t>AL</w:t>
      </w:r>
      <w:r>
        <w:rPr>
          <w:rFonts w:ascii="Book Antiqua" w:eastAsia="Book Antiqua" w:hAnsi="Book Antiqua" w:cs="Book Antiqua"/>
          <w:color w:val="000000"/>
        </w:rPr>
        <w:t>/D</w:t>
      </w:r>
      <w:r>
        <w:rPr>
          <w:rFonts w:ascii="Book Antiqua" w:hAnsi="Book Antiqua" w:cs="Book Antiqua"/>
          <w:color w:val="000000"/>
          <w:lang w:eastAsia="zh-CN"/>
        </w:rPr>
        <w:t>OX</w:t>
      </w:r>
      <w:r>
        <w:rPr>
          <w:rFonts w:ascii="Book Antiqua" w:eastAsia="Book Antiqua" w:hAnsi="Book Antiqua" w:cs="Book Antiqua"/>
          <w:color w:val="000000"/>
        </w:rPr>
        <w:t>). Novel SDLNs and SLN-DLNs are used to deliver S</w:t>
      </w:r>
      <w:r>
        <w:rPr>
          <w:rFonts w:ascii="Book Antiqua" w:hAnsi="Book Antiqua" w:cs="Book Antiqua"/>
          <w:color w:val="000000"/>
          <w:lang w:eastAsia="zh-CN"/>
        </w:rPr>
        <w:t>AL</w:t>
      </w:r>
      <w:r>
        <w:rPr>
          <w:rFonts w:ascii="Book Antiqua" w:eastAsia="Book Antiqua" w:hAnsi="Book Antiqua" w:cs="Book Antiqua"/>
          <w:color w:val="000000"/>
        </w:rPr>
        <w:t xml:space="preserve"> and DOX to HCC cells and CSCs. Hybrid lipo plastids (HLs) are nanosized liposome particles that can be prepared by the ultrasonic mixing of capsule and micelle molecules in buffer solution. The inhibitory effect of HLs on the growth of the CSC subpopulation of HCC cells (HepG2) has proven that HLs are a new type of nanomaterial that can be used to target CSCs in the treatment of HCC</w:t>
      </w:r>
      <w:r>
        <w:rPr>
          <w:rFonts w:ascii="Book Antiqua" w:eastAsia="Book Antiqua" w:hAnsi="Book Antiqua" w:cs="Book Antiqua"/>
          <w:color w:val="000000"/>
          <w:vertAlign w:val="superscript"/>
        </w:rPr>
        <w:t>[74]</w:t>
      </w:r>
      <w:r>
        <w:rPr>
          <w:rFonts w:ascii="Book Antiqua" w:eastAsia="Book Antiqua" w:hAnsi="Book Antiqua" w:cs="Book Antiqua"/>
          <w:color w:val="000000"/>
        </w:rPr>
        <w:t>. Dual-targeted liposomes CEP-LP@S/D selectively target CD133EpCAMlCSCs. Upon arrival at CSCs, CEP-LP@S/D liposomes undergo cytoplasmic endocytosis, in which high concentrations of glutathione break the disulfide bonds, thereby degrading the liposomes</w:t>
      </w:r>
      <w:r>
        <w:rPr>
          <w:rFonts w:ascii="Book Antiqua" w:eastAsia="Book Antiqua" w:hAnsi="Book Antiqua" w:cs="Book Antiqua"/>
          <w:color w:val="000000"/>
          <w:vertAlign w:val="superscript"/>
        </w:rPr>
        <w:t>[75]</w:t>
      </w:r>
      <w:r>
        <w:rPr>
          <w:rFonts w:ascii="Book Antiqua" w:eastAsia="Book Antiqua" w:hAnsi="Book Antiqua" w:cs="Book Antiqua"/>
          <w:color w:val="000000"/>
        </w:rPr>
        <w:t>. The combination of docetaxel liposome (DTXPL) and telmisartan (TEL) increased the cytotoxicity of H460 WT 3D cells two-fold. In H460 WT and DTX-resistant CD133+ xenograft tumor models, tumors treated with the combination of DTXPL and TEL showed reduced tumor volume, increased apoptosis, and downregulated CSC marker expression</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w:t>
      </w:r>
    </w:p>
    <w:p w14:paraId="790D2211"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rPr>
        <w:t>Lipid nanocapsule (LNC) encapsulated with paclitaxel and S</w:t>
      </w:r>
      <w:r>
        <w:rPr>
          <w:rFonts w:ascii="Book Antiqua" w:hAnsi="Book Antiqua" w:cs="Book Antiqua"/>
          <w:lang w:eastAsia="zh-CN"/>
        </w:rPr>
        <w:t>AL</w:t>
      </w:r>
      <w:r>
        <w:rPr>
          <w:rFonts w:ascii="Book Antiqua" w:eastAsia="Book Antiqua" w:hAnsi="Book Antiqua" w:cs="Book Antiqua"/>
        </w:rPr>
        <w:t xml:space="preserve"> </w:t>
      </w:r>
      <w:r>
        <w:rPr>
          <w:rFonts w:ascii="Book Antiqua" w:hAnsi="Book Antiqua" w:cs="Book Antiqua"/>
          <w:lang w:eastAsia="zh-CN"/>
        </w:rPr>
        <w:t xml:space="preserve">can </w:t>
      </w:r>
      <w:r>
        <w:rPr>
          <w:rFonts w:ascii="Book Antiqua" w:eastAsia="Book Antiqua" w:hAnsi="Book Antiqua" w:cs="Book Antiqua"/>
        </w:rPr>
        <w:t>induce apoptosis in bCSCs, which is enhanced by the codelivery of paclitaxel and S</w:t>
      </w:r>
      <w:r>
        <w:rPr>
          <w:rFonts w:ascii="Book Antiqua" w:hAnsi="Book Antiqua" w:cs="Book Antiqua"/>
          <w:lang w:eastAsia="zh-CN"/>
        </w:rPr>
        <w:t>AL.</w:t>
      </w:r>
      <w:r>
        <w:rPr>
          <w:rFonts w:ascii="Book Antiqua" w:eastAsia="Book Antiqua" w:hAnsi="Book Antiqua" w:cs="Book Antiqua"/>
          <w:color w:val="000000"/>
        </w:rPr>
        <w:t xml:space="preserve"> Synergistic cytotoxic effects on cells, non-bCSCs, and bCSCs, as well as effective reduction in tumor mammary globular growth by encapsulating both paclitaxel and </w:t>
      </w:r>
      <w:r w:rsidRPr="00641A01">
        <w:rPr>
          <w:rFonts w:ascii="Book Antiqua" w:eastAsia="Book Antiqua" w:hAnsi="Book Antiqua" w:cs="Book Antiqua"/>
        </w:rPr>
        <w:t>S</w:t>
      </w:r>
      <w:r w:rsidRPr="00641A01">
        <w:rPr>
          <w:rFonts w:ascii="Book Antiqua" w:hAnsi="Book Antiqua" w:cs="Book Antiqua"/>
          <w:lang w:eastAsia="zh-CN"/>
        </w:rPr>
        <w:t>AL</w:t>
      </w:r>
      <w:r>
        <w:rPr>
          <w:rFonts w:ascii="Book Antiqua" w:eastAsia="Book Antiqua" w:hAnsi="Book Antiqua" w:cs="Book Antiqua"/>
          <w:color w:val="000000"/>
        </w:rPr>
        <w:t>, suggest that LNCs have potential for the treatment of BC</w:t>
      </w:r>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.These studies demonstrate the great potential of </w:t>
      </w:r>
      <w:r>
        <w:rPr>
          <w:rFonts w:ascii="Book Antiqua" w:hAnsi="Book Antiqua" w:cs="Book Antiqua"/>
          <w:color w:val="000000"/>
          <w:lang w:eastAsia="zh-CN"/>
        </w:rPr>
        <w:t>nano</w:t>
      </w:r>
      <w:r>
        <w:rPr>
          <w:rFonts w:ascii="Book Antiqua" w:eastAsia="Book Antiqua" w:hAnsi="Book Antiqua" w:cs="Book Antiqua"/>
          <w:color w:val="000000"/>
        </w:rPr>
        <w:t>liposome-targeted drug delivery to tumor stem cells.</w:t>
      </w:r>
    </w:p>
    <w:p w14:paraId="07E0E87B" w14:textId="77777777" w:rsidR="00680DB2" w:rsidRPr="00641A01" w:rsidRDefault="00680DB2">
      <w:pPr>
        <w:spacing w:line="360" w:lineRule="auto"/>
        <w:jc w:val="both"/>
        <w:rPr>
          <w:rFonts w:ascii="Book Antiqua" w:hAnsi="Book Antiqua"/>
        </w:rPr>
      </w:pPr>
    </w:p>
    <w:p w14:paraId="5A43655D"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GNRs and QDs</w:t>
      </w:r>
    </w:p>
    <w:p w14:paraId="669480D7"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GNRs are pseudo-one-dimensional rod-like NPs, which have become one of the emerging materials of interest in recent years due to their anisotropic shape and adjustable plasma properties</w:t>
      </w:r>
      <w:r>
        <w:rPr>
          <w:rFonts w:ascii="Book Antiqua" w:eastAsia="Book Antiqua" w:hAnsi="Book Antiqua" w:cs="Book Antiqua"/>
          <w:color w:val="000000"/>
          <w:vertAlign w:val="superscript"/>
        </w:rPr>
        <w:t>[78]</w:t>
      </w:r>
      <w:r>
        <w:rPr>
          <w:rFonts w:ascii="Book Antiqua" w:eastAsia="Book Antiqua" w:hAnsi="Book Antiqua" w:cs="Book Antiqua"/>
          <w:color w:val="000000"/>
        </w:rPr>
        <w:t>. QDs, also known as nanocrystals, are NPs composed of II-VI or III-V elements that are rich in energy electrons and quantum-confined holes</w:t>
      </w:r>
      <w:r>
        <w:rPr>
          <w:rFonts w:ascii="Book Antiqua" w:eastAsia="Book Antiqua" w:hAnsi="Book Antiqua" w:cs="Book Antiqua"/>
          <w:color w:val="000000"/>
          <w:vertAlign w:val="superscript"/>
        </w:rPr>
        <w:t>[79]</w:t>
      </w:r>
      <w:r>
        <w:rPr>
          <w:rFonts w:ascii="Book Antiqua" w:eastAsia="Book Antiqua" w:hAnsi="Book Antiqua" w:cs="Book Antiqua"/>
          <w:color w:val="000000"/>
        </w:rPr>
        <w:t>. QDs are widely studied as biomedical imaging probes due to their unique optical and electronic properties. They are usually nanoscale semiconductor microcrystals and are widely used to improve the efficacy of fluorescent markers in bioimaging</w:t>
      </w:r>
      <w:r>
        <w:rPr>
          <w:rFonts w:ascii="Book Antiqua" w:eastAsia="Book Antiqua" w:hAnsi="Book Antiqua" w:cs="Book Antiqua"/>
          <w:color w:val="000000"/>
          <w:vertAlign w:val="superscript"/>
        </w:rPr>
        <w:t>[80]</w:t>
      </w:r>
      <w:r>
        <w:rPr>
          <w:rFonts w:ascii="Book Antiqua" w:eastAsia="Book Antiqua" w:hAnsi="Book Antiqua" w:cs="Book Antiqua"/>
          <w:color w:val="000000"/>
        </w:rPr>
        <w:t>.</w:t>
      </w:r>
    </w:p>
    <w:p w14:paraId="6A1FB310"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PKF118-310 (PKF) and vorinostat (SAHA) loaded on GNP corona Protein corona (PC), a AuNP system with protein corona coating for simultaneous delivery of PKF and SAHA resulted in a reduction of stem cell populations and Snail marker in MCF7 bCSCs</w:t>
      </w:r>
      <w:r>
        <w:rPr>
          <w:rFonts w:ascii="Book Antiqua" w:eastAsia="Book Antiqua" w:hAnsi="Book Antiqua" w:cs="Book Antiqua"/>
          <w:color w:val="000000"/>
          <w:vertAlign w:val="superscript"/>
        </w:rPr>
        <w:t>[81]</w:t>
      </w:r>
      <w:r>
        <w:rPr>
          <w:rFonts w:ascii="Book Antiqua" w:eastAsia="Book Antiqua" w:hAnsi="Book Antiqua" w:cs="Book Antiqua"/>
          <w:color w:val="000000"/>
        </w:rPr>
        <w:t>. Coloaded with GNRs and Adr, EpCAM was labeled by targeting the surface of CSCs to kill CSCs under laser ablation</w:t>
      </w:r>
      <w:r>
        <w:rPr>
          <w:rFonts w:ascii="Book Antiqua" w:eastAsia="Book Antiqua" w:hAnsi="Book Antiqua" w:cs="Book Antiqua"/>
          <w:color w:val="000000"/>
          <w:vertAlign w:val="superscript"/>
        </w:rPr>
        <w:t>[54]</w:t>
      </w:r>
      <w:r>
        <w:rPr>
          <w:rFonts w:ascii="Book Antiqua" w:eastAsia="Book Antiqua" w:hAnsi="Book Antiqua" w:cs="Book Antiqua"/>
          <w:color w:val="000000"/>
        </w:rPr>
        <w:t>. A novel fluorescent on nano aptamer sensor for the quantitative detection of CD133 has also been designed. By hybridization of CD133-targeting aptamers modified on the surface of QDs and AuNPs with partially complementary paired RNA (single-stranded RNA), the distance between the QDs and AuNPs is shortened, resulting in fluorescence resonance energy transfer between them so that the fluorescence of the QDs is quenched by AuNPs. The QD fluorescence recovery aptamer sensor is a sensitive and reliable sensor for the detection of CD133, providing a simple and promising detection tool for CSC markers</w:t>
      </w:r>
      <w:r>
        <w:rPr>
          <w:rFonts w:ascii="Book Antiqua" w:eastAsia="Book Antiqua" w:hAnsi="Book Antiqua" w:cs="Book Antiqua"/>
          <w:color w:val="000000"/>
          <w:vertAlign w:val="superscript"/>
        </w:rPr>
        <w:t>[82]</w:t>
      </w:r>
      <w:r>
        <w:rPr>
          <w:rFonts w:ascii="Book Antiqua" w:eastAsia="Book Antiqua" w:hAnsi="Book Antiqua" w:cs="Book Antiqua"/>
          <w:color w:val="000000"/>
        </w:rPr>
        <w:t xml:space="preserve">. Inhibition of glutamine decomposition may be an effective anti-CSC strategy. The glutaminase 1 (GLS1) inhibitor telaglenastat (CB-839) was loaded into Au pegylated NPs (Au-PEG-CD133-CB-839) equipped with covalently coupled CD133 aptamer. In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exposure to a CD133-positive brain tumor model, Au-PEG-CD133-CB-839 reduced the activity of CD133-positive cancer cells in a dose-dependent manner</w:t>
      </w:r>
      <w:r>
        <w:rPr>
          <w:rFonts w:ascii="Book Antiqua" w:eastAsia="Book Antiqua" w:hAnsi="Book Antiqua" w:cs="Book Antiqua"/>
          <w:color w:val="000000"/>
          <w:vertAlign w:val="superscript"/>
        </w:rPr>
        <w:t>[83]</w:t>
      </w:r>
      <w:r>
        <w:rPr>
          <w:rFonts w:ascii="Book Antiqua" w:eastAsia="Book Antiqua" w:hAnsi="Book Antiqua" w:cs="Book Antiqua"/>
          <w:color w:val="000000"/>
        </w:rPr>
        <w:t>. Glucose-installed-targeted NPs (Glu-NPs) demonstrated higher cellular uptake of siRNA payload in globular BC (MBA-MB-231) cell cultures compared to glucose-uncoupled control NPs (MeO-NPs). Glu-NPs, a promising nanocarrier design for CSC-targeted cancer therapy, caused significantly enhanced gene silencing in CSC-rich MDA-MB-231 tumor tissue in situ after systemic administration to tumor-bearing mice</w:t>
      </w:r>
      <w:r>
        <w:rPr>
          <w:rFonts w:ascii="Book Antiqua" w:eastAsia="Book Antiqua" w:hAnsi="Book Antiqua" w:cs="Book Antiqua"/>
          <w:color w:val="000000"/>
          <w:vertAlign w:val="superscript"/>
        </w:rPr>
        <w:t>[84]</w:t>
      </w:r>
      <w:r>
        <w:rPr>
          <w:rFonts w:ascii="Book Antiqua" w:eastAsia="Book Antiqua" w:hAnsi="Book Antiqua" w:cs="Book Antiqua"/>
          <w:color w:val="000000"/>
        </w:rPr>
        <w:t>.</w:t>
      </w:r>
      <w:r>
        <w:rPr>
          <w:rFonts w:ascii="Book Antiqua" w:eastAsia="Book Antiqua" w:hAnsi="Book Antiqua" w:cs="Book Antiqua"/>
          <w:color w:val="00B050"/>
        </w:rPr>
        <w:t xml:space="preserve"> </w:t>
      </w:r>
      <w:r>
        <w:rPr>
          <w:rFonts w:ascii="Book Antiqua" w:hAnsi="Book Antiqua" w:cs="Book Antiqua"/>
          <w:lang w:eastAsia="zh-CN"/>
        </w:rPr>
        <w:t>Liu</w:t>
      </w:r>
      <w:r>
        <w:rPr>
          <w:rFonts w:ascii="Book Antiqua" w:eastAsia="Book Antiqua" w:hAnsi="Book Antiqua" w:cs="Book Antiqua"/>
        </w:rPr>
        <w:t xml:space="preserve"> </w:t>
      </w:r>
      <w:r>
        <w:rPr>
          <w:rFonts w:ascii="Book Antiqua" w:eastAsia="Book Antiqua" w:hAnsi="Book Antiqua" w:cs="Book Antiqua"/>
          <w:i/>
          <w:iCs/>
        </w:rPr>
        <w:t xml:space="preserve">et </w:t>
      </w:r>
      <w:r>
        <w:rPr>
          <w:rFonts w:ascii="Book Antiqua" w:hAnsi="Book Antiqua" w:cs="Book Antiqua"/>
          <w:i/>
          <w:iCs/>
          <w:lang w:eastAsia="zh-CN"/>
        </w:rPr>
        <w:t>al</w:t>
      </w:r>
      <w:r>
        <w:rPr>
          <w:rFonts w:ascii="Book Antiqua" w:hAnsi="Book Antiqua" w:cs="Book Antiqua"/>
          <w:vertAlign w:val="superscript"/>
          <w:lang w:eastAsia="zh-CN"/>
        </w:rPr>
        <w:t>[85]</w:t>
      </w:r>
      <w:r>
        <w:rPr>
          <w:rFonts w:ascii="Book Antiqua" w:eastAsia="Book Antiqua" w:hAnsi="Book Antiqua" w:cs="Book Antiqua"/>
        </w:rPr>
        <w:t xml:space="preserve"> </w:t>
      </w:r>
      <w:r>
        <w:rPr>
          <w:rFonts w:ascii="Book Antiqua" w:hAnsi="Book Antiqua" w:cs="Book Antiqua"/>
          <w:lang w:eastAsia="zh-CN"/>
        </w:rPr>
        <w:t>reported</w:t>
      </w:r>
      <w:r>
        <w:rPr>
          <w:rFonts w:ascii="Book Antiqua" w:eastAsia="Book Antiqua" w:hAnsi="Book Antiqua" w:cs="Book Antiqua"/>
        </w:rPr>
        <w:t xml:space="preserve"> </w:t>
      </w:r>
      <w:r>
        <w:rPr>
          <w:rFonts w:ascii="Book Antiqua" w:hAnsi="Book Antiqua" w:cs="Book Antiqua"/>
          <w:lang w:eastAsia="zh-CN"/>
        </w:rPr>
        <w:t>that</w:t>
      </w:r>
      <w:r>
        <w:rPr>
          <w:rFonts w:ascii="Book Antiqua" w:eastAsia="Book Antiqua" w:hAnsi="Book Antiqua" w:cs="Book Antiqua"/>
        </w:rPr>
        <w:t xml:space="preserve"> SAL was conjugated with biocompatible AuNPs coated with PEG showed specific targeting ability and high antitumor efficacy against CD24 Low/CD44high subsets in BC cells. </w:t>
      </w:r>
      <w:r>
        <w:rPr>
          <w:rFonts w:ascii="Book Antiqua" w:eastAsia="Book Antiqua" w:hAnsi="Book Antiqua" w:cs="Book Antiqua"/>
          <w:color w:val="000000"/>
        </w:rPr>
        <w:t xml:space="preserve">The biodegradable naturally negatively charged polysaccharide HA is used to synthesize AuNPs, while HA can act as a capping agent based on its hydroxyl group, thereby stabilizing newly produced AuNPs. HA-functionalized AuNPs exhibit excellent physical properties and high cell uptake and have a strong inhibitory effect on MDA-MB-231 cells and CSCs. In particular, synergistic chemothermal therapy with HA-capped AuNPs combined with </w:t>
      </w:r>
      <w:r>
        <w:rPr>
          <w:rFonts w:ascii="Book Antiqua" w:eastAsia="Book Antiqua" w:hAnsi="Book Antiqua" w:cs="Book Antiqua"/>
          <w:color w:val="000000"/>
        </w:rPr>
        <w:lastRenderedPageBreak/>
        <w:t>NIR irradiation has shown more effective therapeutic results in terms of cytotoxicity, apoptosis, and necrosis compared with chemotherapy alone</w:t>
      </w:r>
      <w:r>
        <w:rPr>
          <w:rFonts w:ascii="Book Antiqua" w:eastAsia="Book Antiqua" w:hAnsi="Book Antiqua" w:cs="Book Antiqua"/>
          <w:color w:val="000000"/>
          <w:vertAlign w:val="superscript"/>
        </w:rPr>
        <w:t>[86]</w:t>
      </w:r>
      <w:r>
        <w:rPr>
          <w:rFonts w:ascii="Book Antiqua" w:eastAsia="Book Antiqua" w:hAnsi="Book Antiqua" w:cs="Book Antiqua"/>
          <w:color w:val="000000"/>
        </w:rPr>
        <w:t>.</w:t>
      </w:r>
    </w:p>
    <w:p w14:paraId="5D25496C"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disadvantage of metallic nanomaterials lies in their toxicity. </w:t>
      </w:r>
      <w:r>
        <w:rPr>
          <w:rFonts w:ascii="Book Antiqua" w:hAnsi="Book Antiqua" w:cs="Book Antiqua" w:hint="eastAsia"/>
          <w:color w:val="000000"/>
          <w:lang w:eastAsia="zh-CN"/>
        </w:rPr>
        <w:t>R</w:t>
      </w:r>
      <w:r>
        <w:rPr>
          <w:rFonts w:ascii="Book Antiqua" w:eastAsia="Book Antiqua" w:hAnsi="Book Antiqua" w:cs="Book Antiqua" w:hint="eastAsia"/>
          <w:color w:val="000000"/>
        </w:rPr>
        <w:t>eactive oxygen species</w:t>
      </w:r>
      <w:r>
        <w:rPr>
          <w:rFonts w:ascii="Book Antiqua" w:hAnsi="Book Antiqua" w:cs="Book Antiqua" w:hint="eastAsia"/>
          <w:color w:val="000000"/>
          <w:lang w:eastAsia="zh-CN"/>
        </w:rPr>
        <w:t>(</w:t>
      </w:r>
      <w:r>
        <w:rPr>
          <w:rFonts w:ascii="Book Antiqua" w:eastAsia="Book Antiqua" w:hAnsi="Book Antiqua" w:cs="Book Antiqua"/>
          <w:color w:val="000000"/>
        </w:rPr>
        <w:t>ROS</w:t>
      </w:r>
      <w:r>
        <w:rPr>
          <w:rFonts w:ascii="Book Antiqua" w:hAnsi="Book Antiqua" w:cs="Book Antiqua" w:hint="eastAsia"/>
          <w:color w:val="000000"/>
          <w:lang w:eastAsia="zh-CN"/>
        </w:rPr>
        <w:t>)</w:t>
      </w:r>
      <w:r>
        <w:rPr>
          <w:rFonts w:ascii="Book Antiqua" w:eastAsia="Book Antiqua" w:hAnsi="Book Antiqua" w:cs="Book Antiqua"/>
          <w:color w:val="000000"/>
        </w:rPr>
        <w:t xml:space="preserve"> generation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influence on cell structures</w:t>
      </w:r>
      <w:r>
        <w:rPr>
          <w:rFonts w:ascii="Book Antiqua" w:hAnsi="Book Antiqua" w:cs="Book Antiqua" w:hint="eastAsia"/>
          <w:color w:val="000000"/>
          <w:lang w:eastAsia="zh-CN"/>
        </w:rPr>
        <w:t xml:space="preserve"> and other </w:t>
      </w:r>
      <w:r>
        <w:rPr>
          <w:rFonts w:ascii="Book Antiqua" w:eastAsia="Book Antiqua" w:hAnsi="Book Antiqua" w:cs="Book Antiqua"/>
          <w:color w:val="000000"/>
        </w:rPr>
        <w:t>characteristics of metallic NP</w:t>
      </w:r>
      <w:r>
        <w:rPr>
          <w:rFonts w:ascii="Book Antiqua" w:hAnsi="Book Antiqua" w:cs="Book Antiqua"/>
          <w:color w:val="000000"/>
          <w:lang w:eastAsia="zh-CN"/>
        </w:rPr>
        <w:t>s</w:t>
      </w:r>
      <w:r>
        <w:rPr>
          <w:rFonts w:ascii="Book Antiqua" w:eastAsia="Book Antiqua" w:hAnsi="Book Antiqua" w:cs="Book Antiqua"/>
          <w:color w:val="000000"/>
        </w:rPr>
        <w:t xml:space="preserve"> toxicity are similar to other NPs, </w:t>
      </w:r>
      <w:r>
        <w:rPr>
          <w:rFonts w:ascii="Book Antiqua" w:hAnsi="Book Antiqua" w:cs="Book Antiqua"/>
          <w:color w:val="000000"/>
          <w:lang w:eastAsia="zh-CN"/>
        </w:rPr>
        <w:t xml:space="preserve">and the </w:t>
      </w:r>
      <w:r>
        <w:rPr>
          <w:rFonts w:ascii="Book Antiqua" w:eastAsia="Book Antiqua" w:hAnsi="Book Antiqua" w:cs="Book Antiqua"/>
          <w:color w:val="000000"/>
        </w:rPr>
        <w:t>toxicity is related to size, shape, dimensionality, surface charge. Therefore, metallic NPs should be carefully examined before use</w:t>
      </w:r>
      <w:r>
        <w:rPr>
          <w:rFonts w:ascii="Book Antiqua" w:hAnsi="Book Antiqua" w:cs="Book Antiqua"/>
          <w:color w:val="000000"/>
          <w:lang w:eastAsia="zh-CN"/>
        </w:rPr>
        <w:t xml:space="preserve">d </w:t>
      </w:r>
      <w:r>
        <w:rPr>
          <w:rFonts w:ascii="Book Antiqua" w:hAnsi="Book Antiqua" w:cs="Book Antiqua" w:hint="eastAsia"/>
          <w:color w:val="000000"/>
          <w:lang w:eastAsia="zh-CN"/>
        </w:rPr>
        <w:t>in clinic.</w:t>
      </w:r>
    </w:p>
    <w:p w14:paraId="7A7EA18D" w14:textId="77777777" w:rsidR="00680DB2" w:rsidRPr="00641A01" w:rsidRDefault="00680DB2">
      <w:pPr>
        <w:spacing w:line="360" w:lineRule="auto"/>
        <w:jc w:val="both"/>
        <w:rPr>
          <w:rFonts w:ascii="Book Antiqua" w:hAnsi="Book Antiqua"/>
        </w:rPr>
      </w:pPr>
    </w:p>
    <w:p w14:paraId="67089EF3"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CNTs</w:t>
      </w:r>
    </w:p>
    <w:p w14:paraId="50C6AC83"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high surface-to-volume ratio, enhanced electrical conductivity, strength, biocompatibility, ease of functionalization, and optical properties of CNTs have led to their consideration as novel drug and gene delivery vehicles. CNTs are cylindrical tubes formed from sp2 hybrid carbon atoms, which can range in size from 1 nanometer to several microns. CNTs can be divided into single-walled CNTs (SWCNTs) and multiwalled CNTs (MWCNTs) according to the number of layers formed in them</w:t>
      </w:r>
      <w:r>
        <w:rPr>
          <w:rFonts w:ascii="Book Antiqua" w:eastAsia="Book Antiqua" w:hAnsi="Book Antiqua" w:cs="Book Antiqua"/>
          <w:color w:val="000000"/>
          <w:vertAlign w:val="superscript"/>
        </w:rPr>
        <w:t>[87]</w:t>
      </w:r>
      <w:r>
        <w:rPr>
          <w:rFonts w:ascii="Book Antiqua" w:eastAsia="Book Antiqua" w:hAnsi="Book Antiqua" w:cs="Book Antiqua"/>
          <w:color w:val="000000"/>
        </w:rPr>
        <w:t>.</w:t>
      </w:r>
    </w:p>
    <w:p w14:paraId="70D50E6E"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BCSCs have strong resistance to traditional hyperthermia, while PTT mediated by amino-modified multiwalled CNTs on the surface can effectively kill bCSCs</w:t>
      </w:r>
      <w:r>
        <w:rPr>
          <w:rFonts w:ascii="Book Antiqua" w:eastAsia="Book Antiqua" w:hAnsi="Book Antiqua" w:cs="Book Antiqua"/>
          <w:color w:val="000000"/>
          <w:vertAlign w:val="superscript"/>
        </w:rPr>
        <w:t>[88]</w:t>
      </w:r>
      <w:r>
        <w:rPr>
          <w:rFonts w:ascii="Book Antiqua" w:eastAsia="Book Antiqua" w:hAnsi="Book Antiqua" w:cs="Book Antiqua"/>
          <w:color w:val="000000"/>
        </w:rPr>
        <w:t xml:space="preserve">. CD133 is a currently recognized CSC marker for GBM. CNTs can be targeted to CD133-positive cells of GBM (GBM-CD133+) through a CD133 antibody.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grafted a CD133 monoclonal antibody onto CHI-modified CNTs. Then, CSCs were effectively killed by PTT. The gastric CSC-specific targeted drug delivery system (SAL-SWNT-CHI-HA complex) is also based on CHI-coated SWCNTs loaded with SAL and functionalized with HA to selectively eliminate gastric CSCs</w:t>
      </w:r>
      <w:r>
        <w:rPr>
          <w:rFonts w:ascii="Book Antiqua" w:eastAsia="Book Antiqua" w:hAnsi="Book Antiqua" w:cs="Book Antiqua"/>
          <w:color w:val="000000"/>
          <w:vertAlign w:val="superscript"/>
        </w:rPr>
        <w:t>[90]</w:t>
      </w:r>
      <w:r>
        <w:rPr>
          <w:rFonts w:ascii="Book Antiqua" w:eastAsia="Book Antiqua" w:hAnsi="Book Antiqua" w:cs="Book Antiqua"/>
          <w:color w:val="000000"/>
        </w:rPr>
        <w:t>. SWCNTs facilitate active targeting due to their needle shape, significant transmembrane penetration, EPR effects, high drug loading capacity, and ease of functionalization of biological agents (</w:t>
      </w:r>
      <w:r>
        <w:rPr>
          <w:rFonts w:ascii="Book Antiqua" w:eastAsia="Book Antiqua" w:hAnsi="Book Antiqua" w:cs="Book Antiqua"/>
          <w:i/>
          <w:iCs/>
          <w:color w:val="000000"/>
        </w:rPr>
        <w:t>i.e</w:t>
      </w:r>
      <w:r>
        <w:rPr>
          <w:rFonts w:ascii="Book Antiqua" w:eastAsia="Book Antiqua" w:hAnsi="Book Antiqua" w:cs="Book Antiqua"/>
          <w:color w:val="000000"/>
        </w:rPr>
        <w:t xml:space="preserve">. antibodies). Surface functionalization with polymers such as PEG helps overcome the limitations of the original NTs, providing good water solubility, prolonging blood circulation, and reducing the toxic effects of SWCNT-based nanocarriers. The potential therapeutic effect of the combination of paclitaxel and SAL in BC and CSCs is mediated by a pH-responsive release mechanism near the acidic tumor microenvironment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a hydrazone junction</w:t>
      </w:r>
      <w:r>
        <w:rPr>
          <w:rFonts w:ascii="Book Antiqua" w:eastAsia="Book Antiqua" w:hAnsi="Book Antiqua" w:cs="Book Antiqua"/>
          <w:color w:val="000000"/>
          <w:vertAlign w:val="superscript"/>
        </w:rPr>
        <w:t>[91]</w:t>
      </w:r>
      <w:r>
        <w:rPr>
          <w:rFonts w:ascii="Book Antiqua" w:eastAsia="Book Antiqua" w:hAnsi="Book Antiqua" w:cs="Book Antiqua"/>
          <w:color w:val="000000"/>
        </w:rPr>
        <w:t>.</w:t>
      </w:r>
    </w:p>
    <w:p w14:paraId="389780EE" w14:textId="77777777" w:rsidR="00680DB2" w:rsidRPr="00641A01" w:rsidRDefault="00680DB2">
      <w:pPr>
        <w:spacing w:line="360" w:lineRule="auto"/>
        <w:jc w:val="both"/>
        <w:rPr>
          <w:rFonts w:ascii="Book Antiqua" w:hAnsi="Book Antiqua"/>
        </w:rPr>
      </w:pPr>
    </w:p>
    <w:p w14:paraId="273A04C0"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GO</w:t>
      </w:r>
    </w:p>
    <w:p w14:paraId="77D50EDE"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Driven by the achievements of CNTs, graphene, and GO are new types of drug nano carriers used to support a variety of therapeutic drugs, anticancer drugs, insoluble drugs, antibiotics, antibodies, </w:t>
      </w:r>
      <w:r>
        <w:rPr>
          <w:rFonts w:ascii="Book Antiqua" w:eastAsia="Book Antiqua" w:hAnsi="Book Antiqua" w:cs="Book Antiqua"/>
          <w:i/>
          <w:iCs/>
          <w:color w:val="000000"/>
        </w:rPr>
        <w:t>etc.</w:t>
      </w:r>
    </w:p>
    <w:p w14:paraId="43A841AD"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GO is alleged to specifically target CSCs rather than normal cells and to induce CSC differentiation and inhibit tumor sphere formation in multiple cell lines, including breast, ovarian, prostate, lung, pancreas, and GBM cell lines, by inhibiting several key signaling pathways, including the Wnt, Notch, and signal tranducer and activator of transcription signaling pathways</w:t>
      </w:r>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w:t>
      </w:r>
    </w:p>
    <w:p w14:paraId="28EC5A66"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Choi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synthesized reduced graphene-silver nanocomposites (rGO-Ag) using the R-phycoglobin biomolecular mediated method. These composites have a toxic effect on ovarian CSCs (OvCSCs) and can reduce the survival rate of OvCSCs by decreasing the mitochondrial membrane potential and expression of apoptotic genes, leading to mitochondrial dysfunction and possibly apoptosis. RGO-Ag may be a novel nanotherapeutic molecule for specifically targeting highly tumorigenic ALDH+CD133+ cells and clearing CSCs.</w:t>
      </w:r>
    </w:p>
    <w:p w14:paraId="0E54B8A6" w14:textId="77777777" w:rsidR="00680DB2" w:rsidRPr="00641A01" w:rsidRDefault="00680DB2">
      <w:pPr>
        <w:spacing w:line="360" w:lineRule="auto"/>
        <w:jc w:val="both"/>
        <w:rPr>
          <w:rFonts w:ascii="Book Antiqua" w:hAnsi="Book Antiqua"/>
        </w:rPr>
      </w:pPr>
    </w:p>
    <w:p w14:paraId="633C779E"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PTT</w:t>
      </w:r>
    </w:p>
    <w:p w14:paraId="21C5D4E6"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PTT uses metal NPs to eradicate CSCs and stimulate a hyperthermal physiological response by converting light into heat</w:t>
      </w:r>
      <w:r>
        <w:rPr>
          <w:rFonts w:ascii="Book Antiqua" w:eastAsia="Book Antiqua" w:hAnsi="Book Antiqua" w:cs="Book Antiqua"/>
          <w:color w:val="000000"/>
          <w:vertAlign w:val="superscript"/>
        </w:rPr>
        <w:t>[94]</w:t>
      </w:r>
      <w:r>
        <w:rPr>
          <w:rFonts w:ascii="Book Antiqua" w:eastAsia="Book Antiqua" w:hAnsi="Book Antiqua" w:cs="Book Antiqua"/>
          <w:color w:val="000000"/>
        </w:rPr>
        <w:t>. MSNs under an alternating magnetic field eliminate CSCs by blocking the hypoxia signaling pathway and heating, thus effectively inhibiting tumor growth</w:t>
      </w:r>
      <w:r>
        <w:rPr>
          <w:rFonts w:ascii="Book Antiqua" w:eastAsia="Book Antiqua" w:hAnsi="Book Antiqua" w:cs="Book Antiqua"/>
          <w:color w:val="000000"/>
          <w:vertAlign w:val="superscript"/>
        </w:rPr>
        <w:t>[56,95]</w:t>
      </w:r>
      <w:r>
        <w:rPr>
          <w:rFonts w:ascii="Book Antiqua" w:eastAsia="Book Antiqua" w:hAnsi="Book Antiqua" w:cs="Book Antiqua"/>
          <w:color w:val="000000"/>
        </w:rPr>
        <w:t xml:space="preserve">. Burke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found that bCSCs have strong resistance to traditional hyperthermia, and PTT mediated by amino-modified multiwalled CNTs on the surface can effectively kill bCSCs. Wang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grafted CD133 monoclonal antibody onto CHI-modified CNTs. CD133 is currently recognized as a CSC marker for GBM, and CNTs can be targeted to GBM-CD133+ through the CD133 antibody. Then the CSCs were effectively killed by PTT. NPs loaded with bimodal metal cages and photodynamic therapys (PDT) PDTs target CSCs by reducing cell mobility under laser irradiation</w:t>
      </w:r>
      <w:r>
        <w:rPr>
          <w:rFonts w:ascii="Book Antiqua" w:eastAsia="Book Antiqua" w:hAnsi="Book Antiqua" w:cs="Book Antiqua"/>
          <w:color w:val="000000"/>
          <w:vertAlign w:val="superscript"/>
        </w:rPr>
        <w:t>[96]</w:t>
      </w:r>
      <w:r>
        <w:rPr>
          <w:rFonts w:ascii="Book Antiqua" w:eastAsia="Book Antiqua" w:hAnsi="Book Antiqua" w:cs="Book Antiqua"/>
          <w:color w:val="000000"/>
        </w:rPr>
        <w:t>. Researchers developed a CSC-specific-targeted, retinoic acid (RA)-loaded Au nanostar-</w:t>
      </w:r>
      <w:r>
        <w:rPr>
          <w:rFonts w:ascii="Book Antiqua" w:eastAsia="Book Antiqua" w:hAnsi="Book Antiqua" w:cs="Book Antiqua"/>
          <w:color w:val="000000"/>
        </w:rPr>
        <w:lastRenderedPageBreak/>
        <w:t>dPG nanoplatform for the efficient eradication of CSCs. The nanocomposites possess good biocompatibility and exhibit effective CSC-specific multivalent-targeted capability due to HA decorated on the multiple attachment sites of the bioinert dPG. With the help of CSC differentiation induced by RA, the self-renewal of bCSCs and tumor growth were suppressed by the high therapeutic efficacy of PTT in a synergistic inhibitory manner</w:t>
      </w:r>
      <w:r>
        <w:rPr>
          <w:rFonts w:ascii="Book Antiqua" w:eastAsia="Book Antiqua" w:hAnsi="Book Antiqua" w:cs="Book Antiqua"/>
          <w:color w:val="000000"/>
          <w:vertAlign w:val="superscript"/>
        </w:rPr>
        <w:t>[97]</w:t>
      </w:r>
      <w:r>
        <w:rPr>
          <w:rFonts w:ascii="Book Antiqua" w:eastAsia="Book Antiqua" w:hAnsi="Book Antiqua" w:cs="Book Antiqua"/>
          <w:color w:val="000000"/>
        </w:rPr>
        <w:t>. Based on PTT properties</w:t>
      </w:r>
      <w:r>
        <w:rPr>
          <w:rFonts w:ascii="Book Antiqua" w:hAnsi="Book Antiqua" w:cs="Book Antiqua"/>
          <w:color w:val="000000"/>
          <w:lang w:eastAsia="zh-CN"/>
        </w:rPr>
        <w:t xml:space="preserve"> of</w:t>
      </w:r>
      <w:r>
        <w:rPr>
          <w:rFonts w:ascii="Book Antiqua" w:eastAsia="Book Antiqua" w:hAnsi="Book Antiqua" w:cs="Book Antiqua"/>
          <w:color w:val="000000"/>
        </w:rPr>
        <w:t xml:space="preserve"> CNTs and metallic materials, nanoplatform functions with chemotherapy and PTT can be designed to produce synergistic effects.</w:t>
      </w:r>
    </w:p>
    <w:p w14:paraId="3D852FA1"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Researchers have utilized MnO</w:t>
      </w:r>
      <w:r w:rsidRPr="00641A01">
        <w:rPr>
          <w:rFonts w:ascii="Book Antiqua" w:eastAsia="Book Antiqua" w:hAnsi="Book Antiqua" w:cs="Book Antiqua"/>
          <w:color w:val="000000"/>
          <w:vertAlign w:val="subscript"/>
        </w:rPr>
        <w:t>2</w:t>
      </w:r>
      <w:r>
        <w:rPr>
          <w:rFonts w:ascii="Book Antiqua" w:eastAsia="Book Antiqua" w:hAnsi="Book Antiqua" w:cs="Book Antiqua"/>
          <w:color w:val="000000"/>
        </w:rPr>
        <w:t>@Ce6 NPs and a PDT-based approach that improved tumor microenvironment-related therapeutic resistance by modulating the tumor microenvironment with excess hydrogen protons and water, resulting in subsequent radiation of CSCs</w:t>
      </w:r>
      <w:r>
        <w:rPr>
          <w:rFonts w:ascii="Book Antiqua" w:eastAsia="Book Antiqua" w:hAnsi="Book Antiqua" w:cs="Book Antiqua"/>
          <w:color w:val="000000"/>
          <w:vertAlign w:val="superscript"/>
        </w:rPr>
        <w:t>[98]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Pr="00641A01">
        <w:rPr>
          <w:rFonts w:ascii="Book Antiqua" w:hAnsi="Book Antiqua"/>
        </w:rPr>
        <w:t>Haldavnekar R</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et al. introduced </w:t>
      </w:r>
      <w:r>
        <w:rPr>
          <w:rFonts w:ascii="Book Antiqua" w:eastAsia="Book Antiqua" w:hAnsi="Book Antiqua" w:cs="Book Antiqua"/>
          <w:color w:val="000000"/>
        </w:rPr>
        <w:t>nickel-based functionalized nanoprobe-facilitated surface-enhanced Raman scattering for the prediction of cancer dissemination by CSC-based surveillance</w:t>
      </w:r>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w:t>
      </w:r>
      <w:bookmarkStart w:id="38" w:name="OLE_LINK2"/>
      <w:r>
        <w:rPr>
          <w:rFonts w:ascii="Book Antiqua" w:eastAsia="Book Antiqua" w:hAnsi="Book Antiqua" w:cs="Book Antiqua"/>
          <w:color w:val="000000"/>
        </w:rPr>
        <w:t>MoS</w:t>
      </w:r>
      <w:r w:rsidRPr="00641A01">
        <w:rPr>
          <w:rFonts w:ascii="Book Antiqua" w:eastAsia="Book Antiqua" w:hAnsi="Book Antiqua" w:cs="Book Antiqua"/>
          <w:color w:val="000000"/>
          <w:vertAlign w:val="subscript"/>
        </w:rPr>
        <w:t>2</w:t>
      </w:r>
      <w:bookmarkEnd w:id="38"/>
      <w:r>
        <w:rPr>
          <w:rFonts w:ascii="Book Antiqua" w:eastAsia="Book Antiqua" w:hAnsi="Book Antiqua" w:cs="Book Antiqua"/>
          <w:color w:val="000000"/>
        </w:rPr>
        <w:t xml:space="preserve"> nanosheets and a moderate PTT treatment were applied to target a CSC surface receptor (</w:t>
      </w:r>
      <w:r>
        <w:rPr>
          <w:rFonts w:ascii="Book Antiqua" w:eastAsia="Book Antiqua" w:hAnsi="Book Antiqua" w:cs="Book Antiqua"/>
          <w:i/>
          <w:iCs/>
          <w:color w:val="000000"/>
        </w:rPr>
        <w:t>i.e</w:t>
      </w:r>
      <w:r>
        <w:rPr>
          <w:rFonts w:ascii="Book Antiqua" w:eastAsia="Book Antiqua" w:hAnsi="Book Antiqua" w:cs="Book Antiqua"/>
          <w:color w:val="000000"/>
        </w:rPr>
        <w:t>. CD44) and modulate its downstream signaling pathway. The treatment show</w:t>
      </w:r>
      <w:r>
        <w:rPr>
          <w:rFonts w:ascii="Book Antiqua" w:hAnsi="Book Antiqua" w:cs="Book Antiqua" w:hint="eastAsia"/>
          <w:color w:val="000000"/>
          <w:lang w:eastAsia="zh-CN"/>
        </w:rPr>
        <w:t>ed</w:t>
      </w:r>
      <w:r>
        <w:rPr>
          <w:rFonts w:ascii="Book Antiqua" w:eastAsia="Book Antiqua" w:hAnsi="Book Antiqua" w:cs="Book Antiqua"/>
          <w:color w:val="000000"/>
        </w:rPr>
        <w:t xml:space="preserve"> attenuated self-renewal capacity, more response to anticancer drugs, and less invasiveness</w:t>
      </w:r>
      <w:r>
        <w:rPr>
          <w:rFonts w:ascii="Book Antiqua" w:eastAsia="Book Antiqua" w:hAnsi="Book Antiqua" w:cs="Book Antiqua"/>
          <w:color w:val="000000"/>
          <w:vertAlign w:val="superscript"/>
        </w:rPr>
        <w:t>[100]</w:t>
      </w:r>
      <w:r>
        <w:rPr>
          <w:rFonts w:ascii="Book Antiqua" w:eastAsia="Book Antiqua" w:hAnsi="Book Antiqua" w:cs="Book Antiqua"/>
          <w:color w:val="000000"/>
        </w:rPr>
        <w:t>.</w:t>
      </w:r>
    </w:p>
    <w:p w14:paraId="3981168B"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Although PTT can inhibit tumor growth by eliminating tumor stem cells, it is usually difficult to completely eradicate tumors due to the limited penetration depth of near-infrared (NIR) light. Therefore, combining PTT with other therapies is expected to overcome these challenges.</w:t>
      </w:r>
    </w:p>
    <w:p w14:paraId="284AB148" w14:textId="77777777" w:rsidR="00680DB2" w:rsidRPr="00641A01" w:rsidRDefault="00680DB2">
      <w:pPr>
        <w:spacing w:line="360" w:lineRule="auto"/>
        <w:jc w:val="both"/>
        <w:rPr>
          <w:rFonts w:ascii="Book Antiqua" w:hAnsi="Book Antiqua"/>
        </w:rPr>
      </w:pPr>
    </w:p>
    <w:p w14:paraId="547FE861" w14:textId="77777777" w:rsidR="00680DB2"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Magnetic fluid hyperthermia</w:t>
      </w:r>
    </w:p>
    <w:p w14:paraId="4A02A72E"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MFH uses the good magnetic thermal conversion ability of magnetic NPs under the influence of an external alternating magnetic field to rapidly heat the internal tumor, forming a high-temperature zone, to kill tumor cells or induce their apoptosis</w:t>
      </w:r>
      <w:r>
        <w:rPr>
          <w:rFonts w:ascii="Book Antiqua" w:eastAsia="Book Antiqua" w:hAnsi="Book Antiqua" w:cs="Book Antiqua"/>
          <w:color w:val="000000"/>
          <w:vertAlign w:val="superscript"/>
        </w:rPr>
        <w:t>[101]</w:t>
      </w:r>
      <w:r>
        <w:rPr>
          <w:rFonts w:ascii="Book Antiqua" w:eastAsia="Book Antiqua" w:hAnsi="Book Antiqua" w:cs="Book Antiqua"/>
          <w:color w:val="000000"/>
        </w:rPr>
        <w:t>.</w:t>
      </w:r>
    </w:p>
    <w:p w14:paraId="62D476A9" w14:textId="77777777" w:rsidR="00680DB2" w:rsidRPr="00641A01"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When anti-CD44 antibody-modified SPIONPs are prepared, SPIONP-mediated hyperthermia can kill CSCs, and </w:t>
      </w:r>
      <w:r>
        <w:rPr>
          <w:rFonts w:ascii="Book Antiqua" w:hAnsi="Book Antiqua" w:cs="Book Antiqua"/>
          <w:color w:val="000000"/>
          <w:lang w:eastAsia="zh-CN"/>
        </w:rPr>
        <w:t>MFH</w:t>
      </w:r>
      <w:r>
        <w:rPr>
          <w:rFonts w:ascii="Book Antiqua" w:eastAsia="Book Antiqua" w:hAnsi="Book Antiqua" w:cs="Book Antiqua"/>
          <w:color w:val="000000"/>
        </w:rPr>
        <w:t xml:space="preserve"> significantly inhibits the growth of transplanted Cal-27 tumors in mice</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Nuclear targeting systems coated with MSNs of superparamagnetic iron oxide-based NPs can directly target CSCs and can be used to combine thermotherapy and hypoxia-activated chemotherapy with nuclear-targeted </w:t>
      </w:r>
      <w:r>
        <w:rPr>
          <w:rFonts w:ascii="Book Antiqua" w:eastAsia="Book Antiqua" w:hAnsi="Book Antiqua" w:cs="Book Antiqua"/>
          <w:color w:val="000000"/>
        </w:rPr>
        <w:lastRenderedPageBreak/>
        <w:t>drug release under an alternating magnetic field, ultimately leading to complete apoptosis of CSCs</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Biomimetic magnetic NPs induce apoptosis of stress-escape CSCs and inhibit their proliferation and metastasis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the combined therapeutic effects of D</w:t>
      </w:r>
      <w:r>
        <w:rPr>
          <w:rFonts w:ascii="Book Antiqua" w:hAnsi="Book Antiqua" w:cs="Book Antiqua"/>
          <w:color w:val="000000"/>
          <w:lang w:eastAsia="zh-CN"/>
        </w:rPr>
        <w:t>OX</w:t>
      </w:r>
      <w:r>
        <w:rPr>
          <w:rFonts w:ascii="Book Antiqua" w:eastAsia="Book Antiqua" w:hAnsi="Book Antiqua" w:cs="Book Antiqua"/>
          <w:color w:val="000000"/>
        </w:rPr>
        <w:t xml:space="preserve"> chemotherapy and magnetic MSNs </w:t>
      </w:r>
      <w:r>
        <w:rPr>
          <w:rFonts w:ascii="Book Antiqua" w:hAnsi="Book Antiqua" w:cs="Book Antiqua" w:hint="eastAsia"/>
          <w:color w:val="000000"/>
          <w:lang w:eastAsia="zh-CN"/>
        </w:rPr>
        <w:t xml:space="preserve">MFH </w:t>
      </w:r>
      <w:r>
        <w:rPr>
          <w:rFonts w:ascii="Book Antiqua" w:eastAsia="Book Antiqua" w:hAnsi="Book Antiqua" w:cs="Book Antiqua"/>
          <w:color w:val="000000"/>
        </w:rPr>
        <w:t>under the action of an alternating magnetic field</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Antibody-modified NPs targeting lung CSCs enhance cellular uptake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prolong tumor accumulation </w:t>
      </w:r>
      <w:r w:rsidRPr="00641A01">
        <w:rPr>
          <w:rFonts w:ascii="Book Antiqua" w:eastAsia="Book Antiqua" w:hAnsi="Book Antiqua" w:cs="Book Antiqua"/>
          <w:i/>
        </w:rPr>
        <w:t>in vivo</w:t>
      </w:r>
      <w:r>
        <w:rPr>
          <w:rFonts w:ascii="Book Antiqua" w:eastAsia="Book Antiqua" w:hAnsi="Book Antiqua" w:cs="Book Antiqua"/>
          <w:color w:val="000000"/>
        </w:rPr>
        <w:t xml:space="preserve">. Due to the combined effects of hyperthermia and chemotherapy treatment, up to 98% of lung CSCs are killed by AMF within 30 min of application outside the body.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this combination therapy significantly inhibited tumor growth and metastasis in mice carrying lung CSC xenografts with minimal side effects and adverse reactions</w:t>
      </w:r>
      <w:r>
        <w:rPr>
          <w:rFonts w:ascii="Book Antiqua" w:eastAsia="Book Antiqua" w:hAnsi="Book Antiqua" w:cs="Book Antiqua"/>
          <w:color w:val="000000"/>
          <w:vertAlign w:val="superscript"/>
        </w:rPr>
        <w:t>[103]</w:t>
      </w:r>
      <w:r>
        <w:rPr>
          <w:rFonts w:ascii="Book Antiqua" w:eastAsia="Book Antiqua" w:hAnsi="Book Antiqua" w:cs="Book Antiqua"/>
          <w:color w:val="000000"/>
        </w:rPr>
        <w:t>. In summary, MFH shows great potential in targeting tumor stem cells.</w:t>
      </w:r>
    </w:p>
    <w:p w14:paraId="0BD92144" w14:textId="77777777" w:rsidR="00680DB2" w:rsidRPr="00641A01" w:rsidRDefault="00680DB2">
      <w:pPr>
        <w:spacing w:line="360" w:lineRule="auto"/>
        <w:jc w:val="both"/>
        <w:rPr>
          <w:rFonts w:ascii="Book Antiqua" w:hAnsi="Book Antiqua"/>
        </w:rPr>
      </w:pPr>
    </w:p>
    <w:p w14:paraId="23DDE873" w14:textId="77777777" w:rsidR="00680DB2"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FUTURE PERSPECTIVES AND CHALLENGES</w:t>
      </w:r>
    </w:p>
    <w:p w14:paraId="132B46D7"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discovery of CSCs has made us gradually realize the complexity of tumors. CSCs are the roots of tumor occurrence, drug resistance, and postoperative recurrence. Therefore, the eradication of CSCs is of great significance for the treatment of cancer. At present, theoretical research on tumor stem cells is still in the initial stage, and many problems have not been solved. For example, CSCs and normal stem cells have very similar self-renewal, multidirectional differentiation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signaling pathways, and cell surface markers. </w:t>
      </w:r>
      <w:r>
        <w:rPr>
          <w:rFonts w:ascii="Book Antiqua" w:hAnsi="Book Antiqua" w:cs="Book Antiqua" w:hint="eastAsia"/>
          <w:color w:val="000000"/>
          <w:lang w:eastAsia="zh-CN"/>
        </w:rPr>
        <w:t>H</w:t>
      </w:r>
      <w:r>
        <w:rPr>
          <w:rFonts w:ascii="Book Antiqua" w:eastAsia="Book Antiqua" w:hAnsi="Book Antiqua" w:cs="Book Antiqua"/>
          <w:color w:val="000000"/>
        </w:rPr>
        <w:t>ow to effectively kill CSCs without damaging normal stem cells needs further research. Some regulatory mechanisms and biological behaviors of tumor stem cells have not been fully clarified. It is believed that with the continuous deepening of CSC research, more targets and a theoretical basis will be provided for clinical treatment.</w:t>
      </w:r>
    </w:p>
    <w:p w14:paraId="7E496F62" w14:textId="77777777" w:rsidR="00680DB2"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addition to effective drugs targeting CSCs, it is also necessary to consider the heterogeneity of CSCs to eliminate tumor cells and CSCs more effectively, inhibit recurrence and improve the survival rate of patients. Although great progress has been made in research on the molecular mechanism of cancer, cancer detection and treatment, and the treatment methods have been continuously improved, there is still a lack of effective treatments for cancer. The targeting, slow release, good biocompatibility, and stability of nanomaterials will play a huge role. In addition, nanotargeting technology is </w:t>
      </w:r>
      <w:r>
        <w:rPr>
          <w:rFonts w:ascii="Book Antiqua" w:eastAsia="Book Antiqua" w:hAnsi="Book Antiqua" w:cs="Book Antiqua"/>
          <w:color w:val="000000"/>
        </w:rPr>
        <w:lastRenderedPageBreak/>
        <w:t>used to track the biological characteristics of CTCs</w:t>
      </w:r>
      <w:r>
        <w:rPr>
          <w:rFonts w:ascii="Book Antiqua" w:eastAsia="Book Antiqua" w:hAnsi="Book Antiqua" w:cs="Book Antiqua"/>
          <w:color w:val="000000"/>
          <w:vertAlign w:val="superscript"/>
        </w:rPr>
        <w:t>[104]</w:t>
      </w:r>
      <w:r>
        <w:rPr>
          <w:rFonts w:ascii="Book Antiqua" w:eastAsia="Book Antiqua" w:hAnsi="Book Antiqua" w:cs="Book Antiqua"/>
          <w:color w:val="000000"/>
        </w:rPr>
        <w:t>. The physical and chemical properties of each component of the tumor microenvironment are different from those of normal tissues, and the tumor microenvironment plays a huge role in the process of tumor occurrence and development, which makes the tumor microenvironment an important target for nanomaterial-targeted therapy</w:t>
      </w:r>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Although there are still several difficulties in the wide application of nanomaterials in clinical practice, the most important of which is biosafety, there is still no convincing evidence that nanomaterials can be effectively metabolized in the body without accumulation and causing toxic side effects. In addition, how to improve the linking efficiency of targeted molecules and nanomaterials, the activity of targeted molecules after linking, the stability of the binding of targeted substances and drug carriers, and the metabolic pathways and toxicity of nanomaterials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have not yet been solved. However, the strong ability shown in the early stages makes us hypothesize that nanomaterials for CSC-targeted therapy have broad prospects as a new generation of tumor treatment. With the continuous deepening of CSC research and the rapid development of nanotechnology, these fields will potentially overlap and provide a strong guarantee for cancer treatment.</w:t>
      </w:r>
    </w:p>
    <w:p w14:paraId="6242F52A" w14:textId="77777777" w:rsidR="00680DB2" w:rsidRPr="00641A01" w:rsidRDefault="00680DB2">
      <w:pPr>
        <w:spacing w:line="360" w:lineRule="auto"/>
        <w:jc w:val="both"/>
        <w:rPr>
          <w:rFonts w:ascii="Book Antiqua" w:hAnsi="Book Antiqua"/>
        </w:rPr>
      </w:pPr>
    </w:p>
    <w:p w14:paraId="3DC4421F" w14:textId="77777777" w:rsidR="00680DB2" w:rsidRDefault="00000000">
      <w:pPr>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CONCLUSION</w:t>
      </w:r>
    </w:p>
    <w:p w14:paraId="2D296E63" w14:textId="77777777" w:rsidR="00680DB2" w:rsidRPr="00641A01" w:rsidRDefault="00000000">
      <w:pPr>
        <w:spacing w:line="360" w:lineRule="auto"/>
        <w:jc w:val="both"/>
        <w:rPr>
          <w:rFonts w:ascii="Book Antiqua" w:hAnsi="Book Antiqua"/>
        </w:rPr>
      </w:pPr>
      <w:r>
        <w:rPr>
          <w:rFonts w:ascii="Book Antiqua" w:eastAsia="Book Antiqua" w:hAnsi="Book Antiqua" w:cs="Book Antiqua"/>
          <w:color w:val="000000"/>
        </w:rPr>
        <w:t xml:space="preserve">Cancer is a huge barrier for researchers due to its high mortality rate and resistance to treatments. For example, multidrug resistance, recurrence, and the spreading nature of cancer cells make cancer extremely difficult to treat. CSCs are the main reason for inducing the characteristics of drug resistance and the regenerative ability of tumor cells. Therefore, the targeted system of cancer treatment began to turn to stem </w:t>
      </w:r>
      <w:r>
        <w:rPr>
          <w:rFonts w:ascii="Book Antiqua" w:hAnsi="Book Antiqua" w:cs="Book Antiqua" w:hint="eastAsia"/>
          <w:color w:val="000000"/>
          <w:lang w:eastAsia="zh-CN"/>
        </w:rPr>
        <w:t xml:space="preserve">cell </w:t>
      </w:r>
      <w:r>
        <w:rPr>
          <w:rFonts w:ascii="Book Antiqua" w:eastAsia="Book Antiqua" w:hAnsi="Book Antiqua" w:cs="Book Antiqua"/>
          <w:color w:val="000000"/>
        </w:rPr>
        <w:t xml:space="preserve">research. As an emerging field, nanotechnology is mainly applied to materials and carrier structures with diameters between 1 and 100 nanometers. Because nanomaterials have similar dimensions, they differ in composition, structure, hydrophobicity, magnetism, immunogenicity, and other properties. CSC therapies based on these unique properties have been extensively studied, but only a few have entered clinical trials. To better improve clinical translation, further research on targeted drug delivery of nanocarriers is needed to reduce toxicity, enhance permeability and retention, and minimize the </w:t>
      </w:r>
      <w:r>
        <w:rPr>
          <w:rFonts w:ascii="Book Antiqua" w:eastAsia="Book Antiqua" w:hAnsi="Book Antiqua" w:cs="Book Antiqua"/>
          <w:color w:val="000000"/>
        </w:rPr>
        <w:lastRenderedPageBreak/>
        <w:t>shielding effect of the protein corona. By rationally designing and constructing new NDDS to accurately target CSCs that have developed drug resistance, the efficiency of reversing multidrug resistance and inhibiting tumor growth can be effectively improved, providing a tremendous opportunity to improve cancer treatment or prognosis, which will ultimately improve the survival rate of cancer patients.</w:t>
      </w:r>
    </w:p>
    <w:p w14:paraId="297C9E9D" w14:textId="77777777" w:rsidR="00680DB2" w:rsidRPr="00641A01" w:rsidRDefault="00680DB2">
      <w:pPr>
        <w:spacing w:line="360" w:lineRule="auto"/>
        <w:jc w:val="both"/>
        <w:rPr>
          <w:rFonts w:ascii="Book Antiqua" w:hAnsi="Book Antiqua"/>
        </w:rPr>
      </w:pPr>
    </w:p>
    <w:p w14:paraId="2CDDADED" w14:textId="77777777" w:rsidR="00680DB2" w:rsidRPr="00641A01" w:rsidRDefault="00680DB2">
      <w:pPr>
        <w:spacing w:line="360" w:lineRule="auto"/>
        <w:jc w:val="both"/>
        <w:rPr>
          <w:rFonts w:ascii="Book Antiqua" w:hAnsi="Book Antiqua"/>
        </w:rPr>
      </w:pPr>
    </w:p>
    <w:p w14:paraId="4F661C1D"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1B515529" w14:textId="77777777" w:rsidR="00680DB2" w:rsidRDefault="00000000">
      <w:pPr>
        <w:spacing w:line="360" w:lineRule="auto"/>
        <w:jc w:val="both"/>
        <w:rPr>
          <w:rFonts w:ascii="Book Antiqua" w:hAnsi="Book Antiqua"/>
        </w:rPr>
      </w:pPr>
      <w:bookmarkStart w:id="39" w:name="OLE_LINK5595"/>
      <w:bookmarkStart w:id="40" w:name="OLE_LINK5596"/>
      <w:bookmarkStart w:id="41" w:name="OLE_LINK5601"/>
      <w:r>
        <w:rPr>
          <w:rFonts w:ascii="Book Antiqua" w:hAnsi="Book Antiqua"/>
        </w:rPr>
        <w:t xml:space="preserve">1 </w:t>
      </w:r>
      <w:r>
        <w:rPr>
          <w:rFonts w:ascii="Book Antiqua" w:hAnsi="Book Antiqua"/>
          <w:b/>
          <w:bCs/>
        </w:rPr>
        <w:t>Siegel RL</w:t>
      </w:r>
      <w:r>
        <w:rPr>
          <w:rFonts w:ascii="Book Antiqua" w:hAnsi="Book Antiqua"/>
        </w:rPr>
        <w:t xml:space="preserve">, Miller KD, Fuchs HE, Jemal A. Cancer Statistics, 2021.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7-33 [PMID: 33433946 DOI: 10.3322/caac.21654]</w:t>
      </w:r>
    </w:p>
    <w:p w14:paraId="1A3CCA75" w14:textId="77777777" w:rsidR="00680DB2"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Li F</w:t>
      </w:r>
      <w:r>
        <w:rPr>
          <w:rFonts w:ascii="Book Antiqua" w:hAnsi="Book Antiqua"/>
        </w:rPr>
        <w:t xml:space="preserve">, Tiede B, Massagué J, Kang Y. Beyond tumorigenesis: cancer stem cells in metastasis. </w:t>
      </w:r>
      <w:r>
        <w:rPr>
          <w:rFonts w:ascii="Book Antiqua" w:hAnsi="Book Antiqua"/>
          <w:i/>
          <w:iCs/>
        </w:rPr>
        <w:t>Cell Res</w:t>
      </w:r>
      <w:r>
        <w:rPr>
          <w:rFonts w:ascii="Book Antiqua" w:hAnsi="Book Antiqua"/>
        </w:rPr>
        <w:t xml:space="preserve"> 2007; </w:t>
      </w:r>
      <w:r>
        <w:rPr>
          <w:rFonts w:ascii="Book Antiqua" w:hAnsi="Book Antiqua"/>
          <w:b/>
          <w:bCs/>
        </w:rPr>
        <w:t>17</w:t>
      </w:r>
      <w:r>
        <w:rPr>
          <w:rFonts w:ascii="Book Antiqua" w:hAnsi="Book Antiqua"/>
        </w:rPr>
        <w:t>: 3-14 [PMID: 17179981 DOI: 10.1038/sj.cr.7310118]</w:t>
      </w:r>
    </w:p>
    <w:p w14:paraId="292FA5B3" w14:textId="77777777" w:rsidR="00680DB2"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Abdullah LN</w:t>
      </w:r>
      <w:r>
        <w:rPr>
          <w:rFonts w:ascii="Book Antiqua" w:hAnsi="Book Antiqua"/>
        </w:rPr>
        <w:t xml:space="preserve">, Chow EK. Mechanisms of chemoresistance in cancer stem cells. </w:t>
      </w:r>
      <w:r>
        <w:rPr>
          <w:rFonts w:ascii="Book Antiqua" w:hAnsi="Book Antiqua"/>
          <w:i/>
          <w:iCs/>
        </w:rPr>
        <w:t>Clin Transl Med</w:t>
      </w:r>
      <w:r>
        <w:rPr>
          <w:rFonts w:ascii="Book Antiqua" w:hAnsi="Book Antiqua"/>
        </w:rPr>
        <w:t xml:space="preserve"> 2013; </w:t>
      </w:r>
      <w:r>
        <w:rPr>
          <w:rFonts w:ascii="Book Antiqua" w:hAnsi="Book Antiqua"/>
          <w:b/>
          <w:bCs/>
        </w:rPr>
        <w:t>2</w:t>
      </w:r>
      <w:r>
        <w:rPr>
          <w:rFonts w:ascii="Book Antiqua" w:hAnsi="Book Antiqua"/>
        </w:rPr>
        <w:t>: 3 [PMID: 23369605 DOI: 10.1186/2001-1326-2-3]</w:t>
      </w:r>
    </w:p>
    <w:p w14:paraId="23F48A89" w14:textId="77777777" w:rsidR="00680DB2"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Kanaoujiya</w:t>
      </w:r>
      <w:r>
        <w:rPr>
          <w:rFonts w:ascii="Book Antiqua" w:hAnsi="Book Antiqua"/>
        </w:rPr>
        <w:t xml:space="preserve"> </w:t>
      </w:r>
      <w:r>
        <w:rPr>
          <w:rFonts w:ascii="Book Antiqua" w:hAnsi="Book Antiqua"/>
          <w:b/>
          <w:bCs/>
        </w:rPr>
        <w:t>R</w:t>
      </w:r>
      <w:r>
        <w:rPr>
          <w:rFonts w:ascii="Book Antiqua" w:hAnsi="Book Antiqua"/>
        </w:rPr>
        <w:t xml:space="preserve">, Singh D, Minocha T, Yadav SK, Srivastava S. </w:t>
      </w:r>
      <w:bookmarkStart w:id="42" w:name="OLE_LINK5598"/>
      <w:bookmarkStart w:id="43" w:name="OLE_LINK5597"/>
      <w:r>
        <w:rPr>
          <w:rFonts w:ascii="Book Antiqua" w:hAnsi="Book Antiqua"/>
        </w:rPr>
        <w:t>Synthesis, characterization of ruthenium (III) macrocyclic complexes of 1, 4, 8, 11-tetraazacyclotetradecane (cyclam) and in vitro assessment of anti-cancer activity</w:t>
      </w:r>
      <w:bookmarkEnd w:id="42"/>
      <w:bookmarkEnd w:id="43"/>
      <w:r>
        <w:rPr>
          <w:rFonts w:ascii="Book Antiqua" w:hAnsi="Book Antiqua"/>
        </w:rPr>
        <w:t xml:space="preserve">. </w:t>
      </w:r>
      <w:r>
        <w:rPr>
          <w:rFonts w:ascii="Book Antiqua" w:hAnsi="Book Antiqua"/>
          <w:i/>
          <w:iCs/>
        </w:rPr>
        <w:t>Mater Today Proceed</w:t>
      </w:r>
      <w:r>
        <w:rPr>
          <w:rFonts w:ascii="Book Antiqua" w:hAnsi="Book Antiqua"/>
        </w:rPr>
        <w:t xml:space="preserve"> 2022; </w:t>
      </w:r>
      <w:r>
        <w:rPr>
          <w:rFonts w:ascii="Book Antiqua" w:hAnsi="Book Antiqua"/>
          <w:b/>
          <w:bCs/>
        </w:rPr>
        <w:t>65</w:t>
      </w:r>
      <w:r>
        <w:rPr>
          <w:rFonts w:ascii="Book Antiqua" w:hAnsi="Book Antiqua"/>
        </w:rPr>
        <w:t>: 3143-3149 [DOI: 10.1016/j.matpr.2022.05.354]</w:t>
      </w:r>
    </w:p>
    <w:p w14:paraId="777380AF" w14:textId="77777777" w:rsidR="00680DB2"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Batlle E</w:t>
      </w:r>
      <w:r>
        <w:rPr>
          <w:rFonts w:ascii="Book Antiqua" w:hAnsi="Book Antiqua"/>
        </w:rPr>
        <w:t xml:space="preserve">, Clevers H. Cancer stem cells revisited. </w:t>
      </w:r>
      <w:r>
        <w:rPr>
          <w:rFonts w:ascii="Book Antiqua" w:hAnsi="Book Antiqua"/>
          <w:i/>
          <w:iCs/>
        </w:rPr>
        <w:t>Nat Med</w:t>
      </w:r>
      <w:r>
        <w:rPr>
          <w:rFonts w:ascii="Book Antiqua" w:hAnsi="Book Antiqua"/>
        </w:rPr>
        <w:t xml:space="preserve"> 2017; </w:t>
      </w:r>
      <w:r>
        <w:rPr>
          <w:rFonts w:ascii="Book Antiqua" w:hAnsi="Book Antiqua"/>
          <w:b/>
          <w:bCs/>
        </w:rPr>
        <w:t>23</w:t>
      </w:r>
      <w:r>
        <w:rPr>
          <w:rFonts w:ascii="Book Antiqua" w:hAnsi="Book Antiqua"/>
        </w:rPr>
        <w:t>: 1124-1134 [PMID: 28985214 DOI: 10.1038/nm.4409]</w:t>
      </w:r>
    </w:p>
    <w:p w14:paraId="251CAE64" w14:textId="77777777" w:rsidR="00680DB2"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Reya T</w:t>
      </w:r>
      <w:r>
        <w:rPr>
          <w:rFonts w:ascii="Book Antiqua" w:hAnsi="Book Antiqua"/>
        </w:rPr>
        <w:t xml:space="preserve">, Morrison SJ, Clarke MF, Weissman IL. Stem cells, cancer, and cancer stem cells. </w:t>
      </w:r>
      <w:r>
        <w:rPr>
          <w:rFonts w:ascii="Book Antiqua" w:hAnsi="Book Antiqua"/>
          <w:i/>
          <w:iCs/>
        </w:rPr>
        <w:t>Nature</w:t>
      </w:r>
      <w:r>
        <w:rPr>
          <w:rFonts w:ascii="Book Antiqua" w:hAnsi="Book Antiqua"/>
        </w:rPr>
        <w:t xml:space="preserve"> 2001; </w:t>
      </w:r>
      <w:r>
        <w:rPr>
          <w:rFonts w:ascii="Book Antiqua" w:hAnsi="Book Antiqua"/>
          <w:b/>
          <w:bCs/>
        </w:rPr>
        <w:t>414</w:t>
      </w:r>
      <w:r>
        <w:rPr>
          <w:rFonts w:ascii="Book Antiqua" w:hAnsi="Book Antiqua"/>
        </w:rPr>
        <w:t>: 105-111 [PMID: 11689955 DOI: 10.1038/35102167]</w:t>
      </w:r>
    </w:p>
    <w:p w14:paraId="585AECB2" w14:textId="77777777" w:rsidR="00680DB2"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Shibue T</w:t>
      </w:r>
      <w:r>
        <w:rPr>
          <w:rFonts w:ascii="Book Antiqua" w:hAnsi="Book Antiqua"/>
        </w:rPr>
        <w:t xml:space="preserve">, Weinberg RA. EMT, CSCs, and drug resistance: the mechanistic link and clinical implications.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611-629 [PMID: 28397828 DOI: 10.1038/nrclinonc.2017.44]</w:t>
      </w:r>
    </w:p>
    <w:p w14:paraId="3337559C" w14:textId="77777777" w:rsidR="00680DB2"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Bai X</w:t>
      </w:r>
      <w:r>
        <w:rPr>
          <w:rFonts w:ascii="Book Antiqua" w:hAnsi="Book Antiqua"/>
        </w:rPr>
        <w:t xml:space="preserve">, Ni J, Beretov J, Graham P, Li Y. Cancer stem cell in breast cancer therapeutic resistance. </w:t>
      </w:r>
      <w:r>
        <w:rPr>
          <w:rFonts w:ascii="Book Antiqua" w:hAnsi="Book Antiqua"/>
          <w:i/>
          <w:iCs/>
        </w:rPr>
        <w:t>Cancer Treat Rev</w:t>
      </w:r>
      <w:r>
        <w:rPr>
          <w:rFonts w:ascii="Book Antiqua" w:hAnsi="Book Antiqua"/>
        </w:rPr>
        <w:t xml:space="preserve"> 2018; </w:t>
      </w:r>
      <w:r>
        <w:rPr>
          <w:rFonts w:ascii="Book Antiqua" w:hAnsi="Book Antiqua"/>
          <w:b/>
          <w:bCs/>
        </w:rPr>
        <w:t>69</w:t>
      </w:r>
      <w:r>
        <w:rPr>
          <w:rFonts w:ascii="Book Antiqua" w:hAnsi="Book Antiqua"/>
        </w:rPr>
        <w:t>: 152-163 [PMID: 30029203 DOI: 10.1016/j.ctrv.2018.07.004]</w:t>
      </w:r>
    </w:p>
    <w:p w14:paraId="6CDC1F8E" w14:textId="77777777" w:rsidR="00680DB2"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Haiaty S</w:t>
      </w:r>
      <w:r>
        <w:rPr>
          <w:rFonts w:ascii="Book Antiqua" w:hAnsi="Book Antiqua"/>
        </w:rPr>
        <w:t xml:space="preserve">, Rashidi MR, Akbarzadeh M, Bazmani A, Mostafazadeh M, Nikanfar S, Zibaei Z, Rahbarghazi R, Nouri M. Thymoquinone inhibited vasculogenic capacity and </w:t>
      </w:r>
      <w:r>
        <w:rPr>
          <w:rFonts w:ascii="Book Antiqua" w:hAnsi="Book Antiqua"/>
        </w:rPr>
        <w:lastRenderedPageBreak/>
        <w:t xml:space="preserve">promoted mesenchymal-epithelial transition of human breast cancer stem cells. </w:t>
      </w:r>
      <w:r>
        <w:rPr>
          <w:rFonts w:ascii="Book Antiqua" w:hAnsi="Book Antiqua"/>
          <w:i/>
          <w:iCs/>
        </w:rPr>
        <w:t>BMC Complement Med Ther</w:t>
      </w:r>
      <w:r>
        <w:rPr>
          <w:rFonts w:ascii="Book Antiqua" w:hAnsi="Book Antiqua"/>
        </w:rPr>
        <w:t xml:space="preserve"> 2021; </w:t>
      </w:r>
      <w:r>
        <w:rPr>
          <w:rFonts w:ascii="Book Antiqua" w:hAnsi="Book Antiqua"/>
          <w:b/>
          <w:bCs/>
        </w:rPr>
        <w:t>21</w:t>
      </w:r>
      <w:r>
        <w:rPr>
          <w:rFonts w:ascii="Book Antiqua" w:hAnsi="Book Antiqua"/>
        </w:rPr>
        <w:t>: 83 [PMID: 33663486 DOI: 10.1186/s12906-021-03246-w]</w:t>
      </w:r>
    </w:p>
    <w:p w14:paraId="53B37B47" w14:textId="77777777" w:rsidR="00680DB2"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Uckun FM</w:t>
      </w:r>
      <w:r>
        <w:rPr>
          <w:rFonts w:ascii="Book Antiqua" w:hAnsi="Book Antiqua"/>
        </w:rPr>
        <w:t xml:space="preserve">, Sather H, Reaman G, Shuster J, Land V, Trigg M, Gunther R, Chelstrom L, Bleyer A, Gaynon P. Leukemic cell growth in SCID mice as a predictor of relapse in high-risk B-lineage acute lymphoblastic leukemia. </w:t>
      </w:r>
      <w:r>
        <w:rPr>
          <w:rFonts w:ascii="Book Antiqua" w:hAnsi="Book Antiqua"/>
          <w:i/>
          <w:iCs/>
        </w:rPr>
        <w:t>Blood</w:t>
      </w:r>
      <w:r>
        <w:rPr>
          <w:rFonts w:ascii="Book Antiqua" w:hAnsi="Book Antiqua"/>
        </w:rPr>
        <w:t xml:space="preserve"> 1995; </w:t>
      </w:r>
      <w:r>
        <w:rPr>
          <w:rFonts w:ascii="Book Antiqua" w:hAnsi="Book Antiqua"/>
          <w:b/>
          <w:bCs/>
        </w:rPr>
        <w:t>85</w:t>
      </w:r>
      <w:r>
        <w:rPr>
          <w:rFonts w:ascii="Book Antiqua" w:hAnsi="Book Antiqua"/>
        </w:rPr>
        <w:t>: 873-878 [PMID: 7849309 DOI: 10.1182/blood.V85.4.873.bloodjournal854873]</w:t>
      </w:r>
    </w:p>
    <w:p w14:paraId="278D33D4" w14:textId="77777777" w:rsidR="00680DB2"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Wang X</w:t>
      </w:r>
      <w:r>
        <w:rPr>
          <w:rFonts w:ascii="Book Antiqua" w:hAnsi="Book Antiqua"/>
        </w:rPr>
        <w:t xml:space="preserve">, Huang S, Chen JL. Understanding of leukemic stem cells and their clinical implications. </w:t>
      </w:r>
      <w:r>
        <w:rPr>
          <w:rFonts w:ascii="Book Antiqua" w:hAnsi="Book Antiqua"/>
          <w:i/>
          <w:iCs/>
        </w:rPr>
        <w:t>Mol Cancer</w:t>
      </w:r>
      <w:r>
        <w:rPr>
          <w:rFonts w:ascii="Book Antiqua" w:hAnsi="Book Antiqua"/>
        </w:rPr>
        <w:t xml:space="preserve"> 2017; </w:t>
      </w:r>
      <w:r>
        <w:rPr>
          <w:rFonts w:ascii="Book Antiqua" w:hAnsi="Book Antiqua"/>
          <w:b/>
          <w:bCs/>
        </w:rPr>
        <w:t>16</w:t>
      </w:r>
      <w:r>
        <w:rPr>
          <w:rFonts w:ascii="Book Antiqua" w:hAnsi="Book Antiqua"/>
        </w:rPr>
        <w:t>: 2 [PMID: 28137304 DOI: 10.1186/s12943-016-0574-7]</w:t>
      </w:r>
    </w:p>
    <w:p w14:paraId="6F0A081B" w14:textId="77777777" w:rsidR="00680DB2"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Zeuner A</w:t>
      </w:r>
      <w:r>
        <w:rPr>
          <w:rFonts w:ascii="Book Antiqua" w:hAnsi="Book Antiqua"/>
        </w:rPr>
        <w:t xml:space="preserve">, Todaro M, Stassi G, De Maria R. Colorectal cancer stem cells: from the crypt to the clinic. </w:t>
      </w:r>
      <w:r>
        <w:rPr>
          <w:rFonts w:ascii="Book Antiqua" w:hAnsi="Book Antiqua"/>
          <w:i/>
          <w:iCs/>
        </w:rPr>
        <w:t>Cell Stem Cell</w:t>
      </w:r>
      <w:r>
        <w:rPr>
          <w:rFonts w:ascii="Book Antiqua" w:hAnsi="Book Antiqua"/>
        </w:rPr>
        <w:t xml:space="preserve"> 2014; </w:t>
      </w:r>
      <w:r>
        <w:rPr>
          <w:rFonts w:ascii="Book Antiqua" w:hAnsi="Book Antiqua"/>
          <w:b/>
          <w:bCs/>
        </w:rPr>
        <w:t>15</w:t>
      </w:r>
      <w:r>
        <w:rPr>
          <w:rFonts w:ascii="Book Antiqua" w:hAnsi="Book Antiqua"/>
        </w:rPr>
        <w:t>: 692-705 [PMID: 25479747 DOI: 10.1016/j.stem.2014.11.012]</w:t>
      </w:r>
    </w:p>
    <w:p w14:paraId="6EE5E792" w14:textId="77777777" w:rsidR="00680DB2"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Das PK</w:t>
      </w:r>
      <w:r>
        <w:rPr>
          <w:rFonts w:ascii="Book Antiqua" w:hAnsi="Book Antiqua"/>
        </w:rPr>
        <w:t xml:space="preserve">, Islam F, Lam AK. The Roles of Cancer Stem Cells and Therapy Resistance in Colorectal Carcinoma.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32503256 DOI: 10.3390/cells9061392]</w:t>
      </w:r>
    </w:p>
    <w:p w14:paraId="04F1BE4F" w14:textId="77777777" w:rsidR="00680DB2"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Singh SK</w:t>
      </w:r>
      <w:r>
        <w:rPr>
          <w:rFonts w:ascii="Book Antiqua" w:hAnsi="Book Antiqua"/>
        </w:rPr>
        <w:t xml:space="preserve">, Hawkins C, Clarke ID, Squire JA, Bayani J, Hide T, Henkelman RM, Cusimano MD, Dirks PB. Identification of human brain tumour initiating cells. </w:t>
      </w:r>
      <w:r>
        <w:rPr>
          <w:rFonts w:ascii="Book Antiqua" w:hAnsi="Book Antiqua"/>
          <w:i/>
          <w:iCs/>
        </w:rPr>
        <w:t>Nature</w:t>
      </w:r>
      <w:r>
        <w:rPr>
          <w:rFonts w:ascii="Book Antiqua" w:hAnsi="Book Antiqua"/>
        </w:rPr>
        <w:t xml:space="preserve"> 2004; </w:t>
      </w:r>
      <w:r>
        <w:rPr>
          <w:rFonts w:ascii="Book Antiqua" w:hAnsi="Book Antiqua"/>
          <w:b/>
          <w:bCs/>
        </w:rPr>
        <w:t>432</w:t>
      </w:r>
      <w:r>
        <w:rPr>
          <w:rFonts w:ascii="Book Antiqua" w:hAnsi="Book Antiqua"/>
        </w:rPr>
        <w:t>: 396-401 [PMID: 15549107 DOI: 10.1038/nature03128]</w:t>
      </w:r>
    </w:p>
    <w:p w14:paraId="491E9053" w14:textId="77777777" w:rsidR="00680DB2"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Muinao T</w:t>
      </w:r>
      <w:r>
        <w:rPr>
          <w:rFonts w:ascii="Book Antiqua" w:hAnsi="Book Antiqua"/>
        </w:rPr>
        <w:t xml:space="preserve">, Deka Boruah HP, Pal M. Diagnostic and Prognostic Biomarkers in ovarian cancer and the potential roles of cancer stem cells - An updated review. </w:t>
      </w:r>
      <w:r>
        <w:rPr>
          <w:rFonts w:ascii="Book Antiqua" w:hAnsi="Book Antiqua"/>
          <w:i/>
          <w:iCs/>
        </w:rPr>
        <w:t>Exp Cell Res</w:t>
      </w:r>
      <w:r>
        <w:rPr>
          <w:rFonts w:ascii="Book Antiqua" w:hAnsi="Book Antiqua"/>
        </w:rPr>
        <w:t xml:space="preserve"> 2018; </w:t>
      </w:r>
      <w:r>
        <w:rPr>
          <w:rFonts w:ascii="Book Antiqua" w:hAnsi="Book Antiqua"/>
          <w:b/>
          <w:bCs/>
        </w:rPr>
        <w:t>362</w:t>
      </w:r>
      <w:r>
        <w:rPr>
          <w:rFonts w:ascii="Book Antiqua" w:hAnsi="Book Antiqua"/>
        </w:rPr>
        <w:t>: 1-10 [PMID: 29079264 DOI: 10.1016/j.yexcr.2017.10.018]</w:t>
      </w:r>
    </w:p>
    <w:p w14:paraId="34939FC3" w14:textId="77777777" w:rsidR="00680DB2"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Najafi M</w:t>
      </w:r>
      <w:r>
        <w:rPr>
          <w:rFonts w:ascii="Book Antiqua" w:hAnsi="Book Antiqua"/>
        </w:rPr>
        <w:t xml:space="preserve">, Farhood B, Mortezaee K. Cancer stem cells (CSCs) in cancer progression and therapy. </w:t>
      </w:r>
      <w:r>
        <w:rPr>
          <w:rFonts w:ascii="Book Antiqua" w:hAnsi="Book Antiqua"/>
          <w:i/>
          <w:iCs/>
        </w:rPr>
        <w:t>J Cell Physiol</w:t>
      </w:r>
      <w:r>
        <w:rPr>
          <w:rFonts w:ascii="Book Antiqua" w:hAnsi="Book Antiqua"/>
        </w:rPr>
        <w:t xml:space="preserve"> 2019; </w:t>
      </w:r>
      <w:r>
        <w:rPr>
          <w:rFonts w:ascii="Book Antiqua" w:hAnsi="Book Antiqua"/>
          <w:b/>
          <w:bCs/>
        </w:rPr>
        <w:t>234</w:t>
      </w:r>
      <w:r>
        <w:rPr>
          <w:rFonts w:ascii="Book Antiqua" w:hAnsi="Book Antiqua"/>
        </w:rPr>
        <w:t>: 8381-8395 [PMID: 30417375 DOI: 10.1002/jcp.27740]</w:t>
      </w:r>
    </w:p>
    <w:p w14:paraId="1E64CCFD" w14:textId="77777777" w:rsidR="00680DB2"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Najafi M</w:t>
      </w:r>
      <w:r>
        <w:rPr>
          <w:rFonts w:ascii="Book Antiqua" w:hAnsi="Book Antiqua"/>
        </w:rPr>
        <w:t xml:space="preserve">, Mortezaee K, Majidpoor J. Cancer stem cell (CSC) resistance drivers. </w:t>
      </w:r>
      <w:r>
        <w:rPr>
          <w:rFonts w:ascii="Book Antiqua" w:hAnsi="Book Antiqua"/>
          <w:i/>
          <w:iCs/>
        </w:rPr>
        <w:t>Life Sci</w:t>
      </w:r>
      <w:r>
        <w:rPr>
          <w:rFonts w:ascii="Book Antiqua" w:hAnsi="Book Antiqua"/>
        </w:rPr>
        <w:t xml:space="preserve"> 2019; </w:t>
      </w:r>
      <w:r>
        <w:rPr>
          <w:rFonts w:ascii="Book Antiqua" w:hAnsi="Book Antiqua"/>
          <w:b/>
          <w:bCs/>
        </w:rPr>
        <w:t>234</w:t>
      </w:r>
      <w:r>
        <w:rPr>
          <w:rFonts w:ascii="Book Antiqua" w:hAnsi="Book Antiqua"/>
        </w:rPr>
        <w:t>: 116781 [PMID: 31430455 DOI: 10.1016/j.lfs.2019.116781]</w:t>
      </w:r>
    </w:p>
    <w:p w14:paraId="1C18D4E3" w14:textId="77777777" w:rsidR="00680DB2"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Tang L</w:t>
      </w:r>
      <w:r>
        <w:rPr>
          <w:rFonts w:ascii="Book Antiqua" w:hAnsi="Book Antiqua"/>
        </w:rPr>
        <w:t xml:space="preserve">, Mei Y, Shen Y, He S, Xiao Q, Yin Y, Xu Y, Shao J, Wang W, Cai Z. Nanoparticle-Mediated Targeted Drug Delivery to Remodel Tumor Microenvironment for Cancer Therapy. </w:t>
      </w:r>
      <w:r>
        <w:rPr>
          <w:rFonts w:ascii="Book Antiqua" w:hAnsi="Book Antiqua"/>
          <w:i/>
          <w:iCs/>
        </w:rPr>
        <w:t>Int J Nanomedicine</w:t>
      </w:r>
      <w:r>
        <w:rPr>
          <w:rFonts w:ascii="Book Antiqua" w:hAnsi="Book Antiqua"/>
        </w:rPr>
        <w:t xml:space="preserve"> 2021; </w:t>
      </w:r>
      <w:r>
        <w:rPr>
          <w:rFonts w:ascii="Book Antiqua" w:hAnsi="Book Antiqua"/>
          <w:b/>
          <w:bCs/>
        </w:rPr>
        <w:t>16</w:t>
      </w:r>
      <w:r>
        <w:rPr>
          <w:rFonts w:ascii="Book Antiqua" w:hAnsi="Book Antiqua"/>
        </w:rPr>
        <w:t>: 5811-5829 [PMID: 34471353 DOI: 10.2147/IJN.S321416]</w:t>
      </w:r>
    </w:p>
    <w:p w14:paraId="7FABCD2C" w14:textId="77777777" w:rsidR="00680DB2"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Jia Y</w:t>
      </w:r>
      <w:r>
        <w:rPr>
          <w:rFonts w:ascii="Book Antiqua" w:hAnsi="Book Antiqua"/>
        </w:rPr>
        <w:t xml:space="preserve">, Wang Y, Xie J. The Hedgehog pathway: role in cell differentiation, polarity and proliferation. </w:t>
      </w:r>
      <w:r>
        <w:rPr>
          <w:rFonts w:ascii="Book Antiqua" w:hAnsi="Book Antiqua"/>
          <w:i/>
          <w:iCs/>
        </w:rPr>
        <w:t>Arch Toxicol</w:t>
      </w:r>
      <w:r>
        <w:rPr>
          <w:rFonts w:ascii="Book Antiqua" w:hAnsi="Book Antiqua"/>
        </w:rPr>
        <w:t xml:space="preserve"> 2015; </w:t>
      </w:r>
      <w:r>
        <w:rPr>
          <w:rFonts w:ascii="Book Antiqua" w:hAnsi="Book Antiqua"/>
          <w:b/>
          <w:bCs/>
        </w:rPr>
        <w:t>89</w:t>
      </w:r>
      <w:r>
        <w:rPr>
          <w:rFonts w:ascii="Book Antiqua" w:hAnsi="Book Antiqua"/>
        </w:rPr>
        <w:t>: 179-191 [PMID: 25559776 DOI: 10.1007/s00204-014-1433-1]</w:t>
      </w:r>
    </w:p>
    <w:p w14:paraId="7CEB0079" w14:textId="77777777" w:rsidR="00680DB2" w:rsidRDefault="00000000">
      <w:pPr>
        <w:spacing w:line="360" w:lineRule="auto"/>
        <w:jc w:val="both"/>
        <w:rPr>
          <w:rFonts w:ascii="Book Antiqua" w:hAnsi="Book Antiqua"/>
        </w:rPr>
      </w:pPr>
      <w:r>
        <w:rPr>
          <w:rFonts w:ascii="Book Antiqua" w:hAnsi="Book Antiqua"/>
        </w:rPr>
        <w:lastRenderedPageBreak/>
        <w:t xml:space="preserve">20 </w:t>
      </w:r>
      <w:r>
        <w:rPr>
          <w:rFonts w:ascii="Book Antiqua" w:hAnsi="Book Antiqua"/>
          <w:b/>
          <w:bCs/>
        </w:rPr>
        <w:t>Wu C</w:t>
      </w:r>
      <w:r>
        <w:rPr>
          <w:rFonts w:ascii="Book Antiqua" w:hAnsi="Book Antiqua"/>
        </w:rPr>
        <w:t xml:space="preserve">, Zhu X, Liu W, Ruan T, Tao K. Hedgehog signaling pathway in colorectal cancer: function, mechanism, and therapy. </w:t>
      </w:r>
      <w:r>
        <w:rPr>
          <w:rFonts w:ascii="Book Antiqua" w:hAnsi="Book Antiqua"/>
          <w:i/>
          <w:iCs/>
        </w:rPr>
        <w:t>Onco Targets Ther</w:t>
      </w:r>
      <w:r>
        <w:rPr>
          <w:rFonts w:ascii="Book Antiqua" w:hAnsi="Book Antiqua"/>
        </w:rPr>
        <w:t xml:space="preserve"> 2017; </w:t>
      </w:r>
      <w:r>
        <w:rPr>
          <w:rFonts w:ascii="Book Antiqua" w:hAnsi="Book Antiqua"/>
          <w:b/>
          <w:bCs/>
        </w:rPr>
        <w:t>10</w:t>
      </w:r>
      <w:r>
        <w:rPr>
          <w:rFonts w:ascii="Book Antiqua" w:hAnsi="Book Antiqua"/>
        </w:rPr>
        <w:t>: 3249-3259 [PMID: 28721076 DOI: 10.2147/OTT.S139639]</w:t>
      </w:r>
    </w:p>
    <w:p w14:paraId="5E7E2CF3" w14:textId="77777777" w:rsidR="00680DB2"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BeLow M</w:t>
      </w:r>
      <w:r>
        <w:rPr>
          <w:rFonts w:ascii="Book Antiqua" w:hAnsi="Book Antiqua"/>
        </w:rPr>
        <w:t xml:space="preserve">, Osipo C. Notch Signaling in Breast Cancer: A Role in Drug Resistance.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33003540 DOI: 10.3390/cells9102204]</w:t>
      </w:r>
    </w:p>
    <w:p w14:paraId="298F3E05" w14:textId="77777777" w:rsidR="00680DB2"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Meisel CT</w:t>
      </w:r>
      <w:r>
        <w:rPr>
          <w:rFonts w:ascii="Book Antiqua" w:hAnsi="Book Antiqua"/>
        </w:rPr>
        <w:t xml:space="preserve">, Porcheri C, Mitsiadis TA. Cancer Stem Cells, Quo Vadis? The Notch Signaling Pathway in Tumor Initiation and Progression.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32796631 DOI: 10.3390/cells9081879]</w:t>
      </w:r>
    </w:p>
    <w:p w14:paraId="774B1430" w14:textId="77777777" w:rsidR="00680DB2"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Nami B</w:t>
      </w:r>
      <w:r>
        <w:rPr>
          <w:rFonts w:ascii="Book Antiqua" w:hAnsi="Book Antiqua"/>
        </w:rPr>
        <w:t xml:space="preserve">, Wang Z. HER2 in Breast Cancer Stemness: A Negative Feedback Loop towards Trastuzumab Resistance. </w:t>
      </w:r>
      <w:r>
        <w:rPr>
          <w:rFonts w:ascii="Book Antiqua" w:hAnsi="Book Antiqua"/>
          <w:i/>
          <w:iCs/>
        </w:rPr>
        <w:t>Cancers (Basel)</w:t>
      </w:r>
      <w:r>
        <w:rPr>
          <w:rFonts w:ascii="Book Antiqua" w:hAnsi="Book Antiqua"/>
        </w:rPr>
        <w:t xml:space="preserve"> 2017; </w:t>
      </w:r>
      <w:r>
        <w:rPr>
          <w:rFonts w:ascii="Book Antiqua" w:hAnsi="Book Antiqua"/>
          <w:b/>
          <w:bCs/>
        </w:rPr>
        <w:t>9</w:t>
      </w:r>
      <w:r>
        <w:rPr>
          <w:rFonts w:ascii="Book Antiqua" w:hAnsi="Book Antiqua"/>
        </w:rPr>
        <w:t xml:space="preserve"> [PMID: 28445439 DOI: 10.3390/cancers9050040]</w:t>
      </w:r>
    </w:p>
    <w:p w14:paraId="1652757E" w14:textId="77777777" w:rsidR="00680DB2"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Duchartre Y</w:t>
      </w:r>
      <w:r>
        <w:rPr>
          <w:rFonts w:ascii="Book Antiqua" w:hAnsi="Book Antiqua"/>
        </w:rPr>
        <w:t xml:space="preserve">, Kim YM, Kahn M. The Wnt signaling pathway in cancer. </w:t>
      </w:r>
      <w:r>
        <w:rPr>
          <w:rFonts w:ascii="Book Antiqua" w:hAnsi="Book Antiqua"/>
          <w:i/>
          <w:iCs/>
        </w:rPr>
        <w:t>Crit Rev Oncol Hematol</w:t>
      </w:r>
      <w:r>
        <w:rPr>
          <w:rFonts w:ascii="Book Antiqua" w:hAnsi="Book Antiqua"/>
        </w:rPr>
        <w:t xml:space="preserve"> 2016; </w:t>
      </w:r>
      <w:r>
        <w:rPr>
          <w:rFonts w:ascii="Book Antiqua" w:hAnsi="Book Antiqua"/>
          <w:b/>
          <w:bCs/>
        </w:rPr>
        <w:t>99</w:t>
      </w:r>
      <w:r>
        <w:rPr>
          <w:rFonts w:ascii="Book Antiqua" w:hAnsi="Book Antiqua"/>
        </w:rPr>
        <w:t>: 141-149 [PMID: 26775730 DOI: 10.1016/j.critrevonc.2015.12.005]</w:t>
      </w:r>
    </w:p>
    <w:p w14:paraId="74722695" w14:textId="77777777" w:rsidR="00680DB2"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Yan Y</w:t>
      </w:r>
      <w:r>
        <w:rPr>
          <w:rFonts w:ascii="Book Antiqua" w:hAnsi="Book Antiqua"/>
        </w:rPr>
        <w:t xml:space="preserve">, Liu F, Han L, Zhao L, Chen J, Olopade OI, He M, Wei M. HIF-2α promotes conversion to a stem cell phenotype and induces chemoresistance in breast cancer cells by activating Wnt and Notch pathways. </w:t>
      </w:r>
      <w:r>
        <w:rPr>
          <w:rFonts w:ascii="Book Antiqua" w:hAnsi="Book Antiqua"/>
          <w:i/>
          <w:iCs/>
        </w:rPr>
        <w:t>J Exp Clin Cancer Res</w:t>
      </w:r>
      <w:r>
        <w:rPr>
          <w:rFonts w:ascii="Book Antiqua" w:hAnsi="Book Antiqua"/>
        </w:rPr>
        <w:t xml:space="preserve"> 2018; </w:t>
      </w:r>
      <w:r>
        <w:rPr>
          <w:rFonts w:ascii="Book Antiqua" w:hAnsi="Book Antiqua"/>
          <w:b/>
          <w:bCs/>
        </w:rPr>
        <w:t>37</w:t>
      </w:r>
      <w:r>
        <w:rPr>
          <w:rFonts w:ascii="Book Antiqua" w:hAnsi="Book Antiqua"/>
        </w:rPr>
        <w:t>: 256 [PMID: 30340507 DOI: 10.1186/s13046-018-0925-x]</w:t>
      </w:r>
    </w:p>
    <w:p w14:paraId="5A3F0ABA" w14:textId="77777777" w:rsidR="00680DB2"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Najafzadeh B</w:t>
      </w:r>
      <w:r>
        <w:rPr>
          <w:rFonts w:ascii="Book Antiqua" w:hAnsi="Book Antiqua"/>
        </w:rPr>
        <w:t xml:space="preserve">, Asadzadeh Z, Motafakker Azad R, Mokhtarzadeh A, Baghbanzadeh A, Alemohammad H, Abdoli Shadbad M, Vasefifar P, Najafi S, Baradaran B. The oncogenic potential of NANOG: An important cancer induction mediator. </w:t>
      </w:r>
      <w:r>
        <w:rPr>
          <w:rFonts w:ascii="Book Antiqua" w:hAnsi="Book Antiqua"/>
          <w:i/>
          <w:iCs/>
        </w:rPr>
        <w:t>J Cell Physiol</w:t>
      </w:r>
      <w:r>
        <w:rPr>
          <w:rFonts w:ascii="Book Antiqua" w:hAnsi="Book Antiqua"/>
        </w:rPr>
        <w:t xml:space="preserve"> 2021; </w:t>
      </w:r>
      <w:r>
        <w:rPr>
          <w:rFonts w:ascii="Book Antiqua" w:hAnsi="Book Antiqua"/>
          <w:b/>
          <w:bCs/>
        </w:rPr>
        <w:t>236</w:t>
      </w:r>
      <w:r>
        <w:rPr>
          <w:rFonts w:ascii="Book Antiqua" w:hAnsi="Book Antiqua"/>
        </w:rPr>
        <w:t>: 2443-2458 [PMID: 32960465 DOI: 10.1002/jcp.30063]</w:t>
      </w:r>
    </w:p>
    <w:p w14:paraId="3F8B714A" w14:textId="77777777" w:rsidR="00680DB2"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Volmar MNM</w:t>
      </w:r>
      <w:r>
        <w:rPr>
          <w:rFonts w:ascii="Book Antiqua" w:hAnsi="Book Antiqua"/>
        </w:rPr>
        <w:t xml:space="preserve">, Cheng J, Alenezi H, Richter S, Haug A, Hassan Z, Goldberg M, Li Y, Hou M, Herold-Mende C, Maire CL, Lamszus K, Flüh C, Held-Feindt J, Gargiulo G, Topping GJ, Schilling F, Saur D, Schneider G, Synowitz M, Schick JA, Kälin RE, Glass R. Cannabidiol converts NF-κB into a tumor suppressor in glioblastoma with defined antioxidative properties. </w:t>
      </w:r>
      <w:r>
        <w:rPr>
          <w:rFonts w:ascii="Book Antiqua" w:hAnsi="Book Antiqua"/>
          <w:i/>
          <w:iCs/>
        </w:rPr>
        <w:t>Neuro Oncol</w:t>
      </w:r>
      <w:r>
        <w:rPr>
          <w:rFonts w:ascii="Book Antiqua" w:hAnsi="Book Antiqua"/>
        </w:rPr>
        <w:t xml:space="preserve"> 2021; </w:t>
      </w:r>
      <w:r>
        <w:rPr>
          <w:rFonts w:ascii="Book Antiqua" w:hAnsi="Book Antiqua"/>
          <w:b/>
          <w:bCs/>
        </w:rPr>
        <w:t>23</w:t>
      </w:r>
      <w:r>
        <w:rPr>
          <w:rFonts w:ascii="Book Antiqua" w:hAnsi="Book Antiqua"/>
        </w:rPr>
        <w:t>: 1898-1910 [PMID: 33864076 DOI: 10.1093/neuonc/noab095]</w:t>
      </w:r>
    </w:p>
    <w:p w14:paraId="6385F70D" w14:textId="77777777" w:rsidR="00680DB2"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Xu Y</w:t>
      </w:r>
      <w:r>
        <w:rPr>
          <w:rFonts w:ascii="Book Antiqua" w:hAnsi="Book Antiqua"/>
        </w:rPr>
        <w:t xml:space="preserve">, Afify SM, Du J, Liu B, Hassan G, Wang Q, Li H, Liu Y, Fu X, Zhu Z, Chen L, Seno M. The efficacy of PI3Kγ and EGFR inhibitors on the suppression of the </w:t>
      </w:r>
      <w:r>
        <w:rPr>
          <w:rFonts w:ascii="Book Antiqua" w:hAnsi="Book Antiqua"/>
        </w:rPr>
        <w:lastRenderedPageBreak/>
        <w:t xml:space="preserve">characteristics of cancer stem cells. </w:t>
      </w:r>
      <w:r>
        <w:rPr>
          <w:rFonts w:ascii="Book Antiqua" w:hAnsi="Book Antiqua"/>
          <w:i/>
          <w:iCs/>
        </w:rPr>
        <w:t>Sci Rep</w:t>
      </w:r>
      <w:r>
        <w:rPr>
          <w:rFonts w:ascii="Book Antiqua" w:hAnsi="Book Antiqua"/>
        </w:rPr>
        <w:t xml:space="preserve"> 2022; </w:t>
      </w:r>
      <w:r>
        <w:rPr>
          <w:rFonts w:ascii="Book Antiqua" w:hAnsi="Book Antiqua"/>
          <w:b/>
          <w:bCs/>
        </w:rPr>
        <w:t>12</w:t>
      </w:r>
      <w:r>
        <w:rPr>
          <w:rFonts w:ascii="Book Antiqua" w:hAnsi="Book Antiqua"/>
        </w:rPr>
        <w:t>: 347 [PMID: 35013447 DOI: 10.1038/s41598-021-04265-w]</w:t>
      </w:r>
    </w:p>
    <w:p w14:paraId="25639F64" w14:textId="77777777" w:rsidR="00680DB2"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Codd AS</w:t>
      </w:r>
      <w:r>
        <w:rPr>
          <w:rFonts w:ascii="Book Antiqua" w:hAnsi="Book Antiqua"/>
        </w:rPr>
        <w:t xml:space="preserve">, Kanaseki T, Torigo T, Tabi Z. Cancer stem cells as targets for immunotherapy. </w:t>
      </w:r>
      <w:r>
        <w:rPr>
          <w:rFonts w:ascii="Book Antiqua" w:hAnsi="Book Antiqua"/>
          <w:i/>
          <w:iCs/>
        </w:rPr>
        <w:t>Immunology</w:t>
      </w:r>
      <w:r>
        <w:rPr>
          <w:rFonts w:ascii="Book Antiqua" w:hAnsi="Book Antiqua"/>
        </w:rPr>
        <w:t xml:space="preserve"> 2018; </w:t>
      </w:r>
      <w:r>
        <w:rPr>
          <w:rFonts w:ascii="Book Antiqua" w:hAnsi="Book Antiqua"/>
          <w:b/>
          <w:bCs/>
        </w:rPr>
        <w:t>153</w:t>
      </w:r>
      <w:r>
        <w:rPr>
          <w:rFonts w:ascii="Book Antiqua" w:hAnsi="Book Antiqua"/>
        </w:rPr>
        <w:t>: 304-314 [PMID: 29150846 DOI: 10.1111/imm.12866]</w:t>
      </w:r>
    </w:p>
    <w:p w14:paraId="79E687DB" w14:textId="77777777" w:rsidR="00680DB2"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Yang L</w:t>
      </w:r>
      <w:r>
        <w:rPr>
          <w:rFonts w:ascii="Book Antiqua" w:hAnsi="Book Antiqua"/>
        </w:rPr>
        <w:t xml:space="preserve">, Shi P, Zhao G, Xu J, Peng W, Zhang J, Zhang G, Wang X, Dong Z, Chen F, Cui H. Targeting cancer stem cell pathways for cancer therapy. </w:t>
      </w:r>
      <w:r>
        <w:rPr>
          <w:rFonts w:ascii="Book Antiqua" w:hAnsi="Book Antiqua"/>
          <w:i/>
          <w:iCs/>
        </w:rPr>
        <w:t>Signal Transduct Target Ther</w:t>
      </w:r>
      <w:r>
        <w:rPr>
          <w:rFonts w:ascii="Book Antiqua" w:hAnsi="Book Antiqua"/>
        </w:rPr>
        <w:t xml:space="preserve"> 2020; </w:t>
      </w:r>
      <w:r>
        <w:rPr>
          <w:rFonts w:ascii="Book Antiqua" w:hAnsi="Book Antiqua"/>
          <w:b/>
          <w:bCs/>
        </w:rPr>
        <w:t>5</w:t>
      </w:r>
      <w:r>
        <w:rPr>
          <w:rFonts w:ascii="Book Antiqua" w:hAnsi="Book Antiqua"/>
        </w:rPr>
        <w:t>: 8 [PMID: 32296030 DOI: 10.1038/s41392-020-0110-5]</w:t>
      </w:r>
    </w:p>
    <w:p w14:paraId="1BF6D62B" w14:textId="77777777" w:rsidR="00680DB2"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Kanaoujiya R</w:t>
      </w:r>
      <w:r>
        <w:rPr>
          <w:rFonts w:ascii="Book Antiqua" w:hAnsi="Book Antiqua"/>
        </w:rPr>
        <w:t xml:space="preserve">, Porwal D, Srivastava S. Applications of nanomaterials for gastrointestinal tumors: A review. </w:t>
      </w:r>
      <w:r>
        <w:rPr>
          <w:rFonts w:ascii="Book Antiqua" w:hAnsi="Book Antiqua"/>
          <w:i/>
          <w:iCs/>
        </w:rPr>
        <w:t>Front Med Technol</w:t>
      </w:r>
      <w:r>
        <w:rPr>
          <w:rFonts w:ascii="Book Antiqua" w:hAnsi="Book Antiqua"/>
        </w:rPr>
        <w:t xml:space="preserve"> 2022; </w:t>
      </w:r>
      <w:r>
        <w:rPr>
          <w:rFonts w:ascii="Book Antiqua" w:hAnsi="Book Antiqua"/>
          <w:b/>
          <w:bCs/>
        </w:rPr>
        <w:t>4</w:t>
      </w:r>
      <w:r>
        <w:rPr>
          <w:rFonts w:ascii="Book Antiqua" w:hAnsi="Book Antiqua"/>
        </w:rPr>
        <w:t>: 997123 [PMID: 36119898 DOI: 10.3389/fmedt.2022.997123]</w:t>
      </w:r>
    </w:p>
    <w:p w14:paraId="678301F7" w14:textId="77777777" w:rsidR="00680DB2"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Kumari A</w:t>
      </w:r>
      <w:r>
        <w:rPr>
          <w:rFonts w:ascii="Book Antiqua" w:hAnsi="Book Antiqua"/>
        </w:rPr>
        <w:t xml:space="preserve">, Yadav SK, Yadav SC. Biodegradable polymeric nanoparticles based drug delivery systems. </w:t>
      </w:r>
      <w:r>
        <w:rPr>
          <w:rFonts w:ascii="Book Antiqua" w:hAnsi="Book Antiqua"/>
          <w:i/>
          <w:iCs/>
        </w:rPr>
        <w:t>Colloids Surf B Biointerfaces</w:t>
      </w:r>
      <w:r>
        <w:rPr>
          <w:rFonts w:ascii="Book Antiqua" w:hAnsi="Book Antiqua"/>
        </w:rPr>
        <w:t xml:space="preserve"> 2010; </w:t>
      </w:r>
      <w:r>
        <w:rPr>
          <w:rFonts w:ascii="Book Antiqua" w:hAnsi="Book Antiqua"/>
          <w:b/>
          <w:bCs/>
        </w:rPr>
        <w:t>75</w:t>
      </w:r>
      <w:r>
        <w:rPr>
          <w:rFonts w:ascii="Book Antiqua" w:hAnsi="Book Antiqua"/>
        </w:rPr>
        <w:t>: 1-18 [PMID: 19782542 DOI: 10.1016/j.colsurfb.2009.09.001]</w:t>
      </w:r>
    </w:p>
    <w:p w14:paraId="27EF5279" w14:textId="77777777" w:rsidR="00680DB2"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Harun NA</w:t>
      </w:r>
      <w:r>
        <w:rPr>
          <w:rFonts w:ascii="Book Antiqua" w:hAnsi="Book Antiqua"/>
        </w:rPr>
        <w:t xml:space="preserve">, Benning MJ, Horrocks BR, Fulton DA. Gold nanoparticle-enhanced luminescence of silicon quantum dots co-encapsulated in polymer nanoparticles. </w:t>
      </w:r>
      <w:r>
        <w:rPr>
          <w:rFonts w:ascii="Book Antiqua" w:hAnsi="Book Antiqua"/>
          <w:i/>
          <w:iCs/>
        </w:rPr>
        <w:t>Nanoscale</w:t>
      </w:r>
      <w:r>
        <w:rPr>
          <w:rFonts w:ascii="Book Antiqua" w:hAnsi="Book Antiqua"/>
        </w:rPr>
        <w:t xml:space="preserve"> 2013; </w:t>
      </w:r>
      <w:r>
        <w:rPr>
          <w:rFonts w:ascii="Book Antiqua" w:hAnsi="Book Antiqua"/>
          <w:b/>
          <w:bCs/>
        </w:rPr>
        <w:t>5</w:t>
      </w:r>
      <w:r>
        <w:rPr>
          <w:rFonts w:ascii="Book Antiqua" w:hAnsi="Book Antiqua"/>
        </w:rPr>
        <w:t>: 3817-3827 [PMID: 23519376 DOI: 10.1039/c3nr00421j]</w:t>
      </w:r>
    </w:p>
    <w:p w14:paraId="233BBB75" w14:textId="77777777" w:rsidR="00680DB2"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Zhang H</w:t>
      </w:r>
      <w:r>
        <w:rPr>
          <w:rFonts w:ascii="Book Antiqua" w:hAnsi="Book Antiqua"/>
        </w:rPr>
        <w:t xml:space="preserve">, Lv J, Jia Z. Efficient Fluorescence Resonance Energy Transfer between Quantum Dots and Gold Nanoparticles Based on Porous Silicon Photonic Crystal for DNA Detection. </w:t>
      </w:r>
      <w:r>
        <w:rPr>
          <w:rFonts w:ascii="Book Antiqua" w:hAnsi="Book Antiqua"/>
          <w:i/>
          <w:iCs/>
        </w:rPr>
        <w:t>Sensors (Basel)</w:t>
      </w:r>
      <w:r>
        <w:rPr>
          <w:rFonts w:ascii="Book Antiqua" w:hAnsi="Book Antiqua"/>
        </w:rPr>
        <w:t xml:space="preserve"> 2017; </w:t>
      </w:r>
      <w:r>
        <w:rPr>
          <w:rFonts w:ascii="Book Antiqua" w:hAnsi="Book Antiqua"/>
          <w:b/>
          <w:bCs/>
        </w:rPr>
        <w:t>17</w:t>
      </w:r>
      <w:r>
        <w:rPr>
          <w:rFonts w:ascii="Book Antiqua" w:hAnsi="Book Antiqua"/>
        </w:rPr>
        <w:t xml:space="preserve"> [PMID: 28489033 DOI: 10.3390/s17051078]</w:t>
      </w:r>
    </w:p>
    <w:p w14:paraId="459346A1" w14:textId="77777777" w:rsidR="00680DB2"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Zhang L</w:t>
      </w:r>
      <w:r>
        <w:rPr>
          <w:rFonts w:ascii="Book Antiqua" w:hAnsi="Book Antiqua"/>
        </w:rPr>
        <w:t xml:space="preserve">, Zhai BZ, Wu YJ, Wang Y. Recent progress in the development of nanomaterials targeting multiple cancer metabolic pathways: a review of mechanistic approaches for cancer treatment. </w:t>
      </w:r>
      <w:r>
        <w:rPr>
          <w:rFonts w:ascii="Book Antiqua" w:hAnsi="Book Antiqua"/>
          <w:i/>
          <w:iCs/>
        </w:rPr>
        <w:t>Drug Deliv</w:t>
      </w:r>
      <w:r>
        <w:rPr>
          <w:rFonts w:ascii="Book Antiqua" w:hAnsi="Book Antiqua"/>
        </w:rPr>
        <w:t xml:space="preserve"> 2023; </w:t>
      </w:r>
      <w:r>
        <w:rPr>
          <w:rFonts w:ascii="Book Antiqua" w:hAnsi="Book Antiqua"/>
          <w:b/>
          <w:bCs/>
        </w:rPr>
        <w:t>30</w:t>
      </w:r>
      <w:r>
        <w:rPr>
          <w:rFonts w:ascii="Book Antiqua" w:hAnsi="Book Antiqua"/>
        </w:rPr>
        <w:t>: 1-18 [PMID: 36597205 DOI: 10.1080/10717544.2022.2144541]</w:t>
      </w:r>
    </w:p>
    <w:p w14:paraId="3E096122" w14:textId="77777777" w:rsidR="00680DB2"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Bharti S</w:t>
      </w:r>
      <w:bookmarkStart w:id="44" w:name="OLE_LINK5599"/>
      <w:bookmarkStart w:id="45" w:name="OLE_LINK5600"/>
      <w:r>
        <w:rPr>
          <w:rFonts w:ascii="Book Antiqua" w:hAnsi="Book Antiqua"/>
        </w:rPr>
        <w:t>,</w:t>
      </w:r>
      <w:bookmarkEnd w:id="44"/>
      <w:bookmarkEnd w:id="45"/>
      <w:r>
        <w:rPr>
          <w:rFonts w:ascii="Book Antiqua" w:hAnsi="Book Antiqua"/>
        </w:rPr>
        <w:t xml:space="preserve"> Anant PS, Kumar A. Nanotechnology in stem cell research and therapy. </w:t>
      </w:r>
      <w:r>
        <w:rPr>
          <w:rFonts w:ascii="Book Antiqua" w:hAnsi="Book Antiqua"/>
          <w:i/>
          <w:iCs/>
        </w:rPr>
        <w:t>J Nanopart Res</w:t>
      </w:r>
      <w:r>
        <w:rPr>
          <w:rFonts w:ascii="Book Antiqua" w:hAnsi="Book Antiqua"/>
        </w:rPr>
        <w:t xml:space="preserve"> 2023; </w:t>
      </w:r>
      <w:r>
        <w:rPr>
          <w:rFonts w:ascii="Book Antiqua" w:hAnsi="Book Antiqua"/>
          <w:b/>
          <w:bCs/>
        </w:rPr>
        <w:t>25</w:t>
      </w:r>
      <w:r>
        <w:rPr>
          <w:rFonts w:ascii="Book Antiqua" w:hAnsi="Book Antiqua"/>
        </w:rPr>
        <w:t>: 6 [DOI: 10.1007/s11051-022-05654-6]</w:t>
      </w:r>
    </w:p>
    <w:p w14:paraId="08E03C9B" w14:textId="77777777" w:rsidR="00680DB2"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Su Z</w:t>
      </w:r>
      <w:r>
        <w:rPr>
          <w:rFonts w:ascii="Book Antiqua" w:hAnsi="Book Antiqua"/>
        </w:rPr>
        <w:t xml:space="preserve">, Dong S, Zhao SC, Liu K, Tan Y, Jiang X, Assaraf YG, Qin B, Chen ZS, Zou C. Novel nanomedicines to overcome cancer multidrug resistance. </w:t>
      </w:r>
      <w:r>
        <w:rPr>
          <w:rFonts w:ascii="Book Antiqua" w:hAnsi="Book Antiqua"/>
          <w:i/>
          <w:iCs/>
        </w:rPr>
        <w:t>Drug Resist Updat</w:t>
      </w:r>
      <w:r>
        <w:rPr>
          <w:rFonts w:ascii="Book Antiqua" w:hAnsi="Book Antiqua"/>
        </w:rPr>
        <w:t xml:space="preserve"> 2021; </w:t>
      </w:r>
      <w:r>
        <w:rPr>
          <w:rFonts w:ascii="Book Antiqua" w:hAnsi="Book Antiqua"/>
          <w:b/>
          <w:bCs/>
        </w:rPr>
        <w:t>58</w:t>
      </w:r>
      <w:r>
        <w:rPr>
          <w:rFonts w:ascii="Book Antiqua" w:hAnsi="Book Antiqua"/>
        </w:rPr>
        <w:t>: 100777 [PMID: 34481195 DOI: 10.1016/j.drup.2021.100777]</w:t>
      </w:r>
    </w:p>
    <w:p w14:paraId="1D81C553" w14:textId="77777777" w:rsidR="00680DB2" w:rsidRDefault="00000000">
      <w:pPr>
        <w:spacing w:line="360" w:lineRule="auto"/>
        <w:jc w:val="both"/>
        <w:rPr>
          <w:rFonts w:ascii="Book Antiqua" w:hAnsi="Book Antiqua"/>
        </w:rPr>
      </w:pPr>
      <w:r>
        <w:rPr>
          <w:rFonts w:ascii="Book Antiqua" w:hAnsi="Book Antiqua"/>
        </w:rPr>
        <w:lastRenderedPageBreak/>
        <w:t xml:space="preserve">38 </w:t>
      </w:r>
      <w:r>
        <w:rPr>
          <w:rFonts w:ascii="Book Antiqua" w:hAnsi="Book Antiqua"/>
          <w:b/>
          <w:bCs/>
        </w:rPr>
        <w:t>Chaturvedi VK</w:t>
      </w:r>
      <w:r>
        <w:rPr>
          <w:rFonts w:ascii="Book Antiqua" w:hAnsi="Book Antiqua"/>
        </w:rPr>
        <w:t xml:space="preserve">, Singh A, Singh VK, Singh MP. Cancer Nanotechnology: A New Revolution for Cancer Diagnosis and Therapy. </w:t>
      </w:r>
      <w:r>
        <w:rPr>
          <w:rFonts w:ascii="Book Antiqua" w:hAnsi="Book Antiqua"/>
          <w:i/>
          <w:iCs/>
        </w:rPr>
        <w:t>Curr Drug Metab</w:t>
      </w:r>
      <w:r>
        <w:rPr>
          <w:rFonts w:ascii="Book Antiqua" w:hAnsi="Book Antiqua"/>
        </w:rPr>
        <w:t xml:space="preserve"> 2019; </w:t>
      </w:r>
      <w:r>
        <w:rPr>
          <w:rFonts w:ascii="Book Antiqua" w:hAnsi="Book Antiqua"/>
          <w:b/>
          <w:bCs/>
        </w:rPr>
        <w:t>20</w:t>
      </w:r>
      <w:r>
        <w:rPr>
          <w:rFonts w:ascii="Book Antiqua" w:hAnsi="Book Antiqua"/>
        </w:rPr>
        <w:t>: 416-429 [PMID: 30227814 DOI: 10.2174/1389200219666180918111528]</w:t>
      </w:r>
    </w:p>
    <w:p w14:paraId="167BD1C7" w14:textId="77777777" w:rsidR="00680DB2"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Ali ES</w:t>
      </w:r>
      <w:r>
        <w:rPr>
          <w:rFonts w:ascii="Book Antiqua" w:hAnsi="Book Antiqua"/>
        </w:rPr>
        <w:t xml:space="preserve">, Sharker SM, Islam MT, Khan IN, Shaw S, Rahman MA, Uddin SJ, Shill MC, Rehman S, Das N, Ahmad S, Shilpi JA, Tripathi S, Mishra SK, Mubarak MS. Targeting cancer cells with nanotherapeutics and nanodiagnostics: Current status and future perspectives. </w:t>
      </w:r>
      <w:r>
        <w:rPr>
          <w:rFonts w:ascii="Book Antiqua" w:hAnsi="Book Antiqua"/>
          <w:i/>
          <w:iCs/>
        </w:rPr>
        <w:t>Semin Cancer Biol</w:t>
      </w:r>
      <w:r>
        <w:rPr>
          <w:rFonts w:ascii="Book Antiqua" w:hAnsi="Book Antiqua"/>
        </w:rPr>
        <w:t xml:space="preserve"> 2021; </w:t>
      </w:r>
      <w:r>
        <w:rPr>
          <w:rFonts w:ascii="Book Antiqua" w:hAnsi="Book Antiqua"/>
          <w:b/>
          <w:bCs/>
        </w:rPr>
        <w:t>69</w:t>
      </w:r>
      <w:r>
        <w:rPr>
          <w:rFonts w:ascii="Book Antiqua" w:hAnsi="Book Antiqua"/>
        </w:rPr>
        <w:t>: 52-68 [PMID: 32014609 DOI: 10.1016/j.semcancer.2020.01.011]</w:t>
      </w:r>
    </w:p>
    <w:p w14:paraId="272B83DB" w14:textId="77777777" w:rsidR="00680DB2"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Ponta H</w:t>
      </w:r>
      <w:r>
        <w:rPr>
          <w:rFonts w:ascii="Book Antiqua" w:hAnsi="Book Antiqua"/>
        </w:rPr>
        <w:t xml:space="preserve">, Sherman L, Herrlich PA. CD44: from adhesion molecules to signalling regulators. </w:t>
      </w:r>
      <w:r>
        <w:rPr>
          <w:rFonts w:ascii="Book Antiqua" w:hAnsi="Book Antiqua"/>
          <w:i/>
          <w:iCs/>
        </w:rPr>
        <w:t>Nat Rev Mol Cell Biol</w:t>
      </w:r>
      <w:r>
        <w:rPr>
          <w:rFonts w:ascii="Book Antiqua" w:hAnsi="Book Antiqua"/>
        </w:rPr>
        <w:t xml:space="preserve"> 2003; </w:t>
      </w:r>
      <w:r>
        <w:rPr>
          <w:rFonts w:ascii="Book Antiqua" w:hAnsi="Book Antiqua"/>
          <w:b/>
          <w:bCs/>
        </w:rPr>
        <w:t>4</w:t>
      </w:r>
      <w:r>
        <w:rPr>
          <w:rFonts w:ascii="Book Antiqua" w:hAnsi="Book Antiqua"/>
        </w:rPr>
        <w:t>: 33-45 [PMID: 12511867 DOI: 10.1038/nrm1004]</w:t>
      </w:r>
    </w:p>
    <w:p w14:paraId="4B6E23C0" w14:textId="77777777" w:rsidR="00680DB2"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Zöller M</w:t>
      </w:r>
      <w:r>
        <w:rPr>
          <w:rFonts w:ascii="Book Antiqua" w:hAnsi="Book Antiqua"/>
        </w:rPr>
        <w:t xml:space="preserve">. CD44: can a cancer-initiating cell profit from an abundantly expressed molecule? </w:t>
      </w:r>
      <w:r>
        <w:rPr>
          <w:rFonts w:ascii="Book Antiqua" w:hAnsi="Book Antiqua"/>
          <w:i/>
          <w:iCs/>
        </w:rPr>
        <w:t>Nat Rev Cancer</w:t>
      </w:r>
      <w:r>
        <w:rPr>
          <w:rFonts w:ascii="Book Antiqua" w:hAnsi="Book Antiqua"/>
        </w:rPr>
        <w:t xml:space="preserve"> 2011; </w:t>
      </w:r>
      <w:r>
        <w:rPr>
          <w:rFonts w:ascii="Book Antiqua" w:hAnsi="Book Antiqua"/>
          <w:b/>
          <w:bCs/>
        </w:rPr>
        <w:t>11</w:t>
      </w:r>
      <w:r>
        <w:rPr>
          <w:rFonts w:ascii="Book Antiqua" w:hAnsi="Book Antiqua"/>
        </w:rPr>
        <w:t>: 254-267 [PMID: 21390059 DOI: 10.1038/nrc3023]</w:t>
      </w:r>
    </w:p>
    <w:p w14:paraId="5B5E699F" w14:textId="77777777" w:rsidR="00680DB2"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Kesharwani P</w:t>
      </w:r>
      <w:r>
        <w:rPr>
          <w:rFonts w:ascii="Book Antiqua" w:hAnsi="Book Antiqua"/>
        </w:rPr>
        <w:t xml:space="preserve">, Banerjee S, Padhye S, Sarkar FH, Iyer AK. Hyaluronic Acid Engineered Nanomicelles Loaded with 3,4-Difluorobenzylidene Curcumin for Targeted Killing of CD44+ Stem-Like Pancreatic Cancer Cells. </w:t>
      </w:r>
      <w:r>
        <w:rPr>
          <w:rFonts w:ascii="Book Antiqua" w:hAnsi="Book Antiqua"/>
          <w:i/>
          <w:iCs/>
        </w:rPr>
        <w:t>Biomacromolecules</w:t>
      </w:r>
      <w:r>
        <w:rPr>
          <w:rFonts w:ascii="Book Antiqua" w:hAnsi="Book Antiqua"/>
        </w:rPr>
        <w:t xml:space="preserve"> 2015; </w:t>
      </w:r>
      <w:r>
        <w:rPr>
          <w:rFonts w:ascii="Book Antiqua" w:hAnsi="Book Antiqua"/>
          <w:b/>
          <w:bCs/>
        </w:rPr>
        <w:t>16</w:t>
      </w:r>
      <w:r>
        <w:rPr>
          <w:rFonts w:ascii="Book Antiqua" w:hAnsi="Book Antiqua"/>
        </w:rPr>
        <w:t>: 3042-3053 [PMID: 26302089 DOI: 10.1021/acs.biomac.5b00941]</w:t>
      </w:r>
    </w:p>
    <w:p w14:paraId="5006CFAE" w14:textId="77777777" w:rsidR="00680DB2"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Debele TA</w:t>
      </w:r>
      <w:r>
        <w:rPr>
          <w:rFonts w:ascii="Book Antiqua" w:hAnsi="Book Antiqua"/>
        </w:rPr>
        <w:t xml:space="preserve">, Yu LY, Yang CS, Shen YA, Lo CL. pH- and GSH-Sensitive Hyaluronic Acid-MP Conjugate Micelles for Intracellular Delivery of Doxorubicin to Colon Cancer Cells and Cancer Stem Cells. </w:t>
      </w:r>
      <w:r>
        <w:rPr>
          <w:rFonts w:ascii="Book Antiqua" w:hAnsi="Book Antiqua"/>
          <w:i/>
          <w:iCs/>
        </w:rPr>
        <w:t>Biomacromolecules</w:t>
      </w:r>
      <w:r>
        <w:rPr>
          <w:rFonts w:ascii="Book Antiqua" w:hAnsi="Book Antiqua"/>
        </w:rPr>
        <w:t xml:space="preserve"> 2018; </w:t>
      </w:r>
      <w:r>
        <w:rPr>
          <w:rFonts w:ascii="Book Antiqua" w:hAnsi="Book Antiqua"/>
          <w:b/>
          <w:bCs/>
        </w:rPr>
        <w:t>19</w:t>
      </w:r>
      <w:r>
        <w:rPr>
          <w:rFonts w:ascii="Book Antiqua" w:hAnsi="Book Antiqua"/>
        </w:rPr>
        <w:t>: 3725-3737 [PMID: 30044910 DOI: 10.1021/acs.biomac.8b00856]</w:t>
      </w:r>
    </w:p>
    <w:p w14:paraId="305A14AA" w14:textId="77777777" w:rsidR="00680DB2"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Gu HF</w:t>
      </w:r>
      <w:r>
        <w:rPr>
          <w:rFonts w:ascii="Book Antiqua" w:hAnsi="Book Antiqua"/>
        </w:rPr>
        <w:t xml:space="preserve">, Ren F, Mao XY, Du M. Mineralized and GSH-responsive hyaluronic acid based nano-carriers for potentiating repressive effects of sulforaphane on breast cancer stem cells-like properties. </w:t>
      </w:r>
      <w:r>
        <w:rPr>
          <w:rFonts w:ascii="Book Antiqua" w:hAnsi="Book Antiqua"/>
          <w:i/>
          <w:iCs/>
        </w:rPr>
        <w:t>Carbohydr Polym</w:t>
      </w:r>
      <w:r>
        <w:rPr>
          <w:rFonts w:ascii="Book Antiqua" w:hAnsi="Book Antiqua"/>
        </w:rPr>
        <w:t xml:space="preserve"> 2021; </w:t>
      </w:r>
      <w:r>
        <w:rPr>
          <w:rFonts w:ascii="Book Antiqua" w:hAnsi="Book Antiqua"/>
          <w:b/>
          <w:bCs/>
        </w:rPr>
        <w:t>269</w:t>
      </w:r>
      <w:r>
        <w:rPr>
          <w:rFonts w:ascii="Book Antiqua" w:hAnsi="Book Antiqua"/>
        </w:rPr>
        <w:t>: 118294 [PMID: 34294320 DOI: 10.1016/j.carbpol.2021.118294]</w:t>
      </w:r>
    </w:p>
    <w:p w14:paraId="0AD7780E" w14:textId="77777777" w:rsidR="00680DB2"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Su Z</w:t>
      </w:r>
      <w:r>
        <w:rPr>
          <w:rFonts w:ascii="Book Antiqua" w:hAnsi="Book Antiqua"/>
        </w:rPr>
        <w:t xml:space="preserve">, Liu D, Chen L, Zhang J, Ru L, Chen Z, Gao Z, Wang X. CD44-Targeted Magnetic Nanoparticles Kill Head And Neck Squamous Cell Carcinoma Stem Cells In An Alternating Magnetic Field. </w:t>
      </w:r>
      <w:r>
        <w:rPr>
          <w:rFonts w:ascii="Book Antiqua" w:hAnsi="Book Antiqua"/>
          <w:i/>
          <w:iCs/>
        </w:rPr>
        <w:t>Int J Nanomedicine</w:t>
      </w:r>
      <w:r>
        <w:rPr>
          <w:rFonts w:ascii="Book Antiqua" w:hAnsi="Book Antiqua"/>
        </w:rPr>
        <w:t xml:space="preserve"> 2019; </w:t>
      </w:r>
      <w:r>
        <w:rPr>
          <w:rFonts w:ascii="Book Antiqua" w:hAnsi="Book Antiqua"/>
          <w:b/>
          <w:bCs/>
        </w:rPr>
        <w:t>14</w:t>
      </w:r>
      <w:r>
        <w:rPr>
          <w:rFonts w:ascii="Book Antiqua" w:hAnsi="Book Antiqua"/>
        </w:rPr>
        <w:t>: 7549-7560 [PMID: 31571863 DOI: 10.2147/IJN.S215087]</w:t>
      </w:r>
    </w:p>
    <w:p w14:paraId="072570B4" w14:textId="77777777" w:rsidR="00680DB2"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Kim WT</w:t>
      </w:r>
      <w:r>
        <w:rPr>
          <w:rFonts w:ascii="Book Antiqua" w:hAnsi="Book Antiqua"/>
        </w:rPr>
        <w:t xml:space="preserve">, Ryu CJ. Cancer stem cell surface markers on normal stem cells. </w:t>
      </w:r>
      <w:r>
        <w:rPr>
          <w:rFonts w:ascii="Book Antiqua" w:hAnsi="Book Antiqua"/>
          <w:i/>
          <w:iCs/>
        </w:rPr>
        <w:t>BMB Rep</w:t>
      </w:r>
      <w:r>
        <w:rPr>
          <w:rFonts w:ascii="Book Antiqua" w:hAnsi="Book Antiqua"/>
        </w:rPr>
        <w:t xml:space="preserve"> 2017; </w:t>
      </w:r>
      <w:r>
        <w:rPr>
          <w:rFonts w:ascii="Book Antiqua" w:hAnsi="Book Antiqua"/>
          <w:b/>
          <w:bCs/>
        </w:rPr>
        <w:t>50</w:t>
      </w:r>
      <w:r>
        <w:rPr>
          <w:rFonts w:ascii="Book Antiqua" w:hAnsi="Book Antiqua"/>
        </w:rPr>
        <w:t>: 285-298 [PMID: 28270302 DOI: 10.5483/bmbrep.2017.50.6.039]</w:t>
      </w:r>
    </w:p>
    <w:p w14:paraId="42616509" w14:textId="77777777" w:rsidR="00680DB2" w:rsidRDefault="00000000">
      <w:pPr>
        <w:spacing w:line="360" w:lineRule="auto"/>
        <w:jc w:val="both"/>
        <w:rPr>
          <w:rFonts w:ascii="Book Antiqua" w:hAnsi="Book Antiqua"/>
        </w:rPr>
      </w:pPr>
      <w:r>
        <w:rPr>
          <w:rFonts w:ascii="Book Antiqua" w:hAnsi="Book Antiqua"/>
        </w:rPr>
        <w:lastRenderedPageBreak/>
        <w:t xml:space="preserve">47 </w:t>
      </w:r>
      <w:r>
        <w:rPr>
          <w:rFonts w:ascii="Book Antiqua" w:hAnsi="Book Antiqua"/>
          <w:b/>
          <w:bCs/>
        </w:rPr>
        <w:t>Ning ST</w:t>
      </w:r>
      <w:r>
        <w:rPr>
          <w:rFonts w:ascii="Book Antiqua" w:hAnsi="Book Antiqua"/>
        </w:rPr>
        <w:t xml:space="preserve">, Lee SY, Wei MF, Peng CL, Lin SY, Tsai MH, Lee PC, Shih YH, Lin CY, Luo TY, Shieh MJ. Targeting Colorectal Cancer Stem-Like Cells with Anti-CD133 Antibody-Conjugated SN-38 Nanoparticles. </w:t>
      </w:r>
      <w:r>
        <w:rPr>
          <w:rFonts w:ascii="Book Antiqua" w:hAnsi="Book Antiqua"/>
          <w:i/>
          <w:iCs/>
        </w:rPr>
        <w:t>ACS Appl Mater Interfaces</w:t>
      </w:r>
      <w:r>
        <w:rPr>
          <w:rFonts w:ascii="Book Antiqua" w:hAnsi="Book Antiqua"/>
        </w:rPr>
        <w:t xml:space="preserve"> 2016; </w:t>
      </w:r>
      <w:r>
        <w:rPr>
          <w:rFonts w:ascii="Book Antiqua" w:hAnsi="Book Antiqua"/>
          <w:b/>
          <w:bCs/>
        </w:rPr>
        <w:t>8</w:t>
      </w:r>
      <w:r>
        <w:rPr>
          <w:rFonts w:ascii="Book Antiqua" w:hAnsi="Book Antiqua"/>
        </w:rPr>
        <w:t>: 17793-17804 [PMID: 27348241 DOI: 10.1021/acsami.6b04403]</w:t>
      </w:r>
    </w:p>
    <w:p w14:paraId="2D6DD43A" w14:textId="77777777" w:rsidR="00680DB2"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Li Y</w:t>
      </w:r>
      <w:r>
        <w:rPr>
          <w:rFonts w:ascii="Book Antiqua" w:hAnsi="Book Antiqua"/>
        </w:rPr>
        <w:t xml:space="preserve">, Xiao Y, Lin HP, Reichel D, Bae Y, Lee EY, Jiang Y, Huang X, Yang C, Wang Z. In vivo β-catenin attenuation by the integrin α5-targeting nano-delivery strategy suppresses triple negative breast cancer stemness and metastasis. </w:t>
      </w:r>
      <w:r>
        <w:rPr>
          <w:rFonts w:ascii="Book Antiqua" w:hAnsi="Book Antiqua"/>
          <w:i/>
          <w:iCs/>
        </w:rPr>
        <w:t>Biomaterials</w:t>
      </w:r>
      <w:r>
        <w:rPr>
          <w:rFonts w:ascii="Book Antiqua" w:hAnsi="Book Antiqua"/>
        </w:rPr>
        <w:t xml:space="preserve"> 2019; </w:t>
      </w:r>
      <w:r>
        <w:rPr>
          <w:rFonts w:ascii="Book Antiqua" w:hAnsi="Book Antiqua"/>
          <w:b/>
          <w:bCs/>
        </w:rPr>
        <w:t>188</w:t>
      </w:r>
      <w:r>
        <w:rPr>
          <w:rFonts w:ascii="Book Antiqua" w:hAnsi="Book Antiqua"/>
        </w:rPr>
        <w:t>: 160-172 [PMID: 30352320 DOI: 10.1016/j.biomaterials.2018.10.019]</w:t>
      </w:r>
    </w:p>
    <w:p w14:paraId="69737342" w14:textId="77777777" w:rsidR="00680DB2"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Wang Z</w:t>
      </w:r>
      <w:r>
        <w:rPr>
          <w:rFonts w:ascii="Book Antiqua" w:hAnsi="Book Antiqua"/>
        </w:rPr>
        <w:t xml:space="preserve">, Sun M, Li W, Fan L, Zhou Y, Hu Z. A Novel CD133- and EpCAM-Targeted Liposome With Redox-Responsive Properties Capable of Synergistically Eliminating Liver Cancer Stem Cells. </w:t>
      </w:r>
      <w:r>
        <w:rPr>
          <w:rFonts w:ascii="Book Antiqua" w:hAnsi="Book Antiqua"/>
          <w:i/>
          <w:iCs/>
        </w:rPr>
        <w:t>Front Chem</w:t>
      </w:r>
      <w:r>
        <w:rPr>
          <w:rFonts w:ascii="Book Antiqua" w:hAnsi="Book Antiqua"/>
        </w:rPr>
        <w:t xml:space="preserve"> 2020; </w:t>
      </w:r>
      <w:r>
        <w:rPr>
          <w:rFonts w:ascii="Book Antiqua" w:hAnsi="Book Antiqua"/>
          <w:b/>
          <w:bCs/>
        </w:rPr>
        <w:t>8</w:t>
      </w:r>
      <w:r>
        <w:rPr>
          <w:rFonts w:ascii="Book Antiqua" w:hAnsi="Book Antiqua"/>
        </w:rPr>
        <w:t>: 649 [PMID: 32850663 DOI: 10.3389/fchem.2020.00649]</w:t>
      </w:r>
    </w:p>
    <w:p w14:paraId="0D19A20B" w14:textId="77777777" w:rsidR="00680DB2" w:rsidRDefault="00000000">
      <w:pPr>
        <w:spacing w:line="360" w:lineRule="auto"/>
        <w:jc w:val="both"/>
        <w:rPr>
          <w:rFonts w:ascii="Book Antiqua" w:hAnsi="Book Antiqua"/>
        </w:rPr>
      </w:pPr>
      <w:r>
        <w:rPr>
          <w:rFonts w:ascii="Book Antiqua" w:hAnsi="Book Antiqua"/>
        </w:rPr>
        <w:t xml:space="preserve">50 </w:t>
      </w:r>
      <w:r>
        <w:rPr>
          <w:rFonts w:ascii="Book Antiqua" w:hAnsi="Book Antiqua"/>
          <w:b/>
          <w:bCs/>
        </w:rPr>
        <w:t>Chenna V</w:t>
      </w:r>
      <w:r>
        <w:rPr>
          <w:rFonts w:ascii="Book Antiqua" w:hAnsi="Book Antiqua"/>
        </w:rPr>
        <w:t xml:space="preserve">, Hu C, Pramanik D, Aftab BT, Karikari C, Campbell NR, Hong SM, Zhao M, Rudek MA, Khan SR, Rudin CM, Maitra A. A polymeric nanoparticle encapsulated small-molecule inhibitor of Hedgehog signaling (NanoHHI) bypasses secondary mutational resistance to Smoothened antagonists. </w:t>
      </w:r>
      <w:r>
        <w:rPr>
          <w:rFonts w:ascii="Book Antiqua" w:hAnsi="Book Antiqua"/>
          <w:i/>
          <w:iCs/>
        </w:rPr>
        <w:t>Mol Cancer Ther</w:t>
      </w:r>
      <w:r>
        <w:rPr>
          <w:rFonts w:ascii="Book Antiqua" w:hAnsi="Book Antiqua"/>
        </w:rPr>
        <w:t xml:space="preserve"> 2012; </w:t>
      </w:r>
      <w:r>
        <w:rPr>
          <w:rFonts w:ascii="Book Antiqua" w:hAnsi="Book Antiqua"/>
          <w:b/>
          <w:bCs/>
        </w:rPr>
        <w:t>11</w:t>
      </w:r>
      <w:r>
        <w:rPr>
          <w:rFonts w:ascii="Book Antiqua" w:hAnsi="Book Antiqua"/>
        </w:rPr>
        <w:t>: 165-173 [PMID: 22027695 DOI: 10.1158/1535-7163.MCT-11-0341]</w:t>
      </w:r>
    </w:p>
    <w:p w14:paraId="2B6A252A" w14:textId="77777777" w:rsidR="00680DB2"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Locatelli E</w:t>
      </w:r>
      <w:r>
        <w:rPr>
          <w:rFonts w:ascii="Book Antiqua" w:hAnsi="Book Antiqua"/>
        </w:rPr>
        <w:t xml:space="preserve">, Li Y, Monaco I, Guo W, Maturi M, Menichetti L, Armanetti P, Martin RC, Comes Franchini M. A novel theranostic gold nanorods- and Adriamycin-loaded micelle for EpCAM targeting, laser ablation, and photoacoustic imaging of cancer stem cells in hepatocellular carcinoma. </w:t>
      </w:r>
      <w:r>
        <w:rPr>
          <w:rFonts w:ascii="Book Antiqua" w:hAnsi="Book Antiqua"/>
          <w:i/>
          <w:iCs/>
        </w:rPr>
        <w:t>Int J Nanomedicine</w:t>
      </w:r>
      <w:r>
        <w:rPr>
          <w:rFonts w:ascii="Book Antiqua" w:hAnsi="Book Antiqua"/>
        </w:rPr>
        <w:t xml:space="preserve"> 2019; </w:t>
      </w:r>
      <w:r>
        <w:rPr>
          <w:rFonts w:ascii="Book Antiqua" w:hAnsi="Book Antiqua"/>
          <w:b/>
          <w:bCs/>
        </w:rPr>
        <w:t>14</w:t>
      </w:r>
      <w:r>
        <w:rPr>
          <w:rFonts w:ascii="Book Antiqua" w:hAnsi="Book Antiqua"/>
        </w:rPr>
        <w:t>: 1877-1892 [PMID: 30936691 DOI: 10.2147/IJN.S197265]</w:t>
      </w:r>
    </w:p>
    <w:p w14:paraId="22207355" w14:textId="77777777" w:rsidR="00680DB2" w:rsidRDefault="00000000">
      <w:pPr>
        <w:spacing w:line="360" w:lineRule="auto"/>
        <w:jc w:val="both"/>
        <w:rPr>
          <w:rFonts w:ascii="Book Antiqua" w:hAnsi="Book Antiqua"/>
        </w:rPr>
      </w:pPr>
      <w:r>
        <w:rPr>
          <w:rFonts w:ascii="Book Antiqua" w:hAnsi="Book Antiqua"/>
        </w:rPr>
        <w:t xml:space="preserve">52 </w:t>
      </w:r>
      <w:r>
        <w:rPr>
          <w:rFonts w:ascii="Book Antiqua" w:hAnsi="Book Antiqua"/>
          <w:b/>
          <w:bCs/>
        </w:rPr>
        <w:t>Ishiguro K</w:t>
      </w:r>
      <w:r>
        <w:rPr>
          <w:rFonts w:ascii="Book Antiqua" w:hAnsi="Book Antiqua"/>
        </w:rPr>
        <w:t xml:space="preserve">, Yan IK, Lewis-Tuffin L, Patel T. Targeting Liver Cancer Stem Cells Using Engineered Biological Nanoparticles for the Treatment of Hepatocellular Cancer. </w:t>
      </w:r>
      <w:r>
        <w:rPr>
          <w:rFonts w:ascii="Book Antiqua" w:hAnsi="Book Antiqua"/>
          <w:i/>
          <w:iCs/>
        </w:rPr>
        <w:t>Hepatol Commun</w:t>
      </w:r>
      <w:r>
        <w:rPr>
          <w:rFonts w:ascii="Book Antiqua" w:hAnsi="Book Antiqua"/>
        </w:rPr>
        <w:t xml:space="preserve"> 2020; </w:t>
      </w:r>
      <w:r>
        <w:rPr>
          <w:rFonts w:ascii="Book Antiqua" w:hAnsi="Book Antiqua"/>
          <w:b/>
          <w:bCs/>
        </w:rPr>
        <w:t>4</w:t>
      </w:r>
      <w:r>
        <w:rPr>
          <w:rFonts w:ascii="Book Antiqua" w:hAnsi="Book Antiqua"/>
        </w:rPr>
        <w:t>: 298-313 [PMID: 32025612 DOI: 10.1002/hep4.1462]</w:t>
      </w:r>
    </w:p>
    <w:p w14:paraId="51F54AC3" w14:textId="77777777" w:rsidR="00680DB2" w:rsidRDefault="00000000">
      <w:pPr>
        <w:spacing w:line="360" w:lineRule="auto"/>
        <w:jc w:val="both"/>
        <w:rPr>
          <w:rFonts w:ascii="Book Antiqua" w:hAnsi="Book Antiqua"/>
        </w:rPr>
      </w:pPr>
      <w:r>
        <w:rPr>
          <w:rFonts w:ascii="Book Antiqua" w:hAnsi="Book Antiqua"/>
        </w:rPr>
        <w:t xml:space="preserve">53 </w:t>
      </w:r>
      <w:r>
        <w:rPr>
          <w:rFonts w:ascii="Book Antiqua" w:hAnsi="Book Antiqua"/>
          <w:b/>
          <w:bCs/>
        </w:rPr>
        <w:t>Tsai PH</w:t>
      </w:r>
      <w:r>
        <w:rPr>
          <w:rFonts w:ascii="Book Antiqua" w:hAnsi="Book Antiqua"/>
        </w:rPr>
        <w:t xml:space="preserve">, Wang ML, Chang JH, Yarmishyn AA, Nhi Nguyen PN, Chen W, Chien Y, Huo TI, Mou CY, Chiou SH. Dual Delivery of HNF4α and Cisplatin by Mesoporous Silica Nanoparticles Inhibits Cancer Pluripotency and Tumorigenicity in Hepatoma-Derived CD133-Expressing Stem Cells. </w:t>
      </w:r>
      <w:r>
        <w:rPr>
          <w:rFonts w:ascii="Book Antiqua" w:hAnsi="Book Antiqua"/>
          <w:i/>
          <w:iCs/>
        </w:rPr>
        <w:t>ACS Appl Mater Interfaces</w:t>
      </w:r>
      <w:r>
        <w:rPr>
          <w:rFonts w:ascii="Book Antiqua" w:hAnsi="Book Antiqua"/>
        </w:rPr>
        <w:t xml:space="preserve"> 2019; </w:t>
      </w:r>
      <w:r>
        <w:rPr>
          <w:rFonts w:ascii="Book Antiqua" w:hAnsi="Book Antiqua"/>
          <w:b/>
          <w:bCs/>
        </w:rPr>
        <w:t>11</w:t>
      </w:r>
      <w:r>
        <w:rPr>
          <w:rFonts w:ascii="Book Antiqua" w:hAnsi="Book Antiqua"/>
        </w:rPr>
        <w:t>: 19808-19818 [PMID: 31066542 DOI: 10.1021/acsami.9b04474]</w:t>
      </w:r>
    </w:p>
    <w:p w14:paraId="4A41EE3C" w14:textId="77777777" w:rsidR="00680DB2" w:rsidRDefault="00000000">
      <w:pPr>
        <w:spacing w:line="360" w:lineRule="auto"/>
        <w:jc w:val="both"/>
        <w:rPr>
          <w:rFonts w:ascii="Book Antiqua" w:hAnsi="Book Antiqua"/>
        </w:rPr>
      </w:pPr>
      <w:r>
        <w:rPr>
          <w:rFonts w:ascii="Book Antiqua" w:hAnsi="Book Antiqua"/>
        </w:rPr>
        <w:lastRenderedPageBreak/>
        <w:t xml:space="preserve">54 </w:t>
      </w:r>
      <w:r>
        <w:rPr>
          <w:rFonts w:ascii="Book Antiqua" w:hAnsi="Book Antiqua"/>
          <w:b/>
          <w:bCs/>
        </w:rPr>
        <w:t>Li H</w:t>
      </w:r>
      <w:r>
        <w:rPr>
          <w:rFonts w:ascii="Book Antiqua" w:hAnsi="Book Antiqua"/>
        </w:rPr>
        <w:t xml:space="preserve">, Yan W, Suo X, Peng H, Yang X, Li Z, Zhang J, Liu D. Nucleus-targeted nano delivery system eradicates cancer stem cells by combined thermotherapy and hypoxia-activated chemotherapy. </w:t>
      </w:r>
      <w:r>
        <w:rPr>
          <w:rFonts w:ascii="Book Antiqua" w:hAnsi="Book Antiqua"/>
          <w:i/>
          <w:iCs/>
        </w:rPr>
        <w:t>Biomaterials</w:t>
      </w:r>
      <w:r>
        <w:rPr>
          <w:rFonts w:ascii="Book Antiqua" w:hAnsi="Book Antiqua"/>
        </w:rPr>
        <w:t xml:space="preserve"> 2019; </w:t>
      </w:r>
      <w:r>
        <w:rPr>
          <w:rFonts w:ascii="Book Antiqua" w:hAnsi="Book Antiqua"/>
          <w:b/>
          <w:bCs/>
        </w:rPr>
        <w:t>200</w:t>
      </w:r>
      <w:r>
        <w:rPr>
          <w:rFonts w:ascii="Book Antiqua" w:hAnsi="Book Antiqua"/>
        </w:rPr>
        <w:t>: 1-14 [PMID: 30743049 DOI: 10.1016/j.biomaterials.2019.01.048]</w:t>
      </w:r>
    </w:p>
    <w:p w14:paraId="5E5D5401" w14:textId="77777777" w:rsidR="00680DB2"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Pan Q</w:t>
      </w:r>
      <w:r>
        <w:rPr>
          <w:rFonts w:ascii="Book Antiqua" w:hAnsi="Book Antiqua"/>
        </w:rPr>
        <w:t xml:space="preserve">, Nie C, Hu Y, Yi J, Liu C, Zhang J, He M, He M, Chen T, Chu X. Aptamer-Functionalized DNA Origami for Targeted Codelivery of Antisense Oligonucleotides and Doxorubicin to Enhance Therapy in Drug-Resistant Cancer Cells. </w:t>
      </w:r>
      <w:r>
        <w:rPr>
          <w:rFonts w:ascii="Book Antiqua" w:hAnsi="Book Antiqua"/>
          <w:i/>
          <w:iCs/>
        </w:rPr>
        <w:t>ACS Appl Mater Interfaces</w:t>
      </w:r>
      <w:r>
        <w:rPr>
          <w:rFonts w:ascii="Book Antiqua" w:hAnsi="Book Antiqua"/>
        </w:rPr>
        <w:t xml:space="preserve"> 2020; </w:t>
      </w:r>
      <w:r>
        <w:rPr>
          <w:rFonts w:ascii="Book Antiqua" w:hAnsi="Book Antiqua"/>
          <w:b/>
          <w:bCs/>
        </w:rPr>
        <w:t>12</w:t>
      </w:r>
      <w:r>
        <w:rPr>
          <w:rFonts w:ascii="Book Antiqua" w:hAnsi="Book Antiqua"/>
        </w:rPr>
        <w:t>: 400-409 [PMID: 31815420 DOI: 10.1021/acsami.9b20707]</w:t>
      </w:r>
    </w:p>
    <w:p w14:paraId="3D6C8CE5" w14:textId="77777777" w:rsidR="00680DB2"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Joseph MM</w:t>
      </w:r>
      <w:r>
        <w:rPr>
          <w:rFonts w:ascii="Book Antiqua" w:hAnsi="Book Antiqua"/>
        </w:rPr>
        <w:t xml:space="preserve">, Ramya AN, Vijayan VM, Nair JB, Bastian BT, Pillai RK, Therakathinal ST, Maiti KK. Targeted Theranostic Nano Vehicle Endorsed with Self-Destruction and Immunostimulatory Features to Circumvent Drug Resistance and Wipe-Out Tumor Reinitiating Cancer Stem Cells. </w:t>
      </w:r>
      <w:r>
        <w:rPr>
          <w:rFonts w:ascii="Book Antiqua" w:hAnsi="Book Antiqua"/>
          <w:i/>
          <w:iCs/>
        </w:rPr>
        <w:t>Small</w:t>
      </w:r>
      <w:r>
        <w:rPr>
          <w:rFonts w:ascii="Book Antiqua" w:hAnsi="Book Antiqua"/>
        </w:rPr>
        <w:t xml:space="preserve"> 2020; </w:t>
      </w:r>
      <w:r>
        <w:rPr>
          <w:rFonts w:ascii="Book Antiqua" w:hAnsi="Book Antiqua"/>
          <w:b/>
          <w:bCs/>
        </w:rPr>
        <w:t>16</w:t>
      </w:r>
      <w:r>
        <w:rPr>
          <w:rFonts w:ascii="Book Antiqua" w:hAnsi="Book Antiqua"/>
        </w:rPr>
        <w:t>: e2003309 [PMID: 32797715 DOI: 10.1002/smll.202003309]</w:t>
      </w:r>
    </w:p>
    <w:p w14:paraId="08660190" w14:textId="77777777" w:rsidR="00680DB2"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Zhou Y</w:t>
      </w:r>
      <w:r>
        <w:rPr>
          <w:rFonts w:ascii="Book Antiqua" w:hAnsi="Book Antiqua"/>
        </w:rPr>
        <w:t xml:space="preserve">, Yang J, Kopeček J. Selective inhibitory effect of HPMA copolymer-cyclopamine conjugate on prostate cancer stem cells. </w:t>
      </w:r>
      <w:r>
        <w:rPr>
          <w:rFonts w:ascii="Book Antiqua" w:hAnsi="Book Antiqua"/>
          <w:i/>
          <w:iCs/>
        </w:rPr>
        <w:t>Biomaterials</w:t>
      </w:r>
      <w:r>
        <w:rPr>
          <w:rFonts w:ascii="Book Antiqua" w:hAnsi="Book Antiqua"/>
        </w:rPr>
        <w:t xml:space="preserve"> 2012; </w:t>
      </w:r>
      <w:r>
        <w:rPr>
          <w:rFonts w:ascii="Book Antiqua" w:hAnsi="Book Antiqua"/>
          <w:b/>
          <w:bCs/>
        </w:rPr>
        <w:t>33</w:t>
      </w:r>
      <w:r>
        <w:rPr>
          <w:rFonts w:ascii="Book Antiqua" w:hAnsi="Book Antiqua"/>
        </w:rPr>
        <w:t>: 1863-1872 [PMID: 22138033 DOI: 10.1016/j.biomaterials.2011.11.029]</w:t>
      </w:r>
    </w:p>
    <w:p w14:paraId="4C56B905" w14:textId="77777777" w:rsidR="00680DB2"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Xu Y</w:t>
      </w:r>
      <w:r>
        <w:rPr>
          <w:rFonts w:ascii="Book Antiqua" w:hAnsi="Book Antiqua"/>
        </w:rPr>
        <w:t xml:space="preserve">, Chenna V, Hu C, Sun HX, Khan M, Bai H, Yang XR, Zhu QF, Sun YF, Maitra A, Fan J, Anders RA. Polymeric nanoparticle-encapsulated hedgehog pathway inhibitor HPI-1 (NanoHHI) inhibits systemic metastases in an orthotopic model of human hepatocellular carcinoma. </w:t>
      </w:r>
      <w:r>
        <w:rPr>
          <w:rFonts w:ascii="Book Antiqua" w:hAnsi="Book Antiqua"/>
          <w:i/>
          <w:iCs/>
        </w:rPr>
        <w:t>Clin Cancer Res</w:t>
      </w:r>
      <w:r>
        <w:rPr>
          <w:rFonts w:ascii="Book Antiqua" w:hAnsi="Book Antiqua"/>
        </w:rPr>
        <w:t xml:space="preserve"> 2012; </w:t>
      </w:r>
      <w:r>
        <w:rPr>
          <w:rFonts w:ascii="Book Antiqua" w:hAnsi="Book Antiqua"/>
          <w:b/>
          <w:bCs/>
        </w:rPr>
        <w:t>18</w:t>
      </w:r>
      <w:r>
        <w:rPr>
          <w:rFonts w:ascii="Book Antiqua" w:hAnsi="Book Antiqua"/>
        </w:rPr>
        <w:t>: 1291-1302 [PMID: 21868763 DOI: 10.1158/1078-0432.CCR-11-0950]</w:t>
      </w:r>
    </w:p>
    <w:p w14:paraId="3604C823" w14:textId="77777777" w:rsidR="00680DB2"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Kannappan V</w:t>
      </w:r>
      <w:r>
        <w:rPr>
          <w:rFonts w:ascii="Book Antiqua" w:hAnsi="Book Antiqua"/>
        </w:rPr>
        <w:t xml:space="preserve">, Liu Y, Wang Z, Azar K, Kurusamy S, Kilari RS, Armesilla AL, Morris MR, Najlah M, Liu P, Bian XW, Wang W. PLGA-Nano-Encapsulated Disulfiram Inhibits Hypoxia-Induced NF-κB, Cancer Stem Cells, and Targets Glioblastoma In Vitro and In Vivo. </w:t>
      </w:r>
      <w:r>
        <w:rPr>
          <w:rFonts w:ascii="Book Antiqua" w:hAnsi="Book Antiqua"/>
          <w:i/>
          <w:iCs/>
        </w:rPr>
        <w:t>Mol Cancer Ther</w:t>
      </w:r>
      <w:r>
        <w:rPr>
          <w:rFonts w:ascii="Book Antiqua" w:hAnsi="Book Antiqua"/>
        </w:rPr>
        <w:t xml:space="preserve"> 2022; </w:t>
      </w:r>
      <w:r>
        <w:rPr>
          <w:rFonts w:ascii="Book Antiqua" w:hAnsi="Book Antiqua"/>
          <w:b/>
          <w:bCs/>
        </w:rPr>
        <w:t>21</w:t>
      </w:r>
      <w:r>
        <w:rPr>
          <w:rFonts w:ascii="Book Antiqua" w:hAnsi="Book Antiqua"/>
        </w:rPr>
        <w:t>: 1273-1284 [PMID: 35579893 DOI: 10.1158/1535-7163.MCT-22-0066]</w:t>
      </w:r>
    </w:p>
    <w:p w14:paraId="707EBFF4" w14:textId="77777777" w:rsidR="00680DB2"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Lopez-Bertoni H</w:t>
      </w:r>
      <w:r>
        <w:rPr>
          <w:rFonts w:ascii="Book Antiqua" w:hAnsi="Book Antiqua"/>
        </w:rPr>
        <w:t xml:space="preserve">, Kozielski KL, Rui Y, Lal B, Vaughan H, Wilson DR, Mihelson N, Eberhart CG, Laterra J, Green JJ. Bioreducible Polymeric Nanoparticles Containing Multiplexed Cancer Stem Cell Regulating miRNAs Inhibit Glioblastoma Growth and </w:t>
      </w:r>
      <w:r>
        <w:rPr>
          <w:rFonts w:ascii="Book Antiqua" w:hAnsi="Book Antiqua"/>
        </w:rPr>
        <w:lastRenderedPageBreak/>
        <w:t xml:space="preserve">Prolong Survival. </w:t>
      </w:r>
      <w:r>
        <w:rPr>
          <w:rFonts w:ascii="Book Antiqua" w:hAnsi="Book Antiqua"/>
          <w:i/>
          <w:iCs/>
        </w:rPr>
        <w:t>Nano Lett</w:t>
      </w:r>
      <w:r>
        <w:rPr>
          <w:rFonts w:ascii="Book Antiqua" w:hAnsi="Book Antiqua"/>
        </w:rPr>
        <w:t xml:space="preserve"> 2018; </w:t>
      </w:r>
      <w:r>
        <w:rPr>
          <w:rFonts w:ascii="Book Antiqua" w:hAnsi="Book Antiqua"/>
          <w:b/>
          <w:bCs/>
        </w:rPr>
        <w:t>18</w:t>
      </w:r>
      <w:r>
        <w:rPr>
          <w:rFonts w:ascii="Book Antiqua" w:hAnsi="Book Antiqua"/>
        </w:rPr>
        <w:t>: 4086-4094 [PMID: 29927251 DOI: 10.1021/acs.nanolett.8b00390]</w:t>
      </w:r>
    </w:p>
    <w:p w14:paraId="4996DA4B" w14:textId="77777777" w:rsidR="00680DB2"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Wang Y</w:t>
      </w:r>
      <w:r>
        <w:rPr>
          <w:rFonts w:ascii="Book Antiqua" w:hAnsi="Book Antiqua"/>
        </w:rPr>
        <w:t xml:space="preserve">, Ma S, Liu X, Wei Y, Xu H, Liang Z, Hu Y, Lian X, Huang D. Hyaluronic acid mediated Fe(3)O(4) nanocubes reversing the EMT through targeted cancer stem cell. </w:t>
      </w:r>
      <w:r>
        <w:rPr>
          <w:rFonts w:ascii="Book Antiqua" w:hAnsi="Book Antiqua"/>
          <w:i/>
          <w:iCs/>
        </w:rPr>
        <w:t>Colloids Surf B Biointerfaces</w:t>
      </w:r>
      <w:r>
        <w:rPr>
          <w:rFonts w:ascii="Book Antiqua" w:hAnsi="Book Antiqua"/>
        </w:rPr>
        <w:t xml:space="preserve"> 2023; </w:t>
      </w:r>
      <w:r>
        <w:rPr>
          <w:rFonts w:ascii="Book Antiqua" w:hAnsi="Book Antiqua"/>
          <w:b/>
          <w:bCs/>
        </w:rPr>
        <w:t>222</w:t>
      </w:r>
      <w:r>
        <w:rPr>
          <w:rFonts w:ascii="Book Antiqua" w:hAnsi="Book Antiqua"/>
        </w:rPr>
        <w:t>: 113071 [PMID: 36473370 DOI: 10.1016/j.colsurfb.2022.113071]</w:t>
      </w:r>
    </w:p>
    <w:p w14:paraId="3B414364" w14:textId="77777777" w:rsidR="00680DB2" w:rsidRDefault="00000000">
      <w:pPr>
        <w:spacing w:line="360" w:lineRule="auto"/>
        <w:jc w:val="both"/>
        <w:rPr>
          <w:rFonts w:ascii="Book Antiqua" w:hAnsi="Book Antiqua"/>
        </w:rPr>
      </w:pPr>
      <w:r>
        <w:rPr>
          <w:rFonts w:ascii="Book Antiqua" w:hAnsi="Book Antiqua"/>
        </w:rPr>
        <w:t xml:space="preserve">62 </w:t>
      </w:r>
      <w:r>
        <w:rPr>
          <w:rFonts w:ascii="Book Antiqua" w:hAnsi="Book Antiqua"/>
          <w:b/>
          <w:bCs/>
        </w:rPr>
        <w:t>Sun R</w:t>
      </w:r>
      <w:r>
        <w:rPr>
          <w:rFonts w:ascii="Book Antiqua" w:hAnsi="Book Antiqua"/>
        </w:rPr>
        <w:t xml:space="preserve">, Liu Y, Li SY, Shen S, Du XJ, Xu CF, Cao ZT, Bao Y, Zhu YH, Li YP, Yang XZ, Wang J. Co-delivery of all-trans-retinoic acid and doxorubicin for cancer therapy with synergistic inhibition of cancer stem cells. </w:t>
      </w:r>
      <w:r>
        <w:rPr>
          <w:rFonts w:ascii="Book Antiqua" w:hAnsi="Book Antiqua"/>
          <w:i/>
          <w:iCs/>
        </w:rPr>
        <w:t>Biomaterials</w:t>
      </w:r>
      <w:r>
        <w:rPr>
          <w:rFonts w:ascii="Book Antiqua" w:hAnsi="Book Antiqua"/>
        </w:rPr>
        <w:t xml:space="preserve"> 2015; </w:t>
      </w:r>
      <w:r>
        <w:rPr>
          <w:rFonts w:ascii="Book Antiqua" w:hAnsi="Book Antiqua"/>
          <w:b/>
          <w:bCs/>
        </w:rPr>
        <w:t>37</w:t>
      </w:r>
      <w:r>
        <w:rPr>
          <w:rFonts w:ascii="Book Antiqua" w:hAnsi="Book Antiqua"/>
        </w:rPr>
        <w:t>: 405-414 [PMID: 25453968 DOI: 10.1016/j.biomaterials.2014.10.018]</w:t>
      </w:r>
    </w:p>
    <w:p w14:paraId="51C32C7E" w14:textId="77777777" w:rsidR="00680DB2"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Tran TA</w:t>
      </w:r>
      <w:r>
        <w:rPr>
          <w:rFonts w:ascii="Book Antiqua" w:hAnsi="Book Antiqua"/>
        </w:rPr>
        <w:t xml:space="preserve">, Krishnamoorthy K, Cho SK, Kim SJ. Inhibitory Effect of Zinc Sulfide Nanoparticles Towards Breast Cancer Stem Cell Migration and Invasion. </w:t>
      </w:r>
      <w:r>
        <w:rPr>
          <w:rFonts w:ascii="Book Antiqua" w:hAnsi="Book Antiqua"/>
          <w:i/>
          <w:iCs/>
        </w:rPr>
        <w:t>J Biomed Nanotechnol</w:t>
      </w:r>
      <w:r>
        <w:rPr>
          <w:rFonts w:ascii="Book Antiqua" w:hAnsi="Book Antiqua"/>
        </w:rPr>
        <w:t xml:space="preserve"> 2016; </w:t>
      </w:r>
      <w:r>
        <w:rPr>
          <w:rFonts w:ascii="Book Antiqua" w:hAnsi="Book Antiqua"/>
          <w:b/>
          <w:bCs/>
        </w:rPr>
        <w:t>12</w:t>
      </w:r>
      <w:r>
        <w:rPr>
          <w:rFonts w:ascii="Book Antiqua" w:hAnsi="Book Antiqua"/>
        </w:rPr>
        <w:t>: 329-336 [PMID: 27305766 DOI: 10.1166/jbn.2016.2187]</w:t>
      </w:r>
    </w:p>
    <w:p w14:paraId="478EBD75" w14:textId="77777777" w:rsidR="00680DB2"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Hu K</w:t>
      </w:r>
      <w:r>
        <w:rPr>
          <w:rFonts w:ascii="Book Antiqua" w:hAnsi="Book Antiqua"/>
        </w:rPr>
        <w:t xml:space="preserve">, Zhou H, Liu Y, Liu Z, Liu J, Tang J, Li J, Zhang J, Sheng W, Zhao Y, Wu Y, Chen C. Hyaluronic acid functional amphipathic and redox-responsive polymer particles for the co-delivery of doxorubicin and cyclopamine to eradicate breast cancer cells and cancer stem cells. </w:t>
      </w:r>
      <w:r>
        <w:rPr>
          <w:rFonts w:ascii="Book Antiqua" w:hAnsi="Book Antiqua"/>
          <w:i/>
          <w:iCs/>
        </w:rPr>
        <w:t>Nanoscale</w:t>
      </w:r>
      <w:r>
        <w:rPr>
          <w:rFonts w:ascii="Book Antiqua" w:hAnsi="Book Antiqua"/>
        </w:rPr>
        <w:t xml:space="preserve"> 2015; </w:t>
      </w:r>
      <w:r>
        <w:rPr>
          <w:rFonts w:ascii="Book Antiqua" w:hAnsi="Book Antiqua"/>
          <w:b/>
          <w:bCs/>
        </w:rPr>
        <w:t>7</w:t>
      </w:r>
      <w:r>
        <w:rPr>
          <w:rFonts w:ascii="Book Antiqua" w:hAnsi="Book Antiqua"/>
        </w:rPr>
        <w:t>: 8607-8618 [PMID: 25898852 DOI: 10.1039/c5nr01084e]</w:t>
      </w:r>
    </w:p>
    <w:p w14:paraId="4A07099F" w14:textId="77777777" w:rsidR="00680DB2" w:rsidRDefault="00000000">
      <w:pPr>
        <w:spacing w:line="360" w:lineRule="auto"/>
        <w:jc w:val="both"/>
        <w:rPr>
          <w:rFonts w:ascii="Book Antiqua" w:hAnsi="Book Antiqua"/>
        </w:rPr>
      </w:pPr>
      <w:r>
        <w:rPr>
          <w:rFonts w:ascii="Book Antiqua" w:hAnsi="Book Antiqua"/>
        </w:rPr>
        <w:t xml:space="preserve">65 </w:t>
      </w:r>
      <w:r>
        <w:rPr>
          <w:rFonts w:ascii="Book Antiqua" w:hAnsi="Book Antiqua"/>
          <w:b/>
          <w:bCs/>
        </w:rPr>
        <w:t>Gao C</w:t>
      </w:r>
      <w:r>
        <w:rPr>
          <w:rFonts w:ascii="Book Antiqua" w:hAnsi="Book Antiqua"/>
        </w:rPr>
        <w:t xml:space="preserve">, Lin Z, Wu Z, Lin X, He Q. Stem-Cell-Membrane Camouflaging on Near-Infrared Photoactivated Upconversion Nanoarchitectures for in Vivo Remote-Controlled Photodynamic Therapy. </w:t>
      </w:r>
      <w:r>
        <w:rPr>
          <w:rFonts w:ascii="Book Antiqua" w:hAnsi="Book Antiqua"/>
          <w:i/>
          <w:iCs/>
        </w:rPr>
        <w:t>ACS Appl Mater Interfaces</w:t>
      </w:r>
      <w:r>
        <w:rPr>
          <w:rFonts w:ascii="Book Antiqua" w:hAnsi="Book Antiqua"/>
        </w:rPr>
        <w:t xml:space="preserve"> 2016; </w:t>
      </w:r>
      <w:r>
        <w:rPr>
          <w:rFonts w:ascii="Book Antiqua" w:hAnsi="Book Antiqua"/>
          <w:b/>
          <w:bCs/>
        </w:rPr>
        <w:t>8</w:t>
      </w:r>
      <w:r>
        <w:rPr>
          <w:rFonts w:ascii="Book Antiqua" w:hAnsi="Book Antiqua"/>
        </w:rPr>
        <w:t>: 34252-34260 [PMID: 27936561 DOI: 10.1021/acsami.6b12865]</w:t>
      </w:r>
    </w:p>
    <w:p w14:paraId="0B08E39E" w14:textId="77777777" w:rsidR="00680DB2"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Hu J</w:t>
      </w:r>
      <w:r>
        <w:rPr>
          <w:rFonts w:ascii="Book Antiqua" w:hAnsi="Book Antiqua"/>
        </w:rPr>
        <w:t xml:space="preserve">, Hu J, Wu W, Qin Y, Fu J, Zhou J, Liu C, Yin J. N-acetyl-galactosamine modified metal-organic frameworks to inhibit the growth and pulmonary metastasis of liver cancer stem cells through targeted chemotherapy and starvation therapy. </w:t>
      </w:r>
      <w:r>
        <w:rPr>
          <w:rFonts w:ascii="Book Antiqua" w:hAnsi="Book Antiqua"/>
          <w:i/>
          <w:iCs/>
        </w:rPr>
        <w:t>Acta Biomater</w:t>
      </w:r>
      <w:r>
        <w:rPr>
          <w:rFonts w:ascii="Book Antiqua" w:hAnsi="Book Antiqua"/>
        </w:rPr>
        <w:t xml:space="preserve"> 2022; </w:t>
      </w:r>
      <w:r>
        <w:rPr>
          <w:rFonts w:ascii="Book Antiqua" w:hAnsi="Book Antiqua"/>
          <w:b/>
          <w:bCs/>
        </w:rPr>
        <w:t>151</w:t>
      </w:r>
      <w:r>
        <w:rPr>
          <w:rFonts w:ascii="Book Antiqua" w:hAnsi="Book Antiqua"/>
        </w:rPr>
        <w:t>: 588-599 [PMID: 36002126 DOI: 10.1016/j.actbio.2022.08.027]</w:t>
      </w:r>
    </w:p>
    <w:p w14:paraId="6F10E97B" w14:textId="77777777" w:rsidR="00680DB2" w:rsidRDefault="00000000">
      <w:pPr>
        <w:spacing w:line="360" w:lineRule="auto"/>
        <w:jc w:val="both"/>
        <w:rPr>
          <w:rFonts w:ascii="Book Antiqua" w:hAnsi="Book Antiqua"/>
        </w:rPr>
      </w:pPr>
      <w:r>
        <w:rPr>
          <w:rFonts w:ascii="Book Antiqua" w:hAnsi="Book Antiqua"/>
        </w:rPr>
        <w:t xml:space="preserve">67 </w:t>
      </w:r>
      <w:r>
        <w:rPr>
          <w:rFonts w:ascii="Book Antiqua" w:hAnsi="Book Antiqua"/>
          <w:b/>
          <w:bCs/>
        </w:rPr>
        <w:t>Zhu X</w:t>
      </w:r>
      <w:r>
        <w:rPr>
          <w:rFonts w:ascii="Book Antiqua" w:hAnsi="Book Antiqua"/>
        </w:rPr>
        <w:t xml:space="preserve">, Li L, Tang J, Yang C, Yu H, Liu K, Zheng Z, Gu X, Yu Q, Xu FJ, Gan Z. Cascade-responsive nano-assembly for efficient photothermal-chemo synergistic inhibition of tumor metastasis by targeting cancer stem cells. </w:t>
      </w:r>
      <w:r>
        <w:rPr>
          <w:rFonts w:ascii="Book Antiqua" w:hAnsi="Book Antiqua"/>
          <w:i/>
          <w:iCs/>
        </w:rPr>
        <w:t>Biomaterials</w:t>
      </w:r>
      <w:r>
        <w:rPr>
          <w:rFonts w:ascii="Book Antiqua" w:hAnsi="Book Antiqua"/>
        </w:rPr>
        <w:t xml:space="preserve"> 2022; </w:t>
      </w:r>
      <w:r>
        <w:rPr>
          <w:rFonts w:ascii="Book Antiqua" w:hAnsi="Book Antiqua"/>
          <w:b/>
          <w:bCs/>
        </w:rPr>
        <w:t>280</w:t>
      </w:r>
      <w:r>
        <w:rPr>
          <w:rFonts w:ascii="Book Antiqua" w:hAnsi="Book Antiqua"/>
        </w:rPr>
        <w:t>: 121305 [PMID: 34890970 DOI: 10.1016/j.biomaterials.2021.121305]</w:t>
      </w:r>
    </w:p>
    <w:p w14:paraId="76D9FFA7" w14:textId="77777777" w:rsidR="00680DB2" w:rsidRDefault="00000000">
      <w:pPr>
        <w:spacing w:line="360" w:lineRule="auto"/>
        <w:jc w:val="both"/>
        <w:rPr>
          <w:rFonts w:ascii="Book Antiqua" w:hAnsi="Book Antiqua"/>
        </w:rPr>
      </w:pPr>
      <w:r>
        <w:rPr>
          <w:rFonts w:ascii="Book Antiqua" w:hAnsi="Book Antiqua"/>
        </w:rPr>
        <w:lastRenderedPageBreak/>
        <w:t xml:space="preserve">68 </w:t>
      </w:r>
      <w:r>
        <w:rPr>
          <w:rFonts w:ascii="Book Antiqua" w:hAnsi="Book Antiqua"/>
          <w:b/>
          <w:bCs/>
        </w:rPr>
        <w:t>Chen D</w:t>
      </w:r>
      <w:r>
        <w:rPr>
          <w:rFonts w:ascii="Book Antiqua" w:hAnsi="Book Antiqua"/>
        </w:rPr>
        <w:t xml:space="preserve">, Pan X, Xie F, Lu Y, Zou H, Yin C, Zhang Y, Gao J. Codelivery of doxorubicin and elacridar to target both liver cancer cells and stem cells by polylactide-co-glycolide/d-alpha-tocopherol polyethylene glycol 1000 succinate nanoparticles. </w:t>
      </w:r>
      <w:r>
        <w:rPr>
          <w:rFonts w:ascii="Book Antiqua" w:hAnsi="Book Antiqua"/>
          <w:i/>
          <w:iCs/>
        </w:rPr>
        <w:t>Int J Nanomedicine</w:t>
      </w:r>
      <w:r>
        <w:rPr>
          <w:rFonts w:ascii="Book Antiqua" w:hAnsi="Book Antiqua"/>
        </w:rPr>
        <w:t xml:space="preserve"> 2018; </w:t>
      </w:r>
      <w:r>
        <w:rPr>
          <w:rFonts w:ascii="Book Antiqua" w:hAnsi="Book Antiqua"/>
          <w:b/>
          <w:bCs/>
        </w:rPr>
        <w:t>13</w:t>
      </w:r>
      <w:r>
        <w:rPr>
          <w:rFonts w:ascii="Book Antiqua" w:hAnsi="Book Antiqua"/>
        </w:rPr>
        <w:t>: 6855-6870 [PMID: 30498347 DOI: 10.2147/IJN.S181928]</w:t>
      </w:r>
    </w:p>
    <w:p w14:paraId="2431A022" w14:textId="77777777" w:rsidR="00680DB2" w:rsidRDefault="00000000">
      <w:pPr>
        <w:spacing w:line="360" w:lineRule="auto"/>
        <w:jc w:val="both"/>
        <w:rPr>
          <w:rFonts w:ascii="Book Antiqua" w:hAnsi="Book Antiqua"/>
        </w:rPr>
      </w:pPr>
      <w:r>
        <w:rPr>
          <w:rFonts w:ascii="Book Antiqua" w:hAnsi="Book Antiqua"/>
        </w:rPr>
        <w:t xml:space="preserve">69 </w:t>
      </w:r>
      <w:r>
        <w:rPr>
          <w:rFonts w:ascii="Book Antiqua" w:hAnsi="Book Antiqua"/>
          <w:b/>
          <w:bCs/>
        </w:rPr>
        <w:t>Pradhan R</w:t>
      </w:r>
      <w:r>
        <w:rPr>
          <w:rFonts w:ascii="Book Antiqua" w:hAnsi="Book Antiqua"/>
        </w:rPr>
        <w:t xml:space="preserve">, Chatterjee S, Hembram KC, Sethy C, Mandal M, Kundu CN. Nano formulated Resveratrol inhibits metastasis and angiogenesis by reducing inflammatory cytokines in oral cancer cells by targeting tumor associated macrophages. </w:t>
      </w:r>
      <w:r>
        <w:rPr>
          <w:rFonts w:ascii="Book Antiqua" w:hAnsi="Book Antiqua"/>
          <w:i/>
          <w:iCs/>
        </w:rPr>
        <w:t>J Nutr Biochem</w:t>
      </w:r>
      <w:r>
        <w:rPr>
          <w:rFonts w:ascii="Book Antiqua" w:hAnsi="Book Antiqua"/>
        </w:rPr>
        <w:t xml:space="preserve"> 2021; </w:t>
      </w:r>
      <w:r>
        <w:rPr>
          <w:rFonts w:ascii="Book Antiqua" w:hAnsi="Book Antiqua"/>
          <w:b/>
          <w:bCs/>
        </w:rPr>
        <w:t>92</w:t>
      </w:r>
      <w:r>
        <w:rPr>
          <w:rFonts w:ascii="Book Antiqua" w:hAnsi="Book Antiqua"/>
        </w:rPr>
        <w:t>: 108624 [PMID: 33705943 DOI: 10.1016/j.jnutbio.2021.108624]</w:t>
      </w:r>
    </w:p>
    <w:p w14:paraId="1ED8F293" w14:textId="77777777" w:rsidR="00680DB2"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Lang T</w:t>
      </w:r>
      <w:r>
        <w:rPr>
          <w:rFonts w:ascii="Book Antiqua" w:hAnsi="Book Antiqua"/>
        </w:rPr>
        <w:t xml:space="preserve">, Liu Y, Zheng Z, Ran W, Zhai Y, Yin Q, Zhang P, Li Y. Cocktail Strategy Based on Spatio-Temporally Controlled Nano Device Improves Therapy of Breast Cancer. </w:t>
      </w:r>
      <w:r>
        <w:rPr>
          <w:rFonts w:ascii="Book Antiqua" w:hAnsi="Book Antiqua"/>
          <w:i/>
          <w:iCs/>
        </w:rPr>
        <w:t>Adv Mater</w:t>
      </w:r>
      <w:r>
        <w:rPr>
          <w:rFonts w:ascii="Book Antiqua" w:hAnsi="Book Antiqua"/>
        </w:rPr>
        <w:t xml:space="preserve"> 2019; </w:t>
      </w:r>
      <w:r>
        <w:rPr>
          <w:rFonts w:ascii="Book Antiqua" w:hAnsi="Book Antiqua"/>
          <w:b/>
          <w:bCs/>
        </w:rPr>
        <w:t>31</w:t>
      </w:r>
      <w:r>
        <w:rPr>
          <w:rFonts w:ascii="Book Antiqua" w:hAnsi="Book Antiqua"/>
        </w:rPr>
        <w:t>: e1806202 [PMID: 30516854 DOI: 10.1002/adma.201806202]</w:t>
      </w:r>
    </w:p>
    <w:p w14:paraId="03DEAA0D" w14:textId="77777777" w:rsidR="00680DB2"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Guimarães D</w:t>
      </w:r>
      <w:r>
        <w:rPr>
          <w:rFonts w:ascii="Book Antiqua" w:hAnsi="Book Antiqua"/>
        </w:rPr>
        <w:t xml:space="preserve">, Cavaco-Paulo A, Nogueira E. Design of liposomes as drug delivery system for therapeutic applications. </w:t>
      </w:r>
      <w:r>
        <w:rPr>
          <w:rFonts w:ascii="Book Antiqua" w:hAnsi="Book Antiqua"/>
          <w:i/>
          <w:iCs/>
        </w:rPr>
        <w:t>Int J Pharm</w:t>
      </w:r>
      <w:r>
        <w:rPr>
          <w:rFonts w:ascii="Book Antiqua" w:hAnsi="Book Antiqua"/>
        </w:rPr>
        <w:t xml:space="preserve"> 2021; </w:t>
      </w:r>
      <w:r>
        <w:rPr>
          <w:rFonts w:ascii="Book Antiqua" w:hAnsi="Book Antiqua"/>
          <w:b/>
          <w:bCs/>
        </w:rPr>
        <w:t>601</w:t>
      </w:r>
      <w:r>
        <w:rPr>
          <w:rFonts w:ascii="Book Antiqua" w:hAnsi="Book Antiqua"/>
        </w:rPr>
        <w:t>: 120571 [PMID: 33812967 DOI: 10.1016/j.ijpharm.2021.120571]</w:t>
      </w:r>
    </w:p>
    <w:p w14:paraId="102E747D" w14:textId="77777777" w:rsidR="00680DB2" w:rsidRDefault="00000000">
      <w:pPr>
        <w:spacing w:line="360" w:lineRule="auto"/>
        <w:jc w:val="both"/>
        <w:rPr>
          <w:rFonts w:ascii="Book Antiqua" w:hAnsi="Book Antiqua"/>
        </w:rPr>
      </w:pPr>
      <w:r>
        <w:rPr>
          <w:rFonts w:ascii="Book Antiqua" w:hAnsi="Book Antiqua"/>
        </w:rPr>
        <w:t xml:space="preserve">72 </w:t>
      </w:r>
      <w:r>
        <w:rPr>
          <w:rFonts w:ascii="Book Antiqua" w:hAnsi="Book Antiqua"/>
          <w:b/>
          <w:bCs/>
        </w:rPr>
        <w:t>Shen S</w:t>
      </w:r>
      <w:r>
        <w:rPr>
          <w:rFonts w:ascii="Book Antiqua" w:hAnsi="Book Antiqua"/>
        </w:rPr>
        <w:t xml:space="preserve">, Lin S, Chen Y, Zhang Y, He Y, Xu X, Feng Y, Lu Y, Mo R. Combating Cancer Stem-Like Cell-Derived Resistance to Anticancer Protein by Liposome-Mediated Acclimatization Strategy. </w:t>
      </w:r>
      <w:r>
        <w:rPr>
          <w:rFonts w:ascii="Book Antiqua" w:hAnsi="Book Antiqua"/>
          <w:i/>
          <w:iCs/>
        </w:rPr>
        <w:t>Nano Lett</w:t>
      </w:r>
      <w:r>
        <w:rPr>
          <w:rFonts w:ascii="Book Antiqua" w:hAnsi="Book Antiqua"/>
        </w:rPr>
        <w:t xml:space="preserve"> 2022; </w:t>
      </w:r>
      <w:r>
        <w:rPr>
          <w:rFonts w:ascii="Book Antiqua" w:hAnsi="Book Antiqua"/>
          <w:b/>
          <w:bCs/>
        </w:rPr>
        <w:t>22</w:t>
      </w:r>
      <w:r>
        <w:rPr>
          <w:rFonts w:ascii="Book Antiqua" w:hAnsi="Book Antiqua"/>
        </w:rPr>
        <w:t>: 2419-2428 [PMID: 35254834 DOI: 10.1021/acs.nanolett.2c00004]</w:t>
      </w:r>
    </w:p>
    <w:p w14:paraId="6137A8FD" w14:textId="77777777" w:rsidR="00680DB2" w:rsidRDefault="00000000">
      <w:pPr>
        <w:spacing w:line="360" w:lineRule="auto"/>
        <w:jc w:val="both"/>
        <w:rPr>
          <w:rFonts w:ascii="Book Antiqua" w:hAnsi="Book Antiqua"/>
        </w:rPr>
      </w:pPr>
      <w:r>
        <w:rPr>
          <w:rFonts w:ascii="Book Antiqua" w:hAnsi="Book Antiqua"/>
        </w:rPr>
        <w:t xml:space="preserve">73 </w:t>
      </w:r>
      <w:r>
        <w:rPr>
          <w:rFonts w:ascii="Book Antiqua" w:hAnsi="Book Antiqua"/>
          <w:b/>
          <w:bCs/>
        </w:rPr>
        <w:t>Gong Z</w:t>
      </w:r>
      <w:r>
        <w:rPr>
          <w:rFonts w:ascii="Book Antiqua" w:hAnsi="Book Antiqua"/>
        </w:rPr>
        <w:t xml:space="preserve">, Chen D, Xie F, Liu J, Zhang H, Zou H, Yu Y, Chen Y, Sun Z, Wang X, Zhang H, Zhang G, Yin C, Gao J, Zhong Y, Lu Y. Codelivery of salinomycin and doxorubicin using nanoliposomes for targeting both liver cancer cells and cancer stem cells. </w:t>
      </w:r>
      <w:r>
        <w:rPr>
          <w:rFonts w:ascii="Book Antiqua" w:hAnsi="Book Antiqua"/>
          <w:i/>
          <w:iCs/>
        </w:rPr>
        <w:t>Nanomedicine (Lond)</w:t>
      </w:r>
      <w:r>
        <w:rPr>
          <w:rFonts w:ascii="Book Antiqua" w:hAnsi="Book Antiqua"/>
        </w:rPr>
        <w:t xml:space="preserve"> 2016; </w:t>
      </w:r>
      <w:r>
        <w:rPr>
          <w:rFonts w:ascii="Book Antiqua" w:hAnsi="Book Antiqua"/>
          <w:b/>
          <w:bCs/>
        </w:rPr>
        <w:t>11</w:t>
      </w:r>
      <w:r>
        <w:rPr>
          <w:rFonts w:ascii="Book Antiqua" w:hAnsi="Book Antiqua"/>
        </w:rPr>
        <w:t>: 2565-2579 [PMID: 27647449 DOI: 10.2217/nnm-2016-0137]</w:t>
      </w:r>
    </w:p>
    <w:p w14:paraId="2F5AD9FD" w14:textId="77777777" w:rsidR="00680DB2"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Inamura K</w:t>
      </w:r>
      <w:r>
        <w:rPr>
          <w:rFonts w:ascii="Book Antiqua" w:hAnsi="Book Antiqua"/>
        </w:rPr>
        <w:t xml:space="preserve">, Komizu Y, Yamakuchi M, Ishida S, Matsumoto Y, Matsushita T. Inhibitory effect of hybrid liposomes on the growth of liver cancer stem cells. </w:t>
      </w:r>
      <w:r>
        <w:rPr>
          <w:rFonts w:ascii="Book Antiqua" w:hAnsi="Book Antiqua"/>
          <w:i/>
          <w:iCs/>
        </w:rPr>
        <w:t>Biochem Biophys Res Commun</w:t>
      </w:r>
      <w:r>
        <w:rPr>
          <w:rFonts w:ascii="Book Antiqua" w:hAnsi="Book Antiqua"/>
        </w:rPr>
        <w:t xml:space="preserve"> 2019; </w:t>
      </w:r>
      <w:r>
        <w:rPr>
          <w:rFonts w:ascii="Book Antiqua" w:hAnsi="Book Antiqua"/>
          <w:b/>
          <w:bCs/>
        </w:rPr>
        <w:t>509</w:t>
      </w:r>
      <w:r>
        <w:rPr>
          <w:rFonts w:ascii="Book Antiqua" w:hAnsi="Book Antiqua"/>
        </w:rPr>
        <w:t>: 268-274 [PMID: 30583860 DOI: 10.1016/j.bbrc.2018.12.118]</w:t>
      </w:r>
    </w:p>
    <w:p w14:paraId="4B697DD9" w14:textId="77777777" w:rsidR="00680DB2" w:rsidRDefault="00000000">
      <w:pPr>
        <w:spacing w:line="360" w:lineRule="auto"/>
        <w:jc w:val="both"/>
        <w:rPr>
          <w:rFonts w:ascii="Book Antiqua" w:hAnsi="Book Antiqua"/>
        </w:rPr>
      </w:pPr>
      <w:r>
        <w:rPr>
          <w:rFonts w:ascii="Book Antiqua" w:hAnsi="Book Antiqua"/>
        </w:rPr>
        <w:t xml:space="preserve">75 </w:t>
      </w:r>
      <w:r>
        <w:rPr>
          <w:rFonts w:ascii="Book Antiqua" w:hAnsi="Book Antiqua"/>
          <w:b/>
          <w:bCs/>
        </w:rPr>
        <w:t>Huang CW</w:t>
      </w:r>
      <w:r>
        <w:rPr>
          <w:rFonts w:ascii="Book Antiqua" w:hAnsi="Book Antiqua"/>
        </w:rPr>
        <w:t xml:space="preserve">, Jiang XX, Yin XB, Huang YY, Lei K, Xiong H. Research of FTC-CD133 Nanoparticles Inhibiting the Drug Resistance of Liver Cancer Stem Cell. </w:t>
      </w:r>
      <w:r>
        <w:rPr>
          <w:rFonts w:ascii="Book Antiqua" w:hAnsi="Book Antiqua"/>
          <w:i/>
          <w:iCs/>
        </w:rPr>
        <w:t>Zhongguo Quanke Yixue</w:t>
      </w:r>
      <w:r>
        <w:rPr>
          <w:rFonts w:ascii="Book Antiqua" w:hAnsi="Book Antiqua"/>
        </w:rPr>
        <w:t xml:space="preserve"> 2016; </w:t>
      </w:r>
      <w:r>
        <w:rPr>
          <w:rFonts w:ascii="Book Antiqua" w:hAnsi="Book Antiqua"/>
          <w:b/>
          <w:bCs/>
        </w:rPr>
        <w:t>19</w:t>
      </w:r>
      <w:r>
        <w:rPr>
          <w:rFonts w:ascii="Book Antiqua" w:hAnsi="Book Antiqua"/>
        </w:rPr>
        <w:t>: 184-189</w:t>
      </w:r>
    </w:p>
    <w:p w14:paraId="290DDDDA" w14:textId="77777777" w:rsidR="00680DB2" w:rsidRDefault="00000000">
      <w:pPr>
        <w:spacing w:line="360" w:lineRule="auto"/>
        <w:jc w:val="both"/>
        <w:rPr>
          <w:rFonts w:ascii="Book Antiqua" w:hAnsi="Book Antiqua"/>
        </w:rPr>
      </w:pPr>
      <w:r>
        <w:rPr>
          <w:rFonts w:ascii="Book Antiqua" w:hAnsi="Book Antiqua"/>
        </w:rPr>
        <w:t xml:space="preserve">76 </w:t>
      </w:r>
      <w:r>
        <w:rPr>
          <w:rFonts w:ascii="Book Antiqua" w:hAnsi="Book Antiqua"/>
          <w:b/>
          <w:bCs/>
        </w:rPr>
        <w:t>Arthur P</w:t>
      </w:r>
      <w:r>
        <w:rPr>
          <w:rFonts w:ascii="Book Antiqua" w:hAnsi="Book Antiqua"/>
        </w:rPr>
        <w:t xml:space="preserve">, Patel N, Surapaneni SK, Mondal A, Gebeyehu A, Bagde A, Kutlehria S, Nottingham E, Singh M. Targeting lung cancer stem cells using combination of Tel and </w:t>
      </w:r>
      <w:r>
        <w:rPr>
          <w:rFonts w:ascii="Book Antiqua" w:hAnsi="Book Antiqua"/>
        </w:rPr>
        <w:lastRenderedPageBreak/>
        <w:t xml:space="preserve">Docetaxel liposomes in 3D cultures and tumor xenografts. </w:t>
      </w:r>
      <w:r>
        <w:rPr>
          <w:rFonts w:ascii="Book Antiqua" w:hAnsi="Book Antiqua"/>
          <w:i/>
          <w:iCs/>
        </w:rPr>
        <w:t>Toxicol Appl Pharmacol</w:t>
      </w:r>
      <w:r>
        <w:rPr>
          <w:rFonts w:ascii="Book Antiqua" w:hAnsi="Book Antiqua"/>
        </w:rPr>
        <w:t xml:space="preserve"> 2020; </w:t>
      </w:r>
      <w:r>
        <w:rPr>
          <w:rFonts w:ascii="Book Antiqua" w:hAnsi="Book Antiqua"/>
          <w:b/>
          <w:bCs/>
        </w:rPr>
        <w:t>401</w:t>
      </w:r>
      <w:r>
        <w:rPr>
          <w:rFonts w:ascii="Book Antiqua" w:hAnsi="Book Antiqua"/>
        </w:rPr>
        <w:t>: 115112 [PMID: 32540278 DOI: 10.1016/j.taap.2020.115112]</w:t>
      </w:r>
    </w:p>
    <w:p w14:paraId="1404BCE1" w14:textId="77777777" w:rsidR="00680DB2" w:rsidRDefault="00000000">
      <w:pPr>
        <w:spacing w:line="360" w:lineRule="auto"/>
        <w:jc w:val="both"/>
        <w:rPr>
          <w:rFonts w:ascii="Book Antiqua" w:hAnsi="Book Antiqua"/>
        </w:rPr>
      </w:pPr>
      <w:r>
        <w:rPr>
          <w:rFonts w:ascii="Book Antiqua" w:hAnsi="Book Antiqua"/>
        </w:rPr>
        <w:t xml:space="preserve">77 </w:t>
      </w:r>
      <w:r>
        <w:rPr>
          <w:rFonts w:ascii="Book Antiqua" w:hAnsi="Book Antiqua"/>
          <w:b/>
          <w:bCs/>
        </w:rPr>
        <w:t>Basu SM</w:t>
      </w:r>
      <w:r>
        <w:rPr>
          <w:rFonts w:ascii="Book Antiqua" w:hAnsi="Book Antiqua"/>
        </w:rPr>
        <w:t xml:space="preserve">, Yadava SK, Singh R, Giri J. Lipid nanocapsules co-encapsulating paclitaxel and salinomycin for eradicating breast cancer and cancer stem cells. </w:t>
      </w:r>
      <w:r>
        <w:rPr>
          <w:rFonts w:ascii="Book Antiqua" w:hAnsi="Book Antiqua"/>
          <w:i/>
          <w:iCs/>
        </w:rPr>
        <w:t>Colloids Surf B Biointerfaces</w:t>
      </w:r>
      <w:r>
        <w:rPr>
          <w:rFonts w:ascii="Book Antiqua" w:hAnsi="Book Antiqua"/>
        </w:rPr>
        <w:t xml:space="preserve"> 2021; </w:t>
      </w:r>
      <w:r>
        <w:rPr>
          <w:rFonts w:ascii="Book Antiqua" w:hAnsi="Book Antiqua"/>
          <w:b/>
          <w:bCs/>
        </w:rPr>
        <w:t>204</w:t>
      </w:r>
      <w:r>
        <w:rPr>
          <w:rFonts w:ascii="Book Antiqua" w:hAnsi="Book Antiqua"/>
        </w:rPr>
        <w:t>: 111775 [PMID: 33940518 DOI: 10.1016/j.colsurfb.2021.111775]</w:t>
      </w:r>
    </w:p>
    <w:p w14:paraId="14CEBE8F" w14:textId="77777777" w:rsidR="00680DB2" w:rsidRDefault="00000000">
      <w:pPr>
        <w:spacing w:line="360" w:lineRule="auto"/>
        <w:jc w:val="both"/>
        <w:rPr>
          <w:rFonts w:ascii="Book Antiqua" w:hAnsi="Book Antiqua"/>
        </w:rPr>
      </w:pPr>
      <w:r>
        <w:rPr>
          <w:rFonts w:ascii="Book Antiqua" w:hAnsi="Book Antiqua"/>
        </w:rPr>
        <w:t xml:space="preserve">78 </w:t>
      </w:r>
      <w:r>
        <w:rPr>
          <w:rFonts w:ascii="Book Antiqua" w:hAnsi="Book Antiqua"/>
          <w:b/>
          <w:bCs/>
        </w:rPr>
        <w:t>Oh E</w:t>
      </w:r>
      <w:r>
        <w:rPr>
          <w:rFonts w:ascii="Book Antiqua" w:hAnsi="Book Antiqua"/>
        </w:rPr>
        <w:t xml:space="preserve">, Hong MY, Lee D, Nam SH, Yoon HC, Kim HS. Inhibition assay of biomolecules based on fluorescence resonance energy transfer (FRET) between quantum dots and gold nanoparticles. </w:t>
      </w:r>
      <w:r>
        <w:rPr>
          <w:rFonts w:ascii="Book Antiqua" w:hAnsi="Book Antiqua"/>
          <w:i/>
          <w:iCs/>
        </w:rPr>
        <w:t>J Am Chem Soc</w:t>
      </w:r>
      <w:r>
        <w:rPr>
          <w:rFonts w:ascii="Book Antiqua" w:hAnsi="Book Antiqua"/>
        </w:rPr>
        <w:t xml:space="preserve"> 2005; </w:t>
      </w:r>
      <w:r>
        <w:rPr>
          <w:rFonts w:ascii="Book Antiqua" w:hAnsi="Book Antiqua"/>
          <w:b/>
          <w:bCs/>
        </w:rPr>
        <w:t>127</w:t>
      </w:r>
      <w:r>
        <w:rPr>
          <w:rFonts w:ascii="Book Antiqua" w:hAnsi="Book Antiqua"/>
        </w:rPr>
        <w:t>: 3270-3271 [PMID: 15755131 DOI: 10.1021/ja0433323]</w:t>
      </w:r>
    </w:p>
    <w:p w14:paraId="5A713DFA" w14:textId="77777777" w:rsidR="00680DB2" w:rsidRDefault="00000000">
      <w:pPr>
        <w:spacing w:line="360" w:lineRule="auto"/>
        <w:jc w:val="both"/>
        <w:rPr>
          <w:rFonts w:ascii="Book Antiqua" w:hAnsi="Book Antiqua"/>
        </w:rPr>
      </w:pPr>
      <w:r>
        <w:rPr>
          <w:rFonts w:ascii="Book Antiqua" w:hAnsi="Book Antiqua"/>
        </w:rPr>
        <w:t xml:space="preserve">79 </w:t>
      </w:r>
      <w:r>
        <w:rPr>
          <w:rFonts w:ascii="Book Antiqua" w:hAnsi="Book Antiqua"/>
          <w:b/>
          <w:bCs/>
        </w:rPr>
        <w:t>Zheng J</w:t>
      </w:r>
      <w:r>
        <w:rPr>
          <w:rFonts w:ascii="Book Antiqua" w:hAnsi="Book Antiqua"/>
        </w:rPr>
        <w:t xml:space="preserve">, Cheng X, Zhang H, Bai X, Ai R, Shao L, Wang J. Gold Nanorods: The Most Versatile Plasmonic Nanoparticles. </w:t>
      </w:r>
      <w:r>
        <w:rPr>
          <w:rFonts w:ascii="Book Antiqua" w:hAnsi="Book Antiqua"/>
          <w:i/>
          <w:iCs/>
        </w:rPr>
        <w:t>Chem Rev</w:t>
      </w:r>
      <w:r>
        <w:rPr>
          <w:rFonts w:ascii="Book Antiqua" w:hAnsi="Book Antiqua"/>
        </w:rPr>
        <w:t xml:space="preserve"> 2021; </w:t>
      </w:r>
      <w:r>
        <w:rPr>
          <w:rFonts w:ascii="Book Antiqua" w:hAnsi="Book Antiqua"/>
          <w:b/>
          <w:bCs/>
        </w:rPr>
        <w:t>121</w:t>
      </w:r>
      <w:r>
        <w:rPr>
          <w:rFonts w:ascii="Book Antiqua" w:hAnsi="Book Antiqua"/>
        </w:rPr>
        <w:t>: 13342-13453 [PMID: 34569789 DOI: 10.1021/acs.chemrev.1c00422]</w:t>
      </w:r>
    </w:p>
    <w:p w14:paraId="45638B58" w14:textId="77777777" w:rsidR="00680DB2" w:rsidRDefault="00000000">
      <w:pPr>
        <w:spacing w:line="360" w:lineRule="auto"/>
        <w:jc w:val="both"/>
        <w:rPr>
          <w:rFonts w:ascii="Book Antiqua" w:hAnsi="Book Antiqua"/>
        </w:rPr>
      </w:pPr>
      <w:r>
        <w:rPr>
          <w:rFonts w:ascii="Book Antiqua" w:hAnsi="Book Antiqua"/>
        </w:rPr>
        <w:t xml:space="preserve">80 </w:t>
      </w:r>
      <w:r>
        <w:rPr>
          <w:rFonts w:ascii="Book Antiqua" w:hAnsi="Book Antiqua"/>
          <w:b/>
          <w:bCs/>
        </w:rPr>
        <w:t>Dubertret B</w:t>
      </w:r>
      <w:r>
        <w:rPr>
          <w:rFonts w:ascii="Book Antiqua" w:hAnsi="Book Antiqua"/>
        </w:rPr>
        <w:t xml:space="preserve">, Skourides P, Norris DJ, Noireaux V, Brivanlou AH, Libchaber A. In vivo imaging of quantum dots encapsulated in phospholipid micelles. </w:t>
      </w:r>
      <w:r>
        <w:rPr>
          <w:rFonts w:ascii="Book Antiqua" w:hAnsi="Book Antiqua"/>
          <w:i/>
          <w:iCs/>
        </w:rPr>
        <w:t>Science</w:t>
      </w:r>
      <w:r>
        <w:rPr>
          <w:rFonts w:ascii="Book Antiqua" w:hAnsi="Book Antiqua"/>
        </w:rPr>
        <w:t xml:space="preserve"> 2002; </w:t>
      </w:r>
      <w:r>
        <w:rPr>
          <w:rFonts w:ascii="Book Antiqua" w:hAnsi="Book Antiqua"/>
          <w:b/>
          <w:bCs/>
        </w:rPr>
        <w:t>298</w:t>
      </w:r>
      <w:r>
        <w:rPr>
          <w:rFonts w:ascii="Book Antiqua" w:hAnsi="Book Antiqua"/>
        </w:rPr>
        <w:t>: 1759-1762 [PMID: 12459582 DOI: 10.1126/science.1077194]</w:t>
      </w:r>
    </w:p>
    <w:p w14:paraId="16E57B8C" w14:textId="77777777" w:rsidR="00680DB2" w:rsidRDefault="00000000">
      <w:pPr>
        <w:spacing w:line="360" w:lineRule="auto"/>
        <w:jc w:val="both"/>
        <w:rPr>
          <w:rFonts w:ascii="Book Antiqua" w:hAnsi="Book Antiqua"/>
        </w:rPr>
      </w:pPr>
      <w:r>
        <w:rPr>
          <w:rFonts w:ascii="Book Antiqua" w:hAnsi="Book Antiqua"/>
        </w:rPr>
        <w:t xml:space="preserve">81 </w:t>
      </w:r>
      <w:r>
        <w:rPr>
          <w:rFonts w:ascii="Book Antiqua" w:hAnsi="Book Antiqua"/>
          <w:b/>
          <w:bCs/>
        </w:rPr>
        <w:t>Shamsian A</w:t>
      </w:r>
      <w:r>
        <w:rPr>
          <w:rFonts w:ascii="Book Antiqua" w:hAnsi="Book Antiqua"/>
        </w:rPr>
        <w:t xml:space="preserve">, Sepand MR, Javaheri Kachousangi M, Dara T, Ostad SN, Atyabi F, Ghahremani MH. Targeting Tumorigenicity of Breast Cancer Stem Cells Using SAHA/Wnt-b Catenin Antagonist Loaded Onto Protein Corona of Gold Nanoparticles. </w:t>
      </w:r>
      <w:r>
        <w:rPr>
          <w:rFonts w:ascii="Book Antiqua" w:hAnsi="Book Antiqua"/>
          <w:i/>
          <w:iCs/>
        </w:rPr>
        <w:t>Int J Nanomedicine</w:t>
      </w:r>
      <w:r>
        <w:rPr>
          <w:rFonts w:ascii="Book Antiqua" w:hAnsi="Book Antiqua"/>
        </w:rPr>
        <w:t xml:space="preserve"> 2020; </w:t>
      </w:r>
      <w:r>
        <w:rPr>
          <w:rFonts w:ascii="Book Antiqua" w:hAnsi="Book Antiqua"/>
          <w:b/>
          <w:bCs/>
        </w:rPr>
        <w:t>15</w:t>
      </w:r>
      <w:r>
        <w:rPr>
          <w:rFonts w:ascii="Book Antiqua" w:hAnsi="Book Antiqua"/>
        </w:rPr>
        <w:t>: 4063-4078 [PMID: 32606664 DOI: 10.2147/IJN.S234636]</w:t>
      </w:r>
    </w:p>
    <w:p w14:paraId="7CC175C2" w14:textId="77777777" w:rsidR="00680DB2" w:rsidRDefault="00000000">
      <w:pPr>
        <w:spacing w:line="360" w:lineRule="auto"/>
        <w:jc w:val="both"/>
        <w:rPr>
          <w:rFonts w:ascii="Book Antiqua" w:hAnsi="Book Antiqua"/>
        </w:rPr>
      </w:pPr>
      <w:r>
        <w:rPr>
          <w:rFonts w:ascii="Book Antiqua" w:hAnsi="Book Antiqua"/>
        </w:rPr>
        <w:t xml:space="preserve">82 </w:t>
      </w:r>
      <w:r>
        <w:rPr>
          <w:rFonts w:ascii="Book Antiqua" w:hAnsi="Book Antiqua"/>
          <w:b/>
          <w:bCs/>
        </w:rPr>
        <w:t>Ding J</w:t>
      </w:r>
      <w:r>
        <w:rPr>
          <w:rFonts w:ascii="Book Antiqua" w:hAnsi="Book Antiqua"/>
        </w:rPr>
        <w:t xml:space="preserve">, Xu W, Tan J, Liu Z, Huang G, Wang S, He Z. Fluorescence Detection of Cancer Stem Cell Markers Using a Sensitive Nano-Aptamer Sensor. </w:t>
      </w:r>
      <w:r>
        <w:rPr>
          <w:rFonts w:ascii="Book Antiqua" w:hAnsi="Book Antiqua"/>
          <w:i/>
          <w:iCs/>
        </w:rPr>
        <w:t>Front Chem</w:t>
      </w:r>
      <w:r>
        <w:rPr>
          <w:rFonts w:ascii="Book Antiqua" w:hAnsi="Book Antiqua"/>
        </w:rPr>
        <w:t xml:space="preserve"> 2022; </w:t>
      </w:r>
      <w:r>
        <w:rPr>
          <w:rFonts w:ascii="Book Antiqua" w:hAnsi="Book Antiqua"/>
          <w:b/>
          <w:bCs/>
        </w:rPr>
        <w:t>10</w:t>
      </w:r>
      <w:r>
        <w:rPr>
          <w:rFonts w:ascii="Book Antiqua" w:hAnsi="Book Antiqua"/>
        </w:rPr>
        <w:t>: 920123 [PMID: 35815217 DOI: 10.3389/fchem.2022.920123]</w:t>
      </w:r>
    </w:p>
    <w:p w14:paraId="24CF93C1" w14:textId="77777777" w:rsidR="00680DB2" w:rsidRDefault="00000000">
      <w:pPr>
        <w:spacing w:line="360" w:lineRule="auto"/>
        <w:jc w:val="both"/>
        <w:rPr>
          <w:rFonts w:ascii="Book Antiqua" w:hAnsi="Book Antiqua"/>
        </w:rPr>
      </w:pPr>
      <w:r>
        <w:rPr>
          <w:rFonts w:ascii="Book Antiqua" w:hAnsi="Book Antiqua"/>
        </w:rPr>
        <w:t xml:space="preserve">83 </w:t>
      </w:r>
      <w:r>
        <w:rPr>
          <w:rFonts w:ascii="Book Antiqua" w:hAnsi="Book Antiqua"/>
          <w:b/>
          <w:bCs/>
        </w:rPr>
        <w:t>Poonaki E</w:t>
      </w:r>
      <w:r>
        <w:rPr>
          <w:rFonts w:ascii="Book Antiqua" w:hAnsi="Book Antiqua"/>
        </w:rPr>
        <w:t xml:space="preserve">, Nickel AC, Shafiee Ardestani M, Rademacher L, Kaul M, Apartsin E, Meuth SG, Gorji A, Janiak C, Kahlert UD. CD133-Functionalized Gold Nanoparticles as a Carrier Platform for Telaglenastat (CB-839) against Tumor Stem Cells. </w:t>
      </w:r>
      <w:r>
        <w:rPr>
          <w:rFonts w:ascii="Book Antiqua" w:hAnsi="Book Antiqua"/>
          <w:i/>
          <w:iCs/>
        </w:rPr>
        <w:t>Int J Mol Sci</w:t>
      </w:r>
      <w:r>
        <w:rPr>
          <w:rFonts w:ascii="Book Antiqua" w:hAnsi="Book Antiqua"/>
        </w:rPr>
        <w:t xml:space="preserve"> 2022; </w:t>
      </w:r>
      <w:r>
        <w:rPr>
          <w:rFonts w:ascii="Book Antiqua" w:hAnsi="Book Antiqua"/>
          <w:b/>
          <w:bCs/>
        </w:rPr>
        <w:t>23</w:t>
      </w:r>
      <w:r>
        <w:rPr>
          <w:rFonts w:ascii="Book Antiqua" w:hAnsi="Book Antiqua"/>
        </w:rPr>
        <w:t xml:space="preserve"> [PMID: 35628289 DOI: 10.3390/ijms23105479]</w:t>
      </w:r>
    </w:p>
    <w:p w14:paraId="4A642BC1" w14:textId="77777777" w:rsidR="00680DB2" w:rsidRDefault="00000000">
      <w:pPr>
        <w:spacing w:line="360" w:lineRule="auto"/>
        <w:jc w:val="both"/>
        <w:rPr>
          <w:rFonts w:ascii="Book Antiqua" w:hAnsi="Book Antiqua"/>
        </w:rPr>
      </w:pPr>
      <w:r>
        <w:rPr>
          <w:rFonts w:ascii="Book Antiqua" w:hAnsi="Book Antiqua"/>
        </w:rPr>
        <w:t xml:space="preserve">84 </w:t>
      </w:r>
      <w:r>
        <w:rPr>
          <w:rFonts w:ascii="Book Antiqua" w:hAnsi="Book Antiqua"/>
          <w:b/>
          <w:bCs/>
        </w:rPr>
        <w:t>Yi Y</w:t>
      </w:r>
      <w:r>
        <w:rPr>
          <w:rFonts w:ascii="Book Antiqua" w:hAnsi="Book Antiqua"/>
        </w:rPr>
        <w:t xml:space="preserve">, Kim HJ, Zheng M, Mi P, Naito M, Kim BS, Min HS, Hayashi K, Perche F, Toh K, Liu X, Mochida Y, Kinoh H, Cabral H, Miyata K, Kataoka K. Glucose-linked sub-50-nm unimer polyion complex-assembled gold nanoparticles for targeted siRNA delivery to </w:t>
      </w:r>
      <w:r>
        <w:rPr>
          <w:rFonts w:ascii="Book Antiqua" w:hAnsi="Book Antiqua"/>
        </w:rPr>
        <w:lastRenderedPageBreak/>
        <w:t xml:space="preserve">glucose transporter 1-overexpressing breast cancer stem-like cells. </w:t>
      </w:r>
      <w:r>
        <w:rPr>
          <w:rFonts w:ascii="Book Antiqua" w:hAnsi="Book Antiqua"/>
          <w:i/>
          <w:iCs/>
        </w:rPr>
        <w:t>J Control Release</w:t>
      </w:r>
      <w:r>
        <w:rPr>
          <w:rFonts w:ascii="Book Antiqua" w:hAnsi="Book Antiqua"/>
        </w:rPr>
        <w:t xml:space="preserve"> 2019; </w:t>
      </w:r>
      <w:r>
        <w:rPr>
          <w:rFonts w:ascii="Book Antiqua" w:hAnsi="Book Antiqua"/>
          <w:b/>
          <w:bCs/>
        </w:rPr>
        <w:t>295</w:t>
      </w:r>
      <w:r>
        <w:rPr>
          <w:rFonts w:ascii="Book Antiqua" w:hAnsi="Book Antiqua"/>
        </w:rPr>
        <w:t>: 268-277 [PMID: 30639386 DOI: 10.1016/j.jconrel.2019.01.006]</w:t>
      </w:r>
    </w:p>
    <w:p w14:paraId="7FEF6061" w14:textId="77777777" w:rsidR="00680DB2" w:rsidRDefault="00000000">
      <w:pPr>
        <w:spacing w:line="360" w:lineRule="auto"/>
        <w:jc w:val="both"/>
        <w:rPr>
          <w:rFonts w:ascii="Book Antiqua" w:hAnsi="Book Antiqua"/>
        </w:rPr>
      </w:pPr>
      <w:r>
        <w:rPr>
          <w:rFonts w:ascii="Book Antiqua" w:hAnsi="Book Antiqua"/>
        </w:rPr>
        <w:t xml:space="preserve">85 </w:t>
      </w:r>
      <w:r>
        <w:rPr>
          <w:rFonts w:ascii="Book Antiqua" w:hAnsi="Book Antiqua"/>
          <w:b/>
          <w:bCs/>
        </w:rPr>
        <w:t>Zhao Y</w:t>
      </w:r>
      <w:r>
        <w:rPr>
          <w:rFonts w:ascii="Book Antiqua" w:hAnsi="Book Antiqua"/>
        </w:rPr>
        <w:t xml:space="preserve">, Zhao W, Lim YC, Liu T. Salinomycin-Loaded Gold Nanoparticles for Treating Cancer Stem Cells by Ferroptosis-Induced Cell Death. </w:t>
      </w:r>
      <w:r>
        <w:rPr>
          <w:rFonts w:ascii="Book Antiqua" w:hAnsi="Book Antiqua"/>
          <w:i/>
          <w:iCs/>
        </w:rPr>
        <w:t>Mol Pharm</w:t>
      </w:r>
      <w:r>
        <w:rPr>
          <w:rFonts w:ascii="Book Antiqua" w:hAnsi="Book Antiqua"/>
        </w:rPr>
        <w:t xml:space="preserve"> 2019; </w:t>
      </w:r>
      <w:r>
        <w:rPr>
          <w:rFonts w:ascii="Book Antiqua" w:hAnsi="Book Antiqua"/>
          <w:b/>
          <w:bCs/>
        </w:rPr>
        <w:t>16</w:t>
      </w:r>
      <w:r>
        <w:rPr>
          <w:rFonts w:ascii="Book Antiqua" w:hAnsi="Book Antiqua"/>
        </w:rPr>
        <w:t>: 2532-2539 [PMID: 31009228 DOI: 10.1021/acs.molpharmaceut.9b00132]</w:t>
      </w:r>
    </w:p>
    <w:p w14:paraId="1D515E34" w14:textId="77777777" w:rsidR="00680DB2" w:rsidRDefault="00000000">
      <w:pPr>
        <w:spacing w:line="360" w:lineRule="auto"/>
        <w:jc w:val="both"/>
        <w:rPr>
          <w:rFonts w:ascii="Book Antiqua" w:hAnsi="Book Antiqua"/>
        </w:rPr>
      </w:pPr>
      <w:r>
        <w:rPr>
          <w:rFonts w:ascii="Book Antiqua" w:hAnsi="Book Antiqua"/>
        </w:rPr>
        <w:t xml:space="preserve">86 </w:t>
      </w:r>
      <w:r>
        <w:rPr>
          <w:rFonts w:ascii="Book Antiqua" w:hAnsi="Book Antiqua"/>
          <w:b/>
          <w:bCs/>
        </w:rPr>
        <w:t>Burke AR</w:t>
      </w:r>
      <w:r>
        <w:rPr>
          <w:rFonts w:ascii="Book Antiqua" w:hAnsi="Book Antiqua"/>
        </w:rPr>
        <w:t xml:space="preserve">, Singh RN, Carroll DL, Wood JC, D'Agostino RB Jr, Ajayan PM, Torti FM, Torti SV. The resistance of breast cancer stem cells to conventional hyperthermia and their sensitivity to nanoparticle-mediated photothermal therapy. </w:t>
      </w:r>
      <w:r>
        <w:rPr>
          <w:rFonts w:ascii="Book Antiqua" w:hAnsi="Book Antiqua"/>
          <w:i/>
          <w:iCs/>
        </w:rPr>
        <w:t>Biomaterials</w:t>
      </w:r>
      <w:r>
        <w:rPr>
          <w:rFonts w:ascii="Book Antiqua" w:hAnsi="Book Antiqua"/>
        </w:rPr>
        <w:t xml:space="preserve"> 2012; </w:t>
      </w:r>
      <w:r>
        <w:rPr>
          <w:rFonts w:ascii="Book Antiqua" w:hAnsi="Book Antiqua"/>
          <w:b/>
          <w:bCs/>
        </w:rPr>
        <w:t>33</w:t>
      </w:r>
      <w:r>
        <w:rPr>
          <w:rFonts w:ascii="Book Antiqua" w:hAnsi="Book Antiqua"/>
        </w:rPr>
        <w:t>: 2961-2970 [PMID: 22245557 DOI: 10.1016/j.biomaterials.2011.12.052]</w:t>
      </w:r>
    </w:p>
    <w:p w14:paraId="5597B932" w14:textId="77777777" w:rsidR="00680DB2" w:rsidRDefault="00000000">
      <w:pPr>
        <w:spacing w:line="360" w:lineRule="auto"/>
        <w:jc w:val="both"/>
        <w:rPr>
          <w:rFonts w:ascii="Book Antiqua" w:hAnsi="Book Antiqua"/>
        </w:rPr>
      </w:pPr>
      <w:r>
        <w:rPr>
          <w:rFonts w:ascii="Book Antiqua" w:hAnsi="Book Antiqua"/>
        </w:rPr>
        <w:t xml:space="preserve">87 </w:t>
      </w:r>
      <w:r>
        <w:rPr>
          <w:rFonts w:ascii="Book Antiqua" w:hAnsi="Book Antiqua"/>
          <w:b/>
          <w:bCs/>
        </w:rPr>
        <w:t>Wang J</w:t>
      </w:r>
      <w:r>
        <w:rPr>
          <w:rFonts w:ascii="Book Antiqua" w:hAnsi="Book Antiqua"/>
        </w:rPr>
        <w:t xml:space="preserve">, Liu N, Su Q, Lv Y, Yang C, Zhan H. Green Synthesis of Gold Nanoparticles and Study of Their Inhibitory Effect on Bulk Cancer Cells and Cancer Stem Cells in Breast Carcinoma. </w:t>
      </w:r>
      <w:r>
        <w:rPr>
          <w:rFonts w:ascii="Book Antiqua" w:hAnsi="Book Antiqua"/>
          <w:i/>
          <w:iCs/>
        </w:rPr>
        <w:t>Nanomaterials (Basel)</w:t>
      </w:r>
      <w:r>
        <w:rPr>
          <w:rFonts w:ascii="Book Antiqua" w:hAnsi="Book Antiqua"/>
        </w:rPr>
        <w:t xml:space="preserve"> 2022; </w:t>
      </w:r>
      <w:r>
        <w:rPr>
          <w:rFonts w:ascii="Book Antiqua" w:hAnsi="Book Antiqua"/>
          <w:b/>
          <w:bCs/>
        </w:rPr>
        <w:t>12</w:t>
      </w:r>
      <w:r>
        <w:rPr>
          <w:rFonts w:ascii="Book Antiqua" w:hAnsi="Book Antiqua"/>
        </w:rPr>
        <w:t xml:space="preserve"> [PMID: 36234451 DOI: 10.3390/nano12193324]</w:t>
      </w:r>
    </w:p>
    <w:p w14:paraId="38A897DE" w14:textId="77777777" w:rsidR="00680DB2" w:rsidRDefault="00000000">
      <w:pPr>
        <w:spacing w:line="360" w:lineRule="auto"/>
        <w:jc w:val="both"/>
        <w:rPr>
          <w:rFonts w:ascii="Book Antiqua" w:hAnsi="Book Antiqua"/>
        </w:rPr>
      </w:pPr>
      <w:r>
        <w:rPr>
          <w:rFonts w:ascii="Book Antiqua" w:hAnsi="Book Antiqua"/>
        </w:rPr>
        <w:t xml:space="preserve">88 </w:t>
      </w:r>
      <w:r>
        <w:rPr>
          <w:rFonts w:ascii="Book Antiqua" w:hAnsi="Book Antiqua"/>
          <w:b/>
          <w:bCs/>
        </w:rPr>
        <w:t>Cheng Z</w:t>
      </w:r>
      <w:r>
        <w:rPr>
          <w:rFonts w:ascii="Book Antiqua" w:hAnsi="Book Antiqua"/>
        </w:rPr>
        <w:t xml:space="preserve">, Li M, Dey R, Chen Y. Nanomaterials for cancer therapy: current progress and perspectives. </w:t>
      </w:r>
      <w:r>
        <w:rPr>
          <w:rFonts w:ascii="Book Antiqua" w:hAnsi="Book Antiqua"/>
          <w:i/>
          <w:iCs/>
        </w:rPr>
        <w:t>J Hematol Oncol</w:t>
      </w:r>
      <w:r>
        <w:rPr>
          <w:rFonts w:ascii="Book Antiqua" w:hAnsi="Book Antiqua"/>
        </w:rPr>
        <w:t xml:space="preserve"> 2021; </w:t>
      </w:r>
      <w:r>
        <w:rPr>
          <w:rFonts w:ascii="Book Antiqua" w:hAnsi="Book Antiqua"/>
          <w:b/>
          <w:bCs/>
        </w:rPr>
        <w:t>14</w:t>
      </w:r>
      <w:r>
        <w:rPr>
          <w:rFonts w:ascii="Book Antiqua" w:hAnsi="Book Antiqua"/>
        </w:rPr>
        <w:t>: 85 [PMID: 34059100 DOI: 10.1186/s13045-021-01096-0]</w:t>
      </w:r>
    </w:p>
    <w:p w14:paraId="36D6FE49" w14:textId="77777777" w:rsidR="00680DB2" w:rsidRDefault="00000000">
      <w:pPr>
        <w:spacing w:line="360" w:lineRule="auto"/>
        <w:jc w:val="both"/>
        <w:rPr>
          <w:rFonts w:ascii="Book Antiqua" w:hAnsi="Book Antiqua"/>
        </w:rPr>
      </w:pPr>
      <w:r>
        <w:rPr>
          <w:rFonts w:ascii="Book Antiqua" w:hAnsi="Book Antiqua"/>
        </w:rPr>
        <w:t xml:space="preserve">89 </w:t>
      </w:r>
      <w:r>
        <w:rPr>
          <w:rFonts w:ascii="Book Antiqua" w:hAnsi="Book Antiqua"/>
          <w:b/>
          <w:bCs/>
        </w:rPr>
        <w:t>Wang CH</w:t>
      </w:r>
      <w:r>
        <w:rPr>
          <w:rFonts w:ascii="Book Antiqua" w:hAnsi="Book Antiqua"/>
        </w:rPr>
        <w:t xml:space="preserve">, Chiou SH, Chou CP, Chen YC, Huang YJ, Peng CA. Photothermolysis of glioblastoma stem-like cells targeted by carbon nanotubes conjugated with CD133 monoclonal antibody. </w:t>
      </w:r>
      <w:r>
        <w:rPr>
          <w:rFonts w:ascii="Book Antiqua" w:hAnsi="Book Antiqua"/>
          <w:i/>
          <w:iCs/>
        </w:rPr>
        <w:t>Nanomedicine</w:t>
      </w:r>
      <w:r>
        <w:rPr>
          <w:rFonts w:ascii="Book Antiqua" w:hAnsi="Book Antiqua"/>
        </w:rPr>
        <w:t xml:space="preserve"> 2011; </w:t>
      </w:r>
      <w:r>
        <w:rPr>
          <w:rFonts w:ascii="Book Antiqua" w:hAnsi="Book Antiqua"/>
          <w:b/>
          <w:bCs/>
        </w:rPr>
        <w:t>7</w:t>
      </w:r>
      <w:r>
        <w:rPr>
          <w:rFonts w:ascii="Book Antiqua" w:hAnsi="Book Antiqua"/>
        </w:rPr>
        <w:t>: 69-79 [PMID: 20620237 DOI: 10.1016/j.nano.2010.06.010]</w:t>
      </w:r>
    </w:p>
    <w:p w14:paraId="70E5F9CD" w14:textId="77777777" w:rsidR="00680DB2" w:rsidRDefault="00000000">
      <w:pPr>
        <w:spacing w:line="360" w:lineRule="auto"/>
        <w:jc w:val="both"/>
        <w:rPr>
          <w:rFonts w:ascii="Book Antiqua" w:hAnsi="Book Antiqua"/>
        </w:rPr>
      </w:pPr>
      <w:r>
        <w:rPr>
          <w:rFonts w:ascii="Book Antiqua" w:hAnsi="Book Antiqua"/>
        </w:rPr>
        <w:t xml:space="preserve">90 </w:t>
      </w:r>
      <w:r>
        <w:rPr>
          <w:rFonts w:ascii="Book Antiqua" w:hAnsi="Book Antiqua"/>
          <w:b/>
          <w:bCs/>
        </w:rPr>
        <w:t>Yao HJ</w:t>
      </w:r>
      <w:r>
        <w:rPr>
          <w:rFonts w:ascii="Book Antiqua" w:hAnsi="Book Antiqua"/>
        </w:rPr>
        <w:t xml:space="preserve">, Zhang YG, Sun L, Liu Y. The effect of hyaluronic acid functionalized carbon nanotubes loaded with salinomycin on gastric cancer stem cells. </w:t>
      </w:r>
      <w:r>
        <w:rPr>
          <w:rFonts w:ascii="Book Antiqua" w:hAnsi="Book Antiqua"/>
          <w:i/>
          <w:iCs/>
        </w:rPr>
        <w:t>Biomaterials</w:t>
      </w:r>
      <w:r>
        <w:rPr>
          <w:rFonts w:ascii="Book Antiqua" w:hAnsi="Book Antiqua"/>
        </w:rPr>
        <w:t xml:space="preserve"> 2014; </w:t>
      </w:r>
      <w:r>
        <w:rPr>
          <w:rFonts w:ascii="Book Antiqua" w:hAnsi="Book Antiqua"/>
          <w:b/>
          <w:bCs/>
        </w:rPr>
        <w:t>35</w:t>
      </w:r>
      <w:r>
        <w:rPr>
          <w:rFonts w:ascii="Book Antiqua" w:hAnsi="Book Antiqua"/>
        </w:rPr>
        <w:t>: 9208-9223 [PMID: 25115788 DOI: 10.1016/j.biomaterials.2014.07.033]</w:t>
      </w:r>
    </w:p>
    <w:p w14:paraId="41AD3205" w14:textId="77777777" w:rsidR="00680DB2" w:rsidRDefault="00000000">
      <w:pPr>
        <w:spacing w:line="360" w:lineRule="auto"/>
        <w:jc w:val="both"/>
        <w:rPr>
          <w:rFonts w:ascii="Book Antiqua" w:hAnsi="Book Antiqua"/>
        </w:rPr>
      </w:pPr>
      <w:r>
        <w:rPr>
          <w:rFonts w:ascii="Book Antiqua" w:hAnsi="Book Antiqua"/>
        </w:rPr>
        <w:t xml:space="preserve">91 </w:t>
      </w:r>
      <w:r>
        <w:rPr>
          <w:rFonts w:ascii="Book Antiqua" w:hAnsi="Book Antiqua"/>
          <w:b/>
          <w:bCs/>
        </w:rPr>
        <w:t>Al Faraj A</w:t>
      </w:r>
      <w:r>
        <w:rPr>
          <w:rFonts w:ascii="Book Antiqua" w:hAnsi="Book Antiqua"/>
        </w:rPr>
        <w:t xml:space="preserve">, Shaik AS, Ratemi E, Halwani R. Combination of drug-conjugated SWCNT nanocarriers for efficient therapy of cancer stem cells in a breast cancer animal model. </w:t>
      </w:r>
      <w:r>
        <w:rPr>
          <w:rFonts w:ascii="Book Antiqua" w:hAnsi="Book Antiqua"/>
          <w:i/>
          <w:iCs/>
        </w:rPr>
        <w:t>J Control Release</w:t>
      </w:r>
      <w:r>
        <w:rPr>
          <w:rFonts w:ascii="Book Antiqua" w:hAnsi="Book Antiqua"/>
        </w:rPr>
        <w:t xml:space="preserve"> 2016; </w:t>
      </w:r>
      <w:r>
        <w:rPr>
          <w:rFonts w:ascii="Book Antiqua" w:hAnsi="Book Antiqua"/>
          <w:b/>
          <w:bCs/>
        </w:rPr>
        <w:t>225</w:t>
      </w:r>
      <w:r>
        <w:rPr>
          <w:rFonts w:ascii="Book Antiqua" w:hAnsi="Book Antiqua"/>
        </w:rPr>
        <w:t>: 240-251 [PMID: 26827662 DOI: 10.1016/j.jconrel.2016.01.053]</w:t>
      </w:r>
    </w:p>
    <w:p w14:paraId="2C64D018" w14:textId="77777777" w:rsidR="00680DB2" w:rsidRDefault="00000000">
      <w:pPr>
        <w:spacing w:line="360" w:lineRule="auto"/>
        <w:jc w:val="both"/>
        <w:rPr>
          <w:rFonts w:ascii="Book Antiqua" w:hAnsi="Book Antiqua"/>
        </w:rPr>
      </w:pPr>
      <w:r>
        <w:rPr>
          <w:rFonts w:ascii="Book Antiqua" w:hAnsi="Book Antiqua"/>
        </w:rPr>
        <w:t xml:space="preserve">92 </w:t>
      </w:r>
      <w:r>
        <w:rPr>
          <w:rFonts w:ascii="Book Antiqua" w:hAnsi="Book Antiqua"/>
          <w:b/>
          <w:bCs/>
        </w:rPr>
        <w:t>Fiorillo M</w:t>
      </w:r>
      <w:r>
        <w:rPr>
          <w:rFonts w:ascii="Book Antiqua" w:hAnsi="Book Antiqua"/>
        </w:rPr>
        <w:t xml:space="preserve">, Verre AF, Iliut M, Peiris-Pagés M, Ozsvari B, Gandara R, Cappello AR, Sotgia F, Vijayaraghavan A, Lisanti MP. Graphene oxide selectively targets cancer stem cells, across multiple tumor types: implications for non-toxic cancer treatment, via "differentiation-based nano-therapy". </w:t>
      </w:r>
      <w:r>
        <w:rPr>
          <w:rFonts w:ascii="Book Antiqua" w:hAnsi="Book Antiqua"/>
          <w:i/>
          <w:iCs/>
        </w:rPr>
        <w:t>Oncotarget</w:t>
      </w:r>
      <w:r>
        <w:rPr>
          <w:rFonts w:ascii="Book Antiqua" w:hAnsi="Book Antiqua"/>
        </w:rPr>
        <w:t xml:space="preserve"> 2015; </w:t>
      </w:r>
      <w:r>
        <w:rPr>
          <w:rFonts w:ascii="Book Antiqua" w:hAnsi="Book Antiqua"/>
          <w:b/>
          <w:bCs/>
        </w:rPr>
        <w:t>6</w:t>
      </w:r>
      <w:r>
        <w:rPr>
          <w:rFonts w:ascii="Book Antiqua" w:hAnsi="Book Antiqua"/>
        </w:rPr>
        <w:t>: 3553-3562 [PMID: 25708684 DOI: 10.18632/oncotarget.3348]</w:t>
      </w:r>
    </w:p>
    <w:p w14:paraId="3290003C" w14:textId="77777777" w:rsidR="00680DB2" w:rsidRDefault="00000000">
      <w:pPr>
        <w:spacing w:line="360" w:lineRule="auto"/>
        <w:jc w:val="both"/>
        <w:rPr>
          <w:rFonts w:ascii="Book Antiqua" w:hAnsi="Book Antiqua"/>
        </w:rPr>
      </w:pPr>
      <w:r>
        <w:rPr>
          <w:rFonts w:ascii="Book Antiqua" w:hAnsi="Book Antiqua"/>
        </w:rPr>
        <w:lastRenderedPageBreak/>
        <w:t xml:space="preserve">93 </w:t>
      </w:r>
      <w:r>
        <w:rPr>
          <w:rFonts w:ascii="Book Antiqua" w:hAnsi="Book Antiqua"/>
          <w:b/>
          <w:bCs/>
        </w:rPr>
        <w:t>Choi YJ</w:t>
      </w:r>
      <w:r>
        <w:rPr>
          <w:rFonts w:ascii="Book Antiqua" w:hAnsi="Book Antiqua"/>
        </w:rPr>
        <w:t xml:space="preserve">, Gurunathan S, Kim JH. Graphene Oxide-Silver Nanocomposite Enhances Cytotoxic and Apoptotic Potential of Salinomycin in Human Ovarian Cancer Stem Cells (OvCSCs): A Novel Approach for Cancer Therapy. </w:t>
      </w:r>
      <w:r>
        <w:rPr>
          <w:rFonts w:ascii="Book Antiqua" w:hAnsi="Book Antiqua"/>
          <w:i/>
          <w:iCs/>
        </w:rPr>
        <w:t>Int J Mol Sci</w:t>
      </w:r>
      <w:r>
        <w:rPr>
          <w:rFonts w:ascii="Book Antiqua" w:hAnsi="Book Antiqua"/>
        </w:rPr>
        <w:t xml:space="preserve"> 2018; </w:t>
      </w:r>
      <w:r>
        <w:rPr>
          <w:rFonts w:ascii="Book Antiqua" w:hAnsi="Book Antiqua"/>
          <w:b/>
          <w:bCs/>
        </w:rPr>
        <w:t>19</w:t>
      </w:r>
      <w:r>
        <w:rPr>
          <w:rFonts w:ascii="Book Antiqua" w:hAnsi="Book Antiqua"/>
        </w:rPr>
        <w:t xml:space="preserve"> [PMID: 29494563 DOI: 10.3390/ijms19030710]</w:t>
      </w:r>
    </w:p>
    <w:p w14:paraId="5965DDA1" w14:textId="77777777" w:rsidR="00680DB2" w:rsidRDefault="00000000">
      <w:pPr>
        <w:spacing w:line="360" w:lineRule="auto"/>
        <w:jc w:val="both"/>
        <w:rPr>
          <w:rFonts w:ascii="Book Antiqua" w:hAnsi="Book Antiqua"/>
        </w:rPr>
      </w:pPr>
      <w:r>
        <w:rPr>
          <w:rFonts w:ascii="Book Antiqua" w:hAnsi="Book Antiqua"/>
        </w:rPr>
        <w:t xml:space="preserve">94 </w:t>
      </w:r>
      <w:r>
        <w:rPr>
          <w:rFonts w:ascii="Book Antiqua" w:hAnsi="Book Antiqua"/>
          <w:b/>
          <w:bCs/>
        </w:rPr>
        <w:t>Nunes T</w:t>
      </w:r>
      <w:r>
        <w:rPr>
          <w:rFonts w:ascii="Book Antiqua" w:hAnsi="Book Antiqua"/>
        </w:rPr>
        <w:t xml:space="preserve">, Hamdan D, Leboeuf C, El Bouchtaoui M, Gapihan G, Nguyen TT, Meles S, Angeli E, Ratajczak P, Lu H, Di Benedetto M, Bousquet G, Janin A. Targeting Cancer Stem Cells to Overcome Chemoresistance. </w:t>
      </w:r>
      <w:r>
        <w:rPr>
          <w:rFonts w:ascii="Book Antiqua" w:hAnsi="Book Antiqua"/>
          <w:i/>
          <w:iCs/>
        </w:rPr>
        <w:t>Int J Mol Sci</w:t>
      </w:r>
      <w:r>
        <w:rPr>
          <w:rFonts w:ascii="Book Antiqua" w:hAnsi="Book Antiqua"/>
        </w:rPr>
        <w:t xml:space="preserve"> 2018; </w:t>
      </w:r>
      <w:r>
        <w:rPr>
          <w:rFonts w:ascii="Book Antiqua" w:hAnsi="Book Antiqua"/>
          <w:b/>
          <w:bCs/>
        </w:rPr>
        <w:t>19</w:t>
      </w:r>
      <w:r>
        <w:rPr>
          <w:rFonts w:ascii="Book Antiqua" w:hAnsi="Book Antiqua"/>
        </w:rPr>
        <w:t xml:space="preserve"> [PMID: 30551640 DOI: 10.3390/ijms19124036]</w:t>
      </w:r>
    </w:p>
    <w:p w14:paraId="33F44F8B" w14:textId="77777777" w:rsidR="00680DB2" w:rsidRDefault="00000000">
      <w:pPr>
        <w:spacing w:line="360" w:lineRule="auto"/>
        <w:jc w:val="both"/>
        <w:rPr>
          <w:rFonts w:ascii="Book Antiqua" w:hAnsi="Book Antiqua"/>
        </w:rPr>
      </w:pPr>
      <w:r>
        <w:rPr>
          <w:rFonts w:ascii="Book Antiqua" w:hAnsi="Book Antiqua"/>
        </w:rPr>
        <w:t xml:space="preserve">95 </w:t>
      </w:r>
      <w:r>
        <w:rPr>
          <w:rFonts w:ascii="Book Antiqua" w:hAnsi="Book Antiqua"/>
          <w:b/>
          <w:bCs/>
        </w:rPr>
        <w:t>Li J</w:t>
      </w:r>
      <w:r>
        <w:rPr>
          <w:rFonts w:ascii="Book Antiqua" w:hAnsi="Book Antiqua"/>
        </w:rPr>
        <w:t xml:space="preserve">, Chen L, Su H, Yan L, Gu Z, Chen Z, Zhang A, Zhao F, Zhao Y. The pharmaceutical multi-activity of metallofullerenol invigorates cancer therapy. </w:t>
      </w:r>
      <w:r>
        <w:rPr>
          <w:rFonts w:ascii="Book Antiqua" w:hAnsi="Book Antiqua"/>
          <w:i/>
          <w:iCs/>
        </w:rPr>
        <w:t>Nanoscale</w:t>
      </w:r>
      <w:r>
        <w:rPr>
          <w:rFonts w:ascii="Book Antiqua" w:hAnsi="Book Antiqua"/>
        </w:rPr>
        <w:t xml:space="preserve"> 2019; </w:t>
      </w:r>
      <w:r>
        <w:rPr>
          <w:rFonts w:ascii="Book Antiqua" w:hAnsi="Book Antiqua"/>
          <w:b/>
          <w:bCs/>
        </w:rPr>
        <w:t>11</w:t>
      </w:r>
      <w:r>
        <w:rPr>
          <w:rFonts w:ascii="Book Antiqua" w:hAnsi="Book Antiqua"/>
        </w:rPr>
        <w:t>: 14528-14539 [PMID: 31364651 DOI: 10.1039/c9nr04129j]</w:t>
      </w:r>
    </w:p>
    <w:p w14:paraId="3E9C4A1C" w14:textId="77777777" w:rsidR="00680DB2" w:rsidRDefault="00000000">
      <w:pPr>
        <w:spacing w:line="360" w:lineRule="auto"/>
        <w:jc w:val="both"/>
        <w:rPr>
          <w:rFonts w:ascii="Book Antiqua" w:hAnsi="Book Antiqua"/>
        </w:rPr>
      </w:pPr>
      <w:r>
        <w:rPr>
          <w:rFonts w:ascii="Book Antiqua" w:hAnsi="Book Antiqua"/>
        </w:rPr>
        <w:t xml:space="preserve">96 </w:t>
      </w:r>
      <w:r>
        <w:rPr>
          <w:rFonts w:ascii="Book Antiqua" w:hAnsi="Book Antiqua"/>
          <w:b/>
          <w:bCs/>
        </w:rPr>
        <w:t>Yang B</w:t>
      </w:r>
      <w:r>
        <w:rPr>
          <w:rFonts w:ascii="Book Antiqua" w:hAnsi="Book Antiqua"/>
        </w:rPr>
        <w:t xml:space="preserve">, Liu H, Yang H, Chen W, Wu J, Feng X, Tong R, Yu H, Chen Y, Lv Z, Sun W, He B, Wu J, Yu G, Mao Z, Zheng S. Combinatorial photochemotherapy on liver cancer stem cells with organoplatinum(ii) metallacage-based nanoparticles. </w:t>
      </w:r>
      <w:r>
        <w:rPr>
          <w:rFonts w:ascii="Book Antiqua" w:hAnsi="Book Antiqua"/>
          <w:i/>
          <w:iCs/>
        </w:rPr>
        <w:t>J Mater Chem B</w:t>
      </w:r>
      <w:r>
        <w:rPr>
          <w:rFonts w:ascii="Book Antiqua" w:hAnsi="Book Antiqua"/>
        </w:rPr>
        <w:t xml:space="preserve"> 2019; </w:t>
      </w:r>
      <w:r>
        <w:rPr>
          <w:rFonts w:ascii="Book Antiqua" w:hAnsi="Book Antiqua"/>
          <w:b/>
          <w:bCs/>
        </w:rPr>
        <w:t>7</w:t>
      </w:r>
      <w:r>
        <w:rPr>
          <w:rFonts w:ascii="Book Antiqua" w:hAnsi="Book Antiqua"/>
        </w:rPr>
        <w:t>: 6476-6487 [PMID: 31465082 DOI: 10.1039/c9tb01299k]</w:t>
      </w:r>
    </w:p>
    <w:p w14:paraId="0CD3DA02" w14:textId="77777777" w:rsidR="00680DB2" w:rsidRDefault="00000000">
      <w:pPr>
        <w:spacing w:line="360" w:lineRule="auto"/>
        <w:jc w:val="both"/>
        <w:rPr>
          <w:rFonts w:ascii="Book Antiqua" w:hAnsi="Book Antiqua"/>
        </w:rPr>
      </w:pPr>
      <w:r>
        <w:rPr>
          <w:rFonts w:ascii="Book Antiqua" w:hAnsi="Book Antiqua"/>
        </w:rPr>
        <w:t xml:space="preserve">97 </w:t>
      </w:r>
      <w:r>
        <w:rPr>
          <w:rFonts w:ascii="Book Antiqua" w:hAnsi="Book Antiqua"/>
          <w:b/>
          <w:bCs/>
        </w:rPr>
        <w:t>Pan Y</w:t>
      </w:r>
      <w:r>
        <w:rPr>
          <w:rFonts w:ascii="Book Antiqua" w:hAnsi="Book Antiqua"/>
        </w:rPr>
        <w:t xml:space="preserve">, Ma X, Liu C, Xing J, Zhou S, Parshad B, Schwerdtle T, Li W, Wu A, Haag R. Retinoic Acid-Loaded Dendritic Polyglycerol-Conjugated Gold Nanostars for Targeted Photothermal Therapy in Breast Cancer Stem Cells. </w:t>
      </w:r>
      <w:r>
        <w:rPr>
          <w:rFonts w:ascii="Book Antiqua" w:hAnsi="Book Antiqua"/>
          <w:i/>
          <w:iCs/>
        </w:rPr>
        <w:t>ACS Nano</w:t>
      </w:r>
      <w:r>
        <w:rPr>
          <w:rFonts w:ascii="Book Antiqua" w:hAnsi="Book Antiqua"/>
        </w:rPr>
        <w:t xml:space="preserve"> 2021; </w:t>
      </w:r>
      <w:r>
        <w:rPr>
          <w:rFonts w:ascii="Book Antiqua" w:hAnsi="Book Antiqua"/>
          <w:b/>
          <w:bCs/>
        </w:rPr>
        <w:t>15</w:t>
      </w:r>
      <w:r>
        <w:rPr>
          <w:rFonts w:ascii="Book Antiqua" w:hAnsi="Book Antiqua"/>
        </w:rPr>
        <w:t>: 15069-15084 [PMID: 34420298 DOI: 10.1021/acsnano.1c05452]</w:t>
      </w:r>
    </w:p>
    <w:p w14:paraId="365F3D4B" w14:textId="77777777" w:rsidR="00680DB2" w:rsidRDefault="00000000">
      <w:pPr>
        <w:spacing w:line="360" w:lineRule="auto"/>
        <w:jc w:val="both"/>
        <w:rPr>
          <w:rFonts w:ascii="Book Antiqua" w:hAnsi="Book Antiqua"/>
        </w:rPr>
      </w:pPr>
      <w:r>
        <w:rPr>
          <w:rFonts w:ascii="Book Antiqua" w:hAnsi="Book Antiqua"/>
        </w:rPr>
        <w:t xml:space="preserve">98 </w:t>
      </w:r>
      <w:r>
        <w:rPr>
          <w:rFonts w:ascii="Book Antiqua" w:hAnsi="Book Antiqua"/>
          <w:b/>
          <w:bCs/>
        </w:rPr>
        <w:t>Cao W</w:t>
      </w:r>
      <w:r>
        <w:rPr>
          <w:rFonts w:ascii="Book Antiqua" w:hAnsi="Book Antiqua"/>
        </w:rPr>
        <w:t xml:space="preserve">, Liu B, Xia F, Duan M, Hong Y, Niu J, Wang L, Liu Y, Li C, Cui D. MnO(2)@Ce6-loaded mesenchymal stem cells as an "oxygen-laden guided-missile" for the enhanced photodynamic therapy on lung cancer. </w:t>
      </w:r>
      <w:r>
        <w:rPr>
          <w:rFonts w:ascii="Book Antiqua" w:hAnsi="Book Antiqua"/>
          <w:i/>
          <w:iCs/>
        </w:rPr>
        <w:t>Nanoscale</w:t>
      </w:r>
      <w:r>
        <w:rPr>
          <w:rFonts w:ascii="Book Antiqua" w:hAnsi="Book Antiqua"/>
        </w:rPr>
        <w:t xml:space="preserve"> 2020; </w:t>
      </w:r>
      <w:r>
        <w:rPr>
          <w:rFonts w:ascii="Book Antiqua" w:hAnsi="Book Antiqua"/>
          <w:b/>
          <w:bCs/>
        </w:rPr>
        <w:t>12</w:t>
      </w:r>
      <w:r>
        <w:rPr>
          <w:rFonts w:ascii="Book Antiqua" w:hAnsi="Book Antiqua"/>
        </w:rPr>
        <w:t>: 3090-3102 [PMID: 31965129 DOI: 10.1039/c9nr07947e]</w:t>
      </w:r>
    </w:p>
    <w:p w14:paraId="7EBF336B" w14:textId="77777777" w:rsidR="00680DB2" w:rsidRDefault="00000000">
      <w:pPr>
        <w:spacing w:line="360" w:lineRule="auto"/>
        <w:jc w:val="both"/>
        <w:rPr>
          <w:rFonts w:ascii="Book Antiqua" w:hAnsi="Book Antiqua"/>
        </w:rPr>
      </w:pPr>
      <w:r>
        <w:rPr>
          <w:rFonts w:ascii="Book Antiqua" w:hAnsi="Book Antiqua"/>
        </w:rPr>
        <w:t xml:space="preserve">99 </w:t>
      </w:r>
      <w:bookmarkStart w:id="46" w:name="OLE_LINK1"/>
      <w:r>
        <w:rPr>
          <w:rFonts w:ascii="Book Antiqua" w:hAnsi="Book Antiqua"/>
          <w:b/>
          <w:bCs/>
        </w:rPr>
        <w:t>Haldavnekar R</w:t>
      </w:r>
      <w:bookmarkEnd w:id="46"/>
      <w:r>
        <w:rPr>
          <w:rFonts w:ascii="Book Antiqua" w:hAnsi="Book Antiqua"/>
        </w:rPr>
        <w:t xml:space="preserve">, Vijayakumar SC, Venkatakrishnan K, Tan B. Prediction of Cancer Stem Cell Fate by Surface-Enhanced Raman Scattering Functionalized Nanoprobes. </w:t>
      </w:r>
      <w:r>
        <w:rPr>
          <w:rFonts w:ascii="Book Antiqua" w:hAnsi="Book Antiqua"/>
          <w:i/>
          <w:iCs/>
        </w:rPr>
        <w:t>ACS Nano</w:t>
      </w:r>
      <w:r>
        <w:rPr>
          <w:rFonts w:ascii="Book Antiqua" w:hAnsi="Book Antiqua"/>
        </w:rPr>
        <w:t xml:space="preserve"> 2020; </w:t>
      </w:r>
      <w:r>
        <w:rPr>
          <w:rFonts w:ascii="Book Antiqua" w:hAnsi="Book Antiqua"/>
          <w:b/>
          <w:bCs/>
        </w:rPr>
        <w:t>14</w:t>
      </w:r>
      <w:r>
        <w:rPr>
          <w:rFonts w:ascii="Book Antiqua" w:hAnsi="Book Antiqua"/>
        </w:rPr>
        <w:t>: 15468-15491 [PMID: 33175514 DOI: 10.1021/acsnano.0c06104]</w:t>
      </w:r>
    </w:p>
    <w:p w14:paraId="08249386" w14:textId="77777777" w:rsidR="00680DB2" w:rsidRDefault="00000000">
      <w:pPr>
        <w:spacing w:line="360" w:lineRule="auto"/>
        <w:jc w:val="both"/>
        <w:rPr>
          <w:rFonts w:ascii="Book Antiqua" w:hAnsi="Book Antiqua"/>
        </w:rPr>
      </w:pPr>
      <w:r>
        <w:rPr>
          <w:rFonts w:ascii="Book Antiqua" w:hAnsi="Book Antiqua"/>
        </w:rPr>
        <w:t xml:space="preserve">100 </w:t>
      </w:r>
      <w:r>
        <w:rPr>
          <w:rFonts w:ascii="Book Antiqua" w:hAnsi="Book Antiqua"/>
          <w:b/>
          <w:bCs/>
        </w:rPr>
        <w:t>Liu J</w:t>
      </w:r>
      <w:r>
        <w:rPr>
          <w:rFonts w:ascii="Book Antiqua" w:hAnsi="Book Antiqua"/>
        </w:rPr>
        <w:t xml:space="preserve">, Smith S, Wang C. Photothermal Attenuation of Cancer Cell Stemness, Chemoresistance, and Migration Using CD44-Targeted MoS(2) Nanosheets. </w:t>
      </w:r>
      <w:r>
        <w:rPr>
          <w:rFonts w:ascii="Book Antiqua" w:hAnsi="Book Antiqua"/>
          <w:i/>
          <w:iCs/>
        </w:rPr>
        <w:t>Nano Lett</w:t>
      </w:r>
      <w:r>
        <w:rPr>
          <w:rFonts w:ascii="Book Antiqua" w:hAnsi="Book Antiqua"/>
        </w:rPr>
        <w:t xml:space="preserve"> 2023; </w:t>
      </w:r>
      <w:r>
        <w:rPr>
          <w:rFonts w:ascii="Book Antiqua" w:hAnsi="Book Antiqua"/>
          <w:b/>
          <w:bCs/>
        </w:rPr>
        <w:t>23</w:t>
      </w:r>
      <w:r>
        <w:rPr>
          <w:rFonts w:ascii="Book Antiqua" w:hAnsi="Book Antiqua"/>
        </w:rPr>
        <w:t>: 1989-1999 [PMID: 36827209 DOI: 10.1021/acs.nanolett.3c00089]</w:t>
      </w:r>
    </w:p>
    <w:p w14:paraId="7E3C34B2" w14:textId="77777777" w:rsidR="00680DB2" w:rsidRDefault="00000000">
      <w:pPr>
        <w:spacing w:line="360" w:lineRule="auto"/>
        <w:jc w:val="both"/>
        <w:rPr>
          <w:rFonts w:ascii="Book Antiqua" w:hAnsi="Book Antiqua"/>
        </w:rPr>
      </w:pPr>
      <w:r>
        <w:rPr>
          <w:rFonts w:ascii="Book Antiqua" w:hAnsi="Book Antiqua"/>
        </w:rPr>
        <w:lastRenderedPageBreak/>
        <w:t xml:space="preserve">101 </w:t>
      </w:r>
      <w:r>
        <w:rPr>
          <w:rFonts w:ascii="Book Antiqua" w:hAnsi="Book Antiqua"/>
          <w:b/>
          <w:bCs/>
        </w:rPr>
        <w:t>Laurent S</w:t>
      </w:r>
      <w:r>
        <w:rPr>
          <w:rFonts w:ascii="Book Antiqua" w:hAnsi="Book Antiqua"/>
        </w:rPr>
        <w:t xml:space="preserve">, Dutz S, Häfeli UO, Mahmoudi M. Magnetic fluid hyperthermia: focus on superparamagnetic iron oxide nanoparticles. </w:t>
      </w:r>
      <w:r>
        <w:rPr>
          <w:rFonts w:ascii="Book Antiqua" w:hAnsi="Book Antiqua"/>
          <w:i/>
          <w:iCs/>
        </w:rPr>
        <w:t>Adv Colloid Interface Sci</w:t>
      </w:r>
      <w:r>
        <w:rPr>
          <w:rFonts w:ascii="Book Antiqua" w:hAnsi="Book Antiqua"/>
        </w:rPr>
        <w:t xml:space="preserve"> 2011; </w:t>
      </w:r>
      <w:r>
        <w:rPr>
          <w:rFonts w:ascii="Book Antiqua" w:hAnsi="Book Antiqua"/>
          <w:b/>
          <w:bCs/>
        </w:rPr>
        <w:t>166</w:t>
      </w:r>
      <w:r>
        <w:rPr>
          <w:rFonts w:ascii="Book Antiqua" w:hAnsi="Book Antiqua"/>
        </w:rPr>
        <w:t>: 8-23 [PMID: 21601820 DOI: 10.1016/j.cis.2011.04.003]</w:t>
      </w:r>
    </w:p>
    <w:p w14:paraId="66BE99A2" w14:textId="77777777" w:rsidR="00680DB2" w:rsidRDefault="00000000">
      <w:pPr>
        <w:spacing w:line="360" w:lineRule="auto"/>
        <w:jc w:val="both"/>
        <w:rPr>
          <w:rFonts w:ascii="Book Antiqua" w:hAnsi="Book Antiqua"/>
        </w:rPr>
      </w:pPr>
      <w:r>
        <w:rPr>
          <w:rFonts w:ascii="Book Antiqua" w:hAnsi="Book Antiqua"/>
        </w:rPr>
        <w:t xml:space="preserve">102 </w:t>
      </w:r>
      <w:r>
        <w:rPr>
          <w:rFonts w:ascii="Book Antiqua" w:hAnsi="Book Antiqua"/>
          <w:b/>
          <w:bCs/>
        </w:rPr>
        <w:t>Ni Z</w:t>
      </w:r>
      <w:r>
        <w:rPr>
          <w:rFonts w:ascii="Book Antiqua" w:hAnsi="Book Antiqua"/>
        </w:rPr>
        <w:t xml:space="preserve">, Nie X, Zhang H, Wang L, Geng Z, Du X, Qian H, Liu W, Liu T. Atranorin driven by nano materials SPION lead to ferroptosis of gastric cancer stem cells by weakening the mRNA 5-hydroxymethylcytidine modification of the Xc-/GPX4 axis and its expression. </w:t>
      </w:r>
      <w:r>
        <w:rPr>
          <w:rFonts w:ascii="Book Antiqua" w:hAnsi="Book Antiqua"/>
          <w:i/>
          <w:iCs/>
        </w:rPr>
        <w:t>Int J Med Sci</w:t>
      </w:r>
      <w:r>
        <w:rPr>
          <w:rFonts w:ascii="Book Antiqua" w:hAnsi="Book Antiqua"/>
        </w:rPr>
        <w:t xml:space="preserve"> 2022; </w:t>
      </w:r>
      <w:r>
        <w:rPr>
          <w:rFonts w:ascii="Book Antiqua" w:hAnsi="Book Antiqua"/>
          <w:b/>
          <w:bCs/>
        </w:rPr>
        <w:t>19</w:t>
      </w:r>
      <w:r>
        <w:rPr>
          <w:rFonts w:ascii="Book Antiqua" w:hAnsi="Book Antiqua"/>
        </w:rPr>
        <w:t>: 1680-1694 [PMID: 36237989 DOI: 10.7150/ijms.73701]</w:t>
      </w:r>
    </w:p>
    <w:p w14:paraId="3918B731" w14:textId="77777777" w:rsidR="00680DB2" w:rsidRDefault="00000000">
      <w:pPr>
        <w:spacing w:line="360" w:lineRule="auto"/>
        <w:jc w:val="both"/>
        <w:rPr>
          <w:rFonts w:ascii="Book Antiqua" w:hAnsi="Book Antiqua"/>
        </w:rPr>
      </w:pPr>
      <w:r>
        <w:rPr>
          <w:rFonts w:ascii="Book Antiqua" w:hAnsi="Book Antiqua"/>
        </w:rPr>
        <w:t xml:space="preserve">103 </w:t>
      </w:r>
      <w:r>
        <w:rPr>
          <w:rFonts w:ascii="Book Antiqua" w:hAnsi="Book Antiqua"/>
          <w:b/>
          <w:bCs/>
        </w:rPr>
        <w:t>Yoon HJ</w:t>
      </w:r>
      <w:r>
        <w:rPr>
          <w:rFonts w:ascii="Book Antiqua" w:hAnsi="Book Antiqua"/>
        </w:rPr>
        <w:t xml:space="preserve">, Kim TH, Zhang Z, Azizi E, Pham TM, Paoletti C, Lin J, Ramnath N, Wicha MS, Hayes DF, Simeone DM, Nagrath S. Sensitive capture of circulating tumour cells by functionalized graphene oxide nanosheets. </w:t>
      </w:r>
      <w:r>
        <w:rPr>
          <w:rFonts w:ascii="Book Antiqua" w:hAnsi="Book Antiqua"/>
          <w:i/>
          <w:iCs/>
        </w:rPr>
        <w:t>Nat Nanotechnol</w:t>
      </w:r>
      <w:r>
        <w:rPr>
          <w:rFonts w:ascii="Book Antiqua" w:hAnsi="Book Antiqua"/>
        </w:rPr>
        <w:t xml:space="preserve"> 2013; </w:t>
      </w:r>
      <w:r>
        <w:rPr>
          <w:rFonts w:ascii="Book Antiqua" w:hAnsi="Book Antiqua"/>
          <w:b/>
          <w:bCs/>
        </w:rPr>
        <w:t>8</w:t>
      </w:r>
      <w:r>
        <w:rPr>
          <w:rFonts w:ascii="Book Antiqua" w:hAnsi="Book Antiqua"/>
        </w:rPr>
        <w:t>: 735-741 [PMID: 24077027 DOI: 10.1038/nnano.2013.194]</w:t>
      </w:r>
    </w:p>
    <w:p w14:paraId="04389664" w14:textId="77777777" w:rsidR="00680DB2" w:rsidRDefault="00000000">
      <w:pPr>
        <w:spacing w:line="360" w:lineRule="auto"/>
        <w:jc w:val="both"/>
        <w:rPr>
          <w:rFonts w:ascii="Book Antiqua" w:hAnsi="Book Antiqua"/>
        </w:rPr>
      </w:pPr>
      <w:r>
        <w:rPr>
          <w:rFonts w:ascii="Book Antiqua" w:hAnsi="Book Antiqua"/>
        </w:rPr>
        <w:t xml:space="preserve">104 </w:t>
      </w:r>
      <w:r>
        <w:rPr>
          <w:rFonts w:ascii="Book Antiqua" w:hAnsi="Book Antiqua"/>
          <w:b/>
          <w:bCs/>
        </w:rPr>
        <w:t>Liu D</w:t>
      </w:r>
      <w:r>
        <w:rPr>
          <w:rFonts w:ascii="Book Antiqua" w:hAnsi="Book Antiqua"/>
        </w:rPr>
        <w:t xml:space="preserve">, Hong Y, Li Y, Hu C, Yip TC, Yu WK, Zhu Y, Fong CC, Wang W, Au SK, Wang S, Yang M. Targeted destruction of cancer stem cells using multifunctional magnetic nanoparticles that enable combined hyperthermia and chemotherapy. </w:t>
      </w:r>
      <w:r>
        <w:rPr>
          <w:rFonts w:ascii="Book Antiqua" w:hAnsi="Book Antiqua"/>
          <w:i/>
          <w:iCs/>
        </w:rPr>
        <w:t>Theranostics</w:t>
      </w:r>
      <w:r>
        <w:rPr>
          <w:rFonts w:ascii="Book Antiqua" w:hAnsi="Book Antiqua"/>
        </w:rPr>
        <w:t xml:space="preserve"> 2020; </w:t>
      </w:r>
      <w:r>
        <w:rPr>
          <w:rFonts w:ascii="Book Antiqua" w:hAnsi="Book Antiqua"/>
          <w:b/>
          <w:bCs/>
        </w:rPr>
        <w:t>10</w:t>
      </w:r>
      <w:r>
        <w:rPr>
          <w:rFonts w:ascii="Book Antiqua" w:hAnsi="Book Antiqua"/>
        </w:rPr>
        <w:t>: 1181-1196 [PMID: 31938059 DOI: 10.7150/thno.38989]</w:t>
      </w:r>
    </w:p>
    <w:p w14:paraId="09EE27AA" w14:textId="77777777" w:rsidR="00680DB2" w:rsidRDefault="00000000">
      <w:pPr>
        <w:spacing w:line="360" w:lineRule="auto"/>
        <w:jc w:val="both"/>
        <w:rPr>
          <w:rFonts w:ascii="Book Antiqua" w:hAnsi="Book Antiqua"/>
        </w:rPr>
      </w:pPr>
      <w:r>
        <w:rPr>
          <w:rFonts w:ascii="Book Antiqua" w:hAnsi="Book Antiqua"/>
        </w:rPr>
        <w:t xml:space="preserve">105 </w:t>
      </w:r>
      <w:r>
        <w:rPr>
          <w:rFonts w:ascii="Book Antiqua" w:hAnsi="Book Antiqua"/>
          <w:b/>
          <w:bCs/>
        </w:rPr>
        <w:t>Ji T</w:t>
      </w:r>
      <w:r>
        <w:rPr>
          <w:rFonts w:ascii="Book Antiqua" w:hAnsi="Book Antiqua"/>
        </w:rPr>
        <w:t xml:space="preserve">, Zhao Y, Ding Y, Nie G. Using functional nanomaterials to target and regulate the tumor microenvironment: diagnostic and therapeutic applications. </w:t>
      </w:r>
      <w:r>
        <w:rPr>
          <w:rFonts w:ascii="Book Antiqua" w:hAnsi="Book Antiqua"/>
          <w:i/>
          <w:iCs/>
        </w:rPr>
        <w:t>Adv Mater</w:t>
      </w:r>
      <w:r>
        <w:rPr>
          <w:rFonts w:ascii="Book Antiqua" w:hAnsi="Book Antiqua"/>
        </w:rPr>
        <w:t xml:space="preserve"> 2013; </w:t>
      </w:r>
      <w:r>
        <w:rPr>
          <w:rFonts w:ascii="Book Antiqua" w:hAnsi="Book Antiqua"/>
          <w:b/>
          <w:bCs/>
        </w:rPr>
        <w:t>25</w:t>
      </w:r>
      <w:r>
        <w:rPr>
          <w:rFonts w:ascii="Book Antiqua" w:hAnsi="Book Antiqua"/>
        </w:rPr>
        <w:t>: 3508-3525 [PMID: 23703805 DOI: 10.1002/adma.201300299]</w:t>
      </w:r>
      <w:bookmarkEnd w:id="39"/>
      <w:bookmarkEnd w:id="40"/>
      <w:bookmarkEnd w:id="41"/>
    </w:p>
    <w:p w14:paraId="1074541E" w14:textId="77777777" w:rsidR="00680DB2" w:rsidRDefault="00680DB2">
      <w:pPr>
        <w:spacing w:line="360" w:lineRule="auto"/>
        <w:jc w:val="both"/>
        <w:rPr>
          <w:rFonts w:ascii="Book Antiqua" w:eastAsia="Book Antiqua" w:hAnsi="Book Antiqua" w:cs="Book Antiqua"/>
        </w:rPr>
      </w:pPr>
    </w:p>
    <w:p w14:paraId="59CBAE95" w14:textId="77777777" w:rsidR="00680DB2" w:rsidRDefault="00680DB2">
      <w:pPr>
        <w:spacing w:line="360" w:lineRule="auto"/>
        <w:jc w:val="both"/>
        <w:rPr>
          <w:rFonts w:ascii="Book Antiqua" w:eastAsia="Book Antiqua" w:hAnsi="Book Antiqua" w:cs="Book Antiqua"/>
        </w:rPr>
      </w:pPr>
    </w:p>
    <w:p w14:paraId="75F55FFE" w14:textId="77777777" w:rsidR="00680DB2" w:rsidRPr="00641A01" w:rsidRDefault="00680DB2">
      <w:pPr>
        <w:spacing w:line="360" w:lineRule="auto"/>
        <w:jc w:val="both"/>
        <w:rPr>
          <w:rFonts w:ascii="Book Antiqua" w:hAnsi="Book Antiqua"/>
        </w:rPr>
        <w:sectPr w:rsidR="00680DB2" w:rsidRPr="00641A01">
          <w:pgSz w:w="12240" w:h="15840"/>
          <w:pgMar w:top="1440" w:right="1440" w:bottom="1440" w:left="1440" w:header="720" w:footer="720" w:gutter="0"/>
          <w:cols w:space="720"/>
          <w:docGrid w:linePitch="360"/>
        </w:sectPr>
      </w:pPr>
    </w:p>
    <w:p w14:paraId="6170999E"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7C23677"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conflicts of interest to declare.</w:t>
      </w:r>
    </w:p>
    <w:p w14:paraId="30B03492" w14:textId="77777777" w:rsidR="00680DB2" w:rsidRPr="00641A01" w:rsidRDefault="00680DB2">
      <w:pPr>
        <w:spacing w:line="360" w:lineRule="auto"/>
        <w:jc w:val="both"/>
        <w:rPr>
          <w:rFonts w:ascii="Book Antiqua" w:hAnsi="Book Antiqua"/>
        </w:rPr>
      </w:pPr>
    </w:p>
    <w:p w14:paraId="72DD877F"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A417C3" w14:textId="77777777" w:rsidR="00680DB2" w:rsidRPr="00641A01" w:rsidRDefault="00680DB2">
      <w:pPr>
        <w:spacing w:line="360" w:lineRule="auto"/>
        <w:jc w:val="both"/>
        <w:rPr>
          <w:rFonts w:ascii="Book Antiqua" w:hAnsi="Book Antiqua"/>
        </w:rPr>
      </w:pPr>
    </w:p>
    <w:p w14:paraId="2D305ACC"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3181E79"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F55E40B" w14:textId="77777777" w:rsidR="00680DB2" w:rsidRPr="00641A01" w:rsidRDefault="00680DB2">
      <w:pPr>
        <w:spacing w:line="360" w:lineRule="auto"/>
        <w:jc w:val="both"/>
        <w:rPr>
          <w:rFonts w:ascii="Book Antiqua" w:hAnsi="Book Antiqua"/>
        </w:rPr>
      </w:pPr>
    </w:p>
    <w:p w14:paraId="5D1A5CE6"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December 28, 2022</w:t>
      </w:r>
    </w:p>
    <w:p w14:paraId="576ADAC4"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14, 2023</w:t>
      </w:r>
    </w:p>
    <w:p w14:paraId="39576AAB" w14:textId="4FD3E7C5"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4525D4">
        <w:rPr>
          <w:rFonts w:ascii="Book Antiqua" w:eastAsia="Book Antiqua" w:hAnsi="Book Antiqua" w:cs="Book Antiqua"/>
        </w:rPr>
        <w:t>April 18, 2023</w:t>
      </w:r>
    </w:p>
    <w:p w14:paraId="69A3F750" w14:textId="77777777" w:rsidR="00680DB2" w:rsidRPr="00641A01" w:rsidRDefault="00680DB2">
      <w:pPr>
        <w:spacing w:line="360" w:lineRule="auto"/>
        <w:jc w:val="both"/>
        <w:rPr>
          <w:rFonts w:ascii="Book Antiqua" w:hAnsi="Book Antiqua"/>
        </w:rPr>
      </w:pPr>
    </w:p>
    <w:p w14:paraId="5253A60E"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Cell biology</w:t>
      </w:r>
    </w:p>
    <w:p w14:paraId="6E1659CC"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A7FEAD5"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860D3CE" w14:textId="77777777" w:rsidR="00680DB2" w:rsidRPr="00641A01" w:rsidRDefault="00000000">
      <w:pPr>
        <w:spacing w:line="360" w:lineRule="auto"/>
        <w:jc w:val="both"/>
        <w:rPr>
          <w:rFonts w:ascii="Book Antiqua" w:hAnsi="Book Antiqua"/>
        </w:rPr>
      </w:pPr>
      <w:r>
        <w:rPr>
          <w:rFonts w:ascii="Book Antiqua" w:eastAsia="Book Antiqua" w:hAnsi="Book Antiqua" w:cs="Book Antiqua"/>
        </w:rPr>
        <w:t>Grade A (Excellent): 0</w:t>
      </w:r>
    </w:p>
    <w:p w14:paraId="45AA6B4A" w14:textId="77777777" w:rsidR="00680DB2" w:rsidRPr="00641A01" w:rsidRDefault="00000000">
      <w:pPr>
        <w:spacing w:line="360" w:lineRule="auto"/>
        <w:jc w:val="both"/>
        <w:rPr>
          <w:rFonts w:ascii="Book Antiqua" w:hAnsi="Book Antiqua"/>
        </w:rPr>
      </w:pPr>
      <w:r>
        <w:rPr>
          <w:rFonts w:ascii="Book Antiqua" w:eastAsia="Book Antiqua" w:hAnsi="Book Antiqua" w:cs="Book Antiqua"/>
        </w:rPr>
        <w:t>Grade B (Very good): 0</w:t>
      </w:r>
    </w:p>
    <w:p w14:paraId="35E2CD7A" w14:textId="77777777" w:rsidR="00680DB2" w:rsidRPr="00641A01" w:rsidRDefault="00000000">
      <w:pPr>
        <w:spacing w:line="360" w:lineRule="auto"/>
        <w:jc w:val="both"/>
        <w:rPr>
          <w:rFonts w:ascii="Book Antiqua" w:hAnsi="Book Antiqua"/>
          <w:lang w:eastAsia="zh-CN"/>
        </w:rPr>
      </w:pPr>
      <w:r>
        <w:rPr>
          <w:rFonts w:ascii="Book Antiqua" w:eastAsia="Book Antiqua" w:hAnsi="Book Antiqua" w:cs="Book Antiqua"/>
        </w:rPr>
        <w:t>Grade C (Good): C, C, C</w:t>
      </w:r>
    </w:p>
    <w:p w14:paraId="58F181C2" w14:textId="77777777" w:rsidR="00680DB2" w:rsidRPr="00641A01" w:rsidRDefault="00000000">
      <w:pPr>
        <w:spacing w:line="360" w:lineRule="auto"/>
        <w:jc w:val="both"/>
        <w:rPr>
          <w:rFonts w:ascii="Book Antiqua" w:hAnsi="Book Antiqua"/>
        </w:rPr>
      </w:pPr>
      <w:r>
        <w:rPr>
          <w:rFonts w:ascii="Book Antiqua" w:eastAsia="Book Antiqua" w:hAnsi="Book Antiqua" w:cs="Book Antiqua"/>
        </w:rPr>
        <w:t>Grade D (Fair): 0</w:t>
      </w:r>
    </w:p>
    <w:p w14:paraId="440BD168" w14:textId="77777777" w:rsidR="00680DB2" w:rsidRPr="00641A01" w:rsidRDefault="00000000">
      <w:pPr>
        <w:spacing w:line="360" w:lineRule="auto"/>
        <w:jc w:val="both"/>
        <w:rPr>
          <w:rFonts w:ascii="Book Antiqua" w:hAnsi="Book Antiqua"/>
        </w:rPr>
      </w:pPr>
      <w:r>
        <w:rPr>
          <w:rFonts w:ascii="Book Antiqua" w:eastAsia="Book Antiqua" w:hAnsi="Book Antiqua" w:cs="Book Antiqua"/>
        </w:rPr>
        <w:t>Grade E (Poor): 0</w:t>
      </w:r>
    </w:p>
    <w:p w14:paraId="146D6C22" w14:textId="77777777" w:rsidR="00680DB2" w:rsidRPr="00641A01" w:rsidRDefault="00680DB2">
      <w:pPr>
        <w:spacing w:line="360" w:lineRule="auto"/>
        <w:jc w:val="both"/>
        <w:rPr>
          <w:rFonts w:ascii="Book Antiqua" w:hAnsi="Book Antiqua"/>
        </w:rPr>
      </w:pPr>
    </w:p>
    <w:p w14:paraId="44DA16AA" w14:textId="4B35338C" w:rsidR="00680DB2" w:rsidRPr="00641A01" w:rsidRDefault="00000000">
      <w:pPr>
        <w:spacing w:line="360" w:lineRule="auto"/>
        <w:jc w:val="both"/>
        <w:rPr>
          <w:rFonts w:ascii="Book Antiqua" w:hAnsi="Book Antiqua"/>
        </w:rPr>
        <w:sectPr w:rsidR="00680DB2" w:rsidRPr="00641A0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Kanaoujiya R, India; Nath L,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lang w:eastAsia="zh-CN"/>
        </w:rPr>
        <w:t>Yan JP</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sidR="004525D4" w:rsidRPr="004525D4">
        <w:rPr>
          <w:rFonts w:ascii="Book Antiqua" w:eastAsia="Book Antiqua" w:hAnsi="Book Antiqua" w:cs="Book Antiqua"/>
          <w:bCs/>
          <w:color w:val="000000"/>
        </w:rPr>
        <w:t>Cai YX</w:t>
      </w:r>
    </w:p>
    <w:p w14:paraId="7DA44814"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26E1CAE" w14:textId="1E77DF72" w:rsidR="00680DB2" w:rsidRDefault="00473CB2">
      <w:pPr>
        <w:spacing w:line="360" w:lineRule="auto"/>
        <w:jc w:val="both"/>
        <w:rPr>
          <w:rFonts w:ascii="Book Antiqua" w:eastAsia="Book Antiqua" w:hAnsi="Book Antiqua" w:cs="Book Antiqua"/>
        </w:rPr>
      </w:pPr>
      <w:r>
        <w:rPr>
          <w:rFonts w:ascii="Book Antiqua" w:eastAsia="Book Antiqua" w:hAnsi="Book Antiqua" w:cs="Book Antiqua"/>
          <w:noProof/>
        </w:rPr>
        <w:drawing>
          <wp:inline distT="0" distB="0" distL="0" distR="0" wp14:anchorId="77C3E97C" wp14:editId="77F8F703">
            <wp:extent cx="4267200" cy="3632200"/>
            <wp:effectExtent l="0" t="0" r="0" b="0"/>
            <wp:docPr id="836668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68703" name="图片 83666870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3632200"/>
                    </a:xfrm>
                    <a:prstGeom prst="rect">
                      <a:avLst/>
                    </a:prstGeom>
                  </pic:spPr>
                </pic:pic>
              </a:graphicData>
            </a:graphic>
          </wp:inline>
        </w:drawing>
      </w:r>
    </w:p>
    <w:p w14:paraId="754F0AF6" w14:textId="77777777" w:rsidR="00680DB2"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bCs/>
          <w:color w:val="000000"/>
          <w:lang w:eastAsia="zh-CN"/>
        </w:rPr>
        <w:t xml:space="preserve">Different mechanisms of nanocarriers. </w:t>
      </w:r>
      <w:r>
        <w:rPr>
          <w:rFonts w:ascii="Book Antiqua" w:eastAsia="Book Antiqua" w:hAnsi="Book Antiqua" w:cs="Book Antiqua"/>
          <w:color w:val="000000"/>
        </w:rPr>
        <w:t>A: Targeting through surface biomarkers; B: Targeting through the ligand-interacting domain on the nuclear receptor (created with BioRender).</w:t>
      </w:r>
    </w:p>
    <w:p w14:paraId="746471B4" w14:textId="77777777" w:rsidR="00680DB2" w:rsidRPr="00641A01" w:rsidRDefault="00680DB2">
      <w:pPr>
        <w:spacing w:line="360" w:lineRule="auto"/>
        <w:jc w:val="both"/>
        <w:rPr>
          <w:rFonts w:ascii="Book Antiqua" w:hAnsi="Book Antiqua"/>
        </w:rPr>
        <w:sectPr w:rsidR="00680DB2" w:rsidRPr="00641A01">
          <w:pgSz w:w="12240" w:h="15840"/>
          <w:pgMar w:top="1440" w:right="1440" w:bottom="1440" w:left="1440" w:header="720" w:footer="720" w:gutter="0"/>
          <w:cols w:space="720"/>
          <w:docGrid w:linePitch="360"/>
        </w:sectPr>
      </w:pPr>
    </w:p>
    <w:p w14:paraId="4C6B0DC9" w14:textId="00B765C4" w:rsidR="00680DB2" w:rsidRPr="00641A01" w:rsidRDefault="00473CB2">
      <w:pPr>
        <w:spacing w:line="360" w:lineRule="auto"/>
        <w:jc w:val="both"/>
        <w:rPr>
          <w:rFonts w:ascii="Book Antiqua" w:hAnsi="Book Antiqua"/>
        </w:rPr>
      </w:pPr>
      <w:r>
        <w:rPr>
          <w:rFonts w:ascii="Book Antiqua" w:hAnsi="Book Antiqua"/>
          <w:noProof/>
        </w:rPr>
        <w:lastRenderedPageBreak/>
        <w:drawing>
          <wp:inline distT="0" distB="0" distL="0" distR="0" wp14:anchorId="16C7C089" wp14:editId="409211A2">
            <wp:extent cx="4889500" cy="1574800"/>
            <wp:effectExtent l="0" t="0" r="0" b="0"/>
            <wp:docPr id="12622555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55508" name="图片 12622555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9500" cy="1574800"/>
                    </a:xfrm>
                    <a:prstGeom prst="rect">
                      <a:avLst/>
                    </a:prstGeom>
                  </pic:spPr>
                </pic:pic>
              </a:graphicData>
            </a:graphic>
          </wp:inline>
        </w:drawing>
      </w:r>
    </w:p>
    <w:p w14:paraId="41FCBA8D" w14:textId="77777777" w:rsidR="00680DB2" w:rsidRPr="00641A01" w:rsidRDefault="00680DB2">
      <w:pPr>
        <w:spacing w:line="360" w:lineRule="auto"/>
        <w:jc w:val="both"/>
        <w:rPr>
          <w:rFonts w:ascii="Book Antiqua" w:hAnsi="Book Antiqua"/>
        </w:rPr>
      </w:pPr>
    </w:p>
    <w:p w14:paraId="178D8798" w14:textId="77777777" w:rsidR="00680DB2"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2 Different types of nanoparticles (created with BioRender). </w:t>
      </w:r>
      <w:r>
        <w:rPr>
          <w:rFonts w:ascii="Book Antiqua" w:eastAsia="Book Antiqua" w:hAnsi="Book Antiqua" w:cs="Book Antiqua"/>
          <w:color w:val="000000"/>
        </w:rPr>
        <w:t>NPs:</w:t>
      </w:r>
      <w:r>
        <w:rPr>
          <w:rFonts w:ascii="Book Antiqua" w:eastAsia="Book Antiqua" w:hAnsi="Book Antiqua" w:cs="Book Antiqua"/>
        </w:rPr>
        <w:t xml:space="preserve"> Nanoparticles.</w:t>
      </w:r>
    </w:p>
    <w:p w14:paraId="2B9799ED" w14:textId="77777777" w:rsidR="00680DB2" w:rsidRPr="00641A01" w:rsidRDefault="00680DB2">
      <w:pPr>
        <w:spacing w:line="360" w:lineRule="auto"/>
        <w:jc w:val="both"/>
        <w:rPr>
          <w:rFonts w:ascii="Book Antiqua" w:hAnsi="Book Antiqua"/>
        </w:rPr>
      </w:pPr>
    </w:p>
    <w:p w14:paraId="71F8EC6A" w14:textId="77777777" w:rsidR="00680DB2" w:rsidRPr="00641A01" w:rsidRDefault="00680DB2">
      <w:pPr>
        <w:spacing w:line="360" w:lineRule="auto"/>
        <w:jc w:val="both"/>
        <w:rPr>
          <w:rFonts w:ascii="Book Antiqua" w:hAnsi="Book Antiqua"/>
        </w:rPr>
      </w:pPr>
    </w:p>
    <w:p w14:paraId="75929E1C" w14:textId="4F7B5D0A" w:rsidR="00680DB2" w:rsidRPr="00641A01" w:rsidRDefault="00473CB2">
      <w:pPr>
        <w:spacing w:line="360" w:lineRule="auto"/>
        <w:jc w:val="both"/>
        <w:rPr>
          <w:rFonts w:ascii="Book Antiqua" w:hAnsi="Book Antiqua"/>
        </w:rPr>
      </w:pPr>
      <w:r>
        <w:rPr>
          <w:rFonts w:ascii="Book Antiqua" w:hAnsi="Book Antiqua"/>
          <w:noProof/>
        </w:rPr>
        <w:drawing>
          <wp:inline distT="0" distB="0" distL="0" distR="0" wp14:anchorId="4AAD2A44" wp14:editId="7B39051F">
            <wp:extent cx="5308600" cy="2781300"/>
            <wp:effectExtent l="0" t="0" r="0" b="0"/>
            <wp:docPr id="14483093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09318" name="图片 14483093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8600" cy="2781300"/>
                    </a:xfrm>
                    <a:prstGeom prst="rect">
                      <a:avLst/>
                    </a:prstGeom>
                  </pic:spPr>
                </pic:pic>
              </a:graphicData>
            </a:graphic>
          </wp:inline>
        </w:drawing>
      </w:r>
    </w:p>
    <w:p w14:paraId="14C87EE7" w14:textId="77777777" w:rsidR="00680DB2" w:rsidRPr="00641A01" w:rsidRDefault="00680DB2">
      <w:pPr>
        <w:spacing w:line="360" w:lineRule="auto"/>
        <w:jc w:val="both"/>
        <w:rPr>
          <w:rFonts w:ascii="Book Antiqua" w:hAnsi="Book Antiqua"/>
        </w:rPr>
      </w:pPr>
    </w:p>
    <w:p w14:paraId="6AB91897"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bCs/>
          <w:color w:val="000000"/>
        </w:rPr>
        <w:t xml:space="preserve">Figure 3 </w:t>
      </w:r>
      <w:r>
        <w:rPr>
          <w:rFonts w:ascii="Book Antiqua" w:eastAsia="Book Antiqua" w:hAnsi="Book Antiqua" w:cs="Book Antiqua"/>
          <w:b/>
          <w:bCs/>
        </w:rPr>
        <w:t>Magnetic-activated cell sorting</w:t>
      </w:r>
      <w:r>
        <w:rPr>
          <w:rFonts w:ascii="Book Antiqua" w:eastAsia="Book Antiqua" w:hAnsi="Book Antiqua" w:cs="Book Antiqua"/>
          <w:b/>
          <w:bCs/>
          <w:color w:val="000000"/>
        </w:rPr>
        <w:t xml:space="preserve"> (created with BioRender).</w:t>
      </w:r>
      <w:r>
        <w:rPr>
          <w:rFonts w:ascii="Book Antiqua" w:eastAsia="Book Antiqua" w:hAnsi="Book Antiqua" w:cs="Book Antiqua"/>
        </w:rPr>
        <w:t xml:space="preserve"> </w:t>
      </w:r>
      <w:bookmarkStart w:id="47" w:name="OLE_LINK5608"/>
      <w:bookmarkStart w:id="48" w:name="OLE_LINK5609"/>
      <w:r>
        <w:rPr>
          <w:rFonts w:ascii="Book Antiqua" w:eastAsia="Book Antiqua" w:hAnsi="Book Antiqua" w:cs="Book Antiqua"/>
        </w:rPr>
        <w:t>CSC</w:t>
      </w:r>
      <w:r>
        <w:rPr>
          <w:rFonts w:ascii="Book Antiqua" w:eastAsia="Book Antiqua" w:hAnsi="Book Antiqua" w:cs="Book Antiqua"/>
          <w:lang w:eastAsia="zh-CN"/>
        </w:rPr>
        <w:t xml:space="preserve">s: </w:t>
      </w:r>
      <w:r>
        <w:rPr>
          <w:rFonts w:ascii="Book Antiqua" w:eastAsia="Book Antiqua" w:hAnsi="Book Antiqua" w:cs="Book Antiqua"/>
        </w:rPr>
        <w:t>Cancer stem cells;</w:t>
      </w:r>
      <w:r w:rsidRPr="00641A01">
        <w:rPr>
          <w:rFonts w:ascii="Book Antiqua" w:hAnsi="Book Antiqua"/>
        </w:rPr>
        <w:t xml:space="preserve"> </w:t>
      </w:r>
      <w:bookmarkEnd w:id="47"/>
      <w:bookmarkEnd w:id="48"/>
      <w:r>
        <w:rPr>
          <w:rFonts w:ascii="Book Antiqua" w:eastAsia="Book Antiqua" w:hAnsi="Book Antiqua" w:cs="Book Antiqua"/>
          <w:color w:val="000000"/>
        </w:rPr>
        <w:t xml:space="preserve">MACS: </w:t>
      </w:r>
      <w:r>
        <w:rPr>
          <w:rFonts w:ascii="Book Antiqua" w:eastAsia="Book Antiqua" w:hAnsi="Book Antiqua" w:cs="Book Antiqua"/>
        </w:rPr>
        <w:t>Magnetic-activated cell sorting.</w:t>
      </w:r>
    </w:p>
    <w:p w14:paraId="59F14D4B" w14:textId="77777777" w:rsidR="00680DB2" w:rsidRDefault="00680DB2">
      <w:pPr>
        <w:spacing w:line="360" w:lineRule="auto"/>
        <w:jc w:val="both"/>
        <w:rPr>
          <w:rFonts w:ascii="Book Antiqua" w:eastAsia="Book Antiqua" w:hAnsi="Book Antiqua" w:cs="Book Antiqua"/>
          <w:b/>
          <w:bCs/>
          <w:color w:val="000000"/>
        </w:rPr>
      </w:pPr>
    </w:p>
    <w:p w14:paraId="192F1A6E" w14:textId="77777777" w:rsidR="00680DB2" w:rsidRPr="00641A01" w:rsidRDefault="00680DB2">
      <w:pPr>
        <w:spacing w:line="360" w:lineRule="auto"/>
        <w:jc w:val="both"/>
        <w:rPr>
          <w:rFonts w:ascii="Book Antiqua" w:hAnsi="Book Antiqua"/>
        </w:rPr>
        <w:sectPr w:rsidR="00680DB2" w:rsidRPr="00641A01">
          <w:pgSz w:w="12240" w:h="15840"/>
          <w:pgMar w:top="1440" w:right="1440" w:bottom="1440" w:left="1440" w:header="720" w:footer="720" w:gutter="0"/>
          <w:cols w:space="720"/>
          <w:docGrid w:linePitch="360"/>
        </w:sectPr>
      </w:pPr>
    </w:p>
    <w:p w14:paraId="3F159BD1" w14:textId="67028576" w:rsidR="00680DB2" w:rsidRPr="00641A01" w:rsidRDefault="00473CB2">
      <w:pPr>
        <w:spacing w:line="360" w:lineRule="auto"/>
        <w:jc w:val="both"/>
        <w:rPr>
          <w:rFonts w:ascii="Book Antiqua" w:hAnsi="Book Antiqua"/>
        </w:rPr>
      </w:pPr>
      <w:r>
        <w:rPr>
          <w:rFonts w:ascii="Book Antiqua" w:hAnsi="Book Antiqua"/>
          <w:noProof/>
        </w:rPr>
        <w:lastRenderedPageBreak/>
        <w:drawing>
          <wp:inline distT="0" distB="0" distL="0" distR="0" wp14:anchorId="66C6FDBF" wp14:editId="079886F6">
            <wp:extent cx="5943600" cy="3421380"/>
            <wp:effectExtent l="0" t="0" r="0" b="0"/>
            <wp:docPr id="19689339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33993" name="图片 19689339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21380"/>
                    </a:xfrm>
                    <a:prstGeom prst="rect">
                      <a:avLst/>
                    </a:prstGeom>
                  </pic:spPr>
                </pic:pic>
              </a:graphicData>
            </a:graphic>
          </wp:inline>
        </w:drawing>
      </w:r>
    </w:p>
    <w:p w14:paraId="3B07810F" w14:textId="77777777" w:rsidR="00680DB2" w:rsidRPr="00641A01" w:rsidRDefault="00680DB2">
      <w:pPr>
        <w:spacing w:line="360" w:lineRule="auto"/>
        <w:jc w:val="both"/>
        <w:rPr>
          <w:rFonts w:ascii="Book Antiqua" w:hAnsi="Book Antiqua"/>
        </w:rPr>
      </w:pPr>
    </w:p>
    <w:p w14:paraId="29EEF803" w14:textId="77777777" w:rsidR="00680DB2" w:rsidRPr="00641A01" w:rsidRDefault="00000000">
      <w:pPr>
        <w:spacing w:line="360" w:lineRule="auto"/>
        <w:jc w:val="both"/>
        <w:rPr>
          <w:rFonts w:ascii="Book Antiqua" w:hAnsi="Book Antiqua"/>
        </w:rPr>
      </w:pPr>
      <w:r>
        <w:rPr>
          <w:rFonts w:ascii="Book Antiqua" w:eastAsia="Book Antiqua" w:hAnsi="Book Antiqua" w:cs="Book Antiqua"/>
          <w:b/>
          <w:bCs/>
          <w:color w:val="000000"/>
        </w:rPr>
        <w:t xml:space="preserve">Figure 4 Nanoparticle-mediated targeted drug delivery to </w:t>
      </w:r>
      <w:r>
        <w:rPr>
          <w:rFonts w:ascii="Book Antiqua" w:eastAsia="Book Antiqua" w:hAnsi="Book Antiqua" w:cs="Book Antiqua"/>
          <w:b/>
          <w:bCs/>
        </w:rPr>
        <w:t>cancer stem cells</w:t>
      </w:r>
      <w:r>
        <w:rPr>
          <w:rFonts w:ascii="Book Antiqua" w:eastAsia="Book Antiqua" w:hAnsi="Book Antiqua" w:cs="Book Antiqua"/>
          <w:b/>
          <w:bCs/>
          <w:color w:val="000000"/>
        </w:rPr>
        <w:t xml:space="preserve"> (created with BioRender). </w:t>
      </w:r>
      <w:r>
        <w:rPr>
          <w:rFonts w:ascii="Book Antiqua" w:eastAsia="Book Antiqua" w:hAnsi="Book Antiqua" w:cs="Book Antiqua"/>
        </w:rPr>
        <w:t>CSC</w:t>
      </w:r>
      <w:r>
        <w:rPr>
          <w:rFonts w:ascii="Book Antiqua" w:eastAsia="Book Antiqua" w:hAnsi="Book Antiqua" w:cs="Book Antiqua"/>
          <w:lang w:eastAsia="zh-CN"/>
        </w:rPr>
        <w:t xml:space="preserve">s: </w:t>
      </w:r>
      <w:bookmarkStart w:id="49" w:name="OLE_LINK5617"/>
      <w:bookmarkStart w:id="50" w:name="OLE_LINK5618"/>
      <w:r>
        <w:rPr>
          <w:rFonts w:ascii="Book Antiqua" w:eastAsia="Book Antiqua" w:hAnsi="Book Antiqua" w:cs="Book Antiqua"/>
        </w:rPr>
        <w:t>Cancer stem cells</w:t>
      </w:r>
      <w:bookmarkEnd w:id="49"/>
      <w:bookmarkEnd w:id="50"/>
      <w:r>
        <w:rPr>
          <w:rFonts w:ascii="Book Antiqua" w:eastAsia="Book Antiqua" w:hAnsi="Book Antiqua" w:cs="Book Antiqua"/>
        </w:rPr>
        <w:t>.</w:t>
      </w:r>
    </w:p>
    <w:p w14:paraId="4FAD6394" w14:textId="77777777" w:rsidR="00680DB2" w:rsidRDefault="00680DB2">
      <w:pPr>
        <w:spacing w:line="360" w:lineRule="auto"/>
        <w:jc w:val="both"/>
        <w:rPr>
          <w:rFonts w:ascii="Book Antiqua" w:eastAsia="Book Antiqua" w:hAnsi="Book Antiqua" w:cs="Book Antiqua"/>
        </w:rPr>
      </w:pPr>
    </w:p>
    <w:p w14:paraId="49D21276" w14:textId="77777777" w:rsidR="00680DB2" w:rsidRDefault="00680DB2">
      <w:pPr>
        <w:spacing w:line="360" w:lineRule="auto"/>
        <w:jc w:val="both"/>
        <w:rPr>
          <w:rFonts w:ascii="Book Antiqua" w:eastAsia="Book Antiqua" w:hAnsi="Book Antiqua" w:cs="Book Antiqua"/>
        </w:rPr>
        <w:sectPr w:rsidR="00680DB2">
          <w:pgSz w:w="12240" w:h="15840"/>
          <w:pgMar w:top="1440" w:right="1440" w:bottom="1440" w:left="1440" w:header="720" w:footer="720" w:gutter="0"/>
          <w:cols w:space="720"/>
          <w:docGrid w:linePitch="360"/>
        </w:sectPr>
      </w:pPr>
    </w:p>
    <w:p w14:paraId="1B1B0FB6" w14:textId="77777777" w:rsidR="00680DB2" w:rsidRDefault="00000000">
      <w:pPr>
        <w:spacing w:line="360" w:lineRule="auto"/>
        <w:contextualSpacing/>
        <w:jc w:val="both"/>
        <w:rPr>
          <w:rFonts w:ascii="Book Antiqua" w:hAnsi="Book Antiqua" w:cs="Helvetica"/>
          <w:b/>
          <w:bCs/>
          <w:color w:val="000000"/>
          <w:shd w:val="clear" w:color="auto" w:fill="FFFFFF"/>
          <w:lang w:bidi="ar"/>
        </w:rPr>
      </w:pPr>
      <w:bookmarkStart w:id="51" w:name="OLE_LINK5611"/>
      <w:bookmarkStart w:id="52" w:name="OLE_LINK5610"/>
      <w:r>
        <w:rPr>
          <w:rFonts w:ascii="Book Antiqua" w:hAnsi="Book Antiqua" w:cs="Helvetica"/>
          <w:b/>
          <w:bCs/>
          <w:color w:val="000000"/>
          <w:lang w:bidi="ar"/>
        </w:rPr>
        <w:lastRenderedPageBreak/>
        <w:t xml:space="preserve">Table 1 </w:t>
      </w:r>
      <w:r>
        <w:rPr>
          <w:rFonts w:ascii="Book Antiqua" w:hAnsi="Book Antiqua" w:cs="Helvetica"/>
          <w:b/>
          <w:bCs/>
          <w:color w:val="000000"/>
          <w:shd w:val="clear" w:color="auto" w:fill="FFFFFF"/>
          <w:lang w:bidi="ar"/>
        </w:rPr>
        <w:t xml:space="preserve">Clinical trials of advances </w:t>
      </w:r>
      <w:r>
        <w:rPr>
          <w:rFonts w:ascii="Book Antiqua" w:hAnsi="Book Antiqua" w:cs="Helvetica"/>
          <w:b/>
          <w:bCs/>
          <w:color w:val="000000"/>
          <w:lang w:bidi="ar"/>
        </w:rPr>
        <w:t>in</w:t>
      </w:r>
      <w:r>
        <w:rPr>
          <w:rFonts w:ascii="Book Antiqua" w:hAnsi="Book Antiqua" w:cs="Helvetica"/>
          <w:b/>
          <w:bCs/>
          <w:color w:val="000000"/>
          <w:shd w:val="clear" w:color="auto" w:fill="FFFFFF"/>
          <w:lang w:bidi="ar"/>
        </w:rPr>
        <w:t xml:space="preserve"> nanotechnology applied in </w:t>
      </w:r>
      <w:bookmarkStart w:id="53" w:name="OLE_LINK5619"/>
      <w:bookmarkStart w:id="54" w:name="OLE_LINK5620"/>
      <w:r>
        <w:rPr>
          <w:rFonts w:ascii="Book Antiqua" w:eastAsia="Book Antiqua" w:hAnsi="Book Antiqua" w:cs="Book Antiqua"/>
          <w:b/>
          <w:bCs/>
        </w:rPr>
        <w:t>cancer stem cells</w:t>
      </w:r>
      <w:bookmarkEnd w:id="53"/>
      <w:bookmarkEnd w:id="54"/>
    </w:p>
    <w:tbl>
      <w:tblPr>
        <w:tblW w:w="0" w:type="auto"/>
        <w:tblBorders>
          <w:top w:val="single" w:sz="4" w:space="0" w:color="auto"/>
          <w:left w:val="none" w:sz="4" w:space="0" w:color="auto"/>
          <w:bottom w:val="single" w:sz="4" w:space="0" w:color="auto"/>
          <w:right w:val="none" w:sz="4" w:space="0" w:color="auto"/>
          <w:insideH w:val="single" w:sz="4" w:space="0" w:color="auto"/>
          <w:insideV w:val="none" w:sz="4" w:space="0" w:color="auto"/>
        </w:tblBorders>
        <w:tblLook w:val="0000" w:firstRow="0" w:lastRow="0" w:firstColumn="0" w:lastColumn="0" w:noHBand="0" w:noVBand="0"/>
      </w:tblPr>
      <w:tblGrid>
        <w:gridCol w:w="1693"/>
        <w:gridCol w:w="6211"/>
        <w:gridCol w:w="1456"/>
      </w:tblGrid>
      <w:tr w:rsidR="00680DB2" w14:paraId="45F6A094" w14:textId="77777777">
        <w:trPr>
          <w:trHeight w:val="540"/>
        </w:trPr>
        <w:tc>
          <w:tcPr>
            <w:tcW w:w="0" w:type="auto"/>
            <w:tcBorders>
              <w:top w:val="single" w:sz="8" w:space="0" w:color="auto"/>
              <w:left w:val="nil"/>
              <w:bottom w:val="single" w:sz="4" w:space="0" w:color="auto"/>
              <w:right w:val="nil"/>
            </w:tcBorders>
          </w:tcPr>
          <w:p w14:paraId="78368098" w14:textId="77777777" w:rsidR="00680DB2" w:rsidRDefault="00000000">
            <w:pPr>
              <w:spacing w:line="360" w:lineRule="auto"/>
              <w:jc w:val="both"/>
              <w:rPr>
                <w:rFonts w:ascii="Book Antiqua" w:hAnsi="Book Antiqua" w:cs="Helvetica"/>
                <w:b/>
                <w:bCs/>
                <w:color w:val="000000"/>
                <w:shd w:val="clear" w:color="auto" w:fill="FFFFFF"/>
                <w:lang w:eastAsia="zh-CN"/>
              </w:rPr>
            </w:pPr>
            <w:r>
              <w:rPr>
                <w:rFonts w:ascii="Book Antiqua" w:hAnsi="Book Antiqua" w:cs="Helvetica"/>
                <w:b/>
                <w:bCs/>
                <w:color w:val="000000"/>
                <w:shd w:val="clear" w:color="auto" w:fill="FFFFFF"/>
                <w:lang w:eastAsia="zh-CN" w:bidi="ar"/>
              </w:rPr>
              <w:t>Identifier</w:t>
            </w:r>
          </w:p>
        </w:tc>
        <w:tc>
          <w:tcPr>
            <w:tcW w:w="0" w:type="auto"/>
            <w:tcBorders>
              <w:top w:val="single" w:sz="8" w:space="0" w:color="auto"/>
              <w:left w:val="nil"/>
              <w:bottom w:val="single" w:sz="4" w:space="0" w:color="auto"/>
              <w:right w:val="nil"/>
            </w:tcBorders>
          </w:tcPr>
          <w:p w14:paraId="5DF0525C" w14:textId="77777777" w:rsidR="00680DB2" w:rsidRDefault="00000000">
            <w:pPr>
              <w:spacing w:line="360" w:lineRule="auto"/>
              <w:jc w:val="both"/>
              <w:rPr>
                <w:rFonts w:ascii="Book Antiqua" w:hAnsi="Book Antiqua" w:cs="Helvetica"/>
                <w:b/>
                <w:bCs/>
                <w:color w:val="000000"/>
                <w:shd w:val="clear" w:color="auto" w:fill="FFFFFF"/>
                <w:lang w:eastAsia="zh-CN"/>
              </w:rPr>
            </w:pPr>
            <w:r>
              <w:rPr>
                <w:rFonts w:ascii="Book Antiqua" w:hAnsi="Book Antiqua" w:cs="Helvetica"/>
                <w:b/>
                <w:bCs/>
                <w:color w:val="000000"/>
                <w:shd w:val="clear" w:color="auto" w:fill="FFFFFF"/>
                <w:lang w:eastAsia="zh-CN" w:bidi="ar"/>
              </w:rPr>
              <w:t>Trial name</w:t>
            </w:r>
          </w:p>
        </w:tc>
        <w:tc>
          <w:tcPr>
            <w:tcW w:w="0" w:type="auto"/>
            <w:tcBorders>
              <w:top w:val="single" w:sz="8" w:space="0" w:color="auto"/>
              <w:left w:val="nil"/>
              <w:bottom w:val="single" w:sz="4" w:space="0" w:color="auto"/>
              <w:right w:val="nil"/>
            </w:tcBorders>
          </w:tcPr>
          <w:p w14:paraId="67947919" w14:textId="77777777" w:rsidR="00680DB2" w:rsidRDefault="00000000">
            <w:pPr>
              <w:spacing w:line="360" w:lineRule="auto"/>
              <w:jc w:val="both"/>
              <w:rPr>
                <w:rFonts w:ascii="Book Antiqua" w:hAnsi="Book Antiqua" w:cs="Helvetica"/>
                <w:b/>
                <w:bCs/>
                <w:color w:val="000000"/>
                <w:shd w:val="clear" w:color="auto" w:fill="FFFFFF"/>
                <w:lang w:eastAsia="zh-CN"/>
              </w:rPr>
            </w:pPr>
            <w:r>
              <w:rPr>
                <w:rFonts w:ascii="Book Antiqua" w:hAnsi="Book Antiqua" w:cs="Helvetica"/>
                <w:b/>
                <w:bCs/>
                <w:color w:val="000000"/>
                <w:shd w:val="clear" w:color="auto" w:fill="FFFFFF"/>
                <w:lang w:eastAsia="zh-CN" w:bidi="ar"/>
              </w:rPr>
              <w:t>Enrollment</w:t>
            </w:r>
          </w:p>
        </w:tc>
      </w:tr>
      <w:tr w:rsidR="00680DB2" w14:paraId="37A99B40" w14:textId="77777777">
        <w:tc>
          <w:tcPr>
            <w:tcW w:w="0" w:type="auto"/>
            <w:tcBorders>
              <w:top w:val="single" w:sz="4" w:space="0" w:color="auto"/>
              <w:left w:val="nil"/>
              <w:bottom w:val="nil"/>
              <w:right w:val="nil"/>
            </w:tcBorders>
          </w:tcPr>
          <w:p w14:paraId="217B2835" w14:textId="77777777" w:rsidR="00680DB2" w:rsidRDefault="00000000">
            <w:pPr>
              <w:spacing w:line="360" w:lineRule="auto"/>
              <w:jc w:val="both"/>
              <w:rPr>
                <w:rFonts w:ascii="Book Antiqua" w:hAnsi="Book Antiqua" w:cs="Helvetica"/>
                <w:color w:val="000000"/>
                <w:shd w:val="clear" w:color="auto" w:fill="FFFFFF"/>
                <w:lang w:eastAsia="zh-CN"/>
              </w:rPr>
            </w:pPr>
            <w:r>
              <w:rPr>
                <w:rFonts w:ascii="Book Antiqua" w:hAnsi="Book Antiqua" w:cs="Helvetica"/>
                <w:color w:val="000000"/>
                <w:shd w:val="clear" w:color="auto" w:fill="FFFFFF"/>
                <w:lang w:eastAsia="zh-CN" w:bidi="ar"/>
              </w:rPr>
              <w:t>NCT04907422</w:t>
            </w:r>
          </w:p>
        </w:tc>
        <w:tc>
          <w:tcPr>
            <w:tcW w:w="0" w:type="auto"/>
            <w:tcBorders>
              <w:top w:val="single" w:sz="4" w:space="0" w:color="auto"/>
              <w:left w:val="nil"/>
              <w:bottom w:val="nil"/>
              <w:right w:val="nil"/>
            </w:tcBorders>
          </w:tcPr>
          <w:p w14:paraId="0CC235F3" w14:textId="77777777" w:rsidR="00680DB2" w:rsidRDefault="00000000">
            <w:pPr>
              <w:spacing w:line="360" w:lineRule="auto"/>
              <w:jc w:val="both"/>
              <w:rPr>
                <w:rFonts w:ascii="Book Antiqua" w:hAnsi="Book Antiqua" w:cs="Helvetica"/>
                <w:color w:val="000000"/>
                <w:shd w:val="clear" w:color="auto" w:fill="FFFFFF"/>
                <w:lang w:eastAsia="zh-CN"/>
              </w:rPr>
            </w:pPr>
            <w:r>
              <w:rPr>
                <w:rFonts w:ascii="Book Antiqua" w:hAnsi="Book Antiqua" w:cs="Helvetica"/>
                <w:color w:val="000000"/>
                <w:shd w:val="clear" w:color="auto" w:fill="FFFFFF"/>
                <w:lang w:eastAsia="zh-CN" w:bidi="ar"/>
              </w:rPr>
              <w:t>Cluster of differentiation 24-gold nanocomposite expression using quantitative polymerase chain reaction</w:t>
            </w:r>
          </w:p>
        </w:tc>
        <w:tc>
          <w:tcPr>
            <w:tcW w:w="0" w:type="auto"/>
            <w:tcBorders>
              <w:top w:val="single" w:sz="4" w:space="0" w:color="auto"/>
              <w:left w:val="nil"/>
              <w:bottom w:val="nil"/>
              <w:right w:val="nil"/>
            </w:tcBorders>
          </w:tcPr>
          <w:p w14:paraId="119C63B4" w14:textId="77777777" w:rsidR="00680DB2" w:rsidRDefault="00000000">
            <w:pPr>
              <w:spacing w:line="360" w:lineRule="auto"/>
              <w:ind w:firstLineChars="200" w:firstLine="480"/>
              <w:jc w:val="both"/>
              <w:rPr>
                <w:rFonts w:ascii="Book Antiqua" w:hAnsi="Book Antiqua" w:cs="Helvetica"/>
                <w:lang w:eastAsia="zh-CN"/>
              </w:rPr>
            </w:pPr>
            <w:r>
              <w:rPr>
                <w:rFonts w:ascii="Book Antiqua" w:hAnsi="Book Antiqua" w:cs="Helvetica"/>
                <w:lang w:eastAsia="zh-CN" w:bidi="ar"/>
              </w:rPr>
              <w:t>60</w:t>
            </w:r>
          </w:p>
        </w:tc>
      </w:tr>
      <w:tr w:rsidR="00680DB2" w14:paraId="1340B4F9" w14:textId="77777777">
        <w:tc>
          <w:tcPr>
            <w:tcW w:w="0" w:type="auto"/>
            <w:tcBorders>
              <w:top w:val="nil"/>
              <w:left w:val="nil"/>
              <w:bottom w:val="single" w:sz="8" w:space="0" w:color="auto"/>
              <w:right w:val="nil"/>
            </w:tcBorders>
          </w:tcPr>
          <w:p w14:paraId="00B5BC32" w14:textId="77777777" w:rsidR="00680DB2" w:rsidRDefault="00000000">
            <w:pPr>
              <w:spacing w:line="360" w:lineRule="auto"/>
              <w:jc w:val="both"/>
              <w:rPr>
                <w:rFonts w:ascii="Book Antiqua" w:hAnsi="Book Antiqua" w:cs="Helvetica"/>
                <w:color w:val="000000"/>
                <w:shd w:val="clear" w:color="auto" w:fill="FFFFFF"/>
                <w:lang w:eastAsia="zh-CN"/>
              </w:rPr>
            </w:pPr>
            <w:r>
              <w:rPr>
                <w:rFonts w:ascii="Book Antiqua" w:hAnsi="Book Antiqua" w:cs="Helvetica"/>
                <w:color w:val="000000"/>
                <w:shd w:val="clear" w:color="auto" w:fill="FFFFFF"/>
                <w:lang w:eastAsia="zh-CN" w:bidi="ar"/>
              </w:rPr>
              <w:t>NCT04907422</w:t>
            </w:r>
          </w:p>
        </w:tc>
        <w:tc>
          <w:tcPr>
            <w:tcW w:w="0" w:type="auto"/>
            <w:tcBorders>
              <w:top w:val="nil"/>
              <w:left w:val="nil"/>
              <w:bottom w:val="single" w:sz="8" w:space="0" w:color="auto"/>
              <w:right w:val="nil"/>
            </w:tcBorders>
          </w:tcPr>
          <w:p w14:paraId="57018AC0" w14:textId="77777777" w:rsidR="00680DB2" w:rsidRDefault="00000000">
            <w:pPr>
              <w:spacing w:line="360" w:lineRule="auto"/>
              <w:jc w:val="both"/>
              <w:rPr>
                <w:rFonts w:ascii="Book Antiqua" w:hAnsi="Book Antiqua" w:cs="Helvetica"/>
                <w:color w:val="000000"/>
                <w:shd w:val="clear" w:color="auto" w:fill="FFFFFF"/>
                <w:lang w:eastAsia="zh-CN"/>
              </w:rPr>
            </w:pPr>
            <w:r>
              <w:rPr>
                <w:rFonts w:ascii="Book Antiqua" w:hAnsi="Book Antiqua" w:cs="Helvetica"/>
                <w:color w:val="000000"/>
                <w:shd w:val="clear" w:color="auto" w:fill="FFFFFF"/>
                <w:lang w:eastAsia="zh-CN" w:bidi="ar"/>
              </w:rPr>
              <w:t>Nonconjugated cluster of differentiation 24 expression using quantitative polymerase chain reaction</w:t>
            </w:r>
          </w:p>
        </w:tc>
        <w:tc>
          <w:tcPr>
            <w:tcW w:w="0" w:type="auto"/>
            <w:tcBorders>
              <w:top w:val="nil"/>
              <w:left w:val="nil"/>
              <w:bottom w:val="single" w:sz="8" w:space="0" w:color="auto"/>
              <w:right w:val="nil"/>
            </w:tcBorders>
          </w:tcPr>
          <w:p w14:paraId="7134D79E" w14:textId="77777777" w:rsidR="00680DB2" w:rsidRDefault="00000000">
            <w:pPr>
              <w:spacing w:line="360" w:lineRule="auto"/>
              <w:ind w:firstLineChars="200" w:firstLine="480"/>
              <w:jc w:val="both"/>
              <w:rPr>
                <w:rFonts w:ascii="Book Antiqua" w:hAnsi="Book Antiqua" w:cs="Helvetica"/>
                <w:color w:val="000000"/>
                <w:shd w:val="clear" w:color="auto" w:fill="FFFFFF"/>
                <w:lang w:eastAsia="zh-CN"/>
              </w:rPr>
            </w:pPr>
            <w:r>
              <w:rPr>
                <w:rFonts w:ascii="Book Antiqua" w:hAnsi="Book Antiqua" w:cs="Helvetica"/>
                <w:color w:val="000000"/>
                <w:shd w:val="clear" w:color="auto" w:fill="FFFFFF"/>
                <w:lang w:eastAsia="zh-CN" w:bidi="ar"/>
              </w:rPr>
              <w:t>60</w:t>
            </w:r>
          </w:p>
        </w:tc>
      </w:tr>
    </w:tbl>
    <w:p w14:paraId="346B6F94" w14:textId="77777777" w:rsidR="00680DB2" w:rsidRDefault="00680DB2">
      <w:pPr>
        <w:spacing w:line="360" w:lineRule="auto"/>
        <w:contextualSpacing/>
        <w:jc w:val="both"/>
        <w:rPr>
          <w:rFonts w:ascii="Book Antiqua" w:hAnsi="Book Antiqua" w:cs="Helvetica"/>
          <w:b/>
          <w:bCs/>
          <w:color w:val="000000"/>
          <w:shd w:val="clear" w:color="auto" w:fill="FFFFFF"/>
          <w:lang w:bidi="ar"/>
        </w:rPr>
      </w:pPr>
    </w:p>
    <w:p w14:paraId="18A4404F" w14:textId="77777777" w:rsidR="00680DB2" w:rsidRDefault="00680DB2">
      <w:pPr>
        <w:spacing w:line="360" w:lineRule="auto"/>
        <w:contextualSpacing/>
        <w:jc w:val="both"/>
        <w:rPr>
          <w:rFonts w:ascii="Book Antiqua" w:hAnsi="Book Antiqua" w:cs="Helvetica"/>
          <w:b/>
          <w:bCs/>
          <w:color w:val="000000"/>
          <w:shd w:val="clear" w:color="auto" w:fill="FFFFFF"/>
          <w:lang w:bidi="ar"/>
        </w:rPr>
        <w:sectPr w:rsidR="00680DB2">
          <w:pgSz w:w="12240" w:h="15840"/>
          <w:pgMar w:top="1440" w:right="1440" w:bottom="1440" w:left="1440" w:header="720" w:footer="720" w:gutter="0"/>
          <w:cols w:space="720"/>
          <w:docGrid w:linePitch="360"/>
        </w:sectPr>
      </w:pPr>
    </w:p>
    <w:p w14:paraId="7043CB5F" w14:textId="77777777" w:rsidR="00680DB2" w:rsidRDefault="00000000">
      <w:pPr>
        <w:spacing w:line="360" w:lineRule="auto"/>
        <w:contextualSpacing/>
        <w:jc w:val="both"/>
        <w:rPr>
          <w:rFonts w:ascii="Book Antiqua" w:hAnsi="Book Antiqua"/>
          <w:b/>
          <w:bCs/>
        </w:rPr>
      </w:pPr>
      <w:r>
        <w:rPr>
          <w:rFonts w:ascii="Book Antiqua" w:hAnsi="Book Antiqua"/>
          <w:b/>
          <w:bCs/>
        </w:rPr>
        <w:lastRenderedPageBreak/>
        <w:t xml:space="preserve">Table 2 Nanocarrier systems for </w:t>
      </w:r>
      <w:r>
        <w:rPr>
          <w:rFonts w:ascii="Book Antiqua" w:eastAsia="Book Antiqua" w:hAnsi="Book Antiqua" w:cs="Book Antiqua"/>
          <w:b/>
          <w:bCs/>
        </w:rPr>
        <w:t>cancer stem cells</w:t>
      </w:r>
    </w:p>
    <w:tbl>
      <w:tblPr>
        <w:tblW w:w="19060" w:type="dxa"/>
        <w:tblLook w:val="04A0" w:firstRow="1" w:lastRow="0" w:firstColumn="1" w:lastColumn="0" w:noHBand="0" w:noVBand="1"/>
      </w:tblPr>
      <w:tblGrid>
        <w:gridCol w:w="1900"/>
        <w:gridCol w:w="3476"/>
        <w:gridCol w:w="1939"/>
        <w:gridCol w:w="3876"/>
        <w:gridCol w:w="4893"/>
        <w:gridCol w:w="2060"/>
        <w:gridCol w:w="916"/>
      </w:tblGrid>
      <w:tr w:rsidR="001943F9" w:rsidRPr="001943F9" w14:paraId="675705AB" w14:textId="77777777" w:rsidTr="001943F9">
        <w:trPr>
          <w:trHeight w:val="315"/>
        </w:trPr>
        <w:tc>
          <w:tcPr>
            <w:tcW w:w="1900" w:type="dxa"/>
            <w:tcBorders>
              <w:top w:val="single" w:sz="8" w:space="0" w:color="auto"/>
              <w:left w:val="nil"/>
              <w:bottom w:val="single" w:sz="8" w:space="0" w:color="auto"/>
              <w:right w:val="nil"/>
            </w:tcBorders>
            <w:shd w:val="clear" w:color="auto" w:fill="auto"/>
            <w:vAlign w:val="center"/>
            <w:hideMark/>
          </w:tcPr>
          <w:p w14:paraId="75F9BADF" w14:textId="77777777" w:rsidR="001943F9" w:rsidRPr="001943F9" w:rsidRDefault="001943F9" w:rsidP="001943F9">
            <w:pPr>
              <w:jc w:val="both"/>
              <w:rPr>
                <w:rFonts w:ascii="Book Antiqua" w:eastAsia="DengXian" w:hAnsi="Book Antiqua" w:cs="宋体"/>
                <w:b/>
                <w:bCs/>
                <w:color w:val="000000"/>
                <w:lang w:eastAsia="zh-CN"/>
              </w:rPr>
            </w:pPr>
            <w:bookmarkStart w:id="55" w:name="RANGE!A1"/>
            <w:bookmarkEnd w:id="51"/>
            <w:bookmarkEnd w:id="52"/>
            <w:r w:rsidRPr="001943F9">
              <w:rPr>
                <w:rFonts w:ascii="Book Antiqua" w:eastAsia="DengXian" w:hAnsi="Book Antiqua" w:cs="宋体"/>
                <w:b/>
                <w:bCs/>
                <w:color w:val="000000"/>
                <w:lang w:eastAsia="zh-CN"/>
              </w:rPr>
              <w:t>Nanocarrier</w:t>
            </w:r>
            <w:bookmarkEnd w:id="55"/>
          </w:p>
        </w:tc>
        <w:tc>
          <w:tcPr>
            <w:tcW w:w="3480" w:type="dxa"/>
            <w:tcBorders>
              <w:top w:val="single" w:sz="8" w:space="0" w:color="auto"/>
              <w:left w:val="nil"/>
              <w:bottom w:val="single" w:sz="8" w:space="0" w:color="auto"/>
              <w:right w:val="nil"/>
            </w:tcBorders>
            <w:shd w:val="clear" w:color="auto" w:fill="auto"/>
            <w:vAlign w:val="center"/>
            <w:hideMark/>
          </w:tcPr>
          <w:p w14:paraId="0882E76A" w14:textId="77777777" w:rsidR="001943F9" w:rsidRPr="001943F9" w:rsidRDefault="001943F9" w:rsidP="001943F9">
            <w:pPr>
              <w:jc w:val="both"/>
              <w:rPr>
                <w:rFonts w:ascii="Book Antiqua" w:eastAsia="DengXian" w:hAnsi="Book Antiqua" w:cs="宋体"/>
                <w:b/>
                <w:bCs/>
                <w:color w:val="000000"/>
                <w:lang w:eastAsia="zh-CN"/>
              </w:rPr>
            </w:pPr>
            <w:r w:rsidRPr="001943F9">
              <w:rPr>
                <w:rFonts w:ascii="Book Antiqua" w:eastAsia="DengXian" w:hAnsi="Book Antiqua" w:cs="宋体"/>
                <w:b/>
                <w:bCs/>
                <w:color w:val="000000"/>
                <w:lang w:eastAsia="zh-CN"/>
              </w:rPr>
              <w:t>Therapeutic agent</w:t>
            </w:r>
          </w:p>
        </w:tc>
        <w:tc>
          <w:tcPr>
            <w:tcW w:w="1940" w:type="dxa"/>
            <w:tcBorders>
              <w:top w:val="single" w:sz="8" w:space="0" w:color="auto"/>
              <w:left w:val="nil"/>
              <w:bottom w:val="single" w:sz="8" w:space="0" w:color="auto"/>
              <w:right w:val="nil"/>
            </w:tcBorders>
            <w:shd w:val="clear" w:color="auto" w:fill="auto"/>
            <w:vAlign w:val="center"/>
            <w:hideMark/>
          </w:tcPr>
          <w:p w14:paraId="20F47E4A" w14:textId="77777777" w:rsidR="001943F9" w:rsidRPr="001943F9" w:rsidRDefault="001943F9" w:rsidP="001943F9">
            <w:pPr>
              <w:jc w:val="both"/>
              <w:rPr>
                <w:rFonts w:ascii="Book Antiqua" w:eastAsia="DengXian" w:hAnsi="Book Antiqua" w:cs="宋体"/>
                <w:b/>
                <w:bCs/>
                <w:color w:val="000000"/>
                <w:lang w:eastAsia="zh-CN"/>
              </w:rPr>
            </w:pPr>
            <w:r w:rsidRPr="001943F9">
              <w:rPr>
                <w:rFonts w:ascii="Book Antiqua" w:eastAsia="DengXian" w:hAnsi="Book Antiqua" w:cs="宋体"/>
                <w:b/>
                <w:bCs/>
                <w:color w:val="000000"/>
                <w:lang w:eastAsia="zh-CN"/>
              </w:rPr>
              <w:t>Cancer type</w:t>
            </w:r>
          </w:p>
        </w:tc>
        <w:tc>
          <w:tcPr>
            <w:tcW w:w="3880" w:type="dxa"/>
            <w:tcBorders>
              <w:top w:val="single" w:sz="8" w:space="0" w:color="auto"/>
              <w:left w:val="nil"/>
              <w:bottom w:val="single" w:sz="8" w:space="0" w:color="auto"/>
              <w:right w:val="nil"/>
            </w:tcBorders>
            <w:shd w:val="clear" w:color="auto" w:fill="auto"/>
            <w:vAlign w:val="center"/>
            <w:hideMark/>
          </w:tcPr>
          <w:p w14:paraId="5E9D99DF" w14:textId="77777777" w:rsidR="001943F9" w:rsidRPr="001943F9" w:rsidRDefault="001943F9" w:rsidP="001943F9">
            <w:pPr>
              <w:jc w:val="both"/>
              <w:rPr>
                <w:rFonts w:ascii="Book Antiqua" w:eastAsia="DengXian" w:hAnsi="Book Antiqua" w:cs="宋体"/>
                <w:b/>
                <w:bCs/>
                <w:color w:val="000000"/>
                <w:lang w:eastAsia="zh-CN"/>
              </w:rPr>
            </w:pPr>
            <w:r w:rsidRPr="001943F9">
              <w:rPr>
                <w:rFonts w:ascii="Book Antiqua" w:eastAsia="DengXian" w:hAnsi="Book Antiqua" w:cs="宋体"/>
                <w:b/>
                <w:bCs/>
                <w:color w:val="000000"/>
                <w:lang w:eastAsia="zh-CN"/>
              </w:rPr>
              <w:t>Delivery model</w:t>
            </w:r>
          </w:p>
        </w:tc>
        <w:tc>
          <w:tcPr>
            <w:tcW w:w="4900" w:type="dxa"/>
            <w:tcBorders>
              <w:top w:val="single" w:sz="8" w:space="0" w:color="auto"/>
              <w:left w:val="nil"/>
              <w:bottom w:val="single" w:sz="8" w:space="0" w:color="auto"/>
              <w:right w:val="nil"/>
            </w:tcBorders>
            <w:shd w:val="clear" w:color="auto" w:fill="auto"/>
            <w:vAlign w:val="center"/>
            <w:hideMark/>
          </w:tcPr>
          <w:p w14:paraId="5F24FAAB" w14:textId="77777777" w:rsidR="001943F9" w:rsidRPr="001943F9" w:rsidRDefault="001943F9" w:rsidP="001943F9">
            <w:pPr>
              <w:jc w:val="both"/>
              <w:rPr>
                <w:rFonts w:ascii="Book Antiqua" w:eastAsia="DengXian" w:hAnsi="Book Antiqua" w:cs="宋体"/>
                <w:b/>
                <w:bCs/>
                <w:color w:val="000000"/>
                <w:lang w:eastAsia="zh-CN"/>
              </w:rPr>
            </w:pPr>
            <w:r w:rsidRPr="001943F9">
              <w:rPr>
                <w:rFonts w:ascii="Book Antiqua" w:eastAsia="DengXian" w:hAnsi="Book Antiqua" w:cs="宋体"/>
                <w:b/>
                <w:bCs/>
                <w:color w:val="000000"/>
                <w:lang w:eastAsia="zh-CN"/>
              </w:rPr>
              <w:t>Cell line</w:t>
            </w:r>
          </w:p>
        </w:tc>
        <w:tc>
          <w:tcPr>
            <w:tcW w:w="2060" w:type="dxa"/>
            <w:tcBorders>
              <w:top w:val="single" w:sz="8" w:space="0" w:color="auto"/>
              <w:left w:val="nil"/>
              <w:bottom w:val="single" w:sz="8" w:space="0" w:color="auto"/>
              <w:right w:val="nil"/>
            </w:tcBorders>
            <w:shd w:val="clear" w:color="auto" w:fill="auto"/>
            <w:vAlign w:val="center"/>
            <w:hideMark/>
          </w:tcPr>
          <w:p w14:paraId="28B15939" w14:textId="77777777" w:rsidR="001943F9" w:rsidRPr="001943F9" w:rsidRDefault="001943F9" w:rsidP="001943F9">
            <w:pPr>
              <w:jc w:val="both"/>
              <w:rPr>
                <w:rFonts w:ascii="Book Antiqua" w:eastAsia="DengXian" w:hAnsi="Book Antiqua" w:cs="宋体"/>
                <w:b/>
                <w:bCs/>
                <w:color w:val="000000"/>
                <w:lang w:eastAsia="zh-CN"/>
              </w:rPr>
            </w:pPr>
            <w:r w:rsidRPr="001943F9">
              <w:rPr>
                <w:rFonts w:ascii="Book Antiqua" w:eastAsia="DengXian" w:hAnsi="Book Antiqua" w:cs="宋体"/>
                <w:b/>
                <w:bCs/>
                <w:color w:val="000000"/>
                <w:lang w:eastAsia="zh-CN"/>
              </w:rPr>
              <w:t>CSC marker</w:t>
            </w:r>
          </w:p>
        </w:tc>
        <w:tc>
          <w:tcPr>
            <w:tcW w:w="900" w:type="dxa"/>
            <w:tcBorders>
              <w:top w:val="single" w:sz="8" w:space="0" w:color="auto"/>
              <w:left w:val="nil"/>
              <w:bottom w:val="single" w:sz="8" w:space="0" w:color="auto"/>
              <w:right w:val="nil"/>
            </w:tcBorders>
            <w:shd w:val="clear" w:color="auto" w:fill="auto"/>
            <w:vAlign w:val="center"/>
            <w:hideMark/>
          </w:tcPr>
          <w:p w14:paraId="36B8B726" w14:textId="77777777" w:rsidR="001943F9" w:rsidRPr="001943F9" w:rsidRDefault="001943F9" w:rsidP="001943F9">
            <w:pPr>
              <w:jc w:val="both"/>
              <w:rPr>
                <w:rFonts w:ascii="Book Antiqua" w:eastAsia="DengXian" w:hAnsi="Book Antiqua" w:cs="宋体"/>
                <w:b/>
                <w:bCs/>
                <w:color w:val="000000"/>
                <w:lang w:eastAsia="zh-CN"/>
              </w:rPr>
            </w:pPr>
            <w:r w:rsidRPr="001943F9">
              <w:rPr>
                <w:rFonts w:ascii="Book Antiqua" w:eastAsia="DengXian" w:hAnsi="Book Antiqua" w:cs="宋体"/>
                <w:b/>
                <w:bCs/>
                <w:color w:val="000000"/>
                <w:lang w:eastAsia="zh-CN"/>
              </w:rPr>
              <w:t>Ref.</w:t>
            </w:r>
          </w:p>
        </w:tc>
      </w:tr>
      <w:tr w:rsidR="001943F9" w:rsidRPr="001943F9" w14:paraId="67067ED2" w14:textId="77777777" w:rsidTr="001943F9">
        <w:trPr>
          <w:trHeight w:val="945"/>
        </w:trPr>
        <w:tc>
          <w:tcPr>
            <w:tcW w:w="1900" w:type="dxa"/>
            <w:tcBorders>
              <w:top w:val="nil"/>
              <w:left w:val="nil"/>
              <w:bottom w:val="nil"/>
              <w:right w:val="nil"/>
            </w:tcBorders>
            <w:shd w:val="clear" w:color="auto" w:fill="auto"/>
            <w:vAlign w:val="center"/>
            <w:hideMark/>
          </w:tcPr>
          <w:p w14:paraId="10815B4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PNPs</w:t>
            </w:r>
          </w:p>
        </w:tc>
        <w:tc>
          <w:tcPr>
            <w:tcW w:w="3480" w:type="dxa"/>
            <w:tcBorders>
              <w:top w:val="nil"/>
              <w:left w:val="nil"/>
              <w:bottom w:val="nil"/>
              <w:right w:val="nil"/>
            </w:tcBorders>
            <w:shd w:val="clear" w:color="auto" w:fill="auto"/>
            <w:vAlign w:val="center"/>
            <w:hideMark/>
          </w:tcPr>
          <w:p w14:paraId="4D9834D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CDF</w:t>
            </w:r>
          </w:p>
        </w:tc>
        <w:tc>
          <w:tcPr>
            <w:tcW w:w="1940" w:type="dxa"/>
            <w:tcBorders>
              <w:top w:val="nil"/>
              <w:left w:val="nil"/>
              <w:bottom w:val="nil"/>
              <w:right w:val="nil"/>
            </w:tcBorders>
            <w:shd w:val="clear" w:color="auto" w:fill="auto"/>
            <w:vAlign w:val="center"/>
            <w:hideMark/>
          </w:tcPr>
          <w:p w14:paraId="6330322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Pancreas</w:t>
            </w:r>
          </w:p>
        </w:tc>
        <w:tc>
          <w:tcPr>
            <w:tcW w:w="3880" w:type="dxa"/>
            <w:tcBorders>
              <w:top w:val="nil"/>
              <w:left w:val="nil"/>
              <w:bottom w:val="nil"/>
              <w:right w:val="nil"/>
            </w:tcBorders>
            <w:shd w:val="clear" w:color="auto" w:fill="auto"/>
            <w:vAlign w:val="center"/>
            <w:hideMark/>
          </w:tcPr>
          <w:p w14:paraId="4B022E9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 xml:space="preserve">HA-SMA could be engineered to form nanomicelles with a potent anticancer agent, CDF </w:t>
            </w:r>
          </w:p>
        </w:tc>
        <w:tc>
          <w:tcPr>
            <w:tcW w:w="4900" w:type="dxa"/>
            <w:tcBorders>
              <w:top w:val="nil"/>
              <w:left w:val="nil"/>
              <w:bottom w:val="nil"/>
              <w:right w:val="nil"/>
            </w:tcBorders>
            <w:shd w:val="clear" w:color="auto" w:fill="auto"/>
            <w:vAlign w:val="center"/>
            <w:hideMark/>
          </w:tcPr>
          <w:p w14:paraId="2DC2E1F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MiaPaCa-2, AsPC-1</w:t>
            </w:r>
          </w:p>
        </w:tc>
        <w:tc>
          <w:tcPr>
            <w:tcW w:w="2060" w:type="dxa"/>
            <w:tcBorders>
              <w:top w:val="nil"/>
              <w:left w:val="nil"/>
              <w:bottom w:val="nil"/>
              <w:right w:val="nil"/>
            </w:tcBorders>
            <w:shd w:val="clear" w:color="auto" w:fill="auto"/>
            <w:vAlign w:val="center"/>
            <w:hideMark/>
          </w:tcPr>
          <w:p w14:paraId="2863FC5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1ED4DBF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[42]</w:t>
            </w:r>
          </w:p>
        </w:tc>
      </w:tr>
      <w:tr w:rsidR="001943F9" w:rsidRPr="001943F9" w14:paraId="72A6FFCE" w14:textId="77777777" w:rsidTr="001943F9">
        <w:trPr>
          <w:trHeight w:val="315"/>
        </w:trPr>
        <w:tc>
          <w:tcPr>
            <w:tcW w:w="1900" w:type="dxa"/>
            <w:tcBorders>
              <w:top w:val="nil"/>
              <w:left w:val="nil"/>
              <w:bottom w:val="nil"/>
              <w:right w:val="nil"/>
            </w:tcBorders>
            <w:shd w:val="clear" w:color="auto" w:fill="auto"/>
            <w:vAlign w:val="center"/>
            <w:hideMark/>
          </w:tcPr>
          <w:p w14:paraId="7F3C290F"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42001E6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w:t>
            </w:r>
          </w:p>
        </w:tc>
        <w:tc>
          <w:tcPr>
            <w:tcW w:w="1940" w:type="dxa"/>
            <w:tcBorders>
              <w:top w:val="nil"/>
              <w:left w:val="nil"/>
              <w:bottom w:val="nil"/>
              <w:right w:val="nil"/>
            </w:tcBorders>
            <w:shd w:val="clear" w:color="auto" w:fill="auto"/>
            <w:vAlign w:val="center"/>
            <w:hideMark/>
          </w:tcPr>
          <w:p w14:paraId="199C571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Colon</w:t>
            </w:r>
          </w:p>
        </w:tc>
        <w:tc>
          <w:tcPr>
            <w:tcW w:w="3880" w:type="dxa"/>
            <w:tcBorders>
              <w:top w:val="nil"/>
              <w:left w:val="nil"/>
              <w:bottom w:val="nil"/>
              <w:right w:val="nil"/>
            </w:tcBorders>
            <w:shd w:val="clear" w:color="auto" w:fill="auto"/>
            <w:vAlign w:val="center"/>
            <w:hideMark/>
          </w:tcPr>
          <w:p w14:paraId="1DC54A1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HA-SS-MP</w:t>
            </w:r>
          </w:p>
        </w:tc>
        <w:tc>
          <w:tcPr>
            <w:tcW w:w="4900" w:type="dxa"/>
            <w:tcBorders>
              <w:top w:val="nil"/>
              <w:left w:val="nil"/>
              <w:bottom w:val="nil"/>
              <w:right w:val="nil"/>
            </w:tcBorders>
            <w:shd w:val="clear" w:color="auto" w:fill="auto"/>
            <w:vAlign w:val="center"/>
            <w:hideMark/>
          </w:tcPr>
          <w:p w14:paraId="34B76A0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HCT116</w:t>
            </w:r>
          </w:p>
        </w:tc>
        <w:tc>
          <w:tcPr>
            <w:tcW w:w="2060" w:type="dxa"/>
            <w:tcBorders>
              <w:top w:val="nil"/>
              <w:left w:val="nil"/>
              <w:bottom w:val="nil"/>
              <w:right w:val="nil"/>
            </w:tcBorders>
            <w:shd w:val="clear" w:color="auto" w:fill="auto"/>
            <w:vAlign w:val="center"/>
            <w:hideMark/>
          </w:tcPr>
          <w:p w14:paraId="7B6B986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69C2D66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[43]</w:t>
            </w:r>
          </w:p>
        </w:tc>
      </w:tr>
      <w:tr w:rsidR="001943F9" w:rsidRPr="001943F9" w14:paraId="2E0E6414" w14:textId="77777777" w:rsidTr="001943F9">
        <w:trPr>
          <w:trHeight w:val="315"/>
        </w:trPr>
        <w:tc>
          <w:tcPr>
            <w:tcW w:w="1900" w:type="dxa"/>
            <w:tcBorders>
              <w:top w:val="nil"/>
              <w:left w:val="nil"/>
              <w:bottom w:val="nil"/>
              <w:right w:val="nil"/>
            </w:tcBorders>
            <w:shd w:val="clear" w:color="auto" w:fill="auto"/>
            <w:vAlign w:val="center"/>
            <w:hideMark/>
          </w:tcPr>
          <w:p w14:paraId="0BB0875D"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0E45A24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SFN</w:t>
            </w:r>
          </w:p>
        </w:tc>
        <w:tc>
          <w:tcPr>
            <w:tcW w:w="1940" w:type="dxa"/>
            <w:tcBorders>
              <w:top w:val="nil"/>
              <w:left w:val="nil"/>
              <w:bottom w:val="nil"/>
              <w:right w:val="nil"/>
            </w:tcBorders>
            <w:shd w:val="clear" w:color="auto" w:fill="auto"/>
            <w:vAlign w:val="center"/>
            <w:hideMark/>
          </w:tcPr>
          <w:p w14:paraId="206F26B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632CA7F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 xml:space="preserve">SFN/M-HA-SS-TA </w:t>
            </w:r>
          </w:p>
        </w:tc>
        <w:tc>
          <w:tcPr>
            <w:tcW w:w="4900" w:type="dxa"/>
            <w:tcBorders>
              <w:top w:val="nil"/>
              <w:left w:val="nil"/>
              <w:bottom w:val="nil"/>
              <w:right w:val="nil"/>
            </w:tcBorders>
            <w:shd w:val="clear" w:color="auto" w:fill="auto"/>
            <w:vAlign w:val="center"/>
            <w:hideMark/>
          </w:tcPr>
          <w:p w14:paraId="4334DA7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MDA-MB-231, Hs578t, MCF7, MCF10A</w:t>
            </w:r>
          </w:p>
        </w:tc>
        <w:tc>
          <w:tcPr>
            <w:tcW w:w="2060" w:type="dxa"/>
            <w:tcBorders>
              <w:top w:val="nil"/>
              <w:left w:val="nil"/>
              <w:bottom w:val="nil"/>
              <w:right w:val="nil"/>
            </w:tcBorders>
            <w:shd w:val="clear" w:color="auto" w:fill="auto"/>
            <w:vAlign w:val="center"/>
            <w:hideMark/>
          </w:tcPr>
          <w:p w14:paraId="5DADED5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7477AC0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[44]</w:t>
            </w:r>
          </w:p>
        </w:tc>
      </w:tr>
      <w:tr w:rsidR="001943F9" w:rsidRPr="001943F9" w14:paraId="3E3D6326" w14:textId="77777777" w:rsidTr="001943F9">
        <w:trPr>
          <w:trHeight w:val="315"/>
        </w:trPr>
        <w:tc>
          <w:tcPr>
            <w:tcW w:w="1900" w:type="dxa"/>
            <w:tcBorders>
              <w:top w:val="nil"/>
              <w:left w:val="nil"/>
              <w:bottom w:val="nil"/>
              <w:right w:val="nil"/>
            </w:tcBorders>
            <w:shd w:val="clear" w:color="auto" w:fill="auto"/>
            <w:vAlign w:val="center"/>
            <w:hideMark/>
          </w:tcPr>
          <w:p w14:paraId="79221247"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2B2424C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SN-38</w:t>
            </w:r>
          </w:p>
        </w:tc>
        <w:tc>
          <w:tcPr>
            <w:tcW w:w="1940" w:type="dxa"/>
            <w:tcBorders>
              <w:top w:val="nil"/>
              <w:left w:val="nil"/>
              <w:bottom w:val="nil"/>
              <w:right w:val="nil"/>
            </w:tcBorders>
            <w:shd w:val="clear" w:color="auto" w:fill="auto"/>
            <w:vAlign w:val="center"/>
            <w:hideMark/>
          </w:tcPr>
          <w:p w14:paraId="24A3D13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Colon</w:t>
            </w:r>
          </w:p>
        </w:tc>
        <w:tc>
          <w:tcPr>
            <w:tcW w:w="3880" w:type="dxa"/>
            <w:tcBorders>
              <w:top w:val="nil"/>
              <w:left w:val="nil"/>
              <w:bottom w:val="nil"/>
              <w:right w:val="nil"/>
            </w:tcBorders>
            <w:shd w:val="clear" w:color="auto" w:fill="auto"/>
            <w:vAlign w:val="center"/>
            <w:hideMark/>
          </w:tcPr>
          <w:p w14:paraId="3B9E0C8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CD133Ab-NP-SN-38</w:t>
            </w:r>
          </w:p>
        </w:tc>
        <w:tc>
          <w:tcPr>
            <w:tcW w:w="4900" w:type="dxa"/>
            <w:tcBorders>
              <w:top w:val="nil"/>
              <w:left w:val="nil"/>
              <w:bottom w:val="nil"/>
              <w:right w:val="nil"/>
            </w:tcBorders>
            <w:shd w:val="clear" w:color="auto" w:fill="auto"/>
            <w:vAlign w:val="center"/>
            <w:hideMark/>
          </w:tcPr>
          <w:p w14:paraId="3953D0A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HCT116</w:t>
            </w:r>
          </w:p>
        </w:tc>
        <w:tc>
          <w:tcPr>
            <w:tcW w:w="2060" w:type="dxa"/>
            <w:tcBorders>
              <w:top w:val="nil"/>
              <w:left w:val="nil"/>
              <w:bottom w:val="nil"/>
              <w:right w:val="nil"/>
            </w:tcBorders>
            <w:shd w:val="clear" w:color="auto" w:fill="auto"/>
            <w:vAlign w:val="center"/>
            <w:hideMark/>
          </w:tcPr>
          <w:p w14:paraId="5F77FA7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18D1A89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[47]</w:t>
            </w:r>
          </w:p>
        </w:tc>
      </w:tr>
      <w:tr w:rsidR="001943F9" w:rsidRPr="001943F9" w14:paraId="661C3D7B" w14:textId="77777777" w:rsidTr="001943F9">
        <w:trPr>
          <w:trHeight w:val="315"/>
        </w:trPr>
        <w:tc>
          <w:tcPr>
            <w:tcW w:w="1900" w:type="dxa"/>
            <w:tcBorders>
              <w:top w:val="nil"/>
              <w:left w:val="nil"/>
              <w:bottom w:val="nil"/>
              <w:right w:val="nil"/>
            </w:tcBorders>
            <w:shd w:val="clear" w:color="auto" w:fill="auto"/>
            <w:vAlign w:val="center"/>
            <w:hideMark/>
          </w:tcPr>
          <w:p w14:paraId="54118EC8"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409F70AA"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I</w:t>
            </w:r>
            <w:r w:rsidRPr="001943F9">
              <w:rPr>
                <w:rFonts w:ascii="Book Antiqua" w:eastAsia="DengXian" w:hAnsi="Book Antiqua" w:cs="宋体"/>
                <w:color w:val="000000"/>
                <w:lang w:eastAsia="zh-CN"/>
              </w:rPr>
              <w:t>TGA5</w:t>
            </w:r>
          </w:p>
        </w:tc>
        <w:tc>
          <w:tcPr>
            <w:tcW w:w="1940" w:type="dxa"/>
            <w:tcBorders>
              <w:top w:val="nil"/>
              <w:left w:val="nil"/>
              <w:bottom w:val="nil"/>
              <w:right w:val="nil"/>
            </w:tcBorders>
            <w:shd w:val="clear" w:color="auto" w:fill="auto"/>
            <w:vAlign w:val="center"/>
            <w:hideMark/>
          </w:tcPr>
          <w:p w14:paraId="3FB1F3B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28DF71A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ITGA5-targeting NPs</w:t>
            </w:r>
          </w:p>
        </w:tc>
        <w:tc>
          <w:tcPr>
            <w:tcW w:w="4900" w:type="dxa"/>
            <w:tcBorders>
              <w:top w:val="nil"/>
              <w:left w:val="nil"/>
              <w:bottom w:val="nil"/>
              <w:right w:val="nil"/>
            </w:tcBorders>
            <w:shd w:val="clear" w:color="auto" w:fill="auto"/>
            <w:vAlign w:val="center"/>
            <w:hideMark/>
          </w:tcPr>
          <w:p w14:paraId="1F18A42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MDA-MB-231</w:t>
            </w:r>
          </w:p>
        </w:tc>
        <w:tc>
          <w:tcPr>
            <w:tcW w:w="2060" w:type="dxa"/>
            <w:tcBorders>
              <w:top w:val="nil"/>
              <w:left w:val="nil"/>
              <w:bottom w:val="nil"/>
              <w:right w:val="nil"/>
            </w:tcBorders>
            <w:shd w:val="clear" w:color="auto" w:fill="auto"/>
            <w:vAlign w:val="center"/>
            <w:hideMark/>
          </w:tcPr>
          <w:p w14:paraId="0F5F6A9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900" w:type="dxa"/>
            <w:tcBorders>
              <w:top w:val="nil"/>
              <w:left w:val="nil"/>
              <w:bottom w:val="nil"/>
              <w:right w:val="nil"/>
            </w:tcBorders>
            <w:shd w:val="clear" w:color="auto" w:fill="auto"/>
            <w:vAlign w:val="center"/>
            <w:hideMark/>
          </w:tcPr>
          <w:p w14:paraId="5A89736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[48]</w:t>
            </w:r>
          </w:p>
        </w:tc>
      </w:tr>
      <w:tr w:rsidR="001943F9" w:rsidRPr="001943F9" w14:paraId="1C32A41B" w14:textId="77777777" w:rsidTr="001943F9">
        <w:trPr>
          <w:trHeight w:val="315"/>
        </w:trPr>
        <w:tc>
          <w:tcPr>
            <w:tcW w:w="1900" w:type="dxa"/>
            <w:tcBorders>
              <w:top w:val="nil"/>
              <w:left w:val="nil"/>
              <w:bottom w:val="nil"/>
              <w:right w:val="nil"/>
            </w:tcBorders>
            <w:shd w:val="clear" w:color="auto" w:fill="auto"/>
            <w:vAlign w:val="center"/>
            <w:hideMark/>
          </w:tcPr>
          <w:p w14:paraId="646F9171"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272B7C4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 tariquidar</w:t>
            </w:r>
          </w:p>
        </w:tc>
        <w:tc>
          <w:tcPr>
            <w:tcW w:w="1940" w:type="dxa"/>
            <w:tcBorders>
              <w:top w:val="nil"/>
              <w:left w:val="nil"/>
              <w:bottom w:val="nil"/>
              <w:right w:val="nil"/>
            </w:tcBorders>
            <w:shd w:val="clear" w:color="auto" w:fill="auto"/>
            <w:vAlign w:val="center"/>
            <w:hideMark/>
          </w:tcPr>
          <w:p w14:paraId="4A4AD28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337A999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mSiO2-dPG</w:t>
            </w:r>
          </w:p>
        </w:tc>
        <w:tc>
          <w:tcPr>
            <w:tcW w:w="4900" w:type="dxa"/>
            <w:tcBorders>
              <w:top w:val="nil"/>
              <w:left w:val="nil"/>
              <w:bottom w:val="nil"/>
              <w:right w:val="nil"/>
            </w:tcBorders>
            <w:shd w:val="clear" w:color="auto" w:fill="auto"/>
            <w:vAlign w:val="center"/>
            <w:hideMark/>
          </w:tcPr>
          <w:p w14:paraId="01634A4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MCF-7</w:t>
            </w:r>
          </w:p>
        </w:tc>
        <w:tc>
          <w:tcPr>
            <w:tcW w:w="2060" w:type="dxa"/>
            <w:tcBorders>
              <w:top w:val="nil"/>
              <w:left w:val="nil"/>
              <w:bottom w:val="nil"/>
              <w:right w:val="nil"/>
            </w:tcBorders>
            <w:shd w:val="clear" w:color="auto" w:fill="auto"/>
            <w:vAlign w:val="center"/>
            <w:hideMark/>
          </w:tcPr>
          <w:p w14:paraId="5925CC3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900" w:type="dxa"/>
            <w:tcBorders>
              <w:top w:val="nil"/>
              <w:left w:val="nil"/>
              <w:bottom w:val="nil"/>
              <w:right w:val="nil"/>
            </w:tcBorders>
            <w:shd w:val="clear" w:color="auto" w:fill="auto"/>
            <w:vAlign w:val="center"/>
            <w:hideMark/>
          </w:tcPr>
          <w:p w14:paraId="1A17C02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[55]</w:t>
            </w:r>
          </w:p>
        </w:tc>
      </w:tr>
      <w:tr w:rsidR="001943F9" w:rsidRPr="001943F9" w14:paraId="6E166B3F" w14:textId="77777777" w:rsidTr="001943F9">
        <w:trPr>
          <w:trHeight w:val="315"/>
        </w:trPr>
        <w:tc>
          <w:tcPr>
            <w:tcW w:w="1900" w:type="dxa"/>
            <w:tcBorders>
              <w:top w:val="nil"/>
              <w:left w:val="nil"/>
              <w:bottom w:val="nil"/>
              <w:right w:val="nil"/>
            </w:tcBorders>
            <w:shd w:val="clear" w:color="auto" w:fill="auto"/>
            <w:vAlign w:val="center"/>
            <w:hideMark/>
          </w:tcPr>
          <w:p w14:paraId="5DCE6BC9"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5309DEE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 tariquidar</w:t>
            </w:r>
          </w:p>
        </w:tc>
        <w:tc>
          <w:tcPr>
            <w:tcW w:w="1940" w:type="dxa"/>
            <w:tcBorders>
              <w:top w:val="nil"/>
              <w:left w:val="nil"/>
              <w:bottom w:val="nil"/>
              <w:right w:val="nil"/>
            </w:tcBorders>
            <w:shd w:val="clear" w:color="auto" w:fill="auto"/>
            <w:vAlign w:val="center"/>
            <w:hideMark/>
          </w:tcPr>
          <w:p w14:paraId="3CB9187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Cancer cell</w:t>
            </w:r>
          </w:p>
        </w:tc>
        <w:tc>
          <w:tcPr>
            <w:tcW w:w="3880" w:type="dxa"/>
            <w:tcBorders>
              <w:top w:val="nil"/>
              <w:left w:val="nil"/>
              <w:bottom w:val="nil"/>
              <w:right w:val="nil"/>
            </w:tcBorders>
            <w:shd w:val="clear" w:color="auto" w:fill="auto"/>
            <w:vAlign w:val="center"/>
            <w:hideMark/>
          </w:tcPr>
          <w:p w14:paraId="23EB565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TTNV</w:t>
            </w:r>
          </w:p>
        </w:tc>
        <w:tc>
          <w:tcPr>
            <w:tcW w:w="4900" w:type="dxa"/>
            <w:tcBorders>
              <w:top w:val="nil"/>
              <w:left w:val="nil"/>
              <w:bottom w:val="nil"/>
              <w:right w:val="nil"/>
            </w:tcBorders>
            <w:shd w:val="clear" w:color="auto" w:fill="auto"/>
            <w:vAlign w:val="center"/>
            <w:hideMark/>
          </w:tcPr>
          <w:p w14:paraId="165BC5F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Hela, A547</w:t>
            </w:r>
          </w:p>
        </w:tc>
        <w:tc>
          <w:tcPr>
            <w:tcW w:w="2060" w:type="dxa"/>
            <w:tcBorders>
              <w:top w:val="nil"/>
              <w:left w:val="nil"/>
              <w:bottom w:val="nil"/>
              <w:right w:val="nil"/>
            </w:tcBorders>
            <w:shd w:val="clear" w:color="auto" w:fill="auto"/>
            <w:vAlign w:val="center"/>
            <w:hideMark/>
          </w:tcPr>
          <w:p w14:paraId="59C621F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2112ECE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[56]</w:t>
            </w:r>
          </w:p>
        </w:tc>
      </w:tr>
      <w:tr w:rsidR="001943F9" w:rsidRPr="001943F9" w14:paraId="3C84138D" w14:textId="77777777" w:rsidTr="001943F9">
        <w:trPr>
          <w:trHeight w:val="315"/>
        </w:trPr>
        <w:tc>
          <w:tcPr>
            <w:tcW w:w="1900" w:type="dxa"/>
            <w:tcBorders>
              <w:top w:val="nil"/>
              <w:left w:val="nil"/>
              <w:bottom w:val="nil"/>
              <w:right w:val="nil"/>
            </w:tcBorders>
            <w:shd w:val="clear" w:color="auto" w:fill="auto"/>
            <w:vAlign w:val="center"/>
            <w:hideMark/>
          </w:tcPr>
          <w:p w14:paraId="6D1D4539"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16F586E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DS</w:t>
            </w:r>
          </w:p>
        </w:tc>
        <w:tc>
          <w:tcPr>
            <w:tcW w:w="1940" w:type="dxa"/>
            <w:tcBorders>
              <w:top w:val="nil"/>
              <w:left w:val="nil"/>
              <w:bottom w:val="nil"/>
              <w:right w:val="nil"/>
            </w:tcBorders>
            <w:shd w:val="clear" w:color="auto" w:fill="auto"/>
            <w:vAlign w:val="center"/>
            <w:hideMark/>
          </w:tcPr>
          <w:p w14:paraId="64462F9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GMB</w:t>
            </w:r>
          </w:p>
        </w:tc>
        <w:tc>
          <w:tcPr>
            <w:tcW w:w="3880" w:type="dxa"/>
            <w:tcBorders>
              <w:top w:val="nil"/>
              <w:left w:val="nil"/>
              <w:bottom w:val="nil"/>
              <w:right w:val="nil"/>
            </w:tcBorders>
            <w:shd w:val="clear" w:color="auto" w:fill="auto"/>
            <w:vAlign w:val="center"/>
            <w:hideMark/>
          </w:tcPr>
          <w:p w14:paraId="739D0A4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PLGA</w:t>
            </w:r>
          </w:p>
        </w:tc>
        <w:tc>
          <w:tcPr>
            <w:tcW w:w="4900" w:type="dxa"/>
            <w:tcBorders>
              <w:top w:val="nil"/>
              <w:left w:val="nil"/>
              <w:bottom w:val="nil"/>
              <w:right w:val="nil"/>
            </w:tcBorders>
            <w:shd w:val="clear" w:color="auto" w:fill="auto"/>
            <w:vAlign w:val="center"/>
            <w:hideMark/>
          </w:tcPr>
          <w:p w14:paraId="6AA10044"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U87MG, U251MG, U373MG</w:t>
            </w:r>
          </w:p>
        </w:tc>
        <w:tc>
          <w:tcPr>
            <w:tcW w:w="2060" w:type="dxa"/>
            <w:tcBorders>
              <w:top w:val="nil"/>
              <w:left w:val="nil"/>
              <w:bottom w:val="nil"/>
              <w:right w:val="nil"/>
            </w:tcBorders>
            <w:shd w:val="clear" w:color="auto" w:fill="auto"/>
            <w:vAlign w:val="center"/>
            <w:hideMark/>
          </w:tcPr>
          <w:p w14:paraId="3D9417E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ALDH</w:t>
            </w:r>
          </w:p>
        </w:tc>
        <w:tc>
          <w:tcPr>
            <w:tcW w:w="900" w:type="dxa"/>
            <w:tcBorders>
              <w:top w:val="nil"/>
              <w:left w:val="nil"/>
              <w:bottom w:val="nil"/>
              <w:right w:val="nil"/>
            </w:tcBorders>
            <w:shd w:val="clear" w:color="auto" w:fill="auto"/>
            <w:vAlign w:val="center"/>
            <w:hideMark/>
          </w:tcPr>
          <w:p w14:paraId="7564F12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[57,58]</w:t>
            </w:r>
          </w:p>
        </w:tc>
      </w:tr>
      <w:tr w:rsidR="001943F9" w:rsidRPr="001943F9" w14:paraId="50A91EDD" w14:textId="77777777" w:rsidTr="001943F9">
        <w:trPr>
          <w:trHeight w:val="315"/>
        </w:trPr>
        <w:tc>
          <w:tcPr>
            <w:tcW w:w="1900" w:type="dxa"/>
            <w:tcBorders>
              <w:top w:val="nil"/>
              <w:left w:val="nil"/>
              <w:bottom w:val="nil"/>
              <w:right w:val="nil"/>
            </w:tcBorders>
            <w:shd w:val="clear" w:color="auto" w:fill="auto"/>
            <w:vAlign w:val="center"/>
            <w:hideMark/>
          </w:tcPr>
          <w:p w14:paraId="31EECC7C"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312776BB"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miR-148a, miR-296-5p</w:t>
            </w:r>
          </w:p>
        </w:tc>
        <w:tc>
          <w:tcPr>
            <w:tcW w:w="1940" w:type="dxa"/>
            <w:tcBorders>
              <w:top w:val="nil"/>
              <w:left w:val="nil"/>
              <w:bottom w:val="nil"/>
              <w:right w:val="nil"/>
            </w:tcBorders>
            <w:shd w:val="clear" w:color="auto" w:fill="auto"/>
            <w:vAlign w:val="center"/>
            <w:hideMark/>
          </w:tcPr>
          <w:p w14:paraId="5202BAE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GMB</w:t>
            </w:r>
          </w:p>
        </w:tc>
        <w:tc>
          <w:tcPr>
            <w:tcW w:w="3880" w:type="dxa"/>
            <w:tcBorders>
              <w:top w:val="nil"/>
              <w:left w:val="nil"/>
              <w:bottom w:val="nil"/>
              <w:right w:val="nil"/>
            </w:tcBorders>
            <w:shd w:val="clear" w:color="auto" w:fill="auto"/>
            <w:vAlign w:val="center"/>
            <w:hideMark/>
          </w:tcPr>
          <w:p w14:paraId="4DC9EB84"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nano-miRs</w:t>
            </w:r>
          </w:p>
        </w:tc>
        <w:tc>
          <w:tcPr>
            <w:tcW w:w="4900" w:type="dxa"/>
            <w:tcBorders>
              <w:top w:val="nil"/>
              <w:left w:val="nil"/>
              <w:bottom w:val="nil"/>
              <w:right w:val="nil"/>
            </w:tcBorders>
            <w:shd w:val="clear" w:color="auto" w:fill="auto"/>
            <w:vAlign w:val="center"/>
            <w:hideMark/>
          </w:tcPr>
          <w:p w14:paraId="565D037D"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GBM1A</w:t>
            </w:r>
          </w:p>
        </w:tc>
        <w:tc>
          <w:tcPr>
            <w:tcW w:w="2060" w:type="dxa"/>
            <w:tcBorders>
              <w:top w:val="nil"/>
              <w:left w:val="nil"/>
              <w:bottom w:val="nil"/>
              <w:right w:val="nil"/>
            </w:tcBorders>
            <w:shd w:val="clear" w:color="auto" w:fill="auto"/>
            <w:vAlign w:val="center"/>
            <w:hideMark/>
          </w:tcPr>
          <w:p w14:paraId="495BB8C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Oct4/Sox2</w:t>
            </w:r>
          </w:p>
        </w:tc>
        <w:tc>
          <w:tcPr>
            <w:tcW w:w="900" w:type="dxa"/>
            <w:tcBorders>
              <w:top w:val="nil"/>
              <w:left w:val="nil"/>
              <w:bottom w:val="nil"/>
              <w:right w:val="nil"/>
            </w:tcBorders>
            <w:shd w:val="clear" w:color="auto" w:fill="auto"/>
            <w:vAlign w:val="center"/>
            <w:hideMark/>
          </w:tcPr>
          <w:p w14:paraId="5ECBEF5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[60]</w:t>
            </w:r>
          </w:p>
        </w:tc>
      </w:tr>
      <w:tr w:rsidR="001943F9" w:rsidRPr="001943F9" w14:paraId="031F1E67" w14:textId="77777777" w:rsidTr="001943F9">
        <w:trPr>
          <w:trHeight w:val="315"/>
        </w:trPr>
        <w:tc>
          <w:tcPr>
            <w:tcW w:w="1900" w:type="dxa"/>
            <w:tcBorders>
              <w:top w:val="nil"/>
              <w:left w:val="nil"/>
              <w:bottom w:val="nil"/>
              <w:right w:val="nil"/>
            </w:tcBorders>
            <w:shd w:val="clear" w:color="auto" w:fill="auto"/>
            <w:vAlign w:val="center"/>
            <w:hideMark/>
          </w:tcPr>
          <w:p w14:paraId="0311EAB7"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61662D9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TPZ</w:t>
            </w:r>
          </w:p>
        </w:tc>
        <w:tc>
          <w:tcPr>
            <w:tcW w:w="1940" w:type="dxa"/>
            <w:tcBorders>
              <w:top w:val="nil"/>
              <w:left w:val="nil"/>
              <w:bottom w:val="nil"/>
              <w:right w:val="nil"/>
            </w:tcBorders>
            <w:shd w:val="clear" w:color="auto" w:fill="auto"/>
            <w:vAlign w:val="center"/>
            <w:hideMark/>
          </w:tcPr>
          <w:p w14:paraId="27EF11A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19844B4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MSN</w:t>
            </w:r>
          </w:p>
        </w:tc>
        <w:tc>
          <w:tcPr>
            <w:tcW w:w="4900" w:type="dxa"/>
            <w:tcBorders>
              <w:top w:val="nil"/>
              <w:left w:val="nil"/>
              <w:bottom w:val="nil"/>
              <w:right w:val="nil"/>
            </w:tcBorders>
            <w:shd w:val="clear" w:color="auto" w:fill="auto"/>
            <w:vAlign w:val="center"/>
            <w:hideMark/>
          </w:tcPr>
          <w:p w14:paraId="0349551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MCF-7</w:t>
            </w:r>
          </w:p>
        </w:tc>
        <w:tc>
          <w:tcPr>
            <w:tcW w:w="2060" w:type="dxa"/>
            <w:tcBorders>
              <w:top w:val="nil"/>
              <w:left w:val="nil"/>
              <w:bottom w:val="nil"/>
              <w:right w:val="nil"/>
            </w:tcBorders>
            <w:shd w:val="clear" w:color="auto" w:fill="auto"/>
            <w:vAlign w:val="center"/>
            <w:hideMark/>
          </w:tcPr>
          <w:p w14:paraId="2F52FD5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1DCE019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[54]</w:t>
            </w:r>
          </w:p>
        </w:tc>
      </w:tr>
      <w:tr w:rsidR="001943F9" w:rsidRPr="001943F9" w14:paraId="30FA7823" w14:textId="77777777" w:rsidTr="001943F9">
        <w:trPr>
          <w:trHeight w:val="315"/>
        </w:trPr>
        <w:tc>
          <w:tcPr>
            <w:tcW w:w="1900" w:type="dxa"/>
            <w:tcBorders>
              <w:top w:val="nil"/>
              <w:left w:val="nil"/>
              <w:bottom w:val="nil"/>
              <w:right w:val="nil"/>
            </w:tcBorders>
            <w:shd w:val="clear" w:color="auto" w:fill="auto"/>
            <w:vAlign w:val="center"/>
            <w:hideMark/>
          </w:tcPr>
          <w:p w14:paraId="5BDDF928"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6DAC660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Cyclopamine</w:t>
            </w:r>
          </w:p>
        </w:tc>
        <w:tc>
          <w:tcPr>
            <w:tcW w:w="1940" w:type="dxa"/>
            <w:tcBorders>
              <w:top w:val="nil"/>
              <w:left w:val="nil"/>
              <w:bottom w:val="nil"/>
              <w:right w:val="nil"/>
            </w:tcBorders>
            <w:shd w:val="clear" w:color="auto" w:fill="auto"/>
            <w:vAlign w:val="center"/>
            <w:hideMark/>
          </w:tcPr>
          <w:p w14:paraId="09D2D3A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Prostate</w:t>
            </w:r>
          </w:p>
        </w:tc>
        <w:tc>
          <w:tcPr>
            <w:tcW w:w="3880" w:type="dxa"/>
            <w:tcBorders>
              <w:top w:val="nil"/>
              <w:left w:val="nil"/>
              <w:bottom w:val="nil"/>
              <w:right w:val="nil"/>
            </w:tcBorders>
            <w:shd w:val="clear" w:color="auto" w:fill="auto"/>
            <w:vAlign w:val="center"/>
            <w:hideMark/>
          </w:tcPr>
          <w:p w14:paraId="780DFDF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HPMA</w:t>
            </w:r>
          </w:p>
        </w:tc>
        <w:tc>
          <w:tcPr>
            <w:tcW w:w="4900" w:type="dxa"/>
            <w:tcBorders>
              <w:top w:val="nil"/>
              <w:left w:val="nil"/>
              <w:bottom w:val="nil"/>
              <w:right w:val="nil"/>
            </w:tcBorders>
            <w:shd w:val="clear" w:color="auto" w:fill="auto"/>
            <w:vAlign w:val="center"/>
            <w:hideMark/>
          </w:tcPr>
          <w:p w14:paraId="4BD3C55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RC-92a/hTERT</w:t>
            </w:r>
          </w:p>
        </w:tc>
        <w:tc>
          <w:tcPr>
            <w:tcW w:w="2060" w:type="dxa"/>
            <w:tcBorders>
              <w:top w:val="nil"/>
              <w:left w:val="nil"/>
              <w:bottom w:val="nil"/>
              <w:right w:val="nil"/>
            </w:tcBorders>
            <w:shd w:val="clear" w:color="auto" w:fill="auto"/>
            <w:vAlign w:val="center"/>
            <w:hideMark/>
          </w:tcPr>
          <w:p w14:paraId="16467CD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292FFC9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[57]</w:t>
            </w:r>
          </w:p>
        </w:tc>
      </w:tr>
      <w:tr w:rsidR="001943F9" w:rsidRPr="001943F9" w14:paraId="2B84847D" w14:textId="77777777" w:rsidTr="001943F9">
        <w:trPr>
          <w:trHeight w:val="630"/>
        </w:trPr>
        <w:tc>
          <w:tcPr>
            <w:tcW w:w="1900" w:type="dxa"/>
            <w:tcBorders>
              <w:top w:val="nil"/>
              <w:left w:val="nil"/>
              <w:bottom w:val="nil"/>
              <w:right w:val="nil"/>
            </w:tcBorders>
            <w:shd w:val="clear" w:color="auto" w:fill="auto"/>
            <w:vAlign w:val="center"/>
            <w:hideMark/>
          </w:tcPr>
          <w:p w14:paraId="13DFA88A"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0651771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HPI-1</w:t>
            </w:r>
          </w:p>
        </w:tc>
        <w:tc>
          <w:tcPr>
            <w:tcW w:w="1940" w:type="dxa"/>
            <w:tcBorders>
              <w:top w:val="nil"/>
              <w:left w:val="nil"/>
              <w:bottom w:val="nil"/>
              <w:right w:val="nil"/>
            </w:tcBorders>
            <w:shd w:val="clear" w:color="auto" w:fill="auto"/>
            <w:vAlign w:val="center"/>
            <w:hideMark/>
          </w:tcPr>
          <w:p w14:paraId="7E52C01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 pancreas</w:t>
            </w:r>
          </w:p>
        </w:tc>
        <w:tc>
          <w:tcPr>
            <w:tcW w:w="3880" w:type="dxa"/>
            <w:tcBorders>
              <w:top w:val="nil"/>
              <w:left w:val="nil"/>
              <w:bottom w:val="nil"/>
              <w:right w:val="nil"/>
            </w:tcBorders>
            <w:shd w:val="clear" w:color="auto" w:fill="auto"/>
            <w:vAlign w:val="center"/>
            <w:hideMark/>
          </w:tcPr>
          <w:p w14:paraId="479F18A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HPI-1 was loaded with PLGA-PEG NPs</w:t>
            </w:r>
          </w:p>
        </w:tc>
        <w:tc>
          <w:tcPr>
            <w:tcW w:w="4900" w:type="dxa"/>
            <w:tcBorders>
              <w:top w:val="nil"/>
              <w:left w:val="nil"/>
              <w:bottom w:val="nil"/>
              <w:right w:val="nil"/>
            </w:tcBorders>
            <w:shd w:val="clear" w:color="auto" w:fill="auto"/>
            <w:vAlign w:val="center"/>
            <w:hideMark/>
          </w:tcPr>
          <w:p w14:paraId="3D82903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Huh7, Pa03C</w:t>
            </w:r>
          </w:p>
        </w:tc>
        <w:tc>
          <w:tcPr>
            <w:tcW w:w="2060" w:type="dxa"/>
            <w:tcBorders>
              <w:top w:val="nil"/>
              <w:left w:val="nil"/>
              <w:bottom w:val="nil"/>
              <w:right w:val="nil"/>
            </w:tcBorders>
            <w:shd w:val="clear" w:color="auto" w:fill="auto"/>
            <w:vAlign w:val="center"/>
            <w:hideMark/>
          </w:tcPr>
          <w:p w14:paraId="54E3995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3A7EBF7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[58]</w:t>
            </w:r>
          </w:p>
        </w:tc>
      </w:tr>
      <w:tr w:rsidR="001943F9" w:rsidRPr="001943F9" w14:paraId="03BA0708" w14:textId="77777777" w:rsidTr="001943F9">
        <w:trPr>
          <w:trHeight w:val="315"/>
        </w:trPr>
        <w:tc>
          <w:tcPr>
            <w:tcW w:w="1900" w:type="dxa"/>
            <w:tcBorders>
              <w:top w:val="nil"/>
              <w:left w:val="nil"/>
              <w:bottom w:val="nil"/>
              <w:right w:val="nil"/>
            </w:tcBorders>
            <w:shd w:val="clear" w:color="auto" w:fill="auto"/>
            <w:vAlign w:val="center"/>
            <w:hideMark/>
          </w:tcPr>
          <w:p w14:paraId="15DB68BC"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1D4DA60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RNA drugs</w:t>
            </w:r>
          </w:p>
        </w:tc>
        <w:tc>
          <w:tcPr>
            <w:tcW w:w="1940" w:type="dxa"/>
            <w:tcBorders>
              <w:top w:val="nil"/>
              <w:left w:val="nil"/>
              <w:bottom w:val="nil"/>
              <w:right w:val="nil"/>
            </w:tcBorders>
            <w:shd w:val="clear" w:color="auto" w:fill="auto"/>
            <w:vAlign w:val="center"/>
            <w:hideMark/>
          </w:tcPr>
          <w:p w14:paraId="46E80B9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4F10F1D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ET-tMNV</w:t>
            </w:r>
          </w:p>
        </w:tc>
        <w:tc>
          <w:tcPr>
            <w:tcW w:w="4900" w:type="dxa"/>
            <w:tcBorders>
              <w:top w:val="nil"/>
              <w:left w:val="nil"/>
              <w:bottom w:val="nil"/>
              <w:right w:val="nil"/>
            </w:tcBorders>
            <w:shd w:val="clear" w:color="auto" w:fill="auto"/>
            <w:vAlign w:val="center"/>
            <w:hideMark/>
          </w:tcPr>
          <w:p w14:paraId="581AFDC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hep3B</w:t>
            </w:r>
          </w:p>
        </w:tc>
        <w:tc>
          <w:tcPr>
            <w:tcW w:w="2060" w:type="dxa"/>
            <w:tcBorders>
              <w:top w:val="nil"/>
              <w:left w:val="nil"/>
              <w:bottom w:val="nil"/>
              <w:right w:val="nil"/>
            </w:tcBorders>
            <w:shd w:val="clear" w:color="auto" w:fill="auto"/>
            <w:vAlign w:val="center"/>
            <w:hideMark/>
          </w:tcPr>
          <w:p w14:paraId="1E8797D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EpCAM</w:t>
            </w:r>
          </w:p>
        </w:tc>
        <w:tc>
          <w:tcPr>
            <w:tcW w:w="900" w:type="dxa"/>
            <w:tcBorders>
              <w:top w:val="nil"/>
              <w:left w:val="nil"/>
              <w:bottom w:val="nil"/>
              <w:right w:val="nil"/>
            </w:tcBorders>
            <w:shd w:val="clear" w:color="auto" w:fill="auto"/>
            <w:vAlign w:val="center"/>
            <w:hideMark/>
          </w:tcPr>
          <w:p w14:paraId="52D9AC7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[52]</w:t>
            </w:r>
          </w:p>
        </w:tc>
      </w:tr>
      <w:tr w:rsidR="001943F9" w:rsidRPr="001943F9" w14:paraId="451A6D90" w14:textId="77777777" w:rsidTr="001943F9">
        <w:trPr>
          <w:trHeight w:val="315"/>
        </w:trPr>
        <w:tc>
          <w:tcPr>
            <w:tcW w:w="1900" w:type="dxa"/>
            <w:tcBorders>
              <w:top w:val="nil"/>
              <w:left w:val="nil"/>
              <w:bottom w:val="nil"/>
              <w:right w:val="nil"/>
            </w:tcBorders>
            <w:shd w:val="clear" w:color="auto" w:fill="auto"/>
            <w:vAlign w:val="center"/>
            <w:hideMark/>
          </w:tcPr>
          <w:p w14:paraId="12AC816B"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7EEDB29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 Cyc</w:t>
            </w:r>
          </w:p>
        </w:tc>
        <w:tc>
          <w:tcPr>
            <w:tcW w:w="1940" w:type="dxa"/>
            <w:tcBorders>
              <w:top w:val="nil"/>
              <w:left w:val="nil"/>
              <w:bottom w:val="nil"/>
              <w:right w:val="nil"/>
            </w:tcBorders>
            <w:shd w:val="clear" w:color="auto" w:fill="auto"/>
            <w:vAlign w:val="center"/>
            <w:hideMark/>
          </w:tcPr>
          <w:p w14:paraId="7FE9716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39B10DFB"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HA-SS-PLGA</w:t>
            </w:r>
          </w:p>
        </w:tc>
        <w:tc>
          <w:tcPr>
            <w:tcW w:w="4900" w:type="dxa"/>
            <w:tcBorders>
              <w:top w:val="nil"/>
              <w:left w:val="nil"/>
              <w:bottom w:val="nil"/>
              <w:right w:val="nil"/>
            </w:tcBorders>
            <w:shd w:val="clear" w:color="auto" w:fill="auto"/>
            <w:vAlign w:val="center"/>
            <w:hideMark/>
          </w:tcPr>
          <w:p w14:paraId="5872369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MCF-7 MDA-MB-231</w:t>
            </w:r>
          </w:p>
        </w:tc>
        <w:tc>
          <w:tcPr>
            <w:tcW w:w="2060" w:type="dxa"/>
            <w:tcBorders>
              <w:top w:val="nil"/>
              <w:left w:val="nil"/>
              <w:bottom w:val="nil"/>
              <w:right w:val="nil"/>
            </w:tcBorders>
            <w:shd w:val="clear" w:color="auto" w:fill="auto"/>
            <w:vAlign w:val="center"/>
            <w:hideMark/>
          </w:tcPr>
          <w:p w14:paraId="30A61C7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6F9F15F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[64]</w:t>
            </w:r>
          </w:p>
        </w:tc>
      </w:tr>
      <w:tr w:rsidR="001943F9" w:rsidRPr="001943F9" w14:paraId="52E1CA23" w14:textId="77777777" w:rsidTr="001943F9">
        <w:trPr>
          <w:trHeight w:val="360"/>
        </w:trPr>
        <w:tc>
          <w:tcPr>
            <w:tcW w:w="1900" w:type="dxa"/>
            <w:tcBorders>
              <w:top w:val="nil"/>
              <w:left w:val="nil"/>
              <w:bottom w:val="nil"/>
              <w:right w:val="nil"/>
            </w:tcBorders>
            <w:shd w:val="clear" w:color="auto" w:fill="auto"/>
            <w:vAlign w:val="center"/>
            <w:hideMark/>
          </w:tcPr>
          <w:p w14:paraId="21E9F612"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2791D25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LDN193189</w:t>
            </w:r>
          </w:p>
        </w:tc>
        <w:tc>
          <w:tcPr>
            <w:tcW w:w="1940" w:type="dxa"/>
            <w:tcBorders>
              <w:top w:val="nil"/>
              <w:left w:val="nil"/>
              <w:bottom w:val="nil"/>
              <w:right w:val="nil"/>
            </w:tcBorders>
            <w:shd w:val="clear" w:color="auto" w:fill="auto"/>
            <w:vAlign w:val="center"/>
            <w:hideMark/>
          </w:tcPr>
          <w:p w14:paraId="203EA66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1E83692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Fe</w:t>
            </w:r>
            <w:r w:rsidRPr="001943F9">
              <w:rPr>
                <w:rFonts w:ascii="Book Antiqua" w:eastAsia="DengXian" w:hAnsi="Book Antiqua" w:cs="宋体"/>
                <w:color w:val="000000"/>
                <w:vertAlign w:val="subscript"/>
                <w:lang w:eastAsia="zh-CN"/>
              </w:rPr>
              <w:t>3</w:t>
            </w:r>
            <w:r w:rsidRPr="001943F9">
              <w:rPr>
                <w:rFonts w:ascii="Book Antiqua" w:eastAsia="DengXian" w:hAnsi="Book Antiqua" w:cs="宋体"/>
                <w:color w:val="000000"/>
                <w:lang w:eastAsia="zh-CN"/>
              </w:rPr>
              <w:t>O</w:t>
            </w:r>
            <w:r w:rsidRPr="001943F9">
              <w:rPr>
                <w:rFonts w:ascii="Book Antiqua" w:eastAsia="DengXian" w:hAnsi="Book Antiqua" w:cs="宋体"/>
                <w:color w:val="000000"/>
                <w:vertAlign w:val="subscript"/>
                <w:lang w:eastAsia="zh-CN"/>
              </w:rPr>
              <w:t>4</w:t>
            </w:r>
            <w:r w:rsidRPr="001943F9">
              <w:rPr>
                <w:rFonts w:ascii="Book Antiqua" w:eastAsia="DengXian" w:hAnsi="Book Antiqua" w:cs="宋体"/>
                <w:color w:val="000000"/>
                <w:lang w:eastAsia="zh-CN"/>
              </w:rPr>
              <w:t>-OA-DHCA-PEI- HA</w:t>
            </w:r>
          </w:p>
        </w:tc>
        <w:tc>
          <w:tcPr>
            <w:tcW w:w="4900" w:type="dxa"/>
            <w:tcBorders>
              <w:top w:val="nil"/>
              <w:left w:val="nil"/>
              <w:bottom w:val="nil"/>
              <w:right w:val="nil"/>
            </w:tcBorders>
            <w:shd w:val="clear" w:color="auto" w:fill="auto"/>
            <w:vAlign w:val="center"/>
            <w:hideMark/>
          </w:tcPr>
          <w:p w14:paraId="3265066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2060" w:type="dxa"/>
            <w:tcBorders>
              <w:top w:val="nil"/>
              <w:left w:val="nil"/>
              <w:bottom w:val="nil"/>
              <w:right w:val="nil"/>
            </w:tcBorders>
            <w:shd w:val="clear" w:color="auto" w:fill="auto"/>
            <w:vAlign w:val="center"/>
            <w:hideMark/>
          </w:tcPr>
          <w:p w14:paraId="68B3A17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4E4547D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[61]</w:t>
            </w:r>
          </w:p>
        </w:tc>
      </w:tr>
      <w:tr w:rsidR="001943F9" w:rsidRPr="001943F9" w14:paraId="49D60341" w14:textId="77777777" w:rsidTr="001943F9">
        <w:trPr>
          <w:trHeight w:val="630"/>
        </w:trPr>
        <w:tc>
          <w:tcPr>
            <w:tcW w:w="1900" w:type="dxa"/>
            <w:tcBorders>
              <w:top w:val="nil"/>
              <w:left w:val="nil"/>
              <w:bottom w:val="nil"/>
              <w:right w:val="nil"/>
            </w:tcBorders>
            <w:shd w:val="clear" w:color="auto" w:fill="auto"/>
            <w:vAlign w:val="center"/>
            <w:hideMark/>
          </w:tcPr>
          <w:p w14:paraId="3B14820C"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1CCDDE5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w:t>
            </w:r>
          </w:p>
        </w:tc>
        <w:tc>
          <w:tcPr>
            <w:tcW w:w="1940" w:type="dxa"/>
            <w:tcBorders>
              <w:top w:val="nil"/>
              <w:left w:val="nil"/>
              <w:bottom w:val="nil"/>
              <w:right w:val="nil"/>
            </w:tcBorders>
            <w:shd w:val="clear" w:color="auto" w:fill="auto"/>
            <w:vAlign w:val="center"/>
            <w:hideMark/>
          </w:tcPr>
          <w:p w14:paraId="20D6F96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722BE4A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Gold NPs coupled to adriamycin by nitrogen condensation bond</w:t>
            </w:r>
          </w:p>
        </w:tc>
        <w:tc>
          <w:tcPr>
            <w:tcW w:w="4900" w:type="dxa"/>
            <w:tcBorders>
              <w:top w:val="nil"/>
              <w:left w:val="nil"/>
              <w:bottom w:val="nil"/>
              <w:right w:val="nil"/>
            </w:tcBorders>
            <w:shd w:val="clear" w:color="auto" w:fill="auto"/>
            <w:vAlign w:val="center"/>
            <w:hideMark/>
          </w:tcPr>
          <w:p w14:paraId="18EF9F8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sk-3</w:t>
            </w:r>
          </w:p>
        </w:tc>
        <w:tc>
          <w:tcPr>
            <w:tcW w:w="2060" w:type="dxa"/>
            <w:tcBorders>
              <w:top w:val="nil"/>
              <w:left w:val="nil"/>
              <w:bottom w:val="nil"/>
              <w:right w:val="nil"/>
            </w:tcBorders>
            <w:shd w:val="clear" w:color="auto" w:fill="auto"/>
            <w:vAlign w:val="center"/>
            <w:hideMark/>
          </w:tcPr>
          <w:p w14:paraId="3BC7D52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900" w:type="dxa"/>
            <w:tcBorders>
              <w:top w:val="nil"/>
              <w:left w:val="nil"/>
              <w:bottom w:val="nil"/>
              <w:right w:val="nil"/>
            </w:tcBorders>
            <w:shd w:val="clear" w:color="auto" w:fill="auto"/>
            <w:vAlign w:val="center"/>
            <w:hideMark/>
          </w:tcPr>
          <w:p w14:paraId="7C4A4F6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[62]</w:t>
            </w:r>
          </w:p>
        </w:tc>
      </w:tr>
      <w:tr w:rsidR="001943F9" w:rsidRPr="001943F9" w14:paraId="178D8550" w14:textId="77777777" w:rsidTr="001943F9">
        <w:trPr>
          <w:trHeight w:val="315"/>
        </w:trPr>
        <w:tc>
          <w:tcPr>
            <w:tcW w:w="1900" w:type="dxa"/>
            <w:tcBorders>
              <w:top w:val="nil"/>
              <w:left w:val="nil"/>
              <w:bottom w:val="nil"/>
              <w:right w:val="nil"/>
            </w:tcBorders>
            <w:shd w:val="clear" w:color="auto" w:fill="auto"/>
            <w:vAlign w:val="center"/>
            <w:hideMark/>
          </w:tcPr>
          <w:p w14:paraId="3247BBCA"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04FC12C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ZnS</w:t>
            </w:r>
          </w:p>
        </w:tc>
        <w:tc>
          <w:tcPr>
            <w:tcW w:w="1940" w:type="dxa"/>
            <w:tcBorders>
              <w:top w:val="nil"/>
              <w:left w:val="nil"/>
              <w:bottom w:val="nil"/>
              <w:right w:val="nil"/>
            </w:tcBorders>
            <w:shd w:val="clear" w:color="auto" w:fill="auto"/>
            <w:vAlign w:val="center"/>
            <w:hideMark/>
          </w:tcPr>
          <w:p w14:paraId="5569CA7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568A07F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ZnS</w:t>
            </w:r>
          </w:p>
        </w:tc>
        <w:tc>
          <w:tcPr>
            <w:tcW w:w="4900" w:type="dxa"/>
            <w:tcBorders>
              <w:top w:val="nil"/>
              <w:left w:val="nil"/>
              <w:bottom w:val="nil"/>
              <w:right w:val="nil"/>
            </w:tcBorders>
            <w:shd w:val="clear" w:color="auto" w:fill="auto"/>
            <w:vAlign w:val="center"/>
            <w:hideMark/>
          </w:tcPr>
          <w:p w14:paraId="0860271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MCF-7</w:t>
            </w:r>
          </w:p>
        </w:tc>
        <w:tc>
          <w:tcPr>
            <w:tcW w:w="2060" w:type="dxa"/>
            <w:tcBorders>
              <w:top w:val="nil"/>
              <w:left w:val="nil"/>
              <w:bottom w:val="nil"/>
              <w:right w:val="nil"/>
            </w:tcBorders>
            <w:shd w:val="clear" w:color="auto" w:fill="auto"/>
            <w:vAlign w:val="center"/>
            <w:hideMark/>
          </w:tcPr>
          <w:p w14:paraId="6BC82BB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7942ED1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[63]</w:t>
            </w:r>
          </w:p>
        </w:tc>
      </w:tr>
      <w:tr w:rsidR="001943F9" w:rsidRPr="001943F9" w14:paraId="0F2219E2" w14:textId="77777777" w:rsidTr="001943F9">
        <w:trPr>
          <w:trHeight w:val="315"/>
        </w:trPr>
        <w:tc>
          <w:tcPr>
            <w:tcW w:w="1900" w:type="dxa"/>
            <w:tcBorders>
              <w:top w:val="nil"/>
              <w:left w:val="nil"/>
              <w:bottom w:val="nil"/>
              <w:right w:val="nil"/>
            </w:tcBorders>
            <w:shd w:val="clear" w:color="auto" w:fill="auto"/>
            <w:vAlign w:val="center"/>
            <w:hideMark/>
          </w:tcPr>
          <w:p w14:paraId="2B400357"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51CCD9B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 all-trans retinoic acid</w:t>
            </w:r>
          </w:p>
        </w:tc>
        <w:tc>
          <w:tcPr>
            <w:tcW w:w="1940" w:type="dxa"/>
            <w:tcBorders>
              <w:top w:val="nil"/>
              <w:left w:val="nil"/>
              <w:bottom w:val="nil"/>
              <w:right w:val="nil"/>
            </w:tcBorders>
            <w:shd w:val="clear" w:color="auto" w:fill="auto"/>
            <w:vAlign w:val="center"/>
            <w:hideMark/>
          </w:tcPr>
          <w:p w14:paraId="3AC8919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3B86982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PLGA-b-PEG</w:t>
            </w:r>
          </w:p>
        </w:tc>
        <w:tc>
          <w:tcPr>
            <w:tcW w:w="4900" w:type="dxa"/>
            <w:tcBorders>
              <w:top w:val="nil"/>
              <w:left w:val="nil"/>
              <w:bottom w:val="nil"/>
              <w:right w:val="nil"/>
            </w:tcBorders>
            <w:shd w:val="clear" w:color="auto" w:fill="auto"/>
            <w:vAlign w:val="center"/>
            <w:hideMark/>
          </w:tcPr>
          <w:p w14:paraId="3588473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Hepa1-6</w:t>
            </w:r>
          </w:p>
        </w:tc>
        <w:tc>
          <w:tcPr>
            <w:tcW w:w="2060" w:type="dxa"/>
            <w:tcBorders>
              <w:top w:val="nil"/>
              <w:left w:val="nil"/>
              <w:bottom w:val="nil"/>
              <w:right w:val="nil"/>
            </w:tcBorders>
            <w:shd w:val="clear" w:color="auto" w:fill="auto"/>
            <w:vAlign w:val="center"/>
            <w:hideMark/>
          </w:tcPr>
          <w:p w14:paraId="4820FF8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EpCAM</w:t>
            </w:r>
          </w:p>
        </w:tc>
        <w:tc>
          <w:tcPr>
            <w:tcW w:w="900" w:type="dxa"/>
            <w:tcBorders>
              <w:top w:val="nil"/>
              <w:left w:val="nil"/>
              <w:bottom w:val="nil"/>
              <w:right w:val="nil"/>
            </w:tcBorders>
            <w:shd w:val="clear" w:color="auto" w:fill="auto"/>
            <w:vAlign w:val="center"/>
            <w:hideMark/>
          </w:tcPr>
          <w:p w14:paraId="34F7526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[51]</w:t>
            </w:r>
          </w:p>
        </w:tc>
      </w:tr>
      <w:tr w:rsidR="001943F9" w:rsidRPr="001943F9" w14:paraId="19EFD253" w14:textId="77777777" w:rsidTr="001943F9">
        <w:trPr>
          <w:trHeight w:val="315"/>
        </w:trPr>
        <w:tc>
          <w:tcPr>
            <w:tcW w:w="1900" w:type="dxa"/>
            <w:tcBorders>
              <w:top w:val="nil"/>
              <w:left w:val="nil"/>
              <w:bottom w:val="nil"/>
              <w:right w:val="nil"/>
            </w:tcBorders>
            <w:shd w:val="clear" w:color="auto" w:fill="auto"/>
            <w:vAlign w:val="center"/>
            <w:hideMark/>
          </w:tcPr>
          <w:p w14:paraId="2A47B75D"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1C52307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Epiampicin, arsenic trioxide</w:t>
            </w:r>
          </w:p>
        </w:tc>
        <w:tc>
          <w:tcPr>
            <w:tcW w:w="1940" w:type="dxa"/>
            <w:tcBorders>
              <w:top w:val="nil"/>
              <w:left w:val="nil"/>
              <w:bottom w:val="nil"/>
              <w:right w:val="nil"/>
            </w:tcBorders>
            <w:shd w:val="clear" w:color="auto" w:fill="auto"/>
            <w:vAlign w:val="center"/>
            <w:hideMark/>
          </w:tcPr>
          <w:p w14:paraId="181A429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427949E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Nanomicelles</w:t>
            </w:r>
          </w:p>
        </w:tc>
        <w:tc>
          <w:tcPr>
            <w:tcW w:w="4900" w:type="dxa"/>
            <w:tcBorders>
              <w:top w:val="nil"/>
              <w:left w:val="nil"/>
              <w:bottom w:val="nil"/>
              <w:right w:val="nil"/>
            </w:tcBorders>
            <w:shd w:val="clear" w:color="auto" w:fill="auto"/>
            <w:vAlign w:val="center"/>
            <w:hideMark/>
          </w:tcPr>
          <w:p w14:paraId="42154C2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hepG2</w:t>
            </w:r>
          </w:p>
        </w:tc>
        <w:tc>
          <w:tcPr>
            <w:tcW w:w="2060" w:type="dxa"/>
            <w:tcBorders>
              <w:top w:val="nil"/>
              <w:left w:val="nil"/>
              <w:bottom w:val="nil"/>
              <w:right w:val="nil"/>
            </w:tcBorders>
            <w:shd w:val="clear" w:color="auto" w:fill="auto"/>
            <w:vAlign w:val="center"/>
            <w:hideMark/>
          </w:tcPr>
          <w:p w14:paraId="4618671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3136AF4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[97]</w:t>
            </w:r>
          </w:p>
        </w:tc>
      </w:tr>
      <w:tr w:rsidR="001943F9" w:rsidRPr="001943F9" w14:paraId="4A149F75" w14:textId="77777777" w:rsidTr="001943F9">
        <w:trPr>
          <w:trHeight w:val="315"/>
        </w:trPr>
        <w:tc>
          <w:tcPr>
            <w:tcW w:w="1900" w:type="dxa"/>
            <w:tcBorders>
              <w:top w:val="nil"/>
              <w:left w:val="nil"/>
              <w:bottom w:val="nil"/>
              <w:right w:val="nil"/>
            </w:tcBorders>
            <w:shd w:val="clear" w:color="auto" w:fill="auto"/>
            <w:vAlign w:val="center"/>
            <w:hideMark/>
          </w:tcPr>
          <w:p w14:paraId="20647A38"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49B1756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Resveratrol</w:t>
            </w:r>
          </w:p>
        </w:tc>
        <w:tc>
          <w:tcPr>
            <w:tcW w:w="1940" w:type="dxa"/>
            <w:tcBorders>
              <w:top w:val="nil"/>
              <w:left w:val="nil"/>
              <w:bottom w:val="nil"/>
              <w:right w:val="nil"/>
            </w:tcBorders>
            <w:shd w:val="clear" w:color="auto" w:fill="auto"/>
            <w:vAlign w:val="center"/>
            <w:hideMark/>
          </w:tcPr>
          <w:p w14:paraId="37F2FAE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 xml:space="preserve">Oral </w:t>
            </w:r>
          </w:p>
        </w:tc>
        <w:tc>
          <w:tcPr>
            <w:tcW w:w="3880" w:type="dxa"/>
            <w:tcBorders>
              <w:top w:val="nil"/>
              <w:left w:val="nil"/>
              <w:bottom w:val="nil"/>
              <w:right w:val="nil"/>
            </w:tcBorders>
            <w:shd w:val="clear" w:color="auto" w:fill="auto"/>
            <w:vAlign w:val="center"/>
            <w:hideMark/>
          </w:tcPr>
          <w:p w14:paraId="7F90C9C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NP</w:t>
            </w:r>
          </w:p>
        </w:tc>
        <w:tc>
          <w:tcPr>
            <w:tcW w:w="4900" w:type="dxa"/>
            <w:tcBorders>
              <w:top w:val="nil"/>
              <w:left w:val="nil"/>
              <w:bottom w:val="nil"/>
              <w:right w:val="nil"/>
            </w:tcBorders>
            <w:shd w:val="clear" w:color="auto" w:fill="auto"/>
            <w:vAlign w:val="center"/>
            <w:hideMark/>
          </w:tcPr>
          <w:p w14:paraId="709AEC2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H-357</w:t>
            </w:r>
          </w:p>
        </w:tc>
        <w:tc>
          <w:tcPr>
            <w:tcW w:w="2060" w:type="dxa"/>
            <w:tcBorders>
              <w:top w:val="nil"/>
              <w:left w:val="nil"/>
              <w:bottom w:val="nil"/>
              <w:right w:val="nil"/>
            </w:tcBorders>
            <w:shd w:val="clear" w:color="auto" w:fill="auto"/>
            <w:vAlign w:val="center"/>
            <w:hideMark/>
          </w:tcPr>
          <w:p w14:paraId="0261976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900" w:type="dxa"/>
            <w:tcBorders>
              <w:top w:val="nil"/>
              <w:left w:val="nil"/>
              <w:bottom w:val="nil"/>
              <w:right w:val="nil"/>
            </w:tcBorders>
            <w:shd w:val="clear" w:color="auto" w:fill="auto"/>
            <w:vAlign w:val="center"/>
            <w:hideMark/>
          </w:tcPr>
          <w:p w14:paraId="74FA86D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[69]</w:t>
            </w:r>
          </w:p>
        </w:tc>
      </w:tr>
      <w:tr w:rsidR="001943F9" w:rsidRPr="001943F9" w14:paraId="6F861E18" w14:textId="77777777" w:rsidTr="001943F9">
        <w:trPr>
          <w:trHeight w:val="323"/>
        </w:trPr>
        <w:tc>
          <w:tcPr>
            <w:tcW w:w="1900" w:type="dxa"/>
            <w:tcBorders>
              <w:top w:val="nil"/>
              <w:left w:val="nil"/>
              <w:bottom w:val="single" w:sz="8" w:space="0" w:color="000000"/>
              <w:right w:val="nil"/>
            </w:tcBorders>
            <w:shd w:val="clear" w:color="auto" w:fill="auto"/>
            <w:vAlign w:val="center"/>
            <w:hideMark/>
          </w:tcPr>
          <w:p w14:paraId="14362DE3" w14:textId="0637818F"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single" w:sz="8" w:space="0" w:color="000000"/>
              <w:right w:val="nil"/>
            </w:tcBorders>
            <w:shd w:val="clear" w:color="auto" w:fill="auto"/>
            <w:vAlign w:val="center"/>
            <w:hideMark/>
          </w:tcPr>
          <w:p w14:paraId="7D8B23E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Cisplatin</w:t>
            </w:r>
          </w:p>
        </w:tc>
        <w:tc>
          <w:tcPr>
            <w:tcW w:w="1940" w:type="dxa"/>
            <w:tcBorders>
              <w:top w:val="nil"/>
              <w:left w:val="nil"/>
              <w:bottom w:val="single" w:sz="8" w:space="0" w:color="000000"/>
              <w:right w:val="nil"/>
            </w:tcBorders>
            <w:shd w:val="clear" w:color="auto" w:fill="auto"/>
            <w:vAlign w:val="center"/>
            <w:hideMark/>
          </w:tcPr>
          <w:p w14:paraId="5DECFE8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single" w:sz="8" w:space="0" w:color="000000"/>
              <w:right w:val="nil"/>
            </w:tcBorders>
            <w:shd w:val="clear" w:color="auto" w:fill="auto"/>
            <w:vAlign w:val="center"/>
            <w:hideMark/>
          </w:tcPr>
          <w:p w14:paraId="67EC6D8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PEI-modified MSN</w:t>
            </w:r>
          </w:p>
        </w:tc>
        <w:tc>
          <w:tcPr>
            <w:tcW w:w="4900" w:type="dxa"/>
            <w:tcBorders>
              <w:top w:val="nil"/>
              <w:left w:val="nil"/>
              <w:bottom w:val="single" w:sz="8" w:space="0" w:color="000000"/>
              <w:right w:val="nil"/>
            </w:tcBorders>
            <w:shd w:val="clear" w:color="auto" w:fill="auto"/>
            <w:vAlign w:val="center"/>
            <w:hideMark/>
          </w:tcPr>
          <w:p w14:paraId="7431FB7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Huh7</w:t>
            </w:r>
          </w:p>
        </w:tc>
        <w:tc>
          <w:tcPr>
            <w:tcW w:w="2060" w:type="dxa"/>
            <w:tcBorders>
              <w:top w:val="nil"/>
              <w:left w:val="nil"/>
              <w:bottom w:val="single" w:sz="8" w:space="0" w:color="000000"/>
              <w:right w:val="nil"/>
            </w:tcBorders>
            <w:shd w:val="clear" w:color="auto" w:fill="auto"/>
            <w:vAlign w:val="center"/>
            <w:hideMark/>
          </w:tcPr>
          <w:p w14:paraId="3C895CB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single" w:sz="8" w:space="0" w:color="000000"/>
              <w:right w:val="nil"/>
            </w:tcBorders>
            <w:shd w:val="clear" w:color="auto" w:fill="auto"/>
            <w:vAlign w:val="center"/>
            <w:hideMark/>
          </w:tcPr>
          <w:p w14:paraId="7CB60FB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[53]</w:t>
            </w:r>
          </w:p>
        </w:tc>
      </w:tr>
      <w:tr w:rsidR="001943F9" w:rsidRPr="001943F9" w14:paraId="3C2E771A" w14:textId="77777777" w:rsidTr="001943F9">
        <w:trPr>
          <w:trHeight w:val="315"/>
        </w:trPr>
        <w:tc>
          <w:tcPr>
            <w:tcW w:w="1900" w:type="dxa"/>
            <w:tcBorders>
              <w:top w:val="nil"/>
              <w:left w:val="nil"/>
              <w:bottom w:val="nil"/>
              <w:right w:val="nil"/>
            </w:tcBorders>
            <w:shd w:val="clear" w:color="auto" w:fill="auto"/>
            <w:vAlign w:val="center"/>
            <w:hideMark/>
          </w:tcPr>
          <w:p w14:paraId="073D828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Liposomes</w:t>
            </w:r>
          </w:p>
        </w:tc>
        <w:tc>
          <w:tcPr>
            <w:tcW w:w="3480" w:type="dxa"/>
            <w:tcBorders>
              <w:top w:val="nil"/>
              <w:left w:val="nil"/>
              <w:bottom w:val="nil"/>
              <w:right w:val="nil"/>
            </w:tcBorders>
            <w:shd w:val="clear" w:color="auto" w:fill="auto"/>
            <w:vAlign w:val="center"/>
            <w:hideMark/>
          </w:tcPr>
          <w:p w14:paraId="5DC4EF4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SAL, DOX</w:t>
            </w:r>
          </w:p>
        </w:tc>
        <w:tc>
          <w:tcPr>
            <w:tcW w:w="1940" w:type="dxa"/>
            <w:tcBorders>
              <w:top w:val="nil"/>
              <w:left w:val="nil"/>
              <w:bottom w:val="nil"/>
              <w:right w:val="nil"/>
            </w:tcBorders>
            <w:shd w:val="clear" w:color="auto" w:fill="auto"/>
            <w:vAlign w:val="center"/>
            <w:hideMark/>
          </w:tcPr>
          <w:p w14:paraId="671C2AC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3EA289D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Nanoliposomes</w:t>
            </w:r>
          </w:p>
        </w:tc>
        <w:tc>
          <w:tcPr>
            <w:tcW w:w="4900" w:type="dxa"/>
            <w:tcBorders>
              <w:top w:val="nil"/>
              <w:left w:val="nil"/>
              <w:bottom w:val="nil"/>
              <w:right w:val="nil"/>
            </w:tcBorders>
            <w:shd w:val="clear" w:color="auto" w:fill="auto"/>
            <w:vAlign w:val="center"/>
            <w:hideMark/>
          </w:tcPr>
          <w:p w14:paraId="7C8E934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HepG2</w:t>
            </w:r>
          </w:p>
        </w:tc>
        <w:tc>
          <w:tcPr>
            <w:tcW w:w="2060" w:type="dxa"/>
            <w:tcBorders>
              <w:top w:val="nil"/>
              <w:left w:val="nil"/>
              <w:bottom w:val="nil"/>
              <w:right w:val="nil"/>
            </w:tcBorders>
            <w:shd w:val="clear" w:color="auto" w:fill="auto"/>
            <w:vAlign w:val="center"/>
            <w:hideMark/>
          </w:tcPr>
          <w:p w14:paraId="04B5285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34DA77B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[73]</w:t>
            </w:r>
          </w:p>
        </w:tc>
      </w:tr>
      <w:tr w:rsidR="001943F9" w:rsidRPr="001943F9" w14:paraId="1F38F163" w14:textId="77777777" w:rsidTr="001943F9">
        <w:trPr>
          <w:trHeight w:val="315"/>
        </w:trPr>
        <w:tc>
          <w:tcPr>
            <w:tcW w:w="1900" w:type="dxa"/>
            <w:tcBorders>
              <w:top w:val="nil"/>
              <w:left w:val="nil"/>
              <w:bottom w:val="nil"/>
              <w:right w:val="nil"/>
            </w:tcBorders>
            <w:shd w:val="clear" w:color="auto" w:fill="auto"/>
            <w:vAlign w:val="center"/>
            <w:hideMark/>
          </w:tcPr>
          <w:p w14:paraId="5D9BE3F4"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4084FABB"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 xml:space="preserve">TRAIL, </w:t>
            </w:r>
            <w:r w:rsidRPr="001943F9">
              <w:rPr>
                <w:rFonts w:ascii="Book Antiqua" w:eastAsia="DengXian" w:hAnsi="Book Antiqua" w:cs="宋体"/>
                <w:color w:val="000000"/>
                <w:lang w:eastAsia="zh-CN"/>
              </w:rPr>
              <w:t>SAL</w:t>
            </w:r>
          </w:p>
        </w:tc>
        <w:tc>
          <w:tcPr>
            <w:tcW w:w="1940" w:type="dxa"/>
            <w:tcBorders>
              <w:top w:val="nil"/>
              <w:left w:val="nil"/>
              <w:bottom w:val="nil"/>
              <w:right w:val="nil"/>
            </w:tcBorders>
            <w:shd w:val="clear" w:color="auto" w:fill="auto"/>
            <w:vAlign w:val="center"/>
            <w:hideMark/>
          </w:tcPr>
          <w:p w14:paraId="4893B1C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Cancer cell</w:t>
            </w:r>
          </w:p>
        </w:tc>
        <w:tc>
          <w:tcPr>
            <w:tcW w:w="3880" w:type="dxa"/>
            <w:tcBorders>
              <w:top w:val="nil"/>
              <w:left w:val="nil"/>
              <w:bottom w:val="nil"/>
              <w:right w:val="nil"/>
            </w:tcBorders>
            <w:shd w:val="clear" w:color="auto" w:fill="auto"/>
            <w:vAlign w:val="center"/>
            <w:hideMark/>
          </w:tcPr>
          <w:p w14:paraId="6517CA9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Liposomes</w:t>
            </w:r>
          </w:p>
        </w:tc>
        <w:tc>
          <w:tcPr>
            <w:tcW w:w="4900" w:type="dxa"/>
            <w:tcBorders>
              <w:top w:val="nil"/>
              <w:left w:val="nil"/>
              <w:bottom w:val="nil"/>
              <w:right w:val="nil"/>
            </w:tcBorders>
            <w:shd w:val="clear" w:color="auto" w:fill="auto"/>
            <w:vAlign w:val="center"/>
            <w:hideMark/>
          </w:tcPr>
          <w:p w14:paraId="5CC44F5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CSCs</w:t>
            </w:r>
          </w:p>
        </w:tc>
        <w:tc>
          <w:tcPr>
            <w:tcW w:w="2060" w:type="dxa"/>
            <w:tcBorders>
              <w:top w:val="nil"/>
              <w:left w:val="nil"/>
              <w:bottom w:val="nil"/>
              <w:right w:val="nil"/>
            </w:tcBorders>
            <w:shd w:val="clear" w:color="auto" w:fill="auto"/>
            <w:vAlign w:val="center"/>
            <w:hideMark/>
          </w:tcPr>
          <w:p w14:paraId="7224647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900" w:type="dxa"/>
            <w:tcBorders>
              <w:top w:val="nil"/>
              <w:left w:val="nil"/>
              <w:bottom w:val="nil"/>
              <w:right w:val="nil"/>
            </w:tcBorders>
            <w:shd w:val="clear" w:color="auto" w:fill="auto"/>
            <w:vAlign w:val="center"/>
            <w:hideMark/>
          </w:tcPr>
          <w:p w14:paraId="792F1B5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[72]</w:t>
            </w:r>
          </w:p>
        </w:tc>
      </w:tr>
      <w:tr w:rsidR="001943F9" w:rsidRPr="001943F9" w14:paraId="7AC6E14A" w14:textId="77777777" w:rsidTr="001943F9">
        <w:trPr>
          <w:trHeight w:val="315"/>
        </w:trPr>
        <w:tc>
          <w:tcPr>
            <w:tcW w:w="1900" w:type="dxa"/>
            <w:tcBorders>
              <w:top w:val="nil"/>
              <w:left w:val="nil"/>
              <w:bottom w:val="nil"/>
              <w:right w:val="nil"/>
            </w:tcBorders>
            <w:shd w:val="clear" w:color="auto" w:fill="auto"/>
            <w:vAlign w:val="center"/>
            <w:hideMark/>
          </w:tcPr>
          <w:p w14:paraId="66912486"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6933266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w:t>
            </w:r>
          </w:p>
        </w:tc>
        <w:tc>
          <w:tcPr>
            <w:tcW w:w="1940" w:type="dxa"/>
            <w:tcBorders>
              <w:top w:val="nil"/>
              <w:left w:val="nil"/>
              <w:bottom w:val="nil"/>
              <w:right w:val="nil"/>
            </w:tcBorders>
            <w:shd w:val="clear" w:color="auto" w:fill="auto"/>
            <w:vAlign w:val="center"/>
            <w:hideMark/>
          </w:tcPr>
          <w:p w14:paraId="6A555C0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67B8D9E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HLs</w:t>
            </w:r>
          </w:p>
        </w:tc>
        <w:tc>
          <w:tcPr>
            <w:tcW w:w="4900" w:type="dxa"/>
            <w:tcBorders>
              <w:top w:val="nil"/>
              <w:left w:val="nil"/>
              <w:bottom w:val="nil"/>
              <w:right w:val="nil"/>
            </w:tcBorders>
            <w:shd w:val="clear" w:color="auto" w:fill="auto"/>
            <w:vAlign w:val="center"/>
            <w:hideMark/>
          </w:tcPr>
          <w:p w14:paraId="398D415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HepG2</w:t>
            </w:r>
          </w:p>
        </w:tc>
        <w:tc>
          <w:tcPr>
            <w:tcW w:w="2060" w:type="dxa"/>
            <w:tcBorders>
              <w:top w:val="nil"/>
              <w:left w:val="nil"/>
              <w:bottom w:val="nil"/>
              <w:right w:val="nil"/>
            </w:tcBorders>
            <w:shd w:val="clear" w:color="auto" w:fill="auto"/>
            <w:vAlign w:val="center"/>
            <w:hideMark/>
          </w:tcPr>
          <w:p w14:paraId="7B0FDA0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EpCAM, CD133</w:t>
            </w:r>
          </w:p>
        </w:tc>
        <w:tc>
          <w:tcPr>
            <w:tcW w:w="900" w:type="dxa"/>
            <w:tcBorders>
              <w:top w:val="nil"/>
              <w:left w:val="nil"/>
              <w:bottom w:val="nil"/>
              <w:right w:val="nil"/>
            </w:tcBorders>
            <w:shd w:val="clear" w:color="auto" w:fill="auto"/>
            <w:vAlign w:val="center"/>
            <w:hideMark/>
          </w:tcPr>
          <w:p w14:paraId="2A2C265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[74]</w:t>
            </w:r>
          </w:p>
        </w:tc>
      </w:tr>
      <w:tr w:rsidR="001943F9" w:rsidRPr="001943F9" w14:paraId="41E5E2C0" w14:textId="77777777" w:rsidTr="001943F9">
        <w:trPr>
          <w:trHeight w:val="630"/>
        </w:trPr>
        <w:tc>
          <w:tcPr>
            <w:tcW w:w="1900" w:type="dxa"/>
            <w:tcBorders>
              <w:top w:val="nil"/>
              <w:left w:val="nil"/>
              <w:bottom w:val="nil"/>
              <w:right w:val="nil"/>
            </w:tcBorders>
            <w:shd w:val="clear" w:color="auto" w:fill="auto"/>
            <w:vAlign w:val="center"/>
            <w:hideMark/>
          </w:tcPr>
          <w:p w14:paraId="3ABDDB5B"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2094F51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 SAL</w:t>
            </w:r>
          </w:p>
        </w:tc>
        <w:tc>
          <w:tcPr>
            <w:tcW w:w="1940" w:type="dxa"/>
            <w:tcBorders>
              <w:top w:val="nil"/>
              <w:left w:val="nil"/>
              <w:bottom w:val="nil"/>
              <w:right w:val="nil"/>
            </w:tcBorders>
            <w:shd w:val="clear" w:color="auto" w:fill="auto"/>
            <w:vAlign w:val="center"/>
            <w:hideMark/>
          </w:tcPr>
          <w:p w14:paraId="0D8C6F8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5F9FF3B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Redox-triggered dual-targeted liposomes</w:t>
            </w:r>
          </w:p>
        </w:tc>
        <w:tc>
          <w:tcPr>
            <w:tcW w:w="4900" w:type="dxa"/>
            <w:tcBorders>
              <w:top w:val="nil"/>
              <w:left w:val="nil"/>
              <w:bottom w:val="nil"/>
              <w:right w:val="nil"/>
            </w:tcBorders>
            <w:shd w:val="clear" w:color="auto" w:fill="auto"/>
            <w:vAlign w:val="center"/>
            <w:hideMark/>
          </w:tcPr>
          <w:p w14:paraId="1654E97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Huh7</w:t>
            </w:r>
          </w:p>
        </w:tc>
        <w:tc>
          <w:tcPr>
            <w:tcW w:w="2060" w:type="dxa"/>
            <w:tcBorders>
              <w:top w:val="nil"/>
              <w:left w:val="nil"/>
              <w:bottom w:val="nil"/>
              <w:right w:val="nil"/>
            </w:tcBorders>
            <w:shd w:val="clear" w:color="auto" w:fill="auto"/>
            <w:vAlign w:val="center"/>
            <w:hideMark/>
          </w:tcPr>
          <w:p w14:paraId="528CCF4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CD133EpCAM</w:t>
            </w:r>
          </w:p>
        </w:tc>
        <w:tc>
          <w:tcPr>
            <w:tcW w:w="900" w:type="dxa"/>
            <w:tcBorders>
              <w:top w:val="nil"/>
              <w:left w:val="nil"/>
              <w:bottom w:val="nil"/>
              <w:right w:val="nil"/>
            </w:tcBorders>
            <w:shd w:val="clear" w:color="auto" w:fill="auto"/>
            <w:vAlign w:val="center"/>
            <w:hideMark/>
          </w:tcPr>
          <w:p w14:paraId="7EF96D5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[48]</w:t>
            </w:r>
          </w:p>
        </w:tc>
      </w:tr>
      <w:tr w:rsidR="001943F9" w:rsidRPr="001943F9" w14:paraId="1BBB7243" w14:textId="77777777" w:rsidTr="001943F9">
        <w:trPr>
          <w:trHeight w:val="630"/>
        </w:trPr>
        <w:tc>
          <w:tcPr>
            <w:tcW w:w="1900" w:type="dxa"/>
            <w:tcBorders>
              <w:top w:val="nil"/>
              <w:left w:val="nil"/>
              <w:bottom w:val="nil"/>
              <w:right w:val="nil"/>
            </w:tcBorders>
            <w:shd w:val="clear" w:color="auto" w:fill="auto"/>
            <w:vAlign w:val="center"/>
            <w:hideMark/>
          </w:tcPr>
          <w:p w14:paraId="2B38C8BA"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3C794D6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DTXPL, TEL</w:t>
            </w:r>
          </w:p>
        </w:tc>
        <w:tc>
          <w:tcPr>
            <w:tcW w:w="1940" w:type="dxa"/>
            <w:tcBorders>
              <w:top w:val="nil"/>
              <w:left w:val="nil"/>
              <w:bottom w:val="nil"/>
              <w:right w:val="nil"/>
            </w:tcBorders>
            <w:shd w:val="clear" w:color="auto" w:fill="auto"/>
            <w:vAlign w:val="center"/>
            <w:hideMark/>
          </w:tcPr>
          <w:p w14:paraId="149B4D5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Lung</w:t>
            </w:r>
          </w:p>
        </w:tc>
        <w:tc>
          <w:tcPr>
            <w:tcW w:w="3880" w:type="dxa"/>
            <w:tcBorders>
              <w:top w:val="nil"/>
              <w:left w:val="nil"/>
              <w:bottom w:val="nil"/>
              <w:right w:val="nil"/>
            </w:tcBorders>
            <w:shd w:val="clear" w:color="auto" w:fill="auto"/>
            <w:vAlign w:val="center"/>
            <w:hideMark/>
          </w:tcPr>
          <w:p w14:paraId="24F31C8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 loaded with polyethylene glycolized liposomes</w:t>
            </w:r>
          </w:p>
        </w:tc>
        <w:tc>
          <w:tcPr>
            <w:tcW w:w="4900" w:type="dxa"/>
            <w:tcBorders>
              <w:top w:val="nil"/>
              <w:left w:val="nil"/>
              <w:bottom w:val="nil"/>
              <w:right w:val="nil"/>
            </w:tcBorders>
            <w:shd w:val="clear" w:color="auto" w:fill="auto"/>
            <w:vAlign w:val="center"/>
            <w:hideMark/>
          </w:tcPr>
          <w:p w14:paraId="1D99848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NCI-H460</w:t>
            </w:r>
          </w:p>
        </w:tc>
        <w:tc>
          <w:tcPr>
            <w:tcW w:w="2060" w:type="dxa"/>
            <w:tcBorders>
              <w:top w:val="nil"/>
              <w:left w:val="nil"/>
              <w:bottom w:val="nil"/>
              <w:right w:val="nil"/>
            </w:tcBorders>
            <w:shd w:val="clear" w:color="auto" w:fill="auto"/>
            <w:vAlign w:val="center"/>
            <w:hideMark/>
          </w:tcPr>
          <w:p w14:paraId="257D74E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58FA773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[76]</w:t>
            </w:r>
          </w:p>
        </w:tc>
      </w:tr>
      <w:tr w:rsidR="001943F9" w:rsidRPr="001943F9" w14:paraId="3DED239B" w14:textId="77777777" w:rsidTr="001943F9">
        <w:trPr>
          <w:trHeight w:val="315"/>
        </w:trPr>
        <w:tc>
          <w:tcPr>
            <w:tcW w:w="1900" w:type="dxa"/>
            <w:tcBorders>
              <w:top w:val="nil"/>
              <w:left w:val="nil"/>
              <w:bottom w:val="nil"/>
              <w:right w:val="nil"/>
            </w:tcBorders>
            <w:shd w:val="clear" w:color="auto" w:fill="auto"/>
            <w:vAlign w:val="center"/>
            <w:hideMark/>
          </w:tcPr>
          <w:p w14:paraId="011B378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Gold nanorods</w:t>
            </w:r>
          </w:p>
        </w:tc>
        <w:tc>
          <w:tcPr>
            <w:tcW w:w="3480" w:type="dxa"/>
            <w:tcBorders>
              <w:top w:val="nil"/>
              <w:left w:val="nil"/>
              <w:bottom w:val="nil"/>
              <w:right w:val="nil"/>
            </w:tcBorders>
            <w:shd w:val="clear" w:color="auto" w:fill="auto"/>
            <w:vAlign w:val="center"/>
            <w:hideMark/>
          </w:tcPr>
          <w:p w14:paraId="0C2EF37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1940" w:type="dxa"/>
            <w:tcBorders>
              <w:top w:val="nil"/>
              <w:left w:val="nil"/>
              <w:bottom w:val="nil"/>
              <w:right w:val="nil"/>
            </w:tcBorders>
            <w:shd w:val="clear" w:color="auto" w:fill="auto"/>
            <w:vAlign w:val="center"/>
            <w:hideMark/>
          </w:tcPr>
          <w:p w14:paraId="003DFA0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Head, neck</w:t>
            </w:r>
          </w:p>
        </w:tc>
        <w:tc>
          <w:tcPr>
            <w:tcW w:w="3880" w:type="dxa"/>
            <w:tcBorders>
              <w:top w:val="nil"/>
              <w:left w:val="nil"/>
              <w:bottom w:val="nil"/>
              <w:right w:val="nil"/>
            </w:tcBorders>
            <w:shd w:val="clear" w:color="auto" w:fill="auto"/>
            <w:vAlign w:val="center"/>
            <w:hideMark/>
          </w:tcPr>
          <w:p w14:paraId="64AD20C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SPIONPs</w:t>
            </w:r>
          </w:p>
        </w:tc>
        <w:tc>
          <w:tcPr>
            <w:tcW w:w="4900" w:type="dxa"/>
            <w:tcBorders>
              <w:top w:val="nil"/>
              <w:left w:val="nil"/>
              <w:bottom w:val="nil"/>
              <w:right w:val="nil"/>
            </w:tcBorders>
            <w:shd w:val="clear" w:color="auto" w:fill="auto"/>
            <w:vAlign w:val="center"/>
            <w:hideMark/>
          </w:tcPr>
          <w:p w14:paraId="60CECEF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Cal-27</w:t>
            </w:r>
          </w:p>
        </w:tc>
        <w:tc>
          <w:tcPr>
            <w:tcW w:w="2060" w:type="dxa"/>
            <w:tcBorders>
              <w:top w:val="nil"/>
              <w:left w:val="nil"/>
              <w:bottom w:val="nil"/>
              <w:right w:val="nil"/>
            </w:tcBorders>
            <w:shd w:val="clear" w:color="auto" w:fill="auto"/>
            <w:vAlign w:val="center"/>
            <w:hideMark/>
          </w:tcPr>
          <w:p w14:paraId="78E6BC6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46D6EA7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[45]</w:t>
            </w:r>
          </w:p>
        </w:tc>
      </w:tr>
      <w:tr w:rsidR="001943F9" w:rsidRPr="001943F9" w14:paraId="7E118E71" w14:textId="77777777" w:rsidTr="001943F9">
        <w:trPr>
          <w:trHeight w:val="630"/>
        </w:trPr>
        <w:tc>
          <w:tcPr>
            <w:tcW w:w="1900" w:type="dxa"/>
            <w:tcBorders>
              <w:top w:val="nil"/>
              <w:left w:val="nil"/>
              <w:bottom w:val="nil"/>
              <w:right w:val="nil"/>
            </w:tcBorders>
            <w:shd w:val="clear" w:color="auto" w:fill="auto"/>
            <w:vAlign w:val="center"/>
            <w:hideMark/>
          </w:tcPr>
          <w:p w14:paraId="4D7BC561"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204FEC7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PKF, SAHA</w:t>
            </w:r>
          </w:p>
        </w:tc>
        <w:tc>
          <w:tcPr>
            <w:tcW w:w="1940" w:type="dxa"/>
            <w:tcBorders>
              <w:top w:val="nil"/>
              <w:left w:val="nil"/>
              <w:bottom w:val="nil"/>
              <w:right w:val="nil"/>
            </w:tcBorders>
            <w:shd w:val="clear" w:color="auto" w:fill="auto"/>
            <w:vAlign w:val="center"/>
            <w:hideMark/>
          </w:tcPr>
          <w:p w14:paraId="352E422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4AABC3B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PKF and SAHA loaded on the corona of GNPs</w:t>
            </w:r>
          </w:p>
        </w:tc>
        <w:tc>
          <w:tcPr>
            <w:tcW w:w="4900" w:type="dxa"/>
            <w:tcBorders>
              <w:top w:val="nil"/>
              <w:left w:val="nil"/>
              <w:bottom w:val="nil"/>
              <w:right w:val="nil"/>
            </w:tcBorders>
            <w:shd w:val="clear" w:color="auto" w:fill="auto"/>
            <w:vAlign w:val="center"/>
            <w:hideMark/>
          </w:tcPr>
          <w:p w14:paraId="3A80AB4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MCF-7</w:t>
            </w:r>
          </w:p>
        </w:tc>
        <w:tc>
          <w:tcPr>
            <w:tcW w:w="2060" w:type="dxa"/>
            <w:tcBorders>
              <w:top w:val="nil"/>
              <w:left w:val="nil"/>
              <w:bottom w:val="nil"/>
              <w:right w:val="nil"/>
            </w:tcBorders>
            <w:shd w:val="clear" w:color="auto" w:fill="auto"/>
            <w:vAlign w:val="center"/>
            <w:hideMark/>
          </w:tcPr>
          <w:p w14:paraId="7538CF6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900" w:type="dxa"/>
            <w:tcBorders>
              <w:top w:val="nil"/>
              <w:left w:val="nil"/>
              <w:bottom w:val="nil"/>
              <w:right w:val="nil"/>
            </w:tcBorders>
            <w:shd w:val="clear" w:color="auto" w:fill="auto"/>
            <w:vAlign w:val="center"/>
            <w:hideMark/>
          </w:tcPr>
          <w:p w14:paraId="1F78F31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[81]</w:t>
            </w:r>
          </w:p>
        </w:tc>
      </w:tr>
      <w:tr w:rsidR="001943F9" w:rsidRPr="001943F9" w14:paraId="46CBE6E8" w14:textId="77777777" w:rsidTr="001943F9">
        <w:trPr>
          <w:trHeight w:val="1575"/>
        </w:trPr>
        <w:tc>
          <w:tcPr>
            <w:tcW w:w="1900" w:type="dxa"/>
            <w:tcBorders>
              <w:top w:val="nil"/>
              <w:left w:val="nil"/>
              <w:bottom w:val="nil"/>
              <w:right w:val="nil"/>
            </w:tcBorders>
            <w:shd w:val="clear" w:color="auto" w:fill="auto"/>
            <w:vAlign w:val="center"/>
            <w:hideMark/>
          </w:tcPr>
          <w:p w14:paraId="029278E5"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483495C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1940" w:type="dxa"/>
            <w:tcBorders>
              <w:top w:val="nil"/>
              <w:left w:val="nil"/>
              <w:bottom w:val="nil"/>
              <w:right w:val="nil"/>
            </w:tcBorders>
            <w:shd w:val="clear" w:color="auto" w:fill="auto"/>
            <w:vAlign w:val="center"/>
            <w:hideMark/>
          </w:tcPr>
          <w:p w14:paraId="2462A9B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7814D73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CD133-targeting aptamers modified on the surface of quantum dots and gold NPs with partially complementary paired RNA (ssRNA)</w:t>
            </w:r>
          </w:p>
        </w:tc>
        <w:tc>
          <w:tcPr>
            <w:tcW w:w="4900" w:type="dxa"/>
            <w:tcBorders>
              <w:top w:val="nil"/>
              <w:left w:val="nil"/>
              <w:bottom w:val="nil"/>
              <w:right w:val="nil"/>
            </w:tcBorders>
            <w:shd w:val="clear" w:color="auto" w:fill="auto"/>
            <w:vAlign w:val="center"/>
            <w:hideMark/>
          </w:tcPr>
          <w:p w14:paraId="5290889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Huh7</w:t>
            </w:r>
          </w:p>
        </w:tc>
        <w:tc>
          <w:tcPr>
            <w:tcW w:w="2060" w:type="dxa"/>
            <w:tcBorders>
              <w:top w:val="nil"/>
              <w:left w:val="nil"/>
              <w:bottom w:val="nil"/>
              <w:right w:val="nil"/>
            </w:tcBorders>
            <w:shd w:val="clear" w:color="auto" w:fill="auto"/>
            <w:vAlign w:val="center"/>
            <w:hideMark/>
          </w:tcPr>
          <w:p w14:paraId="0DD499D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301F960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[82]</w:t>
            </w:r>
          </w:p>
        </w:tc>
      </w:tr>
      <w:tr w:rsidR="001943F9" w:rsidRPr="001943F9" w14:paraId="1CDD49E1" w14:textId="77777777" w:rsidTr="001943F9">
        <w:trPr>
          <w:trHeight w:val="630"/>
        </w:trPr>
        <w:tc>
          <w:tcPr>
            <w:tcW w:w="1900" w:type="dxa"/>
            <w:tcBorders>
              <w:top w:val="nil"/>
              <w:left w:val="nil"/>
              <w:bottom w:val="nil"/>
              <w:right w:val="nil"/>
            </w:tcBorders>
            <w:shd w:val="clear" w:color="auto" w:fill="auto"/>
            <w:vAlign w:val="center"/>
            <w:hideMark/>
          </w:tcPr>
          <w:p w14:paraId="176633FE"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46E5455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DOX</w:t>
            </w:r>
          </w:p>
        </w:tc>
        <w:tc>
          <w:tcPr>
            <w:tcW w:w="1940" w:type="dxa"/>
            <w:tcBorders>
              <w:top w:val="nil"/>
              <w:left w:val="nil"/>
              <w:bottom w:val="nil"/>
              <w:right w:val="nil"/>
            </w:tcBorders>
            <w:shd w:val="clear" w:color="auto" w:fill="auto"/>
            <w:vAlign w:val="center"/>
            <w:hideMark/>
          </w:tcPr>
          <w:p w14:paraId="64A282B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Liver</w:t>
            </w:r>
          </w:p>
        </w:tc>
        <w:tc>
          <w:tcPr>
            <w:tcW w:w="3880" w:type="dxa"/>
            <w:tcBorders>
              <w:top w:val="nil"/>
              <w:left w:val="nil"/>
              <w:bottom w:val="nil"/>
              <w:right w:val="nil"/>
            </w:tcBorders>
            <w:shd w:val="clear" w:color="auto" w:fill="auto"/>
            <w:vAlign w:val="center"/>
            <w:hideMark/>
          </w:tcPr>
          <w:p w14:paraId="497E357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EpCAM antibody conjugated onto lipophilic Au-NR</w:t>
            </w:r>
          </w:p>
        </w:tc>
        <w:tc>
          <w:tcPr>
            <w:tcW w:w="4900" w:type="dxa"/>
            <w:tcBorders>
              <w:top w:val="nil"/>
              <w:left w:val="nil"/>
              <w:bottom w:val="nil"/>
              <w:right w:val="nil"/>
            </w:tcBorders>
            <w:shd w:val="clear" w:color="auto" w:fill="auto"/>
            <w:vAlign w:val="center"/>
            <w:hideMark/>
          </w:tcPr>
          <w:p w14:paraId="09D722C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Hepa 1-6</w:t>
            </w:r>
          </w:p>
        </w:tc>
        <w:tc>
          <w:tcPr>
            <w:tcW w:w="2060" w:type="dxa"/>
            <w:tcBorders>
              <w:top w:val="nil"/>
              <w:left w:val="nil"/>
              <w:bottom w:val="nil"/>
              <w:right w:val="nil"/>
            </w:tcBorders>
            <w:shd w:val="clear" w:color="auto" w:fill="auto"/>
            <w:vAlign w:val="center"/>
            <w:hideMark/>
          </w:tcPr>
          <w:p w14:paraId="1D5D02E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EpCAM</w:t>
            </w:r>
          </w:p>
        </w:tc>
        <w:tc>
          <w:tcPr>
            <w:tcW w:w="900" w:type="dxa"/>
            <w:tcBorders>
              <w:top w:val="nil"/>
              <w:left w:val="nil"/>
              <w:bottom w:val="nil"/>
              <w:right w:val="nil"/>
            </w:tcBorders>
            <w:shd w:val="clear" w:color="auto" w:fill="auto"/>
            <w:vAlign w:val="center"/>
            <w:hideMark/>
          </w:tcPr>
          <w:p w14:paraId="1444577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[51]</w:t>
            </w:r>
          </w:p>
        </w:tc>
      </w:tr>
      <w:tr w:rsidR="001943F9" w:rsidRPr="001943F9" w14:paraId="109D5E71" w14:textId="77777777" w:rsidTr="001943F9">
        <w:trPr>
          <w:trHeight w:val="315"/>
        </w:trPr>
        <w:tc>
          <w:tcPr>
            <w:tcW w:w="1900" w:type="dxa"/>
            <w:tcBorders>
              <w:top w:val="nil"/>
              <w:left w:val="nil"/>
              <w:bottom w:val="nil"/>
              <w:right w:val="nil"/>
            </w:tcBorders>
            <w:shd w:val="clear" w:color="auto" w:fill="auto"/>
            <w:vAlign w:val="center"/>
            <w:hideMark/>
          </w:tcPr>
          <w:p w14:paraId="7067ECB1"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5DF025B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siRNA</w:t>
            </w:r>
          </w:p>
        </w:tc>
        <w:tc>
          <w:tcPr>
            <w:tcW w:w="1940" w:type="dxa"/>
            <w:tcBorders>
              <w:top w:val="nil"/>
              <w:left w:val="nil"/>
              <w:bottom w:val="nil"/>
              <w:right w:val="nil"/>
            </w:tcBorders>
            <w:shd w:val="clear" w:color="auto" w:fill="auto"/>
            <w:vAlign w:val="center"/>
            <w:hideMark/>
          </w:tcPr>
          <w:p w14:paraId="60E4524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32350B0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Glu-NP</w:t>
            </w:r>
          </w:p>
        </w:tc>
        <w:tc>
          <w:tcPr>
            <w:tcW w:w="4900" w:type="dxa"/>
            <w:tcBorders>
              <w:top w:val="nil"/>
              <w:left w:val="nil"/>
              <w:bottom w:val="nil"/>
              <w:right w:val="nil"/>
            </w:tcBorders>
            <w:shd w:val="clear" w:color="auto" w:fill="auto"/>
            <w:vAlign w:val="center"/>
            <w:hideMark/>
          </w:tcPr>
          <w:p w14:paraId="37F46C2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MDA-MB-231</w:t>
            </w:r>
          </w:p>
        </w:tc>
        <w:tc>
          <w:tcPr>
            <w:tcW w:w="2060" w:type="dxa"/>
            <w:tcBorders>
              <w:top w:val="nil"/>
              <w:left w:val="nil"/>
              <w:bottom w:val="nil"/>
              <w:right w:val="nil"/>
            </w:tcBorders>
            <w:shd w:val="clear" w:color="auto" w:fill="auto"/>
            <w:vAlign w:val="center"/>
            <w:hideMark/>
          </w:tcPr>
          <w:p w14:paraId="36E5C38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GLUT1</w:t>
            </w:r>
          </w:p>
        </w:tc>
        <w:tc>
          <w:tcPr>
            <w:tcW w:w="900" w:type="dxa"/>
            <w:tcBorders>
              <w:top w:val="nil"/>
              <w:left w:val="nil"/>
              <w:bottom w:val="nil"/>
              <w:right w:val="nil"/>
            </w:tcBorders>
            <w:shd w:val="clear" w:color="auto" w:fill="auto"/>
            <w:vAlign w:val="center"/>
            <w:hideMark/>
          </w:tcPr>
          <w:p w14:paraId="278ABDB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[84]</w:t>
            </w:r>
          </w:p>
        </w:tc>
      </w:tr>
      <w:tr w:rsidR="001943F9" w:rsidRPr="001943F9" w14:paraId="7BD43E51" w14:textId="77777777" w:rsidTr="001943F9">
        <w:trPr>
          <w:trHeight w:val="630"/>
        </w:trPr>
        <w:tc>
          <w:tcPr>
            <w:tcW w:w="1900" w:type="dxa"/>
            <w:tcBorders>
              <w:top w:val="nil"/>
              <w:left w:val="nil"/>
              <w:bottom w:val="nil"/>
              <w:right w:val="nil"/>
            </w:tcBorders>
            <w:shd w:val="clear" w:color="auto" w:fill="auto"/>
            <w:vAlign w:val="center"/>
            <w:hideMark/>
          </w:tcPr>
          <w:p w14:paraId="003CCEAD"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37D16A1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SAL</w:t>
            </w:r>
          </w:p>
        </w:tc>
        <w:tc>
          <w:tcPr>
            <w:tcW w:w="1940" w:type="dxa"/>
            <w:tcBorders>
              <w:top w:val="nil"/>
              <w:left w:val="nil"/>
              <w:bottom w:val="nil"/>
              <w:right w:val="nil"/>
            </w:tcBorders>
            <w:shd w:val="clear" w:color="auto" w:fill="auto"/>
            <w:vAlign w:val="center"/>
            <w:hideMark/>
          </w:tcPr>
          <w:p w14:paraId="77E094E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7DBD5D3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SAL-conjugated gold NPs, SAL-AuNPs</w:t>
            </w:r>
          </w:p>
        </w:tc>
        <w:tc>
          <w:tcPr>
            <w:tcW w:w="4900" w:type="dxa"/>
            <w:tcBorders>
              <w:top w:val="nil"/>
              <w:left w:val="nil"/>
              <w:bottom w:val="nil"/>
              <w:right w:val="nil"/>
            </w:tcBorders>
            <w:shd w:val="clear" w:color="auto" w:fill="auto"/>
            <w:vAlign w:val="center"/>
            <w:hideMark/>
          </w:tcPr>
          <w:p w14:paraId="64AF397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MCF-7</w:t>
            </w:r>
          </w:p>
        </w:tc>
        <w:tc>
          <w:tcPr>
            <w:tcW w:w="2060" w:type="dxa"/>
            <w:tcBorders>
              <w:top w:val="nil"/>
              <w:left w:val="nil"/>
              <w:bottom w:val="nil"/>
              <w:right w:val="nil"/>
            </w:tcBorders>
            <w:shd w:val="clear" w:color="auto" w:fill="auto"/>
            <w:vAlign w:val="center"/>
            <w:hideMark/>
          </w:tcPr>
          <w:p w14:paraId="313D572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1944B4A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[86]</w:t>
            </w:r>
          </w:p>
        </w:tc>
      </w:tr>
      <w:tr w:rsidR="001943F9" w:rsidRPr="001943F9" w14:paraId="68C14C24" w14:textId="77777777" w:rsidTr="001943F9">
        <w:trPr>
          <w:trHeight w:val="315"/>
        </w:trPr>
        <w:tc>
          <w:tcPr>
            <w:tcW w:w="1900" w:type="dxa"/>
            <w:tcBorders>
              <w:top w:val="nil"/>
              <w:left w:val="nil"/>
              <w:bottom w:val="nil"/>
              <w:right w:val="nil"/>
            </w:tcBorders>
            <w:shd w:val="clear" w:color="auto" w:fill="auto"/>
            <w:vAlign w:val="center"/>
            <w:hideMark/>
          </w:tcPr>
          <w:p w14:paraId="186791BB"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584E606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HA</w:t>
            </w:r>
          </w:p>
        </w:tc>
        <w:tc>
          <w:tcPr>
            <w:tcW w:w="1940" w:type="dxa"/>
            <w:tcBorders>
              <w:top w:val="nil"/>
              <w:left w:val="nil"/>
              <w:bottom w:val="nil"/>
              <w:right w:val="nil"/>
            </w:tcBorders>
            <w:shd w:val="clear" w:color="auto" w:fill="auto"/>
            <w:vAlign w:val="center"/>
            <w:hideMark/>
          </w:tcPr>
          <w:p w14:paraId="51D5A62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0C546311" w14:textId="77777777" w:rsidR="001943F9" w:rsidRPr="001943F9" w:rsidRDefault="001943F9" w:rsidP="001943F9">
            <w:pPr>
              <w:jc w:val="both"/>
              <w:rPr>
                <w:rFonts w:ascii="Book Antiqua" w:eastAsia="DengXian" w:hAnsi="Book Antiqua" w:cs="宋体"/>
                <w:color w:val="212121"/>
                <w:lang w:eastAsia="zh-CN"/>
              </w:rPr>
            </w:pPr>
            <w:r w:rsidRPr="001943F9">
              <w:rPr>
                <w:rFonts w:ascii="Book Antiqua" w:eastAsia="DengXian" w:hAnsi="Book Antiqua" w:cs="宋体"/>
                <w:color w:val="212121"/>
                <w:lang w:eastAsia="zh-CN"/>
              </w:rPr>
              <w:t>HA-capped AuNP</w:t>
            </w:r>
            <w:r w:rsidRPr="001943F9">
              <w:rPr>
                <w:rFonts w:ascii="Book Antiqua" w:eastAsia="DengXian" w:hAnsi="Book Antiqua" w:cs="宋体"/>
                <w:color w:val="000000"/>
                <w:lang w:eastAsia="zh-CN"/>
              </w:rPr>
              <w:t>s</w:t>
            </w:r>
          </w:p>
        </w:tc>
        <w:tc>
          <w:tcPr>
            <w:tcW w:w="4900" w:type="dxa"/>
            <w:tcBorders>
              <w:top w:val="nil"/>
              <w:left w:val="nil"/>
              <w:bottom w:val="nil"/>
              <w:right w:val="nil"/>
            </w:tcBorders>
            <w:shd w:val="clear" w:color="auto" w:fill="auto"/>
            <w:vAlign w:val="center"/>
            <w:hideMark/>
          </w:tcPr>
          <w:p w14:paraId="1C69336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MDA-MB-231</w:t>
            </w:r>
          </w:p>
        </w:tc>
        <w:tc>
          <w:tcPr>
            <w:tcW w:w="2060" w:type="dxa"/>
            <w:tcBorders>
              <w:top w:val="nil"/>
              <w:left w:val="nil"/>
              <w:bottom w:val="nil"/>
              <w:right w:val="nil"/>
            </w:tcBorders>
            <w:shd w:val="clear" w:color="auto" w:fill="auto"/>
            <w:vAlign w:val="center"/>
            <w:hideMark/>
          </w:tcPr>
          <w:p w14:paraId="0AE6DBE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558EF7B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[86]</w:t>
            </w:r>
          </w:p>
        </w:tc>
      </w:tr>
      <w:tr w:rsidR="001943F9" w:rsidRPr="001943F9" w14:paraId="473A45D8" w14:textId="77777777" w:rsidTr="001943F9">
        <w:trPr>
          <w:trHeight w:val="323"/>
        </w:trPr>
        <w:tc>
          <w:tcPr>
            <w:tcW w:w="1900" w:type="dxa"/>
            <w:tcBorders>
              <w:top w:val="nil"/>
              <w:left w:val="nil"/>
              <w:bottom w:val="single" w:sz="8" w:space="0" w:color="000000"/>
              <w:right w:val="nil"/>
            </w:tcBorders>
            <w:shd w:val="clear" w:color="auto" w:fill="auto"/>
            <w:vAlign w:val="center"/>
            <w:hideMark/>
          </w:tcPr>
          <w:p w14:paraId="5A92F12B" w14:textId="0BC8407F"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single" w:sz="8" w:space="0" w:color="000000"/>
              <w:right w:val="nil"/>
            </w:tcBorders>
            <w:shd w:val="clear" w:color="auto" w:fill="auto"/>
            <w:vAlign w:val="center"/>
            <w:hideMark/>
          </w:tcPr>
          <w:p w14:paraId="523AF4A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Teleglenastat</w:t>
            </w:r>
          </w:p>
        </w:tc>
        <w:tc>
          <w:tcPr>
            <w:tcW w:w="1940" w:type="dxa"/>
            <w:tcBorders>
              <w:top w:val="nil"/>
              <w:left w:val="nil"/>
              <w:bottom w:val="single" w:sz="8" w:space="0" w:color="000000"/>
              <w:right w:val="nil"/>
            </w:tcBorders>
            <w:shd w:val="clear" w:color="auto" w:fill="auto"/>
            <w:vAlign w:val="center"/>
            <w:hideMark/>
          </w:tcPr>
          <w:p w14:paraId="3AC7C7E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Brain</w:t>
            </w:r>
          </w:p>
        </w:tc>
        <w:tc>
          <w:tcPr>
            <w:tcW w:w="3880" w:type="dxa"/>
            <w:tcBorders>
              <w:top w:val="nil"/>
              <w:left w:val="nil"/>
              <w:bottom w:val="single" w:sz="8" w:space="0" w:color="000000"/>
              <w:right w:val="nil"/>
            </w:tcBorders>
            <w:shd w:val="clear" w:color="auto" w:fill="auto"/>
            <w:vAlign w:val="center"/>
            <w:hideMark/>
          </w:tcPr>
          <w:p w14:paraId="1D4D266A"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Au-PEG-CD133-CB-839</w:t>
            </w:r>
          </w:p>
        </w:tc>
        <w:tc>
          <w:tcPr>
            <w:tcW w:w="4900" w:type="dxa"/>
            <w:tcBorders>
              <w:top w:val="nil"/>
              <w:left w:val="nil"/>
              <w:bottom w:val="single" w:sz="8" w:space="0" w:color="000000"/>
              <w:right w:val="nil"/>
            </w:tcBorders>
            <w:shd w:val="clear" w:color="auto" w:fill="auto"/>
            <w:vAlign w:val="center"/>
            <w:hideMark/>
          </w:tcPr>
          <w:p w14:paraId="33C7722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GBM-1, NCH-644</w:t>
            </w:r>
          </w:p>
        </w:tc>
        <w:tc>
          <w:tcPr>
            <w:tcW w:w="2060" w:type="dxa"/>
            <w:tcBorders>
              <w:top w:val="nil"/>
              <w:left w:val="nil"/>
              <w:bottom w:val="single" w:sz="8" w:space="0" w:color="000000"/>
              <w:right w:val="nil"/>
            </w:tcBorders>
            <w:shd w:val="clear" w:color="auto" w:fill="auto"/>
            <w:vAlign w:val="center"/>
            <w:hideMark/>
          </w:tcPr>
          <w:p w14:paraId="0572D3C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single" w:sz="8" w:space="0" w:color="000000"/>
              <w:right w:val="nil"/>
            </w:tcBorders>
            <w:shd w:val="clear" w:color="auto" w:fill="auto"/>
            <w:vAlign w:val="center"/>
            <w:hideMark/>
          </w:tcPr>
          <w:p w14:paraId="2133471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[83]</w:t>
            </w:r>
          </w:p>
        </w:tc>
      </w:tr>
      <w:tr w:rsidR="001943F9" w:rsidRPr="001943F9" w14:paraId="4E47639B" w14:textId="77777777" w:rsidTr="001943F9">
        <w:trPr>
          <w:trHeight w:val="323"/>
        </w:trPr>
        <w:tc>
          <w:tcPr>
            <w:tcW w:w="1900" w:type="dxa"/>
            <w:tcBorders>
              <w:top w:val="nil"/>
              <w:left w:val="nil"/>
              <w:bottom w:val="single" w:sz="8" w:space="0" w:color="000000"/>
              <w:right w:val="nil"/>
            </w:tcBorders>
            <w:shd w:val="clear" w:color="auto" w:fill="auto"/>
            <w:vAlign w:val="center"/>
            <w:hideMark/>
          </w:tcPr>
          <w:p w14:paraId="2196542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GO</w:t>
            </w:r>
          </w:p>
        </w:tc>
        <w:tc>
          <w:tcPr>
            <w:tcW w:w="3480" w:type="dxa"/>
            <w:tcBorders>
              <w:top w:val="nil"/>
              <w:left w:val="nil"/>
              <w:bottom w:val="single" w:sz="8" w:space="0" w:color="000000"/>
              <w:right w:val="nil"/>
            </w:tcBorders>
            <w:shd w:val="clear" w:color="auto" w:fill="auto"/>
            <w:vAlign w:val="center"/>
            <w:hideMark/>
          </w:tcPr>
          <w:p w14:paraId="1F27FA9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SAL</w:t>
            </w:r>
          </w:p>
        </w:tc>
        <w:tc>
          <w:tcPr>
            <w:tcW w:w="1940" w:type="dxa"/>
            <w:tcBorders>
              <w:top w:val="nil"/>
              <w:left w:val="nil"/>
              <w:bottom w:val="single" w:sz="8" w:space="0" w:color="000000"/>
              <w:right w:val="nil"/>
            </w:tcBorders>
            <w:shd w:val="clear" w:color="auto" w:fill="auto"/>
            <w:vAlign w:val="center"/>
            <w:hideMark/>
          </w:tcPr>
          <w:p w14:paraId="5BC6690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Ovarian</w:t>
            </w:r>
          </w:p>
        </w:tc>
        <w:tc>
          <w:tcPr>
            <w:tcW w:w="3880" w:type="dxa"/>
            <w:tcBorders>
              <w:top w:val="nil"/>
              <w:left w:val="nil"/>
              <w:bottom w:val="single" w:sz="8" w:space="0" w:color="000000"/>
              <w:right w:val="nil"/>
            </w:tcBorders>
            <w:shd w:val="clear" w:color="auto" w:fill="auto"/>
            <w:vAlign w:val="center"/>
            <w:hideMark/>
          </w:tcPr>
          <w:p w14:paraId="65B8CF8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rGO-Ag</w:t>
            </w:r>
          </w:p>
        </w:tc>
        <w:tc>
          <w:tcPr>
            <w:tcW w:w="4900" w:type="dxa"/>
            <w:tcBorders>
              <w:top w:val="nil"/>
              <w:left w:val="nil"/>
              <w:bottom w:val="single" w:sz="8" w:space="0" w:color="000000"/>
              <w:right w:val="nil"/>
            </w:tcBorders>
            <w:shd w:val="clear" w:color="auto" w:fill="auto"/>
            <w:vAlign w:val="center"/>
            <w:hideMark/>
          </w:tcPr>
          <w:p w14:paraId="7DFEEDB2"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A2780</w:t>
            </w:r>
          </w:p>
        </w:tc>
        <w:tc>
          <w:tcPr>
            <w:tcW w:w="2060" w:type="dxa"/>
            <w:tcBorders>
              <w:top w:val="nil"/>
              <w:left w:val="nil"/>
              <w:bottom w:val="single" w:sz="8" w:space="0" w:color="000000"/>
              <w:right w:val="nil"/>
            </w:tcBorders>
            <w:shd w:val="clear" w:color="auto" w:fill="auto"/>
            <w:vAlign w:val="center"/>
            <w:hideMark/>
          </w:tcPr>
          <w:p w14:paraId="37F1BC9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ALDH, CD133</w:t>
            </w:r>
          </w:p>
        </w:tc>
        <w:tc>
          <w:tcPr>
            <w:tcW w:w="900" w:type="dxa"/>
            <w:tcBorders>
              <w:top w:val="nil"/>
              <w:left w:val="nil"/>
              <w:bottom w:val="single" w:sz="8" w:space="0" w:color="000000"/>
              <w:right w:val="nil"/>
            </w:tcBorders>
            <w:shd w:val="clear" w:color="auto" w:fill="auto"/>
            <w:vAlign w:val="center"/>
            <w:hideMark/>
          </w:tcPr>
          <w:p w14:paraId="4FDC376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[93]</w:t>
            </w:r>
          </w:p>
        </w:tc>
      </w:tr>
      <w:tr w:rsidR="001943F9" w:rsidRPr="001943F9" w14:paraId="10B24680" w14:textId="77777777" w:rsidTr="001943F9">
        <w:trPr>
          <w:trHeight w:val="315"/>
        </w:trPr>
        <w:tc>
          <w:tcPr>
            <w:tcW w:w="1900" w:type="dxa"/>
            <w:tcBorders>
              <w:top w:val="nil"/>
              <w:left w:val="nil"/>
              <w:bottom w:val="nil"/>
              <w:right w:val="nil"/>
            </w:tcBorders>
            <w:shd w:val="clear" w:color="auto" w:fill="auto"/>
            <w:vAlign w:val="center"/>
            <w:hideMark/>
          </w:tcPr>
          <w:p w14:paraId="23C519B0"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CNTs</w:t>
            </w:r>
          </w:p>
        </w:tc>
        <w:tc>
          <w:tcPr>
            <w:tcW w:w="3480" w:type="dxa"/>
            <w:tcBorders>
              <w:top w:val="nil"/>
              <w:left w:val="nil"/>
              <w:bottom w:val="nil"/>
              <w:right w:val="nil"/>
            </w:tcBorders>
            <w:shd w:val="clear" w:color="auto" w:fill="auto"/>
            <w:vAlign w:val="center"/>
            <w:hideMark/>
          </w:tcPr>
          <w:p w14:paraId="5B772963"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Paclitaxel</w:t>
            </w:r>
          </w:p>
        </w:tc>
        <w:tc>
          <w:tcPr>
            <w:tcW w:w="1940" w:type="dxa"/>
            <w:tcBorders>
              <w:top w:val="nil"/>
              <w:left w:val="nil"/>
              <w:bottom w:val="nil"/>
              <w:right w:val="nil"/>
            </w:tcBorders>
            <w:shd w:val="clear" w:color="auto" w:fill="auto"/>
            <w:vAlign w:val="center"/>
            <w:hideMark/>
          </w:tcPr>
          <w:p w14:paraId="057B9A8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71E2EAAD"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Multiwalled carbon nanotubes</w:t>
            </w:r>
          </w:p>
        </w:tc>
        <w:tc>
          <w:tcPr>
            <w:tcW w:w="4900" w:type="dxa"/>
            <w:tcBorders>
              <w:top w:val="nil"/>
              <w:left w:val="nil"/>
              <w:bottom w:val="nil"/>
              <w:right w:val="nil"/>
            </w:tcBorders>
            <w:shd w:val="clear" w:color="auto" w:fill="auto"/>
            <w:vAlign w:val="center"/>
            <w:hideMark/>
          </w:tcPr>
          <w:p w14:paraId="2951E84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HMLER</w:t>
            </w:r>
          </w:p>
        </w:tc>
        <w:tc>
          <w:tcPr>
            <w:tcW w:w="2060" w:type="dxa"/>
            <w:tcBorders>
              <w:top w:val="nil"/>
              <w:left w:val="nil"/>
              <w:bottom w:val="nil"/>
              <w:right w:val="nil"/>
            </w:tcBorders>
            <w:shd w:val="clear" w:color="auto" w:fill="auto"/>
            <w:vAlign w:val="center"/>
            <w:hideMark/>
          </w:tcPr>
          <w:p w14:paraId="4649E31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1B9A7CC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[45]</w:t>
            </w:r>
          </w:p>
        </w:tc>
      </w:tr>
      <w:tr w:rsidR="001943F9" w:rsidRPr="001943F9" w14:paraId="547AA9A0" w14:textId="77777777" w:rsidTr="001943F9">
        <w:trPr>
          <w:trHeight w:val="630"/>
        </w:trPr>
        <w:tc>
          <w:tcPr>
            <w:tcW w:w="1900" w:type="dxa"/>
            <w:tcBorders>
              <w:top w:val="nil"/>
              <w:left w:val="nil"/>
              <w:bottom w:val="nil"/>
              <w:right w:val="nil"/>
            </w:tcBorders>
            <w:shd w:val="clear" w:color="auto" w:fill="auto"/>
            <w:vAlign w:val="center"/>
            <w:hideMark/>
          </w:tcPr>
          <w:p w14:paraId="22474C4E"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244721D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w:t>
            </w:r>
          </w:p>
        </w:tc>
        <w:tc>
          <w:tcPr>
            <w:tcW w:w="1940" w:type="dxa"/>
            <w:tcBorders>
              <w:top w:val="nil"/>
              <w:left w:val="nil"/>
              <w:bottom w:val="nil"/>
              <w:right w:val="nil"/>
            </w:tcBorders>
            <w:shd w:val="clear" w:color="auto" w:fill="auto"/>
            <w:vAlign w:val="center"/>
            <w:hideMark/>
          </w:tcPr>
          <w:p w14:paraId="57E9A58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brain</w:t>
            </w:r>
          </w:p>
        </w:tc>
        <w:tc>
          <w:tcPr>
            <w:tcW w:w="3880" w:type="dxa"/>
            <w:tcBorders>
              <w:top w:val="nil"/>
              <w:left w:val="nil"/>
              <w:bottom w:val="nil"/>
              <w:right w:val="nil"/>
            </w:tcBorders>
            <w:shd w:val="clear" w:color="auto" w:fill="auto"/>
            <w:vAlign w:val="center"/>
            <w:hideMark/>
          </w:tcPr>
          <w:p w14:paraId="397FC18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 monoclonal antibody onto chitosan-modified CNTs</w:t>
            </w:r>
          </w:p>
        </w:tc>
        <w:tc>
          <w:tcPr>
            <w:tcW w:w="4900" w:type="dxa"/>
            <w:tcBorders>
              <w:top w:val="nil"/>
              <w:left w:val="nil"/>
              <w:bottom w:val="nil"/>
              <w:right w:val="nil"/>
            </w:tcBorders>
            <w:shd w:val="clear" w:color="auto" w:fill="auto"/>
            <w:vAlign w:val="center"/>
            <w:hideMark/>
          </w:tcPr>
          <w:p w14:paraId="7530F6B7"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GBM tissues</w:t>
            </w:r>
          </w:p>
        </w:tc>
        <w:tc>
          <w:tcPr>
            <w:tcW w:w="2060" w:type="dxa"/>
            <w:tcBorders>
              <w:top w:val="nil"/>
              <w:left w:val="nil"/>
              <w:bottom w:val="nil"/>
              <w:right w:val="nil"/>
            </w:tcBorders>
            <w:shd w:val="clear" w:color="auto" w:fill="auto"/>
            <w:vAlign w:val="center"/>
            <w:hideMark/>
          </w:tcPr>
          <w:p w14:paraId="7275C90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CD133</w:t>
            </w:r>
          </w:p>
        </w:tc>
        <w:tc>
          <w:tcPr>
            <w:tcW w:w="900" w:type="dxa"/>
            <w:tcBorders>
              <w:top w:val="nil"/>
              <w:left w:val="nil"/>
              <w:bottom w:val="nil"/>
              <w:right w:val="nil"/>
            </w:tcBorders>
            <w:shd w:val="clear" w:color="auto" w:fill="auto"/>
            <w:vAlign w:val="center"/>
            <w:hideMark/>
          </w:tcPr>
          <w:p w14:paraId="2BAE302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[89]</w:t>
            </w:r>
          </w:p>
        </w:tc>
      </w:tr>
      <w:tr w:rsidR="001943F9" w:rsidRPr="001943F9" w14:paraId="69D02493" w14:textId="77777777" w:rsidTr="001943F9">
        <w:trPr>
          <w:trHeight w:val="945"/>
        </w:trPr>
        <w:tc>
          <w:tcPr>
            <w:tcW w:w="1900" w:type="dxa"/>
            <w:tcBorders>
              <w:top w:val="nil"/>
              <w:left w:val="nil"/>
              <w:bottom w:val="nil"/>
              <w:right w:val="nil"/>
            </w:tcBorders>
            <w:shd w:val="clear" w:color="auto" w:fill="auto"/>
            <w:vAlign w:val="center"/>
            <w:hideMark/>
          </w:tcPr>
          <w:p w14:paraId="00CA4E53" w14:textId="77777777"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nil"/>
              <w:right w:val="nil"/>
            </w:tcBorders>
            <w:shd w:val="clear" w:color="auto" w:fill="auto"/>
            <w:vAlign w:val="center"/>
            <w:hideMark/>
          </w:tcPr>
          <w:p w14:paraId="6C2B688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Paclitaxel, SAL</w:t>
            </w:r>
          </w:p>
        </w:tc>
        <w:tc>
          <w:tcPr>
            <w:tcW w:w="1940" w:type="dxa"/>
            <w:tcBorders>
              <w:top w:val="nil"/>
              <w:left w:val="nil"/>
              <w:bottom w:val="nil"/>
              <w:right w:val="nil"/>
            </w:tcBorders>
            <w:shd w:val="clear" w:color="auto" w:fill="auto"/>
            <w:vAlign w:val="center"/>
            <w:hideMark/>
          </w:tcPr>
          <w:p w14:paraId="585684A5"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Breast</w:t>
            </w:r>
          </w:p>
        </w:tc>
        <w:tc>
          <w:tcPr>
            <w:tcW w:w="3880" w:type="dxa"/>
            <w:tcBorders>
              <w:top w:val="nil"/>
              <w:left w:val="nil"/>
              <w:bottom w:val="nil"/>
              <w:right w:val="nil"/>
            </w:tcBorders>
            <w:shd w:val="clear" w:color="auto" w:fill="auto"/>
            <w:vAlign w:val="center"/>
            <w:hideMark/>
          </w:tcPr>
          <w:p w14:paraId="0A2BA5C1"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 antibody hydrazone-linked onto SWCNT with pH-activated release system</w:t>
            </w:r>
          </w:p>
        </w:tc>
        <w:tc>
          <w:tcPr>
            <w:tcW w:w="4900" w:type="dxa"/>
            <w:tcBorders>
              <w:top w:val="nil"/>
              <w:left w:val="nil"/>
              <w:bottom w:val="nil"/>
              <w:right w:val="nil"/>
            </w:tcBorders>
            <w:shd w:val="clear" w:color="auto" w:fill="auto"/>
            <w:vAlign w:val="center"/>
            <w:hideMark/>
          </w:tcPr>
          <w:p w14:paraId="4782A19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MDA-MB-231</w:t>
            </w:r>
          </w:p>
        </w:tc>
        <w:tc>
          <w:tcPr>
            <w:tcW w:w="2060" w:type="dxa"/>
            <w:tcBorders>
              <w:top w:val="nil"/>
              <w:left w:val="nil"/>
              <w:bottom w:val="nil"/>
              <w:right w:val="nil"/>
            </w:tcBorders>
            <w:shd w:val="clear" w:color="auto" w:fill="auto"/>
            <w:vAlign w:val="center"/>
            <w:hideMark/>
          </w:tcPr>
          <w:p w14:paraId="797E452B"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nil"/>
              <w:right w:val="nil"/>
            </w:tcBorders>
            <w:shd w:val="clear" w:color="auto" w:fill="auto"/>
            <w:vAlign w:val="center"/>
            <w:hideMark/>
          </w:tcPr>
          <w:p w14:paraId="7C30739C"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[91]</w:t>
            </w:r>
          </w:p>
        </w:tc>
      </w:tr>
      <w:tr w:rsidR="001943F9" w:rsidRPr="001943F9" w14:paraId="445D8BEF" w14:textId="77777777" w:rsidTr="001943F9">
        <w:trPr>
          <w:trHeight w:val="315"/>
        </w:trPr>
        <w:tc>
          <w:tcPr>
            <w:tcW w:w="1900" w:type="dxa"/>
            <w:tcBorders>
              <w:top w:val="nil"/>
              <w:left w:val="nil"/>
              <w:bottom w:val="single" w:sz="4" w:space="0" w:color="auto"/>
              <w:right w:val="nil"/>
            </w:tcBorders>
            <w:shd w:val="clear" w:color="auto" w:fill="auto"/>
            <w:vAlign w:val="center"/>
            <w:hideMark/>
          </w:tcPr>
          <w:p w14:paraId="711813CF" w14:textId="1C5F11B8" w:rsidR="001943F9" w:rsidRPr="001943F9" w:rsidRDefault="001943F9" w:rsidP="001943F9">
            <w:pPr>
              <w:jc w:val="both"/>
              <w:rPr>
                <w:rFonts w:ascii="Book Antiqua" w:eastAsia="DengXian" w:hAnsi="Book Antiqua" w:cs="宋体"/>
                <w:color w:val="000000"/>
                <w:lang w:eastAsia="zh-CN"/>
              </w:rPr>
            </w:pPr>
          </w:p>
        </w:tc>
        <w:tc>
          <w:tcPr>
            <w:tcW w:w="3480" w:type="dxa"/>
            <w:tcBorders>
              <w:top w:val="nil"/>
              <w:left w:val="nil"/>
              <w:bottom w:val="single" w:sz="4" w:space="0" w:color="auto"/>
              <w:right w:val="nil"/>
            </w:tcBorders>
            <w:shd w:val="clear" w:color="auto" w:fill="auto"/>
            <w:vAlign w:val="center"/>
            <w:hideMark/>
          </w:tcPr>
          <w:p w14:paraId="43BCE86E"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SAL</w:t>
            </w:r>
          </w:p>
        </w:tc>
        <w:tc>
          <w:tcPr>
            <w:tcW w:w="1940" w:type="dxa"/>
            <w:tcBorders>
              <w:top w:val="nil"/>
              <w:left w:val="nil"/>
              <w:bottom w:val="single" w:sz="4" w:space="0" w:color="auto"/>
              <w:right w:val="nil"/>
            </w:tcBorders>
            <w:shd w:val="clear" w:color="auto" w:fill="auto"/>
            <w:vAlign w:val="center"/>
            <w:hideMark/>
          </w:tcPr>
          <w:p w14:paraId="412DA418"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Glioblastoma</w:t>
            </w:r>
          </w:p>
        </w:tc>
        <w:tc>
          <w:tcPr>
            <w:tcW w:w="3880" w:type="dxa"/>
            <w:tcBorders>
              <w:top w:val="nil"/>
              <w:left w:val="nil"/>
              <w:bottom w:val="single" w:sz="4" w:space="0" w:color="auto"/>
              <w:right w:val="nil"/>
            </w:tcBorders>
            <w:shd w:val="clear" w:color="auto" w:fill="auto"/>
            <w:vAlign w:val="center"/>
            <w:hideMark/>
          </w:tcPr>
          <w:p w14:paraId="0EFD0849"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SAL-SWCNT-CHI-HA</w:t>
            </w:r>
          </w:p>
        </w:tc>
        <w:tc>
          <w:tcPr>
            <w:tcW w:w="4900" w:type="dxa"/>
            <w:tcBorders>
              <w:top w:val="nil"/>
              <w:left w:val="nil"/>
              <w:bottom w:val="single" w:sz="4" w:space="0" w:color="auto"/>
              <w:right w:val="nil"/>
            </w:tcBorders>
            <w:shd w:val="clear" w:color="auto" w:fill="auto"/>
            <w:vAlign w:val="center"/>
            <w:hideMark/>
          </w:tcPr>
          <w:p w14:paraId="1C338AA6"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AGS</w:t>
            </w:r>
          </w:p>
        </w:tc>
        <w:tc>
          <w:tcPr>
            <w:tcW w:w="2060" w:type="dxa"/>
            <w:tcBorders>
              <w:top w:val="nil"/>
              <w:left w:val="nil"/>
              <w:bottom w:val="single" w:sz="4" w:space="0" w:color="auto"/>
              <w:right w:val="nil"/>
            </w:tcBorders>
            <w:shd w:val="clear" w:color="auto" w:fill="auto"/>
            <w:vAlign w:val="center"/>
            <w:hideMark/>
          </w:tcPr>
          <w:p w14:paraId="005AC9A4"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CD44+</w:t>
            </w:r>
          </w:p>
        </w:tc>
        <w:tc>
          <w:tcPr>
            <w:tcW w:w="900" w:type="dxa"/>
            <w:tcBorders>
              <w:top w:val="nil"/>
              <w:left w:val="nil"/>
              <w:bottom w:val="single" w:sz="4" w:space="0" w:color="auto"/>
              <w:right w:val="nil"/>
            </w:tcBorders>
            <w:shd w:val="clear" w:color="auto" w:fill="auto"/>
            <w:vAlign w:val="center"/>
            <w:hideMark/>
          </w:tcPr>
          <w:p w14:paraId="35F6490F" w14:textId="77777777" w:rsidR="001943F9" w:rsidRPr="001943F9" w:rsidRDefault="001943F9" w:rsidP="001943F9">
            <w:pPr>
              <w:jc w:val="both"/>
              <w:rPr>
                <w:rFonts w:ascii="Book Antiqua" w:eastAsia="DengXian" w:hAnsi="Book Antiqua" w:cs="宋体"/>
                <w:color w:val="000000"/>
                <w:lang w:eastAsia="zh-CN"/>
              </w:rPr>
            </w:pPr>
            <w:r w:rsidRPr="001943F9">
              <w:rPr>
                <w:rFonts w:ascii="Book Antiqua" w:eastAsia="DengXian" w:hAnsi="Book Antiqua" w:cs="宋体"/>
                <w:color w:val="000000"/>
                <w:lang w:eastAsia="zh-CN"/>
              </w:rPr>
              <w:t>[90]</w:t>
            </w:r>
          </w:p>
        </w:tc>
      </w:tr>
    </w:tbl>
    <w:p w14:paraId="1160AA2F" w14:textId="2B061834" w:rsidR="009D666F"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CD: Cluster of differentiation; CDF: </w:t>
      </w:r>
      <w:r>
        <w:rPr>
          <w:rFonts w:ascii="Book Antiqua" w:hAnsi="Book Antiqua"/>
          <w:lang w:eastAsia="zh-CN"/>
        </w:rPr>
        <w:t>3,4-Difluorobenzylidene curcumin;</w:t>
      </w:r>
      <w:r>
        <w:rPr>
          <w:rFonts w:ascii="Book Antiqua" w:hAnsi="Book Antiqua" w:hint="eastAsia"/>
          <w:lang w:eastAsia="zh-CN"/>
        </w:rPr>
        <w:t xml:space="preserve"> anti-CD133 antibody-conjugated SN-38-loaded nanoparticles </w:t>
      </w:r>
      <w:r>
        <w:rPr>
          <w:rFonts w:ascii="Book Antiqua" w:hAnsi="Book Antiqua"/>
          <w:lang w:eastAsia="zh-CN"/>
        </w:rPr>
        <w:t xml:space="preserve"> </w:t>
      </w:r>
      <w:r>
        <w:rPr>
          <w:rFonts w:ascii="Book Antiqua" w:eastAsia="Book Antiqua" w:hAnsi="Book Antiqua" w:cs="Book Antiqua"/>
        </w:rPr>
        <w:t>CNTs: Carbon nanotubes; CSC</w:t>
      </w:r>
      <w:r>
        <w:rPr>
          <w:rFonts w:ascii="Book Antiqua" w:eastAsia="Book Antiqua" w:hAnsi="Book Antiqua" w:cs="Book Antiqua"/>
          <w:lang w:eastAsia="zh-CN"/>
        </w:rPr>
        <w:t xml:space="preserve">s: </w:t>
      </w:r>
      <w:r>
        <w:rPr>
          <w:rFonts w:ascii="Book Antiqua" w:eastAsia="Book Antiqua" w:hAnsi="Book Antiqua" w:cs="Book Antiqua"/>
        </w:rPr>
        <w:t>Cancer stem cells; Cyc: Cyclophosphamide;</w:t>
      </w:r>
      <w:r>
        <w:rPr>
          <w:rFonts w:ascii="Book Antiqua" w:eastAsia="Book Antiqua" w:hAnsi="Book Antiqua" w:cs="Book Antiqua"/>
          <w:color w:val="000000"/>
        </w:rPr>
        <w:t>CB-839</w:t>
      </w:r>
      <w:r>
        <w:rPr>
          <w:rFonts w:ascii="Book Antiqua" w:hAnsi="Book Antiqua" w:cs="Book Antiqua" w:hint="eastAsia"/>
          <w:color w:val="000000"/>
          <w:lang w:eastAsia="zh-CN"/>
        </w:rPr>
        <w:t>:</w:t>
      </w:r>
      <w:r>
        <w:rPr>
          <w:rFonts w:ascii="Book Antiqua" w:eastAsia="Book Antiqua" w:hAnsi="Book Antiqua" w:cs="Book Antiqua"/>
          <w:color w:val="000000"/>
        </w:rPr>
        <w:t>telaglenastat</w:t>
      </w:r>
      <w:r>
        <w:rPr>
          <w:rFonts w:ascii="Book Antiqua" w:hAnsi="Book Antiqua" w:cs="Book Antiqua" w:hint="eastAsia"/>
          <w:color w:val="000000"/>
          <w:lang w:eastAsia="zh-CN"/>
        </w:rPr>
        <w:t>;</w:t>
      </w:r>
      <w:r>
        <w:rPr>
          <w:rFonts w:ascii="Book Antiqua" w:eastAsia="Book Antiqua" w:hAnsi="Book Antiqua" w:cs="Book Antiqua"/>
        </w:rPr>
        <w:t xml:space="preserve"> dPG: </w:t>
      </w:r>
      <w:r>
        <w:rPr>
          <w:rFonts w:ascii="Book Antiqua" w:eastAsia="Book Antiqua" w:hAnsi="Book Antiqua" w:cs="Book Antiqua"/>
          <w:color w:val="000000"/>
        </w:rPr>
        <w:t xml:space="preserve">Dendritic polyglycerol; </w:t>
      </w:r>
      <w:r>
        <w:rPr>
          <w:rFonts w:ascii="Book Antiqua" w:eastAsia="Book Antiqua" w:hAnsi="Book Antiqua" w:cs="Book Antiqua"/>
        </w:rPr>
        <w:t>D</w:t>
      </w:r>
      <w:r>
        <w:rPr>
          <w:rFonts w:ascii="Book Antiqua" w:eastAsia="Book Antiqua" w:hAnsi="Book Antiqua" w:cs="Book Antiqua"/>
          <w:lang w:eastAsia="zh-CN"/>
        </w:rPr>
        <w:t xml:space="preserve">OX: </w:t>
      </w:r>
      <w:r>
        <w:rPr>
          <w:rFonts w:ascii="Book Antiqua" w:eastAsia="Book Antiqua" w:hAnsi="Book Antiqua" w:cs="Book Antiqua"/>
        </w:rPr>
        <w:t xml:space="preserve">Doxorubicin; DTXPL: </w:t>
      </w:r>
      <w:r>
        <w:rPr>
          <w:rFonts w:ascii="Book Antiqua" w:eastAsia="Book Antiqua" w:hAnsi="Book Antiqua" w:cs="Book Antiqua"/>
          <w:color w:val="000000"/>
        </w:rPr>
        <w:t xml:space="preserve">Docetaxel liposome; </w:t>
      </w:r>
      <w:r>
        <w:rPr>
          <w:rFonts w:ascii="Book Antiqua" w:eastAsia="Book Antiqua" w:hAnsi="Book Antiqua" w:cs="Book Antiqua"/>
        </w:rPr>
        <w:t>E</w:t>
      </w:r>
      <w:r>
        <w:rPr>
          <w:rFonts w:ascii="Book Antiqua" w:eastAsia="Book Antiqua" w:hAnsi="Book Antiqua" w:cs="Book Antiqua"/>
          <w:lang w:eastAsia="zh-CN"/>
        </w:rPr>
        <w:t xml:space="preserve">pCAM: </w:t>
      </w:r>
      <w:r>
        <w:rPr>
          <w:rFonts w:ascii="Book Antiqua" w:eastAsia="Book Antiqua" w:hAnsi="Book Antiqua" w:cs="Book Antiqua"/>
        </w:rPr>
        <w:t xml:space="preserve">Epithelial cell adhesion molecule; </w:t>
      </w:r>
      <w:r>
        <w:rPr>
          <w:rFonts w:ascii="Book Antiqua" w:eastAsia="Book Antiqua" w:hAnsi="Book Antiqua" w:cs="Book Antiqua"/>
          <w:color w:val="000000"/>
        </w:rPr>
        <w:t>ET</w:t>
      </w:r>
      <w:r>
        <w:rPr>
          <w:rFonts w:ascii="Book Antiqua" w:hAnsi="Book Antiqua" w:cs="Book Antiqua" w:hint="eastAsia"/>
          <w:color w:val="000000"/>
          <w:lang w:eastAsia="zh-CN"/>
        </w:rPr>
        <w:t>:</w:t>
      </w:r>
      <w:r w:rsidR="00402AE5">
        <w:rPr>
          <w:rFonts w:ascii="Book Antiqua" w:hAnsi="Book Antiqua" w:cs="Book Antiqua"/>
          <w:color w:val="000000"/>
          <w:lang w:eastAsia="zh-CN"/>
        </w:rPr>
        <w:t xml:space="preserve"> </w:t>
      </w:r>
      <w:r>
        <w:rPr>
          <w:rFonts w:ascii="Book Antiqua" w:eastAsia="Book Antiqua" w:hAnsi="Book Antiqua" w:cs="Book Antiqua"/>
          <w:color w:val="000000"/>
        </w:rPr>
        <w:t>EpCAM-targeted</w:t>
      </w:r>
      <w:r>
        <w:rPr>
          <w:rFonts w:ascii="Book Antiqua" w:hAnsi="Book Antiqua" w:hint="eastAsia"/>
          <w:lang w:eastAsia="zh-CN"/>
        </w:rPr>
        <w:t>;</w:t>
      </w:r>
      <w:r w:rsidR="00402AE5">
        <w:rPr>
          <w:rFonts w:ascii="Book Antiqua" w:hAnsi="Book Antiqua"/>
          <w:lang w:eastAsia="zh-CN"/>
        </w:rPr>
        <w:t xml:space="preserve"> </w:t>
      </w:r>
      <w:r>
        <w:rPr>
          <w:rFonts w:ascii="Book Antiqua" w:hAnsi="Book Antiqua"/>
          <w:lang w:eastAsia="zh-CN"/>
        </w:rPr>
        <w:t>Fe</w:t>
      </w:r>
      <w:r w:rsidRPr="00641A01">
        <w:rPr>
          <w:rFonts w:ascii="Book Antiqua" w:hAnsi="Book Antiqua"/>
          <w:vertAlign w:val="subscript"/>
          <w:lang w:eastAsia="zh-CN"/>
        </w:rPr>
        <w:t>3</w:t>
      </w:r>
      <w:r>
        <w:rPr>
          <w:rFonts w:ascii="Book Antiqua" w:hAnsi="Book Antiqua"/>
          <w:lang w:eastAsia="zh-CN"/>
        </w:rPr>
        <w:t>O</w:t>
      </w:r>
      <w:r w:rsidRPr="00641A01">
        <w:rPr>
          <w:rFonts w:ascii="Book Antiqua" w:hAnsi="Book Antiqua"/>
          <w:vertAlign w:val="subscript"/>
          <w:lang w:eastAsia="zh-CN"/>
        </w:rPr>
        <w:t>4</w:t>
      </w:r>
      <w:r>
        <w:rPr>
          <w:rFonts w:ascii="Book Antiqua" w:hAnsi="Book Antiqua"/>
          <w:lang w:eastAsia="zh-CN"/>
        </w:rPr>
        <w:t>-OA-DHCA-PEI- HA</w:t>
      </w:r>
      <w:r>
        <w:rPr>
          <w:rFonts w:ascii="Book Antiqua" w:hAnsi="Book Antiqua" w:hint="eastAsia"/>
          <w:lang w:eastAsia="zh-CN"/>
        </w:rPr>
        <w:t>:</w:t>
      </w:r>
      <w:r w:rsidR="00402AE5">
        <w:rPr>
          <w:rFonts w:ascii="Book Antiqua" w:hAnsi="Book Antiqua"/>
          <w:lang w:eastAsia="zh-CN"/>
        </w:rPr>
        <w:t xml:space="preserve"> M</w:t>
      </w:r>
      <w:r w:rsidR="00402AE5">
        <w:rPr>
          <w:rFonts w:ascii="Book Antiqua" w:hAnsi="Book Antiqua" w:hint="eastAsia"/>
          <w:lang w:eastAsia="zh-CN"/>
        </w:rPr>
        <w:t xml:space="preserve">gnetic </w:t>
      </w:r>
      <w:r>
        <w:rPr>
          <w:rFonts w:ascii="Book Antiqua" w:hAnsi="Book Antiqua" w:hint="eastAsia"/>
          <w:lang w:eastAsia="zh-CN"/>
        </w:rPr>
        <w:t>nanocubes were synthesized and modified with PEI and HA;</w:t>
      </w:r>
      <w:r w:rsidR="00402AE5">
        <w:rPr>
          <w:rFonts w:ascii="Book Antiqua" w:hAnsi="Book Antiqua"/>
          <w:lang w:eastAsia="zh-CN"/>
        </w:rPr>
        <w:t xml:space="preserve"> </w:t>
      </w:r>
      <w:r>
        <w:rPr>
          <w:rFonts w:ascii="Book Antiqua" w:eastAsia="Book Antiqua" w:hAnsi="Book Antiqua" w:cs="Book Antiqua"/>
        </w:rPr>
        <w:t xml:space="preserve">GBM: Glioblastoma multiforme; GO: Graphene oxide; </w:t>
      </w:r>
      <w:r>
        <w:rPr>
          <w:rFonts w:ascii="Book Antiqua" w:eastAsia="Book Antiqua" w:hAnsi="Book Antiqua" w:cs="Book Antiqua"/>
          <w:color w:val="000000"/>
        </w:rPr>
        <w:t>GLS1</w:t>
      </w:r>
      <w:r>
        <w:rPr>
          <w:rFonts w:ascii="Book Antiqua" w:hAnsi="Book Antiqua" w:cs="Book Antiqua" w:hint="eastAsia"/>
          <w:color w:val="000000"/>
          <w:lang w:eastAsia="zh-CN"/>
        </w:rPr>
        <w:t>:</w:t>
      </w:r>
      <w:r w:rsidR="00402AE5">
        <w:rPr>
          <w:rFonts w:ascii="Book Antiqua" w:hAnsi="Book Antiqua" w:cs="Book Antiqua"/>
          <w:color w:val="000000"/>
          <w:lang w:eastAsia="zh-CN"/>
        </w:rPr>
        <w:t xml:space="preserve"> </w:t>
      </w:r>
      <w:r w:rsidR="00402AE5">
        <w:rPr>
          <w:rFonts w:ascii="Book Antiqua" w:eastAsia="Book Antiqua" w:hAnsi="Book Antiqua" w:cs="Book Antiqua"/>
          <w:color w:val="000000"/>
        </w:rPr>
        <w:t>G</w:t>
      </w:r>
      <w:r>
        <w:rPr>
          <w:rFonts w:ascii="Book Antiqua" w:eastAsia="Book Antiqua" w:hAnsi="Book Antiqua" w:cs="Book Antiqua"/>
          <w:color w:val="000000"/>
        </w:rPr>
        <w:t>lutaminase</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w:t>
      </w:r>
      <w:r w:rsidR="00402AE5">
        <w:rPr>
          <w:rFonts w:ascii="Book Antiqua" w:hAnsi="Book Antiqua" w:cs="Book Antiqua"/>
          <w:color w:val="000000"/>
          <w:lang w:eastAsia="zh-CN"/>
        </w:rPr>
        <w:t xml:space="preserve"> </w:t>
      </w:r>
      <w:r>
        <w:rPr>
          <w:rFonts w:ascii="Book Antiqua" w:hAnsi="Book Antiqua"/>
          <w:lang w:eastAsia="zh-CN"/>
        </w:rPr>
        <w:t>Glu</w:t>
      </w:r>
      <w:r>
        <w:rPr>
          <w:rFonts w:ascii="Book Antiqua" w:hAnsi="Book Antiqua" w:hint="eastAsia"/>
          <w:lang w:eastAsia="zh-CN"/>
        </w:rPr>
        <w:t>-NP:</w:t>
      </w:r>
      <w:r w:rsidR="00402AE5">
        <w:rPr>
          <w:rFonts w:ascii="Book Antiqua" w:hAnsi="Book Antiqua"/>
          <w:lang w:eastAsia="zh-CN"/>
        </w:rPr>
        <w:t xml:space="preserve"> G</w:t>
      </w:r>
      <w:r>
        <w:rPr>
          <w:rFonts w:ascii="Book Antiqua" w:hAnsi="Book Antiqua" w:hint="eastAsia"/>
          <w:lang w:eastAsia="zh-CN"/>
        </w:rPr>
        <w:t>lucose-installed sub-50-nm unimer polyion complex-assembled gold nanoparticle;</w:t>
      </w:r>
      <w:r w:rsidR="00402AE5">
        <w:rPr>
          <w:rFonts w:ascii="Book Antiqua" w:hAnsi="Book Antiqua"/>
          <w:lang w:eastAsia="zh-CN"/>
        </w:rPr>
        <w:t xml:space="preserve"> </w:t>
      </w:r>
      <w:r>
        <w:rPr>
          <w:rFonts w:ascii="Book Antiqua" w:eastAsia="Book Antiqua" w:hAnsi="Book Antiqua" w:cs="Book Antiqua"/>
        </w:rPr>
        <w:t xml:space="preserve">HA: Hyaluronic acid; HA-SMA: </w:t>
      </w:r>
      <w:r>
        <w:rPr>
          <w:rFonts w:ascii="Book Antiqua" w:hAnsi="Book Antiqua"/>
          <w:lang w:eastAsia="zh-CN"/>
        </w:rPr>
        <w:t>Hyaluronic acid conjugate of copoly</w:t>
      </w:r>
      <w:r w:rsidR="00402AE5">
        <w:rPr>
          <w:rFonts w:ascii="Book Antiqua" w:hAnsi="Book Antiqua"/>
          <w:lang w:eastAsia="zh-CN"/>
        </w:rPr>
        <w:t xml:space="preserve"> </w:t>
      </w:r>
      <w:r>
        <w:rPr>
          <w:rFonts w:ascii="Book Antiqua" w:hAnsi="Book Antiqua"/>
          <w:lang w:eastAsia="zh-CN"/>
        </w:rPr>
        <w:t>(styrene maleic acid); HA-SS-MP</w:t>
      </w:r>
      <w:r>
        <w:rPr>
          <w:rFonts w:ascii="Book Antiqua" w:eastAsia="Book Antiqua" w:hAnsi="Book Antiqua" w:cs="Book Antiqua"/>
        </w:rPr>
        <w:t xml:space="preserve">: </w:t>
      </w:r>
      <w:r>
        <w:rPr>
          <w:rFonts w:ascii="Book Antiqua" w:eastAsia="Book Antiqua" w:hAnsi="Book Antiqua" w:cs="Book Antiqua"/>
          <w:color w:val="000000"/>
        </w:rPr>
        <w:t xml:space="preserve">Hyaluronic </w:t>
      </w:r>
      <w:r>
        <w:rPr>
          <w:rFonts w:ascii="Book Antiqua" w:eastAsia="Book Antiqua" w:hAnsi="Book Antiqua" w:cs="Book Antiqua"/>
          <w:color w:val="000000"/>
        </w:rPr>
        <w:lastRenderedPageBreak/>
        <w:t>acid-SS-mercaptopurine; HPMA: N-(2-hydroxypropyl) methylacrylamide;</w:t>
      </w:r>
      <w:r w:rsidR="00402AE5">
        <w:rPr>
          <w:rFonts w:ascii="Book Antiqua" w:eastAsia="Book Antiqua" w:hAnsi="Book Antiqua" w:cs="Book Antiqua"/>
          <w:color w:val="000000"/>
        </w:rPr>
        <w:t xml:space="preserve"> </w:t>
      </w:r>
      <w:r>
        <w:rPr>
          <w:rFonts w:ascii="Book Antiqua" w:hAnsi="Book Antiqua" w:cs="Book Antiqua" w:hint="eastAsia"/>
          <w:color w:val="000000"/>
          <w:lang w:eastAsia="zh-CN"/>
        </w:rPr>
        <w:t>HLs:</w:t>
      </w:r>
      <w:r>
        <w:rPr>
          <w:rFonts w:ascii="Book Antiqua" w:eastAsia="Book Antiqua" w:hAnsi="Book Antiqua" w:cs="Book Antiqua"/>
          <w:color w:val="000000"/>
        </w:rPr>
        <w:t xml:space="preserve"> Hybrid lipo plastids</w:t>
      </w:r>
      <w:r>
        <w:rPr>
          <w:rFonts w:ascii="Book Antiqua" w:hAnsi="Book Antiqua" w:cs="Book Antiqua" w:hint="eastAsia"/>
          <w:color w:val="000000"/>
          <w:lang w:eastAsia="zh-CN"/>
        </w:rPr>
        <w:t>;</w:t>
      </w:r>
      <w:r>
        <w:rPr>
          <w:rFonts w:ascii="Book Antiqua" w:eastAsia="Book Antiqua" w:hAnsi="Book Antiqua" w:cs="Book Antiqua"/>
        </w:rPr>
        <w:t xml:space="preserve">ITGA5: </w:t>
      </w:r>
      <w:r>
        <w:rPr>
          <w:rFonts w:ascii="Book Antiqua" w:hAnsi="Book Antiqua"/>
        </w:rPr>
        <w:t>Integrin subunit alpha 5;</w:t>
      </w:r>
      <w:r>
        <w:rPr>
          <w:rFonts w:ascii="Book Antiqua" w:eastAsia="Book Antiqua" w:hAnsi="Book Antiqua" w:cs="Book Antiqua"/>
        </w:rPr>
        <w:t xml:space="preserve"> </w:t>
      </w:r>
      <w:r>
        <w:rPr>
          <w:rFonts w:ascii="Book Antiqua" w:eastAsia="Book Antiqua" w:hAnsi="Book Antiqua" w:cs="Book Antiqua"/>
          <w:color w:val="000000"/>
        </w:rPr>
        <w:t>MNVs</w:t>
      </w:r>
      <w:r>
        <w:rPr>
          <w:rFonts w:ascii="Book Antiqua" w:hAnsi="Book Antiqua" w:hint="eastAsia"/>
          <w:lang w:eastAsia="zh-CN"/>
        </w:rPr>
        <w:t>:</w:t>
      </w:r>
      <w:r w:rsidR="00402AE5">
        <w:rPr>
          <w:rFonts w:ascii="Book Antiqua" w:hAnsi="Book Antiqua"/>
          <w:lang w:eastAsia="zh-CN"/>
        </w:rPr>
        <w:t xml:space="preserve"> M</w:t>
      </w:r>
      <w:r>
        <w:rPr>
          <w:rFonts w:ascii="Book Antiqua" w:hAnsi="Book Antiqua" w:hint="eastAsia"/>
          <w:lang w:eastAsia="zh-CN"/>
        </w:rPr>
        <w:t>ilk</w:t>
      </w:r>
      <w:r w:rsidR="00097949">
        <w:rPr>
          <w:rFonts w:ascii="Book Antiqua" w:hAnsi="Book Antiqua" w:hint="eastAsia"/>
          <w:lang w:eastAsia="zh-CN"/>
        </w:rPr>
        <w:t>-</w:t>
      </w:r>
      <w:r>
        <w:rPr>
          <w:rFonts w:ascii="Book Antiqua" w:hAnsi="Book Antiqua" w:hint="eastAsia"/>
          <w:lang w:eastAsia="zh-CN"/>
        </w:rPr>
        <w:t>derived nanovesicles</w:t>
      </w:r>
      <w:r>
        <w:rPr>
          <w:rFonts w:ascii="Book Antiqua" w:hAnsi="Book Antiqua" w:cs="Book Antiqua" w:hint="eastAsia"/>
          <w:color w:val="000000"/>
          <w:lang w:eastAsia="zh-CN"/>
        </w:rPr>
        <w:t>:</w:t>
      </w:r>
      <w:r w:rsidR="00402AE5">
        <w:rPr>
          <w:rFonts w:ascii="Book Antiqua" w:hAnsi="Book Antiqua" w:cs="Book Antiqua"/>
          <w:color w:val="000000"/>
          <w:lang w:eastAsia="zh-CN"/>
        </w:rPr>
        <w:t xml:space="preserve"> </w:t>
      </w:r>
      <w:r>
        <w:rPr>
          <w:rFonts w:ascii="Book Antiqua" w:eastAsia="Book Antiqua" w:hAnsi="Book Antiqua" w:cs="Book Antiqua"/>
        </w:rPr>
        <w:t>M-HA-SS-TA: Mineralized HA-SS-tetracylecyl nanocarrier; miR: MicroRNA; miSO</w:t>
      </w:r>
      <w:r>
        <w:rPr>
          <w:rFonts w:ascii="Book Antiqua" w:eastAsia="Book Antiqua" w:hAnsi="Book Antiqua" w:cs="Book Antiqua"/>
          <w:vertAlign w:val="subscript"/>
        </w:rPr>
        <w:t>2</w:t>
      </w:r>
      <w:r>
        <w:rPr>
          <w:rFonts w:ascii="Book Antiqua" w:eastAsia="Book Antiqua" w:hAnsi="Book Antiqua" w:cs="Book Antiqua"/>
        </w:rPr>
        <w:t xml:space="preserve">: </w:t>
      </w:r>
      <w:r>
        <w:rPr>
          <w:rFonts w:ascii="Book Antiqua" w:eastAsia="Book Antiqua" w:hAnsi="Book Antiqua" w:cs="Book Antiqua"/>
          <w:color w:val="000000"/>
        </w:rPr>
        <w:t xml:space="preserve">Mesoporous silica; </w:t>
      </w:r>
      <w:r>
        <w:rPr>
          <w:rFonts w:ascii="Book Antiqua" w:eastAsia="Book Antiqua" w:hAnsi="Book Antiqua" w:cs="Book Antiqua"/>
        </w:rPr>
        <w:t>MSN</w:t>
      </w:r>
      <w:r>
        <w:rPr>
          <w:rFonts w:ascii="Book Antiqua" w:eastAsia="Book Antiqua" w:hAnsi="Book Antiqua" w:cs="Book Antiqua"/>
          <w:lang w:eastAsia="zh-CN"/>
        </w:rPr>
        <w:t xml:space="preserve">s: </w:t>
      </w:r>
      <w:r>
        <w:rPr>
          <w:rFonts w:ascii="Book Antiqua" w:eastAsia="Book Antiqua" w:hAnsi="Book Antiqua" w:cs="Book Antiqua"/>
        </w:rPr>
        <w:t>Mesoporous silica nanoparticles; MWCNT</w:t>
      </w:r>
      <w:r>
        <w:rPr>
          <w:rFonts w:ascii="Book Antiqua" w:eastAsia="Book Antiqua" w:hAnsi="Book Antiqua" w:cs="Book Antiqua"/>
          <w:lang w:eastAsia="zh-CN"/>
        </w:rPr>
        <w:t xml:space="preserve">s: </w:t>
      </w:r>
      <w:r>
        <w:rPr>
          <w:rFonts w:ascii="Book Antiqua" w:eastAsia="Book Antiqua" w:hAnsi="Book Antiqua" w:cs="Book Antiqua"/>
        </w:rPr>
        <w:t xml:space="preserve">Multiwalled carbon nanotubes; NPs: Nanoparticles; PEG: </w:t>
      </w:r>
      <w:r>
        <w:rPr>
          <w:rFonts w:ascii="Book Antiqua" w:eastAsia="Book Antiqua" w:hAnsi="Book Antiqua" w:cs="Book Antiqua"/>
          <w:color w:val="000000"/>
        </w:rPr>
        <w:t xml:space="preserve">Polyethylene glycol; </w:t>
      </w:r>
      <w:r>
        <w:rPr>
          <w:rFonts w:ascii="Book Antiqua" w:eastAsia="Book Antiqua" w:hAnsi="Book Antiqua" w:cs="Book Antiqua"/>
        </w:rPr>
        <w:t xml:space="preserve">PKF: </w:t>
      </w:r>
      <w:r>
        <w:rPr>
          <w:rFonts w:ascii="Book Antiqua" w:eastAsia="Book Antiqua" w:hAnsi="Book Antiqua" w:cs="Book Antiqua"/>
          <w:color w:val="000000"/>
        </w:rPr>
        <w:t xml:space="preserve">PKF118-310; PLGA: </w:t>
      </w:r>
      <w:r w:rsidR="00402AE5">
        <w:rPr>
          <w:rFonts w:ascii="Book Antiqua" w:eastAsia="Book Antiqua" w:hAnsi="Book Antiqua" w:cs="Book Antiqua"/>
          <w:color w:val="000000"/>
        </w:rPr>
        <w:t>P</w:t>
      </w:r>
      <w:r>
        <w:rPr>
          <w:rFonts w:ascii="Book Antiqua" w:eastAsia="Book Antiqua" w:hAnsi="Book Antiqua" w:cs="Book Antiqua"/>
          <w:color w:val="000000"/>
        </w:rPr>
        <w:t>oly(L-lactide-co-glycolide);</w:t>
      </w:r>
      <w:r>
        <w:rPr>
          <w:rFonts w:ascii="Book Antiqua" w:eastAsia="Book Antiqua" w:hAnsi="Book Antiqua" w:cs="Book Antiqua"/>
        </w:rPr>
        <w:t xml:space="preserve"> PNPs: </w:t>
      </w:r>
      <w:r>
        <w:rPr>
          <w:rFonts w:ascii="Book Antiqua" w:hAnsi="Book Antiqua"/>
          <w:lang w:eastAsia="zh-CN"/>
        </w:rPr>
        <w:t>Polymeric nanoparticles;</w:t>
      </w:r>
      <w:r>
        <w:t xml:space="preserve"> </w:t>
      </w:r>
      <w:r>
        <w:rPr>
          <w:rFonts w:ascii="Book Antiqua" w:hAnsi="Book Antiqua"/>
          <w:lang w:eastAsia="zh-CN"/>
        </w:rPr>
        <w:t>PDT</w:t>
      </w:r>
      <w:r>
        <w:rPr>
          <w:rFonts w:ascii="Book Antiqua" w:hAnsi="Book Antiqua" w:hint="eastAsia"/>
          <w:lang w:eastAsia="zh-CN"/>
        </w:rPr>
        <w:t>:</w:t>
      </w:r>
      <w:r w:rsidR="00402AE5">
        <w:rPr>
          <w:rFonts w:ascii="Book Antiqua" w:hAnsi="Book Antiqua"/>
          <w:lang w:eastAsia="zh-CN"/>
        </w:rPr>
        <w:t xml:space="preserve"> P</w:t>
      </w:r>
      <w:r>
        <w:rPr>
          <w:rFonts w:ascii="Book Antiqua" w:hAnsi="Book Antiqua"/>
          <w:lang w:eastAsia="zh-CN"/>
        </w:rPr>
        <w:t>hotodynamic therapy</w:t>
      </w:r>
      <w:r>
        <w:rPr>
          <w:rFonts w:ascii="Book Antiqua" w:hAnsi="Book Antiqua" w:hint="eastAsia"/>
          <w:lang w:eastAsia="zh-CN"/>
        </w:rPr>
        <w:t>;</w:t>
      </w:r>
      <w:r w:rsidR="00402AE5">
        <w:rPr>
          <w:rFonts w:ascii="Book Antiqua" w:hAnsi="Book Antiqua"/>
          <w:lang w:eastAsia="zh-CN"/>
        </w:rPr>
        <w:t xml:space="preserve"> </w:t>
      </w:r>
      <w:r>
        <w:rPr>
          <w:rFonts w:ascii="Book Antiqua" w:hAnsi="Book Antiqua" w:hint="eastAsia"/>
          <w:lang w:eastAsia="zh-CN"/>
        </w:rPr>
        <w:t>ROS:</w:t>
      </w:r>
      <w:r w:rsidR="00402AE5">
        <w:rPr>
          <w:rFonts w:ascii="Book Antiqua" w:hAnsi="Book Antiqua"/>
          <w:lang w:eastAsia="zh-CN"/>
        </w:rPr>
        <w:t xml:space="preserve"> </w:t>
      </w:r>
      <w:r w:rsidR="00402AE5">
        <w:rPr>
          <w:rFonts w:ascii="Book Antiqua" w:eastAsia="Book Antiqua" w:hAnsi="Book Antiqua" w:cs="Book Antiqua"/>
          <w:color w:val="000000"/>
        </w:rPr>
        <w:t>R</w:t>
      </w:r>
      <w:r w:rsidRPr="00641A01">
        <w:rPr>
          <w:rFonts w:ascii="Book Antiqua" w:eastAsia="Book Antiqua" w:hAnsi="Book Antiqua" w:cs="Book Antiqua"/>
          <w:color w:val="000000"/>
        </w:rPr>
        <w:t>eactive oxygen species</w:t>
      </w:r>
      <w:r w:rsidRPr="00641A01">
        <w:rPr>
          <w:rFonts w:ascii="Book Antiqua" w:eastAsia="Book Antiqua" w:hAnsi="Book Antiqua" w:cs="Book Antiqua"/>
          <w:color w:val="000000"/>
          <w:lang w:eastAsia="zh-CN"/>
        </w:rPr>
        <w:t>;</w:t>
      </w:r>
      <w:r>
        <w:rPr>
          <w:rFonts w:ascii="Book Antiqua" w:hAnsi="Book Antiqua" w:hint="eastAsia"/>
          <w:lang w:eastAsia="zh-CN"/>
        </w:rPr>
        <w:t xml:space="preserve"> </w:t>
      </w:r>
      <w:r>
        <w:rPr>
          <w:rFonts w:ascii="Book Antiqua" w:hAnsi="Book Antiqua"/>
          <w:lang w:eastAsia="zh-CN"/>
        </w:rPr>
        <w:t>rGO-Ag</w:t>
      </w:r>
      <w:r>
        <w:rPr>
          <w:rFonts w:ascii="Book Antiqua" w:hAnsi="Book Antiqua" w:hint="eastAsia"/>
          <w:lang w:eastAsia="zh-CN"/>
        </w:rPr>
        <w:t>:</w:t>
      </w:r>
      <w:r>
        <w:rPr>
          <w:rFonts w:ascii="Book Antiqua" w:hAnsi="Book Antiqua"/>
          <w:lang w:eastAsia="zh-CN"/>
        </w:rPr>
        <w:t xml:space="preserve"> </w:t>
      </w:r>
      <w:r w:rsidR="00402AE5">
        <w:rPr>
          <w:rFonts w:ascii="Book Antiqua" w:hAnsi="Book Antiqua"/>
          <w:lang w:eastAsia="zh-CN"/>
        </w:rPr>
        <w:t>R</w:t>
      </w:r>
      <w:r w:rsidR="00402AE5">
        <w:rPr>
          <w:rFonts w:ascii="Book Antiqua" w:hAnsi="Book Antiqua" w:hint="eastAsia"/>
          <w:lang w:eastAsia="zh-CN"/>
        </w:rPr>
        <w:t xml:space="preserve">educed </w:t>
      </w:r>
      <w:r>
        <w:rPr>
          <w:rFonts w:ascii="Book Antiqua" w:hAnsi="Book Antiqua" w:hint="eastAsia"/>
          <w:lang w:eastAsia="zh-CN"/>
        </w:rPr>
        <w:t>graphene oxide</w:t>
      </w:r>
      <w:r>
        <w:rPr>
          <w:rFonts w:ascii="Book Antiqua" w:hAnsi="Book Antiqua" w:hint="eastAsia"/>
          <w:lang w:eastAsia="zh-CN"/>
        </w:rPr>
        <w:t>–</w:t>
      </w:r>
      <w:r>
        <w:rPr>
          <w:rFonts w:ascii="Book Antiqua" w:hAnsi="Book Antiqua" w:hint="eastAsia"/>
          <w:lang w:eastAsia="zh-CN"/>
        </w:rPr>
        <w:t>silver nanocomposite;</w:t>
      </w:r>
      <w:r w:rsidR="00402AE5">
        <w:rPr>
          <w:rFonts w:ascii="Book Antiqua" w:hAnsi="Book Antiqua"/>
          <w:lang w:eastAsia="zh-CN"/>
        </w:rPr>
        <w:t xml:space="preserve"> </w:t>
      </w:r>
      <w:r>
        <w:rPr>
          <w:rFonts w:ascii="Book Antiqua" w:hAnsi="Book Antiqua"/>
          <w:lang w:eastAsia="zh-CN"/>
        </w:rPr>
        <w:t xml:space="preserve">SAHA: </w:t>
      </w:r>
      <w:r>
        <w:rPr>
          <w:rFonts w:ascii="Book Antiqua" w:eastAsia="Book Antiqua" w:hAnsi="Book Antiqua" w:cs="Book Antiqua"/>
          <w:color w:val="000000"/>
        </w:rPr>
        <w:t xml:space="preserve">Vorinostat; </w:t>
      </w:r>
      <w:r>
        <w:rPr>
          <w:rFonts w:ascii="Book Antiqua" w:eastAsia="Book Antiqua" w:hAnsi="Book Antiqua" w:cs="Book Antiqua"/>
        </w:rPr>
        <w:t>S</w:t>
      </w:r>
      <w:r>
        <w:rPr>
          <w:rFonts w:ascii="Book Antiqua" w:hAnsi="Book Antiqua" w:cs="Book Antiqua"/>
          <w:lang w:eastAsia="zh-CN"/>
        </w:rPr>
        <w:t>AL</w:t>
      </w:r>
      <w:r>
        <w:rPr>
          <w:rFonts w:ascii="Book Antiqua" w:eastAsia="Book Antiqua" w:hAnsi="Book Antiqua" w:cs="Book Antiqua"/>
        </w:rPr>
        <w:t xml:space="preserve">: Salomycin; SFN: </w:t>
      </w:r>
      <w:r>
        <w:rPr>
          <w:rFonts w:ascii="Book Antiqua" w:eastAsia="Book Antiqua" w:hAnsi="Book Antiqua" w:cs="Book Antiqua"/>
          <w:color w:val="000000"/>
        </w:rPr>
        <w:t xml:space="preserve">Sulforaphane; siRNA: Small interfering RNA; </w:t>
      </w:r>
      <w:r>
        <w:rPr>
          <w:rFonts w:ascii="Book Antiqua" w:eastAsia="Book Antiqua" w:hAnsi="Book Antiqua" w:cs="Book Antiqua"/>
        </w:rPr>
        <w:t xml:space="preserve">SWCNT: Single-walled carbon nanotubes; </w:t>
      </w:r>
      <w:r>
        <w:rPr>
          <w:rFonts w:ascii="Book Antiqua" w:hAnsi="Book Antiqua"/>
          <w:lang w:eastAsia="zh-CN"/>
        </w:rPr>
        <w:t>SPIONPs</w:t>
      </w:r>
      <w:r>
        <w:rPr>
          <w:rFonts w:ascii="Book Antiqua" w:hAnsi="Book Antiqua" w:hint="eastAsia"/>
          <w:lang w:eastAsia="zh-CN"/>
        </w:rPr>
        <w:t>:</w:t>
      </w:r>
      <w:r w:rsidR="00402AE5">
        <w:rPr>
          <w:rFonts w:ascii="Book Antiqua" w:hAnsi="Book Antiqua"/>
          <w:lang w:eastAsia="zh-CN"/>
        </w:rPr>
        <w:t xml:space="preserve"> S</w:t>
      </w:r>
      <w:r>
        <w:rPr>
          <w:rFonts w:ascii="Book Antiqua" w:hAnsi="Book Antiqua" w:hint="eastAsia"/>
          <w:lang w:eastAsia="zh-CN"/>
        </w:rPr>
        <w:t xml:space="preserve">uperparamagnetic iron oxide NPs; </w:t>
      </w:r>
      <w:r>
        <w:rPr>
          <w:rFonts w:ascii="Book Antiqua" w:hAnsi="Book Antiqua"/>
          <w:lang w:eastAsia="zh-CN"/>
        </w:rPr>
        <w:t>SAL-SWCNT-CHI-HA</w:t>
      </w:r>
      <w:r>
        <w:rPr>
          <w:rFonts w:ascii="Book Antiqua" w:hAnsi="Book Antiqua" w:hint="eastAsia"/>
          <w:lang w:eastAsia="zh-CN"/>
        </w:rPr>
        <w:t>:</w:t>
      </w:r>
      <w:r>
        <w:rPr>
          <w:rFonts w:ascii="Book Antiqua" w:eastAsia="Book Antiqua" w:hAnsi="Book Antiqua" w:cs="Book Antiqua"/>
          <w:color w:val="000000"/>
        </w:rPr>
        <w:t>CHI-coated SWCNTs loaded with SAL and functionalized with HA</w:t>
      </w:r>
      <w:r>
        <w:rPr>
          <w:rFonts w:ascii="Book Antiqua" w:hAnsi="Book Antiqua" w:hint="eastAsia"/>
          <w:lang w:eastAsia="zh-CN"/>
        </w:rPr>
        <w:t>;</w:t>
      </w:r>
      <w:r>
        <w:rPr>
          <w:rFonts w:ascii="Book Antiqua" w:eastAsia="Book Antiqua" w:hAnsi="Book Antiqua" w:cs="Book Antiqua"/>
        </w:rPr>
        <w:t xml:space="preserve">TEL: </w:t>
      </w:r>
      <w:r>
        <w:rPr>
          <w:rFonts w:ascii="Book Antiqua" w:eastAsia="Book Antiqua" w:hAnsi="Book Antiqua" w:cs="Book Antiqua"/>
          <w:color w:val="000000"/>
        </w:rPr>
        <w:t>Telmisartan;</w:t>
      </w:r>
      <w:r>
        <w:rPr>
          <w:rFonts w:ascii="Book Antiqua" w:eastAsia="Book Antiqua" w:hAnsi="Book Antiqua" w:cs="Book Antiqua"/>
        </w:rPr>
        <w:t xml:space="preserve"> TPZ: Tirapazamine; TRAIL: </w:t>
      </w:r>
      <w:r>
        <w:rPr>
          <w:rFonts w:ascii="Book Antiqua" w:eastAsia="Book Antiqua" w:hAnsi="Book Antiqua" w:cs="Book Antiqua"/>
          <w:color w:val="000000"/>
        </w:rPr>
        <w:t xml:space="preserve">Tumor necrosis factor-associated apoptosis-inducing ligand; TTNV: Targeted theranostic nano vehicle; </w:t>
      </w:r>
      <w:r>
        <w:rPr>
          <w:rFonts w:ascii="Book Antiqua" w:eastAsia="Book Antiqua" w:hAnsi="Book Antiqua" w:cs="Book Antiqua"/>
        </w:rPr>
        <w:t>ZnS: Zinc sulfide.</w:t>
      </w:r>
      <w:bookmarkEnd w:id="0"/>
      <w:bookmarkEnd w:id="1"/>
      <w:bookmarkEnd w:id="2"/>
      <w:bookmarkEnd w:id="3"/>
    </w:p>
    <w:p w14:paraId="23DB52D7" w14:textId="77777777" w:rsidR="009D666F" w:rsidRDefault="009D666F">
      <w:pPr>
        <w:rPr>
          <w:rFonts w:ascii="Book Antiqua" w:eastAsia="Book Antiqua" w:hAnsi="Book Antiqua" w:cs="Book Antiqua"/>
        </w:rPr>
      </w:pPr>
      <w:r>
        <w:rPr>
          <w:rFonts w:ascii="Book Antiqua" w:eastAsia="Book Antiqua" w:hAnsi="Book Antiqua" w:cs="Book Antiqua"/>
        </w:rPr>
        <w:br w:type="page"/>
      </w:r>
    </w:p>
    <w:p w14:paraId="3005D4AE" w14:textId="77777777" w:rsidR="009D666F" w:rsidRDefault="009D666F" w:rsidP="009D666F">
      <w:pPr>
        <w:snapToGrid w:val="0"/>
        <w:ind w:leftChars="100" w:left="240"/>
        <w:jc w:val="center"/>
        <w:rPr>
          <w:rFonts w:ascii="Book Antiqua" w:hAnsi="Book Antiqua"/>
        </w:rPr>
      </w:pPr>
    </w:p>
    <w:p w14:paraId="6ABCD121" w14:textId="77777777" w:rsidR="009D666F" w:rsidRDefault="009D666F" w:rsidP="009D666F">
      <w:pPr>
        <w:snapToGrid w:val="0"/>
        <w:ind w:leftChars="100" w:left="240"/>
        <w:jc w:val="center"/>
        <w:rPr>
          <w:rFonts w:ascii="Book Antiqua" w:hAnsi="Book Antiqua"/>
        </w:rPr>
      </w:pPr>
    </w:p>
    <w:p w14:paraId="68AFC87C" w14:textId="77777777" w:rsidR="009D666F" w:rsidRDefault="009D666F" w:rsidP="009D666F">
      <w:pPr>
        <w:snapToGrid w:val="0"/>
        <w:ind w:leftChars="100" w:left="240"/>
        <w:jc w:val="center"/>
        <w:rPr>
          <w:rFonts w:ascii="Book Antiqua" w:hAnsi="Book Antiqua"/>
        </w:rPr>
      </w:pPr>
    </w:p>
    <w:p w14:paraId="3AAB33A9" w14:textId="77777777" w:rsidR="009D666F" w:rsidRDefault="009D666F" w:rsidP="009D666F">
      <w:pPr>
        <w:snapToGrid w:val="0"/>
        <w:ind w:leftChars="100" w:left="240"/>
        <w:jc w:val="center"/>
        <w:rPr>
          <w:rFonts w:ascii="Book Antiqua" w:hAnsi="Book Antiqua"/>
        </w:rPr>
      </w:pPr>
    </w:p>
    <w:p w14:paraId="54E9A279" w14:textId="77777777" w:rsidR="009D666F" w:rsidRDefault="009D666F" w:rsidP="009D666F">
      <w:pPr>
        <w:snapToGrid w:val="0"/>
        <w:ind w:leftChars="100" w:left="240"/>
        <w:jc w:val="center"/>
        <w:rPr>
          <w:rFonts w:ascii="Book Antiqua" w:hAnsi="Book Antiqua"/>
        </w:rPr>
      </w:pPr>
      <w:r>
        <w:rPr>
          <w:rFonts w:ascii="Book Antiqua" w:hAnsi="Book Antiqua"/>
          <w:noProof/>
        </w:rPr>
        <w:drawing>
          <wp:inline distT="0" distB="0" distL="0" distR="0" wp14:anchorId="5B53B5DC" wp14:editId="35749DB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20AF21F" w14:textId="77777777" w:rsidR="009D666F" w:rsidRDefault="009D666F" w:rsidP="009D666F">
      <w:pPr>
        <w:snapToGrid w:val="0"/>
        <w:ind w:leftChars="100" w:left="240"/>
        <w:jc w:val="center"/>
        <w:rPr>
          <w:rFonts w:ascii="Book Antiqua" w:hAnsi="Book Antiqua"/>
        </w:rPr>
      </w:pPr>
    </w:p>
    <w:p w14:paraId="18F753E6" w14:textId="77777777" w:rsidR="009D666F" w:rsidRDefault="009D666F" w:rsidP="009D666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35A60B7" w14:textId="77777777" w:rsidR="009D666F" w:rsidRDefault="009D666F" w:rsidP="009D666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D3D353C" w14:textId="77777777" w:rsidR="009D666F" w:rsidRDefault="009D666F" w:rsidP="009D666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2FEFB9" w14:textId="77777777" w:rsidR="009D666F" w:rsidRDefault="009D666F" w:rsidP="009D666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A0C7D7F" w14:textId="77777777" w:rsidR="009D666F" w:rsidRDefault="009D666F" w:rsidP="009D666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C37638E" w14:textId="77777777" w:rsidR="009D666F" w:rsidRDefault="009D666F" w:rsidP="009D666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3F30012" w14:textId="77777777" w:rsidR="009D666F" w:rsidRDefault="009D666F" w:rsidP="009D666F">
      <w:pPr>
        <w:snapToGrid w:val="0"/>
        <w:ind w:leftChars="100" w:left="240"/>
        <w:jc w:val="center"/>
        <w:rPr>
          <w:rFonts w:ascii="Book Antiqua" w:hAnsi="Book Antiqua"/>
        </w:rPr>
      </w:pPr>
    </w:p>
    <w:p w14:paraId="7C56A94C" w14:textId="77777777" w:rsidR="009D666F" w:rsidRDefault="009D666F" w:rsidP="009D666F">
      <w:pPr>
        <w:snapToGrid w:val="0"/>
        <w:ind w:leftChars="100" w:left="240"/>
        <w:jc w:val="center"/>
        <w:rPr>
          <w:rFonts w:ascii="Book Antiqua" w:hAnsi="Book Antiqua"/>
        </w:rPr>
      </w:pPr>
    </w:p>
    <w:p w14:paraId="23A9C4FE" w14:textId="77777777" w:rsidR="009D666F" w:rsidRDefault="009D666F" w:rsidP="009D666F">
      <w:pPr>
        <w:snapToGrid w:val="0"/>
        <w:ind w:leftChars="100" w:left="240"/>
        <w:jc w:val="center"/>
        <w:rPr>
          <w:rFonts w:ascii="Book Antiqua" w:hAnsi="Book Antiqua"/>
        </w:rPr>
      </w:pPr>
    </w:p>
    <w:p w14:paraId="42F70BD5" w14:textId="77777777" w:rsidR="009D666F" w:rsidRDefault="009D666F" w:rsidP="009D666F">
      <w:pPr>
        <w:snapToGrid w:val="0"/>
        <w:ind w:leftChars="100" w:left="240"/>
        <w:jc w:val="center"/>
        <w:rPr>
          <w:rFonts w:ascii="Book Antiqua" w:hAnsi="Book Antiqua"/>
        </w:rPr>
      </w:pPr>
      <w:r>
        <w:rPr>
          <w:rFonts w:ascii="Book Antiqua" w:hAnsi="Book Antiqua"/>
          <w:noProof/>
        </w:rPr>
        <w:drawing>
          <wp:inline distT="0" distB="0" distL="0" distR="0" wp14:anchorId="55D2C1A1" wp14:editId="115B23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8DAFC4" w14:textId="77777777" w:rsidR="009D666F" w:rsidRDefault="009D666F" w:rsidP="009D666F">
      <w:pPr>
        <w:snapToGrid w:val="0"/>
        <w:ind w:leftChars="100" w:left="240"/>
        <w:jc w:val="center"/>
        <w:rPr>
          <w:rFonts w:ascii="Book Antiqua" w:hAnsi="Book Antiqua"/>
        </w:rPr>
      </w:pPr>
    </w:p>
    <w:p w14:paraId="489CAD52" w14:textId="77777777" w:rsidR="009D666F" w:rsidRDefault="009D666F" w:rsidP="009D666F">
      <w:pPr>
        <w:snapToGrid w:val="0"/>
        <w:ind w:leftChars="100" w:left="240"/>
        <w:jc w:val="center"/>
        <w:rPr>
          <w:rFonts w:ascii="Book Antiqua" w:hAnsi="Book Antiqua"/>
        </w:rPr>
      </w:pPr>
    </w:p>
    <w:p w14:paraId="3DB208B1" w14:textId="77777777" w:rsidR="009D666F" w:rsidRDefault="009D666F" w:rsidP="009D666F">
      <w:pPr>
        <w:snapToGrid w:val="0"/>
        <w:ind w:leftChars="100" w:left="240"/>
        <w:jc w:val="center"/>
        <w:rPr>
          <w:rFonts w:ascii="Book Antiqua" w:hAnsi="Book Antiqua"/>
        </w:rPr>
      </w:pPr>
    </w:p>
    <w:p w14:paraId="72044956" w14:textId="77777777" w:rsidR="009D666F" w:rsidRDefault="009D666F" w:rsidP="009D666F">
      <w:pPr>
        <w:snapToGrid w:val="0"/>
        <w:ind w:leftChars="100" w:left="240"/>
        <w:jc w:val="center"/>
        <w:rPr>
          <w:rFonts w:ascii="Book Antiqua" w:hAnsi="Book Antiqua"/>
        </w:rPr>
      </w:pPr>
    </w:p>
    <w:p w14:paraId="297E5CAF" w14:textId="77777777" w:rsidR="009D666F" w:rsidRDefault="009D666F" w:rsidP="009D666F">
      <w:pPr>
        <w:snapToGrid w:val="0"/>
        <w:ind w:leftChars="100" w:left="240"/>
        <w:jc w:val="center"/>
        <w:rPr>
          <w:rFonts w:ascii="Book Antiqua" w:hAnsi="Book Antiqua"/>
        </w:rPr>
      </w:pPr>
    </w:p>
    <w:p w14:paraId="6FB66363" w14:textId="77777777" w:rsidR="009D666F" w:rsidRDefault="009D666F" w:rsidP="009D666F">
      <w:pPr>
        <w:snapToGrid w:val="0"/>
        <w:ind w:leftChars="100" w:left="240"/>
        <w:jc w:val="center"/>
        <w:rPr>
          <w:rFonts w:ascii="Book Antiqua" w:hAnsi="Book Antiqua"/>
        </w:rPr>
      </w:pPr>
    </w:p>
    <w:p w14:paraId="430FC78C" w14:textId="77777777" w:rsidR="009D666F" w:rsidRDefault="009D666F" w:rsidP="009D666F">
      <w:pPr>
        <w:snapToGrid w:val="0"/>
        <w:ind w:leftChars="100" w:left="240"/>
        <w:jc w:val="center"/>
        <w:rPr>
          <w:rFonts w:ascii="Book Antiqua" w:hAnsi="Book Antiqua"/>
        </w:rPr>
      </w:pPr>
    </w:p>
    <w:p w14:paraId="4F6725FE" w14:textId="77777777" w:rsidR="009D666F" w:rsidRDefault="009D666F" w:rsidP="009D666F">
      <w:pPr>
        <w:snapToGrid w:val="0"/>
        <w:ind w:leftChars="100" w:left="240"/>
        <w:jc w:val="center"/>
        <w:rPr>
          <w:rFonts w:ascii="Book Antiqua" w:hAnsi="Book Antiqua"/>
        </w:rPr>
      </w:pPr>
    </w:p>
    <w:p w14:paraId="43295CD6" w14:textId="77777777" w:rsidR="009D666F" w:rsidRDefault="009D666F" w:rsidP="009D666F">
      <w:pPr>
        <w:snapToGrid w:val="0"/>
        <w:ind w:leftChars="100" w:left="240"/>
        <w:jc w:val="center"/>
        <w:rPr>
          <w:rFonts w:ascii="Book Antiqua" w:hAnsi="Book Antiqua"/>
        </w:rPr>
      </w:pPr>
    </w:p>
    <w:p w14:paraId="24DB563C" w14:textId="77777777" w:rsidR="009D666F" w:rsidRDefault="009D666F" w:rsidP="009D666F">
      <w:pPr>
        <w:snapToGrid w:val="0"/>
        <w:ind w:leftChars="100" w:left="240"/>
        <w:jc w:val="right"/>
        <w:rPr>
          <w:rFonts w:ascii="Book Antiqua" w:hAnsi="Book Antiqua"/>
          <w:color w:val="000000" w:themeColor="text1"/>
        </w:rPr>
      </w:pPr>
    </w:p>
    <w:p w14:paraId="0D880322" w14:textId="77777777" w:rsidR="009D666F" w:rsidRDefault="009D666F" w:rsidP="009D666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5ECDFD5" w14:textId="77777777" w:rsidR="009D666F" w:rsidRDefault="009D666F" w:rsidP="009D666F">
      <w:pPr>
        <w:rPr>
          <w:rFonts w:ascii="Book Antiqua" w:hAnsi="Book Antiqua" w:cs="Book Antiqua"/>
          <w:b/>
          <w:bCs/>
          <w:color w:val="000000"/>
        </w:rPr>
      </w:pPr>
    </w:p>
    <w:p w14:paraId="3E4653B5" w14:textId="77777777" w:rsidR="00DF7912" w:rsidRDefault="00DF7912">
      <w:pPr>
        <w:spacing w:line="360" w:lineRule="auto"/>
        <w:jc w:val="both"/>
        <w:rPr>
          <w:rFonts w:ascii="Book Antiqua" w:hAnsi="Book Antiqua"/>
        </w:rPr>
      </w:pPr>
    </w:p>
    <w:sectPr w:rsidR="00DF7912" w:rsidSect="009D666F">
      <w:headerReference w:type="default" r:id="rId13"/>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3BE9" w14:textId="77777777" w:rsidR="000C7396" w:rsidRDefault="000C7396">
      <w:r>
        <w:separator/>
      </w:r>
    </w:p>
  </w:endnote>
  <w:endnote w:type="continuationSeparator" w:id="0">
    <w:p w14:paraId="57158D29" w14:textId="77777777" w:rsidR="000C7396" w:rsidRDefault="000C7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MT">
    <w:altName w:val="微软雅黑"/>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4AE" w14:textId="77777777" w:rsidR="00680DB2" w:rsidRDefault="00000000">
    <w:pPr>
      <w:pStyle w:val="a7"/>
      <w:jc w:val="right"/>
      <w:rPr>
        <w:rFonts w:ascii="Book Antiqua" w:hAnsi="Book Antiqua"/>
        <w:color w:val="000000"/>
        <w:sz w:val="24"/>
        <w:szCs w:val="24"/>
      </w:rPr>
    </w:pPr>
    <w:r>
      <w:rPr>
        <w:rFonts w:ascii="Book Antiqua" w:hAnsi="Book Antiqua"/>
        <w:color w:val="000000"/>
        <w:sz w:val="24"/>
        <w:szCs w:val="24"/>
        <w:lang w:val="zh-CN"/>
      </w:rPr>
      <w:t xml:space="preserve"> </w:t>
    </w:r>
    <w:r>
      <w:rPr>
        <w:rFonts w:ascii="Book Antiqua" w:hAnsi="Book Antiqua"/>
        <w:color w:val="000000"/>
        <w:sz w:val="24"/>
        <w:szCs w:val="24"/>
      </w:rPr>
      <w:fldChar w:fldCharType="begin"/>
    </w:r>
    <w:r>
      <w:rPr>
        <w:rFonts w:ascii="Book Antiqua" w:hAnsi="Book Antiqua"/>
        <w:color w:val="000000"/>
        <w:sz w:val="24"/>
        <w:szCs w:val="24"/>
      </w:rPr>
      <w:instrText>PAGE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16</w:t>
    </w:r>
    <w:r>
      <w:rPr>
        <w:rFonts w:ascii="Book Antiqua" w:hAnsi="Book Antiqua"/>
        <w:color w:val="000000"/>
        <w:sz w:val="24"/>
        <w:szCs w:val="24"/>
      </w:rPr>
      <w:fldChar w:fldCharType="end"/>
    </w:r>
    <w:r>
      <w:rPr>
        <w:rFonts w:ascii="Book Antiqua" w:hAnsi="Book Antiqua"/>
        <w:color w:val="000000"/>
        <w:sz w:val="24"/>
        <w:szCs w:val="24"/>
        <w:lang w:val="zh-CN"/>
      </w:rPr>
      <w:t xml:space="preserve"> / </w:t>
    </w:r>
    <w:r>
      <w:rPr>
        <w:rFonts w:ascii="Book Antiqua" w:hAnsi="Book Antiqua"/>
        <w:color w:val="000000"/>
        <w:sz w:val="24"/>
        <w:szCs w:val="24"/>
      </w:rPr>
      <w:fldChar w:fldCharType="begin"/>
    </w:r>
    <w:r>
      <w:rPr>
        <w:rFonts w:ascii="Book Antiqua" w:hAnsi="Book Antiqua"/>
        <w:color w:val="000000"/>
        <w:sz w:val="24"/>
        <w:szCs w:val="24"/>
      </w:rPr>
      <w:instrText>NUMPAGES  \* Arabic  \* MERGEFORMAT</w:instrText>
    </w:r>
    <w:r>
      <w:rPr>
        <w:rFonts w:ascii="Book Antiqua" w:hAnsi="Book Antiqua"/>
        <w:color w:val="000000"/>
        <w:sz w:val="24"/>
        <w:szCs w:val="24"/>
      </w:rPr>
      <w:fldChar w:fldCharType="separate"/>
    </w:r>
    <w:r>
      <w:rPr>
        <w:rFonts w:ascii="Book Antiqua" w:hAnsi="Book Antiqua"/>
        <w:color w:val="000000"/>
        <w:sz w:val="24"/>
        <w:szCs w:val="24"/>
        <w:lang w:val="zh-CN" w:eastAsia="zh-CN"/>
      </w:rPr>
      <w:t>49</w:t>
    </w:r>
    <w:r>
      <w:rPr>
        <w:rFonts w:ascii="Book Antiqua" w:hAnsi="Book Antiqua"/>
        <w:color w:val="000000"/>
        <w:sz w:val="24"/>
        <w:szCs w:val="24"/>
      </w:rPr>
      <w:fldChar w:fldCharType="end"/>
    </w:r>
  </w:p>
  <w:p w14:paraId="7A21F760" w14:textId="77777777" w:rsidR="00680DB2" w:rsidRDefault="00680DB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06825" w14:textId="77777777" w:rsidR="000C7396" w:rsidRDefault="000C7396">
      <w:r>
        <w:separator/>
      </w:r>
    </w:p>
  </w:footnote>
  <w:footnote w:type="continuationSeparator" w:id="0">
    <w:p w14:paraId="5E44DEFD" w14:textId="77777777" w:rsidR="000C7396" w:rsidRDefault="000C7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FC72" w14:textId="77777777" w:rsidR="00680DB2" w:rsidRDefault="00680DB2">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mM4ZDRkZGY0Y2VmMWRlMDdlNzI4NGU4YWI1OTc2OWYifQ=="/>
  </w:docVars>
  <w:rsids>
    <w:rsidRoot w:val="00A77B3E"/>
    <w:rsid w:val="0000127D"/>
    <w:rsid w:val="00001D36"/>
    <w:rsid w:val="000075F4"/>
    <w:rsid w:val="0001486F"/>
    <w:rsid w:val="00025D19"/>
    <w:rsid w:val="00034F36"/>
    <w:rsid w:val="000361BF"/>
    <w:rsid w:val="00036FEF"/>
    <w:rsid w:val="00040B5D"/>
    <w:rsid w:val="000477BD"/>
    <w:rsid w:val="000503FE"/>
    <w:rsid w:val="0007602D"/>
    <w:rsid w:val="000918E1"/>
    <w:rsid w:val="00094A2C"/>
    <w:rsid w:val="00094F07"/>
    <w:rsid w:val="00097949"/>
    <w:rsid w:val="000A1C71"/>
    <w:rsid w:val="000A614C"/>
    <w:rsid w:val="000C7396"/>
    <w:rsid w:val="000D6A60"/>
    <w:rsid w:val="0010236F"/>
    <w:rsid w:val="00137FA8"/>
    <w:rsid w:val="00151D59"/>
    <w:rsid w:val="00156F76"/>
    <w:rsid w:val="00186729"/>
    <w:rsid w:val="001943F9"/>
    <w:rsid w:val="001B4DC7"/>
    <w:rsid w:val="001E7013"/>
    <w:rsid w:val="001F3AD4"/>
    <w:rsid w:val="001F4329"/>
    <w:rsid w:val="001F4F99"/>
    <w:rsid w:val="00204F28"/>
    <w:rsid w:val="00215E23"/>
    <w:rsid w:val="00224581"/>
    <w:rsid w:val="002413D2"/>
    <w:rsid w:val="00262EC6"/>
    <w:rsid w:val="00266FD0"/>
    <w:rsid w:val="0027393A"/>
    <w:rsid w:val="00284EEA"/>
    <w:rsid w:val="002A322E"/>
    <w:rsid w:val="002B3204"/>
    <w:rsid w:val="002C5BB5"/>
    <w:rsid w:val="002C5F12"/>
    <w:rsid w:val="002D4B10"/>
    <w:rsid w:val="002E0C12"/>
    <w:rsid w:val="002E5B23"/>
    <w:rsid w:val="00311510"/>
    <w:rsid w:val="0031493C"/>
    <w:rsid w:val="00315765"/>
    <w:rsid w:val="00317D0C"/>
    <w:rsid w:val="00321A1A"/>
    <w:rsid w:val="00333F35"/>
    <w:rsid w:val="00336252"/>
    <w:rsid w:val="0033721A"/>
    <w:rsid w:val="00345DA7"/>
    <w:rsid w:val="00352266"/>
    <w:rsid w:val="00355706"/>
    <w:rsid w:val="0036180D"/>
    <w:rsid w:val="003641EE"/>
    <w:rsid w:val="00377497"/>
    <w:rsid w:val="0039570D"/>
    <w:rsid w:val="00397073"/>
    <w:rsid w:val="003B3943"/>
    <w:rsid w:val="003C08D9"/>
    <w:rsid w:val="003D191B"/>
    <w:rsid w:val="003D4176"/>
    <w:rsid w:val="00402AE5"/>
    <w:rsid w:val="00416AE7"/>
    <w:rsid w:val="00422F0A"/>
    <w:rsid w:val="00435F96"/>
    <w:rsid w:val="00451A1B"/>
    <w:rsid w:val="004525D4"/>
    <w:rsid w:val="0047217A"/>
    <w:rsid w:val="00473CB2"/>
    <w:rsid w:val="00475442"/>
    <w:rsid w:val="00490DE7"/>
    <w:rsid w:val="004A0E0E"/>
    <w:rsid w:val="004A37D7"/>
    <w:rsid w:val="004A6755"/>
    <w:rsid w:val="004B7267"/>
    <w:rsid w:val="004F0E75"/>
    <w:rsid w:val="00501870"/>
    <w:rsid w:val="0050533F"/>
    <w:rsid w:val="005213D8"/>
    <w:rsid w:val="0052370A"/>
    <w:rsid w:val="00532DF1"/>
    <w:rsid w:val="0053675B"/>
    <w:rsid w:val="005401D8"/>
    <w:rsid w:val="00541001"/>
    <w:rsid w:val="0054226D"/>
    <w:rsid w:val="00544802"/>
    <w:rsid w:val="00582FA5"/>
    <w:rsid w:val="005A3A27"/>
    <w:rsid w:val="005D49D2"/>
    <w:rsid w:val="005F3C78"/>
    <w:rsid w:val="00604E42"/>
    <w:rsid w:val="00613D07"/>
    <w:rsid w:val="006177D0"/>
    <w:rsid w:val="00641A01"/>
    <w:rsid w:val="00663BBA"/>
    <w:rsid w:val="006735CE"/>
    <w:rsid w:val="00680DB2"/>
    <w:rsid w:val="00693871"/>
    <w:rsid w:val="006A2CB4"/>
    <w:rsid w:val="006A482A"/>
    <w:rsid w:val="006D76B2"/>
    <w:rsid w:val="00705052"/>
    <w:rsid w:val="00723395"/>
    <w:rsid w:val="00754E60"/>
    <w:rsid w:val="007555C7"/>
    <w:rsid w:val="00770917"/>
    <w:rsid w:val="00774BE4"/>
    <w:rsid w:val="007A2456"/>
    <w:rsid w:val="007B20AC"/>
    <w:rsid w:val="007B7172"/>
    <w:rsid w:val="007C73DE"/>
    <w:rsid w:val="007D74C4"/>
    <w:rsid w:val="007E1C19"/>
    <w:rsid w:val="007F3DF0"/>
    <w:rsid w:val="0080538E"/>
    <w:rsid w:val="00806FEC"/>
    <w:rsid w:val="008118D0"/>
    <w:rsid w:val="00814B59"/>
    <w:rsid w:val="008378E1"/>
    <w:rsid w:val="0084301B"/>
    <w:rsid w:val="0087135E"/>
    <w:rsid w:val="00871C58"/>
    <w:rsid w:val="00875756"/>
    <w:rsid w:val="00877778"/>
    <w:rsid w:val="00886062"/>
    <w:rsid w:val="008C115B"/>
    <w:rsid w:val="008C76E7"/>
    <w:rsid w:val="008D0914"/>
    <w:rsid w:val="008E1114"/>
    <w:rsid w:val="008E799C"/>
    <w:rsid w:val="008F03E6"/>
    <w:rsid w:val="008F2ABE"/>
    <w:rsid w:val="00905170"/>
    <w:rsid w:val="00912712"/>
    <w:rsid w:val="00921D2E"/>
    <w:rsid w:val="009274D5"/>
    <w:rsid w:val="00930DD7"/>
    <w:rsid w:val="00937E6F"/>
    <w:rsid w:val="00950A5A"/>
    <w:rsid w:val="00960964"/>
    <w:rsid w:val="0097777F"/>
    <w:rsid w:val="009B255D"/>
    <w:rsid w:val="009C1E4C"/>
    <w:rsid w:val="009D03EB"/>
    <w:rsid w:val="009D1909"/>
    <w:rsid w:val="009D666F"/>
    <w:rsid w:val="009E6C9E"/>
    <w:rsid w:val="009F4DC8"/>
    <w:rsid w:val="009F714E"/>
    <w:rsid w:val="00A12639"/>
    <w:rsid w:val="00A16187"/>
    <w:rsid w:val="00A17397"/>
    <w:rsid w:val="00A3692D"/>
    <w:rsid w:val="00A40EF3"/>
    <w:rsid w:val="00A45F09"/>
    <w:rsid w:val="00A759A2"/>
    <w:rsid w:val="00A76A8C"/>
    <w:rsid w:val="00A77801"/>
    <w:rsid w:val="00A77B3E"/>
    <w:rsid w:val="00AA77F5"/>
    <w:rsid w:val="00AB517B"/>
    <w:rsid w:val="00AB7304"/>
    <w:rsid w:val="00AC3C6A"/>
    <w:rsid w:val="00AD0498"/>
    <w:rsid w:val="00AD57B2"/>
    <w:rsid w:val="00AE7BDB"/>
    <w:rsid w:val="00AF0308"/>
    <w:rsid w:val="00B11514"/>
    <w:rsid w:val="00B13196"/>
    <w:rsid w:val="00B52C93"/>
    <w:rsid w:val="00B73BBF"/>
    <w:rsid w:val="00B74508"/>
    <w:rsid w:val="00B80231"/>
    <w:rsid w:val="00B91AA7"/>
    <w:rsid w:val="00B92F74"/>
    <w:rsid w:val="00B96D57"/>
    <w:rsid w:val="00BA40C3"/>
    <w:rsid w:val="00BC1D64"/>
    <w:rsid w:val="00BD0C29"/>
    <w:rsid w:val="00BD2EAF"/>
    <w:rsid w:val="00BD3442"/>
    <w:rsid w:val="00BE0F4D"/>
    <w:rsid w:val="00C04513"/>
    <w:rsid w:val="00C11B98"/>
    <w:rsid w:val="00C20038"/>
    <w:rsid w:val="00C32035"/>
    <w:rsid w:val="00C32AC7"/>
    <w:rsid w:val="00C406C7"/>
    <w:rsid w:val="00C46472"/>
    <w:rsid w:val="00C65F5D"/>
    <w:rsid w:val="00C7085A"/>
    <w:rsid w:val="00C85261"/>
    <w:rsid w:val="00C94DD3"/>
    <w:rsid w:val="00CA2A55"/>
    <w:rsid w:val="00CA57C1"/>
    <w:rsid w:val="00CB2F5E"/>
    <w:rsid w:val="00CB6337"/>
    <w:rsid w:val="00CB6D26"/>
    <w:rsid w:val="00CC0A0B"/>
    <w:rsid w:val="00CC163F"/>
    <w:rsid w:val="00CD637C"/>
    <w:rsid w:val="00CE6279"/>
    <w:rsid w:val="00CF7B47"/>
    <w:rsid w:val="00D00722"/>
    <w:rsid w:val="00D278CD"/>
    <w:rsid w:val="00D33EAB"/>
    <w:rsid w:val="00D60162"/>
    <w:rsid w:val="00D74371"/>
    <w:rsid w:val="00D82290"/>
    <w:rsid w:val="00D84E2F"/>
    <w:rsid w:val="00D8779B"/>
    <w:rsid w:val="00D93E92"/>
    <w:rsid w:val="00D968DA"/>
    <w:rsid w:val="00DE3F2C"/>
    <w:rsid w:val="00DE775B"/>
    <w:rsid w:val="00DF7912"/>
    <w:rsid w:val="00E01420"/>
    <w:rsid w:val="00E03A2F"/>
    <w:rsid w:val="00E03ED3"/>
    <w:rsid w:val="00E05032"/>
    <w:rsid w:val="00E23F22"/>
    <w:rsid w:val="00E27FCA"/>
    <w:rsid w:val="00E606A5"/>
    <w:rsid w:val="00E805EA"/>
    <w:rsid w:val="00EA02FE"/>
    <w:rsid w:val="00EB67FD"/>
    <w:rsid w:val="00EC22E8"/>
    <w:rsid w:val="00EC6E42"/>
    <w:rsid w:val="00ED1694"/>
    <w:rsid w:val="00EE14FD"/>
    <w:rsid w:val="00F04889"/>
    <w:rsid w:val="00F22CFC"/>
    <w:rsid w:val="00F25699"/>
    <w:rsid w:val="00F336D8"/>
    <w:rsid w:val="00F33E44"/>
    <w:rsid w:val="00F503EC"/>
    <w:rsid w:val="00F641C6"/>
    <w:rsid w:val="00F70895"/>
    <w:rsid w:val="00F7674B"/>
    <w:rsid w:val="00FA47EE"/>
    <w:rsid w:val="00FA627B"/>
    <w:rsid w:val="00FA7AB9"/>
    <w:rsid w:val="00FB2DEA"/>
    <w:rsid w:val="00FD5FF8"/>
    <w:rsid w:val="00FF0FDE"/>
    <w:rsid w:val="00FF5DA3"/>
    <w:rsid w:val="016043AA"/>
    <w:rsid w:val="04EB48D3"/>
    <w:rsid w:val="05C23886"/>
    <w:rsid w:val="06606BFB"/>
    <w:rsid w:val="077B7014"/>
    <w:rsid w:val="0A7F7F97"/>
    <w:rsid w:val="0B00275A"/>
    <w:rsid w:val="0C692CAD"/>
    <w:rsid w:val="0CE95B9C"/>
    <w:rsid w:val="0E613346"/>
    <w:rsid w:val="0E680D42"/>
    <w:rsid w:val="0E963B01"/>
    <w:rsid w:val="0EAF24CD"/>
    <w:rsid w:val="0F5558B9"/>
    <w:rsid w:val="0F670FFA"/>
    <w:rsid w:val="0FBF2BE4"/>
    <w:rsid w:val="0FD06B9F"/>
    <w:rsid w:val="0FF24C39"/>
    <w:rsid w:val="10A818CA"/>
    <w:rsid w:val="11BF4800"/>
    <w:rsid w:val="12A61E39"/>
    <w:rsid w:val="12BE53D5"/>
    <w:rsid w:val="14681A9C"/>
    <w:rsid w:val="170D06D9"/>
    <w:rsid w:val="172F5937"/>
    <w:rsid w:val="195B1BCF"/>
    <w:rsid w:val="195E16BF"/>
    <w:rsid w:val="19D21766"/>
    <w:rsid w:val="1A85325A"/>
    <w:rsid w:val="1AE71241"/>
    <w:rsid w:val="1B7304F3"/>
    <w:rsid w:val="1B9A3B3B"/>
    <w:rsid w:val="1CFF2872"/>
    <w:rsid w:val="1D5B2729"/>
    <w:rsid w:val="1D6628F1"/>
    <w:rsid w:val="1E7B23CC"/>
    <w:rsid w:val="1F372797"/>
    <w:rsid w:val="20B3409F"/>
    <w:rsid w:val="22FE5379"/>
    <w:rsid w:val="253B28B5"/>
    <w:rsid w:val="27DD40F7"/>
    <w:rsid w:val="27E45486"/>
    <w:rsid w:val="280451E0"/>
    <w:rsid w:val="285E6FE6"/>
    <w:rsid w:val="2A151F86"/>
    <w:rsid w:val="2A8820F8"/>
    <w:rsid w:val="2B8C3E6A"/>
    <w:rsid w:val="2EBC0F6F"/>
    <w:rsid w:val="2EC102CF"/>
    <w:rsid w:val="30B67293"/>
    <w:rsid w:val="30F77FD8"/>
    <w:rsid w:val="317038E6"/>
    <w:rsid w:val="344C23E9"/>
    <w:rsid w:val="35327830"/>
    <w:rsid w:val="353510CF"/>
    <w:rsid w:val="357B52D9"/>
    <w:rsid w:val="35B30245"/>
    <w:rsid w:val="361433DA"/>
    <w:rsid w:val="374808CF"/>
    <w:rsid w:val="385B0680"/>
    <w:rsid w:val="39882115"/>
    <w:rsid w:val="399A1E48"/>
    <w:rsid w:val="3B251BE5"/>
    <w:rsid w:val="3B53405D"/>
    <w:rsid w:val="3D0221DE"/>
    <w:rsid w:val="3D1912D6"/>
    <w:rsid w:val="3D211F38"/>
    <w:rsid w:val="3D6764E5"/>
    <w:rsid w:val="3E0E070F"/>
    <w:rsid w:val="3F3146B5"/>
    <w:rsid w:val="3F67457A"/>
    <w:rsid w:val="409D5D7A"/>
    <w:rsid w:val="43D441A9"/>
    <w:rsid w:val="43FA3C0F"/>
    <w:rsid w:val="460C5E7C"/>
    <w:rsid w:val="47855EE6"/>
    <w:rsid w:val="47E0311C"/>
    <w:rsid w:val="49492F43"/>
    <w:rsid w:val="49865F45"/>
    <w:rsid w:val="499A4FEB"/>
    <w:rsid w:val="4A8906C8"/>
    <w:rsid w:val="4AC05565"/>
    <w:rsid w:val="4DBE3EFF"/>
    <w:rsid w:val="4DC96400"/>
    <w:rsid w:val="4E740A62"/>
    <w:rsid w:val="4F624D5E"/>
    <w:rsid w:val="52232583"/>
    <w:rsid w:val="52CA50F4"/>
    <w:rsid w:val="52ED493F"/>
    <w:rsid w:val="52F65EE9"/>
    <w:rsid w:val="53530C46"/>
    <w:rsid w:val="5537796E"/>
    <w:rsid w:val="55771945"/>
    <w:rsid w:val="559D089E"/>
    <w:rsid w:val="55A7171D"/>
    <w:rsid w:val="57C71C02"/>
    <w:rsid w:val="58B852E0"/>
    <w:rsid w:val="58E91AD1"/>
    <w:rsid w:val="58FC1D80"/>
    <w:rsid w:val="598002BB"/>
    <w:rsid w:val="59837DAB"/>
    <w:rsid w:val="5A9304C2"/>
    <w:rsid w:val="5B4672E2"/>
    <w:rsid w:val="5B6E4D7E"/>
    <w:rsid w:val="5CCE3A33"/>
    <w:rsid w:val="5D1F428F"/>
    <w:rsid w:val="5D485594"/>
    <w:rsid w:val="5D7D1BD7"/>
    <w:rsid w:val="604007A4"/>
    <w:rsid w:val="60624BBE"/>
    <w:rsid w:val="606F4BE5"/>
    <w:rsid w:val="657D7DA4"/>
    <w:rsid w:val="65C634F9"/>
    <w:rsid w:val="663012BB"/>
    <w:rsid w:val="66DD5AE1"/>
    <w:rsid w:val="67C928ED"/>
    <w:rsid w:val="68B13F4D"/>
    <w:rsid w:val="69424F49"/>
    <w:rsid w:val="69C53AC8"/>
    <w:rsid w:val="6AD85B88"/>
    <w:rsid w:val="6B106FC5"/>
    <w:rsid w:val="6B480E55"/>
    <w:rsid w:val="6BCF6E80"/>
    <w:rsid w:val="6C1256EA"/>
    <w:rsid w:val="6E2C680B"/>
    <w:rsid w:val="6E34121C"/>
    <w:rsid w:val="6E535B46"/>
    <w:rsid w:val="6EE3511C"/>
    <w:rsid w:val="70DC0075"/>
    <w:rsid w:val="70E15585"/>
    <w:rsid w:val="721D0945"/>
    <w:rsid w:val="72987FCC"/>
    <w:rsid w:val="72DA4A88"/>
    <w:rsid w:val="72F47CCD"/>
    <w:rsid w:val="74D3178F"/>
    <w:rsid w:val="7548217D"/>
    <w:rsid w:val="759C6025"/>
    <w:rsid w:val="75A629FF"/>
    <w:rsid w:val="77860D3A"/>
    <w:rsid w:val="77AE3DED"/>
    <w:rsid w:val="78686692"/>
    <w:rsid w:val="78A51694"/>
    <w:rsid w:val="796E49AC"/>
    <w:rsid w:val="7AB303D7"/>
    <w:rsid w:val="7B1D7C08"/>
    <w:rsid w:val="7C142DB9"/>
    <w:rsid w:val="7ED67DBD"/>
    <w:rsid w:val="7F394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CEC5AD1"/>
  <w15:chartTrackingRefBased/>
  <w15:docId w15:val="{A877F2B5-5F3C-473E-A15E-DC889A629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character" w:customStyle="1" w:styleId="a4">
    <w:name w:val="批注文字 字符"/>
    <w:link w:val="a3"/>
    <w:semiHidden/>
    <w:rPr>
      <w:sz w:val="24"/>
      <w:szCs w:val="24"/>
    </w:rPr>
  </w:style>
  <w:style w:type="paragraph" w:styleId="a5">
    <w:name w:val="Balloon Text"/>
    <w:basedOn w:val="a"/>
    <w:link w:val="a6"/>
    <w:rPr>
      <w:sz w:val="18"/>
      <w:szCs w:val="18"/>
    </w:rPr>
  </w:style>
  <w:style w:type="character" w:customStyle="1" w:styleId="a6">
    <w:name w:val="批注框文本 字符"/>
    <w:link w:val="a5"/>
    <w:rPr>
      <w:rFonts w:eastAsia="宋体"/>
      <w:sz w:val="18"/>
      <w:szCs w:val="18"/>
      <w:lang w:eastAsia="en-US"/>
    </w:rPr>
  </w:style>
  <w:style w:type="paragraph" w:styleId="a7">
    <w:name w:val="footer"/>
    <w:basedOn w:val="a"/>
    <w:link w:val="a8"/>
    <w:uiPriority w:val="99"/>
    <w:unhideWhenUsed/>
    <w:qFormat/>
    <w:pPr>
      <w:tabs>
        <w:tab w:val="center" w:pos="4153"/>
        <w:tab w:val="right" w:pos="8306"/>
      </w:tabs>
      <w:snapToGrid w:val="0"/>
    </w:pPr>
    <w:rPr>
      <w:sz w:val="18"/>
      <w:szCs w:val="18"/>
    </w:rPr>
  </w:style>
  <w:style w:type="character" w:customStyle="1" w:styleId="a8">
    <w:name w:val="页脚 字符"/>
    <w:link w:val="a7"/>
    <w:uiPriority w:val="99"/>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rPr>
      <w:sz w:val="18"/>
      <w:szCs w:val="18"/>
    </w:rPr>
  </w:style>
  <w:style w:type="paragraph" w:styleId="ab">
    <w:name w:val="annotation subject"/>
    <w:basedOn w:val="a3"/>
    <w:next w:val="a3"/>
    <w:link w:val="ac"/>
    <w:unhideWhenUsed/>
    <w:rPr>
      <w:b/>
      <w:bCs/>
    </w:rPr>
  </w:style>
  <w:style w:type="character" w:customStyle="1" w:styleId="ac">
    <w:name w:val="批注主题 字符"/>
    <w:link w:val="ab"/>
    <w:semiHidden/>
    <w:qFormat/>
    <w:rPr>
      <w:b/>
      <w:bCs/>
      <w:sz w:val="24"/>
      <w:szCs w:val="24"/>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Pr>
      <w:sz w:val="21"/>
      <w:szCs w:val="21"/>
    </w:rPr>
  </w:style>
  <w:style w:type="paragraph" w:customStyle="1" w:styleId="1">
    <w:name w:val="修订1"/>
    <w:uiPriority w:val="99"/>
    <w:semiHidden/>
    <w:qFormat/>
    <w:rPr>
      <w:sz w:val="24"/>
      <w:szCs w:val="24"/>
      <w:lang w:eastAsia="en-US"/>
    </w:rPr>
  </w:style>
  <w:style w:type="paragraph" w:customStyle="1" w:styleId="2">
    <w:name w:val="修订2"/>
    <w:uiPriority w:val="99"/>
    <w:semiHidden/>
    <w:rPr>
      <w:sz w:val="24"/>
      <w:szCs w:val="24"/>
      <w:lang w:eastAsia="en-US"/>
    </w:rPr>
  </w:style>
  <w:style w:type="paragraph" w:customStyle="1" w:styleId="3">
    <w:name w:val="修订3"/>
    <w:uiPriority w:val="99"/>
    <w:semiHidden/>
    <w:rPr>
      <w:sz w:val="24"/>
      <w:szCs w:val="24"/>
      <w:lang w:eastAsia="en-US"/>
    </w:rPr>
  </w:style>
  <w:style w:type="paragraph" w:styleId="af">
    <w:name w:val="Revision"/>
    <w:uiPriority w:val="99"/>
    <w:semiHidden/>
    <w:rPr>
      <w:sz w:val="24"/>
      <w:szCs w:val="24"/>
      <w:lang w:eastAsia="en-US"/>
    </w:rPr>
  </w:style>
  <w:style w:type="character" w:styleId="af0">
    <w:name w:val="Hyperlink"/>
    <w:basedOn w:val="a0"/>
    <w:unhideWhenUsed/>
    <w:rsid w:val="00D74371"/>
    <w:rPr>
      <w:color w:val="0563C1" w:themeColor="hyperlink"/>
      <w:u w:val="single"/>
    </w:rPr>
  </w:style>
  <w:style w:type="character" w:styleId="af1">
    <w:name w:val="Unresolved Mention"/>
    <w:basedOn w:val="a0"/>
    <w:uiPriority w:val="99"/>
    <w:semiHidden/>
    <w:unhideWhenUsed/>
    <w:rsid w:val="00D74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62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41</Pages>
  <Words>10952</Words>
  <Characters>62432</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10185</dc:creator>
  <cp:keywords/>
  <cp:lastModifiedBy>M18955</cp:lastModifiedBy>
  <cp:revision>13</cp:revision>
  <dcterms:created xsi:type="dcterms:W3CDTF">2023-05-12T08:45:00Z</dcterms:created>
  <dcterms:modified xsi:type="dcterms:W3CDTF">2023-06-19T03:41:00Z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58095E95F32949309337ECED0CD0E77B_13</vt:lpwstr>
  </property>
</Properties>
</file>