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B993"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rPr>
        <w:t xml:space="preserve">Name of Journal: </w:t>
      </w:r>
      <w:r w:rsidRPr="00D4328A">
        <w:rPr>
          <w:rFonts w:ascii="Book Antiqua" w:eastAsia="Book Antiqua" w:hAnsi="Book Antiqua" w:cs="Book Antiqua"/>
          <w:i/>
        </w:rPr>
        <w:t>World Journal of Gastroenterology</w:t>
      </w:r>
    </w:p>
    <w:p w14:paraId="39BA2FB8"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rPr>
        <w:t xml:space="preserve">Manuscript NO: </w:t>
      </w:r>
      <w:r w:rsidRPr="00D4328A">
        <w:rPr>
          <w:rFonts w:ascii="Book Antiqua" w:eastAsia="Book Antiqua" w:hAnsi="Book Antiqua" w:cs="Book Antiqua"/>
        </w:rPr>
        <w:t>82919</w:t>
      </w:r>
    </w:p>
    <w:p w14:paraId="36C56E3A"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rPr>
        <w:t xml:space="preserve">Manuscript Type: </w:t>
      </w:r>
      <w:r w:rsidRPr="00D4328A">
        <w:rPr>
          <w:rFonts w:ascii="Book Antiqua" w:eastAsia="Book Antiqua" w:hAnsi="Book Antiqua" w:cs="Book Antiqua"/>
        </w:rPr>
        <w:t>META-ANALYSIS</w:t>
      </w:r>
    </w:p>
    <w:p w14:paraId="4F226C61" w14:textId="77777777" w:rsidR="00A77B3E" w:rsidRPr="00D4328A" w:rsidRDefault="00A77B3E" w:rsidP="006D1FC3">
      <w:pPr>
        <w:spacing w:line="360" w:lineRule="auto"/>
        <w:jc w:val="both"/>
        <w:rPr>
          <w:rFonts w:ascii="Book Antiqua" w:hAnsi="Book Antiqua"/>
        </w:rPr>
      </w:pPr>
    </w:p>
    <w:p w14:paraId="76A49FC0" w14:textId="4751FF3D"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Association of non-alcoholic fatty liver and metabolic-associated fatty liver with COVID-19 </w:t>
      </w:r>
      <w:r w:rsidR="009168A8" w:rsidRPr="00D4328A">
        <w:rPr>
          <w:rFonts w:ascii="Book Antiqua" w:eastAsia="Book Antiqua" w:hAnsi="Book Antiqua" w:cs="Book Antiqua"/>
          <w:b/>
          <w:bCs/>
          <w:color w:val="000000"/>
        </w:rPr>
        <w:t>o</w:t>
      </w:r>
      <w:r w:rsidRPr="00D4328A">
        <w:rPr>
          <w:rFonts w:ascii="Book Antiqua" w:eastAsia="Book Antiqua" w:hAnsi="Book Antiqua" w:cs="Book Antiqua"/>
          <w:b/>
          <w:bCs/>
          <w:color w:val="000000"/>
        </w:rPr>
        <w:t>utcomes: A systematic review and meta-analysis</w:t>
      </w:r>
    </w:p>
    <w:p w14:paraId="249172C7" w14:textId="77777777" w:rsidR="00A77B3E" w:rsidRPr="00D4328A" w:rsidRDefault="00A77B3E" w:rsidP="006D1FC3">
      <w:pPr>
        <w:spacing w:line="360" w:lineRule="auto"/>
        <w:jc w:val="both"/>
        <w:rPr>
          <w:rFonts w:ascii="Book Antiqua" w:hAnsi="Book Antiqua"/>
        </w:rPr>
      </w:pPr>
    </w:p>
    <w:p w14:paraId="7AECF0AA" w14:textId="0C01C6BE" w:rsidR="00A77B3E" w:rsidRPr="00D4328A" w:rsidRDefault="009168A8" w:rsidP="006D1FC3">
      <w:pPr>
        <w:spacing w:line="360" w:lineRule="auto"/>
        <w:jc w:val="both"/>
        <w:rPr>
          <w:rFonts w:ascii="Book Antiqua" w:hAnsi="Book Antiqua"/>
        </w:rPr>
      </w:pPr>
      <w:r w:rsidRPr="00D4328A">
        <w:rPr>
          <w:rFonts w:ascii="Book Antiqua" w:eastAsia="Book Antiqua" w:hAnsi="Book Antiqua" w:cs="Book Antiqua"/>
          <w:color w:val="000000"/>
        </w:rPr>
        <w:t xml:space="preserve">Jagirdhar GSK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rPr>
        <w:t>. NAFLD and COVID-19</w:t>
      </w:r>
    </w:p>
    <w:p w14:paraId="6ED9A8AF" w14:textId="77777777" w:rsidR="00A77B3E" w:rsidRPr="00D4328A" w:rsidRDefault="00A77B3E" w:rsidP="006D1FC3">
      <w:pPr>
        <w:spacing w:line="360" w:lineRule="auto"/>
        <w:jc w:val="both"/>
        <w:rPr>
          <w:rFonts w:ascii="Book Antiqua" w:hAnsi="Book Antiqua"/>
        </w:rPr>
      </w:pPr>
    </w:p>
    <w:p w14:paraId="2F293664"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Gowthami Sai Kogilathota Jagirdhar, Rakhtan K Qasba, Harsha Pattnaik, Kaanthi Rama, Akshat Banga, Shiva Teja Reddy, Anna Carolina Flumignan Bucharles, Rahul Kashyap, Praveen Reddy Elmati, Vikas Bansal, Yatinder Bains, Theodore DaCosta, Salim Surani</w:t>
      </w:r>
    </w:p>
    <w:p w14:paraId="5B1854B2" w14:textId="77777777" w:rsidR="00A77B3E" w:rsidRPr="00D4328A" w:rsidRDefault="00A77B3E" w:rsidP="006D1FC3">
      <w:pPr>
        <w:spacing w:line="360" w:lineRule="auto"/>
        <w:jc w:val="both"/>
        <w:rPr>
          <w:rFonts w:ascii="Book Antiqua" w:hAnsi="Book Antiqua"/>
        </w:rPr>
      </w:pPr>
    </w:p>
    <w:p w14:paraId="4F761D9C"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Gowthami Sai Kogilathota Jagirdhar, </w:t>
      </w:r>
      <w:r w:rsidRPr="00D4328A">
        <w:rPr>
          <w:rFonts w:ascii="Book Antiqua" w:eastAsia="Book Antiqua" w:hAnsi="Book Antiqua" w:cs="Book Antiqua"/>
          <w:color w:val="000000"/>
        </w:rPr>
        <w:t>Department of Medicine, Saint Michaels Medical Center, Newark, NJ 07102, United States</w:t>
      </w:r>
    </w:p>
    <w:p w14:paraId="015AC790" w14:textId="77777777" w:rsidR="00A77B3E" w:rsidRPr="00D4328A" w:rsidRDefault="00A77B3E" w:rsidP="006D1FC3">
      <w:pPr>
        <w:spacing w:line="360" w:lineRule="auto"/>
        <w:jc w:val="both"/>
        <w:rPr>
          <w:rFonts w:ascii="Book Antiqua" w:hAnsi="Book Antiqua"/>
        </w:rPr>
      </w:pPr>
    </w:p>
    <w:p w14:paraId="12A68348"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Rakhtan K Qasba, </w:t>
      </w:r>
      <w:r w:rsidRPr="00D4328A">
        <w:rPr>
          <w:rFonts w:ascii="Book Antiqua" w:eastAsia="Book Antiqua" w:hAnsi="Book Antiqua" w:cs="Book Antiqua"/>
          <w:color w:val="000000"/>
        </w:rPr>
        <w:t>Department of Medicine, Green Life Medical College and Hospital, Dhaka 1205, Bangladesh</w:t>
      </w:r>
    </w:p>
    <w:p w14:paraId="19071BD4" w14:textId="77777777" w:rsidR="00A77B3E" w:rsidRPr="00D4328A" w:rsidRDefault="00A77B3E" w:rsidP="006D1FC3">
      <w:pPr>
        <w:spacing w:line="360" w:lineRule="auto"/>
        <w:jc w:val="both"/>
        <w:rPr>
          <w:rFonts w:ascii="Book Antiqua" w:hAnsi="Book Antiqua"/>
        </w:rPr>
      </w:pPr>
    </w:p>
    <w:p w14:paraId="40C35B9C"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Harsha Pattnaik, </w:t>
      </w:r>
      <w:r w:rsidRPr="00D4328A">
        <w:rPr>
          <w:rFonts w:ascii="Book Antiqua" w:eastAsia="Book Antiqua" w:hAnsi="Book Antiqua" w:cs="Book Antiqua"/>
          <w:color w:val="000000"/>
        </w:rPr>
        <w:t>Department of Medicine, Lady Hardinge Medical College, New Delhi 110001, India</w:t>
      </w:r>
    </w:p>
    <w:p w14:paraId="219E4BB9" w14:textId="77777777" w:rsidR="00A77B3E" w:rsidRPr="00D4328A" w:rsidRDefault="00A77B3E" w:rsidP="006D1FC3">
      <w:pPr>
        <w:spacing w:line="360" w:lineRule="auto"/>
        <w:jc w:val="both"/>
        <w:rPr>
          <w:rFonts w:ascii="Book Antiqua" w:hAnsi="Book Antiqua"/>
        </w:rPr>
      </w:pPr>
    </w:p>
    <w:p w14:paraId="50CBC47C"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Kaanthi Rama, Shiva Teja Reddy, </w:t>
      </w:r>
      <w:r w:rsidRPr="00D4328A">
        <w:rPr>
          <w:rFonts w:ascii="Book Antiqua" w:eastAsia="Book Antiqua" w:hAnsi="Book Antiqua" w:cs="Book Antiqua"/>
          <w:color w:val="000000"/>
        </w:rPr>
        <w:t>Department of Medicine, Gandhi Medical College, Telangana 500003, India</w:t>
      </w:r>
    </w:p>
    <w:p w14:paraId="343D9F71" w14:textId="77777777" w:rsidR="00A77B3E" w:rsidRPr="00D4328A" w:rsidRDefault="00A77B3E" w:rsidP="006D1FC3">
      <w:pPr>
        <w:spacing w:line="360" w:lineRule="auto"/>
        <w:jc w:val="both"/>
        <w:rPr>
          <w:rFonts w:ascii="Book Antiqua" w:hAnsi="Book Antiqua"/>
        </w:rPr>
      </w:pPr>
    </w:p>
    <w:p w14:paraId="3B1A761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Akshat Banga, </w:t>
      </w:r>
      <w:r w:rsidRPr="00D4328A">
        <w:rPr>
          <w:rFonts w:ascii="Book Antiqua" w:eastAsia="Book Antiqua" w:hAnsi="Book Antiqua" w:cs="Book Antiqua"/>
          <w:color w:val="000000"/>
        </w:rPr>
        <w:t>Department of Medicine, Sawai Man Singh Medical College, Jaipur 302004, Rajistan, India</w:t>
      </w:r>
    </w:p>
    <w:p w14:paraId="01310123" w14:textId="77777777" w:rsidR="00A77B3E" w:rsidRPr="00D4328A" w:rsidRDefault="00A77B3E" w:rsidP="006D1FC3">
      <w:pPr>
        <w:spacing w:line="360" w:lineRule="auto"/>
        <w:jc w:val="both"/>
        <w:rPr>
          <w:rFonts w:ascii="Book Antiqua" w:hAnsi="Book Antiqua"/>
        </w:rPr>
      </w:pPr>
    </w:p>
    <w:p w14:paraId="500558B5"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Anna Carolina Flumignan Bucharles, </w:t>
      </w:r>
      <w:r w:rsidRPr="00D4328A">
        <w:rPr>
          <w:rFonts w:ascii="Book Antiqua" w:eastAsia="Book Antiqua" w:hAnsi="Book Antiqua" w:cs="Book Antiqua"/>
          <w:color w:val="000000"/>
        </w:rPr>
        <w:t>Department of Medicine, Universidade Positivo, Curitiba 81290-000, PR, Brazil</w:t>
      </w:r>
    </w:p>
    <w:p w14:paraId="54F47AEC"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lastRenderedPageBreak/>
        <w:t xml:space="preserve">Rahul Kashyap, </w:t>
      </w:r>
      <w:r w:rsidRPr="00D4328A">
        <w:rPr>
          <w:rFonts w:ascii="Book Antiqua" w:eastAsia="Book Antiqua" w:hAnsi="Book Antiqua" w:cs="Book Antiqua"/>
          <w:color w:val="000000"/>
        </w:rPr>
        <w:t>Research, WellSpan Health, York, PA 17403, United States</w:t>
      </w:r>
    </w:p>
    <w:p w14:paraId="421CA599" w14:textId="77777777" w:rsidR="00A77B3E" w:rsidRPr="00D4328A" w:rsidRDefault="00A77B3E" w:rsidP="006D1FC3">
      <w:pPr>
        <w:spacing w:line="360" w:lineRule="auto"/>
        <w:jc w:val="both"/>
        <w:rPr>
          <w:rFonts w:ascii="Book Antiqua" w:hAnsi="Book Antiqua"/>
        </w:rPr>
      </w:pPr>
    </w:p>
    <w:p w14:paraId="6009ADB4"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Praveen Reddy Elmati, </w:t>
      </w:r>
      <w:r w:rsidRPr="00D4328A">
        <w:rPr>
          <w:rFonts w:ascii="Book Antiqua" w:eastAsia="Book Antiqua" w:hAnsi="Book Antiqua" w:cs="Book Antiqua"/>
          <w:color w:val="000000"/>
        </w:rPr>
        <w:t>Department of Interventional Pain Medicine, University of Louisville, Louisville, KY 40292, United States</w:t>
      </w:r>
    </w:p>
    <w:p w14:paraId="6E59CB66" w14:textId="77777777" w:rsidR="00A77B3E" w:rsidRPr="00D4328A" w:rsidRDefault="00A77B3E" w:rsidP="006D1FC3">
      <w:pPr>
        <w:spacing w:line="360" w:lineRule="auto"/>
        <w:jc w:val="both"/>
        <w:rPr>
          <w:rFonts w:ascii="Book Antiqua" w:hAnsi="Book Antiqua"/>
        </w:rPr>
      </w:pPr>
    </w:p>
    <w:p w14:paraId="05DCEF4F"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Vikas Bansal, </w:t>
      </w:r>
      <w:r w:rsidRPr="00D4328A">
        <w:rPr>
          <w:rFonts w:ascii="Book Antiqua" w:eastAsia="Book Antiqua" w:hAnsi="Book Antiqua" w:cs="Book Antiqua"/>
          <w:color w:val="000000"/>
        </w:rPr>
        <w:t>Department of Internal Medicine, Mayo Clinic, Rochester, MN 55902, United States</w:t>
      </w:r>
    </w:p>
    <w:p w14:paraId="07D568DE" w14:textId="77777777" w:rsidR="00A77B3E" w:rsidRPr="00D4328A" w:rsidRDefault="00A77B3E" w:rsidP="006D1FC3">
      <w:pPr>
        <w:spacing w:line="360" w:lineRule="auto"/>
        <w:jc w:val="both"/>
        <w:rPr>
          <w:rFonts w:ascii="Book Antiqua" w:hAnsi="Book Antiqua"/>
        </w:rPr>
      </w:pPr>
    </w:p>
    <w:p w14:paraId="2124C4D9"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Yatinder Bains, Theodore DaCosta, </w:t>
      </w:r>
      <w:r w:rsidRPr="00D4328A">
        <w:rPr>
          <w:rFonts w:ascii="Book Antiqua" w:eastAsia="Book Antiqua" w:hAnsi="Book Antiqua" w:cs="Book Antiqua"/>
          <w:color w:val="000000"/>
        </w:rPr>
        <w:t>Department of Gastroenterology, Saint Michaels Medical Center, Newark, NJ 07102, United States</w:t>
      </w:r>
    </w:p>
    <w:p w14:paraId="1AA07527" w14:textId="77777777" w:rsidR="00A77B3E" w:rsidRPr="00D4328A" w:rsidRDefault="00A77B3E" w:rsidP="006D1FC3">
      <w:pPr>
        <w:spacing w:line="360" w:lineRule="auto"/>
        <w:jc w:val="both"/>
        <w:rPr>
          <w:rFonts w:ascii="Book Antiqua" w:hAnsi="Book Antiqua"/>
        </w:rPr>
      </w:pPr>
    </w:p>
    <w:p w14:paraId="18BB151D"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Salim Surani, </w:t>
      </w:r>
      <w:r w:rsidRPr="00D4328A">
        <w:rPr>
          <w:rFonts w:ascii="Book Antiqua" w:eastAsia="Book Antiqua" w:hAnsi="Book Antiqua" w:cs="Book Antiqua"/>
          <w:color w:val="000000"/>
        </w:rPr>
        <w:t>Department of Medicine, Texas A&amp;M University, College Station, TX 77843, United States</w:t>
      </w:r>
    </w:p>
    <w:p w14:paraId="5C25B8FF" w14:textId="77777777" w:rsidR="00A77B3E" w:rsidRPr="00D4328A" w:rsidRDefault="00A77B3E" w:rsidP="006D1FC3">
      <w:pPr>
        <w:spacing w:line="360" w:lineRule="auto"/>
        <w:jc w:val="both"/>
        <w:rPr>
          <w:rFonts w:ascii="Book Antiqua" w:hAnsi="Book Antiqua"/>
        </w:rPr>
      </w:pPr>
    </w:p>
    <w:p w14:paraId="2E370912" w14:textId="644BADCD"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Author contributions: </w:t>
      </w:r>
      <w:r w:rsidRPr="00D4328A">
        <w:rPr>
          <w:rFonts w:ascii="Book Antiqua" w:eastAsia="Book Antiqua" w:hAnsi="Book Antiqua" w:cs="Book Antiqua"/>
          <w:color w:val="000000"/>
        </w:rPr>
        <w:t xml:space="preserve">Jagirdhar GSK conceived and designed the study; Jagirdhar GSK, Qasba RK, Rama K, Banga A, Reddy ST, and Flumignan Bucharles AC included studies and data extraction; Jagirdhar GSK, Qasba RK, Pattnaik H, Rama K, Banga A, Elmati PR, and Bansal V contributed to the data processing; Jagirdhar GSK, Qasba RK, Pattnaik H, Rama K, Banga A, Reddy ST, Flumignan Bucharles AC, Kashyap R, Elmati PR, Bansal V, Bains Y, and DaCosta T </w:t>
      </w:r>
      <w:r w:rsidR="00BF6BDE" w:rsidRPr="00D4328A">
        <w:rPr>
          <w:rFonts w:ascii="Book Antiqua" w:eastAsia="Book Antiqua" w:hAnsi="Book Antiqua" w:cs="Book Antiqua"/>
          <w:color w:val="000000"/>
        </w:rPr>
        <w:t>wrote</w:t>
      </w:r>
      <w:r w:rsidRPr="00D4328A">
        <w:rPr>
          <w:rFonts w:ascii="Book Antiqua" w:eastAsia="Book Antiqua" w:hAnsi="Book Antiqua" w:cs="Book Antiqua"/>
          <w:color w:val="000000"/>
        </w:rPr>
        <w:t xml:space="preserve"> the original manuscript; Jagirdhar GSK, Kashyap R, Bains Y, DaCosta T, and Surani S revised the paper and approved the final version.</w:t>
      </w:r>
    </w:p>
    <w:p w14:paraId="1063C9BD" w14:textId="77777777" w:rsidR="00A77B3E" w:rsidRPr="00D4328A" w:rsidRDefault="00A77B3E" w:rsidP="006D1FC3">
      <w:pPr>
        <w:spacing w:line="360" w:lineRule="auto"/>
        <w:jc w:val="both"/>
        <w:rPr>
          <w:rFonts w:ascii="Book Antiqua" w:hAnsi="Book Antiqua"/>
        </w:rPr>
      </w:pPr>
    </w:p>
    <w:p w14:paraId="5F3F151A"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Corresponding author: Salim Surani, FCCP, MD, MHSc, Professor, </w:t>
      </w:r>
      <w:r w:rsidRPr="00D4328A">
        <w:rPr>
          <w:rFonts w:ascii="Book Antiqua" w:eastAsia="Book Antiqua" w:hAnsi="Book Antiqua" w:cs="Book Antiqua"/>
          <w:color w:val="000000"/>
        </w:rPr>
        <w:t>Department of Medicine, Texas A&amp;M University, Administration Building, 400 Bizzell St, College Station, TX 77843, United States. srsurani@hotmail.com</w:t>
      </w:r>
    </w:p>
    <w:p w14:paraId="12195E31" w14:textId="77777777" w:rsidR="00A77B3E" w:rsidRPr="00D4328A" w:rsidRDefault="00A77B3E" w:rsidP="006D1FC3">
      <w:pPr>
        <w:spacing w:line="360" w:lineRule="auto"/>
        <w:jc w:val="both"/>
        <w:rPr>
          <w:rFonts w:ascii="Book Antiqua" w:hAnsi="Book Antiqua"/>
        </w:rPr>
      </w:pPr>
    </w:p>
    <w:p w14:paraId="723F25CF"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Received: </w:t>
      </w:r>
      <w:r w:rsidRPr="00D4328A">
        <w:rPr>
          <w:rFonts w:ascii="Book Antiqua" w:eastAsia="Book Antiqua" w:hAnsi="Book Antiqua" w:cs="Book Antiqua"/>
        </w:rPr>
        <w:t>December 29, 2022</w:t>
      </w:r>
    </w:p>
    <w:p w14:paraId="7B9A7640"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Revised: </w:t>
      </w:r>
      <w:r w:rsidRPr="00D4328A">
        <w:rPr>
          <w:rFonts w:ascii="Book Antiqua" w:eastAsia="Book Antiqua" w:hAnsi="Book Antiqua" w:cs="Book Antiqua"/>
        </w:rPr>
        <w:t>February 25, 2023</w:t>
      </w:r>
    </w:p>
    <w:p w14:paraId="6FB75F6C" w14:textId="2688906A"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Accepted: </w:t>
      </w:r>
      <w:r w:rsidR="001A2B5E" w:rsidRPr="0009446C">
        <w:rPr>
          <w:rFonts w:ascii="Book Antiqua" w:eastAsia="Book Antiqua" w:hAnsi="Book Antiqua" w:cs="Book Antiqua"/>
        </w:rPr>
        <w:t>April 28, 2023</w:t>
      </w:r>
    </w:p>
    <w:p w14:paraId="68D49AE8"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Published online: </w:t>
      </w:r>
    </w:p>
    <w:p w14:paraId="3BC65504" w14:textId="054E050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lastRenderedPageBreak/>
        <w:t>Abstract</w:t>
      </w:r>
    </w:p>
    <w:p w14:paraId="42B84203"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BACKGROUND</w:t>
      </w:r>
    </w:p>
    <w:p w14:paraId="31C9327A" w14:textId="3F916DEB" w:rsidR="00A77B3E" w:rsidRPr="00D4328A" w:rsidRDefault="00000000" w:rsidP="006D1FC3">
      <w:pPr>
        <w:spacing w:line="360" w:lineRule="auto"/>
        <w:jc w:val="both"/>
        <w:rPr>
          <w:rFonts w:ascii="Book Antiqua" w:hAnsi="Book Antiqua"/>
        </w:rPr>
      </w:pPr>
      <w:bookmarkStart w:id="0" w:name="_Hlk133495988"/>
      <w:r w:rsidRPr="00D4328A">
        <w:rPr>
          <w:rFonts w:ascii="Book Antiqua" w:eastAsia="Book Antiqua" w:hAnsi="Book Antiqua" w:cs="Book Antiqua"/>
        </w:rPr>
        <w:t>Non-alcoholic fatty liver disease</w:t>
      </w:r>
      <w:bookmarkEnd w:id="0"/>
      <w:r w:rsidRPr="00D4328A">
        <w:rPr>
          <w:rFonts w:ascii="Book Antiqua" w:eastAsia="Book Antiqua" w:hAnsi="Book Antiqua" w:cs="Book Antiqua"/>
        </w:rPr>
        <w:t xml:space="preserve"> (NAFLD) and </w:t>
      </w:r>
      <w:r w:rsidR="00E97B3C" w:rsidRPr="00D4328A">
        <w:rPr>
          <w:rFonts w:ascii="Book Antiqua" w:eastAsia="Book Antiqua" w:hAnsi="Book Antiqua" w:cs="Book Antiqua"/>
        </w:rPr>
        <w:t>m</w:t>
      </w:r>
      <w:r w:rsidRPr="00D4328A">
        <w:rPr>
          <w:rFonts w:ascii="Book Antiqua" w:eastAsia="Book Antiqua" w:hAnsi="Book Antiqua" w:cs="Book Antiqua"/>
        </w:rPr>
        <w:t>etabolic</w:t>
      </w:r>
      <w:r w:rsidR="00D4328A">
        <w:rPr>
          <w:rFonts w:ascii="Book Antiqua" w:eastAsia="Book Antiqua" w:hAnsi="Book Antiqua" w:cs="Book Antiqua"/>
        </w:rPr>
        <w:t>-</w:t>
      </w:r>
      <w:r w:rsidRPr="00D4328A">
        <w:rPr>
          <w:rFonts w:ascii="Book Antiqua" w:eastAsia="Book Antiqua" w:hAnsi="Book Antiqua" w:cs="Book Antiqua"/>
        </w:rPr>
        <w:t xml:space="preserve">associated fatty liver disease (MAFLD) are on </w:t>
      </w:r>
      <w:r w:rsidR="00D4328A">
        <w:rPr>
          <w:rFonts w:ascii="Book Antiqua" w:eastAsia="Book Antiqua" w:hAnsi="Book Antiqua" w:cs="Book Antiqua"/>
        </w:rPr>
        <w:t xml:space="preserve">the </w:t>
      </w:r>
      <w:r w:rsidRPr="00D4328A">
        <w:rPr>
          <w:rFonts w:ascii="Book Antiqua" w:eastAsia="Book Antiqua" w:hAnsi="Book Antiqua" w:cs="Book Antiqua"/>
        </w:rPr>
        <w:t>rise like any other liver disease</w:t>
      </w:r>
      <w:r w:rsidR="00D4328A">
        <w:rPr>
          <w:rFonts w:ascii="Book Antiqua" w:eastAsia="Book Antiqua" w:hAnsi="Book Antiqua" w:cs="Book Antiqua"/>
        </w:rPr>
        <w:t>,</w:t>
      </w:r>
      <w:r w:rsidRPr="00D4328A">
        <w:rPr>
          <w:rFonts w:ascii="Book Antiqua" w:eastAsia="Book Antiqua" w:hAnsi="Book Antiqua" w:cs="Book Antiqua"/>
        </w:rPr>
        <w:t xml:space="preserve"> and tend to affect 25% of the U</w:t>
      </w:r>
      <w:r w:rsidR="00D4328A">
        <w:rPr>
          <w:rFonts w:ascii="Book Antiqua" w:eastAsia="Book Antiqua" w:hAnsi="Book Antiqua" w:cs="Book Antiqua"/>
        </w:rPr>
        <w:t>nited States</w:t>
      </w:r>
      <w:r w:rsidRPr="00D4328A">
        <w:rPr>
          <w:rFonts w:ascii="Book Antiqua" w:eastAsia="Book Antiqua" w:hAnsi="Book Antiqua" w:cs="Book Antiqua"/>
        </w:rPr>
        <w:t xml:space="preserve"> population. The impact of NAFLD and MAFLD </w:t>
      </w:r>
      <w:r w:rsidR="008655BA">
        <w:rPr>
          <w:rFonts w:ascii="Book Antiqua" w:eastAsia="Book Antiqua" w:hAnsi="Book Antiqua" w:cs="Book Antiqua"/>
        </w:rPr>
        <w:t>on</w:t>
      </w:r>
      <w:r w:rsidR="008655BA" w:rsidRPr="00D4328A">
        <w:rPr>
          <w:rFonts w:ascii="Book Antiqua" w:eastAsia="Book Antiqua" w:hAnsi="Book Antiqua" w:cs="Book Antiqua"/>
        </w:rPr>
        <w:t xml:space="preserve"> </w:t>
      </w:r>
      <w:r w:rsidR="00F85038">
        <w:rPr>
          <w:rFonts w:ascii="Book Antiqua" w:eastAsia="Book Antiqua" w:hAnsi="Book Antiqua" w:cs="Book Antiqua"/>
        </w:rPr>
        <w:t xml:space="preserve">patients with </w:t>
      </w:r>
      <w:r w:rsidR="00E97B3C" w:rsidRPr="00D4328A">
        <w:rPr>
          <w:rFonts w:ascii="Book Antiqua" w:eastAsia="Book Antiqua" w:hAnsi="Book Antiqua" w:cs="Book Antiqua"/>
        </w:rPr>
        <w:t>coronavirus disease 2019 (COVID-19)</w:t>
      </w:r>
      <w:r w:rsidRPr="00D4328A">
        <w:rPr>
          <w:rFonts w:ascii="Book Antiqua" w:eastAsia="Book Antiqua" w:hAnsi="Book Antiqua" w:cs="Book Antiqua"/>
        </w:rPr>
        <w:t xml:space="preserve"> remains unclear.</w:t>
      </w:r>
    </w:p>
    <w:p w14:paraId="0EA22D71" w14:textId="77777777" w:rsidR="00A77B3E" w:rsidRPr="00D4328A" w:rsidRDefault="00A77B3E" w:rsidP="006D1FC3">
      <w:pPr>
        <w:spacing w:line="360" w:lineRule="auto"/>
        <w:jc w:val="both"/>
        <w:rPr>
          <w:rFonts w:ascii="Book Antiqua" w:hAnsi="Book Antiqua"/>
        </w:rPr>
      </w:pPr>
    </w:p>
    <w:p w14:paraId="7EB6079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AIM</w:t>
      </w:r>
    </w:p>
    <w:p w14:paraId="284E06E5" w14:textId="722E4E69"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 xml:space="preserve">To identify the </w:t>
      </w:r>
      <w:r w:rsidRPr="00D4328A">
        <w:rPr>
          <w:rFonts w:ascii="Book Antiqua" w:eastAsia="Book Antiqua" w:hAnsi="Book Antiqua" w:cs="Book Antiqua"/>
          <w:shd w:val="clear" w:color="auto" w:fill="FFFFFF"/>
        </w:rPr>
        <w:t>association</w:t>
      </w:r>
      <w:r w:rsidRPr="00D4328A">
        <w:rPr>
          <w:rFonts w:ascii="Book Antiqua" w:eastAsia="Book Antiqua" w:hAnsi="Book Antiqua" w:cs="Book Antiqua"/>
        </w:rPr>
        <w:t xml:space="preserve"> of </w:t>
      </w:r>
      <w:r w:rsidR="00FB4F2D" w:rsidRPr="00D4328A">
        <w:rPr>
          <w:rFonts w:ascii="Book Antiqua" w:eastAsia="Book Antiqua" w:hAnsi="Book Antiqua" w:cs="Book Antiqua"/>
        </w:rPr>
        <w:t>NAFLD</w:t>
      </w:r>
      <w:r w:rsidRPr="00D4328A">
        <w:rPr>
          <w:rFonts w:ascii="Book Antiqua" w:eastAsia="Book Antiqua" w:hAnsi="Book Antiqua" w:cs="Book Antiqua"/>
        </w:rPr>
        <w:t xml:space="preserve"> and </w:t>
      </w:r>
      <w:r w:rsidR="00FB4F2D" w:rsidRPr="00D4328A">
        <w:rPr>
          <w:rFonts w:ascii="Book Antiqua" w:eastAsia="Book Antiqua" w:hAnsi="Book Antiqua" w:cs="Book Antiqua"/>
        </w:rPr>
        <w:t>MAFLD</w:t>
      </w:r>
      <w:r w:rsidRPr="00D4328A">
        <w:rPr>
          <w:rFonts w:ascii="Book Antiqua" w:eastAsia="Book Antiqua" w:hAnsi="Book Antiqua" w:cs="Book Antiqua"/>
        </w:rPr>
        <w:t xml:space="preserve"> with mortality, hospitalization, hospital length of stay, and supplemental oxygen utilization in COVID-19 patients.</w:t>
      </w:r>
    </w:p>
    <w:p w14:paraId="546B4D57" w14:textId="77777777" w:rsidR="00A77B3E" w:rsidRPr="00D4328A" w:rsidRDefault="00A77B3E" w:rsidP="006D1FC3">
      <w:pPr>
        <w:spacing w:line="360" w:lineRule="auto"/>
        <w:jc w:val="both"/>
        <w:rPr>
          <w:rFonts w:ascii="Book Antiqua" w:hAnsi="Book Antiqua"/>
        </w:rPr>
      </w:pPr>
    </w:p>
    <w:p w14:paraId="3382EDC1"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METHODS</w:t>
      </w:r>
    </w:p>
    <w:p w14:paraId="40E7D536" w14:textId="372BD1A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 xml:space="preserve">A systematic review of literature on Cochrane, Embase, PubMed, ScienceDirect, and Web of Science databases was conducted from January 2019 to July 2022. Studies that evaluated NAFLD/MAFLD using laboratory methods, </w:t>
      </w:r>
      <w:r w:rsidR="00FB4F2D" w:rsidRPr="00D4328A">
        <w:rPr>
          <w:rFonts w:ascii="Book Antiqua" w:eastAsia="Book Antiqua" w:hAnsi="Book Antiqua" w:cs="Book Antiqua"/>
        </w:rPr>
        <w:t>n</w:t>
      </w:r>
      <w:r w:rsidRPr="00D4328A">
        <w:rPr>
          <w:rFonts w:ascii="Book Antiqua" w:eastAsia="Book Antiqua" w:hAnsi="Book Antiqua" w:cs="Book Antiqua"/>
        </w:rPr>
        <w:t xml:space="preserve">oninvasive imaging, or liver biopsy were included. The study protocol was registered in PROSPERO (ID CRD42022313259) and PRISMA guidelines were followed. The </w:t>
      </w:r>
      <w:r w:rsidR="006D1FC3" w:rsidRPr="00D4328A">
        <w:rPr>
          <w:rFonts w:ascii="Book Antiqua" w:eastAsia="Book Antiqua" w:hAnsi="Book Antiqua" w:cs="Book Antiqua"/>
        </w:rPr>
        <w:t>National Institutes of Health</w:t>
      </w:r>
      <w:r w:rsidRPr="00D4328A">
        <w:rPr>
          <w:rFonts w:ascii="Book Antiqua" w:eastAsia="Book Antiqua" w:hAnsi="Book Antiqua" w:cs="Book Antiqua"/>
        </w:rPr>
        <w:t xml:space="preserve"> quality assessment tool was used to assess the quality of the studies. Pooled analysis was conducted using software Rev Man version 5.3. The stability of the results was assessed using sensitivity analysis.</w:t>
      </w:r>
    </w:p>
    <w:p w14:paraId="18EB5921" w14:textId="77777777" w:rsidR="00A77B3E" w:rsidRPr="00D4328A" w:rsidRDefault="00A77B3E" w:rsidP="006D1FC3">
      <w:pPr>
        <w:spacing w:line="360" w:lineRule="auto"/>
        <w:jc w:val="both"/>
        <w:rPr>
          <w:rFonts w:ascii="Book Antiqua" w:hAnsi="Book Antiqua"/>
        </w:rPr>
      </w:pPr>
    </w:p>
    <w:p w14:paraId="17C6F8AB"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RESULTS</w:t>
      </w:r>
    </w:p>
    <w:p w14:paraId="473E7C02" w14:textId="1F58DCE8"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Thirty-two studies with 43388 patients were included in the meta-analysis of wh</w:t>
      </w:r>
      <w:r w:rsidR="00D80F91">
        <w:rPr>
          <w:rFonts w:ascii="Book Antiqua" w:eastAsia="Book Antiqua" w:hAnsi="Book Antiqua" w:cs="Book Antiqua"/>
        </w:rPr>
        <w:t>om</w:t>
      </w:r>
      <w:r w:rsidRPr="00D4328A">
        <w:rPr>
          <w:rFonts w:ascii="Book Antiqua" w:eastAsia="Book Antiqua" w:hAnsi="Book Antiqua" w:cs="Book Antiqua"/>
        </w:rPr>
        <w:t xml:space="preserve"> 8538 (20%) patients were observed to have NAFLD. There were 42254 patients from </w:t>
      </w:r>
      <w:r w:rsidR="00D80F91">
        <w:rPr>
          <w:rFonts w:ascii="Book Antiqua" w:eastAsia="Book Antiqua" w:hAnsi="Book Antiqua" w:cs="Book Antiqua"/>
        </w:rPr>
        <w:t>28</w:t>
      </w:r>
      <w:r w:rsidRPr="00D4328A">
        <w:rPr>
          <w:rFonts w:ascii="Book Antiqua" w:eastAsia="Book Antiqua" w:hAnsi="Book Antiqua" w:cs="Book Antiqua"/>
        </w:rPr>
        <w:t xml:space="preserve"> studies included in the mortality analysis. A total of 2008 patients died from COVID-19; 837 (10.52%) in the NAFLD group and 1171 (3.41%) in the non-NAFLD group. The odds ratio</w:t>
      </w:r>
      <w:r w:rsidR="00AF5025">
        <w:rPr>
          <w:rFonts w:ascii="Book Antiqua" w:eastAsia="Book Antiqua" w:hAnsi="Book Antiqua" w:cs="Book Antiqua"/>
        </w:rPr>
        <w:t xml:space="preserve"> (OR)</w:t>
      </w:r>
      <w:r w:rsidRPr="00D4328A">
        <w:rPr>
          <w:rFonts w:ascii="Book Antiqua" w:eastAsia="Book Antiqua" w:hAnsi="Book Antiqua" w:cs="Book Antiqua"/>
        </w:rPr>
        <w:t xml:space="preserve"> was 1.38 for mortality </w:t>
      </w:r>
      <w:r w:rsidR="008655BA">
        <w:rPr>
          <w:rFonts w:ascii="Book Antiqua" w:eastAsia="Book Antiqua" w:hAnsi="Book Antiqua" w:cs="Book Antiqua"/>
        </w:rPr>
        <w:t>with</w:t>
      </w:r>
      <w:r w:rsidRPr="00D4328A">
        <w:rPr>
          <w:rFonts w:ascii="Book Antiqua" w:eastAsia="Book Antiqua" w:hAnsi="Book Antiqua" w:cs="Book Antiqua"/>
        </w:rPr>
        <w:t xml:space="preserve"> a 95% </w:t>
      </w:r>
      <w:r w:rsidR="00FB4F2D" w:rsidRPr="00D4328A">
        <w:rPr>
          <w:rFonts w:ascii="Book Antiqua" w:eastAsia="Book Antiqua" w:hAnsi="Book Antiqua" w:cs="Book Antiqua"/>
        </w:rPr>
        <w:t>c</w:t>
      </w:r>
      <w:r w:rsidRPr="00D4328A">
        <w:rPr>
          <w:rFonts w:ascii="Book Antiqua" w:eastAsia="Book Antiqua" w:hAnsi="Book Antiqua" w:cs="Book Antiqua"/>
        </w:rPr>
        <w:t xml:space="preserve">onfidence interval (95%CI) of 0.97-1.95 and </w:t>
      </w:r>
      <w:r w:rsidRPr="00D4328A">
        <w:rPr>
          <w:rFonts w:ascii="Book Antiqua" w:eastAsia="Book Antiqua" w:hAnsi="Book Antiqua" w:cs="Book Antiqua"/>
          <w:i/>
          <w:iCs/>
        </w:rPr>
        <w:t>P</w:t>
      </w:r>
      <w:r w:rsidRPr="00D4328A">
        <w:rPr>
          <w:rFonts w:ascii="Book Antiqua" w:eastAsia="Book Antiqua" w:hAnsi="Book Antiqua" w:cs="Book Antiqua"/>
        </w:rPr>
        <w:t xml:space="preserve"> = 0.07. A total of 5043 patients from eight studies were included in the </w:t>
      </w:r>
      <w:r w:rsidR="00FB4F2D" w:rsidRPr="00D4328A">
        <w:rPr>
          <w:rFonts w:ascii="Book Antiqua" w:eastAsia="Book Antiqua" w:hAnsi="Book Antiqua" w:cs="Book Antiqua"/>
        </w:rPr>
        <w:t>h</w:t>
      </w:r>
      <w:r w:rsidRPr="00D4328A">
        <w:rPr>
          <w:rFonts w:ascii="Book Antiqua" w:eastAsia="Book Antiqua" w:hAnsi="Book Antiqua" w:cs="Book Antiqua"/>
        </w:rPr>
        <w:t xml:space="preserve">ospital length of stay analysis. There were 1318 patients in the NAFLD group and 3725 patients in the non-NAFLD group. A qualitative synthesis showed that the mean difference in hospital </w:t>
      </w:r>
      <w:r w:rsidRPr="00D4328A">
        <w:rPr>
          <w:rFonts w:ascii="Book Antiqua" w:eastAsia="Book Antiqua" w:hAnsi="Book Antiqua" w:cs="Book Antiqua"/>
        </w:rPr>
        <w:lastRenderedPageBreak/>
        <w:t xml:space="preserve">length of stay was </w:t>
      </w:r>
      <w:r w:rsidR="00FB4F2D" w:rsidRPr="00D4328A">
        <w:rPr>
          <w:rFonts w:ascii="Book Antiqua" w:eastAsia="Book Antiqua" w:hAnsi="Book Antiqua" w:cs="Book Antiqua"/>
        </w:rPr>
        <w:t xml:space="preserve">about </w:t>
      </w:r>
      <w:r w:rsidRPr="00D4328A">
        <w:rPr>
          <w:rFonts w:ascii="Book Antiqua" w:eastAsia="Book Antiqua" w:hAnsi="Book Antiqua" w:cs="Book Antiqua"/>
        </w:rPr>
        <w:t xml:space="preserve">2 d between the NAFLD and non-NAFLD groups </w:t>
      </w:r>
      <w:r w:rsidR="008655BA">
        <w:rPr>
          <w:rFonts w:ascii="Book Antiqua" w:eastAsia="Book Antiqua" w:hAnsi="Book Antiqua" w:cs="Book Antiqua"/>
        </w:rPr>
        <w:t>with</w:t>
      </w:r>
      <w:r w:rsidR="008655BA" w:rsidRPr="00D4328A">
        <w:rPr>
          <w:rFonts w:ascii="Book Antiqua" w:eastAsia="Book Antiqua" w:hAnsi="Book Antiqua" w:cs="Book Antiqua"/>
        </w:rPr>
        <w:t xml:space="preserve"> </w:t>
      </w:r>
      <w:r w:rsidRPr="00D4328A">
        <w:rPr>
          <w:rFonts w:ascii="Book Antiqua" w:eastAsia="Book Antiqua" w:hAnsi="Book Antiqua" w:cs="Book Antiqua"/>
        </w:rPr>
        <w:t xml:space="preserve">a 95%CI of 0.71-3.27 and </w:t>
      </w:r>
      <w:r w:rsidRPr="00D4328A">
        <w:rPr>
          <w:rFonts w:ascii="Book Antiqua" w:eastAsia="Book Antiqua" w:hAnsi="Book Antiqua" w:cs="Book Antiqua"/>
          <w:i/>
          <w:iCs/>
        </w:rPr>
        <w:t>P</w:t>
      </w:r>
      <w:r w:rsidRPr="00D4328A">
        <w:rPr>
          <w:rFonts w:ascii="Book Antiqua" w:eastAsia="Book Antiqua" w:hAnsi="Book Antiqua" w:cs="Book Antiqua"/>
        </w:rPr>
        <w:t xml:space="preserve"> = 0.002</w:t>
      </w:r>
      <w:r w:rsidRPr="00D4328A">
        <w:rPr>
          <w:rFonts w:ascii="Book Antiqua" w:eastAsia="Book Antiqua" w:hAnsi="Book Antiqua" w:cs="Book Antiqua"/>
          <w:color w:val="212121"/>
          <w:shd w:val="clear" w:color="auto" w:fill="FFFFFF"/>
        </w:rPr>
        <w:t>. For hospitalization rates, t</w:t>
      </w:r>
      <w:r w:rsidRPr="00D4328A">
        <w:rPr>
          <w:rFonts w:ascii="Book Antiqua" w:eastAsia="Book Antiqua" w:hAnsi="Book Antiqua" w:cs="Book Antiqua"/>
        </w:rPr>
        <w:t xml:space="preserve">he </w:t>
      </w:r>
      <w:r w:rsidR="00AF5025">
        <w:rPr>
          <w:rFonts w:ascii="Book Antiqua" w:eastAsia="Book Antiqua" w:hAnsi="Book Antiqua" w:cs="Book Antiqua"/>
        </w:rPr>
        <w:t>OR</w:t>
      </w:r>
      <w:r w:rsidRPr="00D4328A">
        <w:rPr>
          <w:rFonts w:ascii="Book Antiqua" w:eastAsia="Book Antiqua" w:hAnsi="Book Antiqua" w:cs="Book Antiqua"/>
        </w:rPr>
        <w:t xml:space="preserve"> </w:t>
      </w:r>
      <w:r w:rsidR="008655BA">
        <w:rPr>
          <w:rFonts w:ascii="Book Antiqua" w:eastAsia="Book Antiqua" w:hAnsi="Book Antiqua" w:cs="Book Antiqua"/>
        </w:rPr>
        <w:t>was</w:t>
      </w:r>
      <w:r w:rsidRPr="00D4328A">
        <w:rPr>
          <w:rFonts w:ascii="Book Antiqua" w:eastAsia="Book Antiqua" w:hAnsi="Book Antiqua" w:cs="Book Antiqua"/>
        </w:rPr>
        <w:t xml:space="preserve"> 3.25 with a 95%</w:t>
      </w:r>
      <w:r w:rsidR="00FB4F2D" w:rsidRPr="00D4328A">
        <w:rPr>
          <w:rFonts w:ascii="Book Antiqua" w:eastAsia="Book Antiqua" w:hAnsi="Book Antiqua" w:cs="Book Antiqua"/>
        </w:rPr>
        <w:t>CI</w:t>
      </w:r>
      <w:r w:rsidRPr="00D4328A">
        <w:rPr>
          <w:rFonts w:ascii="Book Antiqua" w:eastAsia="Book Antiqua" w:hAnsi="Book Antiqua" w:cs="Book Antiqua"/>
        </w:rPr>
        <w:t xml:space="preserve"> of 1.73-6.10 and </w:t>
      </w:r>
      <w:r w:rsidRPr="00D4328A">
        <w:rPr>
          <w:rFonts w:ascii="Book Antiqua" w:eastAsia="Book Antiqua" w:hAnsi="Book Antiqua" w:cs="Book Antiqua"/>
          <w:i/>
          <w:iCs/>
        </w:rPr>
        <w:t>P</w:t>
      </w:r>
      <w:r w:rsidRPr="00D4328A">
        <w:rPr>
          <w:rFonts w:ascii="Book Antiqua" w:eastAsia="Book Antiqua" w:hAnsi="Book Antiqua" w:cs="Book Antiqua"/>
        </w:rPr>
        <w:t xml:space="preserve"> = 0.0002. For supplemental oxygen utilization, the </w:t>
      </w:r>
      <w:r w:rsidR="00AF5025">
        <w:rPr>
          <w:rFonts w:ascii="Book Antiqua" w:eastAsia="Book Antiqua" w:hAnsi="Book Antiqua" w:cs="Book Antiqua"/>
        </w:rPr>
        <w:t>OR</w:t>
      </w:r>
      <w:r w:rsidRPr="00D4328A">
        <w:rPr>
          <w:rFonts w:ascii="Book Antiqua" w:eastAsia="Book Antiqua" w:hAnsi="Book Antiqua" w:cs="Book Antiqua"/>
        </w:rPr>
        <w:t xml:space="preserve"> was 2.04 with a 95%</w:t>
      </w:r>
      <w:r w:rsidR="00FB4F2D" w:rsidRPr="00D4328A">
        <w:rPr>
          <w:rFonts w:ascii="Book Antiqua" w:eastAsia="Book Antiqua" w:hAnsi="Book Antiqua" w:cs="Book Antiqua"/>
        </w:rPr>
        <w:t>CI</w:t>
      </w:r>
      <w:r w:rsidRPr="00D4328A">
        <w:rPr>
          <w:rFonts w:ascii="Book Antiqua" w:eastAsia="Book Antiqua" w:hAnsi="Book Antiqua" w:cs="Book Antiqua"/>
        </w:rPr>
        <w:t xml:space="preserve"> of 1.17-3.53</w:t>
      </w:r>
      <w:r w:rsidR="008655BA">
        <w:rPr>
          <w:rFonts w:ascii="Book Antiqua" w:eastAsia="Book Antiqua" w:hAnsi="Book Antiqua" w:cs="Book Antiqua"/>
        </w:rPr>
        <w:t xml:space="preserve"> </w:t>
      </w:r>
      <w:r w:rsidRPr="00D4328A">
        <w:rPr>
          <w:rFonts w:ascii="Book Antiqua" w:eastAsia="Book Antiqua" w:hAnsi="Book Antiqua" w:cs="Book Antiqua"/>
        </w:rPr>
        <w:t>and</w:t>
      </w:r>
      <w:r w:rsidRPr="00D4328A">
        <w:rPr>
          <w:rFonts w:ascii="Book Antiqua" w:eastAsia="Book Antiqua" w:hAnsi="Book Antiqua" w:cs="Book Antiqua"/>
          <w:i/>
          <w:iCs/>
        </w:rPr>
        <w:t xml:space="preserve"> </w:t>
      </w:r>
      <w:r w:rsidR="00FB4F2D" w:rsidRPr="00D4328A">
        <w:rPr>
          <w:rFonts w:ascii="Book Antiqua" w:eastAsia="Book Antiqua" w:hAnsi="Book Antiqua" w:cs="Book Antiqua"/>
          <w:i/>
          <w:iCs/>
        </w:rPr>
        <w:t>P</w:t>
      </w:r>
      <w:r w:rsidR="00FB4F2D" w:rsidRPr="00D4328A">
        <w:rPr>
          <w:rFonts w:ascii="Book Antiqua" w:eastAsia="Book Antiqua" w:hAnsi="Book Antiqua" w:cs="Book Antiqua"/>
        </w:rPr>
        <w:t xml:space="preserve"> </w:t>
      </w:r>
      <w:r w:rsidRPr="00D4328A">
        <w:rPr>
          <w:rFonts w:ascii="Book Antiqua" w:eastAsia="Book Antiqua" w:hAnsi="Book Antiqua" w:cs="Book Antiqua"/>
        </w:rPr>
        <w:t>=</w:t>
      </w:r>
      <w:r w:rsidR="00FB4F2D" w:rsidRPr="00D4328A">
        <w:rPr>
          <w:rFonts w:ascii="Book Antiqua" w:eastAsia="Book Antiqua" w:hAnsi="Book Antiqua" w:cs="Book Antiqua"/>
        </w:rPr>
        <w:t xml:space="preserve"> </w:t>
      </w:r>
      <w:r w:rsidRPr="00D4328A">
        <w:rPr>
          <w:rFonts w:ascii="Book Antiqua" w:eastAsia="Book Antiqua" w:hAnsi="Book Antiqua" w:cs="Book Antiqua"/>
        </w:rPr>
        <w:t>0.01.</w:t>
      </w:r>
    </w:p>
    <w:p w14:paraId="432821EE" w14:textId="77777777" w:rsidR="00A77B3E" w:rsidRPr="00D4328A" w:rsidRDefault="00A77B3E" w:rsidP="006D1FC3">
      <w:pPr>
        <w:spacing w:line="360" w:lineRule="auto"/>
        <w:jc w:val="both"/>
        <w:rPr>
          <w:rFonts w:ascii="Book Antiqua" w:hAnsi="Book Antiqua"/>
        </w:rPr>
      </w:pPr>
    </w:p>
    <w:p w14:paraId="75AA930E"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CONCLUSION</w:t>
      </w:r>
    </w:p>
    <w:p w14:paraId="2BD879FF" w14:textId="4BA63CA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 xml:space="preserve">Our </w:t>
      </w:r>
      <w:r w:rsidR="00FB4F2D" w:rsidRPr="00D4328A">
        <w:rPr>
          <w:rFonts w:ascii="Book Antiqua" w:eastAsia="Book Antiqua" w:hAnsi="Book Antiqua" w:cs="Book Antiqua"/>
        </w:rPr>
        <w:t>m</w:t>
      </w:r>
      <w:r w:rsidRPr="00D4328A">
        <w:rPr>
          <w:rFonts w:ascii="Book Antiqua" w:eastAsia="Book Antiqua" w:hAnsi="Book Antiqua" w:cs="Book Antiqua"/>
        </w:rPr>
        <w:t>eta-analysis suggests that there are increased odds of hospitalization, longer hospital length of stay, and increased use of supplemental oxygen in NAFLD/MAFLD patients.</w:t>
      </w:r>
    </w:p>
    <w:p w14:paraId="2ACCF37F" w14:textId="77777777" w:rsidR="00A77B3E" w:rsidRPr="00D4328A" w:rsidRDefault="00A77B3E" w:rsidP="006D1FC3">
      <w:pPr>
        <w:spacing w:line="360" w:lineRule="auto"/>
        <w:jc w:val="both"/>
        <w:rPr>
          <w:rFonts w:ascii="Book Antiqua" w:hAnsi="Book Antiqua"/>
        </w:rPr>
      </w:pPr>
    </w:p>
    <w:p w14:paraId="13A60A09" w14:textId="2F1F7691"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Key Words: </w:t>
      </w:r>
      <w:r w:rsidRPr="00D4328A">
        <w:rPr>
          <w:rFonts w:ascii="Book Antiqua" w:eastAsia="Book Antiqua" w:hAnsi="Book Antiqua" w:cs="Book Antiqua"/>
        </w:rPr>
        <w:t>Non-alcoholic fatty liver; Fatty liver; Coronavirus; COVID-19; Metabolic</w:t>
      </w:r>
      <w:r w:rsidR="00B601FF">
        <w:rPr>
          <w:rFonts w:ascii="Book Antiqua" w:eastAsia="Book Antiqua" w:hAnsi="Book Antiqua" w:cs="Book Antiqua"/>
        </w:rPr>
        <w:t>-</w:t>
      </w:r>
      <w:r w:rsidRPr="00D4328A">
        <w:rPr>
          <w:rFonts w:ascii="Book Antiqua" w:eastAsia="Book Antiqua" w:hAnsi="Book Antiqua" w:cs="Book Antiqua"/>
        </w:rPr>
        <w:t>associated fatty liver</w:t>
      </w:r>
    </w:p>
    <w:p w14:paraId="63DBA5E7" w14:textId="77777777" w:rsidR="00A77B3E" w:rsidRPr="00D4328A" w:rsidRDefault="00A77B3E" w:rsidP="006D1FC3">
      <w:pPr>
        <w:spacing w:line="360" w:lineRule="auto"/>
        <w:jc w:val="both"/>
        <w:rPr>
          <w:rFonts w:ascii="Book Antiqua" w:hAnsi="Book Antiqua"/>
        </w:rPr>
      </w:pPr>
    </w:p>
    <w:p w14:paraId="7C787651" w14:textId="7F009311"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 xml:space="preserve">Jagirdhar GSK, Qasba RK, Pattnaik H, Rama K, Banga A, Reddy ST, Flumignan Bucharles AC, Kashyap R, Elmati PR, Bansal V, Bains Y, DaCosta T, Surani S. Association of non-alcoholic fatty liver and metabolic-associated fatty liver with COVID-19 </w:t>
      </w:r>
      <w:r w:rsidR="009168A8" w:rsidRPr="00D4328A">
        <w:rPr>
          <w:rFonts w:ascii="Book Antiqua" w:eastAsia="Book Antiqua" w:hAnsi="Book Antiqua" w:cs="Book Antiqua"/>
        </w:rPr>
        <w:t>o</w:t>
      </w:r>
      <w:r w:rsidRPr="00D4328A">
        <w:rPr>
          <w:rFonts w:ascii="Book Antiqua" w:eastAsia="Book Antiqua" w:hAnsi="Book Antiqua" w:cs="Book Antiqua"/>
        </w:rPr>
        <w:t xml:space="preserve">utcomes: A systematic review and meta-analysis. </w:t>
      </w:r>
      <w:r w:rsidRPr="00D4328A">
        <w:rPr>
          <w:rFonts w:ascii="Book Antiqua" w:eastAsia="Book Antiqua" w:hAnsi="Book Antiqua" w:cs="Book Antiqua"/>
          <w:i/>
          <w:iCs/>
        </w:rPr>
        <w:t>World J Gastroenterol</w:t>
      </w:r>
      <w:r w:rsidRPr="00D4328A">
        <w:rPr>
          <w:rFonts w:ascii="Book Antiqua" w:eastAsia="Book Antiqua" w:hAnsi="Book Antiqua" w:cs="Book Antiqua"/>
        </w:rPr>
        <w:t xml:space="preserve"> 2023; In press</w:t>
      </w:r>
    </w:p>
    <w:p w14:paraId="345FF4BE" w14:textId="77777777" w:rsidR="00A77B3E" w:rsidRPr="00D4328A" w:rsidRDefault="00A77B3E" w:rsidP="006D1FC3">
      <w:pPr>
        <w:spacing w:line="360" w:lineRule="auto"/>
        <w:jc w:val="both"/>
        <w:rPr>
          <w:rFonts w:ascii="Book Antiqua" w:hAnsi="Book Antiqua"/>
        </w:rPr>
      </w:pPr>
    </w:p>
    <w:p w14:paraId="603CE57A" w14:textId="58E7ECC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Core Tip: </w:t>
      </w:r>
      <w:r w:rsidRPr="00D4328A">
        <w:rPr>
          <w:rFonts w:ascii="Book Antiqua" w:eastAsia="Book Antiqua" w:hAnsi="Book Antiqua" w:cs="Book Antiqua"/>
          <w:color w:val="000000"/>
        </w:rPr>
        <w:t xml:space="preserve">Metabolic-associated fatty liver disease (MAFLD) is like </w:t>
      </w:r>
      <w:r w:rsidR="00FB4F2D" w:rsidRPr="00D4328A">
        <w:rPr>
          <w:rFonts w:ascii="Book Antiqua" w:eastAsia="Book Antiqua" w:hAnsi="Book Antiqua" w:cs="Book Antiqua"/>
          <w:color w:val="000000"/>
        </w:rPr>
        <w:t>n</w:t>
      </w:r>
      <w:r w:rsidRPr="00D4328A">
        <w:rPr>
          <w:rFonts w:ascii="Book Antiqua" w:eastAsia="Book Antiqua" w:hAnsi="Book Antiqua" w:cs="Book Antiqua"/>
          <w:color w:val="000000"/>
        </w:rPr>
        <w:t xml:space="preserve">on-alcoholic fatty liver disease (NAFLD) and is a hepatic presentation of metabolic syndrome. </w:t>
      </w:r>
      <w:r w:rsidR="008655BA">
        <w:rPr>
          <w:rFonts w:ascii="Book Antiqua" w:eastAsia="Book Antiqua" w:hAnsi="Book Antiqua" w:cs="Book Antiqua"/>
          <w:color w:val="000000"/>
        </w:rPr>
        <w:t>They</w:t>
      </w:r>
      <w:r w:rsidRPr="00D4328A">
        <w:rPr>
          <w:rFonts w:ascii="Book Antiqua" w:eastAsia="Book Antiqua" w:hAnsi="Book Antiqua" w:cs="Book Antiqua"/>
          <w:color w:val="000000"/>
        </w:rPr>
        <w:t xml:space="preserve"> a</w:t>
      </w:r>
      <w:r w:rsidR="008655BA">
        <w:rPr>
          <w:rFonts w:ascii="Book Antiqua" w:eastAsia="Book Antiqua" w:hAnsi="Book Antiqua" w:cs="Book Antiqua"/>
          <w:color w:val="000000"/>
        </w:rPr>
        <w:t>re</w:t>
      </w:r>
      <w:r w:rsidRPr="00D4328A">
        <w:rPr>
          <w:rFonts w:ascii="Book Antiqua" w:eastAsia="Book Antiqua" w:hAnsi="Book Antiqua" w:cs="Book Antiqua"/>
          <w:color w:val="000000"/>
        </w:rPr>
        <w:t xml:space="preserve"> widely prevalent. It is estimated that 25% of the United States population have this condition. The association and effect size between fatty liver disease and </w:t>
      </w:r>
      <w:r w:rsidR="00557209" w:rsidRPr="00D4328A">
        <w:rPr>
          <w:rFonts w:ascii="Book Antiqua" w:eastAsia="Book Antiqua" w:hAnsi="Book Antiqua" w:cs="Book Antiqua"/>
          <w:color w:val="000000"/>
        </w:rPr>
        <w:t>coronavirus disease 2019 (COVID-19)</w:t>
      </w:r>
      <w:r w:rsidRPr="00D4328A">
        <w:rPr>
          <w:rFonts w:ascii="Book Antiqua" w:eastAsia="Book Antiqua" w:hAnsi="Book Antiqua" w:cs="Book Antiqua"/>
          <w:color w:val="000000"/>
        </w:rPr>
        <w:t xml:space="preserve"> infection is still unconfirmed. The discrepancies in the available literature may be due to study design, confounding, small study population, and heterogeneity. We performed a systematic review and meta-analysis to study the impact of NAFLD/MAFLD on mortality, hospitalization, hospital length of stay, and supplemental oxygen utilization in COVID-19 patients.</w:t>
      </w:r>
    </w:p>
    <w:p w14:paraId="1B3C6BF7" w14:textId="77777777" w:rsidR="00A77B3E" w:rsidRPr="00D4328A" w:rsidRDefault="00A77B3E" w:rsidP="006D1FC3">
      <w:pPr>
        <w:spacing w:line="360" w:lineRule="auto"/>
        <w:jc w:val="both"/>
        <w:rPr>
          <w:rFonts w:ascii="Book Antiqua" w:hAnsi="Book Antiqua"/>
        </w:rPr>
      </w:pPr>
    </w:p>
    <w:p w14:paraId="780692C2"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aps/>
          <w:color w:val="000000"/>
          <w:u w:val="single"/>
        </w:rPr>
        <w:t>INTRODUCTION</w:t>
      </w:r>
    </w:p>
    <w:p w14:paraId="3255D5F9" w14:textId="4904B5E1" w:rsidR="00581BAE" w:rsidRDefault="00000000" w:rsidP="006D1FC3">
      <w:pPr>
        <w:spacing w:line="360" w:lineRule="auto"/>
        <w:jc w:val="both"/>
        <w:rPr>
          <w:rFonts w:ascii="Book Antiqua" w:eastAsia="Book Antiqua" w:hAnsi="Book Antiqua" w:cs="Book Antiqua"/>
          <w:color w:val="000000"/>
        </w:rPr>
      </w:pPr>
      <w:r w:rsidRPr="00D4328A">
        <w:rPr>
          <w:rFonts w:ascii="Book Antiqua" w:eastAsia="Book Antiqua" w:hAnsi="Book Antiqua" w:cs="Book Antiqua"/>
          <w:color w:val="000000"/>
        </w:rPr>
        <w:lastRenderedPageBreak/>
        <w:t>Severe acute respiratory syndrome coronavirus 2 (SARS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CoV</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2) is one of the subspecies of coronavirus that is responsible for causing </w:t>
      </w:r>
      <w:r w:rsidR="00E97B3C" w:rsidRPr="00D4328A">
        <w:rPr>
          <w:rFonts w:ascii="Book Antiqua" w:eastAsia="Book Antiqua" w:hAnsi="Book Antiqua" w:cs="Book Antiqua"/>
          <w:color w:val="000000"/>
        </w:rPr>
        <w:t>coronavirus disease 2019</w:t>
      </w:r>
      <w:r w:rsidRPr="00D4328A">
        <w:rPr>
          <w:rFonts w:ascii="Book Antiqua" w:eastAsia="Book Antiqua" w:hAnsi="Book Antiqua" w:cs="Book Antiqua"/>
          <w:color w:val="000000"/>
        </w:rPr>
        <w:t xml:space="preserve"> (</w:t>
      </w:r>
      <w:r w:rsidR="00E97B3C" w:rsidRPr="00D4328A">
        <w:rPr>
          <w:rFonts w:ascii="Book Antiqua" w:eastAsia="Book Antiqua" w:hAnsi="Book Antiqua" w:cs="Book Antiqua"/>
          <w:color w:val="000000"/>
        </w:rPr>
        <w:t>COVID-19</w:t>
      </w:r>
      <w:r w:rsidRPr="00D4328A">
        <w:rPr>
          <w:rFonts w:ascii="Book Antiqua" w:eastAsia="Book Antiqua" w:hAnsi="Book Antiqua" w:cs="Book Antiqua"/>
          <w:color w:val="000000"/>
        </w:rPr>
        <w:t xml:space="preserve">), the respiratory illness responsible for the ongoing COVID-19 pandemic. </w:t>
      </w:r>
      <w:r w:rsidR="008655BA">
        <w:rPr>
          <w:rFonts w:ascii="Book Antiqua" w:eastAsia="Book Antiqua" w:hAnsi="Book Antiqua" w:cs="Book Antiqua"/>
          <w:color w:val="000000"/>
        </w:rPr>
        <w:t>The</w:t>
      </w:r>
      <w:r w:rsidRPr="00D4328A">
        <w:rPr>
          <w:rFonts w:ascii="Book Antiqua" w:eastAsia="Book Antiqua" w:hAnsi="Book Antiqua" w:cs="Book Antiqua"/>
          <w:color w:val="000000"/>
        </w:rPr>
        <w:t xml:space="preserve"> first detected case was reported back in December of 2019 from Wuhan, China</w:t>
      </w:r>
      <w:r w:rsidRPr="00D4328A">
        <w:rPr>
          <w:rFonts w:ascii="Book Antiqua" w:eastAsia="Book Antiqua" w:hAnsi="Book Antiqua" w:cs="Book Antiqua"/>
          <w:color w:val="000000"/>
          <w:vertAlign w:val="superscript"/>
        </w:rPr>
        <w:t>[1]</w:t>
      </w:r>
      <w:r w:rsidRPr="00D4328A">
        <w:rPr>
          <w:rFonts w:ascii="Book Antiqua" w:eastAsia="Book Antiqua" w:hAnsi="Book Antiqua" w:cs="Book Antiqua"/>
          <w:color w:val="000000"/>
        </w:rPr>
        <w:t>. Since then, it has spread worldwide leading to a global pandemic. As of 12 December 2022, over 650 million confirmed cases have been reported with more than 6 million deaths</w:t>
      </w:r>
      <w:r w:rsidRPr="00D4328A">
        <w:rPr>
          <w:rFonts w:ascii="Book Antiqua" w:eastAsia="Book Antiqua" w:hAnsi="Book Antiqua" w:cs="Book Antiqua"/>
          <w:color w:val="000000"/>
          <w:vertAlign w:val="superscript"/>
        </w:rPr>
        <w:t>[2]</w:t>
      </w:r>
      <w:r w:rsidRPr="00D4328A">
        <w:rPr>
          <w:rFonts w:ascii="Book Antiqua" w:eastAsia="Book Antiqua" w:hAnsi="Book Antiqua" w:cs="Book Antiqua"/>
          <w:color w:val="000000"/>
        </w:rPr>
        <w:t xml:space="preserve">. Most COVID-19 cases are mild to moderate with usual signs and symptoms varying from general fatigue, fever, and dry cough to some very unusual ones like loss of smell and taste. In </w:t>
      </w:r>
      <w:r w:rsidR="00C51486">
        <w:rPr>
          <w:rFonts w:ascii="Book Antiqua" w:eastAsia="Book Antiqua" w:hAnsi="Book Antiqua" w:cs="Book Antiqua"/>
          <w:color w:val="000000"/>
        </w:rPr>
        <w:t xml:space="preserve">the </w:t>
      </w:r>
      <w:r w:rsidRPr="00D4328A">
        <w:rPr>
          <w:rFonts w:ascii="Book Antiqua" w:eastAsia="Book Antiqua" w:hAnsi="Book Antiqua" w:cs="Book Antiqua"/>
          <w:color w:val="000000"/>
        </w:rPr>
        <w:t>severe form, it is associated with several comorbidities such as diabetes, hypertension, obesity, chronic obstructive pulmonary disease, and other cardiovascular diseases</w:t>
      </w:r>
      <w:r w:rsidRPr="00D4328A">
        <w:rPr>
          <w:rFonts w:ascii="Book Antiqua" w:eastAsia="Book Antiqua" w:hAnsi="Book Antiqua" w:cs="Book Antiqua"/>
          <w:color w:val="000000"/>
          <w:vertAlign w:val="superscript"/>
        </w:rPr>
        <w:t>[3,4]</w:t>
      </w:r>
      <w:r w:rsidRPr="00D4328A">
        <w:rPr>
          <w:rFonts w:ascii="Book Antiqua" w:eastAsia="Book Antiqua" w:hAnsi="Book Antiqua" w:cs="Book Antiqua"/>
          <w:color w:val="000000"/>
        </w:rPr>
        <w:t>. Patients with metabolic syndrome (MS) having obesity, hyperglycemia, dyslipidemia, and hypertension had worse outcomes in COVID-19</w:t>
      </w:r>
      <w:r w:rsidRPr="00D4328A">
        <w:rPr>
          <w:rFonts w:ascii="Book Antiqua" w:eastAsia="Book Antiqua" w:hAnsi="Book Antiqua" w:cs="Book Antiqua"/>
          <w:color w:val="000000"/>
          <w:vertAlign w:val="superscript"/>
        </w:rPr>
        <w:t>[5,6]</w:t>
      </w:r>
      <w:r w:rsidRPr="00D4328A">
        <w:rPr>
          <w:rFonts w:ascii="Book Antiqua" w:eastAsia="Book Antiqua" w:hAnsi="Book Antiqua" w:cs="Book Antiqua"/>
          <w:color w:val="000000"/>
        </w:rPr>
        <w:t>. A retrospective study from Cleveland Clinic, U</w:t>
      </w:r>
      <w:r w:rsidR="00557209" w:rsidRPr="00D4328A">
        <w:rPr>
          <w:rFonts w:ascii="Book Antiqua" w:eastAsia="Book Antiqua" w:hAnsi="Book Antiqua" w:cs="Book Antiqua"/>
          <w:color w:val="000000"/>
        </w:rPr>
        <w:t xml:space="preserve">nited </w:t>
      </w:r>
      <w:r w:rsidRPr="00D4328A">
        <w:rPr>
          <w:rFonts w:ascii="Book Antiqua" w:eastAsia="Book Antiqua" w:hAnsi="Book Antiqua" w:cs="Book Antiqua"/>
          <w:color w:val="000000"/>
        </w:rPr>
        <w:t>S</w:t>
      </w:r>
      <w:r w:rsidR="00557209" w:rsidRPr="00D4328A">
        <w:rPr>
          <w:rFonts w:ascii="Book Antiqua" w:eastAsia="Book Antiqua" w:hAnsi="Book Antiqua" w:cs="Book Antiqua"/>
          <w:color w:val="000000"/>
        </w:rPr>
        <w:t>tates</w:t>
      </w:r>
      <w:r w:rsidRPr="00D4328A">
        <w:rPr>
          <w:rFonts w:ascii="Book Antiqua" w:eastAsia="Book Antiqua" w:hAnsi="Book Antiqua" w:cs="Book Antiqua"/>
          <w:color w:val="000000"/>
        </w:rPr>
        <w:t xml:space="preserve"> concluded that patients with MS were 77% more likely to be hospitalized, 56% more likely to be admitted to the </w:t>
      </w:r>
      <w:r w:rsidR="00557209" w:rsidRPr="00D4328A">
        <w:rPr>
          <w:rFonts w:ascii="Book Antiqua" w:eastAsia="Book Antiqua" w:hAnsi="Book Antiqua" w:cs="Book Antiqua"/>
          <w:color w:val="000000"/>
        </w:rPr>
        <w:t>intensive care unit</w:t>
      </w:r>
      <w:r w:rsidRPr="00D4328A">
        <w:rPr>
          <w:rFonts w:ascii="Book Antiqua" w:eastAsia="Book Antiqua" w:hAnsi="Book Antiqua" w:cs="Book Antiqua"/>
          <w:color w:val="000000"/>
        </w:rPr>
        <w:t>, and 81% more likely to die from COVID-19</w:t>
      </w:r>
      <w:r w:rsidRPr="00D4328A">
        <w:rPr>
          <w:rFonts w:ascii="Book Antiqua" w:eastAsia="Book Antiqua" w:hAnsi="Book Antiqua" w:cs="Book Antiqua"/>
          <w:color w:val="000000"/>
          <w:vertAlign w:val="superscript"/>
        </w:rPr>
        <w:t>[6]</w:t>
      </w:r>
      <w:r w:rsidRPr="00D4328A">
        <w:rPr>
          <w:rFonts w:ascii="Book Antiqua" w:eastAsia="Book Antiqua" w:hAnsi="Book Antiqua" w:cs="Book Antiqua"/>
          <w:color w:val="000000"/>
        </w:rPr>
        <w:t xml:space="preserve">. A recent consensus of experts proposed redefining </w:t>
      </w:r>
      <w:r w:rsidR="003849F1" w:rsidRPr="00D4328A">
        <w:rPr>
          <w:rFonts w:ascii="Book Antiqua" w:eastAsia="Book Antiqua" w:hAnsi="Book Antiqua" w:cs="Book Antiqua"/>
          <w:color w:val="000000"/>
        </w:rPr>
        <w:t>non-alcoholic fatty liver disease (NAFLD)</w:t>
      </w:r>
      <w:r w:rsidRPr="00D4328A">
        <w:rPr>
          <w:rFonts w:ascii="Book Antiqua" w:eastAsia="Book Antiqua" w:hAnsi="Book Antiqua" w:cs="Book Antiqua"/>
          <w:color w:val="000000"/>
        </w:rPr>
        <w:t xml:space="preserve"> as </w:t>
      </w:r>
      <w:r w:rsidR="00557209" w:rsidRPr="00D4328A">
        <w:rPr>
          <w:rFonts w:ascii="Book Antiqua" w:eastAsia="Book Antiqua" w:hAnsi="Book Antiqua" w:cs="Book Antiqua"/>
          <w:color w:val="000000"/>
        </w:rPr>
        <w:t>metabolic</w:t>
      </w:r>
      <w:r w:rsidR="00B601FF">
        <w:rPr>
          <w:rFonts w:ascii="Book Antiqua" w:eastAsia="Book Antiqua" w:hAnsi="Book Antiqua" w:cs="Book Antiqua"/>
          <w:color w:val="000000"/>
        </w:rPr>
        <w:t>-</w:t>
      </w:r>
      <w:r w:rsidR="00557209" w:rsidRPr="00D4328A">
        <w:rPr>
          <w:rFonts w:ascii="Book Antiqua" w:eastAsia="Book Antiqua" w:hAnsi="Book Antiqua" w:cs="Book Antiqua"/>
          <w:color w:val="000000"/>
        </w:rPr>
        <w:t>associated fatty liver disease (MAFLD)</w:t>
      </w:r>
      <w:r w:rsidRPr="00D4328A">
        <w:rPr>
          <w:rFonts w:ascii="Book Antiqua" w:eastAsia="Book Antiqua" w:hAnsi="Book Antiqua" w:cs="Book Antiqua"/>
          <w:color w:val="000000"/>
          <w:vertAlign w:val="superscript"/>
        </w:rPr>
        <w:t>[7</w:t>
      </w:r>
      <w:r w:rsidR="00557209"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vertAlign w:val="superscript"/>
        </w:rPr>
        <w:t>9]</w:t>
      </w:r>
      <w:r w:rsidRPr="00D4328A">
        <w:rPr>
          <w:rFonts w:ascii="Book Antiqua" w:eastAsia="Book Antiqua" w:hAnsi="Book Antiqua" w:cs="Book Antiqua"/>
          <w:color w:val="000000"/>
        </w:rPr>
        <w:t>. It is now considered the hepatic form of MS</w:t>
      </w:r>
      <w:r w:rsidRPr="00D4328A">
        <w:rPr>
          <w:rFonts w:ascii="Book Antiqua" w:eastAsia="Book Antiqua" w:hAnsi="Book Antiqua" w:cs="Book Antiqua"/>
          <w:color w:val="000000"/>
          <w:vertAlign w:val="superscript"/>
        </w:rPr>
        <w:t>[10]</w:t>
      </w:r>
      <w:r w:rsidRPr="00D4328A">
        <w:rPr>
          <w:rFonts w:ascii="Book Antiqua" w:eastAsia="Book Antiqua" w:hAnsi="Book Antiqua" w:cs="Book Antiqua"/>
          <w:color w:val="000000"/>
        </w:rPr>
        <w:t xml:space="preserve"> and is one of the most common etiologies of chronic liver diseases (CLD</w:t>
      </w:r>
      <w:r w:rsidR="00C51486">
        <w:rPr>
          <w:rFonts w:ascii="Book Antiqua" w:eastAsia="Book Antiqua" w:hAnsi="Book Antiqua" w:cs="Book Antiqua"/>
          <w:color w:val="000000"/>
        </w:rPr>
        <w:t>s</w:t>
      </w:r>
      <w:r w:rsidRPr="00D4328A">
        <w:rPr>
          <w:rFonts w:ascii="Book Antiqua" w:eastAsia="Book Antiqua" w:hAnsi="Book Antiqua" w:cs="Book Antiqua"/>
          <w:color w:val="000000"/>
        </w:rPr>
        <w:t xml:space="preserve">). It has </w:t>
      </w:r>
      <w:r w:rsidR="00581BAE">
        <w:rPr>
          <w:rFonts w:ascii="Book Antiqua" w:eastAsia="Book Antiqua" w:hAnsi="Book Antiqua" w:cs="Book Antiqua"/>
          <w:color w:val="000000"/>
        </w:rPr>
        <w:t xml:space="preserve">an estimated global prevalence rate of about </w:t>
      </w:r>
      <w:r w:rsidRPr="00D4328A">
        <w:rPr>
          <w:rFonts w:ascii="Book Antiqua" w:eastAsia="Book Antiqua" w:hAnsi="Book Antiqua" w:cs="Book Antiqua"/>
          <w:color w:val="000000"/>
        </w:rPr>
        <w:t>24%</w:t>
      </w:r>
      <w:r w:rsidRPr="00D4328A">
        <w:rPr>
          <w:rFonts w:ascii="Book Antiqua" w:eastAsia="Book Antiqua" w:hAnsi="Book Antiqua" w:cs="Book Antiqua"/>
          <w:color w:val="000000"/>
          <w:vertAlign w:val="superscript"/>
        </w:rPr>
        <w:t>[11]</w:t>
      </w:r>
      <w:r w:rsidRPr="00D4328A">
        <w:rPr>
          <w:rFonts w:ascii="Book Antiqua" w:eastAsia="Book Antiqua" w:hAnsi="Book Antiqua" w:cs="Book Antiqua"/>
          <w:color w:val="000000"/>
        </w:rPr>
        <w:t>. These patients may have a higher risk of hospitalization and severity of COVID-19 according to recently published reports. A cohort of Chinese patients indicated a higher risk of respiratory disease progression in MAFLD patients</w:t>
      </w:r>
      <w:r w:rsidRPr="00D4328A">
        <w:rPr>
          <w:rFonts w:ascii="Book Antiqua" w:eastAsia="Book Antiqua" w:hAnsi="Book Antiqua" w:cs="Book Antiqua"/>
          <w:color w:val="000000"/>
          <w:vertAlign w:val="superscript"/>
        </w:rPr>
        <w:t>[12]</w:t>
      </w:r>
      <w:r w:rsidRPr="00D4328A">
        <w:rPr>
          <w:rFonts w:ascii="Book Antiqua" w:eastAsia="Book Antiqua" w:hAnsi="Book Antiqua" w:cs="Book Antiqua"/>
          <w:color w:val="000000"/>
        </w:rPr>
        <w:t>. In another subsequent study, there was an increased risk for COVID-19 progression in younger patients with MAFLD</w:t>
      </w:r>
      <w:r w:rsidRPr="00D4328A">
        <w:rPr>
          <w:rFonts w:ascii="Book Antiqua" w:eastAsia="Book Antiqua" w:hAnsi="Book Antiqua" w:cs="Book Antiqua"/>
          <w:color w:val="000000"/>
          <w:vertAlign w:val="superscript"/>
        </w:rPr>
        <w:t>[13]</w:t>
      </w:r>
      <w:r w:rsidRPr="00D4328A">
        <w:rPr>
          <w:rFonts w:ascii="Book Antiqua" w:eastAsia="Book Antiqua" w:hAnsi="Book Antiqua" w:cs="Book Antiqua"/>
          <w:color w:val="000000"/>
        </w:rPr>
        <w:t>. However, there is still conflicting evidence addressing the severity of COVID-19 in MAFLD and NAFLD patients. Prior meta-analysis of a small number of studies did not detect worse outcomes in NAFLD/MAFLD patients with COVID-19</w:t>
      </w:r>
      <w:r w:rsidRPr="00D4328A">
        <w:rPr>
          <w:rFonts w:ascii="Book Antiqua" w:eastAsia="Book Antiqua" w:hAnsi="Book Antiqua" w:cs="Book Antiqua"/>
          <w:color w:val="000000"/>
          <w:vertAlign w:val="superscript"/>
        </w:rPr>
        <w:t>[14</w:t>
      </w:r>
      <w:r w:rsidR="00557209"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vertAlign w:val="superscript"/>
        </w:rPr>
        <w:t>16]</w:t>
      </w:r>
      <w:r w:rsidRPr="00D4328A">
        <w:rPr>
          <w:rFonts w:ascii="Book Antiqua" w:eastAsia="Book Antiqua" w:hAnsi="Book Antiqua" w:cs="Book Antiqua"/>
          <w:color w:val="000000"/>
        </w:rPr>
        <w:t xml:space="preserve">. </w:t>
      </w:r>
    </w:p>
    <w:p w14:paraId="2F3906E0" w14:textId="54C25FB0" w:rsidR="00A77B3E" w:rsidRPr="00D4328A" w:rsidRDefault="00000000" w:rsidP="0009446C">
      <w:pPr>
        <w:spacing w:line="360" w:lineRule="auto"/>
        <w:ind w:firstLine="270"/>
        <w:jc w:val="both"/>
        <w:rPr>
          <w:rFonts w:ascii="Book Antiqua" w:hAnsi="Book Antiqua"/>
        </w:rPr>
      </w:pPr>
      <w:r w:rsidRPr="00D4328A">
        <w:rPr>
          <w:rFonts w:ascii="Book Antiqua" w:eastAsia="Book Antiqua" w:hAnsi="Book Antiqua" w:cs="Book Antiqua"/>
          <w:color w:val="000000"/>
        </w:rPr>
        <w:t>Therefore, we conduct</w:t>
      </w:r>
      <w:r w:rsidR="00981245">
        <w:rPr>
          <w:rFonts w:ascii="Book Antiqua" w:eastAsia="Book Antiqua" w:hAnsi="Book Antiqua" w:cs="Book Antiqua"/>
          <w:color w:val="000000"/>
        </w:rPr>
        <w:t>ed</w:t>
      </w:r>
      <w:r w:rsidRPr="00D4328A">
        <w:rPr>
          <w:rFonts w:ascii="Book Antiqua" w:eastAsia="Book Antiqua" w:hAnsi="Book Antiqua" w:cs="Book Antiqua"/>
          <w:color w:val="000000"/>
        </w:rPr>
        <w:t xml:space="preserve"> this systematic review and meta-analysis to assess the effect</w:t>
      </w:r>
      <w:r w:rsidR="00981245">
        <w:rPr>
          <w:rFonts w:ascii="Book Antiqua" w:eastAsia="Book Antiqua" w:hAnsi="Book Antiqua" w:cs="Book Antiqua"/>
          <w:color w:val="000000"/>
        </w:rPr>
        <w:t>s</w:t>
      </w:r>
      <w:r w:rsidRPr="00D4328A">
        <w:rPr>
          <w:rFonts w:ascii="Book Antiqua" w:eastAsia="Book Antiqua" w:hAnsi="Book Antiqua" w:cs="Book Antiqua"/>
          <w:color w:val="000000"/>
        </w:rPr>
        <w:t xml:space="preserve"> of NAFLD or MAFLD on mortality, hospitalization, length of hospital stay, and supplemental oxygen utilization among patients with COVID-19.</w:t>
      </w:r>
    </w:p>
    <w:p w14:paraId="39C99684" w14:textId="77777777" w:rsidR="00A77B3E" w:rsidRPr="00D4328A" w:rsidRDefault="00A77B3E" w:rsidP="006D1FC3">
      <w:pPr>
        <w:spacing w:line="360" w:lineRule="auto"/>
        <w:jc w:val="both"/>
        <w:rPr>
          <w:rFonts w:ascii="Book Antiqua" w:hAnsi="Book Antiqua"/>
        </w:rPr>
      </w:pPr>
    </w:p>
    <w:p w14:paraId="05A02950"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aps/>
          <w:color w:val="000000"/>
          <w:u w:val="single"/>
        </w:rPr>
        <w:lastRenderedPageBreak/>
        <w:t>MATERIALS AND METHODS</w:t>
      </w:r>
    </w:p>
    <w:p w14:paraId="6C5D8FFE" w14:textId="5A474341"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This review is reported following the </w:t>
      </w:r>
      <w:r w:rsidR="009224DB" w:rsidRPr="009224DB">
        <w:rPr>
          <w:rFonts w:ascii="Book Antiqua" w:eastAsia="Book Antiqua" w:hAnsi="Book Antiqua" w:cs="Book Antiqua"/>
          <w:color w:val="000000"/>
        </w:rPr>
        <w:t xml:space="preserve">Preferred Reporting Items for Systematic </w:t>
      </w:r>
      <w:r w:rsidR="009224DB">
        <w:rPr>
          <w:rFonts w:ascii="Book Antiqua" w:eastAsia="Book Antiqua" w:hAnsi="Book Antiqua" w:cs="Book Antiqua"/>
          <w:color w:val="000000"/>
        </w:rPr>
        <w:t>R</w:t>
      </w:r>
      <w:r w:rsidR="009224DB" w:rsidRPr="009224DB">
        <w:rPr>
          <w:rFonts w:ascii="Book Antiqua" w:eastAsia="Book Antiqua" w:hAnsi="Book Antiqua" w:cs="Book Antiqua"/>
          <w:color w:val="000000"/>
        </w:rPr>
        <w:t>eviews and Meta-Analys</w:t>
      </w:r>
      <w:r w:rsidR="009224DB">
        <w:rPr>
          <w:rFonts w:ascii="Book Antiqua" w:eastAsia="Book Antiqua" w:hAnsi="Book Antiqua" w:cs="Book Antiqua"/>
          <w:color w:val="000000"/>
        </w:rPr>
        <w:t>i</w:t>
      </w:r>
      <w:r w:rsidR="009224DB" w:rsidRPr="009224DB">
        <w:rPr>
          <w:rFonts w:ascii="Book Antiqua" w:eastAsia="Book Antiqua" w:hAnsi="Book Antiqua" w:cs="Book Antiqua"/>
          <w:color w:val="000000"/>
        </w:rPr>
        <w:t xml:space="preserve">s </w:t>
      </w:r>
      <w:r w:rsidR="009224DB">
        <w:rPr>
          <w:rFonts w:ascii="Book Antiqua" w:eastAsia="Book Antiqua" w:hAnsi="Book Antiqua" w:cs="Book Antiqua"/>
          <w:color w:val="000000"/>
        </w:rPr>
        <w:t>(</w:t>
      </w:r>
      <w:r w:rsidRPr="00D4328A">
        <w:rPr>
          <w:rFonts w:ascii="Book Antiqua" w:eastAsia="Book Antiqua" w:hAnsi="Book Antiqua" w:cs="Book Antiqua"/>
          <w:color w:val="000000"/>
        </w:rPr>
        <w:t>PRISMA</w:t>
      </w:r>
      <w:r w:rsidR="009224DB">
        <w:rPr>
          <w:rFonts w:ascii="Book Antiqua" w:eastAsia="Book Antiqua" w:hAnsi="Book Antiqua" w:cs="Book Antiqua"/>
          <w:color w:val="000000"/>
        </w:rPr>
        <w:t>)</w:t>
      </w:r>
      <w:r w:rsidRPr="00D4328A">
        <w:rPr>
          <w:rFonts w:ascii="Book Antiqua" w:eastAsia="Book Antiqua" w:hAnsi="Book Antiqua" w:cs="Book Antiqua"/>
          <w:color w:val="000000"/>
        </w:rPr>
        <w:t xml:space="preserve"> statement</w:t>
      </w:r>
      <w:r w:rsidRPr="00D4328A">
        <w:rPr>
          <w:rFonts w:ascii="Book Antiqua" w:eastAsia="Book Antiqua" w:hAnsi="Book Antiqua" w:cs="Book Antiqua"/>
          <w:color w:val="000000"/>
          <w:vertAlign w:val="superscript"/>
        </w:rPr>
        <w:t>[17]</w:t>
      </w:r>
      <w:r w:rsidRPr="00D4328A">
        <w:rPr>
          <w:rFonts w:ascii="Book Antiqua" w:eastAsia="Book Antiqua" w:hAnsi="Book Antiqua" w:cs="Book Antiqua"/>
          <w:color w:val="000000"/>
        </w:rPr>
        <w:t xml:space="preserve"> as indicated in the PRISMA checklist and was registered with PROSPERO (ID CRD42022313259;</w:t>
      </w:r>
      <w:r w:rsidR="00557209" w:rsidRPr="00D4328A">
        <w:rPr>
          <w:rFonts w:ascii="Book Antiqua" w:eastAsia="Book Antiqua" w:hAnsi="Book Antiqua" w:cs="Book Antiqua"/>
          <w:color w:val="000000"/>
        </w:rPr>
        <w:t xml:space="preserve"> </w:t>
      </w:r>
      <w:hyperlink w:history="1"/>
      <w:hyperlink r:id="rId6" w:history="1">
        <w:r w:rsidRPr="00D4328A">
          <w:rPr>
            <w:rFonts w:ascii="Book Antiqua" w:eastAsia="Book Antiqua" w:hAnsi="Book Antiqua" w:cs="Book Antiqua"/>
            <w:color w:val="000000"/>
            <w:u w:color="0000EE"/>
          </w:rPr>
          <w:t>www.crd.york.ac.uk/prospero</w:t>
        </w:r>
      </w:hyperlink>
      <w:r w:rsidRPr="00D4328A">
        <w:rPr>
          <w:rFonts w:ascii="Book Antiqua" w:eastAsia="Book Antiqua" w:hAnsi="Book Antiqua" w:cs="Book Antiqua"/>
          <w:color w:val="000000"/>
        </w:rPr>
        <w:t>).</w:t>
      </w:r>
    </w:p>
    <w:p w14:paraId="5C69EA60" w14:textId="77777777" w:rsidR="00A77B3E" w:rsidRPr="00D4328A" w:rsidRDefault="00A77B3E" w:rsidP="006D1FC3">
      <w:pPr>
        <w:spacing w:line="360" w:lineRule="auto"/>
        <w:jc w:val="both"/>
        <w:rPr>
          <w:rFonts w:ascii="Book Antiqua" w:hAnsi="Book Antiqua"/>
        </w:rPr>
      </w:pPr>
    </w:p>
    <w:p w14:paraId="66513C50"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Search and selection</w:t>
      </w:r>
    </w:p>
    <w:p w14:paraId="5583C84A" w14:textId="7AE2AA1F"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A literature search was performed in six bibliographic databases PubMed, Cochrane, Embase, Science Direct, and Web of Science from Jan</w:t>
      </w:r>
      <w:r w:rsidR="00981245">
        <w:rPr>
          <w:rFonts w:ascii="Book Antiqua" w:eastAsia="Book Antiqua" w:hAnsi="Book Antiqua" w:cs="Book Antiqua"/>
          <w:color w:val="000000"/>
        </w:rPr>
        <w:t>uary</w:t>
      </w:r>
      <w:r w:rsidRPr="00D4328A">
        <w:rPr>
          <w:rFonts w:ascii="Book Antiqua" w:eastAsia="Book Antiqua" w:hAnsi="Book Antiqua" w:cs="Book Antiqua"/>
          <w:color w:val="000000"/>
        </w:rPr>
        <w:t xml:space="preserve"> 2020 to July 2022. Using a combination of keywords and medical subject headings, we used vocabulary related to “COVID-19” OR </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SARS-CoV-2</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AND “NASH” OR “NAFLD” OR </w:t>
      </w:r>
      <w:r w:rsidR="00557209" w:rsidRPr="00D4328A">
        <w:rPr>
          <w:rFonts w:ascii="Book Antiqua" w:eastAsia="Book Antiqua" w:hAnsi="Book Antiqua" w:cs="Book Antiqua"/>
          <w:color w:val="000000"/>
        </w:rPr>
        <w:t>“</w:t>
      </w:r>
      <w:r w:rsidR="00981245">
        <w:rPr>
          <w:rFonts w:ascii="Book Antiqua" w:eastAsia="Book Antiqua" w:hAnsi="Book Antiqua" w:cs="Book Antiqua"/>
          <w:color w:val="000000"/>
        </w:rPr>
        <w:t>n</w:t>
      </w:r>
      <w:r w:rsidRPr="00D4328A">
        <w:rPr>
          <w:rFonts w:ascii="Book Antiqua" w:eastAsia="Book Antiqua" w:hAnsi="Book Antiqua" w:cs="Book Antiqua"/>
          <w:color w:val="000000"/>
        </w:rPr>
        <w:t xml:space="preserve">on-alcoholic </w:t>
      </w:r>
      <w:r w:rsidR="00981245">
        <w:rPr>
          <w:rFonts w:ascii="Book Antiqua" w:eastAsia="Book Antiqua" w:hAnsi="Book Antiqua" w:cs="Book Antiqua"/>
          <w:color w:val="000000"/>
        </w:rPr>
        <w:t>f</w:t>
      </w:r>
      <w:r w:rsidRPr="00D4328A">
        <w:rPr>
          <w:rFonts w:ascii="Book Antiqua" w:eastAsia="Book Antiqua" w:hAnsi="Book Antiqua" w:cs="Book Antiqua"/>
          <w:color w:val="000000"/>
        </w:rPr>
        <w:t xml:space="preserve">atty </w:t>
      </w:r>
      <w:r w:rsidR="00981245">
        <w:rPr>
          <w:rFonts w:ascii="Book Antiqua" w:eastAsia="Book Antiqua" w:hAnsi="Book Antiqua" w:cs="Book Antiqua"/>
          <w:color w:val="000000"/>
        </w:rPr>
        <w:t>l</w:t>
      </w:r>
      <w:r w:rsidRPr="00D4328A">
        <w:rPr>
          <w:rFonts w:ascii="Book Antiqua" w:eastAsia="Book Antiqua" w:hAnsi="Book Antiqua" w:cs="Book Antiqua"/>
          <w:color w:val="000000"/>
        </w:rPr>
        <w:t xml:space="preserve">iver </w:t>
      </w:r>
      <w:r w:rsidR="00981245">
        <w:rPr>
          <w:rFonts w:ascii="Book Antiqua" w:eastAsia="Book Antiqua" w:hAnsi="Book Antiqua" w:cs="Book Antiqua"/>
          <w:color w:val="000000"/>
        </w:rPr>
        <w:t>d</w:t>
      </w:r>
      <w:r w:rsidRPr="00D4328A">
        <w:rPr>
          <w:rFonts w:ascii="Book Antiqua" w:eastAsia="Book Antiqua" w:hAnsi="Book Antiqua" w:cs="Book Antiqua"/>
          <w:color w:val="000000"/>
        </w:rPr>
        <w:t xml:space="preserve">isease” OR </w:t>
      </w:r>
      <w:r w:rsidR="00557209" w:rsidRPr="00D4328A">
        <w:rPr>
          <w:rFonts w:ascii="Book Antiqua" w:eastAsia="Book Antiqua" w:hAnsi="Book Antiqua" w:cs="Book Antiqua"/>
          <w:color w:val="000000"/>
        </w:rPr>
        <w:t>“</w:t>
      </w:r>
      <w:r w:rsidR="00981245">
        <w:rPr>
          <w:rFonts w:ascii="Book Antiqua" w:eastAsia="Book Antiqua" w:hAnsi="Book Antiqua" w:cs="Book Antiqua"/>
          <w:color w:val="000000"/>
        </w:rPr>
        <w:t>f</w:t>
      </w:r>
      <w:r w:rsidRPr="00D4328A">
        <w:rPr>
          <w:rFonts w:ascii="Book Antiqua" w:eastAsia="Book Antiqua" w:hAnsi="Book Antiqua" w:cs="Book Antiqua"/>
          <w:color w:val="000000"/>
        </w:rPr>
        <w:t xml:space="preserve">atty </w:t>
      </w:r>
      <w:r w:rsidR="00981245">
        <w:rPr>
          <w:rFonts w:ascii="Book Antiqua" w:eastAsia="Book Antiqua" w:hAnsi="Book Antiqua" w:cs="Book Antiqua"/>
          <w:color w:val="000000"/>
        </w:rPr>
        <w:t>l</w:t>
      </w:r>
      <w:r w:rsidRPr="00D4328A">
        <w:rPr>
          <w:rFonts w:ascii="Book Antiqua" w:eastAsia="Book Antiqua" w:hAnsi="Book Antiqua" w:cs="Book Antiqua"/>
          <w:color w:val="000000"/>
        </w:rPr>
        <w:t>iver</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OR </w:t>
      </w:r>
      <w:r w:rsidR="00557209" w:rsidRPr="00D4328A">
        <w:rPr>
          <w:rFonts w:ascii="Book Antiqua" w:eastAsia="Book Antiqua" w:hAnsi="Book Antiqua" w:cs="Book Antiqua"/>
          <w:color w:val="000000"/>
        </w:rPr>
        <w:t>“</w:t>
      </w:r>
      <w:r w:rsidR="00981245">
        <w:rPr>
          <w:rFonts w:ascii="Book Antiqua" w:eastAsia="Book Antiqua" w:hAnsi="Book Antiqua" w:cs="Book Antiqua"/>
          <w:color w:val="000000"/>
        </w:rPr>
        <w:t>m</w:t>
      </w:r>
      <w:r w:rsidRPr="00D4328A">
        <w:rPr>
          <w:rFonts w:ascii="Book Antiqua" w:eastAsia="Book Antiqua" w:hAnsi="Book Antiqua" w:cs="Book Antiqua"/>
          <w:color w:val="000000"/>
        </w:rPr>
        <w:t xml:space="preserve">etabolic </w:t>
      </w:r>
      <w:r w:rsidR="00981245">
        <w:rPr>
          <w:rFonts w:ascii="Book Antiqua" w:eastAsia="Book Antiqua" w:hAnsi="Book Antiqua" w:cs="Book Antiqua"/>
          <w:color w:val="000000"/>
        </w:rPr>
        <w:t>s</w:t>
      </w:r>
      <w:r w:rsidRPr="00D4328A">
        <w:rPr>
          <w:rFonts w:ascii="Book Antiqua" w:eastAsia="Book Antiqua" w:hAnsi="Book Antiqua" w:cs="Book Antiqua"/>
          <w:color w:val="000000"/>
        </w:rPr>
        <w:t>yndrome</w:t>
      </w:r>
      <w:r w:rsidR="00557209" w:rsidRPr="00D4328A">
        <w:rPr>
          <w:rFonts w:ascii="Book Antiqua" w:eastAsia="Book Antiqua" w:hAnsi="Book Antiqua" w:cs="Book Antiqua"/>
          <w:color w:val="000000"/>
        </w:rPr>
        <w:t>”</w:t>
      </w:r>
      <w:r w:rsidR="006D1FC3" w:rsidRPr="00D4328A">
        <w:rPr>
          <w:rFonts w:ascii="Book Antiqua" w:eastAsia="SimSun" w:hAnsi="Book Antiqua" w:cs="SimSun"/>
        </w:rPr>
        <w:t xml:space="preserve"> (Supplementary</w:t>
      </w:r>
      <w:r w:rsidR="006D1FC3" w:rsidRPr="00D4328A">
        <w:rPr>
          <w:rFonts w:ascii="Book Antiqua" w:eastAsia="Book Antiqua" w:hAnsi="Book Antiqua" w:cs="Book Antiqua"/>
          <w:color w:val="000000"/>
        </w:rPr>
        <w:t xml:space="preserve"> Table 1 shows the search strategy for the study)</w:t>
      </w:r>
      <w:r w:rsidRPr="00D4328A">
        <w:rPr>
          <w:rFonts w:ascii="Book Antiqua" w:eastAsia="Book Antiqua" w:hAnsi="Book Antiqua" w:cs="Book Antiqua"/>
          <w:color w:val="000000"/>
        </w:rPr>
        <w:t>.</w:t>
      </w:r>
    </w:p>
    <w:p w14:paraId="3BA7A90F" w14:textId="539AE0E9"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Six authors (</w:t>
      </w:r>
      <w:r w:rsidR="00557209" w:rsidRPr="00D4328A">
        <w:rPr>
          <w:rFonts w:ascii="Book Antiqua" w:eastAsia="Book Antiqua" w:hAnsi="Book Antiqua" w:cs="Book Antiqua"/>
        </w:rPr>
        <w:t>Jagirdhar GSK</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rPr>
        <w:t>Qasba RK</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rPr>
        <w:t>Kashyap R</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rPr>
        <w:t>Flumignan Bucharles AC</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rPr>
        <w:t>Banga A, and Reddy ST</w:t>
      </w:r>
      <w:r w:rsidRPr="00D4328A">
        <w:rPr>
          <w:rFonts w:ascii="Book Antiqua" w:eastAsia="Book Antiqua" w:hAnsi="Book Antiqua" w:cs="Book Antiqua"/>
          <w:color w:val="000000"/>
        </w:rPr>
        <w:t>)</w:t>
      </w:r>
      <w:r w:rsidR="00557209" w:rsidRPr="00D4328A">
        <w:rPr>
          <w:rFonts w:ascii="Book Antiqua" w:eastAsia="Book Antiqua" w:hAnsi="Book Antiqua" w:cs="Book Antiqua"/>
        </w:rPr>
        <w:t xml:space="preserve"> </w:t>
      </w:r>
      <w:r w:rsidRPr="00D4328A">
        <w:rPr>
          <w:rFonts w:ascii="Book Antiqua" w:eastAsia="Book Antiqua" w:hAnsi="Book Antiqua" w:cs="Book Antiqua"/>
          <w:color w:val="000000"/>
        </w:rPr>
        <w:t>were involved in the study selection. After removing duplicates using Endnote reference manager software, two authors did the title and abstract screening independently using the Rayyan software (https://rayyan.ai/). Studies satisfying the inclusion criteria were retrieved and screened for full-text eligibility. Conflicts between two authors on study selection were resolved among the authors or were solved by an additional third arbiter in case a consensus could not be reached. We included observational studies that studied mortality, hospitalization, hospital length of stay</w:t>
      </w:r>
      <w:r w:rsidR="00981245">
        <w:rPr>
          <w:rFonts w:ascii="Book Antiqua" w:eastAsia="Book Antiqua" w:hAnsi="Book Antiqua" w:cs="Book Antiqua"/>
          <w:color w:val="000000"/>
        </w:rPr>
        <w:t>,</w:t>
      </w:r>
      <w:r w:rsidRPr="00D4328A">
        <w:rPr>
          <w:rFonts w:ascii="Book Antiqua" w:eastAsia="Book Antiqua" w:hAnsi="Book Antiqua" w:cs="Book Antiqua"/>
          <w:color w:val="000000"/>
        </w:rPr>
        <w:t xml:space="preserve"> and supplemental oxygen utilization outcomes in COVID-19 patients. We included studies that assessed NAFLD/MAFLD using lab assessment </w:t>
      </w:r>
      <w:r w:rsidR="00981245">
        <w:rPr>
          <w:rFonts w:ascii="Book Antiqua" w:eastAsia="Book Antiqua" w:hAnsi="Book Antiqua" w:cs="Book Antiqua"/>
          <w:color w:val="000000"/>
        </w:rPr>
        <w:t>(</w:t>
      </w:r>
      <w:r w:rsidR="00557209" w:rsidRPr="00D4328A">
        <w:rPr>
          <w:rFonts w:ascii="Book Antiqua" w:eastAsia="Book Antiqua" w:hAnsi="Book Antiqua" w:cs="Book Antiqua"/>
          <w:color w:val="000000"/>
        </w:rPr>
        <w:t xml:space="preserve">fibrosis-4 </w:t>
      </w:r>
      <w:r w:rsidR="00981245">
        <w:rPr>
          <w:rFonts w:ascii="Book Antiqua" w:eastAsia="Book Antiqua" w:hAnsi="Book Antiqua" w:cs="Book Antiqua"/>
          <w:color w:val="000000"/>
        </w:rPr>
        <w:t>[</w:t>
      </w:r>
      <w:r w:rsidR="00557209" w:rsidRPr="00D4328A">
        <w:rPr>
          <w:rFonts w:ascii="Book Antiqua" w:eastAsia="Book Antiqua" w:hAnsi="Book Antiqua" w:cs="Book Antiqua"/>
          <w:color w:val="000000"/>
        </w:rPr>
        <w:t>FIB-4</w:t>
      </w:r>
      <w:r w:rsidR="00981245">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991538" w:rsidRPr="00D4328A">
        <w:rPr>
          <w:rFonts w:ascii="Book Antiqua" w:eastAsia="Book Antiqua" w:hAnsi="Book Antiqua" w:cs="Book Antiqua"/>
          <w:color w:val="000000"/>
        </w:rPr>
        <w:t>aminotransferase/platelet ratio index</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f</w:t>
      </w:r>
      <w:r w:rsidR="00557209" w:rsidRPr="00D4328A">
        <w:rPr>
          <w:rFonts w:ascii="Book Antiqua" w:eastAsia="Book Antiqua" w:hAnsi="Book Antiqua" w:cs="Book Antiqua"/>
          <w:color w:val="000000"/>
        </w:rPr>
        <w:t>ibrosis</w:t>
      </w:r>
      <w:r w:rsidRPr="00D4328A">
        <w:rPr>
          <w:rFonts w:ascii="Book Antiqua" w:eastAsia="Book Antiqua" w:hAnsi="Book Antiqua" w:cs="Book Antiqua"/>
          <w:color w:val="000000"/>
        </w:rPr>
        <w:t xml:space="preserve"> score, </w:t>
      </w:r>
      <w:r w:rsidR="00557209" w:rsidRPr="00D4328A">
        <w:rPr>
          <w:rFonts w:ascii="Book Antiqua" w:eastAsia="Book Antiqua" w:hAnsi="Book Antiqua" w:cs="Book Antiqua"/>
          <w:color w:val="000000"/>
        </w:rPr>
        <w:t xml:space="preserve">hepatic steatosis index </w:t>
      </w:r>
      <w:r w:rsidR="00981245">
        <w:rPr>
          <w:rFonts w:ascii="Book Antiqua" w:eastAsia="Book Antiqua" w:hAnsi="Book Antiqua" w:cs="Book Antiqua"/>
          <w:color w:val="000000"/>
        </w:rPr>
        <w:t>[</w:t>
      </w:r>
      <w:r w:rsidR="00557209" w:rsidRPr="00D4328A">
        <w:rPr>
          <w:rFonts w:ascii="Book Antiqua" w:eastAsia="Book Antiqua" w:hAnsi="Book Antiqua" w:cs="Book Antiqua"/>
          <w:color w:val="000000"/>
        </w:rPr>
        <w:t>HIS]</w:t>
      </w:r>
      <w:r w:rsidR="00981245">
        <w:rPr>
          <w:rFonts w:ascii="Book Antiqua" w:eastAsia="Book Antiqua" w:hAnsi="Book Antiqua" w:cs="Book Antiqua"/>
          <w:color w:val="000000"/>
        </w:rPr>
        <w:t>)</w:t>
      </w:r>
      <w:r w:rsidRPr="00D4328A">
        <w:rPr>
          <w:rFonts w:ascii="Book Antiqua" w:eastAsia="Book Antiqua" w:hAnsi="Book Antiqua" w:cs="Book Antiqua"/>
          <w:color w:val="000000"/>
        </w:rPr>
        <w:t xml:space="preserve">, non-invasive imaging </w:t>
      </w:r>
      <w:r w:rsidR="00981245">
        <w:rPr>
          <w:rFonts w:ascii="Book Antiqua" w:eastAsia="Book Antiqua" w:hAnsi="Book Antiqua" w:cs="Book Antiqua"/>
          <w:color w:val="000000"/>
        </w:rPr>
        <w:t>(</w:t>
      </w:r>
      <w:r w:rsidR="00557209" w:rsidRPr="00D4328A">
        <w:rPr>
          <w:rFonts w:ascii="Book Antiqua" w:eastAsia="Book Antiqua" w:hAnsi="Book Antiqua" w:cs="Book Antiqua"/>
          <w:color w:val="000000"/>
        </w:rPr>
        <w:t>e</w:t>
      </w:r>
      <w:r w:rsidRPr="00D4328A">
        <w:rPr>
          <w:rFonts w:ascii="Book Antiqua" w:eastAsia="Book Antiqua" w:hAnsi="Book Antiqua" w:cs="Book Antiqua"/>
          <w:color w:val="000000"/>
        </w:rPr>
        <w:t xml:space="preserve">lastography, </w:t>
      </w:r>
      <w:r w:rsidR="00557209" w:rsidRPr="00D4328A">
        <w:rPr>
          <w:rFonts w:ascii="Book Antiqua" w:eastAsia="Book Antiqua" w:hAnsi="Book Antiqua" w:cs="Book Antiqua"/>
          <w:color w:val="000000"/>
        </w:rPr>
        <w:t>l</w:t>
      </w:r>
      <w:r w:rsidRPr="00D4328A">
        <w:rPr>
          <w:rFonts w:ascii="Book Antiqua" w:eastAsia="Book Antiqua" w:hAnsi="Book Antiqua" w:cs="Book Antiqua"/>
          <w:color w:val="000000"/>
        </w:rPr>
        <w:t xml:space="preserve">iver </w:t>
      </w:r>
      <w:r w:rsidR="00557209" w:rsidRPr="00D4328A">
        <w:rPr>
          <w:rFonts w:ascii="Book Antiqua" w:eastAsia="Book Antiqua" w:hAnsi="Book Antiqua" w:cs="Book Antiqua"/>
          <w:color w:val="000000"/>
        </w:rPr>
        <w:t>u</w:t>
      </w:r>
      <w:r w:rsidRPr="00D4328A">
        <w:rPr>
          <w:rFonts w:ascii="Book Antiqua" w:eastAsia="Book Antiqua" w:hAnsi="Book Antiqua" w:cs="Book Antiqua"/>
          <w:color w:val="000000"/>
        </w:rPr>
        <w:t xml:space="preserve">ltrasound or </w:t>
      </w:r>
      <w:r w:rsidR="00557209" w:rsidRPr="00D4328A">
        <w:rPr>
          <w:rFonts w:ascii="Book Antiqua" w:eastAsia="Book Antiqua" w:hAnsi="Book Antiqua" w:cs="Book Antiqua"/>
          <w:color w:val="000000"/>
        </w:rPr>
        <w:t xml:space="preserve">computed tomography </w:t>
      </w:r>
      <w:r w:rsidR="00981245">
        <w:rPr>
          <w:rFonts w:ascii="Book Antiqua" w:eastAsia="Book Antiqua" w:hAnsi="Book Antiqua" w:cs="Book Antiqua"/>
          <w:color w:val="000000"/>
        </w:rPr>
        <w:t>[</w:t>
      </w:r>
      <w:r w:rsidR="00557209" w:rsidRPr="00D4328A">
        <w:rPr>
          <w:rFonts w:ascii="Book Antiqua" w:eastAsia="Book Antiqua" w:hAnsi="Book Antiqua" w:cs="Book Antiqua"/>
          <w:color w:val="000000"/>
        </w:rPr>
        <w:t>CT</w:t>
      </w:r>
      <w:r w:rsidR="00981245">
        <w:rPr>
          <w:rFonts w:ascii="Book Antiqua" w:eastAsia="Book Antiqua" w:hAnsi="Book Antiqua" w:cs="Book Antiqua"/>
          <w:color w:val="000000"/>
        </w:rPr>
        <w:t>]</w:t>
      </w:r>
      <w:r w:rsidRPr="00D4328A">
        <w:rPr>
          <w:rFonts w:ascii="Book Antiqua" w:eastAsia="Book Antiqua" w:hAnsi="Book Antiqua" w:cs="Book Antiqua"/>
          <w:color w:val="000000"/>
        </w:rPr>
        <w:t xml:space="preserve"> scan, </w:t>
      </w:r>
      <w:r w:rsidR="00557209" w:rsidRPr="00D4328A">
        <w:rPr>
          <w:rFonts w:ascii="Book Antiqua" w:eastAsia="Book Antiqua" w:hAnsi="Book Antiqua" w:cs="Book Antiqua"/>
          <w:color w:val="000000"/>
        </w:rPr>
        <w:t>magnetic resonance</w:t>
      </w:r>
      <w:r w:rsidRPr="00D4328A">
        <w:rPr>
          <w:rFonts w:ascii="Book Antiqua" w:eastAsia="Book Antiqua" w:hAnsi="Book Antiqua" w:cs="Book Antiqua"/>
          <w:color w:val="000000"/>
        </w:rPr>
        <w:t xml:space="preserve"> elastography, </w:t>
      </w:r>
      <w:r w:rsidR="00557209" w:rsidRPr="00D4328A">
        <w:rPr>
          <w:rFonts w:ascii="Book Antiqua" w:eastAsia="Book Antiqua" w:hAnsi="Book Antiqua" w:cs="Book Antiqua"/>
          <w:color w:val="000000"/>
        </w:rPr>
        <w:t>l</w:t>
      </w:r>
      <w:r w:rsidRPr="00D4328A">
        <w:rPr>
          <w:rFonts w:ascii="Book Antiqua" w:eastAsia="Book Antiqua" w:hAnsi="Book Antiqua" w:cs="Book Antiqua"/>
          <w:color w:val="000000"/>
        </w:rPr>
        <w:t>iver stiffness measurement</w:t>
      </w:r>
      <w:r w:rsidR="00981245">
        <w:rPr>
          <w:rFonts w:ascii="Book Antiqua" w:eastAsia="Book Antiqua" w:hAnsi="Book Antiqua" w:cs="Book Antiqua"/>
          <w:color w:val="000000"/>
        </w:rPr>
        <w:t>)</w:t>
      </w:r>
      <w:r w:rsidRPr="00D4328A">
        <w:rPr>
          <w:rFonts w:ascii="Book Antiqua" w:eastAsia="Book Antiqua" w:hAnsi="Book Antiqua" w:cs="Book Antiqua"/>
          <w:color w:val="000000"/>
        </w:rPr>
        <w:t>, or liver biopsy. For studies that diagnosed NAFLD using biomarkers/</w:t>
      </w:r>
      <w:r w:rsidR="00557209" w:rsidRPr="00D4328A">
        <w:rPr>
          <w:rFonts w:ascii="Book Antiqua" w:eastAsia="Book Antiqua" w:hAnsi="Book Antiqua" w:cs="Book Antiqua"/>
          <w:color w:val="000000"/>
        </w:rPr>
        <w:t>l</w:t>
      </w:r>
      <w:r w:rsidRPr="00D4328A">
        <w:rPr>
          <w:rFonts w:ascii="Book Antiqua" w:eastAsia="Book Antiqua" w:hAnsi="Book Antiqua" w:cs="Book Antiqua"/>
          <w:color w:val="000000"/>
        </w:rPr>
        <w:t>ab diagnosis, we only included studies that measured NAFLD prior to index admission since acute COVID infection can increase biomarker/</w:t>
      </w:r>
      <w:r w:rsidR="00557209" w:rsidRPr="00D4328A">
        <w:rPr>
          <w:rFonts w:ascii="Book Antiqua" w:eastAsia="Book Antiqua" w:hAnsi="Book Antiqua" w:cs="Book Antiqua"/>
          <w:color w:val="000000"/>
        </w:rPr>
        <w:t>l</w:t>
      </w:r>
      <w:r w:rsidRPr="00D4328A">
        <w:rPr>
          <w:rFonts w:ascii="Book Antiqua" w:eastAsia="Book Antiqua" w:hAnsi="Book Antiqua" w:cs="Book Antiqua"/>
          <w:color w:val="000000"/>
        </w:rPr>
        <w:t>ab values leading to misdiagnosis as NAFLD. We excluded studies that were</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1</w:t>
      </w:r>
      <w:r w:rsidRPr="00D4328A">
        <w:rPr>
          <w:rFonts w:ascii="Book Antiqua" w:eastAsia="Book Antiqua" w:hAnsi="Book Antiqua" w:cs="Book Antiqua"/>
          <w:color w:val="000000"/>
        </w:rPr>
        <w:t>)</w:t>
      </w:r>
      <w:r w:rsidR="00557209"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s</w:t>
      </w:r>
      <w:r w:rsidRPr="00D4328A">
        <w:rPr>
          <w:rFonts w:ascii="Book Antiqua" w:eastAsia="Book Antiqua" w:hAnsi="Book Antiqua" w:cs="Book Antiqua"/>
          <w:color w:val="000000"/>
        </w:rPr>
        <w:t>ystematic reviews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2</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m</w:t>
      </w:r>
      <w:r w:rsidRPr="00D4328A">
        <w:rPr>
          <w:rFonts w:ascii="Book Antiqua" w:eastAsia="Book Antiqua" w:hAnsi="Book Antiqua" w:cs="Book Antiqua"/>
          <w:color w:val="000000"/>
        </w:rPr>
        <w:t>eta-analyses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3</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l</w:t>
      </w:r>
      <w:r w:rsidRPr="00D4328A">
        <w:rPr>
          <w:rFonts w:ascii="Book Antiqua" w:eastAsia="Book Antiqua" w:hAnsi="Book Antiqua" w:cs="Book Antiqua"/>
          <w:color w:val="000000"/>
        </w:rPr>
        <w:t>iterature reviews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4</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s</w:t>
      </w:r>
      <w:r w:rsidRPr="00D4328A">
        <w:rPr>
          <w:rFonts w:ascii="Book Antiqua" w:eastAsia="Book Antiqua" w:hAnsi="Book Antiqua" w:cs="Book Antiqua"/>
          <w:color w:val="000000"/>
        </w:rPr>
        <w:t>urvey studies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5</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c</w:t>
      </w:r>
      <w:r w:rsidRPr="00D4328A">
        <w:rPr>
          <w:rFonts w:ascii="Book Antiqua" w:eastAsia="Book Antiqua" w:hAnsi="Book Antiqua" w:cs="Book Antiqua"/>
          <w:color w:val="000000"/>
        </w:rPr>
        <w:t>ase reports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6</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a</w:t>
      </w:r>
      <w:r w:rsidRPr="00D4328A">
        <w:rPr>
          <w:rFonts w:ascii="Book Antiqua" w:eastAsia="Book Antiqua" w:hAnsi="Book Antiqua" w:cs="Book Antiqua"/>
          <w:color w:val="000000"/>
        </w:rPr>
        <w:t>nimal studies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7</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s</w:t>
      </w:r>
      <w:r w:rsidRPr="00D4328A">
        <w:rPr>
          <w:rFonts w:ascii="Book Antiqua" w:eastAsia="Book Antiqua" w:hAnsi="Book Antiqua" w:cs="Book Antiqua"/>
          <w:color w:val="000000"/>
        </w:rPr>
        <w:t>ingle</w:t>
      </w:r>
      <w:r w:rsidR="00981245">
        <w:rPr>
          <w:rFonts w:ascii="Book Antiqua" w:eastAsia="Book Antiqua" w:hAnsi="Book Antiqua" w:cs="Book Antiqua"/>
          <w:color w:val="000000"/>
        </w:rPr>
        <w:t>-</w:t>
      </w:r>
      <w:r w:rsidRPr="00D4328A">
        <w:rPr>
          <w:rFonts w:ascii="Book Antiqua" w:eastAsia="Book Antiqua" w:hAnsi="Book Antiqua" w:cs="Book Antiqua"/>
          <w:color w:val="000000"/>
        </w:rPr>
        <w:t>arm studies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8</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s</w:t>
      </w:r>
      <w:r w:rsidRPr="00D4328A">
        <w:rPr>
          <w:rFonts w:ascii="Book Antiqua" w:eastAsia="Book Antiqua" w:hAnsi="Book Antiqua" w:cs="Book Antiqua"/>
          <w:color w:val="000000"/>
        </w:rPr>
        <w:t xml:space="preserve">tudies that do not </w:t>
      </w:r>
      <w:r w:rsidRPr="00D4328A">
        <w:rPr>
          <w:rFonts w:ascii="Book Antiqua" w:eastAsia="Book Antiqua" w:hAnsi="Book Antiqua" w:cs="Book Antiqua"/>
          <w:color w:val="000000"/>
        </w:rPr>
        <w:lastRenderedPageBreak/>
        <w:t>measure NAFLD/MAFLD/</w:t>
      </w:r>
      <w:r w:rsidR="00557209" w:rsidRPr="00D4328A">
        <w:rPr>
          <w:rFonts w:ascii="Book Antiqua" w:eastAsia="Book Antiqua" w:hAnsi="Book Antiqua" w:cs="Book Antiqua"/>
          <w:color w:val="000000"/>
        </w:rPr>
        <w:t>f</w:t>
      </w:r>
      <w:r w:rsidRPr="00D4328A">
        <w:rPr>
          <w:rFonts w:ascii="Book Antiqua" w:eastAsia="Book Antiqua" w:hAnsi="Book Antiqua" w:cs="Book Antiqua"/>
          <w:color w:val="000000"/>
        </w:rPr>
        <w:t xml:space="preserve">atty </w:t>
      </w:r>
      <w:r w:rsidR="00557209" w:rsidRPr="00D4328A">
        <w:rPr>
          <w:rFonts w:ascii="Book Antiqua" w:eastAsia="Book Antiqua" w:hAnsi="Book Antiqua" w:cs="Book Antiqua"/>
          <w:color w:val="000000"/>
        </w:rPr>
        <w:t>l</w:t>
      </w:r>
      <w:r w:rsidRPr="00D4328A">
        <w:rPr>
          <w:rFonts w:ascii="Book Antiqua" w:eastAsia="Book Antiqua" w:hAnsi="Book Antiqua" w:cs="Book Antiqua"/>
          <w:color w:val="000000"/>
        </w:rPr>
        <w:t>iver</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9</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n</w:t>
      </w:r>
      <w:r w:rsidRPr="00D4328A">
        <w:rPr>
          <w:rFonts w:ascii="Book Antiqua" w:eastAsia="Book Antiqua" w:hAnsi="Book Antiqua" w:cs="Book Antiqua"/>
          <w:color w:val="000000"/>
        </w:rPr>
        <w:t>ot a retrospective or prospective study</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10</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r</w:t>
      </w:r>
      <w:r w:rsidRPr="00D4328A">
        <w:rPr>
          <w:rFonts w:ascii="Book Antiqua" w:eastAsia="Book Antiqua" w:hAnsi="Book Antiqua" w:cs="Book Antiqua"/>
          <w:color w:val="000000"/>
        </w:rPr>
        <w:t>andomized controlled trials</w:t>
      </w:r>
      <w:r w:rsidR="00557209"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557209" w:rsidRPr="00D4328A">
        <w:rPr>
          <w:rFonts w:ascii="Book Antiqua" w:eastAsia="Book Antiqua" w:hAnsi="Book Antiqua" w:cs="Book Antiqua"/>
          <w:color w:val="000000"/>
        </w:rPr>
        <w:t>11</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s</w:t>
      </w:r>
      <w:r w:rsidRPr="00D4328A">
        <w:rPr>
          <w:rFonts w:ascii="Book Antiqua" w:eastAsia="Book Antiqua" w:hAnsi="Book Antiqua" w:cs="Book Antiqua"/>
          <w:color w:val="000000"/>
        </w:rPr>
        <w:t>tudies not related to COVID-19 patients</w:t>
      </w:r>
      <w:r w:rsidR="003849F1"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color w:val="000000"/>
        </w:rPr>
        <w:t>12</w:t>
      </w:r>
      <w:r w:rsidRPr="00D4328A">
        <w:rPr>
          <w:rFonts w:ascii="Book Antiqua" w:eastAsia="Book Antiqua" w:hAnsi="Book Antiqua" w:cs="Book Antiqua"/>
          <w:color w:val="000000"/>
        </w:rPr>
        <w:t xml:space="preserve">) </w:t>
      </w:r>
      <w:r w:rsidR="00981245">
        <w:rPr>
          <w:rFonts w:ascii="Book Antiqua" w:eastAsia="Book Antiqua" w:hAnsi="Book Antiqua" w:cs="Book Antiqua"/>
          <w:color w:val="000000"/>
        </w:rPr>
        <w:t>n</w:t>
      </w:r>
      <w:r w:rsidRPr="00D4328A">
        <w:rPr>
          <w:rFonts w:ascii="Book Antiqua" w:eastAsia="Book Antiqua" w:hAnsi="Book Antiqua" w:cs="Book Antiqua"/>
          <w:color w:val="000000"/>
        </w:rPr>
        <w:t>ot in English language</w:t>
      </w:r>
      <w:r w:rsidR="003849F1" w:rsidRPr="00D4328A">
        <w:rPr>
          <w:rFonts w:ascii="Book Antiqua" w:eastAsia="Book Antiqua" w:hAnsi="Book Antiqua" w:cs="Book Antiqua"/>
          <w:color w:val="000000"/>
        </w:rPr>
        <w:t>; and</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color w:val="000000"/>
        </w:rPr>
        <w:t>13</w:t>
      </w:r>
      <w:r w:rsidRPr="00D4328A">
        <w:rPr>
          <w:rFonts w:ascii="Book Antiqua" w:eastAsia="Book Antiqua" w:hAnsi="Book Antiqua" w:cs="Book Antiqua"/>
          <w:color w:val="000000"/>
        </w:rPr>
        <w:t xml:space="preserve">) Abstract only studies. We studied NAFLD/MAFLD patients together since recent studies are emerging that NAFLD is related to </w:t>
      </w:r>
      <w:r w:rsidR="00557209" w:rsidRPr="00D4328A">
        <w:rPr>
          <w:rFonts w:ascii="Book Antiqua" w:eastAsia="Book Antiqua" w:hAnsi="Book Antiqua" w:cs="Book Antiqua"/>
          <w:color w:val="000000"/>
        </w:rPr>
        <w:t>MS</w:t>
      </w:r>
      <w:r w:rsidRPr="00D4328A">
        <w:rPr>
          <w:rFonts w:ascii="Book Antiqua" w:eastAsia="Book Antiqua" w:hAnsi="Book Antiqua" w:cs="Book Antiqua"/>
          <w:color w:val="000000"/>
        </w:rPr>
        <w:t xml:space="preserve"> both mutually and bi-directionally. We included studies that compared no or mild NAFLD/MAFLD patient outcomes to moderate or severe NAFLD/MAFLD patient outcomes. We also searched systematic reviews and meta-analyses obtained from our search for eligible articles and added studies meeting our inclusion criteria. When multiple publications used overlapping study populations, we included the study with greater sample size. We grouped studies for the meta-analysis based on mortality, hospitalization, hospital length of stay, and supplemental oxygen utilization outcomes.</w:t>
      </w:r>
    </w:p>
    <w:p w14:paraId="2A3EF203" w14:textId="77777777" w:rsidR="003849F1" w:rsidRPr="00D4328A" w:rsidRDefault="003849F1" w:rsidP="006D1FC3">
      <w:pPr>
        <w:spacing w:line="360" w:lineRule="auto"/>
        <w:jc w:val="both"/>
        <w:rPr>
          <w:rFonts w:ascii="Book Antiqua" w:eastAsia="Book Antiqua" w:hAnsi="Book Antiqua" w:cs="Book Antiqua"/>
          <w:b/>
          <w:bCs/>
          <w:i/>
          <w:iCs/>
          <w:color w:val="000000"/>
        </w:rPr>
      </w:pPr>
    </w:p>
    <w:p w14:paraId="5F29374A" w14:textId="57C7E23C"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Data extraction</w:t>
      </w:r>
    </w:p>
    <w:p w14:paraId="4B3B0B6B" w14:textId="3136008C"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Three independent authors (</w:t>
      </w:r>
      <w:r w:rsidR="003849F1" w:rsidRPr="00D4328A">
        <w:rPr>
          <w:rFonts w:ascii="Book Antiqua" w:eastAsia="Book Antiqua" w:hAnsi="Book Antiqua" w:cs="Book Antiqua"/>
        </w:rPr>
        <w:t>Qasba RK</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rPr>
        <w:t>Banga A</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rPr>
        <w:t>Flumignan Bucharles AC</w:t>
      </w:r>
      <w:r w:rsidRPr="00D4328A">
        <w:rPr>
          <w:rFonts w:ascii="Book Antiqua" w:eastAsia="Book Antiqua" w:hAnsi="Book Antiqua" w:cs="Book Antiqua"/>
          <w:color w:val="000000"/>
        </w:rPr>
        <w:t xml:space="preserve">) performed data extraction from all </w:t>
      </w:r>
      <w:r w:rsidR="009224DB">
        <w:rPr>
          <w:rFonts w:ascii="Book Antiqua" w:eastAsia="Book Antiqua" w:hAnsi="Book Antiqua" w:cs="Book Antiqua"/>
          <w:color w:val="000000"/>
        </w:rPr>
        <w:t xml:space="preserve">of </w:t>
      </w:r>
      <w:r w:rsidRPr="00D4328A">
        <w:rPr>
          <w:rFonts w:ascii="Book Antiqua" w:eastAsia="Book Antiqua" w:hAnsi="Book Antiqua" w:cs="Book Antiqua"/>
          <w:color w:val="000000"/>
        </w:rPr>
        <w:t>the included studies into a prepiloted data extraction form in Microsoft Excel. A fourth author (</w:t>
      </w:r>
      <w:r w:rsidR="003849F1" w:rsidRPr="00D4328A">
        <w:rPr>
          <w:rFonts w:ascii="Book Antiqua" w:eastAsia="Book Antiqua" w:hAnsi="Book Antiqua" w:cs="Book Antiqua"/>
        </w:rPr>
        <w:t>Jagirdhar GSK</w:t>
      </w:r>
      <w:r w:rsidRPr="00D4328A">
        <w:rPr>
          <w:rFonts w:ascii="Book Antiqua" w:eastAsia="Book Antiqua" w:hAnsi="Book Antiqua" w:cs="Book Antiqua"/>
          <w:color w:val="000000"/>
        </w:rPr>
        <w:t xml:space="preserve">) independently assessed the extracted data for validation. The following was extracted from each study: (1) </w:t>
      </w:r>
      <w:r w:rsidR="009224DB">
        <w:rPr>
          <w:rFonts w:ascii="Book Antiqua" w:eastAsia="Book Antiqua" w:hAnsi="Book Antiqua" w:cs="Book Antiqua"/>
          <w:color w:val="000000"/>
        </w:rPr>
        <w:t>g</w:t>
      </w:r>
      <w:r w:rsidRPr="00D4328A">
        <w:rPr>
          <w:rFonts w:ascii="Book Antiqua" w:eastAsia="Book Antiqua" w:hAnsi="Book Antiqua" w:cs="Book Antiqua"/>
          <w:color w:val="000000"/>
        </w:rPr>
        <w:t xml:space="preserve">eneral information: </w:t>
      </w:r>
      <w:r w:rsidR="009224DB">
        <w:rPr>
          <w:rFonts w:ascii="Book Antiqua" w:eastAsia="Book Antiqua" w:hAnsi="Book Antiqua" w:cs="Book Antiqua"/>
          <w:color w:val="000000"/>
        </w:rPr>
        <w:t>f</w:t>
      </w:r>
      <w:r w:rsidRPr="00D4328A">
        <w:rPr>
          <w:rFonts w:ascii="Book Antiqua" w:eastAsia="Book Antiqua" w:hAnsi="Book Antiqua" w:cs="Book Antiqua"/>
          <w:color w:val="000000"/>
        </w:rPr>
        <w:t xml:space="preserve">irst author, title, digital object identifier, and year of publication; (2) </w:t>
      </w:r>
      <w:r w:rsidR="009224DB">
        <w:rPr>
          <w:rFonts w:ascii="Book Antiqua" w:eastAsia="Book Antiqua" w:hAnsi="Book Antiqua" w:cs="Book Antiqua"/>
          <w:color w:val="000000"/>
        </w:rPr>
        <w:t>s</w:t>
      </w:r>
      <w:r w:rsidRPr="00D4328A">
        <w:rPr>
          <w:rFonts w:ascii="Book Antiqua" w:eastAsia="Book Antiqua" w:hAnsi="Book Antiqua" w:cs="Book Antiqua"/>
          <w:color w:val="000000"/>
        </w:rPr>
        <w:t xml:space="preserve">tudy characteristics: </w:t>
      </w:r>
      <w:r w:rsidR="009224DB">
        <w:rPr>
          <w:rFonts w:ascii="Book Antiqua" w:eastAsia="Book Antiqua" w:hAnsi="Book Antiqua" w:cs="Book Antiqua"/>
          <w:color w:val="000000"/>
        </w:rPr>
        <w:t>s</w:t>
      </w:r>
      <w:r w:rsidRPr="00D4328A">
        <w:rPr>
          <w:rFonts w:ascii="Book Antiqua" w:eastAsia="Book Antiqua" w:hAnsi="Book Antiqua" w:cs="Book Antiqua"/>
          <w:color w:val="000000"/>
        </w:rPr>
        <w:t xml:space="preserve">tudy site/country, study period, number of centers, </w:t>
      </w:r>
      <w:r w:rsidR="009224DB">
        <w:rPr>
          <w:rFonts w:ascii="Book Antiqua" w:eastAsia="Book Antiqua" w:hAnsi="Book Antiqua" w:cs="Book Antiqua"/>
          <w:color w:val="000000"/>
        </w:rPr>
        <w:t>j</w:t>
      </w:r>
      <w:r w:rsidRPr="00D4328A">
        <w:rPr>
          <w:rFonts w:ascii="Book Antiqua" w:eastAsia="Book Antiqua" w:hAnsi="Book Antiqua" w:cs="Book Antiqua"/>
          <w:color w:val="000000"/>
        </w:rPr>
        <w:t xml:space="preserve">ournal, </w:t>
      </w:r>
      <w:r w:rsidR="003849F1" w:rsidRPr="00D4328A">
        <w:rPr>
          <w:rFonts w:ascii="Book Antiqua" w:eastAsia="Book Antiqua" w:hAnsi="Book Antiqua" w:cs="Book Antiqua"/>
          <w:color w:val="000000"/>
        </w:rPr>
        <w:t>s</w:t>
      </w:r>
      <w:r w:rsidRPr="00D4328A">
        <w:rPr>
          <w:rFonts w:ascii="Book Antiqua" w:eastAsia="Book Antiqua" w:hAnsi="Book Antiqua" w:cs="Book Antiqua"/>
          <w:color w:val="000000"/>
        </w:rPr>
        <w:t xml:space="preserve">tudy design; (3) </w:t>
      </w:r>
      <w:r w:rsidR="009224DB">
        <w:rPr>
          <w:rFonts w:ascii="Book Antiqua" w:eastAsia="Book Antiqua" w:hAnsi="Book Antiqua" w:cs="Book Antiqua"/>
          <w:color w:val="000000"/>
        </w:rPr>
        <w:t>p</w:t>
      </w:r>
      <w:r w:rsidRPr="00D4328A">
        <w:rPr>
          <w:rFonts w:ascii="Book Antiqua" w:eastAsia="Book Antiqua" w:hAnsi="Book Antiqua" w:cs="Book Antiqua"/>
          <w:color w:val="000000"/>
        </w:rPr>
        <w:t xml:space="preserve">articipant characteristics: </w:t>
      </w:r>
      <w:r w:rsidR="009224DB">
        <w:rPr>
          <w:rFonts w:ascii="Book Antiqua" w:eastAsia="Book Antiqua" w:hAnsi="Book Antiqua" w:cs="Book Antiqua"/>
          <w:color w:val="000000"/>
        </w:rPr>
        <w:t>n</w:t>
      </w:r>
      <w:r w:rsidRPr="00D4328A">
        <w:rPr>
          <w:rFonts w:ascii="Book Antiqua" w:eastAsia="Book Antiqua" w:hAnsi="Book Antiqua" w:cs="Book Antiqua"/>
          <w:color w:val="000000"/>
        </w:rPr>
        <w:t xml:space="preserve">umber of NAFLD/MAFLD and non-NAFLD/MAFLD patients and their demographic characteristics, </w:t>
      </w:r>
      <w:r w:rsidR="003849F1" w:rsidRPr="00D4328A">
        <w:rPr>
          <w:rFonts w:ascii="Book Antiqua" w:eastAsia="Book Antiqua" w:hAnsi="Book Antiqua" w:cs="Book Antiqua"/>
          <w:color w:val="000000"/>
        </w:rPr>
        <w:t>m</w:t>
      </w:r>
      <w:r w:rsidRPr="00D4328A">
        <w:rPr>
          <w:rFonts w:ascii="Book Antiqua" w:eastAsia="Book Antiqua" w:hAnsi="Book Antiqua" w:cs="Book Antiqua"/>
          <w:color w:val="000000"/>
        </w:rPr>
        <w:t xml:space="preserve">ethod of </w:t>
      </w:r>
      <w:r w:rsidR="003849F1" w:rsidRPr="00D4328A">
        <w:rPr>
          <w:rFonts w:ascii="Book Antiqua" w:eastAsia="Book Antiqua" w:hAnsi="Book Antiqua" w:cs="Book Antiqua"/>
          <w:color w:val="000000"/>
        </w:rPr>
        <w:t>a</w:t>
      </w:r>
      <w:r w:rsidRPr="00D4328A">
        <w:rPr>
          <w:rFonts w:ascii="Book Antiqua" w:eastAsia="Book Antiqua" w:hAnsi="Book Antiqua" w:cs="Book Antiqua"/>
          <w:color w:val="000000"/>
        </w:rPr>
        <w:t xml:space="preserve">ssessment of NAFLD; and (4) </w:t>
      </w:r>
      <w:r w:rsidR="009224DB">
        <w:rPr>
          <w:rFonts w:ascii="Book Antiqua" w:eastAsia="Book Antiqua" w:hAnsi="Book Antiqua" w:cs="Book Antiqua"/>
          <w:color w:val="000000"/>
        </w:rPr>
        <w:t>o</w:t>
      </w:r>
      <w:r w:rsidRPr="00D4328A">
        <w:rPr>
          <w:rFonts w:ascii="Book Antiqua" w:eastAsia="Book Antiqua" w:hAnsi="Book Antiqua" w:cs="Book Antiqua"/>
          <w:color w:val="000000"/>
        </w:rPr>
        <w:t xml:space="preserve">utcomes: </w:t>
      </w:r>
      <w:r w:rsidR="009224DB">
        <w:rPr>
          <w:rFonts w:ascii="Book Antiqua" w:eastAsia="Book Antiqua" w:hAnsi="Book Antiqua" w:cs="Book Antiqua"/>
          <w:color w:val="000000"/>
        </w:rPr>
        <w:t>n</w:t>
      </w:r>
      <w:r w:rsidRPr="00D4328A">
        <w:rPr>
          <w:rFonts w:ascii="Book Antiqua" w:eastAsia="Book Antiqua" w:hAnsi="Book Antiqua" w:cs="Book Antiqua"/>
          <w:color w:val="000000"/>
        </w:rPr>
        <w:t>umber of patients with the events (</w:t>
      </w:r>
      <w:r w:rsidR="003849F1" w:rsidRPr="00D4328A">
        <w:rPr>
          <w:rFonts w:ascii="Book Antiqua" w:eastAsia="Book Antiqua" w:hAnsi="Book Antiqua" w:cs="Book Antiqua"/>
          <w:color w:val="000000"/>
        </w:rPr>
        <w:t>m</w:t>
      </w:r>
      <w:r w:rsidRPr="00D4328A">
        <w:rPr>
          <w:rFonts w:ascii="Book Antiqua" w:eastAsia="Book Antiqua" w:hAnsi="Book Antiqua" w:cs="Book Antiqua"/>
          <w:color w:val="000000"/>
        </w:rPr>
        <w:t>ortality, hospital length of stay, hospitalization, and supplemental oxygen utilization) in NAFLD/MAFLD and non-NAFLD/MAFLD populations.</w:t>
      </w:r>
    </w:p>
    <w:p w14:paraId="3331D32D" w14:textId="77777777" w:rsidR="00A77B3E" w:rsidRPr="00D4328A" w:rsidRDefault="00A77B3E" w:rsidP="006D1FC3">
      <w:pPr>
        <w:spacing w:line="360" w:lineRule="auto"/>
        <w:jc w:val="both"/>
        <w:rPr>
          <w:rFonts w:ascii="Book Antiqua" w:hAnsi="Book Antiqua"/>
        </w:rPr>
      </w:pPr>
    </w:p>
    <w:p w14:paraId="197F2DE2" w14:textId="7FBFBFF1"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Statistical analys</w:t>
      </w:r>
      <w:r w:rsidR="009224DB">
        <w:rPr>
          <w:rFonts w:ascii="Book Antiqua" w:eastAsia="Book Antiqua" w:hAnsi="Book Antiqua" w:cs="Book Antiqua"/>
          <w:b/>
          <w:bCs/>
          <w:i/>
          <w:iCs/>
          <w:color w:val="000000"/>
        </w:rPr>
        <w:t>e</w:t>
      </w:r>
      <w:r w:rsidRPr="00D4328A">
        <w:rPr>
          <w:rFonts w:ascii="Book Antiqua" w:eastAsia="Book Antiqua" w:hAnsi="Book Antiqua" w:cs="Book Antiqua"/>
          <w:b/>
          <w:bCs/>
          <w:i/>
          <w:iCs/>
          <w:color w:val="000000"/>
        </w:rPr>
        <w:t>s</w:t>
      </w:r>
    </w:p>
    <w:p w14:paraId="3F0FE3FC" w14:textId="551152E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The Review Manager (RevMan) [Computer application] Version 5.4.1, the Cochrane Collaboration, 2020 was used to assess all results</w:t>
      </w:r>
      <w:r w:rsidRPr="00D4328A">
        <w:rPr>
          <w:rFonts w:ascii="Book Antiqua" w:eastAsia="Book Antiqua" w:hAnsi="Book Antiqua" w:cs="Book Antiqua"/>
          <w:color w:val="000000"/>
          <w:vertAlign w:val="superscript"/>
        </w:rPr>
        <w:t>[18]</w:t>
      </w:r>
      <w:r w:rsidRPr="00D4328A">
        <w:rPr>
          <w:rFonts w:ascii="Book Antiqua" w:eastAsia="Book Antiqua" w:hAnsi="Book Antiqua" w:cs="Book Antiqua"/>
          <w:color w:val="000000"/>
        </w:rPr>
        <w:t>. Using a random-effects model, crude odds ratios (OR</w:t>
      </w:r>
      <w:r w:rsidR="00AF5025">
        <w:rPr>
          <w:rFonts w:ascii="Book Antiqua" w:eastAsia="Book Antiqua" w:hAnsi="Book Antiqua" w:cs="Book Antiqua"/>
          <w:color w:val="000000"/>
        </w:rPr>
        <w:t>s</w:t>
      </w:r>
      <w:r w:rsidRPr="00D4328A">
        <w:rPr>
          <w:rFonts w:ascii="Book Antiqua" w:eastAsia="Book Antiqua" w:hAnsi="Book Antiqua" w:cs="Book Antiqua"/>
          <w:color w:val="000000"/>
        </w:rPr>
        <w:t>) for each study with corresponding 95% confidence intervals (CI</w:t>
      </w:r>
      <w:r w:rsidR="009224DB">
        <w:rPr>
          <w:rFonts w:ascii="Book Antiqua" w:eastAsia="Book Antiqua" w:hAnsi="Book Antiqua" w:cs="Book Antiqua"/>
          <w:color w:val="000000"/>
        </w:rPr>
        <w:t>s</w:t>
      </w:r>
      <w:r w:rsidRPr="00D4328A">
        <w:rPr>
          <w:rFonts w:ascii="Book Antiqua" w:eastAsia="Book Antiqua" w:hAnsi="Book Antiqua" w:cs="Book Antiqua"/>
          <w:color w:val="000000"/>
        </w:rPr>
        <w:t>) were calculated from raw data for events and non-events from each research</w:t>
      </w:r>
      <w:r w:rsidRPr="00D4328A">
        <w:rPr>
          <w:rFonts w:ascii="Book Antiqua" w:eastAsia="Book Antiqua" w:hAnsi="Book Antiqua" w:cs="Book Antiqua"/>
          <w:color w:val="000000"/>
          <w:vertAlign w:val="superscript"/>
        </w:rPr>
        <w:t>[19]</w:t>
      </w:r>
      <w:r w:rsidRPr="00D4328A">
        <w:rPr>
          <w:rFonts w:ascii="Book Antiqua" w:eastAsia="Book Antiqua" w:hAnsi="Book Antiqua" w:cs="Book Antiqua"/>
          <w:color w:val="000000"/>
        </w:rPr>
        <w:t xml:space="preserve">. </w:t>
      </w:r>
      <w:r w:rsidR="009224DB" w:rsidRPr="0009446C">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&lt;</w:t>
      </w:r>
      <w:r w:rsidR="003849F1"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0.05 was </w:t>
      </w:r>
      <w:r w:rsidRPr="00D4328A">
        <w:rPr>
          <w:rFonts w:ascii="Book Antiqua" w:eastAsia="Book Antiqua" w:hAnsi="Book Antiqua" w:cs="Book Antiqua"/>
          <w:color w:val="000000"/>
        </w:rPr>
        <w:lastRenderedPageBreak/>
        <w:t>considered statistically significant for the analysis. Forest plots were generated to present the results of the meta-analyses. A previously proven technique was used to transform the median to mean to examine continuous outcomes</w:t>
      </w:r>
      <w:r w:rsidRPr="00D4328A">
        <w:rPr>
          <w:rFonts w:ascii="Book Antiqua" w:eastAsia="Book Antiqua" w:hAnsi="Book Antiqua" w:cs="Book Antiqua"/>
          <w:color w:val="000000"/>
          <w:vertAlign w:val="superscript"/>
        </w:rPr>
        <w:t>[20]</w:t>
      </w:r>
      <w:r w:rsidRPr="00D4328A">
        <w:rPr>
          <w:rFonts w:ascii="Book Antiqua" w:eastAsia="Book Antiqua" w:hAnsi="Book Antiqua" w:cs="Book Antiqua"/>
          <w:color w:val="000000"/>
        </w:rPr>
        <w:t>. The estimates for mean differences were then produced using the random effects model</w:t>
      </w:r>
      <w:r w:rsidRPr="00D4328A">
        <w:rPr>
          <w:rFonts w:ascii="Book Antiqua" w:eastAsia="Book Antiqua" w:hAnsi="Book Antiqua" w:cs="Book Antiqua"/>
          <w:color w:val="000000"/>
          <w:vertAlign w:val="superscript"/>
        </w:rPr>
        <w:t>[19]</w:t>
      </w:r>
      <w:r w:rsidRPr="00D4328A">
        <w:rPr>
          <w:rFonts w:ascii="Book Antiqua" w:eastAsia="Book Antiqua" w:hAnsi="Book Antiqua" w:cs="Book Antiqua"/>
          <w:color w:val="000000"/>
        </w:rPr>
        <w:t xml:space="preserve">. To measure study heterogeneity, the Cochrane Q and the </w:t>
      </w:r>
      <w:r w:rsidRPr="00D4328A">
        <w:rPr>
          <w:rFonts w:ascii="Book Antiqua" w:eastAsia="Book Antiqua" w:hAnsi="Book Antiqua" w:cs="Book Antiqua"/>
          <w:i/>
          <w:iCs/>
          <w:color w:val="000000"/>
        </w:rPr>
        <w:t>I</w:t>
      </w:r>
      <w:r w:rsidRPr="00D4328A">
        <w:rPr>
          <w:rFonts w:ascii="Book Antiqua" w:eastAsia="Book Antiqua" w:hAnsi="Book Antiqua" w:cs="Book Antiqua"/>
          <w:i/>
          <w:iCs/>
          <w:color w:val="000000"/>
          <w:vertAlign w:val="superscript"/>
        </w:rPr>
        <w:t>2</w:t>
      </w:r>
      <w:r w:rsidRPr="00D4328A">
        <w:rPr>
          <w:rFonts w:ascii="Book Antiqua" w:eastAsia="Book Antiqua" w:hAnsi="Book Antiqua" w:cs="Book Antiqua"/>
          <w:color w:val="000000"/>
        </w:rPr>
        <w:t xml:space="preserve"> statistics were used</w:t>
      </w:r>
      <w:r w:rsidRPr="00D4328A">
        <w:rPr>
          <w:rFonts w:ascii="Book Antiqua" w:eastAsia="Book Antiqua" w:hAnsi="Book Antiqua" w:cs="Book Antiqua"/>
          <w:color w:val="000000"/>
          <w:vertAlign w:val="superscript"/>
        </w:rPr>
        <w:t>[19]</w:t>
      </w:r>
      <w:r w:rsidRPr="00D4328A">
        <w:rPr>
          <w:rFonts w:ascii="Book Antiqua" w:eastAsia="Book Antiqua" w:hAnsi="Book Antiqua" w:cs="Book Antiqua"/>
          <w:color w:val="000000"/>
        </w:rPr>
        <w:t xml:space="preserve">. Low-level heterogeneity was defined as </w:t>
      </w:r>
      <w:r w:rsidRPr="00D4328A">
        <w:rPr>
          <w:rFonts w:ascii="Book Antiqua" w:eastAsia="Book Antiqua" w:hAnsi="Book Antiqua" w:cs="Book Antiqua"/>
          <w:i/>
          <w:iCs/>
          <w:color w:val="000000"/>
        </w:rPr>
        <w:t>I</w:t>
      </w:r>
      <w:r w:rsidRPr="00D4328A">
        <w:rPr>
          <w:rFonts w:ascii="Book Antiqua" w:eastAsia="Book Antiqua" w:hAnsi="Book Antiqua" w:cs="Book Antiqua"/>
          <w:i/>
          <w:iCs/>
          <w:color w:val="000000"/>
          <w:vertAlign w:val="superscript"/>
        </w:rPr>
        <w:t>2</w:t>
      </w:r>
      <w:r w:rsidRPr="00D4328A">
        <w:rPr>
          <w:rFonts w:ascii="Book Antiqua" w:eastAsia="Book Antiqua" w:hAnsi="Book Antiqua" w:cs="Book Antiqua"/>
          <w:color w:val="000000"/>
        </w:rPr>
        <w:t xml:space="preserve"> 20%</w:t>
      </w:r>
      <w:r w:rsidRPr="00D4328A">
        <w:rPr>
          <w:rFonts w:ascii="Book Antiqua" w:eastAsia="Book Antiqua" w:hAnsi="Book Antiqua" w:cs="Book Antiqua"/>
          <w:color w:val="000000"/>
          <w:vertAlign w:val="superscript"/>
        </w:rPr>
        <w:t>[19]</w:t>
      </w:r>
      <w:r w:rsidRPr="00D4328A">
        <w:rPr>
          <w:rFonts w:ascii="Book Antiqua" w:eastAsia="Book Antiqua" w:hAnsi="Book Antiqua" w:cs="Book Antiqua"/>
          <w:color w:val="000000"/>
        </w:rPr>
        <w:t>. The stability of the results was assessed using sensitivity analysis. Egger</w:t>
      </w:r>
      <w:r w:rsidR="003849F1" w:rsidRPr="00D4328A">
        <w:rPr>
          <w:rFonts w:ascii="Book Antiqua" w:eastAsia="Book Antiqua" w:hAnsi="Book Antiqua" w:cs="Book Antiqua"/>
          <w:color w:val="000000"/>
        </w:rPr>
        <w:t>’</w:t>
      </w:r>
      <w:r w:rsidRPr="00D4328A">
        <w:rPr>
          <w:rFonts w:ascii="Book Antiqua" w:eastAsia="Book Antiqua" w:hAnsi="Book Antiqua" w:cs="Book Antiqua"/>
          <w:color w:val="000000"/>
        </w:rPr>
        <w:t>s test and funnel plots were used to determine the likelihood of publication bias</w:t>
      </w:r>
      <w:r w:rsidRPr="00D4328A">
        <w:rPr>
          <w:rFonts w:ascii="Book Antiqua" w:eastAsia="Book Antiqua" w:hAnsi="Book Antiqua" w:cs="Book Antiqua"/>
          <w:color w:val="000000"/>
          <w:vertAlign w:val="superscript"/>
        </w:rPr>
        <w:t>[21]</w:t>
      </w:r>
      <w:r w:rsidRPr="00D4328A">
        <w:rPr>
          <w:rFonts w:ascii="Book Antiqua" w:eastAsia="Book Antiqua" w:hAnsi="Book Antiqua" w:cs="Book Antiqua"/>
          <w:color w:val="000000"/>
        </w:rPr>
        <w:t>.</w:t>
      </w:r>
    </w:p>
    <w:p w14:paraId="5FAA0CD1" w14:textId="77777777" w:rsidR="00A77B3E" w:rsidRPr="00D4328A" w:rsidRDefault="00A77B3E" w:rsidP="006D1FC3">
      <w:pPr>
        <w:spacing w:line="360" w:lineRule="auto"/>
        <w:jc w:val="both"/>
        <w:rPr>
          <w:rFonts w:ascii="Book Antiqua" w:hAnsi="Book Antiqua"/>
        </w:rPr>
      </w:pPr>
    </w:p>
    <w:p w14:paraId="19BA98B4"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Quality assessment</w:t>
      </w:r>
    </w:p>
    <w:p w14:paraId="2680DEA6" w14:textId="21BDA7BB"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The </w:t>
      </w:r>
      <w:r w:rsidR="006D1FC3" w:rsidRPr="00D4328A">
        <w:rPr>
          <w:rFonts w:ascii="Book Antiqua" w:eastAsia="Book Antiqua" w:hAnsi="Book Antiqua" w:cs="Book Antiqua"/>
        </w:rPr>
        <w:t>National Institutes of Health</w:t>
      </w:r>
      <w:r w:rsidRPr="00D4328A">
        <w:rPr>
          <w:rFonts w:ascii="Book Antiqua" w:eastAsia="Book Antiqua" w:hAnsi="Book Antiqua" w:cs="Book Antiqua"/>
          <w:color w:val="000000"/>
        </w:rPr>
        <w:t xml:space="preserve"> scale was used to assess </w:t>
      </w:r>
      <w:r w:rsidR="003849F1" w:rsidRPr="00D4328A">
        <w:rPr>
          <w:rFonts w:ascii="Book Antiqua" w:eastAsia="Book Antiqua" w:hAnsi="Book Antiqua" w:cs="Book Antiqua"/>
          <w:color w:val="000000"/>
        </w:rPr>
        <w:t>case control, cohort, and rand</w:t>
      </w:r>
      <w:r w:rsidRPr="00D4328A">
        <w:rPr>
          <w:rFonts w:ascii="Book Antiqua" w:eastAsia="Book Antiqua" w:hAnsi="Book Antiqua" w:cs="Book Antiqua"/>
          <w:color w:val="000000"/>
        </w:rPr>
        <w:t xml:space="preserve">omized controlled trials for appraisal of study quality. As per the scale, studies were classified into three categories: </w:t>
      </w:r>
      <w:r w:rsidR="009224DB">
        <w:rPr>
          <w:rFonts w:ascii="Book Antiqua" w:eastAsia="Book Antiqua" w:hAnsi="Book Antiqua" w:cs="Book Antiqua"/>
          <w:color w:val="000000"/>
        </w:rPr>
        <w:t>g</w:t>
      </w:r>
      <w:r w:rsidRPr="00D4328A">
        <w:rPr>
          <w:rFonts w:ascii="Book Antiqua" w:eastAsia="Book Antiqua" w:hAnsi="Book Antiqua" w:cs="Book Antiqua"/>
          <w:color w:val="000000"/>
        </w:rPr>
        <w:t xml:space="preserve">ood, fair, or </w:t>
      </w:r>
      <w:r w:rsidR="006839CB">
        <w:rPr>
          <w:rFonts w:ascii="Book Antiqua" w:eastAsia="Book Antiqua" w:hAnsi="Book Antiqua" w:cs="Book Antiqua"/>
          <w:color w:val="000000"/>
        </w:rPr>
        <w:t>p</w:t>
      </w:r>
      <w:r w:rsidRPr="00D4328A">
        <w:rPr>
          <w:rFonts w:ascii="Book Antiqua" w:eastAsia="Book Antiqua" w:hAnsi="Book Antiqua" w:cs="Book Antiqua"/>
          <w:color w:val="000000"/>
        </w:rPr>
        <w:t>oor. Five authors (</w:t>
      </w:r>
      <w:r w:rsidR="003849F1" w:rsidRPr="00D4328A">
        <w:rPr>
          <w:rFonts w:ascii="Book Antiqua" w:eastAsia="Book Antiqua" w:hAnsi="Book Antiqua" w:cs="Book Antiqua"/>
        </w:rPr>
        <w:t>Jagirdhar GSK</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rPr>
        <w:t>Qasba RK</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rPr>
        <w:t>Banga A</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rPr>
        <w:t>Rama K</w:t>
      </w:r>
      <w:r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rPr>
        <w:t>Pattnaik H</w:t>
      </w:r>
      <w:r w:rsidRPr="00D4328A">
        <w:rPr>
          <w:rFonts w:ascii="Book Antiqua" w:eastAsia="Book Antiqua" w:hAnsi="Book Antiqua" w:cs="Book Antiqua"/>
          <w:color w:val="000000"/>
        </w:rPr>
        <w:t>) independently performed the quality assessment of the included studies, and any discrepancies were resolved through discussion.</w:t>
      </w:r>
    </w:p>
    <w:p w14:paraId="38EA550E" w14:textId="77777777" w:rsidR="00A77B3E" w:rsidRPr="00D4328A" w:rsidRDefault="00A77B3E" w:rsidP="006D1FC3">
      <w:pPr>
        <w:spacing w:line="360" w:lineRule="auto"/>
        <w:jc w:val="both"/>
        <w:rPr>
          <w:rFonts w:ascii="Book Antiqua" w:hAnsi="Book Antiqua"/>
        </w:rPr>
      </w:pPr>
    </w:p>
    <w:p w14:paraId="10CDD042"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aps/>
          <w:color w:val="000000"/>
          <w:u w:val="single"/>
        </w:rPr>
        <w:t>RESULTS</w:t>
      </w:r>
    </w:p>
    <w:p w14:paraId="42BB231B"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Search and selection</w:t>
      </w:r>
    </w:p>
    <w:p w14:paraId="203EA651" w14:textId="2757EE1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A total of 1084 records were identified from the initial search, </w:t>
      </w:r>
      <w:r w:rsidR="009224DB">
        <w:rPr>
          <w:rFonts w:ascii="Book Antiqua" w:eastAsia="Book Antiqua" w:hAnsi="Book Antiqua" w:cs="Book Antiqua"/>
          <w:color w:val="000000"/>
        </w:rPr>
        <w:t>of which</w:t>
      </w:r>
      <w:r w:rsidRPr="00D4328A">
        <w:rPr>
          <w:rFonts w:ascii="Book Antiqua" w:eastAsia="Book Antiqua" w:hAnsi="Book Antiqua" w:cs="Book Antiqua"/>
          <w:color w:val="000000"/>
        </w:rPr>
        <w:t xml:space="preserve"> 242 were excluded as duplicates and 842 articles were selected for the screening of title and abstract. Eighty-seven were chosen for full-text screening and a total of </w:t>
      </w:r>
      <w:r w:rsidR="009224DB">
        <w:rPr>
          <w:rFonts w:ascii="Book Antiqua" w:eastAsia="Book Antiqua" w:hAnsi="Book Antiqua" w:cs="Book Antiqua"/>
          <w:color w:val="000000"/>
        </w:rPr>
        <w:t>thirty-two</w:t>
      </w:r>
      <w:r w:rsidR="009224DB" w:rsidRPr="00D4328A">
        <w:rPr>
          <w:rFonts w:ascii="Book Antiqua" w:eastAsia="Book Antiqua" w:hAnsi="Book Antiqua" w:cs="Book Antiqua"/>
          <w:color w:val="000000"/>
        </w:rPr>
        <w:t xml:space="preserve"> </w:t>
      </w:r>
      <w:r w:rsidR="003849F1" w:rsidRPr="00D4328A">
        <w:rPr>
          <w:rFonts w:ascii="Book Antiqua" w:eastAsia="Book Antiqua" w:hAnsi="Book Antiqua" w:cs="Book Antiqua"/>
          <w:color w:val="000000"/>
        </w:rPr>
        <w:t>s</w:t>
      </w:r>
      <w:r w:rsidRPr="00D4328A">
        <w:rPr>
          <w:rFonts w:ascii="Book Antiqua" w:eastAsia="Book Antiqua" w:hAnsi="Book Antiqua" w:cs="Book Antiqua"/>
          <w:color w:val="000000"/>
        </w:rPr>
        <w:t>tudies met the inclusion criteria. These papers were eligible for qualitative and quantitative.</w:t>
      </w:r>
    </w:p>
    <w:p w14:paraId="1E7F2D4C" w14:textId="1C2F6AC4"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Figure 1 shows the PRISMA diagram for the study selection process. Since we included studies that compared mortality, hospitalization, hospital length of stay, and supplemental oxygen utilization in mild or no NAFLD/MAFLD to moderate to severe NAFLD/MAFLD. We excluded studies that did not present these outcomes or those that did not mention the method of NAFLD assessment</w:t>
      </w:r>
      <w:r w:rsidR="003849F1" w:rsidRPr="00D4328A">
        <w:rPr>
          <w:rFonts w:ascii="Book Antiqua" w:eastAsia="Book Antiqua" w:hAnsi="Book Antiqua" w:cs="Book Antiqua"/>
          <w:color w:val="000000"/>
          <w:vertAlign w:val="superscript"/>
        </w:rPr>
        <w:t>[22-28]</w:t>
      </w:r>
      <w:r w:rsidRPr="00D4328A">
        <w:rPr>
          <w:rFonts w:ascii="Book Antiqua" w:eastAsia="Book Antiqua" w:hAnsi="Book Antiqua" w:cs="Book Antiqua"/>
          <w:color w:val="000000"/>
        </w:rPr>
        <w:t>.</w:t>
      </w:r>
    </w:p>
    <w:p w14:paraId="0FF9751C" w14:textId="77777777" w:rsidR="00A77B3E" w:rsidRPr="00D4328A" w:rsidRDefault="00A77B3E" w:rsidP="006D1FC3">
      <w:pPr>
        <w:spacing w:line="360" w:lineRule="auto"/>
        <w:jc w:val="both"/>
        <w:rPr>
          <w:rFonts w:ascii="Book Antiqua" w:hAnsi="Book Antiqua"/>
        </w:rPr>
      </w:pPr>
    </w:p>
    <w:p w14:paraId="700E64FF"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Characteristics of included studies</w:t>
      </w:r>
    </w:p>
    <w:p w14:paraId="734582D2" w14:textId="7354A5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lastRenderedPageBreak/>
        <w:t xml:space="preserve">We analyzed data for a total of 43388 patients from </w:t>
      </w:r>
      <w:r w:rsidR="00AF5025">
        <w:rPr>
          <w:rFonts w:ascii="Book Antiqua" w:eastAsia="Book Antiqua" w:hAnsi="Book Antiqua" w:cs="Book Antiqua"/>
          <w:color w:val="000000"/>
        </w:rPr>
        <w:t>32</w:t>
      </w:r>
      <w:r w:rsidRPr="00D4328A">
        <w:rPr>
          <w:rFonts w:ascii="Book Antiqua" w:eastAsia="Book Antiqua" w:hAnsi="Book Antiqua" w:cs="Book Antiqua"/>
          <w:color w:val="000000"/>
        </w:rPr>
        <w:t xml:space="preserve"> studies in the meta-analysis of which 8538 (20%) patients were observed to have NAFLD and 34850 did not have NAFLD. The studies observed the outcomes of patients infected with COVID-19 with and without NAFLD/MAFLD. The outcomes recorded were the rate of hospitalization, length of stay in the hospital, supplemental oxygen requirement, and mortality of patients in both groups.</w:t>
      </w:r>
    </w:p>
    <w:p w14:paraId="4CB8999D" w14:textId="090653CF"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 xml:space="preserve">All 29 of 32 studies reported mortality data for COVID-19 infection. </w:t>
      </w:r>
      <w:r w:rsidR="00AF5025">
        <w:rPr>
          <w:rFonts w:ascii="Book Antiqua" w:eastAsia="Book Antiqua" w:hAnsi="Book Antiqua" w:cs="Book Antiqua"/>
          <w:color w:val="000000"/>
        </w:rPr>
        <w:t>Ten</w:t>
      </w:r>
      <w:r w:rsidR="00AF5025"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studies reported hospital length of stay, </w:t>
      </w:r>
      <w:r w:rsidR="00AF5025">
        <w:rPr>
          <w:rFonts w:ascii="Book Antiqua" w:eastAsia="Book Antiqua" w:hAnsi="Book Antiqua" w:cs="Book Antiqua"/>
          <w:color w:val="000000"/>
        </w:rPr>
        <w:t>four</w:t>
      </w:r>
      <w:r w:rsidR="00AF5025"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studies reported need for hospitalization, and </w:t>
      </w:r>
      <w:r w:rsidR="00AF5025">
        <w:rPr>
          <w:rFonts w:ascii="Book Antiqua" w:eastAsia="Book Antiqua" w:hAnsi="Book Antiqua" w:cs="Book Antiqua"/>
          <w:color w:val="000000"/>
        </w:rPr>
        <w:t xml:space="preserve">four </w:t>
      </w:r>
      <w:r w:rsidRPr="00D4328A">
        <w:rPr>
          <w:rFonts w:ascii="Book Antiqua" w:eastAsia="Book Antiqua" w:hAnsi="Book Antiqua" w:cs="Book Antiqua"/>
          <w:color w:val="000000"/>
        </w:rPr>
        <w:t>reported supplemental oxygen utilization.</w:t>
      </w:r>
      <w:r w:rsidRPr="00D4328A">
        <w:rPr>
          <w:rFonts w:ascii="Book Antiqua" w:eastAsia="Book Antiqua" w:hAnsi="Book Antiqua" w:cs="Book Antiqua"/>
          <w:b/>
          <w:bCs/>
          <w:color w:val="000000"/>
        </w:rPr>
        <w:t xml:space="preserve"> </w:t>
      </w:r>
      <w:r w:rsidRPr="00D4328A">
        <w:rPr>
          <w:rFonts w:ascii="Book Antiqua" w:eastAsia="Book Antiqua" w:hAnsi="Book Antiqua" w:cs="Book Antiqua"/>
          <w:color w:val="000000"/>
        </w:rPr>
        <w:t>The main characteristics of the included studies are summarized in Table 1.</w:t>
      </w:r>
    </w:p>
    <w:p w14:paraId="60EA0874" w14:textId="77777777" w:rsidR="00A77B3E" w:rsidRPr="00D4328A" w:rsidRDefault="00A77B3E" w:rsidP="006D1FC3">
      <w:pPr>
        <w:spacing w:line="360" w:lineRule="auto"/>
        <w:jc w:val="both"/>
        <w:rPr>
          <w:rFonts w:ascii="Book Antiqua" w:hAnsi="Book Antiqua"/>
        </w:rPr>
      </w:pPr>
    </w:p>
    <w:p w14:paraId="0D5343FA" w14:textId="2700F13A"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NAFLD/MAFLD and mortality outcomes in COVID-19: </w:t>
      </w:r>
      <w:r w:rsidRPr="00D4328A">
        <w:rPr>
          <w:rFonts w:ascii="Book Antiqua" w:eastAsia="Book Antiqua" w:hAnsi="Book Antiqua" w:cs="Book Antiqua"/>
          <w:color w:val="000000"/>
        </w:rPr>
        <w:t xml:space="preserve">A total of 42254 patients from </w:t>
      </w:r>
      <w:r w:rsidR="00AF5025">
        <w:rPr>
          <w:rFonts w:ascii="Book Antiqua" w:eastAsia="Book Antiqua" w:hAnsi="Book Antiqua" w:cs="Book Antiqua"/>
          <w:color w:val="000000"/>
        </w:rPr>
        <w:t>28</w:t>
      </w:r>
      <w:r w:rsidRPr="00D4328A">
        <w:rPr>
          <w:rFonts w:ascii="Book Antiqua" w:eastAsia="Book Antiqua" w:hAnsi="Book Antiqua" w:cs="Book Antiqua"/>
          <w:color w:val="000000"/>
        </w:rPr>
        <w:t xml:space="preserve"> studies were included in the qualitative analysis. A total of 2008 patients died from COVID-</w:t>
      </w:r>
      <w:r w:rsidR="00FB42F6" w:rsidRPr="00D4328A">
        <w:rPr>
          <w:rFonts w:ascii="Book Antiqua" w:eastAsia="Book Antiqua" w:hAnsi="Book Antiqua" w:cs="Book Antiqua"/>
          <w:color w:val="000000"/>
        </w:rPr>
        <w:t>19:</w:t>
      </w:r>
      <w:r w:rsidRPr="00D4328A">
        <w:rPr>
          <w:rFonts w:ascii="Book Antiqua" w:eastAsia="Book Antiqua" w:hAnsi="Book Antiqua" w:cs="Book Antiqua"/>
          <w:color w:val="000000"/>
        </w:rPr>
        <w:t xml:space="preserve"> 837 (10.52%) in the NAFLD group and 1171 (3.41%) in the non-NAFLD group. The </w:t>
      </w:r>
      <w:r w:rsidR="00AF5025">
        <w:rPr>
          <w:rFonts w:ascii="Book Antiqua" w:eastAsia="Book Antiqua" w:hAnsi="Book Antiqua" w:cs="Book Antiqua"/>
          <w:color w:val="000000"/>
        </w:rPr>
        <w:t>OR</w:t>
      </w:r>
      <w:r w:rsidRPr="00D4328A">
        <w:rPr>
          <w:rFonts w:ascii="Book Antiqua" w:eastAsia="Book Antiqua" w:hAnsi="Book Antiqua" w:cs="Book Antiqua"/>
          <w:color w:val="000000"/>
        </w:rPr>
        <w:t xml:space="preserve"> was 1.38 for mortality with a 95%CI of 0.97-1.95, </w:t>
      </w:r>
      <w:r w:rsidRPr="00D4328A">
        <w:rPr>
          <w:rFonts w:ascii="Book Antiqua" w:eastAsia="Book Antiqua" w:hAnsi="Book Antiqua" w:cs="Book Antiqua"/>
          <w:i/>
          <w:iCs/>
          <w:color w:val="000000"/>
        </w:rPr>
        <w:t>I</w:t>
      </w:r>
      <w:r w:rsidRPr="00D4328A">
        <w:rPr>
          <w:rFonts w:ascii="Book Antiqua" w:eastAsia="Book Antiqua" w:hAnsi="Book Antiqua" w:cs="Book Antiqua"/>
          <w:i/>
          <w:iCs/>
          <w:color w:val="000000"/>
          <w:vertAlign w:val="superscript"/>
        </w:rPr>
        <w:t>2</w:t>
      </w:r>
      <w:r w:rsidRPr="00D4328A">
        <w:rPr>
          <w:rFonts w:ascii="Book Antiqua" w:eastAsia="Book Antiqua" w:hAnsi="Book Antiqua" w:cs="Book Antiqua"/>
          <w:color w:val="000000"/>
        </w:rPr>
        <w:t xml:space="preserve"> = 84%, and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 0.07. Figure 2</w:t>
      </w:r>
      <w:r w:rsidR="003849F1" w:rsidRPr="00D4328A">
        <w:rPr>
          <w:rFonts w:ascii="Book Antiqua" w:eastAsia="Book Antiqua" w:hAnsi="Book Antiqua" w:cs="Book Antiqua"/>
          <w:color w:val="000000"/>
        </w:rPr>
        <w:t>A</w:t>
      </w:r>
      <w:r w:rsidRPr="00D4328A">
        <w:rPr>
          <w:rFonts w:ascii="Book Antiqua" w:eastAsia="Book Antiqua" w:hAnsi="Book Antiqua" w:cs="Book Antiqua"/>
          <w:color w:val="000000"/>
        </w:rPr>
        <w:t xml:space="preserve"> shows the forest plot and meta-analysis of mortality outcomes in COVID-19 patients. Figure </w:t>
      </w:r>
      <w:r w:rsidR="003849F1" w:rsidRPr="00D4328A">
        <w:rPr>
          <w:rFonts w:ascii="Book Antiqua" w:eastAsia="Book Antiqua" w:hAnsi="Book Antiqua" w:cs="Book Antiqua"/>
          <w:color w:val="000000"/>
        </w:rPr>
        <w:t>2B</w:t>
      </w:r>
      <w:r w:rsidRPr="00D4328A">
        <w:rPr>
          <w:rFonts w:ascii="Book Antiqua" w:eastAsia="Book Antiqua" w:hAnsi="Book Antiqua" w:cs="Book Antiqua"/>
          <w:color w:val="000000"/>
        </w:rPr>
        <w:t xml:space="preserve"> shows the sensitivity analysis of the studies. We failed to observe an association between NAFLD/MAFLD and </w:t>
      </w:r>
      <w:r w:rsidR="003849F1" w:rsidRPr="00D4328A">
        <w:rPr>
          <w:rFonts w:ascii="Book Antiqua" w:eastAsia="Book Antiqua" w:hAnsi="Book Antiqua" w:cs="Book Antiqua"/>
          <w:color w:val="000000"/>
        </w:rPr>
        <w:t>i</w:t>
      </w:r>
      <w:r w:rsidRPr="00D4328A">
        <w:rPr>
          <w:rFonts w:ascii="Book Antiqua" w:eastAsia="Book Antiqua" w:hAnsi="Book Antiqua" w:cs="Book Antiqua"/>
          <w:color w:val="000000"/>
        </w:rPr>
        <w:t>n-hospital mortality in COVID-19 patients. Visual inspection of the standard error plots for the mortality meta-analysis (Supplementary Figure</w:t>
      </w:r>
      <w:r w:rsidR="003849F1" w:rsidRPr="00D4328A">
        <w:rPr>
          <w:rFonts w:ascii="Book Antiqua" w:eastAsia="Book Antiqua" w:hAnsi="Book Antiqua" w:cs="Book Antiqua"/>
          <w:color w:val="000000"/>
        </w:rPr>
        <w:t xml:space="preserve"> 1</w:t>
      </w:r>
      <w:r w:rsidRPr="00D4328A">
        <w:rPr>
          <w:rFonts w:ascii="Book Antiqua" w:eastAsia="Book Antiqua" w:hAnsi="Book Antiqua" w:cs="Book Antiqua"/>
          <w:color w:val="000000"/>
        </w:rPr>
        <w:t xml:space="preserve">) suggests symmetry without an underrepresentation of studies of any precision. No publication bias was found on Egger’s test,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 0.466.</w:t>
      </w:r>
    </w:p>
    <w:p w14:paraId="4E638EA2" w14:textId="77777777" w:rsidR="00A77B3E" w:rsidRPr="00D4328A" w:rsidRDefault="00A77B3E" w:rsidP="006D1FC3">
      <w:pPr>
        <w:spacing w:line="360" w:lineRule="auto"/>
        <w:jc w:val="both"/>
        <w:rPr>
          <w:rFonts w:ascii="Book Antiqua" w:hAnsi="Book Antiqua"/>
        </w:rPr>
      </w:pPr>
    </w:p>
    <w:p w14:paraId="5C63BB43" w14:textId="6C5E0399"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NAFLD/MAFLD and </w:t>
      </w:r>
      <w:r w:rsidR="00B700AB">
        <w:rPr>
          <w:rFonts w:ascii="Book Antiqua" w:eastAsia="Book Antiqua" w:hAnsi="Book Antiqua" w:cs="Book Antiqua"/>
          <w:b/>
          <w:bCs/>
          <w:color w:val="000000"/>
        </w:rPr>
        <w:t>h</w:t>
      </w:r>
      <w:r w:rsidRPr="00D4328A">
        <w:rPr>
          <w:rFonts w:ascii="Book Antiqua" w:eastAsia="Book Antiqua" w:hAnsi="Book Antiqua" w:cs="Book Antiqua"/>
          <w:b/>
          <w:bCs/>
          <w:color w:val="000000"/>
        </w:rPr>
        <w:t xml:space="preserve">ospitalization in COVID-19: </w:t>
      </w:r>
      <w:r w:rsidRPr="00D4328A">
        <w:rPr>
          <w:rFonts w:ascii="Book Antiqua" w:eastAsia="Book Antiqua" w:hAnsi="Book Antiqua" w:cs="Book Antiqua"/>
          <w:color w:val="000000"/>
        </w:rPr>
        <w:t xml:space="preserve">Four studies were taken for </w:t>
      </w:r>
      <w:r w:rsidR="00B700AB">
        <w:rPr>
          <w:rFonts w:ascii="Book Antiqua" w:eastAsia="Book Antiqua" w:hAnsi="Book Antiqua" w:cs="Book Antiqua"/>
          <w:color w:val="000000"/>
        </w:rPr>
        <w:t xml:space="preserve">the </w:t>
      </w:r>
      <w:r w:rsidRPr="00D4328A">
        <w:rPr>
          <w:rFonts w:ascii="Book Antiqua" w:eastAsia="Book Antiqua" w:hAnsi="Book Antiqua" w:cs="Book Antiqua"/>
          <w:color w:val="000000"/>
        </w:rPr>
        <w:t>quantitative analysis with 28199 patients to assess the need for hospitalization in NAFLD and non-NAFLD groups with COVID-19. A total of 4302 patients were hospitalized for COVID-19: 765 (50.83%) patients from the NAFLD group and 3537</w:t>
      </w:r>
      <w:r w:rsidR="003849F1"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(13.25%) patients from the non-NAFLD group. The </w:t>
      </w:r>
      <w:r w:rsidR="00B700AB">
        <w:rPr>
          <w:rFonts w:ascii="Book Antiqua" w:eastAsia="Book Antiqua" w:hAnsi="Book Antiqua" w:cs="Book Antiqua"/>
          <w:color w:val="000000"/>
        </w:rPr>
        <w:t>OR</w:t>
      </w:r>
      <w:r w:rsidRPr="00D4328A">
        <w:rPr>
          <w:rFonts w:ascii="Book Antiqua" w:eastAsia="Book Antiqua" w:hAnsi="Book Antiqua" w:cs="Book Antiqua"/>
          <w:color w:val="000000"/>
        </w:rPr>
        <w:t xml:space="preserve"> </w:t>
      </w:r>
      <w:r w:rsidR="00B700AB">
        <w:rPr>
          <w:rFonts w:ascii="Book Antiqua" w:eastAsia="Book Antiqua" w:hAnsi="Book Antiqua" w:cs="Book Antiqua"/>
          <w:color w:val="000000"/>
        </w:rPr>
        <w:t>was</w:t>
      </w:r>
      <w:r w:rsidRPr="00D4328A">
        <w:rPr>
          <w:rFonts w:ascii="Book Antiqua" w:eastAsia="Book Antiqua" w:hAnsi="Book Antiqua" w:cs="Book Antiqua"/>
          <w:color w:val="000000"/>
        </w:rPr>
        <w:t xml:space="preserve"> 3.25 with a 95%CI of 1.73-6.10, </w:t>
      </w:r>
      <w:r w:rsidRPr="00D4328A">
        <w:rPr>
          <w:rFonts w:ascii="Book Antiqua" w:eastAsia="Book Antiqua" w:hAnsi="Book Antiqua" w:cs="Book Antiqua"/>
          <w:i/>
          <w:iCs/>
          <w:color w:val="000000"/>
        </w:rPr>
        <w:t>I</w:t>
      </w:r>
      <w:r w:rsidRPr="00D4328A">
        <w:rPr>
          <w:rFonts w:ascii="Book Antiqua" w:eastAsia="Book Antiqua" w:hAnsi="Book Antiqua" w:cs="Book Antiqua"/>
          <w:i/>
          <w:iCs/>
          <w:color w:val="000000"/>
          <w:vertAlign w:val="superscript"/>
        </w:rPr>
        <w:t>2</w:t>
      </w:r>
      <w:r w:rsidRPr="00D4328A">
        <w:rPr>
          <w:rFonts w:ascii="Book Antiqua" w:eastAsia="Book Antiqua" w:hAnsi="Book Antiqua" w:cs="Book Antiqua"/>
          <w:color w:val="000000"/>
        </w:rPr>
        <w:t xml:space="preserve"> = 92%, and a </w:t>
      </w:r>
      <w:r w:rsidR="003849F1" w:rsidRPr="00D4328A">
        <w:rPr>
          <w:rFonts w:ascii="Book Antiqua" w:eastAsia="Book Antiqua" w:hAnsi="Book Antiqua" w:cs="Book Antiqua"/>
          <w:i/>
          <w:iCs/>
          <w:color w:val="000000"/>
        </w:rPr>
        <w:t>P</w:t>
      </w:r>
      <w:r w:rsidR="002901F8">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 0.0002. Figure </w:t>
      </w:r>
      <w:r w:rsidR="003849F1" w:rsidRPr="00D4328A">
        <w:rPr>
          <w:rFonts w:ascii="Book Antiqua" w:eastAsia="Book Antiqua" w:hAnsi="Book Antiqua" w:cs="Book Antiqua"/>
          <w:color w:val="000000"/>
        </w:rPr>
        <w:t>3A</w:t>
      </w:r>
      <w:r w:rsidRPr="00D4328A">
        <w:rPr>
          <w:rFonts w:ascii="Book Antiqua" w:eastAsia="Book Antiqua" w:hAnsi="Book Antiqua" w:cs="Book Antiqua"/>
          <w:color w:val="000000"/>
        </w:rPr>
        <w:t xml:space="preserve"> shows the forest plot for hospitalization in COVID-19 patients with and without NAFLD/MAFLD. Figure </w:t>
      </w:r>
      <w:r w:rsidR="003849F1" w:rsidRPr="00D4328A">
        <w:rPr>
          <w:rFonts w:ascii="Book Antiqua" w:eastAsia="Book Antiqua" w:hAnsi="Book Antiqua" w:cs="Book Antiqua"/>
          <w:color w:val="000000"/>
        </w:rPr>
        <w:t>3B</w:t>
      </w:r>
      <w:r w:rsidRPr="00D4328A">
        <w:rPr>
          <w:rFonts w:ascii="Book Antiqua" w:eastAsia="Book Antiqua" w:hAnsi="Book Antiqua" w:cs="Book Antiqua"/>
          <w:color w:val="000000"/>
        </w:rPr>
        <w:t xml:space="preserve"> shows the sensitivity analysis of the studies. Visual inspection of the standard error plots for the need for hospital admission meta-analysis </w:t>
      </w:r>
      <w:r w:rsidRPr="00D4328A">
        <w:rPr>
          <w:rFonts w:ascii="Book Antiqua" w:eastAsia="Book Antiqua" w:hAnsi="Book Antiqua" w:cs="Book Antiqua"/>
          <w:color w:val="000000"/>
        </w:rPr>
        <w:lastRenderedPageBreak/>
        <w:t>showed (Supplementary Figure</w:t>
      </w:r>
      <w:r w:rsidR="003849F1" w:rsidRPr="00D4328A">
        <w:rPr>
          <w:rFonts w:ascii="Book Antiqua" w:eastAsia="Book Antiqua" w:hAnsi="Book Antiqua" w:cs="Book Antiqua"/>
          <w:color w:val="000000"/>
        </w:rPr>
        <w:t xml:space="preserve"> 2</w:t>
      </w:r>
      <w:r w:rsidRPr="00D4328A">
        <w:rPr>
          <w:rFonts w:ascii="Book Antiqua" w:eastAsia="Book Antiqua" w:hAnsi="Book Antiqua" w:cs="Book Antiqua"/>
          <w:color w:val="000000"/>
        </w:rPr>
        <w:t xml:space="preserve">) symmetry without an underrepresentation of studies of any precision. No publication bias was found (Egger’s test,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 0.254). However, as there were &lt;</w:t>
      </w:r>
      <w:r w:rsidR="003849F1"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10 studies included in the analysis</w:t>
      </w:r>
      <w:r w:rsidR="002901F8">
        <w:rPr>
          <w:rFonts w:ascii="Book Antiqua" w:eastAsia="Book Antiqua" w:hAnsi="Book Antiqua" w:cs="Book Antiqua"/>
          <w:color w:val="000000"/>
        </w:rPr>
        <w:t xml:space="preserve">, </w:t>
      </w:r>
      <w:r w:rsidRPr="00D4328A">
        <w:rPr>
          <w:rFonts w:ascii="Book Antiqua" w:eastAsia="Book Antiqua" w:hAnsi="Book Antiqua" w:cs="Book Antiqua"/>
          <w:color w:val="000000"/>
        </w:rPr>
        <w:t>publication bias cannot be completely excluded.</w:t>
      </w:r>
    </w:p>
    <w:p w14:paraId="7913CE15" w14:textId="77777777" w:rsidR="00A77B3E" w:rsidRPr="00D4328A" w:rsidRDefault="00A77B3E" w:rsidP="006D1FC3">
      <w:pPr>
        <w:spacing w:line="360" w:lineRule="auto"/>
        <w:jc w:val="both"/>
        <w:rPr>
          <w:rFonts w:ascii="Book Antiqua" w:hAnsi="Book Antiqua"/>
        </w:rPr>
      </w:pPr>
    </w:p>
    <w:p w14:paraId="07D5E62E" w14:textId="727DBEA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NAFLD/ MAFLD and </w:t>
      </w:r>
      <w:r w:rsidR="00B700AB">
        <w:rPr>
          <w:rFonts w:ascii="Book Antiqua" w:eastAsia="Book Antiqua" w:hAnsi="Book Antiqua" w:cs="Book Antiqua"/>
          <w:b/>
          <w:bCs/>
          <w:color w:val="000000"/>
        </w:rPr>
        <w:t>h</w:t>
      </w:r>
      <w:r w:rsidRPr="00D4328A">
        <w:rPr>
          <w:rFonts w:ascii="Book Antiqua" w:eastAsia="Book Antiqua" w:hAnsi="Book Antiqua" w:cs="Book Antiqua"/>
          <w:b/>
          <w:bCs/>
          <w:color w:val="000000"/>
        </w:rPr>
        <w:t xml:space="preserve">ospital length of stay in COVID-19: </w:t>
      </w:r>
      <w:r w:rsidRPr="00D4328A">
        <w:rPr>
          <w:rFonts w:ascii="Book Antiqua" w:eastAsia="Book Antiqua" w:hAnsi="Book Antiqua" w:cs="Book Antiqua"/>
          <w:color w:val="000000"/>
        </w:rPr>
        <w:t xml:space="preserve">A total of 5043 patients from </w:t>
      </w:r>
      <w:r w:rsidR="00B700AB">
        <w:rPr>
          <w:rFonts w:ascii="Book Antiqua" w:eastAsia="Book Antiqua" w:hAnsi="Book Antiqua" w:cs="Book Antiqua"/>
          <w:color w:val="000000"/>
        </w:rPr>
        <w:t>10</w:t>
      </w:r>
      <w:r w:rsidR="00B700AB"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studies were included in the qualitative analysis. A total of</w:t>
      </w:r>
      <w:r w:rsidRPr="00D4328A">
        <w:rPr>
          <w:rFonts w:ascii="Book Antiqua" w:eastAsia="Book Antiqua" w:hAnsi="Book Antiqua" w:cs="Book Antiqua"/>
          <w:b/>
          <w:bCs/>
          <w:color w:val="000000"/>
        </w:rPr>
        <w:t xml:space="preserve"> </w:t>
      </w:r>
      <w:r w:rsidRPr="00D4328A">
        <w:rPr>
          <w:rFonts w:ascii="Book Antiqua" w:eastAsia="Book Antiqua" w:hAnsi="Book Antiqua" w:cs="Book Antiqua"/>
          <w:color w:val="000000"/>
        </w:rPr>
        <w:t xml:space="preserve">1318 patients </w:t>
      </w:r>
      <w:r w:rsidR="00B700AB">
        <w:rPr>
          <w:rFonts w:ascii="Book Antiqua" w:eastAsia="Book Antiqua" w:hAnsi="Book Antiqua" w:cs="Book Antiqua"/>
          <w:color w:val="000000"/>
        </w:rPr>
        <w:t xml:space="preserve">were </w:t>
      </w:r>
      <w:r w:rsidRPr="00D4328A">
        <w:rPr>
          <w:rFonts w:ascii="Book Antiqua" w:eastAsia="Book Antiqua" w:hAnsi="Book Antiqua" w:cs="Book Antiqua"/>
          <w:color w:val="000000"/>
        </w:rPr>
        <w:t xml:space="preserve">in the NAFLD group and 3725 patients </w:t>
      </w:r>
      <w:r w:rsidR="00B700AB">
        <w:rPr>
          <w:rFonts w:ascii="Book Antiqua" w:eastAsia="Book Antiqua" w:hAnsi="Book Antiqua" w:cs="Book Antiqua"/>
          <w:color w:val="000000"/>
        </w:rPr>
        <w:t xml:space="preserve">were </w:t>
      </w:r>
      <w:r w:rsidRPr="00D4328A">
        <w:rPr>
          <w:rFonts w:ascii="Book Antiqua" w:eastAsia="Book Antiqua" w:hAnsi="Book Antiqua" w:cs="Book Antiqua"/>
          <w:color w:val="000000"/>
        </w:rPr>
        <w:t xml:space="preserve">in the non-NAFLD group. A qualitative synthesis showed that the mean difference in hospital length of stay was 1.99 d between the NAFLD and non-NAFLD groups </w:t>
      </w:r>
      <w:r w:rsidR="00B700AB">
        <w:rPr>
          <w:rFonts w:ascii="Book Antiqua" w:eastAsia="Book Antiqua" w:hAnsi="Book Antiqua" w:cs="Book Antiqua"/>
          <w:color w:val="000000"/>
        </w:rPr>
        <w:t>with</w:t>
      </w:r>
      <w:r w:rsidR="00B700AB"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a 95%CI of 0.71-3.27, </w:t>
      </w:r>
      <w:r w:rsidRPr="00D4328A">
        <w:rPr>
          <w:rFonts w:ascii="Book Antiqua" w:eastAsia="Book Antiqua" w:hAnsi="Book Antiqua" w:cs="Book Antiqua"/>
          <w:i/>
          <w:iCs/>
          <w:color w:val="000000"/>
        </w:rPr>
        <w:t>I</w:t>
      </w:r>
      <w:r w:rsidRPr="00D4328A">
        <w:rPr>
          <w:rFonts w:ascii="Book Antiqua" w:eastAsia="Book Antiqua" w:hAnsi="Book Antiqua" w:cs="Book Antiqua"/>
          <w:i/>
          <w:iCs/>
          <w:color w:val="000000"/>
          <w:vertAlign w:val="superscript"/>
        </w:rPr>
        <w:t>2</w:t>
      </w:r>
      <w:r w:rsidRPr="00D4328A">
        <w:rPr>
          <w:rFonts w:ascii="Book Antiqua" w:eastAsia="Book Antiqua" w:hAnsi="Book Antiqua" w:cs="Book Antiqua"/>
          <w:color w:val="000000"/>
        </w:rPr>
        <w:t xml:space="preserve"> = 70%, and </w:t>
      </w:r>
      <w:r w:rsidR="003849F1" w:rsidRPr="00D4328A">
        <w:rPr>
          <w:rFonts w:ascii="Book Antiqua" w:eastAsia="Book Antiqua" w:hAnsi="Book Antiqua" w:cs="Book Antiqua"/>
          <w:i/>
          <w:iCs/>
          <w:color w:val="000000"/>
        </w:rPr>
        <w:t>P</w:t>
      </w:r>
      <w:r w:rsidR="00B700AB">
        <w:rPr>
          <w:rFonts w:ascii="Book Antiqua" w:eastAsia="Book Antiqua" w:hAnsi="Book Antiqua" w:cs="Book Antiqua"/>
          <w:i/>
          <w:iCs/>
          <w:color w:val="000000"/>
        </w:rPr>
        <w:t xml:space="preserve"> =</w:t>
      </w:r>
      <w:r w:rsidRPr="00D4328A">
        <w:rPr>
          <w:rFonts w:ascii="Book Antiqua" w:eastAsia="Book Antiqua" w:hAnsi="Book Antiqua" w:cs="Book Antiqua"/>
          <w:color w:val="000000"/>
        </w:rPr>
        <w:t xml:space="preserve"> 0.002. This denotes an average of </w:t>
      </w:r>
      <w:r w:rsidR="003849F1" w:rsidRPr="00D4328A">
        <w:rPr>
          <w:rFonts w:ascii="Book Antiqua" w:eastAsia="Book Antiqua" w:hAnsi="Book Antiqua" w:cs="Book Antiqua"/>
          <w:color w:val="000000"/>
        </w:rPr>
        <w:t xml:space="preserve">about </w:t>
      </w:r>
      <w:r w:rsidRPr="00D4328A">
        <w:rPr>
          <w:rFonts w:ascii="Book Antiqua" w:eastAsia="Book Antiqua" w:hAnsi="Book Antiqua" w:cs="Book Antiqua"/>
          <w:color w:val="000000"/>
        </w:rPr>
        <w:t xml:space="preserve">2 d of additional hospital stays among NAFLD/MAFLD patients with COVID-19. Figure </w:t>
      </w:r>
      <w:r w:rsidR="003849F1" w:rsidRPr="00D4328A">
        <w:rPr>
          <w:rFonts w:ascii="Book Antiqua" w:eastAsia="Book Antiqua" w:hAnsi="Book Antiqua" w:cs="Book Antiqua"/>
          <w:color w:val="000000"/>
        </w:rPr>
        <w:t>4A</w:t>
      </w:r>
      <w:r w:rsidRPr="00D4328A">
        <w:rPr>
          <w:rFonts w:ascii="Book Antiqua" w:eastAsia="Book Antiqua" w:hAnsi="Book Antiqua" w:cs="Book Antiqua"/>
          <w:color w:val="000000"/>
        </w:rPr>
        <w:t xml:space="preserve"> shows a forest plot and meta-analysis of hospital length of stay in COVID-19 patients with and without NAFLD/MAFLD. Figure </w:t>
      </w:r>
      <w:r w:rsidR="003849F1" w:rsidRPr="00D4328A">
        <w:rPr>
          <w:rFonts w:ascii="Book Antiqua" w:eastAsia="Book Antiqua" w:hAnsi="Book Antiqua" w:cs="Book Antiqua"/>
          <w:color w:val="000000"/>
        </w:rPr>
        <w:t>4B</w:t>
      </w:r>
      <w:r w:rsidRPr="00D4328A">
        <w:rPr>
          <w:rFonts w:ascii="Book Antiqua" w:eastAsia="Book Antiqua" w:hAnsi="Book Antiqua" w:cs="Book Antiqua"/>
          <w:color w:val="000000"/>
        </w:rPr>
        <w:t xml:space="preserve"> shows the sensitivity analysis of the studies. Visual inspection of the standard error plots for the </w:t>
      </w:r>
      <w:r w:rsidR="003849F1" w:rsidRPr="00D4328A">
        <w:rPr>
          <w:rFonts w:ascii="Book Antiqua" w:eastAsia="Book Antiqua" w:hAnsi="Book Antiqua" w:cs="Book Antiqua"/>
          <w:color w:val="000000"/>
        </w:rPr>
        <w:t>hospital le</w:t>
      </w:r>
      <w:r w:rsidRPr="00D4328A">
        <w:rPr>
          <w:rFonts w:ascii="Book Antiqua" w:eastAsia="Book Antiqua" w:hAnsi="Book Antiqua" w:cs="Book Antiqua"/>
          <w:color w:val="000000"/>
        </w:rPr>
        <w:t>ngth of stay meta-analysis (Supplementary Figure</w:t>
      </w:r>
      <w:r w:rsidR="003849F1" w:rsidRPr="00D4328A">
        <w:rPr>
          <w:rFonts w:ascii="Book Antiqua" w:eastAsia="Book Antiqua" w:hAnsi="Book Antiqua" w:cs="Book Antiqua"/>
          <w:color w:val="000000"/>
        </w:rPr>
        <w:t xml:space="preserve"> 3</w:t>
      </w:r>
      <w:r w:rsidRPr="00D4328A">
        <w:rPr>
          <w:rFonts w:ascii="Book Antiqua" w:eastAsia="Book Antiqua" w:hAnsi="Book Antiqua" w:cs="Book Antiqua"/>
          <w:color w:val="000000"/>
        </w:rPr>
        <w:t xml:space="preserve">) suggests symmetry without an underrepresentation of studies of any precision. Publication bias was found on Egger’s test,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 0.013.</w:t>
      </w:r>
    </w:p>
    <w:p w14:paraId="33EC3194" w14:textId="77777777" w:rsidR="00A77B3E" w:rsidRPr="00D4328A" w:rsidRDefault="00A77B3E" w:rsidP="006D1FC3">
      <w:pPr>
        <w:spacing w:line="360" w:lineRule="auto"/>
        <w:jc w:val="both"/>
        <w:rPr>
          <w:rFonts w:ascii="Book Antiqua" w:hAnsi="Book Antiqua"/>
        </w:rPr>
      </w:pPr>
    </w:p>
    <w:p w14:paraId="0736BD75" w14:textId="46521FB9"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color w:val="000000"/>
        </w:rPr>
        <w:t xml:space="preserve">NAFLD/MAFLD and </w:t>
      </w:r>
      <w:r w:rsidR="003849F1" w:rsidRPr="00D4328A">
        <w:rPr>
          <w:rFonts w:ascii="Book Antiqua" w:eastAsia="Book Antiqua" w:hAnsi="Book Antiqua" w:cs="Book Antiqua"/>
          <w:b/>
          <w:bCs/>
          <w:color w:val="000000"/>
        </w:rPr>
        <w:t>s</w:t>
      </w:r>
      <w:r w:rsidRPr="00D4328A">
        <w:rPr>
          <w:rFonts w:ascii="Book Antiqua" w:eastAsia="Book Antiqua" w:hAnsi="Book Antiqua" w:cs="Book Antiqua"/>
          <w:b/>
          <w:bCs/>
          <w:color w:val="000000"/>
        </w:rPr>
        <w:t xml:space="preserve">upplemental oxygen utilization in COVID-19: </w:t>
      </w:r>
      <w:r w:rsidRPr="00D4328A">
        <w:rPr>
          <w:rFonts w:ascii="Book Antiqua" w:eastAsia="Book Antiqua" w:hAnsi="Book Antiqua" w:cs="Book Antiqua"/>
          <w:color w:val="000000"/>
        </w:rPr>
        <w:t xml:space="preserve">A total of 3609 patients from four studies were included in the qualitative analysis to assess the requirement for supplemental oxygen in COVID-19 patients during their in-hospital stay. </w:t>
      </w:r>
      <w:r w:rsidR="004D169A">
        <w:rPr>
          <w:rFonts w:ascii="Book Antiqua" w:eastAsia="Book Antiqua" w:hAnsi="Book Antiqua" w:cs="Book Antiqua"/>
          <w:color w:val="000000"/>
        </w:rPr>
        <w:t xml:space="preserve">A total of </w:t>
      </w:r>
      <w:r w:rsidRPr="00D4328A">
        <w:rPr>
          <w:rFonts w:ascii="Book Antiqua" w:eastAsia="Book Antiqua" w:hAnsi="Book Antiqua" w:cs="Book Antiqua"/>
          <w:color w:val="000000"/>
        </w:rPr>
        <w:t xml:space="preserve">170 (7.30%) patients in the NAFLD group and 96 (7.48 %) in the non-NAFLD group required supplemental oxygen. The </w:t>
      </w:r>
      <w:r w:rsidR="004D169A">
        <w:rPr>
          <w:rFonts w:ascii="Book Antiqua" w:eastAsia="Book Antiqua" w:hAnsi="Book Antiqua" w:cs="Book Antiqua"/>
          <w:color w:val="000000"/>
        </w:rPr>
        <w:t>OR</w:t>
      </w:r>
      <w:r w:rsidRPr="00D4328A">
        <w:rPr>
          <w:rFonts w:ascii="Book Antiqua" w:eastAsia="Book Antiqua" w:hAnsi="Book Antiqua" w:cs="Book Antiqua"/>
          <w:color w:val="000000"/>
        </w:rPr>
        <w:t xml:space="preserve"> was 2.04 with a 95%CI of 1.17-3.53, </w:t>
      </w:r>
      <w:r w:rsidRPr="00D4328A">
        <w:rPr>
          <w:rFonts w:ascii="Book Antiqua" w:eastAsia="Book Antiqua" w:hAnsi="Book Antiqua" w:cs="Book Antiqua"/>
          <w:i/>
          <w:iCs/>
          <w:color w:val="000000"/>
        </w:rPr>
        <w:t>I</w:t>
      </w:r>
      <w:r w:rsidRPr="00D4328A">
        <w:rPr>
          <w:rFonts w:ascii="Book Antiqua" w:eastAsia="Book Antiqua" w:hAnsi="Book Antiqua" w:cs="Book Antiqua"/>
          <w:i/>
          <w:iCs/>
          <w:color w:val="000000"/>
          <w:vertAlign w:val="superscript"/>
        </w:rPr>
        <w:t>2</w:t>
      </w:r>
      <w:r w:rsidRPr="00D4328A">
        <w:rPr>
          <w:rFonts w:ascii="Book Antiqua" w:eastAsia="Book Antiqua" w:hAnsi="Book Antiqua" w:cs="Book Antiqua"/>
          <w:i/>
          <w:iCs/>
          <w:color w:val="000000"/>
        </w:rPr>
        <w:t xml:space="preserve">= 56%, </w:t>
      </w:r>
      <w:r w:rsidRPr="00D4328A">
        <w:rPr>
          <w:rFonts w:ascii="Book Antiqua" w:eastAsia="Book Antiqua" w:hAnsi="Book Antiqua" w:cs="Book Antiqua"/>
          <w:color w:val="000000"/>
        </w:rPr>
        <w:t xml:space="preserve">and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w:t>
      </w:r>
      <w:r w:rsidR="004D169A">
        <w:rPr>
          <w:rFonts w:ascii="Book Antiqua" w:eastAsia="Book Antiqua" w:hAnsi="Book Antiqua" w:cs="Book Antiqua"/>
          <w:color w:val="000000"/>
        </w:rPr>
        <w:t>=</w:t>
      </w:r>
      <w:r w:rsidRPr="00D4328A">
        <w:rPr>
          <w:rFonts w:ascii="Book Antiqua" w:eastAsia="Book Antiqua" w:hAnsi="Book Antiqua" w:cs="Book Antiqua"/>
          <w:color w:val="000000"/>
        </w:rPr>
        <w:t xml:space="preserve"> 0.01. Figure </w:t>
      </w:r>
      <w:r w:rsidR="003849F1" w:rsidRPr="00D4328A">
        <w:rPr>
          <w:rFonts w:ascii="Book Antiqua" w:eastAsia="Book Antiqua" w:hAnsi="Book Antiqua" w:cs="Book Antiqua"/>
          <w:color w:val="000000"/>
        </w:rPr>
        <w:t>5A</w:t>
      </w:r>
      <w:r w:rsidRPr="00D4328A">
        <w:rPr>
          <w:rFonts w:ascii="Book Antiqua" w:eastAsia="Book Antiqua" w:hAnsi="Book Antiqua" w:cs="Book Antiqua"/>
          <w:color w:val="000000"/>
        </w:rPr>
        <w:t xml:space="preserve"> shows a forest plot and meta-analysis of supplemental oxygen utilization in COVID-19 patients with and without NAFLD/MAFLD. Figure </w:t>
      </w:r>
      <w:r w:rsidR="003849F1" w:rsidRPr="00D4328A">
        <w:rPr>
          <w:rFonts w:ascii="Book Antiqua" w:eastAsia="Book Antiqua" w:hAnsi="Book Antiqua" w:cs="Book Antiqua"/>
          <w:color w:val="000000"/>
        </w:rPr>
        <w:t>5B</w:t>
      </w:r>
      <w:r w:rsidRPr="00D4328A">
        <w:rPr>
          <w:rFonts w:ascii="Book Antiqua" w:eastAsia="Book Antiqua" w:hAnsi="Book Antiqua" w:cs="Book Antiqua"/>
          <w:color w:val="000000"/>
        </w:rPr>
        <w:t xml:space="preserve"> shows the sensitivity analysis of the studies. Visual inspection of the standard error plots for the need for supplemental oxygen requirement meta-analysis (Supplementary Figure</w:t>
      </w:r>
      <w:r w:rsidR="003849F1" w:rsidRPr="00D4328A">
        <w:rPr>
          <w:rFonts w:ascii="Book Antiqua" w:eastAsia="Book Antiqua" w:hAnsi="Book Antiqua" w:cs="Book Antiqua"/>
          <w:color w:val="000000"/>
        </w:rPr>
        <w:t xml:space="preserve"> 4</w:t>
      </w:r>
      <w:r w:rsidRPr="00D4328A">
        <w:rPr>
          <w:rFonts w:ascii="Book Antiqua" w:eastAsia="Book Antiqua" w:hAnsi="Book Antiqua" w:cs="Book Antiqua"/>
          <w:color w:val="000000"/>
        </w:rPr>
        <w:t xml:space="preserve">) suggests symmetry without an underrepresentation of studies of any precision. No publication bias was found on Egger’s test,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 0.500. However, as there were &lt;</w:t>
      </w:r>
      <w:r w:rsidR="003849F1"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10 studies included in the analysis</w:t>
      </w:r>
      <w:r w:rsidR="006D4BF7">
        <w:rPr>
          <w:rFonts w:ascii="Book Antiqua" w:eastAsia="Book Antiqua" w:hAnsi="Book Antiqua" w:cs="Book Antiqua"/>
          <w:color w:val="000000"/>
        </w:rPr>
        <w:t>,</w:t>
      </w:r>
      <w:r w:rsidRPr="00D4328A">
        <w:rPr>
          <w:rFonts w:ascii="Book Antiqua" w:eastAsia="Book Antiqua" w:hAnsi="Book Antiqua" w:cs="Book Antiqua"/>
          <w:color w:val="000000"/>
        </w:rPr>
        <w:t xml:space="preserve"> publication bias cannot be completely excluded.</w:t>
      </w:r>
    </w:p>
    <w:p w14:paraId="067F195D" w14:textId="3E28E14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lastRenderedPageBreak/>
        <w:t xml:space="preserve">Quality </w:t>
      </w:r>
      <w:r w:rsidR="003849F1" w:rsidRPr="00D4328A">
        <w:rPr>
          <w:rFonts w:ascii="Book Antiqua" w:eastAsia="Book Antiqua" w:hAnsi="Book Antiqua" w:cs="Book Antiqua"/>
          <w:b/>
          <w:bCs/>
          <w:i/>
          <w:iCs/>
          <w:color w:val="000000"/>
        </w:rPr>
        <w:t>a</w:t>
      </w:r>
      <w:r w:rsidRPr="00D4328A">
        <w:rPr>
          <w:rFonts w:ascii="Book Antiqua" w:eastAsia="Book Antiqua" w:hAnsi="Book Antiqua" w:cs="Book Antiqua"/>
          <w:b/>
          <w:bCs/>
          <w:i/>
          <w:iCs/>
          <w:color w:val="000000"/>
        </w:rPr>
        <w:t>ssessment</w:t>
      </w:r>
    </w:p>
    <w:p w14:paraId="54FCABF9" w14:textId="5D0102C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Figures for quality assessment of case-control, cross-sectional, and cohort studies included in our study are attached with </w:t>
      </w:r>
      <w:r w:rsidR="003A288C" w:rsidRPr="00D4328A">
        <w:rPr>
          <w:rFonts w:ascii="Book Antiqua" w:eastAsia="Book Antiqua" w:hAnsi="Book Antiqua" w:cs="Book Antiqua"/>
          <w:color w:val="000000"/>
        </w:rPr>
        <w:t xml:space="preserve">Supplementary </w:t>
      </w:r>
      <w:r w:rsidRPr="00D4328A">
        <w:rPr>
          <w:rFonts w:ascii="Book Antiqua" w:eastAsia="Book Antiqua" w:hAnsi="Book Antiqua" w:cs="Book Antiqua"/>
          <w:color w:val="000000"/>
        </w:rPr>
        <w:t xml:space="preserve">material. For case-control studies, the quality assessment of included studies identified three as good quality, one as fair, and no poor rated studies. None of the studies were able to recruit a concurrent control or blind the outcome assessors. Only Madan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[4</w:t>
      </w:r>
      <w:r w:rsidR="003849F1" w:rsidRPr="00D4328A">
        <w:rPr>
          <w:rFonts w:ascii="Book Antiqua" w:eastAsia="Book Antiqua" w:hAnsi="Book Antiqua" w:cs="Book Antiqua"/>
          <w:color w:val="000000"/>
          <w:vertAlign w:val="superscript"/>
        </w:rPr>
        <w:t>1</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discussed reasons for selecting included participants, providing a sample size justification additionally, Trivedi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w:t>
      </w:r>
      <w:r w:rsidR="00B1621C" w:rsidRPr="00D4328A">
        <w:rPr>
          <w:rFonts w:ascii="Book Antiqua" w:eastAsia="Book Antiqua" w:hAnsi="Book Antiqua" w:cs="Book Antiqua"/>
          <w:color w:val="000000"/>
          <w:vertAlign w:val="superscript"/>
        </w:rPr>
        <w:t>48</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were the only ones to include a random selection of participants. For included </w:t>
      </w:r>
      <w:r w:rsidR="00B1621C" w:rsidRPr="00D4328A">
        <w:rPr>
          <w:rFonts w:ascii="Book Antiqua" w:eastAsia="Book Antiqua" w:hAnsi="Book Antiqua" w:cs="Book Antiqua"/>
          <w:color w:val="000000"/>
        </w:rPr>
        <w:t>c</w:t>
      </w:r>
      <w:r w:rsidRPr="00D4328A">
        <w:rPr>
          <w:rFonts w:ascii="Book Antiqua" w:eastAsia="Book Antiqua" w:hAnsi="Book Antiqua" w:cs="Book Antiqua"/>
          <w:color w:val="000000"/>
        </w:rPr>
        <w:t xml:space="preserve">ohorts, </w:t>
      </w:r>
      <w:r w:rsidR="004D169A">
        <w:rPr>
          <w:rFonts w:ascii="Book Antiqua" w:eastAsia="Book Antiqua" w:hAnsi="Book Antiqua" w:cs="Book Antiqua"/>
          <w:color w:val="000000"/>
        </w:rPr>
        <w:t>19</w:t>
      </w:r>
      <w:r w:rsidR="004D169A"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were identified as good and </w:t>
      </w:r>
      <w:r w:rsidR="004D169A">
        <w:rPr>
          <w:rFonts w:ascii="Book Antiqua" w:eastAsia="Book Antiqua" w:hAnsi="Book Antiqua" w:cs="Book Antiqua"/>
          <w:color w:val="000000"/>
        </w:rPr>
        <w:t>10</w:t>
      </w:r>
      <w:r w:rsidR="004D169A"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as fair with no poor rated studies. Only Kim </w:t>
      </w:r>
      <w:r w:rsidRPr="00D4328A">
        <w:rPr>
          <w:rFonts w:ascii="Book Antiqua" w:eastAsia="Book Antiqua" w:hAnsi="Book Antiqua" w:cs="Book Antiqua"/>
          <w:i/>
          <w:iCs/>
          <w:color w:val="000000"/>
        </w:rPr>
        <w:t>et al</w:t>
      </w:r>
      <w:r w:rsidR="00B1621C" w:rsidRPr="00D4328A">
        <w:rPr>
          <w:rFonts w:ascii="Book Antiqua" w:eastAsia="Book Antiqua" w:hAnsi="Book Antiqua" w:cs="Book Antiqua"/>
          <w:color w:val="000000"/>
          <w:vertAlign w:val="superscript"/>
        </w:rPr>
        <w:t>[40]</w:t>
      </w:r>
      <w:r w:rsidRPr="00D4328A">
        <w:rPr>
          <w:rFonts w:ascii="Book Antiqua" w:eastAsia="Book Antiqua" w:hAnsi="Book Antiqua" w:cs="Book Antiqua"/>
          <w:color w:val="000000"/>
        </w:rPr>
        <w:t xml:space="preserve">, Yoo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[5</w:t>
      </w:r>
      <w:r w:rsidR="00B1621C" w:rsidRPr="00D4328A">
        <w:rPr>
          <w:rFonts w:ascii="Book Antiqua" w:eastAsia="Book Antiqua" w:hAnsi="Book Antiqua" w:cs="Book Antiqua"/>
          <w:color w:val="000000"/>
          <w:vertAlign w:val="superscript"/>
        </w:rPr>
        <w:t>4</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and Zhou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[5</w:t>
      </w:r>
      <w:r w:rsidR="00B1621C" w:rsidRPr="00D4328A">
        <w:rPr>
          <w:rFonts w:ascii="Book Antiqua" w:eastAsia="Book Antiqua" w:hAnsi="Book Antiqua" w:cs="Book Antiqua"/>
          <w:color w:val="000000"/>
          <w:vertAlign w:val="superscript"/>
        </w:rPr>
        <w:t>6</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could provide a sample size justification additionally studies scored poorly on blinding of outcome assessors with only Marjot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[4</w:t>
      </w:r>
      <w:r w:rsidR="00B1621C" w:rsidRPr="00D4328A">
        <w:rPr>
          <w:rFonts w:ascii="Book Antiqua" w:eastAsia="Book Antiqua" w:hAnsi="Book Antiqua" w:cs="Book Antiqua"/>
          <w:color w:val="000000"/>
          <w:vertAlign w:val="superscript"/>
        </w:rPr>
        <w:t>2</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and Zhou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[5</w:t>
      </w:r>
      <w:r w:rsidR="00B1621C" w:rsidRPr="00D4328A">
        <w:rPr>
          <w:rFonts w:ascii="Book Antiqua" w:eastAsia="Book Antiqua" w:hAnsi="Book Antiqua" w:cs="Book Antiqua"/>
          <w:color w:val="000000"/>
          <w:vertAlign w:val="superscript"/>
        </w:rPr>
        <w:t>6</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being able to do so, Furthermore Ji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[3</w:t>
      </w:r>
      <w:r w:rsidR="00B1621C" w:rsidRPr="00D4328A">
        <w:rPr>
          <w:rFonts w:ascii="Book Antiqua" w:eastAsia="Book Antiqua" w:hAnsi="Book Antiqua" w:cs="Book Antiqua"/>
          <w:color w:val="000000"/>
          <w:vertAlign w:val="superscript"/>
        </w:rPr>
        <w:t>4</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and Huang </w:t>
      </w:r>
      <w:r w:rsidRPr="00D4328A">
        <w:rPr>
          <w:rFonts w:ascii="Book Antiqua" w:eastAsia="Book Antiqua" w:hAnsi="Book Antiqua" w:cs="Book Antiqua"/>
          <w:i/>
          <w:iCs/>
          <w:color w:val="000000"/>
        </w:rPr>
        <w:t>et al</w:t>
      </w:r>
      <w:r w:rsidRPr="00D4328A">
        <w:rPr>
          <w:rFonts w:ascii="Book Antiqua" w:eastAsia="Book Antiqua" w:hAnsi="Book Antiqua" w:cs="Book Antiqua"/>
          <w:color w:val="000000"/>
          <w:vertAlign w:val="superscript"/>
        </w:rPr>
        <w:t>[</w:t>
      </w:r>
      <w:r w:rsidR="00B1621C" w:rsidRPr="00D4328A">
        <w:rPr>
          <w:rFonts w:ascii="Book Antiqua" w:eastAsia="Book Antiqua" w:hAnsi="Book Antiqua" w:cs="Book Antiqua"/>
          <w:color w:val="000000"/>
          <w:vertAlign w:val="superscript"/>
        </w:rPr>
        <w:t>38</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were the only ones to measure exposure more than once for each person during the study period</w:t>
      </w:r>
      <w:r w:rsidR="006D1FC3" w:rsidRPr="00D4328A">
        <w:rPr>
          <w:rFonts w:ascii="Book Antiqua" w:eastAsia="Book Antiqua" w:hAnsi="Book Antiqua" w:cs="Book Antiqua"/>
          <w:color w:val="000000"/>
        </w:rPr>
        <w:t xml:space="preserve"> (</w:t>
      </w:r>
      <w:r w:rsidR="006D1FC3" w:rsidRPr="00D4328A">
        <w:rPr>
          <w:rFonts w:ascii="Book Antiqua" w:eastAsia="SimSun" w:hAnsi="Book Antiqua" w:cs="SimSun"/>
        </w:rPr>
        <w:t>Supplementary</w:t>
      </w:r>
      <w:r w:rsidR="006D1FC3" w:rsidRPr="00D4328A">
        <w:rPr>
          <w:rFonts w:ascii="Book Antiqua" w:eastAsia="Book Antiqua" w:hAnsi="Book Antiqua" w:cs="Book Antiqua"/>
          <w:color w:val="000000"/>
        </w:rPr>
        <w:t xml:space="preserve"> Tables 2 and 3 show the </w:t>
      </w:r>
      <w:r w:rsidR="006D1FC3" w:rsidRPr="00D4328A">
        <w:rPr>
          <w:rFonts w:ascii="Book Antiqua" w:eastAsia="Book Antiqua" w:hAnsi="Book Antiqua" w:cs="Book Antiqua"/>
        </w:rPr>
        <w:t>Quality assessment of the studies included based on the National Institutes of Health quality appraisal tool for case control, cohort, and cross-sectional studies)</w:t>
      </w:r>
      <w:r w:rsidRPr="00D4328A">
        <w:rPr>
          <w:rFonts w:ascii="Book Antiqua" w:eastAsia="Book Antiqua" w:hAnsi="Book Antiqua" w:cs="Book Antiqua"/>
          <w:color w:val="000000"/>
        </w:rPr>
        <w:t>.</w:t>
      </w:r>
    </w:p>
    <w:p w14:paraId="7C5E4938" w14:textId="77777777" w:rsidR="00A77B3E" w:rsidRPr="00D4328A" w:rsidRDefault="00A77B3E" w:rsidP="006D1FC3">
      <w:pPr>
        <w:spacing w:line="360" w:lineRule="auto"/>
        <w:jc w:val="both"/>
        <w:rPr>
          <w:rFonts w:ascii="Book Antiqua" w:hAnsi="Book Antiqua"/>
        </w:rPr>
      </w:pPr>
    </w:p>
    <w:p w14:paraId="482BDA69"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aps/>
          <w:color w:val="000000"/>
          <w:u w:val="single"/>
        </w:rPr>
        <w:t>DISCUSSION</w:t>
      </w:r>
    </w:p>
    <w:p w14:paraId="5566CBBB" w14:textId="5E62CA7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Our systematic review and meta-analysis of 32 studies and 43388 COVID-19 patients, of which 8538 (20%) patients were observed to have NAFLD/MAFLD, provided a comprehensive assessment of mortality, need for hospitalization, hospital length of stay, and need for supplemental oxygen in COVID-19</w:t>
      </w:r>
      <w:r w:rsidR="006839CB">
        <w:rPr>
          <w:rFonts w:ascii="Book Antiqua" w:eastAsia="Book Antiqua" w:hAnsi="Book Antiqua" w:cs="Book Antiqua"/>
          <w:color w:val="000000"/>
        </w:rPr>
        <w:t>-</w:t>
      </w:r>
      <w:r w:rsidRPr="00D4328A">
        <w:rPr>
          <w:rFonts w:ascii="Book Antiqua" w:eastAsia="Book Antiqua" w:hAnsi="Book Antiqua" w:cs="Book Antiqua"/>
          <w:color w:val="000000"/>
        </w:rPr>
        <w:t>afflicted patients with fatty liver disease. In the current meta-analysis, there was no relation between pre-existing NAFLD/MAFLD and COVID-19-related mortality. The results for the unadjusted analysis showed an increased risk of mortality, but the results were not statistically significant. Similar results were seen in a prior meta-analysis</w:t>
      </w:r>
      <w:r w:rsidRPr="00D4328A">
        <w:rPr>
          <w:rFonts w:ascii="Book Antiqua" w:eastAsia="Book Antiqua" w:hAnsi="Book Antiqua" w:cs="Book Antiqua"/>
          <w:color w:val="000000"/>
          <w:shd w:val="clear" w:color="auto" w:fill="FFFFFF"/>
          <w:vertAlign w:val="superscript"/>
        </w:rPr>
        <w:t>[5</w:t>
      </w:r>
      <w:r w:rsidR="004159B6" w:rsidRPr="00D4328A">
        <w:rPr>
          <w:rFonts w:ascii="Book Antiqua" w:eastAsia="Book Antiqua" w:hAnsi="Book Antiqua" w:cs="Book Antiqua"/>
          <w:color w:val="000000"/>
          <w:shd w:val="clear" w:color="auto" w:fill="FFFFFF"/>
          <w:vertAlign w:val="superscript"/>
        </w:rPr>
        <w:t>7</w:t>
      </w:r>
      <w:r w:rsidRPr="00D4328A">
        <w:rPr>
          <w:rFonts w:ascii="Book Antiqua" w:eastAsia="Book Antiqua" w:hAnsi="Book Antiqua" w:cs="Book Antiqua"/>
          <w:color w:val="000000"/>
          <w:shd w:val="clear" w:color="auto" w:fill="FFFFFF"/>
          <w:vertAlign w:val="superscript"/>
        </w:rPr>
        <w:t>]</w:t>
      </w:r>
      <w:r w:rsidRPr="00D4328A">
        <w:rPr>
          <w:rFonts w:ascii="Book Antiqua" w:eastAsia="Book Antiqua" w:hAnsi="Book Antiqua" w:cs="Book Antiqua"/>
          <w:color w:val="000000"/>
        </w:rPr>
        <w:t xml:space="preserve">. Meta-analysis of </w:t>
      </w:r>
      <w:r w:rsidR="006839CB">
        <w:rPr>
          <w:rFonts w:ascii="Book Antiqua" w:eastAsia="Book Antiqua" w:hAnsi="Book Antiqua" w:cs="Book Antiqua"/>
          <w:color w:val="000000"/>
        </w:rPr>
        <w:t>seven</w:t>
      </w:r>
      <w:r w:rsidR="006839CB"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studies by Hayat </w:t>
      </w:r>
      <w:r w:rsidRPr="00D4328A">
        <w:rPr>
          <w:rFonts w:ascii="Book Antiqua" w:eastAsia="Book Antiqua" w:hAnsi="Book Antiqua" w:cs="Book Antiqua"/>
          <w:i/>
          <w:iCs/>
          <w:color w:val="000000"/>
        </w:rPr>
        <w:t>et al</w:t>
      </w:r>
      <w:r w:rsidR="00B1621C" w:rsidRPr="00D4328A">
        <w:rPr>
          <w:rFonts w:ascii="Book Antiqua" w:eastAsia="Book Antiqua" w:hAnsi="Book Antiqua" w:cs="Book Antiqua"/>
          <w:color w:val="000000"/>
          <w:vertAlign w:val="superscript"/>
        </w:rPr>
        <w:t>[58]</w:t>
      </w:r>
      <w:r w:rsidRPr="00D4328A">
        <w:rPr>
          <w:rFonts w:ascii="Book Antiqua" w:eastAsia="Book Antiqua" w:hAnsi="Book Antiqua" w:cs="Book Antiqua"/>
          <w:color w:val="000000"/>
        </w:rPr>
        <w:t xml:space="preserve"> on MAFLD and COVID-19 mortality found an OR of 1.45 and a non-significant 95%CI of 0.74-2.84</w:t>
      </w:r>
      <w:r w:rsidR="006D4BF7">
        <w:rPr>
          <w:rFonts w:ascii="Book Antiqua" w:eastAsia="Book Antiqua" w:hAnsi="Book Antiqua" w:cs="Book Antiqua"/>
          <w:color w:val="000000"/>
        </w:rPr>
        <w:t xml:space="preserve">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&lt;</w:t>
      </w:r>
      <w:r w:rsidR="00B1621C"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0.01</w:t>
      </w:r>
      <w:r w:rsidR="006D4BF7">
        <w:rPr>
          <w:rFonts w:ascii="Book Antiqua" w:eastAsia="Book Antiqua" w:hAnsi="Book Antiqua" w:cs="Book Antiqua"/>
          <w:color w:val="000000"/>
        </w:rPr>
        <w:t>)</w:t>
      </w:r>
      <w:r w:rsidRPr="00D4328A">
        <w:rPr>
          <w:rFonts w:ascii="Book Antiqua" w:eastAsia="Book Antiqua" w:hAnsi="Book Antiqua" w:cs="Book Antiqua"/>
          <w:color w:val="000000"/>
        </w:rPr>
        <w:t>.</w:t>
      </w:r>
    </w:p>
    <w:p w14:paraId="63A299C0" w14:textId="0EFD1A8F"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As per our meta-analysis, patients with NAFLD/MAFLD had higher hospitalization rates compared to non-NAFLD/MAFLD patients (OR</w:t>
      </w:r>
      <w:r w:rsidR="00B1621C"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w:t>
      </w:r>
      <w:r w:rsidR="00B1621C"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2.71, 95%</w:t>
      </w:r>
      <w:r w:rsidR="00B1621C" w:rsidRPr="00D4328A">
        <w:rPr>
          <w:rFonts w:ascii="Book Antiqua" w:eastAsia="Book Antiqua" w:hAnsi="Book Antiqua" w:cs="Book Antiqua"/>
          <w:color w:val="000000"/>
        </w:rPr>
        <w:t>CI:</w:t>
      </w:r>
      <w:r w:rsidRPr="00D4328A">
        <w:rPr>
          <w:rFonts w:ascii="Book Antiqua" w:eastAsia="Book Antiqua" w:hAnsi="Book Antiqua" w:cs="Book Antiqua"/>
          <w:color w:val="000000"/>
        </w:rPr>
        <w:t xml:space="preserve"> 1.10-6.70</w:t>
      </w:r>
      <w:r w:rsidR="006839CB">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 = 0.03). </w:t>
      </w:r>
      <w:r w:rsidRPr="00D4328A">
        <w:rPr>
          <w:rFonts w:ascii="Book Antiqua" w:eastAsia="Book Antiqua" w:hAnsi="Book Antiqua" w:cs="Book Antiqua"/>
          <w:color w:val="000000"/>
        </w:rPr>
        <w:lastRenderedPageBreak/>
        <w:t>COVID-19 is associated with increased inflammation and thrombosis, while NAFLD/MAFLD are states of chronic inflammation. When occurring together, these may worsen disease status causing increased hospitalization rates. Contrarily, some studies have reported no increase in disease severity or need for hospitalization in NAFLD patients with COVID compared to controls. This could be due to the small study population and the retrospective nature of the study results</w:t>
      </w:r>
      <w:r w:rsidRPr="00D4328A">
        <w:rPr>
          <w:rFonts w:ascii="Book Antiqua" w:eastAsia="Book Antiqua" w:hAnsi="Book Antiqua" w:cs="Book Antiqua"/>
          <w:color w:val="000000"/>
          <w:vertAlign w:val="superscript"/>
        </w:rPr>
        <w:t>[39,54]</w:t>
      </w:r>
      <w:r w:rsidRPr="00D4328A">
        <w:rPr>
          <w:rFonts w:ascii="Book Antiqua" w:eastAsia="Book Antiqua" w:hAnsi="Book Antiqua" w:cs="Book Antiqua"/>
          <w:color w:val="000000"/>
        </w:rPr>
        <w:t>. Since our meta-analysis may be one of the largest to date, the results provided are expected to be closer to the true value. Our meta-analysis found that patients with NAFLD/MAFLD had a statistically significant longer hospital length of stay compared to those without. An unadjusted assessment of eight studies found that patients with pre-existing NAFLD, on average, spent an additional 2 d in the hospital compared to COVID-19 patients without NAFLD. Patients with NAFLD have ongoing inflammation processes which compound the disease process of COVID-19, thus leading to a more severe course of illness. This could explain the higher hospitalization rates and longer duration of hospital stay. Previous studies have reported similar results with longer hospital stays for NAFLD patients afflicted with COVID-19</w:t>
      </w:r>
      <w:r w:rsidRPr="00D4328A">
        <w:rPr>
          <w:rFonts w:ascii="Book Antiqua" w:eastAsia="Book Antiqua" w:hAnsi="Book Antiqua" w:cs="Book Antiqua"/>
          <w:color w:val="000000"/>
          <w:vertAlign w:val="superscript"/>
        </w:rPr>
        <w:t>[32,</w:t>
      </w:r>
      <w:r w:rsidR="005002A4" w:rsidRPr="00D4328A">
        <w:rPr>
          <w:rFonts w:ascii="Book Antiqua" w:eastAsia="Book Antiqua" w:hAnsi="Book Antiqua" w:cs="Book Antiqua"/>
          <w:color w:val="000000"/>
          <w:vertAlign w:val="superscript"/>
        </w:rPr>
        <w:t>58</w:t>
      </w:r>
      <w:r w:rsidRPr="00D4328A">
        <w:rPr>
          <w:rFonts w:ascii="Book Antiqua" w:eastAsia="Book Antiqua" w:hAnsi="Book Antiqua" w:cs="Book Antiqua"/>
          <w:color w:val="000000"/>
          <w:vertAlign w:val="superscript"/>
        </w:rPr>
        <w:t>,</w:t>
      </w:r>
      <w:r w:rsidR="005002A4" w:rsidRPr="00D4328A">
        <w:rPr>
          <w:rFonts w:ascii="Book Antiqua" w:eastAsia="Book Antiqua" w:hAnsi="Book Antiqua" w:cs="Book Antiqua"/>
          <w:color w:val="000000"/>
          <w:vertAlign w:val="superscript"/>
        </w:rPr>
        <w:t>59</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On the contrary, some studies reported no difference in the duration of hospital stay in those with or without NAFLD</w:t>
      </w:r>
      <w:r w:rsidRPr="00D4328A">
        <w:rPr>
          <w:rFonts w:ascii="Book Antiqua" w:eastAsia="Book Antiqua" w:hAnsi="Book Antiqua" w:cs="Book Antiqua"/>
          <w:color w:val="000000"/>
          <w:vertAlign w:val="superscript"/>
        </w:rPr>
        <w:t>[5</w:t>
      </w:r>
      <w:r w:rsidR="005002A4" w:rsidRPr="00D4328A">
        <w:rPr>
          <w:rFonts w:ascii="Book Antiqua" w:eastAsia="Book Antiqua" w:hAnsi="Book Antiqua" w:cs="Book Antiqua"/>
          <w:color w:val="000000"/>
          <w:vertAlign w:val="superscript"/>
        </w:rPr>
        <w:t>2</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0</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w:t>
      </w:r>
    </w:p>
    <w:p w14:paraId="6FF14C44" w14:textId="2AF05E9B"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Our meta-analysis of four studies revealed that NAFLD patients had a greater need for supplemental oxygen as compared to controls. NAFLD patients may have a more severe disease course and therefore, require supplemental oxygen during their hospital stay. One previous study reported that NAFLD patients had a more frequent need for oxygen support</w:t>
      </w:r>
      <w:r w:rsidRPr="00D4328A">
        <w:rPr>
          <w:rFonts w:ascii="Book Antiqua" w:eastAsia="Book Antiqua" w:hAnsi="Book Antiqua" w:cs="Book Antiqua"/>
          <w:color w:val="000000"/>
          <w:vertAlign w:val="superscript"/>
        </w:rPr>
        <w:t>[5</w:t>
      </w:r>
      <w:r w:rsidR="005002A4" w:rsidRPr="00D4328A">
        <w:rPr>
          <w:rFonts w:ascii="Book Antiqua" w:eastAsia="Book Antiqua" w:hAnsi="Book Antiqua" w:cs="Book Antiqua"/>
          <w:color w:val="000000"/>
          <w:vertAlign w:val="superscript"/>
        </w:rPr>
        <w:t>1</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w:t>
      </w:r>
    </w:p>
    <w:p w14:paraId="1707ADAA" w14:textId="0F6B61BA"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 xml:space="preserve">CLD due to NAFLD has seen a rising trend over the years. Over 83 million Americans suffered from NAFLD with a prevalence rate of 26% according to data from 2015. This value is said to rise by 21% to over 100 million patients by the year 2030. The growing epidemics of obesity and </w:t>
      </w:r>
      <w:r w:rsidR="00B1621C" w:rsidRPr="00D4328A">
        <w:rPr>
          <w:rFonts w:ascii="Book Antiqua" w:eastAsia="Book Antiqua" w:hAnsi="Book Antiqua" w:cs="Book Antiqua"/>
          <w:color w:val="000000"/>
        </w:rPr>
        <w:t>diabetes m</w:t>
      </w:r>
      <w:r w:rsidRPr="00D4328A">
        <w:rPr>
          <w:rFonts w:ascii="Book Antiqua" w:eastAsia="Book Antiqua" w:hAnsi="Book Antiqua" w:cs="Book Antiqua"/>
          <w:color w:val="000000"/>
        </w:rPr>
        <w:t xml:space="preserve">ellitus II have played a major role in increasing the prevalence of NAFLD worldwide, including the progression of NAFLD to </w:t>
      </w:r>
      <w:r w:rsidR="00B1621C" w:rsidRPr="00D4328A">
        <w:rPr>
          <w:rFonts w:ascii="Book Antiqua" w:eastAsia="Book Antiqua" w:hAnsi="Book Antiqua" w:cs="Book Antiqua"/>
          <w:color w:val="000000"/>
        </w:rPr>
        <w:t>non-alcoholic steatohepatitis (NASH)</w:t>
      </w:r>
      <w:r w:rsidRPr="00D4328A">
        <w:rPr>
          <w:rFonts w:ascii="Book Antiqua" w:eastAsia="Book Antiqua" w:hAnsi="Book Antiqua" w:cs="Book Antiqua"/>
          <w:color w:val="000000"/>
        </w:rPr>
        <w:t xml:space="preserve">, cirrhosis, and even </w:t>
      </w:r>
      <w:r w:rsidR="00B1621C" w:rsidRPr="00D4328A">
        <w:rPr>
          <w:rFonts w:ascii="Book Antiqua" w:eastAsia="Book Antiqua" w:hAnsi="Book Antiqua" w:cs="Book Antiqua"/>
          <w:color w:val="000000"/>
        </w:rPr>
        <w:t>h</w:t>
      </w:r>
      <w:r w:rsidRPr="00D4328A">
        <w:rPr>
          <w:rFonts w:ascii="Book Antiqua" w:eastAsia="Book Antiqua" w:hAnsi="Book Antiqua" w:cs="Book Antiqua"/>
          <w:color w:val="000000"/>
        </w:rPr>
        <w:t>epatocellular malignancy</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1</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2</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NAFLD is found in more than 50% of individuals suffering from obesity or </w:t>
      </w:r>
      <w:r w:rsidR="00B1621C" w:rsidRPr="00D4328A">
        <w:rPr>
          <w:rFonts w:ascii="Book Antiqua" w:eastAsia="Book Antiqua" w:hAnsi="Book Antiqua" w:cs="Book Antiqua"/>
          <w:color w:val="000000"/>
        </w:rPr>
        <w:t>type 2 diabetes mellitus</w:t>
      </w:r>
      <w:r w:rsidRPr="00D4328A">
        <w:rPr>
          <w:rFonts w:ascii="Book Antiqua" w:eastAsia="Book Antiqua" w:hAnsi="Book Antiqua" w:cs="Book Antiqua"/>
          <w:color w:val="000000"/>
        </w:rPr>
        <w:t xml:space="preserve">. In their study, Estes </w:t>
      </w:r>
      <w:r w:rsidRPr="00D4328A">
        <w:rPr>
          <w:rFonts w:ascii="Book Antiqua" w:eastAsia="Book Antiqua" w:hAnsi="Book Antiqua" w:cs="Book Antiqua"/>
          <w:i/>
          <w:iCs/>
          <w:color w:val="000000"/>
        </w:rPr>
        <w:t>et al</w:t>
      </w:r>
      <w:r w:rsidR="00B1621C" w:rsidRPr="00D4328A">
        <w:rPr>
          <w:rFonts w:ascii="Book Antiqua" w:eastAsia="Book Antiqua" w:hAnsi="Book Antiqua" w:cs="Book Antiqua"/>
          <w:color w:val="000000"/>
          <w:vertAlign w:val="superscript"/>
        </w:rPr>
        <w:t>[61]</w:t>
      </w:r>
      <w:r w:rsidRPr="00D4328A">
        <w:rPr>
          <w:rFonts w:ascii="Book Antiqua" w:eastAsia="Book Antiqua" w:hAnsi="Book Antiqua" w:cs="Book Antiqua"/>
          <w:color w:val="000000"/>
        </w:rPr>
        <w:t xml:space="preserve"> reported the median age of NAFLD patients to be </w:t>
      </w:r>
      <w:r w:rsidR="006D4BF7">
        <w:rPr>
          <w:rFonts w:ascii="Book Antiqua" w:eastAsia="Book Antiqua" w:hAnsi="Book Antiqua" w:cs="Book Antiqua"/>
          <w:color w:val="000000"/>
        </w:rPr>
        <w:t>about</w:t>
      </w:r>
      <w:r w:rsidR="006D4BF7"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 xml:space="preserve">50 </w:t>
      </w:r>
      <w:r w:rsidRPr="00D4328A">
        <w:rPr>
          <w:rFonts w:ascii="Book Antiqua" w:eastAsia="Book Antiqua" w:hAnsi="Book Antiqua" w:cs="Book Antiqua"/>
          <w:color w:val="000000"/>
        </w:rPr>
        <w:lastRenderedPageBreak/>
        <w:t>years. They also found that more males suffered from NAFLD as compared to females. These results are similar to our study. The absence of an established screening method and global health policies focusing on NAFLD, and primary care interventions lead to a substantial increase in patients with NAFLD going undetected</w:t>
      </w:r>
      <w:r w:rsidRPr="00D4328A">
        <w:rPr>
          <w:rFonts w:ascii="Book Antiqua" w:eastAsia="Book Antiqua" w:hAnsi="Book Antiqua" w:cs="Book Antiqua"/>
          <w:color w:val="000000"/>
          <w:vertAlign w:val="superscript"/>
        </w:rPr>
        <w:t>[5</w:t>
      </w:r>
      <w:r w:rsidR="004159B6" w:rsidRPr="00D4328A">
        <w:rPr>
          <w:rFonts w:ascii="Book Antiqua" w:eastAsia="Book Antiqua" w:hAnsi="Book Antiqua" w:cs="Book Antiqua"/>
          <w:color w:val="000000"/>
          <w:vertAlign w:val="superscript"/>
        </w:rPr>
        <w:t>5</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It also means that </w:t>
      </w:r>
      <w:r w:rsidR="00FB42F6" w:rsidRPr="00D4328A">
        <w:rPr>
          <w:rFonts w:ascii="Book Antiqua" w:eastAsia="Book Antiqua" w:hAnsi="Book Antiqua" w:cs="Book Antiqua"/>
          <w:color w:val="000000"/>
        </w:rPr>
        <w:t>it is</w:t>
      </w:r>
      <w:r w:rsidRPr="00D4328A">
        <w:rPr>
          <w:rFonts w:ascii="Book Antiqua" w:eastAsia="Book Antiqua" w:hAnsi="Book Antiqua" w:cs="Book Antiqua"/>
          <w:color w:val="000000"/>
        </w:rPr>
        <w:t xml:space="preserve"> up to the clinician’s preference and choice of the screening tool to measure NAFLD, thus creating a selection bias amongst various studies. This discrepancy could be observed in the studies included in our meta-analysis as multiple screening modalities were used in different clinical settings, including HSI, FIB-4 scoring, CT scan of the liver, </w:t>
      </w:r>
      <w:r w:rsidR="00B1621C" w:rsidRPr="00D4328A">
        <w:rPr>
          <w:rFonts w:ascii="Book Antiqua" w:eastAsia="Book Antiqua" w:hAnsi="Book Antiqua" w:cs="Book Antiqua"/>
          <w:color w:val="000000"/>
        </w:rPr>
        <w:t>liver function t</w:t>
      </w:r>
      <w:r w:rsidRPr="00D4328A">
        <w:rPr>
          <w:rFonts w:ascii="Book Antiqua" w:eastAsia="Book Antiqua" w:hAnsi="Book Antiqua" w:cs="Book Antiqua"/>
          <w:color w:val="000000"/>
        </w:rPr>
        <w:t>ests, and liver biopsy among others.</w:t>
      </w:r>
    </w:p>
    <w:p w14:paraId="1C9E0809" w14:textId="406356CB"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rPr>
        <w:t>The presence of NAFLD confers additional susceptibility to COVID-19 infection in individuals exposed to SARS-CoV-2</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3</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Pre-existing NAFLD at the time of COVID-19 diagnosis can be an indicator of increased severity of infection and utilization of health care services. As mentioned earlier, more than half of the </w:t>
      </w:r>
      <w:r w:rsidR="00FB42F6" w:rsidRPr="00D4328A">
        <w:rPr>
          <w:rFonts w:ascii="Book Antiqua" w:eastAsia="Book Antiqua" w:hAnsi="Book Antiqua" w:cs="Book Antiqua"/>
          <w:color w:val="000000"/>
        </w:rPr>
        <w:t>individuals with type 2 diabetes mellitus</w:t>
      </w:r>
      <w:r w:rsidRPr="00D4328A">
        <w:rPr>
          <w:rFonts w:ascii="Book Antiqua" w:eastAsia="Book Antiqua" w:hAnsi="Book Antiqua" w:cs="Book Antiqua"/>
          <w:color w:val="000000"/>
        </w:rPr>
        <w:t xml:space="preserve"> (2</w:t>
      </w:r>
      <w:r w:rsidRPr="00D4328A">
        <w:rPr>
          <w:rFonts w:ascii="Book Antiqua" w:eastAsia="Book Antiqua" w:hAnsi="Book Antiqua" w:cs="Book Antiqua"/>
          <w:color w:val="000000"/>
          <w:vertAlign w:val="superscript"/>
        </w:rPr>
        <w:t>nd</w:t>
      </w:r>
      <w:r w:rsidRPr="00D4328A">
        <w:rPr>
          <w:rFonts w:ascii="Book Antiqua" w:eastAsia="Book Antiqua" w:hAnsi="Book Antiqua" w:cs="Book Antiqua"/>
          <w:color w:val="000000"/>
        </w:rPr>
        <w:t xml:space="preserve"> most common comorbidity in COVID-19) have comorbid NAFLD to a certain degree</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0</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Similarly, NAFLD is associated with multiple risk factors like cardiovascular diseases, obesity, and coexisting chronic lung disease which independently influences COVID-19 susceptibility and severity</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1</w:t>
      </w:r>
      <w:r w:rsidRPr="00D4328A">
        <w:rPr>
          <w:rFonts w:ascii="Book Antiqua" w:eastAsia="Book Antiqua" w:hAnsi="Book Antiqua" w:cs="Book Antiqua"/>
          <w:color w:val="000000"/>
          <w:vertAlign w:val="superscript"/>
        </w:rPr>
        <w:t>,6</w:t>
      </w:r>
      <w:r w:rsidR="005002A4" w:rsidRPr="00D4328A">
        <w:rPr>
          <w:rFonts w:ascii="Book Antiqua" w:eastAsia="Book Antiqua" w:hAnsi="Book Antiqua" w:cs="Book Antiqua"/>
          <w:color w:val="000000"/>
          <w:vertAlign w:val="superscript"/>
        </w:rPr>
        <w:t>4</w:t>
      </w:r>
      <w:r w:rsidRPr="00D4328A">
        <w:rPr>
          <w:rFonts w:ascii="Book Antiqua" w:eastAsia="Book Antiqua" w:hAnsi="Book Antiqua" w:cs="Book Antiqua"/>
          <w:color w:val="000000"/>
          <w:vertAlign w:val="superscript"/>
        </w:rPr>
        <w:t>-</w:t>
      </w:r>
      <w:r w:rsidR="005002A4" w:rsidRPr="00D4328A">
        <w:rPr>
          <w:rFonts w:ascii="Book Antiqua" w:eastAsia="Book Antiqua" w:hAnsi="Book Antiqua" w:cs="Book Antiqua"/>
          <w:color w:val="000000"/>
          <w:vertAlign w:val="superscript"/>
        </w:rPr>
        <w:t>68</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The impact of NAFLD on disease severity is seen through a blunted immune response to SARS-CoV-2 infection in COVID-19, leading to an increased risk of severe disease</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shd w:val="clear" w:color="auto" w:fill="FFFFFF"/>
          <w:vertAlign w:val="superscript"/>
        </w:rPr>
        <w:t>3</w:t>
      </w:r>
      <w:r w:rsidR="005002A4" w:rsidRPr="00D4328A">
        <w:rPr>
          <w:rFonts w:ascii="Book Antiqua" w:eastAsia="Book Antiqua" w:hAnsi="Book Antiqua" w:cs="Book Antiqua"/>
          <w:color w:val="000000"/>
          <w:shd w:val="clear" w:color="auto" w:fill="FFFFFF"/>
          <w:vertAlign w:val="superscript"/>
        </w:rPr>
        <w:t>0</w:t>
      </w:r>
      <w:r w:rsidRPr="00D4328A">
        <w:rPr>
          <w:rFonts w:ascii="Book Antiqua" w:eastAsia="Book Antiqua" w:hAnsi="Book Antiqua" w:cs="Book Antiqua"/>
          <w:color w:val="000000"/>
          <w:vertAlign w:val="superscript"/>
        </w:rPr>
        <w:t>,1</w:t>
      </w:r>
      <w:r w:rsidR="005002A4" w:rsidRPr="00D4328A">
        <w:rPr>
          <w:rFonts w:ascii="Book Antiqua" w:eastAsia="Book Antiqua" w:hAnsi="Book Antiqua" w:cs="Book Antiqua"/>
          <w:color w:val="000000"/>
          <w:vertAlign w:val="superscript"/>
        </w:rPr>
        <w:t>3</w:t>
      </w:r>
      <w:r w:rsidRPr="00D4328A">
        <w:rPr>
          <w:rFonts w:ascii="Book Antiqua" w:eastAsia="Book Antiqua" w:hAnsi="Book Antiqua" w:cs="Book Antiqua"/>
          <w:color w:val="000000"/>
          <w:vertAlign w:val="superscript"/>
        </w:rPr>
        <w:t>,4</w:t>
      </w:r>
      <w:r w:rsidR="005002A4" w:rsidRPr="00D4328A">
        <w:rPr>
          <w:rFonts w:ascii="Book Antiqua" w:eastAsia="Book Antiqua" w:hAnsi="Book Antiqua" w:cs="Book Antiqua"/>
          <w:color w:val="000000"/>
          <w:vertAlign w:val="superscript"/>
        </w:rPr>
        <w:t>7</w:t>
      </w:r>
      <w:r w:rsidRPr="00D4328A">
        <w:rPr>
          <w:rFonts w:ascii="Book Antiqua" w:eastAsia="Book Antiqua" w:hAnsi="Book Antiqua" w:cs="Book Antiqua"/>
          <w:color w:val="000000"/>
          <w:vertAlign w:val="superscript"/>
        </w:rPr>
        <w:t>,</w:t>
      </w:r>
      <w:r w:rsidR="005B6BCA" w:rsidRPr="00D4328A">
        <w:rPr>
          <w:rFonts w:ascii="Book Antiqua" w:eastAsia="Book Antiqua" w:hAnsi="Book Antiqua" w:cs="Book Antiqua"/>
          <w:color w:val="000000"/>
          <w:vertAlign w:val="superscript"/>
        </w:rPr>
        <w:t>55</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A retrospective observational study observed that ongoing inflammation in NAFLD puts patients with active COVID-19 infection at an increased risk of thromboembolism and associated mortality</w:t>
      </w:r>
      <w:r w:rsidRPr="00D4328A">
        <w:rPr>
          <w:rFonts w:ascii="Book Antiqua" w:eastAsia="Book Antiqua" w:hAnsi="Book Antiqua" w:cs="Book Antiqua"/>
          <w:color w:val="000000"/>
          <w:vertAlign w:val="superscript"/>
        </w:rPr>
        <w:t>[5</w:t>
      </w:r>
      <w:r w:rsidR="005B6BCA" w:rsidRPr="00D4328A">
        <w:rPr>
          <w:rFonts w:ascii="Book Antiqua" w:eastAsia="Book Antiqua" w:hAnsi="Book Antiqua" w:cs="Book Antiqua"/>
          <w:color w:val="000000"/>
          <w:vertAlign w:val="superscript"/>
        </w:rPr>
        <w:t>1</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Various SARS-CoV-2 entry factors like </w:t>
      </w:r>
      <w:r w:rsidR="00B1621C" w:rsidRPr="00D4328A">
        <w:rPr>
          <w:rFonts w:ascii="Book Antiqua" w:eastAsia="Book Antiqua" w:hAnsi="Book Antiqua" w:cs="Book Antiqua"/>
          <w:color w:val="000000"/>
        </w:rPr>
        <w:t>angiotensin-converting enzyme (ACE)</w:t>
      </w:r>
      <w:r w:rsidRPr="00D4328A">
        <w:rPr>
          <w:rFonts w:ascii="Book Antiqua" w:eastAsia="Book Antiqua" w:hAnsi="Book Antiqua" w:cs="Book Antiqua"/>
          <w:color w:val="000000"/>
        </w:rPr>
        <w:t xml:space="preserve">, </w:t>
      </w:r>
      <w:r w:rsidR="00AA4FA1">
        <w:rPr>
          <w:rFonts w:ascii="Book Antiqua" w:eastAsia="Book Antiqua" w:hAnsi="Book Antiqua" w:cs="Book Antiqua"/>
          <w:color w:val="000000"/>
        </w:rPr>
        <w:t>a</w:t>
      </w:r>
      <w:r w:rsidR="00AA4FA1" w:rsidRPr="00AA4FA1">
        <w:rPr>
          <w:rFonts w:ascii="Book Antiqua" w:eastAsia="Book Antiqua" w:hAnsi="Book Antiqua" w:cs="Book Antiqua"/>
          <w:color w:val="000000"/>
        </w:rPr>
        <w:t xml:space="preserve"> disintegrin and metalloprotease 17</w:t>
      </w:r>
      <w:r w:rsidRPr="00D4328A">
        <w:rPr>
          <w:rFonts w:ascii="Book Antiqua" w:eastAsia="Book Antiqua" w:hAnsi="Book Antiqua" w:cs="Book Antiqua"/>
          <w:color w:val="000000"/>
        </w:rPr>
        <w:t xml:space="preserve">, </w:t>
      </w:r>
      <w:r w:rsidR="00B1621C" w:rsidRPr="00D4328A">
        <w:rPr>
          <w:rFonts w:ascii="Book Antiqua" w:eastAsia="Book Antiqua" w:hAnsi="Book Antiqua" w:cs="Book Antiqua"/>
          <w:color w:val="000000"/>
        </w:rPr>
        <w:t xml:space="preserve">dipeptidyl peptidase </w:t>
      </w:r>
      <w:r w:rsidRPr="00D4328A">
        <w:rPr>
          <w:rFonts w:ascii="Book Antiqua" w:eastAsia="Book Antiqua" w:hAnsi="Book Antiqua" w:cs="Book Antiqua"/>
          <w:color w:val="000000"/>
        </w:rPr>
        <w:t xml:space="preserve">4, and </w:t>
      </w:r>
      <w:r w:rsidR="00AA4FA1">
        <w:rPr>
          <w:rFonts w:ascii="Book Antiqua" w:eastAsia="Book Antiqua" w:hAnsi="Book Antiqua" w:cs="Book Antiqua"/>
          <w:color w:val="000000"/>
        </w:rPr>
        <w:t>t</w:t>
      </w:r>
      <w:r w:rsidR="00AA4FA1" w:rsidRPr="00AA4FA1">
        <w:rPr>
          <w:rFonts w:ascii="Book Antiqua" w:eastAsia="Book Antiqua" w:hAnsi="Book Antiqua" w:cs="Book Antiqua"/>
          <w:color w:val="000000"/>
        </w:rPr>
        <w:t>ransmembrane protease, serine 2</w:t>
      </w:r>
      <w:r w:rsidRPr="00D4328A">
        <w:rPr>
          <w:rFonts w:ascii="Book Antiqua" w:eastAsia="Book Antiqua" w:hAnsi="Book Antiqua" w:cs="Book Antiqua"/>
          <w:color w:val="000000"/>
        </w:rPr>
        <w:t xml:space="preserve"> and NAFLD-related genes such as ACE, </w:t>
      </w:r>
      <w:r w:rsidR="00B1621C" w:rsidRPr="00D4328A">
        <w:rPr>
          <w:rFonts w:ascii="Book Antiqua" w:eastAsia="Book Antiqua" w:hAnsi="Book Antiqua" w:cs="Book Antiqua"/>
          <w:color w:val="000000"/>
        </w:rPr>
        <w:t>dipeptidyl peptidase 4</w:t>
      </w:r>
      <w:r w:rsidRPr="00D4328A">
        <w:rPr>
          <w:rFonts w:ascii="Book Antiqua" w:eastAsia="Book Antiqua" w:hAnsi="Book Antiqua" w:cs="Book Antiqua"/>
          <w:color w:val="000000"/>
        </w:rPr>
        <w:t xml:space="preserve">, </w:t>
      </w:r>
      <w:r w:rsidR="00B1621C" w:rsidRPr="00D4328A">
        <w:rPr>
          <w:rFonts w:ascii="Book Antiqua" w:eastAsia="Book Antiqua" w:hAnsi="Book Antiqua" w:cs="Book Antiqua"/>
          <w:color w:val="000000"/>
        </w:rPr>
        <w:t xml:space="preserve">interleukin </w:t>
      </w:r>
      <w:r w:rsidR="00AA4FA1">
        <w:rPr>
          <w:rFonts w:ascii="Book Antiqua" w:eastAsia="Book Antiqua" w:hAnsi="Book Antiqua" w:cs="Book Antiqua"/>
          <w:color w:val="000000"/>
        </w:rPr>
        <w:t xml:space="preserve">10 </w:t>
      </w:r>
      <w:r w:rsidR="00B1621C" w:rsidRPr="00D4328A">
        <w:rPr>
          <w:rFonts w:ascii="Book Antiqua" w:eastAsia="Book Antiqua" w:hAnsi="Book Antiqua" w:cs="Book Antiqua"/>
          <w:color w:val="000000"/>
        </w:rPr>
        <w:t>(IL-</w:t>
      </w:r>
      <w:r w:rsidRPr="00D4328A">
        <w:rPr>
          <w:rFonts w:ascii="Book Antiqua" w:eastAsia="Book Antiqua" w:hAnsi="Book Antiqua" w:cs="Book Antiqua"/>
          <w:color w:val="000000"/>
        </w:rPr>
        <w:t>10</w:t>
      </w:r>
      <w:r w:rsidR="00AA4FA1">
        <w:rPr>
          <w:rFonts w:ascii="Book Antiqua" w:eastAsia="Book Antiqua" w:hAnsi="Book Antiqua" w:cs="Book Antiqua"/>
          <w:color w:val="000000"/>
        </w:rPr>
        <w:t>)</w:t>
      </w:r>
      <w:r w:rsidRPr="00D4328A">
        <w:rPr>
          <w:rFonts w:ascii="Book Antiqua" w:eastAsia="Book Antiqua" w:hAnsi="Book Antiqua" w:cs="Book Antiqua"/>
          <w:color w:val="000000"/>
        </w:rPr>
        <w:t xml:space="preserve">, </w:t>
      </w:r>
      <w:r w:rsidR="00B1621C" w:rsidRPr="00D4328A">
        <w:rPr>
          <w:rFonts w:ascii="Book Antiqua" w:eastAsia="Book Antiqua" w:hAnsi="Book Antiqua" w:cs="Book Antiqua"/>
          <w:color w:val="000000"/>
        </w:rPr>
        <w:t>tumor necrosis factor (TNF)</w:t>
      </w:r>
      <w:r w:rsidRPr="00D4328A">
        <w:rPr>
          <w:rFonts w:ascii="Book Antiqua" w:eastAsia="Book Antiqua" w:hAnsi="Book Antiqua" w:cs="Book Antiqua"/>
          <w:color w:val="000000"/>
        </w:rPr>
        <w:t xml:space="preserve">, and AKT1 as well as cytokine-mediated signaling, </w:t>
      </w:r>
      <w:r w:rsidR="00AA4FA1">
        <w:rPr>
          <w:rFonts w:ascii="Book Antiqua" w:eastAsia="Book Antiqua" w:hAnsi="Book Antiqua" w:cs="Book Antiqua"/>
          <w:color w:val="000000"/>
        </w:rPr>
        <w:t>phosphoinositide 3 kinase</w:t>
      </w:r>
      <w:r w:rsidRPr="00D4328A">
        <w:rPr>
          <w:rFonts w:ascii="Book Antiqua" w:eastAsia="Book Antiqua" w:hAnsi="Book Antiqua" w:cs="Book Antiqua"/>
          <w:color w:val="000000"/>
        </w:rPr>
        <w:t xml:space="preserve">-Akt, </w:t>
      </w:r>
      <w:r w:rsidR="00AA4FA1" w:rsidRPr="00AA4FA1">
        <w:rPr>
          <w:rFonts w:ascii="Book Antiqua" w:eastAsia="Book Antiqua" w:hAnsi="Book Antiqua" w:cs="Book Antiqua"/>
          <w:color w:val="000000"/>
        </w:rPr>
        <w:t>AMP-activated protein kinase</w:t>
      </w:r>
      <w:r w:rsidRPr="00D4328A">
        <w:rPr>
          <w:rFonts w:ascii="Book Antiqua" w:eastAsia="Book Antiqua" w:hAnsi="Book Antiqua" w:cs="Book Antiqua"/>
          <w:color w:val="000000"/>
        </w:rPr>
        <w:t xml:space="preserve">, and </w:t>
      </w:r>
      <w:r w:rsidR="00B1621C" w:rsidRPr="00D4328A">
        <w:rPr>
          <w:rFonts w:ascii="Book Antiqua" w:eastAsia="Book Antiqua" w:hAnsi="Book Antiqua" w:cs="Book Antiqua"/>
          <w:color w:val="000000"/>
        </w:rPr>
        <w:t>mechanistic target of rapamycin</w:t>
      </w:r>
      <w:r w:rsidRPr="00D4328A">
        <w:rPr>
          <w:rFonts w:ascii="Book Antiqua" w:eastAsia="Book Antiqua" w:hAnsi="Book Antiqua" w:cs="Book Antiqua"/>
          <w:color w:val="000000"/>
        </w:rPr>
        <w:t xml:space="preserve"> signaling pathways have been identified which sheds light on the propensity for increased severity of illness in SARS-CoV-2 infected NAFLD patients</w:t>
      </w:r>
      <w:r w:rsidR="00B1621C"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The spike protein of coronavirus has a high affinity for the receptor of ACE, which is found in the lung and the hepatobiliary cells. Furthermore, </w:t>
      </w:r>
      <w:r w:rsidRPr="00D4328A">
        <w:rPr>
          <w:rFonts w:ascii="Book Antiqua" w:eastAsia="Book Antiqua" w:hAnsi="Book Antiqua" w:cs="Book Antiqua"/>
          <w:color w:val="000000"/>
        </w:rPr>
        <w:lastRenderedPageBreak/>
        <w:t>COVID-19 infection upregulates the expression of ACE receptors</w:t>
      </w:r>
      <w:r w:rsidRPr="00D4328A">
        <w:rPr>
          <w:rFonts w:ascii="Book Antiqua" w:eastAsia="Book Antiqua" w:hAnsi="Book Antiqua" w:cs="Book Antiqua"/>
          <w:color w:val="000000"/>
          <w:vertAlign w:val="superscript"/>
        </w:rPr>
        <w:t>[</w:t>
      </w:r>
      <w:r w:rsidR="005B6BCA" w:rsidRPr="00D4328A">
        <w:rPr>
          <w:rFonts w:ascii="Book Antiqua" w:eastAsia="Book Antiqua" w:hAnsi="Book Antiqua" w:cs="Book Antiqua"/>
          <w:color w:val="000000"/>
          <w:vertAlign w:val="superscript"/>
        </w:rPr>
        <w:t>69</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This leads to the hyperactivation of an immune cascade that damages the hepatocytes</w:t>
      </w:r>
      <w:r w:rsidRPr="00D4328A">
        <w:rPr>
          <w:rFonts w:ascii="Book Antiqua" w:eastAsia="Book Antiqua" w:hAnsi="Book Antiqua" w:cs="Book Antiqua"/>
          <w:color w:val="000000"/>
          <w:vertAlign w:val="superscript"/>
        </w:rPr>
        <w:t>[</w:t>
      </w:r>
      <w:r w:rsidR="005B6BCA" w:rsidRPr="00D4328A">
        <w:rPr>
          <w:rFonts w:ascii="Book Antiqua" w:eastAsia="Book Antiqua" w:hAnsi="Book Antiqua" w:cs="Book Antiqua"/>
          <w:color w:val="000000"/>
          <w:vertAlign w:val="superscript"/>
        </w:rPr>
        <w:t>70</w:t>
      </w:r>
      <w:r w:rsidRPr="00D4328A">
        <w:rPr>
          <w:rFonts w:ascii="Book Antiqua" w:eastAsia="Book Antiqua" w:hAnsi="Book Antiqua" w:cs="Book Antiqua"/>
          <w:color w:val="000000"/>
          <w:vertAlign w:val="superscript"/>
        </w:rPr>
        <w:t>,</w:t>
      </w:r>
      <w:r w:rsidR="005B6BCA" w:rsidRPr="00D4328A">
        <w:rPr>
          <w:rFonts w:ascii="Book Antiqua" w:eastAsia="Book Antiqua" w:hAnsi="Book Antiqua" w:cs="Book Antiqua"/>
          <w:color w:val="000000"/>
          <w:vertAlign w:val="superscript"/>
        </w:rPr>
        <w:t>71</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Chronic low-grade inflammatory state in individuals with NAFLD/</w:t>
      </w:r>
      <w:r w:rsidR="00557209" w:rsidRPr="00D4328A">
        <w:rPr>
          <w:rFonts w:ascii="Book Antiqua" w:eastAsia="Book Antiqua" w:hAnsi="Book Antiqua" w:cs="Book Antiqua"/>
          <w:color w:val="000000"/>
        </w:rPr>
        <w:t>MS</w:t>
      </w:r>
      <w:r w:rsidRPr="00D4328A">
        <w:rPr>
          <w:rFonts w:ascii="Book Antiqua" w:eastAsia="Book Antiqua" w:hAnsi="Book Antiqua" w:cs="Book Antiqua"/>
          <w:color w:val="000000"/>
        </w:rPr>
        <w:t xml:space="preserve"> creates a hypoxic environment for adipocytes leading to their dysfunction. This promotes the increased release of pro-inflammatory cytokines IL-6, IL-8, C</w:t>
      </w:r>
      <w:r w:rsidR="00AA4FA1">
        <w:rPr>
          <w:rFonts w:ascii="Book Antiqua" w:eastAsia="Book Antiqua" w:hAnsi="Book Antiqua" w:cs="Book Antiqua"/>
          <w:color w:val="000000"/>
        </w:rPr>
        <w:t>-</w:t>
      </w:r>
      <w:r w:rsidR="00B1621C" w:rsidRPr="00D4328A">
        <w:rPr>
          <w:rFonts w:ascii="Book Antiqua" w:eastAsia="Book Antiqua" w:hAnsi="Book Antiqua" w:cs="Book Antiqua"/>
          <w:color w:val="000000"/>
        </w:rPr>
        <w:t>reactive p</w:t>
      </w:r>
      <w:r w:rsidRPr="00D4328A">
        <w:rPr>
          <w:rFonts w:ascii="Book Antiqua" w:eastAsia="Book Antiqua" w:hAnsi="Book Antiqua" w:cs="Book Antiqua"/>
          <w:color w:val="000000"/>
        </w:rPr>
        <w:t>rotein, and TNF-α, and the recruitment of macrophages, B</w:t>
      </w:r>
      <w:r w:rsidR="00AA4FA1">
        <w:rPr>
          <w:rFonts w:ascii="Book Antiqua" w:eastAsia="Book Antiqua" w:hAnsi="Book Antiqua" w:cs="Book Antiqua"/>
          <w:color w:val="000000"/>
        </w:rPr>
        <w:t xml:space="preserve"> </w:t>
      </w:r>
      <w:r w:rsidRPr="00D4328A">
        <w:rPr>
          <w:rFonts w:ascii="Book Antiqua" w:eastAsia="Book Antiqua" w:hAnsi="Book Antiqua" w:cs="Book Antiqua"/>
          <w:color w:val="000000"/>
        </w:rPr>
        <w:t>cells, and T</w:t>
      </w:r>
      <w:r w:rsidR="00AA4FA1">
        <w:rPr>
          <w:rFonts w:ascii="Book Antiqua" w:eastAsia="Book Antiqua" w:hAnsi="Book Antiqua" w:cs="Book Antiqua"/>
          <w:color w:val="000000"/>
        </w:rPr>
        <w:t xml:space="preserve"> </w:t>
      </w:r>
      <w:r w:rsidRPr="00D4328A">
        <w:rPr>
          <w:rFonts w:ascii="Book Antiqua" w:eastAsia="Book Antiqua" w:hAnsi="Book Antiqua" w:cs="Book Antiqua"/>
          <w:color w:val="000000"/>
        </w:rPr>
        <w:t>cells. This effect is compounded by the systemic hyperactivation of the inflammatory cascade in active COVID-19 infection, which aggravates the ongoing inflammation of the hepatocytes, leading to decompensation of NAFLD and extensive hepatocyte damage</w:t>
      </w:r>
      <w:r w:rsidRPr="00D4328A">
        <w:rPr>
          <w:rFonts w:ascii="Book Antiqua" w:eastAsia="Book Antiqua" w:hAnsi="Book Antiqua" w:cs="Book Antiqua"/>
          <w:color w:val="000000"/>
          <w:vertAlign w:val="superscript"/>
        </w:rPr>
        <w:t>[7</w:t>
      </w:r>
      <w:r w:rsidR="005B6BCA" w:rsidRPr="00D4328A">
        <w:rPr>
          <w:rFonts w:ascii="Book Antiqua" w:eastAsia="Book Antiqua" w:hAnsi="Book Antiqua" w:cs="Book Antiqua"/>
          <w:color w:val="000000"/>
          <w:vertAlign w:val="superscript"/>
        </w:rPr>
        <w:t>2</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Additionally, patients with NAFLD have insulin resistance, which further serves as a conducive ground for widespread inflammation</w:t>
      </w:r>
      <w:r w:rsidRPr="00D4328A">
        <w:rPr>
          <w:rFonts w:ascii="Book Antiqua" w:eastAsia="Book Antiqua" w:hAnsi="Book Antiqua" w:cs="Book Antiqua"/>
          <w:color w:val="000000"/>
          <w:vertAlign w:val="superscript"/>
        </w:rPr>
        <w:t>[7</w:t>
      </w:r>
      <w:r w:rsidR="005B6BCA" w:rsidRPr="00D4328A">
        <w:rPr>
          <w:rFonts w:ascii="Book Antiqua" w:eastAsia="Book Antiqua" w:hAnsi="Book Antiqua" w:cs="Book Antiqua"/>
          <w:color w:val="000000"/>
          <w:vertAlign w:val="superscript"/>
        </w:rPr>
        <w:t>3</w:t>
      </w:r>
      <w:r w:rsidRPr="00D4328A">
        <w:rPr>
          <w:rFonts w:ascii="Book Antiqua" w:eastAsia="Book Antiqua" w:hAnsi="Book Antiqua" w:cs="Book Antiqua"/>
          <w:color w:val="000000"/>
          <w:vertAlign w:val="superscript"/>
        </w:rPr>
        <w:t>,7</w:t>
      </w:r>
      <w:r w:rsidR="005B6BCA" w:rsidRPr="00D4328A">
        <w:rPr>
          <w:rFonts w:ascii="Book Antiqua" w:eastAsia="Book Antiqua" w:hAnsi="Book Antiqua" w:cs="Book Antiqua"/>
          <w:color w:val="000000"/>
          <w:vertAlign w:val="superscript"/>
        </w:rPr>
        <w:t>4</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w:t>
      </w:r>
    </w:p>
    <w:p w14:paraId="75A6FA5D" w14:textId="6C8E0191" w:rsidR="00A77B3E" w:rsidRPr="00D4328A" w:rsidRDefault="00000000" w:rsidP="006D1FC3">
      <w:pPr>
        <w:spacing w:line="360" w:lineRule="auto"/>
        <w:ind w:firstLine="240"/>
        <w:jc w:val="both"/>
        <w:rPr>
          <w:rFonts w:ascii="Book Antiqua" w:hAnsi="Book Antiqua"/>
        </w:rPr>
      </w:pPr>
      <w:r w:rsidRPr="00D4328A">
        <w:rPr>
          <w:rFonts w:ascii="Book Antiqua" w:eastAsia="Book Antiqua" w:hAnsi="Book Antiqua" w:cs="Book Antiqua"/>
          <w:color w:val="000000"/>
          <w:shd w:val="clear" w:color="auto" w:fill="FFFFFF"/>
        </w:rPr>
        <w:t xml:space="preserve">Bramante </w:t>
      </w:r>
      <w:r w:rsidR="00774A1F" w:rsidRPr="00D4328A">
        <w:rPr>
          <w:rFonts w:ascii="Book Antiqua" w:eastAsia="Book Antiqua" w:hAnsi="Book Antiqua" w:cs="Book Antiqua"/>
          <w:i/>
          <w:iCs/>
          <w:color w:val="000000"/>
          <w:shd w:val="clear" w:color="auto" w:fill="FFFFFF"/>
        </w:rPr>
        <w:t>e</w:t>
      </w:r>
      <w:r w:rsidRPr="00D4328A">
        <w:rPr>
          <w:rFonts w:ascii="Book Antiqua" w:eastAsia="Book Antiqua" w:hAnsi="Book Antiqua" w:cs="Book Antiqua"/>
          <w:i/>
          <w:iCs/>
          <w:color w:val="000000"/>
          <w:shd w:val="clear" w:color="auto" w:fill="FFFFFF"/>
        </w:rPr>
        <w:t>t al</w:t>
      </w:r>
      <w:r w:rsidR="00774A1F" w:rsidRPr="00D4328A">
        <w:rPr>
          <w:rFonts w:ascii="Book Antiqua" w:eastAsia="Book Antiqua" w:hAnsi="Book Antiqua" w:cs="Book Antiqua"/>
          <w:color w:val="000000"/>
          <w:vertAlign w:val="superscript"/>
        </w:rPr>
        <w:t>[75]</w:t>
      </w:r>
      <w:r w:rsidRPr="00D4328A">
        <w:rPr>
          <w:rFonts w:ascii="Book Antiqua" w:eastAsia="Book Antiqua" w:hAnsi="Book Antiqua" w:cs="Book Antiqua"/>
          <w:color w:val="000000"/>
          <w:shd w:val="clear" w:color="auto" w:fill="FFFFFF"/>
        </w:rPr>
        <w:t xml:space="preserve"> </w:t>
      </w:r>
      <w:r w:rsidRPr="00D4328A">
        <w:rPr>
          <w:rFonts w:ascii="Book Antiqua" w:eastAsia="Book Antiqua" w:hAnsi="Book Antiqua" w:cs="Book Antiqua"/>
          <w:color w:val="000000"/>
        </w:rPr>
        <w:t xml:space="preserve">conducted a retrospective study that showed that with each additional year of having NAFLD/NASH the risk of hospitalization for COVID-19 increased. An assessment of the association between liver fibrosis scores and the clinical outcomes in patients with COVID-19 reported that a one-point score increase in FIB-4 was significantly associated with increased death, but not hospitalization. The authors also found that for every unit elevation in </w:t>
      </w:r>
      <w:r w:rsidR="00774A1F" w:rsidRPr="00D4328A">
        <w:rPr>
          <w:rFonts w:ascii="Book Antiqua" w:eastAsia="Book Antiqua" w:hAnsi="Book Antiqua" w:cs="Book Antiqua"/>
          <w:color w:val="000000"/>
        </w:rPr>
        <w:t>aspartate aminotransferase/alanine aminotransferase</w:t>
      </w:r>
      <w:r w:rsidRPr="00D4328A">
        <w:rPr>
          <w:rFonts w:ascii="Book Antiqua" w:eastAsia="Book Antiqua" w:hAnsi="Book Antiqua" w:cs="Book Antiqua"/>
          <w:color w:val="000000"/>
        </w:rPr>
        <w:t xml:space="preserve"> ratio, the risk of death increased by 178%</w:t>
      </w:r>
      <w:r w:rsidRPr="00D4328A">
        <w:rPr>
          <w:rFonts w:ascii="Book Antiqua" w:eastAsia="Book Antiqua" w:hAnsi="Book Antiqua" w:cs="Book Antiqua"/>
          <w:color w:val="000000"/>
          <w:vertAlign w:val="superscript"/>
        </w:rPr>
        <w:t>[</w:t>
      </w:r>
      <w:r w:rsidR="00392DB4" w:rsidRPr="00D4328A">
        <w:rPr>
          <w:rFonts w:ascii="Book Antiqua" w:eastAsia="Book Antiqua" w:hAnsi="Book Antiqua" w:cs="Book Antiqua"/>
          <w:color w:val="000000"/>
          <w:vertAlign w:val="superscript"/>
        </w:rPr>
        <w:t>76</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Patients with higher FIB-4 &gt;</w:t>
      </w:r>
      <w:r w:rsidR="00774A1F" w:rsidRPr="00D4328A">
        <w:rPr>
          <w:rFonts w:ascii="Book Antiqua" w:eastAsia="Book Antiqua" w:hAnsi="Book Antiqua" w:cs="Book Antiqua"/>
          <w:color w:val="000000"/>
        </w:rPr>
        <w:t xml:space="preserve"> </w:t>
      </w:r>
      <w:r w:rsidRPr="00D4328A">
        <w:rPr>
          <w:rFonts w:ascii="Book Antiqua" w:eastAsia="Book Antiqua" w:hAnsi="Book Antiqua" w:cs="Book Antiqua"/>
          <w:color w:val="000000"/>
        </w:rPr>
        <w:t>2.67 scores had a higher risk of developing COVID-19</w:t>
      </w:r>
      <w:r w:rsidRPr="00D4328A">
        <w:rPr>
          <w:rFonts w:ascii="Book Antiqua" w:eastAsia="Book Antiqua" w:hAnsi="Book Antiqua" w:cs="Book Antiqua"/>
          <w:color w:val="000000"/>
          <w:vertAlign w:val="superscript"/>
        </w:rPr>
        <w:t>[</w:t>
      </w:r>
      <w:r w:rsidR="00392DB4" w:rsidRPr="00D4328A">
        <w:rPr>
          <w:rFonts w:ascii="Book Antiqua" w:eastAsia="Book Antiqua" w:hAnsi="Book Antiqua" w:cs="Book Antiqua"/>
          <w:color w:val="000000"/>
          <w:vertAlign w:val="superscript"/>
        </w:rPr>
        <w:t>77</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Therefore, </w:t>
      </w:r>
      <w:r w:rsidR="00774A1F" w:rsidRPr="00D4328A">
        <w:rPr>
          <w:rFonts w:ascii="Book Antiqua" w:eastAsia="Book Antiqua" w:hAnsi="Book Antiqua" w:cs="Book Antiqua"/>
          <w:color w:val="000000"/>
        </w:rPr>
        <w:t>p</w:t>
      </w:r>
      <w:r w:rsidRPr="00D4328A">
        <w:rPr>
          <w:rFonts w:ascii="Book Antiqua" w:eastAsia="Book Antiqua" w:hAnsi="Book Antiqua" w:cs="Book Antiqua"/>
          <w:color w:val="000000"/>
        </w:rPr>
        <w:t xml:space="preserve">rimary prevention is essential to control NAFLD during its development. Bramante </w:t>
      </w:r>
      <w:r w:rsidR="00774A1F" w:rsidRPr="00D4328A">
        <w:rPr>
          <w:rFonts w:ascii="Book Antiqua" w:eastAsia="Book Antiqua" w:hAnsi="Book Antiqua" w:cs="Book Antiqua"/>
          <w:i/>
          <w:iCs/>
          <w:color w:val="000000"/>
        </w:rPr>
        <w:t>e</w:t>
      </w:r>
      <w:r w:rsidRPr="00D4328A">
        <w:rPr>
          <w:rFonts w:ascii="Book Antiqua" w:eastAsia="Book Antiqua" w:hAnsi="Book Antiqua" w:cs="Book Antiqua"/>
          <w:i/>
          <w:iCs/>
          <w:color w:val="000000"/>
        </w:rPr>
        <w:t>t al</w:t>
      </w:r>
      <w:r w:rsidRPr="00D4328A">
        <w:rPr>
          <w:rFonts w:ascii="Book Antiqua" w:eastAsia="Book Antiqua" w:hAnsi="Book Antiqua" w:cs="Book Antiqua"/>
          <w:color w:val="000000"/>
          <w:vertAlign w:val="superscript"/>
        </w:rPr>
        <w:t>[7</w:t>
      </w:r>
      <w:r w:rsidR="00774A1F" w:rsidRPr="00D4328A">
        <w:rPr>
          <w:rFonts w:ascii="Book Antiqua" w:eastAsia="Book Antiqua" w:hAnsi="Book Antiqua" w:cs="Book Antiqua"/>
          <w:color w:val="000000"/>
          <w:vertAlign w:val="superscript"/>
        </w:rPr>
        <w:t>5</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also showed that patients on prior treatments for NAFLD such as metformin and glucagon-like-peptide 1 receptor agonists had a reduced risk of hospitalization with the most significantly decreased risk from recent bariatric surgery. This highlights the importance of obesity as a cofactor to worse outcomes in COVID-19 patients and </w:t>
      </w:r>
      <w:r w:rsidR="00774A1F" w:rsidRPr="00D4328A">
        <w:rPr>
          <w:rFonts w:ascii="Book Antiqua" w:eastAsia="Book Antiqua" w:hAnsi="Book Antiqua" w:cs="Book Antiqua"/>
          <w:color w:val="000000"/>
        </w:rPr>
        <w:t>w</w:t>
      </w:r>
      <w:r w:rsidRPr="00D4328A">
        <w:rPr>
          <w:rFonts w:ascii="Book Antiqua" w:eastAsia="Book Antiqua" w:hAnsi="Book Antiqua" w:cs="Book Antiqua"/>
          <w:color w:val="000000"/>
        </w:rPr>
        <w:t>eight loss as the most significant contributing factor to improved outcomes in NAFLD</w:t>
      </w:r>
      <w:r w:rsidRPr="00D4328A">
        <w:rPr>
          <w:rFonts w:ascii="Book Antiqua" w:eastAsia="Book Antiqua" w:hAnsi="Book Antiqua" w:cs="Book Antiqua"/>
          <w:color w:val="000000"/>
          <w:vertAlign w:val="superscript"/>
        </w:rPr>
        <w:t>[6</w:t>
      </w:r>
      <w:r w:rsidR="00392DB4" w:rsidRPr="00D4328A">
        <w:rPr>
          <w:rFonts w:ascii="Book Antiqua" w:eastAsia="Book Antiqua" w:hAnsi="Book Antiqua" w:cs="Book Antiqua"/>
          <w:color w:val="000000"/>
          <w:vertAlign w:val="superscript"/>
        </w:rPr>
        <w:t>0</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Several studies found a higher incidence of obesity and NAFLD in patients hospitalized for COVID, which can also worsen disease severity</w:t>
      </w:r>
      <w:r w:rsidRPr="00D4328A">
        <w:rPr>
          <w:rFonts w:ascii="Book Antiqua" w:eastAsia="Book Antiqua" w:hAnsi="Book Antiqua" w:cs="Book Antiqua"/>
          <w:color w:val="000000"/>
          <w:vertAlign w:val="superscript"/>
        </w:rPr>
        <w:t>[5</w:t>
      </w:r>
      <w:r w:rsidR="00392DB4" w:rsidRPr="00D4328A">
        <w:rPr>
          <w:rFonts w:ascii="Book Antiqua" w:eastAsia="Book Antiqua" w:hAnsi="Book Antiqua" w:cs="Book Antiqua"/>
          <w:color w:val="000000"/>
          <w:vertAlign w:val="superscript"/>
        </w:rPr>
        <w:t>3</w:t>
      </w:r>
      <w:r w:rsidRPr="00D4328A">
        <w:rPr>
          <w:rFonts w:ascii="Book Antiqua" w:eastAsia="Book Antiqua" w:hAnsi="Book Antiqua" w:cs="Book Antiqua"/>
          <w:color w:val="000000"/>
          <w:vertAlign w:val="superscript"/>
        </w:rPr>
        <w:t>,</w:t>
      </w:r>
      <w:r w:rsidR="00392DB4" w:rsidRPr="00D4328A">
        <w:rPr>
          <w:rFonts w:ascii="Book Antiqua" w:eastAsia="Book Antiqua" w:hAnsi="Book Antiqua" w:cs="Book Antiqua"/>
          <w:color w:val="000000"/>
          <w:vertAlign w:val="superscript"/>
        </w:rPr>
        <w:t>59</w:t>
      </w:r>
      <w:r w:rsidRPr="00D4328A">
        <w:rPr>
          <w:rFonts w:ascii="Book Antiqua" w:eastAsia="Book Antiqua" w:hAnsi="Book Antiqua" w:cs="Book Antiqua"/>
          <w:color w:val="000000"/>
          <w:vertAlign w:val="superscript"/>
        </w:rPr>
        <w:t>,7</w:t>
      </w:r>
      <w:r w:rsidR="00392DB4" w:rsidRPr="00D4328A">
        <w:rPr>
          <w:rFonts w:ascii="Book Antiqua" w:eastAsia="Book Antiqua" w:hAnsi="Book Antiqua" w:cs="Book Antiqua"/>
          <w:color w:val="000000"/>
          <w:vertAlign w:val="superscript"/>
        </w:rPr>
        <w:t>5</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This association may be confounded by the presence of obesity, which is an independent risk factor for COVID-19 severity. Previous studies reported odds ratios after adjusting for obesity and found statistically significant results in the association between NAFLD and COVID-19</w:t>
      </w:r>
      <w:r w:rsidRPr="00D4328A">
        <w:rPr>
          <w:rFonts w:ascii="Book Antiqua" w:eastAsia="Book Antiqua" w:hAnsi="Book Antiqua" w:cs="Book Antiqua"/>
          <w:color w:val="000000"/>
          <w:vertAlign w:val="superscript"/>
        </w:rPr>
        <w:t>[</w:t>
      </w:r>
      <w:r w:rsidR="00392DB4" w:rsidRPr="00D4328A">
        <w:rPr>
          <w:rFonts w:ascii="Book Antiqua" w:eastAsia="Book Antiqua" w:hAnsi="Book Antiqua" w:cs="Book Antiqua"/>
          <w:color w:val="000000"/>
          <w:vertAlign w:val="superscript"/>
        </w:rPr>
        <w:t>77</w:t>
      </w:r>
      <w:r w:rsidRPr="00D4328A">
        <w:rPr>
          <w:rFonts w:ascii="Book Antiqua" w:eastAsia="Book Antiqua" w:hAnsi="Book Antiqua" w:cs="Book Antiqua"/>
          <w:color w:val="000000"/>
          <w:vertAlign w:val="superscript"/>
        </w:rPr>
        <w:t>,</w:t>
      </w:r>
      <w:r w:rsidR="00392DB4" w:rsidRPr="00D4328A">
        <w:rPr>
          <w:rFonts w:ascii="Book Antiqua" w:eastAsia="Book Antiqua" w:hAnsi="Book Antiqua" w:cs="Book Antiqua"/>
          <w:color w:val="000000"/>
          <w:vertAlign w:val="superscript"/>
        </w:rPr>
        <w:t>78</w:t>
      </w:r>
      <w:r w:rsidRPr="00D4328A">
        <w:rPr>
          <w:rFonts w:ascii="Book Antiqua" w:eastAsia="Book Antiqua" w:hAnsi="Book Antiqua" w:cs="Book Antiqua"/>
          <w:color w:val="000000"/>
          <w:vertAlign w:val="superscript"/>
        </w:rPr>
        <w:t>]</w:t>
      </w:r>
      <w:r w:rsidRPr="00D4328A">
        <w:rPr>
          <w:rFonts w:ascii="Book Antiqua" w:eastAsia="Book Antiqua" w:hAnsi="Book Antiqua" w:cs="Book Antiqua"/>
          <w:color w:val="000000"/>
        </w:rPr>
        <w:t xml:space="preserve">. However, in a </w:t>
      </w:r>
      <w:r w:rsidRPr="00D4328A">
        <w:rPr>
          <w:rFonts w:ascii="Book Antiqua" w:eastAsia="Book Antiqua" w:hAnsi="Book Antiqua" w:cs="Book Antiqua"/>
          <w:color w:val="000000"/>
        </w:rPr>
        <w:lastRenderedPageBreak/>
        <w:t xml:space="preserve">regression analysis, Li </w:t>
      </w:r>
      <w:r w:rsidRPr="00D4328A">
        <w:rPr>
          <w:rFonts w:ascii="Book Antiqua" w:eastAsia="Book Antiqua" w:hAnsi="Book Antiqua" w:cs="Book Antiqua"/>
          <w:i/>
          <w:iCs/>
          <w:color w:val="000000"/>
        </w:rPr>
        <w:t>et al</w:t>
      </w:r>
      <w:r w:rsidR="00774A1F" w:rsidRPr="00D4328A">
        <w:rPr>
          <w:rFonts w:ascii="Book Antiqua" w:eastAsia="Book Antiqua" w:hAnsi="Book Antiqua" w:cs="Book Antiqua"/>
          <w:color w:val="000000"/>
          <w:shd w:val="clear" w:color="auto" w:fill="FFFFFF"/>
          <w:vertAlign w:val="superscript"/>
        </w:rPr>
        <w:t>[79]</w:t>
      </w:r>
      <w:r w:rsidRPr="00D4328A">
        <w:rPr>
          <w:rFonts w:ascii="Book Antiqua" w:eastAsia="Book Antiqua" w:hAnsi="Book Antiqua" w:cs="Book Antiqua"/>
          <w:color w:val="000000"/>
        </w:rPr>
        <w:t xml:space="preserve"> observed that NAFLD independently does not affect the prognosis of severe COVID-</w:t>
      </w:r>
      <w:r w:rsidRPr="00D4328A">
        <w:rPr>
          <w:rFonts w:ascii="Book Antiqua" w:eastAsia="Book Antiqua" w:hAnsi="Book Antiqua" w:cs="Book Antiqua"/>
          <w:color w:val="000000"/>
          <w:shd w:val="clear" w:color="auto" w:fill="FFFFFF"/>
        </w:rPr>
        <w:t>19. Any association between NAFLD and COVID</w:t>
      </w:r>
      <w:r w:rsidRPr="00D4328A">
        <w:rPr>
          <w:rFonts w:ascii="Book Antiqua" w:eastAsia="Book Antiqua" w:hAnsi="Book Antiqua" w:cs="Book Antiqua"/>
          <w:color w:val="000000"/>
        </w:rPr>
        <w:t xml:space="preserve">-19 is likely attributed to the confounding effect of obesity, measured in terms of </w:t>
      </w:r>
      <w:r w:rsidR="00774A1F" w:rsidRPr="00D4328A">
        <w:rPr>
          <w:rFonts w:ascii="Book Antiqua" w:eastAsia="Book Antiqua" w:hAnsi="Book Antiqua" w:cs="Book Antiqua"/>
          <w:color w:val="000000"/>
        </w:rPr>
        <w:t>body mass index</w:t>
      </w:r>
      <w:r w:rsidRPr="00D4328A">
        <w:rPr>
          <w:rFonts w:ascii="Book Antiqua" w:eastAsia="Book Antiqua" w:hAnsi="Book Antiqua" w:cs="Book Antiqua"/>
          <w:color w:val="000000"/>
        </w:rPr>
        <w:t xml:space="preserve">, waist circumference, and hip circumference. Further studies with a larger sample size are needed to explain the varied results observed in these studies. Roca-Fernández </w:t>
      </w:r>
      <w:r w:rsidRPr="00D4328A">
        <w:rPr>
          <w:rFonts w:ascii="Book Antiqua" w:eastAsia="Book Antiqua" w:hAnsi="Book Antiqua" w:cs="Book Antiqua"/>
          <w:i/>
          <w:iCs/>
          <w:color w:val="000000"/>
        </w:rPr>
        <w:t>et al</w:t>
      </w:r>
      <w:r w:rsidR="00774A1F" w:rsidRPr="00D4328A">
        <w:rPr>
          <w:rFonts w:ascii="Book Antiqua" w:eastAsia="Book Antiqua" w:hAnsi="Book Antiqua" w:cs="Book Antiqua"/>
          <w:color w:val="000000"/>
          <w:vertAlign w:val="superscript"/>
        </w:rPr>
        <w:t>[63]</w:t>
      </w:r>
      <w:r w:rsidRPr="00D4328A">
        <w:rPr>
          <w:rFonts w:ascii="Book Antiqua" w:eastAsia="Book Antiqua" w:hAnsi="Book Antiqua" w:cs="Book Antiqua"/>
          <w:color w:val="000000"/>
        </w:rPr>
        <w:t xml:space="preserve"> reported that higher liver fat percentages or evidence of liver fibro-inflammation, and features of NAFLD, increased the likelihood of symptomatic COVID-19. Interestingly, they found that obese patients with higher liver fat had a higher probability of having symptomatic COVID-19 compared to obese patients with normal liver fat. This is in favor of NAFLD being an independent risk factor for COVID-19 irrespective of obesity.</w:t>
      </w:r>
    </w:p>
    <w:p w14:paraId="21DFAB5C" w14:textId="77777777" w:rsidR="00A77B3E" w:rsidRPr="00D4328A" w:rsidRDefault="00A77B3E" w:rsidP="006D1FC3">
      <w:pPr>
        <w:spacing w:line="360" w:lineRule="auto"/>
        <w:jc w:val="both"/>
        <w:rPr>
          <w:rFonts w:ascii="Book Antiqua" w:hAnsi="Book Antiqua"/>
        </w:rPr>
      </w:pPr>
    </w:p>
    <w:p w14:paraId="1CBDBFB7"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Strengths and limitations</w:t>
      </w:r>
    </w:p>
    <w:p w14:paraId="36709A69" w14:textId="0319F61B"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We followed rigorous methodology, adhered to PRISMA guidelines, and registered our study in PROSPERO. Most of the studies were retrospective case-control and cohort studies which can be associated with the risk of bias, particularly in the absence of adjusting for confounders. NAFLD/MAFLD patients underlying medical conditions and co-morbidities that are components of </w:t>
      </w:r>
      <w:r w:rsidR="00557209" w:rsidRPr="00D4328A">
        <w:rPr>
          <w:rFonts w:ascii="Book Antiqua" w:eastAsia="Book Antiqua" w:hAnsi="Book Antiqua" w:cs="Book Antiqua"/>
          <w:color w:val="000000"/>
        </w:rPr>
        <w:t>MS</w:t>
      </w:r>
      <w:r w:rsidRPr="00D4328A">
        <w:rPr>
          <w:rFonts w:ascii="Book Antiqua" w:eastAsia="Book Antiqua" w:hAnsi="Book Antiqua" w:cs="Book Antiqua"/>
          <w:color w:val="000000"/>
        </w:rPr>
        <w:t xml:space="preserve"> can interfere with the outcomes studied. We excluded studies on NAFLD/MAFLD patients with other underlying causes for liver diseases including alcoholic liver disease. We understand there may be additional etiology for liver disease in patients that </w:t>
      </w:r>
      <w:r w:rsidR="00FB42F6" w:rsidRPr="00D4328A">
        <w:rPr>
          <w:rFonts w:ascii="Book Antiqua" w:eastAsia="Book Antiqua" w:hAnsi="Book Antiqua" w:cs="Book Antiqua"/>
          <w:color w:val="000000"/>
        </w:rPr>
        <w:t>are</w:t>
      </w:r>
      <w:r w:rsidRPr="00D4328A">
        <w:rPr>
          <w:rFonts w:ascii="Book Antiqua" w:eastAsia="Book Antiqua" w:hAnsi="Book Antiqua" w:cs="Book Antiqua"/>
          <w:color w:val="000000"/>
        </w:rPr>
        <w:t xml:space="preserve"> underdiagnosed and may impact our study findings</w:t>
      </w:r>
      <w:r w:rsidR="00774A1F" w:rsidRPr="00D4328A">
        <w:rPr>
          <w:rFonts w:ascii="Book Antiqua" w:eastAsia="Book Antiqua" w:hAnsi="Book Antiqua" w:cs="Book Antiqua"/>
          <w:color w:val="000000"/>
        </w:rPr>
        <w:t>.</w:t>
      </w:r>
      <w:r w:rsidRPr="00D4328A">
        <w:rPr>
          <w:rFonts w:ascii="Book Antiqua" w:eastAsia="Book Antiqua" w:hAnsi="Book Antiqua" w:cs="Book Antiqua"/>
          <w:color w:val="000000"/>
        </w:rPr>
        <w:t xml:space="preserve"> The retrospective nature of most of the studies in our analysis does not imply a causal relationship between NAFLD/MAFLD and measured outcomes. We included studies that measured NAFLD/MAFLD using non-invasive procedures such as imaging and biomarker/</w:t>
      </w:r>
      <w:r w:rsidR="00774A1F" w:rsidRPr="00D4328A">
        <w:rPr>
          <w:rFonts w:ascii="Book Antiqua" w:eastAsia="Book Antiqua" w:hAnsi="Book Antiqua" w:cs="Book Antiqua"/>
          <w:color w:val="000000"/>
        </w:rPr>
        <w:t>l</w:t>
      </w:r>
      <w:r w:rsidRPr="00D4328A">
        <w:rPr>
          <w:rFonts w:ascii="Book Antiqua" w:eastAsia="Book Antiqua" w:hAnsi="Book Antiqua" w:cs="Book Antiqua"/>
          <w:color w:val="000000"/>
        </w:rPr>
        <w:t xml:space="preserve">ab diagnosis. Since they are not the gold standard for diagnosis, there may be misclassification of patients with and without NAFLD/MAFLD. The method of diagnosis of NAFLD/MAFLD varied across studies so, there may be some misdiagnoses that can influence the results of the study. However, we included studies that compared absent or mild NAFLD/MAFLD to moderate or severe NAFLD/MAFLD to maintain homogeneity. We considered NAFLD/MAFLD patients in the same group, however, there may be important differences between these two groups that may alter the </w:t>
      </w:r>
      <w:r w:rsidRPr="00D4328A">
        <w:rPr>
          <w:rFonts w:ascii="Book Antiqua" w:eastAsia="Book Antiqua" w:hAnsi="Book Antiqua" w:cs="Book Antiqua"/>
          <w:color w:val="000000"/>
        </w:rPr>
        <w:lastRenderedPageBreak/>
        <w:t>outcomes. We observed the per-study protocol in our meta-analysis. We detected significant differences in our study population for the various outcomes measured. However, there was statistical heterogeneity in our results that should be taken into consideration. We also excluded studies in a language other than English due to difficulty with translation and interpretation of results. This can introduce bias in our study results. The studies included in our meta-analysis were from 12 different countries with more studies from China and the U</w:t>
      </w:r>
      <w:r w:rsidR="00774A1F" w:rsidRPr="00D4328A">
        <w:rPr>
          <w:rFonts w:ascii="Book Antiqua" w:eastAsia="Book Antiqua" w:hAnsi="Book Antiqua" w:cs="Book Antiqua"/>
          <w:color w:val="000000"/>
        </w:rPr>
        <w:t xml:space="preserve">nited </w:t>
      </w:r>
      <w:r w:rsidRPr="00D4328A">
        <w:rPr>
          <w:rFonts w:ascii="Book Antiqua" w:eastAsia="Book Antiqua" w:hAnsi="Book Antiqua" w:cs="Book Antiqua"/>
          <w:color w:val="000000"/>
        </w:rPr>
        <w:t>S</w:t>
      </w:r>
      <w:r w:rsidR="00774A1F" w:rsidRPr="00D4328A">
        <w:rPr>
          <w:rFonts w:ascii="Book Antiqua" w:eastAsia="Book Antiqua" w:hAnsi="Book Antiqua" w:cs="Book Antiqua"/>
          <w:color w:val="000000"/>
        </w:rPr>
        <w:t>tates</w:t>
      </w:r>
      <w:r w:rsidRPr="00D4328A">
        <w:rPr>
          <w:rFonts w:ascii="Book Antiqua" w:eastAsia="Book Antiqua" w:hAnsi="Book Antiqua" w:cs="Book Antiqua"/>
          <w:color w:val="000000"/>
        </w:rPr>
        <w:t>, but we consider the results to be generalizable globally. However, since the studies were from different countries the level of care at each health institution may be different, which can lead to different levels of disease severity, disease progression, and death. Our study aims for hypothesis generation and further research in NAFLD/MAFLD patients to better understand the disease pathophysiology and patient risk profiles.</w:t>
      </w:r>
    </w:p>
    <w:p w14:paraId="18E07A33" w14:textId="77777777" w:rsidR="00A77B3E" w:rsidRPr="00D4328A" w:rsidRDefault="00A77B3E" w:rsidP="006D1FC3">
      <w:pPr>
        <w:spacing w:line="360" w:lineRule="auto"/>
        <w:jc w:val="both"/>
        <w:rPr>
          <w:rFonts w:ascii="Book Antiqua" w:hAnsi="Book Antiqua"/>
        </w:rPr>
      </w:pPr>
    </w:p>
    <w:p w14:paraId="76BCB803"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aps/>
          <w:color w:val="000000"/>
          <w:u w:val="single"/>
        </w:rPr>
        <w:t>CONCLUSION</w:t>
      </w:r>
    </w:p>
    <w:p w14:paraId="40EC41DA" w14:textId="5B9E5191"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Our meta-analysis suggests that NAFLD/MAFLD patients appear to have higher rates of hospital admissions and longer in-hospital stays without any increase in mortality compared to non-NAFLD/MAFLD patients. Further research is needed to explore if </w:t>
      </w:r>
      <w:r w:rsidR="00774A1F" w:rsidRPr="00D4328A">
        <w:rPr>
          <w:rFonts w:ascii="Book Antiqua" w:eastAsia="Book Antiqua" w:hAnsi="Book Antiqua" w:cs="Book Antiqua"/>
          <w:color w:val="000000"/>
        </w:rPr>
        <w:t>fatty l</w:t>
      </w:r>
      <w:r w:rsidRPr="00D4328A">
        <w:rPr>
          <w:rFonts w:ascii="Book Antiqua" w:eastAsia="Book Antiqua" w:hAnsi="Book Antiqua" w:cs="Book Antiqua"/>
          <w:color w:val="000000"/>
        </w:rPr>
        <w:t>iver disease may be a risk factor that can lead to severe COVID-19 infection.</w:t>
      </w:r>
    </w:p>
    <w:p w14:paraId="42A71E4A" w14:textId="77777777" w:rsidR="00A77B3E" w:rsidRPr="00D4328A" w:rsidRDefault="00A77B3E" w:rsidP="006D1FC3">
      <w:pPr>
        <w:spacing w:line="360" w:lineRule="auto"/>
        <w:jc w:val="both"/>
        <w:rPr>
          <w:rFonts w:ascii="Book Antiqua" w:hAnsi="Book Antiqua"/>
        </w:rPr>
      </w:pPr>
    </w:p>
    <w:p w14:paraId="2041CB69"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t>Implications for clinical practice</w:t>
      </w:r>
    </w:p>
    <w:p w14:paraId="17253C69" w14:textId="45E2E441"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NAFLD/MAFLD are chronic pandemics rapidly on the rise. There is a lack of awareness and education among healthcare professionals and patients about its health impact, morbidity, and economic impact as they progress. There is a lack of systems/protocols in place to enforce the diagnosis of NAFLD globally and as a part of regular screening in </w:t>
      </w:r>
      <w:r w:rsidR="00774A1F" w:rsidRPr="00D4328A">
        <w:rPr>
          <w:rFonts w:ascii="Book Antiqua" w:eastAsia="Book Antiqua" w:hAnsi="Book Antiqua" w:cs="Book Antiqua"/>
          <w:color w:val="000000"/>
        </w:rPr>
        <w:t>p</w:t>
      </w:r>
      <w:r w:rsidRPr="00D4328A">
        <w:rPr>
          <w:rFonts w:ascii="Book Antiqua" w:eastAsia="Book Antiqua" w:hAnsi="Book Antiqua" w:cs="Book Antiqua"/>
          <w:color w:val="000000"/>
        </w:rPr>
        <w:t xml:space="preserve">rimary care clinics, diabetic clinics, and routine health care visits. Propagation of information on NAFLD and involvement of international organizations, scientific societies, and the pharmaceutical industry to improve public health policies related to NAFLD. Patient education on NAFLD/MAFLD as a co-morbid risk factor for infectious diseases such as COVID-19 </w:t>
      </w:r>
      <w:r w:rsidR="00774A1F" w:rsidRPr="00D4328A">
        <w:rPr>
          <w:rFonts w:ascii="Book Antiqua" w:eastAsia="Book Antiqua" w:hAnsi="Book Antiqua" w:cs="Book Antiqua"/>
          <w:color w:val="000000"/>
        </w:rPr>
        <w:t>l</w:t>
      </w:r>
      <w:r w:rsidRPr="00D4328A">
        <w:rPr>
          <w:rFonts w:ascii="Book Antiqua" w:eastAsia="Book Antiqua" w:hAnsi="Book Antiqua" w:cs="Book Antiqua"/>
          <w:color w:val="000000"/>
        </w:rPr>
        <w:t xml:space="preserve">ike other known risk factors such as </w:t>
      </w:r>
      <w:r w:rsidR="00774A1F" w:rsidRPr="00D4328A">
        <w:rPr>
          <w:rFonts w:ascii="Book Antiqua" w:eastAsia="Book Antiqua" w:hAnsi="Book Antiqua" w:cs="Book Antiqua"/>
          <w:color w:val="000000"/>
        </w:rPr>
        <w:t>hypertension</w:t>
      </w:r>
      <w:r w:rsidRPr="00D4328A">
        <w:rPr>
          <w:rFonts w:ascii="Book Antiqua" w:eastAsia="Book Antiqua" w:hAnsi="Book Antiqua" w:cs="Book Antiqua"/>
          <w:color w:val="000000"/>
        </w:rPr>
        <w:t xml:space="preserve">, </w:t>
      </w:r>
      <w:r w:rsidR="00774A1F" w:rsidRPr="00D4328A">
        <w:rPr>
          <w:rFonts w:ascii="Book Antiqua" w:eastAsia="Book Antiqua" w:hAnsi="Book Antiqua" w:cs="Book Antiqua"/>
          <w:color w:val="000000"/>
        </w:rPr>
        <w:t>o</w:t>
      </w:r>
      <w:r w:rsidRPr="00D4328A">
        <w:rPr>
          <w:rFonts w:ascii="Book Antiqua" w:eastAsia="Book Antiqua" w:hAnsi="Book Antiqua" w:cs="Book Antiqua"/>
          <w:color w:val="000000"/>
        </w:rPr>
        <w:t xml:space="preserve">besity, and </w:t>
      </w:r>
      <w:r w:rsidR="00774A1F" w:rsidRPr="00D4328A">
        <w:rPr>
          <w:rFonts w:ascii="Book Antiqua" w:eastAsia="Book Antiqua" w:hAnsi="Book Antiqua" w:cs="Book Antiqua"/>
          <w:color w:val="000000"/>
        </w:rPr>
        <w:t>d</w:t>
      </w:r>
      <w:r w:rsidRPr="00D4328A">
        <w:rPr>
          <w:rFonts w:ascii="Book Antiqua" w:eastAsia="Book Antiqua" w:hAnsi="Book Antiqua" w:cs="Book Antiqua"/>
          <w:color w:val="000000"/>
        </w:rPr>
        <w:t>iabetes, and measures to diagnose and treat NAFLD actively are needed.</w:t>
      </w:r>
    </w:p>
    <w:p w14:paraId="1BAEA699"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i/>
          <w:iCs/>
          <w:color w:val="000000"/>
        </w:rPr>
        <w:lastRenderedPageBreak/>
        <w:t>Implication for research</w:t>
      </w:r>
    </w:p>
    <w:p w14:paraId="163A0204"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Futures research on longitudinal prospective studies with larger numbers on NAFLD/MAFLD as a risk factor for COVID-19. Future studies should focus on genetics, immunology, and molecular epidemiology to better understand the mechanisms for poor outcomes in the NAFLD population.</w:t>
      </w:r>
    </w:p>
    <w:p w14:paraId="4A6C2367" w14:textId="77777777" w:rsidR="00A77B3E" w:rsidRPr="00D4328A" w:rsidRDefault="00A77B3E" w:rsidP="006D1FC3">
      <w:pPr>
        <w:spacing w:line="360" w:lineRule="auto"/>
        <w:jc w:val="both"/>
        <w:rPr>
          <w:rFonts w:ascii="Book Antiqua" w:hAnsi="Book Antiqua"/>
        </w:rPr>
      </w:pPr>
    </w:p>
    <w:p w14:paraId="3196F8FD"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aps/>
          <w:color w:val="000000"/>
          <w:u w:val="single"/>
        </w:rPr>
        <w:t>ARTICLE HIGHLIGHTS</w:t>
      </w:r>
    </w:p>
    <w:p w14:paraId="07DAE232"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t>Research background</w:t>
      </w:r>
    </w:p>
    <w:p w14:paraId="73245B4C" w14:textId="4B5865C0"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Non-alcoholic fatty liver disease (NAFLD) and its hepatic manifestation metabolic-associated fatty liver disease (MAFLD) have a rising prevalence worldwide. It is a co-morbidity like obesity, hypertension, and chronic kidney disease. NAFLD/MAFLD like obesity is considered chronic inflammatory states according to recent literature. Therefore, patients with NAFLD/MAFLD are hypothesized to have worse outcomes with </w:t>
      </w:r>
      <w:r w:rsidR="00E97B3C" w:rsidRPr="00D4328A">
        <w:rPr>
          <w:rFonts w:ascii="Book Antiqua" w:eastAsia="Book Antiqua" w:hAnsi="Book Antiqua" w:cs="Book Antiqua"/>
          <w:color w:val="000000"/>
        </w:rPr>
        <w:t>coronavirus disease 2019 (COVID-19)</w:t>
      </w:r>
      <w:r w:rsidRPr="00D4328A">
        <w:rPr>
          <w:rFonts w:ascii="Book Antiqua" w:eastAsia="Book Antiqua" w:hAnsi="Book Antiqua" w:cs="Book Antiqua"/>
          <w:color w:val="000000"/>
        </w:rPr>
        <w:t>.</w:t>
      </w:r>
    </w:p>
    <w:p w14:paraId="54CF6938" w14:textId="77777777" w:rsidR="00A77B3E" w:rsidRPr="00D4328A" w:rsidRDefault="00A77B3E" w:rsidP="006D1FC3">
      <w:pPr>
        <w:spacing w:line="360" w:lineRule="auto"/>
        <w:jc w:val="both"/>
        <w:rPr>
          <w:rFonts w:ascii="Book Antiqua" w:hAnsi="Book Antiqua"/>
        </w:rPr>
      </w:pPr>
    </w:p>
    <w:p w14:paraId="340477DD"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t>Research motivation</w:t>
      </w:r>
    </w:p>
    <w:p w14:paraId="2A77300E"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Existing literature shows conflicting information on the association of NAFLD/MAFLD in COVID-19 patients. Some studies show worse outcomes with NAFLD/MAFLD and COVID-19 infection. Some studies state it is not a risk factor for severe COVID-19. Understanding the pathophysiology and pathogenesis between fatty liver disease and COVID-19 is necessary for prevention, and management of NAFLD/MAFLD patients. Insight into this relationship will help further research and better preventative and nutritional management of these patients. It is imperative to explore the relationship of NAFLD/MAFLD with COVID-19 to improve patient care and treatment protocols for better outcomes.</w:t>
      </w:r>
    </w:p>
    <w:p w14:paraId="397B499A" w14:textId="77777777" w:rsidR="00A77B3E" w:rsidRPr="00D4328A" w:rsidRDefault="00A77B3E" w:rsidP="006D1FC3">
      <w:pPr>
        <w:spacing w:line="360" w:lineRule="auto"/>
        <w:jc w:val="both"/>
        <w:rPr>
          <w:rFonts w:ascii="Book Antiqua" w:hAnsi="Book Antiqua"/>
        </w:rPr>
      </w:pPr>
    </w:p>
    <w:p w14:paraId="49C35B7B"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t>Research objectives</w:t>
      </w:r>
    </w:p>
    <w:p w14:paraId="669962E9" w14:textId="194455E9"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In this meta-analysis, we investigated the association between NAFLD/MAFLD with the mortality and severity of COVID-19 infection.</w:t>
      </w:r>
    </w:p>
    <w:p w14:paraId="25746DB2" w14:textId="77777777" w:rsidR="00A77B3E" w:rsidRPr="00D4328A" w:rsidRDefault="00A77B3E" w:rsidP="006D1FC3">
      <w:pPr>
        <w:spacing w:line="360" w:lineRule="auto"/>
        <w:jc w:val="both"/>
        <w:rPr>
          <w:rFonts w:ascii="Book Antiqua" w:hAnsi="Book Antiqua"/>
        </w:rPr>
      </w:pPr>
    </w:p>
    <w:p w14:paraId="7EA1127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lastRenderedPageBreak/>
        <w:t>Research methods</w:t>
      </w:r>
    </w:p>
    <w:p w14:paraId="044E400B" w14:textId="37ACC4EC"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A systematic review of literature across five databases was done from January 2019 to June 2022. Observational studies were included. Studies that evaluated NAFLD/MAFLD using lab assessment/biomarker assessment, non-invasive imaging, or liver biopsy were included. We registered our study protocol in Prospero and followed the “PRISMA” guidelines (Figure 1). Meta-analysis was conducted on studies with outcomes for hospitalization, hospital length of stay, supplemental oxygen utilization, and mortality of COVID-19 infection outcomes using Rev Man version 5.3. To evaluate the validity of our studies the </w:t>
      </w:r>
      <w:r w:rsidR="006D1FC3" w:rsidRPr="00D4328A">
        <w:rPr>
          <w:rFonts w:ascii="Book Antiqua" w:eastAsia="Book Antiqua" w:hAnsi="Book Antiqua" w:cs="Book Antiqua"/>
        </w:rPr>
        <w:t>National Institutes of Health</w:t>
      </w:r>
      <w:r w:rsidRPr="00D4328A">
        <w:rPr>
          <w:rFonts w:ascii="Book Antiqua" w:eastAsia="Book Antiqua" w:hAnsi="Book Antiqua" w:cs="Book Antiqua"/>
          <w:color w:val="000000"/>
        </w:rPr>
        <w:t xml:space="preserve"> quality assessment tool was used. The stability of the results was assessed using sensitivity analysis.</w:t>
      </w:r>
    </w:p>
    <w:p w14:paraId="48FB8D2F" w14:textId="77777777" w:rsidR="00A77B3E" w:rsidRPr="00D4328A" w:rsidRDefault="00A77B3E" w:rsidP="006D1FC3">
      <w:pPr>
        <w:spacing w:line="360" w:lineRule="auto"/>
        <w:jc w:val="both"/>
        <w:rPr>
          <w:rFonts w:ascii="Book Antiqua" w:hAnsi="Book Antiqua"/>
        </w:rPr>
      </w:pPr>
    </w:p>
    <w:p w14:paraId="75641DD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t>Research results</w:t>
      </w:r>
    </w:p>
    <w:p w14:paraId="1CD98BD0" w14:textId="5AB758B4"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A total of 43388 patients from </w:t>
      </w:r>
      <w:r w:rsidR="00774A1F" w:rsidRPr="00D4328A">
        <w:rPr>
          <w:rFonts w:ascii="Book Antiqua" w:eastAsia="Book Antiqua" w:hAnsi="Book Antiqua" w:cs="Book Antiqua"/>
          <w:color w:val="000000"/>
        </w:rPr>
        <w:t>t</w:t>
      </w:r>
      <w:r w:rsidRPr="00D4328A">
        <w:rPr>
          <w:rFonts w:ascii="Book Antiqua" w:eastAsia="Book Antiqua" w:hAnsi="Book Antiqua" w:cs="Book Antiqua"/>
          <w:color w:val="000000"/>
        </w:rPr>
        <w:t xml:space="preserve">hirty-two studies were included in the final analysis. There were 8538 (20%) with NAFLD/MAFLD. A total of 42475 patients from twenty-nine studies were included in the mortality analysis. There was an odds ratio of 1.36, a </w:t>
      </w:r>
      <w:r w:rsidR="00774A1F"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-value of 0.07 for mortality with COVID-19. A total of 5043 patients from eight studies were included in the </w:t>
      </w:r>
      <w:r w:rsidR="00774A1F" w:rsidRPr="00D4328A">
        <w:rPr>
          <w:rFonts w:ascii="Book Antiqua" w:eastAsia="Book Antiqua" w:hAnsi="Book Antiqua" w:cs="Book Antiqua"/>
          <w:color w:val="000000"/>
        </w:rPr>
        <w:t>h</w:t>
      </w:r>
      <w:r w:rsidRPr="00D4328A">
        <w:rPr>
          <w:rFonts w:ascii="Book Antiqua" w:eastAsia="Book Antiqua" w:hAnsi="Book Antiqua" w:cs="Book Antiqua"/>
          <w:color w:val="000000"/>
        </w:rPr>
        <w:t xml:space="preserve">ospital length of stay analysis. NAFLD patients spent a mean hospital stay of an additional </w:t>
      </w:r>
      <w:r w:rsidR="00774A1F" w:rsidRPr="00D4328A">
        <w:rPr>
          <w:rFonts w:ascii="Book Antiqua" w:eastAsia="Book Antiqua" w:hAnsi="Book Antiqua" w:cs="Book Antiqua"/>
          <w:color w:val="000000"/>
        </w:rPr>
        <w:t xml:space="preserve">about </w:t>
      </w:r>
      <w:r w:rsidRPr="00D4328A">
        <w:rPr>
          <w:rFonts w:ascii="Book Antiqua" w:eastAsia="Book Antiqua" w:hAnsi="Book Antiqua" w:cs="Book Antiqua"/>
          <w:color w:val="000000"/>
        </w:rPr>
        <w:t xml:space="preserve">2 d when compared to non-NAFLD. For hospitalization rates, the odds ratio is 3.25 and a </w:t>
      </w:r>
      <w:r w:rsidR="00774A1F"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-value of 0.0002. For supplemental oxygen utilization, the odds ratio was 2.04 with a </w:t>
      </w:r>
      <w:r w:rsidR="00774A1F" w:rsidRPr="00D4328A">
        <w:rPr>
          <w:rFonts w:ascii="Book Antiqua" w:eastAsia="Book Antiqua" w:hAnsi="Book Antiqua" w:cs="Book Antiqua"/>
          <w:i/>
          <w:iCs/>
          <w:color w:val="000000"/>
        </w:rPr>
        <w:t>P</w:t>
      </w:r>
      <w:r w:rsidRPr="00D4328A">
        <w:rPr>
          <w:rFonts w:ascii="Book Antiqua" w:eastAsia="Book Antiqua" w:hAnsi="Book Antiqua" w:cs="Book Antiqua"/>
          <w:color w:val="000000"/>
        </w:rPr>
        <w:t xml:space="preserve">-value of 0.01. Our meta-analysis was able to show that there is an association between NAFLD/MAFLD and COVID-19. Our study aims to increase awareness that NAFLD/MAFLD may be a potential risk factor for severe outcomes in infections. More research is needed to better explain the relationship and the pathophysiology behind it. </w:t>
      </w:r>
    </w:p>
    <w:p w14:paraId="60D561C8" w14:textId="77777777" w:rsidR="00A77B3E" w:rsidRPr="00D4328A" w:rsidRDefault="00A77B3E" w:rsidP="006D1FC3">
      <w:pPr>
        <w:spacing w:line="360" w:lineRule="auto"/>
        <w:jc w:val="both"/>
        <w:rPr>
          <w:rFonts w:ascii="Book Antiqua" w:hAnsi="Book Antiqua"/>
        </w:rPr>
      </w:pPr>
    </w:p>
    <w:p w14:paraId="751530D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t>Research conclusions</w:t>
      </w:r>
    </w:p>
    <w:p w14:paraId="48FF7342" w14:textId="46D2CB4E"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This systematic review and meta-analysis of observational studies suggests that NAFLD/MAFLD patients had higher odds of developing severe forms of COVID-19 in comparison to non-NAFLD patients. Further research to understand the causality and strength of this relationship is needed.</w:t>
      </w:r>
    </w:p>
    <w:p w14:paraId="0AF58C03" w14:textId="77777777" w:rsidR="00A77B3E" w:rsidRPr="00D4328A" w:rsidRDefault="00A77B3E" w:rsidP="006D1FC3">
      <w:pPr>
        <w:spacing w:line="360" w:lineRule="auto"/>
        <w:jc w:val="both"/>
        <w:rPr>
          <w:rFonts w:ascii="Book Antiqua" w:hAnsi="Book Antiqua"/>
        </w:rPr>
      </w:pPr>
    </w:p>
    <w:p w14:paraId="09090B30"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i/>
          <w:color w:val="000000"/>
        </w:rPr>
        <w:t>Research perspectives</w:t>
      </w:r>
    </w:p>
    <w:p w14:paraId="3AFED77A" w14:textId="3B3490FE"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color w:val="000000"/>
        </w:rPr>
        <w:t xml:space="preserve">This review was not able to clarify why the association between NAFLD/MAFLD and COVID-19 was seen. Large size prospective studies with balanced confounding factors are necessary. Since the global burden of NAFLD/MAFLD is rapidly rising, understanding genetics and immunological </w:t>
      </w:r>
      <w:r w:rsidR="00FB42F6" w:rsidRPr="00D4328A">
        <w:rPr>
          <w:rFonts w:ascii="Book Antiqua" w:eastAsia="Book Antiqua" w:hAnsi="Book Antiqua" w:cs="Book Antiqua"/>
          <w:color w:val="000000"/>
        </w:rPr>
        <w:t>mechanisms</w:t>
      </w:r>
      <w:r w:rsidRPr="00D4328A">
        <w:rPr>
          <w:rFonts w:ascii="Book Antiqua" w:eastAsia="Book Antiqua" w:hAnsi="Book Antiqua" w:cs="Book Antiqua"/>
          <w:color w:val="000000"/>
        </w:rPr>
        <w:t xml:space="preserve"> will help advance treatment and prevention strategies.</w:t>
      </w:r>
    </w:p>
    <w:p w14:paraId="5D9D2F25" w14:textId="77777777" w:rsidR="00A77B3E" w:rsidRPr="00D4328A" w:rsidRDefault="00A77B3E" w:rsidP="006D1FC3">
      <w:pPr>
        <w:spacing w:line="360" w:lineRule="auto"/>
        <w:jc w:val="both"/>
        <w:rPr>
          <w:rFonts w:ascii="Book Antiqua" w:hAnsi="Book Antiqua"/>
        </w:rPr>
      </w:pPr>
    </w:p>
    <w:p w14:paraId="722697BF"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REFERENCES</w:t>
      </w:r>
    </w:p>
    <w:p w14:paraId="2A28480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 </w:t>
      </w:r>
      <w:r w:rsidRPr="00D4328A">
        <w:rPr>
          <w:rFonts w:ascii="Book Antiqua" w:hAnsi="Book Antiqua"/>
          <w:b/>
          <w:bCs/>
        </w:rPr>
        <w:t>Zhou Y</w:t>
      </w:r>
      <w:r w:rsidRPr="00D4328A">
        <w:rPr>
          <w:rFonts w:ascii="Book Antiqua" w:hAnsi="Book Antiqua"/>
        </w:rPr>
        <w:t xml:space="preserve">, Yang Q, Chi J, Dong B, Lv W, Shen L, Wang Y. Comorbidities and the risk of severe or fatal outcomes associated with coronavirus disease 2019: A systematic review and meta-analysis. </w:t>
      </w:r>
      <w:r w:rsidRPr="00D4328A">
        <w:rPr>
          <w:rFonts w:ascii="Book Antiqua" w:hAnsi="Book Antiqua"/>
          <w:i/>
          <w:iCs/>
        </w:rPr>
        <w:t>Int J Infect Dis</w:t>
      </w:r>
      <w:r w:rsidRPr="00D4328A">
        <w:rPr>
          <w:rFonts w:ascii="Book Antiqua" w:hAnsi="Book Antiqua"/>
        </w:rPr>
        <w:t xml:space="preserve"> 2020; </w:t>
      </w:r>
      <w:r w:rsidRPr="00D4328A">
        <w:rPr>
          <w:rFonts w:ascii="Book Antiqua" w:hAnsi="Book Antiqua"/>
          <w:b/>
          <w:bCs/>
        </w:rPr>
        <w:t>99</w:t>
      </w:r>
      <w:r w:rsidRPr="00D4328A">
        <w:rPr>
          <w:rFonts w:ascii="Book Antiqua" w:hAnsi="Book Antiqua"/>
        </w:rPr>
        <w:t>: 47-56 [PMID: 32721533 DOI: 10.1016/j.ijid.2020.07.029]</w:t>
      </w:r>
    </w:p>
    <w:p w14:paraId="665F0A0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 </w:t>
      </w:r>
      <w:r w:rsidRPr="00D4328A">
        <w:rPr>
          <w:rFonts w:ascii="Book Antiqua" w:hAnsi="Book Antiqua"/>
          <w:b/>
          <w:bCs/>
        </w:rPr>
        <w:t>Zádori N</w:t>
      </w:r>
      <w:r w:rsidRPr="00D4328A">
        <w:rPr>
          <w:rFonts w:ascii="Book Antiqua" w:hAnsi="Book Antiqua"/>
        </w:rPr>
        <w:t xml:space="preserve">, Váncsa S, Farkas N, Hegyi P, Erőss B; KETLAK Study Group. The negative impact of comorbidities on the disease course of COVID-19. </w:t>
      </w:r>
      <w:r w:rsidRPr="00D4328A">
        <w:rPr>
          <w:rFonts w:ascii="Book Antiqua" w:hAnsi="Book Antiqua"/>
          <w:i/>
          <w:iCs/>
        </w:rPr>
        <w:t>Intensive Care Med</w:t>
      </w:r>
      <w:r w:rsidRPr="00D4328A">
        <w:rPr>
          <w:rFonts w:ascii="Book Antiqua" w:hAnsi="Book Antiqua"/>
        </w:rPr>
        <w:t xml:space="preserve"> 2020; </w:t>
      </w:r>
      <w:r w:rsidRPr="00D4328A">
        <w:rPr>
          <w:rFonts w:ascii="Book Antiqua" w:hAnsi="Book Antiqua"/>
          <w:b/>
          <w:bCs/>
        </w:rPr>
        <w:t>46</w:t>
      </w:r>
      <w:r w:rsidRPr="00D4328A">
        <w:rPr>
          <w:rFonts w:ascii="Book Antiqua" w:hAnsi="Book Antiqua"/>
        </w:rPr>
        <w:t>: 1784-1786 [PMID: 32601834 DOI: 10.1007/s00134-020-06161-9]</w:t>
      </w:r>
    </w:p>
    <w:p w14:paraId="670FB8AE"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 </w:t>
      </w:r>
      <w:r w:rsidRPr="00D4328A">
        <w:rPr>
          <w:rFonts w:ascii="Book Antiqua" w:hAnsi="Book Antiqua"/>
          <w:b/>
          <w:bCs/>
        </w:rPr>
        <w:t>Földi M</w:t>
      </w:r>
      <w:r w:rsidRPr="00D4328A">
        <w:rPr>
          <w:rFonts w:ascii="Book Antiqua" w:hAnsi="Book Antiqua"/>
        </w:rPr>
        <w:t xml:space="preserve">, Farkas N, Kiss S, Zádori N, Váncsa S, Szakó L, Dembrovszky F, Solymár M, Bartalis E, Szakács Z, Hartmann P, Pár G, Erőss B, Molnár Z, Hegyi P, Szentesi A; KETLAK Study Group. Obesity is a risk factor for developing critical condition in COVID-19 patients: A systematic review and meta-analysis. </w:t>
      </w:r>
      <w:r w:rsidRPr="00D4328A">
        <w:rPr>
          <w:rFonts w:ascii="Book Antiqua" w:hAnsi="Book Antiqua"/>
          <w:i/>
          <w:iCs/>
        </w:rPr>
        <w:t>Obes Rev</w:t>
      </w:r>
      <w:r w:rsidRPr="00D4328A">
        <w:rPr>
          <w:rFonts w:ascii="Book Antiqua" w:hAnsi="Book Antiqua"/>
        </w:rPr>
        <w:t xml:space="preserve"> 2020; </w:t>
      </w:r>
      <w:r w:rsidRPr="00D4328A">
        <w:rPr>
          <w:rFonts w:ascii="Book Antiqua" w:hAnsi="Book Antiqua"/>
          <w:b/>
          <w:bCs/>
        </w:rPr>
        <w:t>21</w:t>
      </w:r>
      <w:r w:rsidRPr="00D4328A">
        <w:rPr>
          <w:rFonts w:ascii="Book Antiqua" w:hAnsi="Book Antiqua"/>
        </w:rPr>
        <w:t>: e13095 [PMID: 32686331 DOI: 10.1111/obr.13095]</w:t>
      </w:r>
    </w:p>
    <w:p w14:paraId="612CCFC3"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 </w:t>
      </w:r>
      <w:r w:rsidRPr="00D4328A">
        <w:rPr>
          <w:rFonts w:ascii="Book Antiqua" w:hAnsi="Book Antiqua"/>
          <w:b/>
          <w:bCs/>
        </w:rPr>
        <w:t>Wu S</w:t>
      </w:r>
      <w:r w:rsidRPr="00D4328A">
        <w:rPr>
          <w:rFonts w:ascii="Book Antiqua" w:hAnsi="Book Antiqua"/>
        </w:rPr>
        <w:t xml:space="preserve">, Zhou K, Misra-Hebert A, Bena J, Kashyap SR. Impact of Metabolic Syndrome on Severity of COVID-19 Illness. </w:t>
      </w:r>
      <w:r w:rsidRPr="00D4328A">
        <w:rPr>
          <w:rFonts w:ascii="Book Antiqua" w:hAnsi="Book Antiqua"/>
          <w:i/>
          <w:iCs/>
        </w:rPr>
        <w:t>Metab Syndr Relat Disord</w:t>
      </w:r>
      <w:r w:rsidRPr="00D4328A">
        <w:rPr>
          <w:rFonts w:ascii="Book Antiqua" w:hAnsi="Book Antiqua"/>
        </w:rPr>
        <w:t xml:space="preserve"> 2022; </w:t>
      </w:r>
      <w:r w:rsidRPr="00D4328A">
        <w:rPr>
          <w:rFonts w:ascii="Book Antiqua" w:hAnsi="Book Antiqua"/>
          <w:b/>
          <w:bCs/>
        </w:rPr>
        <w:t>20</w:t>
      </w:r>
      <w:r w:rsidRPr="00D4328A">
        <w:rPr>
          <w:rFonts w:ascii="Book Antiqua" w:hAnsi="Book Antiqua"/>
        </w:rPr>
        <w:t>: 191-198 [PMID: 34995147 DOI: 10.1089/met.2021.0102]</w:t>
      </w:r>
    </w:p>
    <w:p w14:paraId="0F2B62E7"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 </w:t>
      </w:r>
      <w:r w:rsidRPr="00D4328A">
        <w:rPr>
          <w:rFonts w:ascii="Book Antiqua" w:hAnsi="Book Antiqua"/>
          <w:b/>
          <w:bCs/>
        </w:rPr>
        <w:t>Eslam M</w:t>
      </w:r>
      <w:r w:rsidRPr="00D4328A">
        <w:rPr>
          <w:rFonts w:ascii="Book Antiqua" w:hAnsi="Book Antiqua"/>
        </w:rPr>
        <w:t xml:space="preserve">, Sanyal AJ, George J; International Consensus Panel. MAFLD: A Consensus-Driven Proposed Nomenclature for Metabolic Associated Fatty Liver Disease. </w:t>
      </w:r>
      <w:r w:rsidRPr="00D4328A">
        <w:rPr>
          <w:rFonts w:ascii="Book Antiqua" w:hAnsi="Book Antiqua"/>
          <w:i/>
          <w:iCs/>
        </w:rPr>
        <w:t>Gastroenterology</w:t>
      </w:r>
      <w:r w:rsidRPr="00D4328A">
        <w:rPr>
          <w:rFonts w:ascii="Book Antiqua" w:hAnsi="Book Antiqua"/>
        </w:rPr>
        <w:t xml:space="preserve"> 2020; </w:t>
      </w:r>
      <w:r w:rsidRPr="00D4328A">
        <w:rPr>
          <w:rFonts w:ascii="Book Antiqua" w:hAnsi="Book Antiqua"/>
          <w:b/>
          <w:bCs/>
        </w:rPr>
        <w:t>158</w:t>
      </w:r>
      <w:r w:rsidRPr="00D4328A">
        <w:rPr>
          <w:rFonts w:ascii="Book Antiqua" w:hAnsi="Book Antiqua"/>
        </w:rPr>
        <w:t>: 1999-2014.e1 [PMID: 32044314 DOI: 10.1053/j.gastro.2019.11.312]</w:t>
      </w:r>
    </w:p>
    <w:p w14:paraId="0E7E0373"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 </w:t>
      </w:r>
      <w:r w:rsidRPr="00D4328A">
        <w:rPr>
          <w:rFonts w:ascii="Book Antiqua" w:hAnsi="Book Antiqua"/>
          <w:b/>
          <w:bCs/>
        </w:rPr>
        <w:t>Eslam M</w:t>
      </w:r>
      <w:r w:rsidRPr="00D4328A">
        <w:rPr>
          <w:rFonts w:ascii="Book Antiqua" w:hAnsi="Book Antiqua"/>
        </w:rPr>
        <w:t xml:space="preserve">, Newsome PN, Sarin SK, Anstee QM, Targher G, Romero-Gomez M, Zelber-Sagi S, Wai-Sun Wong V, Dufour JF, Schattenberg JM, Kawaguchi T, Arrese M, Valenti </w:t>
      </w:r>
      <w:r w:rsidRPr="00D4328A">
        <w:rPr>
          <w:rFonts w:ascii="Book Antiqua" w:hAnsi="Book Antiqua"/>
        </w:rPr>
        <w:lastRenderedPageBreak/>
        <w:t xml:space="preserve">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 </w:t>
      </w:r>
      <w:r w:rsidRPr="00D4328A">
        <w:rPr>
          <w:rFonts w:ascii="Book Antiqua" w:hAnsi="Book Antiqua"/>
          <w:i/>
          <w:iCs/>
        </w:rPr>
        <w:t>J Hepatol</w:t>
      </w:r>
      <w:r w:rsidRPr="00D4328A">
        <w:rPr>
          <w:rFonts w:ascii="Book Antiqua" w:hAnsi="Book Antiqua"/>
        </w:rPr>
        <w:t xml:space="preserve"> 2020; </w:t>
      </w:r>
      <w:r w:rsidRPr="00D4328A">
        <w:rPr>
          <w:rFonts w:ascii="Book Antiqua" w:hAnsi="Book Antiqua"/>
          <w:b/>
          <w:bCs/>
        </w:rPr>
        <w:t>73</w:t>
      </w:r>
      <w:r w:rsidRPr="00D4328A">
        <w:rPr>
          <w:rFonts w:ascii="Book Antiqua" w:hAnsi="Book Antiqua"/>
        </w:rPr>
        <w:t>: 202-209 [PMID: 32278004 DOI: 10.1016/j.jhep.2020.03.039]</w:t>
      </w:r>
    </w:p>
    <w:p w14:paraId="135709DA"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 </w:t>
      </w:r>
      <w:r w:rsidRPr="00D4328A">
        <w:rPr>
          <w:rFonts w:ascii="Book Antiqua" w:hAnsi="Book Antiqua"/>
          <w:b/>
          <w:bCs/>
        </w:rPr>
        <w:t>Tilg H</w:t>
      </w:r>
      <w:r w:rsidRPr="00D4328A">
        <w:rPr>
          <w:rFonts w:ascii="Book Antiqua" w:hAnsi="Book Antiqua"/>
        </w:rPr>
        <w:t xml:space="preserve">, Effenberger M. From NAFLD to MAFLD: when pathophysiology succeeds. </w:t>
      </w:r>
      <w:r w:rsidRPr="00D4328A">
        <w:rPr>
          <w:rFonts w:ascii="Book Antiqua" w:hAnsi="Book Antiqua"/>
          <w:i/>
          <w:iCs/>
        </w:rPr>
        <w:t>Nat Rev Gastroenterol Hepatol</w:t>
      </w:r>
      <w:r w:rsidRPr="00D4328A">
        <w:rPr>
          <w:rFonts w:ascii="Book Antiqua" w:hAnsi="Book Antiqua"/>
        </w:rPr>
        <w:t xml:space="preserve"> 2020; </w:t>
      </w:r>
      <w:r w:rsidRPr="00D4328A">
        <w:rPr>
          <w:rFonts w:ascii="Book Antiqua" w:hAnsi="Book Antiqua"/>
          <w:b/>
          <w:bCs/>
        </w:rPr>
        <w:t>17</w:t>
      </w:r>
      <w:r w:rsidRPr="00D4328A">
        <w:rPr>
          <w:rFonts w:ascii="Book Antiqua" w:hAnsi="Book Antiqua"/>
        </w:rPr>
        <w:t>: 387-388 [PMID: 32461575 DOI: 10.1038/s41575-020-0316-6]</w:t>
      </w:r>
    </w:p>
    <w:p w14:paraId="0D21B715"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8 </w:t>
      </w:r>
      <w:r w:rsidRPr="00D4328A">
        <w:rPr>
          <w:rFonts w:ascii="Book Antiqua" w:hAnsi="Book Antiqua"/>
          <w:b/>
          <w:bCs/>
        </w:rPr>
        <w:t>Kim CH</w:t>
      </w:r>
      <w:r w:rsidRPr="00D4328A">
        <w:rPr>
          <w:rFonts w:ascii="Book Antiqua" w:hAnsi="Book Antiqua"/>
        </w:rPr>
        <w:t xml:space="preserve">, Younossi ZM. Nonalcoholic fatty liver disease: a manifestation of the metabolic syndrome. </w:t>
      </w:r>
      <w:r w:rsidRPr="00D4328A">
        <w:rPr>
          <w:rFonts w:ascii="Book Antiqua" w:hAnsi="Book Antiqua"/>
          <w:i/>
          <w:iCs/>
        </w:rPr>
        <w:t>Cleve Clin J Med</w:t>
      </w:r>
      <w:r w:rsidRPr="00D4328A">
        <w:rPr>
          <w:rFonts w:ascii="Book Antiqua" w:hAnsi="Book Antiqua"/>
        </w:rPr>
        <w:t xml:space="preserve"> 2008; </w:t>
      </w:r>
      <w:r w:rsidRPr="00D4328A">
        <w:rPr>
          <w:rFonts w:ascii="Book Antiqua" w:hAnsi="Book Antiqua"/>
          <w:b/>
          <w:bCs/>
        </w:rPr>
        <w:t>75</w:t>
      </w:r>
      <w:r w:rsidRPr="00D4328A">
        <w:rPr>
          <w:rFonts w:ascii="Book Antiqua" w:hAnsi="Book Antiqua"/>
        </w:rPr>
        <w:t>: 721-728 [PMID: 18939388 DOI: 10.3949/ccjm.75.10.721]</w:t>
      </w:r>
    </w:p>
    <w:p w14:paraId="61794DA9"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9 </w:t>
      </w:r>
      <w:r w:rsidRPr="00D4328A">
        <w:rPr>
          <w:rFonts w:ascii="Book Antiqua" w:hAnsi="Book Antiqua"/>
          <w:b/>
          <w:bCs/>
        </w:rPr>
        <w:t>Cheemerla S</w:t>
      </w:r>
      <w:r w:rsidRPr="00D4328A">
        <w:rPr>
          <w:rFonts w:ascii="Book Antiqua" w:hAnsi="Book Antiqua"/>
        </w:rPr>
        <w:t xml:space="preserve">, Balakrishnan M. Global Epidemiology of Chronic Liver Disease. </w:t>
      </w:r>
      <w:r w:rsidRPr="00D4328A">
        <w:rPr>
          <w:rFonts w:ascii="Book Antiqua" w:hAnsi="Book Antiqua"/>
          <w:i/>
          <w:iCs/>
        </w:rPr>
        <w:t>Clin Liver Dis (Hoboken)</w:t>
      </w:r>
      <w:r w:rsidRPr="00D4328A">
        <w:rPr>
          <w:rFonts w:ascii="Book Antiqua" w:hAnsi="Book Antiqua"/>
        </w:rPr>
        <w:t xml:space="preserve"> 2021; </w:t>
      </w:r>
      <w:r w:rsidRPr="00D4328A">
        <w:rPr>
          <w:rFonts w:ascii="Book Antiqua" w:hAnsi="Book Antiqua"/>
          <w:b/>
          <w:bCs/>
        </w:rPr>
        <w:t>17</w:t>
      </w:r>
      <w:r w:rsidRPr="00D4328A">
        <w:rPr>
          <w:rFonts w:ascii="Book Antiqua" w:hAnsi="Book Antiqua"/>
        </w:rPr>
        <w:t>: 365-370 [PMID: 34136143 DOI: 10.1002/cld.1061]</w:t>
      </w:r>
    </w:p>
    <w:p w14:paraId="05A52C9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10 </w:t>
      </w:r>
      <w:r w:rsidRPr="00D4328A">
        <w:rPr>
          <w:rFonts w:ascii="Book Antiqua" w:hAnsi="Book Antiqua"/>
          <w:b/>
          <w:bCs/>
        </w:rPr>
        <w:t>Ji D</w:t>
      </w:r>
      <w:r w:rsidRPr="00D4328A">
        <w:rPr>
          <w:rFonts w:ascii="Book Antiqua" w:hAnsi="Book Antiqua"/>
        </w:rPr>
        <w:t xml:space="preserve">, Qin E, Xu J, Zhang D, Cheng G, Wang Y, Lau G. Non-alcoholic fatty liver diseases in patients with COVID-19: A retrospective study. </w:t>
      </w:r>
      <w:r w:rsidRPr="00D4328A">
        <w:rPr>
          <w:rFonts w:ascii="Book Antiqua" w:hAnsi="Book Antiqua"/>
          <w:i/>
          <w:iCs/>
        </w:rPr>
        <w:t>J Hepatol</w:t>
      </w:r>
      <w:r w:rsidRPr="00D4328A">
        <w:rPr>
          <w:rFonts w:ascii="Book Antiqua" w:hAnsi="Book Antiqua"/>
        </w:rPr>
        <w:t xml:space="preserve"> 2020; </w:t>
      </w:r>
      <w:r w:rsidRPr="00D4328A">
        <w:rPr>
          <w:rFonts w:ascii="Book Antiqua" w:hAnsi="Book Antiqua"/>
          <w:b/>
          <w:bCs/>
        </w:rPr>
        <w:t>73</w:t>
      </w:r>
      <w:r w:rsidRPr="00D4328A">
        <w:rPr>
          <w:rFonts w:ascii="Book Antiqua" w:hAnsi="Book Antiqua"/>
        </w:rPr>
        <w:t>: 451-453 [PMID: 32278005 DOI: 10.1016/j.jhep.2020.03.044]</w:t>
      </w:r>
    </w:p>
    <w:p w14:paraId="2CACF27A"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11 </w:t>
      </w:r>
      <w:r w:rsidRPr="00D4328A">
        <w:rPr>
          <w:rFonts w:ascii="Book Antiqua" w:hAnsi="Book Antiqua"/>
          <w:b/>
          <w:bCs/>
        </w:rPr>
        <w:t>Zhou YJ</w:t>
      </w:r>
      <w:r w:rsidRPr="00D4328A">
        <w:rPr>
          <w:rFonts w:ascii="Book Antiqua" w:hAnsi="Book Antiqua"/>
        </w:rPr>
        <w:t xml:space="preserve">, Zheng KI, Wang XB, Yan HD, Sun QF, Pan KH, Wang TY, Ma HL, Chen YP, George J, Zheng MH. Younger patients with MAFLD are at increased risk of severe COVID-19 illness: A multicenter preliminary analysis. </w:t>
      </w:r>
      <w:r w:rsidRPr="00D4328A">
        <w:rPr>
          <w:rFonts w:ascii="Book Antiqua" w:hAnsi="Book Antiqua"/>
          <w:i/>
          <w:iCs/>
        </w:rPr>
        <w:t>J Hepatol</w:t>
      </w:r>
      <w:r w:rsidRPr="00D4328A">
        <w:rPr>
          <w:rFonts w:ascii="Book Antiqua" w:hAnsi="Book Antiqua"/>
        </w:rPr>
        <w:t xml:space="preserve"> 2020; </w:t>
      </w:r>
      <w:r w:rsidRPr="00D4328A">
        <w:rPr>
          <w:rFonts w:ascii="Book Antiqua" w:hAnsi="Book Antiqua"/>
          <w:b/>
          <w:bCs/>
        </w:rPr>
        <w:t>73</w:t>
      </w:r>
      <w:r w:rsidRPr="00D4328A">
        <w:rPr>
          <w:rFonts w:ascii="Book Antiqua" w:hAnsi="Book Antiqua"/>
        </w:rPr>
        <w:t>: 719-721 [PMID: 32348790 DOI: 10.1016/j.jhep.2020.04.027]</w:t>
      </w:r>
    </w:p>
    <w:p w14:paraId="01DF06B2"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12 </w:t>
      </w:r>
      <w:r w:rsidRPr="00D4328A">
        <w:rPr>
          <w:rFonts w:ascii="Book Antiqua" w:hAnsi="Book Antiqua"/>
          <w:b/>
          <w:bCs/>
        </w:rPr>
        <w:t>Lopez-Mendez I</w:t>
      </w:r>
      <w:r w:rsidRPr="00D4328A">
        <w:rPr>
          <w:rFonts w:ascii="Book Antiqua" w:hAnsi="Book Antiqua"/>
        </w:rPr>
        <w:t xml:space="preserve">, Aquino-Matus J, Gall SM, Prieto-Nava JD, Juarez-Hernandez E, Uribe M, Castro-Narro G. Association of liver steatosis and fibrosis with clinical outcomes in patients with SARS-CoV-2 infection (COVID-19). </w:t>
      </w:r>
      <w:r w:rsidRPr="00D4328A">
        <w:rPr>
          <w:rFonts w:ascii="Book Antiqua" w:hAnsi="Book Antiqua"/>
          <w:i/>
          <w:iCs/>
        </w:rPr>
        <w:t>Ann Hepatol</w:t>
      </w:r>
      <w:r w:rsidRPr="00D4328A">
        <w:rPr>
          <w:rFonts w:ascii="Book Antiqua" w:hAnsi="Book Antiqua"/>
        </w:rPr>
        <w:t xml:space="preserve"> 2021; </w:t>
      </w:r>
      <w:r w:rsidRPr="00D4328A">
        <w:rPr>
          <w:rFonts w:ascii="Book Antiqua" w:hAnsi="Book Antiqua"/>
          <w:b/>
          <w:bCs/>
        </w:rPr>
        <w:t>20</w:t>
      </w:r>
      <w:r w:rsidRPr="00D4328A">
        <w:rPr>
          <w:rFonts w:ascii="Book Antiqua" w:hAnsi="Book Antiqua"/>
        </w:rPr>
        <w:t>: 100271 [PMID: 33099028 DOI: 10.1016/j.aohep.2020.09.015]</w:t>
      </w:r>
    </w:p>
    <w:p w14:paraId="64107C0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13 </w:t>
      </w:r>
      <w:r w:rsidRPr="00D4328A">
        <w:rPr>
          <w:rFonts w:ascii="Book Antiqua" w:hAnsi="Book Antiqua"/>
          <w:b/>
          <w:bCs/>
        </w:rPr>
        <w:t>Mushtaq K</w:t>
      </w:r>
      <w:r w:rsidRPr="00D4328A">
        <w:rPr>
          <w:rFonts w:ascii="Book Antiqua" w:hAnsi="Book Antiqua"/>
        </w:rPr>
        <w:t xml:space="preserve">, Khan MU, Iqbal F, Alsoub DH, Chaudhry HS, Ata F, Iqbal P, Elfert K, Balaraju G, Almaslamani M, Al-Ejji K, AlKaabi S, Kamel YM. NAFLD is a predictor of liver injury in COVID-19 hospitalized patients but not of mortality, disease severity on the presentation or progression - The debate continues. </w:t>
      </w:r>
      <w:r w:rsidRPr="00D4328A">
        <w:rPr>
          <w:rFonts w:ascii="Book Antiqua" w:hAnsi="Book Antiqua"/>
          <w:i/>
          <w:iCs/>
        </w:rPr>
        <w:t>J Hepatol</w:t>
      </w:r>
      <w:r w:rsidRPr="00D4328A">
        <w:rPr>
          <w:rFonts w:ascii="Book Antiqua" w:hAnsi="Book Antiqua"/>
        </w:rPr>
        <w:t xml:space="preserve"> 2021; </w:t>
      </w:r>
      <w:r w:rsidRPr="00D4328A">
        <w:rPr>
          <w:rFonts w:ascii="Book Antiqua" w:hAnsi="Book Antiqua"/>
          <w:b/>
          <w:bCs/>
        </w:rPr>
        <w:t>74</w:t>
      </w:r>
      <w:r w:rsidRPr="00D4328A">
        <w:rPr>
          <w:rFonts w:ascii="Book Antiqua" w:hAnsi="Book Antiqua"/>
        </w:rPr>
        <w:t>: 482-484 [PMID: 33223215 DOI: 10.1016/j.jhep.2020.09.006]</w:t>
      </w:r>
    </w:p>
    <w:p w14:paraId="67722C0C"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14 </w:t>
      </w:r>
      <w:r w:rsidRPr="00D4328A">
        <w:rPr>
          <w:rFonts w:ascii="Book Antiqua" w:hAnsi="Book Antiqua"/>
          <w:b/>
          <w:bCs/>
        </w:rPr>
        <w:t>Forlano R</w:t>
      </w:r>
      <w:r w:rsidRPr="00D4328A">
        <w:rPr>
          <w:rFonts w:ascii="Book Antiqua" w:hAnsi="Book Antiqua"/>
        </w:rPr>
        <w:t xml:space="preserve">, Mullish BH, Mukherjee SK, Nathwani R, Harlow C, Crook P, Judge R, Soubieres A, Middleton P, Daunt A, Perez-Guzman P, Selvapatt N, Lemoine M, Dhar A, Thursz MR, Nayagam S, Manousou P. In-hospital mortality is associated with inflammatory response in NAFLD patients admitted for COVID-19. </w:t>
      </w:r>
      <w:r w:rsidRPr="00D4328A">
        <w:rPr>
          <w:rFonts w:ascii="Book Antiqua" w:hAnsi="Book Antiqua"/>
          <w:i/>
          <w:iCs/>
        </w:rPr>
        <w:t>PLoS One</w:t>
      </w:r>
      <w:r w:rsidRPr="00D4328A">
        <w:rPr>
          <w:rFonts w:ascii="Book Antiqua" w:hAnsi="Book Antiqua"/>
        </w:rPr>
        <w:t xml:space="preserve"> 2020; </w:t>
      </w:r>
      <w:r w:rsidRPr="00D4328A">
        <w:rPr>
          <w:rFonts w:ascii="Book Antiqua" w:hAnsi="Book Antiqua"/>
          <w:b/>
          <w:bCs/>
        </w:rPr>
        <w:t>15</w:t>
      </w:r>
      <w:r w:rsidRPr="00D4328A">
        <w:rPr>
          <w:rFonts w:ascii="Book Antiqua" w:hAnsi="Book Antiqua"/>
        </w:rPr>
        <w:t>: e0240400 [PMID: 33031439 DOI: 10.1371/journal.pone.0240400]</w:t>
      </w:r>
    </w:p>
    <w:p w14:paraId="2210B89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15 </w:t>
      </w:r>
      <w:r w:rsidRPr="00D4328A">
        <w:rPr>
          <w:rFonts w:ascii="Book Antiqua" w:hAnsi="Book Antiqua"/>
          <w:b/>
          <w:bCs/>
        </w:rPr>
        <w:t>Liberati A</w:t>
      </w:r>
      <w:r w:rsidRPr="00D4328A">
        <w:rPr>
          <w:rFonts w:ascii="Book Antiqua" w:hAnsi="Book Antiqua"/>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D4328A">
        <w:rPr>
          <w:rFonts w:ascii="Book Antiqua" w:hAnsi="Book Antiqua"/>
          <w:i/>
          <w:iCs/>
        </w:rPr>
        <w:t>BMJ</w:t>
      </w:r>
      <w:r w:rsidRPr="00D4328A">
        <w:rPr>
          <w:rFonts w:ascii="Book Antiqua" w:hAnsi="Book Antiqua"/>
        </w:rPr>
        <w:t xml:space="preserve"> 2009; </w:t>
      </w:r>
      <w:r w:rsidRPr="00D4328A">
        <w:rPr>
          <w:rFonts w:ascii="Book Antiqua" w:hAnsi="Book Antiqua"/>
          <w:b/>
          <w:bCs/>
        </w:rPr>
        <w:t>339</w:t>
      </w:r>
      <w:r w:rsidRPr="00D4328A">
        <w:rPr>
          <w:rFonts w:ascii="Book Antiqua" w:hAnsi="Book Antiqua"/>
        </w:rPr>
        <w:t>: b2700 [PMID: 19622552 DOI: 10.1136/bmj.b2700]</w:t>
      </w:r>
    </w:p>
    <w:p w14:paraId="7686C987"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16 </w:t>
      </w:r>
      <w:bookmarkStart w:id="1" w:name="_Hlk133488883"/>
      <w:r w:rsidRPr="00D4328A">
        <w:rPr>
          <w:rFonts w:ascii="Book Antiqua" w:hAnsi="Book Antiqua"/>
          <w:b/>
          <w:bCs/>
          <w:highlight w:val="yellow"/>
        </w:rPr>
        <w:t>Cochrane</w:t>
      </w:r>
      <w:bookmarkEnd w:id="1"/>
      <w:r w:rsidRPr="00D4328A">
        <w:rPr>
          <w:rFonts w:ascii="Book Antiqua" w:hAnsi="Book Antiqua"/>
          <w:b/>
          <w:bCs/>
          <w:highlight w:val="yellow"/>
        </w:rPr>
        <w:t xml:space="preserve"> Training</w:t>
      </w:r>
      <w:r w:rsidRPr="00D4328A">
        <w:rPr>
          <w:rFonts w:ascii="Book Antiqua" w:hAnsi="Book Antiqua"/>
          <w:highlight w:val="yellow"/>
        </w:rPr>
        <w:t>. Cochrane RevMan. [cited 15 November 2022]. Available from: https://training.cochrane.org/online-learning/core-software/revman</w:t>
      </w:r>
    </w:p>
    <w:p w14:paraId="2BEE3B3A"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17 </w:t>
      </w:r>
      <w:r w:rsidRPr="00D4328A">
        <w:rPr>
          <w:rFonts w:ascii="Book Antiqua" w:hAnsi="Book Antiqua"/>
          <w:b/>
          <w:bCs/>
          <w:highlight w:val="yellow"/>
        </w:rPr>
        <w:t>Deeks JJ</w:t>
      </w:r>
      <w:r w:rsidRPr="00D4328A">
        <w:rPr>
          <w:rFonts w:ascii="Book Antiqua" w:hAnsi="Book Antiqua"/>
          <w:highlight w:val="yellow"/>
        </w:rPr>
        <w:t xml:space="preserve">, Higgins JP, Altman DG, group on behalf of the </w:t>
      </w:r>
      <w:bookmarkStart w:id="2" w:name="_Hlk133489329"/>
      <w:r w:rsidRPr="00D4328A">
        <w:rPr>
          <w:rFonts w:ascii="Book Antiqua" w:hAnsi="Book Antiqua"/>
          <w:highlight w:val="yellow"/>
        </w:rPr>
        <w:t>Cochrane Statistical Methods Group</w:t>
      </w:r>
      <w:bookmarkEnd w:id="2"/>
      <w:r w:rsidRPr="00D4328A">
        <w:rPr>
          <w:rFonts w:ascii="Book Antiqua" w:hAnsi="Book Antiqua"/>
          <w:highlight w:val="yellow"/>
        </w:rPr>
        <w:t>. Analysing data and undertaking meta-analyses. In: Cochrane Handbook for Systematic Reviews of Interventions. United States: John Wiley &amp; Sons, Ltd, 2019</w:t>
      </w:r>
    </w:p>
    <w:p w14:paraId="6D62EB39"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18 </w:t>
      </w:r>
      <w:r w:rsidRPr="00D4328A">
        <w:rPr>
          <w:rFonts w:ascii="Book Antiqua" w:hAnsi="Book Antiqua"/>
          <w:b/>
          <w:bCs/>
        </w:rPr>
        <w:t>Wan X</w:t>
      </w:r>
      <w:r w:rsidRPr="00D4328A">
        <w:rPr>
          <w:rFonts w:ascii="Book Antiqua" w:hAnsi="Book Antiqua"/>
        </w:rPr>
        <w:t xml:space="preserve">, Wang W, Liu J, Tong T. Estimating the sample mean and standard deviation from the sample size, median, range and/or interquartile range. </w:t>
      </w:r>
      <w:r w:rsidRPr="00D4328A">
        <w:rPr>
          <w:rFonts w:ascii="Book Antiqua" w:hAnsi="Book Antiqua"/>
          <w:i/>
          <w:iCs/>
        </w:rPr>
        <w:t>BMC Med Res Methodol</w:t>
      </w:r>
      <w:r w:rsidRPr="00D4328A">
        <w:rPr>
          <w:rFonts w:ascii="Book Antiqua" w:hAnsi="Book Antiqua"/>
        </w:rPr>
        <w:t xml:space="preserve"> 2014; </w:t>
      </w:r>
      <w:r w:rsidRPr="00D4328A">
        <w:rPr>
          <w:rFonts w:ascii="Book Antiqua" w:hAnsi="Book Antiqua"/>
          <w:b/>
          <w:bCs/>
        </w:rPr>
        <w:t>14</w:t>
      </w:r>
      <w:r w:rsidRPr="00D4328A">
        <w:rPr>
          <w:rFonts w:ascii="Book Antiqua" w:hAnsi="Book Antiqua"/>
        </w:rPr>
        <w:t>: 135 [PMID: 25524443 DOI: 10.1186/1471-2288-14-135]</w:t>
      </w:r>
    </w:p>
    <w:p w14:paraId="06E6CAA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19 </w:t>
      </w:r>
      <w:r w:rsidRPr="00D4328A">
        <w:rPr>
          <w:rFonts w:ascii="Book Antiqua" w:hAnsi="Book Antiqua"/>
          <w:b/>
          <w:bCs/>
          <w:highlight w:val="yellow"/>
        </w:rPr>
        <w:t>Boutron I</w:t>
      </w:r>
      <w:r w:rsidRPr="00D4328A">
        <w:rPr>
          <w:rFonts w:ascii="Book Antiqua" w:hAnsi="Book Antiqua"/>
          <w:highlight w:val="yellow"/>
        </w:rPr>
        <w:t>, Page MJ, Higgins JP, Altman DG, Lundh A, Hróbjartsson A, group on behalf of the Cochrane Statistical Methods Group. Considering bias and conflicts of interest among the included studies. In: Cochrane Handbook for Systematic Reviews of Interventions. United States: John Wiley &amp; Sons, Ltd, 2019</w:t>
      </w:r>
    </w:p>
    <w:p w14:paraId="5EF9B765"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20 </w:t>
      </w:r>
      <w:r w:rsidRPr="00D4328A">
        <w:rPr>
          <w:rFonts w:ascii="Book Antiqua" w:hAnsi="Book Antiqua"/>
          <w:b/>
          <w:bCs/>
        </w:rPr>
        <w:t>Demirtas CO</w:t>
      </w:r>
      <w:r w:rsidRPr="00D4328A">
        <w:rPr>
          <w:rFonts w:ascii="Book Antiqua" w:hAnsi="Book Antiqua"/>
        </w:rPr>
        <w:t xml:space="preserve">, Keklikkiran C, Ergenc I, Erturk Sengel B, Eskidemir G, Cinel I, Odabasi Z, Korten V, Yilmaz Y. Liver stiffness is associated with disease severity and worse clinical scenarios in coronavirus disease 2019: A prospective transient elastography study. </w:t>
      </w:r>
      <w:r w:rsidRPr="00D4328A">
        <w:rPr>
          <w:rFonts w:ascii="Book Antiqua" w:hAnsi="Book Antiqua"/>
          <w:i/>
          <w:iCs/>
        </w:rPr>
        <w:t>Int J Clin Pract</w:t>
      </w:r>
      <w:r w:rsidRPr="00D4328A">
        <w:rPr>
          <w:rFonts w:ascii="Book Antiqua" w:hAnsi="Book Antiqua"/>
        </w:rPr>
        <w:t xml:space="preserve"> 2021; </w:t>
      </w:r>
      <w:r w:rsidRPr="00D4328A">
        <w:rPr>
          <w:rFonts w:ascii="Book Antiqua" w:hAnsi="Book Antiqua"/>
          <w:b/>
          <w:bCs/>
        </w:rPr>
        <w:t>75</w:t>
      </w:r>
      <w:r w:rsidRPr="00D4328A">
        <w:rPr>
          <w:rFonts w:ascii="Book Antiqua" w:hAnsi="Book Antiqua"/>
        </w:rPr>
        <w:t>: e14363 [PMID: 33993597 DOI: 10.1111/ijcp.14363]</w:t>
      </w:r>
    </w:p>
    <w:p w14:paraId="2CFD7D27"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21 </w:t>
      </w:r>
      <w:r w:rsidRPr="00D4328A">
        <w:rPr>
          <w:rFonts w:ascii="Book Antiqua" w:hAnsi="Book Antiqua"/>
          <w:b/>
          <w:bCs/>
        </w:rPr>
        <w:t>Ma Y</w:t>
      </w:r>
      <w:r w:rsidRPr="00D4328A">
        <w:rPr>
          <w:rFonts w:ascii="Book Antiqua" w:hAnsi="Book Antiqua"/>
        </w:rPr>
        <w:t xml:space="preserve">, Zhu DS, Chen RB, Shi NN, Liu SH, Fan YP, Wu GH, Yang PY, Bai JF, Chen H, Chen LY, Feng Q, Guo TM, Hou Y, Hu GF, Hu XM, Hu YH, Huang J, Huang QH, Huang SZ, Ji L, Jin HH, Lei X, Li CY, Li MQ, Li QT, Li XY, Liu H, Liu JP, Liu Z, Ma YT, Mao Y, Mo LF, Na H, Wang JW, Song FL, Sun S, Wang DT, Wang MX, Wang XY, Wang YZ, Wang YD, Wu W, Wu LP, Xiao YH, Xie HJ, Xu HM, Xu SF, Xue RX, Yang C, Yang KJ, </w:t>
      </w:r>
      <w:r w:rsidRPr="00D4328A">
        <w:rPr>
          <w:rFonts w:ascii="Book Antiqua" w:hAnsi="Book Antiqua"/>
        </w:rPr>
        <w:lastRenderedPageBreak/>
        <w:t xml:space="preserve">Yuan SL, Zhang GQ, Zhang JB, Zhang LS, Zhao SS, Zhao WY, Zheng K, Zhou YC, Zhu JT, Zhu TQ, Zhang HM, Wang YP, Wang YY; 'lung cleansing &amp; detoxifying decoction' emergency project expert group for covid-19. Association of Overlapped and Un-overlapped Comorbidities with COVID-19 Severity and Treatment Outcomes: A Retrospective Cohort Study from Nine Provinces in China. </w:t>
      </w:r>
      <w:r w:rsidRPr="00D4328A">
        <w:rPr>
          <w:rFonts w:ascii="Book Antiqua" w:hAnsi="Book Antiqua"/>
          <w:i/>
          <w:iCs/>
        </w:rPr>
        <w:t>Biomed Environ Sci</w:t>
      </w:r>
      <w:r w:rsidRPr="00D4328A">
        <w:rPr>
          <w:rFonts w:ascii="Book Antiqua" w:hAnsi="Book Antiqua"/>
        </w:rPr>
        <w:t xml:space="preserve"> 2020; </w:t>
      </w:r>
      <w:r w:rsidRPr="00D4328A">
        <w:rPr>
          <w:rFonts w:ascii="Book Antiqua" w:hAnsi="Book Antiqua"/>
          <w:b/>
          <w:bCs/>
        </w:rPr>
        <w:t>33</w:t>
      </w:r>
      <w:r w:rsidRPr="00D4328A">
        <w:rPr>
          <w:rFonts w:ascii="Book Antiqua" w:hAnsi="Book Antiqua"/>
        </w:rPr>
        <w:t>: 893-905 [PMID: 33472729 DOI: 10.3967/bes2020.123]</w:t>
      </w:r>
    </w:p>
    <w:p w14:paraId="13B70462" w14:textId="3E920708" w:rsidR="00600C31" w:rsidRPr="00D4328A" w:rsidRDefault="00600C31" w:rsidP="006D1FC3">
      <w:pPr>
        <w:spacing w:line="360" w:lineRule="auto"/>
        <w:jc w:val="both"/>
        <w:rPr>
          <w:rFonts w:ascii="Book Antiqua" w:hAnsi="Book Antiqua"/>
        </w:rPr>
      </w:pPr>
      <w:r w:rsidRPr="00D4328A">
        <w:rPr>
          <w:rFonts w:ascii="Book Antiqua" w:hAnsi="Book Antiqua"/>
        </w:rPr>
        <w:t xml:space="preserve">22 </w:t>
      </w:r>
      <w:r w:rsidRPr="00D4328A">
        <w:rPr>
          <w:rFonts w:ascii="Book Antiqua" w:hAnsi="Book Antiqua"/>
          <w:b/>
          <w:bCs/>
        </w:rPr>
        <w:t>Campos-Murguía A</w:t>
      </w:r>
      <w:r w:rsidRPr="00D4328A">
        <w:rPr>
          <w:rFonts w:ascii="Book Antiqua" w:hAnsi="Book Antiqua"/>
        </w:rPr>
        <w:t xml:space="preserve">, Román-Calleja BM, Toledo-Coronado IV, González-Regueiro JA, Solís-Ortega AA, Kúsulas-Delint D, Cruz-Contreras M, Cruz-Yedra N, Cubero FJ, Nevzorova YA, Martínez-Cabrera CF, Moreno-Guillén P, Lozano-Cruz OA, Chapa-Ibargüengoitia M, Gulías-Herrero A, Aguilar-Salinas CA, Ruiz-Margáin A, Macías-Rodríguez RU. Liver fibrosis in patients with </w:t>
      </w:r>
      <w:r w:rsidR="00FB4F2D" w:rsidRPr="00D4328A">
        <w:rPr>
          <w:rFonts w:ascii="Book Antiqua" w:hAnsi="Book Antiqua"/>
        </w:rPr>
        <w:t>MAFLD</w:t>
      </w:r>
      <w:r w:rsidRPr="00D4328A">
        <w:rPr>
          <w:rFonts w:ascii="Book Antiqua" w:hAnsi="Book Antiqua"/>
        </w:rPr>
        <w:t xml:space="preserve"> is a risk factor for adverse outcomes in COVID-19. </w:t>
      </w:r>
      <w:r w:rsidRPr="00D4328A">
        <w:rPr>
          <w:rFonts w:ascii="Book Antiqua" w:hAnsi="Book Antiqua"/>
          <w:i/>
          <w:iCs/>
        </w:rPr>
        <w:t>Dig Liver Dis</w:t>
      </w:r>
      <w:r w:rsidRPr="00D4328A">
        <w:rPr>
          <w:rFonts w:ascii="Book Antiqua" w:hAnsi="Book Antiqua"/>
        </w:rPr>
        <w:t xml:space="preserve"> 2021; </w:t>
      </w:r>
      <w:r w:rsidRPr="00D4328A">
        <w:rPr>
          <w:rFonts w:ascii="Book Antiqua" w:hAnsi="Book Antiqua"/>
          <w:b/>
          <w:bCs/>
        </w:rPr>
        <w:t>53</w:t>
      </w:r>
      <w:r w:rsidRPr="00D4328A">
        <w:rPr>
          <w:rFonts w:ascii="Book Antiqua" w:hAnsi="Book Antiqua"/>
        </w:rPr>
        <w:t>: 525-533 [PMID: 33551355 DOI: 10.1016/j.dld.2021.01.019]</w:t>
      </w:r>
    </w:p>
    <w:p w14:paraId="6F2FD474"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23 </w:t>
      </w:r>
      <w:r w:rsidRPr="00D4328A">
        <w:rPr>
          <w:rFonts w:ascii="Book Antiqua" w:hAnsi="Book Antiqua"/>
          <w:b/>
          <w:bCs/>
        </w:rPr>
        <w:t>Ge J</w:t>
      </w:r>
      <w:r w:rsidRPr="00D4328A">
        <w:rPr>
          <w:rFonts w:ascii="Book Antiqua" w:hAnsi="Book Antiqua"/>
        </w:rPr>
        <w:t xml:space="preserve">, Pletcher MJ, Lai JC; N3C Consortium. Outcomes of SARS-CoV-2 Infection in Patients With Chronic Liver Disease and Cirrhosis: A National COVID Cohort Collaborative Study. </w:t>
      </w:r>
      <w:r w:rsidRPr="00D4328A">
        <w:rPr>
          <w:rFonts w:ascii="Book Antiqua" w:hAnsi="Book Antiqua"/>
          <w:i/>
          <w:iCs/>
        </w:rPr>
        <w:t>Gastroenterology</w:t>
      </w:r>
      <w:r w:rsidRPr="00D4328A">
        <w:rPr>
          <w:rFonts w:ascii="Book Antiqua" w:hAnsi="Book Antiqua"/>
        </w:rPr>
        <w:t xml:space="preserve"> 2021; </w:t>
      </w:r>
      <w:r w:rsidRPr="00D4328A">
        <w:rPr>
          <w:rFonts w:ascii="Book Antiqua" w:hAnsi="Book Antiqua"/>
          <w:b/>
          <w:bCs/>
        </w:rPr>
        <w:t>161</w:t>
      </w:r>
      <w:r w:rsidRPr="00D4328A">
        <w:rPr>
          <w:rFonts w:ascii="Book Antiqua" w:hAnsi="Book Antiqua"/>
        </w:rPr>
        <w:t>: 1487-1501.e5 [PMID: 34284037 DOI: 10.1053/j.gastro.2021.07.010]</w:t>
      </w:r>
    </w:p>
    <w:p w14:paraId="18F65077"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24 </w:t>
      </w:r>
      <w:r w:rsidRPr="00D4328A">
        <w:rPr>
          <w:rFonts w:ascii="Book Antiqua" w:hAnsi="Book Antiqua"/>
          <w:b/>
          <w:bCs/>
        </w:rPr>
        <w:t>Kim SW</w:t>
      </w:r>
      <w:r w:rsidRPr="00D4328A">
        <w:rPr>
          <w:rFonts w:ascii="Book Antiqua" w:hAnsi="Book Antiqua"/>
        </w:rPr>
        <w:t xml:space="preserve">, Jeon JH, Moon JS, Kim MK. High Fibrosis-4 Index Is Related with Worse Clinical Outcome in Patients with Coronavirus Disease 2019 and Diabetes Mellitus: A Multicenter Observational Study. </w:t>
      </w:r>
      <w:r w:rsidRPr="00D4328A">
        <w:rPr>
          <w:rFonts w:ascii="Book Antiqua" w:hAnsi="Book Antiqua"/>
          <w:i/>
          <w:iCs/>
        </w:rPr>
        <w:t>Endocrinol Metab (Seoul)</w:t>
      </w:r>
      <w:r w:rsidRPr="00D4328A">
        <w:rPr>
          <w:rFonts w:ascii="Book Antiqua" w:hAnsi="Book Antiqua"/>
        </w:rPr>
        <w:t xml:space="preserve"> 2021; </w:t>
      </w:r>
      <w:r w:rsidRPr="00D4328A">
        <w:rPr>
          <w:rFonts w:ascii="Book Antiqua" w:hAnsi="Book Antiqua"/>
          <w:b/>
          <w:bCs/>
        </w:rPr>
        <w:t>36</w:t>
      </w:r>
      <w:r w:rsidRPr="00D4328A">
        <w:rPr>
          <w:rFonts w:ascii="Book Antiqua" w:hAnsi="Book Antiqua"/>
        </w:rPr>
        <w:t>: 800-809 [PMID: 34418914 DOI: 10.3803/EnM.2021.1040]</w:t>
      </w:r>
    </w:p>
    <w:p w14:paraId="3C79B57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25 </w:t>
      </w:r>
      <w:r w:rsidRPr="00D4328A">
        <w:rPr>
          <w:rFonts w:ascii="Book Antiqua" w:hAnsi="Book Antiqua"/>
          <w:b/>
          <w:bCs/>
        </w:rPr>
        <w:t>Park JG</w:t>
      </w:r>
      <w:r w:rsidRPr="00D4328A">
        <w:rPr>
          <w:rFonts w:ascii="Book Antiqua" w:hAnsi="Book Antiqua"/>
        </w:rPr>
        <w:t xml:space="preserve">, Kang MK, Lee YR, Song JE, Kim NY, Kweon YO, Tak WY, Jang SY, Lee C, Kim BS, Hwang JS, Jang BK, Bae J, Lee JY, Suh JI, Park SY, Chung WJ; Daegu-Gyeongbuk Liver Study Group (DGLSG). Fibrosis-4 index as a predictor for mortality in hospitalised patients with COVID-19: a retrospective multicentre cohort study. </w:t>
      </w:r>
      <w:r w:rsidRPr="00D4328A">
        <w:rPr>
          <w:rFonts w:ascii="Book Antiqua" w:hAnsi="Book Antiqua"/>
          <w:i/>
          <w:iCs/>
        </w:rPr>
        <w:t>BMJ Open</w:t>
      </w:r>
      <w:r w:rsidRPr="00D4328A">
        <w:rPr>
          <w:rFonts w:ascii="Book Antiqua" w:hAnsi="Book Antiqua"/>
        </w:rPr>
        <w:t xml:space="preserve"> 2020; </w:t>
      </w:r>
      <w:r w:rsidRPr="00D4328A">
        <w:rPr>
          <w:rFonts w:ascii="Book Antiqua" w:hAnsi="Book Antiqua"/>
          <w:b/>
          <w:bCs/>
        </w:rPr>
        <w:t>10</w:t>
      </w:r>
      <w:r w:rsidRPr="00D4328A">
        <w:rPr>
          <w:rFonts w:ascii="Book Antiqua" w:hAnsi="Book Antiqua"/>
        </w:rPr>
        <w:t>: e041989 [PMID: 33184086 DOI: 10.1136/bmjopen-2020-041989]</w:t>
      </w:r>
    </w:p>
    <w:p w14:paraId="2433F7C4"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26 </w:t>
      </w:r>
      <w:r w:rsidRPr="00D4328A">
        <w:rPr>
          <w:rFonts w:ascii="Book Antiqua" w:hAnsi="Book Antiqua"/>
          <w:b/>
          <w:bCs/>
        </w:rPr>
        <w:t>Gao F</w:t>
      </w:r>
      <w:r w:rsidRPr="00D4328A">
        <w:rPr>
          <w:rFonts w:ascii="Book Antiqua" w:hAnsi="Book Antiqua"/>
        </w:rPr>
        <w:t xml:space="preserve">, Zheng KI, Wang XB, Yan HD, Sun QF, Pan KH, Wang TY, Chen YP, George J, Zheng MH. Metabolic associated fatty liver disease increases coronavirus disease 2019 disease severity in nondiabetic patients. </w:t>
      </w:r>
      <w:r w:rsidRPr="00D4328A">
        <w:rPr>
          <w:rFonts w:ascii="Book Antiqua" w:hAnsi="Book Antiqua"/>
          <w:i/>
          <w:iCs/>
        </w:rPr>
        <w:t>J Gastroenterol Hepatol</w:t>
      </w:r>
      <w:r w:rsidRPr="00D4328A">
        <w:rPr>
          <w:rFonts w:ascii="Book Antiqua" w:hAnsi="Book Antiqua"/>
        </w:rPr>
        <w:t xml:space="preserve"> 2021; </w:t>
      </w:r>
      <w:r w:rsidRPr="00D4328A">
        <w:rPr>
          <w:rFonts w:ascii="Book Antiqua" w:hAnsi="Book Antiqua"/>
          <w:b/>
          <w:bCs/>
        </w:rPr>
        <w:t>36</w:t>
      </w:r>
      <w:r w:rsidRPr="00D4328A">
        <w:rPr>
          <w:rFonts w:ascii="Book Antiqua" w:hAnsi="Book Antiqua"/>
        </w:rPr>
        <w:t>: 204-207 [PMID: 32436622 DOI: 10.1111/jgh.15112]</w:t>
      </w:r>
    </w:p>
    <w:p w14:paraId="78B4EA00"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27 </w:t>
      </w:r>
      <w:r w:rsidRPr="00D4328A">
        <w:rPr>
          <w:rFonts w:ascii="Book Antiqua" w:hAnsi="Book Antiqua"/>
          <w:b/>
          <w:bCs/>
        </w:rPr>
        <w:t>Calapod OP</w:t>
      </w:r>
      <w:r w:rsidRPr="00D4328A">
        <w:rPr>
          <w:rFonts w:ascii="Book Antiqua" w:hAnsi="Book Antiqua"/>
        </w:rPr>
        <w:t xml:space="preserve">, Marin AM, Onisai M, Tribus LC, Pop CS, Fierbinteanu-Braticevici C. The Impact of Increased Fib-4 Score in Patients with Type II Diabetes Mellitus on Covid-19 Disease Prognosis. </w:t>
      </w:r>
      <w:r w:rsidRPr="00D4328A">
        <w:rPr>
          <w:rFonts w:ascii="Book Antiqua" w:hAnsi="Book Antiqua"/>
          <w:i/>
          <w:iCs/>
        </w:rPr>
        <w:t>Medicina (Kaunas)</w:t>
      </w:r>
      <w:r w:rsidRPr="00D4328A">
        <w:rPr>
          <w:rFonts w:ascii="Book Antiqua" w:hAnsi="Book Antiqua"/>
        </w:rPr>
        <w:t xml:space="preserve"> 2021; </w:t>
      </w:r>
      <w:r w:rsidRPr="00D4328A">
        <w:rPr>
          <w:rFonts w:ascii="Book Antiqua" w:hAnsi="Book Antiqua"/>
          <w:b/>
          <w:bCs/>
        </w:rPr>
        <w:t>57</w:t>
      </w:r>
      <w:r w:rsidRPr="00D4328A">
        <w:rPr>
          <w:rFonts w:ascii="Book Antiqua" w:hAnsi="Book Antiqua"/>
        </w:rPr>
        <w:t xml:space="preserve"> [PMID: 33946377 DOI: 10.3390/medicina57050434]</w:t>
      </w:r>
    </w:p>
    <w:p w14:paraId="4F81ECFF"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28 </w:t>
      </w:r>
      <w:r w:rsidRPr="00D4328A">
        <w:rPr>
          <w:rFonts w:ascii="Book Antiqua" w:hAnsi="Book Antiqua"/>
          <w:b/>
          <w:bCs/>
        </w:rPr>
        <w:t>Campos-Varela I</w:t>
      </w:r>
      <w:r w:rsidRPr="00D4328A">
        <w:rPr>
          <w:rFonts w:ascii="Book Antiqua" w:hAnsi="Book Antiqua"/>
        </w:rPr>
        <w:t xml:space="preserve">, Villagrasa A, Simon-Talero M, Riveiro-Barciela M, Ventura-Cots M, Aguilera-Castro L, Alvarez-Lopez P, Nordahl EA, Anton A, Bañares J, Barber C, Barreira-Diaz A, Biagetti B, Camps-Relats L, Ciudin A, Cocera R, Dopazo C, Fernandez A, Jimenez C, Jimenez MM, Jofra M, Gil C, Gomez-Gavara C, Guanozzi D, Guevara JA, Lobo B, Malagelada C, Martinez-Camprecios J, Mayorga L, Miret E, Pando E, Pérez-Lopez A, Pigrau M, Prio A, Rivera-Esteban JM, Romero A, Tasayco S, Vidal-Gonzalez J, Vidal L, Minguez B, Augustin S, Genesca J. The role of liver steatosis as measured with transient elastography and transaminases on hard clinical outcomes in patients with COVID-19. </w:t>
      </w:r>
      <w:r w:rsidRPr="00D4328A">
        <w:rPr>
          <w:rFonts w:ascii="Book Antiqua" w:hAnsi="Book Antiqua"/>
          <w:i/>
          <w:iCs/>
        </w:rPr>
        <w:t>Therap Adv Gastroenterol</w:t>
      </w:r>
      <w:r w:rsidRPr="00D4328A">
        <w:rPr>
          <w:rFonts w:ascii="Book Antiqua" w:hAnsi="Book Antiqua"/>
        </w:rPr>
        <w:t xml:space="preserve"> 2021; </w:t>
      </w:r>
      <w:r w:rsidRPr="00D4328A">
        <w:rPr>
          <w:rFonts w:ascii="Book Antiqua" w:hAnsi="Book Antiqua"/>
          <w:b/>
          <w:bCs/>
        </w:rPr>
        <w:t>14</w:t>
      </w:r>
      <w:r w:rsidRPr="00D4328A">
        <w:rPr>
          <w:rFonts w:ascii="Book Antiqua" w:hAnsi="Book Antiqua"/>
        </w:rPr>
        <w:t>: 17562848211016567 [PMID: 34104210 DOI: 10.1177/17562848211016567]</w:t>
      </w:r>
    </w:p>
    <w:p w14:paraId="466DDB29"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29 </w:t>
      </w:r>
      <w:r w:rsidRPr="00D4328A">
        <w:rPr>
          <w:rFonts w:ascii="Book Antiqua" w:hAnsi="Book Antiqua"/>
          <w:b/>
          <w:bCs/>
        </w:rPr>
        <w:t>Chang Y</w:t>
      </w:r>
      <w:r w:rsidRPr="00D4328A">
        <w:rPr>
          <w:rFonts w:ascii="Book Antiqua" w:hAnsi="Book Antiqua"/>
        </w:rPr>
        <w:t xml:space="preserve">, Jeon J, Song TJ, Kim J. Association between the fatty liver index and the risk of severe complications in COVID-19 patients: a nationwide retrospective cohort study. </w:t>
      </w:r>
      <w:r w:rsidRPr="00D4328A">
        <w:rPr>
          <w:rFonts w:ascii="Book Antiqua" w:hAnsi="Book Antiqua"/>
          <w:i/>
          <w:iCs/>
        </w:rPr>
        <w:t>BMC Infect Dis</w:t>
      </w:r>
      <w:r w:rsidRPr="00D4328A">
        <w:rPr>
          <w:rFonts w:ascii="Book Antiqua" w:hAnsi="Book Antiqua"/>
        </w:rPr>
        <w:t xml:space="preserve"> 2022; </w:t>
      </w:r>
      <w:r w:rsidRPr="00D4328A">
        <w:rPr>
          <w:rFonts w:ascii="Book Antiqua" w:hAnsi="Book Antiqua"/>
          <w:b/>
          <w:bCs/>
        </w:rPr>
        <w:t>22</w:t>
      </w:r>
      <w:r w:rsidRPr="00D4328A">
        <w:rPr>
          <w:rFonts w:ascii="Book Antiqua" w:hAnsi="Book Antiqua"/>
        </w:rPr>
        <w:t>: 384 [PMID: 35430797 DOI: 10.1186/s12879-022-07370-x]</w:t>
      </w:r>
    </w:p>
    <w:p w14:paraId="7F7D9CA4"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30 </w:t>
      </w:r>
      <w:r w:rsidRPr="00D4328A">
        <w:rPr>
          <w:rFonts w:ascii="Book Antiqua" w:hAnsi="Book Antiqua"/>
          <w:b/>
          <w:bCs/>
        </w:rPr>
        <w:t>Chen VL</w:t>
      </w:r>
      <w:r w:rsidRPr="00D4328A">
        <w:rPr>
          <w:rFonts w:ascii="Book Antiqua" w:hAnsi="Book Antiqua"/>
        </w:rPr>
        <w:t xml:space="preserve">, Hawa F, Berinstein JA, Reddy CA, Kassab I, Platt KD, Hsu CY, Steiner CA, Louissaint J, Gunaratnam NT, Sharma P. Hepatic Steatosis Is Associated with Increased Disease Severity and Liver Injury in Coronavirus Disease-19. </w:t>
      </w:r>
      <w:r w:rsidRPr="00D4328A">
        <w:rPr>
          <w:rFonts w:ascii="Book Antiqua" w:hAnsi="Book Antiqua"/>
          <w:i/>
          <w:iCs/>
        </w:rPr>
        <w:t>Dig Dis Sci</w:t>
      </w:r>
      <w:r w:rsidRPr="00D4328A">
        <w:rPr>
          <w:rFonts w:ascii="Book Antiqua" w:hAnsi="Book Antiqua"/>
        </w:rPr>
        <w:t xml:space="preserve"> 2021; </w:t>
      </w:r>
      <w:r w:rsidRPr="00D4328A">
        <w:rPr>
          <w:rFonts w:ascii="Book Antiqua" w:hAnsi="Book Antiqua"/>
          <w:b/>
          <w:bCs/>
        </w:rPr>
        <w:t>66</w:t>
      </w:r>
      <w:r w:rsidRPr="00D4328A">
        <w:rPr>
          <w:rFonts w:ascii="Book Antiqua" w:hAnsi="Book Antiqua"/>
        </w:rPr>
        <w:t>: 3192-3198 [PMID: 32980956 DOI: 10.1007/s10620-020-06618-3]</w:t>
      </w:r>
    </w:p>
    <w:p w14:paraId="10EF3D3C"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31 </w:t>
      </w:r>
      <w:r w:rsidRPr="00D4328A">
        <w:rPr>
          <w:rFonts w:ascii="Book Antiqua" w:hAnsi="Book Antiqua"/>
          <w:b/>
          <w:bCs/>
        </w:rPr>
        <w:t>Çoraplı M</w:t>
      </w:r>
      <w:r w:rsidRPr="00D4328A">
        <w:rPr>
          <w:rFonts w:ascii="Book Antiqua" w:hAnsi="Book Antiqua"/>
        </w:rPr>
        <w:t xml:space="preserve">, Çil E, Oktay C, Kaçmaz H, Çoraplı G, Bulut HT. Role of hepatosteatosis in the prognosis of COVID 19 disease. </w:t>
      </w:r>
      <w:r w:rsidRPr="00D4328A">
        <w:rPr>
          <w:rFonts w:ascii="Book Antiqua" w:hAnsi="Book Antiqua"/>
          <w:i/>
          <w:iCs/>
        </w:rPr>
        <w:t>Clin Imaging</w:t>
      </w:r>
      <w:r w:rsidRPr="00D4328A">
        <w:rPr>
          <w:rFonts w:ascii="Book Antiqua" w:hAnsi="Book Antiqua"/>
        </w:rPr>
        <w:t xml:space="preserve"> 2021; </w:t>
      </w:r>
      <w:r w:rsidRPr="00D4328A">
        <w:rPr>
          <w:rFonts w:ascii="Book Antiqua" w:hAnsi="Book Antiqua"/>
          <w:b/>
          <w:bCs/>
        </w:rPr>
        <w:t>80</w:t>
      </w:r>
      <w:r w:rsidRPr="00D4328A">
        <w:rPr>
          <w:rFonts w:ascii="Book Antiqua" w:hAnsi="Book Antiqua"/>
        </w:rPr>
        <w:t>: 1-5 [PMID: 34214871 DOI: 10.1016/j.clinimag.2021.06.034]</w:t>
      </w:r>
    </w:p>
    <w:p w14:paraId="450CF1CD"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32 </w:t>
      </w:r>
      <w:r w:rsidRPr="00D4328A">
        <w:rPr>
          <w:rFonts w:ascii="Book Antiqua" w:hAnsi="Book Antiqua"/>
          <w:b/>
          <w:bCs/>
        </w:rPr>
        <w:t>Davidov-Derevynko Y</w:t>
      </w:r>
      <w:r w:rsidRPr="00D4328A">
        <w:rPr>
          <w:rFonts w:ascii="Book Antiqua" w:hAnsi="Book Antiqua"/>
        </w:rPr>
        <w:t xml:space="preserve">, Ben Yakov G, Wieder A, Segal G, Naveh L, Orlova N, Gringauz I, Amit S, Mor O, Klempfner R, Rahav G, Ben Ari Z. The liver in severe acute respiratory syndrome coronavirus 2 (SARS-CoV-2) infection. </w:t>
      </w:r>
      <w:r w:rsidRPr="00D4328A">
        <w:rPr>
          <w:rFonts w:ascii="Book Antiqua" w:hAnsi="Book Antiqua"/>
          <w:i/>
          <w:iCs/>
        </w:rPr>
        <w:t>Eur J Gastroenterol Hepatol</w:t>
      </w:r>
      <w:r w:rsidRPr="00D4328A">
        <w:rPr>
          <w:rFonts w:ascii="Book Antiqua" w:hAnsi="Book Antiqua"/>
        </w:rPr>
        <w:t xml:space="preserve"> 2021; </w:t>
      </w:r>
      <w:r w:rsidRPr="00D4328A">
        <w:rPr>
          <w:rFonts w:ascii="Book Antiqua" w:hAnsi="Book Antiqua"/>
          <w:b/>
          <w:bCs/>
        </w:rPr>
        <w:t>33</w:t>
      </w:r>
      <w:r w:rsidRPr="00D4328A">
        <w:rPr>
          <w:rFonts w:ascii="Book Antiqua" w:hAnsi="Book Antiqua"/>
        </w:rPr>
        <w:t>: e313-e319 [PMID: 33653988 DOI: 10.1097/MEG.0000000000002048]</w:t>
      </w:r>
    </w:p>
    <w:p w14:paraId="1CA5187F"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33 </w:t>
      </w:r>
      <w:r w:rsidRPr="00D4328A">
        <w:rPr>
          <w:rFonts w:ascii="Book Antiqua" w:hAnsi="Book Antiqua"/>
          <w:b/>
          <w:bCs/>
        </w:rPr>
        <w:t>Demir N</w:t>
      </w:r>
      <w:r w:rsidRPr="00D4328A">
        <w:rPr>
          <w:rFonts w:ascii="Book Antiqua" w:hAnsi="Book Antiqua"/>
        </w:rPr>
        <w:t xml:space="preserve">, Yüzbasıoglu B, Calhan T, Ozturk S. Prevalence and Prognostic Importance of High Fibrosis-4 Index in COVID-19 Patients. </w:t>
      </w:r>
      <w:r w:rsidRPr="00D4328A">
        <w:rPr>
          <w:rFonts w:ascii="Book Antiqua" w:hAnsi="Book Antiqua"/>
          <w:i/>
          <w:iCs/>
        </w:rPr>
        <w:t>Int J Clin Pract</w:t>
      </w:r>
      <w:r w:rsidRPr="00D4328A">
        <w:rPr>
          <w:rFonts w:ascii="Book Antiqua" w:hAnsi="Book Antiqua"/>
        </w:rPr>
        <w:t xml:space="preserve"> 2022; </w:t>
      </w:r>
      <w:r w:rsidRPr="00D4328A">
        <w:rPr>
          <w:rFonts w:ascii="Book Antiqua" w:hAnsi="Book Antiqua"/>
          <w:b/>
          <w:bCs/>
        </w:rPr>
        <w:t>2022</w:t>
      </w:r>
      <w:r w:rsidRPr="00D4328A">
        <w:rPr>
          <w:rFonts w:ascii="Book Antiqua" w:hAnsi="Book Antiqua"/>
        </w:rPr>
        <w:t>: 1734896 [PMID: 35685537 DOI: 10.1155/2022/1734896]</w:t>
      </w:r>
    </w:p>
    <w:p w14:paraId="04A97D82"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34 </w:t>
      </w:r>
      <w:r w:rsidRPr="00D4328A">
        <w:rPr>
          <w:rFonts w:ascii="Book Antiqua" w:hAnsi="Book Antiqua"/>
          <w:b/>
          <w:bCs/>
        </w:rPr>
        <w:t>Ji D</w:t>
      </w:r>
      <w:r w:rsidRPr="00D4328A">
        <w:rPr>
          <w:rFonts w:ascii="Book Antiqua" w:hAnsi="Book Antiqua"/>
        </w:rPr>
        <w:t xml:space="preserve">, Zhang D, Yang T, Mu J, Zhao P, Xu J, Li C, Cheng G, Wang Y, Chen Z, Qin E, Lau G. Effect of COVID-19 on patients with compensated chronic liver diseases. </w:t>
      </w:r>
      <w:r w:rsidRPr="00D4328A">
        <w:rPr>
          <w:rFonts w:ascii="Book Antiqua" w:hAnsi="Book Antiqua"/>
          <w:i/>
          <w:iCs/>
        </w:rPr>
        <w:t>Hepatol Int</w:t>
      </w:r>
      <w:r w:rsidRPr="00D4328A">
        <w:rPr>
          <w:rFonts w:ascii="Book Antiqua" w:hAnsi="Book Antiqua"/>
        </w:rPr>
        <w:t xml:space="preserve"> 2020; </w:t>
      </w:r>
      <w:r w:rsidRPr="00D4328A">
        <w:rPr>
          <w:rFonts w:ascii="Book Antiqua" w:hAnsi="Book Antiqua"/>
          <w:b/>
          <w:bCs/>
        </w:rPr>
        <w:t>14</w:t>
      </w:r>
      <w:r w:rsidRPr="00D4328A">
        <w:rPr>
          <w:rFonts w:ascii="Book Antiqua" w:hAnsi="Book Antiqua"/>
        </w:rPr>
        <w:t>: 701-710 [PMID: 32734407 DOI: 10.1007/s12072-020-10058-6]</w:t>
      </w:r>
    </w:p>
    <w:p w14:paraId="75408EA2"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35 </w:t>
      </w:r>
      <w:r w:rsidRPr="00D4328A">
        <w:rPr>
          <w:rFonts w:ascii="Book Antiqua" w:hAnsi="Book Antiqua"/>
          <w:b/>
          <w:bCs/>
        </w:rPr>
        <w:t>Effenberger M</w:t>
      </w:r>
      <w:r w:rsidRPr="00D4328A">
        <w:rPr>
          <w:rFonts w:ascii="Book Antiqua" w:hAnsi="Book Antiqua"/>
        </w:rPr>
        <w:t xml:space="preserve">, Grander C, Fritsche G, Bellmann-Weiler R, Hartig F, Wildner S, Seiwald S, Adolph TE, Zoller H, Weiss G, Tilg H. Liver stiffness by transient elastography accompanies illness severity in COVID-19. </w:t>
      </w:r>
      <w:r w:rsidRPr="00D4328A">
        <w:rPr>
          <w:rFonts w:ascii="Book Antiqua" w:hAnsi="Book Antiqua"/>
          <w:i/>
          <w:iCs/>
        </w:rPr>
        <w:t>BMJ Open Gastroenterol</w:t>
      </w:r>
      <w:r w:rsidRPr="00D4328A">
        <w:rPr>
          <w:rFonts w:ascii="Book Antiqua" w:hAnsi="Book Antiqua"/>
        </w:rPr>
        <w:t xml:space="preserve"> 2020; </w:t>
      </w:r>
      <w:r w:rsidRPr="00D4328A">
        <w:rPr>
          <w:rFonts w:ascii="Book Antiqua" w:hAnsi="Book Antiqua"/>
          <w:b/>
          <w:bCs/>
        </w:rPr>
        <w:t>7</w:t>
      </w:r>
      <w:r w:rsidRPr="00D4328A">
        <w:rPr>
          <w:rFonts w:ascii="Book Antiqua" w:hAnsi="Book Antiqua"/>
        </w:rPr>
        <w:t xml:space="preserve"> [PMID: 32665398 DOI: 10.1136/bmjgast-2020-000445]</w:t>
      </w:r>
    </w:p>
    <w:p w14:paraId="48ACD5B6"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36 </w:t>
      </w:r>
      <w:r w:rsidRPr="00D4328A">
        <w:rPr>
          <w:rFonts w:ascii="Book Antiqua" w:hAnsi="Book Antiqua"/>
          <w:b/>
          <w:bCs/>
        </w:rPr>
        <w:t>Elfeki MA</w:t>
      </w:r>
      <w:r w:rsidRPr="00D4328A">
        <w:rPr>
          <w:rFonts w:ascii="Book Antiqua" w:hAnsi="Book Antiqua"/>
        </w:rPr>
        <w:t xml:space="preserve">, Robles J, Akhtar Z, Ullah F, Ganapathiraju I, Tran C, Inman C, Collin SM, Rosa R. Impact of Fibrosis-4 Index Prior to COVID-19 on Outcomes in Patients at Risk of Non-alcoholic Fatty Liver Disease. </w:t>
      </w:r>
      <w:r w:rsidRPr="00D4328A">
        <w:rPr>
          <w:rFonts w:ascii="Book Antiqua" w:hAnsi="Book Antiqua"/>
          <w:i/>
          <w:iCs/>
        </w:rPr>
        <w:t>Dig Dis Sci</w:t>
      </w:r>
      <w:r w:rsidRPr="00D4328A">
        <w:rPr>
          <w:rFonts w:ascii="Book Antiqua" w:hAnsi="Book Antiqua"/>
        </w:rPr>
        <w:t xml:space="preserve"> 2022; </w:t>
      </w:r>
      <w:r w:rsidRPr="00D4328A">
        <w:rPr>
          <w:rFonts w:ascii="Book Antiqua" w:hAnsi="Book Antiqua"/>
          <w:b/>
          <w:bCs/>
        </w:rPr>
        <w:t>67</w:t>
      </w:r>
      <w:r w:rsidRPr="00D4328A">
        <w:rPr>
          <w:rFonts w:ascii="Book Antiqua" w:hAnsi="Book Antiqua"/>
        </w:rPr>
        <w:t>: 3333-3339 [PMID: 34173917 DOI: 10.1007/s10620-021-07120-0]</w:t>
      </w:r>
    </w:p>
    <w:p w14:paraId="298F8082"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37 </w:t>
      </w:r>
      <w:r w:rsidRPr="00D4328A">
        <w:rPr>
          <w:rFonts w:ascii="Book Antiqua" w:hAnsi="Book Antiqua"/>
          <w:b/>
          <w:bCs/>
        </w:rPr>
        <w:t>Hashemi N</w:t>
      </w:r>
      <w:r w:rsidRPr="00D4328A">
        <w:rPr>
          <w:rFonts w:ascii="Book Antiqua" w:hAnsi="Book Antiqua"/>
        </w:rPr>
        <w:t xml:space="preserve">, Viveiros K, Redd WD, Zhou JC, McCarty TR, Bazarbashi AN, Hathorn KE, Wong D, Njie C, Shen L, Chan WW. Impact of chronic liver disease on outcomes of hospitalized patients with COVID-19: A multicentre United States experience. </w:t>
      </w:r>
      <w:r w:rsidRPr="00D4328A">
        <w:rPr>
          <w:rFonts w:ascii="Book Antiqua" w:hAnsi="Book Antiqua"/>
          <w:i/>
          <w:iCs/>
        </w:rPr>
        <w:t>Liver Int</w:t>
      </w:r>
      <w:r w:rsidRPr="00D4328A">
        <w:rPr>
          <w:rFonts w:ascii="Book Antiqua" w:hAnsi="Book Antiqua"/>
        </w:rPr>
        <w:t xml:space="preserve"> 2020; </w:t>
      </w:r>
      <w:r w:rsidRPr="00D4328A">
        <w:rPr>
          <w:rFonts w:ascii="Book Antiqua" w:hAnsi="Book Antiqua"/>
          <w:b/>
          <w:bCs/>
        </w:rPr>
        <w:t>40</w:t>
      </w:r>
      <w:r w:rsidRPr="00D4328A">
        <w:rPr>
          <w:rFonts w:ascii="Book Antiqua" w:hAnsi="Book Antiqua"/>
        </w:rPr>
        <w:t>: 2515-2521 [PMID: 32585065 DOI: 10.1111/liv.14583]</w:t>
      </w:r>
    </w:p>
    <w:p w14:paraId="0141C975"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38 </w:t>
      </w:r>
      <w:r w:rsidRPr="00D4328A">
        <w:rPr>
          <w:rFonts w:ascii="Book Antiqua" w:hAnsi="Book Antiqua"/>
          <w:b/>
          <w:bCs/>
        </w:rPr>
        <w:t>Huang R</w:t>
      </w:r>
      <w:r w:rsidRPr="00D4328A">
        <w:rPr>
          <w:rFonts w:ascii="Book Antiqua" w:hAnsi="Book Antiqua"/>
        </w:rPr>
        <w:t xml:space="preserve">, Zhu L, Wang J, Xue L, Liu L, Yan X, Huang S, Li Y, Yan X, Zhang B, Xu T, Li C, Ji F, Ming F, Zhao Y, Cheng J, Wang Y, Zhao H, Hong S, Chen K, Zhao XA, Zou L, Sang D, Shao H, Guan X, Chen X, Chen Y, Wei J, Zhu C, Wu C. Clinical Features of Patients With COVID-19 With Nonalcoholic Fatty Liver Disease. </w:t>
      </w:r>
      <w:r w:rsidRPr="00D4328A">
        <w:rPr>
          <w:rFonts w:ascii="Book Antiqua" w:hAnsi="Book Antiqua"/>
          <w:i/>
          <w:iCs/>
        </w:rPr>
        <w:t>Hepatol Commun</w:t>
      </w:r>
      <w:r w:rsidRPr="00D4328A">
        <w:rPr>
          <w:rFonts w:ascii="Book Antiqua" w:hAnsi="Book Antiqua"/>
        </w:rPr>
        <w:t xml:space="preserve"> 2020; </w:t>
      </w:r>
      <w:r w:rsidRPr="00D4328A">
        <w:rPr>
          <w:rFonts w:ascii="Book Antiqua" w:hAnsi="Book Antiqua"/>
          <w:b/>
          <w:bCs/>
        </w:rPr>
        <w:t>4</w:t>
      </w:r>
      <w:r w:rsidRPr="00D4328A">
        <w:rPr>
          <w:rFonts w:ascii="Book Antiqua" w:hAnsi="Book Antiqua"/>
        </w:rPr>
        <w:t>: 1758-1768 [PMID: 32838108 DOI: 10.1002/hep4.1592]</w:t>
      </w:r>
    </w:p>
    <w:p w14:paraId="53DA32E4"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39 </w:t>
      </w:r>
      <w:r w:rsidRPr="00D4328A">
        <w:rPr>
          <w:rFonts w:ascii="Book Antiqua" w:hAnsi="Book Antiqua"/>
          <w:b/>
          <w:bCs/>
        </w:rPr>
        <w:t>Hussain A</w:t>
      </w:r>
      <w:r w:rsidRPr="00D4328A">
        <w:rPr>
          <w:rFonts w:ascii="Book Antiqua" w:hAnsi="Book Antiqua"/>
        </w:rPr>
        <w:t xml:space="preserve">, Iftikhar M, Rizvi A, Latif M, Javed Ahmed M, Zartash S, Laique T. Outcomes of Nonalcoholic Fatty Liver Disease In Covid Positive Diabetic Patients: Cross Sectional Study. </w:t>
      </w:r>
      <w:r w:rsidRPr="00D4328A">
        <w:rPr>
          <w:rFonts w:ascii="Book Antiqua" w:hAnsi="Book Antiqua"/>
          <w:i/>
          <w:iCs/>
        </w:rPr>
        <w:t>Pakistan J Med Health Sci</w:t>
      </w:r>
      <w:r w:rsidRPr="00D4328A">
        <w:rPr>
          <w:rFonts w:ascii="Book Antiqua" w:hAnsi="Book Antiqua"/>
        </w:rPr>
        <w:t xml:space="preserve"> 2021; </w:t>
      </w:r>
      <w:r w:rsidRPr="00D4328A">
        <w:rPr>
          <w:rFonts w:ascii="Book Antiqua" w:hAnsi="Book Antiqua"/>
          <w:b/>
          <w:bCs/>
        </w:rPr>
        <w:t>15</w:t>
      </w:r>
      <w:r w:rsidRPr="00D4328A">
        <w:rPr>
          <w:rFonts w:ascii="Book Antiqua" w:hAnsi="Book Antiqua"/>
        </w:rPr>
        <w:t>: 3241-3243 [DOI: 10.53350/pjmhs2115123241]</w:t>
      </w:r>
    </w:p>
    <w:p w14:paraId="74DF472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40 </w:t>
      </w:r>
      <w:r w:rsidRPr="00D4328A">
        <w:rPr>
          <w:rFonts w:ascii="Book Antiqua" w:hAnsi="Book Antiqua"/>
          <w:b/>
          <w:bCs/>
        </w:rPr>
        <w:t>Kim D</w:t>
      </w:r>
      <w:r w:rsidRPr="00D4328A">
        <w:rPr>
          <w:rFonts w:ascii="Book Antiqua" w:hAnsi="Book Antiqua"/>
        </w:rPr>
        <w:t xml:space="preserve">, Adeniji N, Latt N, Kumar S, Bloom PP, Aby ES, Perumalswami P, Roytman M, Li M, Vogel AS, Catana AM, Wegermann K, Carr RM, Aloman C, Chen VL, Rabiee A, Sadowski B, Nguyen V, Dunn W, Chavin KD, Zhou K, Lizaola-Mayo B, Moghe A, Debes </w:t>
      </w:r>
      <w:r w:rsidRPr="00D4328A">
        <w:rPr>
          <w:rFonts w:ascii="Book Antiqua" w:hAnsi="Book Antiqua"/>
        </w:rPr>
        <w:lastRenderedPageBreak/>
        <w:t xml:space="preserve">J, Lee TH, Branch AD, Viveiros K, Chan W, Chascsa DM, Kwo P, Dhanasekaran R. Predictors of Outcomes of COVID-19 in Patients With Chronic Liver Disease: US Multi-center Study. </w:t>
      </w:r>
      <w:r w:rsidRPr="00D4328A">
        <w:rPr>
          <w:rFonts w:ascii="Book Antiqua" w:hAnsi="Book Antiqua"/>
          <w:i/>
          <w:iCs/>
        </w:rPr>
        <w:t>Clin Gastroenterol Hepatol</w:t>
      </w:r>
      <w:r w:rsidRPr="00D4328A">
        <w:rPr>
          <w:rFonts w:ascii="Book Antiqua" w:hAnsi="Book Antiqua"/>
        </w:rPr>
        <w:t xml:space="preserve"> 2021; </w:t>
      </w:r>
      <w:r w:rsidRPr="00D4328A">
        <w:rPr>
          <w:rFonts w:ascii="Book Antiqua" w:hAnsi="Book Antiqua"/>
          <w:b/>
          <w:bCs/>
        </w:rPr>
        <w:t>19</w:t>
      </w:r>
      <w:r w:rsidRPr="00D4328A">
        <w:rPr>
          <w:rFonts w:ascii="Book Antiqua" w:hAnsi="Book Antiqua"/>
        </w:rPr>
        <w:t>: 1469-1479.e19 [PMID: 32950749 DOI: 10.1016/j.cgh.2020.09.027]</w:t>
      </w:r>
    </w:p>
    <w:p w14:paraId="34BA28F8"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41 </w:t>
      </w:r>
      <w:r w:rsidRPr="00D4328A">
        <w:rPr>
          <w:rFonts w:ascii="Book Antiqua" w:hAnsi="Book Antiqua"/>
          <w:b/>
          <w:bCs/>
        </w:rPr>
        <w:t>Madan K</w:t>
      </w:r>
      <w:r w:rsidRPr="00D4328A">
        <w:rPr>
          <w:rFonts w:ascii="Book Antiqua" w:hAnsi="Book Antiqua"/>
        </w:rPr>
        <w:t xml:space="preserve">, Rastogi R, Bhargava R, Dagar V, Singla V, Sahu A, Singh P, Garg P, Aggarwal B, Singh RK. Is Fatty Liver Associated with Increased Mortality and Morbidity in Coronavirus Disease 2019 (COVID-19) Pneumonia? </w:t>
      </w:r>
      <w:r w:rsidRPr="00D4328A">
        <w:rPr>
          <w:rFonts w:ascii="Book Antiqua" w:hAnsi="Book Antiqua"/>
          <w:i/>
          <w:iCs/>
        </w:rPr>
        <w:t>J Clin Exp Hepatol</w:t>
      </w:r>
      <w:r w:rsidRPr="00D4328A">
        <w:rPr>
          <w:rFonts w:ascii="Book Antiqua" w:hAnsi="Book Antiqua"/>
        </w:rPr>
        <w:t xml:space="preserve"> 2022; </w:t>
      </w:r>
      <w:r w:rsidRPr="00D4328A">
        <w:rPr>
          <w:rFonts w:ascii="Book Antiqua" w:hAnsi="Book Antiqua"/>
          <w:b/>
          <w:bCs/>
        </w:rPr>
        <w:t>12</w:t>
      </w:r>
      <w:r w:rsidRPr="00D4328A">
        <w:rPr>
          <w:rFonts w:ascii="Book Antiqua" w:hAnsi="Book Antiqua"/>
        </w:rPr>
        <w:t>: 1320-1327 [PMID: 35469129 DOI: 10.1016/j.jceh.2022.04.013]</w:t>
      </w:r>
    </w:p>
    <w:p w14:paraId="64C27EBE"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42 </w:t>
      </w:r>
      <w:r w:rsidRPr="00D4328A">
        <w:rPr>
          <w:rFonts w:ascii="Book Antiqua" w:hAnsi="Book Antiqua"/>
          <w:b/>
          <w:bCs/>
        </w:rPr>
        <w:t>Marjot T</w:t>
      </w:r>
      <w:r w:rsidRPr="00D4328A">
        <w:rPr>
          <w:rFonts w:ascii="Book Antiqua" w:hAnsi="Book Antiqua"/>
        </w:rPr>
        <w:t xml:space="preserve">, Moon AM, Cook JA, Abd-Elsalam S, Aloman C, Armstrong MJ, Pose E, Brenner EJ, Cargill T, Catana MA, Dhanasekaran R, Eshraghian A, García-Juárez I, Gill US, Jones PD, Kennedy J, Marshall A, Matthews C, Mells G, Mercer C, Perumalswami PV, Avitabile E, Qi X, Su F, Ufere NN, Wong YJ, Zheng MH, Barnes E, Barritt AS 4th, Webb GJ. Outcomes following SARS-CoV-2 infection in patients with chronic liver disease: An international registry study. </w:t>
      </w:r>
      <w:r w:rsidRPr="00D4328A">
        <w:rPr>
          <w:rFonts w:ascii="Book Antiqua" w:hAnsi="Book Antiqua"/>
          <w:i/>
          <w:iCs/>
        </w:rPr>
        <w:t>J Hepatol</w:t>
      </w:r>
      <w:r w:rsidRPr="00D4328A">
        <w:rPr>
          <w:rFonts w:ascii="Book Antiqua" w:hAnsi="Book Antiqua"/>
        </w:rPr>
        <w:t xml:space="preserve"> 2021; </w:t>
      </w:r>
      <w:r w:rsidRPr="00D4328A">
        <w:rPr>
          <w:rFonts w:ascii="Book Antiqua" w:hAnsi="Book Antiqua"/>
          <w:b/>
          <w:bCs/>
        </w:rPr>
        <w:t>74</w:t>
      </w:r>
      <w:r w:rsidRPr="00D4328A">
        <w:rPr>
          <w:rFonts w:ascii="Book Antiqua" w:hAnsi="Book Antiqua"/>
        </w:rPr>
        <w:t>: 567-577 [PMID: 33035628 DOI: 10.1016/j.jhep.2020.09.024]</w:t>
      </w:r>
    </w:p>
    <w:p w14:paraId="14853843"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43 </w:t>
      </w:r>
      <w:r w:rsidRPr="00D4328A">
        <w:rPr>
          <w:rFonts w:ascii="Book Antiqua" w:hAnsi="Book Antiqua"/>
          <w:b/>
          <w:bCs/>
        </w:rPr>
        <w:t>Romero-Cristóbal M</w:t>
      </w:r>
      <w:r w:rsidRPr="00D4328A">
        <w:rPr>
          <w:rFonts w:ascii="Book Antiqua" w:hAnsi="Book Antiqua"/>
        </w:rPr>
        <w:t xml:space="preserve">, Clemente-Sánchez A, Piñeiro P, Cedeño J, Rayón L, Del Río J, Ramos C, Hernández DA, Cova M, Caballero A, Garutti I, García-Olivares P, Hortal J, Guerrero JE, García R, Bañares R, Rincón D. Possible unrecognised liver injury is associated with mortality in critically ill COVID-19 patients. </w:t>
      </w:r>
      <w:r w:rsidRPr="00D4328A">
        <w:rPr>
          <w:rFonts w:ascii="Book Antiqua" w:hAnsi="Book Antiqua"/>
          <w:i/>
          <w:iCs/>
        </w:rPr>
        <w:t>Therap Adv Gastroenterol</w:t>
      </w:r>
      <w:r w:rsidRPr="00D4328A">
        <w:rPr>
          <w:rFonts w:ascii="Book Antiqua" w:hAnsi="Book Antiqua"/>
        </w:rPr>
        <w:t xml:space="preserve"> 2021; </w:t>
      </w:r>
      <w:r w:rsidRPr="00D4328A">
        <w:rPr>
          <w:rFonts w:ascii="Book Antiqua" w:hAnsi="Book Antiqua"/>
          <w:b/>
          <w:bCs/>
        </w:rPr>
        <w:t>14</w:t>
      </w:r>
      <w:r w:rsidRPr="00D4328A">
        <w:rPr>
          <w:rFonts w:ascii="Book Antiqua" w:hAnsi="Book Antiqua"/>
        </w:rPr>
        <w:t>: 17562848211023410 [PMID: 34178116 DOI: 10.1177/17562848211023410]</w:t>
      </w:r>
    </w:p>
    <w:p w14:paraId="55CC11C5"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44 </w:t>
      </w:r>
      <w:r w:rsidRPr="00D4328A">
        <w:rPr>
          <w:rFonts w:ascii="Book Antiqua" w:hAnsi="Book Antiqua"/>
          <w:b/>
          <w:bCs/>
        </w:rPr>
        <w:t>Rentsch CT</w:t>
      </w:r>
      <w:r w:rsidRPr="00D4328A">
        <w:rPr>
          <w:rFonts w:ascii="Book Antiqua" w:hAnsi="Book Antiqua"/>
        </w:rPr>
        <w:t>, Kidwai-Khan F, Tate JP, Park LS, King JT Jr, Skanderson M, Hauser RG, Schultze A, Jarvis CI, Holodniy M, Re VL 3rd, Akgün KM, Crothers K, Taddei TH, Freiberg MS, Justice AC. Covid-19 Testing, Hospital Admission, and Intensive Care Among 2,026,227 United States Veterans Aged 54-75 Years. medRxiv 2020 [PMID: 32511595 DOI: 10.1101/2020.04.09.20059964]</w:t>
      </w:r>
    </w:p>
    <w:p w14:paraId="10D28B96"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45 </w:t>
      </w:r>
      <w:r w:rsidRPr="00D4328A">
        <w:rPr>
          <w:rFonts w:ascii="Book Antiqua" w:hAnsi="Book Antiqua"/>
          <w:b/>
          <w:bCs/>
        </w:rPr>
        <w:t>Shao J</w:t>
      </w:r>
      <w:r w:rsidRPr="00D4328A">
        <w:rPr>
          <w:rFonts w:ascii="Book Antiqua" w:hAnsi="Book Antiqua"/>
        </w:rPr>
        <w:t xml:space="preserve">, Liang Y, Li Y, Ding R, Zhu M, You W, Wang Z, Huang B, Wu M, Zhang T, Li K, Wu W, Wu L, Wang Q, Xia X, Wang S, Lu L. Implications of liver injury in risk-stratification and management of patients with COVID-19. </w:t>
      </w:r>
      <w:r w:rsidRPr="00D4328A">
        <w:rPr>
          <w:rFonts w:ascii="Book Antiqua" w:hAnsi="Book Antiqua"/>
          <w:i/>
          <w:iCs/>
        </w:rPr>
        <w:t>Hepatol Int</w:t>
      </w:r>
      <w:r w:rsidRPr="00D4328A">
        <w:rPr>
          <w:rFonts w:ascii="Book Antiqua" w:hAnsi="Book Antiqua"/>
        </w:rPr>
        <w:t xml:space="preserve"> 2021; </w:t>
      </w:r>
      <w:r w:rsidRPr="00D4328A">
        <w:rPr>
          <w:rFonts w:ascii="Book Antiqua" w:hAnsi="Book Antiqua"/>
          <w:b/>
          <w:bCs/>
        </w:rPr>
        <w:t>15</w:t>
      </w:r>
      <w:r w:rsidRPr="00D4328A">
        <w:rPr>
          <w:rFonts w:ascii="Book Antiqua" w:hAnsi="Book Antiqua"/>
        </w:rPr>
        <w:t>: 202-212 [PMID: 33548030 DOI: 10.1007/s12072-020-10123-0]</w:t>
      </w:r>
    </w:p>
    <w:p w14:paraId="7841A4DF"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46 </w:t>
      </w:r>
      <w:r w:rsidRPr="00D4328A">
        <w:rPr>
          <w:rFonts w:ascii="Book Antiqua" w:hAnsi="Book Antiqua"/>
          <w:b/>
          <w:bCs/>
        </w:rPr>
        <w:t>Targher G</w:t>
      </w:r>
      <w:r w:rsidRPr="00D4328A">
        <w:rPr>
          <w:rFonts w:ascii="Book Antiqua" w:hAnsi="Book Antiqua"/>
        </w:rPr>
        <w:t xml:space="preserve">, Mantovani A, Byrne CD, Wang XB, Yan HD, Sun QF, Pan KH, Zheng KI, Chen YP, Eslam M, George J, Zheng MH. Risk of severe illness from COVID-19 in patients with metabolic dysfunction-associated fatty liver disease and increased fibrosis scores. </w:t>
      </w:r>
      <w:r w:rsidRPr="00D4328A">
        <w:rPr>
          <w:rFonts w:ascii="Book Antiqua" w:hAnsi="Book Antiqua"/>
          <w:i/>
          <w:iCs/>
        </w:rPr>
        <w:t>Gut</w:t>
      </w:r>
      <w:r w:rsidRPr="00D4328A">
        <w:rPr>
          <w:rFonts w:ascii="Book Antiqua" w:hAnsi="Book Antiqua"/>
        </w:rPr>
        <w:t xml:space="preserve"> 2020; </w:t>
      </w:r>
      <w:r w:rsidRPr="00D4328A">
        <w:rPr>
          <w:rFonts w:ascii="Book Antiqua" w:hAnsi="Book Antiqua"/>
          <w:b/>
          <w:bCs/>
        </w:rPr>
        <w:t>69</w:t>
      </w:r>
      <w:r w:rsidRPr="00D4328A">
        <w:rPr>
          <w:rFonts w:ascii="Book Antiqua" w:hAnsi="Book Antiqua"/>
        </w:rPr>
        <w:t>: 1545-1547 [PMID: 32414813 DOI: 10.1136/gutjnl-2020-321611]</w:t>
      </w:r>
    </w:p>
    <w:p w14:paraId="095F05BD"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47 </w:t>
      </w:r>
      <w:r w:rsidRPr="00D4328A">
        <w:rPr>
          <w:rFonts w:ascii="Book Antiqua" w:hAnsi="Book Antiqua"/>
          <w:b/>
          <w:bCs/>
        </w:rPr>
        <w:t>Tignanelli CJ</w:t>
      </w:r>
      <w:r w:rsidRPr="00D4328A">
        <w:rPr>
          <w:rFonts w:ascii="Book Antiqua" w:hAnsi="Book Antiqua"/>
        </w:rPr>
        <w:t xml:space="preserve">, Bramante CT, Dutta N, Tamariz L, Usher MG, Ikramuddin S. Metabolic surgery may protect against admission for COVID-19 in persons with nonalcoholic fatty liver disease. </w:t>
      </w:r>
      <w:r w:rsidRPr="00D4328A">
        <w:rPr>
          <w:rFonts w:ascii="Book Antiqua" w:hAnsi="Book Antiqua"/>
          <w:i/>
          <w:iCs/>
        </w:rPr>
        <w:t>Surg Obes Relat Dis</w:t>
      </w:r>
      <w:r w:rsidRPr="00D4328A">
        <w:rPr>
          <w:rFonts w:ascii="Book Antiqua" w:hAnsi="Book Antiqua"/>
        </w:rPr>
        <w:t xml:space="preserve"> 2021; </w:t>
      </w:r>
      <w:r w:rsidRPr="00D4328A">
        <w:rPr>
          <w:rFonts w:ascii="Book Antiqua" w:hAnsi="Book Antiqua"/>
          <w:b/>
          <w:bCs/>
        </w:rPr>
        <w:t>17</w:t>
      </w:r>
      <w:r w:rsidRPr="00D4328A">
        <w:rPr>
          <w:rFonts w:ascii="Book Antiqua" w:hAnsi="Book Antiqua"/>
        </w:rPr>
        <w:t>: 1780-1786 [PMID: 34326020 DOI: 10.1016/j.soard.2021.05.029]</w:t>
      </w:r>
    </w:p>
    <w:p w14:paraId="1D6BC78E"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48 </w:t>
      </w:r>
      <w:r w:rsidRPr="00D4328A">
        <w:rPr>
          <w:rFonts w:ascii="Book Antiqua" w:hAnsi="Book Antiqua"/>
          <w:b/>
          <w:bCs/>
        </w:rPr>
        <w:t>Trivedi HD</w:t>
      </w:r>
      <w:r w:rsidRPr="00D4328A">
        <w:rPr>
          <w:rFonts w:ascii="Book Antiqua" w:hAnsi="Book Antiqua"/>
        </w:rPr>
        <w:t xml:space="preserve">, Wilechansky R, Goyes D, Vieira Barbosa J, Canakis A, Lai M, Long MT, Fricker Z. Radiographic Hepatic Steatosis Is Not Associated With Key Clinical Outcomes Among Patients Hospitalized With COVID-19. </w:t>
      </w:r>
      <w:r w:rsidRPr="00D4328A">
        <w:rPr>
          <w:rFonts w:ascii="Book Antiqua" w:hAnsi="Book Antiqua"/>
          <w:i/>
          <w:iCs/>
        </w:rPr>
        <w:t>Gastroenterology Res</w:t>
      </w:r>
      <w:r w:rsidRPr="00D4328A">
        <w:rPr>
          <w:rFonts w:ascii="Book Antiqua" w:hAnsi="Book Antiqua"/>
        </w:rPr>
        <w:t xml:space="preserve"> 2021; </w:t>
      </w:r>
      <w:r w:rsidRPr="00D4328A">
        <w:rPr>
          <w:rFonts w:ascii="Book Antiqua" w:hAnsi="Book Antiqua"/>
          <w:b/>
          <w:bCs/>
        </w:rPr>
        <w:t>14</w:t>
      </w:r>
      <w:r w:rsidRPr="00D4328A">
        <w:rPr>
          <w:rFonts w:ascii="Book Antiqua" w:hAnsi="Book Antiqua"/>
        </w:rPr>
        <w:t>: 179-183 [PMID: 34267833 DOI: 10.14740/gr1389]</w:t>
      </w:r>
    </w:p>
    <w:p w14:paraId="4AD34649"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49 </w:t>
      </w:r>
      <w:r w:rsidRPr="00D4328A">
        <w:rPr>
          <w:rFonts w:ascii="Book Antiqua" w:hAnsi="Book Antiqua"/>
          <w:b/>
          <w:bCs/>
        </w:rPr>
        <w:t>Vázquez-Medina MU</w:t>
      </w:r>
      <w:r w:rsidRPr="00D4328A">
        <w:rPr>
          <w:rFonts w:ascii="Book Antiqua" w:hAnsi="Book Antiqua"/>
        </w:rPr>
        <w:t xml:space="preserve">, Cerda-Reyes E, Galeana-Pavón A, López-Luna CE, Ramírez-Portillo PM, Ibañez-Cervantes G, Torres-Vázquez J, Vargas-De-León C. Interaction of metabolic dysfunction-associated fatty liver disease and nonalcoholic fatty liver disease with advanced fibrosis in the death and intubation of patients hospitalized with coronavirus disease 2019. </w:t>
      </w:r>
      <w:r w:rsidRPr="00D4328A">
        <w:rPr>
          <w:rFonts w:ascii="Book Antiqua" w:hAnsi="Book Antiqua"/>
          <w:i/>
          <w:iCs/>
        </w:rPr>
        <w:t>Hepatol Commun</w:t>
      </w:r>
      <w:r w:rsidRPr="00D4328A">
        <w:rPr>
          <w:rFonts w:ascii="Book Antiqua" w:hAnsi="Book Antiqua"/>
        </w:rPr>
        <w:t xml:space="preserve"> 2022; </w:t>
      </w:r>
      <w:r w:rsidRPr="00D4328A">
        <w:rPr>
          <w:rFonts w:ascii="Book Antiqua" w:hAnsi="Book Antiqua"/>
          <w:b/>
          <w:bCs/>
        </w:rPr>
        <w:t>6</w:t>
      </w:r>
      <w:r w:rsidRPr="00D4328A">
        <w:rPr>
          <w:rFonts w:ascii="Book Antiqua" w:hAnsi="Book Antiqua"/>
        </w:rPr>
        <w:t>: 2000-2010 [PMID: 35438253 DOI: 10.1002/hep4.1957]</w:t>
      </w:r>
    </w:p>
    <w:p w14:paraId="263C4519"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50 </w:t>
      </w:r>
      <w:r w:rsidRPr="00D4328A">
        <w:rPr>
          <w:rFonts w:ascii="Book Antiqua" w:hAnsi="Book Antiqua"/>
          <w:b/>
          <w:bCs/>
        </w:rPr>
        <w:t>Moctezuma-Velázquez P</w:t>
      </w:r>
      <w:r w:rsidRPr="00D4328A">
        <w:rPr>
          <w:rFonts w:ascii="Book Antiqua" w:hAnsi="Book Antiqua"/>
        </w:rPr>
        <w:t xml:space="preserve">, Miranda-Zazueta G, Ortiz-Brizuela E, Garay-Mora JA, González-Lara MF, Tamez-Torres KM, Román-Montes CM, Díaz-Mejía BA, Pérez-García E, Villanueva-Reza M, Chapa-Ibargüengoitia M, Uscanga-Domínguez L, Sifuentes-Osornio J, Ponce-de-León A, Kershenobich-Stalnikowitz D, Mota-Ayala B, Moctezuma-Velázquez C. NAFLD determined by Dallas Steatosis Index is associated with poor outcomes in COVID-19 pneumonia: a cohort study. </w:t>
      </w:r>
      <w:r w:rsidRPr="00D4328A">
        <w:rPr>
          <w:rFonts w:ascii="Book Antiqua" w:hAnsi="Book Antiqua"/>
          <w:i/>
          <w:iCs/>
        </w:rPr>
        <w:t>Intern Emerg Med</w:t>
      </w:r>
      <w:r w:rsidRPr="00D4328A">
        <w:rPr>
          <w:rFonts w:ascii="Book Antiqua" w:hAnsi="Book Antiqua"/>
        </w:rPr>
        <w:t xml:space="preserve"> 2022; </w:t>
      </w:r>
      <w:r w:rsidRPr="00D4328A">
        <w:rPr>
          <w:rFonts w:ascii="Book Antiqua" w:hAnsi="Book Antiqua"/>
          <w:b/>
          <w:bCs/>
        </w:rPr>
        <w:t>17</w:t>
      </w:r>
      <w:r w:rsidRPr="00D4328A">
        <w:rPr>
          <w:rFonts w:ascii="Book Antiqua" w:hAnsi="Book Antiqua"/>
        </w:rPr>
        <w:t>: 1355-1362 [PMID: 35138548 DOI: 10.1007/s11739-022-02933-x]</w:t>
      </w:r>
    </w:p>
    <w:p w14:paraId="71339D1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51 </w:t>
      </w:r>
      <w:r w:rsidRPr="00D4328A">
        <w:rPr>
          <w:rFonts w:ascii="Book Antiqua" w:hAnsi="Book Antiqua"/>
          <w:b/>
          <w:bCs/>
        </w:rPr>
        <w:t>Vrsaljko N</w:t>
      </w:r>
      <w:r w:rsidRPr="00D4328A">
        <w:rPr>
          <w:rFonts w:ascii="Book Antiqua" w:hAnsi="Book Antiqua"/>
        </w:rPr>
        <w:t xml:space="preserve">, Samadan L, Viskovic K, Mehmedović A, Budimir J, Vince A, Papic N. Association of Nonalcoholic Fatty Liver Disease With COVID-19 Severity and Pulmonary Thrombosis: CovidFAT, a Prospective, Observational Cohort Study. </w:t>
      </w:r>
      <w:r w:rsidRPr="00D4328A">
        <w:rPr>
          <w:rFonts w:ascii="Book Antiqua" w:hAnsi="Book Antiqua"/>
          <w:i/>
          <w:iCs/>
        </w:rPr>
        <w:t>Open Forum Infect Dis</w:t>
      </w:r>
      <w:r w:rsidRPr="00D4328A">
        <w:rPr>
          <w:rFonts w:ascii="Book Antiqua" w:hAnsi="Book Antiqua"/>
        </w:rPr>
        <w:t xml:space="preserve"> 2022; </w:t>
      </w:r>
      <w:r w:rsidRPr="00D4328A">
        <w:rPr>
          <w:rFonts w:ascii="Book Antiqua" w:hAnsi="Book Antiqua"/>
          <w:b/>
          <w:bCs/>
        </w:rPr>
        <w:t>9</w:t>
      </w:r>
      <w:r w:rsidRPr="00D4328A">
        <w:rPr>
          <w:rFonts w:ascii="Book Antiqua" w:hAnsi="Book Antiqua"/>
        </w:rPr>
        <w:t>: ofac073 [PMID: 35287335 DOI: 10.1093/ofid/ofac073]</w:t>
      </w:r>
    </w:p>
    <w:p w14:paraId="641F0A85"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52 </w:t>
      </w:r>
      <w:r w:rsidRPr="00D4328A">
        <w:rPr>
          <w:rFonts w:ascii="Book Antiqua" w:hAnsi="Book Antiqua"/>
          <w:b/>
          <w:bCs/>
        </w:rPr>
        <w:t>Wang G</w:t>
      </w:r>
      <w:r w:rsidRPr="00D4328A">
        <w:rPr>
          <w:rFonts w:ascii="Book Antiqua" w:hAnsi="Book Antiqua"/>
        </w:rPr>
        <w:t xml:space="preserve">, Wu S, Wu C, Zhang Q, Wu F, Yu B, Zhang S, Wu C, Wu G, Zhong Y. Association between non-alcoholic fatty liver disease with the susceptibility and outcome of COVID-19: A retrospective study. </w:t>
      </w:r>
      <w:r w:rsidRPr="00D4328A">
        <w:rPr>
          <w:rFonts w:ascii="Book Antiqua" w:hAnsi="Book Antiqua"/>
          <w:i/>
          <w:iCs/>
        </w:rPr>
        <w:t>J Cell Mol Med</w:t>
      </w:r>
      <w:r w:rsidRPr="00D4328A">
        <w:rPr>
          <w:rFonts w:ascii="Book Antiqua" w:hAnsi="Book Antiqua"/>
        </w:rPr>
        <w:t xml:space="preserve"> 2021; </w:t>
      </w:r>
      <w:r w:rsidRPr="00D4328A">
        <w:rPr>
          <w:rFonts w:ascii="Book Antiqua" w:hAnsi="Book Antiqua"/>
          <w:b/>
          <w:bCs/>
        </w:rPr>
        <w:t>25</w:t>
      </w:r>
      <w:r w:rsidRPr="00D4328A">
        <w:rPr>
          <w:rFonts w:ascii="Book Antiqua" w:hAnsi="Book Antiqua"/>
        </w:rPr>
        <w:t>: 11212-11220 [PMID: 34761514 DOI: 10.1111/jcmm.17042]</w:t>
      </w:r>
    </w:p>
    <w:p w14:paraId="15E377F2"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53 </w:t>
      </w:r>
      <w:r w:rsidRPr="00D4328A">
        <w:rPr>
          <w:rFonts w:ascii="Book Antiqua" w:hAnsi="Book Antiqua"/>
          <w:b/>
          <w:bCs/>
        </w:rPr>
        <w:t>Yao R</w:t>
      </w:r>
      <w:r w:rsidRPr="00D4328A">
        <w:rPr>
          <w:rFonts w:ascii="Book Antiqua" w:hAnsi="Book Antiqua"/>
        </w:rPr>
        <w:t xml:space="preserve">, Zhu L, Wang J, Liu J, Xue R, Xue L, Liu L, Li C, Zhao H, Cheng J, Huang S, Li Y, Zhao XA, Zhu C, Li M, Huang R, Wu C. Risk of severe illness of COVID-19 patients with NAFLD and increased NAFLD fibrosis scores. </w:t>
      </w:r>
      <w:r w:rsidRPr="00D4328A">
        <w:rPr>
          <w:rFonts w:ascii="Book Antiqua" w:hAnsi="Book Antiqua"/>
          <w:i/>
          <w:iCs/>
        </w:rPr>
        <w:t>J Clin Lab Anal</w:t>
      </w:r>
      <w:r w:rsidRPr="00D4328A">
        <w:rPr>
          <w:rFonts w:ascii="Book Antiqua" w:hAnsi="Book Antiqua"/>
        </w:rPr>
        <w:t xml:space="preserve"> 2021; </w:t>
      </w:r>
      <w:r w:rsidRPr="00D4328A">
        <w:rPr>
          <w:rFonts w:ascii="Book Antiqua" w:hAnsi="Book Antiqua"/>
          <w:b/>
          <w:bCs/>
        </w:rPr>
        <w:t>35</w:t>
      </w:r>
      <w:r w:rsidRPr="00D4328A">
        <w:rPr>
          <w:rFonts w:ascii="Book Antiqua" w:hAnsi="Book Antiqua"/>
        </w:rPr>
        <w:t>: e23880 [PMID: 34213039 DOI: 10.1002/jcla.23880]</w:t>
      </w:r>
    </w:p>
    <w:p w14:paraId="527D3A68"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54 </w:t>
      </w:r>
      <w:r w:rsidRPr="00D4328A">
        <w:rPr>
          <w:rFonts w:ascii="Book Antiqua" w:hAnsi="Book Antiqua"/>
          <w:b/>
          <w:bCs/>
        </w:rPr>
        <w:t>Yoo HW</w:t>
      </w:r>
      <w:r w:rsidRPr="00D4328A">
        <w:rPr>
          <w:rFonts w:ascii="Book Antiqua" w:hAnsi="Book Antiqua"/>
        </w:rPr>
        <w:t xml:space="preserve">, Jin HY, Yon DK, Effenberger M, Shin YH, Kim SY, Yang JM, Kim MS, Koyanagi A, Jacob L, Smith L, Yoo IK, Shin JI, Lee SW. Non-alcoholic Fatty Liver Disease and COVID-19 Susceptibility and Outcomes: a Korean Nationwide Cohort. </w:t>
      </w:r>
      <w:r w:rsidRPr="00D4328A">
        <w:rPr>
          <w:rFonts w:ascii="Book Antiqua" w:hAnsi="Book Antiqua"/>
          <w:i/>
          <w:iCs/>
        </w:rPr>
        <w:t>J Korean Med Sci</w:t>
      </w:r>
      <w:r w:rsidRPr="00D4328A">
        <w:rPr>
          <w:rFonts w:ascii="Book Antiqua" w:hAnsi="Book Antiqua"/>
        </w:rPr>
        <w:t xml:space="preserve"> 2021; </w:t>
      </w:r>
      <w:r w:rsidRPr="00D4328A">
        <w:rPr>
          <w:rFonts w:ascii="Book Antiqua" w:hAnsi="Book Antiqua"/>
          <w:b/>
          <w:bCs/>
        </w:rPr>
        <w:t>36</w:t>
      </w:r>
      <w:r w:rsidRPr="00D4328A">
        <w:rPr>
          <w:rFonts w:ascii="Book Antiqua" w:hAnsi="Book Antiqua"/>
        </w:rPr>
        <w:t>: e291 [PMID: 34697932 DOI: 10.3346/jkms.2021.36.e291]</w:t>
      </w:r>
    </w:p>
    <w:p w14:paraId="29368A2A"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55 </w:t>
      </w:r>
      <w:r w:rsidRPr="00D4328A">
        <w:rPr>
          <w:rFonts w:ascii="Book Antiqua" w:hAnsi="Book Antiqua"/>
          <w:b/>
          <w:bCs/>
        </w:rPr>
        <w:t>Younossi ZM</w:t>
      </w:r>
      <w:r w:rsidRPr="00D4328A">
        <w:rPr>
          <w:rFonts w:ascii="Book Antiqua" w:hAnsi="Book Antiqua"/>
        </w:rPr>
        <w:t xml:space="preserve">, Stepanova M, Lam B, Cable R, Felix S, Jeffers T, Younossi E, Pham H, Srishord M, Austin P, Estep M, Terra K, Escheik C, de Avila L, Golabi P, Kolacevski A, Racila A, Henry L, Gerber L. Independent Predictors of Mortality Among Patients With NAFLD Hospitalized With COVID-19 Infection. </w:t>
      </w:r>
      <w:r w:rsidRPr="00D4328A">
        <w:rPr>
          <w:rFonts w:ascii="Book Antiqua" w:hAnsi="Book Antiqua"/>
          <w:i/>
          <w:iCs/>
        </w:rPr>
        <w:t>Hepatol Commun</w:t>
      </w:r>
      <w:r w:rsidRPr="00D4328A">
        <w:rPr>
          <w:rFonts w:ascii="Book Antiqua" w:hAnsi="Book Antiqua"/>
        </w:rPr>
        <w:t xml:space="preserve"> 2022; </w:t>
      </w:r>
      <w:r w:rsidRPr="00D4328A">
        <w:rPr>
          <w:rFonts w:ascii="Book Antiqua" w:hAnsi="Book Antiqua"/>
          <w:b/>
          <w:bCs/>
        </w:rPr>
        <w:t>6</w:t>
      </w:r>
      <w:r w:rsidRPr="00D4328A">
        <w:rPr>
          <w:rFonts w:ascii="Book Antiqua" w:hAnsi="Book Antiqua"/>
        </w:rPr>
        <w:t>: 3062-3072 [PMID: 34558853 DOI: 10.1002/hep4.1802]</w:t>
      </w:r>
    </w:p>
    <w:p w14:paraId="2C5F33B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56 </w:t>
      </w:r>
      <w:r w:rsidRPr="00D4328A">
        <w:rPr>
          <w:rFonts w:ascii="Book Antiqua" w:hAnsi="Book Antiqua"/>
          <w:b/>
          <w:bCs/>
        </w:rPr>
        <w:t>Zhou YJ</w:t>
      </w:r>
      <w:r w:rsidRPr="00D4328A">
        <w:rPr>
          <w:rFonts w:ascii="Book Antiqua" w:hAnsi="Book Antiqua"/>
        </w:rPr>
        <w:t xml:space="preserve">, Zheng KI, Wang XB, Sun QF, Pan KH, Wang TY, Ma HL, Chen YP, George J, Zheng MH. Metabolic-associated fatty liver disease is associated with severity of COVID-19. </w:t>
      </w:r>
      <w:r w:rsidRPr="00D4328A">
        <w:rPr>
          <w:rFonts w:ascii="Book Antiqua" w:hAnsi="Book Antiqua"/>
          <w:i/>
          <w:iCs/>
        </w:rPr>
        <w:t>Liver Int</w:t>
      </w:r>
      <w:r w:rsidRPr="00D4328A">
        <w:rPr>
          <w:rFonts w:ascii="Book Antiqua" w:hAnsi="Book Antiqua"/>
        </w:rPr>
        <w:t xml:space="preserve"> 2020; </w:t>
      </w:r>
      <w:r w:rsidRPr="00D4328A">
        <w:rPr>
          <w:rFonts w:ascii="Book Antiqua" w:hAnsi="Book Antiqua"/>
          <w:b/>
          <w:bCs/>
        </w:rPr>
        <w:t>40</w:t>
      </w:r>
      <w:r w:rsidRPr="00D4328A">
        <w:rPr>
          <w:rFonts w:ascii="Book Antiqua" w:hAnsi="Book Antiqua"/>
        </w:rPr>
        <w:t>: 2160-2163 [PMID: 32573883 DOI: 10.1111/liv.14575]</w:t>
      </w:r>
    </w:p>
    <w:p w14:paraId="5B4EDD3F"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57 </w:t>
      </w:r>
      <w:r w:rsidRPr="00D4328A">
        <w:rPr>
          <w:rFonts w:ascii="Book Antiqua" w:hAnsi="Book Antiqua"/>
          <w:b/>
          <w:bCs/>
        </w:rPr>
        <w:t>Singh A</w:t>
      </w:r>
      <w:r w:rsidRPr="00D4328A">
        <w:rPr>
          <w:rFonts w:ascii="Book Antiqua" w:hAnsi="Book Antiqua"/>
        </w:rPr>
        <w:t xml:space="preserve">, Hussain S, Antony B. Non-alcoholic fatty liver disease and clinical outcomes in patients with COVID-19: A comprehensive systematic review and meta-analysis. </w:t>
      </w:r>
      <w:r w:rsidRPr="00D4328A">
        <w:rPr>
          <w:rFonts w:ascii="Book Antiqua" w:hAnsi="Book Antiqua"/>
          <w:i/>
          <w:iCs/>
        </w:rPr>
        <w:t>Diabetes Metab Syndr</w:t>
      </w:r>
      <w:r w:rsidRPr="00D4328A">
        <w:rPr>
          <w:rFonts w:ascii="Book Antiqua" w:hAnsi="Book Antiqua"/>
        </w:rPr>
        <w:t xml:space="preserve"> 2021; </w:t>
      </w:r>
      <w:r w:rsidRPr="00D4328A">
        <w:rPr>
          <w:rFonts w:ascii="Book Antiqua" w:hAnsi="Book Antiqua"/>
          <w:b/>
          <w:bCs/>
        </w:rPr>
        <w:t>15</w:t>
      </w:r>
      <w:r w:rsidRPr="00D4328A">
        <w:rPr>
          <w:rFonts w:ascii="Book Antiqua" w:hAnsi="Book Antiqua"/>
        </w:rPr>
        <w:t>: 813-822 [PMID: 33862417 DOI: 10.1016/j.dsx.2021.03.019]</w:t>
      </w:r>
    </w:p>
    <w:p w14:paraId="7B8AB2D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58 </w:t>
      </w:r>
      <w:r w:rsidRPr="00D4328A">
        <w:rPr>
          <w:rFonts w:ascii="Book Antiqua" w:hAnsi="Book Antiqua"/>
          <w:b/>
          <w:bCs/>
        </w:rPr>
        <w:t>Hayat U</w:t>
      </w:r>
      <w:r w:rsidRPr="00D4328A">
        <w:rPr>
          <w:rFonts w:ascii="Book Antiqua" w:hAnsi="Book Antiqua"/>
        </w:rPr>
        <w:t xml:space="preserve">, Ashfaq MZ, Johnson L, Ford R, Wuthnow C, Kadado K, El Jurdi K, Okut H, Kilgore WR, Assi M, Siddiqui AA. The Association of Metabolic-Associated Fatty Liver Disease with Clinical Outcomes of COVID-19: A Systematic Review and Meta-Analysis. </w:t>
      </w:r>
      <w:r w:rsidRPr="00D4328A">
        <w:rPr>
          <w:rFonts w:ascii="Book Antiqua" w:hAnsi="Book Antiqua"/>
          <w:i/>
          <w:iCs/>
        </w:rPr>
        <w:t>Kans J Med</w:t>
      </w:r>
      <w:r w:rsidRPr="00D4328A">
        <w:rPr>
          <w:rFonts w:ascii="Book Antiqua" w:hAnsi="Book Antiqua"/>
        </w:rPr>
        <w:t xml:space="preserve"> 2022; </w:t>
      </w:r>
      <w:r w:rsidRPr="00D4328A">
        <w:rPr>
          <w:rFonts w:ascii="Book Antiqua" w:hAnsi="Book Antiqua"/>
          <w:b/>
          <w:bCs/>
        </w:rPr>
        <w:t>15</w:t>
      </w:r>
      <w:r w:rsidRPr="00D4328A">
        <w:rPr>
          <w:rFonts w:ascii="Book Antiqua" w:hAnsi="Book Antiqua"/>
        </w:rPr>
        <w:t>: 241-246 [PMID: 35899064 DOI: 10.17161/kjm.vol15.16522]</w:t>
      </w:r>
    </w:p>
    <w:p w14:paraId="12FB0293"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59 </w:t>
      </w:r>
      <w:r w:rsidRPr="00D4328A">
        <w:rPr>
          <w:rFonts w:ascii="Book Antiqua" w:hAnsi="Book Antiqua"/>
          <w:b/>
          <w:bCs/>
        </w:rPr>
        <w:t>Ziaee A</w:t>
      </w:r>
      <w:r w:rsidRPr="00D4328A">
        <w:rPr>
          <w:rFonts w:ascii="Book Antiqua" w:hAnsi="Book Antiqua"/>
        </w:rPr>
        <w:t xml:space="preserve">, Azarkar G, Ziaee M. Role of fatty liver in coronavirus disease 2019 patients' disease severity and hospitalization length: a case-control study. </w:t>
      </w:r>
      <w:r w:rsidRPr="00D4328A">
        <w:rPr>
          <w:rFonts w:ascii="Book Antiqua" w:hAnsi="Book Antiqua"/>
          <w:i/>
          <w:iCs/>
        </w:rPr>
        <w:t>Eur J Med Res</w:t>
      </w:r>
      <w:r w:rsidRPr="00D4328A">
        <w:rPr>
          <w:rFonts w:ascii="Book Antiqua" w:hAnsi="Book Antiqua"/>
        </w:rPr>
        <w:t xml:space="preserve"> 2021; </w:t>
      </w:r>
      <w:r w:rsidRPr="00D4328A">
        <w:rPr>
          <w:rFonts w:ascii="Book Antiqua" w:hAnsi="Book Antiqua"/>
          <w:b/>
          <w:bCs/>
        </w:rPr>
        <w:t>26</w:t>
      </w:r>
      <w:r w:rsidRPr="00D4328A">
        <w:rPr>
          <w:rFonts w:ascii="Book Antiqua" w:hAnsi="Book Antiqua"/>
        </w:rPr>
        <w:t>: 115 [PMID: 34565475 DOI: 10.1186/s40001-021-00590-y]</w:t>
      </w:r>
    </w:p>
    <w:p w14:paraId="429E849D"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60 </w:t>
      </w:r>
      <w:r w:rsidRPr="00D4328A">
        <w:rPr>
          <w:rFonts w:ascii="Book Antiqua" w:hAnsi="Book Antiqua"/>
          <w:b/>
          <w:bCs/>
        </w:rPr>
        <w:t>Nath P</w:t>
      </w:r>
      <w:r w:rsidRPr="00D4328A">
        <w:rPr>
          <w:rFonts w:ascii="Book Antiqua" w:hAnsi="Book Antiqua"/>
        </w:rPr>
        <w:t xml:space="preserve">, Kumar R, Mallick B, Das S, Anand A, Panigrahi SC, Duseja A, Acharya SK, Chawla YK, Praharaj DL. Effect of Nonalcoholic Fatty Liver Disease (NAFLD) on COVID-19: A Single-Center Study of 3983 Patients With Review of Literature. </w:t>
      </w:r>
      <w:r w:rsidRPr="00D4328A">
        <w:rPr>
          <w:rFonts w:ascii="Book Antiqua" w:hAnsi="Book Antiqua"/>
          <w:i/>
          <w:iCs/>
        </w:rPr>
        <w:t>Cureus</w:t>
      </w:r>
      <w:r w:rsidRPr="00D4328A">
        <w:rPr>
          <w:rFonts w:ascii="Book Antiqua" w:hAnsi="Book Antiqua"/>
        </w:rPr>
        <w:t xml:space="preserve"> 2022; </w:t>
      </w:r>
      <w:r w:rsidRPr="00D4328A">
        <w:rPr>
          <w:rFonts w:ascii="Book Antiqua" w:hAnsi="Book Antiqua"/>
          <w:b/>
          <w:bCs/>
        </w:rPr>
        <w:t>14</w:t>
      </w:r>
      <w:r w:rsidRPr="00D4328A">
        <w:rPr>
          <w:rFonts w:ascii="Book Antiqua" w:hAnsi="Book Antiqua"/>
        </w:rPr>
        <w:t>: e26683 [PMID: 35949776 DOI: 10.7759/cureus.26683]</w:t>
      </w:r>
    </w:p>
    <w:p w14:paraId="56525240"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61 </w:t>
      </w:r>
      <w:r w:rsidRPr="00D4328A">
        <w:rPr>
          <w:rFonts w:ascii="Book Antiqua" w:hAnsi="Book Antiqua"/>
          <w:b/>
          <w:bCs/>
        </w:rPr>
        <w:t>Estes C</w:t>
      </w:r>
      <w:r w:rsidRPr="00D4328A">
        <w:rPr>
          <w:rFonts w:ascii="Book Antiqua" w:hAnsi="Book Antiqua"/>
        </w:rPr>
        <w:t xml:space="preserve">, Razavi H, Loomba R, Younossi Z, Sanyal AJ. Modeling the epidemic of nonalcoholic fatty liver disease demonstrates an exponential increase in burden of disease. </w:t>
      </w:r>
      <w:r w:rsidRPr="00D4328A">
        <w:rPr>
          <w:rFonts w:ascii="Book Antiqua" w:hAnsi="Book Antiqua"/>
          <w:i/>
          <w:iCs/>
        </w:rPr>
        <w:t>Hepatology</w:t>
      </w:r>
      <w:r w:rsidRPr="00D4328A">
        <w:rPr>
          <w:rFonts w:ascii="Book Antiqua" w:hAnsi="Book Antiqua"/>
        </w:rPr>
        <w:t xml:space="preserve"> 2018; </w:t>
      </w:r>
      <w:r w:rsidRPr="00D4328A">
        <w:rPr>
          <w:rFonts w:ascii="Book Antiqua" w:hAnsi="Book Antiqua"/>
          <w:b/>
          <w:bCs/>
        </w:rPr>
        <w:t>67</w:t>
      </w:r>
      <w:r w:rsidRPr="00D4328A">
        <w:rPr>
          <w:rFonts w:ascii="Book Antiqua" w:hAnsi="Book Antiqua"/>
        </w:rPr>
        <w:t>: 123-133 [PMID: 28802062 DOI: 10.1002/hep.29466]</w:t>
      </w:r>
    </w:p>
    <w:p w14:paraId="2F2A4B93"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62 </w:t>
      </w:r>
      <w:r w:rsidRPr="00D4328A">
        <w:rPr>
          <w:rFonts w:ascii="Book Antiqua" w:hAnsi="Book Antiqua"/>
          <w:b/>
          <w:bCs/>
        </w:rPr>
        <w:t>Mitra S</w:t>
      </w:r>
      <w:r w:rsidRPr="00D4328A">
        <w:rPr>
          <w:rFonts w:ascii="Book Antiqua" w:hAnsi="Book Antiqua"/>
        </w:rPr>
        <w:t xml:space="preserve">, De A, Chowdhury A. Epidemiology of non-alcoholic and alcoholic fatty liver diseases. </w:t>
      </w:r>
      <w:r w:rsidRPr="00D4328A">
        <w:rPr>
          <w:rFonts w:ascii="Book Antiqua" w:hAnsi="Book Antiqua"/>
          <w:i/>
          <w:iCs/>
        </w:rPr>
        <w:t>Transl Gastroenterol Hepatol</w:t>
      </w:r>
      <w:r w:rsidRPr="00D4328A">
        <w:rPr>
          <w:rFonts w:ascii="Book Antiqua" w:hAnsi="Book Antiqua"/>
        </w:rPr>
        <w:t xml:space="preserve"> 2020; </w:t>
      </w:r>
      <w:r w:rsidRPr="00D4328A">
        <w:rPr>
          <w:rFonts w:ascii="Book Antiqua" w:hAnsi="Book Antiqua"/>
          <w:b/>
          <w:bCs/>
        </w:rPr>
        <w:t>5</w:t>
      </w:r>
      <w:r w:rsidRPr="00D4328A">
        <w:rPr>
          <w:rFonts w:ascii="Book Antiqua" w:hAnsi="Book Antiqua"/>
        </w:rPr>
        <w:t>: 16 [PMID: 32258520 DOI: 10.21037/tgh.2019.09.08]</w:t>
      </w:r>
    </w:p>
    <w:p w14:paraId="04A21694"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63 </w:t>
      </w:r>
      <w:r w:rsidRPr="00D4328A">
        <w:rPr>
          <w:rFonts w:ascii="Book Antiqua" w:hAnsi="Book Antiqua"/>
          <w:b/>
          <w:bCs/>
        </w:rPr>
        <w:t>Roca-Fernández A</w:t>
      </w:r>
      <w:r w:rsidRPr="00D4328A">
        <w:rPr>
          <w:rFonts w:ascii="Book Antiqua" w:hAnsi="Book Antiqua"/>
        </w:rPr>
        <w:t>, Dennis A, Nicolls R, McGonigle J, Kelly M, Banerjee R. High Liver Fat Associates with Higher Risk of Developing Symptomatic COVID-19 Infection - Initial UK Biobank Observations. 2020 Preprint. Available from: medRxiv:2020.06.04.20122457 [DOI: 10.1101/2020.06.04.20122457]</w:t>
      </w:r>
    </w:p>
    <w:p w14:paraId="5948ECE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64 </w:t>
      </w:r>
      <w:r w:rsidRPr="00D4328A">
        <w:rPr>
          <w:rFonts w:ascii="Book Antiqua" w:hAnsi="Book Antiqua"/>
          <w:b/>
          <w:bCs/>
        </w:rPr>
        <w:t>Singh R</w:t>
      </w:r>
      <w:r w:rsidRPr="00D4328A">
        <w:rPr>
          <w:rFonts w:ascii="Book Antiqua" w:hAnsi="Book Antiqua"/>
        </w:rPr>
        <w:t xml:space="preserve">, Rathore SS, Khan H, Karale S, Chawla Y, Iqbal K, Bhurwal A, Tekin A, Jain N, Mehra I, Anand S, Reddy S, Sharma N, Sidhu GS, Panagopoulos A, Pattan V, Kashyap R, Bansal V. Association of Obesity With COVID-19 Severity and Mortality: An Updated Systemic Review, Meta-Analysis, and Meta-Regression. </w:t>
      </w:r>
      <w:r w:rsidRPr="00D4328A">
        <w:rPr>
          <w:rFonts w:ascii="Book Antiqua" w:hAnsi="Book Antiqua"/>
          <w:i/>
          <w:iCs/>
        </w:rPr>
        <w:t>Front Endocrinol (Lausanne)</w:t>
      </w:r>
      <w:r w:rsidRPr="00D4328A">
        <w:rPr>
          <w:rFonts w:ascii="Book Antiqua" w:hAnsi="Book Antiqua"/>
        </w:rPr>
        <w:t xml:space="preserve"> 2022; </w:t>
      </w:r>
      <w:r w:rsidRPr="00D4328A">
        <w:rPr>
          <w:rFonts w:ascii="Book Antiqua" w:hAnsi="Book Antiqua"/>
          <w:b/>
          <w:bCs/>
        </w:rPr>
        <w:t>13</w:t>
      </w:r>
      <w:r w:rsidRPr="00D4328A">
        <w:rPr>
          <w:rFonts w:ascii="Book Antiqua" w:hAnsi="Book Antiqua"/>
        </w:rPr>
        <w:t>: 780872 [PMID: 35721716 DOI: 10.3389/fendo.2022.780872]</w:t>
      </w:r>
    </w:p>
    <w:p w14:paraId="5DB447A8"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65 </w:t>
      </w:r>
      <w:r w:rsidRPr="00D4328A">
        <w:rPr>
          <w:rFonts w:ascii="Book Antiqua" w:hAnsi="Book Antiqua"/>
          <w:b/>
          <w:bCs/>
        </w:rPr>
        <w:t>Bae S</w:t>
      </w:r>
      <w:r w:rsidRPr="00D4328A">
        <w:rPr>
          <w:rFonts w:ascii="Book Antiqua" w:hAnsi="Book Antiqua"/>
        </w:rPr>
        <w:t xml:space="preserve">, Kim SR, Kim MN, Shim WJ, Park SM. Impact of cardiovascular disease and risk factors on fatal outcomes in patients with COVID-19 according to age: a systematic review and meta-analysis. </w:t>
      </w:r>
      <w:r w:rsidRPr="00D4328A">
        <w:rPr>
          <w:rFonts w:ascii="Book Antiqua" w:hAnsi="Book Antiqua"/>
          <w:i/>
          <w:iCs/>
        </w:rPr>
        <w:t>Heart</w:t>
      </w:r>
      <w:r w:rsidRPr="00D4328A">
        <w:rPr>
          <w:rFonts w:ascii="Book Antiqua" w:hAnsi="Book Antiqua"/>
        </w:rPr>
        <w:t xml:space="preserve"> 2021; </w:t>
      </w:r>
      <w:r w:rsidRPr="00D4328A">
        <w:rPr>
          <w:rFonts w:ascii="Book Antiqua" w:hAnsi="Book Antiqua"/>
          <w:b/>
          <w:bCs/>
        </w:rPr>
        <w:t>107</w:t>
      </w:r>
      <w:r w:rsidRPr="00D4328A">
        <w:rPr>
          <w:rFonts w:ascii="Book Antiqua" w:hAnsi="Book Antiqua"/>
        </w:rPr>
        <w:t>: 373-380 [PMID: 33334865 DOI: 10.1136/heartjnl-2020-317901]</w:t>
      </w:r>
    </w:p>
    <w:p w14:paraId="682DE2A7"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66 </w:t>
      </w:r>
      <w:r w:rsidRPr="00D4328A">
        <w:rPr>
          <w:rFonts w:ascii="Book Antiqua" w:hAnsi="Book Antiqua"/>
          <w:b/>
          <w:bCs/>
        </w:rPr>
        <w:t>He ZF</w:t>
      </w:r>
      <w:r w:rsidRPr="00D4328A">
        <w:rPr>
          <w:rFonts w:ascii="Book Antiqua" w:hAnsi="Book Antiqua"/>
        </w:rPr>
        <w:t xml:space="preserve">, Zhong NS, Guan WJ. Impact of Chronic Respiratory Diseases on the Outcomes of COVID-19. </w:t>
      </w:r>
      <w:r w:rsidRPr="00D4328A">
        <w:rPr>
          <w:rFonts w:ascii="Book Antiqua" w:hAnsi="Book Antiqua"/>
          <w:i/>
          <w:iCs/>
        </w:rPr>
        <w:t>Arch Bronconeumol</w:t>
      </w:r>
      <w:r w:rsidRPr="00D4328A">
        <w:rPr>
          <w:rFonts w:ascii="Book Antiqua" w:hAnsi="Book Antiqua"/>
        </w:rPr>
        <w:t xml:space="preserve"> 2022; </w:t>
      </w:r>
      <w:r w:rsidRPr="00D4328A">
        <w:rPr>
          <w:rFonts w:ascii="Book Antiqua" w:hAnsi="Book Antiqua"/>
          <w:b/>
          <w:bCs/>
        </w:rPr>
        <w:t>58</w:t>
      </w:r>
      <w:r w:rsidRPr="00D4328A">
        <w:rPr>
          <w:rFonts w:ascii="Book Antiqua" w:hAnsi="Book Antiqua"/>
        </w:rPr>
        <w:t>: 5-7 [PMID: 34075267 DOI: 10.1016/j.arbres.2021.05.009]</w:t>
      </w:r>
    </w:p>
    <w:p w14:paraId="435D0CB7"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67 </w:t>
      </w:r>
      <w:r w:rsidRPr="00D4328A">
        <w:rPr>
          <w:rFonts w:ascii="Book Antiqua" w:hAnsi="Book Antiqua"/>
          <w:b/>
          <w:bCs/>
        </w:rPr>
        <w:t>Apicella M</w:t>
      </w:r>
      <w:r w:rsidRPr="00D4328A">
        <w:rPr>
          <w:rFonts w:ascii="Book Antiqua" w:hAnsi="Book Antiqua"/>
        </w:rPr>
        <w:t xml:space="preserve">, Campopiano MC, Mantuano M, Mazoni L, Coppelli A, Del Prato S. COVID-19 in people with diabetes: understanding the reasons for worse outcomes. </w:t>
      </w:r>
      <w:r w:rsidRPr="00D4328A">
        <w:rPr>
          <w:rFonts w:ascii="Book Antiqua" w:hAnsi="Book Antiqua"/>
          <w:i/>
          <w:iCs/>
        </w:rPr>
        <w:t>Lancet Diabetes Endocrinol</w:t>
      </w:r>
      <w:r w:rsidRPr="00D4328A">
        <w:rPr>
          <w:rFonts w:ascii="Book Antiqua" w:hAnsi="Book Antiqua"/>
        </w:rPr>
        <w:t xml:space="preserve"> 2020; </w:t>
      </w:r>
      <w:r w:rsidRPr="00D4328A">
        <w:rPr>
          <w:rFonts w:ascii="Book Antiqua" w:hAnsi="Book Antiqua"/>
          <w:b/>
          <w:bCs/>
        </w:rPr>
        <w:t>8</w:t>
      </w:r>
      <w:r w:rsidRPr="00D4328A">
        <w:rPr>
          <w:rFonts w:ascii="Book Antiqua" w:hAnsi="Book Antiqua"/>
        </w:rPr>
        <w:t>: 782-792 [PMID: 32687793 DOI: 10.1016/S2213-8587(20)30238-2]</w:t>
      </w:r>
    </w:p>
    <w:p w14:paraId="63BD9F78"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68 </w:t>
      </w:r>
      <w:r w:rsidRPr="00D4328A">
        <w:rPr>
          <w:rFonts w:ascii="Book Antiqua" w:hAnsi="Book Antiqua"/>
          <w:b/>
          <w:bCs/>
        </w:rPr>
        <w:t>Lighter J</w:t>
      </w:r>
      <w:r w:rsidRPr="00D4328A">
        <w:rPr>
          <w:rFonts w:ascii="Book Antiqua" w:hAnsi="Book Antiqua"/>
        </w:rPr>
        <w:t xml:space="preserve">, Phillips M, Hochman S, Sterling S, Johnson D, Francois F, Stachel A. Obesity in Patients Younger Than 60 Years Is a Risk Factor for COVID-19 Hospital Admission. </w:t>
      </w:r>
      <w:r w:rsidRPr="00D4328A">
        <w:rPr>
          <w:rFonts w:ascii="Book Antiqua" w:hAnsi="Book Antiqua"/>
          <w:i/>
          <w:iCs/>
        </w:rPr>
        <w:t>Clin Infect Dis</w:t>
      </w:r>
      <w:r w:rsidRPr="00D4328A">
        <w:rPr>
          <w:rFonts w:ascii="Book Antiqua" w:hAnsi="Book Antiqua"/>
        </w:rPr>
        <w:t xml:space="preserve"> 2020; </w:t>
      </w:r>
      <w:r w:rsidRPr="00D4328A">
        <w:rPr>
          <w:rFonts w:ascii="Book Antiqua" w:hAnsi="Book Antiqua"/>
          <w:b/>
          <w:bCs/>
        </w:rPr>
        <w:t>71</w:t>
      </w:r>
      <w:r w:rsidRPr="00D4328A">
        <w:rPr>
          <w:rFonts w:ascii="Book Antiqua" w:hAnsi="Book Antiqua"/>
        </w:rPr>
        <w:t>: 896-897 [PMID: 32271368 DOI: 10.1093/cid/ciaa415]</w:t>
      </w:r>
    </w:p>
    <w:p w14:paraId="7C9BBA5F"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69 </w:t>
      </w:r>
      <w:r w:rsidRPr="00D4328A">
        <w:rPr>
          <w:rFonts w:ascii="Book Antiqua" w:hAnsi="Book Antiqua"/>
          <w:b/>
          <w:bCs/>
        </w:rPr>
        <w:t>Zou X</w:t>
      </w:r>
      <w:r w:rsidRPr="00D4328A">
        <w:rPr>
          <w:rFonts w:ascii="Book Antiqua" w:hAnsi="Book Antiqua"/>
        </w:rPr>
        <w:t xml:space="preserve">, Chen K, Zou J, Han P, Hao J, Han Z. Single-cell RNA-seq data analysis on the receptor ACE2 expression reveals the potential risk of different human organs vulnerable to 2019-nCoV infection. </w:t>
      </w:r>
      <w:r w:rsidRPr="00D4328A">
        <w:rPr>
          <w:rFonts w:ascii="Book Antiqua" w:hAnsi="Book Antiqua"/>
          <w:i/>
          <w:iCs/>
        </w:rPr>
        <w:t>Front Med</w:t>
      </w:r>
      <w:r w:rsidRPr="00D4328A">
        <w:rPr>
          <w:rFonts w:ascii="Book Antiqua" w:hAnsi="Book Antiqua"/>
        </w:rPr>
        <w:t xml:space="preserve"> 2020; </w:t>
      </w:r>
      <w:r w:rsidRPr="00D4328A">
        <w:rPr>
          <w:rFonts w:ascii="Book Antiqua" w:hAnsi="Book Antiqua"/>
          <w:b/>
          <w:bCs/>
        </w:rPr>
        <w:t>14</w:t>
      </w:r>
      <w:r w:rsidRPr="00D4328A">
        <w:rPr>
          <w:rFonts w:ascii="Book Antiqua" w:hAnsi="Book Antiqua"/>
        </w:rPr>
        <w:t>: 185-192 [PMID: 32170560 DOI: 10.1007/s11684-020-0754-0]</w:t>
      </w:r>
    </w:p>
    <w:p w14:paraId="7D49D168"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70 </w:t>
      </w:r>
      <w:r w:rsidRPr="00D4328A">
        <w:rPr>
          <w:rFonts w:ascii="Book Antiqua" w:hAnsi="Book Antiqua"/>
          <w:b/>
          <w:bCs/>
        </w:rPr>
        <w:t>Xu Z</w:t>
      </w:r>
      <w:r w:rsidRPr="00D4328A">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D4328A">
        <w:rPr>
          <w:rFonts w:ascii="Book Antiqua" w:hAnsi="Book Antiqua"/>
          <w:i/>
          <w:iCs/>
        </w:rPr>
        <w:t>Lancet Respir Med</w:t>
      </w:r>
      <w:r w:rsidRPr="00D4328A">
        <w:rPr>
          <w:rFonts w:ascii="Book Antiqua" w:hAnsi="Book Antiqua"/>
        </w:rPr>
        <w:t xml:space="preserve"> 2020; </w:t>
      </w:r>
      <w:r w:rsidRPr="00D4328A">
        <w:rPr>
          <w:rFonts w:ascii="Book Antiqua" w:hAnsi="Book Antiqua"/>
          <w:b/>
          <w:bCs/>
        </w:rPr>
        <w:t>8</w:t>
      </w:r>
      <w:r w:rsidRPr="00D4328A">
        <w:rPr>
          <w:rFonts w:ascii="Book Antiqua" w:hAnsi="Book Antiqua"/>
        </w:rPr>
        <w:t>: 420-422 [PMID: 32085846 DOI: 10.1016/S2213-2600(20)30076-X]</w:t>
      </w:r>
    </w:p>
    <w:p w14:paraId="13F38F93"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71 </w:t>
      </w:r>
      <w:r w:rsidRPr="00D4328A">
        <w:rPr>
          <w:rFonts w:ascii="Book Antiqua" w:hAnsi="Book Antiqua"/>
          <w:b/>
          <w:bCs/>
        </w:rPr>
        <w:t>Polakos NK</w:t>
      </w:r>
      <w:r w:rsidRPr="00D4328A">
        <w:rPr>
          <w:rFonts w:ascii="Book Antiqua" w:hAnsi="Book Antiqua"/>
        </w:rPr>
        <w:t xml:space="preserve">, Cornejo JC, Murray DA, Wright KO, Treanor JJ, Crispe IN, Topham DJ, Pierce RH. Kupffer cell-dependent hepatitis occurs during influenza infection. </w:t>
      </w:r>
      <w:r w:rsidRPr="00D4328A">
        <w:rPr>
          <w:rFonts w:ascii="Book Antiqua" w:hAnsi="Book Antiqua"/>
          <w:i/>
          <w:iCs/>
        </w:rPr>
        <w:t>Am J Pathol</w:t>
      </w:r>
      <w:r w:rsidRPr="00D4328A">
        <w:rPr>
          <w:rFonts w:ascii="Book Antiqua" w:hAnsi="Book Antiqua"/>
        </w:rPr>
        <w:t xml:space="preserve"> 2006; </w:t>
      </w:r>
      <w:r w:rsidRPr="00D4328A">
        <w:rPr>
          <w:rFonts w:ascii="Book Antiqua" w:hAnsi="Book Antiqua"/>
          <w:b/>
          <w:bCs/>
        </w:rPr>
        <w:t>168</w:t>
      </w:r>
      <w:r w:rsidRPr="00D4328A">
        <w:rPr>
          <w:rFonts w:ascii="Book Antiqua" w:hAnsi="Book Antiqua"/>
        </w:rPr>
        <w:t>: 1169-78; quiz 1404-5 [PMID: 16565492 DOI: 10.2353/ajpath.2006.050875]</w:t>
      </w:r>
    </w:p>
    <w:p w14:paraId="01D7B992"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72 </w:t>
      </w:r>
      <w:r w:rsidRPr="00D4328A">
        <w:rPr>
          <w:rFonts w:ascii="Book Antiqua" w:hAnsi="Book Antiqua"/>
          <w:b/>
          <w:bCs/>
        </w:rPr>
        <w:t>Muscogiuri G</w:t>
      </w:r>
      <w:r w:rsidRPr="00D4328A">
        <w:rPr>
          <w:rFonts w:ascii="Book Antiqua" w:hAnsi="Book Antiqua"/>
        </w:rPr>
        <w:t xml:space="preserve">, Pugliese G, Barrea L, Savastano S, Colao A. Commentary: Obesity: The "Achilles heel" for COVID-19? </w:t>
      </w:r>
      <w:r w:rsidRPr="00D4328A">
        <w:rPr>
          <w:rFonts w:ascii="Book Antiqua" w:hAnsi="Book Antiqua"/>
          <w:i/>
          <w:iCs/>
        </w:rPr>
        <w:t>Metabolism</w:t>
      </w:r>
      <w:r w:rsidRPr="00D4328A">
        <w:rPr>
          <w:rFonts w:ascii="Book Antiqua" w:hAnsi="Book Antiqua"/>
        </w:rPr>
        <w:t xml:space="preserve"> 2020; </w:t>
      </w:r>
      <w:r w:rsidRPr="00D4328A">
        <w:rPr>
          <w:rFonts w:ascii="Book Antiqua" w:hAnsi="Book Antiqua"/>
          <w:b/>
          <w:bCs/>
        </w:rPr>
        <w:t>108</w:t>
      </w:r>
      <w:r w:rsidRPr="00D4328A">
        <w:rPr>
          <w:rFonts w:ascii="Book Antiqua" w:hAnsi="Book Antiqua"/>
        </w:rPr>
        <w:t>: 154251 [PMID: 32353356 DOI: 10.1016/j.metabol.2020.154251]</w:t>
      </w:r>
    </w:p>
    <w:p w14:paraId="4BF6CE3C"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73 </w:t>
      </w:r>
      <w:r w:rsidRPr="00D4328A">
        <w:rPr>
          <w:rFonts w:ascii="Book Antiqua" w:hAnsi="Book Antiqua"/>
          <w:b/>
          <w:bCs/>
        </w:rPr>
        <w:t>Chen Z</w:t>
      </w:r>
      <w:r w:rsidRPr="00D4328A">
        <w:rPr>
          <w:rFonts w:ascii="Book Antiqua" w:hAnsi="Book Antiqua"/>
        </w:rPr>
        <w:t xml:space="preserve">, Yu R, Xiong Y, Du F, Zhu S. A vicious circle between insulin resistance and inflammation in nonalcoholic fatty liver disease. </w:t>
      </w:r>
      <w:r w:rsidRPr="00D4328A">
        <w:rPr>
          <w:rFonts w:ascii="Book Antiqua" w:hAnsi="Book Antiqua"/>
          <w:i/>
          <w:iCs/>
        </w:rPr>
        <w:t>Lipids Health Dis</w:t>
      </w:r>
      <w:r w:rsidRPr="00D4328A">
        <w:rPr>
          <w:rFonts w:ascii="Book Antiqua" w:hAnsi="Book Antiqua"/>
        </w:rPr>
        <w:t xml:space="preserve"> 2017; </w:t>
      </w:r>
      <w:r w:rsidRPr="00D4328A">
        <w:rPr>
          <w:rFonts w:ascii="Book Antiqua" w:hAnsi="Book Antiqua"/>
          <w:b/>
          <w:bCs/>
        </w:rPr>
        <w:t>16</w:t>
      </w:r>
      <w:r w:rsidRPr="00D4328A">
        <w:rPr>
          <w:rFonts w:ascii="Book Antiqua" w:hAnsi="Book Antiqua"/>
        </w:rPr>
        <w:t>: 203 [PMID: 29037210 DOI: 10.1186/s12944-017-0572-9]</w:t>
      </w:r>
    </w:p>
    <w:p w14:paraId="5652B67B"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74 </w:t>
      </w:r>
      <w:r w:rsidRPr="00D4328A">
        <w:rPr>
          <w:rFonts w:ascii="Book Antiqua" w:hAnsi="Book Antiqua"/>
          <w:b/>
          <w:bCs/>
        </w:rPr>
        <w:t>de Luca C</w:t>
      </w:r>
      <w:r w:rsidRPr="00D4328A">
        <w:rPr>
          <w:rFonts w:ascii="Book Antiqua" w:hAnsi="Book Antiqua"/>
        </w:rPr>
        <w:t xml:space="preserve">, Olefsky JM. Inflammation and insulin resistance. </w:t>
      </w:r>
      <w:r w:rsidRPr="00D4328A">
        <w:rPr>
          <w:rFonts w:ascii="Book Antiqua" w:hAnsi="Book Antiqua"/>
          <w:i/>
          <w:iCs/>
        </w:rPr>
        <w:t>FEBS Lett</w:t>
      </w:r>
      <w:r w:rsidRPr="00D4328A">
        <w:rPr>
          <w:rFonts w:ascii="Book Antiqua" w:hAnsi="Book Antiqua"/>
        </w:rPr>
        <w:t xml:space="preserve"> 2008; </w:t>
      </w:r>
      <w:r w:rsidRPr="00D4328A">
        <w:rPr>
          <w:rFonts w:ascii="Book Antiqua" w:hAnsi="Book Antiqua"/>
          <w:b/>
          <w:bCs/>
        </w:rPr>
        <w:t>582</w:t>
      </w:r>
      <w:r w:rsidRPr="00D4328A">
        <w:rPr>
          <w:rFonts w:ascii="Book Antiqua" w:hAnsi="Book Antiqua"/>
        </w:rPr>
        <w:t>: 97-105 [PMID: 18053812 DOI: 10.1016/j.febslet.2007.11.057]</w:t>
      </w:r>
    </w:p>
    <w:p w14:paraId="3E2F5FA1"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75 </w:t>
      </w:r>
      <w:r w:rsidRPr="00D4328A">
        <w:rPr>
          <w:rFonts w:ascii="Book Antiqua" w:hAnsi="Book Antiqua"/>
          <w:b/>
          <w:bCs/>
        </w:rPr>
        <w:t>Bramante C</w:t>
      </w:r>
      <w:r w:rsidRPr="00D4328A">
        <w:rPr>
          <w:rFonts w:ascii="Book Antiqua" w:hAnsi="Book Antiqua"/>
        </w:rPr>
        <w:t>, Tignanelli CJ, Dutta N, Jones E, Tamariz L, Clark JM, Usher M, Metlon-Meaux G, Ikramuddin S. Non-alcoholic fatty liver disease (NAFLD) and risk of hospitalization for Covid-19. medRxiv 2020 [PMID: 32909011 DOI: 10.1101/2020.09.01.20185850]</w:t>
      </w:r>
    </w:p>
    <w:p w14:paraId="3A748040"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76 </w:t>
      </w:r>
      <w:r w:rsidRPr="00D4328A">
        <w:rPr>
          <w:rFonts w:ascii="Book Antiqua" w:hAnsi="Book Antiqua"/>
          <w:b/>
          <w:bCs/>
        </w:rPr>
        <w:t>Liu M</w:t>
      </w:r>
      <w:r w:rsidRPr="00D4328A">
        <w:rPr>
          <w:rFonts w:ascii="Book Antiqua" w:hAnsi="Book Antiqua"/>
        </w:rPr>
        <w:t xml:space="preserve">, Mei K, Tan Z, Huang S, Liu F, Deng C, Ma J, Yu P, Liu X. Liver Fibrosis Scores and Hospitalization, Mechanical Ventilation, Severity, and Death in Patients with COVID-19: A Systematic Review and Dose-Response Meta-Analysis. </w:t>
      </w:r>
      <w:r w:rsidRPr="00D4328A">
        <w:rPr>
          <w:rFonts w:ascii="Book Antiqua" w:hAnsi="Book Antiqua"/>
          <w:i/>
          <w:iCs/>
        </w:rPr>
        <w:t>Can J Gastroenterol Hepatol</w:t>
      </w:r>
      <w:r w:rsidRPr="00D4328A">
        <w:rPr>
          <w:rFonts w:ascii="Book Antiqua" w:hAnsi="Book Antiqua"/>
        </w:rPr>
        <w:t xml:space="preserve"> 2022; </w:t>
      </w:r>
      <w:r w:rsidRPr="00D4328A">
        <w:rPr>
          <w:rFonts w:ascii="Book Antiqua" w:hAnsi="Book Antiqua"/>
          <w:b/>
          <w:bCs/>
        </w:rPr>
        <w:t>2022</w:t>
      </w:r>
      <w:r w:rsidRPr="00D4328A">
        <w:rPr>
          <w:rFonts w:ascii="Book Antiqua" w:hAnsi="Book Antiqua"/>
        </w:rPr>
        <w:t>: 7235860 [PMID: 35369116 DOI: 10.1155/2022/7235860]</w:t>
      </w:r>
    </w:p>
    <w:p w14:paraId="2268EC25" w14:textId="77777777" w:rsidR="00600C31" w:rsidRPr="00D4328A" w:rsidRDefault="00600C31" w:rsidP="006D1FC3">
      <w:pPr>
        <w:spacing w:line="360" w:lineRule="auto"/>
        <w:jc w:val="both"/>
        <w:rPr>
          <w:rFonts w:ascii="Book Antiqua" w:hAnsi="Book Antiqua"/>
        </w:rPr>
      </w:pPr>
      <w:r w:rsidRPr="00D4328A">
        <w:rPr>
          <w:rFonts w:ascii="Book Antiqua" w:hAnsi="Book Antiqua"/>
        </w:rPr>
        <w:lastRenderedPageBreak/>
        <w:t xml:space="preserve">77 </w:t>
      </w:r>
      <w:r w:rsidRPr="00D4328A">
        <w:rPr>
          <w:rFonts w:ascii="Book Antiqua" w:hAnsi="Book Antiqua"/>
          <w:b/>
          <w:bCs/>
        </w:rPr>
        <w:t>Targher G</w:t>
      </w:r>
      <w:r w:rsidRPr="00D4328A">
        <w:rPr>
          <w:rFonts w:ascii="Book Antiqua" w:hAnsi="Book Antiqua"/>
        </w:rPr>
        <w:t xml:space="preserve">, Mantovani A, Byrne CD, Wang XB, Yan HD, Sun QF, Pan KH, Zheng KI, Chen YP, Eslam M, George J, Zheng MH. Detrimental effects of metabolic dysfunction-associated fatty liver disease and increased neutrophil-to-lymphocyte ratio on severity of COVID-19. </w:t>
      </w:r>
      <w:r w:rsidRPr="00D4328A">
        <w:rPr>
          <w:rFonts w:ascii="Book Antiqua" w:hAnsi="Book Antiqua"/>
          <w:i/>
          <w:iCs/>
        </w:rPr>
        <w:t>Diabetes Metab</w:t>
      </w:r>
      <w:r w:rsidRPr="00D4328A">
        <w:rPr>
          <w:rFonts w:ascii="Book Antiqua" w:hAnsi="Book Antiqua"/>
        </w:rPr>
        <w:t xml:space="preserve"> 2020; </w:t>
      </w:r>
      <w:r w:rsidRPr="00D4328A">
        <w:rPr>
          <w:rFonts w:ascii="Book Antiqua" w:hAnsi="Book Antiqua"/>
          <w:b/>
          <w:bCs/>
        </w:rPr>
        <w:t>46</w:t>
      </w:r>
      <w:r w:rsidRPr="00D4328A">
        <w:rPr>
          <w:rFonts w:ascii="Book Antiqua" w:hAnsi="Book Antiqua"/>
        </w:rPr>
        <w:t>: 505-507 [PMID: 32505652 DOI: 10.1016/j.diabet.2020.06.001]</w:t>
      </w:r>
    </w:p>
    <w:p w14:paraId="2E381990"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78 </w:t>
      </w:r>
      <w:r w:rsidRPr="00D4328A">
        <w:rPr>
          <w:rFonts w:ascii="Book Antiqua" w:hAnsi="Book Antiqua"/>
          <w:b/>
          <w:bCs/>
        </w:rPr>
        <w:t>Sachdeva S</w:t>
      </w:r>
      <w:r w:rsidRPr="00D4328A">
        <w:rPr>
          <w:rFonts w:ascii="Book Antiqua" w:hAnsi="Book Antiqua"/>
        </w:rPr>
        <w:t xml:space="preserve">, Khandait H, Kopel J, Aloysius MM, Desai R, Goyal H. NAFLD and COVID-19: a Pooled Analysis. </w:t>
      </w:r>
      <w:r w:rsidRPr="00D4328A">
        <w:rPr>
          <w:rFonts w:ascii="Book Antiqua" w:hAnsi="Book Antiqua"/>
          <w:i/>
          <w:iCs/>
        </w:rPr>
        <w:t>SN Compr Clin Med</w:t>
      </w:r>
      <w:r w:rsidRPr="00D4328A">
        <w:rPr>
          <w:rFonts w:ascii="Book Antiqua" w:hAnsi="Book Antiqua"/>
        </w:rPr>
        <w:t xml:space="preserve"> 2020; </w:t>
      </w:r>
      <w:r w:rsidRPr="00D4328A">
        <w:rPr>
          <w:rFonts w:ascii="Book Antiqua" w:hAnsi="Book Antiqua"/>
          <w:b/>
          <w:bCs/>
        </w:rPr>
        <w:t>2</w:t>
      </w:r>
      <w:r w:rsidRPr="00D4328A">
        <w:rPr>
          <w:rFonts w:ascii="Book Antiqua" w:hAnsi="Book Antiqua"/>
        </w:rPr>
        <w:t>: 2726-2729 [PMID: 33173850 DOI: 10.1007/s42399-020-00631-3]</w:t>
      </w:r>
    </w:p>
    <w:p w14:paraId="39398626" w14:textId="77777777" w:rsidR="00600C31" w:rsidRPr="00D4328A" w:rsidRDefault="00600C31" w:rsidP="006D1FC3">
      <w:pPr>
        <w:spacing w:line="360" w:lineRule="auto"/>
        <w:jc w:val="both"/>
        <w:rPr>
          <w:rFonts w:ascii="Book Antiqua" w:hAnsi="Book Antiqua"/>
        </w:rPr>
      </w:pPr>
      <w:r w:rsidRPr="00D4328A">
        <w:rPr>
          <w:rFonts w:ascii="Book Antiqua" w:hAnsi="Book Antiqua"/>
        </w:rPr>
        <w:t xml:space="preserve">79 </w:t>
      </w:r>
      <w:r w:rsidRPr="00D4328A">
        <w:rPr>
          <w:rFonts w:ascii="Book Antiqua" w:hAnsi="Book Antiqua"/>
          <w:b/>
          <w:bCs/>
        </w:rPr>
        <w:t>Li J</w:t>
      </w:r>
      <w:r w:rsidRPr="00D4328A">
        <w:rPr>
          <w:rFonts w:ascii="Book Antiqua" w:hAnsi="Book Antiqua"/>
        </w:rPr>
        <w:t xml:space="preserve">, Tian A, Zhu H, Chen L, Wen J, Liu W, Chen P. Mendelian Randomization Analysis Reveals No Causal Relationship Between Nonalcoholic Fatty Liver Disease and Severe COVID-19. </w:t>
      </w:r>
      <w:r w:rsidRPr="00D4328A">
        <w:rPr>
          <w:rFonts w:ascii="Book Antiqua" w:hAnsi="Book Antiqua"/>
          <w:i/>
          <w:iCs/>
        </w:rPr>
        <w:t>Clin Gastroenterol Hepatol</w:t>
      </w:r>
      <w:r w:rsidRPr="00D4328A">
        <w:rPr>
          <w:rFonts w:ascii="Book Antiqua" w:hAnsi="Book Antiqua"/>
        </w:rPr>
        <w:t xml:space="preserve"> 2022; </w:t>
      </w:r>
      <w:r w:rsidRPr="00D4328A">
        <w:rPr>
          <w:rFonts w:ascii="Book Antiqua" w:hAnsi="Book Antiqua"/>
          <w:b/>
          <w:bCs/>
        </w:rPr>
        <w:t>20</w:t>
      </w:r>
      <w:r w:rsidRPr="00D4328A">
        <w:rPr>
          <w:rFonts w:ascii="Book Antiqua" w:hAnsi="Book Antiqua"/>
        </w:rPr>
        <w:t>: 1553-1560.e78 [PMID: 35124268 DOI: 10.1016/j.cgh.2022.01.045]</w:t>
      </w:r>
    </w:p>
    <w:p w14:paraId="33E6D372" w14:textId="77777777" w:rsidR="00A77B3E" w:rsidRPr="00D4328A" w:rsidRDefault="00A77B3E" w:rsidP="006D1FC3">
      <w:pPr>
        <w:spacing w:line="360" w:lineRule="auto"/>
        <w:jc w:val="both"/>
        <w:rPr>
          <w:rFonts w:ascii="Book Antiqua" w:hAnsi="Book Antiqua"/>
        </w:rPr>
        <w:sectPr w:rsidR="00A77B3E" w:rsidRPr="00D4328A" w:rsidSect="00FB42F6">
          <w:footerReference w:type="default" r:id="rId7"/>
          <w:pgSz w:w="12240" w:h="15840"/>
          <w:pgMar w:top="1440" w:right="1440" w:bottom="1440" w:left="1440" w:header="720" w:footer="720" w:gutter="0"/>
          <w:pgNumType w:start="1"/>
          <w:cols w:space="720"/>
          <w:docGrid w:linePitch="360"/>
        </w:sectPr>
      </w:pPr>
    </w:p>
    <w:p w14:paraId="394A9B4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lastRenderedPageBreak/>
        <w:t>Footnotes</w:t>
      </w:r>
    </w:p>
    <w:p w14:paraId="7E33A49E" w14:textId="4C5F0792"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Conflict-of-interest statement: </w:t>
      </w:r>
      <w:r w:rsidR="006F20EE">
        <w:rPr>
          <w:rFonts w:ascii="Book Antiqua" w:eastAsia="Book Antiqua" w:hAnsi="Book Antiqua" w:cs="Book Antiqua"/>
          <w:color w:val="000000"/>
        </w:rPr>
        <w:t>The</w:t>
      </w:r>
      <w:r w:rsidRPr="00D4328A">
        <w:rPr>
          <w:rFonts w:ascii="Book Antiqua" w:eastAsia="Book Antiqua" w:hAnsi="Book Antiqua" w:cs="Book Antiqua"/>
          <w:color w:val="000000"/>
        </w:rPr>
        <w:t xml:space="preserve"> authors </w:t>
      </w:r>
      <w:r w:rsidR="006F20EE">
        <w:rPr>
          <w:rFonts w:ascii="Book Antiqua" w:eastAsia="Book Antiqua" w:hAnsi="Book Antiqua" w:cs="Book Antiqua"/>
          <w:color w:val="000000"/>
        </w:rPr>
        <w:t>have</w:t>
      </w:r>
      <w:r w:rsidRPr="00D4328A">
        <w:rPr>
          <w:rFonts w:ascii="Book Antiqua" w:eastAsia="Book Antiqua" w:hAnsi="Book Antiqua" w:cs="Book Antiqua"/>
          <w:color w:val="000000"/>
        </w:rPr>
        <w:t xml:space="preserve"> no conflicts of interest </w:t>
      </w:r>
      <w:r w:rsidR="006F20EE">
        <w:rPr>
          <w:rFonts w:ascii="Book Antiqua" w:eastAsia="Book Antiqua" w:hAnsi="Book Antiqua" w:cs="Book Antiqua"/>
          <w:color w:val="000000"/>
        </w:rPr>
        <w:t>to declare</w:t>
      </w:r>
      <w:r w:rsidRPr="00D4328A">
        <w:rPr>
          <w:rFonts w:ascii="Book Antiqua" w:eastAsia="Book Antiqua" w:hAnsi="Book Antiqua" w:cs="Book Antiqua"/>
          <w:color w:val="000000"/>
        </w:rPr>
        <w:t>.</w:t>
      </w:r>
    </w:p>
    <w:p w14:paraId="1E3F3996" w14:textId="77777777" w:rsidR="00A77B3E" w:rsidRPr="00D4328A" w:rsidRDefault="00A77B3E" w:rsidP="006D1FC3">
      <w:pPr>
        <w:spacing w:line="360" w:lineRule="auto"/>
        <w:jc w:val="both"/>
        <w:rPr>
          <w:rFonts w:ascii="Book Antiqua" w:hAnsi="Book Antiqua"/>
        </w:rPr>
      </w:pPr>
    </w:p>
    <w:p w14:paraId="7A90F074"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PRISMA 2009 Checklist statement: </w:t>
      </w:r>
      <w:r w:rsidRPr="00D4328A">
        <w:rPr>
          <w:rFonts w:ascii="Book Antiqua" w:eastAsia="Book Antiqua" w:hAnsi="Book Antiqua" w:cs="Book Antiqua"/>
          <w:color w:val="000000"/>
        </w:rPr>
        <w:t>The authors have read the PRISMA 2009 Checklist, and the manuscript was prepared and revised according to the PRISMA 2009 Checklist.</w:t>
      </w:r>
    </w:p>
    <w:p w14:paraId="25657E7D" w14:textId="77777777" w:rsidR="00A77B3E" w:rsidRPr="00D4328A" w:rsidRDefault="00A77B3E" w:rsidP="006D1FC3">
      <w:pPr>
        <w:spacing w:line="360" w:lineRule="auto"/>
        <w:jc w:val="both"/>
        <w:rPr>
          <w:rFonts w:ascii="Book Antiqua" w:hAnsi="Book Antiqua"/>
        </w:rPr>
      </w:pPr>
    </w:p>
    <w:p w14:paraId="41B24E10"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bCs/>
        </w:rPr>
        <w:t xml:space="preserve">Open-Access: </w:t>
      </w:r>
      <w:r w:rsidRPr="00D4328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698EAE" w14:textId="77777777" w:rsidR="00A77B3E" w:rsidRPr="00D4328A" w:rsidRDefault="00A77B3E" w:rsidP="006D1FC3">
      <w:pPr>
        <w:spacing w:line="360" w:lineRule="auto"/>
        <w:jc w:val="both"/>
        <w:rPr>
          <w:rFonts w:ascii="Book Antiqua" w:hAnsi="Book Antiqua"/>
        </w:rPr>
      </w:pPr>
    </w:p>
    <w:p w14:paraId="1C93A55F"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Provenance and peer review: </w:t>
      </w:r>
      <w:r w:rsidRPr="00D4328A">
        <w:rPr>
          <w:rFonts w:ascii="Book Antiqua" w:eastAsia="Book Antiqua" w:hAnsi="Book Antiqua" w:cs="Book Antiqua"/>
        </w:rPr>
        <w:t>Invited article; Externally peer reviewed.</w:t>
      </w:r>
    </w:p>
    <w:p w14:paraId="673BE03C"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Peer-review model: </w:t>
      </w:r>
      <w:r w:rsidRPr="00D4328A">
        <w:rPr>
          <w:rFonts w:ascii="Book Antiqua" w:eastAsia="Book Antiqua" w:hAnsi="Book Antiqua" w:cs="Book Antiqua"/>
        </w:rPr>
        <w:t>Single blind</w:t>
      </w:r>
    </w:p>
    <w:p w14:paraId="7F165CDF" w14:textId="1C194CDD"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Corresponding Author</w:t>
      </w:r>
      <w:r w:rsidR="00FB4F2D" w:rsidRPr="00D4328A">
        <w:rPr>
          <w:rFonts w:ascii="Book Antiqua" w:eastAsia="Book Antiqua" w:hAnsi="Book Antiqua" w:cs="Book Antiqua"/>
          <w:b/>
          <w:color w:val="000000"/>
        </w:rPr>
        <w:t>’</w:t>
      </w:r>
      <w:r w:rsidRPr="00D4328A">
        <w:rPr>
          <w:rFonts w:ascii="Book Antiqua" w:eastAsia="Book Antiqua" w:hAnsi="Book Antiqua" w:cs="Book Antiqua"/>
          <w:b/>
          <w:color w:val="000000"/>
        </w:rPr>
        <w:t xml:space="preserve">s Membership in Professional Societies: </w:t>
      </w:r>
      <w:r w:rsidRPr="00D4328A">
        <w:rPr>
          <w:rFonts w:ascii="Book Antiqua" w:eastAsia="Book Antiqua" w:hAnsi="Book Antiqua" w:cs="Book Antiqua"/>
        </w:rPr>
        <w:t>American College of CHEST Physician; American College of Physician.</w:t>
      </w:r>
    </w:p>
    <w:p w14:paraId="17F5D99D" w14:textId="77777777" w:rsidR="00A77B3E" w:rsidRPr="00D4328A" w:rsidRDefault="00A77B3E" w:rsidP="006D1FC3">
      <w:pPr>
        <w:spacing w:line="360" w:lineRule="auto"/>
        <w:jc w:val="both"/>
        <w:rPr>
          <w:rFonts w:ascii="Book Antiqua" w:hAnsi="Book Antiqua"/>
        </w:rPr>
      </w:pPr>
    </w:p>
    <w:p w14:paraId="4DAA2697"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Peer-review started: </w:t>
      </w:r>
      <w:r w:rsidRPr="00D4328A">
        <w:rPr>
          <w:rFonts w:ascii="Book Antiqua" w:eastAsia="Book Antiqua" w:hAnsi="Book Antiqua" w:cs="Book Antiqua"/>
        </w:rPr>
        <w:t>December 29, 2022</w:t>
      </w:r>
    </w:p>
    <w:p w14:paraId="13973E6F"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First decision: </w:t>
      </w:r>
      <w:r w:rsidRPr="00D4328A">
        <w:rPr>
          <w:rFonts w:ascii="Book Antiqua" w:eastAsia="Book Antiqua" w:hAnsi="Book Antiqua" w:cs="Book Antiqua"/>
        </w:rPr>
        <w:t>February 15, 2023</w:t>
      </w:r>
    </w:p>
    <w:p w14:paraId="2C42D80E"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Article in press: </w:t>
      </w:r>
    </w:p>
    <w:p w14:paraId="1B675F9D" w14:textId="77777777" w:rsidR="00A77B3E" w:rsidRPr="00D4328A" w:rsidRDefault="00A77B3E" w:rsidP="006D1FC3">
      <w:pPr>
        <w:spacing w:line="360" w:lineRule="auto"/>
        <w:jc w:val="both"/>
        <w:rPr>
          <w:rFonts w:ascii="Book Antiqua" w:hAnsi="Book Antiqua"/>
        </w:rPr>
      </w:pPr>
    </w:p>
    <w:p w14:paraId="67CBCB4C" w14:textId="39BC38C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Specialty type: </w:t>
      </w:r>
      <w:r w:rsidRPr="00D4328A">
        <w:rPr>
          <w:rFonts w:ascii="Book Antiqua" w:eastAsia="Book Antiqua" w:hAnsi="Book Antiqua" w:cs="Book Antiqua"/>
        </w:rPr>
        <w:t xml:space="preserve">Gastroenterology and </w:t>
      </w:r>
      <w:r w:rsidR="00FB4F2D" w:rsidRPr="00D4328A">
        <w:rPr>
          <w:rFonts w:ascii="Book Antiqua" w:eastAsia="Book Antiqua" w:hAnsi="Book Antiqua" w:cs="Book Antiqua"/>
        </w:rPr>
        <w:t>h</w:t>
      </w:r>
      <w:r w:rsidRPr="00D4328A">
        <w:rPr>
          <w:rFonts w:ascii="Book Antiqua" w:eastAsia="Book Antiqua" w:hAnsi="Book Antiqua" w:cs="Book Antiqua"/>
        </w:rPr>
        <w:t>epatology</w:t>
      </w:r>
    </w:p>
    <w:p w14:paraId="10430478"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 xml:space="preserve">Country/Territory of origin: </w:t>
      </w:r>
      <w:r w:rsidRPr="00D4328A">
        <w:rPr>
          <w:rFonts w:ascii="Book Antiqua" w:eastAsia="Book Antiqua" w:hAnsi="Book Antiqua" w:cs="Book Antiqua"/>
        </w:rPr>
        <w:t>United States</w:t>
      </w:r>
    </w:p>
    <w:p w14:paraId="760F2B9C"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b/>
          <w:color w:val="000000"/>
        </w:rPr>
        <w:t>Peer-review report’s scientific quality classification</w:t>
      </w:r>
    </w:p>
    <w:p w14:paraId="3F08EC78"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Grade A (Excellent): 0</w:t>
      </w:r>
    </w:p>
    <w:p w14:paraId="5464878B"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Grade B (Very good): B</w:t>
      </w:r>
    </w:p>
    <w:p w14:paraId="2FB0B212"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Grade C (Good): C, C</w:t>
      </w:r>
    </w:p>
    <w:p w14:paraId="28AC1676"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Grade D (Fair): 0</w:t>
      </w:r>
    </w:p>
    <w:p w14:paraId="6CE67000" w14:textId="77777777" w:rsidR="00A77B3E" w:rsidRPr="00D4328A" w:rsidRDefault="00000000" w:rsidP="006D1FC3">
      <w:pPr>
        <w:spacing w:line="360" w:lineRule="auto"/>
        <w:jc w:val="both"/>
        <w:rPr>
          <w:rFonts w:ascii="Book Antiqua" w:hAnsi="Book Antiqua"/>
        </w:rPr>
      </w:pPr>
      <w:r w:rsidRPr="00D4328A">
        <w:rPr>
          <w:rFonts w:ascii="Book Antiqua" w:eastAsia="Book Antiqua" w:hAnsi="Book Antiqua" w:cs="Book Antiqua"/>
        </w:rPr>
        <w:t>Grade E (Poor): 0</w:t>
      </w:r>
    </w:p>
    <w:p w14:paraId="5F63A69C" w14:textId="77777777" w:rsidR="00A77B3E" w:rsidRPr="00D4328A" w:rsidRDefault="00A77B3E" w:rsidP="006D1FC3">
      <w:pPr>
        <w:spacing w:line="360" w:lineRule="auto"/>
        <w:jc w:val="both"/>
        <w:rPr>
          <w:rFonts w:ascii="Book Antiqua" w:hAnsi="Book Antiqua"/>
        </w:rPr>
      </w:pPr>
    </w:p>
    <w:p w14:paraId="228A6713" w14:textId="28259D71" w:rsidR="00FB4F2D" w:rsidRPr="00D4328A" w:rsidRDefault="00000000" w:rsidP="006D1FC3">
      <w:pPr>
        <w:spacing w:line="360" w:lineRule="auto"/>
        <w:jc w:val="both"/>
        <w:rPr>
          <w:rFonts w:ascii="Book Antiqua" w:eastAsia="Book Antiqua" w:hAnsi="Book Antiqua" w:cs="Book Antiqua"/>
          <w:b/>
          <w:color w:val="000000"/>
        </w:rPr>
      </w:pPr>
      <w:r w:rsidRPr="00D4328A">
        <w:rPr>
          <w:rFonts w:ascii="Book Antiqua" w:eastAsia="Book Antiqua" w:hAnsi="Book Antiqua" w:cs="Book Antiqua"/>
          <w:b/>
          <w:color w:val="000000"/>
        </w:rPr>
        <w:t xml:space="preserve">P-Reviewer: </w:t>
      </w:r>
      <w:r w:rsidRPr="00D4328A">
        <w:rPr>
          <w:rFonts w:ascii="Book Antiqua" w:eastAsia="Book Antiqua" w:hAnsi="Book Antiqua" w:cs="Book Antiqua"/>
        </w:rPr>
        <w:t>Pham TTT, Viet Nam; Protopapas AA, Greece; Silva LD, Brazil</w:t>
      </w:r>
      <w:r w:rsidRPr="00D4328A">
        <w:rPr>
          <w:rFonts w:ascii="Book Antiqua" w:eastAsia="Book Antiqua" w:hAnsi="Book Antiqua" w:cs="Book Antiqua"/>
          <w:b/>
          <w:color w:val="000000"/>
        </w:rPr>
        <w:t xml:space="preserve"> S-Editor: </w:t>
      </w:r>
      <w:r w:rsidR="00FB4F2D" w:rsidRPr="00D4328A">
        <w:rPr>
          <w:rFonts w:ascii="Book Antiqua" w:eastAsia="Book Antiqua" w:hAnsi="Book Antiqua" w:cs="Book Antiqua"/>
          <w:bCs/>
          <w:color w:val="000000"/>
        </w:rPr>
        <w:t>Wang JJ</w:t>
      </w:r>
      <w:r w:rsidRPr="00D4328A">
        <w:rPr>
          <w:rFonts w:ascii="Book Antiqua" w:eastAsia="Book Antiqua" w:hAnsi="Book Antiqua" w:cs="Book Antiqua"/>
          <w:b/>
          <w:color w:val="000000"/>
        </w:rPr>
        <w:t xml:space="preserve"> L-Editor: </w:t>
      </w:r>
      <w:r w:rsidR="00482E4F" w:rsidRPr="00D4328A">
        <w:rPr>
          <w:rFonts w:ascii="Book Antiqua" w:eastAsia="Book Antiqua" w:hAnsi="Book Antiqua" w:cs="Book Antiqua"/>
          <w:bCs/>
          <w:color w:val="000000"/>
        </w:rPr>
        <w:t xml:space="preserve">Filipodia </w:t>
      </w:r>
      <w:r w:rsidRPr="00D4328A">
        <w:rPr>
          <w:rFonts w:ascii="Book Antiqua" w:eastAsia="Book Antiqua" w:hAnsi="Book Antiqua" w:cs="Book Antiqua"/>
          <w:b/>
          <w:color w:val="000000"/>
        </w:rPr>
        <w:t>P-Editor:</w:t>
      </w:r>
    </w:p>
    <w:p w14:paraId="0CFB9D32" w14:textId="48CAAE38" w:rsidR="00A77B3E" w:rsidRPr="00D4328A" w:rsidRDefault="00000000" w:rsidP="006D1FC3">
      <w:pPr>
        <w:spacing w:line="360" w:lineRule="auto"/>
        <w:jc w:val="both"/>
        <w:rPr>
          <w:rFonts w:ascii="Book Antiqua" w:hAnsi="Book Antiqua"/>
        </w:rPr>
        <w:sectPr w:rsidR="00A77B3E" w:rsidRPr="00D4328A">
          <w:pgSz w:w="12240" w:h="15840"/>
          <w:pgMar w:top="1440" w:right="1440" w:bottom="1440" w:left="1440" w:header="720" w:footer="720" w:gutter="0"/>
          <w:cols w:space="720"/>
          <w:docGrid w:linePitch="360"/>
        </w:sectPr>
      </w:pPr>
      <w:r w:rsidRPr="00D4328A">
        <w:rPr>
          <w:rFonts w:ascii="Book Antiqua" w:eastAsia="Book Antiqua" w:hAnsi="Book Antiqua" w:cs="Book Antiqua"/>
          <w:b/>
          <w:color w:val="000000"/>
        </w:rPr>
        <w:t xml:space="preserve"> </w:t>
      </w:r>
    </w:p>
    <w:p w14:paraId="2BCA3792" w14:textId="77777777" w:rsidR="00A77B3E" w:rsidRPr="00D4328A" w:rsidRDefault="00000000" w:rsidP="006D1FC3">
      <w:pPr>
        <w:spacing w:line="360" w:lineRule="auto"/>
        <w:jc w:val="both"/>
        <w:rPr>
          <w:rFonts w:ascii="Book Antiqua" w:eastAsia="Book Antiqua" w:hAnsi="Book Antiqua" w:cs="Book Antiqua"/>
          <w:b/>
          <w:color w:val="000000"/>
        </w:rPr>
      </w:pPr>
      <w:r w:rsidRPr="00D4328A">
        <w:rPr>
          <w:rFonts w:ascii="Book Antiqua" w:eastAsia="Book Antiqua" w:hAnsi="Book Antiqua" w:cs="Book Antiqua"/>
          <w:b/>
          <w:color w:val="000000"/>
        </w:rPr>
        <w:lastRenderedPageBreak/>
        <w:t>Figure Legends</w:t>
      </w:r>
    </w:p>
    <w:p w14:paraId="6872867A" w14:textId="1BE9AAF7" w:rsidR="0064433C" w:rsidRPr="00D4328A" w:rsidRDefault="00224293" w:rsidP="006D1FC3">
      <w:pPr>
        <w:spacing w:line="360" w:lineRule="auto"/>
        <w:jc w:val="both"/>
        <w:rPr>
          <w:rFonts w:ascii="Book Antiqua" w:hAnsi="Book Antiqua"/>
        </w:rPr>
      </w:pPr>
      <w:r w:rsidRPr="00D4328A">
        <w:rPr>
          <w:noProof/>
        </w:rPr>
        <w:drawing>
          <wp:inline distT="0" distB="0" distL="0" distR="0" wp14:anchorId="6E508AF6" wp14:editId="1FF373EB">
            <wp:extent cx="5943600" cy="62014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201410"/>
                    </a:xfrm>
                    <a:prstGeom prst="rect">
                      <a:avLst/>
                    </a:prstGeom>
                  </pic:spPr>
                </pic:pic>
              </a:graphicData>
            </a:graphic>
          </wp:inline>
        </w:drawing>
      </w:r>
    </w:p>
    <w:p w14:paraId="07C29C8E" w14:textId="4C4F6BBA" w:rsidR="00A77B3E" w:rsidRPr="00D4328A" w:rsidRDefault="00000000" w:rsidP="006D1FC3">
      <w:pPr>
        <w:spacing w:line="360" w:lineRule="auto"/>
        <w:jc w:val="both"/>
        <w:rPr>
          <w:rFonts w:ascii="Book Antiqua" w:eastAsia="Book Antiqua" w:hAnsi="Book Antiqua" w:cs="Book Antiqua"/>
          <w:b/>
          <w:bCs/>
        </w:rPr>
      </w:pPr>
      <w:r w:rsidRPr="00D4328A">
        <w:rPr>
          <w:rFonts w:ascii="Book Antiqua" w:eastAsia="Book Antiqua" w:hAnsi="Book Antiqua" w:cs="Book Antiqua"/>
          <w:b/>
          <w:bCs/>
        </w:rPr>
        <w:t>Figure 1 PRISMA flowchart outlining the study search.</w:t>
      </w:r>
      <w:r w:rsidR="0064433C" w:rsidRPr="00D4328A">
        <w:rPr>
          <w:rFonts w:ascii="Book Antiqua" w:eastAsia="Book Antiqua" w:hAnsi="Book Antiqua" w:cs="Book Antiqua"/>
          <w:b/>
          <w:bCs/>
        </w:rPr>
        <w:t xml:space="preserve"> </w:t>
      </w:r>
    </w:p>
    <w:p w14:paraId="6C39232D" w14:textId="77777777" w:rsidR="00E97B3C" w:rsidRPr="00D4328A" w:rsidRDefault="00E97B3C" w:rsidP="006D1FC3">
      <w:pPr>
        <w:spacing w:line="360" w:lineRule="auto"/>
        <w:jc w:val="both"/>
        <w:rPr>
          <w:rFonts w:ascii="Book Antiqua" w:hAnsi="Book Antiqua"/>
        </w:rPr>
        <w:sectPr w:rsidR="00E97B3C" w:rsidRPr="00D4328A">
          <w:pgSz w:w="12240" w:h="15840"/>
          <w:pgMar w:top="1440" w:right="1440" w:bottom="1440" w:left="1440" w:header="720" w:footer="720" w:gutter="0"/>
          <w:cols w:space="720"/>
          <w:docGrid w:linePitch="360"/>
        </w:sectPr>
      </w:pPr>
    </w:p>
    <w:p w14:paraId="5F15C61B" w14:textId="6541A15E" w:rsidR="00E97B3C" w:rsidRPr="00D4328A" w:rsidRDefault="0097524A" w:rsidP="006D1FC3">
      <w:pPr>
        <w:spacing w:line="360" w:lineRule="auto"/>
        <w:jc w:val="both"/>
        <w:rPr>
          <w:rFonts w:ascii="Book Antiqua" w:hAnsi="Book Antiqua"/>
        </w:rPr>
      </w:pPr>
      <w:r w:rsidRPr="00D4328A">
        <w:rPr>
          <w:rFonts w:ascii="Book Antiqua" w:hAnsi="Book Antiqua"/>
          <w:noProof/>
        </w:rPr>
        <w:lastRenderedPageBreak/>
        <w:drawing>
          <wp:inline distT="0" distB="0" distL="0" distR="0" wp14:anchorId="21D873A9" wp14:editId="06492F31">
            <wp:extent cx="5943600" cy="3993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3515"/>
                    </a:xfrm>
                    <a:prstGeom prst="rect">
                      <a:avLst/>
                    </a:prstGeom>
                  </pic:spPr>
                </pic:pic>
              </a:graphicData>
            </a:graphic>
          </wp:inline>
        </w:drawing>
      </w:r>
    </w:p>
    <w:p w14:paraId="753DC135" w14:textId="1669007C" w:rsidR="0097524A" w:rsidRPr="00D4328A" w:rsidRDefault="0097524A" w:rsidP="006D1FC3">
      <w:pPr>
        <w:spacing w:line="360" w:lineRule="auto"/>
        <w:jc w:val="both"/>
        <w:rPr>
          <w:rFonts w:ascii="Book Antiqua" w:hAnsi="Book Antiqua"/>
        </w:rPr>
      </w:pPr>
      <w:r w:rsidRPr="00D4328A">
        <w:rPr>
          <w:rFonts w:ascii="Book Antiqua" w:hAnsi="Book Antiqua"/>
          <w:noProof/>
        </w:rPr>
        <w:drawing>
          <wp:inline distT="0" distB="0" distL="0" distR="0" wp14:anchorId="55445410" wp14:editId="4B59808E">
            <wp:extent cx="5943600" cy="401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13200"/>
                    </a:xfrm>
                    <a:prstGeom prst="rect">
                      <a:avLst/>
                    </a:prstGeom>
                  </pic:spPr>
                </pic:pic>
              </a:graphicData>
            </a:graphic>
          </wp:inline>
        </w:drawing>
      </w:r>
    </w:p>
    <w:p w14:paraId="4FFCB61F" w14:textId="7757AD16" w:rsidR="00A77B3E" w:rsidRPr="00D4328A" w:rsidRDefault="00000000" w:rsidP="006D1FC3">
      <w:pPr>
        <w:spacing w:line="360" w:lineRule="auto"/>
        <w:jc w:val="both"/>
        <w:rPr>
          <w:rFonts w:ascii="Book Antiqua" w:eastAsia="Book Antiqua" w:hAnsi="Book Antiqua" w:cs="Book Antiqua"/>
        </w:rPr>
      </w:pPr>
      <w:r w:rsidRPr="00D4328A">
        <w:rPr>
          <w:rFonts w:ascii="Book Antiqua" w:eastAsia="Book Antiqua" w:hAnsi="Book Antiqua" w:cs="Book Antiqua"/>
          <w:b/>
          <w:bCs/>
        </w:rPr>
        <w:lastRenderedPageBreak/>
        <w:t xml:space="preserve">Figure 2 Forest plot for mortality outcomes in </w:t>
      </w:r>
      <w:bookmarkStart w:id="3" w:name="_Hlk133496060"/>
      <w:r w:rsidR="00E97B3C" w:rsidRPr="00D4328A">
        <w:rPr>
          <w:rFonts w:ascii="Book Antiqua" w:eastAsia="Book Antiqua" w:hAnsi="Book Antiqua" w:cs="Book Antiqua"/>
          <w:b/>
          <w:bCs/>
        </w:rPr>
        <w:t>coronavirus disease 2019</w:t>
      </w:r>
      <w:r w:rsidRPr="00D4328A">
        <w:rPr>
          <w:rFonts w:ascii="Book Antiqua" w:eastAsia="Book Antiqua" w:hAnsi="Book Antiqua" w:cs="Book Antiqua"/>
          <w:b/>
          <w:bCs/>
        </w:rPr>
        <w:t xml:space="preserve"> patients</w:t>
      </w:r>
      <w:bookmarkEnd w:id="3"/>
      <w:r w:rsidR="00E97B3C" w:rsidRPr="00D4328A">
        <w:rPr>
          <w:rFonts w:ascii="Book Antiqua" w:eastAsia="Book Antiqua" w:hAnsi="Book Antiqua" w:cs="Book Antiqua"/>
          <w:b/>
          <w:bCs/>
        </w:rPr>
        <w:t xml:space="preserve">. </w:t>
      </w:r>
      <w:r w:rsidR="00E97B3C" w:rsidRPr="00D4328A">
        <w:rPr>
          <w:rFonts w:ascii="Book Antiqua" w:eastAsia="Book Antiqua" w:hAnsi="Book Antiqua" w:cs="Book Antiqua"/>
        </w:rPr>
        <w:t>A:</w:t>
      </w:r>
      <w:r w:rsidRPr="00D4328A">
        <w:rPr>
          <w:rFonts w:ascii="Book Antiqua" w:eastAsia="Book Antiqua" w:hAnsi="Book Antiqua" w:cs="Book Antiqua"/>
        </w:rPr>
        <w:t xml:space="preserve"> </w:t>
      </w:r>
      <w:r w:rsidR="00E97B3C" w:rsidRPr="00D4328A">
        <w:rPr>
          <w:rFonts w:ascii="Book Antiqua" w:eastAsia="Book Antiqua" w:hAnsi="Book Antiqua" w:cs="Book Antiqua"/>
        </w:rPr>
        <w:t xml:space="preserve">In coronavirus disease 2019 (COVID-19) patients </w:t>
      </w:r>
      <w:r w:rsidRPr="00D4328A">
        <w:rPr>
          <w:rFonts w:ascii="Book Antiqua" w:eastAsia="Book Antiqua" w:hAnsi="Book Antiqua" w:cs="Book Antiqua"/>
        </w:rPr>
        <w:t xml:space="preserve">with and without </w:t>
      </w:r>
      <w:r w:rsidR="00E97B3C" w:rsidRPr="00D4328A">
        <w:rPr>
          <w:rFonts w:ascii="Book Antiqua" w:eastAsia="Book Antiqua" w:hAnsi="Book Antiqua" w:cs="Book Antiqua"/>
        </w:rPr>
        <w:t>non-alcoholic fatty liver disease</w:t>
      </w:r>
      <w:r w:rsidRPr="00D4328A">
        <w:rPr>
          <w:rFonts w:ascii="Book Antiqua" w:eastAsia="Book Antiqua" w:hAnsi="Book Antiqua" w:cs="Book Antiqua"/>
        </w:rPr>
        <w:t>/</w:t>
      </w:r>
      <w:r w:rsidR="00E97B3C" w:rsidRPr="00D4328A">
        <w:rPr>
          <w:rFonts w:ascii="Book Antiqua" w:eastAsia="Book Antiqua" w:hAnsi="Book Antiqua" w:cs="Book Antiqua"/>
        </w:rPr>
        <w:t>metabolic</w:t>
      </w:r>
      <w:r w:rsidR="00B601FF">
        <w:rPr>
          <w:rFonts w:ascii="Book Antiqua" w:eastAsia="Book Antiqua" w:hAnsi="Book Antiqua" w:cs="Book Antiqua"/>
        </w:rPr>
        <w:t>-</w:t>
      </w:r>
      <w:r w:rsidR="00E97B3C" w:rsidRPr="00D4328A">
        <w:rPr>
          <w:rFonts w:ascii="Book Antiqua" w:eastAsia="Book Antiqua" w:hAnsi="Book Antiqua" w:cs="Book Antiqua"/>
        </w:rPr>
        <w:t xml:space="preserve">associated fatty liver disease (NAFLD/MAFLD); B: In COVID-19 patients with and without NAFLD/MAFLD sensitivity analysis after excluding Tignanelli </w:t>
      </w:r>
      <w:r w:rsidR="00E97B3C" w:rsidRPr="00D4328A">
        <w:rPr>
          <w:rFonts w:ascii="Book Antiqua" w:eastAsia="Book Antiqua" w:hAnsi="Book Antiqua" w:cs="Book Antiqua"/>
          <w:i/>
          <w:iCs/>
        </w:rPr>
        <w:t>et al</w:t>
      </w:r>
      <w:r w:rsidR="00E97B3C" w:rsidRPr="00D4328A">
        <w:rPr>
          <w:rFonts w:ascii="Book Antiqua" w:eastAsia="Book Antiqua" w:hAnsi="Book Antiqua" w:cs="Book Antiqua"/>
          <w:vertAlign w:val="superscript"/>
        </w:rPr>
        <w:t>[47]</w:t>
      </w:r>
      <w:r w:rsidRPr="00D4328A">
        <w:rPr>
          <w:rFonts w:ascii="Book Antiqua" w:eastAsia="Book Antiqua" w:hAnsi="Book Antiqua" w:cs="Book Antiqua"/>
        </w:rPr>
        <w:t>.</w:t>
      </w:r>
      <w:r w:rsidR="0097524A" w:rsidRPr="00D4328A">
        <w:rPr>
          <w:rFonts w:ascii="Book Antiqua" w:eastAsia="Book Antiqua" w:hAnsi="Book Antiqua" w:cs="Book Antiqua"/>
        </w:rPr>
        <w:t xml:space="preserve"> CI: Confidence interval.</w:t>
      </w:r>
    </w:p>
    <w:p w14:paraId="3F92F400" w14:textId="77777777" w:rsidR="0097524A" w:rsidRPr="00D4328A" w:rsidRDefault="0097524A" w:rsidP="006D1FC3">
      <w:pPr>
        <w:spacing w:line="360" w:lineRule="auto"/>
        <w:jc w:val="both"/>
        <w:rPr>
          <w:rFonts w:ascii="Book Antiqua" w:hAnsi="Book Antiqua"/>
          <w:lang w:eastAsia="zh-CN"/>
        </w:rPr>
        <w:sectPr w:rsidR="0097524A" w:rsidRPr="00D4328A">
          <w:pgSz w:w="12240" w:h="15840"/>
          <w:pgMar w:top="1440" w:right="1440" w:bottom="1440" w:left="1440" w:header="720" w:footer="720" w:gutter="0"/>
          <w:cols w:space="720"/>
          <w:docGrid w:linePitch="360"/>
        </w:sectPr>
      </w:pPr>
    </w:p>
    <w:p w14:paraId="78325FD2" w14:textId="26D178D2" w:rsidR="0097524A" w:rsidRPr="00D4328A" w:rsidRDefault="0097524A" w:rsidP="006D1FC3">
      <w:pPr>
        <w:spacing w:line="360" w:lineRule="auto"/>
        <w:jc w:val="both"/>
        <w:rPr>
          <w:rFonts w:ascii="Book Antiqua" w:hAnsi="Book Antiqua"/>
        </w:rPr>
      </w:pPr>
      <w:r w:rsidRPr="00D4328A">
        <w:rPr>
          <w:rFonts w:ascii="Book Antiqua" w:hAnsi="Book Antiqua"/>
          <w:noProof/>
        </w:rPr>
        <w:lastRenderedPageBreak/>
        <w:drawing>
          <wp:inline distT="0" distB="0" distL="0" distR="0" wp14:anchorId="4D14DCDE" wp14:editId="711DD581">
            <wp:extent cx="5943600" cy="17056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05610"/>
                    </a:xfrm>
                    <a:prstGeom prst="rect">
                      <a:avLst/>
                    </a:prstGeom>
                  </pic:spPr>
                </pic:pic>
              </a:graphicData>
            </a:graphic>
          </wp:inline>
        </w:drawing>
      </w:r>
    </w:p>
    <w:p w14:paraId="7FCC8D60" w14:textId="13DF0B0C" w:rsidR="0097524A" w:rsidRPr="00D4328A" w:rsidRDefault="0097524A" w:rsidP="006D1FC3">
      <w:pPr>
        <w:spacing w:line="360" w:lineRule="auto"/>
        <w:jc w:val="both"/>
        <w:rPr>
          <w:rFonts w:ascii="Book Antiqua" w:hAnsi="Book Antiqua"/>
        </w:rPr>
      </w:pPr>
      <w:r w:rsidRPr="00D4328A">
        <w:rPr>
          <w:rFonts w:ascii="Book Antiqua" w:hAnsi="Book Antiqua"/>
          <w:noProof/>
        </w:rPr>
        <w:drawing>
          <wp:inline distT="0" distB="0" distL="0" distR="0" wp14:anchorId="6EB78DAB" wp14:editId="3C87C7A0">
            <wp:extent cx="5943600" cy="1457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57960"/>
                    </a:xfrm>
                    <a:prstGeom prst="rect">
                      <a:avLst/>
                    </a:prstGeom>
                  </pic:spPr>
                </pic:pic>
              </a:graphicData>
            </a:graphic>
          </wp:inline>
        </w:drawing>
      </w:r>
    </w:p>
    <w:p w14:paraId="51BBF7AB" w14:textId="5C6A85D3" w:rsidR="00A77B3E" w:rsidRPr="00D4328A" w:rsidRDefault="00000000" w:rsidP="006D1FC3">
      <w:pPr>
        <w:spacing w:line="360" w:lineRule="auto"/>
        <w:jc w:val="both"/>
        <w:rPr>
          <w:rFonts w:ascii="Book Antiqua" w:eastAsia="Book Antiqua" w:hAnsi="Book Antiqua" w:cs="Book Antiqua"/>
        </w:rPr>
      </w:pPr>
      <w:r w:rsidRPr="00D4328A">
        <w:rPr>
          <w:rFonts w:ascii="Book Antiqua" w:eastAsia="Book Antiqua" w:hAnsi="Book Antiqua" w:cs="Book Antiqua"/>
          <w:b/>
          <w:bCs/>
        </w:rPr>
        <w:t xml:space="preserve">Figure </w:t>
      </w:r>
      <w:r w:rsidR="0097524A" w:rsidRPr="00D4328A">
        <w:rPr>
          <w:rFonts w:ascii="Book Antiqua" w:eastAsia="Book Antiqua" w:hAnsi="Book Antiqua" w:cs="Book Antiqua"/>
          <w:b/>
          <w:bCs/>
        </w:rPr>
        <w:t>3</w:t>
      </w:r>
      <w:r w:rsidRPr="00D4328A">
        <w:rPr>
          <w:rFonts w:ascii="Book Antiqua" w:eastAsia="Book Antiqua" w:hAnsi="Book Antiqua" w:cs="Book Antiqua"/>
          <w:b/>
          <w:bCs/>
        </w:rPr>
        <w:t xml:space="preserve"> Forest plot for hospitalization</w:t>
      </w:r>
      <w:r w:rsidR="0097524A" w:rsidRPr="00D4328A">
        <w:rPr>
          <w:rFonts w:ascii="Book Antiqua" w:eastAsia="Book Antiqua" w:hAnsi="Book Antiqua" w:cs="Book Antiqua"/>
          <w:b/>
          <w:bCs/>
        </w:rPr>
        <w:t xml:space="preserve"> and need for hospitalization</w:t>
      </w:r>
      <w:r w:rsidRPr="00D4328A">
        <w:rPr>
          <w:rFonts w:ascii="Book Antiqua" w:eastAsia="Book Antiqua" w:hAnsi="Book Antiqua" w:cs="Book Antiqua"/>
          <w:b/>
          <w:bCs/>
        </w:rPr>
        <w:t xml:space="preserve"> in </w:t>
      </w:r>
      <w:r w:rsidR="00E97B3C" w:rsidRPr="00D4328A">
        <w:rPr>
          <w:rFonts w:ascii="Book Antiqua" w:eastAsia="Book Antiqua" w:hAnsi="Book Antiqua" w:cs="Book Antiqua"/>
          <w:b/>
          <w:bCs/>
        </w:rPr>
        <w:t>coronavirus disease 2019</w:t>
      </w:r>
      <w:r w:rsidRPr="00D4328A">
        <w:rPr>
          <w:rFonts w:ascii="Book Antiqua" w:eastAsia="Book Antiqua" w:hAnsi="Book Antiqua" w:cs="Book Antiqua"/>
          <w:b/>
          <w:bCs/>
        </w:rPr>
        <w:t xml:space="preserve"> patients</w:t>
      </w:r>
      <w:r w:rsidR="0097524A" w:rsidRPr="00D4328A">
        <w:rPr>
          <w:rFonts w:ascii="Book Antiqua" w:eastAsia="Book Antiqua" w:hAnsi="Book Antiqua" w:cs="Book Antiqua"/>
          <w:b/>
          <w:bCs/>
        </w:rPr>
        <w:t xml:space="preserve">. </w:t>
      </w:r>
      <w:r w:rsidR="0097524A" w:rsidRPr="00D4328A">
        <w:rPr>
          <w:rFonts w:ascii="Book Antiqua" w:eastAsia="Book Antiqua" w:hAnsi="Book Antiqua" w:cs="Book Antiqua"/>
        </w:rPr>
        <w:t>A:</w:t>
      </w:r>
      <w:r w:rsidRPr="00D4328A">
        <w:rPr>
          <w:rFonts w:ascii="Book Antiqua" w:eastAsia="Book Antiqua" w:hAnsi="Book Antiqua" w:cs="Book Antiqua"/>
        </w:rPr>
        <w:t xml:space="preserve"> </w:t>
      </w:r>
      <w:r w:rsidR="0097524A" w:rsidRPr="00D4328A">
        <w:rPr>
          <w:rFonts w:ascii="Book Antiqua" w:eastAsia="Book Antiqua" w:hAnsi="Book Antiqua" w:cs="Book Antiqua"/>
        </w:rPr>
        <w:t>Forest plot for hospitalization in coronavirus disease 2019 (COVID-19) patients with and without non-alcoholic fatty liver disease/metabolic</w:t>
      </w:r>
      <w:r w:rsidR="00B601FF">
        <w:rPr>
          <w:rFonts w:ascii="Book Antiqua" w:eastAsia="Book Antiqua" w:hAnsi="Book Antiqua" w:cs="Book Antiqua"/>
        </w:rPr>
        <w:t>-</w:t>
      </w:r>
      <w:r w:rsidR="0097524A" w:rsidRPr="00D4328A">
        <w:rPr>
          <w:rFonts w:ascii="Book Antiqua" w:eastAsia="Book Antiqua" w:hAnsi="Book Antiqua" w:cs="Book Antiqua"/>
        </w:rPr>
        <w:t>associated fatty liver disease (NAFLD/MAFLD); B:</w:t>
      </w:r>
      <w:r w:rsidR="0097524A" w:rsidRPr="00D4328A">
        <w:rPr>
          <w:rFonts w:ascii="Book Antiqua" w:hAnsi="Book Antiqua"/>
          <w:lang w:eastAsia="zh-CN"/>
        </w:rPr>
        <w:t xml:space="preserve"> </w:t>
      </w:r>
      <w:r w:rsidRPr="00D4328A">
        <w:rPr>
          <w:rFonts w:ascii="Book Antiqua" w:eastAsia="Book Antiqua" w:hAnsi="Book Antiqua" w:cs="Book Antiqua"/>
        </w:rPr>
        <w:t xml:space="preserve">Forest plot for need for hospitalization in </w:t>
      </w:r>
      <w:r w:rsidR="0097524A" w:rsidRPr="00D4328A">
        <w:rPr>
          <w:rFonts w:ascii="Book Antiqua" w:eastAsia="Book Antiqua" w:hAnsi="Book Antiqua" w:cs="Book Antiqua"/>
        </w:rPr>
        <w:t>COVID-19</w:t>
      </w:r>
      <w:r w:rsidRPr="00D4328A">
        <w:rPr>
          <w:rFonts w:ascii="Book Antiqua" w:eastAsia="Book Antiqua" w:hAnsi="Book Antiqua" w:cs="Book Antiqua"/>
        </w:rPr>
        <w:t xml:space="preserve"> patients with and without NAFLD/MAFLD sensitivity analysis after excluding Tignanelli </w:t>
      </w:r>
      <w:r w:rsidRPr="00D4328A">
        <w:rPr>
          <w:rFonts w:ascii="Book Antiqua" w:eastAsia="Book Antiqua" w:hAnsi="Book Antiqua" w:cs="Book Antiqua"/>
          <w:i/>
          <w:iCs/>
        </w:rPr>
        <w:t>et al</w:t>
      </w:r>
      <w:r w:rsidR="0097524A" w:rsidRPr="00D4328A">
        <w:rPr>
          <w:rFonts w:ascii="Book Antiqua" w:eastAsia="Book Antiqua" w:hAnsi="Book Antiqua" w:cs="Book Antiqua"/>
          <w:vertAlign w:val="superscript"/>
        </w:rPr>
        <w:t>[47]</w:t>
      </w:r>
      <w:r w:rsidRPr="00D4328A">
        <w:rPr>
          <w:rFonts w:ascii="Book Antiqua" w:eastAsia="Book Antiqua" w:hAnsi="Book Antiqua" w:cs="Book Antiqua"/>
        </w:rPr>
        <w:t>.</w:t>
      </w:r>
      <w:r w:rsidR="0097524A" w:rsidRPr="00D4328A">
        <w:rPr>
          <w:rFonts w:ascii="Book Antiqua" w:eastAsia="Book Antiqua" w:hAnsi="Book Antiqua" w:cs="Book Antiqua"/>
        </w:rPr>
        <w:t xml:space="preserve"> CI: Confidence interval.</w:t>
      </w:r>
    </w:p>
    <w:p w14:paraId="3DD7AAAD" w14:textId="77777777" w:rsidR="0097524A" w:rsidRPr="00D4328A" w:rsidRDefault="0097524A" w:rsidP="006D1FC3">
      <w:pPr>
        <w:spacing w:line="360" w:lineRule="auto"/>
        <w:jc w:val="both"/>
        <w:rPr>
          <w:rFonts w:ascii="Book Antiqua" w:eastAsia="Book Antiqua" w:hAnsi="Book Antiqua" w:cs="Book Antiqua"/>
        </w:rPr>
        <w:sectPr w:rsidR="0097524A" w:rsidRPr="00D4328A">
          <w:pgSz w:w="12240" w:h="15840"/>
          <w:pgMar w:top="1440" w:right="1440" w:bottom="1440" w:left="1440" w:header="720" w:footer="720" w:gutter="0"/>
          <w:cols w:space="720"/>
          <w:docGrid w:linePitch="360"/>
        </w:sectPr>
      </w:pPr>
    </w:p>
    <w:p w14:paraId="496B8B9C" w14:textId="57069F96" w:rsidR="0097524A" w:rsidRPr="00D4328A" w:rsidRDefault="0097524A" w:rsidP="006D1FC3">
      <w:pPr>
        <w:spacing w:line="360" w:lineRule="auto"/>
        <w:jc w:val="both"/>
        <w:rPr>
          <w:rFonts w:ascii="Book Antiqua" w:eastAsia="Book Antiqua" w:hAnsi="Book Antiqua" w:cs="Book Antiqua"/>
        </w:rPr>
      </w:pPr>
      <w:r w:rsidRPr="00D4328A">
        <w:rPr>
          <w:rFonts w:ascii="Book Antiqua" w:hAnsi="Book Antiqua"/>
          <w:noProof/>
        </w:rPr>
        <w:lastRenderedPageBreak/>
        <w:drawing>
          <wp:inline distT="0" distB="0" distL="0" distR="0" wp14:anchorId="34251755" wp14:editId="41905F8C">
            <wp:extent cx="5943600" cy="20059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05965"/>
                    </a:xfrm>
                    <a:prstGeom prst="rect">
                      <a:avLst/>
                    </a:prstGeom>
                  </pic:spPr>
                </pic:pic>
              </a:graphicData>
            </a:graphic>
          </wp:inline>
        </w:drawing>
      </w:r>
    </w:p>
    <w:p w14:paraId="18149B1D" w14:textId="4F1D4A96" w:rsidR="0097524A" w:rsidRPr="00D4328A" w:rsidRDefault="00363F0F" w:rsidP="006D1FC3">
      <w:pPr>
        <w:spacing w:line="360" w:lineRule="auto"/>
        <w:jc w:val="both"/>
        <w:rPr>
          <w:rFonts w:ascii="Book Antiqua" w:hAnsi="Book Antiqua"/>
        </w:rPr>
      </w:pPr>
      <w:r w:rsidRPr="00D4328A">
        <w:rPr>
          <w:rFonts w:ascii="Book Antiqua" w:hAnsi="Book Antiqua"/>
          <w:noProof/>
        </w:rPr>
        <w:drawing>
          <wp:inline distT="0" distB="0" distL="0" distR="0" wp14:anchorId="31C335F5" wp14:editId="32C9A5C6">
            <wp:extent cx="5943600" cy="19831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83105"/>
                    </a:xfrm>
                    <a:prstGeom prst="rect">
                      <a:avLst/>
                    </a:prstGeom>
                  </pic:spPr>
                </pic:pic>
              </a:graphicData>
            </a:graphic>
          </wp:inline>
        </w:drawing>
      </w:r>
    </w:p>
    <w:p w14:paraId="6A1CE702" w14:textId="046067A3" w:rsidR="00A77B3E" w:rsidRPr="00D4328A" w:rsidRDefault="00000000" w:rsidP="006D1FC3">
      <w:pPr>
        <w:spacing w:line="360" w:lineRule="auto"/>
        <w:jc w:val="both"/>
        <w:rPr>
          <w:rFonts w:ascii="Book Antiqua" w:eastAsia="Book Antiqua" w:hAnsi="Book Antiqua" w:cs="Book Antiqua"/>
        </w:rPr>
      </w:pPr>
      <w:r w:rsidRPr="00D4328A">
        <w:rPr>
          <w:rFonts w:ascii="Book Antiqua" w:eastAsia="Book Antiqua" w:hAnsi="Book Antiqua" w:cs="Book Antiqua"/>
          <w:b/>
          <w:bCs/>
        </w:rPr>
        <w:t xml:space="preserve">Figure </w:t>
      </w:r>
      <w:r w:rsidR="0097524A" w:rsidRPr="00D4328A">
        <w:rPr>
          <w:rFonts w:ascii="Book Antiqua" w:eastAsia="Book Antiqua" w:hAnsi="Book Antiqua" w:cs="Book Antiqua"/>
          <w:b/>
          <w:bCs/>
        </w:rPr>
        <w:t>4</w:t>
      </w:r>
      <w:r w:rsidRPr="00D4328A">
        <w:rPr>
          <w:rFonts w:ascii="Book Antiqua" w:eastAsia="Book Antiqua" w:hAnsi="Book Antiqua" w:cs="Book Antiqua"/>
          <w:b/>
          <w:bCs/>
        </w:rPr>
        <w:t xml:space="preserve"> Forest plot for hospital length of stay in </w:t>
      </w:r>
      <w:r w:rsidR="00E97B3C" w:rsidRPr="00D4328A">
        <w:rPr>
          <w:rFonts w:ascii="Book Antiqua" w:eastAsia="Book Antiqua" w:hAnsi="Book Antiqua" w:cs="Book Antiqua"/>
          <w:b/>
          <w:bCs/>
        </w:rPr>
        <w:t>coronavirus disease 2019</w:t>
      </w:r>
      <w:r w:rsidRPr="00D4328A">
        <w:rPr>
          <w:rFonts w:ascii="Book Antiqua" w:eastAsia="Book Antiqua" w:hAnsi="Book Antiqua" w:cs="Book Antiqua"/>
          <w:b/>
          <w:bCs/>
        </w:rPr>
        <w:t xml:space="preserve"> patients</w:t>
      </w:r>
      <w:r w:rsidR="0097524A" w:rsidRPr="00D4328A">
        <w:rPr>
          <w:rFonts w:ascii="Book Antiqua" w:eastAsia="Book Antiqua" w:hAnsi="Book Antiqua" w:cs="Book Antiqua"/>
          <w:b/>
          <w:bCs/>
        </w:rPr>
        <w:t xml:space="preserve">. </w:t>
      </w:r>
      <w:r w:rsidR="0097524A" w:rsidRPr="00D4328A">
        <w:rPr>
          <w:rFonts w:ascii="Book Antiqua" w:eastAsia="Book Antiqua" w:hAnsi="Book Antiqua" w:cs="Book Antiqua"/>
        </w:rPr>
        <w:t>A: In coronavirus disease 2019 (COVID-19) patients with and without non-alcoholic fatty liver disease/metabolic</w:t>
      </w:r>
      <w:r w:rsidR="00B601FF">
        <w:rPr>
          <w:rFonts w:ascii="Book Antiqua" w:eastAsia="Book Antiqua" w:hAnsi="Book Antiqua" w:cs="Book Antiqua"/>
        </w:rPr>
        <w:t>-</w:t>
      </w:r>
      <w:r w:rsidR="0097524A" w:rsidRPr="00D4328A">
        <w:rPr>
          <w:rFonts w:ascii="Book Antiqua" w:eastAsia="Book Antiqua" w:hAnsi="Book Antiqua" w:cs="Book Antiqua"/>
        </w:rPr>
        <w:t>associated fatty liver disease (NAFLD/MAFLD); B: I</w:t>
      </w:r>
      <w:r w:rsidRPr="00D4328A">
        <w:rPr>
          <w:rFonts w:ascii="Book Antiqua" w:eastAsia="Book Antiqua" w:hAnsi="Book Antiqua" w:cs="Book Antiqua"/>
        </w:rPr>
        <w:t xml:space="preserve">n </w:t>
      </w:r>
      <w:r w:rsidR="0097524A" w:rsidRPr="00D4328A">
        <w:rPr>
          <w:rFonts w:ascii="Book Antiqua" w:eastAsia="Book Antiqua" w:hAnsi="Book Antiqua" w:cs="Book Antiqua"/>
        </w:rPr>
        <w:t>COVID-19</w:t>
      </w:r>
      <w:r w:rsidRPr="00D4328A">
        <w:rPr>
          <w:rFonts w:ascii="Book Antiqua" w:eastAsia="Book Antiqua" w:hAnsi="Book Antiqua" w:cs="Book Antiqua"/>
        </w:rPr>
        <w:t xml:space="preserve"> patients with and without NAFLD/MAFLD sensitivity analysis after excluding Madan </w:t>
      </w:r>
      <w:r w:rsidRPr="00D4328A">
        <w:rPr>
          <w:rFonts w:ascii="Book Antiqua" w:eastAsia="Book Antiqua" w:hAnsi="Book Antiqua" w:cs="Book Antiqua"/>
          <w:i/>
          <w:iCs/>
        </w:rPr>
        <w:t>et al</w:t>
      </w:r>
      <w:r w:rsidR="0097524A" w:rsidRPr="00D4328A">
        <w:rPr>
          <w:rFonts w:ascii="Book Antiqua" w:eastAsia="Book Antiqua" w:hAnsi="Book Antiqua" w:cs="Book Antiqua"/>
          <w:vertAlign w:val="superscript"/>
        </w:rPr>
        <w:t>[41]</w:t>
      </w:r>
      <w:r w:rsidRPr="00D4328A">
        <w:rPr>
          <w:rFonts w:ascii="Book Antiqua" w:eastAsia="Book Antiqua" w:hAnsi="Book Antiqua" w:cs="Book Antiqua"/>
        </w:rPr>
        <w:t>.</w:t>
      </w:r>
      <w:r w:rsidR="00363F0F" w:rsidRPr="00D4328A">
        <w:rPr>
          <w:rFonts w:ascii="Book Antiqua" w:eastAsia="Book Antiqua" w:hAnsi="Book Antiqua" w:cs="Book Antiqua"/>
        </w:rPr>
        <w:t xml:space="preserve"> CI: Confidence interval.</w:t>
      </w:r>
    </w:p>
    <w:p w14:paraId="5135C993" w14:textId="77777777" w:rsidR="0097524A" w:rsidRPr="00D4328A" w:rsidRDefault="0097524A" w:rsidP="006D1FC3">
      <w:pPr>
        <w:spacing w:line="360" w:lineRule="auto"/>
        <w:jc w:val="both"/>
        <w:rPr>
          <w:rFonts w:ascii="Book Antiqua" w:hAnsi="Book Antiqua"/>
        </w:rPr>
        <w:sectPr w:rsidR="0097524A" w:rsidRPr="00D4328A">
          <w:pgSz w:w="12240" w:h="15840"/>
          <w:pgMar w:top="1440" w:right="1440" w:bottom="1440" w:left="1440" w:header="720" w:footer="720" w:gutter="0"/>
          <w:cols w:space="720"/>
          <w:docGrid w:linePitch="360"/>
        </w:sectPr>
      </w:pPr>
    </w:p>
    <w:p w14:paraId="2D422A62" w14:textId="5FB40636" w:rsidR="0097524A" w:rsidRPr="00D4328A" w:rsidRDefault="00363F0F" w:rsidP="006D1FC3">
      <w:pPr>
        <w:spacing w:line="360" w:lineRule="auto"/>
        <w:jc w:val="both"/>
        <w:rPr>
          <w:rFonts w:ascii="Book Antiqua" w:hAnsi="Book Antiqua"/>
        </w:rPr>
      </w:pPr>
      <w:r w:rsidRPr="00D4328A">
        <w:rPr>
          <w:rFonts w:ascii="Book Antiqua" w:hAnsi="Book Antiqua"/>
          <w:noProof/>
        </w:rPr>
        <w:lastRenderedPageBreak/>
        <w:drawing>
          <wp:inline distT="0" distB="0" distL="0" distR="0" wp14:anchorId="185F1C3D" wp14:editId="01E38B68">
            <wp:extent cx="5943600" cy="1501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01140"/>
                    </a:xfrm>
                    <a:prstGeom prst="rect">
                      <a:avLst/>
                    </a:prstGeom>
                  </pic:spPr>
                </pic:pic>
              </a:graphicData>
            </a:graphic>
          </wp:inline>
        </w:drawing>
      </w:r>
    </w:p>
    <w:p w14:paraId="5720EAA4" w14:textId="2EEE7765" w:rsidR="00363F0F" w:rsidRPr="00D4328A" w:rsidRDefault="00363F0F" w:rsidP="006D1FC3">
      <w:pPr>
        <w:spacing w:line="360" w:lineRule="auto"/>
        <w:jc w:val="both"/>
        <w:rPr>
          <w:rFonts w:ascii="Book Antiqua" w:hAnsi="Book Antiqua"/>
        </w:rPr>
      </w:pPr>
      <w:r w:rsidRPr="00D4328A">
        <w:rPr>
          <w:rFonts w:ascii="Book Antiqua" w:hAnsi="Book Antiqua"/>
          <w:noProof/>
        </w:rPr>
        <w:drawing>
          <wp:inline distT="0" distB="0" distL="0" distR="0" wp14:anchorId="0D673CC7" wp14:editId="5FD3FC2D">
            <wp:extent cx="5943600" cy="15373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37335"/>
                    </a:xfrm>
                    <a:prstGeom prst="rect">
                      <a:avLst/>
                    </a:prstGeom>
                  </pic:spPr>
                </pic:pic>
              </a:graphicData>
            </a:graphic>
          </wp:inline>
        </w:drawing>
      </w:r>
    </w:p>
    <w:p w14:paraId="68869743" w14:textId="6F42556B" w:rsidR="00A77B3E" w:rsidRPr="00D4328A" w:rsidRDefault="00000000" w:rsidP="006D1FC3">
      <w:pPr>
        <w:spacing w:line="360" w:lineRule="auto"/>
        <w:jc w:val="both"/>
        <w:rPr>
          <w:rFonts w:ascii="Book Antiqua" w:eastAsia="Book Antiqua" w:hAnsi="Book Antiqua" w:cs="Book Antiqua"/>
        </w:rPr>
      </w:pPr>
      <w:r w:rsidRPr="00D4328A">
        <w:rPr>
          <w:rFonts w:ascii="Book Antiqua" w:eastAsia="Book Antiqua" w:hAnsi="Book Antiqua" w:cs="Book Antiqua"/>
          <w:b/>
          <w:bCs/>
        </w:rPr>
        <w:t xml:space="preserve">Figure </w:t>
      </w:r>
      <w:r w:rsidR="0097524A" w:rsidRPr="00D4328A">
        <w:rPr>
          <w:rFonts w:ascii="Book Antiqua" w:eastAsia="Book Antiqua" w:hAnsi="Book Antiqua" w:cs="Book Antiqua"/>
          <w:b/>
          <w:bCs/>
        </w:rPr>
        <w:t>5</w:t>
      </w:r>
      <w:r w:rsidRPr="00D4328A">
        <w:rPr>
          <w:rFonts w:ascii="Book Antiqua" w:eastAsia="Book Antiqua" w:hAnsi="Book Antiqua" w:cs="Book Antiqua"/>
          <w:b/>
          <w:bCs/>
        </w:rPr>
        <w:t xml:space="preserve"> Forest plot for need for supplemental oxygen utilization in </w:t>
      </w:r>
      <w:r w:rsidR="00E97B3C" w:rsidRPr="00D4328A">
        <w:rPr>
          <w:rFonts w:ascii="Book Antiqua" w:eastAsia="Book Antiqua" w:hAnsi="Book Antiqua" w:cs="Book Antiqua"/>
          <w:b/>
          <w:bCs/>
        </w:rPr>
        <w:t>coronavirus disease 2019</w:t>
      </w:r>
      <w:r w:rsidRPr="00D4328A">
        <w:rPr>
          <w:rFonts w:ascii="Book Antiqua" w:eastAsia="Book Antiqua" w:hAnsi="Book Antiqua" w:cs="Book Antiqua"/>
          <w:b/>
          <w:bCs/>
        </w:rPr>
        <w:t xml:space="preserve"> patients</w:t>
      </w:r>
      <w:r w:rsidR="0097524A" w:rsidRPr="00D4328A">
        <w:rPr>
          <w:rFonts w:ascii="Book Antiqua" w:eastAsia="Book Antiqua" w:hAnsi="Book Antiqua" w:cs="Book Antiqua"/>
          <w:b/>
          <w:bCs/>
        </w:rPr>
        <w:t xml:space="preserve">. </w:t>
      </w:r>
      <w:r w:rsidR="0097524A" w:rsidRPr="00D4328A">
        <w:rPr>
          <w:rFonts w:ascii="Book Antiqua" w:eastAsia="Book Antiqua" w:hAnsi="Book Antiqua" w:cs="Book Antiqua"/>
        </w:rPr>
        <w:t>A: In coronavirus disease 2019 (COVID-19) patients with and without non-alcoholic fatty liver disease/metabolic</w:t>
      </w:r>
      <w:r w:rsidR="00B601FF">
        <w:rPr>
          <w:rFonts w:ascii="Book Antiqua" w:eastAsia="Book Antiqua" w:hAnsi="Book Antiqua" w:cs="Book Antiqua"/>
        </w:rPr>
        <w:t>-</w:t>
      </w:r>
      <w:r w:rsidR="0097524A" w:rsidRPr="00D4328A">
        <w:rPr>
          <w:rFonts w:ascii="Book Antiqua" w:eastAsia="Book Antiqua" w:hAnsi="Book Antiqua" w:cs="Book Antiqua"/>
        </w:rPr>
        <w:t>associated fatty liver disease (NAFLD/MAFLD); B: In COVID-19 patients with and without NAFLD/MAFLD sensitivity analysis after excluding</w:t>
      </w:r>
      <w:r w:rsidRPr="00D4328A">
        <w:rPr>
          <w:rFonts w:ascii="Book Antiqua" w:eastAsia="Book Antiqua" w:hAnsi="Book Antiqua" w:cs="Book Antiqua"/>
          <w:b/>
          <w:bCs/>
        </w:rPr>
        <w:t xml:space="preserve"> </w:t>
      </w:r>
      <w:r w:rsidRPr="00D4328A">
        <w:rPr>
          <w:rFonts w:ascii="Book Antiqua" w:eastAsia="Book Antiqua" w:hAnsi="Book Antiqua" w:cs="Book Antiqua"/>
        </w:rPr>
        <w:t xml:space="preserve">Shao </w:t>
      </w:r>
      <w:r w:rsidRPr="00D4328A">
        <w:rPr>
          <w:rFonts w:ascii="Book Antiqua" w:eastAsia="Book Antiqua" w:hAnsi="Book Antiqua" w:cs="Book Antiqua"/>
          <w:i/>
          <w:iCs/>
        </w:rPr>
        <w:t>et al</w:t>
      </w:r>
      <w:r w:rsidR="0097524A" w:rsidRPr="00D4328A">
        <w:rPr>
          <w:rFonts w:ascii="Book Antiqua" w:eastAsia="Book Antiqua" w:hAnsi="Book Antiqua" w:cs="Book Antiqua"/>
          <w:vertAlign w:val="superscript"/>
        </w:rPr>
        <w:t>[45]</w:t>
      </w:r>
      <w:r w:rsidRPr="00D4328A">
        <w:rPr>
          <w:rFonts w:ascii="Book Antiqua" w:eastAsia="Book Antiqua" w:hAnsi="Book Antiqua" w:cs="Book Antiqua"/>
        </w:rPr>
        <w:t>.</w:t>
      </w:r>
      <w:r w:rsidR="00363F0F" w:rsidRPr="00D4328A">
        <w:rPr>
          <w:rFonts w:ascii="Book Antiqua" w:eastAsia="Book Antiqua" w:hAnsi="Book Antiqua" w:cs="Book Antiqua"/>
        </w:rPr>
        <w:t xml:space="preserve"> CI: Confidence interval.</w:t>
      </w:r>
    </w:p>
    <w:p w14:paraId="45E09F22" w14:textId="77777777" w:rsidR="00363F0F" w:rsidRPr="00D4328A" w:rsidRDefault="00363F0F" w:rsidP="006D1FC3">
      <w:pPr>
        <w:spacing w:line="360" w:lineRule="auto"/>
        <w:jc w:val="both"/>
        <w:rPr>
          <w:rFonts w:ascii="Book Antiqua" w:hAnsi="Book Antiqua"/>
        </w:rPr>
        <w:sectPr w:rsidR="00363F0F" w:rsidRPr="00D4328A">
          <w:pgSz w:w="12240" w:h="15840"/>
          <w:pgMar w:top="1440" w:right="1440" w:bottom="1440" w:left="1440" w:header="720" w:footer="720" w:gutter="0"/>
          <w:cols w:space="720"/>
          <w:docGrid w:linePitch="360"/>
        </w:sectPr>
      </w:pPr>
    </w:p>
    <w:p w14:paraId="5545B890" w14:textId="77777777" w:rsidR="00363F0F" w:rsidRPr="0009446C" w:rsidRDefault="00363F0F" w:rsidP="006D1FC3">
      <w:pPr>
        <w:spacing w:line="360" w:lineRule="auto"/>
        <w:jc w:val="both"/>
        <w:rPr>
          <w:rFonts w:ascii="Book Antiqua" w:eastAsia="Times New Roman" w:hAnsi="Book Antiqua"/>
          <w:b/>
          <w:bCs/>
        </w:rPr>
      </w:pPr>
      <w:r w:rsidRPr="0009446C">
        <w:rPr>
          <w:rFonts w:ascii="Book Antiqua" w:eastAsia="Times New Roman" w:hAnsi="Book Antiqua"/>
          <w:b/>
          <w:bCs/>
        </w:rPr>
        <w:lastRenderedPageBreak/>
        <w:t>Table 1 Main characteristics of the included studies in the systematic review and meta-analysis</w:t>
      </w:r>
    </w:p>
    <w:tbl>
      <w:tblPr>
        <w:tblW w:w="14885" w:type="dxa"/>
        <w:tblInd w:w="-743" w:type="dxa"/>
        <w:tblLayout w:type="fixed"/>
        <w:tblLook w:val="04A0" w:firstRow="1" w:lastRow="0" w:firstColumn="1" w:lastColumn="0" w:noHBand="0" w:noVBand="1"/>
      </w:tblPr>
      <w:tblGrid>
        <w:gridCol w:w="993"/>
        <w:gridCol w:w="1276"/>
        <w:gridCol w:w="1417"/>
        <w:gridCol w:w="1560"/>
        <w:gridCol w:w="1134"/>
        <w:gridCol w:w="1559"/>
        <w:gridCol w:w="1276"/>
        <w:gridCol w:w="850"/>
        <w:gridCol w:w="2410"/>
        <w:gridCol w:w="2410"/>
      </w:tblGrid>
      <w:tr w:rsidR="00991538" w:rsidRPr="00D4328A" w14:paraId="2CB83D82" w14:textId="77777777" w:rsidTr="00FB4F2D">
        <w:trPr>
          <w:trHeight w:val="400"/>
        </w:trPr>
        <w:tc>
          <w:tcPr>
            <w:tcW w:w="993" w:type="dxa"/>
            <w:tcBorders>
              <w:top w:val="single" w:sz="4" w:space="0" w:color="auto"/>
              <w:bottom w:val="single" w:sz="4" w:space="0" w:color="auto"/>
            </w:tcBorders>
            <w:hideMark/>
          </w:tcPr>
          <w:p w14:paraId="6EC644A7" w14:textId="77777777"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Serial No.</w:t>
            </w:r>
          </w:p>
        </w:tc>
        <w:tc>
          <w:tcPr>
            <w:tcW w:w="1276" w:type="dxa"/>
            <w:tcBorders>
              <w:top w:val="single" w:sz="4" w:space="0" w:color="auto"/>
              <w:bottom w:val="single" w:sz="4" w:space="0" w:color="auto"/>
            </w:tcBorders>
            <w:hideMark/>
          </w:tcPr>
          <w:p w14:paraId="47449A6D" w14:textId="77777777"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Ref.</w:t>
            </w:r>
          </w:p>
        </w:tc>
        <w:tc>
          <w:tcPr>
            <w:tcW w:w="1417" w:type="dxa"/>
            <w:tcBorders>
              <w:top w:val="single" w:sz="4" w:space="0" w:color="auto"/>
              <w:bottom w:val="single" w:sz="4" w:space="0" w:color="auto"/>
            </w:tcBorders>
            <w:hideMark/>
          </w:tcPr>
          <w:p w14:paraId="2DE526D5" w14:textId="77777777"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Country</w:t>
            </w:r>
          </w:p>
        </w:tc>
        <w:tc>
          <w:tcPr>
            <w:tcW w:w="1560" w:type="dxa"/>
            <w:tcBorders>
              <w:top w:val="single" w:sz="4" w:space="0" w:color="auto"/>
              <w:bottom w:val="single" w:sz="4" w:space="0" w:color="auto"/>
            </w:tcBorders>
            <w:hideMark/>
          </w:tcPr>
          <w:p w14:paraId="4B0F8E0C" w14:textId="77777777"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Study design</w:t>
            </w:r>
          </w:p>
        </w:tc>
        <w:tc>
          <w:tcPr>
            <w:tcW w:w="1134" w:type="dxa"/>
            <w:tcBorders>
              <w:top w:val="single" w:sz="4" w:space="0" w:color="auto"/>
              <w:bottom w:val="single" w:sz="4" w:space="0" w:color="auto"/>
            </w:tcBorders>
            <w:hideMark/>
          </w:tcPr>
          <w:p w14:paraId="2EC945F1" w14:textId="5ED3DE89"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NAFLD</w:t>
            </w:r>
            <w:r w:rsidR="003933BF">
              <w:rPr>
                <w:rFonts w:ascii="Book Antiqua" w:eastAsia="Times New Roman" w:hAnsi="Book Antiqua" w:cs="Calibri"/>
                <w:b/>
                <w:bCs/>
                <w:color w:val="000000"/>
                <w:position w:val="1"/>
              </w:rPr>
              <w:t>,</w:t>
            </w:r>
            <w:r w:rsidRPr="00D4328A">
              <w:rPr>
                <w:rFonts w:ascii="Book Antiqua" w:eastAsia="Times New Roman" w:hAnsi="Book Antiqua" w:cs="Calibri"/>
                <w:b/>
                <w:bCs/>
                <w:color w:val="000000"/>
                <w:position w:val="1"/>
              </w:rPr>
              <w:t xml:space="preserve"> </w:t>
            </w:r>
            <w:r w:rsidRPr="0009446C">
              <w:rPr>
                <w:rFonts w:ascii="Book Antiqua" w:eastAsia="Times New Roman" w:hAnsi="Book Antiqua" w:cs="Calibri"/>
                <w:b/>
                <w:bCs/>
                <w:i/>
                <w:iCs/>
                <w:color w:val="000000"/>
                <w:position w:val="1"/>
              </w:rPr>
              <w:t>n</w:t>
            </w:r>
          </w:p>
        </w:tc>
        <w:tc>
          <w:tcPr>
            <w:tcW w:w="1559" w:type="dxa"/>
            <w:tcBorders>
              <w:top w:val="single" w:sz="4" w:space="0" w:color="auto"/>
              <w:bottom w:val="single" w:sz="4" w:space="0" w:color="auto"/>
            </w:tcBorders>
            <w:hideMark/>
          </w:tcPr>
          <w:p w14:paraId="7A8CF162" w14:textId="010D0C1C"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No NAFLD</w:t>
            </w:r>
            <w:r w:rsidR="003933BF">
              <w:rPr>
                <w:rFonts w:ascii="Book Antiqua" w:eastAsia="Times New Roman" w:hAnsi="Book Antiqua" w:cs="Calibri"/>
                <w:b/>
                <w:bCs/>
                <w:color w:val="000000"/>
                <w:position w:val="1"/>
              </w:rPr>
              <w:t>,</w:t>
            </w:r>
            <w:r w:rsidRPr="00D4328A">
              <w:rPr>
                <w:rFonts w:ascii="Book Antiqua" w:eastAsia="Times New Roman" w:hAnsi="Book Antiqua" w:cs="Calibri"/>
                <w:b/>
                <w:bCs/>
                <w:color w:val="000000"/>
                <w:position w:val="1"/>
              </w:rPr>
              <w:t xml:space="preserve"> </w:t>
            </w:r>
            <w:r w:rsidRPr="0009446C">
              <w:rPr>
                <w:rFonts w:ascii="Book Antiqua" w:eastAsia="Times New Roman" w:hAnsi="Book Antiqua" w:cs="Calibri"/>
                <w:b/>
                <w:bCs/>
                <w:i/>
                <w:iCs/>
                <w:color w:val="000000"/>
                <w:position w:val="1"/>
              </w:rPr>
              <w:t>n</w:t>
            </w:r>
          </w:p>
        </w:tc>
        <w:tc>
          <w:tcPr>
            <w:tcW w:w="1276" w:type="dxa"/>
            <w:tcBorders>
              <w:top w:val="single" w:sz="4" w:space="0" w:color="auto"/>
              <w:bottom w:val="single" w:sz="4" w:space="0" w:color="auto"/>
            </w:tcBorders>
            <w:hideMark/>
          </w:tcPr>
          <w:p w14:paraId="0C153DB5" w14:textId="6C963595" w:rsidR="00363F0F" w:rsidRPr="00D4328A" w:rsidRDefault="005951EA" w:rsidP="006D1FC3">
            <w:pPr>
              <w:spacing w:line="360" w:lineRule="auto"/>
              <w:jc w:val="both"/>
              <w:textAlignment w:val="baseline"/>
              <w:rPr>
                <w:rFonts w:ascii="Book Antiqua" w:eastAsia="Times New Roman" w:hAnsi="Book Antiqua" w:cs="Segoe UI"/>
                <w:b/>
                <w:bCs/>
                <w:color w:val="FFFFFF"/>
              </w:rPr>
            </w:pPr>
            <w:r>
              <w:rPr>
                <w:rFonts w:ascii="Book Antiqua" w:eastAsia="Times New Roman" w:hAnsi="Book Antiqua" w:cs="Calibri"/>
                <w:b/>
                <w:bCs/>
                <w:color w:val="000000"/>
                <w:position w:val="1"/>
              </w:rPr>
              <w:t>M</w:t>
            </w:r>
            <w:r w:rsidR="00363F0F" w:rsidRPr="00D4328A">
              <w:rPr>
                <w:rFonts w:ascii="Book Antiqua" w:eastAsia="Times New Roman" w:hAnsi="Book Antiqua" w:cs="Calibri"/>
                <w:b/>
                <w:bCs/>
                <w:color w:val="000000"/>
                <w:position w:val="1"/>
              </w:rPr>
              <w:t>ean ± SD</w:t>
            </w:r>
          </w:p>
        </w:tc>
        <w:tc>
          <w:tcPr>
            <w:tcW w:w="850" w:type="dxa"/>
            <w:tcBorders>
              <w:top w:val="single" w:sz="4" w:space="0" w:color="auto"/>
              <w:bottom w:val="single" w:sz="4" w:space="0" w:color="auto"/>
            </w:tcBorders>
            <w:hideMark/>
          </w:tcPr>
          <w:p w14:paraId="25ECFB08" w14:textId="121FF177" w:rsidR="00363F0F" w:rsidRPr="0009446C" w:rsidRDefault="00363F0F" w:rsidP="006D1FC3">
            <w:pPr>
              <w:spacing w:line="360" w:lineRule="auto"/>
              <w:jc w:val="both"/>
              <w:textAlignment w:val="baseline"/>
              <w:rPr>
                <w:rFonts w:ascii="Book Antiqua" w:eastAsia="Times New Roman" w:hAnsi="Book Antiqua" w:cs="Segoe UI"/>
                <w:b/>
                <w:bCs/>
                <w:i/>
                <w:iCs/>
                <w:color w:val="FFFFFF"/>
              </w:rPr>
            </w:pPr>
            <w:r w:rsidRPr="00D4328A">
              <w:rPr>
                <w:rFonts w:ascii="Book Antiqua" w:eastAsia="Times New Roman" w:hAnsi="Book Antiqua" w:cs="Calibri"/>
                <w:b/>
                <w:bCs/>
                <w:color w:val="000000"/>
                <w:position w:val="1"/>
              </w:rPr>
              <w:t>Male</w:t>
            </w:r>
            <w:r w:rsidR="005951EA">
              <w:rPr>
                <w:rFonts w:ascii="Book Antiqua" w:eastAsia="Times New Roman" w:hAnsi="Book Antiqua" w:cs="Calibri"/>
                <w:b/>
                <w:bCs/>
                <w:color w:val="000000"/>
                <w:position w:val="1"/>
              </w:rPr>
              <w:t xml:space="preserve">, </w:t>
            </w:r>
            <w:r w:rsidR="005951EA">
              <w:rPr>
                <w:rFonts w:ascii="Book Antiqua" w:eastAsia="Times New Roman" w:hAnsi="Book Antiqua" w:cs="Calibri"/>
                <w:b/>
                <w:bCs/>
                <w:i/>
                <w:iCs/>
                <w:color w:val="000000"/>
                <w:position w:val="1"/>
              </w:rPr>
              <w:t>n</w:t>
            </w:r>
          </w:p>
        </w:tc>
        <w:tc>
          <w:tcPr>
            <w:tcW w:w="2410" w:type="dxa"/>
            <w:tcBorders>
              <w:top w:val="single" w:sz="4" w:space="0" w:color="auto"/>
              <w:bottom w:val="single" w:sz="4" w:space="0" w:color="auto"/>
            </w:tcBorders>
            <w:hideMark/>
          </w:tcPr>
          <w:p w14:paraId="0F67372E" w14:textId="77777777"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Measure of NAFLD</w:t>
            </w:r>
          </w:p>
        </w:tc>
        <w:tc>
          <w:tcPr>
            <w:tcW w:w="2410" w:type="dxa"/>
            <w:tcBorders>
              <w:top w:val="single" w:sz="4" w:space="0" w:color="auto"/>
              <w:bottom w:val="single" w:sz="4" w:space="0" w:color="auto"/>
            </w:tcBorders>
            <w:hideMark/>
          </w:tcPr>
          <w:p w14:paraId="05BC87F4" w14:textId="77777777" w:rsidR="00363F0F" w:rsidRPr="00D4328A" w:rsidRDefault="00363F0F" w:rsidP="006D1FC3">
            <w:pPr>
              <w:spacing w:line="360" w:lineRule="auto"/>
              <w:jc w:val="both"/>
              <w:textAlignment w:val="baseline"/>
              <w:rPr>
                <w:rFonts w:ascii="Book Antiqua" w:eastAsia="Times New Roman" w:hAnsi="Book Antiqua" w:cs="Segoe UI"/>
                <w:b/>
                <w:bCs/>
                <w:color w:val="FFFFFF"/>
              </w:rPr>
            </w:pPr>
            <w:r w:rsidRPr="00D4328A">
              <w:rPr>
                <w:rFonts w:ascii="Book Antiqua" w:eastAsia="Times New Roman" w:hAnsi="Book Antiqua" w:cs="Calibri"/>
                <w:b/>
                <w:bCs/>
                <w:color w:val="000000"/>
                <w:position w:val="1"/>
              </w:rPr>
              <w:t>Measure of NAFLD</w:t>
            </w:r>
          </w:p>
        </w:tc>
      </w:tr>
      <w:tr w:rsidR="00C3703B" w:rsidRPr="00D4328A" w14:paraId="45100919" w14:textId="77777777" w:rsidTr="00FB4F2D">
        <w:trPr>
          <w:trHeight w:val="400"/>
        </w:trPr>
        <w:tc>
          <w:tcPr>
            <w:tcW w:w="993" w:type="dxa"/>
            <w:tcBorders>
              <w:top w:val="single" w:sz="4" w:space="0" w:color="auto"/>
            </w:tcBorders>
            <w:hideMark/>
          </w:tcPr>
          <w:p w14:paraId="331C81F7" w14:textId="77777777"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w:t>
            </w:r>
          </w:p>
        </w:tc>
        <w:tc>
          <w:tcPr>
            <w:tcW w:w="1276" w:type="dxa"/>
            <w:tcBorders>
              <w:top w:val="single" w:sz="4" w:space="0" w:color="auto"/>
            </w:tcBorders>
            <w:hideMark/>
          </w:tcPr>
          <w:p w14:paraId="67B29D1F" w14:textId="4A404E15"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Calapod </w:t>
            </w:r>
            <w:r w:rsidRPr="00D4328A">
              <w:rPr>
                <w:rFonts w:ascii="Book Antiqua" w:eastAsia="Times New Roman" w:hAnsi="Book Antiqua" w:cs="Calibri"/>
                <w:i/>
                <w:iCs/>
                <w:color w:val="000000"/>
                <w:position w:val="1"/>
              </w:rPr>
              <w:t>et al</w:t>
            </w:r>
            <w:r w:rsidRPr="00D4328A">
              <w:rPr>
                <w:rFonts w:ascii="Book Antiqua" w:eastAsia="Times New Roman" w:hAnsi="Book Antiqua" w:cs="Calibri"/>
                <w:color w:val="000000"/>
                <w:position w:val="1"/>
                <w:vertAlign w:val="superscript"/>
              </w:rPr>
              <w:t>[27]</w:t>
            </w:r>
            <w:r w:rsidRPr="00D4328A">
              <w:rPr>
                <w:rFonts w:ascii="Book Antiqua" w:eastAsia="Times New Roman" w:hAnsi="Book Antiqua" w:cs="Calibri"/>
                <w:color w:val="000000"/>
              </w:rPr>
              <w:t xml:space="preserve"> </w:t>
            </w:r>
          </w:p>
        </w:tc>
        <w:tc>
          <w:tcPr>
            <w:tcW w:w="1417" w:type="dxa"/>
            <w:tcBorders>
              <w:top w:val="single" w:sz="4" w:space="0" w:color="auto"/>
            </w:tcBorders>
            <w:hideMark/>
          </w:tcPr>
          <w:p w14:paraId="4A429789" w14:textId="77777777"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Romania</w:t>
            </w:r>
          </w:p>
        </w:tc>
        <w:tc>
          <w:tcPr>
            <w:tcW w:w="1560" w:type="dxa"/>
            <w:tcBorders>
              <w:top w:val="single" w:sz="4" w:space="0" w:color="auto"/>
            </w:tcBorders>
            <w:hideMark/>
          </w:tcPr>
          <w:p w14:paraId="77BC4479" w14:textId="77777777"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Prospective descriptive study</w:t>
            </w:r>
          </w:p>
        </w:tc>
        <w:tc>
          <w:tcPr>
            <w:tcW w:w="1134" w:type="dxa"/>
            <w:tcBorders>
              <w:top w:val="single" w:sz="4" w:space="0" w:color="auto"/>
            </w:tcBorders>
            <w:hideMark/>
          </w:tcPr>
          <w:p w14:paraId="50A4BDF4" w14:textId="4833C248"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47</w:t>
            </w:r>
          </w:p>
        </w:tc>
        <w:tc>
          <w:tcPr>
            <w:tcW w:w="1559" w:type="dxa"/>
            <w:tcBorders>
              <w:top w:val="single" w:sz="4" w:space="0" w:color="auto"/>
            </w:tcBorders>
            <w:hideMark/>
          </w:tcPr>
          <w:p w14:paraId="45234DB1" w14:textId="04B11B9A"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79</w:t>
            </w:r>
          </w:p>
        </w:tc>
        <w:tc>
          <w:tcPr>
            <w:tcW w:w="1276" w:type="dxa"/>
            <w:tcBorders>
              <w:top w:val="single" w:sz="4" w:space="0" w:color="auto"/>
            </w:tcBorders>
            <w:hideMark/>
          </w:tcPr>
          <w:p w14:paraId="7DFE6354" w14:textId="4019F623"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66.32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13.72</w:t>
            </w:r>
          </w:p>
        </w:tc>
        <w:tc>
          <w:tcPr>
            <w:tcW w:w="850" w:type="dxa"/>
            <w:tcBorders>
              <w:top w:val="single" w:sz="4" w:space="0" w:color="auto"/>
            </w:tcBorders>
            <w:hideMark/>
          </w:tcPr>
          <w:p w14:paraId="56B8F28A" w14:textId="3AC87482"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57.20%</w:t>
            </w:r>
          </w:p>
        </w:tc>
        <w:tc>
          <w:tcPr>
            <w:tcW w:w="2410" w:type="dxa"/>
            <w:tcBorders>
              <w:top w:val="single" w:sz="4" w:space="0" w:color="auto"/>
            </w:tcBorders>
            <w:hideMark/>
          </w:tcPr>
          <w:p w14:paraId="2394693D" w14:textId="2D803E03"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Imaging evidence (ultrasound or computer tomography)</w:t>
            </w:r>
          </w:p>
        </w:tc>
        <w:tc>
          <w:tcPr>
            <w:tcW w:w="2410" w:type="dxa"/>
            <w:tcBorders>
              <w:top w:val="single" w:sz="4" w:space="0" w:color="auto"/>
            </w:tcBorders>
            <w:hideMark/>
          </w:tcPr>
          <w:p w14:paraId="0AFDC8E1" w14:textId="3C42EE6E" w:rsidR="00C3703B" w:rsidRPr="00D4328A" w:rsidRDefault="00C3703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Biochemical enzymes (</w:t>
            </w:r>
            <w:r w:rsidR="00472334" w:rsidRPr="00D4328A">
              <w:rPr>
                <w:rFonts w:ascii="Book Antiqua" w:eastAsia="Book Antiqua" w:hAnsi="Book Antiqua" w:cs="Book Antiqua"/>
                <w:color w:val="000000"/>
              </w:rPr>
              <w:t>liver function test</w:t>
            </w:r>
            <w:r w:rsidRPr="00D4328A">
              <w:rPr>
                <w:rFonts w:ascii="Book Antiqua" w:eastAsia="Times New Roman" w:hAnsi="Book Antiqua" w:cs="Calibri"/>
                <w:color w:val="000000"/>
                <w:position w:val="1"/>
              </w:rPr>
              <w:t xml:space="preserve">) within the past 12 </w:t>
            </w:r>
            <w:r w:rsidR="00FB42F6" w:rsidRPr="00D4328A">
              <w:rPr>
                <w:rFonts w:ascii="Book Antiqua" w:eastAsia="Times New Roman" w:hAnsi="Book Antiqua" w:cs="Calibri"/>
                <w:color w:val="000000"/>
                <w:position w:val="1"/>
              </w:rPr>
              <w:t>mo.</w:t>
            </w:r>
          </w:p>
        </w:tc>
      </w:tr>
      <w:tr w:rsidR="001A090B" w:rsidRPr="00D4328A" w14:paraId="7CD22781" w14:textId="77777777" w:rsidTr="00FB4F2D">
        <w:trPr>
          <w:trHeight w:val="400"/>
        </w:trPr>
        <w:tc>
          <w:tcPr>
            <w:tcW w:w="993" w:type="dxa"/>
            <w:hideMark/>
          </w:tcPr>
          <w:p w14:paraId="1339E81D"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w:t>
            </w:r>
          </w:p>
        </w:tc>
        <w:tc>
          <w:tcPr>
            <w:tcW w:w="1276" w:type="dxa"/>
            <w:hideMark/>
          </w:tcPr>
          <w:p w14:paraId="2F8A66D2" w14:textId="08F65471"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Campos-Varela </w:t>
            </w:r>
            <w:r w:rsidRPr="00D4328A">
              <w:rPr>
                <w:rFonts w:ascii="Book Antiqua" w:eastAsia="Times New Roman" w:hAnsi="Book Antiqua" w:cs="Calibri"/>
                <w:i/>
                <w:iCs/>
                <w:color w:val="000000"/>
                <w:position w:val="1"/>
              </w:rPr>
              <w:t>et al</w:t>
            </w:r>
            <w:r w:rsidRPr="00D4328A">
              <w:rPr>
                <w:rFonts w:ascii="Book Antiqua" w:eastAsia="Times New Roman" w:hAnsi="Book Antiqua" w:cs="Calibri"/>
                <w:color w:val="000000"/>
                <w:position w:val="1"/>
                <w:vertAlign w:val="superscript"/>
              </w:rPr>
              <w:t>[28]</w:t>
            </w:r>
          </w:p>
        </w:tc>
        <w:tc>
          <w:tcPr>
            <w:tcW w:w="1417" w:type="dxa"/>
            <w:hideMark/>
          </w:tcPr>
          <w:p w14:paraId="6B97484C"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Spain</w:t>
            </w:r>
          </w:p>
        </w:tc>
        <w:tc>
          <w:tcPr>
            <w:tcW w:w="1560" w:type="dxa"/>
            <w:hideMark/>
          </w:tcPr>
          <w:p w14:paraId="25BD8CCA"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Prospective observational (cohort) study</w:t>
            </w:r>
          </w:p>
        </w:tc>
        <w:tc>
          <w:tcPr>
            <w:tcW w:w="1134" w:type="dxa"/>
            <w:hideMark/>
          </w:tcPr>
          <w:p w14:paraId="61A343C3" w14:textId="1D2D197B"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271</w:t>
            </w:r>
          </w:p>
        </w:tc>
        <w:tc>
          <w:tcPr>
            <w:tcW w:w="1559" w:type="dxa"/>
            <w:hideMark/>
          </w:tcPr>
          <w:p w14:paraId="6B84D30C" w14:textId="663752A8"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29</w:t>
            </w:r>
          </w:p>
        </w:tc>
        <w:tc>
          <w:tcPr>
            <w:tcW w:w="1276" w:type="dxa"/>
            <w:hideMark/>
          </w:tcPr>
          <w:p w14:paraId="1F51CD50" w14:textId="213C02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55.25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11.69</w:t>
            </w:r>
          </w:p>
        </w:tc>
        <w:tc>
          <w:tcPr>
            <w:tcW w:w="850" w:type="dxa"/>
            <w:hideMark/>
          </w:tcPr>
          <w:p w14:paraId="10F3C973" w14:textId="16375418"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49%</w:t>
            </w:r>
          </w:p>
        </w:tc>
        <w:tc>
          <w:tcPr>
            <w:tcW w:w="2410" w:type="dxa"/>
            <w:hideMark/>
          </w:tcPr>
          <w:p w14:paraId="2669A85E" w14:textId="5EB9E480"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Liver steatosis by hepatic steatosis index</w:t>
            </w:r>
          </w:p>
        </w:tc>
        <w:tc>
          <w:tcPr>
            <w:tcW w:w="2410" w:type="dxa"/>
            <w:hideMark/>
          </w:tcPr>
          <w:p w14:paraId="729297B0" w14:textId="1812A470"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Transient elastography by controlled attenuation parameter</w:t>
            </w:r>
          </w:p>
        </w:tc>
      </w:tr>
      <w:tr w:rsidR="001A090B" w:rsidRPr="00D4328A" w14:paraId="5568CCA0" w14:textId="77777777" w:rsidTr="00FB4F2D">
        <w:trPr>
          <w:trHeight w:val="400"/>
        </w:trPr>
        <w:tc>
          <w:tcPr>
            <w:tcW w:w="993" w:type="dxa"/>
            <w:hideMark/>
          </w:tcPr>
          <w:p w14:paraId="254287B6"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w:t>
            </w:r>
          </w:p>
        </w:tc>
        <w:tc>
          <w:tcPr>
            <w:tcW w:w="1276" w:type="dxa"/>
            <w:hideMark/>
          </w:tcPr>
          <w:p w14:paraId="045D10BC" w14:textId="1986464E"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Chang </w:t>
            </w:r>
            <w:r w:rsidRPr="00D4328A">
              <w:rPr>
                <w:rFonts w:ascii="Book Antiqua" w:eastAsia="Times New Roman" w:hAnsi="Book Antiqua" w:cs="Calibri"/>
                <w:i/>
                <w:iCs/>
                <w:color w:val="000000"/>
                <w:position w:val="1"/>
              </w:rPr>
              <w:t>et al</w:t>
            </w:r>
            <w:r w:rsidRPr="00D4328A">
              <w:rPr>
                <w:rFonts w:ascii="Book Antiqua" w:eastAsia="Times New Roman" w:hAnsi="Book Antiqua" w:cs="Calibri"/>
                <w:color w:val="000000"/>
                <w:position w:val="1"/>
                <w:vertAlign w:val="superscript"/>
              </w:rPr>
              <w:t>[29]</w:t>
            </w:r>
          </w:p>
        </w:tc>
        <w:tc>
          <w:tcPr>
            <w:tcW w:w="1417" w:type="dxa"/>
            <w:hideMark/>
          </w:tcPr>
          <w:p w14:paraId="0157B7F2"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South Korea</w:t>
            </w:r>
          </w:p>
        </w:tc>
        <w:tc>
          <w:tcPr>
            <w:tcW w:w="1560" w:type="dxa"/>
            <w:hideMark/>
          </w:tcPr>
          <w:p w14:paraId="1D386282"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6DE68C11" w14:textId="4F43E19F"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2082</w:t>
            </w:r>
          </w:p>
        </w:tc>
        <w:tc>
          <w:tcPr>
            <w:tcW w:w="1559" w:type="dxa"/>
            <w:hideMark/>
          </w:tcPr>
          <w:p w14:paraId="31F6125E" w14:textId="7A336EF1"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1040</w:t>
            </w:r>
          </w:p>
        </w:tc>
        <w:tc>
          <w:tcPr>
            <w:tcW w:w="1276" w:type="dxa"/>
            <w:hideMark/>
          </w:tcPr>
          <w:p w14:paraId="73266B91" w14:textId="486FF603"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37779698"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30.72% </w:t>
            </w:r>
          </w:p>
        </w:tc>
        <w:tc>
          <w:tcPr>
            <w:tcW w:w="2410" w:type="dxa"/>
            <w:hideMark/>
          </w:tcPr>
          <w:p w14:paraId="01F96F15" w14:textId="2D0D4B94"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FLI index</w:t>
            </w:r>
          </w:p>
        </w:tc>
        <w:tc>
          <w:tcPr>
            <w:tcW w:w="2410" w:type="dxa"/>
            <w:hideMark/>
          </w:tcPr>
          <w:p w14:paraId="4DABDDCC"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p>
        </w:tc>
      </w:tr>
      <w:tr w:rsidR="001A090B" w:rsidRPr="00D4328A" w14:paraId="062230B9" w14:textId="77777777" w:rsidTr="00FB4F2D">
        <w:trPr>
          <w:trHeight w:val="400"/>
        </w:trPr>
        <w:tc>
          <w:tcPr>
            <w:tcW w:w="993" w:type="dxa"/>
            <w:hideMark/>
          </w:tcPr>
          <w:p w14:paraId="307EF715"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w:t>
            </w:r>
          </w:p>
        </w:tc>
        <w:tc>
          <w:tcPr>
            <w:tcW w:w="1276" w:type="dxa"/>
            <w:hideMark/>
          </w:tcPr>
          <w:p w14:paraId="11D9BC1F" w14:textId="45930ED8"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Chen </w:t>
            </w:r>
            <w:r w:rsidRPr="00D4328A">
              <w:rPr>
                <w:rFonts w:ascii="Book Antiqua" w:eastAsia="Times New Roman" w:hAnsi="Book Antiqua" w:cs="Calibri"/>
                <w:i/>
                <w:iCs/>
                <w:color w:val="000000"/>
                <w:position w:val="1"/>
              </w:rPr>
              <w:t>et al</w:t>
            </w:r>
            <w:r w:rsidRPr="00D4328A">
              <w:rPr>
                <w:rFonts w:ascii="Book Antiqua" w:eastAsia="Times New Roman" w:hAnsi="Book Antiqua" w:cs="Calibri"/>
                <w:color w:val="000000"/>
                <w:position w:val="1"/>
                <w:vertAlign w:val="superscript"/>
              </w:rPr>
              <w:t>[30]</w:t>
            </w:r>
          </w:p>
        </w:tc>
        <w:tc>
          <w:tcPr>
            <w:tcW w:w="1417" w:type="dxa"/>
            <w:hideMark/>
          </w:tcPr>
          <w:p w14:paraId="69129C6B"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0A07A6B1"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single-center cohort study</w:t>
            </w:r>
          </w:p>
        </w:tc>
        <w:tc>
          <w:tcPr>
            <w:tcW w:w="1134" w:type="dxa"/>
            <w:hideMark/>
          </w:tcPr>
          <w:p w14:paraId="29EE54C9" w14:textId="35AD4791"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178</w:t>
            </w:r>
          </w:p>
        </w:tc>
        <w:tc>
          <w:tcPr>
            <w:tcW w:w="1559" w:type="dxa"/>
            <w:hideMark/>
          </w:tcPr>
          <w:p w14:paraId="65B8415C" w14:textId="539F4A02"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164</w:t>
            </w:r>
          </w:p>
        </w:tc>
        <w:tc>
          <w:tcPr>
            <w:tcW w:w="1276" w:type="dxa"/>
            <w:hideMark/>
          </w:tcPr>
          <w:p w14:paraId="389A5431" w14:textId="37FAD36B"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62.6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15.6</w:t>
            </w:r>
          </w:p>
        </w:tc>
        <w:tc>
          <w:tcPr>
            <w:tcW w:w="850" w:type="dxa"/>
            <w:hideMark/>
          </w:tcPr>
          <w:p w14:paraId="7C72D772"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53.50% </w:t>
            </w:r>
          </w:p>
        </w:tc>
        <w:tc>
          <w:tcPr>
            <w:tcW w:w="2410" w:type="dxa"/>
            <w:hideMark/>
          </w:tcPr>
          <w:p w14:paraId="55AB3CD6" w14:textId="152CD1D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Liver steatosis</w:t>
            </w:r>
          </w:p>
        </w:tc>
        <w:tc>
          <w:tcPr>
            <w:tcW w:w="2410" w:type="dxa"/>
            <w:hideMark/>
          </w:tcPr>
          <w:p w14:paraId="172BCB47" w14:textId="3E654CA8"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Imaging evidence of steatosis &gt; 30 d before COVID-19 diagnosis, or hepatic steatosis index</w:t>
            </w:r>
          </w:p>
        </w:tc>
      </w:tr>
      <w:tr w:rsidR="001A090B" w:rsidRPr="00D4328A" w14:paraId="097842CA" w14:textId="77777777" w:rsidTr="00FB4F2D">
        <w:trPr>
          <w:trHeight w:val="400"/>
        </w:trPr>
        <w:tc>
          <w:tcPr>
            <w:tcW w:w="993" w:type="dxa"/>
            <w:hideMark/>
          </w:tcPr>
          <w:p w14:paraId="68B3D916"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lastRenderedPageBreak/>
              <w:t>5</w:t>
            </w:r>
          </w:p>
        </w:tc>
        <w:tc>
          <w:tcPr>
            <w:tcW w:w="1276" w:type="dxa"/>
            <w:hideMark/>
          </w:tcPr>
          <w:p w14:paraId="569BFD74" w14:textId="0E2267D3"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Çoraplı </w:t>
            </w:r>
            <w:r w:rsidRPr="00D4328A">
              <w:rPr>
                <w:rFonts w:ascii="Book Antiqua" w:eastAsia="Times New Roman" w:hAnsi="Book Antiqua" w:cs="Calibri"/>
                <w:i/>
                <w:iCs/>
                <w:color w:val="000000"/>
                <w:position w:val="1"/>
              </w:rPr>
              <w:t>et al</w:t>
            </w:r>
            <w:r w:rsidRPr="00D4328A">
              <w:rPr>
                <w:rFonts w:ascii="Book Antiqua" w:eastAsia="Times New Roman" w:hAnsi="Book Antiqua" w:cs="Calibri"/>
                <w:color w:val="000000"/>
                <w:position w:val="1"/>
                <w:vertAlign w:val="superscript"/>
              </w:rPr>
              <w:t>[31]</w:t>
            </w:r>
          </w:p>
        </w:tc>
        <w:tc>
          <w:tcPr>
            <w:tcW w:w="1417" w:type="dxa"/>
            <w:hideMark/>
          </w:tcPr>
          <w:p w14:paraId="39572A86"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Turkey</w:t>
            </w:r>
          </w:p>
        </w:tc>
        <w:tc>
          <w:tcPr>
            <w:tcW w:w="1560" w:type="dxa"/>
            <w:hideMark/>
          </w:tcPr>
          <w:p w14:paraId="60073949"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3CB53B82" w14:textId="58F5C00D"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106</w:t>
            </w:r>
          </w:p>
        </w:tc>
        <w:tc>
          <w:tcPr>
            <w:tcW w:w="1559" w:type="dxa"/>
            <w:hideMark/>
          </w:tcPr>
          <w:p w14:paraId="3D5ADC74" w14:textId="66D5879D"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308</w:t>
            </w:r>
          </w:p>
        </w:tc>
        <w:tc>
          <w:tcPr>
            <w:tcW w:w="1276" w:type="dxa"/>
            <w:hideMark/>
          </w:tcPr>
          <w:p w14:paraId="7F328669" w14:textId="4014AE02"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5F141E2E" w14:textId="74645692"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56.04%</w:t>
            </w:r>
          </w:p>
        </w:tc>
        <w:tc>
          <w:tcPr>
            <w:tcW w:w="2410" w:type="dxa"/>
            <w:hideMark/>
          </w:tcPr>
          <w:p w14:paraId="3779A682" w14:textId="1DB1B92C"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Hepatic-to-splenic attenuation ratio</w:t>
            </w:r>
          </w:p>
        </w:tc>
        <w:tc>
          <w:tcPr>
            <w:tcW w:w="2410" w:type="dxa"/>
            <w:hideMark/>
          </w:tcPr>
          <w:p w14:paraId="7B410C0D"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p>
        </w:tc>
      </w:tr>
      <w:tr w:rsidR="001A090B" w:rsidRPr="00D4328A" w14:paraId="2BC617C1" w14:textId="77777777" w:rsidTr="00FB4F2D">
        <w:trPr>
          <w:trHeight w:val="400"/>
        </w:trPr>
        <w:tc>
          <w:tcPr>
            <w:tcW w:w="993" w:type="dxa"/>
            <w:hideMark/>
          </w:tcPr>
          <w:p w14:paraId="65A700CB"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w:t>
            </w:r>
          </w:p>
        </w:tc>
        <w:tc>
          <w:tcPr>
            <w:tcW w:w="1276" w:type="dxa"/>
            <w:hideMark/>
          </w:tcPr>
          <w:p w14:paraId="52D65B8A" w14:textId="26840704"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Davidov-Derevynko </w:t>
            </w:r>
            <w:r w:rsidRPr="00D4328A">
              <w:rPr>
                <w:rFonts w:ascii="Book Antiqua" w:eastAsia="Times New Roman" w:hAnsi="Book Antiqua" w:cs="Calibri"/>
                <w:i/>
                <w:iCs/>
                <w:color w:val="000000"/>
                <w:position w:val="1"/>
              </w:rPr>
              <w:t>et al</w:t>
            </w:r>
            <w:r w:rsidRPr="00D4328A">
              <w:rPr>
                <w:rFonts w:ascii="Book Antiqua" w:eastAsia="Times New Roman" w:hAnsi="Book Antiqua" w:cs="Calibri"/>
                <w:color w:val="000000"/>
                <w:position w:val="1"/>
                <w:vertAlign w:val="superscript"/>
              </w:rPr>
              <w:t>[32]</w:t>
            </w:r>
          </w:p>
        </w:tc>
        <w:tc>
          <w:tcPr>
            <w:tcW w:w="1417" w:type="dxa"/>
            <w:hideMark/>
          </w:tcPr>
          <w:p w14:paraId="04829747"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Israel</w:t>
            </w:r>
          </w:p>
        </w:tc>
        <w:tc>
          <w:tcPr>
            <w:tcW w:w="1560" w:type="dxa"/>
            <w:hideMark/>
          </w:tcPr>
          <w:p w14:paraId="20F21F9D"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Single center retrospective cohort study</w:t>
            </w:r>
          </w:p>
        </w:tc>
        <w:tc>
          <w:tcPr>
            <w:tcW w:w="1134" w:type="dxa"/>
            <w:hideMark/>
          </w:tcPr>
          <w:p w14:paraId="1B18F747" w14:textId="320DF84D"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47</w:t>
            </w:r>
          </w:p>
        </w:tc>
        <w:tc>
          <w:tcPr>
            <w:tcW w:w="1559" w:type="dxa"/>
            <w:hideMark/>
          </w:tcPr>
          <w:p w14:paraId="68F7A126" w14:textId="5CFB5F43"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335</w:t>
            </w:r>
          </w:p>
        </w:tc>
        <w:tc>
          <w:tcPr>
            <w:tcW w:w="1276" w:type="dxa"/>
            <w:hideMark/>
          </w:tcPr>
          <w:p w14:paraId="23681629" w14:textId="1E5AB186"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58.6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18.6</w:t>
            </w:r>
          </w:p>
        </w:tc>
        <w:tc>
          <w:tcPr>
            <w:tcW w:w="850" w:type="dxa"/>
            <w:hideMark/>
          </w:tcPr>
          <w:p w14:paraId="50BD9559" w14:textId="03ADC96A"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61%</w:t>
            </w:r>
          </w:p>
        </w:tc>
        <w:tc>
          <w:tcPr>
            <w:tcW w:w="2410" w:type="dxa"/>
            <w:hideMark/>
          </w:tcPr>
          <w:p w14:paraId="6021392B" w14:textId="46DAA7D9"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Imaging, previous medical records, admission </w:t>
            </w:r>
            <w:r w:rsidR="00C167AA" w:rsidRPr="00D4328A">
              <w:rPr>
                <w:rFonts w:ascii="Book Antiqua" w:eastAsia="Times New Roman" w:hAnsi="Book Antiqua" w:cs="Calibri"/>
                <w:color w:val="000000"/>
                <w:position w:val="1"/>
              </w:rPr>
              <w:t>fibrosis-4</w:t>
            </w:r>
          </w:p>
        </w:tc>
        <w:tc>
          <w:tcPr>
            <w:tcW w:w="2410" w:type="dxa"/>
            <w:hideMark/>
          </w:tcPr>
          <w:p w14:paraId="59479FB0" w14:textId="6D575B66"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Prior liver enzymes</w:t>
            </w:r>
          </w:p>
        </w:tc>
      </w:tr>
      <w:tr w:rsidR="001A090B" w:rsidRPr="00D4328A" w14:paraId="6E3406CF" w14:textId="77777777" w:rsidTr="00FB4F2D">
        <w:trPr>
          <w:trHeight w:val="400"/>
        </w:trPr>
        <w:tc>
          <w:tcPr>
            <w:tcW w:w="993" w:type="dxa"/>
            <w:hideMark/>
          </w:tcPr>
          <w:p w14:paraId="698A0168"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7</w:t>
            </w:r>
          </w:p>
        </w:tc>
        <w:tc>
          <w:tcPr>
            <w:tcW w:w="1276" w:type="dxa"/>
            <w:hideMark/>
          </w:tcPr>
          <w:p w14:paraId="6E64D8C2" w14:textId="6561DA5C"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Demir</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[33]</w:t>
            </w:r>
          </w:p>
        </w:tc>
        <w:tc>
          <w:tcPr>
            <w:tcW w:w="1417" w:type="dxa"/>
            <w:hideMark/>
          </w:tcPr>
          <w:p w14:paraId="2DDC6C7C"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Turkey</w:t>
            </w:r>
          </w:p>
        </w:tc>
        <w:tc>
          <w:tcPr>
            <w:tcW w:w="1560" w:type="dxa"/>
            <w:hideMark/>
          </w:tcPr>
          <w:p w14:paraId="7C3A9AFF"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4C1B9F6F" w14:textId="7602EBE3"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349</w:t>
            </w:r>
          </w:p>
        </w:tc>
        <w:tc>
          <w:tcPr>
            <w:tcW w:w="1559" w:type="dxa"/>
            <w:hideMark/>
          </w:tcPr>
          <w:p w14:paraId="1C388073" w14:textId="692055F4"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270</w:t>
            </w:r>
          </w:p>
        </w:tc>
        <w:tc>
          <w:tcPr>
            <w:tcW w:w="1276" w:type="dxa"/>
            <w:hideMark/>
          </w:tcPr>
          <w:p w14:paraId="06AC3B44" w14:textId="0EE1E8D3"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51.6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9.65</w:t>
            </w:r>
          </w:p>
        </w:tc>
        <w:tc>
          <w:tcPr>
            <w:tcW w:w="850" w:type="dxa"/>
            <w:hideMark/>
          </w:tcPr>
          <w:p w14:paraId="41F49E29"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58.60% </w:t>
            </w:r>
          </w:p>
        </w:tc>
        <w:tc>
          <w:tcPr>
            <w:tcW w:w="2410" w:type="dxa"/>
            <w:hideMark/>
          </w:tcPr>
          <w:p w14:paraId="045CEA49" w14:textId="5F23566E" w:rsidR="001A090B"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Fibrosis-4</w:t>
            </w:r>
            <w:r w:rsidR="001A090B" w:rsidRPr="00D4328A">
              <w:rPr>
                <w:rFonts w:ascii="Book Antiqua" w:eastAsia="Times New Roman" w:hAnsi="Book Antiqua" w:cs="Calibri"/>
                <w:color w:val="000000"/>
                <w:position w:val="1"/>
              </w:rPr>
              <w:t xml:space="preserve"> index</w:t>
            </w:r>
          </w:p>
        </w:tc>
        <w:tc>
          <w:tcPr>
            <w:tcW w:w="2410" w:type="dxa"/>
            <w:hideMark/>
          </w:tcPr>
          <w:p w14:paraId="11BF2D28"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p>
        </w:tc>
      </w:tr>
      <w:tr w:rsidR="001A090B" w:rsidRPr="00D4328A" w14:paraId="6A106193" w14:textId="77777777" w:rsidTr="00FB4F2D">
        <w:trPr>
          <w:trHeight w:val="400"/>
        </w:trPr>
        <w:tc>
          <w:tcPr>
            <w:tcW w:w="993" w:type="dxa"/>
            <w:hideMark/>
          </w:tcPr>
          <w:p w14:paraId="5CF624A4"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w:t>
            </w:r>
          </w:p>
        </w:tc>
        <w:tc>
          <w:tcPr>
            <w:tcW w:w="1276" w:type="dxa"/>
            <w:hideMark/>
          </w:tcPr>
          <w:p w14:paraId="69E881B7" w14:textId="75891BCC"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Ji</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[34]</w:t>
            </w:r>
          </w:p>
        </w:tc>
        <w:tc>
          <w:tcPr>
            <w:tcW w:w="1417" w:type="dxa"/>
            <w:hideMark/>
          </w:tcPr>
          <w:p w14:paraId="17C53707"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China</w:t>
            </w:r>
          </w:p>
        </w:tc>
        <w:tc>
          <w:tcPr>
            <w:tcW w:w="1560" w:type="dxa"/>
            <w:hideMark/>
          </w:tcPr>
          <w:p w14:paraId="03DCD074"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Cohort</w:t>
            </w:r>
          </w:p>
        </w:tc>
        <w:tc>
          <w:tcPr>
            <w:tcW w:w="1134" w:type="dxa"/>
            <w:hideMark/>
          </w:tcPr>
          <w:p w14:paraId="289B6188" w14:textId="27FC46DD"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19</w:t>
            </w:r>
          </w:p>
        </w:tc>
        <w:tc>
          <w:tcPr>
            <w:tcW w:w="1559" w:type="dxa"/>
            <w:hideMark/>
          </w:tcPr>
          <w:p w14:paraId="59989C50" w14:textId="1437598A"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35</w:t>
            </w:r>
          </w:p>
        </w:tc>
        <w:tc>
          <w:tcPr>
            <w:tcW w:w="1276" w:type="dxa"/>
            <w:hideMark/>
          </w:tcPr>
          <w:p w14:paraId="747AA4F3" w14:textId="0D5FE2C1"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43.6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14.1</w:t>
            </w:r>
          </w:p>
        </w:tc>
        <w:tc>
          <w:tcPr>
            <w:tcW w:w="850" w:type="dxa"/>
            <w:hideMark/>
          </w:tcPr>
          <w:p w14:paraId="296D71A0" w14:textId="0556982A"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58.6</w:t>
            </w:r>
          </w:p>
        </w:tc>
        <w:tc>
          <w:tcPr>
            <w:tcW w:w="2410" w:type="dxa"/>
            <w:hideMark/>
          </w:tcPr>
          <w:p w14:paraId="1187122C" w14:textId="44FE1681" w:rsidR="001A090B"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Fibrosis-4</w:t>
            </w:r>
            <w:r w:rsidR="001A090B" w:rsidRPr="00D4328A">
              <w:rPr>
                <w:rFonts w:ascii="Book Antiqua" w:eastAsia="Times New Roman" w:hAnsi="Book Antiqua" w:cs="Calibri"/>
                <w:color w:val="000000"/>
                <w:position w:val="1"/>
              </w:rPr>
              <w:t xml:space="preserve"> index, APRI, ultrasound</w:t>
            </w:r>
          </w:p>
        </w:tc>
        <w:tc>
          <w:tcPr>
            <w:tcW w:w="2410" w:type="dxa"/>
            <w:hideMark/>
          </w:tcPr>
          <w:p w14:paraId="39576D7F"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p>
        </w:tc>
      </w:tr>
      <w:tr w:rsidR="001A090B" w:rsidRPr="00D4328A" w14:paraId="15D92517" w14:textId="77777777" w:rsidTr="00FB4F2D">
        <w:trPr>
          <w:trHeight w:val="400"/>
        </w:trPr>
        <w:tc>
          <w:tcPr>
            <w:tcW w:w="993" w:type="dxa"/>
            <w:hideMark/>
          </w:tcPr>
          <w:p w14:paraId="117C2656"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9</w:t>
            </w:r>
          </w:p>
        </w:tc>
        <w:tc>
          <w:tcPr>
            <w:tcW w:w="1276" w:type="dxa"/>
            <w:hideMark/>
          </w:tcPr>
          <w:p w14:paraId="62D7743A" w14:textId="178F0BC9"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Effenberger</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[35]</w:t>
            </w:r>
          </w:p>
        </w:tc>
        <w:tc>
          <w:tcPr>
            <w:tcW w:w="1417" w:type="dxa"/>
            <w:hideMark/>
          </w:tcPr>
          <w:p w14:paraId="7E92BDBE"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Austria</w:t>
            </w:r>
          </w:p>
        </w:tc>
        <w:tc>
          <w:tcPr>
            <w:tcW w:w="1560" w:type="dxa"/>
            <w:hideMark/>
          </w:tcPr>
          <w:p w14:paraId="5E8618B5"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Prospective study</w:t>
            </w:r>
          </w:p>
        </w:tc>
        <w:tc>
          <w:tcPr>
            <w:tcW w:w="1134" w:type="dxa"/>
            <w:hideMark/>
          </w:tcPr>
          <w:p w14:paraId="0AC1B64D" w14:textId="65C3EE1E"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12</w:t>
            </w:r>
          </w:p>
        </w:tc>
        <w:tc>
          <w:tcPr>
            <w:tcW w:w="1559" w:type="dxa"/>
            <w:hideMark/>
          </w:tcPr>
          <w:p w14:paraId="4E10BE30" w14:textId="2892D568"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20</w:t>
            </w:r>
          </w:p>
        </w:tc>
        <w:tc>
          <w:tcPr>
            <w:tcW w:w="1276" w:type="dxa"/>
            <w:hideMark/>
          </w:tcPr>
          <w:p w14:paraId="6360FA51" w14:textId="6B9070E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50B3DB40" w14:textId="77777777"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40.62% </w:t>
            </w:r>
          </w:p>
        </w:tc>
        <w:tc>
          <w:tcPr>
            <w:tcW w:w="2410" w:type="dxa"/>
            <w:hideMark/>
          </w:tcPr>
          <w:p w14:paraId="538CB0E3" w14:textId="4ADCC3FF"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Liver stiffness measurements and controlled attenuation parameter with a fibro scan</w:t>
            </w:r>
          </w:p>
        </w:tc>
        <w:tc>
          <w:tcPr>
            <w:tcW w:w="2410" w:type="dxa"/>
            <w:hideMark/>
          </w:tcPr>
          <w:p w14:paraId="37FD920F" w14:textId="41AC9B5B" w:rsidR="001A090B" w:rsidRPr="00D4328A" w:rsidRDefault="001A090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Liver and spleen sonography and elastography</w:t>
            </w:r>
          </w:p>
        </w:tc>
      </w:tr>
      <w:tr w:rsidR="00C167AA" w:rsidRPr="00D4328A" w14:paraId="4F3B1FE4" w14:textId="77777777" w:rsidTr="00FB4F2D">
        <w:trPr>
          <w:trHeight w:val="400"/>
        </w:trPr>
        <w:tc>
          <w:tcPr>
            <w:tcW w:w="993" w:type="dxa"/>
            <w:hideMark/>
          </w:tcPr>
          <w:p w14:paraId="46709C73"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lastRenderedPageBreak/>
              <w:t>10</w:t>
            </w:r>
          </w:p>
        </w:tc>
        <w:tc>
          <w:tcPr>
            <w:tcW w:w="1276" w:type="dxa"/>
            <w:hideMark/>
          </w:tcPr>
          <w:p w14:paraId="692ED159" w14:textId="6B0A52DE"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Elfeki</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[36]</w:t>
            </w:r>
          </w:p>
        </w:tc>
        <w:tc>
          <w:tcPr>
            <w:tcW w:w="1417" w:type="dxa"/>
            <w:hideMark/>
          </w:tcPr>
          <w:p w14:paraId="442240E9"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712114F7"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12179E55" w14:textId="35CB0DD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88</w:t>
            </w:r>
          </w:p>
        </w:tc>
        <w:tc>
          <w:tcPr>
            <w:tcW w:w="1559" w:type="dxa"/>
            <w:hideMark/>
          </w:tcPr>
          <w:p w14:paraId="415CC4E5" w14:textId="452EF71E"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285</w:t>
            </w:r>
          </w:p>
        </w:tc>
        <w:tc>
          <w:tcPr>
            <w:tcW w:w="1276" w:type="dxa"/>
            <w:hideMark/>
          </w:tcPr>
          <w:p w14:paraId="68B2323D" w14:textId="253D8BF5"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63.3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14.8</w:t>
            </w:r>
          </w:p>
        </w:tc>
        <w:tc>
          <w:tcPr>
            <w:tcW w:w="850" w:type="dxa"/>
            <w:hideMark/>
          </w:tcPr>
          <w:p w14:paraId="4C5C96F0" w14:textId="4DF4F570"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52%</w:t>
            </w:r>
          </w:p>
        </w:tc>
        <w:tc>
          <w:tcPr>
            <w:tcW w:w="2410" w:type="dxa"/>
            <w:hideMark/>
          </w:tcPr>
          <w:p w14:paraId="7775AC39" w14:textId="7B357C78"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Prior data lab values</w:t>
            </w:r>
          </w:p>
        </w:tc>
        <w:tc>
          <w:tcPr>
            <w:tcW w:w="2410" w:type="dxa"/>
            <w:hideMark/>
          </w:tcPr>
          <w:p w14:paraId="2565D8CE"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22DC5BEE" w14:textId="77777777" w:rsidTr="00FB4F2D">
        <w:trPr>
          <w:trHeight w:val="400"/>
        </w:trPr>
        <w:tc>
          <w:tcPr>
            <w:tcW w:w="993" w:type="dxa"/>
            <w:hideMark/>
          </w:tcPr>
          <w:p w14:paraId="2A434B7D"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11</w:t>
            </w:r>
          </w:p>
        </w:tc>
        <w:tc>
          <w:tcPr>
            <w:tcW w:w="1276" w:type="dxa"/>
            <w:hideMark/>
          </w:tcPr>
          <w:p w14:paraId="72B3D632" w14:textId="5C0EFF1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Forlano</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[14]</w:t>
            </w:r>
          </w:p>
        </w:tc>
        <w:tc>
          <w:tcPr>
            <w:tcW w:w="1417" w:type="dxa"/>
            <w:hideMark/>
          </w:tcPr>
          <w:p w14:paraId="782D298E"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Kingdom</w:t>
            </w:r>
          </w:p>
        </w:tc>
        <w:tc>
          <w:tcPr>
            <w:tcW w:w="1560" w:type="dxa"/>
            <w:hideMark/>
          </w:tcPr>
          <w:p w14:paraId="77A03447"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73E3167C" w14:textId="465CD23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61</w:t>
            </w:r>
          </w:p>
        </w:tc>
        <w:tc>
          <w:tcPr>
            <w:tcW w:w="1559" w:type="dxa"/>
            <w:hideMark/>
          </w:tcPr>
          <w:p w14:paraId="32C500C2" w14:textId="71F8B4E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132</w:t>
            </w:r>
          </w:p>
        </w:tc>
        <w:tc>
          <w:tcPr>
            <w:tcW w:w="1276" w:type="dxa"/>
            <w:hideMark/>
          </w:tcPr>
          <w:p w14:paraId="2F7B3F10" w14:textId="0EB992A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783D3EC1" w14:textId="003BD049"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60%</w:t>
            </w:r>
          </w:p>
        </w:tc>
        <w:tc>
          <w:tcPr>
            <w:tcW w:w="2410" w:type="dxa"/>
            <w:hideMark/>
          </w:tcPr>
          <w:p w14:paraId="0F324D79" w14:textId="517A2C84"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Fibrosis-4 index</w:t>
            </w:r>
          </w:p>
        </w:tc>
        <w:tc>
          <w:tcPr>
            <w:tcW w:w="2410" w:type="dxa"/>
            <w:hideMark/>
          </w:tcPr>
          <w:p w14:paraId="10E1007C" w14:textId="647AAF30"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Imaging (either ultrasound or computerized tomography) or past medical history</w:t>
            </w:r>
          </w:p>
        </w:tc>
      </w:tr>
      <w:tr w:rsidR="00C167AA" w:rsidRPr="00D4328A" w14:paraId="02B1B124" w14:textId="77777777" w:rsidTr="00FB4F2D">
        <w:trPr>
          <w:trHeight w:val="400"/>
        </w:trPr>
        <w:tc>
          <w:tcPr>
            <w:tcW w:w="993" w:type="dxa"/>
            <w:hideMark/>
          </w:tcPr>
          <w:p w14:paraId="7ABF8CDA"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12</w:t>
            </w:r>
          </w:p>
        </w:tc>
        <w:tc>
          <w:tcPr>
            <w:tcW w:w="1276" w:type="dxa"/>
            <w:hideMark/>
          </w:tcPr>
          <w:p w14:paraId="218B8DC5" w14:textId="65332FB0"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Hashemi</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[37]</w:t>
            </w:r>
          </w:p>
        </w:tc>
        <w:tc>
          <w:tcPr>
            <w:tcW w:w="1417" w:type="dxa"/>
            <w:hideMark/>
          </w:tcPr>
          <w:p w14:paraId="01CA7ABD"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4FD352AA"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w:t>
            </w:r>
          </w:p>
        </w:tc>
        <w:tc>
          <w:tcPr>
            <w:tcW w:w="1134" w:type="dxa"/>
            <w:hideMark/>
          </w:tcPr>
          <w:p w14:paraId="09DF7C58" w14:textId="77B94DF9"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55</w:t>
            </w:r>
          </w:p>
        </w:tc>
        <w:tc>
          <w:tcPr>
            <w:tcW w:w="1559" w:type="dxa"/>
            <w:hideMark/>
          </w:tcPr>
          <w:p w14:paraId="0CCBCAA5" w14:textId="1AF13DE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294</w:t>
            </w:r>
          </w:p>
        </w:tc>
        <w:tc>
          <w:tcPr>
            <w:tcW w:w="1276" w:type="dxa"/>
            <w:hideMark/>
          </w:tcPr>
          <w:p w14:paraId="4548F0FC" w14:textId="569C092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63.4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16.5</w:t>
            </w:r>
          </w:p>
        </w:tc>
        <w:tc>
          <w:tcPr>
            <w:tcW w:w="850" w:type="dxa"/>
            <w:hideMark/>
          </w:tcPr>
          <w:p w14:paraId="4DABD2DF" w14:textId="203E06F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55.4%</w:t>
            </w:r>
          </w:p>
        </w:tc>
        <w:tc>
          <w:tcPr>
            <w:tcW w:w="2410" w:type="dxa"/>
            <w:hideMark/>
          </w:tcPr>
          <w:p w14:paraId="5DCC69F1" w14:textId="5C8E6F9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Hepatic steatosis on any prior imaging studies or liver histology</w:t>
            </w:r>
          </w:p>
        </w:tc>
        <w:tc>
          <w:tcPr>
            <w:tcW w:w="2410" w:type="dxa"/>
            <w:hideMark/>
          </w:tcPr>
          <w:p w14:paraId="29E2F3DA"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497EA329" w14:textId="77777777" w:rsidTr="00FB4F2D">
        <w:trPr>
          <w:trHeight w:val="400"/>
        </w:trPr>
        <w:tc>
          <w:tcPr>
            <w:tcW w:w="993" w:type="dxa"/>
            <w:hideMark/>
          </w:tcPr>
          <w:p w14:paraId="75E5555E"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13</w:t>
            </w:r>
          </w:p>
        </w:tc>
        <w:tc>
          <w:tcPr>
            <w:tcW w:w="1276" w:type="dxa"/>
            <w:hideMark/>
          </w:tcPr>
          <w:p w14:paraId="7A08E631" w14:textId="3196E48C"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Huang</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[38]</w:t>
            </w:r>
          </w:p>
        </w:tc>
        <w:tc>
          <w:tcPr>
            <w:tcW w:w="1417" w:type="dxa"/>
            <w:hideMark/>
          </w:tcPr>
          <w:p w14:paraId="4273DE10" w14:textId="77777777" w:rsidR="00C167AA" w:rsidRPr="00D4328A" w:rsidRDefault="00C167AA" w:rsidP="006D1FC3">
            <w:pPr>
              <w:spacing w:line="360" w:lineRule="auto"/>
              <w:jc w:val="both"/>
              <w:textAlignment w:val="baseline"/>
              <w:rPr>
                <w:rFonts w:ascii="Book Antiqua" w:eastAsia="Times New Roman" w:hAnsi="Book Antiqua" w:cs="Calibri"/>
                <w:color w:val="000000"/>
                <w:position w:val="1"/>
              </w:rPr>
            </w:pPr>
            <w:r w:rsidRPr="00D4328A">
              <w:rPr>
                <w:rFonts w:ascii="Book Antiqua" w:eastAsia="Times New Roman" w:hAnsi="Book Antiqua" w:cs="Calibri"/>
                <w:color w:val="000000"/>
                <w:position w:val="1"/>
              </w:rPr>
              <w:t>China</w:t>
            </w:r>
          </w:p>
        </w:tc>
        <w:tc>
          <w:tcPr>
            <w:tcW w:w="1560" w:type="dxa"/>
            <w:hideMark/>
          </w:tcPr>
          <w:p w14:paraId="721AD3D1"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5DA1B604" w14:textId="039A8AB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86</w:t>
            </w:r>
          </w:p>
        </w:tc>
        <w:tc>
          <w:tcPr>
            <w:tcW w:w="1559" w:type="dxa"/>
            <w:hideMark/>
          </w:tcPr>
          <w:p w14:paraId="2187C338" w14:textId="07849025"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194</w:t>
            </w:r>
          </w:p>
        </w:tc>
        <w:tc>
          <w:tcPr>
            <w:tcW w:w="1276" w:type="dxa"/>
            <w:hideMark/>
          </w:tcPr>
          <w:p w14:paraId="4C6E5670" w14:textId="1F4DD22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43.6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17.8</w:t>
            </w:r>
          </w:p>
        </w:tc>
        <w:tc>
          <w:tcPr>
            <w:tcW w:w="850" w:type="dxa"/>
            <w:hideMark/>
          </w:tcPr>
          <w:p w14:paraId="7F609212" w14:textId="01713C50"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52.10%</w:t>
            </w:r>
          </w:p>
        </w:tc>
        <w:tc>
          <w:tcPr>
            <w:tcW w:w="2410" w:type="dxa"/>
            <w:hideMark/>
          </w:tcPr>
          <w:p w14:paraId="0016A016" w14:textId="08034B6D"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Hepatic steatosis index</w:t>
            </w:r>
          </w:p>
        </w:tc>
        <w:tc>
          <w:tcPr>
            <w:tcW w:w="2410" w:type="dxa"/>
            <w:hideMark/>
          </w:tcPr>
          <w:p w14:paraId="751F369A"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44810C49" w14:textId="77777777" w:rsidTr="00FB4F2D">
        <w:trPr>
          <w:trHeight w:val="400"/>
        </w:trPr>
        <w:tc>
          <w:tcPr>
            <w:tcW w:w="993" w:type="dxa"/>
            <w:hideMark/>
          </w:tcPr>
          <w:p w14:paraId="1A46476B"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14</w:t>
            </w:r>
          </w:p>
        </w:tc>
        <w:tc>
          <w:tcPr>
            <w:tcW w:w="1276" w:type="dxa"/>
            <w:hideMark/>
          </w:tcPr>
          <w:p w14:paraId="152EA073" w14:textId="3F29E07F"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Hussain</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[39]</w:t>
            </w:r>
          </w:p>
        </w:tc>
        <w:tc>
          <w:tcPr>
            <w:tcW w:w="1417" w:type="dxa"/>
            <w:hideMark/>
          </w:tcPr>
          <w:p w14:paraId="38CE27AE"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Pakistan</w:t>
            </w:r>
          </w:p>
        </w:tc>
        <w:tc>
          <w:tcPr>
            <w:tcW w:w="1560" w:type="dxa"/>
            <w:hideMark/>
          </w:tcPr>
          <w:p w14:paraId="57D51820"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Cross sectional study</w:t>
            </w:r>
          </w:p>
        </w:tc>
        <w:tc>
          <w:tcPr>
            <w:tcW w:w="1134" w:type="dxa"/>
            <w:hideMark/>
          </w:tcPr>
          <w:p w14:paraId="3FDF71F9" w14:textId="449636E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87</w:t>
            </w:r>
          </w:p>
        </w:tc>
        <w:tc>
          <w:tcPr>
            <w:tcW w:w="1559" w:type="dxa"/>
            <w:hideMark/>
          </w:tcPr>
          <w:p w14:paraId="58BB03AE" w14:textId="51C478A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63</w:t>
            </w:r>
          </w:p>
        </w:tc>
        <w:tc>
          <w:tcPr>
            <w:tcW w:w="1276" w:type="dxa"/>
            <w:hideMark/>
          </w:tcPr>
          <w:p w14:paraId="7F3BC265" w14:textId="64E9C21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59.73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11.35</w:t>
            </w:r>
          </w:p>
        </w:tc>
        <w:tc>
          <w:tcPr>
            <w:tcW w:w="850" w:type="dxa"/>
            <w:hideMark/>
          </w:tcPr>
          <w:p w14:paraId="62C9D83F" w14:textId="76C7373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56%</w:t>
            </w:r>
          </w:p>
        </w:tc>
        <w:tc>
          <w:tcPr>
            <w:tcW w:w="2410" w:type="dxa"/>
            <w:hideMark/>
          </w:tcPr>
          <w:p w14:paraId="03630F5E" w14:textId="22529F0F"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Clinical parameters like hepatomegaly and lab parameters like AST, ALT </w:t>
            </w:r>
          </w:p>
        </w:tc>
        <w:tc>
          <w:tcPr>
            <w:tcW w:w="2410" w:type="dxa"/>
            <w:hideMark/>
          </w:tcPr>
          <w:p w14:paraId="6B0546FB"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0563900D" w14:textId="77777777" w:rsidTr="00FB4F2D">
        <w:trPr>
          <w:trHeight w:val="400"/>
        </w:trPr>
        <w:tc>
          <w:tcPr>
            <w:tcW w:w="993" w:type="dxa"/>
            <w:hideMark/>
          </w:tcPr>
          <w:p w14:paraId="25C12529"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lastRenderedPageBreak/>
              <w:t>15</w:t>
            </w:r>
          </w:p>
        </w:tc>
        <w:tc>
          <w:tcPr>
            <w:tcW w:w="1276" w:type="dxa"/>
            <w:hideMark/>
          </w:tcPr>
          <w:p w14:paraId="7DBB6B29" w14:textId="3726706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Kim</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[40]</w:t>
            </w:r>
          </w:p>
        </w:tc>
        <w:tc>
          <w:tcPr>
            <w:tcW w:w="1417" w:type="dxa"/>
            <w:hideMark/>
          </w:tcPr>
          <w:p w14:paraId="1A0AF8DC"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31F9D83B"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Observational cohort study</w:t>
            </w:r>
          </w:p>
        </w:tc>
        <w:tc>
          <w:tcPr>
            <w:tcW w:w="1134" w:type="dxa"/>
            <w:hideMark/>
          </w:tcPr>
          <w:p w14:paraId="7FC24390" w14:textId="21DEEAED"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456</w:t>
            </w:r>
          </w:p>
        </w:tc>
        <w:tc>
          <w:tcPr>
            <w:tcW w:w="1559" w:type="dxa"/>
            <w:hideMark/>
          </w:tcPr>
          <w:p w14:paraId="4D44BFB4" w14:textId="7FE7548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411</w:t>
            </w:r>
          </w:p>
        </w:tc>
        <w:tc>
          <w:tcPr>
            <w:tcW w:w="1276" w:type="dxa"/>
            <w:hideMark/>
          </w:tcPr>
          <w:p w14:paraId="6395F21B" w14:textId="2BBDA9D8"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56.9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14.5</w:t>
            </w:r>
          </w:p>
        </w:tc>
        <w:tc>
          <w:tcPr>
            <w:tcW w:w="850" w:type="dxa"/>
            <w:hideMark/>
          </w:tcPr>
          <w:p w14:paraId="670A69B0" w14:textId="03034DD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54.70%</w:t>
            </w:r>
          </w:p>
        </w:tc>
        <w:tc>
          <w:tcPr>
            <w:tcW w:w="2410" w:type="dxa"/>
            <w:hideMark/>
          </w:tcPr>
          <w:p w14:paraId="3A6C14A0" w14:textId="575EF7CE"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 by magnetic resonance elastography</w:t>
            </w:r>
          </w:p>
        </w:tc>
        <w:tc>
          <w:tcPr>
            <w:tcW w:w="2410" w:type="dxa"/>
            <w:hideMark/>
          </w:tcPr>
          <w:p w14:paraId="06083EF2" w14:textId="6798231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 scan, fibrosis-4, or biopsy</w:t>
            </w:r>
          </w:p>
        </w:tc>
      </w:tr>
      <w:tr w:rsidR="00C167AA" w:rsidRPr="00D4328A" w14:paraId="2604BCB9" w14:textId="77777777" w:rsidTr="00FB4F2D">
        <w:trPr>
          <w:trHeight w:val="400"/>
        </w:trPr>
        <w:tc>
          <w:tcPr>
            <w:tcW w:w="993" w:type="dxa"/>
            <w:hideMark/>
          </w:tcPr>
          <w:p w14:paraId="5799F6CC"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16</w:t>
            </w:r>
          </w:p>
        </w:tc>
        <w:tc>
          <w:tcPr>
            <w:tcW w:w="1276" w:type="dxa"/>
            <w:hideMark/>
          </w:tcPr>
          <w:p w14:paraId="489DD32A" w14:textId="714281A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Madan</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[41]</w:t>
            </w:r>
          </w:p>
        </w:tc>
        <w:tc>
          <w:tcPr>
            <w:tcW w:w="1417" w:type="dxa"/>
            <w:hideMark/>
          </w:tcPr>
          <w:p w14:paraId="69BAD10A"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India</w:t>
            </w:r>
          </w:p>
        </w:tc>
        <w:tc>
          <w:tcPr>
            <w:tcW w:w="1560" w:type="dxa"/>
            <w:hideMark/>
          </w:tcPr>
          <w:p w14:paraId="3EF26438"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Case control study</w:t>
            </w:r>
          </w:p>
        </w:tc>
        <w:tc>
          <w:tcPr>
            <w:tcW w:w="1134" w:type="dxa"/>
            <w:hideMark/>
          </w:tcPr>
          <w:p w14:paraId="148E6D79" w14:textId="1F74A39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289</w:t>
            </w:r>
          </w:p>
        </w:tc>
        <w:tc>
          <w:tcPr>
            <w:tcW w:w="1559" w:type="dxa"/>
            <w:hideMark/>
          </w:tcPr>
          <w:p w14:paraId="298E43B8" w14:textId="58B462B8"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157</w:t>
            </w:r>
          </w:p>
        </w:tc>
        <w:tc>
          <w:tcPr>
            <w:tcW w:w="1276" w:type="dxa"/>
            <w:hideMark/>
          </w:tcPr>
          <w:p w14:paraId="6FCD1212" w14:textId="131D7739"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5E7F6ED3" w14:textId="6C73937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64.5%</w:t>
            </w:r>
          </w:p>
        </w:tc>
        <w:tc>
          <w:tcPr>
            <w:tcW w:w="2410" w:type="dxa"/>
            <w:hideMark/>
          </w:tcPr>
          <w:p w14:paraId="6D37FF7C" w14:textId="4A89DB7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Liver attenuation index</w:t>
            </w:r>
          </w:p>
        </w:tc>
        <w:tc>
          <w:tcPr>
            <w:tcW w:w="2410" w:type="dxa"/>
            <w:hideMark/>
          </w:tcPr>
          <w:p w14:paraId="7D46F3D2"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1F05236B" w14:textId="77777777" w:rsidTr="00FB4F2D">
        <w:trPr>
          <w:trHeight w:val="400"/>
        </w:trPr>
        <w:tc>
          <w:tcPr>
            <w:tcW w:w="993" w:type="dxa"/>
            <w:hideMark/>
          </w:tcPr>
          <w:p w14:paraId="1EC8BB62"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17</w:t>
            </w:r>
          </w:p>
        </w:tc>
        <w:tc>
          <w:tcPr>
            <w:tcW w:w="1276" w:type="dxa"/>
            <w:hideMark/>
          </w:tcPr>
          <w:p w14:paraId="15C95E98" w14:textId="4AE0C3B9"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Marjot</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[42]</w:t>
            </w:r>
          </w:p>
        </w:tc>
        <w:tc>
          <w:tcPr>
            <w:tcW w:w="1417" w:type="dxa"/>
            <w:hideMark/>
          </w:tcPr>
          <w:p w14:paraId="693EA556"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2359D652"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Cohort study</w:t>
            </w:r>
          </w:p>
        </w:tc>
        <w:tc>
          <w:tcPr>
            <w:tcW w:w="1134" w:type="dxa"/>
            <w:hideMark/>
          </w:tcPr>
          <w:p w14:paraId="6922DBA5" w14:textId="10F5F944"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322</w:t>
            </w:r>
          </w:p>
        </w:tc>
        <w:tc>
          <w:tcPr>
            <w:tcW w:w="1559" w:type="dxa"/>
            <w:hideMark/>
          </w:tcPr>
          <w:p w14:paraId="3E19A5FE" w14:textId="04A38A1C"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367</w:t>
            </w:r>
          </w:p>
        </w:tc>
        <w:tc>
          <w:tcPr>
            <w:tcW w:w="1276" w:type="dxa"/>
            <w:hideMark/>
          </w:tcPr>
          <w:p w14:paraId="7F83C0CE" w14:textId="6E3865B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58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15.6</w:t>
            </w:r>
          </w:p>
        </w:tc>
        <w:tc>
          <w:tcPr>
            <w:tcW w:w="850" w:type="dxa"/>
            <w:hideMark/>
          </w:tcPr>
          <w:p w14:paraId="1D6FF53B" w14:textId="206D916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62.40%</w:t>
            </w:r>
          </w:p>
        </w:tc>
        <w:tc>
          <w:tcPr>
            <w:tcW w:w="2410" w:type="dxa"/>
            <w:hideMark/>
          </w:tcPr>
          <w:p w14:paraId="36E7DD0E" w14:textId="1858C440"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Reported by clinician</w:t>
            </w:r>
          </w:p>
        </w:tc>
        <w:tc>
          <w:tcPr>
            <w:tcW w:w="2410" w:type="dxa"/>
            <w:hideMark/>
          </w:tcPr>
          <w:p w14:paraId="53E54E99"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786A335B" w14:textId="77777777" w:rsidTr="00FB4F2D">
        <w:trPr>
          <w:trHeight w:val="400"/>
        </w:trPr>
        <w:tc>
          <w:tcPr>
            <w:tcW w:w="993" w:type="dxa"/>
            <w:hideMark/>
          </w:tcPr>
          <w:p w14:paraId="232C7F90"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18</w:t>
            </w:r>
          </w:p>
        </w:tc>
        <w:tc>
          <w:tcPr>
            <w:tcW w:w="1276" w:type="dxa"/>
            <w:hideMark/>
          </w:tcPr>
          <w:p w14:paraId="7D2679EC" w14:textId="1CCBB0A1"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Mushtaq</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[13]</w:t>
            </w:r>
          </w:p>
        </w:tc>
        <w:tc>
          <w:tcPr>
            <w:tcW w:w="1417" w:type="dxa"/>
            <w:hideMark/>
          </w:tcPr>
          <w:p w14:paraId="48203EEE"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Qatar</w:t>
            </w:r>
          </w:p>
        </w:tc>
        <w:tc>
          <w:tcPr>
            <w:tcW w:w="1560" w:type="dxa"/>
            <w:hideMark/>
          </w:tcPr>
          <w:p w14:paraId="181B1564"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Prospective study</w:t>
            </w:r>
          </w:p>
        </w:tc>
        <w:tc>
          <w:tcPr>
            <w:tcW w:w="1134" w:type="dxa"/>
            <w:hideMark/>
          </w:tcPr>
          <w:p w14:paraId="2AD2B427" w14:textId="4D43C22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320</w:t>
            </w:r>
          </w:p>
        </w:tc>
        <w:tc>
          <w:tcPr>
            <w:tcW w:w="1559" w:type="dxa"/>
            <w:hideMark/>
          </w:tcPr>
          <w:p w14:paraId="2CA9352D" w14:textId="3B7CAF8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269</w:t>
            </w:r>
          </w:p>
        </w:tc>
        <w:tc>
          <w:tcPr>
            <w:tcW w:w="1276" w:type="dxa"/>
            <w:hideMark/>
          </w:tcPr>
          <w:p w14:paraId="688920DF" w14:textId="600AD7CF"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0BEDB362"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84.71% </w:t>
            </w:r>
          </w:p>
        </w:tc>
        <w:tc>
          <w:tcPr>
            <w:tcW w:w="2410" w:type="dxa"/>
            <w:hideMark/>
          </w:tcPr>
          <w:p w14:paraId="6F5D31D4" w14:textId="41EE9D3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Hepatic steatosis index</w:t>
            </w:r>
          </w:p>
        </w:tc>
        <w:tc>
          <w:tcPr>
            <w:tcW w:w="2410" w:type="dxa"/>
            <w:hideMark/>
          </w:tcPr>
          <w:p w14:paraId="68FE21F9"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0070A9B2" w14:textId="77777777" w:rsidTr="00FB4F2D">
        <w:trPr>
          <w:trHeight w:val="400"/>
        </w:trPr>
        <w:tc>
          <w:tcPr>
            <w:tcW w:w="993" w:type="dxa"/>
            <w:hideMark/>
          </w:tcPr>
          <w:p w14:paraId="1D412B76"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19</w:t>
            </w:r>
          </w:p>
        </w:tc>
        <w:tc>
          <w:tcPr>
            <w:tcW w:w="1276" w:type="dxa"/>
            <w:hideMark/>
          </w:tcPr>
          <w:p w14:paraId="682D1C04" w14:textId="23CDBE6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Romero-Cristóbal</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[43]</w:t>
            </w:r>
          </w:p>
        </w:tc>
        <w:tc>
          <w:tcPr>
            <w:tcW w:w="1417" w:type="dxa"/>
            <w:hideMark/>
          </w:tcPr>
          <w:p w14:paraId="2598B09A"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Spain</w:t>
            </w:r>
          </w:p>
        </w:tc>
        <w:tc>
          <w:tcPr>
            <w:tcW w:w="1560" w:type="dxa"/>
            <w:hideMark/>
          </w:tcPr>
          <w:p w14:paraId="6DBBD40B"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Prospective observational (cohort) study</w:t>
            </w:r>
          </w:p>
        </w:tc>
        <w:tc>
          <w:tcPr>
            <w:tcW w:w="1134" w:type="dxa"/>
            <w:hideMark/>
          </w:tcPr>
          <w:p w14:paraId="17484EE8" w14:textId="2E8552E1"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81</w:t>
            </w:r>
          </w:p>
        </w:tc>
        <w:tc>
          <w:tcPr>
            <w:tcW w:w="1559" w:type="dxa"/>
            <w:hideMark/>
          </w:tcPr>
          <w:p w14:paraId="64E2E0D3" w14:textId="70DB778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96</w:t>
            </w:r>
          </w:p>
        </w:tc>
        <w:tc>
          <w:tcPr>
            <w:tcW w:w="1276" w:type="dxa"/>
            <w:hideMark/>
          </w:tcPr>
          <w:p w14:paraId="070A0611" w14:textId="1BF71488"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59.58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13.79</w:t>
            </w:r>
          </w:p>
        </w:tc>
        <w:tc>
          <w:tcPr>
            <w:tcW w:w="850" w:type="dxa"/>
            <w:hideMark/>
          </w:tcPr>
          <w:p w14:paraId="1A0E9493" w14:textId="2EF3929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71.96</w:t>
            </w:r>
          </w:p>
        </w:tc>
        <w:tc>
          <w:tcPr>
            <w:tcW w:w="2410" w:type="dxa"/>
            <w:hideMark/>
          </w:tcPr>
          <w:p w14:paraId="46FE02CB" w14:textId="7D4A8595"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Fibrosis-4 index</w:t>
            </w:r>
          </w:p>
        </w:tc>
        <w:tc>
          <w:tcPr>
            <w:tcW w:w="2410" w:type="dxa"/>
            <w:hideMark/>
          </w:tcPr>
          <w:p w14:paraId="289893F3"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3C066792" w14:textId="77777777" w:rsidTr="00FB4F2D">
        <w:trPr>
          <w:trHeight w:val="400"/>
        </w:trPr>
        <w:tc>
          <w:tcPr>
            <w:tcW w:w="993" w:type="dxa"/>
            <w:hideMark/>
          </w:tcPr>
          <w:p w14:paraId="7D2AD206"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20</w:t>
            </w:r>
          </w:p>
        </w:tc>
        <w:tc>
          <w:tcPr>
            <w:tcW w:w="1276" w:type="dxa"/>
            <w:hideMark/>
          </w:tcPr>
          <w:p w14:paraId="6EC83181" w14:textId="2A7D9931"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Rentsch</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[44]</w:t>
            </w:r>
          </w:p>
        </w:tc>
        <w:tc>
          <w:tcPr>
            <w:tcW w:w="1417" w:type="dxa"/>
            <w:hideMark/>
          </w:tcPr>
          <w:p w14:paraId="11201AE0"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17B3C457"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5816845B" w14:textId="2F6AC5A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377</w:t>
            </w:r>
          </w:p>
        </w:tc>
        <w:tc>
          <w:tcPr>
            <w:tcW w:w="1559" w:type="dxa"/>
            <w:hideMark/>
          </w:tcPr>
          <w:p w14:paraId="29F5BB18" w14:textId="2E2DF4EF"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139</w:t>
            </w:r>
          </w:p>
        </w:tc>
        <w:tc>
          <w:tcPr>
            <w:tcW w:w="1276" w:type="dxa"/>
            <w:hideMark/>
          </w:tcPr>
          <w:p w14:paraId="14C09757" w14:textId="712E4834"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65.8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7.8</w:t>
            </w:r>
          </w:p>
        </w:tc>
        <w:tc>
          <w:tcPr>
            <w:tcW w:w="850" w:type="dxa"/>
            <w:hideMark/>
          </w:tcPr>
          <w:p w14:paraId="6BDB1043" w14:textId="1794D72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95.4</w:t>
            </w:r>
          </w:p>
        </w:tc>
        <w:tc>
          <w:tcPr>
            <w:tcW w:w="2410" w:type="dxa"/>
            <w:hideMark/>
          </w:tcPr>
          <w:p w14:paraId="333CCCC0" w14:textId="440E8D2B"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Fibrosis-4 index</w:t>
            </w:r>
          </w:p>
        </w:tc>
        <w:tc>
          <w:tcPr>
            <w:tcW w:w="2410" w:type="dxa"/>
            <w:hideMark/>
          </w:tcPr>
          <w:p w14:paraId="76F54FE1"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4FE4A85C" w14:textId="77777777" w:rsidTr="00FB4F2D">
        <w:trPr>
          <w:trHeight w:val="400"/>
        </w:trPr>
        <w:tc>
          <w:tcPr>
            <w:tcW w:w="993" w:type="dxa"/>
            <w:hideMark/>
          </w:tcPr>
          <w:p w14:paraId="5CC01731"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21</w:t>
            </w:r>
          </w:p>
        </w:tc>
        <w:tc>
          <w:tcPr>
            <w:tcW w:w="1276" w:type="dxa"/>
            <w:hideMark/>
          </w:tcPr>
          <w:p w14:paraId="504693C2" w14:textId="45D9E49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Shao</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[45]</w:t>
            </w:r>
          </w:p>
        </w:tc>
        <w:tc>
          <w:tcPr>
            <w:tcW w:w="1417" w:type="dxa"/>
            <w:hideMark/>
          </w:tcPr>
          <w:p w14:paraId="3E9F54F7"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China</w:t>
            </w:r>
          </w:p>
        </w:tc>
        <w:tc>
          <w:tcPr>
            <w:tcW w:w="1560" w:type="dxa"/>
            <w:hideMark/>
          </w:tcPr>
          <w:p w14:paraId="018B5942"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Observational cohort study</w:t>
            </w:r>
          </w:p>
        </w:tc>
        <w:tc>
          <w:tcPr>
            <w:tcW w:w="1134" w:type="dxa"/>
            <w:hideMark/>
          </w:tcPr>
          <w:p w14:paraId="48B308A5" w14:textId="53233212"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37</w:t>
            </w:r>
          </w:p>
        </w:tc>
        <w:tc>
          <w:tcPr>
            <w:tcW w:w="1559" w:type="dxa"/>
            <w:hideMark/>
          </w:tcPr>
          <w:p w14:paraId="449B1F26" w14:textId="0844C5BE"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84</w:t>
            </w:r>
          </w:p>
        </w:tc>
        <w:tc>
          <w:tcPr>
            <w:tcW w:w="1276" w:type="dxa"/>
            <w:hideMark/>
          </w:tcPr>
          <w:p w14:paraId="4F9EAA5F" w14:textId="72E2B77F"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60.6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13.5</w:t>
            </w:r>
          </w:p>
        </w:tc>
        <w:tc>
          <w:tcPr>
            <w:tcW w:w="850" w:type="dxa"/>
            <w:hideMark/>
          </w:tcPr>
          <w:p w14:paraId="7636A745"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64.46% </w:t>
            </w:r>
          </w:p>
        </w:tc>
        <w:tc>
          <w:tcPr>
            <w:tcW w:w="2410" w:type="dxa"/>
            <w:hideMark/>
          </w:tcPr>
          <w:p w14:paraId="2B319417" w14:textId="16D978B6"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Liver enzyme/GGT twice upper limit of normal </w:t>
            </w:r>
          </w:p>
        </w:tc>
        <w:tc>
          <w:tcPr>
            <w:tcW w:w="2410" w:type="dxa"/>
            <w:hideMark/>
          </w:tcPr>
          <w:p w14:paraId="496557C3"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p>
        </w:tc>
      </w:tr>
      <w:tr w:rsidR="00C167AA" w:rsidRPr="00D4328A" w14:paraId="605BCEF1" w14:textId="77777777" w:rsidTr="00FB4F2D">
        <w:trPr>
          <w:trHeight w:val="400"/>
        </w:trPr>
        <w:tc>
          <w:tcPr>
            <w:tcW w:w="993" w:type="dxa"/>
            <w:hideMark/>
          </w:tcPr>
          <w:p w14:paraId="121BA711"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22</w:t>
            </w:r>
          </w:p>
        </w:tc>
        <w:tc>
          <w:tcPr>
            <w:tcW w:w="1276" w:type="dxa"/>
            <w:hideMark/>
          </w:tcPr>
          <w:p w14:paraId="49E50241" w14:textId="79645969"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Targher</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[46]</w:t>
            </w:r>
          </w:p>
        </w:tc>
        <w:tc>
          <w:tcPr>
            <w:tcW w:w="1417" w:type="dxa"/>
            <w:hideMark/>
          </w:tcPr>
          <w:p w14:paraId="71945199"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China</w:t>
            </w:r>
          </w:p>
        </w:tc>
        <w:tc>
          <w:tcPr>
            <w:tcW w:w="1560" w:type="dxa"/>
            <w:hideMark/>
          </w:tcPr>
          <w:p w14:paraId="620B608D" w14:textId="77777777"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Cohort study</w:t>
            </w:r>
          </w:p>
        </w:tc>
        <w:tc>
          <w:tcPr>
            <w:tcW w:w="1134" w:type="dxa"/>
            <w:hideMark/>
          </w:tcPr>
          <w:p w14:paraId="06EA1346" w14:textId="2569AEA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50</w:t>
            </w:r>
          </w:p>
        </w:tc>
        <w:tc>
          <w:tcPr>
            <w:tcW w:w="1559" w:type="dxa"/>
            <w:hideMark/>
          </w:tcPr>
          <w:p w14:paraId="51211335" w14:textId="750D971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43</w:t>
            </w:r>
          </w:p>
        </w:tc>
        <w:tc>
          <w:tcPr>
            <w:tcW w:w="1276" w:type="dxa"/>
            <w:hideMark/>
          </w:tcPr>
          <w:p w14:paraId="66A05302" w14:textId="795F2183"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41DAB828" w14:textId="5195A5FC"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48%</w:t>
            </w:r>
          </w:p>
        </w:tc>
        <w:tc>
          <w:tcPr>
            <w:tcW w:w="2410" w:type="dxa"/>
            <w:hideMark/>
          </w:tcPr>
          <w:p w14:paraId="33C3FC1E" w14:textId="1A93866A"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Fibrosis-4</w:t>
            </w:r>
          </w:p>
        </w:tc>
        <w:tc>
          <w:tcPr>
            <w:tcW w:w="2410" w:type="dxa"/>
            <w:hideMark/>
          </w:tcPr>
          <w:p w14:paraId="5945A871" w14:textId="50A6AD21" w:rsidR="00C167AA"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NAFLD fibrosis score</w:t>
            </w:r>
          </w:p>
        </w:tc>
      </w:tr>
      <w:tr w:rsidR="000F07FB" w:rsidRPr="00D4328A" w14:paraId="0FD30F5D" w14:textId="77777777" w:rsidTr="00FB4F2D">
        <w:trPr>
          <w:trHeight w:val="859"/>
        </w:trPr>
        <w:tc>
          <w:tcPr>
            <w:tcW w:w="993" w:type="dxa"/>
            <w:hideMark/>
          </w:tcPr>
          <w:p w14:paraId="3D1EDB54"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lastRenderedPageBreak/>
              <w:t>23</w:t>
            </w:r>
          </w:p>
        </w:tc>
        <w:tc>
          <w:tcPr>
            <w:tcW w:w="1276" w:type="dxa"/>
            <w:hideMark/>
          </w:tcPr>
          <w:p w14:paraId="63D0EEF2" w14:textId="6546AAB5"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Tignanelli</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[47]</w:t>
            </w:r>
          </w:p>
        </w:tc>
        <w:tc>
          <w:tcPr>
            <w:tcW w:w="1417" w:type="dxa"/>
            <w:hideMark/>
          </w:tcPr>
          <w:p w14:paraId="616B940D"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771BA444"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29FA2742" w14:textId="630FCF5F"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934</w:t>
            </w:r>
          </w:p>
        </w:tc>
        <w:tc>
          <w:tcPr>
            <w:tcW w:w="1559" w:type="dxa"/>
            <w:hideMark/>
          </w:tcPr>
          <w:p w14:paraId="0C85D012" w14:textId="61B3425A"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25962</w:t>
            </w:r>
          </w:p>
        </w:tc>
        <w:tc>
          <w:tcPr>
            <w:tcW w:w="1276" w:type="dxa"/>
            <w:hideMark/>
          </w:tcPr>
          <w:p w14:paraId="155546E1" w14:textId="5C7E7A06"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51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23.7</w:t>
            </w:r>
          </w:p>
        </w:tc>
        <w:tc>
          <w:tcPr>
            <w:tcW w:w="850" w:type="dxa"/>
            <w:hideMark/>
          </w:tcPr>
          <w:p w14:paraId="4FD7493C" w14:textId="7B1C2AD1"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56%</w:t>
            </w:r>
          </w:p>
        </w:tc>
        <w:tc>
          <w:tcPr>
            <w:tcW w:w="2410" w:type="dxa"/>
            <w:hideMark/>
          </w:tcPr>
          <w:p w14:paraId="4927DCA9" w14:textId="39B0098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Elevated </w:t>
            </w:r>
            <w:r w:rsidR="00991538" w:rsidRPr="00D4328A">
              <w:rPr>
                <w:rFonts w:ascii="Book Antiqua" w:eastAsia="Times New Roman" w:hAnsi="Book Antiqua" w:cs="Calibri"/>
                <w:color w:val="000000"/>
                <w:position w:val="1"/>
              </w:rPr>
              <w:t>ALT</w:t>
            </w:r>
            <w:r w:rsidRPr="00D4328A">
              <w:rPr>
                <w:rFonts w:ascii="Book Antiqua" w:eastAsia="Times New Roman" w:hAnsi="Book Antiqua" w:cs="Calibri"/>
                <w:color w:val="000000"/>
                <w:position w:val="1"/>
              </w:rPr>
              <w:t xml:space="preserve"> level on 3 separate dates</w:t>
            </w:r>
          </w:p>
        </w:tc>
        <w:tc>
          <w:tcPr>
            <w:tcW w:w="2410" w:type="dxa"/>
            <w:hideMark/>
          </w:tcPr>
          <w:p w14:paraId="2556D917"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4D986F5A" w14:textId="77777777" w:rsidTr="00FB4F2D">
        <w:trPr>
          <w:trHeight w:val="400"/>
        </w:trPr>
        <w:tc>
          <w:tcPr>
            <w:tcW w:w="993" w:type="dxa"/>
            <w:hideMark/>
          </w:tcPr>
          <w:p w14:paraId="2F012B9E"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24</w:t>
            </w:r>
          </w:p>
        </w:tc>
        <w:tc>
          <w:tcPr>
            <w:tcW w:w="1276" w:type="dxa"/>
            <w:hideMark/>
          </w:tcPr>
          <w:p w14:paraId="5AF31527" w14:textId="62583D65"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Trivedi</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[48]</w:t>
            </w:r>
          </w:p>
        </w:tc>
        <w:tc>
          <w:tcPr>
            <w:tcW w:w="1417" w:type="dxa"/>
            <w:hideMark/>
          </w:tcPr>
          <w:p w14:paraId="3A7F6152"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43C54CB2"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Case control study</w:t>
            </w:r>
          </w:p>
        </w:tc>
        <w:tc>
          <w:tcPr>
            <w:tcW w:w="1134" w:type="dxa"/>
            <w:hideMark/>
          </w:tcPr>
          <w:p w14:paraId="6C19415D" w14:textId="6E384599"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45</w:t>
            </w:r>
          </w:p>
        </w:tc>
        <w:tc>
          <w:tcPr>
            <w:tcW w:w="1559" w:type="dxa"/>
            <w:hideMark/>
          </w:tcPr>
          <w:p w14:paraId="77D94810" w14:textId="7FD2ECB9"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274</w:t>
            </w:r>
          </w:p>
        </w:tc>
        <w:tc>
          <w:tcPr>
            <w:tcW w:w="1276" w:type="dxa"/>
            <w:hideMark/>
          </w:tcPr>
          <w:p w14:paraId="56A9B941" w14:textId="011C4A8D"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65 (median)</w:t>
            </w:r>
          </w:p>
        </w:tc>
        <w:tc>
          <w:tcPr>
            <w:tcW w:w="850" w:type="dxa"/>
            <w:hideMark/>
          </w:tcPr>
          <w:p w14:paraId="30124798" w14:textId="3564B26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50%</w:t>
            </w:r>
          </w:p>
        </w:tc>
        <w:tc>
          <w:tcPr>
            <w:tcW w:w="2410" w:type="dxa"/>
            <w:hideMark/>
          </w:tcPr>
          <w:p w14:paraId="744148EC" w14:textId="41EECABF"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Abdominal imaging (computed tomography, magnetic resonance imaging, or ultrasound)</w:t>
            </w:r>
          </w:p>
        </w:tc>
        <w:tc>
          <w:tcPr>
            <w:tcW w:w="2410" w:type="dxa"/>
            <w:hideMark/>
          </w:tcPr>
          <w:p w14:paraId="5B75B472"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1BDBE690" w14:textId="77777777" w:rsidTr="00FB4F2D">
        <w:trPr>
          <w:trHeight w:val="400"/>
        </w:trPr>
        <w:tc>
          <w:tcPr>
            <w:tcW w:w="993" w:type="dxa"/>
            <w:hideMark/>
          </w:tcPr>
          <w:p w14:paraId="6BF4A5C9"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25</w:t>
            </w:r>
          </w:p>
        </w:tc>
        <w:tc>
          <w:tcPr>
            <w:tcW w:w="1276" w:type="dxa"/>
            <w:hideMark/>
          </w:tcPr>
          <w:p w14:paraId="238904E9" w14:textId="2A3B28D4"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Vázquez-Medina</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[49]</w:t>
            </w:r>
          </w:p>
        </w:tc>
        <w:tc>
          <w:tcPr>
            <w:tcW w:w="1417" w:type="dxa"/>
            <w:hideMark/>
          </w:tcPr>
          <w:p w14:paraId="5A8E1FE8"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Mexico</w:t>
            </w:r>
          </w:p>
        </w:tc>
        <w:tc>
          <w:tcPr>
            <w:tcW w:w="1560" w:type="dxa"/>
            <w:hideMark/>
          </w:tcPr>
          <w:p w14:paraId="196AE924"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case control study</w:t>
            </w:r>
          </w:p>
        </w:tc>
        <w:tc>
          <w:tcPr>
            <w:tcW w:w="1134" w:type="dxa"/>
            <w:hideMark/>
          </w:tcPr>
          <w:p w14:paraId="5B827383" w14:textId="7007DC0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299</w:t>
            </w:r>
          </w:p>
        </w:tc>
        <w:tc>
          <w:tcPr>
            <w:tcW w:w="1559" w:type="dxa"/>
            <w:hideMark/>
          </w:tcPr>
          <w:p w14:paraId="41C3967D" w14:textId="4ED22CA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60</w:t>
            </w:r>
          </w:p>
        </w:tc>
        <w:tc>
          <w:tcPr>
            <w:tcW w:w="1276" w:type="dxa"/>
            <w:hideMark/>
          </w:tcPr>
          <w:p w14:paraId="4BCF8D4A" w14:textId="4305C13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54.3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14.69</w:t>
            </w:r>
          </w:p>
        </w:tc>
        <w:tc>
          <w:tcPr>
            <w:tcW w:w="850" w:type="dxa"/>
            <w:hideMark/>
          </w:tcPr>
          <w:p w14:paraId="73084135"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22.01% </w:t>
            </w:r>
          </w:p>
        </w:tc>
        <w:tc>
          <w:tcPr>
            <w:tcW w:w="2410" w:type="dxa"/>
            <w:hideMark/>
          </w:tcPr>
          <w:p w14:paraId="726B991D" w14:textId="11B85228" w:rsidR="000F07FB" w:rsidRPr="00D4328A" w:rsidRDefault="00C167AA"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F</w:t>
            </w:r>
            <w:r w:rsidR="00472334" w:rsidRPr="00D4328A">
              <w:rPr>
                <w:rFonts w:ascii="Book Antiqua" w:eastAsia="Times New Roman" w:hAnsi="Book Antiqua" w:cs="Calibri"/>
                <w:color w:val="000000"/>
                <w:position w:val="1"/>
              </w:rPr>
              <w:t>ibrosis</w:t>
            </w:r>
            <w:r w:rsidRPr="00D4328A">
              <w:rPr>
                <w:rFonts w:ascii="Book Antiqua" w:eastAsia="Times New Roman" w:hAnsi="Book Antiqua" w:cs="Calibri"/>
                <w:color w:val="000000"/>
                <w:position w:val="1"/>
              </w:rPr>
              <w:t>-4</w:t>
            </w:r>
            <w:r w:rsidR="000F07FB" w:rsidRPr="00D4328A">
              <w:rPr>
                <w:rFonts w:ascii="Book Antiqua" w:eastAsia="Times New Roman" w:hAnsi="Book Antiqua" w:cs="Calibri"/>
                <w:color w:val="000000"/>
                <w:position w:val="1"/>
              </w:rPr>
              <w:t xml:space="preserve"> index</w:t>
            </w:r>
          </w:p>
        </w:tc>
        <w:tc>
          <w:tcPr>
            <w:tcW w:w="2410" w:type="dxa"/>
            <w:hideMark/>
          </w:tcPr>
          <w:p w14:paraId="719FD5D9"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4A62DDDB" w14:textId="77777777" w:rsidTr="00FB4F2D">
        <w:trPr>
          <w:trHeight w:val="400"/>
        </w:trPr>
        <w:tc>
          <w:tcPr>
            <w:tcW w:w="993" w:type="dxa"/>
            <w:hideMark/>
          </w:tcPr>
          <w:p w14:paraId="5E28D82F"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26</w:t>
            </w:r>
          </w:p>
        </w:tc>
        <w:tc>
          <w:tcPr>
            <w:tcW w:w="1276" w:type="dxa"/>
            <w:hideMark/>
          </w:tcPr>
          <w:p w14:paraId="5FFA73EA" w14:textId="146D1F13"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Moctezuma-Velázquez</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[50]</w:t>
            </w:r>
          </w:p>
        </w:tc>
        <w:tc>
          <w:tcPr>
            <w:tcW w:w="1417" w:type="dxa"/>
            <w:hideMark/>
          </w:tcPr>
          <w:p w14:paraId="263DC6FA"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Mexico</w:t>
            </w:r>
          </w:p>
        </w:tc>
        <w:tc>
          <w:tcPr>
            <w:tcW w:w="1560" w:type="dxa"/>
            <w:hideMark/>
          </w:tcPr>
          <w:p w14:paraId="2B073F09"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2C3E9605" w14:textId="394DEA0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359</w:t>
            </w:r>
          </w:p>
        </w:tc>
        <w:tc>
          <w:tcPr>
            <w:tcW w:w="1559" w:type="dxa"/>
            <w:hideMark/>
          </w:tcPr>
          <w:p w14:paraId="4E38AA84" w14:textId="7D18DFD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111</w:t>
            </w:r>
          </w:p>
        </w:tc>
        <w:tc>
          <w:tcPr>
            <w:tcW w:w="1276" w:type="dxa"/>
            <w:hideMark/>
          </w:tcPr>
          <w:p w14:paraId="540F0170" w14:textId="0075DFB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51.6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14.8</w:t>
            </w:r>
          </w:p>
        </w:tc>
        <w:tc>
          <w:tcPr>
            <w:tcW w:w="850" w:type="dxa"/>
            <w:hideMark/>
          </w:tcPr>
          <w:p w14:paraId="310D8655" w14:textId="4514EA1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63%</w:t>
            </w:r>
          </w:p>
        </w:tc>
        <w:tc>
          <w:tcPr>
            <w:tcW w:w="2410" w:type="dxa"/>
            <w:hideMark/>
          </w:tcPr>
          <w:p w14:paraId="370AF21F" w14:textId="6D4CE494"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Computed tomography scans</w:t>
            </w:r>
          </w:p>
        </w:tc>
        <w:tc>
          <w:tcPr>
            <w:tcW w:w="2410" w:type="dxa"/>
            <w:hideMark/>
          </w:tcPr>
          <w:p w14:paraId="65034B0B"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11A581E8" w14:textId="77777777" w:rsidTr="00FB4F2D">
        <w:trPr>
          <w:trHeight w:val="400"/>
        </w:trPr>
        <w:tc>
          <w:tcPr>
            <w:tcW w:w="993" w:type="dxa"/>
            <w:hideMark/>
          </w:tcPr>
          <w:p w14:paraId="4DE5F3DF"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27</w:t>
            </w:r>
          </w:p>
        </w:tc>
        <w:tc>
          <w:tcPr>
            <w:tcW w:w="1276" w:type="dxa"/>
            <w:hideMark/>
          </w:tcPr>
          <w:p w14:paraId="09C99FA3" w14:textId="0841CA66"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Vrsaljko</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[51]</w:t>
            </w:r>
          </w:p>
        </w:tc>
        <w:tc>
          <w:tcPr>
            <w:tcW w:w="1417" w:type="dxa"/>
            <w:hideMark/>
          </w:tcPr>
          <w:p w14:paraId="16FDD9BA" w14:textId="599283C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Republic of </w:t>
            </w:r>
            <w:r w:rsidR="00551D8A">
              <w:rPr>
                <w:rFonts w:ascii="Book Antiqua" w:eastAsia="Times New Roman" w:hAnsi="Book Antiqua" w:cs="Calibri"/>
                <w:color w:val="000000"/>
                <w:position w:val="1"/>
              </w:rPr>
              <w:t>C</w:t>
            </w:r>
            <w:r w:rsidRPr="00D4328A">
              <w:rPr>
                <w:rFonts w:ascii="Book Antiqua" w:eastAsia="Times New Roman" w:hAnsi="Book Antiqua" w:cs="Calibri"/>
                <w:color w:val="000000"/>
                <w:position w:val="1"/>
              </w:rPr>
              <w:t>roatia</w:t>
            </w:r>
          </w:p>
        </w:tc>
        <w:tc>
          <w:tcPr>
            <w:tcW w:w="1560" w:type="dxa"/>
            <w:hideMark/>
          </w:tcPr>
          <w:p w14:paraId="2396802D"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Prospective observational (cohort) study</w:t>
            </w:r>
          </w:p>
        </w:tc>
        <w:tc>
          <w:tcPr>
            <w:tcW w:w="1134" w:type="dxa"/>
            <w:hideMark/>
          </w:tcPr>
          <w:p w14:paraId="63424B16" w14:textId="78A7E0D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120</w:t>
            </w:r>
          </w:p>
        </w:tc>
        <w:tc>
          <w:tcPr>
            <w:tcW w:w="1559" w:type="dxa"/>
            <w:hideMark/>
          </w:tcPr>
          <w:p w14:paraId="2FCAF950" w14:textId="5B6AA6DF"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96</w:t>
            </w:r>
          </w:p>
        </w:tc>
        <w:tc>
          <w:tcPr>
            <w:tcW w:w="1276" w:type="dxa"/>
            <w:hideMark/>
          </w:tcPr>
          <w:p w14:paraId="1BA9DD0E" w14:textId="5ED89F8D"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59.3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12.6</w:t>
            </w:r>
          </w:p>
        </w:tc>
        <w:tc>
          <w:tcPr>
            <w:tcW w:w="850" w:type="dxa"/>
            <w:hideMark/>
          </w:tcPr>
          <w:p w14:paraId="261B3DEF"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63.43% </w:t>
            </w:r>
          </w:p>
        </w:tc>
        <w:tc>
          <w:tcPr>
            <w:tcW w:w="2410" w:type="dxa"/>
            <w:hideMark/>
          </w:tcPr>
          <w:p w14:paraId="3C6E159B"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Ultrasound </w:t>
            </w:r>
          </w:p>
        </w:tc>
        <w:tc>
          <w:tcPr>
            <w:tcW w:w="2410" w:type="dxa"/>
            <w:hideMark/>
          </w:tcPr>
          <w:p w14:paraId="364BB683" w14:textId="4D2794E8"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Difference between liver and spleen computed </w:t>
            </w:r>
            <w:r w:rsidRPr="00D4328A">
              <w:rPr>
                <w:rFonts w:ascii="Book Antiqua" w:eastAsia="Times New Roman" w:hAnsi="Book Antiqua" w:cs="Calibri"/>
                <w:color w:val="000000"/>
                <w:position w:val="1"/>
              </w:rPr>
              <w:lastRenderedPageBreak/>
              <w:t>tomography attenuation</w:t>
            </w:r>
          </w:p>
        </w:tc>
      </w:tr>
      <w:tr w:rsidR="000F07FB" w:rsidRPr="00D4328A" w14:paraId="2045FE47" w14:textId="77777777" w:rsidTr="00FB4F2D">
        <w:trPr>
          <w:trHeight w:val="400"/>
        </w:trPr>
        <w:tc>
          <w:tcPr>
            <w:tcW w:w="993" w:type="dxa"/>
            <w:hideMark/>
          </w:tcPr>
          <w:p w14:paraId="15754B3E"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lastRenderedPageBreak/>
              <w:t>28</w:t>
            </w:r>
          </w:p>
        </w:tc>
        <w:tc>
          <w:tcPr>
            <w:tcW w:w="1276" w:type="dxa"/>
            <w:hideMark/>
          </w:tcPr>
          <w:p w14:paraId="4FD45892" w14:textId="68C554E5"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Wang</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[52]</w:t>
            </w:r>
          </w:p>
        </w:tc>
        <w:tc>
          <w:tcPr>
            <w:tcW w:w="1417" w:type="dxa"/>
            <w:hideMark/>
          </w:tcPr>
          <w:p w14:paraId="2056CB15"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China</w:t>
            </w:r>
          </w:p>
        </w:tc>
        <w:tc>
          <w:tcPr>
            <w:tcW w:w="1560" w:type="dxa"/>
            <w:hideMark/>
          </w:tcPr>
          <w:p w14:paraId="3CB9A9A3"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585AB37D" w14:textId="59785210"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86</w:t>
            </w:r>
          </w:p>
        </w:tc>
        <w:tc>
          <w:tcPr>
            <w:tcW w:w="1559" w:type="dxa"/>
            <w:hideMark/>
          </w:tcPr>
          <w:p w14:paraId="07F13617" w14:textId="392EF4F6"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132</w:t>
            </w:r>
          </w:p>
        </w:tc>
        <w:tc>
          <w:tcPr>
            <w:tcW w:w="1276" w:type="dxa"/>
            <w:hideMark/>
          </w:tcPr>
          <w:p w14:paraId="22674240" w14:textId="320C590B"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3EA87E21"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50.40% </w:t>
            </w:r>
          </w:p>
        </w:tc>
        <w:tc>
          <w:tcPr>
            <w:tcW w:w="2410" w:type="dxa"/>
            <w:hideMark/>
          </w:tcPr>
          <w:p w14:paraId="2E8EFE42" w14:textId="622B7B88"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Ultrasound parameters </w:t>
            </w:r>
          </w:p>
        </w:tc>
        <w:tc>
          <w:tcPr>
            <w:tcW w:w="2410" w:type="dxa"/>
            <w:hideMark/>
          </w:tcPr>
          <w:p w14:paraId="7145DD41"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4E31757F" w14:textId="77777777" w:rsidTr="00FB4F2D">
        <w:trPr>
          <w:trHeight w:val="400"/>
        </w:trPr>
        <w:tc>
          <w:tcPr>
            <w:tcW w:w="993" w:type="dxa"/>
            <w:hideMark/>
          </w:tcPr>
          <w:p w14:paraId="3838A06B"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29</w:t>
            </w:r>
          </w:p>
        </w:tc>
        <w:tc>
          <w:tcPr>
            <w:tcW w:w="1276" w:type="dxa"/>
            <w:hideMark/>
          </w:tcPr>
          <w:p w14:paraId="6F6EEC4E" w14:textId="6AB4A0D2"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Yao</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[53]</w:t>
            </w:r>
          </w:p>
        </w:tc>
        <w:tc>
          <w:tcPr>
            <w:tcW w:w="1417" w:type="dxa"/>
            <w:hideMark/>
          </w:tcPr>
          <w:p w14:paraId="0D6C5876"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China</w:t>
            </w:r>
          </w:p>
        </w:tc>
        <w:tc>
          <w:tcPr>
            <w:tcW w:w="1560" w:type="dxa"/>
            <w:hideMark/>
          </w:tcPr>
          <w:p w14:paraId="108A5E8B"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36379DD8" w14:textId="2E8A97D2"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38</w:t>
            </w:r>
          </w:p>
        </w:tc>
        <w:tc>
          <w:tcPr>
            <w:tcW w:w="1559" w:type="dxa"/>
            <w:hideMark/>
          </w:tcPr>
          <w:p w14:paraId="75D09534" w14:textId="15EF0C9D"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48</w:t>
            </w:r>
          </w:p>
        </w:tc>
        <w:tc>
          <w:tcPr>
            <w:tcW w:w="1276" w:type="dxa"/>
            <w:hideMark/>
          </w:tcPr>
          <w:p w14:paraId="52BEEE3A" w14:textId="36DED64F"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43.2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15.45</w:t>
            </w:r>
          </w:p>
        </w:tc>
        <w:tc>
          <w:tcPr>
            <w:tcW w:w="850" w:type="dxa"/>
            <w:hideMark/>
          </w:tcPr>
          <w:p w14:paraId="25E10804" w14:textId="1DD069BF"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58.10%</w:t>
            </w:r>
          </w:p>
        </w:tc>
        <w:tc>
          <w:tcPr>
            <w:tcW w:w="2410" w:type="dxa"/>
            <w:hideMark/>
          </w:tcPr>
          <w:p w14:paraId="41998EFD" w14:textId="620868E0"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Hepatic steatosis index</w:t>
            </w:r>
          </w:p>
        </w:tc>
        <w:tc>
          <w:tcPr>
            <w:tcW w:w="2410" w:type="dxa"/>
            <w:hideMark/>
          </w:tcPr>
          <w:p w14:paraId="56DBED75" w14:textId="4E4458C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NAFLD fibrosis score</w:t>
            </w:r>
          </w:p>
        </w:tc>
      </w:tr>
      <w:tr w:rsidR="000F07FB" w:rsidRPr="00D4328A" w14:paraId="4E73861A" w14:textId="77777777" w:rsidTr="00FB4F2D">
        <w:trPr>
          <w:trHeight w:val="400"/>
        </w:trPr>
        <w:tc>
          <w:tcPr>
            <w:tcW w:w="993" w:type="dxa"/>
            <w:hideMark/>
          </w:tcPr>
          <w:p w14:paraId="5A757ABA"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30</w:t>
            </w:r>
          </w:p>
        </w:tc>
        <w:tc>
          <w:tcPr>
            <w:tcW w:w="1276" w:type="dxa"/>
            <w:hideMark/>
          </w:tcPr>
          <w:p w14:paraId="67F2197E" w14:textId="6B417202"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Yoo</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[54]</w:t>
            </w:r>
          </w:p>
        </w:tc>
        <w:tc>
          <w:tcPr>
            <w:tcW w:w="1417" w:type="dxa"/>
            <w:hideMark/>
          </w:tcPr>
          <w:p w14:paraId="4DC8F481"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South Korea</w:t>
            </w:r>
          </w:p>
        </w:tc>
        <w:tc>
          <w:tcPr>
            <w:tcW w:w="1560" w:type="dxa"/>
            <w:hideMark/>
          </w:tcPr>
          <w:p w14:paraId="3158CAC3"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Retrospective cohort study</w:t>
            </w:r>
          </w:p>
        </w:tc>
        <w:tc>
          <w:tcPr>
            <w:tcW w:w="1134" w:type="dxa"/>
            <w:hideMark/>
          </w:tcPr>
          <w:p w14:paraId="374507CB" w14:textId="48BFAA5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629</w:t>
            </w:r>
          </w:p>
        </w:tc>
        <w:tc>
          <w:tcPr>
            <w:tcW w:w="1559" w:type="dxa"/>
            <w:hideMark/>
          </w:tcPr>
          <w:p w14:paraId="78859289" w14:textId="7BF6AFEE"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561</w:t>
            </w:r>
          </w:p>
        </w:tc>
        <w:tc>
          <w:tcPr>
            <w:tcW w:w="1276" w:type="dxa"/>
            <w:hideMark/>
          </w:tcPr>
          <w:p w14:paraId="505EBB26" w14:textId="62A2EFEB"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44B6D24A" w14:textId="1FDAE676"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2410" w:type="dxa"/>
            <w:hideMark/>
          </w:tcPr>
          <w:p w14:paraId="1B127CC1" w14:textId="16ABAAEC" w:rsidR="000F07FB" w:rsidRPr="00D4328A" w:rsidRDefault="00472334"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Hepatic steatosis index</w:t>
            </w:r>
            <w:r w:rsidR="000F07FB" w:rsidRPr="00D4328A">
              <w:rPr>
                <w:rFonts w:ascii="Book Antiqua" w:eastAsia="Times New Roman" w:hAnsi="Book Antiqua" w:cs="Calibri"/>
                <w:color w:val="000000"/>
                <w:position w:val="1"/>
              </w:rPr>
              <w:t>, FLI, claims based NAFLD</w:t>
            </w:r>
          </w:p>
        </w:tc>
        <w:tc>
          <w:tcPr>
            <w:tcW w:w="2410" w:type="dxa"/>
            <w:hideMark/>
          </w:tcPr>
          <w:p w14:paraId="113C396B"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35547B49" w14:textId="77777777" w:rsidTr="00FB4F2D">
        <w:trPr>
          <w:trHeight w:val="400"/>
        </w:trPr>
        <w:tc>
          <w:tcPr>
            <w:tcW w:w="993" w:type="dxa"/>
            <w:hideMark/>
          </w:tcPr>
          <w:p w14:paraId="40EC712E"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31</w:t>
            </w:r>
          </w:p>
        </w:tc>
        <w:tc>
          <w:tcPr>
            <w:tcW w:w="1276" w:type="dxa"/>
            <w:hideMark/>
          </w:tcPr>
          <w:p w14:paraId="49BED477" w14:textId="3917FE44"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Younossi</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[55]</w:t>
            </w:r>
          </w:p>
        </w:tc>
        <w:tc>
          <w:tcPr>
            <w:tcW w:w="1417" w:type="dxa"/>
            <w:hideMark/>
          </w:tcPr>
          <w:p w14:paraId="38E9C281"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United States</w:t>
            </w:r>
          </w:p>
        </w:tc>
        <w:tc>
          <w:tcPr>
            <w:tcW w:w="1560" w:type="dxa"/>
            <w:hideMark/>
          </w:tcPr>
          <w:p w14:paraId="7AD7B091"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Observational cohort study</w:t>
            </w:r>
          </w:p>
        </w:tc>
        <w:tc>
          <w:tcPr>
            <w:tcW w:w="1134" w:type="dxa"/>
            <w:hideMark/>
          </w:tcPr>
          <w:p w14:paraId="1DE254CD" w14:textId="68823F62"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553</w:t>
            </w:r>
          </w:p>
        </w:tc>
        <w:tc>
          <w:tcPr>
            <w:tcW w:w="1559" w:type="dxa"/>
            <w:hideMark/>
          </w:tcPr>
          <w:p w14:paraId="2604354A" w14:textId="4354B00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2736</w:t>
            </w:r>
          </w:p>
        </w:tc>
        <w:tc>
          <w:tcPr>
            <w:tcW w:w="1276" w:type="dxa"/>
            <w:hideMark/>
          </w:tcPr>
          <w:p w14:paraId="11C6BEB5" w14:textId="4BD173C6"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w:t>
            </w:r>
          </w:p>
        </w:tc>
        <w:tc>
          <w:tcPr>
            <w:tcW w:w="850" w:type="dxa"/>
            <w:hideMark/>
          </w:tcPr>
          <w:p w14:paraId="541393E3"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 xml:space="preserve">49.55% </w:t>
            </w:r>
          </w:p>
        </w:tc>
        <w:tc>
          <w:tcPr>
            <w:tcW w:w="2410" w:type="dxa"/>
            <w:hideMark/>
          </w:tcPr>
          <w:p w14:paraId="16DB51C6" w14:textId="0CDA5B4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Abdominal imaging, magnetic resonance imaging, computer tomography, ultra-sound</w:t>
            </w:r>
          </w:p>
        </w:tc>
        <w:tc>
          <w:tcPr>
            <w:tcW w:w="2410" w:type="dxa"/>
            <w:hideMark/>
          </w:tcPr>
          <w:p w14:paraId="11CB0A3D"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r w:rsidR="000F07FB" w:rsidRPr="00D4328A" w14:paraId="708AEBDE" w14:textId="77777777" w:rsidTr="00FB4F2D">
        <w:trPr>
          <w:trHeight w:val="400"/>
        </w:trPr>
        <w:tc>
          <w:tcPr>
            <w:tcW w:w="993" w:type="dxa"/>
            <w:tcBorders>
              <w:bottom w:val="single" w:sz="4" w:space="0" w:color="auto"/>
            </w:tcBorders>
            <w:hideMark/>
          </w:tcPr>
          <w:p w14:paraId="050A710C"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32</w:t>
            </w:r>
          </w:p>
        </w:tc>
        <w:tc>
          <w:tcPr>
            <w:tcW w:w="1276" w:type="dxa"/>
            <w:tcBorders>
              <w:bottom w:val="single" w:sz="4" w:space="0" w:color="auto"/>
            </w:tcBorders>
            <w:hideMark/>
          </w:tcPr>
          <w:p w14:paraId="7C9F7E72" w14:textId="7E7441D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Zhou</w:t>
            </w:r>
            <w:r w:rsidRPr="00D4328A">
              <w:rPr>
                <w:rFonts w:ascii="Book Antiqua" w:eastAsia="Times New Roman" w:hAnsi="Book Antiqua" w:cs="Calibri"/>
                <w:i/>
                <w:iCs/>
                <w:color w:val="000000"/>
                <w:position w:val="1"/>
              </w:rPr>
              <w:t xml:space="preserve"> et al</w:t>
            </w:r>
            <w:r w:rsidRPr="00D4328A">
              <w:rPr>
                <w:rFonts w:ascii="Book Antiqua" w:eastAsia="Times New Roman" w:hAnsi="Book Antiqua" w:cs="Calibri"/>
                <w:color w:val="000000"/>
                <w:position w:val="1"/>
                <w:vertAlign w:val="superscript"/>
              </w:rPr>
              <w:t>[56]</w:t>
            </w:r>
          </w:p>
        </w:tc>
        <w:tc>
          <w:tcPr>
            <w:tcW w:w="1417" w:type="dxa"/>
            <w:tcBorders>
              <w:bottom w:val="single" w:sz="4" w:space="0" w:color="auto"/>
            </w:tcBorders>
            <w:hideMark/>
          </w:tcPr>
          <w:p w14:paraId="0DC2D83F"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China</w:t>
            </w:r>
          </w:p>
        </w:tc>
        <w:tc>
          <w:tcPr>
            <w:tcW w:w="1560" w:type="dxa"/>
            <w:tcBorders>
              <w:bottom w:val="single" w:sz="4" w:space="0" w:color="auto"/>
            </w:tcBorders>
            <w:hideMark/>
          </w:tcPr>
          <w:p w14:paraId="06EEB40B"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Cohort study</w:t>
            </w:r>
          </w:p>
        </w:tc>
        <w:tc>
          <w:tcPr>
            <w:tcW w:w="1134" w:type="dxa"/>
            <w:tcBorders>
              <w:bottom w:val="single" w:sz="4" w:space="0" w:color="auto"/>
            </w:tcBorders>
            <w:hideMark/>
          </w:tcPr>
          <w:p w14:paraId="09EBB059" w14:textId="38AEE28C"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55</w:t>
            </w:r>
          </w:p>
        </w:tc>
        <w:tc>
          <w:tcPr>
            <w:tcW w:w="1559" w:type="dxa"/>
            <w:tcBorders>
              <w:bottom w:val="single" w:sz="4" w:space="0" w:color="auto"/>
            </w:tcBorders>
            <w:hideMark/>
          </w:tcPr>
          <w:p w14:paraId="6AB53A39" w14:textId="07411359"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55</w:t>
            </w:r>
          </w:p>
        </w:tc>
        <w:tc>
          <w:tcPr>
            <w:tcW w:w="1276" w:type="dxa"/>
            <w:tcBorders>
              <w:bottom w:val="single" w:sz="4" w:space="0" w:color="auto"/>
            </w:tcBorders>
            <w:hideMark/>
          </w:tcPr>
          <w:p w14:paraId="500A3B07" w14:textId="15A02010"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42.1 ±</w:t>
            </w:r>
            <w:r w:rsidRPr="00D4328A">
              <w:rPr>
                <w:rFonts w:ascii="Book Antiqua" w:hAnsi="Book Antiqua" w:cs="Segoe UI"/>
                <w:color w:val="000000"/>
                <w:lang w:eastAsia="zh-CN"/>
              </w:rPr>
              <w:t xml:space="preserve"> </w:t>
            </w:r>
            <w:r w:rsidRPr="00D4328A">
              <w:rPr>
                <w:rFonts w:ascii="Book Antiqua" w:eastAsia="Times New Roman" w:hAnsi="Book Antiqua" w:cs="Calibri"/>
                <w:color w:val="000000"/>
                <w:position w:val="1"/>
              </w:rPr>
              <w:t>11.4</w:t>
            </w:r>
          </w:p>
        </w:tc>
        <w:tc>
          <w:tcPr>
            <w:tcW w:w="850" w:type="dxa"/>
            <w:tcBorders>
              <w:bottom w:val="single" w:sz="4" w:space="0" w:color="auto"/>
            </w:tcBorders>
            <w:hideMark/>
          </w:tcPr>
          <w:p w14:paraId="688791EB" w14:textId="668FE0C5"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74.50%</w:t>
            </w:r>
          </w:p>
        </w:tc>
        <w:tc>
          <w:tcPr>
            <w:tcW w:w="2410" w:type="dxa"/>
            <w:tcBorders>
              <w:bottom w:val="single" w:sz="4" w:space="0" w:color="auto"/>
            </w:tcBorders>
            <w:hideMark/>
          </w:tcPr>
          <w:p w14:paraId="7B3A8DFA" w14:textId="14CC9371" w:rsidR="000F07FB" w:rsidRPr="00D4328A" w:rsidRDefault="000F07FB" w:rsidP="006D1FC3">
            <w:pPr>
              <w:spacing w:line="360" w:lineRule="auto"/>
              <w:jc w:val="both"/>
              <w:textAlignment w:val="baseline"/>
              <w:rPr>
                <w:rFonts w:ascii="Book Antiqua" w:eastAsia="Times New Roman" w:hAnsi="Book Antiqua" w:cs="Segoe UI"/>
                <w:color w:val="000000"/>
              </w:rPr>
            </w:pPr>
            <w:r w:rsidRPr="00D4328A">
              <w:rPr>
                <w:rFonts w:ascii="Book Antiqua" w:eastAsia="Times New Roman" w:hAnsi="Book Antiqua" w:cs="Calibri"/>
                <w:color w:val="000000"/>
                <w:position w:val="1"/>
              </w:rPr>
              <w:t>Computed tomography</w:t>
            </w:r>
          </w:p>
        </w:tc>
        <w:tc>
          <w:tcPr>
            <w:tcW w:w="2410" w:type="dxa"/>
            <w:tcBorders>
              <w:bottom w:val="single" w:sz="4" w:space="0" w:color="auto"/>
            </w:tcBorders>
            <w:hideMark/>
          </w:tcPr>
          <w:p w14:paraId="26A05934" w14:textId="77777777" w:rsidR="000F07FB" w:rsidRPr="00D4328A" w:rsidRDefault="000F07FB" w:rsidP="006D1FC3">
            <w:pPr>
              <w:spacing w:line="360" w:lineRule="auto"/>
              <w:jc w:val="both"/>
              <w:textAlignment w:val="baseline"/>
              <w:rPr>
                <w:rFonts w:ascii="Book Antiqua" w:eastAsia="Times New Roman" w:hAnsi="Book Antiqua" w:cs="Segoe UI"/>
                <w:color w:val="000000"/>
              </w:rPr>
            </w:pPr>
          </w:p>
        </w:tc>
      </w:tr>
    </w:tbl>
    <w:p w14:paraId="1C878489" w14:textId="64D7196D" w:rsidR="00363F0F" w:rsidRPr="00D4328A" w:rsidRDefault="00472334" w:rsidP="006D1FC3">
      <w:pPr>
        <w:spacing w:line="360" w:lineRule="auto"/>
        <w:jc w:val="both"/>
        <w:rPr>
          <w:rFonts w:ascii="Book Antiqua" w:hAnsi="Book Antiqua"/>
        </w:rPr>
      </w:pPr>
      <w:r w:rsidRPr="0009446C">
        <w:rPr>
          <w:rFonts w:ascii="Book Antiqua" w:eastAsia="Times New Roman" w:hAnsi="Book Antiqua"/>
        </w:rPr>
        <w:t>Non-alcoholic fatty liver disease</w:t>
      </w:r>
      <w:r w:rsidR="00363F0F" w:rsidRPr="0009446C">
        <w:rPr>
          <w:rFonts w:ascii="Book Antiqua" w:eastAsia="Times New Roman" w:hAnsi="Book Antiqua"/>
        </w:rPr>
        <w:t xml:space="preserve"> is used synonymously with </w:t>
      </w:r>
      <w:r w:rsidRPr="0009446C">
        <w:rPr>
          <w:rFonts w:ascii="Book Antiqua" w:eastAsia="Times New Roman" w:hAnsi="Book Antiqua"/>
        </w:rPr>
        <w:t>metabolic</w:t>
      </w:r>
      <w:r w:rsidR="006F20EE">
        <w:rPr>
          <w:rFonts w:ascii="Book Antiqua" w:eastAsia="Times New Roman" w:hAnsi="Book Antiqua"/>
        </w:rPr>
        <w:t>-</w:t>
      </w:r>
      <w:r w:rsidRPr="0009446C">
        <w:rPr>
          <w:rFonts w:ascii="Book Antiqua" w:eastAsia="Times New Roman" w:hAnsi="Book Antiqua"/>
        </w:rPr>
        <w:t>associated fatty liver disease</w:t>
      </w:r>
      <w:r w:rsidR="00363F0F" w:rsidRPr="0009446C">
        <w:rPr>
          <w:rFonts w:ascii="Book Antiqua" w:eastAsia="Times New Roman" w:hAnsi="Book Antiqua"/>
        </w:rPr>
        <w:t xml:space="preserve"> in this table.</w:t>
      </w:r>
    </w:p>
    <w:p w14:paraId="4D03FD91" w14:textId="727777CB" w:rsidR="00363F0F" w:rsidRPr="00D4328A" w:rsidRDefault="006F20EE" w:rsidP="006D1FC3">
      <w:pPr>
        <w:spacing w:line="360" w:lineRule="auto"/>
        <w:jc w:val="both"/>
        <w:rPr>
          <w:rFonts w:ascii="Book Antiqua" w:hAnsi="Book Antiqua"/>
          <w:lang w:eastAsia="zh-CN"/>
        </w:rPr>
      </w:pPr>
      <w:r w:rsidRPr="00D4328A">
        <w:rPr>
          <w:rFonts w:ascii="Book Antiqua" w:eastAsia="Book Antiqua" w:hAnsi="Book Antiqua" w:cs="Book Antiqua"/>
        </w:rPr>
        <w:lastRenderedPageBreak/>
        <w:t>ALT: Alanine aminotransferase;</w:t>
      </w:r>
      <w:r>
        <w:rPr>
          <w:rFonts w:ascii="Book Antiqua" w:eastAsia="Book Antiqua" w:hAnsi="Book Antiqua" w:cs="Book Antiqua"/>
        </w:rPr>
        <w:t xml:space="preserve"> </w:t>
      </w:r>
      <w:r w:rsidRPr="00D4328A">
        <w:rPr>
          <w:rFonts w:ascii="Book Antiqua" w:eastAsia="Book Antiqua" w:hAnsi="Book Antiqua" w:cs="Book Antiqua"/>
        </w:rPr>
        <w:t>APRI:</w:t>
      </w:r>
      <w:r w:rsidRPr="00D4328A">
        <w:rPr>
          <w:rFonts w:ascii="Book Antiqua" w:hAnsi="Book Antiqua"/>
        </w:rPr>
        <w:t xml:space="preserve"> </w:t>
      </w:r>
      <w:r w:rsidRPr="00D4328A">
        <w:rPr>
          <w:rFonts w:ascii="Book Antiqua" w:eastAsia="Book Antiqua" w:hAnsi="Book Antiqua" w:cs="Book Antiqua"/>
        </w:rPr>
        <w:t>Aminotransferase/platelet ratio index; AST: Aspartate aminotransferase;</w:t>
      </w:r>
      <w:r>
        <w:rPr>
          <w:rFonts w:ascii="Book Antiqua" w:eastAsia="Book Antiqua" w:hAnsi="Book Antiqua" w:cs="Book Antiqua"/>
        </w:rPr>
        <w:t xml:space="preserve"> </w:t>
      </w:r>
      <w:r w:rsidRPr="00D4328A">
        <w:rPr>
          <w:rFonts w:ascii="Book Antiqua" w:eastAsia="Book Antiqua" w:hAnsi="Book Antiqua" w:cs="Book Antiqua"/>
        </w:rPr>
        <w:t>COVID-19: Coronavirus disease 2019</w:t>
      </w:r>
      <w:r>
        <w:rPr>
          <w:rFonts w:ascii="Book Antiqua" w:eastAsia="Book Antiqua" w:hAnsi="Book Antiqua" w:cs="Book Antiqua"/>
        </w:rPr>
        <w:t xml:space="preserve">; </w:t>
      </w:r>
      <w:r w:rsidRPr="00D4328A">
        <w:rPr>
          <w:rFonts w:ascii="Book Antiqua" w:eastAsia="Book Antiqua" w:hAnsi="Book Antiqua" w:cs="Book Antiqua"/>
        </w:rPr>
        <w:t>FLI:</w:t>
      </w:r>
      <w:r w:rsidRPr="00D4328A">
        <w:rPr>
          <w:rFonts w:ascii="Book Antiqua" w:hAnsi="Book Antiqua"/>
        </w:rPr>
        <w:t xml:space="preserve"> </w:t>
      </w:r>
      <w:r w:rsidRPr="00D4328A">
        <w:rPr>
          <w:rFonts w:ascii="Book Antiqua" w:eastAsia="Book Antiqua" w:hAnsi="Book Antiqua" w:cs="Book Antiqua"/>
        </w:rPr>
        <w:t>Fatty liver index; GGT:</w:t>
      </w:r>
      <w:r w:rsidRPr="00D4328A">
        <w:rPr>
          <w:rFonts w:ascii="Book Antiqua" w:hAnsi="Book Antiqua"/>
        </w:rPr>
        <w:t xml:space="preserve"> </w:t>
      </w:r>
      <w:r w:rsidRPr="00D4328A">
        <w:rPr>
          <w:rFonts w:ascii="Book Antiqua" w:eastAsia="Book Antiqua" w:hAnsi="Book Antiqua" w:cs="Book Antiqua"/>
        </w:rPr>
        <w:t xml:space="preserve">Gamma-glutamyl transferase; </w:t>
      </w:r>
      <w:r w:rsidR="00472334" w:rsidRPr="00D4328A">
        <w:rPr>
          <w:rFonts w:ascii="Book Antiqua" w:eastAsia="Book Antiqua" w:hAnsi="Book Antiqua" w:cs="Book Antiqua"/>
        </w:rPr>
        <w:t>NAFLD: Non-alcoholic fatty liver disease</w:t>
      </w:r>
      <w:r>
        <w:rPr>
          <w:rFonts w:ascii="Book Antiqua" w:eastAsia="Book Antiqua" w:hAnsi="Book Antiqua" w:cs="Book Antiqua"/>
        </w:rPr>
        <w:t>.</w:t>
      </w:r>
      <w:bookmarkStart w:id="4" w:name="_Hlk133502916"/>
      <w:r w:rsidR="00991538" w:rsidRPr="00D4328A">
        <w:rPr>
          <w:rFonts w:ascii="Book Antiqua" w:eastAsia="Book Antiqua" w:hAnsi="Book Antiqua" w:cs="Book Antiqua"/>
        </w:rPr>
        <w:t xml:space="preserve"> </w:t>
      </w:r>
      <w:bookmarkEnd w:id="4"/>
    </w:p>
    <w:sectPr w:rsidR="00363F0F" w:rsidRPr="00D4328A" w:rsidSect="003A20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2AD53" w14:textId="77777777" w:rsidR="00EC5738" w:rsidRDefault="00EC5738" w:rsidP="009168A8">
      <w:r>
        <w:separator/>
      </w:r>
    </w:p>
  </w:endnote>
  <w:endnote w:type="continuationSeparator" w:id="0">
    <w:p w14:paraId="46159729" w14:textId="77777777" w:rsidR="00EC5738" w:rsidRDefault="00EC5738" w:rsidP="0091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3470" w14:textId="77777777" w:rsidR="006D1FC3" w:rsidRPr="006D1FC3" w:rsidRDefault="006D1FC3" w:rsidP="006D1FC3">
    <w:pPr>
      <w:pStyle w:val="Footer"/>
      <w:jc w:val="right"/>
      <w:rPr>
        <w:rFonts w:ascii="Book Antiqua" w:hAnsi="Book Antiqua"/>
        <w:color w:val="000000" w:themeColor="text1"/>
        <w:sz w:val="24"/>
        <w:szCs w:val="24"/>
      </w:rPr>
    </w:pPr>
    <w:r w:rsidRPr="006D1FC3">
      <w:rPr>
        <w:rFonts w:ascii="Book Antiqua" w:hAnsi="Book Antiqua"/>
        <w:color w:val="000000" w:themeColor="text1"/>
        <w:sz w:val="24"/>
        <w:szCs w:val="24"/>
        <w:lang w:val="zh-CN" w:eastAsia="zh-CN"/>
      </w:rPr>
      <w:t xml:space="preserve"> </w:t>
    </w:r>
    <w:r w:rsidRPr="006D1FC3">
      <w:rPr>
        <w:rFonts w:ascii="Book Antiqua" w:hAnsi="Book Antiqua"/>
        <w:color w:val="000000" w:themeColor="text1"/>
        <w:sz w:val="24"/>
        <w:szCs w:val="24"/>
      </w:rPr>
      <w:fldChar w:fldCharType="begin"/>
    </w:r>
    <w:r w:rsidRPr="006D1FC3">
      <w:rPr>
        <w:rFonts w:ascii="Book Antiqua" w:hAnsi="Book Antiqua"/>
        <w:color w:val="000000" w:themeColor="text1"/>
        <w:sz w:val="24"/>
        <w:szCs w:val="24"/>
      </w:rPr>
      <w:instrText>PAGE  \* Arabic  \* MERGEFORMAT</w:instrText>
    </w:r>
    <w:r w:rsidRPr="006D1FC3">
      <w:rPr>
        <w:rFonts w:ascii="Book Antiqua" w:hAnsi="Book Antiqua"/>
        <w:color w:val="000000" w:themeColor="text1"/>
        <w:sz w:val="24"/>
        <w:szCs w:val="24"/>
      </w:rPr>
      <w:fldChar w:fldCharType="separate"/>
    </w:r>
    <w:r w:rsidRPr="006D1FC3">
      <w:rPr>
        <w:rFonts w:ascii="Book Antiqua" w:hAnsi="Book Antiqua"/>
        <w:color w:val="000000" w:themeColor="text1"/>
        <w:sz w:val="24"/>
        <w:szCs w:val="24"/>
        <w:lang w:val="zh-CN" w:eastAsia="zh-CN"/>
      </w:rPr>
      <w:t>2</w:t>
    </w:r>
    <w:r w:rsidRPr="006D1FC3">
      <w:rPr>
        <w:rFonts w:ascii="Book Antiqua" w:hAnsi="Book Antiqua"/>
        <w:color w:val="000000" w:themeColor="text1"/>
        <w:sz w:val="24"/>
        <w:szCs w:val="24"/>
      </w:rPr>
      <w:fldChar w:fldCharType="end"/>
    </w:r>
    <w:r w:rsidRPr="006D1FC3">
      <w:rPr>
        <w:rFonts w:ascii="Book Antiqua" w:hAnsi="Book Antiqua"/>
        <w:color w:val="000000" w:themeColor="text1"/>
        <w:sz w:val="24"/>
        <w:szCs w:val="24"/>
        <w:lang w:val="zh-CN" w:eastAsia="zh-CN"/>
      </w:rPr>
      <w:t xml:space="preserve"> / </w:t>
    </w:r>
    <w:r w:rsidRPr="006D1FC3">
      <w:rPr>
        <w:rFonts w:ascii="Book Antiqua" w:hAnsi="Book Antiqua"/>
        <w:color w:val="000000" w:themeColor="text1"/>
        <w:sz w:val="24"/>
        <w:szCs w:val="24"/>
      </w:rPr>
      <w:fldChar w:fldCharType="begin"/>
    </w:r>
    <w:r w:rsidRPr="006D1FC3">
      <w:rPr>
        <w:rFonts w:ascii="Book Antiqua" w:hAnsi="Book Antiqua"/>
        <w:color w:val="000000" w:themeColor="text1"/>
        <w:sz w:val="24"/>
        <w:szCs w:val="24"/>
      </w:rPr>
      <w:instrText>NUMPAGES  \* Arabic  \* MERGEFORMAT</w:instrText>
    </w:r>
    <w:r w:rsidRPr="006D1FC3">
      <w:rPr>
        <w:rFonts w:ascii="Book Antiqua" w:hAnsi="Book Antiqua"/>
        <w:color w:val="000000" w:themeColor="text1"/>
        <w:sz w:val="24"/>
        <w:szCs w:val="24"/>
      </w:rPr>
      <w:fldChar w:fldCharType="separate"/>
    </w:r>
    <w:r w:rsidRPr="006D1FC3">
      <w:rPr>
        <w:rFonts w:ascii="Book Antiqua" w:hAnsi="Book Antiqua"/>
        <w:color w:val="000000" w:themeColor="text1"/>
        <w:sz w:val="24"/>
        <w:szCs w:val="24"/>
        <w:lang w:val="zh-CN" w:eastAsia="zh-CN"/>
      </w:rPr>
      <w:t>2</w:t>
    </w:r>
    <w:r w:rsidRPr="006D1FC3">
      <w:rPr>
        <w:rFonts w:ascii="Book Antiqua" w:hAnsi="Book Antiqua"/>
        <w:color w:val="000000" w:themeColor="text1"/>
        <w:sz w:val="24"/>
        <w:szCs w:val="24"/>
      </w:rPr>
      <w:fldChar w:fldCharType="end"/>
    </w:r>
  </w:p>
  <w:p w14:paraId="49357F99" w14:textId="77777777" w:rsidR="00E8301C" w:rsidRDefault="00E83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30BF2" w14:textId="77777777" w:rsidR="00EC5738" w:rsidRDefault="00EC5738" w:rsidP="009168A8">
      <w:r>
        <w:separator/>
      </w:r>
    </w:p>
  </w:footnote>
  <w:footnote w:type="continuationSeparator" w:id="0">
    <w:p w14:paraId="6E858219" w14:textId="77777777" w:rsidR="00EC5738" w:rsidRDefault="00EC5738" w:rsidP="009168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48"/>
    <w:rsid w:val="0008244F"/>
    <w:rsid w:val="0009446C"/>
    <w:rsid w:val="000A2C13"/>
    <w:rsid w:val="000E6F74"/>
    <w:rsid w:val="000F07FB"/>
    <w:rsid w:val="0014027C"/>
    <w:rsid w:val="00185536"/>
    <w:rsid w:val="001A090B"/>
    <w:rsid w:val="001A2B5E"/>
    <w:rsid w:val="002174D2"/>
    <w:rsid w:val="00224293"/>
    <w:rsid w:val="002901F8"/>
    <w:rsid w:val="00363F0F"/>
    <w:rsid w:val="003746C9"/>
    <w:rsid w:val="003849F1"/>
    <w:rsid w:val="00392DB4"/>
    <w:rsid w:val="003933BF"/>
    <w:rsid w:val="003A288C"/>
    <w:rsid w:val="003C3004"/>
    <w:rsid w:val="004159B6"/>
    <w:rsid w:val="00424FC6"/>
    <w:rsid w:val="00443333"/>
    <w:rsid w:val="00472334"/>
    <w:rsid w:val="00482E4F"/>
    <w:rsid w:val="004D169A"/>
    <w:rsid w:val="005002A4"/>
    <w:rsid w:val="00551D8A"/>
    <w:rsid w:val="00557209"/>
    <w:rsid w:val="00581BAE"/>
    <w:rsid w:val="005951EA"/>
    <w:rsid w:val="005B6BCA"/>
    <w:rsid w:val="00600C31"/>
    <w:rsid w:val="0064433C"/>
    <w:rsid w:val="006839CB"/>
    <w:rsid w:val="006C650C"/>
    <w:rsid w:val="006D1FC3"/>
    <w:rsid w:val="006D2D5E"/>
    <w:rsid w:val="006D4BF7"/>
    <w:rsid w:val="006F20EE"/>
    <w:rsid w:val="00774A1F"/>
    <w:rsid w:val="00796BE4"/>
    <w:rsid w:val="008138F5"/>
    <w:rsid w:val="008655BA"/>
    <w:rsid w:val="00913218"/>
    <w:rsid w:val="009168A8"/>
    <w:rsid w:val="009224DB"/>
    <w:rsid w:val="0097524A"/>
    <w:rsid w:val="00981245"/>
    <w:rsid w:val="00991538"/>
    <w:rsid w:val="00A15F12"/>
    <w:rsid w:val="00A628A6"/>
    <w:rsid w:val="00A77B3E"/>
    <w:rsid w:val="00AA4FA1"/>
    <w:rsid w:val="00AC13F6"/>
    <w:rsid w:val="00AF5025"/>
    <w:rsid w:val="00B1621C"/>
    <w:rsid w:val="00B601FF"/>
    <w:rsid w:val="00B700AB"/>
    <w:rsid w:val="00BF6BDE"/>
    <w:rsid w:val="00C167AA"/>
    <w:rsid w:val="00C32F34"/>
    <w:rsid w:val="00C3703B"/>
    <w:rsid w:val="00C51486"/>
    <w:rsid w:val="00C71194"/>
    <w:rsid w:val="00CA2A55"/>
    <w:rsid w:val="00D4328A"/>
    <w:rsid w:val="00D80F91"/>
    <w:rsid w:val="00DF69EE"/>
    <w:rsid w:val="00E8301C"/>
    <w:rsid w:val="00E917C6"/>
    <w:rsid w:val="00E97B3C"/>
    <w:rsid w:val="00EC5738"/>
    <w:rsid w:val="00ED0214"/>
    <w:rsid w:val="00F85038"/>
    <w:rsid w:val="00FB42F6"/>
    <w:rsid w:val="00FB4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3D2EA"/>
  <w15:docId w15:val="{ACD7B3D7-E417-4BA5-A115-EA7CCBA1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8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168A8"/>
    <w:rPr>
      <w:sz w:val="18"/>
      <w:szCs w:val="18"/>
    </w:rPr>
  </w:style>
  <w:style w:type="paragraph" w:styleId="Footer">
    <w:name w:val="footer"/>
    <w:basedOn w:val="Normal"/>
    <w:link w:val="FooterChar"/>
    <w:uiPriority w:val="99"/>
    <w:unhideWhenUsed/>
    <w:rsid w:val="009168A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168A8"/>
    <w:rPr>
      <w:sz w:val="18"/>
      <w:szCs w:val="18"/>
    </w:rPr>
  </w:style>
  <w:style w:type="character" w:styleId="CommentReference">
    <w:name w:val="annotation reference"/>
    <w:basedOn w:val="DefaultParagraphFont"/>
    <w:semiHidden/>
    <w:unhideWhenUsed/>
    <w:rsid w:val="0064433C"/>
    <w:rPr>
      <w:sz w:val="21"/>
      <w:szCs w:val="21"/>
    </w:rPr>
  </w:style>
  <w:style w:type="paragraph" w:styleId="CommentText">
    <w:name w:val="annotation text"/>
    <w:basedOn w:val="Normal"/>
    <w:link w:val="CommentTextChar"/>
    <w:unhideWhenUsed/>
    <w:rsid w:val="0064433C"/>
  </w:style>
  <w:style w:type="character" w:customStyle="1" w:styleId="CommentTextChar">
    <w:name w:val="Comment Text Char"/>
    <w:basedOn w:val="DefaultParagraphFont"/>
    <w:link w:val="CommentText"/>
    <w:rsid w:val="0064433C"/>
    <w:rPr>
      <w:sz w:val="24"/>
      <w:szCs w:val="24"/>
    </w:rPr>
  </w:style>
  <w:style w:type="paragraph" w:styleId="CommentSubject">
    <w:name w:val="annotation subject"/>
    <w:basedOn w:val="CommentText"/>
    <w:next w:val="CommentText"/>
    <w:link w:val="CommentSubjectChar"/>
    <w:semiHidden/>
    <w:unhideWhenUsed/>
    <w:rsid w:val="0064433C"/>
    <w:rPr>
      <w:b/>
      <w:bCs/>
    </w:rPr>
  </w:style>
  <w:style w:type="character" w:customStyle="1" w:styleId="CommentSubjectChar">
    <w:name w:val="Comment Subject Char"/>
    <w:basedOn w:val="CommentTextChar"/>
    <w:link w:val="CommentSubject"/>
    <w:semiHidden/>
    <w:rsid w:val="0064433C"/>
    <w:rPr>
      <w:b/>
      <w:bCs/>
      <w:sz w:val="24"/>
      <w:szCs w:val="24"/>
    </w:rPr>
  </w:style>
  <w:style w:type="numbering" w:customStyle="1" w:styleId="NoList1">
    <w:name w:val="No List1"/>
    <w:next w:val="NoList"/>
    <w:uiPriority w:val="99"/>
    <w:semiHidden/>
    <w:unhideWhenUsed/>
    <w:rsid w:val="00363F0F"/>
  </w:style>
  <w:style w:type="paragraph" w:customStyle="1" w:styleId="msonormal0">
    <w:name w:val="msonormal"/>
    <w:basedOn w:val="Normal"/>
    <w:rsid w:val="00363F0F"/>
    <w:pPr>
      <w:spacing w:before="100" w:beforeAutospacing="1" w:after="100" w:afterAutospacing="1"/>
    </w:pPr>
    <w:rPr>
      <w:rFonts w:eastAsia="Times New Roman"/>
    </w:rPr>
  </w:style>
  <w:style w:type="paragraph" w:customStyle="1" w:styleId="paragraph">
    <w:name w:val="paragraph"/>
    <w:basedOn w:val="Normal"/>
    <w:rsid w:val="00363F0F"/>
    <w:pPr>
      <w:spacing w:before="100" w:beforeAutospacing="1" w:after="100" w:afterAutospacing="1"/>
    </w:pPr>
    <w:rPr>
      <w:rFonts w:eastAsia="Times New Roman"/>
    </w:rPr>
  </w:style>
  <w:style w:type="character" w:customStyle="1" w:styleId="textrun">
    <w:name w:val="textrun"/>
    <w:basedOn w:val="DefaultParagraphFont"/>
    <w:rsid w:val="00363F0F"/>
  </w:style>
  <w:style w:type="character" w:customStyle="1" w:styleId="normaltextrun">
    <w:name w:val="normaltextrun"/>
    <w:basedOn w:val="DefaultParagraphFont"/>
    <w:rsid w:val="00363F0F"/>
  </w:style>
  <w:style w:type="character" w:customStyle="1" w:styleId="eop">
    <w:name w:val="eop"/>
    <w:basedOn w:val="DefaultParagraphFont"/>
    <w:rsid w:val="00363F0F"/>
  </w:style>
  <w:style w:type="table" w:styleId="TableGrid">
    <w:name w:val="Table Grid"/>
    <w:basedOn w:val="TableNormal"/>
    <w:uiPriority w:val="39"/>
    <w:rsid w:val="00363F0F"/>
    <w:rPr>
      <w:rFonts w:ascii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57209"/>
    <w:rPr>
      <w:color w:val="0000FF" w:themeColor="hyperlink"/>
      <w:u w:val="single"/>
    </w:rPr>
  </w:style>
  <w:style w:type="paragraph" w:styleId="Revision">
    <w:name w:val="Revision"/>
    <w:hidden/>
    <w:uiPriority w:val="99"/>
    <w:semiHidden/>
    <w:rsid w:val="008138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crd.york.ac.uk/prospero"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10455</Words>
  <Characters>59600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1285816823@qq.com</dc:creator>
  <cp:keywords/>
  <dc:description/>
  <cp:lastModifiedBy>Donna Fox</cp:lastModifiedBy>
  <cp:revision>2</cp:revision>
  <dcterms:created xsi:type="dcterms:W3CDTF">2023-05-03T21:40:00Z</dcterms:created>
  <dcterms:modified xsi:type="dcterms:W3CDTF">2023-05-03T21:40:00Z</dcterms:modified>
</cp:coreProperties>
</file>