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D84F4"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6D424F31"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83153</w:t>
      </w:r>
    </w:p>
    <w:p w14:paraId="23E500BD"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META-ANALYSIS</w:t>
      </w:r>
    </w:p>
    <w:p w14:paraId="235A28E8" w14:textId="77777777" w:rsidR="00FE4150" w:rsidRDefault="00FE4150">
      <w:pPr>
        <w:snapToGrid w:val="0"/>
        <w:spacing w:line="360" w:lineRule="auto"/>
        <w:jc w:val="both"/>
        <w:rPr>
          <w:rFonts w:ascii="Book Antiqua" w:hAnsi="Book Antiqua"/>
          <w:color w:val="000000" w:themeColor="text1"/>
        </w:rPr>
      </w:pPr>
    </w:p>
    <w:p w14:paraId="54E00261" w14:textId="77777777" w:rsidR="00FE4150" w:rsidRDefault="00000000">
      <w:pPr>
        <w:snapToGrid w:val="0"/>
        <w:spacing w:line="360" w:lineRule="auto"/>
        <w:jc w:val="both"/>
        <w:rPr>
          <w:rFonts w:ascii="Book Antiqua" w:hAnsi="Book Antiqua"/>
          <w:color w:val="000000" w:themeColor="text1"/>
        </w:rPr>
      </w:pPr>
      <w:r>
        <w:rPr>
          <w:rFonts w:ascii="Book Antiqua" w:eastAsia="宋体" w:hAnsi="Book Antiqua" w:cs="Book Antiqua"/>
          <w:b/>
          <w:bCs/>
          <w:color w:val="000000" w:themeColor="text1"/>
          <w:lang w:eastAsia="zh-CN"/>
        </w:rPr>
        <w:t>E</w:t>
      </w:r>
      <w:r>
        <w:rPr>
          <w:rFonts w:ascii="Book Antiqua" w:eastAsia="Book Antiqua" w:hAnsi="Book Antiqua" w:cs="Book Antiqua"/>
          <w:b/>
          <w:bCs/>
          <w:color w:val="000000" w:themeColor="text1"/>
        </w:rPr>
        <w:t>fficacy and safety of intravenous tranexamic acid in total shoulder arthroplasty: A meta-analysis</w:t>
      </w:r>
    </w:p>
    <w:p w14:paraId="30C822A0" w14:textId="77777777" w:rsidR="00FE4150" w:rsidRDefault="00FE4150">
      <w:pPr>
        <w:snapToGrid w:val="0"/>
        <w:spacing w:line="360" w:lineRule="auto"/>
        <w:jc w:val="both"/>
        <w:rPr>
          <w:rFonts w:ascii="Book Antiqua" w:hAnsi="Book Antiqua"/>
          <w:color w:val="000000" w:themeColor="text1"/>
        </w:rPr>
      </w:pPr>
    </w:p>
    <w:p w14:paraId="08E5105F"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Deng HM Intravenous TXA in TSA: A meta-analysis</w:t>
      </w:r>
    </w:p>
    <w:p w14:paraId="56B1C17C" w14:textId="77777777" w:rsidR="00FE4150" w:rsidRDefault="00FE4150">
      <w:pPr>
        <w:snapToGrid w:val="0"/>
        <w:spacing w:line="360" w:lineRule="auto"/>
        <w:jc w:val="both"/>
        <w:rPr>
          <w:rFonts w:ascii="Book Antiqua" w:hAnsi="Book Antiqua"/>
          <w:color w:val="000000" w:themeColor="text1"/>
        </w:rPr>
      </w:pPr>
    </w:p>
    <w:p w14:paraId="7C589BFE"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Hua-Mei Deng</w:t>
      </w:r>
    </w:p>
    <w:p w14:paraId="6E655954" w14:textId="77777777" w:rsidR="00FE4150" w:rsidRDefault="00FE4150">
      <w:pPr>
        <w:snapToGrid w:val="0"/>
        <w:spacing w:line="360" w:lineRule="auto"/>
        <w:jc w:val="both"/>
        <w:rPr>
          <w:rFonts w:ascii="Book Antiqua" w:hAnsi="Book Antiqua"/>
          <w:color w:val="000000" w:themeColor="text1"/>
        </w:rPr>
      </w:pPr>
    </w:p>
    <w:p w14:paraId="4120E7AC"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Hua-Mei Deng, </w:t>
      </w:r>
      <w:r>
        <w:rPr>
          <w:rFonts w:ascii="Book Antiqua" w:eastAsia="Book Antiqua" w:hAnsi="Book Antiqua" w:cs="Book Antiqua"/>
          <w:color w:val="000000" w:themeColor="text1"/>
        </w:rPr>
        <w:t>The Second Affiliated Hospital, Guangzhou University of Chinese Medicine, Guangzhou 510120, Guangdong Province, China</w:t>
      </w:r>
    </w:p>
    <w:p w14:paraId="26648A93" w14:textId="77777777" w:rsidR="00FE4150" w:rsidRDefault="00FE4150">
      <w:pPr>
        <w:snapToGrid w:val="0"/>
        <w:spacing w:line="360" w:lineRule="auto"/>
        <w:jc w:val="both"/>
        <w:rPr>
          <w:rFonts w:ascii="Book Antiqua" w:hAnsi="Book Antiqua"/>
          <w:color w:val="000000" w:themeColor="text1"/>
        </w:rPr>
      </w:pPr>
    </w:p>
    <w:p w14:paraId="7A25021D"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Deng HM designed and conducted the study; Deng HM read and approved the final manuscript.</w:t>
      </w:r>
    </w:p>
    <w:p w14:paraId="78CF1522" w14:textId="77777777" w:rsidR="00FE4150" w:rsidRDefault="00FE4150">
      <w:pPr>
        <w:snapToGrid w:val="0"/>
        <w:spacing w:line="360" w:lineRule="auto"/>
        <w:jc w:val="both"/>
        <w:rPr>
          <w:rFonts w:ascii="Book Antiqua" w:hAnsi="Book Antiqua"/>
          <w:color w:val="000000" w:themeColor="text1"/>
        </w:rPr>
      </w:pPr>
    </w:p>
    <w:p w14:paraId="3B6AAA45" w14:textId="774B0162"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Hua-Mei Deng, MM, Professor, </w:t>
      </w:r>
      <w:r>
        <w:rPr>
          <w:rFonts w:ascii="Book Antiqua" w:eastAsia="Book Antiqua" w:hAnsi="Book Antiqua" w:cs="Book Antiqua"/>
          <w:color w:val="000000" w:themeColor="text1"/>
        </w:rPr>
        <w:t>The Second Affiliated Hospital, Guangzhou University of Chinese Medicine, No. 111 Dade Road, Yuexiu District, Guangzhou 510120, Guangdong Province, China. szydenghm@126.com</w:t>
      </w:r>
    </w:p>
    <w:p w14:paraId="0612E8B8" w14:textId="77777777" w:rsidR="00FE4150" w:rsidRDefault="00FE4150">
      <w:pPr>
        <w:snapToGrid w:val="0"/>
        <w:spacing w:line="360" w:lineRule="auto"/>
        <w:jc w:val="both"/>
        <w:rPr>
          <w:rFonts w:ascii="Book Antiqua" w:hAnsi="Book Antiqua"/>
          <w:color w:val="000000" w:themeColor="text1"/>
        </w:rPr>
      </w:pPr>
    </w:p>
    <w:p w14:paraId="1E76918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January 9, 2023</w:t>
      </w:r>
    </w:p>
    <w:p w14:paraId="45BA4BE6"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March 8, 2023</w:t>
      </w:r>
    </w:p>
    <w:p w14:paraId="16FE9E8F" w14:textId="59D98EEC"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ins w:id="0" w:author="BPG Wang,Jin-Lei" w:date="2023-03-27T19:06:00Z">
        <w:r w:rsidR="00282EDD" w:rsidRPr="00282EDD">
          <w:rPr>
            <w:rFonts w:ascii="Book Antiqua" w:eastAsia="Book Antiqua" w:hAnsi="Book Antiqua" w:cs="Book Antiqua"/>
            <w:color w:val="000000" w:themeColor="text1"/>
          </w:rPr>
          <w:t>March 27, 2023</w:t>
        </w:r>
      </w:ins>
    </w:p>
    <w:p w14:paraId="41158BEC"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14:paraId="72A5AA82" w14:textId="77777777" w:rsidR="00FE4150" w:rsidRDefault="00FE4150">
      <w:pPr>
        <w:snapToGrid w:val="0"/>
        <w:spacing w:line="360" w:lineRule="auto"/>
        <w:jc w:val="both"/>
        <w:rPr>
          <w:rFonts w:ascii="Book Antiqua" w:hAnsi="Book Antiqua"/>
          <w:color w:val="000000" w:themeColor="text1"/>
        </w:rPr>
        <w:sectPr w:rsidR="00FE4150">
          <w:footerReference w:type="default" r:id="rId7"/>
          <w:pgSz w:w="12240" w:h="15840"/>
          <w:pgMar w:top="1440" w:right="1440" w:bottom="1440" w:left="1440" w:header="720" w:footer="720" w:gutter="0"/>
          <w:cols w:space="720"/>
          <w:docGrid w:linePitch="360"/>
        </w:sectPr>
      </w:pPr>
    </w:p>
    <w:p w14:paraId="588B2BE5"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6E1FD4F8"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563A13B2"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Total shoulder arthroplasty (TSA) results in a large amount of perioperative blood loss due to severe trauma.</w:t>
      </w:r>
    </w:p>
    <w:p w14:paraId="0D127932" w14:textId="77777777" w:rsidR="00FE4150" w:rsidRDefault="00FE4150">
      <w:pPr>
        <w:snapToGrid w:val="0"/>
        <w:spacing w:line="360" w:lineRule="auto"/>
        <w:jc w:val="both"/>
        <w:rPr>
          <w:rFonts w:ascii="Book Antiqua" w:hAnsi="Book Antiqua"/>
          <w:color w:val="000000" w:themeColor="text1"/>
        </w:rPr>
      </w:pPr>
    </w:p>
    <w:p w14:paraId="18C02B5D"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1F4C4B1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To investigate the safety and efficacy of intravenous tranexamic acid (TXA) in TSA.</w:t>
      </w:r>
    </w:p>
    <w:p w14:paraId="4CEA06C0" w14:textId="77777777" w:rsidR="00FE4150" w:rsidRDefault="00FE4150">
      <w:pPr>
        <w:snapToGrid w:val="0"/>
        <w:spacing w:line="360" w:lineRule="auto"/>
        <w:jc w:val="both"/>
        <w:rPr>
          <w:rFonts w:ascii="Book Antiqua" w:hAnsi="Book Antiqua"/>
          <w:color w:val="000000" w:themeColor="text1"/>
        </w:rPr>
      </w:pPr>
    </w:p>
    <w:p w14:paraId="4911D994"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4CD4D6D6"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We searched the PubMed, Cochrane Library, Embase and Web of Science databases for randomized controlled trials (RCTs) on the use of TXA in TSA.</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And all the resu</w:t>
      </w:r>
      <w:r>
        <w:rPr>
          <w:rFonts w:ascii="Book Antiqua" w:eastAsia="宋体" w:hAnsi="Book Antiqua" w:cs="Book Antiqua" w:hint="eastAsia"/>
          <w:color w:val="000000" w:themeColor="text1"/>
          <w:lang w:eastAsia="zh-CN"/>
        </w:rPr>
        <w:t>lts were checked and assessed by Reference Citation Analysis (https://www.referencecitationanalysis.com/).</w:t>
      </w:r>
      <w:r>
        <w:rPr>
          <w:rFonts w:ascii="Book Antiqua" w:eastAsia="Book Antiqua" w:hAnsi="Book Antiqua" w:cs="Book Antiqua"/>
          <w:color w:val="000000" w:themeColor="text1"/>
        </w:rPr>
        <w:t xml:space="preserve"> A meta-analysis was performed with Review Manager 5.3 to calculate the odds ratio (OR) or weighted mean difference (WMD) of related outcome indicators.</w:t>
      </w:r>
    </w:p>
    <w:p w14:paraId="1C42A1F1" w14:textId="77777777" w:rsidR="00FE4150" w:rsidRDefault="00FE4150">
      <w:pPr>
        <w:snapToGrid w:val="0"/>
        <w:spacing w:line="360" w:lineRule="auto"/>
        <w:jc w:val="both"/>
        <w:rPr>
          <w:rFonts w:ascii="Book Antiqua" w:hAnsi="Book Antiqua"/>
          <w:color w:val="000000" w:themeColor="text1"/>
        </w:rPr>
      </w:pPr>
    </w:p>
    <w:p w14:paraId="434B57FE"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3C7B8304" w14:textId="539B8FAD"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 total of 5 RCTs with level 1 evidence were included. There were 369 cases, with 186 in the TXA group and 183 in the placebo group. The meta-analysis showed that TXA can significantly reduce total blood loss during the perioperative period [WMD = -249.56, 95% confidence interval (CI)</w:t>
      </w:r>
      <w:r w:rsidR="006C0B0D">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-347.6 to -151.52,</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&lt; 0.0001], and the incidence of adverse reactions was low (OR = 0.36, 95%CI</w:t>
      </w:r>
      <w:r w:rsidR="006C0B0D">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0.16</w:t>
      </w:r>
      <w:r w:rsidR="006C0B0D">
        <w:rPr>
          <w:rFonts w:ascii="Book Antiqua" w:eastAsia="Book Antiqua" w:hAnsi="Book Antiqua" w:cs="Book Antiqua"/>
          <w:color w:val="000000" w:themeColor="text1"/>
        </w:rPr>
        <w:t>-</w:t>
      </w:r>
      <w:r>
        <w:rPr>
          <w:rFonts w:ascii="Book Antiqua" w:eastAsia="Book Antiqua" w:hAnsi="Book Antiqua" w:cs="Book Antiqua"/>
          <w:color w:val="000000" w:themeColor="text1"/>
        </w:rPr>
        <w:t>0.83,</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xml:space="preserve">= 0.02). Compared with the placebo group, the TXA group had significantly less total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(WMD = -34.39, 95%CI</w:t>
      </w:r>
      <w:r w:rsidR="006C0B0D">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-50.56 to -18.22), less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fluctuation before and after the operation (WMD = -0.6, 95%CI</w:t>
      </w:r>
      <w:r w:rsidR="006C0B0D">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-0.93 to -0.27) and less 24-h drain output (WMD = -136.87, 95%CI</w:t>
      </w:r>
      <w:r w:rsidR="006C0B0D">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-165.87 to -106.49). There were no significant differences in the operation time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0.11) or hospital length of stay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0.30) between the two groups.</w:t>
      </w:r>
    </w:p>
    <w:p w14:paraId="695DFED3" w14:textId="77777777" w:rsidR="00FE4150" w:rsidRDefault="00FE4150">
      <w:pPr>
        <w:snapToGrid w:val="0"/>
        <w:spacing w:line="360" w:lineRule="auto"/>
        <w:jc w:val="both"/>
        <w:rPr>
          <w:rFonts w:ascii="Book Antiqua" w:hAnsi="Book Antiqua"/>
          <w:color w:val="000000" w:themeColor="text1"/>
        </w:rPr>
      </w:pPr>
    </w:p>
    <w:p w14:paraId="5605E4B4"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3B23B77D"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The application of intravenous TXA in the perioperative period of TSA can significantly reduce the total volume of perioperative blood loss and reduce the incidence of adverse reactions, so TXA is worthy of widespread clinical use.</w:t>
      </w:r>
    </w:p>
    <w:p w14:paraId="6443180A" w14:textId="77777777" w:rsidR="00FE4150" w:rsidRDefault="00FE4150">
      <w:pPr>
        <w:snapToGrid w:val="0"/>
        <w:spacing w:line="360" w:lineRule="auto"/>
        <w:jc w:val="both"/>
        <w:rPr>
          <w:rFonts w:ascii="Book Antiqua" w:hAnsi="Book Antiqua"/>
          <w:color w:val="000000" w:themeColor="text1"/>
        </w:rPr>
      </w:pPr>
    </w:p>
    <w:p w14:paraId="7CFE2B78"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Intravenous; Tranexamic acid; Total shoulder arthroplasty; Placebo; Meta-analysis</w:t>
      </w:r>
    </w:p>
    <w:p w14:paraId="3DD693C1" w14:textId="77777777" w:rsidR="00FE4150" w:rsidRDefault="00FE4150">
      <w:pPr>
        <w:snapToGrid w:val="0"/>
        <w:spacing w:line="360" w:lineRule="auto"/>
        <w:jc w:val="both"/>
        <w:rPr>
          <w:rFonts w:ascii="Book Antiqua" w:hAnsi="Book Antiqua"/>
          <w:color w:val="000000" w:themeColor="text1"/>
        </w:rPr>
      </w:pPr>
    </w:p>
    <w:p w14:paraId="6BEF220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Deng HM. </w:t>
      </w:r>
      <w:r>
        <w:rPr>
          <w:rFonts w:ascii="Book Antiqua" w:eastAsia="宋体" w:hAnsi="Book Antiqua" w:cs="Book Antiqua"/>
          <w:color w:val="000000" w:themeColor="text1"/>
          <w:lang w:eastAsia="zh-CN"/>
        </w:rPr>
        <w:t>Efficacy and safety of intravenous tranexamic acid in total shoulder arthroplasty: A meta-analysis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2023; In press</w:t>
      </w:r>
    </w:p>
    <w:p w14:paraId="4FF8B132" w14:textId="77777777" w:rsidR="00FE4150" w:rsidRDefault="00FE4150">
      <w:pPr>
        <w:snapToGrid w:val="0"/>
        <w:spacing w:line="360" w:lineRule="auto"/>
        <w:jc w:val="both"/>
        <w:rPr>
          <w:rFonts w:ascii="Book Antiqua" w:hAnsi="Book Antiqua"/>
          <w:color w:val="000000" w:themeColor="text1"/>
        </w:rPr>
      </w:pPr>
    </w:p>
    <w:p w14:paraId="12B2986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The development and application of total shoulder arthroplasty (TSA) have been slower than those of total knee and total hip arthroplasty, and there is still a lack of advanced evidence-based evidence about the application of tranexamic acid (TXA) in the perioperative period of TSA. Therefore, a meta-analysis was conducted to determine the efficacy and safety of intravenous TXA in the perioperative period of TSA.</w:t>
      </w:r>
    </w:p>
    <w:p w14:paraId="688DFEC2" w14:textId="77777777" w:rsidR="00FE4150" w:rsidRDefault="00FE4150">
      <w:pPr>
        <w:snapToGrid w:val="0"/>
        <w:spacing w:line="360" w:lineRule="auto"/>
        <w:jc w:val="both"/>
        <w:rPr>
          <w:rFonts w:ascii="Book Antiqua" w:hAnsi="Book Antiqua"/>
          <w:color w:val="000000" w:themeColor="text1"/>
        </w:rPr>
      </w:pPr>
    </w:p>
    <w:p w14:paraId="2A735A07"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26519A8F"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Total shoulder arthroplasty (TSA) is commonly used in the treatment of end-stage rotator cuff arthropathy, irreparable rotator cuff tears, primary glenohumeral arthritis and traumatic shoulder </w:t>
      </w:r>
      <w:proofErr w:type="gramStart"/>
      <w:r>
        <w:rPr>
          <w:rFonts w:ascii="Book Antiqua" w:eastAsia="Book Antiqua" w:hAnsi="Book Antiqua" w:cs="Book Antiqua"/>
          <w:color w:val="000000" w:themeColor="text1"/>
        </w:rPr>
        <w:t>arthritis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When conservative treatment methods, such as analgesic drugs, local hormone injections, and physical therapy, cannot relieve pain or improve shoulder joint range of motion, TSA often significantly relieves pain, improves the range of motion and improves the quality of life of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5-7]</w:t>
      </w:r>
      <w:r>
        <w:rPr>
          <w:rFonts w:ascii="Book Antiqua" w:eastAsia="Book Antiqua" w:hAnsi="Book Antiqua" w:cs="Book Antiqua"/>
          <w:color w:val="000000" w:themeColor="text1"/>
        </w:rPr>
        <w:t xml:space="preserve">. Due to developments and improvements in shoulder replacement medical technology and replacement materials, the number of total shoulder replacements is </w:t>
      </w:r>
      <w:proofErr w:type="gramStart"/>
      <w:r>
        <w:rPr>
          <w:rFonts w:ascii="Book Antiqua" w:eastAsia="Book Antiqua" w:hAnsi="Book Antiqua" w:cs="Book Antiqua"/>
          <w:color w:val="000000" w:themeColor="text1"/>
        </w:rPr>
        <w:t>increasing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Studies have shown that the volume of intraoperative blood loss during total shoulder replacement can reach between 354 mL and 361 </w:t>
      </w:r>
      <w:proofErr w:type="gramStart"/>
      <w:r>
        <w:rPr>
          <w:rFonts w:ascii="Book Antiqua" w:eastAsia="Book Antiqua" w:hAnsi="Book Antiqua" w:cs="Book Antiqua"/>
          <w:color w:val="000000" w:themeColor="text1"/>
        </w:rPr>
        <w:t>mL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9,10]</w:t>
      </w:r>
      <w:r>
        <w:rPr>
          <w:rFonts w:ascii="Book Antiqua" w:eastAsia="Book Antiqua" w:hAnsi="Book Antiqua" w:cs="Book Antiqua"/>
          <w:color w:val="000000" w:themeColor="text1"/>
        </w:rPr>
        <w:t>. For patients undergoing primary TSA, the probability of blood transfusion is between 2.4% and 9.5</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11,12]</w:t>
      </w:r>
      <w:r>
        <w:rPr>
          <w:rFonts w:ascii="Book Antiqua" w:eastAsia="Book Antiqua" w:hAnsi="Book Antiqua" w:cs="Book Antiqua"/>
          <w:color w:val="000000" w:themeColor="text1"/>
        </w:rPr>
        <w:t xml:space="preserve">. The presence of </w:t>
      </w:r>
      <w:proofErr w:type="spellStart"/>
      <w:r>
        <w:rPr>
          <w:rFonts w:ascii="Book Antiqua" w:eastAsia="Book Antiqua" w:hAnsi="Book Antiqua" w:cs="Book Antiqua"/>
          <w:color w:val="000000" w:themeColor="text1"/>
        </w:rPr>
        <w:t>anaemia</w:t>
      </w:r>
      <w:proofErr w:type="spellEnd"/>
      <w:r>
        <w:rPr>
          <w:rFonts w:ascii="Book Antiqua" w:eastAsia="Book Antiqua" w:hAnsi="Book Antiqua" w:cs="Book Antiqua"/>
          <w:color w:val="000000" w:themeColor="text1"/>
        </w:rPr>
        <w:t xml:space="preserve"> and the need for blood transfusion after surgery may increase the </w:t>
      </w:r>
      <w:r>
        <w:rPr>
          <w:rFonts w:ascii="Book Antiqua" w:eastAsia="Book Antiqua" w:hAnsi="Book Antiqua" w:cs="Book Antiqua"/>
          <w:color w:val="000000" w:themeColor="text1"/>
        </w:rPr>
        <w:lastRenderedPageBreak/>
        <w:t xml:space="preserve">incidence of complications. Common complications include angina pectoris, myocardial infarction, thrombosis, and even </w:t>
      </w:r>
      <w:proofErr w:type="gramStart"/>
      <w:r>
        <w:rPr>
          <w:rFonts w:ascii="Book Antiqua" w:eastAsia="Book Antiqua" w:hAnsi="Book Antiqua" w:cs="Book Antiqua"/>
          <w:color w:val="000000" w:themeColor="text1"/>
        </w:rPr>
        <w:t>death</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13,14]</w:t>
      </w:r>
      <w:r>
        <w:rPr>
          <w:rFonts w:ascii="Book Antiqua" w:eastAsia="Book Antiqua" w:hAnsi="Book Antiqua" w:cs="Book Antiqua"/>
          <w:color w:val="000000" w:themeColor="text1"/>
        </w:rPr>
        <w:t>.</w:t>
      </w:r>
    </w:p>
    <w:p w14:paraId="23A31586" w14:textId="77777777" w:rsidR="00FE4150" w:rsidRDefault="00000000">
      <w:pPr>
        <w:snapToGrid w:val="0"/>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Tranexamic acid (TXA) is a fibrinolytic inhibitor that can reversibly block the binding site of lysine, which is compatible with fibrinogen; inhibit fibrinolytic reactions; prevent blood clots from being dissolved by fibrinolytic enzymes; and reduce the extent of perioperative </w:t>
      </w:r>
      <w:proofErr w:type="gramStart"/>
      <w:r>
        <w:rPr>
          <w:rFonts w:ascii="Book Antiqua" w:eastAsia="Book Antiqua" w:hAnsi="Book Antiqua" w:cs="Book Antiqua"/>
          <w:color w:val="000000" w:themeColor="text1"/>
        </w:rPr>
        <w:t>bleeding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15,16]</w:t>
      </w:r>
      <w:r>
        <w:rPr>
          <w:rFonts w:ascii="Book Antiqua" w:eastAsia="Book Antiqua" w:hAnsi="Book Antiqua" w:cs="Book Antiqua"/>
          <w:color w:val="000000" w:themeColor="text1"/>
        </w:rPr>
        <w:t xml:space="preserve">. TXA has been shown to significantly reduce the amount of blood loss in total knee and total hip </w:t>
      </w:r>
      <w:proofErr w:type="gramStart"/>
      <w:r>
        <w:rPr>
          <w:rFonts w:ascii="Book Antiqua" w:eastAsia="Book Antiqua" w:hAnsi="Book Antiqua" w:cs="Book Antiqua"/>
          <w:color w:val="000000" w:themeColor="text1"/>
        </w:rPr>
        <w:t>arthroplasty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17-19]</w:t>
      </w:r>
      <w:r>
        <w:rPr>
          <w:rFonts w:ascii="Book Antiqua" w:eastAsia="Book Antiqua" w:hAnsi="Book Antiqua" w:cs="Book Antiqua"/>
          <w:color w:val="000000" w:themeColor="text1"/>
        </w:rPr>
        <w:t>. Therefore, TXA has been widely used in total joint replacement for perioperative blood management. However, because the development and application of TSA have been slower than those of total knee and total hip arthroplasty, there is still a lack of advanced evidence-based evidence about the application of TXA in the perioperative period of TSA. Therefore, through the inclusion of high-quality randomized controlled trials (RCTs), a meta-analysis was conducted to determine the efficacy and safety of intravenous TXA in the perioperative period of TSA, thereby providing a high-quality evidence-based basis for clinical application.</w:t>
      </w:r>
    </w:p>
    <w:p w14:paraId="427D8AA6" w14:textId="77777777" w:rsidR="00FE4150" w:rsidRDefault="00FE4150">
      <w:pPr>
        <w:snapToGrid w:val="0"/>
        <w:spacing w:line="360" w:lineRule="auto"/>
        <w:jc w:val="both"/>
        <w:rPr>
          <w:rFonts w:ascii="Book Antiqua" w:hAnsi="Book Antiqua"/>
          <w:color w:val="000000" w:themeColor="text1"/>
        </w:rPr>
      </w:pPr>
    </w:p>
    <w:p w14:paraId="653CDB64"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6AB98A67"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This meta-analysis was conducted in strict accordance with the preferred reporting items for systematic reviews and meta-analyses </w:t>
      </w:r>
      <w:proofErr w:type="gramStart"/>
      <w:r>
        <w:rPr>
          <w:rFonts w:ascii="Book Antiqua" w:eastAsia="Book Antiqua" w:hAnsi="Book Antiqua" w:cs="Book Antiqua"/>
          <w:color w:val="000000" w:themeColor="text1"/>
        </w:rPr>
        <w:t>statement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All the data used in this study are provided in the text and supplementary materials.</w:t>
      </w:r>
    </w:p>
    <w:p w14:paraId="6AFF9404" w14:textId="77777777" w:rsidR="00FE4150" w:rsidRDefault="00FE4150">
      <w:pPr>
        <w:snapToGrid w:val="0"/>
        <w:spacing w:line="360" w:lineRule="auto"/>
        <w:jc w:val="both"/>
        <w:rPr>
          <w:rFonts w:ascii="Book Antiqua" w:eastAsia="Book Antiqua" w:hAnsi="Book Antiqua" w:cs="Book Antiqua"/>
          <w:b/>
          <w:bCs/>
          <w:i/>
          <w:iCs/>
          <w:color w:val="000000" w:themeColor="text1"/>
        </w:rPr>
      </w:pPr>
    </w:p>
    <w:p w14:paraId="69DE4E4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Data sources and search strategy</w:t>
      </w:r>
    </w:p>
    <w:p w14:paraId="106E825E" w14:textId="0B4B5941" w:rsidR="00FE4150" w:rsidRDefault="00000000">
      <w:pPr>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PubMed, Embase, Cochrane Library and Web of Science were searched. The retrieval time was from the establishment of each database to November 15, 2022. The combination of </w:t>
      </w:r>
      <w:proofErr w:type="spellStart"/>
      <w:r>
        <w:rPr>
          <w:rFonts w:ascii="Book Antiqua" w:eastAsia="Book Antiqua" w:hAnsi="Book Antiqua" w:cs="Book Antiqua"/>
          <w:color w:val="000000" w:themeColor="text1"/>
        </w:rPr>
        <w:t>MeSH</w:t>
      </w:r>
      <w:proofErr w:type="spellEnd"/>
      <w:r>
        <w:rPr>
          <w:rFonts w:ascii="Book Antiqua" w:eastAsia="Book Antiqua" w:hAnsi="Book Antiqua" w:cs="Book Antiqua"/>
          <w:color w:val="000000" w:themeColor="text1"/>
        </w:rPr>
        <w:t xml:space="preserve"> terms and entry words to search the above four databases was used. The key words included "tranexamic acid", "tranexamic acid", "antimicrobial agents", "</w:t>
      </w:r>
      <w:proofErr w:type="spellStart"/>
      <w:r>
        <w:rPr>
          <w:rFonts w:ascii="Book Antiqua" w:eastAsia="Book Antiqua" w:hAnsi="Book Antiqua" w:cs="Book Antiqua"/>
          <w:color w:val="000000" w:themeColor="text1"/>
        </w:rPr>
        <w:t>cyklokapron</w:t>
      </w:r>
      <w:proofErr w:type="spellEnd"/>
      <w:r>
        <w:rPr>
          <w:rFonts w:ascii="Book Antiqua" w:eastAsia="Book Antiqua" w:hAnsi="Book Antiqua" w:cs="Book Antiqua"/>
          <w:color w:val="000000" w:themeColor="text1"/>
        </w:rPr>
        <w:t>", "</w:t>
      </w:r>
      <w:proofErr w:type="spellStart"/>
      <w:r>
        <w:rPr>
          <w:rFonts w:ascii="Book Antiqua" w:eastAsia="Book Antiqua" w:hAnsi="Book Antiqua" w:cs="Book Antiqua"/>
          <w:color w:val="000000" w:themeColor="text1"/>
        </w:rPr>
        <w:t>transamin</w:t>
      </w:r>
      <w:proofErr w:type="spellEnd"/>
      <w:r>
        <w:rPr>
          <w:rFonts w:ascii="Book Antiqua" w:eastAsia="Book Antiqua" w:hAnsi="Book Antiqua" w:cs="Book Antiqua"/>
          <w:color w:val="000000" w:themeColor="text1"/>
        </w:rPr>
        <w:t>", "total shoulder arthroplasty", "total shoulder replacement" and "shoulder replacement arthroplasty".</w:t>
      </w:r>
      <w:r>
        <w:rPr>
          <w:rFonts w:ascii="Book Antiqua" w:eastAsia="宋体" w:hAnsi="Book Antiqua" w:cs="Book Antiqua" w:hint="eastAsia"/>
          <w:color w:val="000000" w:themeColor="text1"/>
          <w:lang w:eastAsia="zh-CN"/>
        </w:rPr>
        <w:t xml:space="preserve"> Additionally, Reference Citation Analysis (https://www.referencecitationanalysis.com/) was used to check and</w:t>
      </w:r>
      <w:r w:rsidR="001E4DC0">
        <w:rPr>
          <w:rFonts w:ascii="Book Antiqua" w:eastAsia="宋体" w:hAnsi="Book Antiqua" w:cs="Book Antiqua" w:hint="eastAsia"/>
          <w:color w:val="000000" w:themeColor="text1"/>
          <w:lang w:eastAsia="zh-CN"/>
        </w:rPr>
        <w:t xml:space="preserve"> </w:t>
      </w:r>
      <w:r>
        <w:rPr>
          <w:rFonts w:ascii="Book Antiqua" w:eastAsia="宋体" w:hAnsi="Book Antiqua" w:cs="Book Antiqua" w:hint="eastAsia"/>
          <w:color w:val="000000" w:themeColor="text1"/>
          <w:lang w:eastAsia="zh-CN"/>
        </w:rPr>
        <w:lastRenderedPageBreak/>
        <w:t>supplement the search results.</w:t>
      </w:r>
      <w:r w:rsidR="001E4DC0">
        <w:rPr>
          <w:rFonts w:ascii="Book Antiqua" w:eastAsia="宋体" w:hAnsi="Book Antiqua" w:cs="Book Antiqua" w:hint="eastAsia"/>
          <w:color w:val="000000" w:themeColor="text1"/>
          <w:lang w:eastAsia="zh-CN"/>
        </w:rPr>
        <w:t xml:space="preserve"> </w:t>
      </w:r>
      <w:r>
        <w:rPr>
          <w:color w:val="000000" w:themeColor="text1"/>
        </w:rPr>
        <w:t>Supplementary material</w:t>
      </w:r>
      <w:r>
        <w:rPr>
          <w:rFonts w:ascii="Book Antiqua" w:eastAsia="Book Antiqua" w:hAnsi="Book Antiqua" w:cs="Book Antiqua"/>
          <w:color w:val="000000" w:themeColor="text1"/>
        </w:rPr>
        <w:t xml:space="preserve"> includes the search strategy used for each database.</w:t>
      </w:r>
    </w:p>
    <w:p w14:paraId="7A8C11EF" w14:textId="77777777" w:rsidR="00FE4150" w:rsidRDefault="00FE4150">
      <w:pPr>
        <w:snapToGrid w:val="0"/>
        <w:spacing w:line="360" w:lineRule="auto"/>
        <w:jc w:val="both"/>
        <w:rPr>
          <w:rFonts w:ascii="Book Antiqua" w:hAnsi="Book Antiqua"/>
          <w:color w:val="000000" w:themeColor="text1"/>
        </w:rPr>
      </w:pPr>
    </w:p>
    <w:p w14:paraId="6A98EA18" w14:textId="77777777" w:rsidR="00FE4150" w:rsidRDefault="00000000">
      <w:pPr>
        <w:snapToGrid w:val="0"/>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Study selection</w:t>
      </w:r>
    </w:p>
    <w:p w14:paraId="075986B2"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inclusion criteria were as follows: (1) all patients were treated with TSA or reverse TSA; (2) the experimental group was treated with intravenous TXA, and the control group was treated with a placebo; (3) the type of study was an RCT; and (4) one of the following outcome measures were reported: Total blood loss, adverse events, operative time, total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hospital length of stay, change in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level and 24-h drain output. There were no language restrictions.</w:t>
      </w:r>
    </w:p>
    <w:p w14:paraId="10910454" w14:textId="77777777" w:rsidR="00FE4150" w:rsidRDefault="00000000">
      <w:pPr>
        <w:snapToGrid w:val="0"/>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The exclusion criteria were as follows: (1) studies with incomplete original data; and (2) duplicate studies including the same population.</w:t>
      </w:r>
    </w:p>
    <w:p w14:paraId="265FBDB2" w14:textId="77777777" w:rsidR="00FE4150" w:rsidRDefault="00FE4150">
      <w:pPr>
        <w:snapToGrid w:val="0"/>
        <w:spacing w:line="360" w:lineRule="auto"/>
        <w:jc w:val="both"/>
        <w:rPr>
          <w:rFonts w:ascii="Book Antiqua" w:eastAsia="Book Antiqua" w:hAnsi="Book Antiqua" w:cs="Book Antiqua"/>
          <w:b/>
          <w:bCs/>
          <w:color w:val="000000" w:themeColor="text1"/>
        </w:rPr>
      </w:pPr>
    </w:p>
    <w:p w14:paraId="41FD0B76" w14:textId="77777777" w:rsidR="00FE4150" w:rsidRDefault="00000000">
      <w:pPr>
        <w:snapToGrid w:val="0"/>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Data extraction and quality assessment</w:t>
      </w:r>
    </w:p>
    <w:p w14:paraId="23AD97BE"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extracted data included basic information (first author, year of publication, country, research type, sample size, age, </w:t>
      </w:r>
      <w:r>
        <w:rPr>
          <w:rFonts w:ascii="Book Antiqua" w:eastAsia="Book Antiqua" w:hAnsi="Book Antiqua" w:cs="Book Antiqua"/>
          <w:i/>
          <w:iCs/>
          <w:color w:val="000000" w:themeColor="text1"/>
        </w:rPr>
        <w:t>etc.</w:t>
      </w:r>
      <w:r>
        <w:rPr>
          <w:rFonts w:ascii="Book Antiqua" w:eastAsia="Book Antiqua" w:hAnsi="Book Antiqua" w:cs="Book Antiqua"/>
          <w:color w:val="000000" w:themeColor="text1"/>
        </w:rPr>
        <w:t>), the primary outcome indicators, the secondary outcome indicators, and information related to the quality of the study.</w:t>
      </w:r>
    </w:p>
    <w:p w14:paraId="55A320C0" w14:textId="77777777" w:rsidR="00FE4150" w:rsidRDefault="00000000">
      <w:pPr>
        <w:snapToGrid w:val="0"/>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The primary outcomes were as follows: Total blood loss and adverse events. The secondary outcomes were as follows: Operative time, total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hospital length of stay, change in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level, and 24-h drain output.</w:t>
      </w:r>
    </w:p>
    <w:p w14:paraId="6E2C3F96" w14:textId="77777777" w:rsidR="00FE4150" w:rsidRDefault="00000000">
      <w:pPr>
        <w:snapToGrid w:val="0"/>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Version 2.0 (Rob 2.0) of the risk of bias assessment tool recommended by Cochrane was used to evaluate the quality of the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The evaluation tool evaluates the risk of bias in five areas. If the evaluation results of all five areas are low risk, then the overall risk of bias is low. If the assessment result of any one of the areas is high risk or the assessment results of multiple areas are possible risk, then the overall risk level is high.</w:t>
      </w:r>
    </w:p>
    <w:p w14:paraId="32905587" w14:textId="77777777" w:rsidR="00FE4150" w:rsidRDefault="00FE4150">
      <w:pPr>
        <w:snapToGrid w:val="0"/>
        <w:spacing w:line="360" w:lineRule="auto"/>
        <w:jc w:val="both"/>
        <w:rPr>
          <w:rFonts w:ascii="Book Antiqua" w:eastAsia="Book Antiqua" w:hAnsi="Book Antiqua" w:cs="Book Antiqua"/>
          <w:b/>
          <w:bCs/>
          <w:color w:val="000000" w:themeColor="text1"/>
        </w:rPr>
      </w:pPr>
    </w:p>
    <w:p w14:paraId="662DF595" w14:textId="77777777" w:rsidR="00FE4150" w:rsidRDefault="00000000">
      <w:pPr>
        <w:snapToGrid w:val="0"/>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Statistical analysis</w:t>
      </w:r>
    </w:p>
    <w:p w14:paraId="0C33314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Review Manager 5.3 software (Cochrane Collaboration, United Kingdom) was used for data analysis. The continuous variables are represented by weighted mean differences (WMDs) and 95% confidence intervals (CIs), while the categorical variables are represented by odds ratios (ORs) and 95%CIs.</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&lt; 0.05 was considered statistically significant.</w:t>
      </w:r>
      <w:r>
        <w:rPr>
          <w:rFonts w:ascii="Book Antiqua" w:eastAsia="Book Antiqua" w:hAnsi="Book Antiqua" w:cs="Book Antiqua"/>
          <w:i/>
          <w:iCs/>
          <w:color w:val="000000" w:themeColor="text1"/>
        </w:rPr>
        <w:t xml:space="preserve"> I</w:t>
      </w:r>
      <w:r>
        <w:rPr>
          <w:rFonts w:ascii="Book Antiqua" w:eastAsia="Book Antiqua" w:hAnsi="Book Antiqua" w:cs="Book Antiqua"/>
          <w:i/>
          <w:iCs/>
          <w:color w:val="000000" w:themeColor="text1"/>
          <w:vertAlign w:val="superscript"/>
        </w:rPr>
        <w:t>2</w:t>
      </w:r>
      <w:r>
        <w:rPr>
          <w:rFonts w:ascii="Book Antiqua" w:eastAsia="Book Antiqua" w:hAnsi="Book Antiqua" w:cs="Book Antiqua"/>
          <w:color w:val="000000" w:themeColor="text1"/>
        </w:rPr>
        <w:t xml:space="preserve"> was used to evaluate the heterogeneity of the consolidated data. </w:t>
      </w:r>
      <w:r>
        <w:rPr>
          <w:rFonts w:ascii="Book Antiqua" w:eastAsia="Book Antiqua" w:hAnsi="Book Antiqua" w:cs="Book Antiqua"/>
          <w:i/>
          <w:iCs/>
          <w:color w:val="000000" w:themeColor="text1"/>
        </w:rPr>
        <w:t>I</w:t>
      </w:r>
      <w:r>
        <w:rPr>
          <w:rFonts w:ascii="Book Antiqua" w:eastAsia="Book Antiqua" w:hAnsi="Book Antiqua" w:cs="Book Antiqua"/>
          <w:i/>
          <w:iCs/>
          <w:color w:val="000000" w:themeColor="text1"/>
          <w:vertAlign w:val="superscript"/>
        </w:rPr>
        <w:t>2</w:t>
      </w:r>
      <w:r>
        <w:rPr>
          <w:rFonts w:ascii="Book Antiqua" w:eastAsia="Book Antiqua" w:hAnsi="Book Antiqua" w:cs="Book Antiqua"/>
          <w:color w:val="000000" w:themeColor="text1"/>
        </w:rPr>
        <w:t xml:space="preserve"> &lt; 50% indicated low heterogeneity, and a fixed-effects model was used for these data; </w:t>
      </w:r>
      <w:r>
        <w:rPr>
          <w:rFonts w:ascii="Book Antiqua" w:eastAsia="Book Antiqua" w:hAnsi="Book Antiqua" w:cs="Book Antiqua"/>
          <w:i/>
          <w:iCs/>
          <w:color w:val="000000" w:themeColor="text1"/>
        </w:rPr>
        <w:t>I</w:t>
      </w:r>
      <w:r>
        <w:rPr>
          <w:rFonts w:ascii="Book Antiqua" w:eastAsia="Book Antiqua" w:hAnsi="Book Antiqua" w:cs="Book Antiqua"/>
          <w:i/>
          <w:iCs/>
          <w:color w:val="000000" w:themeColor="text1"/>
          <w:vertAlign w:val="superscript"/>
        </w:rPr>
        <w:t>2</w:t>
      </w:r>
      <w:r>
        <w:rPr>
          <w:rFonts w:ascii="Book Antiqua" w:eastAsia="Book Antiqua" w:hAnsi="Book Antiqua" w:cs="Book Antiqua"/>
          <w:color w:val="000000" w:themeColor="text1"/>
        </w:rPr>
        <w:t xml:space="preserve"> </w:t>
      </w:r>
      <w:r>
        <w:rPr>
          <w:rFonts w:eastAsia="Book Antiqua"/>
          <w:color w:val="000000" w:themeColor="text1"/>
        </w:rPr>
        <w:t xml:space="preserve">˃ </w:t>
      </w:r>
      <w:r>
        <w:rPr>
          <w:rFonts w:ascii="Book Antiqua" w:eastAsia="Book Antiqua" w:hAnsi="Book Antiqua" w:cs="Book Antiqua"/>
          <w:color w:val="000000" w:themeColor="text1"/>
        </w:rPr>
        <w:t xml:space="preserve">50% indicated high heterogeneity, and a random-effects model was used for these data. The latter group of results should be interpreted carefully. Stata 14.0 software was used to perform Egger’s and </w:t>
      </w:r>
      <w:proofErr w:type="spellStart"/>
      <w:r>
        <w:rPr>
          <w:rFonts w:ascii="Book Antiqua" w:eastAsia="Book Antiqua" w:hAnsi="Book Antiqua" w:cs="Book Antiqua"/>
          <w:color w:val="000000" w:themeColor="text1"/>
        </w:rPr>
        <w:t>Begg’s</w:t>
      </w:r>
      <w:proofErr w:type="spellEnd"/>
      <w:r>
        <w:rPr>
          <w:rFonts w:ascii="Book Antiqua" w:eastAsia="Book Antiqua" w:hAnsi="Book Antiqua" w:cs="Book Antiqua"/>
          <w:color w:val="000000" w:themeColor="text1"/>
        </w:rPr>
        <w:t xml:space="preserve"> tests to quantitatively evaluate publication bias for the outcome indicators with data retrieved from 3 or more articles.</w:t>
      </w:r>
    </w:p>
    <w:p w14:paraId="22F6CDC2" w14:textId="77777777" w:rsidR="00FE4150" w:rsidRDefault="00FE4150">
      <w:pPr>
        <w:snapToGrid w:val="0"/>
        <w:spacing w:line="360" w:lineRule="auto"/>
        <w:jc w:val="both"/>
        <w:rPr>
          <w:rFonts w:ascii="Book Antiqua" w:hAnsi="Book Antiqua"/>
          <w:color w:val="000000" w:themeColor="text1"/>
        </w:rPr>
      </w:pPr>
    </w:p>
    <w:p w14:paraId="7140583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4C849CB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Search results and study characteristics</w:t>
      </w:r>
    </w:p>
    <w:p w14:paraId="167D83AF" w14:textId="354ACB1C"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total of 158 articles were retrieved, including 41 from PubMed, 26 from Cochrane Library, 40 from Embase and 51 from Web of Science. After duplicate studies were excluded and the full texts were read, five articles were included. The process of literature retrieval and the reasons for exclusion are shown in Figure 1. This meta-analysis included five </w:t>
      </w:r>
      <w:proofErr w:type="gramStart"/>
      <w:r>
        <w:rPr>
          <w:rFonts w:ascii="Book Antiqua" w:eastAsia="Book Antiqua" w:hAnsi="Book Antiqua" w:cs="Book Antiqua"/>
          <w:color w:val="000000" w:themeColor="text1"/>
        </w:rPr>
        <w:t>RCTs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22-26]</w:t>
      </w:r>
      <w:r>
        <w:rPr>
          <w:rFonts w:ascii="Book Antiqua" w:eastAsia="Book Antiqua" w:hAnsi="Book Antiqua" w:cs="Book Antiqua"/>
          <w:color w:val="000000" w:themeColor="text1"/>
        </w:rPr>
        <w:t xml:space="preserve"> from four countries, two</w:t>
      </w:r>
      <w:r>
        <w:rPr>
          <w:rFonts w:ascii="Book Antiqua" w:eastAsia="Book Antiqua" w:hAnsi="Book Antiqua" w:cs="Book Antiqua"/>
          <w:color w:val="000000" w:themeColor="text1"/>
          <w:vertAlign w:val="superscript"/>
        </w:rPr>
        <w:t>[23,26]</w:t>
      </w:r>
      <w:r>
        <w:rPr>
          <w:rFonts w:ascii="Book Antiqua" w:eastAsia="Book Antiqua" w:hAnsi="Book Antiqua" w:cs="Book Antiqua"/>
          <w:color w:val="000000" w:themeColor="text1"/>
        </w:rPr>
        <w:t xml:space="preserve"> of which were from the United States. The clinical evidence level of 5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22-26]</w:t>
      </w:r>
      <w:r>
        <w:rPr>
          <w:rFonts w:ascii="Book Antiqua" w:eastAsia="Book Antiqua" w:hAnsi="Book Antiqua" w:cs="Book Antiqua"/>
          <w:color w:val="000000" w:themeColor="text1"/>
        </w:rPr>
        <w:t xml:space="preserve"> was 1. A total of 369 cases were included, including 186 cases in the experimental group and 183 cases in the placebo group. Among the five RCTs, only two studies reported that in the trial group and the placebo group, blood transfusion was needed due to excessive blood </w:t>
      </w:r>
      <w:proofErr w:type="gramStart"/>
      <w:r>
        <w:rPr>
          <w:rFonts w:ascii="Book Antiqua" w:eastAsia="Book Antiqua" w:hAnsi="Book Antiqua" w:cs="Book Antiqua"/>
          <w:color w:val="000000" w:themeColor="text1"/>
        </w:rPr>
        <w:t>loss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25,26]</w:t>
      </w:r>
      <w:r>
        <w:rPr>
          <w:rFonts w:ascii="Book Antiqua" w:eastAsia="Book Antiqua" w:hAnsi="Book Antiqua" w:cs="Book Antiqua"/>
          <w:color w:val="000000" w:themeColor="text1"/>
        </w:rPr>
        <w:t>. The basic characteristics of the studies included in this study are shown in Table 1.</w:t>
      </w:r>
    </w:p>
    <w:p w14:paraId="68318A91" w14:textId="77777777" w:rsidR="00FE4150" w:rsidRDefault="00FE4150">
      <w:pPr>
        <w:snapToGrid w:val="0"/>
        <w:spacing w:line="360" w:lineRule="auto"/>
        <w:jc w:val="both"/>
        <w:rPr>
          <w:rFonts w:ascii="Book Antiqua" w:eastAsia="Book Antiqua" w:hAnsi="Book Antiqua" w:cs="Book Antiqua"/>
          <w:b/>
          <w:bCs/>
          <w:color w:val="000000" w:themeColor="text1"/>
        </w:rPr>
      </w:pPr>
    </w:p>
    <w:p w14:paraId="4F9DCD24" w14:textId="77777777" w:rsidR="00FE4150" w:rsidRDefault="00000000">
      <w:pPr>
        <w:snapToGrid w:val="0"/>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Study quality assessment</w:t>
      </w:r>
    </w:p>
    <w:p w14:paraId="73D3D091"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In this study, the Cochrane randomized controlled trial risk of bias assessment tool 2.0 was used to evaluate the quality of the 5 included articles. All five </w:t>
      </w:r>
      <w:proofErr w:type="gramStart"/>
      <w:r>
        <w:rPr>
          <w:rFonts w:ascii="Book Antiqua" w:eastAsia="Book Antiqua" w:hAnsi="Book Antiqua" w:cs="Book Antiqua"/>
          <w:color w:val="000000" w:themeColor="text1"/>
        </w:rPr>
        <w:t>articles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22-26]</w:t>
      </w:r>
      <w:r>
        <w:rPr>
          <w:rFonts w:ascii="Book Antiqua" w:eastAsia="Book Antiqua" w:hAnsi="Book Antiqua" w:cs="Book Antiqua"/>
          <w:color w:val="000000" w:themeColor="text1"/>
        </w:rPr>
        <w:t xml:space="preserve"> were considered to have a low risk of bias. The above results of the literature quality evaluation showed that the methodological quality of the five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22-26]</w:t>
      </w:r>
      <w:r>
        <w:rPr>
          <w:rFonts w:ascii="Book Antiqua" w:eastAsia="Book Antiqua" w:hAnsi="Book Antiqua" w:cs="Book Antiqua"/>
          <w:color w:val="000000" w:themeColor="text1"/>
        </w:rPr>
        <w:t xml:space="preserve"> included in </w:t>
      </w:r>
      <w:r>
        <w:rPr>
          <w:rFonts w:ascii="Book Antiqua" w:eastAsia="Book Antiqua" w:hAnsi="Book Antiqua" w:cs="Book Antiqua"/>
          <w:color w:val="000000" w:themeColor="text1"/>
        </w:rPr>
        <w:lastRenderedPageBreak/>
        <w:t>this study was very high. All the included studies used the double-blinding method for clinical research. The risk of bias results for each study are shown in Figure 2.</w:t>
      </w:r>
    </w:p>
    <w:p w14:paraId="1FF5397F" w14:textId="77777777" w:rsidR="00FE4150" w:rsidRDefault="00FE4150">
      <w:pPr>
        <w:snapToGrid w:val="0"/>
        <w:spacing w:line="360" w:lineRule="auto"/>
        <w:jc w:val="both"/>
        <w:rPr>
          <w:rFonts w:ascii="Book Antiqua" w:eastAsia="Book Antiqua" w:hAnsi="Book Antiqua" w:cs="Book Antiqua"/>
          <w:b/>
          <w:bCs/>
          <w:i/>
          <w:iCs/>
          <w:color w:val="000000" w:themeColor="text1"/>
        </w:rPr>
      </w:pPr>
    </w:p>
    <w:p w14:paraId="1DAB897E"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Primary outcomes</w:t>
      </w:r>
    </w:p>
    <w:p w14:paraId="58C65DC5" w14:textId="76E0EF2C"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Total blood loss (m</w:t>
      </w:r>
      <w:r w:rsidR="00606096">
        <w:rPr>
          <w:rFonts w:ascii="Book Antiqua" w:eastAsia="Book Antiqua" w:hAnsi="Book Antiqua" w:cs="Book Antiqua"/>
          <w:b/>
          <w:bCs/>
          <w:color w:val="000000" w:themeColor="text1"/>
        </w:rPr>
        <w:t>L</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Four </w:t>
      </w:r>
      <w:proofErr w:type="gramStart"/>
      <w:r>
        <w:rPr>
          <w:rFonts w:ascii="Book Antiqua" w:eastAsia="Book Antiqua" w:hAnsi="Book Antiqua" w:cs="Book Antiqua"/>
          <w:color w:val="000000" w:themeColor="text1"/>
        </w:rPr>
        <w:t>RCTs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22-24,26]</w:t>
      </w:r>
      <w:r>
        <w:rPr>
          <w:rFonts w:ascii="Book Antiqua" w:eastAsia="Book Antiqua" w:hAnsi="Book Antiqua" w:cs="Book Antiqua"/>
          <w:color w:val="000000" w:themeColor="text1"/>
        </w:rPr>
        <w:t xml:space="preserve"> reported total blood loss in TSA. There were 163 cases in the experimental group and 161 cases in the placebo group. The heterogeneity among the studies was large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0.31, </w:t>
      </w:r>
      <w:r>
        <w:rPr>
          <w:rFonts w:ascii="Book Antiqua" w:eastAsia="Book Antiqua" w:hAnsi="Book Antiqua" w:cs="Book Antiqua"/>
          <w:i/>
          <w:iCs/>
          <w:color w:val="000000" w:themeColor="text1"/>
        </w:rPr>
        <w:t>I</w:t>
      </w:r>
      <w:r>
        <w:rPr>
          <w:rFonts w:ascii="Book Antiqua" w:eastAsia="Book Antiqua" w:hAnsi="Book Antiqua" w:cs="Book Antiqua"/>
          <w:i/>
          <w:iCs/>
          <w:color w:val="000000" w:themeColor="text1"/>
          <w:vertAlign w:val="superscript"/>
        </w:rPr>
        <w:t>2</w:t>
      </w:r>
      <w:r>
        <w:rPr>
          <w:rFonts w:ascii="Book Antiqua" w:eastAsia="Book Antiqua" w:hAnsi="Book Antiqua" w:cs="Book Antiqua"/>
          <w:color w:val="000000" w:themeColor="text1"/>
          <w:vertAlign w:val="superscript"/>
        </w:rPr>
        <w:t xml:space="preserve"> </w:t>
      </w:r>
      <w:r>
        <w:rPr>
          <w:rFonts w:ascii="Book Antiqua" w:eastAsia="Book Antiqua" w:hAnsi="Book Antiqua" w:cs="Book Antiqua"/>
          <w:color w:val="000000" w:themeColor="text1"/>
        </w:rPr>
        <w:t>= 16%), and a fixed-effects model was used for meta-analysis. The results showed that there was a significant difference in the total amount of bleeding between the two groups [weighted mean difference (WMD) = -249.56, 95%CI</w:t>
      </w:r>
      <w:r w:rsidR="00606096">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-347.6 to -151.52,</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&lt; 0.0001], which indicated that TXA can significantly reduce bleeding in TSA (Figure 3A).</w:t>
      </w:r>
    </w:p>
    <w:p w14:paraId="4D0834D8" w14:textId="77777777" w:rsidR="00FE4150" w:rsidRDefault="00FE4150">
      <w:pPr>
        <w:snapToGrid w:val="0"/>
        <w:spacing w:line="360" w:lineRule="auto"/>
        <w:jc w:val="both"/>
        <w:rPr>
          <w:rFonts w:ascii="Book Antiqua" w:hAnsi="Book Antiqua"/>
          <w:color w:val="000000" w:themeColor="text1"/>
        </w:rPr>
      </w:pPr>
    </w:p>
    <w:p w14:paraId="4EE019FC" w14:textId="52B39220"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Adverse events: </w:t>
      </w:r>
      <w:r>
        <w:rPr>
          <w:rFonts w:ascii="Book Antiqua" w:eastAsia="Book Antiqua" w:hAnsi="Book Antiqua" w:cs="Book Antiqua"/>
          <w:color w:val="000000" w:themeColor="text1"/>
        </w:rPr>
        <w:t xml:space="preserve">All the included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22-26]</w:t>
      </w:r>
      <w:r>
        <w:rPr>
          <w:rFonts w:ascii="Book Antiqua" w:eastAsia="Book Antiqua" w:hAnsi="Book Antiqua" w:cs="Book Antiqua"/>
          <w:color w:val="000000" w:themeColor="text1"/>
        </w:rPr>
        <w:t xml:space="preserve"> reported the occurrence of adverse reactions. There was no heterogeneity among the studies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0.57, </w:t>
      </w:r>
      <w:r>
        <w:rPr>
          <w:rFonts w:ascii="Book Antiqua" w:eastAsia="Book Antiqua" w:hAnsi="Book Antiqua" w:cs="Book Antiqua"/>
          <w:i/>
          <w:iCs/>
          <w:color w:val="000000" w:themeColor="text1"/>
        </w:rPr>
        <w:t>I</w:t>
      </w:r>
      <w:r>
        <w:rPr>
          <w:rFonts w:ascii="Book Antiqua" w:eastAsia="Book Antiqua" w:hAnsi="Book Antiqua" w:cs="Book Antiqua"/>
          <w:i/>
          <w:iCs/>
          <w:color w:val="000000" w:themeColor="text1"/>
          <w:vertAlign w:val="superscript"/>
        </w:rPr>
        <w:t>2</w:t>
      </w:r>
      <w:r>
        <w:rPr>
          <w:rFonts w:ascii="Book Antiqua" w:eastAsia="Book Antiqua" w:hAnsi="Book Antiqua" w:cs="Book Antiqua"/>
          <w:color w:val="000000" w:themeColor="text1"/>
        </w:rPr>
        <w:t xml:space="preserve"> = 0%), so a fixed-effects model was used. The meta-analysis showed that compared with the placebo group, the TXA group had significantly fewer adverse events and higher safety (OR = 0.36,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0.16</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0.83,</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0.02) (Figure 3B).</w:t>
      </w:r>
    </w:p>
    <w:p w14:paraId="0651B862" w14:textId="77777777" w:rsidR="00FE4150" w:rsidRDefault="00FE4150">
      <w:pPr>
        <w:snapToGrid w:val="0"/>
        <w:spacing w:line="360" w:lineRule="auto"/>
        <w:jc w:val="both"/>
        <w:rPr>
          <w:rFonts w:ascii="Book Antiqua" w:hAnsi="Book Antiqua"/>
          <w:color w:val="000000" w:themeColor="text1"/>
        </w:rPr>
      </w:pPr>
    </w:p>
    <w:p w14:paraId="081B474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Secondary outcomes</w:t>
      </w:r>
    </w:p>
    <w:p w14:paraId="198ACADC" w14:textId="29EDD9AC"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Operative time (minutes): </w:t>
      </w:r>
      <w:r>
        <w:rPr>
          <w:rFonts w:ascii="Book Antiqua" w:eastAsia="Book Antiqua" w:hAnsi="Book Antiqua" w:cs="Book Antiqua"/>
          <w:color w:val="000000" w:themeColor="text1"/>
        </w:rPr>
        <w:t xml:space="preserve">Three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22,23,26]</w:t>
      </w:r>
      <w:r>
        <w:rPr>
          <w:rFonts w:ascii="Book Antiqua" w:eastAsia="Book Antiqua" w:hAnsi="Book Antiqua" w:cs="Book Antiqua"/>
          <w:color w:val="000000" w:themeColor="text1"/>
        </w:rPr>
        <w:t xml:space="preserve"> compared operation time. There was no heterogeneity among the studies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 0.64, </w:t>
      </w:r>
      <w:r>
        <w:rPr>
          <w:rFonts w:ascii="Book Antiqua" w:eastAsia="Book Antiqua" w:hAnsi="Book Antiqua" w:cs="Book Antiqua"/>
          <w:i/>
          <w:iCs/>
          <w:color w:val="000000" w:themeColor="text1"/>
        </w:rPr>
        <w:t>I</w:t>
      </w:r>
      <w:r>
        <w:rPr>
          <w:rFonts w:ascii="Book Antiqua" w:eastAsia="Book Antiqua" w:hAnsi="Book Antiqua" w:cs="Book Antiqua"/>
          <w:i/>
          <w:iCs/>
          <w:color w:val="000000" w:themeColor="text1"/>
          <w:vertAlign w:val="superscript"/>
        </w:rPr>
        <w:t>2</w:t>
      </w:r>
      <w:r>
        <w:rPr>
          <w:rFonts w:ascii="Book Antiqua" w:eastAsia="Book Antiqua" w:hAnsi="Book Antiqua" w:cs="Book Antiqua"/>
          <w:color w:val="000000" w:themeColor="text1"/>
          <w:vertAlign w:val="superscript"/>
        </w:rPr>
        <w:t xml:space="preserve"> </w:t>
      </w:r>
      <w:r>
        <w:rPr>
          <w:rFonts w:ascii="Book Antiqua" w:eastAsia="Book Antiqua" w:hAnsi="Book Antiqua" w:cs="Book Antiqua"/>
          <w:color w:val="000000" w:themeColor="text1"/>
        </w:rPr>
        <w:t>= 0%), so a fixed-effects model was used for statistical analysis. The results showed that there was no significant difference in operation time between the experimental group and the placebo group (WMD = -4.01,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-8.88 to 0.86,</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0.11) (Figure 4A).</w:t>
      </w:r>
    </w:p>
    <w:p w14:paraId="7C951FC0" w14:textId="77777777" w:rsidR="00FE4150" w:rsidRDefault="00FE4150">
      <w:pPr>
        <w:snapToGrid w:val="0"/>
        <w:spacing w:line="360" w:lineRule="auto"/>
        <w:jc w:val="both"/>
        <w:rPr>
          <w:rFonts w:ascii="Book Antiqua" w:hAnsi="Book Antiqua"/>
          <w:color w:val="000000" w:themeColor="text1"/>
        </w:rPr>
      </w:pPr>
    </w:p>
    <w:p w14:paraId="7FF0140A" w14:textId="3BCF6FC8"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Total </w:t>
      </w:r>
      <w:proofErr w:type="spellStart"/>
      <w:r>
        <w:rPr>
          <w:rFonts w:ascii="Book Antiqua" w:eastAsia="Book Antiqua" w:hAnsi="Book Antiqua" w:cs="Book Antiqua"/>
          <w:b/>
          <w:bCs/>
          <w:color w:val="000000" w:themeColor="text1"/>
        </w:rPr>
        <w:t>haemoglobin</w:t>
      </w:r>
      <w:proofErr w:type="spellEnd"/>
      <w:r>
        <w:rPr>
          <w:rFonts w:ascii="Book Antiqua" w:eastAsia="Book Antiqua" w:hAnsi="Book Antiqua" w:cs="Book Antiqua"/>
          <w:b/>
          <w:bCs/>
          <w:color w:val="000000" w:themeColor="text1"/>
        </w:rPr>
        <w:t xml:space="preserve"> loss (g): </w:t>
      </w:r>
      <w:r>
        <w:rPr>
          <w:rFonts w:ascii="Book Antiqua" w:eastAsia="Book Antiqua" w:hAnsi="Book Antiqua" w:cs="Book Antiqua"/>
          <w:color w:val="000000" w:themeColor="text1"/>
        </w:rPr>
        <w:t xml:space="preserve">Two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23,26]</w:t>
      </w:r>
      <w:r>
        <w:rPr>
          <w:rFonts w:ascii="Book Antiqua" w:eastAsia="Book Antiqua" w:hAnsi="Book Antiqua" w:cs="Book Antiqua"/>
          <w:color w:val="000000" w:themeColor="text1"/>
        </w:rPr>
        <w:t xml:space="preserve"> compared total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between the experimental and placebo groups. The heterogeneity between the two studies was small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0.24, </w:t>
      </w:r>
      <w:r>
        <w:rPr>
          <w:rFonts w:ascii="Book Antiqua" w:eastAsia="Book Antiqua" w:hAnsi="Book Antiqua" w:cs="Book Antiqua"/>
          <w:i/>
          <w:iCs/>
          <w:color w:val="000000" w:themeColor="text1"/>
        </w:rPr>
        <w:t>I</w:t>
      </w:r>
      <w:r>
        <w:rPr>
          <w:rFonts w:ascii="Book Antiqua" w:eastAsia="Book Antiqua" w:hAnsi="Book Antiqua" w:cs="Book Antiqua"/>
          <w:i/>
          <w:iCs/>
          <w:color w:val="000000" w:themeColor="text1"/>
          <w:vertAlign w:val="superscript"/>
        </w:rPr>
        <w:t>2</w:t>
      </w:r>
      <w:r>
        <w:rPr>
          <w:rFonts w:ascii="Book Antiqua" w:eastAsia="Book Antiqua" w:hAnsi="Book Antiqua" w:cs="Book Antiqua"/>
          <w:color w:val="000000" w:themeColor="text1"/>
          <w:vertAlign w:val="superscript"/>
        </w:rPr>
        <w:t xml:space="preserve"> </w:t>
      </w:r>
      <w:r>
        <w:rPr>
          <w:rFonts w:ascii="Book Antiqua" w:eastAsia="Book Antiqua" w:hAnsi="Book Antiqua" w:cs="Book Antiqua"/>
          <w:color w:val="000000" w:themeColor="text1"/>
        </w:rPr>
        <w:t>= 29%), so a fixed-effects model was used for analysis. The meta-</w:t>
      </w:r>
      <w:r>
        <w:rPr>
          <w:rFonts w:ascii="Book Antiqua" w:eastAsia="Book Antiqua" w:hAnsi="Book Antiqua" w:cs="Book Antiqua"/>
          <w:color w:val="000000" w:themeColor="text1"/>
        </w:rPr>
        <w:lastRenderedPageBreak/>
        <w:t xml:space="preserve">analysis showed that the experimental group had less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than did the placebo group (WMD = -34.39,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-50.56 to -18.22,</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&lt; 0.0001) (Figure 4B).</w:t>
      </w:r>
    </w:p>
    <w:p w14:paraId="383DB73F" w14:textId="77777777" w:rsidR="00FE4150" w:rsidRDefault="00FE4150">
      <w:pPr>
        <w:snapToGrid w:val="0"/>
        <w:spacing w:line="360" w:lineRule="auto"/>
        <w:jc w:val="both"/>
        <w:rPr>
          <w:rFonts w:ascii="Book Antiqua" w:hAnsi="Book Antiqua"/>
          <w:color w:val="000000" w:themeColor="text1"/>
        </w:rPr>
      </w:pPr>
    </w:p>
    <w:p w14:paraId="32ABD038" w14:textId="1228704C"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Change in </w:t>
      </w:r>
      <w:proofErr w:type="spellStart"/>
      <w:r>
        <w:rPr>
          <w:rFonts w:ascii="Book Antiqua" w:eastAsia="Book Antiqua" w:hAnsi="Book Antiqua" w:cs="Book Antiqua"/>
          <w:b/>
          <w:bCs/>
          <w:color w:val="000000" w:themeColor="text1"/>
        </w:rPr>
        <w:t>haemoglobin</w:t>
      </w:r>
      <w:proofErr w:type="spellEnd"/>
      <w:r>
        <w:rPr>
          <w:rFonts w:ascii="Book Antiqua" w:eastAsia="Book Antiqua" w:hAnsi="Book Antiqua" w:cs="Book Antiqua"/>
          <w:b/>
          <w:bCs/>
          <w:color w:val="000000" w:themeColor="text1"/>
        </w:rPr>
        <w:t xml:space="preserve"> level (g/dL): </w:t>
      </w:r>
      <w:r>
        <w:rPr>
          <w:rFonts w:ascii="Book Antiqua" w:eastAsia="Book Antiqua" w:hAnsi="Book Antiqua" w:cs="Book Antiqua"/>
          <w:color w:val="000000" w:themeColor="text1"/>
        </w:rPr>
        <w:t xml:space="preserve">Two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23,26]</w:t>
      </w:r>
      <w:r>
        <w:rPr>
          <w:rFonts w:ascii="Book Antiqua" w:eastAsia="Book Antiqua" w:hAnsi="Book Antiqua" w:cs="Book Antiqua"/>
          <w:color w:val="000000" w:themeColor="text1"/>
        </w:rPr>
        <w:t xml:space="preserve"> compared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levels before and after TSA. There was no heterogeneity among the three studies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 1.00, </w:t>
      </w:r>
      <w:r>
        <w:rPr>
          <w:rFonts w:ascii="Book Antiqua" w:eastAsia="Book Antiqua" w:hAnsi="Book Antiqua" w:cs="Book Antiqua"/>
          <w:i/>
          <w:iCs/>
          <w:color w:val="000000" w:themeColor="text1"/>
        </w:rPr>
        <w:t>I</w:t>
      </w:r>
      <w:r>
        <w:rPr>
          <w:rFonts w:ascii="Book Antiqua" w:eastAsia="Book Antiqua" w:hAnsi="Book Antiqua" w:cs="Book Antiqua"/>
          <w:i/>
          <w:iCs/>
          <w:color w:val="000000" w:themeColor="text1"/>
          <w:vertAlign w:val="superscript"/>
        </w:rPr>
        <w:t>2</w:t>
      </w:r>
      <w:r>
        <w:rPr>
          <w:rFonts w:ascii="Book Antiqua" w:eastAsia="Book Antiqua" w:hAnsi="Book Antiqua" w:cs="Book Antiqua"/>
          <w:color w:val="000000" w:themeColor="text1"/>
          <w:vertAlign w:val="superscript"/>
        </w:rPr>
        <w:t xml:space="preserve"> </w:t>
      </w:r>
      <w:r>
        <w:rPr>
          <w:rFonts w:ascii="Book Antiqua" w:eastAsia="Book Antiqua" w:hAnsi="Book Antiqua" w:cs="Book Antiqua"/>
          <w:color w:val="000000" w:themeColor="text1"/>
        </w:rPr>
        <w:t xml:space="preserve">= 0%), so a fixed-effects model was used for analysis. The results of the meta-analysis showed that the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level of the experimental group fluctuated less before and after the operation (WMD = -0.6,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-0.93 to -0.27,</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&lt; 0.0001), which indicated that TXA could significantly reduce bleeding in shoulder replacement patients (Figure 4C).</w:t>
      </w:r>
    </w:p>
    <w:p w14:paraId="045FB024" w14:textId="77777777" w:rsidR="00FE4150" w:rsidRDefault="00FE4150">
      <w:pPr>
        <w:snapToGrid w:val="0"/>
        <w:spacing w:line="360" w:lineRule="auto"/>
        <w:jc w:val="both"/>
        <w:rPr>
          <w:rFonts w:ascii="Book Antiqua" w:hAnsi="Book Antiqua"/>
          <w:color w:val="000000" w:themeColor="text1"/>
        </w:rPr>
      </w:pPr>
    </w:p>
    <w:p w14:paraId="65F5069B" w14:textId="6E319B3B"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Hospital length of stay (days): </w:t>
      </w:r>
      <w:r>
        <w:rPr>
          <w:rFonts w:ascii="Book Antiqua" w:eastAsia="Book Antiqua" w:hAnsi="Book Antiqua" w:cs="Book Antiqua"/>
          <w:color w:val="000000" w:themeColor="text1"/>
        </w:rPr>
        <w:t xml:space="preserve">A fixed-effects model was used to </w:t>
      </w:r>
      <w:proofErr w:type="spellStart"/>
      <w:r>
        <w:rPr>
          <w:rFonts w:ascii="Book Antiqua" w:eastAsia="Book Antiqua" w:hAnsi="Book Antiqua" w:cs="Book Antiqua"/>
          <w:color w:val="000000" w:themeColor="text1"/>
        </w:rPr>
        <w:t>analyse</w:t>
      </w:r>
      <w:proofErr w:type="spellEnd"/>
      <w:r>
        <w:rPr>
          <w:rFonts w:ascii="Book Antiqua" w:eastAsia="Book Antiqua" w:hAnsi="Book Antiqua" w:cs="Book Antiqua"/>
          <w:color w:val="000000" w:themeColor="text1"/>
        </w:rPr>
        <w:t xml:space="preserve"> the length of stay data of three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22,23,26]</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0.70, </w:t>
      </w:r>
      <w:r>
        <w:rPr>
          <w:rFonts w:ascii="Book Antiqua" w:eastAsia="Book Antiqua" w:hAnsi="Book Antiqua" w:cs="Book Antiqua"/>
          <w:i/>
          <w:iCs/>
          <w:color w:val="000000" w:themeColor="text1"/>
        </w:rPr>
        <w:t>I</w:t>
      </w:r>
      <w:r>
        <w:rPr>
          <w:rFonts w:ascii="Book Antiqua" w:eastAsia="Book Antiqua" w:hAnsi="Book Antiqua" w:cs="Book Antiqua"/>
          <w:i/>
          <w:iCs/>
          <w:color w:val="000000" w:themeColor="text1"/>
          <w:vertAlign w:val="superscript"/>
        </w:rPr>
        <w:t>2</w:t>
      </w:r>
      <w:r>
        <w:rPr>
          <w:rFonts w:ascii="Book Antiqua" w:eastAsia="Book Antiqua" w:hAnsi="Book Antiqua" w:cs="Book Antiqua"/>
          <w:color w:val="000000" w:themeColor="text1"/>
          <w:vertAlign w:val="superscript"/>
        </w:rPr>
        <w:t xml:space="preserve"> </w:t>
      </w:r>
      <w:r>
        <w:rPr>
          <w:rFonts w:ascii="Book Antiqua" w:eastAsia="Book Antiqua" w:hAnsi="Book Antiqua" w:cs="Book Antiqua"/>
          <w:color w:val="000000" w:themeColor="text1"/>
        </w:rPr>
        <w:t>= 0%). The results showed that there was no statistically significant difference in the length of hospital stay between the experimental group and the placebo group (WMD = 0.14,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-0.12 to 0.39,</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0.30) (Figure 4D).</w:t>
      </w:r>
    </w:p>
    <w:p w14:paraId="040B44A0" w14:textId="77777777" w:rsidR="00FE4150" w:rsidRDefault="00FE4150">
      <w:pPr>
        <w:snapToGrid w:val="0"/>
        <w:spacing w:line="360" w:lineRule="auto"/>
        <w:jc w:val="both"/>
        <w:rPr>
          <w:rFonts w:ascii="Book Antiqua" w:hAnsi="Book Antiqua"/>
          <w:color w:val="000000" w:themeColor="text1"/>
        </w:rPr>
      </w:pPr>
    </w:p>
    <w:p w14:paraId="3F545936" w14:textId="4F840971"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Twenty-four-hour drain output (mL): </w:t>
      </w:r>
      <w:r>
        <w:rPr>
          <w:rFonts w:ascii="Book Antiqua" w:eastAsia="Book Antiqua" w:hAnsi="Book Antiqua" w:cs="Book Antiqua"/>
          <w:color w:val="000000" w:themeColor="text1"/>
        </w:rPr>
        <w:t xml:space="preserve">A total of two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22,26]</w:t>
      </w:r>
      <w:r>
        <w:rPr>
          <w:rFonts w:ascii="Book Antiqua" w:eastAsia="Book Antiqua" w:hAnsi="Book Antiqua" w:cs="Book Antiqua"/>
          <w:color w:val="000000" w:themeColor="text1"/>
        </w:rPr>
        <w:t xml:space="preserve"> compared the 24-h postoperative drainage volume between the experimental group and the placebo group. The homogeneity of the two studies was good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0.77, I</w:t>
      </w:r>
      <w:r>
        <w:rPr>
          <w:rFonts w:ascii="Book Antiqua" w:eastAsia="Book Antiqua" w:hAnsi="Book Antiqua" w:cs="Book Antiqua"/>
          <w:color w:val="000000" w:themeColor="text1"/>
          <w:vertAlign w:val="superscript"/>
        </w:rPr>
        <w:t xml:space="preserve">2 </w:t>
      </w:r>
      <w:r>
        <w:rPr>
          <w:rFonts w:ascii="Book Antiqua" w:eastAsia="Book Antiqua" w:hAnsi="Book Antiqua" w:cs="Book Antiqua"/>
          <w:color w:val="000000" w:themeColor="text1"/>
        </w:rPr>
        <w:t>= 0%), so a fixed-effects model was used for analysis. The results showed that the 24-h drainage volume of the experimental group was significantly less than that of the placebo group, indicating that TXA can reduce the drainage volume after TSA (WMD = -136.87,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-165.87 to -106.49,</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&lt; 0.0001) (Figure 4E).</w:t>
      </w:r>
    </w:p>
    <w:p w14:paraId="21EF311B" w14:textId="77777777" w:rsidR="00FE4150" w:rsidRDefault="00FE4150">
      <w:pPr>
        <w:snapToGrid w:val="0"/>
        <w:spacing w:line="360" w:lineRule="auto"/>
        <w:jc w:val="both"/>
        <w:rPr>
          <w:rFonts w:ascii="Book Antiqua" w:hAnsi="Book Antiqua"/>
          <w:color w:val="000000" w:themeColor="text1"/>
        </w:rPr>
      </w:pPr>
    </w:p>
    <w:p w14:paraId="703B8D08"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Publication bias</w:t>
      </w:r>
    </w:p>
    <w:p w14:paraId="379E5CE6" w14:textId="77777777" w:rsidR="00FE4150" w:rsidRDefault="00000000">
      <w:pPr>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Begg’s</w:t>
      </w:r>
      <w:proofErr w:type="spellEnd"/>
      <w:r>
        <w:rPr>
          <w:rFonts w:ascii="Book Antiqua" w:eastAsia="Book Antiqua" w:hAnsi="Book Antiqua" w:cs="Book Antiqua"/>
          <w:color w:val="000000" w:themeColor="text1"/>
        </w:rPr>
        <w:t xml:space="preserve"> and Egger’s tests were performed to assess the publication bias of the studies. No evidence of publication bias was found for the WMD of total blood loss (</w:t>
      </w:r>
      <w:proofErr w:type="spellStart"/>
      <w:r>
        <w:rPr>
          <w:rFonts w:ascii="Book Antiqua" w:eastAsia="Book Antiqua" w:hAnsi="Book Antiqua" w:cs="Book Antiqua"/>
          <w:color w:val="000000" w:themeColor="text1"/>
        </w:rPr>
        <w:t>Begg’s</w:t>
      </w:r>
      <w:proofErr w:type="spellEnd"/>
      <w:r>
        <w:rPr>
          <w:rFonts w:ascii="Book Antiqua" w:eastAsia="Book Antiqua" w:hAnsi="Book Antiqua" w:cs="Book Antiqua"/>
          <w:color w:val="000000" w:themeColor="text1"/>
        </w:rPr>
        <w:t xml:space="preserve"> test,</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0.734, Egger’s test,</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0.634) or the OR of adverse events (</w:t>
      </w:r>
      <w:proofErr w:type="spellStart"/>
      <w:r>
        <w:rPr>
          <w:rFonts w:ascii="Book Antiqua" w:eastAsia="Book Antiqua" w:hAnsi="Book Antiqua" w:cs="Book Antiqua"/>
          <w:color w:val="000000" w:themeColor="text1"/>
        </w:rPr>
        <w:t>Begg’s</w:t>
      </w:r>
      <w:proofErr w:type="spellEnd"/>
      <w:r>
        <w:rPr>
          <w:rFonts w:ascii="Book Antiqua" w:eastAsia="Book Antiqua" w:hAnsi="Book Antiqua" w:cs="Book Antiqua"/>
          <w:color w:val="000000" w:themeColor="text1"/>
        </w:rPr>
        <w:t xml:space="preserve"> test,</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0.734, Egger’s test,</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xml:space="preserve">= 0.379). There was no publication bias in the WMD of the hospital </w:t>
      </w:r>
      <w:r>
        <w:rPr>
          <w:rFonts w:ascii="Book Antiqua" w:eastAsia="Book Antiqua" w:hAnsi="Book Antiqua" w:cs="Book Antiqua"/>
          <w:color w:val="000000" w:themeColor="text1"/>
        </w:rPr>
        <w:lastRenderedPageBreak/>
        <w:t>length of stay or operational time. The statistical results of publication bias of each index are shown in Supplementary table 1.</w:t>
      </w:r>
    </w:p>
    <w:p w14:paraId="515EBA19" w14:textId="77777777" w:rsidR="00FE4150" w:rsidRDefault="00FE4150">
      <w:pPr>
        <w:snapToGrid w:val="0"/>
        <w:spacing w:line="360" w:lineRule="auto"/>
        <w:jc w:val="both"/>
        <w:rPr>
          <w:rFonts w:ascii="Book Antiqua" w:hAnsi="Book Antiqua"/>
          <w:color w:val="000000" w:themeColor="text1"/>
        </w:rPr>
      </w:pPr>
    </w:p>
    <w:p w14:paraId="3A16230E"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7E4B9EF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Whether TXA, an antifibrinolytic agent, can effectively reduce perioperative blood loss without increasing the risk of adverse reactions in TSA still lacks high-level evidence-based support. The efficacy of TXA in various surgical procedures has been confirmed, and it has higher efficacy and leads to fewer drug-related complications than other antifibrinolytic </w:t>
      </w:r>
      <w:proofErr w:type="gramStart"/>
      <w:r>
        <w:rPr>
          <w:rFonts w:ascii="Book Antiqua" w:eastAsia="Book Antiqua" w:hAnsi="Book Antiqua" w:cs="Book Antiqua"/>
          <w:color w:val="000000" w:themeColor="text1"/>
        </w:rPr>
        <w:t>drugs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27,28]</w:t>
      </w:r>
      <w:r>
        <w:rPr>
          <w:rFonts w:ascii="Book Antiqua" w:eastAsia="Book Antiqua" w:hAnsi="Book Antiqua" w:cs="Book Antiqua"/>
          <w:color w:val="000000" w:themeColor="text1"/>
        </w:rPr>
        <w:t xml:space="preserve">. The purpose of this study was to investigate the efficacy of intravenous TXA in reducing bleeding and its safety in the perioperative period of TSA through a meta-analysis of high-quality RCTs with level 1 evidence. The results of this meta-analysis showed that the application of intravenous TXA in TSA can not only significantly reduce the total volume of perioperative blood loss but is also safe. The secondary outcome measures also showed that TXA can significantly reduce total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reduce fluctuations in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levels before and after the operation, and reduce postoperative drainage. In addition, this study showed that compared with a placebo, intravenous TXA did not significantly differ in terms of operation time or length of hospital stay. This study showed that TXA can significantly reduce the total volume of perioperative blood loss in TSA.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29,30]</w:t>
      </w:r>
      <w:r>
        <w:rPr>
          <w:rFonts w:ascii="Book Antiqua" w:eastAsia="Book Antiqua" w:hAnsi="Book Antiqua" w:cs="Book Antiqua"/>
          <w:color w:val="000000" w:themeColor="text1"/>
        </w:rPr>
        <w:t xml:space="preserve"> have shown that TXA is a lysine derivative that cannot convert fibrinolysin into activated fibrinolysin by occupying the action site of fibrinolysin and cannot dissolve blood clots to promote </w:t>
      </w:r>
      <w:proofErr w:type="spellStart"/>
      <w:r>
        <w:rPr>
          <w:rFonts w:ascii="Book Antiqua" w:eastAsia="Book Antiqua" w:hAnsi="Book Antiqua" w:cs="Book Antiqua"/>
          <w:color w:val="000000" w:themeColor="text1"/>
        </w:rPr>
        <w:t>haemostasis</w:t>
      </w:r>
      <w:proofErr w:type="spellEnd"/>
      <w:r>
        <w:rPr>
          <w:rFonts w:ascii="Book Antiqua" w:eastAsia="Book Antiqua" w:hAnsi="Book Antiqua" w:cs="Book Antiqua"/>
          <w:color w:val="000000" w:themeColor="text1"/>
        </w:rPr>
        <w:t xml:space="preserve">. With the widespread application of TXA in joint </w:t>
      </w:r>
      <w:proofErr w:type="gramStart"/>
      <w:r>
        <w:rPr>
          <w:rFonts w:ascii="Book Antiqua" w:eastAsia="Book Antiqua" w:hAnsi="Book Antiqua" w:cs="Book Antiqua"/>
          <w:color w:val="000000" w:themeColor="text1"/>
        </w:rPr>
        <w:t>surgery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31,32]</w:t>
      </w:r>
      <w:r>
        <w:rPr>
          <w:rFonts w:ascii="Book Antiqua" w:eastAsia="Book Antiqua" w:hAnsi="Book Antiqua" w:cs="Book Antiqua"/>
          <w:color w:val="000000" w:themeColor="text1"/>
        </w:rPr>
        <w:t xml:space="preserve">, especially in total knee and total hip arthroplasty, the good </w:t>
      </w:r>
      <w:proofErr w:type="spellStart"/>
      <w:r>
        <w:rPr>
          <w:rFonts w:ascii="Book Antiqua" w:eastAsia="Book Antiqua" w:hAnsi="Book Antiqua" w:cs="Book Antiqua"/>
          <w:color w:val="000000" w:themeColor="text1"/>
        </w:rPr>
        <w:t>haemostatic</w:t>
      </w:r>
      <w:proofErr w:type="spellEnd"/>
      <w:r>
        <w:rPr>
          <w:rFonts w:ascii="Book Antiqua" w:eastAsia="Book Antiqua" w:hAnsi="Book Antiqua" w:cs="Book Antiqua"/>
          <w:color w:val="000000" w:themeColor="text1"/>
        </w:rPr>
        <w:t xml:space="preserve"> effect and safety of TXA have been recognized by the majority of scholars. </w:t>
      </w:r>
      <w:proofErr w:type="spellStart"/>
      <w:r>
        <w:rPr>
          <w:rFonts w:ascii="Book Antiqua" w:eastAsia="Book Antiqua" w:hAnsi="Book Antiqua" w:cs="Book Antiqua"/>
          <w:color w:val="000000" w:themeColor="text1"/>
        </w:rPr>
        <w:t>Abildgaard</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xml:space="preserve"> reviewed 168 cases and found that TXA can significantly reduce perioperative blood loss,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fluctuations and postoperative drainage volume. Clay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analysed</w:t>
      </w:r>
      <w:proofErr w:type="spellEnd"/>
      <w:r>
        <w:rPr>
          <w:rFonts w:ascii="Book Antiqua" w:eastAsia="Book Antiqua" w:hAnsi="Book Antiqua" w:cs="Book Antiqua"/>
          <w:color w:val="000000" w:themeColor="text1"/>
        </w:rPr>
        <w:t xml:space="preserve"> the blood loss and </w:t>
      </w:r>
      <w:proofErr w:type="spellStart"/>
      <w:r>
        <w:rPr>
          <w:rFonts w:ascii="Book Antiqua" w:eastAsia="Book Antiqua" w:hAnsi="Book Antiqua" w:cs="Book Antiqua"/>
          <w:color w:val="000000" w:themeColor="text1"/>
        </w:rPr>
        <w:t>haematocrit</w:t>
      </w:r>
      <w:proofErr w:type="spellEnd"/>
      <w:r>
        <w:rPr>
          <w:rFonts w:ascii="Book Antiqua" w:eastAsia="Book Antiqua" w:hAnsi="Book Antiqua" w:cs="Book Antiqua"/>
          <w:color w:val="000000" w:themeColor="text1"/>
        </w:rPr>
        <w:t xml:space="preserve"> of 435 patients who underwent shoulder replacement, and the results confirmed the above conclusion.</w:t>
      </w:r>
    </w:p>
    <w:p w14:paraId="361F0DA7" w14:textId="77777777" w:rsidR="00FE4150" w:rsidRDefault="00000000">
      <w:pPr>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In addition, based on the secondary outcome indicators that were compared between the intravenous TXA and placebo groups, the perioperative application of TXA can significantly reduce the total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reduce the absolute value of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fluctuations before and after surgery, and reduce the amount of postoperative drainage. These findings also confirm that intravenous TXA can reduce perioperative bleeding in TSA, which is very important. Operation time and blood loss are two factors that affect each other. An increase in the operation time increases the wound exposure time and blood loss. An increase in blood loss increases the operation time. The meta-analysis showed that there was no significant difference in the operation time between the intravenous TXA group and the placebo group. When the influence of operation time is excluded, the </w:t>
      </w:r>
      <w:proofErr w:type="spellStart"/>
      <w:r>
        <w:rPr>
          <w:rFonts w:ascii="Book Antiqua" w:eastAsia="Book Antiqua" w:hAnsi="Book Antiqua" w:cs="Book Antiqua"/>
          <w:color w:val="000000" w:themeColor="text1"/>
        </w:rPr>
        <w:t>haemostatic</w:t>
      </w:r>
      <w:proofErr w:type="spellEnd"/>
      <w:r>
        <w:rPr>
          <w:rFonts w:ascii="Book Antiqua" w:eastAsia="Book Antiqua" w:hAnsi="Book Antiqua" w:cs="Book Antiqua"/>
          <w:color w:val="000000" w:themeColor="text1"/>
        </w:rPr>
        <w:t xml:space="preserve"> effect of TXA can be more accurately assessed. The results of this meta-analysis also suggest that intravenous TXA is not an influencing factor of the length of hospital stay.</w:t>
      </w:r>
    </w:p>
    <w:p w14:paraId="605B8CEB" w14:textId="44D88832" w:rsidR="00FE4150" w:rsidRDefault="00000000">
      <w:pPr>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In terms of safety, TXA led to fewer adverse reactions than placebo (OR = 0.36,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0.16</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0.83). By reviewing the 5 included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22-26]</w:t>
      </w:r>
      <w:r>
        <w:rPr>
          <w:rFonts w:ascii="Book Antiqua" w:eastAsia="Book Antiqua" w:hAnsi="Book Antiqua" w:cs="Book Antiqua"/>
          <w:color w:val="000000" w:themeColor="text1"/>
        </w:rPr>
        <w:t xml:space="preserve">, this study found that the main adverse reaction of TXA was </w:t>
      </w:r>
      <w:proofErr w:type="spellStart"/>
      <w:r>
        <w:rPr>
          <w:rFonts w:ascii="Book Antiqua" w:eastAsia="Book Antiqua" w:hAnsi="Book Antiqua" w:cs="Book Antiqua"/>
          <w:color w:val="000000" w:themeColor="text1"/>
        </w:rPr>
        <w:t>haematoma</w:t>
      </w:r>
      <w:proofErr w:type="spellEnd"/>
      <w:r>
        <w:rPr>
          <w:rFonts w:ascii="Book Antiqua" w:eastAsia="Book Antiqua" w:hAnsi="Book Antiqua" w:cs="Book Antiqua"/>
          <w:color w:val="000000" w:themeColor="text1"/>
        </w:rPr>
        <w:t xml:space="preserve">, and no severe adverse reactions were reported. In contrast, adverse reactions such as skin allergies, </w:t>
      </w:r>
      <w:proofErr w:type="spellStart"/>
      <w:r>
        <w:rPr>
          <w:rFonts w:ascii="Book Antiqua" w:eastAsia="Book Antiqua" w:hAnsi="Book Antiqua" w:cs="Book Antiqua"/>
          <w:color w:val="000000" w:themeColor="text1"/>
        </w:rPr>
        <w:t>haematoma</w:t>
      </w:r>
      <w:proofErr w:type="spellEnd"/>
      <w:r>
        <w:rPr>
          <w:rFonts w:ascii="Book Antiqua" w:eastAsia="Book Antiqua" w:hAnsi="Book Antiqua" w:cs="Book Antiqua"/>
          <w:color w:val="000000" w:themeColor="text1"/>
        </w:rPr>
        <w:t xml:space="preserve"> and deep vein thrombosis occurred in the placebo group. Carbon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retrospectively </w:t>
      </w:r>
      <w:proofErr w:type="spellStart"/>
      <w:r>
        <w:rPr>
          <w:rFonts w:ascii="Book Antiqua" w:eastAsia="Book Antiqua" w:hAnsi="Book Antiqua" w:cs="Book Antiqua"/>
          <w:color w:val="000000" w:themeColor="text1"/>
        </w:rPr>
        <w:t>analysed</w:t>
      </w:r>
      <w:proofErr w:type="spellEnd"/>
      <w:r>
        <w:rPr>
          <w:rFonts w:ascii="Book Antiqua" w:eastAsia="Book Antiqua" w:hAnsi="Book Antiqua" w:cs="Book Antiqua"/>
          <w:color w:val="000000" w:themeColor="text1"/>
        </w:rPr>
        <w:t xml:space="preserve"> the data of 71174 patients retrieved from a national claims database and found that the use of TXA was not associated with an increased incidence of complications in patients who underwent TSA. Our results are consistent with those of Carbon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which supports the widespread use of TXA in the perioperative period of TSA.</w:t>
      </w:r>
    </w:p>
    <w:p w14:paraId="3339F7A0" w14:textId="77777777" w:rsidR="00FE4150" w:rsidRDefault="00FE4150">
      <w:pPr>
        <w:snapToGrid w:val="0"/>
        <w:spacing w:line="360" w:lineRule="auto"/>
        <w:jc w:val="both"/>
        <w:rPr>
          <w:rFonts w:ascii="Book Antiqua" w:eastAsia="Book Antiqua" w:hAnsi="Book Antiqua" w:cs="Book Antiqua"/>
          <w:b/>
          <w:bCs/>
          <w:color w:val="000000" w:themeColor="text1"/>
        </w:rPr>
      </w:pPr>
    </w:p>
    <w:p w14:paraId="51DD9050" w14:textId="77777777" w:rsidR="00FE4150" w:rsidRDefault="00000000">
      <w:pPr>
        <w:snapToGrid w:val="0"/>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Strengths and limitations</w:t>
      </w:r>
    </w:p>
    <w:p w14:paraId="3BF6291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conclusions of this systematic review and meta-analysis come from only RCTs with level 1 evidence, and the heterogeneity was very low, which indicates that the above conclusions are supported by a very high level of evidence. This meta-analysis showed that TXA is efficacious and safe in TSA to a certain extent, but there are some limitations of the study. (1) Although the quality of the RCTs included in this meta-analysis was </w:t>
      </w:r>
      <w:r>
        <w:rPr>
          <w:rFonts w:ascii="Book Antiqua" w:eastAsia="Book Antiqua" w:hAnsi="Book Antiqua" w:cs="Book Antiqua"/>
          <w:color w:val="000000" w:themeColor="text1"/>
        </w:rPr>
        <w:lastRenderedPageBreak/>
        <w:t xml:space="preserve">high, the total number of included studies and total sample size were relatively small; and (2) data on the total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and 24-h drainage volume were retrieved from only two studies, which may have affected the reliability of the results. There is no doubt that </w:t>
      </w:r>
      <w:proofErr w:type="spellStart"/>
      <w:r>
        <w:rPr>
          <w:rFonts w:ascii="Book Antiqua" w:eastAsia="Book Antiqua" w:hAnsi="Book Antiqua" w:cs="Book Antiqua"/>
          <w:color w:val="000000" w:themeColor="text1"/>
        </w:rPr>
        <w:t>multicentre</w:t>
      </w:r>
      <w:proofErr w:type="spellEnd"/>
      <w:r>
        <w:rPr>
          <w:rFonts w:ascii="Book Antiqua" w:eastAsia="Book Antiqua" w:hAnsi="Book Antiqua" w:cs="Book Antiqua"/>
          <w:color w:val="000000" w:themeColor="text1"/>
        </w:rPr>
        <w:t>, large-sample prospective RCTs are needed in the future to further verify the findings of this study. In TSA, the impact of intravenous TXA on medical costs and patient satisfaction in the postoperative period should also be evaluated, which will be conducive to comprehensive evaluation of the clinical value of intravenous TXA.</w:t>
      </w:r>
    </w:p>
    <w:p w14:paraId="6D9299D6" w14:textId="77777777" w:rsidR="00FE4150" w:rsidRDefault="00FE4150">
      <w:pPr>
        <w:snapToGrid w:val="0"/>
        <w:spacing w:line="360" w:lineRule="auto"/>
        <w:jc w:val="both"/>
        <w:rPr>
          <w:rFonts w:ascii="Book Antiqua" w:hAnsi="Book Antiqua"/>
          <w:color w:val="000000" w:themeColor="text1"/>
        </w:rPr>
      </w:pPr>
    </w:p>
    <w:p w14:paraId="2C24A21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146A8C25"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Our meta-analysis revealed that the application of intravenous TXA can significantly reduce total blood loss and is safe for application in TSA, so TXA is worthy of widespread clinical application. In addition, we also found that the application of TXA did not influence the operation time or length of hospital stay.</w:t>
      </w:r>
    </w:p>
    <w:p w14:paraId="568F27BB" w14:textId="77777777" w:rsidR="00FE4150" w:rsidRDefault="00FE4150">
      <w:pPr>
        <w:snapToGrid w:val="0"/>
        <w:spacing w:line="360" w:lineRule="auto"/>
        <w:jc w:val="both"/>
        <w:rPr>
          <w:rFonts w:ascii="Book Antiqua" w:hAnsi="Book Antiqua"/>
          <w:color w:val="000000" w:themeColor="text1"/>
        </w:rPr>
      </w:pPr>
    </w:p>
    <w:p w14:paraId="4CF404EE"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486DE9B0"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3BAAECDD"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Total shoulder arthroplasty (TSA) results in a large amount of perioperative blood loss due to severe trauma.</w:t>
      </w:r>
    </w:p>
    <w:p w14:paraId="274DB1A7" w14:textId="77777777" w:rsidR="00FE4150" w:rsidRDefault="00FE4150">
      <w:pPr>
        <w:snapToGrid w:val="0"/>
        <w:spacing w:line="360" w:lineRule="auto"/>
        <w:jc w:val="both"/>
        <w:rPr>
          <w:rFonts w:ascii="Book Antiqua" w:hAnsi="Book Antiqua"/>
          <w:color w:val="000000" w:themeColor="text1"/>
        </w:rPr>
      </w:pPr>
    </w:p>
    <w:p w14:paraId="6AA52590"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5C9EF39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Therefore, through the inclusion of high-quality randomized controlled trials (RCTs), a meta-analysis was conducted to determine the efficacy and safety of intravenous tranexamic acid (TXA) in the perioperative period of TSA, thereby providing a high-quality evidence-based basis for clinical application.</w:t>
      </w:r>
    </w:p>
    <w:p w14:paraId="58F46988" w14:textId="77777777" w:rsidR="00FE4150" w:rsidRDefault="00FE4150">
      <w:pPr>
        <w:snapToGrid w:val="0"/>
        <w:spacing w:line="360" w:lineRule="auto"/>
        <w:jc w:val="both"/>
        <w:rPr>
          <w:rFonts w:ascii="Book Antiqua" w:hAnsi="Book Antiqua"/>
          <w:color w:val="000000" w:themeColor="text1"/>
        </w:rPr>
      </w:pPr>
    </w:p>
    <w:p w14:paraId="338179A6"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092496B9"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purpose of this meta-analysis was to investigate the safety and efficacy of intravenous TXA in TSA.</w:t>
      </w:r>
    </w:p>
    <w:p w14:paraId="5BB6DA46" w14:textId="77777777" w:rsidR="00FE4150" w:rsidRDefault="00FE4150">
      <w:pPr>
        <w:snapToGrid w:val="0"/>
        <w:spacing w:line="360" w:lineRule="auto"/>
        <w:jc w:val="both"/>
        <w:rPr>
          <w:rFonts w:ascii="Book Antiqua" w:hAnsi="Book Antiqua"/>
          <w:color w:val="000000" w:themeColor="text1"/>
        </w:rPr>
      </w:pPr>
    </w:p>
    <w:p w14:paraId="10E08992"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110A6D39"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Meta-analysis</w:t>
      </w:r>
    </w:p>
    <w:p w14:paraId="580CEC9C" w14:textId="77777777" w:rsidR="00FE4150" w:rsidRDefault="00FE4150">
      <w:pPr>
        <w:snapToGrid w:val="0"/>
        <w:spacing w:line="360" w:lineRule="auto"/>
        <w:jc w:val="both"/>
        <w:rPr>
          <w:rFonts w:ascii="Book Antiqua" w:hAnsi="Book Antiqua"/>
          <w:color w:val="000000" w:themeColor="text1"/>
        </w:rPr>
      </w:pPr>
    </w:p>
    <w:p w14:paraId="02DE12C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1C828082" w14:textId="08BD023A"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 total of 5 RCTs with level 1 evidence were included. There were 369 cases, with 186 in the TXA group and 183 in the placebo group. The meta-analysis showed that TXA can significantly reduce total blood loss during the perioperative period [WMD = -249.56, 95% confidence interval (CI)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-347.6 to -151.52,</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&lt; 0.0001], and the incidence of adverse reactions was low (OR = 0.36,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0.16</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0.83,</w:t>
      </w:r>
      <w:r>
        <w:rPr>
          <w:rFonts w:ascii="Book Antiqua" w:eastAsia="Book Antiqua" w:hAnsi="Book Antiqua" w:cs="Book Antiqua"/>
          <w:i/>
          <w:iCs/>
          <w:color w:val="000000" w:themeColor="text1"/>
        </w:rPr>
        <w:t xml:space="preserve"> P </w:t>
      </w:r>
      <w:r>
        <w:rPr>
          <w:rFonts w:ascii="Book Antiqua" w:eastAsia="Book Antiqua" w:hAnsi="Book Antiqua" w:cs="Book Antiqua"/>
          <w:color w:val="000000" w:themeColor="text1"/>
        </w:rPr>
        <w:t xml:space="preserve">= 0.02). Compared with the placebo group, the TXA group had significantly less total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(WMD = -34.39,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-50.56 to -18.22), less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fluctuation before and after the operation (WMD = -0.6,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-0.93 to -0.27) and less 24-h drain output (WMD = -136.87, 95%CI</w:t>
      </w:r>
      <w:r w:rsidR="00ED3214">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-165.87 to -106.49). There were no significant differences in the operation time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0.11) or hospital length of stay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0.30) between the two groups.</w:t>
      </w:r>
    </w:p>
    <w:p w14:paraId="5588C183" w14:textId="77777777" w:rsidR="00FE4150" w:rsidRDefault="00FE4150">
      <w:pPr>
        <w:snapToGrid w:val="0"/>
        <w:spacing w:line="360" w:lineRule="auto"/>
        <w:jc w:val="both"/>
        <w:rPr>
          <w:rFonts w:ascii="Book Antiqua" w:hAnsi="Book Antiqua"/>
          <w:color w:val="000000" w:themeColor="text1"/>
        </w:rPr>
      </w:pPr>
    </w:p>
    <w:p w14:paraId="7A74979A"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65E8E70E"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application of intravenous TXA in the perioperative period of TSA can significantly reduce the total volume of perioperative blood loss and reduce the incidence of adverse reactions, so TXA is worthy of widespread clinical use.</w:t>
      </w:r>
    </w:p>
    <w:p w14:paraId="32F4E485" w14:textId="77777777" w:rsidR="00FE4150" w:rsidRDefault="00FE4150">
      <w:pPr>
        <w:snapToGrid w:val="0"/>
        <w:spacing w:line="360" w:lineRule="auto"/>
        <w:jc w:val="both"/>
        <w:rPr>
          <w:rFonts w:ascii="Book Antiqua" w:hAnsi="Book Antiqua"/>
          <w:color w:val="000000" w:themeColor="text1"/>
        </w:rPr>
      </w:pPr>
    </w:p>
    <w:p w14:paraId="77EF936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3CF62B56" w14:textId="77777777" w:rsidR="00FE4150" w:rsidRDefault="00000000">
      <w:pPr>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Multicentre</w:t>
      </w:r>
      <w:proofErr w:type="spellEnd"/>
      <w:r>
        <w:rPr>
          <w:rFonts w:ascii="Book Antiqua" w:eastAsia="Book Antiqua" w:hAnsi="Book Antiqua" w:cs="Book Antiqua"/>
          <w:color w:val="000000" w:themeColor="text1"/>
        </w:rPr>
        <w:t>, large-sample prospective RCTs are needed in the future to further verify the findings of this study. In TSA, the impact of intravenous TXA on medical costs and patient satisfaction in the postoperative period should also be evaluated, which will be conducive to comprehensive evaluation of the clinical value of intravenous TXA.</w:t>
      </w:r>
    </w:p>
    <w:p w14:paraId="4AE94B26" w14:textId="77777777" w:rsidR="00FE4150" w:rsidRDefault="00FE4150">
      <w:pPr>
        <w:snapToGrid w:val="0"/>
        <w:spacing w:line="360" w:lineRule="auto"/>
        <w:jc w:val="both"/>
        <w:rPr>
          <w:rFonts w:ascii="Book Antiqua" w:hAnsi="Book Antiqua"/>
          <w:color w:val="000000" w:themeColor="text1"/>
        </w:rPr>
      </w:pPr>
    </w:p>
    <w:p w14:paraId="72F4C087"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328ADF1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 </w:t>
      </w:r>
      <w:proofErr w:type="spellStart"/>
      <w:r>
        <w:rPr>
          <w:rFonts w:ascii="Book Antiqua" w:eastAsia="Book Antiqua" w:hAnsi="Book Antiqua" w:cs="Book Antiqua"/>
          <w:b/>
          <w:bCs/>
          <w:color w:val="000000" w:themeColor="text1"/>
        </w:rPr>
        <w:t>Kazley</w:t>
      </w:r>
      <w:proofErr w:type="spellEnd"/>
      <w:r>
        <w:rPr>
          <w:rFonts w:ascii="Book Antiqua" w:eastAsia="Book Antiqua" w:hAnsi="Book Antiqua" w:cs="Book Antiqua"/>
          <w:b/>
          <w:bCs/>
          <w:color w:val="000000" w:themeColor="text1"/>
        </w:rPr>
        <w:t xml:space="preserve"> JM</w:t>
      </w:r>
      <w:r>
        <w:rPr>
          <w:rFonts w:ascii="Book Antiqua" w:eastAsia="Book Antiqua" w:hAnsi="Book Antiqua" w:cs="Book Antiqua"/>
          <w:color w:val="000000" w:themeColor="text1"/>
        </w:rPr>
        <w:t xml:space="preserve">, Cole KP, Desai KJ, </w:t>
      </w:r>
      <w:proofErr w:type="spellStart"/>
      <w:r>
        <w:rPr>
          <w:rFonts w:ascii="Book Antiqua" w:eastAsia="Book Antiqua" w:hAnsi="Book Antiqua" w:cs="Book Antiqua"/>
          <w:color w:val="000000" w:themeColor="text1"/>
        </w:rPr>
        <w:t>Zonshayn</w:t>
      </w:r>
      <w:proofErr w:type="spellEnd"/>
      <w:r>
        <w:rPr>
          <w:rFonts w:ascii="Book Antiqua" w:eastAsia="Book Antiqua" w:hAnsi="Book Antiqua" w:cs="Book Antiqua"/>
          <w:color w:val="000000" w:themeColor="text1"/>
        </w:rPr>
        <w:t xml:space="preserve"> S, Morse AS, Banerjee S. Prostheses for reverse total shoulder arthroplasty. </w:t>
      </w:r>
      <w:r>
        <w:rPr>
          <w:rFonts w:ascii="Book Antiqua" w:eastAsia="Book Antiqua" w:hAnsi="Book Antiqua" w:cs="Book Antiqua"/>
          <w:i/>
          <w:iCs/>
          <w:color w:val="000000" w:themeColor="text1"/>
        </w:rPr>
        <w:t>Expert Rev Med Devices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107-118 [PMID: 30669890 DOI: 10.1080/17434440.2019.1568237]</w:t>
      </w:r>
    </w:p>
    <w:p w14:paraId="149CA24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Kim DM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Alabdullatif</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Aldeghaither</w:t>
      </w:r>
      <w:proofErr w:type="spellEnd"/>
      <w:r>
        <w:rPr>
          <w:rFonts w:ascii="Book Antiqua" w:eastAsia="Book Antiqua" w:hAnsi="Book Antiqua" w:cs="Book Antiqua"/>
          <w:color w:val="000000" w:themeColor="text1"/>
        </w:rPr>
        <w:t xml:space="preserve"> M, Shin MJ, Kim H, Park D, </w:t>
      </w:r>
      <w:proofErr w:type="spellStart"/>
      <w:r>
        <w:rPr>
          <w:rFonts w:ascii="Book Antiqua" w:eastAsia="Book Antiqua" w:hAnsi="Book Antiqua" w:cs="Book Antiqua"/>
          <w:color w:val="000000" w:themeColor="text1"/>
        </w:rPr>
        <w:t>Kholinne</w:t>
      </w:r>
      <w:proofErr w:type="spellEnd"/>
      <w:r>
        <w:rPr>
          <w:rFonts w:ascii="Book Antiqua" w:eastAsia="Book Antiqua" w:hAnsi="Book Antiqua" w:cs="Book Antiqua"/>
          <w:color w:val="000000" w:themeColor="text1"/>
        </w:rPr>
        <w:t xml:space="preserve"> E, Jeon IH, Koh KH. Do Modern Designs of Metal-Backed Glenoid Components Show Improved Clinical Results in Total Shoulder Arthroplasty? A Systematic Review of the Literature. </w:t>
      </w:r>
      <w:proofErr w:type="spellStart"/>
      <w:r>
        <w:rPr>
          <w:rFonts w:ascii="Book Antiqua" w:eastAsia="Book Antiqua" w:hAnsi="Book Antiqua" w:cs="Book Antiqua"/>
          <w:i/>
          <w:iCs/>
          <w:color w:val="000000" w:themeColor="text1"/>
        </w:rPr>
        <w:t>Orthop</w:t>
      </w:r>
      <w:proofErr w:type="spellEnd"/>
      <w:r>
        <w:rPr>
          <w:rFonts w:ascii="Book Antiqua" w:eastAsia="Book Antiqua" w:hAnsi="Book Antiqua" w:cs="Book Antiqua"/>
          <w:i/>
          <w:iCs/>
          <w:color w:val="000000" w:themeColor="text1"/>
        </w:rPr>
        <w:t xml:space="preserve"> J Sports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2325967120950307 [PMID: 33062762 DOI: 10.1177/2325967120950307]</w:t>
      </w:r>
    </w:p>
    <w:p w14:paraId="5809AD52"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An KY</w:t>
      </w:r>
      <w:r>
        <w:rPr>
          <w:rFonts w:ascii="Book Antiqua" w:eastAsia="Book Antiqua" w:hAnsi="Book Antiqua" w:cs="Book Antiqua"/>
          <w:color w:val="000000" w:themeColor="text1"/>
        </w:rPr>
        <w:t xml:space="preserve">, Park JY, Yoon TR. Subscapularis-sparing deltopectoral approach in reverse total shoulder arthroplasty. </w:t>
      </w:r>
      <w:r>
        <w:rPr>
          <w:rFonts w:ascii="Book Antiqua" w:eastAsia="Book Antiqua" w:hAnsi="Book Antiqua" w:cs="Book Antiqua"/>
          <w:i/>
          <w:iCs/>
          <w:color w:val="000000" w:themeColor="text1"/>
        </w:rPr>
        <w:t xml:space="preserve">Int </w:t>
      </w:r>
      <w:proofErr w:type="spellStart"/>
      <w:r>
        <w:rPr>
          <w:rFonts w:ascii="Book Antiqua" w:eastAsia="Book Antiqua" w:hAnsi="Book Antiqua" w:cs="Book Antiqua"/>
          <w:i/>
          <w:iCs/>
          <w:color w:val="000000" w:themeColor="text1"/>
        </w:rPr>
        <w:t>Orthop</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46</w:t>
      </w:r>
      <w:r>
        <w:rPr>
          <w:rFonts w:ascii="Book Antiqua" w:eastAsia="Book Antiqua" w:hAnsi="Book Antiqua" w:cs="Book Antiqua"/>
          <w:color w:val="000000" w:themeColor="text1"/>
        </w:rPr>
        <w:t>: 2845-2851 [PMID: 36190532 DOI: 10.1007/s00264-022-05591-y]</w:t>
      </w:r>
    </w:p>
    <w:p w14:paraId="064AF97C"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Hagen MS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Allahabadi</w:t>
      </w:r>
      <w:proofErr w:type="spellEnd"/>
      <w:r>
        <w:rPr>
          <w:rFonts w:ascii="Book Antiqua" w:eastAsia="Book Antiqua" w:hAnsi="Book Antiqua" w:cs="Book Antiqua"/>
          <w:color w:val="000000" w:themeColor="text1"/>
        </w:rPr>
        <w:t xml:space="preserve"> S, Zhang AL, Feeley BT, Grace T, Ma CB. A randomized single-blinded trial of early rehabilitation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immobilization after </w:t>
      </w:r>
      <w:proofErr w:type="gramStart"/>
      <w:r>
        <w:rPr>
          <w:rFonts w:ascii="Book Antiqua" w:eastAsia="Book Antiqua" w:hAnsi="Book Antiqua" w:cs="Book Antiqua"/>
          <w:color w:val="000000" w:themeColor="text1"/>
        </w:rPr>
        <w:t>reverse</w:t>
      </w:r>
      <w:proofErr w:type="gramEnd"/>
      <w:r>
        <w:rPr>
          <w:rFonts w:ascii="Book Antiqua" w:eastAsia="Book Antiqua" w:hAnsi="Book Antiqua" w:cs="Book Antiqua"/>
          <w:color w:val="000000" w:themeColor="text1"/>
        </w:rPr>
        <w:t xml:space="preserve"> total shoulder arthroplasty.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442-450 [PMID: 31924519 DOI: 10.1016/j.jse.2019.10.005]</w:t>
      </w:r>
    </w:p>
    <w:p w14:paraId="0551C399"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Baumgarten KM</w:t>
      </w:r>
      <w:r>
        <w:rPr>
          <w:rFonts w:ascii="Book Antiqua" w:eastAsia="Book Antiqua" w:hAnsi="Book Antiqua" w:cs="Book Antiqua"/>
          <w:color w:val="000000" w:themeColor="text1"/>
        </w:rPr>
        <w:t xml:space="preserve">. Is stemless total shoulder arthroplasty indicated in elderly patients?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2023;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260-268 [PMID: 36162630 DOI: 10.1016/j.jse.2022.08.003]</w:t>
      </w:r>
    </w:p>
    <w:p w14:paraId="2CC964E1"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O'Keefe DS</w:t>
      </w:r>
      <w:r>
        <w:rPr>
          <w:rFonts w:ascii="Book Antiqua" w:eastAsia="Book Antiqua" w:hAnsi="Book Antiqua" w:cs="Book Antiqua"/>
          <w:color w:val="000000" w:themeColor="text1"/>
        </w:rPr>
        <w:t xml:space="preserve">, Hao KA, </w:t>
      </w:r>
      <w:proofErr w:type="spellStart"/>
      <w:r>
        <w:rPr>
          <w:rFonts w:ascii="Book Antiqua" w:eastAsia="Book Antiqua" w:hAnsi="Book Antiqua" w:cs="Book Antiqua"/>
          <w:color w:val="000000" w:themeColor="text1"/>
        </w:rPr>
        <w:t>Teurlings</w:t>
      </w:r>
      <w:proofErr w:type="spellEnd"/>
      <w:r>
        <w:rPr>
          <w:rFonts w:ascii="Book Antiqua" w:eastAsia="Book Antiqua" w:hAnsi="Book Antiqua" w:cs="Book Antiqua"/>
          <w:color w:val="000000" w:themeColor="text1"/>
        </w:rPr>
        <w:t xml:space="preserve"> TL, Wright TW, Wright JO, Schoch BS, Farmer KW, </w:t>
      </w:r>
      <w:proofErr w:type="spellStart"/>
      <w:r>
        <w:rPr>
          <w:rFonts w:ascii="Book Antiqua" w:eastAsia="Book Antiqua" w:hAnsi="Book Antiqua" w:cs="Book Antiqua"/>
          <w:color w:val="000000" w:themeColor="text1"/>
        </w:rPr>
        <w:t>Struk</w:t>
      </w:r>
      <w:proofErr w:type="spellEnd"/>
      <w:r>
        <w:rPr>
          <w:rFonts w:ascii="Book Antiqua" w:eastAsia="Book Antiqua" w:hAnsi="Book Antiqua" w:cs="Book Antiqua"/>
          <w:color w:val="000000" w:themeColor="text1"/>
        </w:rPr>
        <w:t xml:space="preserve"> AM, King JJ. Survivorship analysis of revision reverse total shoulder arthroplasty.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2022 [PMID: 36584868 DOI: 10.1016/j.jse.2022.11.024]</w:t>
      </w:r>
    </w:p>
    <w:p w14:paraId="452FCA3A"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Schiffman CJ</w:t>
      </w:r>
      <w:r>
        <w:rPr>
          <w:rFonts w:ascii="Book Antiqua" w:eastAsia="Book Antiqua" w:hAnsi="Book Antiqua" w:cs="Book Antiqua"/>
          <w:color w:val="000000" w:themeColor="text1"/>
        </w:rPr>
        <w:t xml:space="preserve">, Prabhakar P, Hsu JE, Shaffer ML, </w:t>
      </w:r>
      <w:proofErr w:type="spellStart"/>
      <w:r>
        <w:rPr>
          <w:rFonts w:ascii="Book Antiqua" w:eastAsia="Book Antiqua" w:hAnsi="Book Antiqua" w:cs="Book Antiqua"/>
          <w:color w:val="000000" w:themeColor="text1"/>
        </w:rPr>
        <w:t>Miljacic</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Matsen</w:t>
      </w:r>
      <w:proofErr w:type="spellEnd"/>
      <w:r>
        <w:rPr>
          <w:rFonts w:ascii="Book Antiqua" w:eastAsia="Book Antiqua" w:hAnsi="Book Antiqua" w:cs="Book Antiqua"/>
          <w:color w:val="000000" w:themeColor="text1"/>
        </w:rPr>
        <w:t xml:space="preserve"> FA 3rd. Assessing the Value to the Patient of New Technologies in Anatomic Total Shoulder Arthroplasty. </w:t>
      </w:r>
      <w:r>
        <w:rPr>
          <w:rFonts w:ascii="Book Antiqua" w:eastAsia="Book Antiqua" w:hAnsi="Book Antiqua" w:cs="Book Antiqua"/>
          <w:i/>
          <w:iCs/>
          <w:color w:val="000000" w:themeColor="text1"/>
        </w:rPr>
        <w:t>J Bone Joint Surg Am</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103</w:t>
      </w:r>
      <w:r>
        <w:rPr>
          <w:rFonts w:ascii="Book Antiqua" w:eastAsia="Book Antiqua" w:hAnsi="Book Antiqua" w:cs="Book Antiqua"/>
          <w:color w:val="000000" w:themeColor="text1"/>
        </w:rPr>
        <w:t>: 761-770 [PMID: 33587515 DOI: 10.2106/JBJS.20.01853]</w:t>
      </w:r>
    </w:p>
    <w:p w14:paraId="556DFFA4"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Best MJ</w:t>
      </w:r>
      <w:r>
        <w:rPr>
          <w:rFonts w:ascii="Book Antiqua" w:eastAsia="Book Antiqua" w:hAnsi="Book Antiqua" w:cs="Book Antiqua"/>
          <w:color w:val="000000" w:themeColor="text1"/>
        </w:rPr>
        <w:t xml:space="preserve">, Aziz KT, </w:t>
      </w:r>
      <w:proofErr w:type="spellStart"/>
      <w:r>
        <w:rPr>
          <w:rFonts w:ascii="Book Antiqua" w:eastAsia="Book Antiqua" w:hAnsi="Book Antiqua" w:cs="Book Antiqua"/>
          <w:color w:val="000000" w:themeColor="text1"/>
        </w:rPr>
        <w:t>Wilckens</w:t>
      </w:r>
      <w:proofErr w:type="spellEnd"/>
      <w:r>
        <w:rPr>
          <w:rFonts w:ascii="Book Antiqua" w:eastAsia="Book Antiqua" w:hAnsi="Book Antiqua" w:cs="Book Antiqua"/>
          <w:color w:val="000000" w:themeColor="text1"/>
        </w:rPr>
        <w:t xml:space="preserve"> JH, McFarland EG, </w:t>
      </w:r>
      <w:proofErr w:type="spellStart"/>
      <w:r>
        <w:rPr>
          <w:rFonts w:ascii="Book Antiqua" w:eastAsia="Book Antiqua" w:hAnsi="Book Antiqua" w:cs="Book Antiqua"/>
          <w:color w:val="000000" w:themeColor="text1"/>
        </w:rPr>
        <w:t>Srikumaran</w:t>
      </w:r>
      <w:proofErr w:type="spellEnd"/>
      <w:r>
        <w:rPr>
          <w:rFonts w:ascii="Book Antiqua" w:eastAsia="Book Antiqua" w:hAnsi="Book Antiqua" w:cs="Book Antiqua"/>
          <w:color w:val="000000" w:themeColor="text1"/>
        </w:rPr>
        <w:t xml:space="preserve"> U. Increasing incidence of primary reverse and anatomic total shoulder arthroplasty in the United States.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1159-1166 [PMID: 32858194 DOI: 10.1016/j.jse.2020.08.010]</w:t>
      </w:r>
    </w:p>
    <w:p w14:paraId="77F517F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Saltzman BM</w:t>
      </w:r>
      <w:r>
        <w:rPr>
          <w:rFonts w:ascii="Book Antiqua" w:eastAsia="Book Antiqua" w:hAnsi="Book Antiqua" w:cs="Book Antiqua"/>
          <w:color w:val="000000" w:themeColor="text1"/>
        </w:rPr>
        <w:t xml:space="preserve">, Chalmers PN, Gupta AK, Romeo AA, Nicholson GP. Complication rates comparing primary with revision reverse total shoulder arthroplasty.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1647-1654 [PMID: 24986694 DOI: 10.1016/j.jse.2014.04.015]</w:t>
      </w:r>
    </w:p>
    <w:p w14:paraId="10A5FD7C"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10 </w:t>
      </w:r>
      <w:r>
        <w:rPr>
          <w:rFonts w:ascii="Book Antiqua" w:eastAsia="Book Antiqua" w:hAnsi="Book Antiqua" w:cs="Book Antiqua"/>
          <w:b/>
          <w:bCs/>
          <w:color w:val="000000" w:themeColor="text1"/>
        </w:rPr>
        <w:t>Chalmers PN</w:t>
      </w:r>
      <w:r>
        <w:rPr>
          <w:rFonts w:ascii="Book Antiqua" w:eastAsia="Book Antiqua" w:hAnsi="Book Antiqua" w:cs="Book Antiqua"/>
          <w:color w:val="000000" w:themeColor="text1"/>
        </w:rPr>
        <w:t xml:space="preserve">, Gupta AK, Rahman Z, Bruce B, Romeo AA, Nicholson GP. Predictors of early complications of total shoulder arthroplasty. </w:t>
      </w:r>
      <w:r>
        <w:rPr>
          <w:rFonts w:ascii="Book Antiqua" w:eastAsia="Book Antiqua" w:hAnsi="Book Antiqua" w:cs="Book Antiqua"/>
          <w:i/>
          <w:iCs/>
          <w:color w:val="000000" w:themeColor="text1"/>
        </w:rPr>
        <w:t>J Arthroplasty</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856-860 [PMID: 23927910 DOI: 10.1016/j.arth.2013.07.002]</w:t>
      </w:r>
    </w:p>
    <w:p w14:paraId="4AFA36E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Seok HG</w:t>
      </w:r>
      <w:r>
        <w:rPr>
          <w:rFonts w:ascii="Book Antiqua" w:eastAsia="Book Antiqua" w:hAnsi="Book Antiqua" w:cs="Book Antiqua"/>
          <w:color w:val="000000" w:themeColor="text1"/>
        </w:rPr>
        <w:t xml:space="preserve">, Park JJ, Park SG. Risk Factors for Periprosthetic Joint Infection after Shoulder Arthroplasty: Systematic Review and Meta-Analysis. </w:t>
      </w:r>
      <w:r>
        <w:rPr>
          <w:rFonts w:ascii="Book Antiqua" w:eastAsia="Book Antiqua" w:hAnsi="Book Antiqua" w:cs="Book Antiqua"/>
          <w:i/>
          <w:iCs/>
          <w:color w:val="000000" w:themeColor="text1"/>
        </w:rPr>
        <w:t>J Clin Med</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xml:space="preserve"> [PMID: 35888008 DOI: 10.3390/jcm11144245]</w:t>
      </w:r>
    </w:p>
    <w:p w14:paraId="7C19AA09"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Gupta AK</w:t>
      </w:r>
      <w:r>
        <w:rPr>
          <w:rFonts w:ascii="Book Antiqua" w:eastAsia="Book Antiqua" w:hAnsi="Book Antiqua" w:cs="Book Antiqua"/>
          <w:color w:val="000000" w:themeColor="text1"/>
        </w:rPr>
        <w:t xml:space="preserve">, Chalmers PN, Rahman Z, Bruce B, Harris JD, McCormick F, Abrams GD, Nicholson GP. Reverse total shoulder arthroplasty in patients of varying body mass index.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35-42 [PMID: 24090984 DOI: 10.1016/j.jse.2013.07.043]</w:t>
      </w:r>
    </w:p>
    <w:p w14:paraId="7F9D2535"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proofErr w:type="spellStart"/>
      <w:r>
        <w:rPr>
          <w:rFonts w:ascii="Book Antiqua" w:eastAsia="Book Antiqua" w:hAnsi="Book Antiqua" w:cs="Book Antiqua"/>
          <w:b/>
          <w:bCs/>
          <w:color w:val="000000" w:themeColor="text1"/>
        </w:rPr>
        <w:t>Mollon</w:t>
      </w:r>
      <w:proofErr w:type="spellEnd"/>
      <w:r>
        <w:rPr>
          <w:rFonts w:ascii="Book Antiqua" w:eastAsia="Book Antiqua" w:hAnsi="Book Antiqua" w:cs="Book Antiqua"/>
          <w:b/>
          <w:bCs/>
          <w:color w:val="000000" w:themeColor="text1"/>
        </w:rPr>
        <w:t xml:space="preserve"> B</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Mahure</w:t>
      </w:r>
      <w:proofErr w:type="spellEnd"/>
      <w:r>
        <w:rPr>
          <w:rFonts w:ascii="Book Antiqua" w:eastAsia="Book Antiqua" w:hAnsi="Book Antiqua" w:cs="Book Antiqua"/>
          <w:color w:val="000000" w:themeColor="text1"/>
        </w:rPr>
        <w:t xml:space="preserve"> SA, Ding DY, Zuckerman JD, Kwon YW. The influence of a history of clinical depression on peri-operative outcomes in elective total shoulder arthroplasty: a ten-year national analysis. </w:t>
      </w:r>
      <w:r>
        <w:rPr>
          <w:rFonts w:ascii="Book Antiqua" w:eastAsia="Book Antiqua" w:hAnsi="Book Antiqua" w:cs="Book Antiqua"/>
          <w:i/>
          <w:iCs/>
          <w:color w:val="000000" w:themeColor="text1"/>
        </w:rPr>
        <w:t>Bone Joint J</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98-B</w:t>
      </w:r>
      <w:r>
        <w:rPr>
          <w:rFonts w:ascii="Book Antiqua" w:eastAsia="Book Antiqua" w:hAnsi="Book Antiqua" w:cs="Book Antiqua"/>
          <w:color w:val="000000" w:themeColor="text1"/>
        </w:rPr>
        <w:t>: 818-824 [PMID: 27235526 DOI: 10.1302/0301-620X.98B6.37208]</w:t>
      </w:r>
    </w:p>
    <w:p w14:paraId="4AA971E4"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Kirksey M</w:t>
      </w:r>
      <w:r>
        <w:rPr>
          <w:rFonts w:ascii="Book Antiqua" w:eastAsia="Book Antiqua" w:hAnsi="Book Antiqua" w:cs="Book Antiqua"/>
          <w:color w:val="000000" w:themeColor="text1"/>
        </w:rPr>
        <w:t xml:space="preserve">, Chiu YL, Ma Y, Della Valle AG, </w:t>
      </w:r>
      <w:proofErr w:type="spellStart"/>
      <w:r>
        <w:rPr>
          <w:rFonts w:ascii="Book Antiqua" w:eastAsia="Book Antiqua" w:hAnsi="Book Antiqua" w:cs="Book Antiqua"/>
          <w:color w:val="000000" w:themeColor="text1"/>
        </w:rPr>
        <w:t>Poultsides</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Gerner</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Memtsoudis</w:t>
      </w:r>
      <w:proofErr w:type="spellEnd"/>
      <w:r>
        <w:rPr>
          <w:rFonts w:ascii="Book Antiqua" w:eastAsia="Book Antiqua" w:hAnsi="Book Antiqua" w:cs="Book Antiqua"/>
          <w:color w:val="000000" w:themeColor="text1"/>
        </w:rPr>
        <w:t xml:space="preserve"> SG. Trends in in-hospital major morbidity and mortality after total joint arthroplasty: United States 1998-2008. </w:t>
      </w:r>
      <w:proofErr w:type="spellStart"/>
      <w:r>
        <w:rPr>
          <w:rFonts w:ascii="Book Antiqua" w:eastAsia="Book Antiqua" w:hAnsi="Book Antiqua" w:cs="Book Antiqua"/>
          <w:i/>
          <w:iCs/>
          <w:color w:val="000000" w:themeColor="text1"/>
        </w:rPr>
        <w:t>Anesth</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Analg</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115</w:t>
      </w:r>
      <w:r>
        <w:rPr>
          <w:rFonts w:ascii="Book Antiqua" w:eastAsia="Book Antiqua" w:hAnsi="Book Antiqua" w:cs="Book Antiqua"/>
          <w:color w:val="000000" w:themeColor="text1"/>
        </w:rPr>
        <w:t>: 321-327 [PMID: 22652311 DOI: 10.1213/ANE.0b013e31825b6824]</w:t>
      </w:r>
    </w:p>
    <w:p w14:paraId="6183199C"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Huang GP</w:t>
      </w:r>
      <w:r>
        <w:rPr>
          <w:rFonts w:ascii="Book Antiqua" w:eastAsia="Book Antiqua" w:hAnsi="Book Antiqua" w:cs="Book Antiqua"/>
          <w:color w:val="000000" w:themeColor="text1"/>
        </w:rPr>
        <w:t xml:space="preserve">, Jia XF, Xiang Z, Ji Y, Wu GY, Tang Y, Li J, Zhang J. Tranexamic Acid Reduces Hidden Blood Loss in Patients Undergoing Total Knee Arthroplasty: A Comparative Study and Meta-Analysis. </w:t>
      </w:r>
      <w:r>
        <w:rPr>
          <w:rFonts w:ascii="Book Antiqua" w:eastAsia="Book Antiqua" w:hAnsi="Book Antiqua" w:cs="Book Antiqua"/>
          <w:i/>
          <w:iCs/>
          <w:color w:val="000000" w:themeColor="text1"/>
        </w:rPr>
        <w:t xml:space="preserve">Med Sci </w:t>
      </w:r>
      <w:proofErr w:type="spellStart"/>
      <w:r>
        <w:rPr>
          <w:rFonts w:ascii="Book Antiqua" w:eastAsia="Book Antiqua" w:hAnsi="Book Antiqua" w:cs="Book Antiqua"/>
          <w:i/>
          <w:iCs/>
          <w:color w:val="000000" w:themeColor="text1"/>
        </w:rPr>
        <w:t>Monit</w:t>
      </w:r>
      <w:proofErr w:type="spellEnd"/>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797-802 [PMID: 26961597 DOI: 10.12659/MSM.895571]</w:t>
      </w:r>
    </w:p>
    <w:p w14:paraId="7D7A5115"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Kim SH</w:t>
      </w:r>
      <w:r>
        <w:rPr>
          <w:rFonts w:ascii="Book Antiqua" w:eastAsia="Book Antiqua" w:hAnsi="Book Antiqua" w:cs="Book Antiqua"/>
          <w:color w:val="000000" w:themeColor="text1"/>
        </w:rPr>
        <w:t xml:space="preserve">, Jung WI, Kim YJ, Hwang DH, Choi YE. Effect of Tranexamic Acid on Hematologic Values and Blood Loss in Reverse Total Shoulder Arthroplasty. </w:t>
      </w:r>
      <w:r>
        <w:rPr>
          <w:rFonts w:ascii="Book Antiqua" w:eastAsia="Book Antiqua" w:hAnsi="Book Antiqua" w:cs="Book Antiqua"/>
          <w:i/>
          <w:iCs/>
          <w:color w:val="000000" w:themeColor="text1"/>
        </w:rPr>
        <w:t>Biomed Res Int</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2017</w:t>
      </w:r>
      <w:r>
        <w:rPr>
          <w:rFonts w:ascii="Book Antiqua" w:eastAsia="Book Antiqua" w:hAnsi="Book Antiqua" w:cs="Book Antiqua"/>
          <w:color w:val="000000" w:themeColor="text1"/>
        </w:rPr>
        <w:t>: 9590803 [PMID: 28819631 DOI: 10.1155/2017/9590803]</w:t>
      </w:r>
    </w:p>
    <w:p w14:paraId="5885838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Yen SH</w:t>
      </w:r>
      <w:r>
        <w:rPr>
          <w:rFonts w:ascii="Book Antiqua" w:eastAsia="Book Antiqua" w:hAnsi="Book Antiqua" w:cs="Book Antiqua"/>
          <w:color w:val="000000" w:themeColor="text1"/>
        </w:rPr>
        <w:t xml:space="preserve">, Lin PC, Wu CT, Wang JW. Comparison of Effects of a Thrombin-Based Hemostatic Agent and Topical Tranexamic Acid on Blood Loss in Patients with Preexisting Thromboembolic Risk Undergoing a Minimally Invasive Total Knee </w:t>
      </w:r>
      <w:r>
        <w:rPr>
          <w:rFonts w:ascii="Book Antiqua" w:eastAsia="Book Antiqua" w:hAnsi="Book Antiqua" w:cs="Book Antiqua"/>
          <w:color w:val="000000" w:themeColor="text1"/>
        </w:rPr>
        <w:lastRenderedPageBreak/>
        <w:t xml:space="preserve">Arthroplasty. A Prospective Randomized Controlled Trial. </w:t>
      </w:r>
      <w:r>
        <w:rPr>
          <w:rFonts w:ascii="Book Antiqua" w:eastAsia="Book Antiqua" w:hAnsi="Book Antiqua" w:cs="Book Antiqua"/>
          <w:i/>
          <w:iCs/>
          <w:color w:val="000000" w:themeColor="text1"/>
        </w:rPr>
        <w:t>Biomed Res Int</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2021</w:t>
      </w:r>
      <w:r>
        <w:rPr>
          <w:rFonts w:ascii="Book Antiqua" w:eastAsia="Book Antiqua" w:hAnsi="Book Antiqua" w:cs="Book Antiqua"/>
          <w:color w:val="000000" w:themeColor="text1"/>
        </w:rPr>
        <w:t>: 2549521 [PMID: 33511201 DOI: 10.1155/2021/2549521]</w:t>
      </w:r>
    </w:p>
    <w:p w14:paraId="1514618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18 </w:t>
      </w:r>
      <w:proofErr w:type="spellStart"/>
      <w:r>
        <w:rPr>
          <w:rFonts w:ascii="Book Antiqua" w:eastAsia="Book Antiqua" w:hAnsi="Book Antiqua" w:cs="Book Antiqua"/>
          <w:b/>
          <w:bCs/>
          <w:color w:val="000000" w:themeColor="text1"/>
        </w:rPr>
        <w:t>Sershon</w:t>
      </w:r>
      <w:proofErr w:type="spellEnd"/>
      <w:r>
        <w:rPr>
          <w:rFonts w:ascii="Book Antiqua" w:eastAsia="Book Antiqua" w:hAnsi="Book Antiqua" w:cs="Book Antiqua"/>
          <w:b/>
          <w:bCs/>
          <w:color w:val="000000" w:themeColor="text1"/>
        </w:rPr>
        <w:t xml:space="preserve"> RA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Fillingham</w:t>
      </w:r>
      <w:proofErr w:type="spellEnd"/>
      <w:r>
        <w:rPr>
          <w:rFonts w:ascii="Book Antiqua" w:eastAsia="Book Antiqua" w:hAnsi="Book Antiqua" w:cs="Book Antiqua"/>
          <w:color w:val="000000" w:themeColor="text1"/>
        </w:rPr>
        <w:t xml:space="preserve"> YA, Abdel MP, Malkani AL, Schwarzkopf R, Padgett DE, Vail TP, Nam D, </w:t>
      </w:r>
      <w:proofErr w:type="spellStart"/>
      <w:r>
        <w:rPr>
          <w:rFonts w:ascii="Book Antiqua" w:eastAsia="Book Antiqua" w:hAnsi="Book Antiqua" w:cs="Book Antiqua"/>
          <w:color w:val="000000" w:themeColor="text1"/>
        </w:rPr>
        <w:t>Nahhas</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Culvern</w:t>
      </w:r>
      <w:proofErr w:type="spellEnd"/>
      <w:r>
        <w:rPr>
          <w:rFonts w:ascii="Book Antiqua" w:eastAsia="Book Antiqua" w:hAnsi="Book Antiqua" w:cs="Book Antiqua"/>
          <w:color w:val="000000" w:themeColor="text1"/>
        </w:rPr>
        <w:t xml:space="preserve"> C, Della Valle CJ; Hip Society Research Group. The Optimal Dosing Regimen for Tranexamic Acid in Revision Total Hip Arthroplasty: A Multicenter Randomized Clinical Trial. </w:t>
      </w:r>
      <w:r>
        <w:rPr>
          <w:rFonts w:ascii="Book Antiqua" w:eastAsia="Book Antiqua" w:hAnsi="Book Antiqua" w:cs="Book Antiqua"/>
          <w:i/>
          <w:iCs/>
          <w:color w:val="000000" w:themeColor="text1"/>
        </w:rPr>
        <w:t>J Bone Joint Surg Am</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102</w:t>
      </w:r>
      <w:r>
        <w:rPr>
          <w:rFonts w:ascii="Book Antiqua" w:eastAsia="Book Antiqua" w:hAnsi="Book Antiqua" w:cs="Book Antiqua"/>
          <w:color w:val="000000" w:themeColor="text1"/>
        </w:rPr>
        <w:t>: 1883-1890 [PMID: 33148955 DOI: 10.2106/JBJS.20.00010]</w:t>
      </w:r>
    </w:p>
    <w:p w14:paraId="49ED954A"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19 </w:t>
      </w:r>
      <w:proofErr w:type="spellStart"/>
      <w:r>
        <w:rPr>
          <w:rFonts w:ascii="Book Antiqua" w:eastAsia="Book Antiqua" w:hAnsi="Book Antiqua" w:cs="Book Antiqua"/>
          <w:b/>
          <w:bCs/>
          <w:color w:val="000000" w:themeColor="text1"/>
        </w:rPr>
        <w:t>Shichman</w:t>
      </w:r>
      <w:proofErr w:type="spellEnd"/>
      <w:r>
        <w:rPr>
          <w:rFonts w:ascii="Book Antiqua" w:eastAsia="Book Antiqua" w:hAnsi="Book Antiqua" w:cs="Book Antiqua"/>
          <w:b/>
          <w:bCs/>
          <w:color w:val="000000" w:themeColor="text1"/>
        </w:rPr>
        <w:t xml:space="preserve"> I</w:t>
      </w:r>
      <w:r>
        <w:rPr>
          <w:rFonts w:ascii="Book Antiqua" w:eastAsia="Book Antiqua" w:hAnsi="Book Antiqua" w:cs="Book Antiqua"/>
          <w:color w:val="000000" w:themeColor="text1"/>
        </w:rPr>
        <w:t xml:space="preserve">, Shaked O, Ashkenazi I, Schwarzkopf R, </w:t>
      </w:r>
      <w:proofErr w:type="spellStart"/>
      <w:r>
        <w:rPr>
          <w:rFonts w:ascii="Book Antiqua" w:eastAsia="Book Antiqua" w:hAnsi="Book Antiqua" w:cs="Book Antiqua"/>
          <w:color w:val="000000" w:themeColor="text1"/>
        </w:rPr>
        <w:t>Warschawski</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Snir</w:t>
      </w:r>
      <w:proofErr w:type="spellEnd"/>
      <w:r>
        <w:rPr>
          <w:rFonts w:ascii="Book Antiqua" w:eastAsia="Book Antiqua" w:hAnsi="Book Antiqua" w:cs="Book Antiqua"/>
          <w:color w:val="000000" w:themeColor="text1"/>
        </w:rPr>
        <w:t xml:space="preserve"> N. Tranexamic acid in non-elective primary total hip arthroplasty. </w:t>
      </w:r>
      <w:r>
        <w:rPr>
          <w:rFonts w:ascii="Book Antiqua" w:eastAsia="Book Antiqua" w:hAnsi="Book Antiqua" w:cs="Book Antiqua"/>
          <w:i/>
          <w:iCs/>
          <w:color w:val="000000" w:themeColor="text1"/>
        </w:rPr>
        <w:t>Injury</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52</w:t>
      </w:r>
      <w:r>
        <w:rPr>
          <w:rFonts w:ascii="Book Antiqua" w:eastAsia="Book Antiqua" w:hAnsi="Book Antiqua" w:cs="Book Antiqua"/>
          <w:color w:val="000000" w:themeColor="text1"/>
        </w:rPr>
        <w:t>: 1544-1548 [PMID: 33092856 DOI: 10.1016/j.injury.2020.10.056]</w:t>
      </w:r>
    </w:p>
    <w:p w14:paraId="3A85024A"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20 </w:t>
      </w:r>
      <w:proofErr w:type="spellStart"/>
      <w:r>
        <w:rPr>
          <w:rFonts w:ascii="Book Antiqua" w:eastAsia="Book Antiqua" w:hAnsi="Book Antiqua" w:cs="Book Antiqua"/>
          <w:b/>
          <w:bCs/>
          <w:color w:val="000000" w:themeColor="text1"/>
        </w:rPr>
        <w:t>Rethlefsen</w:t>
      </w:r>
      <w:proofErr w:type="spellEnd"/>
      <w:r>
        <w:rPr>
          <w:rFonts w:ascii="Book Antiqua" w:eastAsia="Book Antiqua" w:hAnsi="Book Antiqua" w:cs="Book Antiqua"/>
          <w:b/>
          <w:bCs/>
          <w:color w:val="000000" w:themeColor="text1"/>
        </w:rPr>
        <w:t xml:space="preserve"> ML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Kirtley</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Waffenschmidt</w:t>
      </w:r>
      <w:proofErr w:type="spellEnd"/>
      <w:r>
        <w:rPr>
          <w:rFonts w:ascii="Book Antiqua" w:eastAsia="Book Antiqua" w:hAnsi="Book Antiqua" w:cs="Book Antiqua"/>
          <w:color w:val="000000" w:themeColor="text1"/>
        </w:rPr>
        <w:t xml:space="preserve"> S, Ayala AP, Moher D, Page MJ, </w:t>
      </w:r>
      <w:proofErr w:type="spellStart"/>
      <w:r>
        <w:rPr>
          <w:rFonts w:ascii="Book Antiqua" w:eastAsia="Book Antiqua" w:hAnsi="Book Antiqua" w:cs="Book Antiqua"/>
          <w:color w:val="000000" w:themeColor="text1"/>
        </w:rPr>
        <w:t>Koffel</w:t>
      </w:r>
      <w:proofErr w:type="spellEnd"/>
      <w:r>
        <w:rPr>
          <w:rFonts w:ascii="Book Antiqua" w:eastAsia="Book Antiqua" w:hAnsi="Book Antiqua" w:cs="Book Antiqua"/>
          <w:color w:val="000000" w:themeColor="text1"/>
        </w:rPr>
        <w:t xml:space="preserve"> JB; PRISMA-S Group. PRISMA-S: an extension to the PRISMA Statement for Reporting Literature Searches in Systematic Reviews. </w:t>
      </w:r>
      <w:r>
        <w:rPr>
          <w:rFonts w:ascii="Book Antiqua" w:eastAsia="Book Antiqua" w:hAnsi="Book Antiqua" w:cs="Book Antiqua"/>
          <w:i/>
          <w:iCs/>
          <w:color w:val="000000" w:themeColor="text1"/>
        </w:rPr>
        <w:t>Syst Rev</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39 [PMID: 33499930 DOI: 10.1186/s13643-020-01542-z]</w:t>
      </w:r>
    </w:p>
    <w:p w14:paraId="1BB59286"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Sterne JAC</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Savović</w:t>
      </w:r>
      <w:proofErr w:type="spellEnd"/>
      <w:r>
        <w:rPr>
          <w:rFonts w:ascii="Book Antiqua" w:eastAsia="Book Antiqua" w:hAnsi="Book Antiqua" w:cs="Book Antiqua"/>
          <w:color w:val="000000" w:themeColor="text1"/>
        </w:rPr>
        <w:t xml:space="preserve"> J, Page MJ, </w:t>
      </w:r>
      <w:proofErr w:type="spellStart"/>
      <w:r>
        <w:rPr>
          <w:rFonts w:ascii="Book Antiqua" w:eastAsia="Book Antiqua" w:hAnsi="Book Antiqua" w:cs="Book Antiqua"/>
          <w:color w:val="000000" w:themeColor="text1"/>
        </w:rPr>
        <w:t>Elbers</w:t>
      </w:r>
      <w:proofErr w:type="spellEnd"/>
      <w:r>
        <w:rPr>
          <w:rFonts w:ascii="Book Antiqua" w:eastAsia="Book Antiqua" w:hAnsi="Book Antiqua" w:cs="Book Antiqua"/>
          <w:color w:val="000000" w:themeColor="text1"/>
        </w:rPr>
        <w:t xml:space="preserve"> RG, </w:t>
      </w:r>
      <w:proofErr w:type="spellStart"/>
      <w:r>
        <w:rPr>
          <w:rFonts w:ascii="Book Antiqua" w:eastAsia="Book Antiqua" w:hAnsi="Book Antiqua" w:cs="Book Antiqua"/>
          <w:color w:val="000000" w:themeColor="text1"/>
        </w:rPr>
        <w:t>Blencowe</w:t>
      </w:r>
      <w:proofErr w:type="spellEnd"/>
      <w:r>
        <w:rPr>
          <w:rFonts w:ascii="Book Antiqua" w:eastAsia="Book Antiqua" w:hAnsi="Book Antiqua" w:cs="Book Antiqua"/>
          <w:color w:val="000000" w:themeColor="text1"/>
        </w:rPr>
        <w:t xml:space="preserve"> NS, </w:t>
      </w:r>
      <w:proofErr w:type="spellStart"/>
      <w:r>
        <w:rPr>
          <w:rFonts w:ascii="Book Antiqua" w:eastAsia="Book Antiqua" w:hAnsi="Book Antiqua" w:cs="Book Antiqua"/>
          <w:color w:val="000000" w:themeColor="text1"/>
        </w:rPr>
        <w:t>Boutron</w:t>
      </w:r>
      <w:proofErr w:type="spellEnd"/>
      <w:r>
        <w:rPr>
          <w:rFonts w:ascii="Book Antiqua" w:eastAsia="Book Antiqua" w:hAnsi="Book Antiqua" w:cs="Book Antiqua"/>
          <w:color w:val="000000" w:themeColor="text1"/>
        </w:rPr>
        <w:t xml:space="preserve"> I, Cates CJ, Cheng HY, Corbett MS, Eldridge SM, </w:t>
      </w:r>
      <w:proofErr w:type="spellStart"/>
      <w:r>
        <w:rPr>
          <w:rFonts w:ascii="Book Antiqua" w:eastAsia="Book Antiqua" w:hAnsi="Book Antiqua" w:cs="Book Antiqua"/>
          <w:color w:val="000000" w:themeColor="text1"/>
        </w:rPr>
        <w:t>Emberson</w:t>
      </w:r>
      <w:proofErr w:type="spellEnd"/>
      <w:r>
        <w:rPr>
          <w:rFonts w:ascii="Book Antiqua" w:eastAsia="Book Antiqua" w:hAnsi="Book Antiqua" w:cs="Book Antiqua"/>
          <w:color w:val="000000" w:themeColor="text1"/>
        </w:rPr>
        <w:t xml:space="preserve"> JR, </w:t>
      </w:r>
      <w:proofErr w:type="spellStart"/>
      <w:r>
        <w:rPr>
          <w:rFonts w:ascii="Book Antiqua" w:eastAsia="Book Antiqua" w:hAnsi="Book Antiqua" w:cs="Book Antiqua"/>
          <w:color w:val="000000" w:themeColor="text1"/>
        </w:rPr>
        <w:t>Hernán</w:t>
      </w:r>
      <w:proofErr w:type="spellEnd"/>
      <w:r>
        <w:rPr>
          <w:rFonts w:ascii="Book Antiqua" w:eastAsia="Book Antiqua" w:hAnsi="Book Antiqua" w:cs="Book Antiqua"/>
          <w:color w:val="000000" w:themeColor="text1"/>
        </w:rPr>
        <w:t xml:space="preserve"> MA, Hopewell S, </w:t>
      </w:r>
      <w:proofErr w:type="spellStart"/>
      <w:r>
        <w:rPr>
          <w:rFonts w:ascii="Book Antiqua" w:eastAsia="Book Antiqua" w:hAnsi="Book Antiqua" w:cs="Book Antiqua"/>
          <w:color w:val="000000" w:themeColor="text1"/>
        </w:rPr>
        <w:t>Hróbjartsson</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Junqueira</w:t>
      </w:r>
      <w:proofErr w:type="spellEnd"/>
      <w:r>
        <w:rPr>
          <w:rFonts w:ascii="Book Antiqua" w:eastAsia="Book Antiqua" w:hAnsi="Book Antiqua" w:cs="Book Antiqua"/>
          <w:color w:val="000000" w:themeColor="text1"/>
        </w:rPr>
        <w:t xml:space="preserve"> DR, </w:t>
      </w:r>
      <w:proofErr w:type="spellStart"/>
      <w:r>
        <w:rPr>
          <w:rFonts w:ascii="Book Antiqua" w:eastAsia="Book Antiqua" w:hAnsi="Book Antiqua" w:cs="Book Antiqua"/>
          <w:color w:val="000000" w:themeColor="text1"/>
        </w:rPr>
        <w:t>Jüni</w:t>
      </w:r>
      <w:proofErr w:type="spellEnd"/>
      <w:r>
        <w:rPr>
          <w:rFonts w:ascii="Book Antiqua" w:eastAsia="Book Antiqua" w:hAnsi="Book Antiqua" w:cs="Book Antiqua"/>
          <w:color w:val="000000" w:themeColor="text1"/>
        </w:rPr>
        <w:t xml:space="preserve"> P, Kirkham JJ, </w:t>
      </w:r>
      <w:proofErr w:type="spellStart"/>
      <w:r>
        <w:rPr>
          <w:rFonts w:ascii="Book Antiqua" w:eastAsia="Book Antiqua" w:hAnsi="Book Antiqua" w:cs="Book Antiqua"/>
          <w:color w:val="000000" w:themeColor="text1"/>
        </w:rPr>
        <w:t>Lasserson</w:t>
      </w:r>
      <w:proofErr w:type="spellEnd"/>
      <w:r>
        <w:rPr>
          <w:rFonts w:ascii="Book Antiqua" w:eastAsia="Book Antiqua" w:hAnsi="Book Antiqua" w:cs="Book Antiqua"/>
          <w:color w:val="000000" w:themeColor="text1"/>
        </w:rPr>
        <w:t xml:space="preserve"> T, Li T, </w:t>
      </w:r>
      <w:proofErr w:type="spellStart"/>
      <w:r>
        <w:rPr>
          <w:rFonts w:ascii="Book Antiqua" w:eastAsia="Book Antiqua" w:hAnsi="Book Antiqua" w:cs="Book Antiqua"/>
          <w:color w:val="000000" w:themeColor="text1"/>
        </w:rPr>
        <w:t>McAleenan</w:t>
      </w:r>
      <w:proofErr w:type="spellEnd"/>
      <w:r>
        <w:rPr>
          <w:rFonts w:ascii="Book Antiqua" w:eastAsia="Book Antiqua" w:hAnsi="Book Antiqua" w:cs="Book Antiqua"/>
          <w:color w:val="000000" w:themeColor="text1"/>
        </w:rPr>
        <w:t xml:space="preserve"> A, Reeves BC, Shepperd S, </w:t>
      </w:r>
      <w:proofErr w:type="spellStart"/>
      <w:r>
        <w:rPr>
          <w:rFonts w:ascii="Book Antiqua" w:eastAsia="Book Antiqua" w:hAnsi="Book Antiqua" w:cs="Book Antiqua"/>
          <w:color w:val="000000" w:themeColor="text1"/>
        </w:rPr>
        <w:t>Shrier</w:t>
      </w:r>
      <w:proofErr w:type="spellEnd"/>
      <w:r>
        <w:rPr>
          <w:rFonts w:ascii="Book Antiqua" w:eastAsia="Book Antiqua" w:hAnsi="Book Antiqua" w:cs="Book Antiqua"/>
          <w:color w:val="000000" w:themeColor="text1"/>
        </w:rPr>
        <w:t xml:space="preserve"> I, Stewart LA, Tilling K, White IR, Whiting PF, Higgins JPT. </w:t>
      </w:r>
      <w:proofErr w:type="spellStart"/>
      <w:r>
        <w:rPr>
          <w:rFonts w:ascii="Book Antiqua" w:eastAsia="Book Antiqua" w:hAnsi="Book Antiqua" w:cs="Book Antiqua"/>
          <w:color w:val="000000" w:themeColor="text1"/>
        </w:rPr>
        <w:t>RoB</w:t>
      </w:r>
      <w:proofErr w:type="spellEnd"/>
      <w:r>
        <w:rPr>
          <w:rFonts w:ascii="Book Antiqua" w:eastAsia="Book Antiqua" w:hAnsi="Book Antiqua" w:cs="Book Antiqua"/>
          <w:color w:val="000000" w:themeColor="text1"/>
        </w:rPr>
        <w:t xml:space="preserve"> 2: a revised tool for assessing risk of bias in </w:t>
      </w:r>
      <w:proofErr w:type="spellStart"/>
      <w:r>
        <w:rPr>
          <w:rFonts w:ascii="Book Antiqua" w:eastAsia="Book Antiqua" w:hAnsi="Book Antiqua" w:cs="Book Antiqua"/>
          <w:color w:val="000000" w:themeColor="text1"/>
        </w:rPr>
        <w:t>randomised</w:t>
      </w:r>
      <w:proofErr w:type="spellEnd"/>
      <w:r>
        <w:rPr>
          <w:rFonts w:ascii="Book Antiqua" w:eastAsia="Book Antiqua" w:hAnsi="Book Antiqua" w:cs="Book Antiqua"/>
          <w:color w:val="000000" w:themeColor="text1"/>
        </w:rPr>
        <w:t xml:space="preserve"> trials. </w:t>
      </w:r>
      <w:r>
        <w:rPr>
          <w:rFonts w:ascii="Book Antiqua" w:eastAsia="Book Antiqua" w:hAnsi="Book Antiqua" w:cs="Book Antiqua"/>
          <w:i/>
          <w:iCs/>
          <w:color w:val="000000" w:themeColor="text1"/>
        </w:rPr>
        <w:t>BMJ</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366</w:t>
      </w:r>
      <w:r>
        <w:rPr>
          <w:rFonts w:ascii="Book Antiqua" w:eastAsia="Book Antiqua" w:hAnsi="Book Antiqua" w:cs="Book Antiqua"/>
          <w:color w:val="000000" w:themeColor="text1"/>
        </w:rPr>
        <w:t>: l4898 [PMID: 31462531 DOI: 10.1136/</w:t>
      </w:r>
      <w:proofErr w:type="gramStart"/>
      <w:r>
        <w:rPr>
          <w:rFonts w:ascii="Book Antiqua" w:eastAsia="Book Antiqua" w:hAnsi="Book Antiqua" w:cs="Book Antiqua"/>
          <w:color w:val="000000" w:themeColor="text1"/>
        </w:rPr>
        <w:t>bmj.l</w:t>
      </w:r>
      <w:proofErr w:type="gramEnd"/>
      <w:r>
        <w:rPr>
          <w:rFonts w:ascii="Book Antiqua" w:eastAsia="Book Antiqua" w:hAnsi="Book Antiqua" w:cs="Book Antiqua"/>
          <w:color w:val="000000" w:themeColor="text1"/>
        </w:rPr>
        <w:t>4898]</w:t>
      </w:r>
    </w:p>
    <w:p w14:paraId="1FC2D6A7"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Cunningham G</w:t>
      </w:r>
      <w:r>
        <w:rPr>
          <w:rFonts w:ascii="Book Antiqua" w:eastAsia="Book Antiqua" w:hAnsi="Book Antiqua" w:cs="Book Antiqua"/>
          <w:color w:val="000000" w:themeColor="text1"/>
        </w:rPr>
        <w:t xml:space="preserve">, Hughes J, </w:t>
      </w:r>
      <w:proofErr w:type="spellStart"/>
      <w:r>
        <w:rPr>
          <w:rFonts w:ascii="Book Antiqua" w:eastAsia="Book Antiqua" w:hAnsi="Book Antiqua" w:cs="Book Antiqua"/>
          <w:color w:val="000000" w:themeColor="text1"/>
        </w:rPr>
        <w:t>Borner</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Mattern</w:t>
      </w:r>
      <w:proofErr w:type="spellEnd"/>
      <w:r>
        <w:rPr>
          <w:rFonts w:ascii="Book Antiqua" w:eastAsia="Book Antiqua" w:hAnsi="Book Antiqua" w:cs="Book Antiqua"/>
          <w:color w:val="000000" w:themeColor="text1"/>
        </w:rPr>
        <w:t xml:space="preserve"> O, Taha ME, Smith MM, Young AA, Cass B. A single dose of tranexamic acid reduces blood loss after reverse and anatomic shoulder arthroplasty: a randomized controlled trial.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1553-1560 [PMID: 33421559 DOI: 10.1016/j.jse.2020.11.022]</w:t>
      </w:r>
    </w:p>
    <w:p w14:paraId="10B19272"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23 </w:t>
      </w:r>
      <w:proofErr w:type="spellStart"/>
      <w:r>
        <w:rPr>
          <w:rFonts w:ascii="Book Antiqua" w:eastAsia="Book Antiqua" w:hAnsi="Book Antiqua" w:cs="Book Antiqua"/>
          <w:b/>
          <w:bCs/>
          <w:color w:val="000000" w:themeColor="text1"/>
        </w:rPr>
        <w:t>Cvetanovich</w:t>
      </w:r>
      <w:proofErr w:type="spellEnd"/>
      <w:r>
        <w:rPr>
          <w:rFonts w:ascii="Book Antiqua" w:eastAsia="Book Antiqua" w:hAnsi="Book Antiqua" w:cs="Book Antiqua"/>
          <w:b/>
          <w:bCs/>
          <w:color w:val="000000" w:themeColor="text1"/>
        </w:rPr>
        <w:t xml:space="preserve"> GL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Fillingham</w:t>
      </w:r>
      <w:proofErr w:type="spellEnd"/>
      <w:r>
        <w:rPr>
          <w:rFonts w:ascii="Book Antiqua" w:eastAsia="Book Antiqua" w:hAnsi="Book Antiqua" w:cs="Book Antiqua"/>
          <w:color w:val="000000" w:themeColor="text1"/>
        </w:rPr>
        <w:t xml:space="preserve"> YA, O'Brien M, Forsythe B, Cole BJ, Verma NN, Romeo AA, Nicholson GP. Tranexamic acid reduces blood loss after primary shoulder arthroplasty: a double-blind, placebo-controlled, prospective, randomized controlled trial. </w:t>
      </w:r>
      <w:r>
        <w:rPr>
          <w:rFonts w:ascii="Book Antiqua" w:eastAsia="Book Antiqua" w:hAnsi="Book Antiqua" w:cs="Book Antiqua"/>
          <w:i/>
          <w:iCs/>
          <w:color w:val="000000" w:themeColor="text1"/>
        </w:rPr>
        <w:t>JSES Open Access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23-27 [PMID: 30675563 DOI: 10.1016/j.jses.2018.01.002]</w:t>
      </w:r>
    </w:p>
    <w:p w14:paraId="074BE7B9"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24 </w:t>
      </w:r>
      <w:proofErr w:type="spellStart"/>
      <w:r>
        <w:rPr>
          <w:rFonts w:ascii="Book Antiqua" w:eastAsia="Book Antiqua" w:hAnsi="Book Antiqua" w:cs="Book Antiqua"/>
          <w:b/>
          <w:bCs/>
          <w:color w:val="000000" w:themeColor="text1"/>
        </w:rPr>
        <w:t>Pauzenberger</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Domej</w:t>
      </w:r>
      <w:proofErr w:type="spellEnd"/>
      <w:r>
        <w:rPr>
          <w:rFonts w:ascii="Book Antiqua" w:eastAsia="Book Antiqua" w:hAnsi="Book Antiqua" w:cs="Book Antiqua"/>
          <w:color w:val="000000" w:themeColor="text1"/>
        </w:rPr>
        <w:t xml:space="preserve"> MA, </w:t>
      </w:r>
      <w:proofErr w:type="spellStart"/>
      <w:r>
        <w:rPr>
          <w:rFonts w:ascii="Book Antiqua" w:eastAsia="Book Antiqua" w:hAnsi="Book Antiqua" w:cs="Book Antiqua"/>
          <w:color w:val="000000" w:themeColor="text1"/>
        </w:rPr>
        <w:t>Heuberer</w:t>
      </w:r>
      <w:proofErr w:type="spellEnd"/>
      <w:r>
        <w:rPr>
          <w:rFonts w:ascii="Book Antiqua" w:eastAsia="Book Antiqua" w:hAnsi="Book Antiqua" w:cs="Book Antiqua"/>
          <w:color w:val="000000" w:themeColor="text1"/>
        </w:rPr>
        <w:t xml:space="preserve"> PR, </w:t>
      </w:r>
      <w:proofErr w:type="spellStart"/>
      <w:r>
        <w:rPr>
          <w:rFonts w:ascii="Book Antiqua" w:eastAsia="Book Antiqua" w:hAnsi="Book Antiqua" w:cs="Book Antiqua"/>
          <w:color w:val="000000" w:themeColor="text1"/>
        </w:rPr>
        <w:t>Hexel</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Grieb</w:t>
      </w:r>
      <w:proofErr w:type="spellEnd"/>
      <w:r>
        <w:rPr>
          <w:rFonts w:ascii="Book Antiqua" w:eastAsia="Book Antiqua" w:hAnsi="Book Antiqua" w:cs="Book Antiqua"/>
          <w:color w:val="000000" w:themeColor="text1"/>
        </w:rPr>
        <w:t xml:space="preserve"> A, Laky B, </w:t>
      </w:r>
      <w:proofErr w:type="spellStart"/>
      <w:r>
        <w:rPr>
          <w:rFonts w:ascii="Book Antiqua" w:eastAsia="Book Antiqua" w:hAnsi="Book Antiqua" w:cs="Book Antiqua"/>
          <w:color w:val="000000" w:themeColor="text1"/>
        </w:rPr>
        <w:t>Blasl</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Anderl</w:t>
      </w:r>
      <w:proofErr w:type="spellEnd"/>
      <w:r>
        <w:rPr>
          <w:rFonts w:ascii="Book Antiqua" w:eastAsia="Book Antiqua" w:hAnsi="Book Antiqua" w:cs="Book Antiqua"/>
          <w:color w:val="000000" w:themeColor="text1"/>
        </w:rPr>
        <w:t xml:space="preserve"> W. The effect of intravenous tranexamic acid on blood loss and early post-operative pain in total shoulder arthroplasty. </w:t>
      </w:r>
      <w:r>
        <w:rPr>
          <w:rFonts w:ascii="Book Antiqua" w:eastAsia="Book Antiqua" w:hAnsi="Book Antiqua" w:cs="Book Antiqua"/>
          <w:i/>
          <w:iCs/>
          <w:color w:val="000000" w:themeColor="text1"/>
        </w:rPr>
        <w:t>Bone Joint J</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99-B</w:t>
      </w:r>
      <w:r>
        <w:rPr>
          <w:rFonts w:ascii="Book Antiqua" w:eastAsia="Book Antiqua" w:hAnsi="Book Antiqua" w:cs="Book Antiqua"/>
          <w:color w:val="000000" w:themeColor="text1"/>
        </w:rPr>
        <w:t>: 1073-1079 [PMID: 28768785 DOI: 10.1302/0301-620X.99B8.BJJ-2016-1205.R1]</w:t>
      </w:r>
    </w:p>
    <w:p w14:paraId="0605628D"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Garcia 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Fragão</w:t>
      </w:r>
      <w:proofErr w:type="spellEnd"/>
      <w:r>
        <w:rPr>
          <w:rFonts w:ascii="Book Antiqua" w:eastAsia="Book Antiqua" w:hAnsi="Book Antiqua" w:cs="Book Antiqua"/>
          <w:color w:val="000000" w:themeColor="text1"/>
        </w:rPr>
        <w:t xml:space="preserve">-Marques M, </w:t>
      </w:r>
      <w:proofErr w:type="spellStart"/>
      <w:r>
        <w:rPr>
          <w:rFonts w:ascii="Book Antiqua" w:eastAsia="Book Antiqua" w:hAnsi="Book Antiqua" w:cs="Book Antiqua"/>
          <w:color w:val="000000" w:themeColor="text1"/>
        </w:rPr>
        <w:t>Pimentão</w:t>
      </w:r>
      <w:proofErr w:type="spellEnd"/>
      <w:r>
        <w:rPr>
          <w:rFonts w:ascii="Book Antiqua" w:eastAsia="Book Antiqua" w:hAnsi="Book Antiqua" w:cs="Book Antiqua"/>
          <w:color w:val="000000" w:themeColor="text1"/>
        </w:rPr>
        <w:t xml:space="preserve"> P, Pinto M, Pedro I, Martins C. Tranexamic acid in total shoulder arthroplasty under regional anesthesia: a randomized, single blinded, controlled trial. </w:t>
      </w:r>
      <w:proofErr w:type="spellStart"/>
      <w:r>
        <w:rPr>
          <w:rFonts w:ascii="Book Antiqua" w:eastAsia="Book Antiqua" w:hAnsi="Book Antiqua" w:cs="Book Antiqua"/>
          <w:i/>
          <w:iCs/>
          <w:color w:val="000000" w:themeColor="text1"/>
        </w:rPr>
        <w:t>Braz</w:t>
      </w:r>
      <w:proofErr w:type="spellEnd"/>
      <w:r>
        <w:rPr>
          <w:rFonts w:ascii="Book Antiqua" w:eastAsia="Book Antiqua" w:hAnsi="Book Antiqua" w:cs="Book Antiqua"/>
          <w:i/>
          <w:iCs/>
          <w:color w:val="000000" w:themeColor="text1"/>
        </w:rPr>
        <w:t xml:space="preserve"> J </w:t>
      </w:r>
      <w:proofErr w:type="spellStart"/>
      <w:r>
        <w:rPr>
          <w:rFonts w:ascii="Book Antiqua" w:eastAsia="Book Antiqua" w:hAnsi="Book Antiqua" w:cs="Book Antiqua"/>
          <w:i/>
          <w:iCs/>
          <w:color w:val="000000" w:themeColor="text1"/>
        </w:rPr>
        <w:t>Anesthesiol</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72</w:t>
      </w:r>
      <w:r>
        <w:rPr>
          <w:rFonts w:ascii="Book Antiqua" w:eastAsia="Book Antiqua" w:hAnsi="Book Antiqua" w:cs="Book Antiqua"/>
          <w:color w:val="000000" w:themeColor="text1"/>
        </w:rPr>
        <w:t>: 220-227 [PMID: 35144837 DOI: 10.1016/j.bjane.2021.02.011]</w:t>
      </w:r>
    </w:p>
    <w:p w14:paraId="17A2737F"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Vara AD</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Koueiter</w:t>
      </w:r>
      <w:proofErr w:type="spellEnd"/>
      <w:r>
        <w:rPr>
          <w:rFonts w:ascii="Book Antiqua" w:eastAsia="Book Antiqua" w:hAnsi="Book Antiqua" w:cs="Book Antiqua"/>
          <w:color w:val="000000" w:themeColor="text1"/>
        </w:rPr>
        <w:t xml:space="preserve"> DM, </w:t>
      </w:r>
      <w:proofErr w:type="spellStart"/>
      <w:r>
        <w:rPr>
          <w:rFonts w:ascii="Book Antiqua" w:eastAsia="Book Antiqua" w:hAnsi="Book Antiqua" w:cs="Book Antiqua"/>
          <w:color w:val="000000" w:themeColor="text1"/>
        </w:rPr>
        <w:t>Pinkas</w:t>
      </w:r>
      <w:proofErr w:type="spellEnd"/>
      <w:r>
        <w:rPr>
          <w:rFonts w:ascii="Book Antiqua" w:eastAsia="Book Antiqua" w:hAnsi="Book Antiqua" w:cs="Book Antiqua"/>
          <w:color w:val="000000" w:themeColor="text1"/>
        </w:rPr>
        <w:t xml:space="preserve"> DE, Gowda A, </w:t>
      </w:r>
      <w:proofErr w:type="spellStart"/>
      <w:r>
        <w:rPr>
          <w:rFonts w:ascii="Book Antiqua" w:eastAsia="Book Antiqua" w:hAnsi="Book Antiqua" w:cs="Book Antiqua"/>
          <w:color w:val="000000" w:themeColor="text1"/>
        </w:rPr>
        <w:t>Wiater</w:t>
      </w:r>
      <w:proofErr w:type="spellEnd"/>
      <w:r>
        <w:rPr>
          <w:rFonts w:ascii="Book Antiqua" w:eastAsia="Book Antiqua" w:hAnsi="Book Antiqua" w:cs="Book Antiqua"/>
          <w:color w:val="000000" w:themeColor="text1"/>
        </w:rPr>
        <w:t xml:space="preserve"> BP, </w:t>
      </w:r>
      <w:proofErr w:type="spellStart"/>
      <w:r>
        <w:rPr>
          <w:rFonts w:ascii="Book Antiqua" w:eastAsia="Book Antiqua" w:hAnsi="Book Antiqua" w:cs="Book Antiqua"/>
          <w:color w:val="000000" w:themeColor="text1"/>
        </w:rPr>
        <w:t>Wiater</w:t>
      </w:r>
      <w:proofErr w:type="spellEnd"/>
      <w:r>
        <w:rPr>
          <w:rFonts w:ascii="Book Antiqua" w:eastAsia="Book Antiqua" w:hAnsi="Book Antiqua" w:cs="Book Antiqua"/>
          <w:color w:val="000000" w:themeColor="text1"/>
        </w:rPr>
        <w:t xml:space="preserve"> JM. Intravenous tranexamic acid reduces total blood loss in reverse total shoulder arthroplasty: a prospective, double-blinded, randomized, controlled trial.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1383-1389 [PMID: 28162887 DOI: 10.1016/j.jse.2017.01.005]</w:t>
      </w:r>
    </w:p>
    <w:p w14:paraId="4E35926C"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27 </w:t>
      </w:r>
      <w:r>
        <w:rPr>
          <w:rFonts w:ascii="Book Antiqua" w:eastAsia="Book Antiqua" w:hAnsi="Book Antiqua" w:cs="Book Antiqua"/>
          <w:b/>
          <w:bCs/>
          <w:color w:val="000000" w:themeColor="text1"/>
        </w:rPr>
        <w:t>Sun L</w:t>
      </w:r>
      <w:r>
        <w:rPr>
          <w:rFonts w:ascii="Book Antiqua" w:eastAsia="Book Antiqua" w:hAnsi="Book Antiqua" w:cs="Book Antiqua"/>
          <w:color w:val="000000" w:themeColor="text1"/>
        </w:rPr>
        <w:t xml:space="preserve">, Guo R, Feng Y. Efficacy and Safety of Tranexamic Acid in Bimaxillary Orthognathic Surgery. </w:t>
      </w:r>
      <w:proofErr w:type="spellStart"/>
      <w:r>
        <w:rPr>
          <w:rFonts w:ascii="Book Antiqua" w:eastAsia="Book Antiqua" w:hAnsi="Book Antiqua" w:cs="Book Antiqua"/>
          <w:i/>
          <w:iCs/>
          <w:color w:val="000000" w:themeColor="text1"/>
        </w:rPr>
        <w:t>Plast</w:t>
      </w:r>
      <w:proofErr w:type="spellEnd"/>
      <w:r>
        <w:rPr>
          <w:rFonts w:ascii="Book Antiqua" w:eastAsia="Book Antiqua" w:hAnsi="Book Antiqua" w:cs="Book Antiqua"/>
          <w:i/>
          <w:iCs/>
          <w:color w:val="000000" w:themeColor="text1"/>
        </w:rPr>
        <w:t xml:space="preserve"> Surg (</w:t>
      </w:r>
      <w:proofErr w:type="spellStart"/>
      <w:r>
        <w:rPr>
          <w:rFonts w:ascii="Book Antiqua" w:eastAsia="Book Antiqua" w:hAnsi="Book Antiqua" w:cs="Book Antiqua"/>
          <w:i/>
          <w:iCs/>
          <w:color w:val="000000" w:themeColor="text1"/>
        </w:rPr>
        <w:t>Oakv</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94-104 [PMID: 32596184 DOI: 10.1177/2292550320925897]</w:t>
      </w:r>
    </w:p>
    <w:p w14:paraId="783F176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28 </w:t>
      </w:r>
      <w:r>
        <w:rPr>
          <w:rFonts w:ascii="Book Antiqua" w:eastAsia="Book Antiqua" w:hAnsi="Book Antiqua" w:cs="Book Antiqua"/>
          <w:b/>
          <w:bCs/>
          <w:color w:val="000000" w:themeColor="text1"/>
        </w:rPr>
        <w:t>Wright GP</w:t>
      </w:r>
      <w:r>
        <w:rPr>
          <w:rFonts w:ascii="Book Antiqua" w:eastAsia="Book Antiqua" w:hAnsi="Book Antiqua" w:cs="Book Antiqua"/>
          <w:color w:val="000000" w:themeColor="text1"/>
        </w:rPr>
        <w:t xml:space="preserve">, Wolf AM, </w:t>
      </w:r>
      <w:proofErr w:type="spellStart"/>
      <w:r>
        <w:rPr>
          <w:rFonts w:ascii="Book Antiqua" w:eastAsia="Book Antiqua" w:hAnsi="Book Antiqua" w:cs="Book Antiqua"/>
          <w:color w:val="000000" w:themeColor="text1"/>
        </w:rPr>
        <w:t>Waldherr</w:t>
      </w:r>
      <w:proofErr w:type="spellEnd"/>
      <w:r>
        <w:rPr>
          <w:rFonts w:ascii="Book Antiqua" w:eastAsia="Book Antiqua" w:hAnsi="Book Antiqua" w:cs="Book Antiqua"/>
          <w:color w:val="000000" w:themeColor="text1"/>
        </w:rPr>
        <w:t xml:space="preserve"> TL, Ritz-Holland D, Laney ED, Chapman HA, Lane BR, </w:t>
      </w:r>
      <w:proofErr w:type="spellStart"/>
      <w:r>
        <w:rPr>
          <w:rFonts w:ascii="Book Antiqua" w:eastAsia="Book Antiqua" w:hAnsi="Book Antiqua" w:cs="Book Antiqua"/>
          <w:color w:val="000000" w:themeColor="text1"/>
        </w:rPr>
        <w:t>Assifi</w:t>
      </w:r>
      <w:proofErr w:type="spellEnd"/>
      <w:r>
        <w:rPr>
          <w:rFonts w:ascii="Book Antiqua" w:eastAsia="Book Antiqua" w:hAnsi="Book Antiqua" w:cs="Book Antiqua"/>
          <w:color w:val="000000" w:themeColor="text1"/>
        </w:rPr>
        <w:t xml:space="preserve"> MM, Chung MH. Preoperative tranexamic acid does not reduce transfusion rates in major oncologic surgery: Results of a randomized, double-blind, and placebo-controlled trial. </w:t>
      </w:r>
      <w:r>
        <w:rPr>
          <w:rFonts w:ascii="Book Antiqua" w:eastAsia="Book Antiqua" w:hAnsi="Book Antiqua" w:cs="Book Antiqua"/>
          <w:i/>
          <w:iCs/>
          <w:color w:val="000000" w:themeColor="text1"/>
        </w:rPr>
        <w:t>J Surg Oncol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122</w:t>
      </w:r>
      <w:r>
        <w:rPr>
          <w:rFonts w:ascii="Book Antiqua" w:eastAsia="Book Antiqua" w:hAnsi="Book Antiqua" w:cs="Book Antiqua"/>
          <w:color w:val="000000" w:themeColor="text1"/>
        </w:rPr>
        <w:t>: 1037-1042 [PMID: 32737893 DOI: 10.1002/jso.26142]</w:t>
      </w:r>
    </w:p>
    <w:p w14:paraId="27724A1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29 </w:t>
      </w:r>
      <w:proofErr w:type="spellStart"/>
      <w:r>
        <w:rPr>
          <w:rFonts w:ascii="Book Antiqua" w:eastAsia="Book Antiqua" w:hAnsi="Book Antiqua" w:cs="Book Antiqua"/>
          <w:b/>
          <w:bCs/>
          <w:color w:val="000000" w:themeColor="text1"/>
        </w:rPr>
        <w:t>Colomina</w:t>
      </w:r>
      <w:proofErr w:type="spellEnd"/>
      <w:r>
        <w:rPr>
          <w:rFonts w:ascii="Book Antiqua" w:eastAsia="Book Antiqua" w:hAnsi="Book Antiqua" w:cs="Book Antiqua"/>
          <w:b/>
          <w:bCs/>
          <w:color w:val="000000" w:themeColor="text1"/>
        </w:rPr>
        <w:t xml:space="preserve"> MJ</w:t>
      </w:r>
      <w:r>
        <w:rPr>
          <w:rFonts w:ascii="Book Antiqua" w:eastAsia="Book Antiqua" w:hAnsi="Book Antiqua" w:cs="Book Antiqua"/>
          <w:color w:val="000000" w:themeColor="text1"/>
        </w:rPr>
        <w:t xml:space="preserve">, Koo M, </w:t>
      </w:r>
      <w:proofErr w:type="spellStart"/>
      <w:r>
        <w:rPr>
          <w:rFonts w:ascii="Book Antiqua" w:eastAsia="Book Antiqua" w:hAnsi="Book Antiqua" w:cs="Book Antiqua"/>
          <w:color w:val="000000" w:themeColor="text1"/>
        </w:rPr>
        <w:t>Basora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Pizones</w:t>
      </w:r>
      <w:proofErr w:type="spellEnd"/>
      <w:r>
        <w:rPr>
          <w:rFonts w:ascii="Book Antiqua" w:eastAsia="Book Antiqua" w:hAnsi="Book Antiqua" w:cs="Book Antiqua"/>
          <w:color w:val="000000" w:themeColor="text1"/>
        </w:rPr>
        <w:t xml:space="preserve"> J, Mora L, </w:t>
      </w:r>
      <w:proofErr w:type="spellStart"/>
      <w:r>
        <w:rPr>
          <w:rFonts w:ascii="Book Antiqua" w:eastAsia="Book Antiqua" w:hAnsi="Book Antiqua" w:cs="Book Antiqua"/>
          <w:color w:val="000000" w:themeColor="text1"/>
        </w:rPr>
        <w:t>Bagó</w:t>
      </w:r>
      <w:proofErr w:type="spellEnd"/>
      <w:r>
        <w:rPr>
          <w:rFonts w:ascii="Book Antiqua" w:eastAsia="Book Antiqua" w:hAnsi="Book Antiqua" w:cs="Book Antiqua"/>
          <w:color w:val="000000" w:themeColor="text1"/>
        </w:rPr>
        <w:t xml:space="preserve"> J. Intraoperative tranexamic acid use in major spine surgery in adults: a </w:t>
      </w:r>
      <w:proofErr w:type="spellStart"/>
      <w:r>
        <w:rPr>
          <w:rFonts w:ascii="Book Antiqua" w:eastAsia="Book Antiqua" w:hAnsi="Book Antiqua" w:cs="Book Antiqua"/>
          <w:color w:val="000000" w:themeColor="text1"/>
        </w:rPr>
        <w:t>multicentre</w:t>
      </w:r>
      <w:proofErr w:type="spellEnd"/>
      <w:r>
        <w:rPr>
          <w:rFonts w:ascii="Book Antiqua" w:eastAsia="Book Antiqua" w:hAnsi="Book Antiqua" w:cs="Book Antiqua"/>
          <w:color w:val="000000" w:themeColor="text1"/>
        </w:rPr>
        <w:t xml:space="preserve">, randomized, placebo-controlled trial†. </w:t>
      </w:r>
      <w:r>
        <w:rPr>
          <w:rFonts w:ascii="Book Antiqua" w:eastAsia="Book Antiqua" w:hAnsi="Book Antiqua" w:cs="Book Antiqua"/>
          <w:i/>
          <w:iCs/>
          <w:color w:val="000000" w:themeColor="text1"/>
        </w:rPr>
        <w:t xml:space="preserve">Br J </w:t>
      </w:r>
      <w:proofErr w:type="spellStart"/>
      <w:r>
        <w:rPr>
          <w:rFonts w:ascii="Book Antiqua" w:eastAsia="Book Antiqua" w:hAnsi="Book Antiqua" w:cs="Book Antiqua"/>
          <w:i/>
          <w:iCs/>
          <w:color w:val="000000" w:themeColor="text1"/>
        </w:rPr>
        <w:t>Anaesth</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118</w:t>
      </w:r>
      <w:r>
        <w:rPr>
          <w:rFonts w:ascii="Book Antiqua" w:eastAsia="Book Antiqua" w:hAnsi="Book Antiqua" w:cs="Book Antiqua"/>
          <w:color w:val="000000" w:themeColor="text1"/>
        </w:rPr>
        <w:t>: 380-390 [PMID: 28203735 DOI: 10.1093/</w:t>
      </w:r>
      <w:proofErr w:type="spellStart"/>
      <w:r>
        <w:rPr>
          <w:rFonts w:ascii="Book Antiqua" w:eastAsia="Book Antiqua" w:hAnsi="Book Antiqua" w:cs="Book Antiqua"/>
          <w:color w:val="000000" w:themeColor="text1"/>
        </w:rPr>
        <w:t>bja</w:t>
      </w:r>
      <w:proofErr w:type="spellEnd"/>
      <w:r>
        <w:rPr>
          <w:rFonts w:ascii="Book Antiqua" w:eastAsia="Book Antiqua" w:hAnsi="Book Antiqua" w:cs="Book Antiqua"/>
          <w:color w:val="000000" w:themeColor="text1"/>
        </w:rPr>
        <w:t>/aew434]</w:t>
      </w:r>
    </w:p>
    <w:p w14:paraId="66908B7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Winter SF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Santaguida</w:t>
      </w:r>
      <w:proofErr w:type="spellEnd"/>
      <w:r>
        <w:rPr>
          <w:rFonts w:ascii="Book Antiqua" w:eastAsia="Book Antiqua" w:hAnsi="Book Antiqua" w:cs="Book Antiqua"/>
          <w:color w:val="000000" w:themeColor="text1"/>
        </w:rPr>
        <w:t xml:space="preserve"> C, Wong J, </w:t>
      </w:r>
      <w:proofErr w:type="spellStart"/>
      <w:r>
        <w:rPr>
          <w:rFonts w:ascii="Book Antiqua" w:eastAsia="Book Antiqua" w:hAnsi="Book Antiqua" w:cs="Book Antiqua"/>
          <w:color w:val="000000" w:themeColor="text1"/>
        </w:rPr>
        <w:t>Fehlings</w:t>
      </w:r>
      <w:proofErr w:type="spellEnd"/>
      <w:r>
        <w:rPr>
          <w:rFonts w:ascii="Book Antiqua" w:eastAsia="Book Antiqua" w:hAnsi="Book Antiqua" w:cs="Book Antiqua"/>
          <w:color w:val="000000" w:themeColor="text1"/>
        </w:rPr>
        <w:t xml:space="preserve"> MG. Systemic and Topical Use of Tranexamic Acid in Spinal Surgery: A Systematic Review. </w:t>
      </w:r>
      <w:r>
        <w:rPr>
          <w:rFonts w:ascii="Book Antiqua" w:eastAsia="Book Antiqua" w:hAnsi="Book Antiqua" w:cs="Book Antiqua"/>
          <w:i/>
          <w:iCs/>
          <w:color w:val="000000" w:themeColor="text1"/>
        </w:rPr>
        <w:t>Global Spine J</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284-295 [PMID: 27099820 DOI: 10.1055/s-0035-1563609]</w:t>
      </w:r>
    </w:p>
    <w:p w14:paraId="52429EB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31 </w:t>
      </w:r>
      <w:proofErr w:type="spellStart"/>
      <w:r>
        <w:rPr>
          <w:rFonts w:ascii="Book Antiqua" w:eastAsia="Book Antiqua" w:hAnsi="Book Antiqua" w:cs="Book Antiqua"/>
          <w:b/>
          <w:bCs/>
          <w:color w:val="000000" w:themeColor="text1"/>
        </w:rPr>
        <w:t>Xie</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Hu Q, Huang Q, Ma J, Lei Y, Pei F. Comparison of intravenous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topical tranexamic acid in primary total hip and knee arthroplasty: An updated meta-analysis. </w:t>
      </w:r>
      <w:proofErr w:type="spellStart"/>
      <w:r>
        <w:rPr>
          <w:rFonts w:ascii="Book Antiqua" w:eastAsia="Book Antiqua" w:hAnsi="Book Antiqua" w:cs="Book Antiqua"/>
          <w:i/>
          <w:iCs/>
          <w:color w:val="000000" w:themeColor="text1"/>
        </w:rPr>
        <w:t>Thromb</w:t>
      </w:r>
      <w:proofErr w:type="spellEnd"/>
      <w:r>
        <w:rPr>
          <w:rFonts w:ascii="Book Antiqua" w:eastAsia="Book Antiqua" w:hAnsi="Book Antiqua" w:cs="Book Antiqua"/>
          <w:i/>
          <w:iCs/>
          <w:color w:val="000000" w:themeColor="text1"/>
        </w:rPr>
        <w:t xml:space="preserve"> Res</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153</w:t>
      </w:r>
      <w:r>
        <w:rPr>
          <w:rFonts w:ascii="Book Antiqua" w:eastAsia="Book Antiqua" w:hAnsi="Book Antiqua" w:cs="Book Antiqua"/>
          <w:color w:val="000000" w:themeColor="text1"/>
        </w:rPr>
        <w:t>: 28-36 [PMID: 28319822 DOI: 10.1016/j.thromres.2017.03.009]</w:t>
      </w:r>
    </w:p>
    <w:p w14:paraId="60D0519C"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Wei W</w:t>
      </w:r>
      <w:r>
        <w:rPr>
          <w:rFonts w:ascii="Book Antiqua" w:eastAsia="Book Antiqua" w:hAnsi="Book Antiqua" w:cs="Book Antiqua"/>
          <w:color w:val="000000" w:themeColor="text1"/>
        </w:rPr>
        <w:t xml:space="preserve">, Dang S, Duan D, Wei L. Comparison of intravenous and topical tranexamic acid in total knee arthroplasty. </w:t>
      </w:r>
      <w:r>
        <w:rPr>
          <w:rFonts w:ascii="Book Antiqua" w:eastAsia="Book Antiqua" w:hAnsi="Book Antiqua" w:cs="Book Antiqua"/>
          <w:i/>
          <w:iCs/>
          <w:color w:val="000000" w:themeColor="text1"/>
        </w:rPr>
        <w:t xml:space="preserve">BMC </w:t>
      </w:r>
      <w:proofErr w:type="spellStart"/>
      <w:r>
        <w:rPr>
          <w:rFonts w:ascii="Book Antiqua" w:eastAsia="Book Antiqua" w:hAnsi="Book Antiqua" w:cs="Book Antiqua"/>
          <w:i/>
          <w:iCs/>
          <w:color w:val="000000" w:themeColor="text1"/>
        </w:rPr>
        <w:t>Musculoskelet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Disord</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191 [PMID: 29898707 DOI: 10.1186/s12891-018-2122-7]</w:t>
      </w:r>
    </w:p>
    <w:p w14:paraId="32D7BA2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33 </w:t>
      </w:r>
      <w:proofErr w:type="spellStart"/>
      <w:r>
        <w:rPr>
          <w:rFonts w:ascii="Book Antiqua" w:eastAsia="Book Antiqua" w:hAnsi="Book Antiqua" w:cs="Book Antiqua"/>
          <w:b/>
          <w:bCs/>
          <w:color w:val="000000" w:themeColor="text1"/>
        </w:rPr>
        <w:t>Abildgaard</w:t>
      </w:r>
      <w:proofErr w:type="spellEnd"/>
      <w:r>
        <w:rPr>
          <w:rFonts w:ascii="Book Antiqua" w:eastAsia="Book Antiqua" w:hAnsi="Book Antiqua" w:cs="Book Antiqua"/>
          <w:b/>
          <w:bCs/>
          <w:color w:val="000000" w:themeColor="text1"/>
        </w:rPr>
        <w:t xml:space="preserve"> JT</w:t>
      </w:r>
      <w:r>
        <w:rPr>
          <w:rFonts w:ascii="Book Antiqua" w:eastAsia="Book Antiqua" w:hAnsi="Book Antiqua" w:cs="Book Antiqua"/>
          <w:color w:val="000000" w:themeColor="text1"/>
        </w:rPr>
        <w:t xml:space="preserve">, McLemore R, </w:t>
      </w:r>
      <w:proofErr w:type="spellStart"/>
      <w:r>
        <w:rPr>
          <w:rFonts w:ascii="Book Antiqua" w:eastAsia="Book Antiqua" w:hAnsi="Book Antiqua" w:cs="Book Antiqua"/>
          <w:color w:val="000000" w:themeColor="text1"/>
        </w:rPr>
        <w:t>Hattrup</w:t>
      </w:r>
      <w:proofErr w:type="spellEnd"/>
      <w:r>
        <w:rPr>
          <w:rFonts w:ascii="Book Antiqua" w:eastAsia="Book Antiqua" w:hAnsi="Book Antiqua" w:cs="Book Antiqua"/>
          <w:color w:val="000000" w:themeColor="text1"/>
        </w:rPr>
        <w:t xml:space="preserve"> SJ. Tranexamic acid decreases blood loss in total shoulder arthroplasty and reverse total shoulder arthroplasty.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25</w:t>
      </w:r>
      <w:r>
        <w:rPr>
          <w:rFonts w:ascii="Book Antiqua" w:eastAsia="Book Antiqua" w:hAnsi="Book Antiqua" w:cs="Book Antiqua"/>
          <w:color w:val="000000" w:themeColor="text1"/>
        </w:rPr>
        <w:t>: 1643-1648 [PMID: 27106116 DOI: 10.1016/j.jse.2016.02.002]</w:t>
      </w:r>
    </w:p>
    <w:p w14:paraId="190DDE10"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34 </w:t>
      </w:r>
      <w:r>
        <w:rPr>
          <w:rFonts w:ascii="Book Antiqua" w:eastAsia="Book Antiqua" w:hAnsi="Book Antiqua" w:cs="Book Antiqua"/>
          <w:b/>
          <w:bCs/>
          <w:color w:val="000000" w:themeColor="text1"/>
        </w:rPr>
        <w:t>Clay TB</w:t>
      </w:r>
      <w:r>
        <w:rPr>
          <w:rFonts w:ascii="Book Antiqua" w:eastAsia="Book Antiqua" w:hAnsi="Book Antiqua" w:cs="Book Antiqua"/>
          <w:color w:val="000000" w:themeColor="text1"/>
        </w:rPr>
        <w:t xml:space="preserve">, Lawal AS, Wright TW, Patrick M, </w:t>
      </w:r>
      <w:proofErr w:type="spellStart"/>
      <w:r>
        <w:rPr>
          <w:rFonts w:ascii="Book Antiqua" w:eastAsia="Book Antiqua" w:hAnsi="Book Antiqua" w:cs="Book Antiqua"/>
          <w:color w:val="000000" w:themeColor="text1"/>
        </w:rPr>
        <w:t>Struk</w:t>
      </w:r>
      <w:proofErr w:type="spellEnd"/>
      <w:r>
        <w:rPr>
          <w:rFonts w:ascii="Book Antiqua" w:eastAsia="Book Antiqua" w:hAnsi="Book Antiqua" w:cs="Book Antiqua"/>
          <w:color w:val="000000" w:themeColor="text1"/>
        </w:rPr>
        <w:t xml:space="preserve"> AM, Farmer KW, King JJ. Tranexamic acid use is associated with lower transfusion rates in shoulder arthroplasty patients with preoperative </w:t>
      </w:r>
      <w:proofErr w:type="spellStart"/>
      <w:r>
        <w:rPr>
          <w:rFonts w:ascii="Book Antiqua" w:eastAsia="Book Antiqua" w:hAnsi="Book Antiqua" w:cs="Book Antiqua"/>
          <w:color w:val="000000" w:themeColor="text1"/>
        </w:rPr>
        <w:t>anaemia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Shoulder Elbow</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61-69 [PMID: 33343717 DOI: 10.1177/1758573219841058]</w:t>
      </w:r>
    </w:p>
    <w:p w14:paraId="440CC881"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35 </w:t>
      </w:r>
      <w:r>
        <w:rPr>
          <w:rFonts w:ascii="Book Antiqua" w:eastAsia="Book Antiqua" w:hAnsi="Book Antiqua" w:cs="Book Antiqua"/>
          <w:b/>
          <w:bCs/>
          <w:color w:val="000000" w:themeColor="text1"/>
        </w:rPr>
        <w:t>Carbone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Poeran</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Zubizarreta</w:t>
      </w:r>
      <w:proofErr w:type="spellEnd"/>
      <w:r>
        <w:rPr>
          <w:rFonts w:ascii="Book Antiqua" w:eastAsia="Book Antiqua" w:hAnsi="Book Antiqua" w:cs="Book Antiqua"/>
          <w:color w:val="000000" w:themeColor="text1"/>
        </w:rPr>
        <w:t xml:space="preserve"> N, Chan J, Mazumdar M, Parsons BO, Galatz LM, Cagle PJ. Administration of tranexamic acid during total shoulder arthroplasty is not associated with increased risk of complications in patients with a history of thrombotic events. </w:t>
      </w:r>
      <w:r>
        <w:rPr>
          <w:rFonts w:ascii="Book Antiqua" w:eastAsia="Book Antiqua" w:hAnsi="Book Antiqua" w:cs="Book Antiqua"/>
          <w:i/>
          <w:iCs/>
          <w:color w:val="000000" w:themeColor="text1"/>
        </w:rPr>
        <w:t>J Shoulder Elbow Surg</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104-112 [PMID: 32807373 DOI: 10.1016/j.jse.2020.04.050]</w:t>
      </w:r>
    </w:p>
    <w:p w14:paraId="3974DBA6" w14:textId="77777777" w:rsidR="00FE4150" w:rsidRDefault="00FE4150">
      <w:pPr>
        <w:snapToGrid w:val="0"/>
        <w:spacing w:line="360" w:lineRule="auto"/>
        <w:jc w:val="both"/>
        <w:rPr>
          <w:rFonts w:ascii="Book Antiqua" w:hAnsi="Book Antiqua"/>
          <w:color w:val="000000" w:themeColor="text1"/>
        </w:rPr>
        <w:sectPr w:rsidR="00FE4150">
          <w:pgSz w:w="12240" w:h="15840"/>
          <w:pgMar w:top="1440" w:right="1440" w:bottom="1440" w:left="1440" w:header="720" w:footer="720" w:gutter="0"/>
          <w:cols w:space="720"/>
          <w:docGrid w:linePitch="360"/>
        </w:sectPr>
      </w:pPr>
    </w:p>
    <w:p w14:paraId="531B4087"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578750FC" w14:textId="77777777" w:rsidR="00FE4150" w:rsidRDefault="00000000">
      <w:pPr>
        <w:snapToGrid w:val="0"/>
        <w:spacing w:line="360" w:lineRule="auto"/>
        <w:rPr>
          <w:rFonts w:ascii="Book Antiqua" w:eastAsia="宋体" w:hAnsi="Book Antiqua" w:cs="宋体"/>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宋体" w:hAnsi="Book Antiqua" w:cs="宋体"/>
          <w:color w:val="000000" w:themeColor="text1"/>
        </w:rPr>
        <w:t>All the authors report no relevant conflicts of interest for this article.</w:t>
      </w:r>
    </w:p>
    <w:p w14:paraId="7D3ABA7F" w14:textId="77777777" w:rsidR="00FE4150" w:rsidRDefault="00FE4150">
      <w:pPr>
        <w:snapToGrid w:val="0"/>
        <w:spacing w:line="360" w:lineRule="auto"/>
        <w:jc w:val="both"/>
        <w:rPr>
          <w:rFonts w:ascii="Book Antiqua" w:hAnsi="Book Antiqua"/>
          <w:color w:val="000000" w:themeColor="text1"/>
        </w:rPr>
      </w:pPr>
    </w:p>
    <w:p w14:paraId="51118A01"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PRISMA 2009 Checklist statement: </w:t>
      </w:r>
      <w:r>
        <w:rPr>
          <w:rFonts w:ascii="Book Antiqua" w:eastAsia="Book Antiqua" w:hAnsi="Book Antiqua" w:cs="Book Antiqua"/>
          <w:color w:val="000000" w:themeColor="text1"/>
          <w:shd w:val="clear" w:color="auto" w:fill="FFFFFF"/>
        </w:rPr>
        <w:t>The authors have read the PRISMA 2009 Checklist, and the manuscript was prepared and revised according to the PRISMA 2009 Checklist.</w:t>
      </w:r>
    </w:p>
    <w:p w14:paraId="28E8298C" w14:textId="77777777" w:rsidR="00FE4150" w:rsidRDefault="00FE4150">
      <w:pPr>
        <w:snapToGrid w:val="0"/>
        <w:spacing w:line="360" w:lineRule="auto"/>
        <w:jc w:val="both"/>
        <w:rPr>
          <w:rFonts w:ascii="Book Antiqua" w:hAnsi="Book Antiqua"/>
          <w:color w:val="000000" w:themeColor="text1"/>
        </w:rPr>
      </w:pPr>
    </w:p>
    <w:p w14:paraId="6D8EA9E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1854FD" w14:textId="77777777" w:rsidR="00FE4150" w:rsidRDefault="00FE4150">
      <w:pPr>
        <w:snapToGrid w:val="0"/>
        <w:spacing w:line="360" w:lineRule="auto"/>
        <w:jc w:val="both"/>
        <w:rPr>
          <w:rFonts w:ascii="Book Antiqua" w:hAnsi="Book Antiqua"/>
          <w:color w:val="000000" w:themeColor="text1"/>
        </w:rPr>
      </w:pPr>
    </w:p>
    <w:p w14:paraId="61813A8F"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35B0792F" w14:textId="77777777" w:rsidR="00FE4150" w:rsidRDefault="00FE4150">
      <w:pPr>
        <w:snapToGrid w:val="0"/>
        <w:spacing w:line="360" w:lineRule="auto"/>
        <w:jc w:val="both"/>
        <w:rPr>
          <w:rFonts w:ascii="Book Antiqua" w:eastAsia="Book Antiqua" w:hAnsi="Book Antiqua" w:cs="Book Antiqua"/>
          <w:b/>
          <w:color w:val="000000" w:themeColor="text1"/>
        </w:rPr>
      </w:pPr>
    </w:p>
    <w:p w14:paraId="4E25D5DE"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1C8A7EAA" w14:textId="77777777" w:rsidR="00FE4150" w:rsidRDefault="00FE4150">
      <w:pPr>
        <w:snapToGrid w:val="0"/>
        <w:spacing w:line="360" w:lineRule="auto"/>
        <w:jc w:val="both"/>
        <w:rPr>
          <w:rFonts w:ascii="Book Antiqua" w:hAnsi="Book Antiqua"/>
          <w:color w:val="000000" w:themeColor="text1"/>
        </w:rPr>
      </w:pPr>
    </w:p>
    <w:p w14:paraId="082A1182"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January 9, 2023</w:t>
      </w:r>
    </w:p>
    <w:p w14:paraId="50EE6238"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February 20, 2023</w:t>
      </w:r>
    </w:p>
    <w:p w14:paraId="643AEECF"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43E86DB1" w14:textId="77777777" w:rsidR="00FE4150" w:rsidRDefault="00FE4150">
      <w:pPr>
        <w:snapToGrid w:val="0"/>
        <w:spacing w:line="360" w:lineRule="auto"/>
        <w:jc w:val="both"/>
        <w:rPr>
          <w:rFonts w:ascii="Book Antiqua" w:hAnsi="Book Antiqua"/>
          <w:color w:val="000000" w:themeColor="text1"/>
        </w:rPr>
      </w:pPr>
    </w:p>
    <w:p w14:paraId="46C4E7C2"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1" w:name="_Hlk124239205"/>
      <w:r>
        <w:rPr>
          <w:rFonts w:ascii="Book Antiqua" w:eastAsia="微软雅黑" w:hAnsi="Book Antiqua" w:cs="宋体"/>
          <w:color w:val="000000" w:themeColor="text1"/>
        </w:rPr>
        <w:t>Medicine, research and experimental</w:t>
      </w:r>
      <w:bookmarkEnd w:id="1"/>
    </w:p>
    <w:p w14:paraId="0AFBC9C2"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7877C781"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62D8A4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3C1E037B"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0</w:t>
      </w:r>
    </w:p>
    <w:p w14:paraId="66786909"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 C</w:t>
      </w:r>
    </w:p>
    <w:p w14:paraId="346278EE"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D (Fair): 0</w:t>
      </w:r>
    </w:p>
    <w:p w14:paraId="40C60333" w14:textId="77777777" w:rsidR="00FE4150" w:rsidRDefault="00000000">
      <w:pPr>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077592F9" w14:textId="77777777" w:rsidR="00FE4150" w:rsidRDefault="00FE4150">
      <w:pPr>
        <w:snapToGrid w:val="0"/>
        <w:spacing w:line="360" w:lineRule="auto"/>
        <w:jc w:val="both"/>
        <w:rPr>
          <w:rFonts w:ascii="Book Antiqua" w:hAnsi="Book Antiqua"/>
          <w:color w:val="000000" w:themeColor="text1"/>
        </w:rPr>
      </w:pPr>
    </w:p>
    <w:p w14:paraId="44940CF5" w14:textId="05C19053" w:rsidR="00FE4150" w:rsidRDefault="00000000">
      <w:pPr>
        <w:snapToGrid w:val="0"/>
        <w:spacing w:line="360" w:lineRule="auto"/>
        <w:jc w:val="both"/>
        <w:rPr>
          <w:rFonts w:ascii="Book Antiqua" w:hAnsi="Book Antiqua"/>
          <w:color w:val="000000" w:themeColor="text1"/>
        </w:rPr>
        <w:sectPr w:rsidR="00FE4150">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Arslan M, Turkey; Mahmoud MZ, Saudi Arabia</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Li L</w:t>
      </w:r>
      <w:r>
        <w:rPr>
          <w:rFonts w:ascii="Book Antiqua" w:eastAsia="Book Antiqua" w:hAnsi="Book Antiqua" w:cs="Book Antiqua"/>
          <w:b/>
          <w:color w:val="000000" w:themeColor="text1"/>
        </w:rPr>
        <w:t xml:space="preserve"> L-Editor: </w:t>
      </w:r>
      <w:r w:rsidR="00636BA5" w:rsidRPr="00636BA5">
        <w:rPr>
          <w:rFonts w:ascii="Book Antiqua" w:eastAsia="Book Antiqua" w:hAnsi="Book Antiqua" w:cs="Book Antiqua"/>
          <w:bCs/>
          <w:color w:val="000000" w:themeColor="text1"/>
        </w:rPr>
        <w:t xml:space="preserve">A </w:t>
      </w:r>
      <w:r>
        <w:rPr>
          <w:rFonts w:ascii="Book Antiqua" w:eastAsia="Book Antiqua" w:hAnsi="Book Antiqua" w:cs="Book Antiqua"/>
          <w:b/>
          <w:color w:val="000000" w:themeColor="text1"/>
        </w:rPr>
        <w:t xml:space="preserve">P-Editor: </w:t>
      </w:r>
    </w:p>
    <w:p w14:paraId="7EC1FD2C" w14:textId="77777777" w:rsidR="00FE4150" w:rsidRDefault="00000000">
      <w:pPr>
        <w:snapToGrid w:val="0"/>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731A8FF2" w14:textId="77777777" w:rsidR="00FE4150" w:rsidRDefault="00000000">
      <w:pPr>
        <w:snapToGrid w:val="0"/>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1F5BC1BE" wp14:editId="1E245723">
            <wp:extent cx="5943600" cy="5393690"/>
            <wp:effectExtent l="0" t="266700" r="0" b="26416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8"/>
                    <a:stretch>
                      <a:fillRect/>
                    </a:stretch>
                  </pic:blipFill>
                  <pic:spPr>
                    <a:xfrm rot="16200000">
                      <a:off x="0" y="0"/>
                      <a:ext cx="5943600" cy="5393690"/>
                    </a:xfrm>
                    <a:prstGeom prst="rect">
                      <a:avLst/>
                    </a:prstGeom>
                  </pic:spPr>
                </pic:pic>
              </a:graphicData>
            </a:graphic>
          </wp:inline>
        </w:drawing>
      </w:r>
    </w:p>
    <w:p w14:paraId="5D1126A1" w14:textId="77777777" w:rsidR="00FE4150" w:rsidRDefault="00000000">
      <w:pPr>
        <w:snapToGrid w:val="0"/>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732FADA2" wp14:editId="07250A7A">
            <wp:extent cx="5941695" cy="360045"/>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9"/>
                    <a:srcRect t="92283"/>
                    <a:stretch>
                      <a:fillRect/>
                    </a:stretch>
                  </pic:blipFill>
                  <pic:spPr>
                    <a:xfrm>
                      <a:off x="0" y="0"/>
                      <a:ext cx="5943600" cy="360311"/>
                    </a:xfrm>
                    <a:prstGeom prst="rect">
                      <a:avLst/>
                    </a:prstGeom>
                    <a:ln>
                      <a:noFill/>
                    </a:ln>
                  </pic:spPr>
                </pic:pic>
              </a:graphicData>
            </a:graphic>
          </wp:inline>
        </w:drawing>
      </w:r>
    </w:p>
    <w:p w14:paraId="7603E818" w14:textId="77777777" w:rsidR="00FE4150" w:rsidRDefault="00000000">
      <w:pPr>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1 Preferred reporting items for systematic reviews and meta-analyses statement flow diagram.</w:t>
      </w:r>
      <w:r>
        <w:rPr>
          <w:rFonts w:ascii="Book Antiqua" w:eastAsia="Book Antiqua" w:hAnsi="Book Antiqua" w:cs="Book Antiqua"/>
          <w:color w:val="000000" w:themeColor="text1"/>
        </w:rPr>
        <w:t xml:space="preserve"> TSA: Total shoulder arthroplasty; PRISMA: Preferred reporting items for systematic reviews and meta-analyses.</w:t>
      </w:r>
    </w:p>
    <w:p w14:paraId="0EEBD95B" w14:textId="77777777" w:rsidR="00FE4150" w:rsidRDefault="00FE4150">
      <w:pPr>
        <w:snapToGrid w:val="0"/>
        <w:spacing w:line="360" w:lineRule="auto"/>
        <w:jc w:val="both"/>
        <w:rPr>
          <w:rFonts w:ascii="Book Antiqua" w:hAnsi="Book Antiqua"/>
          <w:color w:val="000000" w:themeColor="text1"/>
        </w:rPr>
      </w:pPr>
    </w:p>
    <w:p w14:paraId="08FE3C9F" w14:textId="77777777" w:rsidR="00FE4150" w:rsidRDefault="00000000">
      <w:pPr>
        <w:snapToGrid w:val="0"/>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330FB014" wp14:editId="7BE2CD39">
            <wp:extent cx="5943600" cy="3266440"/>
            <wp:effectExtent l="0" t="0" r="0" b="0"/>
            <wp:docPr id="8" name="图片 8"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表格&#10;&#10;描述已自动生成"/>
                    <pic:cNvPicPr>
                      <a:picLocks noChangeAspect="1"/>
                    </pic:cNvPicPr>
                  </pic:nvPicPr>
                  <pic:blipFill>
                    <a:blip r:embed="rId10"/>
                    <a:stretch>
                      <a:fillRect/>
                    </a:stretch>
                  </pic:blipFill>
                  <pic:spPr>
                    <a:xfrm>
                      <a:off x="0" y="0"/>
                      <a:ext cx="5943600" cy="3266440"/>
                    </a:xfrm>
                    <a:prstGeom prst="rect">
                      <a:avLst/>
                    </a:prstGeom>
                  </pic:spPr>
                </pic:pic>
              </a:graphicData>
            </a:graphic>
          </wp:inline>
        </w:drawing>
      </w:r>
    </w:p>
    <w:p w14:paraId="1C685AF5" w14:textId="77777777" w:rsidR="00FE4150" w:rsidRDefault="00000000">
      <w:pPr>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rPr>
        <w:drawing>
          <wp:inline distT="0" distB="0" distL="0" distR="0" wp14:anchorId="46E7FB5E" wp14:editId="4CA32222">
            <wp:extent cx="5941695" cy="360045"/>
            <wp:effectExtent l="0" t="0" r="0"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pic:cNvPicPr>
                  </pic:nvPicPr>
                  <pic:blipFill>
                    <a:blip r:embed="rId9"/>
                    <a:srcRect t="92283"/>
                    <a:stretch>
                      <a:fillRect/>
                    </a:stretch>
                  </pic:blipFill>
                  <pic:spPr>
                    <a:xfrm>
                      <a:off x="0" y="0"/>
                      <a:ext cx="5943600" cy="360311"/>
                    </a:xfrm>
                    <a:prstGeom prst="rect">
                      <a:avLst/>
                    </a:prstGeom>
                    <a:ln>
                      <a:noFill/>
                    </a:ln>
                  </pic:spPr>
                </pic:pic>
              </a:graphicData>
            </a:graphic>
          </wp:inline>
        </w:drawing>
      </w:r>
      <w:r>
        <w:rPr>
          <w:rFonts w:ascii="Book Antiqua" w:eastAsia="Book Antiqua" w:hAnsi="Book Antiqua" w:cs="Book Antiqua"/>
          <w:b/>
          <w:bCs/>
          <w:color w:val="000000" w:themeColor="text1"/>
        </w:rPr>
        <w:t>Figure 2 Results of the risk-of-bias assessments for the included studies.</w:t>
      </w:r>
    </w:p>
    <w:p w14:paraId="6A762F82" w14:textId="77777777" w:rsidR="005B237B" w:rsidRDefault="005B237B">
      <w:pPr>
        <w:snapToGrid w:val="0"/>
        <w:spacing w:line="360" w:lineRule="auto"/>
        <w:jc w:val="both"/>
        <w:rPr>
          <w:rFonts w:ascii="Book Antiqua" w:eastAsia="Book Antiqua" w:hAnsi="Book Antiqua" w:cs="Book Antiqua"/>
          <w:b/>
          <w:bCs/>
          <w:color w:val="000000" w:themeColor="text1"/>
        </w:rPr>
      </w:pPr>
    </w:p>
    <w:p w14:paraId="53098B81" w14:textId="77777777" w:rsidR="00FE4150" w:rsidRDefault="00000000">
      <w:pPr>
        <w:snapToGrid w:val="0"/>
        <w:spacing w:line="360" w:lineRule="auto"/>
        <w:jc w:val="both"/>
        <w:rPr>
          <w:rFonts w:ascii="Book Antiqua" w:hAnsi="Book Antiqua"/>
          <w:b/>
          <w:bCs/>
          <w:color w:val="000000" w:themeColor="text1"/>
          <w:lang w:eastAsia="zh-CN"/>
        </w:rPr>
      </w:pPr>
      <w:r>
        <w:rPr>
          <w:rFonts w:ascii="Book Antiqua" w:eastAsia="宋体" w:hAnsi="Book Antiqua" w:cs="Book Antiqua" w:hint="eastAsia"/>
          <w:b/>
          <w:bCs/>
          <w:noProof/>
          <w:color w:val="000000" w:themeColor="text1"/>
          <w:lang w:eastAsia="zh-CN"/>
        </w:rPr>
        <w:drawing>
          <wp:inline distT="0" distB="0" distL="114300" distR="114300" wp14:anchorId="29615C27" wp14:editId="171909EE">
            <wp:extent cx="5939790" cy="2695575"/>
            <wp:effectExtent l="0" t="0" r="3810" b="9525"/>
            <wp:docPr id="4" name="图片 4" descr="Figure 3AB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3AB_00"/>
                    <pic:cNvPicPr>
                      <a:picLocks noChangeAspect="1"/>
                    </pic:cNvPicPr>
                  </pic:nvPicPr>
                  <pic:blipFill>
                    <a:blip r:embed="rId11"/>
                    <a:stretch>
                      <a:fillRect/>
                    </a:stretch>
                  </pic:blipFill>
                  <pic:spPr>
                    <a:xfrm>
                      <a:off x="0" y="0"/>
                      <a:ext cx="5939790" cy="2695575"/>
                    </a:xfrm>
                    <a:prstGeom prst="rect">
                      <a:avLst/>
                    </a:prstGeom>
                  </pic:spPr>
                </pic:pic>
              </a:graphicData>
            </a:graphic>
          </wp:inline>
        </w:drawing>
      </w:r>
    </w:p>
    <w:p w14:paraId="3039C8AE" w14:textId="77777777" w:rsidR="00FE4150" w:rsidRDefault="00000000">
      <w:pPr>
        <w:snapToGrid w:val="0"/>
        <w:spacing w:line="360" w:lineRule="auto"/>
        <w:jc w:val="both"/>
        <w:rPr>
          <w:rFonts w:ascii="Book Antiqua" w:eastAsia="Book Antiqua" w:hAnsi="Book Antiqua" w:cs="Book Antiqua"/>
          <w:b/>
          <w:bCs/>
          <w:color w:val="000000" w:themeColor="text1"/>
        </w:rPr>
      </w:pPr>
      <w:r>
        <w:rPr>
          <w:rFonts w:ascii="Book Antiqua" w:hAnsi="Book Antiqua"/>
          <w:noProof/>
          <w:color w:val="000000" w:themeColor="text1"/>
        </w:rPr>
        <w:drawing>
          <wp:inline distT="0" distB="0" distL="0" distR="0" wp14:anchorId="369EA70F" wp14:editId="7F7BBBBE">
            <wp:extent cx="5941695" cy="360045"/>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a:picLocks noChangeAspect="1"/>
                    </pic:cNvPicPr>
                  </pic:nvPicPr>
                  <pic:blipFill>
                    <a:blip r:embed="rId9"/>
                    <a:srcRect t="92283"/>
                    <a:stretch>
                      <a:fillRect/>
                    </a:stretch>
                  </pic:blipFill>
                  <pic:spPr>
                    <a:xfrm>
                      <a:off x="0" y="0"/>
                      <a:ext cx="5943600" cy="360311"/>
                    </a:xfrm>
                    <a:prstGeom prst="rect">
                      <a:avLst/>
                    </a:prstGeom>
                    <a:ln>
                      <a:noFill/>
                    </a:ln>
                  </pic:spPr>
                </pic:pic>
              </a:graphicData>
            </a:graphic>
          </wp:inline>
        </w:drawing>
      </w:r>
    </w:p>
    <w:p w14:paraId="33D47582" w14:textId="7BF29D8A" w:rsidR="00FE4150" w:rsidRDefault="00000000">
      <w:pPr>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3 Forest </w:t>
      </w:r>
      <w:r w:rsidR="00636BA5">
        <w:rPr>
          <w:rFonts w:ascii="Book Antiqua" w:eastAsia="Book Antiqua" w:hAnsi="Book Antiqua" w:cs="Book Antiqua"/>
          <w:b/>
          <w:bCs/>
          <w:color w:val="000000" w:themeColor="text1"/>
        </w:rPr>
        <w:t>p</w:t>
      </w:r>
      <w:r>
        <w:rPr>
          <w:rFonts w:ascii="Book Antiqua" w:eastAsia="Book Antiqua" w:hAnsi="Book Antiqua" w:cs="Book Antiqua"/>
          <w:b/>
          <w:bCs/>
          <w:color w:val="000000" w:themeColor="text1"/>
        </w:rPr>
        <w:t xml:space="preserve">lot. </w:t>
      </w:r>
      <w:r>
        <w:rPr>
          <w:rFonts w:ascii="Book Antiqua" w:eastAsia="Book Antiqua" w:hAnsi="Book Antiqua" w:cs="Book Antiqua"/>
          <w:color w:val="000000" w:themeColor="text1"/>
        </w:rPr>
        <w:t>A: Total blood loss; B: Adverse events. TXA: tranexamic acid; IV: Intravenous.</w:t>
      </w:r>
    </w:p>
    <w:p w14:paraId="78ACBBD6" w14:textId="77777777" w:rsidR="00FE4150" w:rsidRDefault="00000000">
      <w:pPr>
        <w:snapToGrid w:val="0"/>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zh-CN"/>
        </w:rPr>
        <w:lastRenderedPageBreak/>
        <w:drawing>
          <wp:inline distT="0" distB="0" distL="114300" distR="114300" wp14:anchorId="48DE6B4C" wp14:editId="17C72571">
            <wp:extent cx="5939790" cy="4387215"/>
            <wp:effectExtent l="0" t="0" r="3810" b="6985"/>
            <wp:docPr id="9" name="图片 9" descr="Figure 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4_00"/>
                    <pic:cNvPicPr>
                      <a:picLocks noChangeAspect="1"/>
                    </pic:cNvPicPr>
                  </pic:nvPicPr>
                  <pic:blipFill>
                    <a:blip r:embed="rId12"/>
                    <a:stretch>
                      <a:fillRect/>
                    </a:stretch>
                  </pic:blipFill>
                  <pic:spPr>
                    <a:xfrm>
                      <a:off x="0" y="0"/>
                      <a:ext cx="5939790" cy="4387215"/>
                    </a:xfrm>
                    <a:prstGeom prst="rect">
                      <a:avLst/>
                    </a:prstGeom>
                  </pic:spPr>
                </pic:pic>
              </a:graphicData>
            </a:graphic>
          </wp:inline>
        </w:drawing>
      </w:r>
    </w:p>
    <w:p w14:paraId="15AF091D" w14:textId="77777777" w:rsidR="00FE4150" w:rsidRDefault="00000000">
      <w:pPr>
        <w:snapToGrid w:val="0"/>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4DF429EE" wp14:editId="2AF96D0C">
            <wp:extent cx="5940425" cy="366395"/>
            <wp:effectExtent l="0" t="0" r="0" b="0"/>
            <wp:docPr id="5" name="图片 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图示&#10;&#10;描述已自动生成"/>
                    <pic:cNvPicPr>
                      <a:picLocks noChangeAspect="1"/>
                    </pic:cNvPicPr>
                  </pic:nvPicPr>
                  <pic:blipFill>
                    <a:blip r:embed="rId13"/>
                    <a:srcRect t="92294" b="-1"/>
                    <a:stretch>
                      <a:fillRect/>
                    </a:stretch>
                  </pic:blipFill>
                  <pic:spPr>
                    <a:xfrm>
                      <a:off x="0" y="0"/>
                      <a:ext cx="5943600" cy="366811"/>
                    </a:xfrm>
                    <a:prstGeom prst="rect">
                      <a:avLst/>
                    </a:prstGeom>
                    <a:ln>
                      <a:noFill/>
                    </a:ln>
                  </pic:spPr>
                </pic:pic>
              </a:graphicData>
            </a:graphic>
          </wp:inline>
        </w:drawing>
      </w:r>
    </w:p>
    <w:p w14:paraId="76FD677D" w14:textId="349C787C" w:rsidR="00FE4150" w:rsidRDefault="00000000">
      <w:pPr>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4 Forest </w:t>
      </w:r>
      <w:r w:rsidR="00636BA5">
        <w:rPr>
          <w:rFonts w:ascii="Book Antiqua" w:eastAsia="Book Antiqua" w:hAnsi="Book Antiqua" w:cs="Book Antiqua"/>
          <w:b/>
          <w:bCs/>
          <w:color w:val="000000" w:themeColor="text1"/>
        </w:rPr>
        <w:t>p</w:t>
      </w:r>
      <w:r>
        <w:rPr>
          <w:rFonts w:ascii="Book Antiqua" w:eastAsia="Book Antiqua" w:hAnsi="Book Antiqua" w:cs="Book Antiqua"/>
          <w:b/>
          <w:bCs/>
          <w:color w:val="000000" w:themeColor="text1"/>
        </w:rPr>
        <w:t>lot</w:t>
      </w:r>
      <w:r>
        <w:rPr>
          <w:rFonts w:ascii="Book Antiqua" w:eastAsia="Book Antiqua" w:hAnsi="Book Antiqua" w:cs="Book Antiqua"/>
          <w:color w:val="000000" w:themeColor="text1"/>
        </w:rPr>
        <w:t xml:space="preserve">. A: Operative time; B: Total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loss; C: Change in </w:t>
      </w:r>
      <w:proofErr w:type="spellStart"/>
      <w:r>
        <w:rPr>
          <w:rFonts w:ascii="Book Antiqua" w:eastAsia="Book Antiqua" w:hAnsi="Book Antiqua" w:cs="Book Antiqua"/>
          <w:color w:val="000000" w:themeColor="text1"/>
        </w:rPr>
        <w:t>haemoglobin</w:t>
      </w:r>
      <w:proofErr w:type="spellEnd"/>
      <w:r>
        <w:rPr>
          <w:rFonts w:ascii="Book Antiqua" w:eastAsia="Book Antiqua" w:hAnsi="Book Antiqua" w:cs="Book Antiqua"/>
          <w:color w:val="000000" w:themeColor="text1"/>
        </w:rPr>
        <w:t xml:space="preserve"> Level; D: Hospital length of stay; E: 24-h drain output. TXA: Tranexamic acid; IV: Intravenous.</w:t>
      </w:r>
    </w:p>
    <w:p w14:paraId="72780AF6" w14:textId="77777777" w:rsidR="00FE4150" w:rsidRDefault="00FE4150">
      <w:pPr>
        <w:snapToGrid w:val="0"/>
        <w:spacing w:line="360" w:lineRule="auto"/>
        <w:jc w:val="both"/>
        <w:rPr>
          <w:rFonts w:ascii="Book Antiqua" w:eastAsia="Book Antiqua" w:hAnsi="Book Antiqua" w:cs="Book Antiqua"/>
          <w:color w:val="000000" w:themeColor="text1"/>
        </w:rPr>
      </w:pPr>
    </w:p>
    <w:p w14:paraId="02497695" w14:textId="77777777" w:rsidR="00FE4150" w:rsidRDefault="00FE4150">
      <w:pPr>
        <w:snapToGrid w:val="0"/>
        <w:spacing w:line="360" w:lineRule="auto"/>
        <w:jc w:val="both"/>
        <w:rPr>
          <w:rFonts w:ascii="Book Antiqua" w:hAnsi="Book Antiqua"/>
          <w:color w:val="000000" w:themeColor="text1"/>
        </w:rPr>
        <w:sectPr w:rsidR="00FE4150">
          <w:pgSz w:w="12240" w:h="15840"/>
          <w:pgMar w:top="1440" w:right="1440" w:bottom="1440" w:left="1440" w:header="720" w:footer="720" w:gutter="0"/>
          <w:cols w:space="720"/>
          <w:docGrid w:linePitch="360"/>
        </w:sectPr>
      </w:pPr>
    </w:p>
    <w:p w14:paraId="5756E54E" w14:textId="77777777" w:rsidR="00FE4150" w:rsidRDefault="00000000">
      <w:pPr>
        <w:snapToGrid w:val="0"/>
        <w:spacing w:line="360" w:lineRule="auto"/>
        <w:ind w:left="240" w:hanging="240"/>
        <w:jc w:val="both"/>
        <w:rPr>
          <w:rFonts w:ascii="Book Antiqua" w:eastAsia="宋体" w:hAnsi="Book Antiqua"/>
          <w:b/>
          <w:bCs/>
          <w:color w:val="000000" w:themeColor="text1"/>
        </w:rPr>
      </w:pPr>
      <w:r>
        <w:rPr>
          <w:rFonts w:ascii="Book Antiqua" w:eastAsia="宋体" w:hAnsi="Book Antiqua"/>
          <w:b/>
          <w:bCs/>
          <w:color w:val="000000" w:themeColor="text1"/>
        </w:rPr>
        <w:lastRenderedPageBreak/>
        <w:t>Table 1 Basic information of the studies included in the meta-analysis</w:t>
      </w:r>
    </w:p>
    <w:tbl>
      <w:tblPr>
        <w:tblW w:w="15167" w:type="dxa"/>
        <w:tblInd w:w="108" w:type="dxa"/>
        <w:tblBorders>
          <w:top w:val="single" w:sz="4" w:space="0" w:color="auto"/>
          <w:bottom w:val="single" w:sz="4" w:space="0" w:color="auto"/>
        </w:tblBorders>
        <w:tblLook w:val="04A0" w:firstRow="1" w:lastRow="0" w:firstColumn="1" w:lastColumn="0" w:noHBand="0" w:noVBand="1"/>
      </w:tblPr>
      <w:tblGrid>
        <w:gridCol w:w="1819"/>
        <w:gridCol w:w="1497"/>
        <w:gridCol w:w="1003"/>
        <w:gridCol w:w="1043"/>
        <w:gridCol w:w="1070"/>
        <w:gridCol w:w="763"/>
        <w:gridCol w:w="1070"/>
        <w:gridCol w:w="2285"/>
        <w:gridCol w:w="1888"/>
        <w:gridCol w:w="1083"/>
        <w:gridCol w:w="723"/>
        <w:gridCol w:w="923"/>
      </w:tblGrid>
      <w:tr w:rsidR="00FE4150" w14:paraId="7526A6D9" w14:textId="77777777">
        <w:trPr>
          <w:trHeight w:val="665"/>
        </w:trPr>
        <w:tc>
          <w:tcPr>
            <w:tcW w:w="1819" w:type="dxa"/>
            <w:vMerge w:val="restart"/>
            <w:tcBorders>
              <w:top w:val="single" w:sz="4" w:space="0" w:color="auto"/>
            </w:tcBorders>
            <w:shd w:val="clear" w:color="auto" w:fill="auto"/>
            <w:noWrap/>
            <w:vAlign w:val="center"/>
          </w:tcPr>
          <w:p w14:paraId="3BA7BD80"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First author (</w:t>
            </w:r>
            <w:proofErr w:type="spellStart"/>
            <w:r>
              <w:rPr>
                <w:rFonts w:ascii="Book Antiqua" w:eastAsia="等线" w:hAnsi="Book Antiqua" w:cs="宋体"/>
                <w:b/>
                <w:bCs/>
                <w:color w:val="000000" w:themeColor="text1"/>
                <w:lang w:eastAsia="zh-CN"/>
              </w:rPr>
              <w:t>yr</w:t>
            </w:r>
            <w:proofErr w:type="spellEnd"/>
            <w:r>
              <w:rPr>
                <w:rFonts w:ascii="Book Antiqua" w:eastAsia="等线" w:hAnsi="Book Antiqua" w:cs="宋体"/>
                <w:b/>
                <w:bCs/>
                <w:color w:val="000000" w:themeColor="text1"/>
                <w:lang w:eastAsia="zh-CN"/>
              </w:rPr>
              <w:t>)</w:t>
            </w:r>
          </w:p>
        </w:tc>
        <w:tc>
          <w:tcPr>
            <w:tcW w:w="1497" w:type="dxa"/>
            <w:vMerge w:val="restart"/>
            <w:tcBorders>
              <w:top w:val="single" w:sz="4" w:space="0" w:color="auto"/>
            </w:tcBorders>
            <w:shd w:val="clear" w:color="auto" w:fill="auto"/>
            <w:noWrap/>
            <w:vAlign w:val="center"/>
          </w:tcPr>
          <w:p w14:paraId="2D1DB204"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Country</w:t>
            </w:r>
          </w:p>
        </w:tc>
        <w:tc>
          <w:tcPr>
            <w:tcW w:w="1003" w:type="dxa"/>
            <w:vMerge w:val="restart"/>
            <w:tcBorders>
              <w:top w:val="single" w:sz="4" w:space="0" w:color="auto"/>
            </w:tcBorders>
            <w:shd w:val="clear" w:color="auto" w:fill="auto"/>
            <w:noWrap/>
            <w:vAlign w:val="center"/>
          </w:tcPr>
          <w:p w14:paraId="6743071C"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Study design (LOE)</w:t>
            </w:r>
          </w:p>
        </w:tc>
        <w:tc>
          <w:tcPr>
            <w:tcW w:w="2113" w:type="dxa"/>
            <w:gridSpan w:val="2"/>
            <w:tcBorders>
              <w:top w:val="single" w:sz="4" w:space="0" w:color="auto"/>
              <w:bottom w:val="single" w:sz="4" w:space="0" w:color="auto"/>
            </w:tcBorders>
            <w:shd w:val="clear" w:color="auto" w:fill="auto"/>
            <w:noWrap/>
            <w:vAlign w:val="center"/>
          </w:tcPr>
          <w:p w14:paraId="1174BE34"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Sample</w:t>
            </w:r>
          </w:p>
        </w:tc>
        <w:tc>
          <w:tcPr>
            <w:tcW w:w="1833" w:type="dxa"/>
            <w:gridSpan w:val="2"/>
            <w:tcBorders>
              <w:top w:val="single" w:sz="4" w:space="0" w:color="auto"/>
              <w:bottom w:val="single" w:sz="4" w:space="0" w:color="auto"/>
            </w:tcBorders>
            <w:shd w:val="clear" w:color="auto" w:fill="auto"/>
            <w:noWrap/>
            <w:vAlign w:val="center"/>
          </w:tcPr>
          <w:p w14:paraId="46B17C20"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 xml:space="preserve">Average age, </w:t>
            </w:r>
            <w:proofErr w:type="spellStart"/>
            <w:r>
              <w:rPr>
                <w:rFonts w:ascii="Book Antiqua" w:eastAsia="等线" w:hAnsi="Book Antiqua" w:cs="宋体"/>
                <w:b/>
                <w:bCs/>
                <w:color w:val="000000" w:themeColor="text1"/>
                <w:lang w:eastAsia="zh-CN"/>
              </w:rPr>
              <w:t>yr</w:t>
            </w:r>
            <w:proofErr w:type="spellEnd"/>
          </w:p>
        </w:tc>
        <w:tc>
          <w:tcPr>
            <w:tcW w:w="4173" w:type="dxa"/>
            <w:gridSpan w:val="2"/>
            <w:tcBorders>
              <w:top w:val="single" w:sz="4" w:space="0" w:color="auto"/>
              <w:bottom w:val="single" w:sz="4" w:space="0" w:color="auto"/>
            </w:tcBorders>
            <w:shd w:val="clear" w:color="auto" w:fill="auto"/>
            <w:noWrap/>
            <w:vAlign w:val="center"/>
          </w:tcPr>
          <w:p w14:paraId="21F3AA0C"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Intervention</w:t>
            </w:r>
          </w:p>
        </w:tc>
        <w:tc>
          <w:tcPr>
            <w:tcW w:w="1083" w:type="dxa"/>
            <w:vMerge w:val="restart"/>
            <w:tcBorders>
              <w:top w:val="single" w:sz="4" w:space="0" w:color="auto"/>
            </w:tcBorders>
            <w:shd w:val="clear" w:color="auto" w:fill="auto"/>
            <w:noWrap/>
            <w:vAlign w:val="center"/>
          </w:tcPr>
          <w:p w14:paraId="1BCF60B5"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Surgery</w:t>
            </w:r>
          </w:p>
        </w:tc>
        <w:tc>
          <w:tcPr>
            <w:tcW w:w="1646" w:type="dxa"/>
            <w:gridSpan w:val="2"/>
            <w:tcBorders>
              <w:top w:val="single" w:sz="4" w:space="0" w:color="auto"/>
              <w:bottom w:val="single" w:sz="4" w:space="0" w:color="auto"/>
            </w:tcBorders>
            <w:shd w:val="clear" w:color="auto" w:fill="auto"/>
            <w:noWrap/>
            <w:vAlign w:val="center"/>
          </w:tcPr>
          <w:p w14:paraId="7DBDCB21"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Transfusion</w:t>
            </w:r>
          </w:p>
        </w:tc>
      </w:tr>
      <w:tr w:rsidR="00FE4150" w14:paraId="5D827085" w14:textId="77777777">
        <w:trPr>
          <w:trHeight w:val="308"/>
        </w:trPr>
        <w:tc>
          <w:tcPr>
            <w:tcW w:w="1819" w:type="dxa"/>
            <w:vMerge/>
            <w:tcBorders>
              <w:bottom w:val="single" w:sz="4" w:space="0" w:color="auto"/>
            </w:tcBorders>
            <w:shd w:val="clear" w:color="auto" w:fill="auto"/>
            <w:noWrap/>
            <w:vAlign w:val="center"/>
          </w:tcPr>
          <w:p w14:paraId="66DBC864" w14:textId="77777777" w:rsidR="00FE4150" w:rsidRDefault="00FE4150">
            <w:pPr>
              <w:snapToGrid w:val="0"/>
              <w:spacing w:line="360" w:lineRule="auto"/>
              <w:jc w:val="both"/>
              <w:rPr>
                <w:rFonts w:ascii="Book Antiqua" w:eastAsia="等线" w:hAnsi="Book Antiqua" w:cs="宋体"/>
                <w:b/>
                <w:bCs/>
                <w:color w:val="000000" w:themeColor="text1"/>
                <w:lang w:eastAsia="zh-CN"/>
              </w:rPr>
            </w:pPr>
          </w:p>
        </w:tc>
        <w:tc>
          <w:tcPr>
            <w:tcW w:w="1497" w:type="dxa"/>
            <w:vMerge/>
            <w:tcBorders>
              <w:bottom w:val="single" w:sz="4" w:space="0" w:color="auto"/>
            </w:tcBorders>
            <w:shd w:val="clear" w:color="auto" w:fill="auto"/>
            <w:noWrap/>
            <w:vAlign w:val="center"/>
          </w:tcPr>
          <w:p w14:paraId="18A3A462" w14:textId="77777777" w:rsidR="00FE4150" w:rsidRDefault="00FE4150">
            <w:pPr>
              <w:snapToGrid w:val="0"/>
              <w:spacing w:line="360" w:lineRule="auto"/>
              <w:jc w:val="both"/>
              <w:rPr>
                <w:rFonts w:ascii="Book Antiqua" w:eastAsia="Times New Roman" w:hAnsi="Book Antiqua"/>
                <w:b/>
                <w:bCs/>
                <w:color w:val="000000" w:themeColor="text1"/>
                <w:lang w:eastAsia="zh-CN"/>
              </w:rPr>
            </w:pPr>
          </w:p>
        </w:tc>
        <w:tc>
          <w:tcPr>
            <w:tcW w:w="1003" w:type="dxa"/>
            <w:vMerge/>
            <w:tcBorders>
              <w:bottom w:val="single" w:sz="4" w:space="0" w:color="auto"/>
            </w:tcBorders>
            <w:shd w:val="clear" w:color="auto" w:fill="auto"/>
            <w:noWrap/>
            <w:vAlign w:val="center"/>
          </w:tcPr>
          <w:p w14:paraId="58E60756" w14:textId="77777777" w:rsidR="00FE4150" w:rsidRDefault="00FE4150">
            <w:pPr>
              <w:snapToGrid w:val="0"/>
              <w:spacing w:line="360" w:lineRule="auto"/>
              <w:jc w:val="both"/>
              <w:rPr>
                <w:rFonts w:ascii="Book Antiqua" w:eastAsia="Times New Roman" w:hAnsi="Book Antiqua"/>
                <w:b/>
                <w:bCs/>
                <w:color w:val="000000" w:themeColor="text1"/>
                <w:lang w:eastAsia="zh-CN"/>
              </w:rPr>
            </w:pPr>
          </w:p>
        </w:tc>
        <w:tc>
          <w:tcPr>
            <w:tcW w:w="1043" w:type="dxa"/>
            <w:tcBorders>
              <w:top w:val="single" w:sz="4" w:space="0" w:color="auto"/>
              <w:bottom w:val="single" w:sz="4" w:space="0" w:color="auto"/>
            </w:tcBorders>
            <w:shd w:val="clear" w:color="auto" w:fill="auto"/>
            <w:noWrap/>
            <w:vAlign w:val="center"/>
          </w:tcPr>
          <w:p w14:paraId="0BB44FE1"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TXA</w:t>
            </w:r>
          </w:p>
        </w:tc>
        <w:tc>
          <w:tcPr>
            <w:tcW w:w="1070" w:type="dxa"/>
            <w:tcBorders>
              <w:top w:val="single" w:sz="4" w:space="0" w:color="auto"/>
              <w:bottom w:val="single" w:sz="4" w:space="0" w:color="auto"/>
            </w:tcBorders>
            <w:shd w:val="clear" w:color="auto" w:fill="auto"/>
            <w:noWrap/>
            <w:vAlign w:val="center"/>
          </w:tcPr>
          <w:p w14:paraId="1F6911DA"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Placebo</w:t>
            </w:r>
          </w:p>
        </w:tc>
        <w:tc>
          <w:tcPr>
            <w:tcW w:w="763" w:type="dxa"/>
            <w:tcBorders>
              <w:top w:val="single" w:sz="4" w:space="0" w:color="auto"/>
              <w:bottom w:val="single" w:sz="4" w:space="0" w:color="auto"/>
            </w:tcBorders>
            <w:shd w:val="clear" w:color="auto" w:fill="auto"/>
            <w:noWrap/>
            <w:vAlign w:val="center"/>
          </w:tcPr>
          <w:p w14:paraId="1CDEAAFE"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TXA</w:t>
            </w:r>
          </w:p>
        </w:tc>
        <w:tc>
          <w:tcPr>
            <w:tcW w:w="1070" w:type="dxa"/>
            <w:tcBorders>
              <w:top w:val="single" w:sz="4" w:space="0" w:color="auto"/>
              <w:bottom w:val="single" w:sz="4" w:space="0" w:color="auto"/>
            </w:tcBorders>
            <w:shd w:val="clear" w:color="auto" w:fill="auto"/>
            <w:noWrap/>
            <w:vAlign w:val="center"/>
          </w:tcPr>
          <w:p w14:paraId="2552A11A"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Placebo</w:t>
            </w:r>
          </w:p>
        </w:tc>
        <w:tc>
          <w:tcPr>
            <w:tcW w:w="2285" w:type="dxa"/>
            <w:tcBorders>
              <w:top w:val="single" w:sz="4" w:space="0" w:color="auto"/>
              <w:bottom w:val="single" w:sz="4" w:space="0" w:color="auto"/>
            </w:tcBorders>
            <w:shd w:val="clear" w:color="auto" w:fill="auto"/>
            <w:noWrap/>
            <w:vAlign w:val="center"/>
          </w:tcPr>
          <w:p w14:paraId="6DFB1937"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TXA</w:t>
            </w:r>
          </w:p>
        </w:tc>
        <w:tc>
          <w:tcPr>
            <w:tcW w:w="1888" w:type="dxa"/>
            <w:tcBorders>
              <w:top w:val="single" w:sz="4" w:space="0" w:color="auto"/>
              <w:bottom w:val="single" w:sz="4" w:space="0" w:color="auto"/>
            </w:tcBorders>
            <w:shd w:val="clear" w:color="auto" w:fill="auto"/>
            <w:noWrap/>
            <w:vAlign w:val="center"/>
          </w:tcPr>
          <w:p w14:paraId="55034AB7"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Placebo</w:t>
            </w:r>
          </w:p>
        </w:tc>
        <w:tc>
          <w:tcPr>
            <w:tcW w:w="1083" w:type="dxa"/>
            <w:vMerge/>
            <w:tcBorders>
              <w:bottom w:val="single" w:sz="4" w:space="0" w:color="auto"/>
            </w:tcBorders>
            <w:shd w:val="clear" w:color="auto" w:fill="auto"/>
            <w:noWrap/>
            <w:vAlign w:val="center"/>
          </w:tcPr>
          <w:p w14:paraId="7A563282" w14:textId="77777777" w:rsidR="00FE4150" w:rsidRDefault="00FE4150">
            <w:pPr>
              <w:snapToGrid w:val="0"/>
              <w:spacing w:line="360" w:lineRule="auto"/>
              <w:jc w:val="both"/>
              <w:rPr>
                <w:rFonts w:ascii="Book Antiqua" w:eastAsia="等线" w:hAnsi="Book Antiqua" w:cs="宋体"/>
                <w:b/>
                <w:bCs/>
                <w:color w:val="000000" w:themeColor="text1"/>
                <w:lang w:eastAsia="zh-CN"/>
              </w:rPr>
            </w:pPr>
          </w:p>
        </w:tc>
        <w:tc>
          <w:tcPr>
            <w:tcW w:w="723" w:type="dxa"/>
            <w:tcBorders>
              <w:top w:val="single" w:sz="4" w:space="0" w:color="auto"/>
              <w:bottom w:val="single" w:sz="4" w:space="0" w:color="auto"/>
            </w:tcBorders>
            <w:shd w:val="clear" w:color="auto" w:fill="auto"/>
            <w:noWrap/>
            <w:vAlign w:val="center"/>
          </w:tcPr>
          <w:p w14:paraId="57DC91DF" w14:textId="77777777" w:rsidR="00FE4150" w:rsidRDefault="00000000">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TXA</w:t>
            </w:r>
          </w:p>
        </w:tc>
        <w:tc>
          <w:tcPr>
            <w:tcW w:w="923" w:type="dxa"/>
            <w:tcBorders>
              <w:top w:val="single" w:sz="4" w:space="0" w:color="auto"/>
              <w:bottom w:val="single" w:sz="4" w:space="0" w:color="auto"/>
            </w:tcBorders>
            <w:shd w:val="clear" w:color="auto" w:fill="auto"/>
            <w:noWrap/>
            <w:vAlign w:val="center"/>
          </w:tcPr>
          <w:p w14:paraId="43D50089" w14:textId="77777777" w:rsidR="00FE4150" w:rsidRDefault="00000000">
            <w:pPr>
              <w:snapToGrid w:val="0"/>
              <w:spacing w:line="360" w:lineRule="auto"/>
              <w:jc w:val="both"/>
              <w:rPr>
                <w:rFonts w:ascii="Book Antiqua" w:eastAsia="等线" w:hAnsi="Book Antiqua" w:cs="宋体"/>
                <w:b/>
                <w:bCs/>
                <w:color w:val="000000" w:themeColor="text1"/>
                <w:lang w:eastAsia="zh-CN"/>
              </w:rPr>
            </w:pPr>
            <w:proofErr w:type="spellStart"/>
            <w:r>
              <w:rPr>
                <w:rFonts w:ascii="Book Antiqua" w:eastAsia="等线" w:hAnsi="Book Antiqua" w:cs="宋体"/>
                <w:b/>
                <w:bCs/>
                <w:color w:val="000000" w:themeColor="text1"/>
                <w:lang w:eastAsia="zh-CN"/>
              </w:rPr>
              <w:t>Placeo</w:t>
            </w:r>
            <w:proofErr w:type="spellEnd"/>
          </w:p>
        </w:tc>
      </w:tr>
      <w:tr w:rsidR="00FE4150" w14:paraId="09C8BF7E" w14:textId="77777777">
        <w:trPr>
          <w:trHeight w:val="308"/>
        </w:trPr>
        <w:tc>
          <w:tcPr>
            <w:tcW w:w="1819" w:type="dxa"/>
            <w:tcBorders>
              <w:top w:val="single" w:sz="4" w:space="0" w:color="auto"/>
            </w:tcBorders>
            <w:shd w:val="clear" w:color="auto" w:fill="auto"/>
            <w:noWrap/>
            <w:vAlign w:val="center"/>
          </w:tcPr>
          <w:p w14:paraId="7023759B"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 xml:space="preserve">Cunningham </w:t>
            </w:r>
            <w:r>
              <w:rPr>
                <w:rFonts w:ascii="Book Antiqua" w:eastAsia="等线" w:hAnsi="Book Antiqua" w:cs="宋体"/>
                <w:i/>
                <w:iCs/>
                <w:color w:val="000000" w:themeColor="text1"/>
                <w:lang w:eastAsia="zh-CN"/>
              </w:rPr>
              <w:t xml:space="preserve">et </w:t>
            </w:r>
            <w:proofErr w:type="gramStart"/>
            <w:r>
              <w:rPr>
                <w:rFonts w:ascii="Book Antiqua" w:eastAsia="等线" w:hAnsi="Book Antiqua" w:cs="宋体"/>
                <w:i/>
                <w:iCs/>
                <w:color w:val="000000" w:themeColor="text1"/>
                <w:lang w:eastAsia="zh-CN"/>
              </w:rPr>
              <w:t>al</w:t>
            </w:r>
            <w:r>
              <w:rPr>
                <w:rFonts w:ascii="Book Antiqua" w:eastAsia="等线" w:hAnsi="Book Antiqua" w:cs="宋体"/>
                <w:color w:val="000000" w:themeColor="text1"/>
                <w:vertAlign w:val="superscript"/>
                <w:lang w:eastAsia="zh-CN"/>
              </w:rPr>
              <w:t>[</w:t>
            </w:r>
            <w:proofErr w:type="gramEnd"/>
            <w:r>
              <w:rPr>
                <w:rFonts w:ascii="Book Antiqua" w:eastAsia="等线" w:hAnsi="Book Antiqua" w:cs="宋体"/>
                <w:color w:val="000000" w:themeColor="text1"/>
                <w:vertAlign w:val="superscript"/>
                <w:lang w:eastAsia="zh-CN"/>
              </w:rPr>
              <w:t>22]</w:t>
            </w:r>
            <w:r>
              <w:rPr>
                <w:rFonts w:ascii="Book Antiqua" w:eastAsia="等线" w:hAnsi="Book Antiqua" w:cs="宋体"/>
                <w:color w:val="000000" w:themeColor="text1"/>
                <w:lang w:eastAsia="zh-CN"/>
              </w:rPr>
              <w:t>, 2021</w:t>
            </w:r>
          </w:p>
        </w:tc>
        <w:tc>
          <w:tcPr>
            <w:tcW w:w="1497" w:type="dxa"/>
            <w:tcBorders>
              <w:top w:val="single" w:sz="4" w:space="0" w:color="auto"/>
            </w:tcBorders>
            <w:shd w:val="clear" w:color="auto" w:fill="auto"/>
            <w:noWrap/>
            <w:vAlign w:val="center"/>
          </w:tcPr>
          <w:p w14:paraId="1B63AC9A"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Switzerland</w:t>
            </w:r>
          </w:p>
        </w:tc>
        <w:tc>
          <w:tcPr>
            <w:tcW w:w="1003" w:type="dxa"/>
            <w:tcBorders>
              <w:top w:val="single" w:sz="4" w:space="0" w:color="auto"/>
            </w:tcBorders>
            <w:shd w:val="clear" w:color="auto" w:fill="auto"/>
            <w:noWrap/>
            <w:vAlign w:val="center"/>
          </w:tcPr>
          <w:p w14:paraId="59E15BFF"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RCT (Level I)</w:t>
            </w:r>
          </w:p>
        </w:tc>
        <w:tc>
          <w:tcPr>
            <w:tcW w:w="1043" w:type="dxa"/>
            <w:tcBorders>
              <w:top w:val="single" w:sz="4" w:space="0" w:color="auto"/>
            </w:tcBorders>
            <w:shd w:val="clear" w:color="auto" w:fill="auto"/>
            <w:noWrap/>
            <w:vAlign w:val="center"/>
          </w:tcPr>
          <w:p w14:paraId="35932D7D"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31</w:t>
            </w:r>
          </w:p>
        </w:tc>
        <w:tc>
          <w:tcPr>
            <w:tcW w:w="1070" w:type="dxa"/>
            <w:tcBorders>
              <w:top w:val="single" w:sz="4" w:space="0" w:color="auto"/>
            </w:tcBorders>
            <w:shd w:val="clear" w:color="auto" w:fill="auto"/>
            <w:noWrap/>
            <w:vAlign w:val="center"/>
          </w:tcPr>
          <w:p w14:paraId="6A44E4CE"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29</w:t>
            </w:r>
          </w:p>
        </w:tc>
        <w:tc>
          <w:tcPr>
            <w:tcW w:w="763" w:type="dxa"/>
            <w:tcBorders>
              <w:top w:val="single" w:sz="4" w:space="0" w:color="auto"/>
            </w:tcBorders>
            <w:shd w:val="clear" w:color="auto" w:fill="auto"/>
            <w:noWrap/>
            <w:vAlign w:val="center"/>
          </w:tcPr>
          <w:p w14:paraId="700AAF37"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72 ± 8</w:t>
            </w:r>
          </w:p>
        </w:tc>
        <w:tc>
          <w:tcPr>
            <w:tcW w:w="1070" w:type="dxa"/>
            <w:tcBorders>
              <w:top w:val="single" w:sz="4" w:space="0" w:color="auto"/>
            </w:tcBorders>
            <w:shd w:val="clear" w:color="auto" w:fill="auto"/>
            <w:noWrap/>
            <w:vAlign w:val="center"/>
          </w:tcPr>
          <w:p w14:paraId="64F0BEE6"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73 ± 9</w:t>
            </w:r>
          </w:p>
        </w:tc>
        <w:tc>
          <w:tcPr>
            <w:tcW w:w="2285" w:type="dxa"/>
            <w:tcBorders>
              <w:top w:val="single" w:sz="4" w:space="0" w:color="auto"/>
            </w:tcBorders>
            <w:shd w:val="clear" w:color="auto" w:fill="auto"/>
            <w:noWrap/>
            <w:vAlign w:val="center"/>
          </w:tcPr>
          <w:p w14:paraId="02D86961"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TXA, 2 g, IV</w:t>
            </w:r>
          </w:p>
        </w:tc>
        <w:tc>
          <w:tcPr>
            <w:tcW w:w="1888" w:type="dxa"/>
            <w:tcBorders>
              <w:top w:val="single" w:sz="4" w:space="0" w:color="auto"/>
            </w:tcBorders>
            <w:shd w:val="clear" w:color="auto" w:fill="auto"/>
            <w:noWrap/>
            <w:vAlign w:val="center"/>
          </w:tcPr>
          <w:p w14:paraId="434F7053"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An equivalent volume of NS, IV</w:t>
            </w:r>
          </w:p>
        </w:tc>
        <w:tc>
          <w:tcPr>
            <w:tcW w:w="1083" w:type="dxa"/>
            <w:tcBorders>
              <w:top w:val="single" w:sz="4" w:space="0" w:color="auto"/>
            </w:tcBorders>
            <w:shd w:val="clear" w:color="auto" w:fill="auto"/>
            <w:noWrap/>
            <w:vAlign w:val="center"/>
          </w:tcPr>
          <w:p w14:paraId="599501EF"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TSA or RTSA</w:t>
            </w:r>
          </w:p>
        </w:tc>
        <w:tc>
          <w:tcPr>
            <w:tcW w:w="723" w:type="dxa"/>
            <w:tcBorders>
              <w:top w:val="single" w:sz="4" w:space="0" w:color="auto"/>
            </w:tcBorders>
            <w:shd w:val="clear" w:color="auto" w:fill="auto"/>
            <w:noWrap/>
            <w:vAlign w:val="center"/>
          </w:tcPr>
          <w:p w14:paraId="4478203D"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c>
          <w:tcPr>
            <w:tcW w:w="923" w:type="dxa"/>
            <w:tcBorders>
              <w:top w:val="single" w:sz="4" w:space="0" w:color="auto"/>
            </w:tcBorders>
            <w:shd w:val="clear" w:color="auto" w:fill="auto"/>
            <w:noWrap/>
            <w:vAlign w:val="center"/>
          </w:tcPr>
          <w:p w14:paraId="4F79AC03"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FE4150" w14:paraId="216E7CC7" w14:textId="77777777">
        <w:trPr>
          <w:trHeight w:val="308"/>
        </w:trPr>
        <w:tc>
          <w:tcPr>
            <w:tcW w:w="1819" w:type="dxa"/>
            <w:shd w:val="clear" w:color="auto" w:fill="auto"/>
            <w:noWrap/>
            <w:vAlign w:val="center"/>
          </w:tcPr>
          <w:p w14:paraId="7566F46D" w14:textId="77777777" w:rsidR="00FE4150" w:rsidRDefault="00000000">
            <w:pPr>
              <w:snapToGrid w:val="0"/>
              <w:spacing w:line="360" w:lineRule="auto"/>
              <w:jc w:val="both"/>
              <w:rPr>
                <w:rFonts w:ascii="Book Antiqua" w:eastAsia="等线" w:hAnsi="Book Antiqua" w:cs="宋体"/>
                <w:color w:val="000000" w:themeColor="text1"/>
                <w:lang w:eastAsia="zh-CN"/>
              </w:rPr>
            </w:pPr>
            <w:proofErr w:type="spellStart"/>
            <w:r>
              <w:rPr>
                <w:rFonts w:ascii="Book Antiqua" w:eastAsia="等线" w:hAnsi="Book Antiqua" w:cs="宋体"/>
                <w:color w:val="000000" w:themeColor="text1"/>
                <w:lang w:eastAsia="zh-CN"/>
              </w:rPr>
              <w:t>Cvetanovich</w:t>
            </w:r>
            <w:proofErr w:type="spellEnd"/>
            <w:r>
              <w:rPr>
                <w:rFonts w:ascii="Book Antiqua" w:eastAsia="等线" w:hAnsi="Book Antiqua" w:cs="宋体"/>
                <w:color w:val="000000" w:themeColor="text1"/>
                <w:lang w:eastAsia="zh-CN"/>
              </w:rPr>
              <w:t xml:space="preserve"> </w:t>
            </w:r>
            <w:r>
              <w:rPr>
                <w:rFonts w:ascii="Book Antiqua" w:eastAsia="等线" w:hAnsi="Book Antiqua" w:cs="宋体"/>
                <w:i/>
                <w:iCs/>
                <w:color w:val="000000" w:themeColor="text1"/>
                <w:lang w:eastAsia="zh-CN"/>
              </w:rPr>
              <w:t xml:space="preserve">et </w:t>
            </w:r>
            <w:proofErr w:type="gramStart"/>
            <w:r>
              <w:rPr>
                <w:rFonts w:ascii="Book Antiqua" w:eastAsia="等线" w:hAnsi="Book Antiqua" w:cs="宋体"/>
                <w:i/>
                <w:iCs/>
                <w:color w:val="000000" w:themeColor="text1"/>
                <w:lang w:eastAsia="zh-CN"/>
              </w:rPr>
              <w:t>al</w:t>
            </w:r>
            <w:r>
              <w:rPr>
                <w:rFonts w:ascii="Book Antiqua" w:eastAsia="等线" w:hAnsi="Book Antiqua" w:cs="宋体"/>
                <w:color w:val="000000" w:themeColor="text1"/>
                <w:vertAlign w:val="superscript"/>
                <w:lang w:eastAsia="zh-CN"/>
              </w:rPr>
              <w:t>[</w:t>
            </w:r>
            <w:proofErr w:type="gramEnd"/>
            <w:r>
              <w:rPr>
                <w:rFonts w:ascii="Book Antiqua" w:eastAsia="等线" w:hAnsi="Book Antiqua" w:cs="宋体"/>
                <w:color w:val="000000" w:themeColor="text1"/>
                <w:vertAlign w:val="superscript"/>
                <w:lang w:eastAsia="zh-CN"/>
              </w:rPr>
              <w:t>23]</w:t>
            </w:r>
            <w:r>
              <w:rPr>
                <w:rFonts w:ascii="Book Antiqua" w:eastAsia="等线" w:hAnsi="Book Antiqua" w:cs="宋体"/>
                <w:color w:val="000000" w:themeColor="text1"/>
                <w:lang w:eastAsia="zh-CN"/>
              </w:rPr>
              <w:t>, 2018</w:t>
            </w:r>
          </w:p>
        </w:tc>
        <w:tc>
          <w:tcPr>
            <w:tcW w:w="1497" w:type="dxa"/>
            <w:shd w:val="clear" w:color="auto" w:fill="auto"/>
            <w:noWrap/>
            <w:vAlign w:val="center"/>
          </w:tcPr>
          <w:p w14:paraId="09BBE785"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United States</w:t>
            </w:r>
          </w:p>
        </w:tc>
        <w:tc>
          <w:tcPr>
            <w:tcW w:w="1003" w:type="dxa"/>
            <w:shd w:val="clear" w:color="auto" w:fill="auto"/>
            <w:noWrap/>
            <w:vAlign w:val="center"/>
          </w:tcPr>
          <w:p w14:paraId="08AD9EC7"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RCT (Level I)</w:t>
            </w:r>
          </w:p>
        </w:tc>
        <w:tc>
          <w:tcPr>
            <w:tcW w:w="1043" w:type="dxa"/>
            <w:shd w:val="clear" w:color="auto" w:fill="auto"/>
            <w:noWrap/>
            <w:vAlign w:val="center"/>
          </w:tcPr>
          <w:p w14:paraId="07B0FA62"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52</w:t>
            </w:r>
          </w:p>
        </w:tc>
        <w:tc>
          <w:tcPr>
            <w:tcW w:w="1070" w:type="dxa"/>
            <w:shd w:val="clear" w:color="auto" w:fill="auto"/>
            <w:noWrap/>
            <w:vAlign w:val="center"/>
          </w:tcPr>
          <w:p w14:paraId="2B823D05"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56</w:t>
            </w:r>
          </w:p>
        </w:tc>
        <w:tc>
          <w:tcPr>
            <w:tcW w:w="763" w:type="dxa"/>
            <w:shd w:val="clear" w:color="auto" w:fill="auto"/>
            <w:noWrap/>
            <w:vAlign w:val="center"/>
          </w:tcPr>
          <w:p w14:paraId="3E6BC43B"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67.7 ± 10.9</w:t>
            </w:r>
          </w:p>
        </w:tc>
        <w:tc>
          <w:tcPr>
            <w:tcW w:w="1070" w:type="dxa"/>
            <w:shd w:val="clear" w:color="auto" w:fill="auto"/>
            <w:noWrap/>
            <w:vAlign w:val="center"/>
          </w:tcPr>
          <w:p w14:paraId="4753D5FD"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65.2 ± 9.2</w:t>
            </w:r>
          </w:p>
        </w:tc>
        <w:tc>
          <w:tcPr>
            <w:tcW w:w="2285" w:type="dxa"/>
            <w:shd w:val="clear" w:color="auto" w:fill="auto"/>
            <w:noWrap/>
            <w:vAlign w:val="center"/>
          </w:tcPr>
          <w:p w14:paraId="76451A7B"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TXA, 1 g, IV</w:t>
            </w:r>
          </w:p>
        </w:tc>
        <w:tc>
          <w:tcPr>
            <w:tcW w:w="1888" w:type="dxa"/>
            <w:shd w:val="clear" w:color="auto" w:fill="auto"/>
            <w:noWrap/>
            <w:vAlign w:val="center"/>
          </w:tcPr>
          <w:p w14:paraId="5415DD23"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An equivalent volume of NS, IV</w:t>
            </w:r>
          </w:p>
        </w:tc>
        <w:tc>
          <w:tcPr>
            <w:tcW w:w="1083" w:type="dxa"/>
            <w:shd w:val="clear" w:color="auto" w:fill="auto"/>
            <w:noWrap/>
            <w:vAlign w:val="center"/>
          </w:tcPr>
          <w:p w14:paraId="65D17CAD"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TSA</w:t>
            </w:r>
          </w:p>
        </w:tc>
        <w:tc>
          <w:tcPr>
            <w:tcW w:w="723" w:type="dxa"/>
            <w:shd w:val="clear" w:color="auto" w:fill="auto"/>
            <w:noWrap/>
            <w:vAlign w:val="center"/>
          </w:tcPr>
          <w:p w14:paraId="30A8E771"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c>
          <w:tcPr>
            <w:tcW w:w="923" w:type="dxa"/>
            <w:shd w:val="clear" w:color="auto" w:fill="auto"/>
            <w:noWrap/>
            <w:vAlign w:val="center"/>
          </w:tcPr>
          <w:p w14:paraId="5AC3B7C9"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FE4150" w14:paraId="7D692B9C" w14:textId="77777777">
        <w:trPr>
          <w:trHeight w:val="308"/>
        </w:trPr>
        <w:tc>
          <w:tcPr>
            <w:tcW w:w="1819" w:type="dxa"/>
            <w:shd w:val="clear" w:color="auto" w:fill="auto"/>
            <w:noWrap/>
            <w:vAlign w:val="center"/>
          </w:tcPr>
          <w:p w14:paraId="26B5A135" w14:textId="77777777" w:rsidR="00FE4150" w:rsidRDefault="00000000">
            <w:pPr>
              <w:snapToGrid w:val="0"/>
              <w:spacing w:line="360" w:lineRule="auto"/>
              <w:jc w:val="both"/>
              <w:rPr>
                <w:rFonts w:ascii="Book Antiqua" w:eastAsia="等线" w:hAnsi="Book Antiqua" w:cs="宋体"/>
                <w:color w:val="000000" w:themeColor="text1"/>
                <w:lang w:eastAsia="zh-CN"/>
              </w:rPr>
            </w:pPr>
            <w:proofErr w:type="spellStart"/>
            <w:r>
              <w:rPr>
                <w:rFonts w:ascii="Book Antiqua" w:eastAsia="等线" w:hAnsi="Book Antiqua" w:cs="宋体"/>
                <w:color w:val="000000" w:themeColor="text1"/>
                <w:lang w:eastAsia="zh-CN"/>
              </w:rPr>
              <w:t>Pauzenberger</w:t>
            </w:r>
            <w:proofErr w:type="spellEnd"/>
            <w:r>
              <w:rPr>
                <w:rFonts w:ascii="Book Antiqua" w:eastAsia="等线" w:hAnsi="Book Antiqua" w:cs="宋体"/>
                <w:color w:val="000000" w:themeColor="text1"/>
                <w:lang w:eastAsia="zh-CN"/>
              </w:rPr>
              <w:t xml:space="preserve"> </w:t>
            </w:r>
            <w:r>
              <w:rPr>
                <w:rFonts w:ascii="Book Antiqua" w:eastAsia="等线" w:hAnsi="Book Antiqua" w:cs="宋体"/>
                <w:i/>
                <w:iCs/>
                <w:color w:val="000000" w:themeColor="text1"/>
                <w:lang w:eastAsia="zh-CN"/>
              </w:rPr>
              <w:t xml:space="preserve">et </w:t>
            </w:r>
            <w:proofErr w:type="gramStart"/>
            <w:r>
              <w:rPr>
                <w:rFonts w:ascii="Book Antiqua" w:eastAsia="等线" w:hAnsi="Book Antiqua" w:cs="宋体"/>
                <w:i/>
                <w:iCs/>
                <w:color w:val="000000" w:themeColor="text1"/>
                <w:lang w:eastAsia="zh-CN"/>
              </w:rPr>
              <w:t>al</w:t>
            </w:r>
            <w:r>
              <w:rPr>
                <w:rFonts w:ascii="Book Antiqua" w:eastAsia="等线" w:hAnsi="Book Antiqua" w:cs="宋体"/>
                <w:color w:val="000000" w:themeColor="text1"/>
                <w:vertAlign w:val="superscript"/>
                <w:lang w:eastAsia="zh-CN"/>
              </w:rPr>
              <w:t>[</w:t>
            </w:r>
            <w:proofErr w:type="gramEnd"/>
            <w:r>
              <w:rPr>
                <w:rFonts w:ascii="Book Antiqua" w:eastAsia="等线" w:hAnsi="Book Antiqua" w:cs="宋体"/>
                <w:color w:val="000000" w:themeColor="text1"/>
                <w:vertAlign w:val="superscript"/>
                <w:lang w:eastAsia="zh-CN"/>
              </w:rPr>
              <w:t>24]</w:t>
            </w:r>
            <w:r>
              <w:rPr>
                <w:rFonts w:ascii="Book Antiqua" w:eastAsia="等线" w:hAnsi="Book Antiqua" w:cs="宋体"/>
                <w:color w:val="000000" w:themeColor="text1"/>
                <w:lang w:eastAsia="zh-CN"/>
              </w:rPr>
              <w:t>, 2017</w:t>
            </w:r>
          </w:p>
        </w:tc>
        <w:tc>
          <w:tcPr>
            <w:tcW w:w="1497" w:type="dxa"/>
            <w:shd w:val="clear" w:color="auto" w:fill="auto"/>
            <w:noWrap/>
            <w:vAlign w:val="center"/>
          </w:tcPr>
          <w:p w14:paraId="20F62999"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Austria</w:t>
            </w:r>
          </w:p>
        </w:tc>
        <w:tc>
          <w:tcPr>
            <w:tcW w:w="1003" w:type="dxa"/>
            <w:shd w:val="clear" w:color="auto" w:fill="auto"/>
            <w:noWrap/>
            <w:vAlign w:val="center"/>
          </w:tcPr>
          <w:p w14:paraId="1EA6A707"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RCT (Level I)</w:t>
            </w:r>
          </w:p>
        </w:tc>
        <w:tc>
          <w:tcPr>
            <w:tcW w:w="1043" w:type="dxa"/>
            <w:shd w:val="clear" w:color="auto" w:fill="auto"/>
            <w:noWrap/>
            <w:vAlign w:val="center"/>
          </w:tcPr>
          <w:p w14:paraId="7A628637"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27</w:t>
            </w:r>
          </w:p>
        </w:tc>
        <w:tc>
          <w:tcPr>
            <w:tcW w:w="1070" w:type="dxa"/>
            <w:shd w:val="clear" w:color="auto" w:fill="auto"/>
            <w:noWrap/>
            <w:vAlign w:val="center"/>
          </w:tcPr>
          <w:p w14:paraId="30C3E18B"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27</w:t>
            </w:r>
          </w:p>
        </w:tc>
        <w:tc>
          <w:tcPr>
            <w:tcW w:w="763" w:type="dxa"/>
            <w:shd w:val="clear" w:color="auto" w:fill="auto"/>
            <w:noWrap/>
            <w:vAlign w:val="center"/>
          </w:tcPr>
          <w:p w14:paraId="65B06B2F"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70.3 ± 9.3</w:t>
            </w:r>
          </w:p>
        </w:tc>
        <w:tc>
          <w:tcPr>
            <w:tcW w:w="1070" w:type="dxa"/>
            <w:shd w:val="clear" w:color="auto" w:fill="auto"/>
            <w:noWrap/>
            <w:vAlign w:val="center"/>
          </w:tcPr>
          <w:p w14:paraId="3C0CD42C"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71.3 ± 7.9</w:t>
            </w:r>
          </w:p>
        </w:tc>
        <w:tc>
          <w:tcPr>
            <w:tcW w:w="2285" w:type="dxa"/>
            <w:shd w:val="clear" w:color="auto" w:fill="auto"/>
            <w:noWrap/>
            <w:vAlign w:val="center"/>
          </w:tcPr>
          <w:p w14:paraId="53347D9D"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100 mL NS infused with 1 g of TXA, IV</w:t>
            </w:r>
          </w:p>
        </w:tc>
        <w:tc>
          <w:tcPr>
            <w:tcW w:w="1888" w:type="dxa"/>
            <w:shd w:val="clear" w:color="auto" w:fill="auto"/>
            <w:noWrap/>
            <w:vAlign w:val="center"/>
          </w:tcPr>
          <w:p w14:paraId="1FC3E3E0"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100 ml NS, IV</w:t>
            </w:r>
          </w:p>
        </w:tc>
        <w:tc>
          <w:tcPr>
            <w:tcW w:w="1083" w:type="dxa"/>
            <w:shd w:val="clear" w:color="auto" w:fill="auto"/>
            <w:noWrap/>
            <w:vAlign w:val="center"/>
          </w:tcPr>
          <w:p w14:paraId="3909DB2C"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TSA or RTSA</w:t>
            </w:r>
          </w:p>
        </w:tc>
        <w:tc>
          <w:tcPr>
            <w:tcW w:w="723" w:type="dxa"/>
            <w:shd w:val="clear" w:color="auto" w:fill="auto"/>
            <w:noWrap/>
            <w:vAlign w:val="center"/>
          </w:tcPr>
          <w:p w14:paraId="4A29F5CF"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c>
          <w:tcPr>
            <w:tcW w:w="923" w:type="dxa"/>
            <w:shd w:val="clear" w:color="auto" w:fill="auto"/>
            <w:noWrap/>
            <w:vAlign w:val="center"/>
          </w:tcPr>
          <w:p w14:paraId="46C7E356"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FE4150" w14:paraId="1113F5A8" w14:textId="77777777">
        <w:trPr>
          <w:trHeight w:val="308"/>
        </w:trPr>
        <w:tc>
          <w:tcPr>
            <w:tcW w:w="1819" w:type="dxa"/>
            <w:shd w:val="clear" w:color="auto" w:fill="auto"/>
            <w:noWrap/>
            <w:vAlign w:val="center"/>
          </w:tcPr>
          <w:p w14:paraId="46BB09EA"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 xml:space="preserve">Garcia </w:t>
            </w:r>
            <w:r>
              <w:rPr>
                <w:rFonts w:ascii="Book Antiqua" w:eastAsia="等线" w:hAnsi="Book Antiqua" w:cs="宋体"/>
                <w:i/>
                <w:iCs/>
                <w:color w:val="000000" w:themeColor="text1"/>
                <w:lang w:eastAsia="zh-CN"/>
              </w:rPr>
              <w:t xml:space="preserve">et </w:t>
            </w:r>
            <w:proofErr w:type="gramStart"/>
            <w:r>
              <w:rPr>
                <w:rFonts w:ascii="Book Antiqua" w:eastAsia="等线" w:hAnsi="Book Antiqua" w:cs="宋体"/>
                <w:i/>
                <w:iCs/>
                <w:color w:val="000000" w:themeColor="text1"/>
                <w:lang w:eastAsia="zh-CN"/>
              </w:rPr>
              <w:t>al</w:t>
            </w:r>
            <w:r>
              <w:rPr>
                <w:rFonts w:ascii="Book Antiqua" w:eastAsia="等线" w:hAnsi="Book Antiqua" w:cs="宋体"/>
                <w:color w:val="000000" w:themeColor="text1"/>
                <w:vertAlign w:val="superscript"/>
                <w:lang w:eastAsia="zh-CN"/>
              </w:rPr>
              <w:t>[</w:t>
            </w:r>
            <w:proofErr w:type="gramEnd"/>
            <w:r>
              <w:rPr>
                <w:rFonts w:ascii="Book Antiqua" w:eastAsia="等线" w:hAnsi="Book Antiqua" w:cs="宋体"/>
                <w:color w:val="000000" w:themeColor="text1"/>
                <w:vertAlign w:val="superscript"/>
                <w:lang w:eastAsia="zh-CN"/>
              </w:rPr>
              <w:t>25]</w:t>
            </w:r>
            <w:r>
              <w:rPr>
                <w:rFonts w:ascii="Book Antiqua" w:eastAsia="等线" w:hAnsi="Book Antiqua" w:cs="宋体"/>
                <w:color w:val="000000" w:themeColor="text1"/>
                <w:lang w:eastAsia="zh-CN"/>
              </w:rPr>
              <w:t>, 2022</w:t>
            </w:r>
          </w:p>
        </w:tc>
        <w:tc>
          <w:tcPr>
            <w:tcW w:w="1497" w:type="dxa"/>
            <w:shd w:val="clear" w:color="auto" w:fill="auto"/>
            <w:noWrap/>
            <w:vAlign w:val="center"/>
          </w:tcPr>
          <w:p w14:paraId="107834CC"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Portugal</w:t>
            </w:r>
          </w:p>
        </w:tc>
        <w:tc>
          <w:tcPr>
            <w:tcW w:w="1003" w:type="dxa"/>
            <w:shd w:val="clear" w:color="auto" w:fill="auto"/>
            <w:noWrap/>
            <w:vAlign w:val="center"/>
          </w:tcPr>
          <w:p w14:paraId="6E8E20F7"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RCT (Level I)</w:t>
            </w:r>
          </w:p>
        </w:tc>
        <w:tc>
          <w:tcPr>
            <w:tcW w:w="1043" w:type="dxa"/>
            <w:shd w:val="clear" w:color="auto" w:fill="auto"/>
            <w:noWrap/>
            <w:vAlign w:val="center"/>
          </w:tcPr>
          <w:p w14:paraId="5D93A009"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23</w:t>
            </w:r>
          </w:p>
        </w:tc>
        <w:tc>
          <w:tcPr>
            <w:tcW w:w="1070" w:type="dxa"/>
            <w:shd w:val="clear" w:color="auto" w:fill="auto"/>
            <w:noWrap/>
            <w:vAlign w:val="center"/>
          </w:tcPr>
          <w:p w14:paraId="036F604D"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22</w:t>
            </w:r>
          </w:p>
        </w:tc>
        <w:tc>
          <w:tcPr>
            <w:tcW w:w="763" w:type="dxa"/>
            <w:shd w:val="clear" w:color="auto" w:fill="auto"/>
            <w:noWrap/>
            <w:vAlign w:val="center"/>
          </w:tcPr>
          <w:p w14:paraId="62CE1415"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76.7 ± 7.1</w:t>
            </w:r>
          </w:p>
        </w:tc>
        <w:tc>
          <w:tcPr>
            <w:tcW w:w="1070" w:type="dxa"/>
            <w:shd w:val="clear" w:color="auto" w:fill="auto"/>
            <w:noWrap/>
            <w:vAlign w:val="center"/>
          </w:tcPr>
          <w:p w14:paraId="16E5469E"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75.7 ± 5.7</w:t>
            </w:r>
          </w:p>
        </w:tc>
        <w:tc>
          <w:tcPr>
            <w:tcW w:w="2285" w:type="dxa"/>
            <w:shd w:val="clear" w:color="auto" w:fill="auto"/>
            <w:noWrap/>
            <w:vAlign w:val="center"/>
          </w:tcPr>
          <w:p w14:paraId="74D2DED5"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TXA, 1 g, IV</w:t>
            </w:r>
          </w:p>
        </w:tc>
        <w:tc>
          <w:tcPr>
            <w:tcW w:w="1888" w:type="dxa"/>
            <w:shd w:val="clear" w:color="auto" w:fill="auto"/>
            <w:noWrap/>
            <w:vAlign w:val="center"/>
          </w:tcPr>
          <w:p w14:paraId="58BB7D80"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Without the TXA infusion</w:t>
            </w:r>
          </w:p>
        </w:tc>
        <w:tc>
          <w:tcPr>
            <w:tcW w:w="1083" w:type="dxa"/>
            <w:shd w:val="clear" w:color="auto" w:fill="auto"/>
            <w:noWrap/>
            <w:vAlign w:val="center"/>
          </w:tcPr>
          <w:p w14:paraId="2BCA7589"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TSA or RTSA</w:t>
            </w:r>
          </w:p>
        </w:tc>
        <w:tc>
          <w:tcPr>
            <w:tcW w:w="723" w:type="dxa"/>
            <w:shd w:val="clear" w:color="auto" w:fill="auto"/>
            <w:noWrap/>
            <w:vAlign w:val="center"/>
          </w:tcPr>
          <w:p w14:paraId="110BE10A"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w:t>
            </w:r>
          </w:p>
        </w:tc>
        <w:tc>
          <w:tcPr>
            <w:tcW w:w="923" w:type="dxa"/>
            <w:shd w:val="clear" w:color="auto" w:fill="auto"/>
            <w:noWrap/>
            <w:vAlign w:val="center"/>
          </w:tcPr>
          <w:p w14:paraId="0FC4EF10"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w:t>
            </w:r>
          </w:p>
        </w:tc>
      </w:tr>
      <w:tr w:rsidR="00FE4150" w14:paraId="2A22F11B" w14:textId="77777777">
        <w:trPr>
          <w:trHeight w:val="308"/>
        </w:trPr>
        <w:tc>
          <w:tcPr>
            <w:tcW w:w="1819" w:type="dxa"/>
            <w:shd w:val="clear" w:color="auto" w:fill="auto"/>
            <w:noWrap/>
            <w:vAlign w:val="center"/>
          </w:tcPr>
          <w:p w14:paraId="45C3F464"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 xml:space="preserve">Vara </w:t>
            </w:r>
            <w:r>
              <w:rPr>
                <w:rFonts w:ascii="Book Antiqua" w:eastAsia="等线" w:hAnsi="Book Antiqua" w:cs="宋体"/>
                <w:i/>
                <w:iCs/>
                <w:color w:val="000000" w:themeColor="text1"/>
                <w:lang w:eastAsia="zh-CN"/>
              </w:rPr>
              <w:t xml:space="preserve">et </w:t>
            </w:r>
            <w:proofErr w:type="gramStart"/>
            <w:r>
              <w:rPr>
                <w:rFonts w:ascii="Book Antiqua" w:eastAsia="等线" w:hAnsi="Book Antiqua" w:cs="宋体"/>
                <w:i/>
                <w:iCs/>
                <w:color w:val="000000" w:themeColor="text1"/>
                <w:lang w:eastAsia="zh-CN"/>
              </w:rPr>
              <w:t>al</w:t>
            </w:r>
            <w:r>
              <w:rPr>
                <w:rFonts w:ascii="Book Antiqua" w:eastAsia="等线" w:hAnsi="Book Antiqua" w:cs="宋体"/>
                <w:color w:val="000000" w:themeColor="text1"/>
                <w:vertAlign w:val="superscript"/>
                <w:lang w:eastAsia="zh-CN"/>
              </w:rPr>
              <w:t>[</w:t>
            </w:r>
            <w:proofErr w:type="gramEnd"/>
            <w:r>
              <w:rPr>
                <w:rFonts w:ascii="Book Antiqua" w:eastAsia="等线" w:hAnsi="Book Antiqua" w:cs="宋体"/>
                <w:color w:val="000000" w:themeColor="text1"/>
                <w:vertAlign w:val="superscript"/>
                <w:lang w:eastAsia="zh-CN"/>
              </w:rPr>
              <w:t>26]</w:t>
            </w:r>
            <w:r>
              <w:rPr>
                <w:rFonts w:ascii="Book Antiqua" w:eastAsia="等线" w:hAnsi="Book Antiqua" w:cs="宋体"/>
                <w:color w:val="000000" w:themeColor="text1"/>
                <w:lang w:eastAsia="zh-CN"/>
              </w:rPr>
              <w:t>, 2017</w:t>
            </w:r>
          </w:p>
        </w:tc>
        <w:tc>
          <w:tcPr>
            <w:tcW w:w="1497" w:type="dxa"/>
            <w:shd w:val="clear" w:color="auto" w:fill="auto"/>
            <w:noWrap/>
            <w:vAlign w:val="center"/>
          </w:tcPr>
          <w:p w14:paraId="09836950"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United States</w:t>
            </w:r>
          </w:p>
        </w:tc>
        <w:tc>
          <w:tcPr>
            <w:tcW w:w="1003" w:type="dxa"/>
            <w:shd w:val="clear" w:color="auto" w:fill="auto"/>
            <w:noWrap/>
            <w:vAlign w:val="center"/>
          </w:tcPr>
          <w:p w14:paraId="116BD265"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 xml:space="preserve">RCT (Level </w:t>
            </w:r>
            <w:r>
              <w:rPr>
                <w:rFonts w:ascii="Book Antiqua" w:eastAsia="等线" w:hAnsi="Book Antiqua" w:cs="宋体"/>
                <w:color w:val="000000" w:themeColor="text1"/>
                <w:lang w:eastAsia="zh-CN"/>
              </w:rPr>
              <w:lastRenderedPageBreak/>
              <w:t>I)</w:t>
            </w:r>
          </w:p>
        </w:tc>
        <w:tc>
          <w:tcPr>
            <w:tcW w:w="1043" w:type="dxa"/>
            <w:shd w:val="clear" w:color="auto" w:fill="auto"/>
            <w:noWrap/>
            <w:vAlign w:val="center"/>
          </w:tcPr>
          <w:p w14:paraId="7073263C"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lastRenderedPageBreak/>
              <w:t>53</w:t>
            </w:r>
          </w:p>
        </w:tc>
        <w:tc>
          <w:tcPr>
            <w:tcW w:w="1070" w:type="dxa"/>
            <w:shd w:val="clear" w:color="auto" w:fill="auto"/>
            <w:noWrap/>
            <w:vAlign w:val="center"/>
          </w:tcPr>
          <w:p w14:paraId="0C8EB8D2"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49</w:t>
            </w:r>
          </w:p>
        </w:tc>
        <w:tc>
          <w:tcPr>
            <w:tcW w:w="763" w:type="dxa"/>
            <w:shd w:val="clear" w:color="auto" w:fill="auto"/>
            <w:noWrap/>
            <w:vAlign w:val="center"/>
          </w:tcPr>
          <w:p w14:paraId="5A550EDA"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67 ± 9</w:t>
            </w:r>
          </w:p>
        </w:tc>
        <w:tc>
          <w:tcPr>
            <w:tcW w:w="1070" w:type="dxa"/>
            <w:shd w:val="clear" w:color="auto" w:fill="auto"/>
            <w:noWrap/>
            <w:vAlign w:val="center"/>
          </w:tcPr>
          <w:p w14:paraId="0C27B4BD"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66 ± 9</w:t>
            </w:r>
          </w:p>
        </w:tc>
        <w:tc>
          <w:tcPr>
            <w:tcW w:w="2285" w:type="dxa"/>
            <w:shd w:val="clear" w:color="auto" w:fill="auto"/>
            <w:noWrap/>
            <w:vAlign w:val="center"/>
          </w:tcPr>
          <w:p w14:paraId="6A4D6D95"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TXA, 10 mg/kg, IV</w:t>
            </w:r>
          </w:p>
        </w:tc>
        <w:tc>
          <w:tcPr>
            <w:tcW w:w="1888" w:type="dxa"/>
            <w:shd w:val="clear" w:color="auto" w:fill="auto"/>
            <w:noWrap/>
            <w:vAlign w:val="center"/>
          </w:tcPr>
          <w:p w14:paraId="3771CC70" w14:textId="77777777" w:rsidR="00FE4150" w:rsidRDefault="00000000">
            <w:pPr>
              <w:snapToGrid w:val="0"/>
              <w:spacing w:line="360" w:lineRule="auto"/>
              <w:jc w:val="both"/>
              <w:rPr>
                <w:rFonts w:ascii="Book Antiqua" w:eastAsia="等线" w:hAnsi="Book Antiqua" w:cs="宋体"/>
                <w:color w:val="000000" w:themeColor="text1"/>
                <w:lang w:eastAsia="zh-CN"/>
              </w:rPr>
            </w:pPr>
            <w:bookmarkStart w:id="2" w:name="RANGE!I7"/>
            <w:r>
              <w:rPr>
                <w:rFonts w:ascii="Book Antiqua" w:eastAsia="等线" w:hAnsi="Book Antiqua" w:cs="宋体"/>
                <w:color w:val="000000" w:themeColor="text1"/>
                <w:lang w:eastAsia="zh-CN"/>
              </w:rPr>
              <w:t xml:space="preserve">An equivalent volume of NS, </w:t>
            </w:r>
            <w:r>
              <w:rPr>
                <w:rFonts w:ascii="Book Antiqua" w:eastAsia="等线" w:hAnsi="Book Antiqua" w:cs="宋体"/>
                <w:color w:val="000000" w:themeColor="text1"/>
                <w:lang w:eastAsia="zh-CN"/>
              </w:rPr>
              <w:lastRenderedPageBreak/>
              <w:t>IV</w:t>
            </w:r>
            <w:bookmarkEnd w:id="2"/>
          </w:p>
        </w:tc>
        <w:tc>
          <w:tcPr>
            <w:tcW w:w="1083" w:type="dxa"/>
            <w:shd w:val="clear" w:color="auto" w:fill="auto"/>
            <w:noWrap/>
            <w:vAlign w:val="center"/>
          </w:tcPr>
          <w:p w14:paraId="23BCC054"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lastRenderedPageBreak/>
              <w:t>RTSA</w:t>
            </w:r>
          </w:p>
        </w:tc>
        <w:tc>
          <w:tcPr>
            <w:tcW w:w="723" w:type="dxa"/>
            <w:shd w:val="clear" w:color="auto" w:fill="auto"/>
            <w:noWrap/>
            <w:vAlign w:val="center"/>
          </w:tcPr>
          <w:p w14:paraId="1B2B0F9D"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w:t>
            </w:r>
          </w:p>
        </w:tc>
        <w:tc>
          <w:tcPr>
            <w:tcW w:w="923" w:type="dxa"/>
            <w:shd w:val="clear" w:color="auto" w:fill="auto"/>
            <w:noWrap/>
            <w:vAlign w:val="center"/>
          </w:tcPr>
          <w:p w14:paraId="5E02BD3F" w14:textId="77777777" w:rsidR="00FE4150" w:rsidRDefault="00000000">
            <w:pPr>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w:t>
            </w:r>
          </w:p>
        </w:tc>
      </w:tr>
    </w:tbl>
    <w:p w14:paraId="19885CC5" w14:textId="77777777" w:rsidR="00FE4150" w:rsidRDefault="00000000">
      <w:pPr>
        <w:snapToGrid w:val="0"/>
        <w:spacing w:line="360" w:lineRule="auto"/>
        <w:jc w:val="both"/>
        <w:rPr>
          <w:rFonts w:ascii="Book Antiqua" w:hAnsi="Book Antiqua"/>
          <w:bCs/>
          <w:color w:val="000000" w:themeColor="text1"/>
        </w:rPr>
      </w:pPr>
      <w:r>
        <w:rPr>
          <w:rFonts w:ascii="Book Antiqua" w:hAnsi="Book Antiqua"/>
          <w:color w:val="000000" w:themeColor="text1"/>
        </w:rPr>
        <w:t xml:space="preserve">TXA: </w:t>
      </w:r>
      <w:r>
        <w:rPr>
          <w:rFonts w:ascii="Book Antiqua" w:eastAsia="宋体" w:hAnsi="Book Antiqua"/>
          <w:color w:val="000000" w:themeColor="text1"/>
        </w:rPr>
        <w:t>Tranexamic acid</w:t>
      </w:r>
      <w:r>
        <w:rPr>
          <w:rFonts w:ascii="Book Antiqua" w:hAnsi="Book Antiqua"/>
          <w:color w:val="000000" w:themeColor="text1"/>
        </w:rPr>
        <w:t xml:space="preserve">; NS: </w:t>
      </w:r>
      <w:r>
        <w:rPr>
          <w:rFonts w:ascii="Book Antiqua" w:eastAsia="宋体" w:hAnsi="Book Antiqua"/>
          <w:color w:val="000000" w:themeColor="text1"/>
          <w:lang w:bidi="ar"/>
        </w:rPr>
        <w:t>Normal saline</w:t>
      </w:r>
      <w:r>
        <w:rPr>
          <w:rFonts w:ascii="Book Antiqua" w:hAnsi="Book Antiqua"/>
          <w:color w:val="000000" w:themeColor="text1"/>
        </w:rPr>
        <w:t xml:space="preserve">; IV: </w:t>
      </w:r>
      <w:bookmarkStart w:id="3" w:name="_Hlk130372232"/>
      <w:r>
        <w:rPr>
          <w:rFonts w:ascii="Book Antiqua" w:hAnsi="Book Antiqua"/>
          <w:color w:val="000000" w:themeColor="text1"/>
        </w:rPr>
        <w:t>Intravenous</w:t>
      </w:r>
      <w:bookmarkEnd w:id="3"/>
      <w:r>
        <w:rPr>
          <w:rFonts w:ascii="Book Antiqua" w:hAnsi="Book Antiqua"/>
          <w:color w:val="000000" w:themeColor="text1"/>
        </w:rPr>
        <w:t xml:space="preserve">; LOE: </w:t>
      </w:r>
      <w:r>
        <w:rPr>
          <w:rFonts w:ascii="Book Antiqua" w:eastAsia="宋体" w:hAnsi="Book Antiqua"/>
          <w:color w:val="000000" w:themeColor="text1"/>
        </w:rPr>
        <w:t>Level</w:t>
      </w:r>
      <w:r>
        <w:rPr>
          <w:rFonts w:ascii="Book Antiqua" w:hAnsi="Book Antiqua"/>
          <w:color w:val="000000" w:themeColor="text1"/>
        </w:rPr>
        <w:t xml:space="preserve"> of </w:t>
      </w:r>
      <w:r>
        <w:rPr>
          <w:rFonts w:ascii="Book Antiqua" w:eastAsia="宋体" w:hAnsi="Book Antiqua"/>
          <w:color w:val="000000" w:themeColor="text1"/>
        </w:rPr>
        <w:t>evidence</w:t>
      </w:r>
      <w:r>
        <w:rPr>
          <w:rFonts w:ascii="Book Antiqua" w:hAnsi="Book Antiqua"/>
          <w:color w:val="000000" w:themeColor="text1"/>
        </w:rPr>
        <w:t>; RCT: Randomized controlled trial; TSA: Total shoulder arthroplasty; RTSA: Reverse total shoulder arthroplasty.</w:t>
      </w:r>
    </w:p>
    <w:sectPr w:rsidR="00FE4150">
      <w:footerReference w:type="default" r:id="rId14"/>
      <w:pgSz w:w="16838" w:h="11906" w:orient="landscape"/>
      <w:pgMar w:top="1803" w:right="1440" w:bottom="1803" w:left="1440"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435CE" w14:textId="77777777" w:rsidR="005F1ED8" w:rsidRDefault="005F1ED8">
      <w:r>
        <w:separator/>
      </w:r>
    </w:p>
  </w:endnote>
  <w:endnote w:type="continuationSeparator" w:id="0">
    <w:p w14:paraId="69E56D83" w14:textId="77777777" w:rsidR="005F1ED8" w:rsidRDefault="005F1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5286334"/>
    </w:sdtPr>
    <w:sdtContent>
      <w:sdt>
        <w:sdtPr>
          <w:rPr>
            <w:rFonts w:ascii="Book Antiqua" w:hAnsi="Book Antiqua"/>
            <w:sz w:val="24"/>
            <w:szCs w:val="24"/>
          </w:rPr>
          <w:id w:val="-1769616900"/>
        </w:sdtPr>
        <w:sdtContent>
          <w:p w14:paraId="74A5D498" w14:textId="77777777" w:rsidR="00FE4150"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D6BD" w14:textId="77777777" w:rsidR="00FE4150" w:rsidRDefault="00000000">
    <w:pPr>
      <w:pStyle w:val="a5"/>
    </w:pPr>
    <w:r>
      <w:pict w14:anchorId="4339D4DF">
        <v:shapetype id="_x0000_t202" coordsize="21600,21600" o:spt="202" path="m,l,21600r21600,l21600,xe">
          <v:stroke joinstyle="miter"/>
          <v:path gradientshapeok="t" o:connecttype="rect"/>
        </v:shapetype>
        <v:shape id="文本框 3" o:spid="_x0000_s1025" type="#_x0000_t202" style="position:absolute;margin-left:371.2pt;margin-top:0;width:2in;height:2in;z-index:251659264;mso-wrap-style:none;mso-position-horizontal:outside;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CA8439C" w14:textId="77777777" w:rsidR="00FE4150" w:rsidRDefault="00000000">
                <w:pPr>
                  <w:pStyle w:val="a5"/>
                </w:pPr>
                <w:r>
                  <w:fldChar w:fldCharType="begin"/>
                </w:r>
                <w:r>
                  <w:instrText xml:space="preserve"> PAGE  \* MERGEFORMAT </w:instrText>
                </w:r>
                <w:r>
                  <w:fldChar w:fldCharType="separate"/>
                </w:r>
                <w:r>
                  <w:t>1</w:t>
                </w:r>
                <w:r>
                  <w:fldChar w:fldCharType="end"/>
                </w:r>
                <w:r>
                  <w:t xml:space="preserve"> / </w:t>
                </w:r>
                <w:fldSimple w:instr=" NUMPAGES  \* MERGEFORMAT ">
                  <w:r>
                    <w:t>22</w:t>
                  </w:r>
                </w:fldSimple>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9BBB2" w14:textId="77777777" w:rsidR="005F1ED8" w:rsidRDefault="005F1ED8">
      <w:r>
        <w:separator/>
      </w:r>
    </w:p>
  </w:footnote>
  <w:footnote w:type="continuationSeparator" w:id="0">
    <w:p w14:paraId="75EAD53E" w14:textId="77777777" w:rsidR="005F1ED8" w:rsidRDefault="005F1ED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DJlYjJiYWZjODIxNTUzNzhmMzczY2QwMWQ2YmY3ZTUifQ=="/>
  </w:docVars>
  <w:rsids>
    <w:rsidRoot w:val="00A77B3E"/>
    <w:rsid w:val="00035D46"/>
    <w:rsid w:val="00060DE4"/>
    <w:rsid w:val="000B2E38"/>
    <w:rsid w:val="001400CE"/>
    <w:rsid w:val="00143290"/>
    <w:rsid w:val="00147A6D"/>
    <w:rsid w:val="001766A3"/>
    <w:rsid w:val="00184468"/>
    <w:rsid w:val="0019065F"/>
    <w:rsid w:val="001A7EFC"/>
    <w:rsid w:val="001C18B5"/>
    <w:rsid w:val="001E4DC0"/>
    <w:rsid w:val="0020036A"/>
    <w:rsid w:val="00232380"/>
    <w:rsid w:val="00234CA3"/>
    <w:rsid w:val="00282EDD"/>
    <w:rsid w:val="00292FBC"/>
    <w:rsid w:val="002D63B2"/>
    <w:rsid w:val="002F2B28"/>
    <w:rsid w:val="003015C3"/>
    <w:rsid w:val="00304C8C"/>
    <w:rsid w:val="003057E3"/>
    <w:rsid w:val="003160E2"/>
    <w:rsid w:val="003163E6"/>
    <w:rsid w:val="0033579E"/>
    <w:rsid w:val="00354B64"/>
    <w:rsid w:val="003847CD"/>
    <w:rsid w:val="003A3F41"/>
    <w:rsid w:val="003A7588"/>
    <w:rsid w:val="003C51FF"/>
    <w:rsid w:val="003F0C17"/>
    <w:rsid w:val="00414A82"/>
    <w:rsid w:val="00421359"/>
    <w:rsid w:val="00435F48"/>
    <w:rsid w:val="004369C5"/>
    <w:rsid w:val="00485F26"/>
    <w:rsid w:val="00493BB3"/>
    <w:rsid w:val="004E4B74"/>
    <w:rsid w:val="00514A71"/>
    <w:rsid w:val="0052640C"/>
    <w:rsid w:val="0053598C"/>
    <w:rsid w:val="00597059"/>
    <w:rsid w:val="005B237B"/>
    <w:rsid w:val="005E059F"/>
    <w:rsid w:val="005F1ED8"/>
    <w:rsid w:val="005F3DEF"/>
    <w:rsid w:val="00606096"/>
    <w:rsid w:val="00622D41"/>
    <w:rsid w:val="00636BA5"/>
    <w:rsid w:val="00637B8B"/>
    <w:rsid w:val="006523FB"/>
    <w:rsid w:val="006B154C"/>
    <w:rsid w:val="006B2AEE"/>
    <w:rsid w:val="006C0B0D"/>
    <w:rsid w:val="006E7257"/>
    <w:rsid w:val="006F7550"/>
    <w:rsid w:val="00700753"/>
    <w:rsid w:val="00712A4C"/>
    <w:rsid w:val="0071682A"/>
    <w:rsid w:val="00716B6D"/>
    <w:rsid w:val="0079061C"/>
    <w:rsid w:val="00805924"/>
    <w:rsid w:val="00835934"/>
    <w:rsid w:val="00840DB7"/>
    <w:rsid w:val="00847DC4"/>
    <w:rsid w:val="008779BB"/>
    <w:rsid w:val="008A3352"/>
    <w:rsid w:val="008C6AF8"/>
    <w:rsid w:val="00901EAA"/>
    <w:rsid w:val="009127E9"/>
    <w:rsid w:val="00923D82"/>
    <w:rsid w:val="009708CE"/>
    <w:rsid w:val="009A0A83"/>
    <w:rsid w:val="00A37101"/>
    <w:rsid w:val="00A50D50"/>
    <w:rsid w:val="00A77B3E"/>
    <w:rsid w:val="00A808B6"/>
    <w:rsid w:val="00AD3C9B"/>
    <w:rsid w:val="00AE0B66"/>
    <w:rsid w:val="00B44892"/>
    <w:rsid w:val="00B722E6"/>
    <w:rsid w:val="00BA591D"/>
    <w:rsid w:val="00BB275E"/>
    <w:rsid w:val="00BF150E"/>
    <w:rsid w:val="00C03403"/>
    <w:rsid w:val="00C17251"/>
    <w:rsid w:val="00C32DB8"/>
    <w:rsid w:val="00C97882"/>
    <w:rsid w:val="00CA2A55"/>
    <w:rsid w:val="00CB2D37"/>
    <w:rsid w:val="00CB69A7"/>
    <w:rsid w:val="00CE0CF3"/>
    <w:rsid w:val="00DB6820"/>
    <w:rsid w:val="00DD2DB2"/>
    <w:rsid w:val="00DE732C"/>
    <w:rsid w:val="00E03743"/>
    <w:rsid w:val="00E149D2"/>
    <w:rsid w:val="00E21F22"/>
    <w:rsid w:val="00E24D6F"/>
    <w:rsid w:val="00ED0861"/>
    <w:rsid w:val="00ED3214"/>
    <w:rsid w:val="00EE53F4"/>
    <w:rsid w:val="00EF2191"/>
    <w:rsid w:val="00F839AA"/>
    <w:rsid w:val="00FB20C2"/>
    <w:rsid w:val="00FD3432"/>
    <w:rsid w:val="00FE4150"/>
    <w:rsid w:val="19B8487A"/>
    <w:rsid w:val="32433B24"/>
    <w:rsid w:val="4FC90D68"/>
    <w:rsid w:val="5844246E"/>
    <w:rsid w:val="697C5EAD"/>
    <w:rsid w:val="7E5E3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F7AB7"/>
  <w15:docId w15:val="{F79652D2-6041-45F9-B3C4-DEDBDE01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table" w:styleId="ab">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paragraph" w:styleId="ad">
    <w:name w:val="Revision"/>
    <w:hidden/>
    <w:uiPriority w:val="99"/>
    <w:semiHidden/>
    <w:rsid w:val="005B237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5058</Words>
  <Characters>28837</Characters>
  <Application>Microsoft Office Word</Application>
  <DocSecurity>0</DocSecurity>
  <Lines>240</Lines>
  <Paragraphs>67</Paragraphs>
  <ScaleCrop>false</ScaleCrop>
  <Company/>
  <LinksUpToDate>false</LinksUpToDate>
  <CharactersWithSpaces>33828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JINLONG</dc:creator>
  <cp:lastModifiedBy>BPG Wang,Jin-Lei</cp:lastModifiedBy>
  <cp:revision>101</cp:revision>
  <dcterms:created xsi:type="dcterms:W3CDTF">2023-03-22T00:54:00Z</dcterms:created>
  <dcterms:modified xsi:type="dcterms:W3CDTF">2023-03-27T11:06:00Z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8daa1ea6eab092c1f2fa0b33be435e3296370e3f828a84b5858e24990da7312e</vt:lpwstr>
  </property>
  <property fmtid="{D5CDD505-2E9C-101B-9397-08002B2CF9AE}" pid="3" name="KSOProductBuildVer">
    <vt:lpwstr>2052-11.1.0.13703</vt:lpwstr>
  </property>
  <property fmtid="{D5CDD505-2E9C-101B-9397-08002B2CF9AE}" pid="4" name="ICV">
    <vt:lpwstr>2B03938FC09945ACB33C8B46E7E99D59</vt:lpwstr>
  </property>
</Properties>
</file>