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Oncology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83371</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EVIDENCE-BASED MEDICINE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Comprehensive bioinformatic analysis of mind bomb 1 gene in stomach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D </w:t>
      </w:r>
      <w:r>
        <w:rPr>
          <w:rFonts w:ascii="Book Antiqua" w:hAnsi="Book Antiqua" w:eastAsia="Book Antiqua" w:cs="Book Antiqua"/>
          <w:i/>
          <w:iCs/>
          <w:color w:val="000000"/>
        </w:rPr>
        <w:t>et al</w:t>
      </w:r>
      <w:r>
        <w:rPr>
          <w:rFonts w:ascii="Book Antiqua" w:hAnsi="Book Antiqua" w:eastAsia="Book Antiqua" w:cs="Book Antiqua"/>
          <w:color w:val="000000"/>
        </w:rPr>
        <w:t xml:space="preserve">. Analysis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in STAD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Di Wang, Qi-Hong Wang, Ting Luo, Wen Jia, Jing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Di Wang, Qi-Hong Wang, Ting Luo, Wen Jia, Jing Wang, </w:t>
      </w:r>
      <w:r>
        <w:rPr>
          <w:rFonts w:ascii="Book Antiqua" w:hAnsi="Book Antiqua" w:eastAsia="Book Antiqua" w:cs="Book Antiqua"/>
          <w:color w:val="000000"/>
        </w:rPr>
        <w:t>Department of Digestive Endoscopy, The General Hospital of Northern Theater Command, Shenyang 110840, Liaoning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Di Wang, Qi-Hong Wang, Ting Luo, </w:t>
      </w:r>
      <w:r>
        <w:rPr>
          <w:rFonts w:ascii="Book Antiqua" w:hAnsi="Book Antiqua" w:eastAsia="Book Antiqua" w:cs="Book Antiqua"/>
          <w:color w:val="000000"/>
        </w:rPr>
        <w:t>Postgraduate College, China Medical University, Shenyang 110840, Liaoning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J contributed to conceptualization; Wang D wrote the paper; Wang QH, Luo T, and Jia W collected and analyzed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Science and Technology Program of Liaoning Province, No. 2021-MS-040.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Jing Wang, MS, Deputy Director, </w:t>
      </w:r>
      <w:r>
        <w:rPr>
          <w:rFonts w:ascii="Book Antiqua" w:hAnsi="Book Antiqua" w:eastAsia="Book Antiqua" w:cs="Book Antiqua"/>
          <w:color w:val="000000"/>
        </w:rPr>
        <w:t>Department of Digestive Endoscopy, The General Hospital of Northern Theater Command, No. 83 Wenhua Road, Shenhe District, Shenyang 110840, Liaoning Province, China. 13309882063@163.com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February 27,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March 27,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May 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rPr>
        <w:t>July 15, 2023</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101214"/>
        </w:rPr>
        <w:t xml:space="preserve">The carcinogenesis of stomach adenocarcinoma (STAD) involves many different molecules and multiple pathways, including the NOTCH signaling pathway. </w:t>
      </w:r>
      <w:r>
        <w:rPr>
          <w:rFonts w:ascii="Book Antiqua" w:hAnsi="Book Antiqua" w:eastAsia="Book Antiqua" w:cs="Book Antiqua"/>
        </w:rPr>
        <w:t>As a key factor that functions as a critical link in the NOTCH pathway, mind bomb 1 (</w:t>
      </w:r>
      <w:r>
        <w:rPr>
          <w:rFonts w:ascii="Book Antiqua" w:hAnsi="Book Antiqua" w:eastAsia="Book Antiqua" w:cs="Book Antiqua"/>
          <w:i/>
          <w:iCs/>
        </w:rPr>
        <w:t>MIB1</w:t>
      </w:r>
      <w:r>
        <w:rPr>
          <w:rFonts w:ascii="Book Antiqua" w:hAnsi="Book Antiqua" w:eastAsia="Book Antiqua" w:cs="Book Antiqua"/>
        </w:rPr>
        <w:t>)</w:t>
      </w:r>
      <w:r>
        <w:rPr>
          <w:rFonts w:ascii="Book Antiqua" w:hAnsi="Book Antiqua" w:eastAsia="Book Antiqua" w:cs="Book Antiqua"/>
          <w:color w:val="101214"/>
        </w:rPr>
        <w:t xml:space="preserve"> is upregulated in various tumors and has been reported to promote cell metastasis and invasion. However, studies on the role of </w:t>
      </w:r>
      <w:r>
        <w:rPr>
          <w:rFonts w:ascii="Book Antiqua" w:hAnsi="Book Antiqua" w:eastAsia="Book Antiqua" w:cs="Book Antiqua"/>
          <w:i/>
          <w:iCs/>
          <w:color w:val="101214"/>
        </w:rPr>
        <w:t>MIB1</w:t>
      </w:r>
      <w:r>
        <w:rPr>
          <w:rFonts w:ascii="Book Antiqua" w:hAnsi="Book Antiqua" w:eastAsia="Book Antiqua" w:cs="Book Antiqua"/>
          <w:color w:val="101214"/>
        </w:rPr>
        <w:t xml:space="preserve"> in </w:t>
      </w:r>
      <w:r>
        <w:rPr>
          <w:rFonts w:ascii="Book Antiqua" w:hAnsi="Book Antiqua" w:eastAsia="Book Antiqua" w:cs="Book Antiqua"/>
        </w:rPr>
        <w:t>STAD</w:t>
      </w:r>
      <w:r>
        <w:rPr>
          <w:rFonts w:ascii="Book Antiqua" w:hAnsi="Book Antiqua" w:eastAsia="Book Antiqua" w:cs="Book Antiqua"/>
          <w:color w:val="101214"/>
        </w:rPr>
        <w:t xml:space="preserve"> are limited. Here, we evaluated the prognostic value of </w:t>
      </w:r>
      <w:r>
        <w:rPr>
          <w:rFonts w:ascii="Book Antiqua" w:hAnsi="Book Antiqua" w:eastAsia="Book Antiqua" w:cs="Book Antiqua"/>
          <w:i/>
          <w:iCs/>
          <w:color w:val="101214"/>
        </w:rPr>
        <w:t>MIB1</w:t>
      </w:r>
      <w:r>
        <w:rPr>
          <w:rFonts w:ascii="Book Antiqua" w:hAnsi="Book Antiqua" w:eastAsia="Book Antiqua" w:cs="Book Antiqua"/>
          <w:color w:val="101214"/>
        </w:rPr>
        <w:t xml:space="preserve"> in </w:t>
      </w:r>
      <w:r>
        <w:rPr>
          <w:rFonts w:ascii="Book Antiqua" w:hAnsi="Book Antiqua" w:eastAsia="Book Antiqua" w:cs="Book Antiqua"/>
        </w:rPr>
        <w:t>STAD</w:t>
      </w:r>
      <w:r>
        <w:rPr>
          <w:rFonts w:ascii="Book Antiqua" w:hAnsi="Book Antiqua" w:eastAsia="Book Antiqua" w:cs="Book Antiqua"/>
          <w:color w:val="101214"/>
        </w:rPr>
        <w:t xml:space="preserve"> and its association with immune infiltration and copy number variation.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 xml:space="preserve">To elucidate the relationship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and gastric cancer (GC) and provide a new idea for the treatment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101214"/>
        </w:rPr>
        <w:t xml:space="preserve">We identified mutations in the </w:t>
      </w:r>
      <w:r>
        <w:rPr>
          <w:rFonts w:ascii="Book Antiqua" w:hAnsi="Book Antiqua" w:eastAsia="Book Antiqua" w:cs="Book Antiqua"/>
          <w:i/>
          <w:iCs/>
          <w:color w:val="101214"/>
        </w:rPr>
        <w:t>MIB1</w:t>
      </w:r>
      <w:r>
        <w:rPr>
          <w:rFonts w:ascii="Book Antiqua" w:hAnsi="Book Antiqua" w:eastAsia="Book Antiqua" w:cs="Book Antiqua"/>
          <w:color w:val="101214"/>
        </w:rPr>
        <w:t xml:space="preserve"> gene by searching the cBioPortal database and then analyzed their relationship with the overall survival rate and disease-free survival rate using the Kaplan-Meier method. The Cancer Genome Atlas (TCGA) database provided transcript levels for </w:t>
      </w:r>
      <w:r>
        <w:rPr>
          <w:rFonts w:ascii="Book Antiqua" w:hAnsi="Book Antiqua" w:eastAsia="Book Antiqua" w:cs="Book Antiqua"/>
          <w:i/>
          <w:iCs/>
          <w:color w:val="101214"/>
        </w:rPr>
        <w:t>MIB1</w:t>
      </w:r>
      <w:r>
        <w:rPr>
          <w:rFonts w:ascii="Book Antiqua" w:hAnsi="Book Antiqua" w:eastAsia="Book Antiqua" w:cs="Book Antiqua"/>
          <w:color w:val="101214"/>
        </w:rPr>
        <w:t xml:space="preserve"> in STADs and normal tissues. As a method of distinguishing the STAD tissues from adjacent normal tissues, a receiver operating characteristic (ROC) curve was generated. Kaplan-Meier plotter was used to determine the effect of </w:t>
      </w:r>
      <w:r>
        <w:rPr>
          <w:rFonts w:ascii="Book Antiqua" w:hAnsi="Book Antiqua" w:eastAsia="Book Antiqua" w:cs="Book Antiqua"/>
          <w:i/>
          <w:iCs/>
          <w:color w:val="101214"/>
        </w:rPr>
        <w:t>MIB1</w:t>
      </w:r>
      <w:r>
        <w:rPr>
          <w:rFonts w:ascii="Book Antiqua" w:hAnsi="Book Antiqua" w:eastAsia="Book Antiqua" w:cs="Book Antiqua"/>
          <w:color w:val="101214"/>
        </w:rPr>
        <w:t xml:space="preserve"> expression on survival. Based on the LinkedOmics database, we were able to identify the coexpressed genes of the </w:t>
      </w:r>
      <w:r>
        <w:rPr>
          <w:rFonts w:ascii="Book Antiqua" w:hAnsi="Book Antiqua" w:eastAsia="Book Antiqua" w:cs="Book Antiqua"/>
          <w:i/>
          <w:iCs/>
          <w:color w:val="101214"/>
        </w:rPr>
        <w:t>MIB1</w:t>
      </w:r>
      <w:r>
        <w:rPr>
          <w:rFonts w:ascii="Book Antiqua" w:hAnsi="Book Antiqua" w:eastAsia="Book Antiqua" w:cs="Book Antiqua"/>
          <w:color w:val="101214"/>
        </w:rPr>
        <w:t xml:space="preserve"> gene, the top 50 positively correlated genes, and the top 50 negatively correlated genes. STRING was used to construct protein-protein interaction networks related to the </w:t>
      </w:r>
      <w:r>
        <w:rPr>
          <w:rFonts w:ascii="Book Antiqua" w:hAnsi="Book Antiqua" w:eastAsia="Book Antiqua" w:cs="Book Antiqua"/>
          <w:i/>
          <w:iCs/>
          <w:color w:val="101214"/>
        </w:rPr>
        <w:t>MIB1</w:t>
      </w:r>
      <w:r>
        <w:rPr>
          <w:rFonts w:ascii="Book Antiqua" w:hAnsi="Book Antiqua" w:eastAsia="Book Antiqua" w:cs="Book Antiqua"/>
          <w:color w:val="101214"/>
        </w:rPr>
        <w:t xml:space="preserve"> gene. An analysis of functional enrichment was carried out using the R package “Cluster Profiler”. The relationships between mRNA expression of </w:t>
      </w:r>
      <w:r>
        <w:rPr>
          <w:rFonts w:ascii="Book Antiqua" w:hAnsi="Book Antiqua" w:eastAsia="Book Antiqua" w:cs="Book Antiqua"/>
          <w:i/>
          <w:iCs/>
          <w:color w:val="101214"/>
        </w:rPr>
        <w:t>MIB1</w:t>
      </w:r>
      <w:r>
        <w:rPr>
          <w:rFonts w:ascii="Book Antiqua" w:hAnsi="Book Antiqua" w:eastAsia="Book Antiqua" w:cs="Book Antiqua"/>
          <w:color w:val="101214"/>
        </w:rPr>
        <w:t xml:space="preserve"> and immune infiltrates were assessed by Tumor IMmune Estimation Resource (TIMER) and the “GSVA package” in 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101214"/>
        </w:rPr>
        <w:t>A</w:t>
      </w:r>
      <w:r>
        <w:rPr>
          <w:rFonts w:ascii="Book Antiqua" w:hAnsi="Book Antiqua" w:eastAsia="Book Antiqua" w:cs="Book Antiqua"/>
        </w:rPr>
        <w:t xml:space="preserve">ccording to the cBioPortal database, the </w:t>
      </w:r>
      <w:r>
        <w:rPr>
          <w:rFonts w:ascii="Book Antiqua" w:hAnsi="Book Antiqua" w:eastAsia="Book Antiqua" w:cs="Book Antiqua"/>
          <w:i/>
          <w:iCs/>
        </w:rPr>
        <w:t>MIB1</w:t>
      </w:r>
      <w:r>
        <w:rPr>
          <w:rFonts w:ascii="Book Antiqua" w:hAnsi="Book Antiqua" w:eastAsia="Book Antiqua" w:cs="Book Antiqua"/>
        </w:rPr>
        <w:t xml:space="preserve"> mutation rate in 287 patients in the TCGA dataset was approximately 6%. Kaplan-Meier survival analysis showed that patients with STAD in the mutated group</w:t>
      </w:r>
      <w:r>
        <w:rPr>
          <w:rFonts w:ascii="Book Antiqua" w:hAnsi="Book Antiqua" w:eastAsia="Book Antiqua" w:cs="Book Antiqua"/>
          <w:i/>
          <w:iCs/>
        </w:rPr>
        <w:t xml:space="preserve"> </w:t>
      </w:r>
      <w:r>
        <w:rPr>
          <w:rFonts w:ascii="Book Antiqua" w:hAnsi="Book Antiqua" w:eastAsia="Book Antiqua" w:cs="Book Antiqua"/>
        </w:rPr>
        <w:t>had a worse prognosis than those in the unmutated group (</w:t>
      </w:r>
      <w:r>
        <w:rPr>
          <w:rFonts w:ascii="Book Antiqua" w:hAnsi="Book Antiqua" w:eastAsia="Book Antiqua" w:cs="Book Antiqua"/>
          <w:i/>
          <w:iCs/>
        </w:rPr>
        <w:t>P</w:t>
      </w:r>
      <w:r>
        <w:rPr>
          <w:rFonts w:ascii="Book Antiqua" w:hAnsi="Book Antiqua" w:eastAsia="Book Antiqua" w:cs="Book Antiqua"/>
        </w:rPr>
        <w:t xml:space="preserve"> = 0.0156). There was a significant upregulation of </w:t>
      </w:r>
      <w:r>
        <w:rPr>
          <w:rFonts w:ascii="Book Antiqua" w:hAnsi="Book Antiqua" w:eastAsia="Book Antiqua" w:cs="Book Antiqua"/>
          <w:i/>
          <w:iCs/>
        </w:rPr>
        <w:t>MIB1</w:t>
      </w:r>
      <w:r>
        <w:rPr>
          <w:rFonts w:ascii="Book Antiqua" w:hAnsi="Book Antiqua" w:eastAsia="Book Antiqua" w:cs="Book Antiqua"/>
        </w:rPr>
        <w:t xml:space="preserve"> expression in STAD tissues compared to adjacent normal tissues. A high T stage was associated with increased </w:t>
      </w:r>
      <w:r>
        <w:rPr>
          <w:rFonts w:ascii="Book Antiqua" w:hAnsi="Book Antiqua" w:eastAsia="Book Antiqua" w:cs="Book Antiqua"/>
          <w:i/>
          <w:iCs/>
        </w:rPr>
        <w:t>MIB1</w:t>
      </w:r>
      <w:r>
        <w:rPr>
          <w:rFonts w:ascii="Book Antiqua" w:hAnsi="Book Antiqua" w:eastAsia="Book Antiqua" w:cs="Book Antiqua"/>
        </w:rPr>
        <w:t xml:space="preserve"> mRNA expression. The ROC curve analysis revealed 59.4% sensitivity and 85.6% specificity of </w:t>
      </w:r>
      <w:r>
        <w:rPr>
          <w:rFonts w:ascii="Book Antiqua" w:hAnsi="Book Antiqua" w:eastAsia="Book Antiqua" w:cs="Book Antiqua"/>
          <w:i/>
          <w:iCs/>
        </w:rPr>
        <w:t>MIB1</w:t>
      </w:r>
      <w:r>
        <w:rPr>
          <w:rFonts w:ascii="Book Antiqua" w:hAnsi="Book Antiqua" w:eastAsia="Book Antiqua" w:cs="Book Antiqua"/>
        </w:rPr>
        <w:t xml:space="preserve"> for differentiating </w:t>
      </w:r>
      <w:r>
        <w:rPr>
          <w:rFonts w:ascii="Book Antiqua" w:hAnsi="Book Antiqua" w:eastAsia="Book Antiqua" w:cs="Book Antiqua"/>
          <w:color w:val="101214"/>
        </w:rPr>
        <w:t>STAD</w:t>
      </w:r>
      <w:r>
        <w:rPr>
          <w:rFonts w:ascii="Book Antiqua" w:hAnsi="Book Antiqua" w:eastAsia="Book Antiqua" w:cs="Book Antiqua"/>
        </w:rPr>
        <w:t xml:space="preserve"> tissues from adjacent normal tissues at a truncation level of 2.248. Kaplan-Meier plotter indicated that patients with higher </w:t>
      </w:r>
      <w:r>
        <w:rPr>
          <w:rFonts w:ascii="Book Antiqua" w:hAnsi="Book Antiqua" w:eastAsia="Book Antiqua" w:cs="Book Antiqua"/>
          <w:i/>
          <w:iCs/>
        </w:rPr>
        <w:t>MIB1</w:t>
      </w:r>
      <w:r>
        <w:rPr>
          <w:rFonts w:ascii="Book Antiqua" w:hAnsi="Book Antiqua" w:eastAsia="Book Antiqua" w:cs="Book Antiqua"/>
        </w:rPr>
        <w:t xml:space="preserve"> </w:t>
      </w:r>
      <w:r>
        <w:rPr>
          <w:rFonts w:ascii="Book Antiqua" w:hAnsi="Book Antiqua" w:cs="Book Antiqua"/>
          <w:lang w:eastAsia="zh-CN"/>
        </w:rPr>
        <w:t>l</w:t>
      </w:r>
      <w:r>
        <w:rPr>
          <w:rFonts w:ascii="Book Antiqua" w:hAnsi="Book Antiqua" w:eastAsia="Book Antiqua" w:cs="Book Antiqua"/>
        </w:rPr>
        <w:t xml:space="preserve">evels had a worse prognosis than those with lower levels (26.4 mo </w:t>
      </w:r>
      <w:r>
        <w:rPr>
          <w:rFonts w:ascii="Book Antiqua" w:hAnsi="Book Antiqua" w:eastAsia="Book Antiqua" w:cs="Book Antiqua"/>
          <w:i/>
          <w:iCs/>
        </w:rPr>
        <w:t>vs</w:t>
      </w:r>
      <w:r>
        <w:rPr>
          <w:rFonts w:ascii="Book Antiqua" w:hAnsi="Book Antiqua" w:eastAsia="Book Antiqua" w:cs="Book Antiqua"/>
        </w:rPr>
        <w:t xml:space="preserve"> 56.2 mo, </w:t>
      </w:r>
      <w:r>
        <w:rPr>
          <w:rFonts w:ascii="Book Antiqua" w:hAnsi="Book Antiqua" w:eastAsia="Book Antiqua" w:cs="Book Antiqua"/>
          <w:i/>
          <w:iCs/>
        </w:rPr>
        <w:t>P</w:t>
      </w:r>
      <w:r>
        <w:rPr>
          <w:rFonts w:ascii="Book Antiqua" w:hAnsi="Book Antiqua" w:eastAsia="Book Antiqua" w:cs="Book Antiqua"/>
        </w:rPr>
        <w:t xml:space="preserve"> = 0.0330). A correlation analysis demonstrated an association between immune infiltrates and </w:t>
      </w:r>
      <w:r>
        <w:rPr>
          <w:rFonts w:ascii="Book Antiqua" w:hAnsi="Book Antiqua" w:eastAsia="Book Antiqua" w:cs="Book Antiqua"/>
          <w:i/>
          <w:iCs/>
        </w:rPr>
        <w:t>MIB1</w:t>
      </w:r>
      <w:r>
        <w:rPr>
          <w:rFonts w:ascii="Book Antiqua" w:hAnsi="Book Antiqua" w:eastAsia="Book Antiqua" w:cs="Book Antiqua"/>
        </w:rPr>
        <w:t xml:space="preserve"> mRNA expression.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 xml:space="preserve">Upregulation of </w:t>
      </w:r>
      <w:r>
        <w:rPr>
          <w:rFonts w:ascii="Book Antiqua" w:hAnsi="Book Antiqua" w:eastAsia="Book Antiqua" w:cs="Book Antiqua"/>
          <w:i/>
          <w:iCs/>
        </w:rPr>
        <w:t>MIB1</w:t>
      </w:r>
      <w:r>
        <w:rPr>
          <w:rFonts w:ascii="Book Antiqua" w:hAnsi="Book Antiqua" w:eastAsia="Book Antiqua" w:cs="Book Antiqua"/>
        </w:rPr>
        <w:t xml:space="preserve"> expression is significantly associated with poor survival rate and immune infiltration in gastric adenocarcinoma.</w:t>
      </w:r>
      <w:r>
        <w:rPr>
          <w:rFonts w:ascii="Book Antiqua" w:hAnsi="Book Antiqua" w:eastAsia="Book Antiqua" w:cs="Book Antiqua"/>
          <w:color w:val="FF0000"/>
        </w:rPr>
        <w:t xml:space="preserve"> </w:t>
      </w:r>
      <w:r>
        <w:rPr>
          <w:rFonts w:ascii="Book Antiqua" w:hAnsi="Book Antiqua" w:eastAsia="Book Antiqua" w:cs="Book Antiqua"/>
          <w:i/>
          <w:iCs/>
        </w:rPr>
        <w:t>MIB1</w:t>
      </w:r>
      <w:r>
        <w:rPr>
          <w:rFonts w:ascii="Book Antiqua" w:hAnsi="Book Antiqua" w:eastAsia="Book Antiqua" w:cs="Book Antiqua"/>
        </w:rPr>
        <w:t xml:space="preserve"> may be a biomarker for the poor prognosis of </w:t>
      </w:r>
      <w:r>
        <w:rPr>
          <w:rFonts w:ascii="Book Antiqua" w:hAnsi="Book Antiqua" w:eastAsia="Book Antiqua" w:cs="Book Antiqua"/>
          <w:color w:val="101214"/>
        </w:rPr>
        <w:t>STAD</w:t>
      </w:r>
      <w:r>
        <w:rPr>
          <w:rFonts w:ascii="Book Antiqua" w:hAnsi="Book Antiqua" w:eastAsia="Book Antiqua" w:cs="Book Antiqua"/>
        </w:rPr>
        <w:t xml:space="preserve"> patients and a potential immunotherapeutic target.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Stomach adenocarcinoma; Mind bomb 1; Mutation; Prognosis; Biomarker; Immune infiltration</w:t>
      </w:r>
    </w:p>
    <w:p>
      <w:pPr>
        <w:spacing w:line="360" w:lineRule="auto"/>
        <w:jc w:val="both"/>
        <w:rPr>
          <w:rFonts w:ascii="Book Antiqua" w:hAnsi="Book Antiqua"/>
        </w:rPr>
      </w:pPr>
    </w:p>
    <w:p>
      <w:pPr>
        <w:spacing w:line="360" w:lineRule="auto"/>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ascii="Book Antiqua" w:hAnsi="Book Antiqua" w:cs="Book Antiqua"/>
          <w:b/>
          <w:color w:val="000000"/>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color w:val="000000"/>
        </w:rPr>
        <w:t>C</w:t>
      </w:r>
      <w:r>
        <w:rPr>
          <w:rFonts w:hint="eastAsia" w:ascii="Book Antiqua" w:hAnsi="Book Antiqua" w:eastAsia="Book Antiqua" w:cs="Book Antiqua"/>
          <w:b/>
          <w:bCs/>
          <w:color w:val="000000"/>
        </w:rPr>
        <w:t>itation</w:t>
      </w:r>
      <w:r>
        <w:rPr>
          <w:rFonts w:ascii="Book Antiqua" w:hAnsi="Book Antiqua" w:eastAsia="Book Antiqua" w:cs="Book Antiqua"/>
          <w:color w:val="000000"/>
        </w:rPr>
        <w:t xml:space="preserve">: </w:t>
      </w:r>
      <w:r>
        <w:rPr>
          <w:rFonts w:ascii="Book Antiqua" w:hAnsi="Book Antiqua" w:eastAsia="Book Antiqua" w:cs="Book Antiqua"/>
        </w:rPr>
        <w:t xml:space="preserve">Wang D, Wang QH, Luo T, Jia W, Wang J. Comprehensive bioinformatic analysis of mind bomb 1 gene in stomach adenocarcinoma. </w:t>
      </w:r>
      <w:r>
        <w:rPr>
          <w:rFonts w:ascii="Book Antiqua" w:hAnsi="Book Antiqua" w:eastAsia="Book Antiqua" w:cs="Book Antiqua"/>
          <w:i/>
          <w:iCs/>
        </w:rPr>
        <w:t>World J Gastrointest Oncol</w:t>
      </w:r>
      <w:r>
        <w:rPr>
          <w:rFonts w:ascii="Book Antiqua" w:hAnsi="Book Antiqua" w:eastAsia="Book Antiqua" w:cs="Book Antiqua"/>
        </w:rPr>
        <w:t xml:space="preserve"> 2023; </w:t>
      </w:r>
      <w:r>
        <w:rPr>
          <w:rFonts w:hint="eastAsia" w:ascii="Book Antiqua" w:hAnsi="Book Antiqua" w:eastAsia="Book Antiqua" w:cs="Book Antiqua"/>
        </w:rPr>
        <w:t xml:space="preserve">15(7): </w:t>
      </w:r>
      <w:r>
        <w:rPr>
          <w:rFonts w:ascii="Book Antiqua" w:hAnsi="Book Antiqua" w:eastAsia="等线" w:cs="宋体"/>
          <w:color w:val="000000"/>
          <w:sz w:val="20"/>
        </w:rPr>
        <w:t>1295-1310</w:t>
      </w:r>
    </w:p>
    <w:p>
      <w:pPr>
        <w:spacing w:line="360" w:lineRule="auto"/>
        <w:jc w:val="both"/>
        <w:rPr>
          <w:rFonts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https://www.wjgnet.com/1948-5204/full/v15/i7/</w:t>
      </w:r>
      <w:r>
        <w:rPr>
          <w:rFonts w:ascii="Book Antiqua" w:hAnsi="Book Antiqua" w:eastAsia="等线" w:cs="宋体"/>
          <w:color w:val="000000"/>
          <w:sz w:val="20"/>
        </w:rPr>
        <w:t>1295</w:t>
      </w:r>
      <w:r>
        <w:rPr>
          <w:rFonts w:hint="eastAsia" w:ascii="Book Antiqua" w:hAnsi="Book Antiqua" w:eastAsia="Book Antiqua" w:cs="Book Antiqua"/>
        </w:rPr>
        <w:t>.htm</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https://dx.doi.org/10.4251/wjgo.v15.i7.</w:t>
      </w:r>
      <w:r>
        <w:rPr>
          <w:rFonts w:ascii="Book Antiqua" w:hAnsi="Book Antiqua" w:eastAsia="等线" w:cs="宋体"/>
          <w:color w:val="000000"/>
          <w:sz w:val="20"/>
        </w:rPr>
        <w:t>1295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 xml:space="preserve">NOTCH signaling pathway is involved in the occurrence and development of many tumors. </w:t>
      </w:r>
      <w:r>
        <w:rPr>
          <w:rFonts w:ascii="Book Antiqua" w:hAnsi="Book Antiqua" w:eastAsia="Book Antiqua" w:cs="Book Antiqua"/>
        </w:rPr>
        <w:t>Mind bomb 1 (</w:t>
      </w:r>
      <w:r>
        <w:rPr>
          <w:rFonts w:ascii="Book Antiqua" w:hAnsi="Book Antiqua" w:eastAsia="Book Antiqua" w:cs="Book Antiqua"/>
          <w:i/>
          <w:iCs/>
          <w:color w:val="000000"/>
        </w:rPr>
        <w:t>MIB1</w:t>
      </w:r>
      <w:r>
        <w:rPr>
          <w:rFonts w:ascii="Book Antiqua" w:hAnsi="Book Antiqua" w:eastAsia="Book Antiqua" w:cs="Book Antiqua"/>
          <w:color w:val="000000"/>
        </w:rPr>
        <w:t xml:space="preserve">) is one of many E3 ubiquitin ligases in ubiquitin proteasome system, which plays a key role in NOTCH signaling pathway. Several studies showed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participated in the proliferation and metastasis of certain tumor cells, but its role in gastric cancer (GC) remained still unclear. The purpose of our study was to elucidate the relationship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and GC and provide a new idea for the treatment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Gastric cancer (GC) was the world’s leading cause of cancer deaths until the 1980s, when it was surpassed by lung cancer. Currently, the incidence of GC ranks fifth in the world and the fatality rate ranks fourth</w:t>
      </w:r>
      <w:r>
        <w:rPr>
          <w:rFonts w:ascii="Book Antiqua" w:hAnsi="Book Antiqua" w:eastAsia="Book Antiqua" w:cs="Book Antiqua"/>
          <w:color w:val="000000"/>
          <w:vertAlign w:val="superscript"/>
        </w:rPr>
        <w:t>[1]</w:t>
      </w:r>
      <w:r>
        <w:rPr>
          <w:rFonts w:ascii="Book Antiqua" w:hAnsi="Book Antiqua" w:eastAsia="Book Antiqua" w:cs="Book Antiqua"/>
          <w:color w:val="000000"/>
        </w:rPr>
        <w:t>. Despite its worldwide decline in morbidity and mortality rates in the past five years, GC has maintained a high mortality rate of 75% in most parts of the world, which is also the main cause of the global DALY-adjusted life year burden</w:t>
      </w:r>
      <w:r>
        <w:rPr>
          <w:rFonts w:ascii="Book Antiqua" w:hAnsi="Book Antiqua" w:eastAsia="Book Antiqua" w:cs="Book Antiqua"/>
          <w:color w:val="000000"/>
          <w:vertAlign w:val="superscript"/>
        </w:rPr>
        <w:t>[2]</w:t>
      </w:r>
      <w:r>
        <w:rPr>
          <w:rFonts w:ascii="Book Antiqua" w:hAnsi="Book Antiqua" w:eastAsia="Book Antiqua" w:cs="Book Antiqua"/>
          <w:color w:val="000000"/>
        </w:rPr>
        <w:t>, and it is the most burdensome gastrointestinal disease in China</w:t>
      </w:r>
      <w:r>
        <w:rPr>
          <w:rFonts w:ascii="Book Antiqua" w:hAnsi="Book Antiqua" w:eastAsia="Book Antiqua" w:cs="Book Antiqua"/>
          <w:color w:val="000000"/>
          <w:vertAlign w:val="superscript"/>
        </w:rPr>
        <w:t>[3]</w:t>
      </w:r>
      <w:r>
        <w:rPr>
          <w:rFonts w:ascii="Book Antiqua" w:hAnsi="Book Antiqua" w:eastAsia="Book Antiqua" w:cs="Book Antiqua"/>
          <w:color w:val="000000"/>
        </w:rPr>
        <w:t>. Despite worldwide advances in clinical diagnosis and treatment, GC is still characterized by a low early diagnosis rate, low radical resection rate, and low 5-year survival rate, and most patients are first diagnosed when the disease is in an advanced stage</w:t>
      </w:r>
      <w:r>
        <w:rPr>
          <w:rFonts w:ascii="Book Antiqua" w:hAnsi="Book Antiqua" w:eastAsia="Book Antiqua" w:cs="Book Antiqua"/>
          <w:color w:val="000000"/>
          <w:vertAlign w:val="superscript"/>
        </w:rPr>
        <w:t>[4]</w:t>
      </w:r>
      <w:r>
        <w:rPr>
          <w:rFonts w:ascii="Book Antiqua" w:hAnsi="Book Antiqua" w:eastAsia="Book Antiqua" w:cs="Book Antiqua"/>
          <w:color w:val="000000"/>
        </w:rPr>
        <w:t>. Although many therapeutic advances, including surgical treatment, targeted therapy and immunological therapy, have been made in GC</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5-year survival rate of patients primarily diagnosed with advanced stage is still as low as 18%</w:t>
      </w:r>
      <w:r>
        <w:rPr>
          <w:rFonts w:ascii="Book Antiqua" w:hAnsi="Book Antiqua" w:eastAsia="Book Antiqua" w:cs="Book Antiqua"/>
          <w:color w:val="000000"/>
          <w:vertAlign w:val="superscript"/>
        </w:rPr>
        <w:t>[7]</w:t>
      </w:r>
      <w:r>
        <w:rPr>
          <w:rFonts w:ascii="Book Antiqua" w:hAnsi="Book Antiqua" w:eastAsia="Book Antiqua" w:cs="Book Antiqua"/>
          <w:color w:val="000000"/>
        </w:rPr>
        <w:t>, and the peritoneal recurrence rate after surgery is as high as 60%</w:t>
      </w:r>
      <w:r>
        <w:rPr>
          <w:rFonts w:ascii="Book Antiqua" w:hAnsi="Book Antiqua" w:eastAsia="Book Antiqua" w:cs="Book Antiqua"/>
          <w:color w:val="000000"/>
          <w:vertAlign w:val="superscript"/>
        </w:rPr>
        <w:t>[8]</w:t>
      </w:r>
      <w:r>
        <w:rPr>
          <w:rFonts w:ascii="Book Antiqua" w:hAnsi="Book Antiqua" w:eastAsia="Book Antiqua" w:cs="Book Antiqua"/>
          <w:color w:val="000000"/>
        </w:rPr>
        <w:t>. These findings indicate that there is a huge demand for more precise diagnosis and treatment of GC. Therefore, there is an urgent need to find new molecular markers to judge the prognosis of patients with GC.</w:t>
      </w:r>
    </w:p>
    <w:p>
      <w:pPr>
        <w:spacing w:line="360" w:lineRule="auto"/>
        <w:ind w:firstLine="240"/>
        <w:jc w:val="both"/>
        <w:rPr>
          <w:rFonts w:ascii="Book Antiqua" w:hAnsi="Book Antiqua"/>
        </w:rPr>
      </w:pPr>
      <w:r>
        <w:rPr>
          <w:rFonts w:ascii="Book Antiqua" w:hAnsi="Book Antiqua" w:eastAsia="Book Antiqua" w:cs="Book Antiqua"/>
          <w:color w:val="000000"/>
        </w:rPr>
        <w:t xml:space="preserve">GC is a multifactorial disease, and the recognized risk factors include age, male sex, genetic predisposition, </w:t>
      </w:r>
      <w:r>
        <w:rPr>
          <w:rFonts w:ascii="Book Antiqua" w:hAnsi="Book Antiqua" w:eastAsia="Book Antiqua" w:cs="Book Antiqua"/>
          <w:i/>
          <w:iCs/>
          <w:color w:val="000000"/>
        </w:rPr>
        <w:t>Helicobacter pylori</w:t>
      </w:r>
      <w:r>
        <w:rPr>
          <w:rFonts w:ascii="Book Antiqua" w:hAnsi="Book Antiqua" w:eastAsia="Book Antiqua" w:cs="Book Antiqua"/>
          <w:color w:val="000000"/>
        </w:rPr>
        <w:t xml:space="preserve"> (</w:t>
      </w:r>
      <w:r>
        <w:rPr>
          <w:rFonts w:ascii="Book Antiqua" w:hAnsi="Book Antiqua" w:eastAsia="Book Antiqua" w:cs="Book Antiqua"/>
          <w:i/>
          <w:iCs/>
          <w:color w:val="000000"/>
        </w:rPr>
        <w:t>H. pylori</w:t>
      </w:r>
      <w:r>
        <w:rPr>
          <w:rFonts w:ascii="Book Antiqua" w:hAnsi="Book Antiqua" w:eastAsia="Book Antiqua" w:cs="Book Antiqua"/>
          <w:color w:val="000000"/>
        </w:rPr>
        <w:t>) infection, gastroesophageal reflux disease, and lifestyle factors such as smoking, alcohol consumption, and dietary composition</w:t>
      </w:r>
      <w:r>
        <w:rPr>
          <w:rFonts w:ascii="Book Antiqua" w:hAnsi="Book Antiqua" w:eastAsia="Book Antiqua" w:cs="Book Antiqua"/>
          <w:color w:val="000000"/>
          <w:vertAlign w:val="superscript"/>
        </w:rPr>
        <w:t>[9,10]</w:t>
      </w:r>
      <w:r>
        <w:rPr>
          <w:rFonts w:ascii="Book Antiqua" w:hAnsi="Book Antiqua" w:eastAsia="Book Antiqua" w:cs="Book Antiqua"/>
          <w:color w:val="000000"/>
        </w:rPr>
        <w:t>. Among the different types, 95% of GC cases are stomach adenocarcinoma (STAD)</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combination of several variables, including genetics, epigenetics and the external environment, that may collectively result in the unregulated signaling pathway of cancer pathogenesis can be characterized as the pathogenesis of GC</w:t>
      </w:r>
      <w:r>
        <w:rPr>
          <w:rFonts w:ascii="Book Antiqua" w:hAnsi="Book Antiqua" w:eastAsia="Book Antiqua" w:cs="Book Antiqua"/>
          <w:color w:val="000000"/>
          <w:vertAlign w:val="superscript"/>
        </w:rPr>
        <w:t>[12,13]</w:t>
      </w:r>
      <w:r>
        <w:rPr>
          <w:rFonts w:ascii="Book Antiqua" w:hAnsi="Book Antiqua" w:eastAsia="Book Antiqua" w:cs="Book Antiqua"/>
          <w:color w:val="000000"/>
        </w:rPr>
        <w:t>. In addition, it is widely believed that dysfunctional oncogenic pathways contribute to the pathogenesis of GC, which might include the epidermal growth factor receptor, Notch, Hedgehog, nuclear factor-κB, and Wnt/β-catenin pathways</w:t>
      </w:r>
      <w:r>
        <w:rPr>
          <w:rFonts w:ascii="Book Antiqua" w:hAnsi="Book Antiqua" w:eastAsia="Book Antiqua" w:cs="Book Antiqua"/>
          <w:color w:val="000000"/>
          <w:vertAlign w:val="superscript"/>
        </w:rPr>
        <w:t>[14]</w:t>
      </w:r>
      <w:r>
        <w:rPr>
          <w:rFonts w:ascii="Book Antiqua" w:hAnsi="Book Antiqua" w:eastAsia="Book Antiqua" w:cs="Book Antiqua"/>
          <w:color w:val="000000"/>
        </w:rPr>
        <w:t>. Among these pathways, the Notch signaling pathway is involved in direct cell-to-cell communication, cell differentiation, proliferation and apoptosis</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No</w:t>
      </w:r>
      <w:r>
        <w:rPr>
          <w:rFonts w:hint="eastAsia" w:ascii="Book Antiqua" w:hAnsi="Book Antiqua" w:eastAsia="宋体" w:cs="Book Antiqua"/>
          <w:color w:val="000000"/>
          <w:lang w:val="en-US" w:eastAsia="zh-CN"/>
        </w:rPr>
        <w:t>t</w:t>
      </w:r>
      <w:r>
        <w:rPr>
          <w:rFonts w:ascii="Book Antiqua" w:hAnsi="Book Antiqua" w:eastAsia="Book Antiqua" w:cs="Book Antiqua"/>
          <w:color w:val="000000"/>
        </w:rPr>
        <w:t>ch signaling is a highly conserved pathway in multicellular animals that regulates the cell fates and upholds homeostasis in adult tissues. Numerous reports have confirmed the role of Notch signaling in both carcinogenesis and antitumor effects in different backgrounds</w:t>
      </w:r>
      <w:r>
        <w:rPr>
          <w:rFonts w:ascii="Book Antiqua" w:hAnsi="Book Antiqua" w:eastAsia="Book Antiqua" w:cs="Book Antiqua"/>
          <w:color w:val="000000"/>
          <w:vertAlign w:val="superscript"/>
        </w:rPr>
        <w:t>[16,17]</w:t>
      </w:r>
      <w:r>
        <w:rPr>
          <w:rFonts w:ascii="Book Antiqua" w:hAnsi="Book Antiqua" w:eastAsia="Book Antiqua" w:cs="Book Antiqua"/>
          <w:color w:val="000000"/>
        </w:rPr>
        <w:t>. Notch secretion signaling can modulate heterotypic interactions between the stroma and tumor and vice versa. These interactions have been shown to regulate many aspects of oncobiology, such as angiogenesis, cancer stem cell maintenance, immune infiltration, and resistance to therapy. These functions provide evidence for the environmental dependence of Notch-induced cellular responses</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Mind bomb 1 (</w:t>
      </w:r>
      <w:r>
        <w:rPr>
          <w:rFonts w:ascii="Book Antiqua" w:hAnsi="Book Antiqua" w:eastAsia="Book Antiqua" w:cs="Book Antiqua"/>
          <w:i/>
          <w:iCs/>
          <w:color w:val="000000"/>
        </w:rPr>
        <w:t>MIB1</w:t>
      </w:r>
      <w:r>
        <w:rPr>
          <w:rFonts w:ascii="Book Antiqua" w:hAnsi="Book Antiqua" w:eastAsia="Book Antiqua" w:cs="Book Antiqua"/>
          <w:color w:val="000000"/>
        </w:rPr>
        <w:t>), a large multidomain RING-type E3 ubiquitin-protein ligase</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which activates Notch signaling by promoting ubiquitination, endocytosis and subsequent activation of Notch ligands, plays a central role in the conduction of Notch signaling pathway. Inhibition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l</w:t>
      </w:r>
      <w:r>
        <w:rPr>
          <w:rFonts w:ascii="Book Antiqua" w:hAnsi="Book Antiqua" w:eastAsia="Book Antiqua" w:cs="Book Antiqua"/>
          <w:color w:val="000000"/>
        </w:rPr>
        <w:t>eaded to the decrease of Notch signal activation in mammalian cells, which was fatal to mouse embryos with Notch activation deficiency</w:t>
      </w:r>
      <w:r>
        <w:rPr>
          <w:rFonts w:ascii="Book Antiqua" w:hAnsi="Book Antiqua" w:eastAsia="Book Antiqua" w:cs="Book Antiqua"/>
          <w:color w:val="000000"/>
          <w:vertAlign w:val="superscript"/>
        </w:rPr>
        <w:t>[20,21]</w:t>
      </w:r>
      <w:r>
        <w:rPr>
          <w:rFonts w:ascii="Book Antiqua" w:hAnsi="Book Antiqua" w:eastAsia="Book Antiqua" w:cs="Book Antiqua"/>
          <w:color w:val="000000"/>
        </w:rPr>
        <w:t xml:space="preserve">. Vitro experiments confirmed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can induce degradation of suppressor of tumorigenicity 7 protein (ST7) to upregulate the IQ motif containing GTPase activating protein 1 (IQGAP1) in pancreatic cancer cells to promote tumor growth and progression, and also regulate the resistance of pancreatic cancer cells to gemcitabine</w:t>
      </w:r>
      <w:r>
        <w:rPr>
          <w:rFonts w:ascii="Book Antiqua" w:hAnsi="Book Antiqua" w:eastAsia="Book Antiqua" w:cs="Book Antiqua"/>
          <w:color w:val="000000"/>
          <w:vertAlign w:val="superscript"/>
        </w:rPr>
        <w:t>[22,23]</w:t>
      </w:r>
      <w:r>
        <w:rPr>
          <w:rFonts w:ascii="Book Antiqua" w:hAnsi="Book Antiqua" w:eastAsia="Book Antiqua" w:cs="Book Antiqua"/>
          <w:color w:val="000000"/>
        </w:rPr>
        <w:t xml:space="preserve">. It has been reported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ubiquitous in breast cancer to mediate JAG1 ubiquitination and activate Notch signal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Aside from ubiquitinating the NOTCH ligand, </w:t>
      </w:r>
      <w:r>
        <w:rPr>
          <w:rFonts w:ascii="Book Antiqua" w:hAnsi="Book Antiqua" w:eastAsia="Book Antiqua" w:cs="Book Antiqua"/>
          <w:i/>
          <w:iCs/>
          <w:color w:val="000000"/>
        </w:rPr>
        <w:t>MIB1</w:t>
      </w:r>
      <w:r>
        <w:rPr>
          <w:rFonts w:ascii="Book Antiqua" w:hAnsi="Book Antiqua" w:eastAsia="Book Antiqua" w:cs="Book Antiqua"/>
          <w:color w:val="000000"/>
        </w:rPr>
        <w:t xml:space="preserve"> also ubiquitinated Ctnnd1 to regulate the migration of cells</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However, it remains unclear that the influence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on GC because of the limited research on </w:t>
      </w:r>
      <w:r>
        <w:rPr>
          <w:rFonts w:ascii="Book Antiqua" w:hAnsi="Book Antiqua" w:eastAsia="Book Antiqua" w:cs="Book Antiqua"/>
          <w:i/>
          <w:iCs/>
          <w:color w:val="000000"/>
        </w:rPr>
        <w:t>MIB1</w:t>
      </w:r>
      <w:r>
        <w:rPr>
          <w:rFonts w:ascii="Book Antiqua" w:hAnsi="Book Antiqua" w:eastAsia="Book Antiqua" w:cs="Book Antiqua"/>
          <w:color w:val="000000"/>
        </w:rPr>
        <w:t xml:space="preserve">. Our study aimed to determine whether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associated with prognosis in STAD and whether </w:t>
      </w:r>
      <w:r>
        <w:rPr>
          <w:rFonts w:ascii="Book Antiqua" w:hAnsi="Book Antiqua" w:eastAsia="Book Antiqua" w:cs="Book Antiqua"/>
          <w:i/>
          <w:iCs/>
          <w:color w:val="000000"/>
        </w:rPr>
        <w:t>MIB1</w:t>
      </w:r>
      <w:r>
        <w:rPr>
          <w:rFonts w:ascii="Book Antiqua" w:hAnsi="Book Antiqua" w:eastAsia="Book Antiqua" w:cs="Book Antiqua"/>
          <w:color w:val="000000"/>
        </w:rPr>
        <w:t xml:space="preserve"> could be regarded as a potential therapeutic target.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design</w:t>
      </w:r>
    </w:p>
    <w:p>
      <w:pPr>
        <w:spacing w:line="360" w:lineRule="auto"/>
        <w:jc w:val="both"/>
        <w:rPr>
          <w:rFonts w:ascii="Book Antiqua" w:hAnsi="Book Antiqua"/>
        </w:rPr>
      </w:pPr>
      <w:r>
        <w:rPr>
          <w:rFonts w:ascii="Book Antiqua" w:hAnsi="Book Antiqua" w:eastAsia="Book Antiqua" w:cs="Book Antiqua"/>
          <w:color w:val="000000"/>
        </w:rPr>
        <w:t xml:space="preserve">Briefly, the design of this study was as follows: First, the mutation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The Cancer Genome Atlas (TCGA)-STAD data was investigated, and the differences in overall survival (OS) and disease-free survival (DFS) between the patient group with mutations and the group without mutations in </w:t>
      </w:r>
      <w:r>
        <w:rPr>
          <w:rFonts w:ascii="Book Antiqua" w:hAnsi="Book Antiqua" w:eastAsia="Book Antiqua" w:cs="Book Antiqua"/>
          <w:i/>
          <w:iCs/>
          <w:color w:val="000000"/>
        </w:rPr>
        <w:t>MIB1</w:t>
      </w:r>
      <w:r>
        <w:rPr>
          <w:rFonts w:ascii="Book Antiqua" w:hAnsi="Book Antiqua" w:eastAsia="Book Antiqua" w:cs="Book Antiqua"/>
          <w:color w:val="000000"/>
        </w:rPr>
        <w:t xml:space="preserve"> were obtained. Second, data on the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pan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cancer and STAD were acquired. Survival analysis was performed to study the prognostic value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STAD from the aspect of receiver operating characteristic (ROC) curve and OS. Then, we obtained coexpressed genes from LinkedOmics, conducted Gene Ontology (GO) enrichment analysis and Kyoto Encyclopedia of Genes and Genomes (KEGG) pathway analysis on the top 200 related genes, and subsequently displayed the top 50 positively and negatively correlated genes. Finally, enrichment analysis of differentially expressed genes was conducted to determine the biological function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significantly differentially enriched genes (DEGs). In addition, the role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STAD was explored by studying the correlation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immune infiltrating cells.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cBioPortal analysis</w:t>
      </w:r>
    </w:p>
    <w:p>
      <w:pPr>
        <w:spacing w:line="360" w:lineRule="auto"/>
        <w:jc w:val="both"/>
        <w:rPr>
          <w:rFonts w:ascii="Book Antiqua" w:hAnsi="Book Antiqua"/>
        </w:rPr>
      </w:pPr>
      <w:r>
        <w:rPr>
          <w:rFonts w:ascii="Book Antiqua" w:hAnsi="Book Antiqua" w:eastAsia="Book Antiqua" w:cs="Book Antiqua"/>
          <w:color w:val="000000"/>
        </w:rPr>
        <w:t xml:space="preserve">The cBioPortal for Cancer Genomics (https://www.cbioportal.org/) was used to study the relationship between the mutation of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in STAD and the OS or DFS of patients, and visual analysis was performed. In this database, STAD (TCGA, Nature 2014) was selected for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Expression of MIB1 gene</w:t>
      </w:r>
    </w:p>
    <w:p>
      <w:pPr>
        <w:spacing w:line="360" w:lineRule="auto"/>
        <w:jc w:val="both"/>
        <w:rPr>
          <w:rFonts w:ascii="Book Antiqua" w:hAnsi="Book Antiqua"/>
        </w:rPr>
      </w:pPr>
      <w:r>
        <w:rPr>
          <w:rFonts w:ascii="Book Antiqua" w:hAnsi="Book Antiqua" w:eastAsia="Book Antiqua" w:cs="Book Antiqua"/>
          <w:color w:val="000000"/>
        </w:rPr>
        <w:t xml:space="preserve">The official website of the TCGA (https://portal.gdc.cancer.gov/) was used to download the RNA-seq expression data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for STAD. Thirty-two examples of neighboring normal tissues and a total of 375 cases of gastric adenocarcinoma were preserved. The chosen samples included data on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expression as well as pertinent clinical data, such as age, sex, HP, T stage, N stage, and M stage. The mean and standard deviation were used to describe the mRNA expression data. No permission from the ethical committee was needed for this investigation because all of the data were downloaded from the public database.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Survival analysis</w:t>
      </w:r>
    </w:p>
    <w:p>
      <w:pPr>
        <w:spacing w:line="360" w:lineRule="auto"/>
        <w:jc w:val="both"/>
        <w:rPr>
          <w:rFonts w:ascii="Book Antiqua" w:hAnsi="Book Antiqua"/>
        </w:rPr>
      </w:pPr>
      <w:r>
        <w:rPr>
          <w:rFonts w:ascii="Book Antiqua" w:hAnsi="Book Antiqua" w:eastAsia="Book Antiqua" w:cs="Book Antiqua"/>
          <w:color w:val="000000"/>
        </w:rPr>
        <w:t>Kaplan-Meier curves were drawn using the Kaplan-Meier Plotter Web tool (https://kmplot.com/). Based on median gene expression, patients were split into two groups, and the log-rank test was used to compare the survival rates between the “high” expression group (red line) and the “low” expression group (blue line). We evaluated predictive factors, specifically 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LinkedOmics database and protein-protein interaction networks</w:t>
      </w:r>
    </w:p>
    <w:p>
      <w:pPr>
        <w:spacing w:line="360" w:lineRule="auto"/>
        <w:jc w:val="both"/>
        <w:rPr>
          <w:rFonts w:ascii="Book Antiqua" w:hAnsi="Book Antiqua"/>
        </w:rPr>
      </w:pPr>
      <w:r>
        <w:rPr>
          <w:rFonts w:ascii="Book Antiqua" w:hAnsi="Book Antiqua" w:eastAsia="Book Antiqua" w:cs="Book Antiqua"/>
          <w:color w:val="000000"/>
        </w:rPr>
        <w:t xml:space="preserve">With the use of LinkedOmics database (http://www.linkedomics.org/), a volcano plot showing the relationship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members and 200 co-expressed genes in GC was created and the top 50 positively and negatively correlated genes were analyzed. The Metascape database (https://metascape.org/) was used to provide GO enrichment analysis and KEGG pathway keywords for these top 200 genes. STRING (https://string-db.org/) was used to find the genes having the strongest interactions with </w:t>
      </w:r>
      <w:r>
        <w:rPr>
          <w:rFonts w:ascii="Book Antiqua" w:hAnsi="Book Antiqua" w:eastAsia="Book Antiqua" w:cs="Book Antiqua"/>
          <w:i/>
          <w:iCs/>
          <w:color w:val="000000"/>
        </w:rPr>
        <w:t>MIB1</w:t>
      </w:r>
      <w:r>
        <w:rPr>
          <w:rFonts w:ascii="Book Antiqua" w:hAnsi="Book Antiqua" w:eastAsia="Book Antiqua" w:cs="Book Antiqua"/>
          <w:color w:val="000000"/>
        </w:rPr>
        <w:t>, and generated the associated protein-protein interaction network with an interaction score &gt; 0.4.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Functional enrichment analysis</w:t>
      </w:r>
    </w:p>
    <w:p>
      <w:pPr>
        <w:spacing w:line="360" w:lineRule="auto"/>
        <w:jc w:val="both"/>
        <w:rPr>
          <w:rFonts w:ascii="Book Antiqua" w:hAnsi="Book Antiqua"/>
        </w:rPr>
      </w:pPr>
      <w:r>
        <w:rPr>
          <w:rFonts w:ascii="Book Antiqua" w:hAnsi="Book Antiqua" w:eastAsia="Book Antiqua" w:cs="Book Antiqua"/>
          <w:color w:val="000000"/>
        </w:rPr>
        <w:t xml:space="preserve">The median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level was used to categorize expression data (HTseq-Counts) into high and low expression groups, which were then further examined using the DESeq2 R package (3.6.3). Adjusted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and |log2(FC)| &gt; 1.5 were considered the thresholds to obtain DEGs, and GO enrichment analysis and KEGG pathway analysis of DEGs were performed by the “Cluster Profiler” package and visualized by the “ggplot2” package.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Tumor Immune Evaluation Resource database</w:t>
      </w:r>
    </w:p>
    <w:p>
      <w:pPr>
        <w:spacing w:line="360" w:lineRule="auto"/>
        <w:jc w:val="both"/>
        <w:rPr>
          <w:rFonts w:ascii="Book Antiqua" w:hAnsi="Book Antiqua"/>
        </w:rPr>
      </w:pPr>
      <w:r>
        <w:rPr>
          <w:rFonts w:ascii="Book Antiqua" w:hAnsi="Book Antiqua" w:eastAsia="Book Antiqua" w:cs="Book Antiqua"/>
          <w:color w:val="000000"/>
        </w:rPr>
        <w:t xml:space="preserve">Tumor Immune Evaluation Resource (TIMER, https://cistrome.shinyapps.io/timer/) is a comprehensive online resource for systematically analyzing immune infiltration in various cancer types. The connection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and six different immune infiltrating cells in gastric adenocarcinomas, including B cells, CD4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neutrophils, macrophages, and dendritic cells, was examined in our study by using TIMER. We also obtained the correlation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24 tumor-infiltrating lymphocytes (TILs) by single-sample gene set enrichment analysis (ssGSEA), which was realized by the GSVA package. The Spearman test was used to measure the correlation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TILs.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All statistical analyses were performed using R (V</w:t>
      </w:r>
      <w:r>
        <w:rPr>
          <w:rFonts w:ascii="Book Antiqua" w:hAnsi="Book Antiqua" w:cs="Book Antiqua"/>
          <w:color w:val="000000"/>
          <w:lang w:eastAsia="zh-CN"/>
        </w:rPr>
        <w:t xml:space="preserve"> </w:t>
      </w:r>
      <w:r>
        <w:rPr>
          <w:rFonts w:ascii="Book Antiqua" w:hAnsi="Book Antiqua" w:eastAsia="Book Antiqua" w:cs="Book Antiqua"/>
          <w:color w:val="000000"/>
        </w:rPr>
        <w:t xml:space="preserve">3.6.3). The differences between the gastric adenocarcinoma tissues and surrounding normal tissues were assessed using paired </w:t>
      </w:r>
      <w:r>
        <w:rPr>
          <w:rFonts w:ascii="Book Antiqua" w:hAnsi="Book Antiqua" w:eastAsia="Book Antiqua" w:cs="Book Antiqua"/>
          <w:i/>
          <w:iCs/>
          <w:color w:val="000000"/>
        </w:rPr>
        <w:t>t</w:t>
      </w:r>
      <w:r>
        <w:rPr>
          <w:rFonts w:ascii="Book Antiqua" w:hAnsi="Book Antiqua" w:eastAsia="Book Antiqua" w:cs="Book Antiqua"/>
          <w:color w:val="000000"/>
        </w:rPr>
        <w:t xml:space="preserve"> tests and Mann-Whitney tests. The pROC software program was used to create a ROC curve in order to determine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cutoff value. The impact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on survival was assessed using Kaplan-Meier and log-rank testing.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Mutation and mRNA expression of the MIB1 gene in STAD</w:t>
      </w:r>
    </w:p>
    <w:p>
      <w:pPr>
        <w:spacing w:line="360" w:lineRule="auto"/>
        <w:jc w:val="both"/>
        <w:rPr>
          <w:rFonts w:ascii="Book Antiqua" w:hAnsi="Book Antiqua"/>
        </w:rPr>
      </w:pPr>
      <w:r>
        <w:rPr>
          <w:rFonts w:ascii="Book Antiqua" w:hAnsi="Book Antiqua" w:eastAsia="Book Antiqua" w:cs="Book Antiqua"/>
          <w:color w:val="000000"/>
        </w:rPr>
        <w:t xml:space="preserve">Mutation of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was analyzed in STAD patients using the online cBioPortal database, and the genetic alterations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STAD were 6% (Figure 1A). Mutation data and copy number alteration (CNA) data </w:t>
      </w:r>
      <w:r>
        <w:rPr>
          <w:rFonts w:hint="eastAsia" w:ascii="Book Antiqua" w:hAnsi="Book Antiqua" w:eastAsia="宋体" w:cs="Book Antiqua"/>
          <w:color w:val="000000"/>
          <w:lang w:val="en-US" w:eastAsia="zh-CN"/>
        </w:rPr>
        <w:t>we</w:t>
      </w:r>
      <w:r>
        <w:rPr>
          <w:rFonts w:ascii="Book Antiqua" w:hAnsi="Book Antiqua" w:eastAsia="Book Antiqua" w:cs="Book Antiqua"/>
          <w:color w:val="000000"/>
        </w:rPr>
        <w:t>re shown in Figure 1B. Patients with and without mutations did not have a significantly different OS rate (</w:t>
      </w:r>
      <w:r>
        <w:rPr>
          <w:rFonts w:ascii="Book Antiqua" w:hAnsi="Book Antiqua" w:eastAsia="Book Antiqua" w:cs="Book Antiqua"/>
          <w:i/>
          <w:iCs/>
          <w:color w:val="000000"/>
        </w:rPr>
        <w:t>P</w:t>
      </w:r>
      <w:r>
        <w:rPr>
          <w:rFonts w:ascii="Book Antiqua" w:hAnsi="Book Antiqua" w:eastAsia="Book Antiqua" w:cs="Book Antiqua"/>
          <w:color w:val="000000"/>
        </w:rPr>
        <w:t xml:space="preserve"> = 0.8900). Nevertheless, the DFS rate of the group with mutations was much lower than that of the group without mutations (</w:t>
      </w:r>
      <w:r>
        <w:rPr>
          <w:rFonts w:ascii="Book Antiqua" w:hAnsi="Book Antiqua" w:eastAsia="Book Antiqua" w:cs="Book Antiqua"/>
          <w:i/>
          <w:iCs/>
          <w:color w:val="000000"/>
        </w:rPr>
        <w:t>P</w:t>
      </w:r>
      <w:r>
        <w:rPr>
          <w:rFonts w:ascii="Book Antiqua" w:hAnsi="Book Antiqua" w:eastAsia="Book Antiqua" w:cs="Book Antiqua"/>
          <w:color w:val="000000"/>
        </w:rPr>
        <w:t xml:space="preserve"> = 0.0156) (Figure 1C and </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 xml:space="preserve">D). As shown in Figure 2A,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considerably upregulated in a range of tumor tissues when compared to adjacent normal tissues, demonstrating that mRNA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abnormally expressed in several cancer types. Analysis of unpaired data showed that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mRNA in STAD tissues (</w:t>
      </w:r>
      <w:r>
        <w:rPr>
          <w:rFonts w:ascii="Book Antiqua" w:hAnsi="Book Antiqua" w:eastAsia="Book Antiqua" w:cs="Book Antiqua"/>
          <w:i/>
          <w:iCs/>
          <w:color w:val="000000"/>
        </w:rPr>
        <w:t>n</w:t>
      </w:r>
      <w:r>
        <w:rPr>
          <w:rFonts w:ascii="Book Antiqua" w:hAnsi="Book Antiqua" w:eastAsia="Book Antiqua" w:cs="Book Antiqua"/>
          <w:color w:val="000000"/>
        </w:rPr>
        <w:t xml:space="preserve"> = 375) was significantly higher than that in adjacent normal tissues (</w:t>
      </w:r>
      <w:r>
        <w:rPr>
          <w:rFonts w:ascii="Book Antiqua" w:hAnsi="Book Antiqua" w:eastAsia="Book Antiqua" w:cs="Book Antiqua"/>
          <w:i/>
          <w:iCs/>
          <w:color w:val="000000"/>
        </w:rPr>
        <w:t>n</w:t>
      </w:r>
      <w:r>
        <w:rPr>
          <w:rFonts w:ascii="Book Antiqua" w:hAnsi="Book Antiqua" w:eastAsia="Book Antiqua" w:cs="Book Antiqua"/>
          <w:color w:val="000000"/>
        </w:rPr>
        <w:t xml:space="preserve"> = 32) (Figure 2B; 2.807 ± 0.584 </w:t>
      </w:r>
      <w:r>
        <w:rPr>
          <w:rFonts w:ascii="Book Antiqua" w:hAnsi="Book Antiqua" w:eastAsia="Book Antiqua" w:cs="Book Antiqua"/>
          <w:i/>
          <w:iCs/>
          <w:color w:val="000000"/>
        </w:rPr>
        <w:t>vs</w:t>
      </w:r>
      <w:r>
        <w:rPr>
          <w:rFonts w:ascii="Book Antiqua" w:hAnsi="Book Antiqua" w:eastAsia="Book Antiqua" w:cs="Book Antiqua"/>
          <w:color w:val="000000"/>
        </w:rPr>
        <w:t xml:space="preserve"> 2.218 ± 0.495,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Paired data analysis also showed that the mRNA expression level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gastric adenocarcinoma tissues was significantly higher than that in adjacent normal tissues (</w:t>
      </w:r>
      <w:r>
        <w:rPr>
          <w:rFonts w:ascii="Book Antiqua" w:hAnsi="Book Antiqua" w:eastAsia="Book Antiqua" w:cs="Book Antiqua"/>
          <w:i/>
          <w:iCs/>
          <w:color w:val="000000"/>
        </w:rPr>
        <w:t>n</w:t>
      </w:r>
      <w:r>
        <w:rPr>
          <w:rFonts w:ascii="Book Antiqua" w:hAnsi="Book Antiqua" w:eastAsia="Book Antiqua" w:cs="Book Antiqua"/>
          <w:color w:val="000000"/>
        </w:rPr>
        <w:t xml:space="preserve"> = 27) (Figure 2C; 2.562 ± 0.696 </w:t>
      </w:r>
      <w:r>
        <w:rPr>
          <w:rFonts w:ascii="Book Antiqua" w:hAnsi="Book Antiqua" w:eastAsia="Book Antiqua" w:cs="Book Antiqua"/>
          <w:i/>
          <w:iCs/>
          <w:color w:val="000000"/>
        </w:rPr>
        <w:t>vs</w:t>
      </w:r>
      <w:r>
        <w:rPr>
          <w:rFonts w:ascii="Book Antiqua" w:hAnsi="Book Antiqua" w:eastAsia="Book Antiqua" w:cs="Book Antiqua"/>
          <w:color w:val="000000"/>
        </w:rPr>
        <w:t xml:space="preserve"> 2.239 ± 0.506, </w:t>
      </w:r>
      <w:r>
        <w:rPr>
          <w:rFonts w:ascii="Book Antiqua" w:hAnsi="Book Antiqua" w:eastAsia="Book Antiqua" w:cs="Book Antiqua"/>
          <w:i/>
          <w:iCs/>
          <w:color w:val="000000"/>
        </w:rPr>
        <w:t xml:space="preserve">P </w:t>
      </w:r>
      <w:r>
        <w:rPr>
          <w:rFonts w:ascii="Book Antiqua" w:hAnsi="Book Antiqua" w:eastAsia="Book Antiqua" w:cs="Book Antiqua"/>
          <w:color w:val="000000"/>
        </w:rPr>
        <w:t>&lt; 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Relationship between the mRNA level of MIB1 and clinicopathological features in patients with gastric adenocarcinoma</w:t>
      </w:r>
    </w:p>
    <w:p>
      <w:pPr>
        <w:spacing w:line="360" w:lineRule="auto"/>
        <w:jc w:val="both"/>
        <w:rPr>
          <w:rFonts w:ascii="Book Antiqua" w:hAnsi="Book Antiqua"/>
        </w:rPr>
      </w:pPr>
      <w:r>
        <w:rPr>
          <w:rFonts w:ascii="Book Antiqua" w:hAnsi="Book Antiqua" w:eastAsia="Book Antiqua" w:cs="Book Antiqua"/>
          <w:color w:val="000000"/>
        </w:rPr>
        <w:t xml:space="preserve">The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and logistic regression analysis were performed to evaluate the relationship between the mRNA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the clinicopathological characteristics of gastric adenocarcinoma samples. As shown in Table 1, the expression level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higher in patients with a high T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0.017) and pathological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0.032). However, the expression level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associated with other clinicopathological features, such as age (</w:t>
      </w:r>
      <w:r>
        <w:rPr>
          <w:rFonts w:ascii="Book Antiqua" w:hAnsi="Book Antiqua" w:eastAsia="Book Antiqua" w:cs="Book Antiqua"/>
          <w:i/>
          <w:iCs/>
          <w:color w:val="000000"/>
        </w:rPr>
        <w:t>P</w:t>
      </w:r>
      <w:r>
        <w:rPr>
          <w:rFonts w:ascii="Book Antiqua" w:hAnsi="Book Antiqua" w:eastAsia="Book Antiqua" w:cs="Book Antiqua"/>
          <w:color w:val="000000"/>
        </w:rPr>
        <w:t xml:space="preserve"> = 0.423), sex (</w:t>
      </w:r>
      <w:r>
        <w:rPr>
          <w:rFonts w:ascii="Book Antiqua" w:hAnsi="Book Antiqua" w:eastAsia="Book Antiqua" w:cs="Book Antiqua"/>
          <w:i/>
          <w:iCs/>
          <w:color w:val="000000"/>
        </w:rPr>
        <w:t>P</w:t>
      </w:r>
      <w:r>
        <w:rPr>
          <w:rFonts w:ascii="Book Antiqua" w:hAnsi="Book Antiqua" w:eastAsia="Book Antiqua" w:cs="Book Antiqua"/>
          <w:color w:val="000000"/>
        </w:rPr>
        <w:t xml:space="preserve"> = 0.884), N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 0.433), M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 1.000), tissue type (</w:t>
      </w:r>
      <w:r>
        <w:rPr>
          <w:rFonts w:ascii="Book Antiqua" w:hAnsi="Book Antiqua" w:eastAsia="Book Antiqua" w:cs="Book Antiqua"/>
          <w:i/>
          <w:iCs/>
          <w:color w:val="000000"/>
        </w:rPr>
        <w:t>P</w:t>
      </w:r>
      <w:r>
        <w:rPr>
          <w:rFonts w:ascii="Book Antiqua" w:hAnsi="Book Antiqua" w:eastAsia="Book Antiqua" w:cs="Book Antiqua"/>
          <w:color w:val="000000"/>
        </w:rPr>
        <w:t xml:space="preserve"> = 0.448), and </w:t>
      </w:r>
      <w:r>
        <w:rPr>
          <w:rFonts w:ascii="Book Antiqua" w:hAnsi="Book Antiqua" w:eastAsia="Book Antiqua" w:cs="Book Antiqua"/>
          <w:i/>
          <w:iCs/>
          <w:color w:val="000000"/>
        </w:rPr>
        <w:t>H. pylori</w:t>
      </w:r>
      <w:r>
        <w:rPr>
          <w:rFonts w:ascii="Book Antiqua" w:hAnsi="Book Antiqua" w:eastAsia="Book Antiqua" w:cs="Book Antiqua"/>
          <w:color w:val="000000"/>
        </w:rPr>
        <w:t xml:space="preserve"> infection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0.470). In conclusion,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associated with high T stage and pathological stage, which further suggested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be used as a biomarker for the poor prognosis of gastric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Diagnostic value of MIB1 gene expression in STAD</w:t>
      </w:r>
    </w:p>
    <w:p>
      <w:pPr>
        <w:spacing w:line="360" w:lineRule="auto"/>
        <w:jc w:val="both"/>
        <w:rPr>
          <w:rFonts w:ascii="Book Antiqua" w:hAnsi="Book Antiqua"/>
        </w:rPr>
      </w:pPr>
      <w:r>
        <w:rPr>
          <w:rFonts w:ascii="Book Antiqua" w:hAnsi="Book Antiqua" w:eastAsia="Book Antiqua" w:cs="Book Antiqua"/>
          <w:color w:val="000000"/>
        </w:rPr>
        <w:t xml:space="preserve">The usefulness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separating GC samples from normal samples was investigated using ROC curve analysis. As shown in Figure 2D, the ROC curve showed that the area under the curve (AUC) value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0.783 (95%CI: 0.704-0.861). The sensitivity and specificity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were respectively 59.4% and 85.6% at the cutoff value of 2.248. Positive and negative predictive values were 26.0% and 96.1%, respectively. These findings suggested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be a potential biomarker to differentiate between normal tissues and stomach cancer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Relationship between gene expression level of MIB1 and OS</w:t>
      </w:r>
    </w:p>
    <w:p>
      <w:pPr>
        <w:spacing w:line="360" w:lineRule="auto"/>
        <w:jc w:val="both"/>
        <w:rPr>
          <w:rFonts w:ascii="Book Antiqua" w:hAnsi="Book Antiqua"/>
        </w:rPr>
      </w:pPr>
      <w:r>
        <w:rPr>
          <w:rFonts w:ascii="Book Antiqua" w:hAnsi="Book Antiqua" w:eastAsia="Book Antiqua" w:cs="Book Antiqua"/>
          <w:color w:val="000000"/>
        </w:rPr>
        <w:t xml:space="preserve">As shown in Figure 2E, patients with gastric adenocarcinoma who had high </w:t>
      </w:r>
      <w:r>
        <w:rPr>
          <w:rFonts w:ascii="Book Antiqua" w:hAnsi="Book Antiqua" w:eastAsia="Book Antiqua" w:cs="Book Antiqua"/>
          <w:i/>
          <w:iCs/>
          <w:color w:val="000000"/>
        </w:rPr>
        <w:t>MIB1</w:t>
      </w:r>
      <w:r>
        <w:rPr>
          <w:rFonts w:ascii="Book Antiqua" w:hAnsi="Book Antiqua" w:eastAsia="Book Antiqua" w:cs="Book Antiqua"/>
          <w:color w:val="000000"/>
        </w:rPr>
        <w:t xml:space="preserve"> Levels compared to those who had low </w:t>
      </w:r>
      <w:r>
        <w:rPr>
          <w:rFonts w:ascii="Book Antiqua" w:hAnsi="Book Antiqua" w:eastAsia="Book Antiqua" w:cs="Book Antiqua"/>
          <w:i/>
          <w:iCs/>
          <w:color w:val="000000"/>
        </w:rPr>
        <w:t>MIB1</w:t>
      </w:r>
      <w:r>
        <w:rPr>
          <w:rFonts w:ascii="Book Antiqua" w:hAnsi="Book Antiqua" w:eastAsia="Book Antiqua" w:cs="Book Antiqua"/>
          <w:color w:val="000000"/>
        </w:rPr>
        <w:t xml:space="preserve"> Levels had significantly worse OS (26.4 mo </w:t>
      </w:r>
      <w:r>
        <w:rPr>
          <w:rFonts w:ascii="Book Antiqua" w:hAnsi="Book Antiqua" w:eastAsia="Book Antiqua" w:cs="Book Antiqua"/>
          <w:i/>
          <w:iCs/>
          <w:color w:val="000000"/>
        </w:rPr>
        <w:t>vs</w:t>
      </w:r>
      <w:r>
        <w:rPr>
          <w:rFonts w:ascii="Book Antiqua" w:hAnsi="Book Antiqua" w:eastAsia="Book Antiqua" w:cs="Book Antiqua"/>
          <w:color w:val="000000"/>
        </w:rPr>
        <w:t xml:space="preserve"> 56.2 mo,</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0.033). This suggested that high mRNA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 biomarker for poor prognosis in gastric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Correlation and interaction analyses</w:t>
      </w:r>
    </w:p>
    <w:p>
      <w:pPr>
        <w:spacing w:line="360" w:lineRule="auto"/>
        <w:jc w:val="both"/>
        <w:rPr>
          <w:rFonts w:ascii="Book Antiqua" w:hAnsi="Book Antiqua"/>
        </w:rPr>
      </w:pPr>
      <w:r>
        <w:rPr>
          <w:rFonts w:ascii="Book Antiqua" w:hAnsi="Book Antiqua" w:eastAsia="Book Antiqua" w:cs="Book Antiqua"/>
          <w:color w:val="000000"/>
        </w:rPr>
        <w:t xml:space="preserve">A volcano plot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coexpressed genes in GC was generated in the LinkedOmics database (Figure 3A). The Metascape database was then used to examine the GO and KEGG pathway terms of these top 200 genes. GO analysis was used to investigate the functional mechanism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GC. The BP terms “proteolysis involved in cellular protein catabolic process”, “mitochondrion organization”, “phosphatidylinositol-3-phosphate biosynthetic process”, and “protein phosphorylation” were significantly enriched (Figure 3B). Among the enriched CC terms was “mitochondrial protein-containing complex” (Figure 3C). “Protein serine/threonine/tyrosine kinase activity”, “ubiquitin-like protein transferase activity”, and “enzyme activator activity” were the most commonly enriched MF phrases (Figure 3D). The target genes were primarily linked to the phrases “chemical carcinogenesis-reactive oxygen species”, “platinum drug resistance”, and “ubiquitin mediated proteolysis”, according to KEGG pathway analysis (Figure 3E). The top 50 genes with positive relationship (Figure 3F) and the top 50 genes with negative relationship (Figure 3G) with </w:t>
      </w:r>
      <w:r>
        <w:rPr>
          <w:rFonts w:ascii="Book Antiqua" w:hAnsi="Book Antiqua" w:eastAsia="Book Antiqua" w:cs="Book Antiqua"/>
          <w:i/>
          <w:iCs/>
          <w:color w:val="000000"/>
        </w:rPr>
        <w:t>MIB1</w:t>
      </w:r>
      <w:r>
        <w:rPr>
          <w:rFonts w:ascii="Book Antiqua" w:hAnsi="Book Antiqua" w:eastAsia="Book Antiqua" w:cs="Book Antiqua"/>
          <w:color w:val="000000"/>
        </w:rPr>
        <w:t xml:space="preserve"> were displayed in a heatmap to further investigate the processes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its coexpressed genes. The ten coexpressed genes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the STRING database were NOTCH1, NOTCH2, NOTCH3, DLL1, DLL4, UBB, MARK2, JAG1, JAG2, and RPS27A (Figure 3H). These genes were analyzed by GO and KEGG, most of which were related to NOTCH pathway (Figure 3I and J).</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Volcano map and enrichment analysis</w:t>
      </w:r>
      <w:r>
        <w:rPr>
          <w:rFonts w:ascii="Book Antiqua" w:hAnsi="Book Antiqua" w:eastAsia="Book Antiqua" w:cs="Book Antiqua"/>
          <w:i/>
          <w:iCs/>
          <w:color w:val="000000"/>
        </w:rPr>
        <w:t xml:space="preserve"> </w:t>
      </w:r>
      <w:r>
        <w:rPr>
          <w:rFonts w:ascii="Book Antiqua" w:hAnsi="Book Antiqua" w:eastAsia="Book Antiqua" w:cs="Book Antiqua"/>
          <w:b/>
          <w:bCs/>
          <w:i/>
          <w:iCs/>
          <w:color w:val="000000"/>
        </w:rPr>
        <w:t>of</w:t>
      </w:r>
      <w:r>
        <w:rPr>
          <w:rFonts w:ascii="Book Antiqua" w:hAnsi="Book Antiqua" w:eastAsia="Book Antiqua" w:cs="Book Antiqua"/>
          <w:i/>
          <w:iCs/>
          <w:color w:val="000000"/>
        </w:rPr>
        <w:t xml:space="preserve"> </w:t>
      </w:r>
      <w:r>
        <w:rPr>
          <w:rFonts w:ascii="Book Antiqua" w:hAnsi="Book Antiqua" w:eastAsia="Book Antiqua" w:cs="Book Antiqua"/>
          <w:b/>
          <w:bCs/>
          <w:i/>
          <w:iCs/>
          <w:color w:val="000000"/>
        </w:rPr>
        <w:t>the</w:t>
      </w:r>
      <w:r>
        <w:rPr>
          <w:rFonts w:ascii="Book Antiqua" w:hAnsi="Book Antiqua" w:eastAsia="Book Antiqua" w:cs="Book Antiqua"/>
          <w:i/>
          <w:iCs/>
          <w:color w:val="000000"/>
        </w:rPr>
        <w:t xml:space="preserve"> </w:t>
      </w:r>
      <w:r>
        <w:rPr>
          <w:rFonts w:ascii="Book Antiqua" w:hAnsi="Book Antiqua" w:eastAsia="Book Antiqua" w:cs="Book Antiqua"/>
          <w:b/>
          <w:bCs/>
          <w:i/>
          <w:iCs/>
          <w:color w:val="000000"/>
        </w:rPr>
        <w:t>differentially expressed genes</w:t>
      </w:r>
    </w:p>
    <w:p>
      <w:pPr>
        <w:spacing w:line="360" w:lineRule="auto"/>
        <w:jc w:val="both"/>
        <w:rPr>
          <w:rFonts w:ascii="Book Antiqua" w:hAnsi="Book Antiqua"/>
        </w:rPr>
      </w:pPr>
      <w:r>
        <w:rPr>
          <w:rFonts w:ascii="Book Antiqua" w:hAnsi="Book Antiqua" w:eastAsia="Book Antiqua" w:cs="Book Antiqua"/>
          <w:color w:val="000000"/>
        </w:rPr>
        <w:t xml:space="preserve">With a threshold of |logFC|&lt; 1.5 and adjusted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506 DEGs in total were discovered, of which 454 showed upregulation and 52 showed downregulation. The DEG expression was visualized in a volcano diagram (Figure 4A). The DEG-related </w:t>
      </w:r>
      <w:r>
        <w:rPr>
          <w:rFonts w:ascii="Book Antiqua" w:hAnsi="Book Antiqua" w:eastAsia="Book Antiqua" w:cs="Book Antiqua"/>
          <w:i/>
          <w:iCs/>
          <w:color w:val="000000"/>
        </w:rPr>
        <w:t>MIB1</w:t>
      </w:r>
      <w:r>
        <w:rPr>
          <w:rFonts w:ascii="Book Antiqua" w:hAnsi="Book Antiqua" w:eastAsia="Book Antiqua" w:cs="Book Antiqua"/>
          <w:color w:val="000000"/>
        </w:rPr>
        <w:t xml:space="preserve"> had strongly regulatory effects on the endoplasmic reticulum lumen, cornified envelope, keratin filament, endosome lumen, epidermal cell differentiation, and keratinocyte differentiation, keratinization, cornification and peptide cross-linking processes, according to GO enrichment analysis (Figure 4B). KEGG analysis showed that DEG-related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associated with protein digestion and absorption, pancreatic secretion, and cholesterol metabolism pathways (Figure 4C).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Correlation between MIB1 expression and immune cell infiltration in gastric adenocarcinoma</w:t>
      </w:r>
    </w:p>
    <w:p>
      <w:pPr>
        <w:spacing w:line="360" w:lineRule="auto"/>
        <w:jc w:val="both"/>
        <w:rPr>
          <w:rFonts w:ascii="Book Antiqua" w:hAnsi="Book Antiqua"/>
        </w:rPr>
      </w:pPr>
      <w:r>
        <w:rPr>
          <w:rFonts w:ascii="Book Antiqua" w:hAnsi="Book Antiqua" w:eastAsia="Book Antiqua" w:cs="Book Antiqua"/>
          <w:color w:val="000000"/>
        </w:rPr>
        <w:t xml:space="preserve">We analyzed the correlation between the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six types of tumor invasive immune cells in the TIMER database. As demonstrated in Figure 5A,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was favorably linked with B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0.222, </w:t>
      </w:r>
      <w:r>
        <w:rPr>
          <w:rFonts w:ascii="Book Antiqua" w:hAnsi="Book Antiqua" w:eastAsia="Book Antiqua" w:cs="Book Antiqua"/>
          <w:i/>
          <w:iCs/>
          <w:color w:val="000000"/>
        </w:rPr>
        <w:t>P</w:t>
      </w:r>
      <w:r>
        <w:rPr>
          <w:rFonts w:ascii="Book Antiqua" w:hAnsi="Book Antiqua" w:eastAsia="Book Antiqua" w:cs="Book Antiqua"/>
          <w:color w:val="000000"/>
        </w:rPr>
        <w:t xml:space="preserve"> = 1.61E-05), CD4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0.201, </w:t>
      </w:r>
      <w:r>
        <w:rPr>
          <w:rFonts w:ascii="Book Antiqua" w:hAnsi="Book Antiqua" w:eastAsia="Book Antiqua" w:cs="Book Antiqua"/>
          <w:i/>
          <w:iCs/>
          <w:color w:val="000000"/>
        </w:rPr>
        <w:t>P</w:t>
      </w:r>
      <w:r>
        <w:rPr>
          <w:rFonts w:ascii="Book Antiqua" w:hAnsi="Book Antiqua" w:eastAsia="Book Antiqua" w:cs="Book Antiqua"/>
          <w:color w:val="000000"/>
        </w:rPr>
        <w:t xml:space="preserve"> = 1.08E-04), and macrophages (</w:t>
      </w:r>
      <w:r>
        <w:rPr>
          <w:rFonts w:ascii="Book Antiqua" w:hAnsi="Book Antiqua" w:eastAsia="Book Antiqua" w:cs="Book Antiqua"/>
          <w:i/>
          <w:iCs/>
          <w:color w:val="000000"/>
        </w:rPr>
        <w:t>r</w:t>
      </w:r>
      <w:r>
        <w:rPr>
          <w:rFonts w:ascii="Book Antiqua" w:hAnsi="Book Antiqua" w:eastAsia="Book Antiqua" w:cs="Book Antiqua"/>
          <w:color w:val="000000"/>
        </w:rPr>
        <w:t xml:space="preserve"> = 0.139, </w:t>
      </w:r>
      <w:r>
        <w:rPr>
          <w:rFonts w:ascii="Book Antiqua" w:hAnsi="Book Antiqua" w:eastAsia="Book Antiqua" w:cs="Book Antiqua"/>
          <w:i/>
          <w:iCs/>
          <w:color w:val="000000"/>
        </w:rPr>
        <w:t xml:space="preserve">P </w:t>
      </w:r>
      <w:r>
        <w:rPr>
          <w:rFonts w:ascii="Book Antiqua" w:hAnsi="Book Antiqua" w:eastAsia="Book Antiqua" w:cs="Book Antiqua"/>
          <w:color w:val="000000"/>
        </w:rPr>
        <w:t>= 7.22E-03) and negatively connected with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-0.143, </w:t>
      </w:r>
      <w:r>
        <w:rPr>
          <w:rFonts w:ascii="Book Antiqua" w:hAnsi="Book Antiqua" w:eastAsia="Book Antiqua" w:cs="Book Antiqua"/>
          <w:i/>
          <w:iCs/>
          <w:color w:val="000000"/>
        </w:rPr>
        <w:t>P</w:t>
      </w:r>
      <w:r>
        <w:rPr>
          <w:rFonts w:ascii="Book Antiqua" w:hAnsi="Book Antiqua" w:eastAsia="Book Antiqua" w:cs="Book Antiqua"/>
          <w:color w:val="000000"/>
        </w:rPr>
        <w:t xml:space="preserve"> = 5.77E-03). Figure 5B show</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relationship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and 24 kinds of tumor immune infiltrating cells. Tcm, helper T cells, Tem, Tgd and NK CD56 bright cells were positively correlated with </w:t>
      </w:r>
      <w:r>
        <w:rPr>
          <w:rFonts w:ascii="Book Antiqua" w:hAnsi="Book Antiqua" w:eastAsia="Book Antiqua" w:cs="Book Antiqua"/>
          <w:i/>
          <w:iCs/>
          <w:color w:val="000000"/>
        </w:rPr>
        <w:t>MIB1</w:t>
      </w:r>
      <w:r>
        <w:rPr>
          <w:rFonts w:ascii="Book Antiqua" w:hAnsi="Book Antiqua" w:eastAsia="Book Antiqua" w:cs="Book Antiqua"/>
          <w:color w:val="000000"/>
        </w:rPr>
        <w:t xml:space="preserve">.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inversely linked with cytotoxic cells, NK CD56dim cells, pDCs, aDCs, CD8 T cells, and Th17 cells. The relationship between the level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and the degree of immune cell infiltration measured by the ssGSEA score was investigated using Spearman correlation. The extent of NK CD56dim cell infiltration was negatively correlated with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w:t>
      </w:r>
      <w:r>
        <w:rPr>
          <w:rFonts w:ascii="Book Antiqua" w:hAnsi="Book Antiqua" w:eastAsia="Book Antiqua" w:cs="Book Antiqua"/>
          <w:i/>
          <w:iCs/>
          <w:color w:val="000000"/>
        </w:rPr>
        <w:t>r</w:t>
      </w:r>
      <w:r>
        <w:rPr>
          <w:rFonts w:ascii="Book Antiqua" w:hAnsi="Book Antiqua" w:eastAsia="Book Antiqua" w:cs="Book Antiqua"/>
          <w:color w:val="000000"/>
        </w:rPr>
        <w:t xml:space="preserve"> = -0.292,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 5C) and considerably decreased in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high expression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(Figured 5D). These results demonstrated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played an important role in the immune infiltration of GC. The proportions of 24 different subsets of tumor-infiltrating immune cells were compared using a heatmap to ascertain the degrees of association (Figure 5E).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Notch signaling is an evolutionarily conserved pathway that controls cell fate, determines cell differentiation, proliferation, tumor angiogenesis, stem cell maintenance, apoptosis and other cellular processes, and promotes the occurrence of GC through crosstalk with different signaling pathways, such as the Wnt, Ras, and NF-κB pathways</w:t>
      </w:r>
      <w:r>
        <w:rPr>
          <w:rFonts w:ascii="Book Antiqua" w:hAnsi="Book Antiqua" w:eastAsia="Book Antiqua" w:cs="Book Antiqua"/>
          <w:color w:val="000000"/>
          <w:vertAlign w:val="superscript"/>
        </w:rPr>
        <w:t>[26,27]</w:t>
      </w:r>
      <w:r>
        <w:rPr>
          <w:rFonts w:ascii="Book Antiqua" w:hAnsi="Book Antiqua" w:eastAsia="Book Antiqua" w:cs="Book Antiqua"/>
          <w:color w:val="000000"/>
        </w:rPr>
        <w:t>. Studies have indicated that endocytosis of Notch ligands is required to activate the receptor in the Notch pathway</w:t>
      </w:r>
      <w:r>
        <w:rPr>
          <w:rFonts w:ascii="Book Antiqua" w:hAnsi="Book Antiqua" w:eastAsia="Book Antiqua" w:cs="Book Antiqua"/>
          <w:color w:val="000000"/>
          <w:vertAlign w:val="superscript"/>
        </w:rPr>
        <w:t>[28]</w:t>
      </w:r>
      <w:r>
        <w:rPr>
          <w:rFonts w:ascii="Book Antiqua" w:hAnsi="Book Antiqua" w:eastAsia="Book Antiqua" w:cs="Book Antiqua"/>
          <w:color w:val="000000"/>
        </w:rPr>
        <w:t>. However, ubiquitination of the intracellular tail of Notch ligands is a critical event in the subsequent endocytosis and signal transduction of these molecules</w:t>
      </w:r>
      <w:r>
        <w:rPr>
          <w:rFonts w:ascii="Book Antiqua" w:hAnsi="Book Antiqua" w:eastAsia="Book Antiqua" w:cs="Book Antiqua"/>
          <w:color w:val="000000"/>
          <w:vertAlign w:val="superscript"/>
        </w:rPr>
        <w:t>[29]</w:t>
      </w:r>
      <w:r>
        <w:rPr>
          <w:rFonts w:ascii="Book Antiqua" w:hAnsi="Book Antiqua" w:eastAsia="Book Antiqua" w:cs="Book Antiqua"/>
          <w:color w:val="000000"/>
        </w:rPr>
        <w:t>. Initial genetic studies in flies and zebrafish identified two E3 ubiquitin ligase families capable of ligand ubiquitination: Mind Bomb (Mib) and Neuralized (Neur) proteins</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Then a series of studies concluded that </w:t>
      </w:r>
      <w:r>
        <w:rPr>
          <w:rFonts w:ascii="Book Antiqua" w:hAnsi="Book Antiqua" w:eastAsia="Book Antiqua" w:cs="Book Antiqua"/>
          <w:i/>
          <w:iCs/>
          <w:color w:val="000000"/>
        </w:rPr>
        <w:t>MIB1</w:t>
      </w:r>
      <w:r>
        <w:rPr>
          <w:rFonts w:ascii="Book Antiqua" w:hAnsi="Book Antiqua" w:eastAsia="Book Antiqua" w:cs="Book Antiqua"/>
          <w:color w:val="000000"/>
        </w:rPr>
        <w:t>, a member of the E3 ubiquitin-protein ligase family, played a major, possibly exclusive role in Notch ligand ubiquitination and transport in mammals</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 roles of some Notch family members in GC have not yet been fully understood, despite the fact that the impact of Notch signaling on GC has been extensively established</w:t>
      </w:r>
      <w:r>
        <w:rPr>
          <w:rFonts w:ascii="Book Antiqua" w:hAnsi="Book Antiqua" w:eastAsia="Book Antiqua" w:cs="Book Antiqua"/>
          <w:color w:val="000000"/>
          <w:vertAlign w:val="superscript"/>
        </w:rPr>
        <w:t>[32,33]</w:t>
      </w:r>
      <w:r>
        <w:rPr>
          <w:rFonts w:ascii="Book Antiqua" w:hAnsi="Book Antiqua" w:eastAsia="Book Antiqua" w:cs="Book Antiqua"/>
          <w:color w:val="000000"/>
        </w:rPr>
        <w:t xml:space="preserve">. In this work, we performed a thorough examination of </w:t>
      </w:r>
      <w:r>
        <w:rPr>
          <w:rFonts w:ascii="Book Antiqua" w:hAnsi="Book Antiqua" w:eastAsia="Book Antiqua" w:cs="Book Antiqua"/>
          <w:i/>
          <w:iCs/>
          <w:color w:val="000000"/>
        </w:rPr>
        <w:t>MIB1</w:t>
      </w:r>
      <w:r>
        <w:rPr>
          <w:rFonts w:ascii="Book Antiqua" w:hAnsi="Book Antiqua" w:eastAsia="Book Antiqua" w:cs="Book Antiqua"/>
          <w:color w:val="000000"/>
        </w:rPr>
        <w:t>, a NOTCH family member, in patients with GC to determine its mutation, expression, prognostic value, and immune infiltration.</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mRNA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observed to be increased in STAD tissues in our research. And positive correlation was found between the increase of mRNA expression and a high T stage.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be a viable diagnostic biomarker for separating stomach cancer tissues from normal tissues, according to a ROC curve analysis. Kaplan-Meier curves and univariate analysis allowed us to demonstrate that increased mRNA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associated with short OS and might be used as a feasible biomarker for poor prognosis of GC. Additionally,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have a unique function in the immunological infiltration of GC.</w:t>
      </w:r>
    </w:p>
    <w:p>
      <w:pPr>
        <w:spacing w:line="360" w:lineRule="auto"/>
        <w:ind w:firstLine="240"/>
        <w:jc w:val="both"/>
        <w:rPr>
          <w:rFonts w:ascii="Book Antiqua" w:hAnsi="Book Antiqua"/>
        </w:rPr>
      </w:pPr>
      <w:r>
        <w:rPr>
          <w:rFonts w:ascii="Book Antiqua" w:hAnsi="Book Antiqua" w:eastAsia="Book Antiqua" w:cs="Book Antiqua"/>
          <w:i/>
          <w:iCs/>
          <w:color w:val="000000"/>
        </w:rPr>
        <w:t>MIB1</w:t>
      </w:r>
      <w:r>
        <w:rPr>
          <w:rFonts w:ascii="Book Antiqua" w:hAnsi="Book Antiqua" w:eastAsia="Book Antiqua" w:cs="Book Antiqua"/>
          <w:color w:val="000000"/>
        </w:rPr>
        <w:t xml:space="preserve"> is a ubiquitin-protein ligase. It was reported that overexpression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significantly promoted cell proliferation, migration and invasion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Recent studies have found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play</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a carcinogenic function in a variety of human malignancies, including pancreatic, prostate, and lung cancer</w:t>
      </w:r>
      <w:r>
        <w:rPr>
          <w:rFonts w:ascii="Book Antiqua" w:hAnsi="Book Antiqua" w:eastAsia="Book Antiqua" w:cs="Book Antiqua"/>
          <w:color w:val="000000"/>
          <w:vertAlign w:val="superscript"/>
        </w:rPr>
        <w:t>[23,34,35]</w:t>
      </w:r>
      <w:r>
        <w:rPr>
          <w:rFonts w:ascii="Book Antiqua" w:hAnsi="Book Antiqua" w:eastAsia="Book Antiqua" w:cs="Book Antiqua"/>
          <w:color w:val="000000"/>
        </w:rPr>
        <w:t xml:space="preserve">. Studies have shown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an important biomarker leading to poor prognosis, and upregulation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w:t>
      </w:r>
      <w:r>
        <w:rPr>
          <w:rFonts w:hint="eastAsia" w:ascii="Book Antiqua" w:hAnsi="Book Antiqua" w:eastAsia="宋体" w:cs="Book Antiqua"/>
          <w:color w:val="000000"/>
          <w:lang w:val="en-US" w:eastAsia="zh-CN"/>
        </w:rPr>
        <w:t>wa</w:t>
      </w:r>
      <w:r>
        <w:rPr>
          <w:rFonts w:ascii="Book Antiqua" w:hAnsi="Book Antiqua" w:eastAsia="Book Antiqua" w:cs="Book Antiqua"/>
          <w:color w:val="000000"/>
        </w:rPr>
        <w:t>s associated with poor OS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Furthermore, mutation of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could lead to congenital heart disease by reducing Notch signaling activation</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Overexpression of E3 ubiquitin ligase </w:t>
      </w:r>
      <w:r>
        <w:rPr>
          <w:rFonts w:ascii="Book Antiqua" w:hAnsi="Book Antiqua" w:eastAsia="Book Antiqua" w:cs="Book Antiqua"/>
          <w:i/>
          <w:iCs/>
          <w:color w:val="000000"/>
        </w:rPr>
        <w:t>MIB1</w:t>
      </w:r>
      <w:r>
        <w:rPr>
          <w:rFonts w:ascii="Book Antiqua" w:hAnsi="Book Antiqua" w:eastAsia="Book Antiqua" w:cs="Book Antiqua"/>
          <w:color w:val="000000"/>
        </w:rPr>
        <w:t xml:space="preserve"> could reduce the apoptosis and inflammation of cardiac microvascular endothelial cells in coronary microvascular dysfunction</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In this study, analysis of the cBioportal database showed that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 mutation rate in 287 patients in the TCGA dataset was approximately 6%, and most of the changes were copy number amplification (CNA). In cancer, CNAs and deletions result in altered expression of tumor suppressor genes and oncogenes, respectively. It was reported that copy number variation of E3 ubiquitin ligase was associated with the occurrence and development of colorectal cancer</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We further analyzed the correlation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changes and prognosis. We found no significant difference between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changes and OS, but the DFS of the patient group with mutations was much shorter than that of the group without mutations. Moreover, what we discovered were consistent with previous studies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mRNA was abnormally expressed in many cancers, and we found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greatly increased in gastric adenocarcinoma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TCGA database. According to this, gastric adenocarcinoma with a poor clinical prognosis might be identified using </w:t>
      </w:r>
      <w:r>
        <w:rPr>
          <w:rFonts w:ascii="Book Antiqua" w:hAnsi="Book Antiqua" w:eastAsia="Book Antiqua" w:cs="Book Antiqua"/>
          <w:i/>
          <w:iCs/>
          <w:color w:val="000000"/>
        </w:rPr>
        <w:t>MIB1</w:t>
      </w:r>
      <w:r>
        <w:rPr>
          <w:rFonts w:ascii="Book Antiqua" w:hAnsi="Book Antiqua" w:eastAsia="Book Antiqua" w:cs="Book Antiqua"/>
          <w:color w:val="000000"/>
        </w:rPr>
        <w:t xml:space="preserve"> as a possible biomarker for poor prognosis.</w:t>
      </w:r>
    </w:p>
    <w:p>
      <w:pPr>
        <w:spacing w:line="360" w:lineRule="auto"/>
        <w:ind w:firstLine="240"/>
        <w:jc w:val="both"/>
        <w:rPr>
          <w:rFonts w:ascii="Book Antiqua" w:hAnsi="Book Antiqua"/>
        </w:rPr>
      </w:pPr>
      <w:r>
        <w:rPr>
          <w:rFonts w:ascii="Book Antiqua" w:hAnsi="Book Antiqua" w:eastAsia="Book Antiqua" w:cs="Book Antiqua"/>
          <w:color w:val="000000"/>
        </w:rPr>
        <w:t xml:space="preserve">At present, the role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tumors and whether it acts through the NOTCH pathway have not been fully reported. There have been relatively many studies on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pancreatic cancer. Some studies have shown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can be used as a direct target of miRNA-198 and miRNA-195-5p. </w:t>
      </w:r>
      <w:r>
        <w:rPr>
          <w:rFonts w:ascii="Book Antiqua" w:hAnsi="Book Antiqua" w:eastAsia="Book Antiqua" w:cs="Book Antiqua"/>
          <w:i/>
          <w:iCs/>
          <w:color w:val="000000"/>
        </w:rPr>
        <w:t>MIB1</w:t>
      </w:r>
      <w:r>
        <w:rPr>
          <w:rFonts w:ascii="Book Antiqua" w:hAnsi="Book Antiqua" w:eastAsia="Book Antiqua" w:cs="Book Antiqua"/>
          <w:color w:val="000000"/>
        </w:rPr>
        <w:t xml:space="preserve"> has been considered </w:t>
      </w:r>
      <w:r>
        <w:rPr>
          <w:rFonts w:hint="eastAsia" w:ascii="Book Antiqua" w:hAnsi="Book Antiqua" w:eastAsia="宋体" w:cs="Book Antiqua"/>
          <w:color w:val="000000"/>
          <w:lang w:val="en-US" w:eastAsia="zh-CN"/>
        </w:rPr>
        <w:t xml:space="preserve">as </w:t>
      </w:r>
      <w:r>
        <w:rPr>
          <w:rFonts w:ascii="Book Antiqua" w:hAnsi="Book Antiqua" w:eastAsia="Book Antiqua" w:cs="Book Antiqua"/>
          <w:color w:val="000000"/>
        </w:rPr>
        <w:t>a new target of miRNA-198, which reduced the proliferation, migration and invasion of prostate cancer. However, this tumor inhibition role appeared to be independent of the Notch pathway</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MicroRNA-195-5p might regulate the proliferation and invasion of tumor cells by regulating </w:t>
      </w:r>
      <w:r>
        <w:rPr>
          <w:rFonts w:ascii="Book Antiqua" w:hAnsi="Book Antiqua" w:eastAsia="Book Antiqua" w:cs="Book Antiqua"/>
          <w:i/>
          <w:iCs/>
          <w:color w:val="000000"/>
        </w:rPr>
        <w:t>MIB1</w:t>
      </w:r>
      <w:r>
        <w:rPr>
          <w:rFonts w:ascii="Book Antiqua" w:hAnsi="Book Antiqua" w:eastAsia="Book Antiqua" w:cs="Book Antiqua"/>
          <w:color w:val="000000"/>
        </w:rPr>
        <w:t>, suggesting that miRNA-195-5p might be used to treat prostate cancer in the future</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Our results indicated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may be an intriguing biomarker or an emerging target for cancer therapy. In addition, ectopic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could induce epithelial-to-mesenchymal transition and stimulate cell migration through the Notch-dependent pathway, which might provide new insights into the treatment of </w:t>
      </w:r>
      <w:r>
        <w:rPr>
          <w:rFonts w:ascii="Book Antiqua" w:hAnsi="Book Antiqua" w:eastAsia="Book Antiqua" w:cs="Book Antiqua"/>
          <w:i/>
          <w:iCs/>
          <w:color w:val="000000"/>
        </w:rPr>
        <w:t>MIB1</w:t>
      </w:r>
      <w:r>
        <w:rPr>
          <w:rFonts w:ascii="Book Antiqua" w:hAnsi="Book Antiqua" w:eastAsia="Book Antiqua" w:cs="Book Antiqua"/>
          <w:color w:val="000000"/>
        </w:rPr>
        <w:t>-overexpressing cancer</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Other studies have shown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promote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the progression of pancreatic cancer by inducing ST7 degradation and downregulating IQGAP1, suggesting that the </w:t>
      </w:r>
      <w:r>
        <w:rPr>
          <w:rFonts w:ascii="Book Antiqua" w:hAnsi="Book Antiqua" w:eastAsia="Book Antiqua" w:cs="Book Antiqua"/>
          <w:i/>
          <w:iCs/>
          <w:color w:val="000000"/>
        </w:rPr>
        <w:t>MIB1</w:t>
      </w:r>
      <w:r>
        <w:rPr>
          <w:rFonts w:ascii="Book Antiqua" w:hAnsi="Book Antiqua" w:eastAsia="Book Antiqua" w:cs="Book Antiqua"/>
          <w:color w:val="000000"/>
        </w:rPr>
        <w:t xml:space="preserve">/ST7/IQGAP1 axis </w:t>
      </w:r>
      <w:r>
        <w:rPr>
          <w:rFonts w:hint="eastAsia" w:ascii="Book Antiqua" w:hAnsi="Book Antiqua" w:eastAsia="宋体" w:cs="Book Antiqua"/>
          <w:color w:val="000000"/>
          <w:lang w:val="en-US" w:eastAsia="zh-CN"/>
        </w:rPr>
        <w:t>wa</w:t>
      </w:r>
      <w:r>
        <w:rPr>
          <w:rFonts w:ascii="Book Antiqua" w:hAnsi="Book Antiqua" w:eastAsia="Book Antiqua" w:cs="Book Antiqua"/>
          <w:color w:val="000000"/>
        </w:rPr>
        <w:t>s crucial in the advancement of pancreatic cancer</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inhibiting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become a new therapeutic strategy for pancreatic cancer patients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 study proved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promoted pancreatic cancer proliferation by activating the β-catenin signaling pathway</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Therefore, whether </w:t>
      </w:r>
      <w:r>
        <w:rPr>
          <w:rFonts w:ascii="Book Antiqua" w:hAnsi="Book Antiqua" w:eastAsia="Book Antiqua" w:cs="Book Antiqua"/>
          <w:i/>
          <w:iCs/>
          <w:color w:val="000000"/>
        </w:rPr>
        <w:t>MIB1</w:t>
      </w:r>
      <w:r>
        <w:rPr>
          <w:rFonts w:ascii="Book Antiqua" w:hAnsi="Book Antiqua" w:eastAsia="Book Antiqua" w:cs="Book Antiqua"/>
          <w:color w:val="000000"/>
        </w:rPr>
        <w:t xml:space="preserve"> affects the progression of GC through the NOTCH pathway needs further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w:t>
      </w:r>
    </w:p>
    <w:p>
      <w:pPr>
        <w:spacing w:line="360" w:lineRule="auto"/>
        <w:ind w:firstLine="240"/>
        <w:jc w:val="both"/>
        <w:rPr>
          <w:rFonts w:ascii="Book Antiqua" w:hAnsi="Book Antiqua"/>
        </w:rPr>
      </w:pPr>
      <w:r>
        <w:rPr>
          <w:rFonts w:ascii="Book Antiqua" w:hAnsi="Book Antiqua" w:eastAsia="Book Antiqua" w:cs="Book Antiqua"/>
          <w:color w:val="000000"/>
        </w:rPr>
        <w:t xml:space="preserve">A ROC curve analysis was performed to verify the clinical value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diagnosing gastric adenocarcinoma. With a sensitivity of 59.4</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and a specificity of 85.6%, our findings demonstrated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had a relatively higher AUC value to discover the patients with GC. Based on our research, we came to the conclusion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might function as an applicable diagnostic biomarker to separate gastric adenocarcinoma from normal controls.</w:t>
      </w:r>
    </w:p>
    <w:p>
      <w:pPr>
        <w:spacing w:line="360" w:lineRule="auto"/>
        <w:ind w:firstLine="240"/>
        <w:jc w:val="both"/>
        <w:rPr>
          <w:rFonts w:ascii="Book Antiqua" w:hAnsi="Book Antiqua"/>
        </w:rPr>
      </w:pPr>
      <w:r>
        <w:rPr>
          <w:rFonts w:ascii="Book Antiqua" w:hAnsi="Book Antiqua" w:eastAsia="Book Antiqua" w:cs="Book Antiqua"/>
          <w:color w:val="000000"/>
        </w:rPr>
        <w:t xml:space="preserve">In addition,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highly expressed in patients with gastric adenocarcinoma.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correlated with multiple clinical features, such as pathological stage, T stage and OS, further suggesting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wa</w:t>
      </w:r>
      <w:r>
        <w:rPr>
          <w:rFonts w:ascii="Book Antiqua" w:hAnsi="Book Antiqua" w:eastAsia="Book Antiqua" w:cs="Book Antiqua"/>
          <w:color w:val="000000"/>
        </w:rPr>
        <w:t>s a prospective biomarker that merit</w:t>
      </w:r>
      <w:r>
        <w:rPr>
          <w:rFonts w:hint="eastAsia" w:ascii="Book Antiqua" w:hAnsi="Book Antiqua" w:eastAsia="宋体" w:cs="Book Antiqua"/>
          <w:color w:val="000000"/>
          <w:lang w:val="en-US" w:eastAsia="zh-CN"/>
        </w:rPr>
        <w:t>ed</w:t>
      </w:r>
      <w:bookmarkStart w:id="0" w:name="_GoBack"/>
      <w:bookmarkEnd w:id="0"/>
      <w:r>
        <w:rPr>
          <w:rFonts w:ascii="Book Antiqua" w:hAnsi="Book Antiqua" w:eastAsia="Book Antiqua" w:cs="Book Antiqua"/>
          <w:color w:val="000000"/>
        </w:rPr>
        <w:t xml:space="preserve"> additional clinical testing.</w:t>
      </w:r>
    </w:p>
    <w:p>
      <w:pPr>
        <w:spacing w:line="360" w:lineRule="auto"/>
        <w:ind w:firstLine="240"/>
        <w:jc w:val="both"/>
        <w:rPr>
          <w:rFonts w:ascii="Book Antiqua" w:hAnsi="Book Antiqua"/>
        </w:rPr>
      </w:pPr>
      <w:r>
        <w:rPr>
          <w:rFonts w:ascii="Book Antiqua" w:hAnsi="Book Antiqua" w:eastAsia="Book Antiqua" w:cs="Book Antiqua"/>
          <w:color w:val="000000"/>
        </w:rPr>
        <w:t xml:space="preserve">Cytotoxic cells, NK CD56dim cells, pDCs, aDCs, CD8 T cells and Th17 cells were negatively correlated with </w:t>
      </w:r>
      <w:r>
        <w:rPr>
          <w:rFonts w:ascii="Book Antiqua" w:hAnsi="Book Antiqua" w:eastAsia="Book Antiqua" w:cs="Book Antiqua"/>
          <w:i/>
          <w:iCs/>
          <w:color w:val="000000"/>
        </w:rPr>
        <w:t>MIB1</w:t>
      </w:r>
      <w:r>
        <w:rPr>
          <w:rFonts w:ascii="Book Antiqua" w:hAnsi="Book Antiqua" w:eastAsia="Book Antiqua" w:cs="Book Antiqua"/>
          <w:color w:val="000000"/>
        </w:rPr>
        <w:t>. Antitumor immunity was influenced by cytotoxic cells, including NK cells. The function of NK cells in innate immune surveillance is crucial in the fight against cancer</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4]</w:t>
      </w:r>
      <w:r>
        <w:rPr>
          <w:rFonts w:ascii="Book Antiqua" w:hAnsi="Book Antiqua" w:eastAsia="Book Antiqua" w:cs="Book Antiqua"/>
          <w:color w:val="000000"/>
        </w:rPr>
        <w:t>. In the course of transformation into toxic T cells,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cells display cytotoxic abilities against tumor cells</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25</w:t>
      </w:r>
      <w:r>
        <w:rPr>
          <w:rFonts w:ascii="Book Antiqua" w:hAnsi="Book Antiqua" w:eastAsia="Book Antiqua" w:cs="Book Antiqua"/>
          <w:color w:val="000000"/>
          <w:vertAlign w:val="superscript"/>
        </w:rPr>
        <w:t>]</w:t>
      </w:r>
      <w:r>
        <w:rPr>
          <w:rFonts w:ascii="Book Antiqua" w:hAnsi="Book Antiqua" w:eastAsia="Book Antiqua" w:cs="Book Antiqua"/>
          <w:color w:val="000000"/>
        </w:rPr>
        <w:t>. IFN-I produced by pDCs has antitumor activity</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26</w:t>
      </w:r>
      <w:r>
        <w:rPr>
          <w:rFonts w:ascii="Book Antiqua" w:hAnsi="Book Antiqua" w:eastAsia="Book Antiqua" w:cs="Book Antiqua"/>
          <w:color w:val="000000"/>
          <w:vertAlign w:val="superscript"/>
        </w:rPr>
        <w:t>]</w:t>
      </w:r>
      <w:r>
        <w:rPr>
          <w:rFonts w:ascii="Book Antiqua" w:hAnsi="Book Antiqua" w:eastAsia="Book Antiqua" w:cs="Book Antiqua"/>
          <w:color w:val="000000"/>
        </w:rPr>
        <w:t>, Th17 cells have a close connection to neutrophils and are essential for the immune response to tumors</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27</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decrease of these immune cells might contribute to the further development of GC. The results of ssGSEA further demonstrated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essential in controlling immune infiltration.</w:t>
      </w:r>
    </w:p>
    <w:p>
      <w:pPr>
        <w:spacing w:line="360" w:lineRule="auto"/>
        <w:ind w:firstLine="240"/>
        <w:jc w:val="both"/>
        <w:rPr>
          <w:rFonts w:ascii="Book Antiqua" w:hAnsi="Book Antiqua"/>
        </w:rPr>
      </w:pPr>
      <w:r>
        <w:rPr>
          <w:rStyle w:val="12"/>
          <w:rFonts w:ascii="Book Antiqua" w:hAnsi="Book Antiqua" w:eastAsia="Book Antiqua" w:cs="Book Antiqua"/>
          <w:color w:val="000000"/>
        </w:rPr>
        <w:t xml:space="preserve">Our research revealed the complex role of </w:t>
      </w:r>
      <w:r>
        <w:rPr>
          <w:rStyle w:val="12"/>
          <w:rFonts w:ascii="Book Antiqua" w:hAnsi="Book Antiqua" w:eastAsia="Book Antiqua" w:cs="Book Antiqua"/>
          <w:i/>
          <w:iCs/>
          <w:color w:val="000000"/>
        </w:rPr>
        <w:t>MIB1</w:t>
      </w:r>
      <w:r>
        <w:rPr>
          <w:rStyle w:val="12"/>
          <w:rFonts w:ascii="Book Antiqua" w:hAnsi="Book Antiqua" w:eastAsia="Book Antiqua" w:cs="Book Antiqua"/>
          <w:color w:val="000000"/>
        </w:rPr>
        <w:t xml:space="preserve"> gene mutation and abnormal expression in the prognosis of GC. In addition, we also preliminarily discussed the relationship between the </w:t>
      </w:r>
      <w:r>
        <w:rPr>
          <w:rStyle w:val="12"/>
          <w:rFonts w:ascii="Book Antiqua" w:hAnsi="Book Antiqua" w:eastAsia="Book Antiqua" w:cs="Book Antiqua"/>
          <w:i/>
          <w:iCs/>
          <w:color w:val="000000"/>
        </w:rPr>
        <w:t>MIB1</w:t>
      </w:r>
      <w:r>
        <w:rPr>
          <w:rStyle w:val="12"/>
          <w:rFonts w:ascii="Book Antiqua" w:hAnsi="Book Antiqua" w:eastAsia="Book Antiqua" w:cs="Book Antiqua"/>
          <w:color w:val="000000"/>
        </w:rPr>
        <w:t xml:space="preserve"> gene and immune infiltration, as well as its mechanism and biological function in GC. However, our research also had some limitations. This study lacked </w:t>
      </w:r>
      <w:r>
        <w:rPr>
          <w:rStyle w:val="12"/>
          <w:rFonts w:ascii="Book Antiqua" w:hAnsi="Book Antiqua" w:eastAsia="Book Antiqua" w:cs="Book Antiqua"/>
          <w:i/>
          <w:iCs/>
          <w:color w:val="000000"/>
        </w:rPr>
        <w:t>in vivo</w:t>
      </w:r>
      <w:r>
        <w:rPr>
          <w:rStyle w:val="12"/>
          <w:rFonts w:ascii="Book Antiqua" w:hAnsi="Book Antiqua" w:eastAsia="Book Antiqua" w:cs="Book Antiqua"/>
          <w:color w:val="000000"/>
        </w:rPr>
        <w:t xml:space="preserve"> or </w:t>
      </w:r>
      <w:r>
        <w:rPr>
          <w:rStyle w:val="12"/>
          <w:rFonts w:ascii="Book Antiqua" w:hAnsi="Book Antiqua" w:eastAsia="Book Antiqua" w:cs="Book Antiqua"/>
          <w:i/>
          <w:iCs/>
          <w:color w:val="000000"/>
        </w:rPr>
        <w:t>in vitro</w:t>
      </w:r>
      <w:r>
        <w:rPr>
          <w:rStyle w:val="12"/>
          <w:rFonts w:ascii="Book Antiqua" w:hAnsi="Book Antiqua" w:eastAsia="Book Antiqua" w:cs="Book Antiqua"/>
          <w:color w:val="000000"/>
        </w:rPr>
        <w:t xml:space="preserve"> experiments to verify the role of the </w:t>
      </w:r>
      <w:r>
        <w:rPr>
          <w:rStyle w:val="12"/>
          <w:rFonts w:ascii="Book Antiqua" w:hAnsi="Book Antiqua" w:eastAsia="Book Antiqua" w:cs="Book Antiqua"/>
          <w:i/>
          <w:iCs/>
          <w:color w:val="000000"/>
        </w:rPr>
        <w:t>MIB1</w:t>
      </w:r>
      <w:r>
        <w:rPr>
          <w:rStyle w:val="12"/>
          <w:rFonts w:ascii="Book Antiqua" w:hAnsi="Book Antiqua" w:eastAsia="Book Antiqua" w:cs="Book Antiqua"/>
          <w:color w:val="000000"/>
        </w:rPr>
        <w:t xml:space="preserve"> gene, which will allow us to draw more general and accurate conclusions.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brief, we found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mRNA expression increased in STAD was positively attached with high T stage and pathological stage and negatively correlated with OS. According to our research, higher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may be a useful predictive biomarker for identifying individuals with gastric adenocarcinomas who have a poor clinical prognosis and may have a special function in immune infiltration.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Gastric cancer (GC) is a disease with multi-etiology and multi-pathway involvement, and it is characterized by a low 5-year survival rate.</w:t>
      </w:r>
      <w:r>
        <w:rPr>
          <w:rFonts w:ascii="Book Antiqua" w:hAnsi="Book Antiqua" w:eastAsia="Book Antiqua" w:cs="Book Antiqua"/>
          <w:b/>
          <w:bCs/>
          <w:color w:val="000000"/>
        </w:rPr>
        <w:t xml:space="preserve"> </w:t>
      </w:r>
      <w:r>
        <w:rPr>
          <w:rFonts w:ascii="Book Antiqua" w:hAnsi="Book Antiqua" w:eastAsia="Book Antiqua" w:cs="Book Antiqua"/>
          <w:color w:val="000000"/>
        </w:rPr>
        <w:t>NOTCH signaling pathway is also involved in the occurrence and development of GC. Mind bomb 1 (</w:t>
      </w:r>
      <w:r>
        <w:rPr>
          <w:rFonts w:ascii="Book Antiqua" w:hAnsi="Book Antiqua" w:eastAsia="Book Antiqua" w:cs="Book Antiqua"/>
          <w:i/>
          <w:iCs/>
          <w:color w:val="000000"/>
        </w:rPr>
        <w:t>MIB1</w:t>
      </w:r>
      <w:r>
        <w:rPr>
          <w:rFonts w:ascii="Book Antiqua" w:hAnsi="Book Antiqua" w:eastAsia="Book Antiqua" w:cs="Book Antiqua"/>
          <w:color w:val="000000"/>
        </w:rPr>
        <w:t xml:space="preserve">), an E3 ubiquitin ligase, plays a central role in activating the NOTCH pathway by mediating ubiquitination of NOTCH ligand. However, the effect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on GC has not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To investigate the effect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on the prognosis of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To investigate the effect of expression and mutation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on the prognosis of GC, the function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in GC and its relationship with immune infiltration.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TCGA database, cBioPortal database, a receiver operating characteristic (ROC) curve, Kaplan-Meier plotter, LinkedOmics database, STRING database, The Gene Ontology enrichment , Kyoto Encyclopedia of Genes and Genomes pathway and TIMER database were used in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The level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had a certain impact on the survival rate of patients with GC. The prognosis of patients with high </w:t>
      </w:r>
      <w:r>
        <w:rPr>
          <w:rFonts w:ascii="Book Antiqua" w:hAnsi="Book Antiqua" w:eastAsia="Book Antiqua" w:cs="Book Antiqua"/>
          <w:i/>
          <w:iCs/>
          <w:color w:val="000000"/>
        </w:rPr>
        <w:t>MIB1</w:t>
      </w:r>
      <w:r>
        <w:rPr>
          <w:rFonts w:ascii="Book Antiqua" w:hAnsi="Book Antiqua" w:eastAsia="Book Antiqua" w:cs="Book Antiqua"/>
          <w:color w:val="000000"/>
        </w:rPr>
        <w:t xml:space="preserve"> was worse than that of patients with low </w:t>
      </w:r>
      <w:r>
        <w:rPr>
          <w:rFonts w:ascii="Book Antiqua" w:hAnsi="Book Antiqua" w:eastAsia="Book Antiqua" w:cs="Book Antiqua"/>
          <w:i/>
          <w:iCs/>
          <w:color w:val="000000"/>
        </w:rPr>
        <w:t>MIB1</w:t>
      </w:r>
      <w:r>
        <w:rPr>
          <w:rFonts w:ascii="Book Antiqua" w:hAnsi="Book Antiqua" w:eastAsia="Book Antiqua" w:cs="Book Antiqua"/>
          <w:color w:val="000000"/>
        </w:rPr>
        <w:t xml:space="preserve">. The increased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was associated with high TNM staging, suggesting that </w:t>
      </w:r>
      <w:r>
        <w:rPr>
          <w:rFonts w:ascii="Book Antiqua" w:hAnsi="Book Antiqua" w:eastAsia="Book Antiqua" w:cs="Book Antiqua"/>
          <w:i/>
          <w:iCs/>
          <w:color w:val="000000"/>
        </w:rPr>
        <w:t>MIB1</w:t>
      </w:r>
      <w:r>
        <w:rPr>
          <w:rFonts w:ascii="Book Antiqua" w:hAnsi="Book Antiqua" w:eastAsia="Book Antiqua" w:cs="Book Antiqua"/>
          <w:color w:val="000000"/>
        </w:rPr>
        <w:t xml:space="preserve"> may play a role in the development of GC. The expression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gene was associated with immune infiltration.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The up-regulation of </w:t>
      </w:r>
      <w:r>
        <w:rPr>
          <w:rFonts w:ascii="Book Antiqua" w:hAnsi="Book Antiqua" w:eastAsia="Book Antiqua" w:cs="Book Antiqua"/>
          <w:i/>
          <w:iCs/>
          <w:color w:val="000000"/>
        </w:rPr>
        <w:t>MIB1</w:t>
      </w:r>
      <w:r>
        <w:rPr>
          <w:rFonts w:ascii="Book Antiqua" w:hAnsi="Book Antiqua" w:eastAsia="Book Antiqua" w:cs="Book Antiqua"/>
          <w:color w:val="000000"/>
        </w:rPr>
        <w:t xml:space="preserve"> expression was significantly related to the low survival rate and immune infiltration in gastric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i/>
          <w:iCs/>
          <w:color w:val="000000"/>
        </w:rPr>
        <w:t>MIB1</w:t>
      </w:r>
      <w:r>
        <w:rPr>
          <w:rFonts w:ascii="Book Antiqua" w:hAnsi="Book Antiqua" w:eastAsia="Book Antiqua" w:cs="Book Antiqua"/>
          <w:color w:val="000000"/>
        </w:rPr>
        <w:t xml:space="preserve"> may be a biomarker for poor prognosis of gastric adenocarcinoma and a potential immunotherapeutic target.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Sung H</w:t>
      </w:r>
      <w:r>
        <w:rPr>
          <w:rFonts w:ascii="Book Antiqua" w:hAnsi="Book Antiqua" w:eastAsia="Book Antiqua" w:cs="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eastAsia="Book Antiqua" w:cs="Book Antiqua"/>
          <w:i/>
          <w:iCs/>
        </w:rPr>
        <w:t>CA Cancer J Clin</w:t>
      </w:r>
      <w:r>
        <w:rPr>
          <w:rFonts w:ascii="Book Antiqua" w:hAnsi="Book Antiqua" w:eastAsia="Book Antiqua" w:cs="Book Antiqua"/>
        </w:rPr>
        <w:t xml:space="preserve"> 2021; </w:t>
      </w:r>
      <w:r>
        <w:rPr>
          <w:rFonts w:ascii="Book Antiqua" w:hAnsi="Book Antiqua" w:eastAsia="Book Antiqua" w:cs="Book Antiqua"/>
          <w:b/>
          <w:bCs/>
        </w:rPr>
        <w:t>71</w:t>
      </w:r>
      <w:r>
        <w:rPr>
          <w:rFonts w:ascii="Book Antiqua" w:hAnsi="Book Antiqua" w:eastAsia="Book Antiqua" w:cs="Book Antiqua"/>
        </w:rPr>
        <w:t>: 209-249 [PMID: 33538338 DOI: 10.3322/caac.21660]</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Soerjomataram I</w:t>
      </w:r>
      <w:r>
        <w:rPr>
          <w:rFonts w:ascii="Book Antiqua" w:hAnsi="Book Antiqua" w:eastAsia="Book Antiqua" w:cs="Book Antiqua"/>
        </w:rPr>
        <w:t xml:space="preserve">, Lortet-Tieulent J, Parkin DM, Ferlay J, Mathers C, Forman D, Bray F. Global burden of cancer in 2008: a systematic analysis of disability-adjusted life-years in 12 world regions. </w:t>
      </w:r>
      <w:r>
        <w:rPr>
          <w:rFonts w:ascii="Book Antiqua" w:hAnsi="Book Antiqua" w:eastAsia="Book Antiqua" w:cs="Book Antiqua"/>
          <w:i/>
          <w:iCs/>
        </w:rPr>
        <w:t>Lancet</w:t>
      </w:r>
      <w:r>
        <w:rPr>
          <w:rFonts w:ascii="Book Antiqua" w:hAnsi="Book Antiqua" w:eastAsia="Book Antiqua" w:cs="Book Antiqua"/>
        </w:rPr>
        <w:t xml:space="preserve"> 2012; </w:t>
      </w:r>
      <w:r>
        <w:rPr>
          <w:rFonts w:ascii="Book Antiqua" w:hAnsi="Book Antiqua" w:eastAsia="Book Antiqua" w:cs="Book Antiqua"/>
          <w:b/>
          <w:bCs/>
        </w:rPr>
        <w:t>380</w:t>
      </w:r>
      <w:r>
        <w:rPr>
          <w:rFonts w:ascii="Book Antiqua" w:hAnsi="Book Antiqua" w:eastAsia="Book Antiqua" w:cs="Book Antiqua"/>
        </w:rPr>
        <w:t>: 1840-1850 [PMID: 23079588 DOI: 10.1016/S0140-6736(12)60919-2]</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Xie W</w:t>
      </w:r>
      <w:r>
        <w:rPr>
          <w:rFonts w:ascii="Book Antiqua" w:hAnsi="Book Antiqua" w:eastAsia="Book Antiqua" w:cs="Book Antiqua"/>
        </w:rPr>
        <w:t xml:space="preserve">, Yang T, Zuo J, Ma Z, Yu W, Hu Z, Song Z. Chinese and Global Burdens of Gastrointestinal Cancers From 1990 to 2019. </w:t>
      </w:r>
      <w:r>
        <w:rPr>
          <w:rFonts w:ascii="Book Antiqua" w:hAnsi="Book Antiqua" w:eastAsia="Book Antiqua" w:cs="Book Antiqua"/>
          <w:i/>
          <w:iCs/>
        </w:rPr>
        <w:t>Front Public Health</w:t>
      </w:r>
      <w:r>
        <w:rPr>
          <w:rFonts w:ascii="Book Antiqua" w:hAnsi="Book Antiqua" w:eastAsia="Book Antiqua" w:cs="Book Antiqua"/>
        </w:rPr>
        <w:t xml:space="preserve"> 2022; </w:t>
      </w:r>
      <w:r>
        <w:rPr>
          <w:rFonts w:ascii="Book Antiqua" w:hAnsi="Book Antiqua" w:eastAsia="Book Antiqua" w:cs="Book Antiqua"/>
          <w:b/>
          <w:bCs/>
        </w:rPr>
        <w:t>10</w:t>
      </w:r>
      <w:r>
        <w:rPr>
          <w:rFonts w:ascii="Book Antiqua" w:hAnsi="Book Antiqua" w:eastAsia="Book Antiqua" w:cs="Book Antiqua"/>
        </w:rPr>
        <w:t>: 941284 [PMID: 35910886 DOI: 10.3389/fpubh.2022.941284]</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Smyth EC</w:t>
      </w:r>
      <w:r>
        <w:rPr>
          <w:rFonts w:ascii="Book Antiqua" w:hAnsi="Book Antiqua" w:eastAsia="Book Antiqua" w:cs="Book Antiqua"/>
        </w:rPr>
        <w:t xml:space="preserve">, Nilsson M, Grabsch HI, van Grieken NC, Lordick F. Gastric cancer. </w:t>
      </w:r>
      <w:r>
        <w:rPr>
          <w:rFonts w:ascii="Book Antiqua" w:hAnsi="Book Antiqua" w:eastAsia="Book Antiqua" w:cs="Book Antiqua"/>
          <w:i/>
          <w:iCs/>
        </w:rPr>
        <w:t>Lancet</w:t>
      </w:r>
      <w:r>
        <w:rPr>
          <w:rFonts w:ascii="Book Antiqua" w:hAnsi="Book Antiqua" w:eastAsia="Book Antiqua" w:cs="Book Antiqua"/>
        </w:rPr>
        <w:t xml:space="preserve"> 2020; </w:t>
      </w:r>
      <w:r>
        <w:rPr>
          <w:rFonts w:ascii="Book Antiqua" w:hAnsi="Book Antiqua" w:eastAsia="Book Antiqua" w:cs="Book Antiqua"/>
          <w:b/>
          <w:bCs/>
        </w:rPr>
        <w:t>396</w:t>
      </w:r>
      <w:r>
        <w:rPr>
          <w:rFonts w:ascii="Book Antiqua" w:hAnsi="Book Antiqua" w:eastAsia="Book Antiqua" w:cs="Book Antiqua"/>
        </w:rPr>
        <w:t>: 635-648 [PMID: 32861308 DOI: 10.1016/S0140-6736(20)31288-5]</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Song Z</w:t>
      </w:r>
      <w:r>
        <w:rPr>
          <w:rFonts w:ascii="Book Antiqua" w:hAnsi="Book Antiqua" w:eastAsia="Book Antiqua" w:cs="Book Antiqua"/>
        </w:rPr>
        <w:t xml:space="preserve">, Wu Y, Yang J, Yang D, Fang X. Progress in the treatment of advanced gastric cancer. </w:t>
      </w:r>
      <w:r>
        <w:rPr>
          <w:rFonts w:ascii="Book Antiqua" w:hAnsi="Book Antiqua" w:eastAsia="Book Antiqua" w:cs="Book Antiqua"/>
          <w:i/>
          <w:iCs/>
        </w:rPr>
        <w:t>Tumour Biol</w:t>
      </w:r>
      <w:r>
        <w:rPr>
          <w:rFonts w:ascii="Book Antiqua" w:hAnsi="Book Antiqua" w:eastAsia="Book Antiqua" w:cs="Book Antiqua"/>
        </w:rPr>
        <w:t xml:space="preserve"> 2017; </w:t>
      </w:r>
      <w:r>
        <w:rPr>
          <w:rFonts w:ascii="Book Antiqua" w:hAnsi="Book Antiqua" w:eastAsia="Book Antiqua" w:cs="Book Antiqua"/>
          <w:b/>
          <w:bCs/>
        </w:rPr>
        <w:t>39</w:t>
      </w:r>
      <w:r>
        <w:rPr>
          <w:rFonts w:ascii="Book Antiqua" w:hAnsi="Book Antiqua" w:eastAsia="Book Antiqua" w:cs="Book Antiqua"/>
        </w:rPr>
        <w:t>: 1010428317714626 [PMID: 28671042 DOI: 10.1177/1010428317714626]</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Chen Z</w:t>
      </w:r>
      <w:r>
        <w:rPr>
          <w:rFonts w:ascii="Book Antiqua" w:hAnsi="Book Antiqua" w:eastAsia="Book Antiqua" w:cs="Book Antiqua"/>
        </w:rPr>
        <w:t xml:space="preserve">, Li Y, Tan B, Zhao Q, Fan L, Li F, Zhao X. Progress and current status of molecule-targeted therapy and drug resistance in gastric cancer. </w:t>
      </w:r>
      <w:r>
        <w:rPr>
          <w:rFonts w:ascii="Book Antiqua" w:hAnsi="Book Antiqua" w:eastAsia="Book Antiqua" w:cs="Book Antiqua"/>
          <w:i/>
          <w:iCs/>
        </w:rPr>
        <w:t>Drugs Today (Barc)</w:t>
      </w:r>
      <w:r>
        <w:rPr>
          <w:rFonts w:ascii="Book Antiqua" w:hAnsi="Book Antiqua" w:eastAsia="Book Antiqua" w:cs="Book Antiqua"/>
        </w:rPr>
        <w:t xml:space="preserve"> 2020; </w:t>
      </w:r>
      <w:r>
        <w:rPr>
          <w:rFonts w:ascii="Book Antiqua" w:hAnsi="Book Antiqua" w:eastAsia="Book Antiqua" w:cs="Book Antiqua"/>
          <w:b/>
          <w:bCs/>
        </w:rPr>
        <w:t>56</w:t>
      </w:r>
      <w:r>
        <w:rPr>
          <w:rFonts w:ascii="Book Antiqua" w:hAnsi="Book Antiqua" w:eastAsia="Book Antiqua" w:cs="Book Antiqua"/>
        </w:rPr>
        <w:t>: 469-482 [PMID: 32648857 DOI: 10.1358/dot.2020.56.7.3112071]</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Asplund J</w:t>
      </w:r>
      <w:r>
        <w:rPr>
          <w:rFonts w:ascii="Book Antiqua" w:hAnsi="Book Antiqua" w:eastAsia="Book Antiqua" w:cs="Book Antiqua"/>
        </w:rPr>
        <w:t xml:space="preserve">, Kauppila JH, Mattsson F, Lagergren J. Survival Trends in Gastric Adenocarcinoma: A Population-Based Study in Sweden. </w:t>
      </w:r>
      <w:r>
        <w:rPr>
          <w:rFonts w:ascii="Book Antiqua" w:hAnsi="Book Antiqua" w:eastAsia="Book Antiqua" w:cs="Book Antiqua"/>
          <w:i/>
          <w:iCs/>
        </w:rPr>
        <w:t>Ann Surg Oncol</w:t>
      </w:r>
      <w:r>
        <w:rPr>
          <w:rFonts w:ascii="Book Antiqua" w:hAnsi="Book Antiqua" w:eastAsia="Book Antiqua" w:cs="Book Antiqua"/>
        </w:rPr>
        <w:t xml:space="preserve"> 2018; </w:t>
      </w:r>
      <w:r>
        <w:rPr>
          <w:rFonts w:ascii="Book Antiqua" w:hAnsi="Book Antiqua" w:eastAsia="Book Antiqua" w:cs="Book Antiqua"/>
          <w:b/>
          <w:bCs/>
        </w:rPr>
        <w:t>25</w:t>
      </w:r>
      <w:r>
        <w:rPr>
          <w:rFonts w:ascii="Book Antiqua" w:hAnsi="Book Antiqua" w:eastAsia="Book Antiqua" w:cs="Book Antiqua"/>
        </w:rPr>
        <w:t>: 2693-2702 [PMID: 29987609 DOI: 10.1245/s10434-018-6627-y]</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Nakagawa N</w:t>
      </w:r>
      <w:r>
        <w:rPr>
          <w:rFonts w:ascii="Book Antiqua" w:hAnsi="Book Antiqua" w:eastAsia="Book Antiqua" w:cs="Book Antiqua"/>
        </w:rPr>
        <w:t xml:space="preserve">, Kanda M, Ito S, Mochizuki Y, Teramoto H, Ishigure K, Murai T, Asada T, Ishiyama A, Matsushita H, Tanaka C, Kobayashi D, Fujiwara M, Murotani K, Kodera Y. Pathological tumor infiltrative pattern and sites of initial recurrence in stage II/III gastric cancer: Propensity score matching analysis of a multi-institutional dataset. </w:t>
      </w:r>
      <w:r>
        <w:rPr>
          <w:rFonts w:ascii="Book Antiqua" w:hAnsi="Book Antiqua" w:eastAsia="Book Antiqua" w:cs="Book Antiqua"/>
          <w:i/>
          <w:iCs/>
        </w:rPr>
        <w:t>Cancer Med</w:t>
      </w:r>
      <w:r>
        <w:rPr>
          <w:rFonts w:ascii="Book Antiqua" w:hAnsi="Book Antiqua" w:eastAsia="Book Antiqua" w:cs="Book Antiqua"/>
        </w:rPr>
        <w:t xml:space="preserve"> 2018; </w:t>
      </w:r>
      <w:r>
        <w:rPr>
          <w:rFonts w:ascii="Book Antiqua" w:hAnsi="Book Antiqua" w:eastAsia="Book Antiqua" w:cs="Book Antiqua"/>
          <w:b/>
          <w:bCs/>
        </w:rPr>
        <w:t>7</w:t>
      </w:r>
      <w:r>
        <w:rPr>
          <w:rFonts w:ascii="Book Antiqua" w:hAnsi="Book Antiqua" w:eastAsia="Book Antiqua" w:cs="Book Antiqua"/>
        </w:rPr>
        <w:t>: 6020-6029 [PMID: 30411544 DOI: 10.1002/cam4.1868]</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Machlowska J</w:t>
      </w:r>
      <w:r>
        <w:rPr>
          <w:rFonts w:ascii="Book Antiqua" w:hAnsi="Book Antiqua" w:eastAsia="Book Antiqua" w:cs="Book Antiqua"/>
        </w:rPr>
        <w:t xml:space="preserve">, Baj J, Sitarz M, Maciejewski R, Sitarz R. Gastric Cancer: Epidemiology, Risk Factors, Classification, Genomic Characteristics and Treatment Strategies. </w:t>
      </w:r>
      <w:r>
        <w:rPr>
          <w:rFonts w:ascii="Book Antiqua" w:hAnsi="Book Antiqua" w:eastAsia="Book Antiqua" w:cs="Book Antiqua"/>
          <w:i/>
          <w:iCs/>
        </w:rPr>
        <w:t>Int J Mol Sci</w:t>
      </w:r>
      <w:r>
        <w:rPr>
          <w:rFonts w:ascii="Book Antiqua" w:hAnsi="Book Antiqua" w:eastAsia="Book Antiqua" w:cs="Book Antiqua"/>
        </w:rPr>
        <w:t xml:space="preserve"> 2020; </w:t>
      </w:r>
      <w:r>
        <w:rPr>
          <w:rFonts w:ascii="Book Antiqua" w:hAnsi="Book Antiqua" w:eastAsia="Book Antiqua" w:cs="Book Antiqua"/>
          <w:b/>
          <w:bCs/>
        </w:rPr>
        <w:t>21</w:t>
      </w:r>
      <w:r>
        <w:rPr>
          <w:rFonts w:ascii="Book Antiqua" w:hAnsi="Book Antiqua" w:eastAsia="Book Antiqua" w:cs="Book Antiqua"/>
        </w:rPr>
        <w:t xml:space="preserve"> [PMID: 32512697 DOI: 10.3390/ijms21114012]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Yusefi AR</w:t>
      </w:r>
      <w:r>
        <w:rPr>
          <w:rFonts w:ascii="Book Antiqua" w:hAnsi="Book Antiqua" w:eastAsia="Book Antiqua" w:cs="Book Antiqua"/>
        </w:rPr>
        <w:t xml:space="preserve">, Bagheri Lankarani K, Bastani P, Radinmanesh M, Kavosi Z. Risk Factors for Gastric Cancer: A Systematic Review. </w:t>
      </w:r>
      <w:r>
        <w:rPr>
          <w:rFonts w:ascii="Book Antiqua" w:hAnsi="Book Antiqua" w:eastAsia="Book Antiqua" w:cs="Book Antiqua"/>
          <w:i/>
          <w:iCs/>
        </w:rPr>
        <w:t>Asian Pac J Cancer Prev</w:t>
      </w:r>
      <w:r>
        <w:rPr>
          <w:rFonts w:ascii="Book Antiqua" w:hAnsi="Book Antiqua" w:eastAsia="Book Antiqua" w:cs="Book Antiqua"/>
        </w:rPr>
        <w:t xml:space="preserve"> 2018; </w:t>
      </w:r>
      <w:r>
        <w:rPr>
          <w:rFonts w:ascii="Book Antiqua" w:hAnsi="Book Antiqua" w:eastAsia="Book Antiqua" w:cs="Book Antiqua"/>
          <w:b/>
          <w:bCs/>
        </w:rPr>
        <w:t>19</w:t>
      </w:r>
      <w:r>
        <w:rPr>
          <w:rFonts w:ascii="Book Antiqua" w:hAnsi="Book Antiqua" w:eastAsia="Book Antiqua" w:cs="Book Antiqua"/>
        </w:rPr>
        <w:t>: 591-603 [PMID: 29579788 DOI: 10.22034/APJCP.2018.19.3.591]</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Rawla P</w:t>
      </w:r>
      <w:r>
        <w:rPr>
          <w:rFonts w:ascii="Book Antiqua" w:hAnsi="Book Antiqua" w:eastAsia="Book Antiqua" w:cs="Book Antiqua"/>
        </w:rPr>
        <w:t xml:space="preserve">, Barsouk A. Epidemiology of gastric cancer: global trends, risk factors and prevention. </w:t>
      </w:r>
      <w:r>
        <w:rPr>
          <w:rFonts w:ascii="Book Antiqua" w:hAnsi="Book Antiqua" w:eastAsia="Book Antiqua" w:cs="Book Antiqua"/>
          <w:i/>
          <w:iCs/>
        </w:rPr>
        <w:t>Prz Gastroenterol</w:t>
      </w:r>
      <w:r>
        <w:rPr>
          <w:rFonts w:ascii="Book Antiqua" w:hAnsi="Book Antiqua" w:eastAsia="Book Antiqua" w:cs="Book Antiqua"/>
        </w:rPr>
        <w:t xml:space="preserve"> 2019; </w:t>
      </w:r>
      <w:r>
        <w:rPr>
          <w:rFonts w:ascii="Book Antiqua" w:hAnsi="Book Antiqua" w:eastAsia="Book Antiqua" w:cs="Book Antiqua"/>
          <w:b/>
          <w:bCs/>
        </w:rPr>
        <w:t>14</w:t>
      </w:r>
      <w:r>
        <w:rPr>
          <w:rFonts w:ascii="Book Antiqua" w:hAnsi="Book Antiqua" w:eastAsia="Book Antiqua" w:cs="Book Antiqua"/>
        </w:rPr>
        <w:t>: 26-38 [PMID: 30944675 DOI: 10.5114/pg.2018.80001]</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Houghton J</w:t>
      </w:r>
      <w:r>
        <w:rPr>
          <w:rFonts w:ascii="Book Antiqua" w:hAnsi="Book Antiqua" w:eastAsia="Book Antiqua" w:cs="Book Antiqua"/>
        </w:rPr>
        <w:t xml:space="preserve">, Wang TC. Helicobacter pylori and gastric cancer: a new paradigm for inflammation-associated epithelial cancers. </w:t>
      </w:r>
      <w:r>
        <w:rPr>
          <w:rFonts w:ascii="Book Antiqua" w:hAnsi="Book Antiqua" w:eastAsia="Book Antiqua" w:cs="Book Antiqua"/>
          <w:i/>
          <w:iCs/>
        </w:rPr>
        <w:t>Gastroenterology</w:t>
      </w:r>
      <w:r>
        <w:rPr>
          <w:rFonts w:ascii="Book Antiqua" w:hAnsi="Book Antiqua" w:eastAsia="Book Antiqua" w:cs="Book Antiqua"/>
        </w:rPr>
        <w:t xml:space="preserve"> 2005; </w:t>
      </w:r>
      <w:r>
        <w:rPr>
          <w:rFonts w:ascii="Book Antiqua" w:hAnsi="Book Antiqua" w:eastAsia="Book Antiqua" w:cs="Book Antiqua"/>
          <w:b/>
          <w:bCs/>
        </w:rPr>
        <w:t>128</w:t>
      </w:r>
      <w:r>
        <w:rPr>
          <w:rFonts w:ascii="Book Antiqua" w:hAnsi="Book Antiqua" w:eastAsia="Book Antiqua" w:cs="Book Antiqua"/>
        </w:rPr>
        <w:t>: 1567-1578 [PMID: 15887152 DOI: 10.1053/j.gastro.2005.03.037]</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Kankeu Fonkoua L</w:t>
      </w:r>
      <w:r>
        <w:rPr>
          <w:rFonts w:ascii="Book Antiqua" w:hAnsi="Book Antiqua" w:eastAsia="Book Antiqua" w:cs="Book Antiqua"/>
        </w:rPr>
        <w:t xml:space="preserve">, Yee NS. Molecular Characterization of Gastric Carcinoma: Therapeutic Implications for Biomarkers and Targets. </w:t>
      </w:r>
      <w:r>
        <w:rPr>
          <w:rFonts w:ascii="Book Antiqua" w:hAnsi="Book Antiqua" w:eastAsia="Book Antiqua" w:cs="Book Antiqua"/>
          <w:i/>
          <w:iCs/>
        </w:rPr>
        <w:t>Biomedicines</w:t>
      </w:r>
      <w:r>
        <w:rPr>
          <w:rFonts w:ascii="Book Antiqua" w:hAnsi="Book Antiqua" w:eastAsia="Book Antiqua" w:cs="Book Antiqua"/>
        </w:rPr>
        <w:t xml:space="preserve"> 2018; </w:t>
      </w:r>
      <w:r>
        <w:rPr>
          <w:rFonts w:ascii="Book Antiqua" w:hAnsi="Book Antiqua" w:eastAsia="Book Antiqua" w:cs="Book Antiqua"/>
          <w:b/>
          <w:bCs/>
        </w:rPr>
        <w:t>6</w:t>
      </w:r>
      <w:r>
        <w:rPr>
          <w:rFonts w:ascii="Book Antiqua" w:hAnsi="Book Antiqua" w:eastAsia="Book Antiqua" w:cs="Book Antiqua"/>
        </w:rPr>
        <w:t xml:space="preserve"> [PMID: 29522457 DOI: 10.3390/biomedicines6010032]</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Wu WK</w:t>
      </w:r>
      <w:r>
        <w:rPr>
          <w:rFonts w:ascii="Book Antiqua" w:hAnsi="Book Antiqua" w:eastAsia="Book Antiqua" w:cs="Book Antiqua"/>
        </w:rPr>
        <w:t xml:space="preserve">, Cho CH, Lee CW, Fan D, Wu K, Yu J, Sung JJ. Dysregulation of cellular signaling in gastric cancer. </w:t>
      </w:r>
      <w:r>
        <w:rPr>
          <w:rFonts w:ascii="Book Antiqua" w:hAnsi="Book Antiqua" w:eastAsia="Book Antiqua" w:cs="Book Antiqua"/>
          <w:i/>
          <w:iCs/>
        </w:rPr>
        <w:t>Cancer Lett</w:t>
      </w:r>
      <w:r>
        <w:rPr>
          <w:rFonts w:ascii="Book Antiqua" w:hAnsi="Book Antiqua" w:eastAsia="Book Antiqua" w:cs="Book Antiqua"/>
        </w:rPr>
        <w:t xml:space="preserve"> 2010; </w:t>
      </w:r>
      <w:r>
        <w:rPr>
          <w:rFonts w:ascii="Book Antiqua" w:hAnsi="Book Antiqua" w:eastAsia="Book Antiqua" w:cs="Book Antiqua"/>
          <w:b/>
          <w:bCs/>
        </w:rPr>
        <w:t>295</w:t>
      </w:r>
      <w:r>
        <w:rPr>
          <w:rFonts w:ascii="Book Antiqua" w:hAnsi="Book Antiqua" w:eastAsia="Book Antiqua" w:cs="Book Antiqua"/>
        </w:rPr>
        <w:t>: 144-153 [PMID: 20488613 DOI: 10.1016/j.canlet.2010.04.025]</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Previs RA</w:t>
      </w:r>
      <w:r>
        <w:rPr>
          <w:rFonts w:ascii="Book Antiqua" w:hAnsi="Book Antiqua" w:eastAsia="Book Antiqua" w:cs="Book Antiqua"/>
        </w:rPr>
        <w:t xml:space="preserve">, Coleman RL, Harris AL, Sood AK. Molecular pathways: translational and therapeutic implications of the Notch signaling pathway in cancer. </w:t>
      </w:r>
      <w:r>
        <w:rPr>
          <w:rFonts w:ascii="Book Antiqua" w:hAnsi="Book Antiqua" w:eastAsia="Book Antiqua" w:cs="Book Antiqua"/>
          <w:i/>
          <w:iCs/>
        </w:rPr>
        <w:t>Clin Cancer Res</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955-961 [PMID: 25388163 DOI: 10.1158/1078-0432.CCR-14-0809]</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Aster JC</w:t>
      </w:r>
      <w:r>
        <w:rPr>
          <w:rFonts w:ascii="Book Antiqua" w:hAnsi="Book Antiqua" w:eastAsia="Book Antiqua" w:cs="Book Antiqua"/>
        </w:rPr>
        <w:t xml:space="preserve">, Pear WS, Blacklow SC. The Varied Roles of Notch in Cancer. </w:t>
      </w:r>
      <w:r>
        <w:rPr>
          <w:rFonts w:ascii="Book Antiqua" w:hAnsi="Book Antiqua" w:eastAsia="Book Antiqua" w:cs="Book Antiqua"/>
          <w:i/>
          <w:iCs/>
        </w:rPr>
        <w:t>Annu Rev Pathol</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245-275 [PMID: 27959635 DOI: 10.1146/annurev-pathol-052016-100127]</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Ntziachristos P</w:t>
      </w:r>
      <w:r>
        <w:rPr>
          <w:rFonts w:ascii="Book Antiqua" w:hAnsi="Book Antiqua" w:eastAsia="Book Antiqua" w:cs="Book Antiqua"/>
        </w:rPr>
        <w:t xml:space="preserve">, Lim JS, Sage J, Aifantis I. From fly wings to targeted cancer therapies: a centennial for notch signaling. </w:t>
      </w:r>
      <w:r>
        <w:rPr>
          <w:rFonts w:ascii="Book Antiqua" w:hAnsi="Book Antiqua" w:eastAsia="Book Antiqua" w:cs="Book Antiqua"/>
          <w:i/>
          <w:iCs/>
        </w:rPr>
        <w:t>Cancer Cell</w:t>
      </w:r>
      <w:r>
        <w:rPr>
          <w:rFonts w:ascii="Book Antiqua" w:hAnsi="Book Antiqua" w:eastAsia="Book Antiqua" w:cs="Book Antiqua"/>
        </w:rPr>
        <w:t xml:space="preserve"> 2014; </w:t>
      </w:r>
      <w:r>
        <w:rPr>
          <w:rFonts w:ascii="Book Antiqua" w:hAnsi="Book Antiqua" w:eastAsia="Book Antiqua" w:cs="Book Antiqua"/>
          <w:b/>
          <w:bCs/>
        </w:rPr>
        <w:t>25</w:t>
      </w:r>
      <w:r>
        <w:rPr>
          <w:rFonts w:ascii="Book Antiqua" w:hAnsi="Book Antiqua" w:eastAsia="Book Antiqua" w:cs="Book Antiqua"/>
        </w:rPr>
        <w:t>: 318-334 [PMID: 24651013 DOI: 10.1016/j.ccr.2014.02.018]</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South AP</w:t>
      </w:r>
      <w:r>
        <w:rPr>
          <w:rFonts w:ascii="Book Antiqua" w:hAnsi="Book Antiqua" w:eastAsia="Book Antiqua" w:cs="Book Antiqua"/>
        </w:rPr>
        <w:t xml:space="preserve">, Cho RJ, Aster JC. The double-edged sword of Notch signaling in cancer. </w:t>
      </w:r>
      <w:r>
        <w:rPr>
          <w:rFonts w:ascii="Book Antiqua" w:hAnsi="Book Antiqua" w:eastAsia="Book Antiqua" w:cs="Book Antiqua"/>
          <w:i/>
          <w:iCs/>
        </w:rPr>
        <w:t>Semin Cell Dev Biol</w:t>
      </w:r>
      <w:r>
        <w:rPr>
          <w:rFonts w:ascii="Book Antiqua" w:hAnsi="Book Antiqua" w:eastAsia="Book Antiqua" w:cs="Book Antiqua"/>
        </w:rPr>
        <w:t xml:space="preserve"> 2012; </w:t>
      </w:r>
      <w:r>
        <w:rPr>
          <w:rFonts w:ascii="Book Antiqua" w:hAnsi="Book Antiqua" w:eastAsia="Book Antiqua" w:cs="Book Antiqua"/>
          <w:b/>
          <w:bCs/>
        </w:rPr>
        <w:t>23</w:t>
      </w:r>
      <w:r>
        <w:rPr>
          <w:rFonts w:ascii="Book Antiqua" w:hAnsi="Book Antiqua" w:eastAsia="Book Antiqua" w:cs="Book Antiqua"/>
        </w:rPr>
        <w:t>: 458-464 [PMID: 22309843 DOI: 10.1016/j.semcdb.2012.01.017]</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Guo B</w:t>
      </w:r>
      <w:r>
        <w:rPr>
          <w:rFonts w:ascii="Book Antiqua" w:hAnsi="Book Antiqua" w:eastAsia="Book Antiqua" w:cs="Book Antiqua"/>
        </w:rPr>
        <w:t xml:space="preserve">, McMillan BJ, Blacklow SC. Structure and function of the Mind bomb E3 ligase in the context of Notch signal transduction. </w:t>
      </w:r>
      <w:r>
        <w:rPr>
          <w:rFonts w:ascii="Book Antiqua" w:hAnsi="Book Antiqua" w:eastAsia="Book Antiqua" w:cs="Book Antiqua"/>
          <w:i/>
          <w:iCs/>
        </w:rPr>
        <w:t>Curr Opin Struct Biol</w:t>
      </w:r>
      <w:r>
        <w:rPr>
          <w:rFonts w:ascii="Book Antiqua" w:hAnsi="Book Antiqua" w:eastAsia="Book Antiqua" w:cs="Book Antiqua"/>
        </w:rPr>
        <w:t xml:space="preserve"> 2016; </w:t>
      </w:r>
      <w:r>
        <w:rPr>
          <w:rFonts w:ascii="Book Antiqua" w:hAnsi="Book Antiqua" w:eastAsia="Book Antiqua" w:cs="Book Antiqua"/>
          <w:b/>
          <w:bCs/>
        </w:rPr>
        <w:t>41</w:t>
      </w:r>
      <w:r>
        <w:rPr>
          <w:rFonts w:ascii="Book Antiqua" w:hAnsi="Book Antiqua" w:eastAsia="Book Antiqua" w:cs="Book Antiqua"/>
        </w:rPr>
        <w:t>: 38-45 [PMID: 27285058 DOI: 10.1016/j.sbi.2016.05.012]</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Koo BK</w:t>
      </w:r>
      <w:r>
        <w:rPr>
          <w:rFonts w:ascii="Book Antiqua" w:hAnsi="Book Antiqua" w:eastAsia="Book Antiqua" w:cs="Book Antiqua"/>
        </w:rPr>
        <w:t xml:space="preserve">, Lim HS, Song R, Yoon MJ, Yoon KJ, Moon JS, Kim YW, Kwon MC, Yoo KW, Kong MP, Lee J, Chitnis AB, Kim CH, Kong YY. Mind bomb 1 is essential for generating functional Notch ligands to activate Notch. </w:t>
      </w:r>
      <w:r>
        <w:rPr>
          <w:rFonts w:ascii="Book Antiqua" w:hAnsi="Book Antiqua" w:eastAsia="Book Antiqua" w:cs="Book Antiqua"/>
          <w:i/>
          <w:iCs/>
        </w:rPr>
        <w:t>Development</w:t>
      </w:r>
      <w:r>
        <w:rPr>
          <w:rFonts w:ascii="Book Antiqua" w:hAnsi="Book Antiqua" w:eastAsia="Book Antiqua" w:cs="Book Antiqua"/>
        </w:rPr>
        <w:t xml:space="preserve"> 2005; </w:t>
      </w:r>
      <w:r>
        <w:rPr>
          <w:rFonts w:ascii="Book Antiqua" w:hAnsi="Book Antiqua" w:eastAsia="Book Antiqua" w:cs="Book Antiqua"/>
          <w:b/>
          <w:bCs/>
        </w:rPr>
        <w:t>132</w:t>
      </w:r>
      <w:r>
        <w:rPr>
          <w:rFonts w:ascii="Book Antiqua" w:hAnsi="Book Antiqua" w:eastAsia="Book Antiqua" w:cs="Book Antiqua"/>
        </w:rPr>
        <w:t>: 3459-3470 [PMID: 16000382 DOI: 10.1242/dev.01922]</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Yamamoto M</w:t>
      </w:r>
      <w:r>
        <w:rPr>
          <w:rFonts w:ascii="Book Antiqua" w:hAnsi="Book Antiqua" w:eastAsia="Book Antiqua" w:cs="Book Antiqua"/>
        </w:rPr>
        <w:t xml:space="preserve">, Morita R, Mizoguchi T, Matsuo H, Isoda M, Ishitani T, Chitnis AB, Matsumoto K, Crump JG, Hozumi K, Yonemura S, Kawakami K, Itoh M. Mib-Jag1-Notch signalling regulates patterning and structural roles of the notochord by controlling cell-fate decisions. </w:t>
      </w:r>
      <w:r>
        <w:rPr>
          <w:rFonts w:ascii="Book Antiqua" w:hAnsi="Book Antiqua" w:eastAsia="Book Antiqua" w:cs="Book Antiqua"/>
          <w:i/>
          <w:iCs/>
        </w:rPr>
        <w:t>Development</w:t>
      </w:r>
      <w:r>
        <w:rPr>
          <w:rFonts w:ascii="Book Antiqua" w:hAnsi="Book Antiqua" w:eastAsia="Book Antiqua" w:cs="Book Antiqua"/>
        </w:rPr>
        <w:t xml:space="preserve"> 2010; </w:t>
      </w:r>
      <w:r>
        <w:rPr>
          <w:rFonts w:ascii="Book Antiqua" w:hAnsi="Book Antiqua" w:eastAsia="Book Antiqua" w:cs="Book Antiqua"/>
          <w:b/>
          <w:bCs/>
        </w:rPr>
        <w:t>137</w:t>
      </w:r>
      <w:r>
        <w:rPr>
          <w:rFonts w:ascii="Book Antiqua" w:hAnsi="Book Antiqua" w:eastAsia="Book Antiqua" w:cs="Book Antiqua"/>
        </w:rPr>
        <w:t>: 2527-2537 [PMID: 20573700 DOI: 10.1242/dev.051011]</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Zhang B</w:t>
      </w:r>
      <w:r>
        <w:rPr>
          <w:rFonts w:ascii="Book Antiqua" w:hAnsi="Book Antiqua" w:eastAsia="Book Antiqua" w:cs="Book Antiqua"/>
        </w:rPr>
        <w:t xml:space="preserve">, Cheng X, Zhan S, Jin X, Liu T. MIB1 upregulates IQGAP1 and promotes pancreatic cancer progression by inducing ST7 degradation. </w:t>
      </w:r>
      <w:r>
        <w:rPr>
          <w:rFonts w:ascii="Book Antiqua" w:hAnsi="Book Antiqua" w:eastAsia="Book Antiqua" w:cs="Book Antiqua"/>
          <w:i/>
          <w:iCs/>
        </w:rPr>
        <w:t>Mol Oncol</w:t>
      </w:r>
      <w:r>
        <w:rPr>
          <w:rFonts w:ascii="Book Antiqua" w:hAnsi="Book Antiqua" w:eastAsia="Book Antiqua" w:cs="Book Antiqua"/>
        </w:rPr>
        <w:t xml:space="preserve"> 2021; </w:t>
      </w:r>
      <w:r>
        <w:rPr>
          <w:rFonts w:ascii="Book Antiqua" w:hAnsi="Book Antiqua" w:eastAsia="Book Antiqua" w:cs="Book Antiqua"/>
          <w:b/>
          <w:bCs/>
        </w:rPr>
        <w:t>15</w:t>
      </w:r>
      <w:r>
        <w:rPr>
          <w:rFonts w:ascii="Book Antiqua" w:hAnsi="Book Antiqua" w:eastAsia="Book Antiqua" w:cs="Book Antiqua"/>
        </w:rPr>
        <w:t>: 3062-3075 [PMID: 33793053 DOI: 10.1002/1878-0261.12955]</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Fu X</w:t>
      </w:r>
      <w:r>
        <w:rPr>
          <w:rFonts w:ascii="Book Antiqua" w:hAnsi="Book Antiqua" w:eastAsia="Book Antiqua" w:cs="Book Antiqua"/>
        </w:rPr>
        <w:t xml:space="preserve">, Tang N, Xie W, Mao L, Qiu Y. Mind Bomb 1 Promotes Pancreatic Cancer Proliferation by Activating β-Catenin Signaling. </w:t>
      </w:r>
      <w:r>
        <w:rPr>
          <w:rFonts w:ascii="Book Antiqua" w:hAnsi="Book Antiqua" w:eastAsia="Book Antiqua" w:cs="Book Antiqua"/>
          <w:i/>
          <w:iCs/>
        </w:rPr>
        <w:t>J Nanosci Nanotechnol</w:t>
      </w:r>
      <w:r>
        <w:rPr>
          <w:rFonts w:ascii="Book Antiqua" w:hAnsi="Book Antiqua" w:eastAsia="Book Antiqua" w:cs="Book Antiqua"/>
        </w:rPr>
        <w:t xml:space="preserve"> 2020; </w:t>
      </w:r>
      <w:r>
        <w:rPr>
          <w:rFonts w:ascii="Book Antiqua" w:hAnsi="Book Antiqua" w:eastAsia="Book Antiqua" w:cs="Book Antiqua"/>
          <w:b/>
          <w:bCs/>
        </w:rPr>
        <w:t>20</w:t>
      </w:r>
      <w:r>
        <w:rPr>
          <w:rFonts w:ascii="Book Antiqua" w:hAnsi="Book Antiqua" w:eastAsia="Book Antiqua" w:cs="Book Antiqua"/>
        </w:rPr>
        <w:t>: 7276-7282 [PMID: 32711591 DOI: 10.1166/jnn.2020.18755]</w:t>
      </w:r>
    </w:p>
    <w:p>
      <w:pPr>
        <w:spacing w:line="360" w:lineRule="auto"/>
        <w:jc w:val="both"/>
        <w:rPr>
          <w:rFonts w:ascii="Book Antiqua" w:hAnsi="Book Antiqua"/>
        </w:rPr>
      </w:pPr>
      <w:r>
        <w:rPr>
          <w:rFonts w:hint="eastAsia" w:ascii="Book Antiqua" w:hAnsi="Book Antiqua" w:cs="Book Antiqua"/>
          <w:lang w:eastAsia="zh-CN"/>
        </w:rPr>
        <w:t>24</w:t>
      </w:r>
      <w:r>
        <w:rPr>
          <w:rFonts w:ascii="Book Antiqua" w:hAnsi="Book Antiqua" w:eastAsia="Book Antiqua" w:cs="Book Antiqua"/>
        </w:rPr>
        <w:t xml:space="preserve"> </w:t>
      </w:r>
      <w:r>
        <w:rPr>
          <w:rFonts w:ascii="Book Antiqua" w:hAnsi="Book Antiqua" w:eastAsia="Book Antiqua" w:cs="Book Antiqua"/>
          <w:b/>
          <w:bCs/>
        </w:rPr>
        <w:t>Lanier LL</w:t>
      </w:r>
      <w:r>
        <w:rPr>
          <w:rFonts w:ascii="Book Antiqua" w:hAnsi="Book Antiqua" w:eastAsia="Book Antiqua" w:cs="Book Antiqua"/>
        </w:rPr>
        <w:t xml:space="preserve">. NK cell recognition. </w:t>
      </w:r>
      <w:r>
        <w:rPr>
          <w:rFonts w:ascii="Book Antiqua" w:hAnsi="Book Antiqua" w:eastAsia="Book Antiqua" w:cs="Book Antiqua"/>
          <w:i/>
          <w:iCs/>
        </w:rPr>
        <w:t>Annu Rev Immunol</w:t>
      </w:r>
      <w:r>
        <w:rPr>
          <w:rFonts w:ascii="Book Antiqua" w:hAnsi="Book Antiqua" w:eastAsia="Book Antiqua" w:cs="Book Antiqua"/>
        </w:rPr>
        <w:t xml:space="preserve"> 2005; </w:t>
      </w:r>
      <w:r>
        <w:rPr>
          <w:rFonts w:ascii="Book Antiqua" w:hAnsi="Book Antiqua" w:eastAsia="Book Antiqua" w:cs="Book Antiqua"/>
          <w:b/>
          <w:bCs/>
        </w:rPr>
        <w:t>23</w:t>
      </w:r>
      <w:r>
        <w:rPr>
          <w:rFonts w:ascii="Book Antiqua" w:hAnsi="Book Antiqua" w:eastAsia="Book Antiqua" w:cs="Book Antiqua"/>
        </w:rPr>
        <w:t>: 225-274 [PMID: 15771571 DOI: 10.1146/annurev.immunol.23.021704.115526]</w:t>
      </w:r>
    </w:p>
    <w:p>
      <w:pPr>
        <w:spacing w:line="360" w:lineRule="auto"/>
        <w:jc w:val="both"/>
        <w:rPr>
          <w:rFonts w:ascii="Book Antiqua" w:hAnsi="Book Antiqua"/>
        </w:rPr>
      </w:pPr>
      <w:r>
        <w:rPr>
          <w:rFonts w:hint="eastAsia" w:ascii="Book Antiqua" w:hAnsi="Book Antiqua" w:cs="Book Antiqua"/>
          <w:lang w:eastAsia="zh-CN"/>
        </w:rPr>
        <w:t>25</w:t>
      </w:r>
      <w:r>
        <w:rPr>
          <w:rFonts w:ascii="Book Antiqua" w:hAnsi="Book Antiqua" w:eastAsia="Book Antiqua" w:cs="Book Antiqua"/>
        </w:rPr>
        <w:t xml:space="preserve"> </w:t>
      </w:r>
      <w:r>
        <w:rPr>
          <w:rFonts w:ascii="Book Antiqua" w:hAnsi="Book Antiqua" w:eastAsia="Book Antiqua" w:cs="Book Antiqua"/>
          <w:b/>
          <w:bCs/>
        </w:rPr>
        <w:t>Iwahori K</w:t>
      </w:r>
      <w:r>
        <w:rPr>
          <w:rFonts w:ascii="Book Antiqua" w:hAnsi="Book Antiqua" w:eastAsia="Book Antiqua" w:cs="Book Antiqua"/>
        </w:rPr>
        <w:t xml:space="preserve">. Cytotoxic CD8(+) Lymphocytes in the Tumor Microenvironment. </w:t>
      </w:r>
      <w:r>
        <w:rPr>
          <w:rFonts w:ascii="Book Antiqua" w:hAnsi="Book Antiqua" w:eastAsia="Book Antiqua" w:cs="Book Antiqua"/>
          <w:i/>
          <w:iCs/>
        </w:rPr>
        <w:t>Adv Exp Med Biol</w:t>
      </w:r>
      <w:r>
        <w:rPr>
          <w:rFonts w:ascii="Book Antiqua" w:hAnsi="Book Antiqua" w:eastAsia="Book Antiqua" w:cs="Book Antiqua"/>
        </w:rPr>
        <w:t xml:space="preserve"> 2020; </w:t>
      </w:r>
      <w:r>
        <w:rPr>
          <w:rFonts w:ascii="Book Antiqua" w:hAnsi="Book Antiqua" w:eastAsia="Book Antiqua" w:cs="Book Antiqua"/>
          <w:b/>
          <w:bCs/>
        </w:rPr>
        <w:t>1224</w:t>
      </w:r>
      <w:r>
        <w:rPr>
          <w:rFonts w:ascii="Book Antiqua" w:hAnsi="Book Antiqua" w:eastAsia="Book Antiqua" w:cs="Book Antiqua"/>
        </w:rPr>
        <w:t>: 53-62 [PMID: 32036604 DOI: 10.1007/978-3-030-35723-8_4]</w:t>
      </w:r>
    </w:p>
    <w:p>
      <w:pPr>
        <w:spacing w:line="360" w:lineRule="auto"/>
        <w:jc w:val="both"/>
        <w:rPr>
          <w:rFonts w:ascii="Book Antiqua" w:hAnsi="Book Antiqua"/>
        </w:rPr>
      </w:pPr>
      <w:r>
        <w:rPr>
          <w:rFonts w:hint="eastAsia" w:ascii="Book Antiqua" w:hAnsi="Book Antiqua" w:cs="Book Antiqua"/>
          <w:lang w:eastAsia="zh-CN"/>
        </w:rPr>
        <w:t>26</w:t>
      </w:r>
      <w:r>
        <w:rPr>
          <w:rFonts w:ascii="Book Antiqua" w:hAnsi="Book Antiqua" w:eastAsia="Book Antiqua" w:cs="Book Antiqua"/>
        </w:rPr>
        <w:t xml:space="preserve"> </w:t>
      </w:r>
      <w:r>
        <w:rPr>
          <w:rFonts w:ascii="Book Antiqua" w:hAnsi="Book Antiqua" w:eastAsia="Book Antiqua" w:cs="Book Antiqua"/>
          <w:b/>
          <w:bCs/>
        </w:rPr>
        <w:t>Saulep-Easton D</w:t>
      </w:r>
      <w:r>
        <w:rPr>
          <w:rFonts w:ascii="Book Antiqua" w:hAnsi="Book Antiqua" w:eastAsia="Book Antiqua" w:cs="Book Antiqua"/>
        </w:rPr>
        <w:t xml:space="preserve">, Vincent FB, Le Page M, Wei A, Ting SB, Croce CM, Tam C, Mackay F. Cytokine-driven loss of plasmacytoid dendritic cell function in chronic lymphocytic leukemia. </w:t>
      </w:r>
      <w:r>
        <w:rPr>
          <w:rFonts w:ascii="Book Antiqua" w:hAnsi="Book Antiqua" w:eastAsia="Book Antiqua" w:cs="Book Antiqua"/>
          <w:i/>
          <w:iCs/>
        </w:rPr>
        <w:t>Leukemia</w:t>
      </w:r>
      <w:r>
        <w:rPr>
          <w:rFonts w:ascii="Book Antiqua" w:hAnsi="Book Antiqua" w:eastAsia="Book Antiqua" w:cs="Book Antiqua"/>
        </w:rPr>
        <w:t xml:space="preserve"> 2014; </w:t>
      </w:r>
      <w:r>
        <w:rPr>
          <w:rFonts w:ascii="Book Antiqua" w:hAnsi="Book Antiqua" w:eastAsia="Book Antiqua" w:cs="Book Antiqua"/>
          <w:b/>
          <w:bCs/>
        </w:rPr>
        <w:t>28</w:t>
      </w:r>
      <w:r>
        <w:rPr>
          <w:rFonts w:ascii="Book Antiqua" w:hAnsi="Book Antiqua" w:eastAsia="Book Antiqua" w:cs="Book Antiqua"/>
        </w:rPr>
        <w:t>: 2005-2015 [PMID: 24721775 DOI: 10.1038/Leu.2014.105]</w:t>
      </w:r>
    </w:p>
    <w:p>
      <w:pPr>
        <w:spacing w:line="360" w:lineRule="auto"/>
        <w:jc w:val="both"/>
        <w:rPr>
          <w:rFonts w:ascii="Book Antiqua" w:hAnsi="Book Antiqua" w:eastAsia="Book Antiqua" w:cs="Book Antiqua"/>
        </w:rPr>
      </w:pPr>
      <w:r>
        <w:rPr>
          <w:rFonts w:hint="eastAsia" w:ascii="Book Antiqua" w:hAnsi="Book Antiqua" w:cs="Book Antiqua"/>
          <w:lang w:eastAsia="zh-CN"/>
        </w:rPr>
        <w:t>27</w:t>
      </w:r>
      <w:r>
        <w:rPr>
          <w:rFonts w:ascii="Book Antiqua" w:hAnsi="Book Antiqua" w:eastAsia="Book Antiqua" w:cs="Book Antiqua"/>
        </w:rPr>
        <w:t xml:space="preserve"> </w:t>
      </w:r>
      <w:r>
        <w:rPr>
          <w:rFonts w:ascii="Book Antiqua" w:hAnsi="Book Antiqua" w:eastAsia="Book Antiqua" w:cs="Book Antiqua"/>
          <w:b/>
          <w:bCs/>
        </w:rPr>
        <w:t>Amicarella F</w:t>
      </w:r>
      <w:r>
        <w:rPr>
          <w:rFonts w:ascii="Book Antiqua" w:hAnsi="Book Antiqua" w:eastAsia="Book Antiqua" w:cs="Book Antiqua"/>
        </w:rPr>
        <w:t xml:space="preserve">, Muraro MG, Hirt C, Cremonesi E, Padovan E, Mele V, Governa V, Han J, Huber X, Droeser RA, Zuber M, Adamina M, Bolli M, Rosso R, Lugli A, Zlobec I, Terracciano L, Tornillo L, Zajac P, Eppenberger-Castori S, Trapani F, Oertli D, Iezzi G. Dual role of tumour-infiltrating T helper 17 cells in human colorectal cancer. </w:t>
      </w:r>
      <w:r>
        <w:rPr>
          <w:rFonts w:ascii="Book Antiqua" w:hAnsi="Book Antiqua" w:eastAsia="Book Antiqua" w:cs="Book Antiqua"/>
          <w:i/>
          <w:iCs/>
        </w:rPr>
        <w:t>Gut</w:t>
      </w:r>
      <w:r>
        <w:rPr>
          <w:rFonts w:ascii="Book Antiqua" w:hAnsi="Book Antiqua" w:eastAsia="Book Antiqua" w:cs="Book Antiqua"/>
        </w:rPr>
        <w:t xml:space="preserve"> 2017; </w:t>
      </w:r>
      <w:r>
        <w:rPr>
          <w:rFonts w:ascii="Book Antiqua" w:hAnsi="Book Antiqua" w:eastAsia="Book Antiqua" w:cs="Book Antiqua"/>
          <w:b/>
          <w:bCs/>
        </w:rPr>
        <w:t>66</w:t>
      </w:r>
      <w:r>
        <w:rPr>
          <w:rFonts w:ascii="Book Antiqua" w:hAnsi="Book Antiqua" w:eastAsia="Book Antiqua" w:cs="Book Antiqua"/>
        </w:rPr>
        <w:t>: 692-704 [PMID: 26719303 DOI: 10.1136/gutjnl-2015-310016]</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Gordon WR</w:t>
      </w:r>
      <w:r>
        <w:rPr>
          <w:rFonts w:ascii="Book Antiqua" w:hAnsi="Book Antiqua" w:eastAsia="Book Antiqua" w:cs="Book Antiqua"/>
        </w:rPr>
        <w:t xml:space="preserve">, Zimmerman B, He L, Miles LJ, Huang J, Tiyanont K, McArthur DG, Aster JC, Perrimon N, Loparo JJ, Blacklow SC. Mechanical Allostery: Evidence for a Force Requirement in the Proteolytic Activation of Notch. </w:t>
      </w:r>
      <w:r>
        <w:rPr>
          <w:rFonts w:ascii="Book Antiqua" w:hAnsi="Book Antiqua" w:eastAsia="Book Antiqua" w:cs="Book Antiqua"/>
          <w:i/>
          <w:iCs/>
        </w:rPr>
        <w:t>Dev Cell</w:t>
      </w:r>
      <w:r>
        <w:rPr>
          <w:rFonts w:ascii="Book Antiqua" w:hAnsi="Book Antiqua" w:eastAsia="Book Antiqua" w:cs="Book Antiqua"/>
        </w:rPr>
        <w:t xml:space="preserve"> 2015; </w:t>
      </w:r>
      <w:r>
        <w:rPr>
          <w:rFonts w:ascii="Book Antiqua" w:hAnsi="Book Antiqua" w:eastAsia="Book Antiqua" w:cs="Book Antiqua"/>
          <w:b/>
          <w:bCs/>
        </w:rPr>
        <w:t>33</w:t>
      </w:r>
      <w:r>
        <w:rPr>
          <w:rFonts w:ascii="Book Antiqua" w:hAnsi="Book Antiqua" w:eastAsia="Book Antiqua" w:cs="Book Antiqua"/>
        </w:rPr>
        <w:t>: 729-736 [PMID: 26051539 DOI: 10.1016/j.devcel.2015.05.004]</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Itoh M</w:t>
      </w:r>
      <w:r>
        <w:rPr>
          <w:rFonts w:ascii="Book Antiqua" w:hAnsi="Book Antiqua" w:eastAsia="Book Antiqua" w:cs="Book Antiqua"/>
        </w:rPr>
        <w:t xml:space="preserve">, Kim CH, Palardy G, Oda T, Jiang YJ, Maust D, Yeo SY, Lorick K, Wright GJ, Ariza-McNaughton L, Weissman AM, Lewis J, Chandrasekharappa SC, Chitnis AB. Mind bomb is a ubiquitin ligase that is essential for efficient activation of Notch signaling by Delta. </w:t>
      </w:r>
      <w:r>
        <w:rPr>
          <w:rFonts w:ascii="Book Antiqua" w:hAnsi="Book Antiqua" w:eastAsia="Book Antiqua" w:cs="Book Antiqua"/>
          <w:i/>
          <w:iCs/>
        </w:rPr>
        <w:t>Dev Cell</w:t>
      </w:r>
      <w:r>
        <w:rPr>
          <w:rFonts w:ascii="Book Antiqua" w:hAnsi="Book Antiqua" w:eastAsia="Book Antiqua" w:cs="Book Antiqua"/>
        </w:rPr>
        <w:t xml:space="preserve"> 2003; </w:t>
      </w:r>
      <w:r>
        <w:rPr>
          <w:rFonts w:ascii="Book Antiqua" w:hAnsi="Book Antiqua" w:eastAsia="Book Antiqua" w:cs="Book Antiqua"/>
          <w:b/>
          <w:bCs/>
        </w:rPr>
        <w:t>4</w:t>
      </w:r>
      <w:r>
        <w:rPr>
          <w:rFonts w:ascii="Book Antiqua" w:hAnsi="Book Antiqua" w:eastAsia="Book Antiqua" w:cs="Book Antiqua"/>
        </w:rPr>
        <w:t>: 67-82 [PMID: 12530964 DOI: 10.1016/s1534-5807(02)00409-4]</w:t>
      </w:r>
    </w:p>
    <w:p>
      <w:pPr>
        <w:spacing w:line="360" w:lineRule="auto"/>
        <w:jc w:val="both"/>
        <w:rPr>
          <w:rFonts w:ascii="Book Antiqua" w:hAnsi="Book Antiqua" w:eastAsia="Book Antiqua" w:cs="Book Antiqua"/>
        </w:rPr>
      </w:pPr>
      <w:r>
        <w:rPr>
          <w:rFonts w:ascii="Book Antiqua" w:hAnsi="Book Antiqua" w:eastAsia="Book Antiqua" w:cs="Book Antiqua"/>
        </w:rPr>
        <w:t xml:space="preserve">30 </w:t>
      </w:r>
      <w:r>
        <w:rPr>
          <w:rFonts w:ascii="Book Antiqua" w:hAnsi="Book Antiqua" w:eastAsia="Book Antiqua" w:cs="Book Antiqua"/>
          <w:b/>
          <w:bCs/>
        </w:rPr>
        <w:t>Haddon C</w:t>
      </w:r>
      <w:r>
        <w:rPr>
          <w:rFonts w:ascii="Book Antiqua" w:hAnsi="Book Antiqua" w:eastAsia="Book Antiqua" w:cs="Book Antiqua"/>
        </w:rPr>
        <w:t xml:space="preserve">, Jiang YJ, Smithers L, Lewis J. Delta-Notch signalling and the patterning of sensory cell differentiation in the zebrafish ear: evidence from the mind bomb mutant. </w:t>
      </w:r>
      <w:r>
        <w:rPr>
          <w:rFonts w:ascii="Book Antiqua" w:hAnsi="Book Antiqua" w:eastAsia="Book Antiqua" w:cs="Book Antiqua"/>
          <w:i/>
          <w:iCs/>
        </w:rPr>
        <w:t>Development</w:t>
      </w:r>
      <w:r>
        <w:rPr>
          <w:rFonts w:ascii="Book Antiqua" w:hAnsi="Book Antiqua" w:eastAsia="Book Antiqua" w:cs="Book Antiqua"/>
        </w:rPr>
        <w:t xml:space="preserve"> 1998; </w:t>
      </w:r>
      <w:r>
        <w:rPr>
          <w:rFonts w:ascii="Book Antiqua" w:hAnsi="Book Antiqua" w:eastAsia="Book Antiqua" w:cs="Book Antiqua"/>
          <w:b/>
          <w:bCs/>
        </w:rPr>
        <w:t>125</w:t>
      </w:r>
      <w:r>
        <w:rPr>
          <w:rFonts w:ascii="Book Antiqua" w:hAnsi="Book Antiqua" w:eastAsia="Book Antiqua" w:cs="Book Antiqua"/>
        </w:rPr>
        <w:t>: 4637-4644 [PMID: 9806913 DOI: 10.1242/dev.125.23.4637]</w:t>
      </w:r>
    </w:p>
    <w:p>
      <w:pPr>
        <w:spacing w:line="360" w:lineRule="auto"/>
        <w:jc w:val="both"/>
        <w:rPr>
          <w:rFonts w:ascii="Book Antiqua" w:hAnsi="Book Antiqua" w:eastAsia="Book Antiqua" w:cs="Book Antiqua"/>
        </w:rPr>
      </w:pPr>
      <w:r>
        <w:rPr>
          <w:rFonts w:ascii="Book Antiqua" w:hAnsi="Book Antiqua" w:eastAsia="Book Antiqua" w:cs="Book Antiqua"/>
        </w:rPr>
        <w:t xml:space="preserve">31 </w:t>
      </w:r>
      <w:r>
        <w:rPr>
          <w:rFonts w:ascii="Book Antiqua" w:hAnsi="Book Antiqua" w:eastAsia="Book Antiqua" w:cs="Book Antiqua"/>
          <w:b/>
          <w:bCs/>
        </w:rPr>
        <w:t>Koo BK</w:t>
      </w:r>
      <w:r>
        <w:rPr>
          <w:rFonts w:ascii="Book Antiqua" w:hAnsi="Book Antiqua" w:eastAsia="Book Antiqua" w:cs="Book Antiqua"/>
        </w:rPr>
        <w:t xml:space="preserve">, Yoon MJ, Yoon KJ, Im SK, Kim YY, Kim CH, Suh PG, Jan YN, Kong YY. An obligatory role of mind bomb-1 in notch signaling of mammalian development. </w:t>
      </w:r>
      <w:r>
        <w:rPr>
          <w:rFonts w:ascii="Book Antiqua" w:hAnsi="Book Antiqua" w:eastAsia="Book Antiqua" w:cs="Book Antiqua"/>
          <w:i/>
          <w:iCs/>
        </w:rPr>
        <w:t>PLoS One</w:t>
      </w:r>
      <w:r>
        <w:rPr>
          <w:rFonts w:ascii="Book Antiqua" w:hAnsi="Book Antiqua" w:eastAsia="Book Antiqua" w:cs="Book Antiqua"/>
        </w:rPr>
        <w:t xml:space="preserve"> 2007; </w:t>
      </w:r>
      <w:r>
        <w:rPr>
          <w:rFonts w:ascii="Book Antiqua" w:hAnsi="Book Antiqua" w:eastAsia="Book Antiqua" w:cs="Book Antiqua"/>
          <w:b/>
          <w:bCs/>
        </w:rPr>
        <w:t>2</w:t>
      </w:r>
      <w:r>
        <w:rPr>
          <w:rFonts w:ascii="Book Antiqua" w:hAnsi="Book Antiqua" w:eastAsia="Book Antiqua" w:cs="Book Antiqua"/>
        </w:rPr>
        <w:t>: e1221 [PMID: 18043734 DOI: 10.1371/journal.pone.0001221]</w:t>
      </w:r>
    </w:p>
    <w:p>
      <w:pPr>
        <w:spacing w:line="360" w:lineRule="auto"/>
        <w:jc w:val="both"/>
        <w:rPr>
          <w:rFonts w:ascii="Book Antiqua" w:hAnsi="Book Antiqua" w:eastAsia="Book Antiqua" w:cs="Book Antiqua"/>
        </w:rPr>
      </w:pPr>
      <w:r>
        <w:rPr>
          <w:rFonts w:ascii="Book Antiqua" w:hAnsi="Book Antiqua" w:eastAsia="Book Antiqua" w:cs="Book Antiqua"/>
        </w:rPr>
        <w:t xml:space="preserve">32 </w:t>
      </w:r>
      <w:r>
        <w:rPr>
          <w:rFonts w:ascii="Book Antiqua" w:hAnsi="Book Antiqua" w:eastAsia="Book Antiqua" w:cs="Book Antiqua"/>
          <w:b/>
          <w:bCs/>
        </w:rPr>
        <w:t>Brzozowa M</w:t>
      </w:r>
      <w:r>
        <w:rPr>
          <w:rFonts w:ascii="Book Antiqua" w:hAnsi="Book Antiqua" w:eastAsia="Book Antiqua" w:cs="Book Antiqua"/>
        </w:rPr>
        <w:t xml:space="preserve">, Mielańczyk L, Michalski M, Malinowski L, Kowalczyk-Ziomek G, Helewski K, Harabin-Słowińska M, Wojnicz R. Role of Notch signaling pathway in gastric cancer pathogenesis. </w:t>
      </w:r>
      <w:r>
        <w:rPr>
          <w:rFonts w:ascii="Book Antiqua" w:hAnsi="Book Antiqua" w:eastAsia="Book Antiqua" w:cs="Book Antiqua"/>
          <w:i/>
          <w:iCs/>
        </w:rPr>
        <w:t>Contemp Oncol (Pozn)</w:t>
      </w:r>
      <w:r>
        <w:rPr>
          <w:rFonts w:ascii="Book Antiqua" w:hAnsi="Book Antiqua" w:eastAsia="Book Antiqua" w:cs="Book Antiqua"/>
        </w:rPr>
        <w:t xml:space="preserve"> 2013; </w:t>
      </w:r>
      <w:r>
        <w:rPr>
          <w:rFonts w:ascii="Book Antiqua" w:hAnsi="Book Antiqua" w:eastAsia="Book Antiqua" w:cs="Book Antiqua"/>
          <w:b/>
          <w:bCs/>
        </w:rPr>
        <w:t>17</w:t>
      </w:r>
      <w:r>
        <w:rPr>
          <w:rFonts w:ascii="Book Antiqua" w:hAnsi="Book Antiqua" w:eastAsia="Book Antiqua" w:cs="Book Antiqua"/>
        </w:rPr>
        <w:t>: 1-5 [PMID: 23788953 DOI: 10.5114/wo.2013.33765]</w:t>
      </w:r>
    </w:p>
    <w:p>
      <w:pPr>
        <w:spacing w:line="360" w:lineRule="auto"/>
        <w:jc w:val="both"/>
        <w:rPr>
          <w:rFonts w:ascii="Book Antiqua" w:hAnsi="Book Antiqua" w:eastAsia="Book Antiqua" w:cs="Book Antiqua"/>
        </w:rPr>
      </w:pPr>
      <w:r>
        <w:rPr>
          <w:rFonts w:ascii="Book Antiqua" w:hAnsi="Book Antiqua" w:eastAsia="Book Antiqua" w:cs="Book Antiqua"/>
        </w:rPr>
        <w:t xml:space="preserve">33 </w:t>
      </w:r>
      <w:r>
        <w:rPr>
          <w:rFonts w:ascii="Book Antiqua" w:hAnsi="Book Antiqua" w:eastAsia="Book Antiqua" w:cs="Book Antiqua"/>
          <w:b/>
          <w:bCs/>
        </w:rPr>
        <w:t>Du X</w:t>
      </w:r>
      <w:r>
        <w:rPr>
          <w:rFonts w:ascii="Book Antiqua" w:hAnsi="Book Antiqua" w:eastAsia="Book Antiqua" w:cs="Book Antiqua"/>
        </w:rPr>
        <w:t xml:space="preserve">, Cheng Z, Wang YH, Guo ZH, Zhang SQ, Hu JK, Zhou ZG. Role of Notch signaling pathway in gastric cancer: a meta-analysis of the literature.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9191-9199 [PMID: 25083094 DOI: 10.3748/wjg.v20.i27.9191]</w:t>
      </w:r>
    </w:p>
    <w:p>
      <w:pPr>
        <w:spacing w:line="360" w:lineRule="auto"/>
        <w:jc w:val="both"/>
        <w:rPr>
          <w:rFonts w:ascii="Book Antiqua" w:hAnsi="Book Antiqua" w:eastAsia="Book Antiqua" w:cs="Book Antiqua"/>
        </w:rPr>
      </w:pPr>
      <w:r>
        <w:rPr>
          <w:rFonts w:ascii="Book Antiqua" w:hAnsi="Book Antiqua" w:eastAsia="Book Antiqua" w:cs="Book Antiqua"/>
        </w:rPr>
        <w:t xml:space="preserve">34 </w:t>
      </w:r>
      <w:r>
        <w:rPr>
          <w:rFonts w:ascii="Book Antiqua" w:hAnsi="Book Antiqua" w:eastAsia="Book Antiqua" w:cs="Book Antiqua"/>
          <w:b/>
          <w:bCs/>
        </w:rPr>
        <w:t>Chen B</w:t>
      </w:r>
      <w:r>
        <w:rPr>
          <w:rFonts w:ascii="Book Antiqua" w:hAnsi="Book Antiqua" w:eastAsia="Book Antiqua" w:cs="Book Antiqua"/>
        </w:rPr>
        <w:t>, Bai G, Ma X, Tan L, Xu H. MicroRNA</w:t>
      </w:r>
      <w:r>
        <w:rPr>
          <w:rFonts w:ascii="Book Antiqua" w:hAnsi="Book Antiqua" w:eastAsia="Book Antiqua" w:cs="Book Antiqua"/>
        </w:rPr>
        <w:noBreakHyphen/>
      </w:r>
      <w:r>
        <w:rPr>
          <w:rFonts w:ascii="Book Antiqua" w:hAnsi="Book Antiqua" w:eastAsia="Book Antiqua" w:cs="Book Antiqua"/>
        </w:rPr>
        <w:t>195</w:t>
      </w:r>
      <w:r>
        <w:rPr>
          <w:rFonts w:ascii="Book Antiqua" w:hAnsi="Book Antiqua" w:eastAsia="Book Antiqua" w:cs="Book Antiqua"/>
        </w:rPr>
        <w:noBreakHyphen/>
      </w:r>
      <w:r>
        <w:rPr>
          <w:rFonts w:ascii="Book Antiqua" w:hAnsi="Book Antiqua" w:eastAsia="Book Antiqua" w:cs="Book Antiqua"/>
        </w:rPr>
        <w:t xml:space="preserve">5p is associated with cell proliferation, migration and invasion in prostate cancer and targets MIB1. </w:t>
      </w:r>
      <w:r>
        <w:rPr>
          <w:rFonts w:ascii="Book Antiqua" w:hAnsi="Book Antiqua" w:eastAsia="Book Antiqua" w:cs="Book Antiqua"/>
          <w:i/>
          <w:iCs/>
        </w:rPr>
        <w:t>Oncol Rep</w:t>
      </w:r>
      <w:r>
        <w:rPr>
          <w:rFonts w:ascii="Book Antiqua" w:hAnsi="Book Antiqua" w:eastAsia="Book Antiqua" w:cs="Book Antiqua"/>
        </w:rPr>
        <w:t xml:space="preserve"> 2021; </w:t>
      </w:r>
      <w:r>
        <w:rPr>
          <w:rFonts w:ascii="Book Antiqua" w:hAnsi="Book Antiqua" w:eastAsia="Book Antiqua" w:cs="Book Antiqua"/>
          <w:b/>
          <w:bCs/>
        </w:rPr>
        <w:t>46</w:t>
      </w:r>
      <w:r>
        <w:rPr>
          <w:rFonts w:ascii="Book Antiqua" w:hAnsi="Book Antiqua" w:eastAsia="Book Antiqua" w:cs="Book Antiqua"/>
        </w:rPr>
        <w:t xml:space="preserve"> [PMID: 34698358 DOI: 10.3892/or.2021.8210]</w:t>
      </w:r>
    </w:p>
    <w:p>
      <w:pPr>
        <w:spacing w:line="360" w:lineRule="auto"/>
        <w:jc w:val="both"/>
        <w:rPr>
          <w:rFonts w:ascii="Book Antiqua" w:hAnsi="Book Antiqua" w:eastAsia="Book Antiqua" w:cs="Book Antiqua"/>
        </w:rPr>
      </w:pPr>
      <w:r>
        <w:rPr>
          <w:rFonts w:ascii="Book Antiqua" w:hAnsi="Book Antiqua" w:eastAsia="Book Antiqua" w:cs="Book Antiqua"/>
        </w:rPr>
        <w:t xml:space="preserve">35 </w:t>
      </w:r>
      <w:r>
        <w:rPr>
          <w:rFonts w:ascii="Book Antiqua" w:hAnsi="Book Antiqua" w:eastAsia="Book Antiqua" w:cs="Book Antiqua"/>
          <w:b/>
          <w:bCs/>
        </w:rPr>
        <w:t>Wang H</w:t>
      </w:r>
      <w:r>
        <w:rPr>
          <w:rFonts w:ascii="Book Antiqua" w:hAnsi="Book Antiqua" w:eastAsia="Book Antiqua" w:cs="Book Antiqua"/>
        </w:rPr>
        <w:t xml:space="preserve">, Huang Q, Xia J, Cheng S, Pei D, Zhang X, Shu X. The E3 Ligase MIB1 Promotes Proteasomal Degradation of NRF2 and Sensitizes Lung Cancer Cells to Ferroptosis. </w:t>
      </w:r>
      <w:r>
        <w:rPr>
          <w:rFonts w:ascii="Book Antiqua" w:hAnsi="Book Antiqua" w:eastAsia="Book Antiqua" w:cs="Book Antiqua"/>
          <w:i/>
          <w:iCs/>
        </w:rPr>
        <w:t>Mol Cancer Res</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253-264 [PMID: 34670864 DOI: 10.1158/1541-7786.MCR-21-0342]</w:t>
      </w:r>
    </w:p>
    <w:p>
      <w:pPr>
        <w:spacing w:line="360" w:lineRule="auto"/>
        <w:jc w:val="both"/>
        <w:rPr>
          <w:rFonts w:ascii="Book Antiqua" w:hAnsi="Book Antiqua" w:eastAsia="Book Antiqua" w:cs="Book Antiqua"/>
        </w:rPr>
      </w:pPr>
      <w:r>
        <w:rPr>
          <w:rFonts w:ascii="Book Antiqua" w:hAnsi="Book Antiqua" w:eastAsia="Book Antiqua" w:cs="Book Antiqua"/>
        </w:rPr>
        <w:t xml:space="preserve">36 </w:t>
      </w:r>
      <w:r>
        <w:rPr>
          <w:rFonts w:ascii="Book Antiqua" w:hAnsi="Book Antiqua" w:eastAsia="Book Antiqua" w:cs="Book Antiqua"/>
          <w:b/>
          <w:bCs/>
        </w:rPr>
        <w:t>Li B</w:t>
      </w:r>
      <w:r>
        <w:rPr>
          <w:rFonts w:ascii="Book Antiqua" w:hAnsi="Book Antiqua" w:eastAsia="Book Antiqua" w:cs="Book Antiqua"/>
        </w:rPr>
        <w:t xml:space="preserve">, Yu L, Liu D, Yang X, Zheng Y, Gui Y, Wang H. MIB1 mutations reduce Notch signaling activation and contribute to congenital heart disease. </w:t>
      </w:r>
      <w:r>
        <w:rPr>
          <w:rFonts w:ascii="Book Antiqua" w:hAnsi="Book Antiqua" w:eastAsia="Book Antiqua" w:cs="Book Antiqua"/>
          <w:i/>
          <w:iCs/>
        </w:rPr>
        <w:t>Clin Sci (Lond)</w:t>
      </w:r>
      <w:r>
        <w:rPr>
          <w:rFonts w:ascii="Book Antiqua" w:hAnsi="Book Antiqua" w:eastAsia="Book Antiqua" w:cs="Book Antiqua"/>
        </w:rPr>
        <w:t xml:space="preserve"> 2018; </w:t>
      </w:r>
      <w:r>
        <w:rPr>
          <w:rFonts w:ascii="Book Antiqua" w:hAnsi="Book Antiqua" w:eastAsia="Book Antiqua" w:cs="Book Antiqua"/>
          <w:b/>
          <w:bCs/>
        </w:rPr>
        <w:t>132</w:t>
      </w:r>
      <w:r>
        <w:rPr>
          <w:rFonts w:ascii="Book Antiqua" w:hAnsi="Book Antiqua" w:eastAsia="Book Antiqua" w:cs="Book Antiqua"/>
        </w:rPr>
        <w:t>: 2483-2491 [PMID: 30322850 DOI: 10.1042/CS20180732]</w:t>
      </w:r>
    </w:p>
    <w:p>
      <w:pPr>
        <w:spacing w:line="360" w:lineRule="auto"/>
        <w:jc w:val="both"/>
        <w:rPr>
          <w:rFonts w:ascii="Book Antiqua" w:hAnsi="Book Antiqua" w:eastAsia="Book Antiqua" w:cs="Book Antiqua"/>
        </w:rPr>
      </w:pPr>
      <w:r>
        <w:rPr>
          <w:rFonts w:ascii="Book Antiqua" w:hAnsi="Book Antiqua" w:eastAsia="Book Antiqua" w:cs="Book Antiqua"/>
        </w:rPr>
        <w:t xml:space="preserve">37 </w:t>
      </w:r>
      <w:r>
        <w:rPr>
          <w:rFonts w:ascii="Book Antiqua" w:hAnsi="Book Antiqua" w:eastAsia="Book Antiqua" w:cs="Book Antiqua"/>
          <w:b/>
          <w:bCs/>
        </w:rPr>
        <w:t>Qin XF</w:t>
      </w:r>
      <w:r>
        <w:rPr>
          <w:rFonts w:ascii="Book Antiqua" w:hAnsi="Book Antiqua" w:eastAsia="Book Antiqua" w:cs="Book Antiqua"/>
        </w:rPr>
        <w:t xml:space="preserve">, Shan YG, Gao JH, Li FX, Guo YX. E3 ubiquitin ligase mind bomb 1 overexpression reduces apoptosis and inflammation of cardiac microvascular endothelial cells in coronary microvascular dysfunction. </w:t>
      </w:r>
      <w:r>
        <w:rPr>
          <w:rFonts w:ascii="Book Antiqua" w:hAnsi="Book Antiqua" w:eastAsia="Book Antiqua" w:cs="Book Antiqua"/>
          <w:i/>
          <w:iCs/>
        </w:rPr>
        <w:t>Cell Signal</w:t>
      </w:r>
      <w:r>
        <w:rPr>
          <w:rFonts w:ascii="Book Antiqua" w:hAnsi="Book Antiqua" w:eastAsia="Book Antiqua" w:cs="Book Antiqua"/>
        </w:rPr>
        <w:t xml:space="preserve"> 2022; </w:t>
      </w:r>
      <w:r>
        <w:rPr>
          <w:rFonts w:ascii="Book Antiqua" w:hAnsi="Book Antiqua" w:eastAsia="Book Antiqua" w:cs="Book Antiqua"/>
          <w:b/>
          <w:bCs/>
        </w:rPr>
        <w:t>91</w:t>
      </w:r>
      <w:r>
        <w:rPr>
          <w:rFonts w:ascii="Book Antiqua" w:hAnsi="Book Antiqua" w:eastAsia="Book Antiqua" w:cs="Book Antiqua"/>
        </w:rPr>
        <w:t>: 110223 [PMID: 34954392 DOI: 10.1016/j.cellsig.2021.110223]</w:t>
      </w:r>
    </w:p>
    <w:p>
      <w:pPr>
        <w:spacing w:line="360" w:lineRule="auto"/>
        <w:jc w:val="both"/>
        <w:rPr>
          <w:rFonts w:ascii="Book Antiqua" w:hAnsi="Book Antiqua" w:eastAsia="Book Antiqua" w:cs="Book Antiqua"/>
        </w:rPr>
      </w:pPr>
      <w:r>
        <w:rPr>
          <w:rFonts w:ascii="Book Antiqua" w:hAnsi="Book Antiqua" w:eastAsia="Book Antiqua" w:cs="Book Antiqua"/>
        </w:rPr>
        <w:t xml:space="preserve">38 </w:t>
      </w:r>
      <w:r>
        <w:rPr>
          <w:rFonts w:ascii="Book Antiqua" w:hAnsi="Book Antiqua" w:eastAsia="Book Antiqua" w:cs="Book Antiqua"/>
          <w:b/>
          <w:bCs/>
        </w:rPr>
        <w:t>Bi H</w:t>
      </w:r>
      <w:r>
        <w:rPr>
          <w:rFonts w:ascii="Book Antiqua" w:hAnsi="Book Antiqua" w:eastAsia="Book Antiqua" w:cs="Book Antiqua"/>
        </w:rPr>
        <w:t xml:space="preserve">, Tian T, Zhu L, Zhou H, Hu H, Liu Y, Li X, Hu F, Zhao Y, Wang G. Copy number variation of E3 ubiquitin ligase genes in peripheral blood leukocyte and colorectal cancer. </w:t>
      </w:r>
      <w:r>
        <w:rPr>
          <w:rFonts w:ascii="Book Antiqua" w:hAnsi="Book Antiqua" w:eastAsia="Book Antiqua" w:cs="Book Antiqua"/>
          <w:i/>
          <w:iCs/>
        </w:rPr>
        <w:t>Sci Rep</w:t>
      </w:r>
      <w:r>
        <w:rPr>
          <w:rFonts w:ascii="Book Antiqua" w:hAnsi="Book Antiqua" w:eastAsia="Book Antiqua" w:cs="Book Antiqua"/>
        </w:rPr>
        <w:t xml:space="preserve"> 2016; </w:t>
      </w:r>
      <w:r>
        <w:rPr>
          <w:rFonts w:ascii="Book Antiqua" w:hAnsi="Book Antiqua" w:eastAsia="Book Antiqua" w:cs="Book Antiqua"/>
          <w:b/>
          <w:bCs/>
        </w:rPr>
        <w:t>6</w:t>
      </w:r>
      <w:r>
        <w:rPr>
          <w:rFonts w:ascii="Book Antiqua" w:hAnsi="Book Antiqua" w:eastAsia="Book Antiqua" w:cs="Book Antiqua"/>
        </w:rPr>
        <w:t>: 29869 [PMID: 27417709 DOI: 10.1038/srep29869]</w:t>
      </w:r>
    </w:p>
    <w:p>
      <w:pPr>
        <w:spacing w:line="360" w:lineRule="auto"/>
        <w:jc w:val="both"/>
        <w:rPr>
          <w:rFonts w:ascii="Book Antiqua" w:hAnsi="Book Antiqua" w:eastAsia="Book Antiqua" w:cs="Book Antiqua"/>
        </w:rPr>
      </w:pPr>
      <w:r>
        <w:rPr>
          <w:rFonts w:ascii="Book Antiqua" w:hAnsi="Book Antiqua" w:eastAsia="Book Antiqua" w:cs="Book Antiqua"/>
        </w:rPr>
        <w:t xml:space="preserve">39 </w:t>
      </w:r>
      <w:r>
        <w:rPr>
          <w:rFonts w:ascii="Book Antiqua" w:hAnsi="Book Antiqua" w:eastAsia="Book Antiqua" w:cs="Book Antiqua"/>
          <w:b/>
          <w:bCs/>
        </w:rPr>
        <w:t>Ray J</w:t>
      </w:r>
      <w:r>
        <w:rPr>
          <w:rFonts w:ascii="Book Antiqua" w:hAnsi="Book Antiqua" w:eastAsia="Book Antiqua" w:cs="Book Antiqua"/>
        </w:rPr>
        <w:t>, Hoey C, Huang X, Jeon J, Taeb S, Downes MR, Boutros PC, Liu SK. MicroRNA</w:t>
      </w:r>
      <w:r>
        <w:rPr>
          <w:rFonts w:ascii="Book Antiqua" w:hAnsi="Book Antiqua" w:eastAsia="Book Antiqua" w:cs="Book Antiqua"/>
        </w:rPr>
        <w:noBreakHyphen/>
      </w:r>
      <w:r>
        <w:rPr>
          <w:rFonts w:ascii="Book Antiqua" w:hAnsi="Book Antiqua" w:eastAsia="Book Antiqua" w:cs="Book Antiqua"/>
        </w:rPr>
        <w:t xml:space="preserve">198 suppresses prostate tumorigenesis by targeting MIB1. </w:t>
      </w:r>
      <w:r>
        <w:rPr>
          <w:rFonts w:ascii="Book Antiqua" w:hAnsi="Book Antiqua" w:eastAsia="Book Antiqua" w:cs="Book Antiqua"/>
          <w:i/>
          <w:iCs/>
        </w:rPr>
        <w:t>Oncol Rep</w:t>
      </w:r>
      <w:r>
        <w:rPr>
          <w:rFonts w:ascii="Book Antiqua" w:hAnsi="Book Antiqua" w:eastAsia="Book Antiqua" w:cs="Book Antiqua"/>
        </w:rPr>
        <w:t xml:space="preserve"> 2019; </w:t>
      </w:r>
      <w:r>
        <w:rPr>
          <w:rFonts w:ascii="Book Antiqua" w:hAnsi="Book Antiqua" w:eastAsia="Book Antiqua" w:cs="Book Antiqua"/>
          <w:b/>
          <w:bCs/>
        </w:rPr>
        <w:t>42</w:t>
      </w:r>
      <w:r>
        <w:rPr>
          <w:rFonts w:ascii="Book Antiqua" w:hAnsi="Book Antiqua" w:eastAsia="Book Antiqua" w:cs="Book Antiqua"/>
        </w:rPr>
        <w:t>: 1047-1056 [PMID: 31322262 DOI: 10.3892/or.2019.7234]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known competing financial interests or personal relationships that could have appeared to influence the work reported in this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color w:val="000000"/>
          <w:shd w:val="clear" w:color="auto" w:fill="FFFFFF"/>
        </w:rPr>
        <w:t>We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February 27,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March 14,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May 8, 2023</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color w:val="000000"/>
        </w:rPr>
        <w:t xml:space="preserve">Specialty type: </w:t>
      </w:r>
      <w:r>
        <w:rPr>
          <w:rFonts w:ascii="Book Antiqua" w:hAnsi="Book Antiqua" w:eastAsia="Book Antiqua" w:cs="Book Antiqua"/>
        </w:rPr>
        <w:t>Oncology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Ballini A</w:t>
      </w:r>
      <w:r>
        <w:rPr>
          <w:rFonts w:ascii="Book Antiqua" w:hAnsi="Book Antiqua" w:cs="Book Antiqua"/>
          <w:lang w:eastAsia="zh-CN"/>
        </w:rPr>
        <w:t>, Italy</w:t>
      </w:r>
      <w:r>
        <w:rPr>
          <w:rFonts w:ascii="Book Antiqua" w:hAnsi="Book Antiqua" w:eastAsia="Book Antiqua" w:cs="Book Antiqua"/>
        </w:rPr>
        <w:t>; Inchingolo F</w:t>
      </w:r>
      <w:r>
        <w:rPr>
          <w:rFonts w:ascii="Book Antiqua" w:hAnsi="Book Antiqua" w:cs="Book Antiqua"/>
          <w:lang w:eastAsia="zh-CN"/>
        </w:rPr>
        <w:t>, Italy</w:t>
      </w:r>
      <w:r>
        <w:rPr>
          <w:rFonts w:ascii="Book Antiqua" w:hAnsi="Book Antiqua" w:eastAsia="Book Antiqua" w:cs="Book Antiqua"/>
        </w:rPr>
        <w:t>; Santacroce L</w:t>
      </w:r>
      <w:r>
        <w:rPr>
          <w:rFonts w:ascii="Book Antiqua" w:hAnsi="Book Antiqua" w:cs="Book Antiqua"/>
          <w:lang w:eastAsia="zh-CN"/>
        </w:rPr>
        <w:t>, Italy</w:t>
      </w:r>
      <w:r>
        <w:rPr>
          <w:rFonts w:ascii="Book Antiqua" w:hAnsi="Book Antiqua" w:eastAsia="Book Antiqua" w:cs="Book Antiqua"/>
          <w:b/>
          <w:color w:val="000000"/>
        </w:rPr>
        <w:t xml:space="preserve"> 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cs="Book Antiqua"/>
          <w:color w:val="000000"/>
          <w:lang w:eastAsia="zh-CN"/>
        </w:rPr>
        <w:t xml:space="preserve">A </w:t>
      </w:r>
      <w:r>
        <w:rPr>
          <w:rFonts w:ascii="Book Antiqua" w:hAnsi="Book Antiqua" w:eastAsia="Book Antiqua" w:cs="Book Antiqua"/>
          <w:b/>
          <w:color w:val="000000"/>
        </w:rPr>
        <w:t>P-Editor:</w:t>
      </w:r>
      <w:r>
        <w:rPr>
          <w:rFonts w:hint="eastAsia" w:ascii="Book Antiqua" w:hAnsi="Book Antiqua" w:eastAsia="宋体" w:cs="Book Antiqua"/>
          <w:b/>
          <w:color w:val="000000"/>
          <w:lang w:eastAsia="zh-CN"/>
        </w:rPr>
        <w:t xml:space="preserve"> </w:t>
      </w:r>
      <w:r>
        <w:rPr>
          <w:rFonts w:hint="eastAsia" w:ascii="Book Antiqua" w:hAnsi="Book Antiqua" w:eastAsia="宋体" w:cs="Book Antiqua"/>
          <w:bCs/>
          <w:color w:val="000000"/>
          <w:lang w:eastAsia="zh-CN"/>
        </w:rPr>
        <w:t>Ju JL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hint="eastAsia" w:ascii="Book Antiqua" w:hAnsi="Book Antiqua"/>
          <w:lang w:eastAsia="zh-CN"/>
        </w:rPr>
      </w:pPr>
      <w:r>
        <w:rPr>
          <w:rFonts w:ascii="Book Antiqua" w:hAnsi="Book Antiqua"/>
          <w:lang w:eastAsia="zh-CN"/>
        </w:rPr>
        <w:drawing>
          <wp:inline distT="0" distB="0" distL="0" distR="0">
            <wp:extent cx="5765800" cy="6883400"/>
            <wp:effectExtent l="0" t="0" r="0" b="0"/>
            <wp:docPr id="548363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63833"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5800" cy="68834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1 Mutation of mind bomb 1 gene in stomach adenocarcinoma is found in cBioPortal database.</w:t>
      </w:r>
      <w:r>
        <w:rPr>
          <w:rFonts w:ascii="Book Antiqua" w:hAnsi="Book Antiqua" w:eastAsia="Book Antiqua" w:cs="Book Antiqua"/>
        </w:rPr>
        <w:t xml:space="preserve"> A: OncoPrint indicate different types and proportions of mind bomb 1 (</w:t>
      </w:r>
      <w:r>
        <w:rPr>
          <w:rFonts w:ascii="Book Antiqua" w:hAnsi="Book Antiqua" w:eastAsia="Book Antiqua" w:cs="Book Antiqua"/>
          <w:i/>
          <w:iCs/>
        </w:rPr>
        <w:t>MIB1</w:t>
      </w:r>
      <w:r>
        <w:rPr>
          <w:rFonts w:ascii="Book Antiqua" w:hAnsi="Book Antiqua" w:eastAsia="Book Antiqua" w:cs="Book Antiqua"/>
        </w:rPr>
        <w:t xml:space="preserve">) mutations; B: Summary of cancer types shows the type of genomic alterations in stomach adenocarcinoma; C: Kaplan-Meier showed the overall survival rate of patients with and without copy number alteration (CNA) of </w:t>
      </w:r>
      <w:r>
        <w:rPr>
          <w:rFonts w:ascii="Book Antiqua" w:hAnsi="Book Antiqua" w:eastAsia="Book Antiqua" w:cs="Book Antiqua"/>
          <w:i/>
          <w:iCs/>
        </w:rPr>
        <w:t>MIB1</w:t>
      </w:r>
      <w:r>
        <w:rPr>
          <w:rFonts w:ascii="Book Antiqua" w:hAnsi="Book Antiqua" w:eastAsia="Book Antiqua" w:cs="Book Antiqua"/>
        </w:rPr>
        <w:t xml:space="preserve">; D: Kaplan-Meier showed the disease-free survival rate of patients with and without CNA of </w:t>
      </w:r>
      <w:r>
        <w:rPr>
          <w:rFonts w:ascii="Book Antiqua" w:hAnsi="Book Antiqua" w:eastAsia="Book Antiqua" w:cs="Book Antiqua"/>
          <w:i/>
          <w:iCs/>
        </w:rPr>
        <w:t>MIB1</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hint="eastAsia" w:ascii="Book Antiqua" w:hAnsi="Book Antiqua"/>
          <w:lang w:eastAsia="zh-CN"/>
        </w:rPr>
      </w:pPr>
      <w:r>
        <w:rPr>
          <w:rFonts w:ascii="Book Antiqua" w:hAnsi="Book Antiqua"/>
          <w:lang w:eastAsia="zh-CN"/>
        </w:rPr>
        <w:drawing>
          <wp:inline distT="0" distB="0" distL="0" distR="0">
            <wp:extent cx="5943600" cy="6471285"/>
            <wp:effectExtent l="0" t="0" r="0" b="5715"/>
            <wp:docPr id="17258185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18568"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47128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2 Expression,diagnostic value and prognosis of mind bomb 1 gene.</w:t>
      </w:r>
      <w:r>
        <w:rPr>
          <w:rFonts w:ascii="Book Antiqua" w:hAnsi="Book Antiqua" w:eastAsia="Book Antiqua" w:cs="Book Antiqua"/>
        </w:rPr>
        <w:t xml:space="preserve"> A: Mind bomb 1 (</w:t>
      </w:r>
      <w:r>
        <w:rPr>
          <w:rFonts w:ascii="Book Antiqua" w:hAnsi="Book Antiqua" w:eastAsia="Book Antiqua" w:cs="Book Antiqua"/>
          <w:i/>
          <w:iCs/>
        </w:rPr>
        <w:t>MIB1</w:t>
      </w:r>
      <w:r>
        <w:rPr>
          <w:rFonts w:ascii="Book Antiqua" w:hAnsi="Book Antiqua" w:eastAsia="Book Antiqua" w:cs="Book Antiqua"/>
        </w:rPr>
        <w:t xml:space="preserve">) expression from pan-cancer perspective; B: </w:t>
      </w:r>
      <w:r>
        <w:rPr>
          <w:rFonts w:ascii="Book Antiqua" w:hAnsi="Book Antiqua" w:eastAsia="Book Antiqua" w:cs="Book Antiqua"/>
          <w:i/>
          <w:iCs/>
        </w:rPr>
        <w:t>MIB1</w:t>
      </w:r>
      <w:r>
        <w:rPr>
          <w:rFonts w:ascii="Book Antiqua" w:hAnsi="Book Antiqua" w:eastAsia="Book Antiqua" w:cs="Book Antiqua"/>
        </w:rPr>
        <w:t xml:space="preserve"> mRNA expression levels in 375 gastric adenocarcinoma samples and 32 normal samples; C: </w:t>
      </w:r>
      <w:r>
        <w:rPr>
          <w:rFonts w:ascii="Book Antiqua" w:hAnsi="Book Antiqua" w:eastAsia="Book Antiqua" w:cs="Book Antiqua"/>
          <w:i/>
          <w:iCs/>
        </w:rPr>
        <w:t>MIB1</w:t>
      </w:r>
      <w:r>
        <w:rPr>
          <w:rFonts w:ascii="Book Antiqua" w:hAnsi="Book Antiqua" w:eastAsia="Book Antiqua" w:cs="Book Antiqua"/>
        </w:rPr>
        <w:t xml:space="preserve"> mRNA expression levels in 27 gastric adenocarcinomas and matched adjacent normal samples; D: </w:t>
      </w:r>
      <w:r>
        <w:rPr>
          <w:rFonts w:ascii="Book Antiqua" w:hAnsi="Book Antiqua" w:eastAsia="Book Antiqua" w:cs="Book Antiqua"/>
          <w:color w:val="101214"/>
        </w:rPr>
        <w:t xml:space="preserve">Receiver operating characteristic </w:t>
      </w:r>
      <w:r>
        <w:rPr>
          <w:rFonts w:ascii="Book Antiqua" w:hAnsi="Book Antiqua" w:eastAsia="Book Antiqua" w:cs="Book Antiqua"/>
        </w:rPr>
        <w:t xml:space="preserve">curve showed that the area under the curve value of </w:t>
      </w:r>
      <w:r>
        <w:rPr>
          <w:rFonts w:ascii="Book Antiqua" w:hAnsi="Book Antiqua" w:eastAsia="Book Antiqua" w:cs="Book Antiqua"/>
          <w:i/>
          <w:iCs/>
        </w:rPr>
        <w:t>MIB1</w:t>
      </w:r>
      <w:r>
        <w:rPr>
          <w:rFonts w:ascii="Book Antiqua" w:hAnsi="Book Antiqua" w:eastAsia="Book Antiqua" w:cs="Book Antiqua"/>
        </w:rPr>
        <w:t xml:space="preserve"> in distinguishing gastric adenocarcinoma tissues from healthy controls was 0.783. The cutoff was 2.248, and the sensitivity, specificity and accuracy were 59.4% and 85.6%, respectively; E: Kaplan-Meier showed that the </w:t>
      </w:r>
      <w:r>
        <w:rPr>
          <w:rFonts w:ascii="Book Antiqua" w:hAnsi="Book Antiqua" w:eastAsia="Book Antiqua" w:cs="Book Antiqua"/>
          <w:color w:val="101214"/>
        </w:rPr>
        <w:t>overall survival</w:t>
      </w:r>
      <w:r>
        <w:rPr>
          <w:rFonts w:ascii="Book Antiqua" w:hAnsi="Book Antiqua" w:eastAsia="Book Antiqua" w:cs="Book Antiqua"/>
        </w:rPr>
        <w:t xml:space="preserve"> of gastric adenocarcinoma patients with high mRNA expression of </w:t>
      </w:r>
      <w:r>
        <w:rPr>
          <w:rFonts w:ascii="Book Antiqua" w:hAnsi="Book Antiqua" w:eastAsia="Book Antiqua" w:cs="Book Antiqua"/>
          <w:i/>
          <w:iCs/>
        </w:rPr>
        <w:t>MIB1</w:t>
      </w:r>
      <w:r>
        <w:rPr>
          <w:rFonts w:ascii="Book Antiqua" w:hAnsi="Book Antiqua" w:eastAsia="Book Antiqua" w:cs="Book Antiqua"/>
        </w:rPr>
        <w:t xml:space="preserve"> was shorter than that of patients with low expression (26.4 mo </w:t>
      </w:r>
      <w:r>
        <w:rPr>
          <w:rFonts w:ascii="Book Antiqua" w:hAnsi="Book Antiqua" w:eastAsia="Book Antiqua" w:cs="Book Antiqua"/>
          <w:i/>
          <w:iCs/>
        </w:rPr>
        <w:t>vs</w:t>
      </w:r>
      <w:r>
        <w:rPr>
          <w:rFonts w:ascii="Book Antiqua" w:hAnsi="Book Antiqua" w:eastAsia="Book Antiqua" w:cs="Book Antiqua"/>
        </w:rPr>
        <w:t xml:space="preserve"> 56.2 mo, </w:t>
      </w:r>
      <w:r>
        <w:rPr>
          <w:rFonts w:ascii="Book Antiqua" w:hAnsi="Book Antiqua" w:eastAsia="Book Antiqua" w:cs="Book Antiqua"/>
          <w:i/>
          <w:iCs/>
        </w:rPr>
        <w:t>P</w:t>
      </w:r>
      <w:r>
        <w:rPr>
          <w:rFonts w:ascii="Book Antiqua" w:hAnsi="Book Antiqua" w:eastAsia="Book Antiqua" w:cs="Book Antiqua"/>
        </w:rPr>
        <w:t xml:space="preserve"> = 0.033). </w:t>
      </w:r>
      <w:r>
        <w:rPr>
          <w:rFonts w:ascii="Book Antiqua" w:hAnsi="Book Antiqua" w:eastAsia="Book Antiqua" w:cs="Book Antiqua"/>
          <w:vertAlign w:val="superscript"/>
        </w:rPr>
        <w:t>a</w:t>
      </w:r>
      <w:r>
        <w:rPr>
          <w:rFonts w:ascii="Book Antiqua" w:hAnsi="Book Antiqua" w:eastAsia="Book Antiqua" w:cs="Book Antiqua"/>
          <w:i/>
          <w:iCs/>
        </w:rPr>
        <w:t>P</w:t>
      </w:r>
      <w:r>
        <w:rPr>
          <w:rFonts w:ascii="Book Antiqua" w:hAnsi="Book Antiqua" w:eastAsia="Book Antiqua" w:cs="Book Antiqua"/>
        </w:rPr>
        <w:t xml:space="preserve"> &lt; 0.05; </w:t>
      </w:r>
      <w:r>
        <w:rPr>
          <w:rFonts w:ascii="Book Antiqua" w:hAnsi="Book Antiqua" w:eastAsia="Book Antiqua" w:cs="Book Antiqua"/>
          <w:vertAlign w:val="superscript"/>
        </w:rPr>
        <w:t>b</w:t>
      </w:r>
      <w:r>
        <w:rPr>
          <w:rFonts w:ascii="Book Antiqua" w:hAnsi="Book Antiqua" w:eastAsia="Book Antiqua" w:cs="Book Antiqua"/>
          <w:i/>
          <w:iCs/>
        </w:rPr>
        <w:t>P</w:t>
      </w:r>
      <w:r>
        <w:rPr>
          <w:rFonts w:ascii="Book Antiqua" w:hAnsi="Book Antiqua" w:eastAsia="Book Antiqua" w:cs="Book Antiqua"/>
        </w:rPr>
        <w:t xml:space="preserve"> &lt; 0.01,</w:t>
      </w:r>
      <w:r>
        <w:rPr>
          <w:rFonts w:ascii="Book Antiqua" w:hAnsi="Book Antiqua" w:eastAsia="Book Antiqua" w:cs="Book Antiqua"/>
          <w:vertAlign w:val="superscript"/>
        </w:rPr>
        <w:t xml:space="preserve"> c</w:t>
      </w:r>
      <w:r>
        <w:rPr>
          <w:rFonts w:ascii="Book Antiqua" w:hAnsi="Book Antiqua" w:eastAsia="Book Antiqua" w:cs="Book Antiqua"/>
          <w:i/>
          <w:iCs/>
        </w:rPr>
        <w:t>P</w:t>
      </w:r>
      <w:r>
        <w:rPr>
          <w:rFonts w:ascii="Book Antiqua" w:hAnsi="Book Antiqua" w:eastAsia="Book Antiqua" w:cs="Book Antiqua"/>
        </w:rPr>
        <w:t xml:space="preserve"> &lt; 0.001.</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hint="eastAsia" w:ascii="Book Antiqua" w:hAnsi="Book Antiqua"/>
          <w:lang w:eastAsia="zh-CN"/>
        </w:rPr>
      </w:pPr>
      <w:r>
        <w:rPr>
          <w:rFonts w:ascii="Book Antiqua" w:hAnsi="Book Antiqua"/>
          <w:lang w:eastAsia="zh-CN"/>
        </w:rPr>
        <w:drawing>
          <wp:inline distT="0" distB="0" distL="0" distR="0">
            <wp:extent cx="2248535" cy="8229600"/>
            <wp:effectExtent l="0" t="0" r="0" b="0"/>
            <wp:docPr id="3938770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77097"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8535" cy="822960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rPr>
        <w:t xml:space="preserve">Figure 3 Coexpression analysis of mind bomb 1 gene. </w:t>
      </w:r>
      <w:r>
        <w:rPr>
          <w:rFonts w:ascii="Book Antiqua" w:hAnsi="Book Antiqua" w:eastAsia="Book Antiqua" w:cs="Book Antiqua"/>
        </w:rPr>
        <w:t>A: A volcano plot of the mind bomb 1 (</w:t>
      </w:r>
      <w:r>
        <w:rPr>
          <w:rFonts w:ascii="Book Antiqua" w:hAnsi="Book Antiqua" w:eastAsia="Book Antiqua" w:cs="Book Antiqua"/>
          <w:i/>
          <w:iCs/>
        </w:rPr>
        <w:t>MIB1</w:t>
      </w:r>
      <w:r>
        <w:rPr>
          <w:rFonts w:ascii="Book Antiqua" w:hAnsi="Book Antiqua" w:eastAsia="Book Antiqua" w:cs="Book Antiqua"/>
        </w:rPr>
        <w:t xml:space="preserve">) and its co-expressed genes in gastric cancer; B: The </w:t>
      </w:r>
      <w:r>
        <w:rPr>
          <w:rFonts w:ascii="Book Antiqua" w:hAnsi="Book Antiqua" w:eastAsia="Book Antiqua" w:cs="Book Antiqua"/>
          <w:color w:val="000000"/>
        </w:rPr>
        <w:t>Gene Ontology (GO)</w:t>
      </w:r>
      <w:r>
        <w:rPr>
          <w:rFonts w:ascii="Book Antiqua" w:hAnsi="Book Antiqua" w:eastAsia="Book Antiqua" w:cs="Book Antiqua"/>
        </w:rPr>
        <w:t xml:space="preserve"> enrichment of the BP terms of 200 co-expressed genes; C: The GO enrichment of the CC terms of 200 co-expressed genes; D: The GO enrichment of the MF terms of 200 co-expressed genes; E: The </w:t>
      </w:r>
      <w:r>
        <w:rPr>
          <w:rFonts w:ascii="Book Antiqua" w:hAnsi="Book Antiqua" w:eastAsia="Book Antiqua" w:cs="Book Antiqua"/>
          <w:color w:val="000000"/>
        </w:rPr>
        <w:t>Kyoto Encyclopedia of Genes and Genomes (KEGG)</w:t>
      </w:r>
      <w:r>
        <w:rPr>
          <w:rFonts w:ascii="Book Antiqua" w:hAnsi="Book Antiqua" w:eastAsia="Book Antiqua" w:cs="Book Antiqua"/>
        </w:rPr>
        <w:t xml:space="preserve"> enrichment of the 200 co-expressed genes; F: The top 50 genes with a positive correlation with </w:t>
      </w:r>
      <w:r>
        <w:rPr>
          <w:rFonts w:ascii="Book Antiqua" w:hAnsi="Book Antiqua" w:eastAsia="Book Antiqua" w:cs="Book Antiqua"/>
          <w:i/>
          <w:iCs/>
        </w:rPr>
        <w:t>MIB1</w:t>
      </w:r>
      <w:r>
        <w:rPr>
          <w:rFonts w:ascii="Book Antiqua" w:hAnsi="Book Antiqua" w:eastAsia="Book Antiqua" w:cs="Book Antiqua"/>
        </w:rPr>
        <w:t xml:space="preserve"> gene are visualized in a heatmap; G: The top 50 genes with a negative correlation with the </w:t>
      </w:r>
      <w:r>
        <w:rPr>
          <w:rFonts w:ascii="Book Antiqua" w:hAnsi="Book Antiqua" w:eastAsia="Book Antiqua" w:cs="Book Antiqua"/>
          <w:i/>
          <w:iCs/>
        </w:rPr>
        <w:t>MIB1</w:t>
      </w:r>
      <w:r>
        <w:rPr>
          <w:rFonts w:ascii="Book Antiqua" w:hAnsi="Book Antiqua" w:eastAsia="Book Antiqua" w:cs="Book Antiqua"/>
        </w:rPr>
        <w:t xml:space="preserve"> gene are visualized in a heatmap; H: The </w:t>
      </w:r>
      <w:r>
        <w:rPr>
          <w:rFonts w:ascii="Book Antiqua" w:hAnsi="Book Antiqua" w:eastAsia="Book Antiqua" w:cs="Book Antiqua"/>
          <w:color w:val="101214"/>
        </w:rPr>
        <w:t>protein-protein interaction</w:t>
      </w:r>
      <w:r>
        <w:rPr>
          <w:rFonts w:ascii="Book Antiqua" w:hAnsi="Book Antiqua" w:eastAsia="Book Antiqua" w:cs="Book Antiqua"/>
        </w:rPr>
        <w:t xml:space="preserve"> network associated with the </w:t>
      </w:r>
      <w:r>
        <w:rPr>
          <w:rFonts w:ascii="Book Antiqua" w:hAnsi="Book Antiqua" w:eastAsia="Book Antiqua" w:cs="Book Antiqua"/>
          <w:i/>
          <w:iCs/>
        </w:rPr>
        <w:t>MIB1</w:t>
      </w:r>
      <w:r>
        <w:rPr>
          <w:rFonts w:ascii="Book Antiqua" w:hAnsi="Book Antiqua" w:eastAsia="Book Antiqua" w:cs="Book Antiqua"/>
        </w:rPr>
        <w:t xml:space="preserve"> in gastric cancer; I: The GO enrichment of the 11 genes with the strongest interaction with </w:t>
      </w:r>
      <w:r>
        <w:rPr>
          <w:rFonts w:ascii="Book Antiqua" w:hAnsi="Book Antiqua" w:eastAsia="Book Antiqua" w:cs="Book Antiqua"/>
          <w:i/>
          <w:iCs/>
        </w:rPr>
        <w:t>MIB1</w:t>
      </w:r>
      <w:r>
        <w:rPr>
          <w:rFonts w:ascii="Book Antiqua" w:hAnsi="Book Antiqua" w:eastAsia="Book Antiqua" w:cs="Book Antiqua"/>
        </w:rPr>
        <w:t xml:space="preserve"> proteins; J: The KEGG pathway terms of the 11 genes with the strongest interaction with </w:t>
      </w:r>
      <w:r>
        <w:rPr>
          <w:rFonts w:ascii="Book Antiqua" w:hAnsi="Book Antiqua" w:eastAsia="Book Antiqua" w:cs="Book Antiqua"/>
          <w:i/>
          <w:iCs/>
        </w:rPr>
        <w:t>MIB1</w:t>
      </w:r>
      <w:r>
        <w:rPr>
          <w:rFonts w:ascii="Book Antiqua" w:hAnsi="Book Antiqua" w:eastAsia="Book Antiqua" w:cs="Book Antiqua"/>
        </w:rPr>
        <w:t xml:space="preserve"> proteins.</w:t>
      </w:r>
      <w:r>
        <w:rPr>
          <w:rFonts w:ascii="Book Antiqua" w:hAnsi="Book Antiqua" w:cs="Book Antiqua"/>
          <w:lang w:eastAsia="zh-CN"/>
        </w:rPr>
        <w:t xml:space="preserve"> </w:t>
      </w:r>
      <w:r>
        <w:rPr>
          <w:rFonts w:ascii="Book Antiqua" w:hAnsi="Book Antiqua" w:eastAsia="Book Antiqua" w:cs="Book Antiqua"/>
          <w:iCs/>
        </w:rPr>
        <w:t>MIB1</w:t>
      </w:r>
      <w:r>
        <w:rPr>
          <w:rFonts w:ascii="Book Antiqua" w:hAnsi="Book Antiqua" w:cs="Book Antiqua"/>
          <w:i/>
          <w:iCs/>
          <w:lang w:eastAsia="zh-CN"/>
        </w:rPr>
        <w:t xml:space="preserve">: </w:t>
      </w:r>
      <w:r>
        <w:rPr>
          <w:rFonts w:ascii="Book Antiqua" w:hAnsi="Book Antiqua" w:cs="Book Antiqua"/>
          <w:lang w:eastAsia="zh-CN"/>
        </w:rPr>
        <w:t>M</w:t>
      </w:r>
      <w:r>
        <w:rPr>
          <w:rFonts w:ascii="Book Antiqua" w:hAnsi="Book Antiqua" w:eastAsia="Book Antiqua" w:cs="Book Antiqua"/>
        </w:rPr>
        <w:t>ind bomb 1</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hint="eastAsia" w:ascii="Book Antiqua" w:hAnsi="Book Antiqua"/>
          <w:lang w:eastAsia="zh-CN"/>
        </w:rPr>
      </w:pPr>
      <w:r>
        <w:rPr>
          <w:rFonts w:ascii="Book Antiqua" w:hAnsi="Book Antiqua"/>
          <w:lang w:eastAsia="zh-CN"/>
        </w:rPr>
        <w:drawing>
          <wp:inline distT="0" distB="0" distL="0" distR="0">
            <wp:extent cx="5816600" cy="5969000"/>
            <wp:effectExtent l="0" t="0" r="0" b="0"/>
            <wp:docPr id="183605454"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5454" name="图片 4" descr="图表, 散点图&#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6600" cy="59690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4 Enrichment analysis of mind bomb 1 in stomach adenocarcinoma.</w:t>
      </w:r>
      <w:r>
        <w:rPr>
          <w:rFonts w:ascii="Book Antiqua" w:hAnsi="Book Antiqua" w:eastAsia="Book Antiqua" w:cs="Book Antiqua"/>
        </w:rPr>
        <w:t xml:space="preserve"> A: Volcanic map of differential expression in gastric adenocarcinoma with |logFC| &lt; 1.5 and adjusted </w:t>
      </w:r>
      <w:r>
        <w:rPr>
          <w:rFonts w:ascii="Book Antiqua" w:hAnsi="Book Antiqua" w:eastAsia="Book Antiqua" w:cs="Book Antiqua"/>
          <w:i/>
          <w:iCs/>
        </w:rPr>
        <w:t xml:space="preserve">P </w:t>
      </w:r>
      <w:r>
        <w:rPr>
          <w:rFonts w:ascii="Book Antiqua" w:hAnsi="Book Antiqua" w:eastAsia="Book Antiqua" w:cs="Book Antiqua"/>
        </w:rPr>
        <w:t xml:space="preserve">&lt; 0.05; B: </w:t>
      </w:r>
      <w:r>
        <w:rPr>
          <w:rFonts w:ascii="Book Antiqua" w:hAnsi="Book Antiqua" w:eastAsia="Book Antiqua" w:cs="Book Antiqua"/>
          <w:color w:val="000000"/>
        </w:rPr>
        <w:t>Gene Ontology</w:t>
      </w:r>
      <w:r>
        <w:rPr>
          <w:rFonts w:ascii="Book Antiqua" w:hAnsi="Book Antiqua" w:eastAsia="Book Antiqua" w:cs="Book Antiqua"/>
        </w:rPr>
        <w:t xml:space="preserve"> enrichment analysis of differentially expressed genes; C: </w:t>
      </w:r>
      <w:r>
        <w:rPr>
          <w:rFonts w:ascii="Book Antiqua" w:hAnsi="Book Antiqua" w:eastAsia="Book Antiqua" w:cs="Book Antiqua"/>
          <w:color w:val="000000"/>
        </w:rPr>
        <w:t xml:space="preserve">Kyoto Encyclopedia of Genes and Genomes </w:t>
      </w:r>
      <w:r>
        <w:rPr>
          <w:rFonts w:ascii="Book Antiqua" w:hAnsi="Book Antiqua" w:eastAsia="Book Antiqua" w:cs="Book Antiqua"/>
        </w:rPr>
        <w:t>enrichment analysis of differentially expressed genes.</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hint="eastAsia" w:ascii="Book Antiqua" w:hAnsi="Book Antiqua"/>
          <w:lang w:eastAsia="zh-CN"/>
        </w:rPr>
      </w:pPr>
      <w:r>
        <w:rPr>
          <w:rFonts w:hint="eastAsia" w:ascii="Book Antiqua" w:hAnsi="Book Antiqua"/>
          <w:lang w:eastAsia="zh-CN"/>
        </w:rPr>
        <w:drawing>
          <wp:inline distT="0" distB="0" distL="114300" distR="114300">
            <wp:extent cx="5370195" cy="8227695"/>
            <wp:effectExtent l="0" t="0" r="9525" b="1905"/>
            <wp:docPr id="1" name="图片 1" descr="WJGO-15-129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O-15-1295-g005"/>
                    <pic:cNvPicPr>
                      <a:picLocks noChangeAspect="1"/>
                    </pic:cNvPicPr>
                  </pic:nvPicPr>
                  <pic:blipFill>
                    <a:blip r:embed="rId9"/>
                    <a:stretch>
                      <a:fillRect/>
                    </a:stretch>
                  </pic:blipFill>
                  <pic:spPr>
                    <a:xfrm>
                      <a:off x="0" y="0"/>
                      <a:ext cx="5370195" cy="8227695"/>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5</w:t>
      </w:r>
      <w:r>
        <w:rPr>
          <w:rFonts w:ascii="Book Antiqua" w:hAnsi="Book Antiqua" w:eastAsia="Book Antiqua" w:cs="Book Antiqua"/>
        </w:rPr>
        <w:t xml:space="preserve"> </w:t>
      </w:r>
      <w:r>
        <w:rPr>
          <w:rFonts w:ascii="Book Antiqua" w:hAnsi="Book Antiqua" w:eastAsia="Book Antiqua" w:cs="Book Antiqua"/>
          <w:b/>
          <w:bCs/>
        </w:rPr>
        <w:t xml:space="preserve">Analysis of the relationship between mind bomb 1 expression and immune infiltration. </w:t>
      </w:r>
      <w:r>
        <w:rPr>
          <w:rFonts w:ascii="Book Antiqua" w:hAnsi="Book Antiqua" w:eastAsia="Book Antiqua" w:cs="Book Antiqua"/>
        </w:rPr>
        <w:t>A: In gastric adenocarcinoma, the expression of mind bomb 1 (</w:t>
      </w:r>
      <w:r>
        <w:rPr>
          <w:rFonts w:ascii="Book Antiqua" w:hAnsi="Book Antiqua" w:eastAsia="Book Antiqua" w:cs="Book Antiqua"/>
          <w:i/>
          <w:iCs/>
        </w:rPr>
        <w:t>MIB1</w:t>
      </w:r>
      <w:r>
        <w:rPr>
          <w:rFonts w:ascii="Book Antiqua" w:hAnsi="Book Antiqua" w:eastAsia="Book Antiqua" w:cs="Book Antiqua"/>
        </w:rPr>
        <w:t>) was negatively correlated with CD8</w:t>
      </w:r>
      <w:r>
        <w:rPr>
          <w:rFonts w:ascii="Book Antiqua" w:hAnsi="Book Antiqua" w:eastAsia="Book Antiqua" w:cs="Book Antiqua"/>
          <w:vertAlign w:val="superscript"/>
        </w:rPr>
        <w:t>+</w:t>
      </w:r>
      <w:r>
        <w:rPr>
          <w:rFonts w:ascii="Book Antiqua" w:hAnsi="Book Antiqua" w:eastAsia="Book Antiqua" w:cs="Book Antiqua"/>
        </w:rPr>
        <w:t xml:space="preserve"> T cells, and correlated with B cells, CD4</w:t>
      </w:r>
      <w:r>
        <w:rPr>
          <w:rFonts w:ascii="Book Antiqua" w:hAnsi="Book Antiqua" w:eastAsia="Book Antiqua" w:cs="Book Antiqua"/>
          <w:vertAlign w:val="superscript"/>
        </w:rPr>
        <w:t xml:space="preserve">+ </w:t>
      </w:r>
      <w:r>
        <w:rPr>
          <w:rFonts w:ascii="Book Antiqua" w:hAnsi="Book Antiqua" w:eastAsia="Book Antiqua" w:cs="Book Antiqua"/>
        </w:rPr>
        <w:t xml:space="preserve">T cells and macrophages; B: The correlation between the expression level of </w:t>
      </w:r>
      <w:r>
        <w:rPr>
          <w:rFonts w:ascii="Book Antiqua" w:hAnsi="Book Antiqua" w:eastAsia="Book Antiqua" w:cs="Book Antiqua"/>
          <w:i/>
          <w:iCs/>
        </w:rPr>
        <w:t>MIB1</w:t>
      </w:r>
      <w:r>
        <w:rPr>
          <w:rFonts w:ascii="Book Antiqua" w:hAnsi="Book Antiqua" w:eastAsia="Book Antiqua" w:cs="Book Antiqua"/>
        </w:rPr>
        <w:t xml:space="preserve"> and the relative abundance of 24 immune cells; C: The expression of </w:t>
      </w:r>
      <w:r>
        <w:rPr>
          <w:rFonts w:ascii="Book Antiqua" w:hAnsi="Book Antiqua" w:eastAsia="Book Antiqua" w:cs="Book Antiqua"/>
          <w:i/>
          <w:iCs/>
        </w:rPr>
        <w:t>MIB1</w:t>
      </w:r>
      <w:r>
        <w:rPr>
          <w:rFonts w:ascii="Book Antiqua" w:hAnsi="Book Antiqua" w:eastAsia="Book Antiqua" w:cs="Book Antiqua"/>
        </w:rPr>
        <w:t xml:space="preserve"> was negatively correlated with NK CD56dim cells; D: NK CD56dim cell infiltration level in different expression groups of </w:t>
      </w:r>
      <w:r>
        <w:rPr>
          <w:rFonts w:ascii="Book Antiqua" w:hAnsi="Book Antiqua" w:eastAsia="Book Antiqua" w:cs="Book Antiqua"/>
          <w:i/>
          <w:iCs/>
        </w:rPr>
        <w:t>MIB1</w:t>
      </w:r>
      <w:r>
        <w:rPr>
          <w:rFonts w:ascii="Book Antiqua" w:hAnsi="Book Antiqua" w:eastAsia="Book Antiqua" w:cs="Book Antiqua"/>
        </w:rPr>
        <w:t>; E: Heat map of 24 immune infiltrating cells in stomach adenocarcinoma.</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Calibri"/>
          <w:b/>
          <w:bCs/>
        </w:rPr>
      </w:pPr>
      <w:r>
        <w:rPr>
          <w:rFonts w:ascii="Book Antiqua" w:hAnsi="Book Antiqua" w:cs="Calibri"/>
          <w:b/>
          <w:bCs/>
        </w:rPr>
        <w:t>Table 1</w:t>
      </w:r>
      <w:r>
        <w:rPr>
          <w:rFonts w:hint="eastAsia" w:ascii="Book Antiqua" w:hAnsi="Book Antiqua" w:cs="Calibri"/>
          <w:b/>
          <w:bCs/>
          <w:lang w:eastAsia="zh-CN"/>
        </w:rPr>
        <w:t xml:space="preserve"> </w:t>
      </w:r>
      <w:r>
        <w:rPr>
          <w:rFonts w:ascii="Book Antiqua" w:hAnsi="Book Antiqua" w:cs="Calibri"/>
          <w:b/>
          <w:bCs/>
        </w:rPr>
        <w:t>Demographic and clinicopathological parameters of patients with gastric cancer with high and low expression of mind bomb 1 in The Cancer Genome Atlas-stomach adenocarcinoma</w:t>
      </w:r>
      <w:r>
        <w:rPr>
          <w:rFonts w:hint="eastAsia" w:ascii="Book Antiqua" w:hAnsi="Book Antiqua" w:cs="Calibri"/>
          <w:b/>
          <w:bCs/>
          <w:lang w:eastAsia="zh-CN"/>
        </w:rPr>
        <w:t xml:space="preserve">, </w:t>
      </w:r>
      <w:r>
        <w:rPr>
          <w:rFonts w:ascii="Book Antiqua" w:hAnsi="Book Antiqua" w:eastAsia="DejaVu Sans" w:cs="DejaVu Sans"/>
          <w:b/>
          <w:i/>
          <w:color w:val="000000"/>
        </w:rPr>
        <w:t>n</w:t>
      </w:r>
      <w:r>
        <w:rPr>
          <w:rFonts w:ascii="Book Antiqua" w:hAnsi="Book Antiqua" w:eastAsia="DejaVu Sans" w:cs="DejaVu Sans"/>
          <w:b/>
          <w:color w:val="000000"/>
        </w:rPr>
        <w:t xml:space="preserve"> </w:t>
      </w:r>
      <w:r>
        <w:rPr>
          <w:rFonts w:hint="eastAsia" w:ascii="Book Antiqua" w:hAnsi="Book Antiqua" w:cs="DejaVu Sans"/>
          <w:b/>
          <w:color w:val="000000"/>
          <w:lang w:eastAsia="zh-CN"/>
        </w:rPr>
        <w:t>(</w:t>
      </w:r>
      <w:r>
        <w:rPr>
          <w:rFonts w:ascii="Book Antiqua" w:hAnsi="Book Antiqua" w:eastAsia="DejaVu Sans" w:cs="DejaVu Sans"/>
          <w:b/>
          <w:color w:val="000000"/>
        </w:rPr>
        <w:t>%)</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1570"/>
        <w:gridCol w:w="1720"/>
        <w:gridCol w:w="1747"/>
        <w:gridCol w:w="10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405" w:type="pct"/>
            <w:tcBorders>
              <w:bottom w:val="single" w:color="auto" w:sz="4" w:space="0"/>
            </w:tcBorders>
          </w:tcPr>
          <w:p>
            <w:pPr>
              <w:spacing w:line="360" w:lineRule="auto"/>
              <w:ind w:right="565"/>
              <w:jc w:val="both"/>
              <w:rPr>
                <w:rFonts w:ascii="Book Antiqua" w:hAnsi="Book Antiqua" w:cs="DejaVu Sans"/>
                <w:b/>
                <w:color w:val="000000"/>
                <w:lang w:eastAsia="zh-CN"/>
              </w:rPr>
            </w:pPr>
            <w:r>
              <w:rPr>
                <w:rFonts w:ascii="Book Antiqua" w:hAnsi="Book Antiqua" w:eastAsia="DejaVu Sans" w:cs="DejaVu Sans"/>
                <w:b/>
                <w:color w:val="000000"/>
              </w:rPr>
              <w:t>Characteristics</w:t>
            </w:r>
          </w:p>
        </w:tc>
        <w:tc>
          <w:tcPr>
            <w:tcW w:w="921" w:type="pct"/>
            <w:tcBorders>
              <w:bottom w:val="single" w:color="auto" w:sz="4" w:space="0"/>
            </w:tcBorders>
          </w:tcPr>
          <w:p>
            <w:pPr>
              <w:spacing w:line="360" w:lineRule="auto"/>
              <w:ind w:right="102"/>
              <w:jc w:val="both"/>
              <w:rPr>
                <w:rFonts w:ascii="Book Antiqua" w:hAnsi="Book Antiqua" w:cs="DejaVu Sans"/>
                <w:b/>
                <w:color w:val="000000"/>
                <w:lang w:eastAsia="zh-CN"/>
              </w:rPr>
            </w:pPr>
            <w:r>
              <w:rPr>
                <w:rFonts w:ascii="Book Antiqua" w:hAnsi="Book Antiqua" w:eastAsia="DejaVu Sans" w:cs="DejaVu Sans"/>
                <w:b/>
                <w:color w:val="000000"/>
              </w:rPr>
              <w:t>Total</w:t>
            </w:r>
          </w:p>
        </w:tc>
        <w:tc>
          <w:tcPr>
            <w:tcW w:w="1009" w:type="pct"/>
            <w:tcBorders>
              <w:bottom w:val="single" w:color="auto" w:sz="4" w:space="0"/>
            </w:tcBorders>
          </w:tcPr>
          <w:p>
            <w:pPr>
              <w:spacing w:line="360" w:lineRule="auto"/>
              <w:ind w:right="100"/>
              <w:jc w:val="both"/>
              <w:rPr>
                <w:rFonts w:ascii="Book Antiqua" w:hAnsi="Book Antiqua" w:cs="DejaVu Sans"/>
                <w:b/>
                <w:color w:val="000000"/>
                <w:lang w:eastAsia="zh-CN"/>
              </w:rPr>
            </w:pPr>
            <w:r>
              <w:rPr>
                <w:rFonts w:ascii="Book Antiqua" w:hAnsi="Book Antiqua" w:eastAsia="DejaVu Sans" w:cs="DejaVu Sans"/>
                <w:b/>
                <w:color w:val="000000"/>
              </w:rPr>
              <w:t xml:space="preserve">Low expression of </w:t>
            </w:r>
            <w:r>
              <w:rPr>
                <w:rFonts w:ascii="Book Antiqua" w:hAnsi="Book Antiqua" w:eastAsia="DejaVu Sans" w:cs="DejaVu Sans"/>
                <w:b/>
                <w:i/>
                <w:color w:val="000000"/>
              </w:rPr>
              <w:t>MIB1</w:t>
            </w:r>
          </w:p>
        </w:tc>
        <w:tc>
          <w:tcPr>
            <w:tcW w:w="1025" w:type="pct"/>
            <w:tcBorders>
              <w:bottom w:val="single" w:color="auto" w:sz="4" w:space="0"/>
            </w:tcBorders>
          </w:tcPr>
          <w:p>
            <w:pPr>
              <w:spacing w:line="360" w:lineRule="auto"/>
              <w:ind w:right="100"/>
              <w:jc w:val="both"/>
              <w:rPr>
                <w:rFonts w:ascii="Book Antiqua" w:hAnsi="Book Antiqua" w:cs="DejaVu Sans"/>
                <w:b/>
                <w:color w:val="000000"/>
                <w:lang w:eastAsia="zh-CN"/>
              </w:rPr>
            </w:pPr>
            <w:r>
              <w:rPr>
                <w:rFonts w:ascii="Book Antiqua" w:hAnsi="Book Antiqua" w:eastAsia="DejaVu Sans" w:cs="DejaVu Sans"/>
                <w:b/>
                <w:color w:val="000000"/>
              </w:rPr>
              <w:t xml:space="preserve">High expression of </w:t>
            </w:r>
            <w:r>
              <w:rPr>
                <w:rFonts w:ascii="Book Antiqua" w:hAnsi="Book Antiqua" w:eastAsia="DejaVu Sans" w:cs="DejaVu Sans"/>
                <w:b/>
                <w:i/>
                <w:color w:val="000000"/>
              </w:rPr>
              <w:t>MIB1</w:t>
            </w:r>
          </w:p>
        </w:tc>
        <w:tc>
          <w:tcPr>
            <w:tcW w:w="640" w:type="pct"/>
            <w:tcBorders>
              <w:bottom w:val="single" w:color="auto" w:sz="4" w:space="0"/>
            </w:tcBorders>
          </w:tcPr>
          <w:p>
            <w:pPr>
              <w:spacing w:line="360" w:lineRule="auto"/>
              <w:ind w:right="100"/>
              <w:jc w:val="both"/>
              <w:rPr>
                <w:rFonts w:ascii="Book Antiqua" w:hAnsi="Book Antiqua"/>
                <w:b/>
                <w:i/>
                <w:iCs/>
              </w:rPr>
            </w:pPr>
            <w:r>
              <w:rPr>
                <w:rFonts w:ascii="Book Antiqua" w:hAnsi="Book Antiqua" w:eastAsia="DejaVu Sans" w:cs="DejaVu Sans"/>
                <w:b/>
                <w:i/>
                <w:iCs/>
                <w:color w:val="000000"/>
              </w:rPr>
              <w:t xml:space="preserve">P </w:t>
            </w:r>
            <w:r>
              <w:rPr>
                <w:rFonts w:ascii="Book Antiqua" w:hAnsi="Book Antiqua" w:eastAsia="DejaVu Sans" w:cs="DejaVu Sans"/>
                <w:b/>
                <w:color w:val="00000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Borders>
              <w:top w:val="single" w:color="auto" w:sz="4" w:space="0"/>
            </w:tcBorders>
          </w:tcPr>
          <w:p>
            <w:pPr>
              <w:spacing w:line="360" w:lineRule="auto"/>
              <w:ind w:right="100"/>
              <w:jc w:val="both"/>
              <w:rPr>
                <w:rFonts w:ascii="Book Antiqua" w:hAnsi="Book Antiqua"/>
              </w:rPr>
            </w:pPr>
            <w:r>
              <w:rPr>
                <w:rFonts w:ascii="Book Antiqua" w:hAnsi="Book Antiqua" w:eastAsia="DejaVu Sans" w:cs="DejaVu Sans"/>
                <w:color w:val="000000"/>
              </w:rPr>
              <w:t>T stage</w:t>
            </w:r>
          </w:p>
        </w:tc>
        <w:tc>
          <w:tcPr>
            <w:tcW w:w="921" w:type="pct"/>
            <w:tcBorders>
              <w:top w:val="single" w:color="auto" w:sz="4" w:space="0"/>
            </w:tcBorders>
          </w:tcPr>
          <w:p>
            <w:pPr>
              <w:spacing w:line="360" w:lineRule="auto"/>
              <w:ind w:right="100"/>
              <w:jc w:val="both"/>
              <w:rPr>
                <w:rFonts w:ascii="Book Antiqua" w:hAnsi="Book Antiqua"/>
                <w:lang w:eastAsia="zh-CN"/>
              </w:rPr>
            </w:pPr>
          </w:p>
        </w:tc>
        <w:tc>
          <w:tcPr>
            <w:tcW w:w="1009" w:type="pct"/>
            <w:tcBorders>
              <w:top w:val="single" w:color="auto" w:sz="4" w:space="0"/>
            </w:tcBorders>
          </w:tcPr>
          <w:p>
            <w:pPr>
              <w:spacing w:line="360" w:lineRule="auto"/>
              <w:ind w:right="100"/>
              <w:jc w:val="both"/>
              <w:rPr>
                <w:rFonts w:ascii="Book Antiqua" w:hAnsi="Book Antiqua"/>
                <w:lang w:eastAsia="zh-CN"/>
              </w:rPr>
            </w:pPr>
          </w:p>
        </w:tc>
        <w:tc>
          <w:tcPr>
            <w:tcW w:w="1025" w:type="pct"/>
            <w:tcBorders>
              <w:top w:val="single" w:color="auto" w:sz="4" w:space="0"/>
            </w:tcBorders>
          </w:tcPr>
          <w:p>
            <w:pPr>
              <w:spacing w:line="360" w:lineRule="auto"/>
              <w:ind w:right="100"/>
              <w:jc w:val="both"/>
              <w:rPr>
                <w:rFonts w:ascii="Book Antiqua" w:hAnsi="Book Antiqua"/>
                <w:lang w:eastAsia="zh-CN"/>
              </w:rPr>
            </w:pPr>
          </w:p>
        </w:tc>
        <w:tc>
          <w:tcPr>
            <w:tcW w:w="640" w:type="pct"/>
            <w:tcBorders>
              <w:top w:val="single" w:color="auto" w:sz="4" w:space="0"/>
            </w:tcBorders>
          </w:tcPr>
          <w:p>
            <w:pPr>
              <w:spacing w:line="360" w:lineRule="auto"/>
              <w:ind w:right="100"/>
              <w:jc w:val="both"/>
              <w:rPr>
                <w:rFonts w:ascii="Book Antiqua" w:hAnsi="Book Antiqua"/>
              </w:rPr>
            </w:pPr>
            <w:r>
              <w:rPr>
                <w:rFonts w:ascii="Book Antiqua" w:hAnsi="Book Antiqua" w:eastAsia="DejaVu Sans" w:cs="DejaVu Sans"/>
                <w:b/>
                <w:bCs/>
                <w:color w:val="000000"/>
              </w:rPr>
              <w:t>0.017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T1</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19 (5.2)</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11 (3.0)</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8 (2.2)</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T2</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80 (21.8)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37 (10.1)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43 (11.7)</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T3</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168 (45.8)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99 (27.0)</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69 (18.8)</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T4</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100 (27.2)</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40 (10.9)</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60 (16.3)</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N stage</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0.433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N0</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111 (31.1)</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61 (17.1)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50 (14.0)</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N1</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97 (27.2)</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49 (13.7)</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48 (13.4)</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N2</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75 (21.0)</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32 (9.0)</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43 (12.0)</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N3</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74 (20.7)</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38 (10.6)</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36 (10.1)</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M stage</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M0</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330 (93.0)</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164 (46.2)</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166 (46.8)</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M1</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25 (7.0)</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12 (3.4)</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13 (3.7)</w:t>
            </w:r>
          </w:p>
        </w:tc>
        <w:tc>
          <w:tcPr>
            <w:tcW w:w="640" w:type="pct"/>
          </w:tcPr>
          <w:p>
            <w:pPr>
              <w:spacing w:line="360" w:lineRule="auto"/>
              <w:ind w:right="100"/>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Pathologic stage</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b/>
                <w:bCs/>
                <w:color w:val="000000"/>
              </w:rPr>
              <w:t>0.032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Stage I</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53 (15.6)</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24 (6.8)</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29 (8.2)</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Stage II</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111 (31.5)</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69 (19.6)</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42 (11.9)</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Stage III</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150 (42.6)</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72 (20.5)</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78 (22.2)</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Stage IV</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38 (10.8)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15 (4.3)</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23 (6.5)</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Gender</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0.884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Female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134 (35.7)</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68 (18.1)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66 (17.6)</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Male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241 (64.3)</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119 (31.7)</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122 (32.5)</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lang w:eastAsia="zh-CN"/>
              </w:rPr>
            </w:pPr>
            <w:r>
              <w:rPr>
                <w:rFonts w:ascii="Book Antiqua" w:hAnsi="Book Antiqua" w:eastAsia="DejaVu Sans" w:cs="DejaVu Sans"/>
                <w:color w:val="000000"/>
              </w:rPr>
              <w:t>Histological type</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0.448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Diffuse type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63 (16.8)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36 (9.6)</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27 (7.2)</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Mucinous type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19 (5.1)</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11 (2.9)</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8 (2.1)</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 xml:space="preserve">Not </w:t>
            </w:r>
            <w:r>
              <w:rPr>
                <w:rFonts w:hint="eastAsia" w:ascii="Book Antiqua" w:hAnsi="Book Antiqua" w:cs="DejaVu Sans"/>
                <w:color w:val="000000"/>
                <w:lang w:eastAsia="zh-CN"/>
              </w:rPr>
              <w:t>o</w:t>
            </w:r>
            <w:r>
              <w:rPr>
                <w:rFonts w:ascii="Book Antiqua" w:hAnsi="Book Antiqua" w:eastAsia="DejaVu Sans" w:cs="DejaVu Sans"/>
                <w:color w:val="000000"/>
              </w:rPr>
              <w:t xml:space="preserve">therwise </w:t>
            </w:r>
            <w:r>
              <w:rPr>
                <w:rFonts w:hint="eastAsia" w:ascii="Book Antiqua" w:hAnsi="Book Antiqua" w:eastAsia="宋体" w:cs="DejaVu Sans"/>
                <w:color w:val="000000"/>
                <w:lang w:eastAsia="zh-CN"/>
              </w:rPr>
              <w:t>s</w:t>
            </w:r>
            <w:r>
              <w:rPr>
                <w:rFonts w:ascii="Book Antiqua" w:hAnsi="Book Antiqua" w:eastAsia="DejaVu Sans" w:cs="DejaVu Sans"/>
                <w:color w:val="000000"/>
              </w:rPr>
              <w:t>pecified</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207 (55.3)</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103 (27.5)</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104 (27.8)</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 xml:space="preserve">Papillary </w:t>
            </w:r>
            <w:r>
              <w:rPr>
                <w:rFonts w:hint="eastAsia" w:ascii="Book Antiqua" w:hAnsi="Book Antiqua" w:cs="DejaVu Sans"/>
                <w:color w:val="000000"/>
                <w:lang w:eastAsia="zh-CN"/>
              </w:rPr>
              <w:t>t</w:t>
            </w:r>
            <w:r>
              <w:rPr>
                <w:rFonts w:ascii="Book Antiqua" w:hAnsi="Book Antiqua" w:eastAsia="DejaVu Sans" w:cs="DejaVu Sans"/>
                <w:color w:val="000000"/>
              </w:rPr>
              <w:t>ype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5 (1.3)</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 (0.3)</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4 (1.1)</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 xml:space="preserve">Signet </w:t>
            </w:r>
            <w:r>
              <w:rPr>
                <w:rFonts w:hint="eastAsia" w:ascii="Book Antiqua" w:hAnsi="Book Antiqua" w:cs="DejaVu Sans"/>
                <w:color w:val="000000"/>
                <w:lang w:eastAsia="zh-CN"/>
              </w:rPr>
              <w:t>r</w:t>
            </w:r>
            <w:r>
              <w:rPr>
                <w:rFonts w:ascii="Book Antiqua" w:hAnsi="Book Antiqua" w:eastAsia="DejaVu Sans" w:cs="DejaVu Sans"/>
                <w:color w:val="000000"/>
              </w:rPr>
              <w:t xml:space="preserve">ing </w:t>
            </w:r>
            <w:r>
              <w:rPr>
                <w:rFonts w:hint="eastAsia" w:ascii="Book Antiqua" w:hAnsi="Book Antiqua" w:cs="DejaVu Sans"/>
                <w:color w:val="000000"/>
                <w:lang w:eastAsia="zh-CN"/>
              </w:rPr>
              <w:t>t</w:t>
            </w:r>
            <w:r>
              <w:rPr>
                <w:rFonts w:ascii="Book Antiqua" w:hAnsi="Book Antiqua" w:eastAsia="DejaVu Sans" w:cs="DejaVu Sans"/>
                <w:color w:val="000000"/>
              </w:rPr>
              <w:t>ype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11 (2.9)</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4 (1.1)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7 (1.9)</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 xml:space="preserve">Tubular </w:t>
            </w:r>
            <w:r>
              <w:rPr>
                <w:rFonts w:hint="eastAsia" w:ascii="Book Antiqua" w:hAnsi="Book Antiqua" w:cs="DejaVu Sans"/>
                <w:color w:val="000000"/>
                <w:lang w:eastAsia="zh-CN"/>
              </w:rPr>
              <w:t>t</w:t>
            </w:r>
            <w:r>
              <w:rPr>
                <w:rFonts w:ascii="Book Antiqua" w:hAnsi="Book Antiqua" w:eastAsia="DejaVu Sans" w:cs="DejaVu Sans"/>
                <w:color w:val="000000"/>
              </w:rPr>
              <w:t>ype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69 (18.4)</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32 (8.6)</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37 (9.9)</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Histologic grade</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0.305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G1</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10 (2.7)</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4 (1.1)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6 (1.6)</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G2</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137 (37.4)</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63 (17.2)</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74 (20.2)</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G3</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219 (59.8)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117 (32.0)</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102 (27.9)</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i/>
                <w:color w:val="000000"/>
              </w:rPr>
              <w:t>H</w:t>
            </w:r>
            <w:r>
              <w:rPr>
                <w:rFonts w:hint="eastAsia" w:ascii="Book Antiqua" w:hAnsi="Book Antiqua" w:cs="DejaVu Sans"/>
                <w:i/>
                <w:color w:val="000000"/>
                <w:lang w:eastAsia="zh-CN"/>
              </w:rPr>
              <w:t>.</w:t>
            </w:r>
            <w:r>
              <w:rPr>
                <w:rFonts w:ascii="Book Antiqua" w:hAnsi="Book Antiqua" w:eastAsia="DejaVu Sans" w:cs="DejaVu Sans"/>
                <w:i/>
                <w:color w:val="000000"/>
              </w:rPr>
              <w:t xml:space="preserve"> pylori</w:t>
            </w:r>
            <w:r>
              <w:rPr>
                <w:rFonts w:ascii="Book Antiqua" w:hAnsi="Book Antiqua" w:eastAsia="DejaVu Sans" w:cs="DejaVu Sans"/>
                <w:color w:val="000000"/>
              </w:rPr>
              <w:t xml:space="preserve"> infection</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0.470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No</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145 (89.0)</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63 (38.7)</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82 (50.3)</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Yes</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18 (11.0)</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10 (6.1)</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8 (4.9)</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right="100"/>
              <w:jc w:val="both"/>
              <w:rPr>
                <w:rFonts w:ascii="Book Antiqua" w:hAnsi="Book Antiqua"/>
              </w:rPr>
            </w:pPr>
            <w:r>
              <w:rPr>
                <w:rFonts w:ascii="Book Antiqua" w:hAnsi="Book Antiqua" w:eastAsia="DejaVu Sans" w:cs="DejaVu Sans"/>
                <w:color w:val="000000"/>
              </w:rPr>
              <w:t>OS event</w:t>
            </w:r>
          </w:p>
        </w:tc>
        <w:tc>
          <w:tcPr>
            <w:tcW w:w="921" w:type="pct"/>
          </w:tcPr>
          <w:p>
            <w:pPr>
              <w:spacing w:line="360" w:lineRule="auto"/>
              <w:ind w:right="100"/>
              <w:jc w:val="both"/>
              <w:rPr>
                <w:rFonts w:ascii="Book Antiqua" w:hAnsi="Book Antiqua"/>
                <w:lang w:eastAsia="zh-CN"/>
              </w:rPr>
            </w:pPr>
          </w:p>
        </w:tc>
        <w:tc>
          <w:tcPr>
            <w:tcW w:w="1009" w:type="pct"/>
          </w:tcPr>
          <w:p>
            <w:pPr>
              <w:spacing w:line="360" w:lineRule="auto"/>
              <w:ind w:right="100"/>
              <w:jc w:val="both"/>
              <w:rPr>
                <w:rFonts w:ascii="Book Antiqua" w:hAnsi="Book Antiqua"/>
                <w:lang w:eastAsia="zh-CN"/>
              </w:rPr>
            </w:pPr>
          </w:p>
        </w:tc>
        <w:tc>
          <w:tcPr>
            <w:tcW w:w="1025" w:type="pct"/>
          </w:tcPr>
          <w:p>
            <w:pPr>
              <w:spacing w:line="360" w:lineRule="auto"/>
              <w:ind w:right="100"/>
              <w:jc w:val="both"/>
              <w:rPr>
                <w:rFonts w:ascii="Book Antiqua" w:hAnsi="Book Antiqua"/>
                <w:lang w:eastAsia="zh-CN"/>
              </w:rPr>
            </w:pPr>
          </w:p>
        </w:tc>
        <w:tc>
          <w:tcPr>
            <w:tcW w:w="640" w:type="pct"/>
          </w:tcPr>
          <w:p>
            <w:pPr>
              <w:spacing w:line="360" w:lineRule="auto"/>
              <w:ind w:right="100"/>
              <w:jc w:val="both"/>
              <w:rPr>
                <w:rFonts w:ascii="Book Antiqua" w:hAnsi="Book Antiqua"/>
              </w:rPr>
            </w:pPr>
            <w:r>
              <w:rPr>
                <w:rFonts w:ascii="Book Antiqua" w:hAnsi="Book Antiqua" w:eastAsia="DejaVu Sans" w:cs="DejaVu Sans"/>
                <w:b/>
                <w:bCs/>
                <w:color w:val="000000"/>
              </w:rPr>
              <w:t>0.022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Alive</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228 (60.8)</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125 (33.3)</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103 (27.5)</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Dead</w:t>
            </w:r>
          </w:p>
        </w:tc>
        <w:tc>
          <w:tcPr>
            <w:tcW w:w="921" w:type="pct"/>
          </w:tcPr>
          <w:p>
            <w:pPr>
              <w:spacing w:line="360" w:lineRule="auto"/>
              <w:ind w:right="100"/>
              <w:jc w:val="both"/>
              <w:rPr>
                <w:rFonts w:ascii="Book Antiqua" w:hAnsi="Book Antiqua" w:cs="DejaVu Sans"/>
                <w:color w:val="000000"/>
              </w:rPr>
            </w:pPr>
            <w:r>
              <w:rPr>
                <w:rFonts w:ascii="Book Antiqua" w:hAnsi="Book Antiqua" w:cs="DejaVu Sans"/>
                <w:color w:val="000000"/>
              </w:rPr>
              <w:t>147 (39.2)</w:t>
            </w:r>
          </w:p>
        </w:tc>
        <w:tc>
          <w:tcPr>
            <w:tcW w:w="1009" w:type="pct"/>
          </w:tcPr>
          <w:p>
            <w:pPr>
              <w:spacing w:line="360" w:lineRule="auto"/>
              <w:ind w:right="100"/>
              <w:jc w:val="both"/>
              <w:rPr>
                <w:rFonts w:ascii="Book Antiqua" w:hAnsi="Book Antiqua"/>
              </w:rPr>
            </w:pPr>
            <w:r>
              <w:rPr>
                <w:rFonts w:ascii="Book Antiqua" w:hAnsi="Book Antiqua" w:eastAsia="DejaVu Sans" w:cs="DejaVu Sans"/>
                <w:color w:val="000000"/>
              </w:rPr>
              <w:t>62 (16.5)</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85 (22.7)</w:t>
            </w:r>
          </w:p>
        </w:tc>
        <w:tc>
          <w:tcPr>
            <w:tcW w:w="640" w:type="pct"/>
          </w:tcPr>
          <w:p>
            <w:pPr>
              <w:spacing w:line="360" w:lineRule="auto"/>
              <w:ind w:right="100"/>
              <w:jc w:val="both"/>
              <w:rPr>
                <w:rFonts w:ascii="Book Antiqua" w:hAnsi="Book Antiqua"/>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05" w:type="pct"/>
          </w:tcPr>
          <w:p>
            <w:pPr>
              <w:spacing w:line="360" w:lineRule="auto"/>
              <w:ind w:left="100" w:right="100"/>
              <w:jc w:val="both"/>
              <w:rPr>
                <w:rFonts w:ascii="Book Antiqua" w:hAnsi="Book Antiqua"/>
              </w:rPr>
            </w:pPr>
            <w:r>
              <w:rPr>
                <w:rFonts w:ascii="Book Antiqua" w:hAnsi="Book Antiqua" w:eastAsia="DejaVu Sans" w:cs="DejaVu Sans"/>
                <w:color w:val="000000"/>
              </w:rPr>
              <w:t xml:space="preserve">Age, mean ± </w:t>
            </w:r>
            <w:r>
              <w:rPr>
                <w:rFonts w:ascii="Book Antiqua" w:hAnsi="Book Antiqua" w:eastAsia="DejaVu Sans" w:cs="Arial"/>
                <w:color w:val="000000"/>
              </w:rPr>
              <w:t>SD</w:t>
            </w:r>
          </w:p>
        </w:tc>
        <w:tc>
          <w:tcPr>
            <w:tcW w:w="921" w:type="pct"/>
          </w:tcPr>
          <w:p>
            <w:pPr>
              <w:spacing w:line="360" w:lineRule="auto"/>
              <w:ind w:right="100"/>
              <w:jc w:val="both"/>
              <w:rPr>
                <w:rFonts w:ascii="Book Antiqua" w:hAnsi="Book Antiqua" w:cs="DejaVu Sans"/>
                <w:color w:val="000000"/>
                <w:lang w:eastAsia="zh-CN"/>
              </w:rPr>
            </w:pPr>
          </w:p>
        </w:tc>
        <w:tc>
          <w:tcPr>
            <w:tcW w:w="1009" w:type="pct"/>
          </w:tcPr>
          <w:p>
            <w:pPr>
              <w:spacing w:line="360" w:lineRule="auto"/>
              <w:ind w:right="100"/>
              <w:jc w:val="both"/>
              <w:rPr>
                <w:rFonts w:ascii="Book Antiqua" w:hAnsi="Book Antiqua"/>
                <w:lang w:eastAsia="zh-CN"/>
              </w:rPr>
            </w:pPr>
            <w:r>
              <w:rPr>
                <w:rFonts w:ascii="Book Antiqua" w:hAnsi="Book Antiqua" w:eastAsia="DejaVu Sans" w:cs="DejaVu Sans"/>
                <w:color w:val="000000"/>
              </w:rPr>
              <w:t xml:space="preserve">65.39 ± </w:t>
            </w:r>
            <w:r>
              <w:rPr>
                <w:rFonts w:ascii="Book Antiqua" w:hAnsi="Book Antiqua" w:eastAsia="DejaVu Sans" w:cs="Arial"/>
                <w:color w:val="000000"/>
              </w:rPr>
              <w:t>10.8</w:t>
            </w:r>
            <w:r>
              <w:rPr>
                <w:rFonts w:hint="eastAsia" w:ascii="Book Antiqua" w:hAnsi="Book Antiqua" w:cs="Arial"/>
                <w:color w:val="000000"/>
                <w:lang w:eastAsia="zh-CN"/>
              </w:rPr>
              <w:t>0</w:t>
            </w:r>
          </w:p>
        </w:tc>
        <w:tc>
          <w:tcPr>
            <w:tcW w:w="1025" w:type="pct"/>
          </w:tcPr>
          <w:p>
            <w:pPr>
              <w:spacing w:line="360" w:lineRule="auto"/>
              <w:ind w:right="100"/>
              <w:jc w:val="both"/>
              <w:rPr>
                <w:rFonts w:ascii="Book Antiqua" w:hAnsi="Book Antiqua"/>
              </w:rPr>
            </w:pPr>
            <w:r>
              <w:rPr>
                <w:rFonts w:ascii="Book Antiqua" w:hAnsi="Book Antiqua" w:eastAsia="DejaVu Sans" w:cs="DejaVu Sans"/>
                <w:color w:val="000000"/>
              </w:rPr>
              <w:t xml:space="preserve">66.28 ± </w:t>
            </w:r>
            <w:r>
              <w:rPr>
                <w:rFonts w:ascii="Book Antiqua" w:hAnsi="Book Antiqua" w:eastAsia="DejaVu Sans" w:cs="Arial"/>
                <w:color w:val="000000"/>
              </w:rPr>
              <w:t>10.51</w:t>
            </w:r>
          </w:p>
        </w:tc>
        <w:tc>
          <w:tcPr>
            <w:tcW w:w="640" w:type="pct"/>
          </w:tcPr>
          <w:p>
            <w:pPr>
              <w:spacing w:line="360" w:lineRule="auto"/>
              <w:ind w:right="100"/>
              <w:jc w:val="both"/>
              <w:rPr>
                <w:rFonts w:ascii="Book Antiqua" w:hAnsi="Book Antiqua"/>
              </w:rPr>
            </w:pPr>
            <w:r>
              <w:rPr>
                <w:rFonts w:ascii="Book Antiqua" w:hAnsi="Book Antiqua" w:eastAsia="DejaVu Sans" w:cs="DejaVu Sans"/>
                <w:color w:val="000000"/>
              </w:rPr>
              <w:t>0.423</w:t>
            </w:r>
          </w:p>
        </w:tc>
      </w:tr>
    </w:tbl>
    <w:p>
      <w:pPr>
        <w:spacing w:line="360" w:lineRule="auto"/>
        <w:jc w:val="both"/>
        <w:rPr>
          <w:rFonts w:ascii="Book Antiqua" w:hAnsi="Book Antiqua" w:cs="Book Antiqua"/>
          <w:color w:val="000000"/>
          <w:lang w:eastAsia="zh-CN"/>
        </w:rPr>
      </w:pPr>
      <w:r>
        <w:rPr>
          <w:rFonts w:hint="eastAsia" w:ascii="Book Antiqua" w:hAnsi="Book Antiqua" w:cs="Book Antiqua"/>
          <w:iCs/>
          <w:lang w:eastAsia="zh-CN"/>
        </w:rPr>
        <w:t xml:space="preserve">The </w:t>
      </w:r>
      <w:r>
        <w:rPr>
          <w:rFonts w:ascii="Book Antiqua" w:hAnsi="Book Antiqua" w:cs="Book Antiqua"/>
          <w:iCs/>
          <w:lang w:eastAsia="zh-CN"/>
        </w:rPr>
        <w:t>bold</w:t>
      </w:r>
      <w:r>
        <w:rPr>
          <w:rFonts w:hint="eastAsia" w:ascii="Book Antiqua" w:hAnsi="Book Antiqua" w:cs="Book Antiqua"/>
          <w:iCs/>
          <w:lang w:eastAsia="zh-CN"/>
        </w:rPr>
        <w:t xml:space="preserve"> means </w:t>
      </w:r>
      <w:r>
        <w:rPr>
          <w:rFonts w:ascii="Book Antiqua" w:hAnsi="Book Antiqua" w:cs="Book Antiqua"/>
          <w:iCs/>
          <w:lang w:eastAsia="zh-CN"/>
        </w:rPr>
        <w:t>statistical significance</w:t>
      </w:r>
      <w:r>
        <w:rPr>
          <w:rFonts w:hint="eastAsia" w:ascii="Book Antiqua" w:hAnsi="Book Antiqua" w:cs="Book Antiqua"/>
          <w:iCs/>
          <w:lang w:eastAsia="zh-CN"/>
        </w:rPr>
        <w:t xml:space="preserve">. </w:t>
      </w:r>
      <w:r>
        <w:rPr>
          <w:rFonts w:ascii="Book Antiqua" w:hAnsi="Book Antiqua" w:eastAsia="Book Antiqua" w:cs="Book Antiqua"/>
          <w:i/>
          <w:iCs/>
        </w:rPr>
        <w:t>MIB1</w:t>
      </w:r>
      <w:r>
        <w:rPr>
          <w:rFonts w:hint="eastAsia" w:ascii="Book Antiqua" w:hAnsi="Book Antiqua" w:cs="Book Antiqua"/>
          <w:iCs/>
          <w:lang w:eastAsia="zh-CN"/>
        </w:rPr>
        <w:t xml:space="preserve">: </w:t>
      </w:r>
      <w:r>
        <w:rPr>
          <w:rFonts w:hint="eastAsia" w:ascii="Book Antiqua" w:hAnsi="Book Antiqua" w:cs="Book Antiqua"/>
          <w:lang w:eastAsia="zh-CN"/>
        </w:rPr>
        <w:t>M</w:t>
      </w:r>
      <w:r>
        <w:rPr>
          <w:rFonts w:ascii="Book Antiqua" w:hAnsi="Book Antiqua" w:eastAsia="Book Antiqua" w:cs="Book Antiqua"/>
        </w:rPr>
        <w:t>ind bomb 1</w:t>
      </w:r>
      <w:r>
        <w:rPr>
          <w:rFonts w:hint="eastAsia" w:ascii="Book Antiqua" w:hAnsi="Book Antiqua" w:cs="Book Antiqua"/>
          <w:lang w:eastAsia="zh-CN"/>
        </w:rPr>
        <w:t xml:space="preserve">; OS: </w:t>
      </w:r>
      <w:r>
        <w:rPr>
          <w:rFonts w:hint="eastAsia" w:ascii="Book Antiqua" w:hAnsi="Book Antiqua" w:cs="Book Antiqua"/>
          <w:color w:val="101214"/>
          <w:lang w:eastAsia="zh-CN"/>
        </w:rPr>
        <w:t>O</w:t>
      </w:r>
      <w:r>
        <w:rPr>
          <w:rFonts w:ascii="Book Antiqua" w:hAnsi="Book Antiqua" w:eastAsia="Book Antiqua" w:cs="Book Antiqua"/>
          <w:color w:val="101214"/>
        </w:rPr>
        <w:t>verall survival</w:t>
      </w:r>
      <w:r>
        <w:rPr>
          <w:rFonts w:hint="eastAsia" w:ascii="Book Antiqua" w:hAnsi="Book Antiqua" w:cs="Book Antiqua"/>
          <w:color w:val="101214"/>
          <w:lang w:eastAsia="zh-CN"/>
        </w:rPr>
        <w:t xml:space="preserve">; </w:t>
      </w:r>
      <w:r>
        <w:rPr>
          <w:rFonts w:ascii="Book Antiqua" w:hAnsi="Book Antiqua" w:eastAsia="Book Antiqua" w:cs="Book Antiqua"/>
          <w:i/>
          <w:iCs/>
          <w:color w:val="000000"/>
        </w:rPr>
        <w:t>H. pylori</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Helicobacter pylori</w:t>
      </w:r>
      <w:r>
        <w:rPr>
          <w:rFonts w:hint="eastAsia" w:ascii="Book Antiqua" w:hAnsi="Book Antiqua" w:cs="Book Antiqua"/>
          <w:color w:val="000000"/>
          <w:lang w:eastAsia="zh-CN"/>
        </w:rPr>
        <w:t>.</w:t>
      </w:r>
    </w:p>
    <w:p>
      <w:pPr>
        <w:rPr>
          <w:rFonts w:ascii="Book Antiqua" w:hAnsi="Book Antiqua" w:cs="Book Antiqua"/>
          <w:color w:val="000000"/>
          <w:lang w:eastAsia="zh-CN"/>
        </w:rPr>
      </w:pPr>
      <w:r>
        <w:rPr>
          <w:rFonts w:ascii="Book Antiqua" w:hAnsi="Book Antiqua" w:cs="Book Antiqua"/>
          <w:color w:val="000000"/>
          <w:lang w:eastAsia="zh-CN"/>
        </w:rPr>
        <w:br w:type="page"/>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1331893193" name="图片 133189319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93193" name="图片 133189319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92340728" name="图片 9234072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728" name="图片 92340728"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14:textFill>
            <w14:solidFill>
              <w14:schemeClr w14:val="tx1"/>
            </w14:solidFill>
          </w14:textFill>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DejaVu Sans">
    <w:altName w:val="Verdana"/>
    <w:panose1 w:val="020B0604020202020204"/>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Garamond-Bold">
    <w:altName w:val="等线"/>
    <w:panose1 w:val="020B0604020202020204"/>
    <w:charset w:val="00"/>
    <w:family w:val="auto"/>
    <w:pitch w:val="default"/>
    <w:sig w:usb0="00000000"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20B0604020202020204"/>
    <w:charset w:val="00"/>
    <w:family w:val="swiss"/>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9796982"/>
    </w:sdtPr>
    <w:sdtContent>
      <w:sdt>
        <w:sdtPr>
          <w:id w:val="860082579"/>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4MTc1ZDM1YjgwNDdhYTgwNzk3YTU4M2IzOGM1MGQifQ=="/>
  </w:docVars>
  <w:rsids>
    <w:rsidRoot w:val="00A77B3E"/>
    <w:rsid w:val="000E346F"/>
    <w:rsid w:val="00136439"/>
    <w:rsid w:val="001B61DD"/>
    <w:rsid w:val="001D1089"/>
    <w:rsid w:val="001D5B4B"/>
    <w:rsid w:val="0029794C"/>
    <w:rsid w:val="002D4166"/>
    <w:rsid w:val="002E51E9"/>
    <w:rsid w:val="00343A07"/>
    <w:rsid w:val="00357787"/>
    <w:rsid w:val="0048279D"/>
    <w:rsid w:val="005F7D80"/>
    <w:rsid w:val="006C567D"/>
    <w:rsid w:val="00836504"/>
    <w:rsid w:val="00871C83"/>
    <w:rsid w:val="0094726F"/>
    <w:rsid w:val="0098046F"/>
    <w:rsid w:val="00992525"/>
    <w:rsid w:val="009A7685"/>
    <w:rsid w:val="009B1761"/>
    <w:rsid w:val="00A000B9"/>
    <w:rsid w:val="00A77B3E"/>
    <w:rsid w:val="00A83E82"/>
    <w:rsid w:val="00BB7673"/>
    <w:rsid w:val="00BD6B47"/>
    <w:rsid w:val="00C42FF4"/>
    <w:rsid w:val="00C82B09"/>
    <w:rsid w:val="00CA2A55"/>
    <w:rsid w:val="00CB1AB1"/>
    <w:rsid w:val="00D0591E"/>
    <w:rsid w:val="00D370B0"/>
    <w:rsid w:val="00D41E66"/>
    <w:rsid w:val="00DC202A"/>
    <w:rsid w:val="00EB487B"/>
    <w:rsid w:val="00EF6CBD"/>
    <w:rsid w:val="00F45C36"/>
    <w:rsid w:val="1AAA0179"/>
    <w:rsid w:val="25BA7D8D"/>
    <w:rsid w:val="293C4023"/>
    <w:rsid w:val="44D06CEB"/>
    <w:rsid w:val="57572FBA"/>
    <w:rsid w:val="589D7D3C"/>
    <w:rsid w:val="69787C23"/>
    <w:rsid w:val="6CCD7EC2"/>
    <w:rsid w:val="6DD22894"/>
    <w:rsid w:val="7D9F2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qFormat/>
    <w:uiPriority w:val="0"/>
  </w:style>
  <w:style w:type="paragraph" w:styleId="3">
    <w:name w:val="Balloon Text"/>
    <w:basedOn w:val="1"/>
    <w:link w:val="15"/>
    <w:qFormat/>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uiPriority w:val="0"/>
    <w:rPr>
      <w:color w:val="0000FF" w:themeColor="hyperlink"/>
      <w:u w:val="single"/>
      <w14:textFill>
        <w14:solidFill>
          <w14:schemeClr w14:val="hlink"/>
        </w14:solidFill>
      </w14:textFill>
    </w:rPr>
  </w:style>
  <w:style w:type="character" w:styleId="11">
    <w:name w:val="annotation reference"/>
    <w:basedOn w:val="9"/>
    <w:qFormat/>
    <w:uiPriority w:val="0"/>
    <w:rPr>
      <w:sz w:val="21"/>
      <w:szCs w:val="21"/>
    </w:rPr>
  </w:style>
  <w:style w:type="character" w:customStyle="1" w:styleId="12">
    <w:name w:val="trans-sentence"/>
    <w:basedOn w:val="9"/>
    <w:qFormat/>
    <w:uiPriority w:val="0"/>
  </w:style>
  <w:style w:type="character" w:customStyle="1" w:styleId="13">
    <w:name w:val="页眉 字符"/>
    <w:basedOn w:val="9"/>
    <w:link w:val="5"/>
    <w:qFormat/>
    <w:uiPriority w:val="0"/>
    <w:rPr>
      <w:sz w:val="18"/>
      <w:szCs w:val="18"/>
    </w:rPr>
  </w:style>
  <w:style w:type="character" w:customStyle="1" w:styleId="14">
    <w:name w:val="页脚 字符"/>
    <w:basedOn w:val="9"/>
    <w:link w:val="4"/>
    <w:qFormat/>
    <w:uiPriority w:val="99"/>
    <w:rPr>
      <w:sz w:val="18"/>
      <w:szCs w:val="18"/>
    </w:rPr>
  </w:style>
  <w:style w:type="character" w:customStyle="1" w:styleId="15">
    <w:name w:val="批注框文本 字符"/>
    <w:basedOn w:val="9"/>
    <w:link w:val="3"/>
    <w:qFormat/>
    <w:uiPriority w:val="0"/>
    <w:rPr>
      <w:sz w:val="18"/>
      <w:szCs w:val="18"/>
    </w:rPr>
  </w:style>
  <w:style w:type="character" w:customStyle="1" w:styleId="16">
    <w:name w:val="批注文字 字符"/>
    <w:basedOn w:val="9"/>
    <w:link w:val="2"/>
    <w:qFormat/>
    <w:uiPriority w:val="0"/>
    <w:rPr>
      <w:sz w:val="24"/>
      <w:szCs w:val="24"/>
    </w:rPr>
  </w:style>
  <w:style w:type="character" w:customStyle="1" w:styleId="17">
    <w:name w:val="批注主题 字符"/>
    <w:basedOn w:val="16"/>
    <w:link w:val="6"/>
    <w:qFormat/>
    <w:uiPriority w:val="0"/>
    <w:rPr>
      <w:b/>
      <w:bCs/>
      <w:sz w:val="24"/>
      <w:szCs w:val="24"/>
    </w:rPr>
  </w:style>
  <w:style w:type="paragraph" w:customStyle="1" w:styleId="18">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9">
    <w:name w:val="Revision"/>
    <w:hidden/>
    <w:unhideWhenUsed/>
    <w:uiPriority w:val="99"/>
    <w:rPr>
      <w:rFonts w:ascii="Times New Roman" w:hAnsi="Times New Roman" w:cs="Times New Roman" w:eastAsiaTheme="minorEastAsia"/>
      <w:sz w:val="24"/>
      <w:szCs w:val="24"/>
      <w:lang w:val="en-US" w:eastAsia="en-US" w:bidi="ar-SA"/>
    </w:rPr>
  </w:style>
  <w:style w:type="character" w:customStyle="1" w:styleId="20">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7007</Words>
  <Characters>39232</Characters>
  <Lines>329</Lines>
  <Paragraphs>92</Paragraphs>
  <TotalTime>11</TotalTime>
  <ScaleCrop>false</ScaleCrop>
  <LinksUpToDate>false</LinksUpToDate>
  <CharactersWithSpaces>45926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2023-05-07T13:49:00Z</dcterms:created>
  <dc:creator>di wang</dc:creator>
  <cp:lastModifiedBy>怽°</cp:lastModifiedBy>
  <dcterms:modified xsi:type="dcterms:W3CDTF">2023-07-06T08:43:28Z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A3EE63278AAF446D83A39683569AF340_13</vt:lpwstr>
  </property>
</Properties>
</file>