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CDC3"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rPr>
        <w:t xml:space="preserve">Name of Journal: </w:t>
      </w:r>
      <w:r w:rsidRPr="004A5F47">
        <w:rPr>
          <w:rFonts w:ascii="Book Antiqua" w:eastAsia="Book Antiqua" w:hAnsi="Book Antiqua" w:cs="Book Antiqua"/>
          <w:i/>
        </w:rPr>
        <w:t>World Journal of Gastroenterology</w:t>
      </w:r>
    </w:p>
    <w:p w14:paraId="754CAD78"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rPr>
        <w:t xml:space="preserve">Manuscript NO: </w:t>
      </w:r>
      <w:r w:rsidRPr="004A5F47">
        <w:rPr>
          <w:rFonts w:ascii="Book Antiqua" w:eastAsia="Book Antiqua" w:hAnsi="Book Antiqua" w:cs="Book Antiqua"/>
        </w:rPr>
        <w:t>83397</w:t>
      </w:r>
    </w:p>
    <w:p w14:paraId="19A7C98F"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rPr>
        <w:t xml:space="preserve">Manuscript Type: </w:t>
      </w:r>
      <w:r w:rsidRPr="004A5F47">
        <w:rPr>
          <w:rFonts w:ascii="Book Antiqua" w:eastAsia="Book Antiqua" w:hAnsi="Book Antiqua" w:cs="Book Antiqua"/>
        </w:rPr>
        <w:t>MINIREVIEWS</w:t>
      </w:r>
    </w:p>
    <w:p w14:paraId="54EC3B41" w14:textId="77777777" w:rsidR="00A77B3E" w:rsidRPr="004A5F47" w:rsidRDefault="00A77B3E" w:rsidP="00265460">
      <w:pPr>
        <w:spacing w:line="360" w:lineRule="auto"/>
        <w:jc w:val="both"/>
        <w:rPr>
          <w:rFonts w:ascii="Book Antiqua" w:hAnsi="Book Antiqua"/>
        </w:rPr>
      </w:pPr>
    </w:p>
    <w:p w14:paraId="05AA1152" w14:textId="22AB08F3"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t>Machine perfusion and the prevention of ischemic type biliary lesions following liver transplant</w:t>
      </w:r>
      <w:r w:rsidR="00C70B3E" w:rsidRPr="004A5F47">
        <w:rPr>
          <w:rFonts w:ascii="Book Antiqua" w:hAnsi="Book Antiqua" w:cs="Book Antiqua"/>
          <w:b/>
          <w:color w:val="000000"/>
          <w:lang w:eastAsia="zh-CN"/>
        </w:rPr>
        <w:t xml:space="preserve">: </w:t>
      </w:r>
      <w:r w:rsidRPr="004A5F47">
        <w:rPr>
          <w:rFonts w:ascii="Book Antiqua" w:eastAsia="Book Antiqua" w:hAnsi="Book Antiqua" w:cs="Book Antiqua"/>
          <w:b/>
          <w:color w:val="000000"/>
        </w:rPr>
        <w:t>What is the evidence?</w:t>
      </w:r>
    </w:p>
    <w:p w14:paraId="68672F0F" w14:textId="77777777" w:rsidR="00A77B3E" w:rsidRPr="004A5F47" w:rsidRDefault="00A77B3E" w:rsidP="00265460">
      <w:pPr>
        <w:spacing w:line="360" w:lineRule="auto"/>
        <w:jc w:val="both"/>
        <w:rPr>
          <w:rFonts w:ascii="Book Antiqua" w:hAnsi="Book Antiqua"/>
        </w:rPr>
      </w:pPr>
    </w:p>
    <w:p w14:paraId="59853C19" w14:textId="654C168D" w:rsidR="00A77B3E" w:rsidRPr="004A5F47" w:rsidRDefault="00E50DA6" w:rsidP="00265460">
      <w:pPr>
        <w:spacing w:line="360" w:lineRule="auto"/>
        <w:jc w:val="both"/>
        <w:rPr>
          <w:rFonts w:ascii="Book Antiqua" w:hAnsi="Book Antiqua"/>
        </w:rPr>
      </w:pPr>
      <w:r w:rsidRPr="004A5F47">
        <w:rPr>
          <w:rFonts w:ascii="Book Antiqua" w:eastAsia="Book Antiqua" w:hAnsi="Book Antiqua" w:cs="Book Antiqua"/>
          <w:color w:val="000000"/>
        </w:rPr>
        <w:t xml:space="preserve">Durán </w:t>
      </w:r>
      <w:r w:rsidRPr="004A5F47">
        <w:rPr>
          <w:rFonts w:ascii="Book Antiqua" w:hAnsi="Book Antiqua" w:cs="Book Antiqua"/>
          <w:color w:val="000000"/>
          <w:lang w:eastAsia="zh-CN"/>
        </w:rPr>
        <w:t xml:space="preserve">M </w:t>
      </w:r>
      <w:r w:rsidRPr="004A5F47">
        <w:rPr>
          <w:rFonts w:ascii="Book Antiqua" w:hAnsi="Book Antiqua" w:cs="Book Antiqua"/>
          <w:i/>
          <w:color w:val="000000"/>
          <w:lang w:eastAsia="zh-CN"/>
        </w:rPr>
        <w:t>et al</w:t>
      </w:r>
      <w:r w:rsidRPr="004A5F47">
        <w:rPr>
          <w:rFonts w:ascii="Book Antiqua" w:hAnsi="Book Antiqua" w:cs="Book Antiqua"/>
          <w:color w:val="000000"/>
          <w:lang w:eastAsia="zh-CN"/>
        </w:rPr>
        <w:t xml:space="preserve">. </w:t>
      </w:r>
      <w:r w:rsidR="006A1FF4" w:rsidRPr="004A5F47">
        <w:rPr>
          <w:rFonts w:ascii="Book Antiqua" w:eastAsia="Book Antiqua" w:hAnsi="Book Antiqua" w:cs="Book Antiqua"/>
          <w:color w:val="000000"/>
        </w:rPr>
        <w:t>Machine perfusion and ITBL prevention</w:t>
      </w:r>
    </w:p>
    <w:p w14:paraId="675F6944" w14:textId="77777777" w:rsidR="00A77B3E" w:rsidRPr="004A5F47" w:rsidRDefault="00A77B3E" w:rsidP="00265460">
      <w:pPr>
        <w:spacing w:line="360" w:lineRule="auto"/>
        <w:jc w:val="both"/>
        <w:rPr>
          <w:rFonts w:ascii="Book Antiqua" w:hAnsi="Book Antiqua"/>
        </w:rPr>
      </w:pPr>
    </w:p>
    <w:p w14:paraId="52563BE8"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color w:val="000000"/>
        </w:rPr>
        <w:t>Manuel Durán, Rafael Calleja, Angus Hann, George Clarke, Ruben Ciria, Anisa Nutu, Rebeca Sanabria-Mateos, María Dolores Ayllón, Pedro López-Cillero, Hynek Mergental, Javier Briceño, M Thamara P R Perera</w:t>
      </w:r>
    </w:p>
    <w:p w14:paraId="514503D4" w14:textId="77777777" w:rsidR="00A77B3E" w:rsidRPr="004A5F47" w:rsidRDefault="00A77B3E" w:rsidP="00265460">
      <w:pPr>
        <w:spacing w:line="360" w:lineRule="auto"/>
        <w:jc w:val="both"/>
        <w:rPr>
          <w:rFonts w:ascii="Book Antiqua" w:hAnsi="Book Antiqua"/>
        </w:rPr>
      </w:pPr>
    </w:p>
    <w:p w14:paraId="5FB0BFF8" w14:textId="1962476E"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color w:val="000000"/>
        </w:rPr>
        <w:t xml:space="preserve">Manuel Durán, Rafael Calleja, Ruben Ciria, María Dolores Ayllón, Pedro López-Cillero, Javier Briceño, </w:t>
      </w:r>
      <w:r w:rsidR="003A70E7" w:rsidRPr="004A5F47">
        <w:rPr>
          <w:rFonts w:ascii="Book Antiqua" w:hAnsi="Book Antiqua" w:cs="Book Antiqua"/>
          <w:bCs/>
          <w:color w:val="000000"/>
          <w:lang w:eastAsia="zh-CN"/>
        </w:rPr>
        <w:t xml:space="preserve">Department of </w:t>
      </w:r>
      <w:r w:rsidR="003A70E7" w:rsidRPr="004A5F47">
        <w:rPr>
          <w:rFonts w:ascii="Book Antiqua" w:eastAsia="Book Antiqua" w:hAnsi="Book Antiqua" w:cs="Book Antiqua"/>
          <w:color w:val="000000"/>
        </w:rPr>
        <w:t>Liver Transplantation</w:t>
      </w:r>
      <w:r w:rsidRPr="004A5F47">
        <w:rPr>
          <w:rFonts w:ascii="Book Antiqua" w:eastAsia="Book Antiqua" w:hAnsi="Book Antiqua" w:cs="Book Antiqua"/>
          <w:color w:val="000000"/>
        </w:rPr>
        <w:t>, Reina Sofía University Hospital, Córdoba 14004, Spain</w:t>
      </w:r>
    </w:p>
    <w:p w14:paraId="1AC172C6" w14:textId="77777777" w:rsidR="00A77B3E" w:rsidRPr="004A5F47" w:rsidRDefault="00A77B3E" w:rsidP="00265460">
      <w:pPr>
        <w:spacing w:line="360" w:lineRule="auto"/>
        <w:jc w:val="both"/>
        <w:rPr>
          <w:rFonts w:ascii="Book Antiqua" w:hAnsi="Book Antiqua"/>
        </w:rPr>
      </w:pPr>
    </w:p>
    <w:p w14:paraId="0A5CDC11" w14:textId="346C2A6E"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color w:val="000000"/>
        </w:rPr>
        <w:t xml:space="preserve">Angus Hann, </w:t>
      </w:r>
      <w:r w:rsidR="0067191E" w:rsidRPr="004A5F47">
        <w:rPr>
          <w:rFonts w:ascii="Book Antiqua" w:eastAsia="Book Antiqua" w:hAnsi="Book Antiqua" w:cs="Book Antiqua"/>
          <w:b/>
          <w:bCs/>
          <w:color w:val="000000"/>
        </w:rPr>
        <w:t xml:space="preserve">George Clarke, </w:t>
      </w:r>
      <w:r w:rsidRPr="004A5F47">
        <w:rPr>
          <w:rFonts w:ascii="Book Antiqua" w:eastAsia="Book Antiqua" w:hAnsi="Book Antiqua" w:cs="Book Antiqua"/>
          <w:b/>
          <w:bCs/>
          <w:color w:val="000000"/>
        </w:rPr>
        <w:t>Anisa Nutu, Rebeca Sanabria-Mateos, Hynek Mergental,</w:t>
      </w:r>
      <w:r w:rsidR="0067191E" w:rsidRPr="004A5F47">
        <w:rPr>
          <w:rFonts w:ascii="Book Antiqua" w:eastAsia="Book Antiqua" w:hAnsi="Book Antiqua" w:cs="Book Antiqua"/>
          <w:b/>
          <w:bCs/>
          <w:color w:val="000000"/>
        </w:rPr>
        <w:t xml:space="preserve"> M Thamara P R Perera, </w:t>
      </w:r>
      <w:r w:rsidRPr="004A5F47">
        <w:rPr>
          <w:rFonts w:ascii="Book Antiqua" w:eastAsia="Book Antiqua" w:hAnsi="Book Antiqua" w:cs="Book Antiqua"/>
          <w:color w:val="000000"/>
        </w:rPr>
        <w:t>The Liver Unit, Quee</w:t>
      </w:r>
      <w:r w:rsidR="00E94632" w:rsidRPr="004A5F47">
        <w:rPr>
          <w:rFonts w:ascii="Book Antiqua" w:eastAsia="Book Antiqua" w:hAnsi="Book Antiqua" w:cs="Book Antiqua"/>
          <w:color w:val="000000"/>
        </w:rPr>
        <w:t>n Elizabeth Hospital Birmingham</w:t>
      </w:r>
      <w:r w:rsidRPr="004A5F47">
        <w:rPr>
          <w:rFonts w:ascii="Book Antiqua" w:eastAsia="Book Antiqua" w:hAnsi="Book Antiqua" w:cs="Book Antiqua"/>
          <w:color w:val="000000"/>
        </w:rPr>
        <w:t>, Birmingham B15 2TH, United Kingdom</w:t>
      </w:r>
    </w:p>
    <w:p w14:paraId="27732C41" w14:textId="77777777" w:rsidR="00A77B3E" w:rsidRPr="004A5F47" w:rsidRDefault="00A77B3E" w:rsidP="00265460">
      <w:pPr>
        <w:spacing w:line="360" w:lineRule="auto"/>
        <w:jc w:val="both"/>
        <w:rPr>
          <w:rFonts w:ascii="Book Antiqua" w:hAnsi="Book Antiqua"/>
        </w:rPr>
      </w:pPr>
    </w:p>
    <w:p w14:paraId="0875764F" w14:textId="52984A8C"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color w:val="000000"/>
        </w:rPr>
        <w:t xml:space="preserve">Angus Hann, George Clarke, </w:t>
      </w:r>
      <w:r w:rsidR="009A598D" w:rsidRPr="004A5F47">
        <w:rPr>
          <w:rFonts w:ascii="Book Antiqua" w:eastAsia="Book Antiqua" w:hAnsi="Book Antiqua" w:cs="Book Antiqua"/>
          <w:b/>
          <w:bCs/>
          <w:color w:val="000000"/>
        </w:rPr>
        <w:t xml:space="preserve">Hynek Mergental, M Thamara P R Perera, </w:t>
      </w:r>
      <w:r w:rsidRPr="004A5F47">
        <w:rPr>
          <w:rFonts w:ascii="Book Antiqua" w:eastAsia="Book Antiqua" w:hAnsi="Book Antiqua" w:cs="Book Antiqua"/>
          <w:color w:val="000000"/>
        </w:rPr>
        <w:t>Centre for Liver and Gastrointestinal Research, Institute of Immunology and Immunoth</w:t>
      </w:r>
      <w:r w:rsidR="00CE0852" w:rsidRPr="004A5F47">
        <w:rPr>
          <w:rFonts w:ascii="Book Antiqua" w:eastAsia="Book Antiqua" w:hAnsi="Book Antiqua" w:cs="Book Antiqua"/>
          <w:color w:val="000000"/>
        </w:rPr>
        <w:t>erapy, University of Birmingham</w:t>
      </w:r>
      <w:r w:rsidRPr="004A5F47">
        <w:rPr>
          <w:rFonts w:ascii="Book Antiqua" w:eastAsia="Book Antiqua" w:hAnsi="Book Antiqua" w:cs="Book Antiqua"/>
          <w:color w:val="000000"/>
        </w:rPr>
        <w:t>, Birmingham B15 2TH, United Kingdom</w:t>
      </w:r>
    </w:p>
    <w:p w14:paraId="33F5DCA9" w14:textId="77777777" w:rsidR="00A77B3E" w:rsidRPr="004A5F47" w:rsidRDefault="00A77B3E" w:rsidP="00265460">
      <w:pPr>
        <w:spacing w:line="360" w:lineRule="auto"/>
        <w:jc w:val="both"/>
        <w:rPr>
          <w:rFonts w:ascii="Book Antiqua" w:hAnsi="Book Antiqua"/>
        </w:rPr>
      </w:pPr>
    </w:p>
    <w:p w14:paraId="7A1F1C61" w14:textId="3AADCB00"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color w:val="000000"/>
        </w:rPr>
        <w:t xml:space="preserve">Author contributions: </w:t>
      </w:r>
      <w:r w:rsidR="00576E9C" w:rsidRPr="004A5F47">
        <w:rPr>
          <w:rFonts w:ascii="Book Antiqua" w:eastAsia="Book Antiqua" w:hAnsi="Book Antiqua" w:cs="Book Antiqua"/>
          <w:color w:val="000000"/>
        </w:rPr>
        <w:t>Perera MTP</w:t>
      </w:r>
      <w:r w:rsidRPr="004A5F47">
        <w:rPr>
          <w:rFonts w:ascii="Book Antiqua" w:eastAsia="Book Antiqua" w:hAnsi="Book Antiqua" w:cs="Book Antiqua"/>
          <w:color w:val="000000"/>
        </w:rPr>
        <w:t xml:space="preserve">R and </w:t>
      </w:r>
      <w:r w:rsidR="005905FE" w:rsidRPr="004A5F47">
        <w:rPr>
          <w:rFonts w:ascii="Book Antiqua" w:eastAsia="Book Antiqua" w:hAnsi="Book Antiqua" w:cs="Book Antiqua"/>
          <w:color w:val="000000"/>
        </w:rPr>
        <w:t xml:space="preserve">Hann </w:t>
      </w:r>
      <w:r w:rsidRPr="004A5F47">
        <w:rPr>
          <w:rFonts w:ascii="Book Antiqua" w:eastAsia="Book Antiqua" w:hAnsi="Book Antiqua" w:cs="Book Antiqua"/>
          <w:color w:val="000000"/>
        </w:rPr>
        <w:t>A</w:t>
      </w:r>
      <w:r w:rsidR="00047471" w:rsidRPr="004A5F47">
        <w:rPr>
          <w:rFonts w:ascii="Book Antiqua" w:eastAsia="Book Antiqua" w:hAnsi="Book Antiqua" w:cs="Book Antiqua"/>
          <w:color w:val="000000"/>
        </w:rPr>
        <w:t xml:space="preserve"> </w:t>
      </w:r>
      <w:r w:rsidR="00047471" w:rsidRPr="004A5F47">
        <w:rPr>
          <w:rFonts w:ascii="Book Antiqua" w:hAnsi="Book Antiqua" w:cs="Book Antiqua"/>
          <w:color w:val="000000"/>
          <w:lang w:eastAsia="zh-CN"/>
        </w:rPr>
        <w:t>contributed to the c</w:t>
      </w:r>
      <w:r w:rsidR="00047471" w:rsidRPr="004A5F47">
        <w:rPr>
          <w:rFonts w:ascii="Book Antiqua" w:eastAsia="Book Antiqua" w:hAnsi="Book Antiqua" w:cs="Book Antiqua"/>
          <w:color w:val="000000"/>
        </w:rPr>
        <w:t>onceptuali</w:t>
      </w:r>
      <w:r w:rsidR="00711756" w:rsidRPr="004A5F47">
        <w:rPr>
          <w:rFonts w:ascii="Book Antiqua" w:eastAsia="Book Antiqua" w:hAnsi="Book Antiqua" w:cs="Book Antiqua"/>
          <w:color w:val="000000"/>
        </w:rPr>
        <w:t>z</w:t>
      </w:r>
      <w:r w:rsidR="00047471" w:rsidRPr="004A5F47">
        <w:rPr>
          <w:rFonts w:ascii="Book Antiqua" w:eastAsia="Book Antiqua" w:hAnsi="Book Antiqua" w:cs="Book Antiqua"/>
          <w:color w:val="000000"/>
        </w:rPr>
        <w:t>ation</w:t>
      </w:r>
      <w:r w:rsidRPr="004A5F47">
        <w:rPr>
          <w:rFonts w:ascii="Book Antiqua" w:eastAsia="Book Antiqua" w:hAnsi="Book Antiqua" w:cs="Book Antiqua"/>
          <w:color w:val="000000"/>
        </w:rPr>
        <w:t xml:space="preserve">; </w:t>
      </w:r>
      <w:r w:rsidR="00B466EB" w:rsidRPr="004A5F47">
        <w:rPr>
          <w:rFonts w:ascii="Book Antiqua" w:eastAsia="Book Antiqua" w:hAnsi="Book Antiqua" w:cs="Book Antiqua"/>
          <w:color w:val="000000"/>
        </w:rPr>
        <w:t>Durán M</w:t>
      </w:r>
      <w:r w:rsidRPr="004A5F47">
        <w:rPr>
          <w:rFonts w:ascii="Book Antiqua" w:eastAsia="Book Antiqua" w:hAnsi="Book Antiqua" w:cs="Book Antiqua"/>
          <w:color w:val="000000"/>
        </w:rPr>
        <w:t xml:space="preserve">, </w:t>
      </w:r>
      <w:r w:rsidR="00B466EB" w:rsidRPr="004A5F47">
        <w:rPr>
          <w:rFonts w:ascii="Book Antiqua" w:eastAsia="Book Antiqua" w:hAnsi="Book Antiqua" w:cs="Book Antiqua"/>
          <w:color w:val="000000"/>
        </w:rPr>
        <w:t>Hann A</w:t>
      </w:r>
      <w:r w:rsidRPr="004A5F47">
        <w:rPr>
          <w:rFonts w:ascii="Book Antiqua" w:eastAsia="Book Antiqua" w:hAnsi="Book Antiqua" w:cs="Book Antiqua"/>
          <w:color w:val="000000"/>
        </w:rPr>
        <w:t xml:space="preserve">, </w:t>
      </w:r>
      <w:r w:rsidR="00B466EB" w:rsidRPr="004A5F47">
        <w:rPr>
          <w:rFonts w:ascii="Book Antiqua" w:eastAsia="Book Antiqua" w:hAnsi="Book Antiqua" w:cs="Book Antiqua"/>
          <w:color w:val="000000"/>
        </w:rPr>
        <w:t>Calleja R</w:t>
      </w:r>
      <w:r w:rsidRPr="004A5F47">
        <w:rPr>
          <w:rFonts w:ascii="Book Antiqua" w:eastAsia="Book Antiqua" w:hAnsi="Book Antiqua" w:cs="Book Antiqua"/>
          <w:color w:val="000000"/>
        </w:rPr>
        <w:t xml:space="preserve">, and </w:t>
      </w:r>
      <w:r w:rsidR="00B466EB" w:rsidRPr="004A5F47">
        <w:rPr>
          <w:rFonts w:ascii="Book Antiqua" w:eastAsia="Book Antiqua" w:hAnsi="Book Antiqua" w:cs="Book Antiqua"/>
          <w:color w:val="000000"/>
        </w:rPr>
        <w:t>Clarke G</w:t>
      </w:r>
      <w:r w:rsidR="00C76DB3" w:rsidRPr="004A5F47">
        <w:rPr>
          <w:rFonts w:ascii="Book Antiqua" w:hAnsi="Book Antiqua" w:cs="Book Antiqua"/>
          <w:color w:val="000000"/>
          <w:lang w:eastAsia="zh-CN"/>
        </w:rPr>
        <w:t xml:space="preserve"> performed the</w:t>
      </w:r>
      <w:r w:rsidRPr="004A5F47">
        <w:rPr>
          <w:rFonts w:ascii="Book Antiqua" w:eastAsia="Book Antiqua" w:hAnsi="Book Antiqua" w:cs="Book Antiqua"/>
          <w:color w:val="000000"/>
        </w:rPr>
        <w:t xml:space="preserve"> literature review; </w:t>
      </w:r>
      <w:r w:rsidR="00D91B96" w:rsidRPr="004A5F47">
        <w:rPr>
          <w:rFonts w:ascii="Book Antiqua" w:eastAsia="Book Antiqua" w:hAnsi="Book Antiqua" w:cs="Book Antiqua"/>
          <w:color w:val="000000"/>
        </w:rPr>
        <w:t>Durán M, Hann A, Clarke G</w:t>
      </w:r>
      <w:r w:rsidR="00711756" w:rsidRPr="004A5F47">
        <w:rPr>
          <w:rFonts w:ascii="Book Antiqua" w:eastAsia="Book Antiqua" w:hAnsi="Book Antiqua" w:cs="Book Antiqua"/>
          <w:color w:val="000000"/>
        </w:rPr>
        <w:t>,</w:t>
      </w:r>
      <w:r w:rsidR="00493A88" w:rsidRPr="004A5F47">
        <w:rPr>
          <w:rFonts w:ascii="Book Antiqua" w:eastAsia="Book Antiqua" w:hAnsi="Book Antiqua" w:cs="Book Antiqua"/>
          <w:color w:val="000000"/>
        </w:rPr>
        <w:t xml:space="preserve"> and </w:t>
      </w:r>
      <w:r w:rsidR="00D91B96" w:rsidRPr="004A5F47">
        <w:rPr>
          <w:rFonts w:ascii="Book Antiqua" w:eastAsia="Book Antiqua" w:hAnsi="Book Antiqua" w:cs="Book Antiqua"/>
          <w:color w:val="000000"/>
        </w:rPr>
        <w:t xml:space="preserve">Calleja </w:t>
      </w:r>
      <w:r w:rsidR="00493A88" w:rsidRPr="004A5F47">
        <w:rPr>
          <w:rFonts w:ascii="Book Antiqua" w:eastAsia="Book Antiqua" w:hAnsi="Book Antiqua" w:cs="Book Antiqua"/>
          <w:color w:val="000000"/>
        </w:rPr>
        <w:t>R</w:t>
      </w:r>
      <w:r w:rsidR="00493A88"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wr</w:t>
      </w:r>
      <w:r w:rsidR="00493A88" w:rsidRPr="004A5F47">
        <w:rPr>
          <w:rFonts w:ascii="Book Antiqua" w:hAnsi="Book Antiqua" w:cs="Book Antiqua"/>
          <w:color w:val="000000"/>
          <w:lang w:eastAsia="zh-CN"/>
        </w:rPr>
        <w:t xml:space="preserve">ote the </w:t>
      </w:r>
      <w:r w:rsidRPr="004A5F47">
        <w:rPr>
          <w:rFonts w:ascii="Book Antiqua" w:eastAsia="Book Antiqua" w:hAnsi="Book Antiqua" w:cs="Book Antiqua"/>
          <w:color w:val="000000"/>
        </w:rPr>
        <w:t xml:space="preserve">original draft; </w:t>
      </w:r>
      <w:r w:rsidR="00F94FAD" w:rsidRPr="004A5F47">
        <w:rPr>
          <w:rFonts w:ascii="Book Antiqua" w:eastAsia="Book Antiqua" w:hAnsi="Book Antiqua" w:cs="Book Antiqua"/>
          <w:color w:val="000000"/>
        </w:rPr>
        <w:t>Perera MTPR</w:t>
      </w:r>
      <w:r w:rsidR="004A37F2" w:rsidRPr="004A5F47">
        <w:rPr>
          <w:rFonts w:ascii="Book Antiqua" w:eastAsia="Book Antiqua" w:hAnsi="Book Antiqua" w:cs="Book Antiqua"/>
          <w:color w:val="000000"/>
        </w:rPr>
        <w:t xml:space="preserve">, </w:t>
      </w:r>
      <w:r w:rsidR="00F94FAD" w:rsidRPr="004A5F47">
        <w:rPr>
          <w:rFonts w:ascii="Book Antiqua" w:eastAsia="Book Antiqua" w:hAnsi="Book Antiqua" w:cs="Book Antiqua"/>
          <w:color w:val="000000"/>
        </w:rPr>
        <w:t>Hann A</w:t>
      </w:r>
      <w:r w:rsidR="004A37F2" w:rsidRPr="004A5F47">
        <w:rPr>
          <w:rFonts w:ascii="Book Antiqua" w:eastAsia="Book Antiqua" w:hAnsi="Book Antiqua" w:cs="Book Antiqua"/>
          <w:color w:val="000000"/>
        </w:rPr>
        <w:t xml:space="preserve">, </w:t>
      </w:r>
      <w:r w:rsidR="00F94FAD" w:rsidRPr="004A5F47">
        <w:rPr>
          <w:rFonts w:ascii="Book Antiqua" w:eastAsia="Book Antiqua" w:hAnsi="Book Antiqua" w:cs="Book Antiqua"/>
          <w:bCs/>
          <w:color w:val="000000"/>
        </w:rPr>
        <w:t>Briceño</w:t>
      </w:r>
      <w:r w:rsidR="00F94FAD" w:rsidRPr="004A5F47">
        <w:rPr>
          <w:rFonts w:ascii="Book Antiqua" w:eastAsia="Book Antiqua" w:hAnsi="Book Antiqua" w:cs="Book Antiqua"/>
          <w:color w:val="000000"/>
        </w:rPr>
        <w:t xml:space="preserve"> </w:t>
      </w:r>
      <w:r w:rsidR="004A37F2" w:rsidRPr="004A5F47">
        <w:rPr>
          <w:rFonts w:ascii="Book Antiqua" w:eastAsia="Book Antiqua" w:hAnsi="Book Antiqua" w:cs="Book Antiqua"/>
          <w:color w:val="000000"/>
        </w:rPr>
        <w:t xml:space="preserve">J, </w:t>
      </w:r>
      <w:r w:rsidR="00F94FAD" w:rsidRPr="004A5F47">
        <w:rPr>
          <w:rFonts w:ascii="Book Antiqua" w:eastAsia="Book Antiqua" w:hAnsi="Book Antiqua" w:cs="Book Antiqua"/>
          <w:color w:val="000000"/>
        </w:rPr>
        <w:t>Calleja R</w:t>
      </w:r>
      <w:r w:rsidR="004A37F2" w:rsidRPr="004A5F47">
        <w:rPr>
          <w:rFonts w:ascii="Book Antiqua" w:eastAsia="Book Antiqua" w:hAnsi="Book Antiqua" w:cs="Book Antiqua"/>
          <w:color w:val="000000"/>
        </w:rPr>
        <w:t xml:space="preserve">, </w:t>
      </w:r>
      <w:r w:rsidR="00F94FAD" w:rsidRPr="004A5F47">
        <w:rPr>
          <w:rFonts w:ascii="Book Antiqua" w:eastAsia="Book Antiqua" w:hAnsi="Book Antiqua" w:cs="Book Antiqua"/>
          <w:color w:val="000000"/>
        </w:rPr>
        <w:t xml:space="preserve">Nutu </w:t>
      </w:r>
      <w:r w:rsidR="004A37F2" w:rsidRPr="004A5F47">
        <w:rPr>
          <w:rFonts w:ascii="Book Antiqua" w:eastAsia="Book Antiqua" w:hAnsi="Book Antiqua" w:cs="Book Antiqua"/>
          <w:color w:val="000000"/>
        </w:rPr>
        <w:t xml:space="preserve">A, </w:t>
      </w:r>
      <w:r w:rsidR="00F94FAD" w:rsidRPr="004A5F47">
        <w:rPr>
          <w:rFonts w:ascii="Book Antiqua" w:eastAsia="Book Antiqua" w:hAnsi="Book Antiqua" w:cs="Book Antiqua"/>
          <w:bCs/>
          <w:color w:val="000000"/>
        </w:rPr>
        <w:t>Ayllón</w:t>
      </w:r>
      <w:r w:rsidR="00F94FAD" w:rsidRPr="004A5F47">
        <w:rPr>
          <w:rFonts w:ascii="Book Antiqua" w:eastAsia="Book Antiqua" w:hAnsi="Book Antiqua" w:cs="Book Antiqua"/>
          <w:color w:val="000000"/>
        </w:rPr>
        <w:t xml:space="preserve"> MD</w:t>
      </w:r>
      <w:r w:rsidR="004A37F2" w:rsidRPr="004A5F47">
        <w:rPr>
          <w:rFonts w:ascii="Book Antiqua" w:eastAsia="Book Antiqua" w:hAnsi="Book Antiqua" w:cs="Book Antiqua"/>
          <w:color w:val="000000"/>
        </w:rPr>
        <w:t xml:space="preserve">, </w:t>
      </w:r>
      <w:r w:rsidR="00F94FAD" w:rsidRPr="004A5F47">
        <w:rPr>
          <w:rFonts w:ascii="Book Antiqua" w:eastAsia="Book Antiqua" w:hAnsi="Book Antiqua" w:cs="Book Antiqua"/>
          <w:color w:val="000000"/>
        </w:rPr>
        <w:t>López-Cillero</w:t>
      </w:r>
      <w:r w:rsidR="00F94FAD" w:rsidRPr="004A5F47">
        <w:rPr>
          <w:rFonts w:ascii="Book Antiqua" w:hAnsi="Book Antiqua" w:cs="Book Antiqua"/>
          <w:color w:val="000000"/>
          <w:lang w:eastAsia="zh-CN"/>
        </w:rPr>
        <w:t xml:space="preserve"> P</w:t>
      </w:r>
      <w:r w:rsidR="004A37F2" w:rsidRPr="004A5F47">
        <w:rPr>
          <w:rFonts w:ascii="Book Antiqua" w:eastAsia="Book Antiqua" w:hAnsi="Book Antiqua" w:cs="Book Antiqua"/>
          <w:color w:val="000000"/>
        </w:rPr>
        <w:t xml:space="preserve">, </w:t>
      </w:r>
      <w:r w:rsidR="00F94FAD" w:rsidRPr="004A5F47">
        <w:rPr>
          <w:rFonts w:ascii="Book Antiqua" w:eastAsia="Book Antiqua" w:hAnsi="Book Antiqua" w:cs="Book Antiqua"/>
          <w:color w:val="000000"/>
        </w:rPr>
        <w:t xml:space="preserve">Sanabria-Mateos </w:t>
      </w:r>
      <w:r w:rsidR="004A37F2" w:rsidRPr="004A5F47">
        <w:rPr>
          <w:rFonts w:ascii="Book Antiqua" w:eastAsia="Book Antiqua" w:hAnsi="Book Antiqua" w:cs="Book Antiqua"/>
          <w:color w:val="000000"/>
        </w:rPr>
        <w:t>R</w:t>
      </w:r>
      <w:r w:rsidR="00711756" w:rsidRPr="004A5F47">
        <w:rPr>
          <w:rFonts w:ascii="Book Antiqua" w:eastAsia="Book Antiqua" w:hAnsi="Book Antiqua" w:cs="Book Antiqua"/>
          <w:color w:val="000000"/>
        </w:rPr>
        <w:t>,</w:t>
      </w:r>
      <w:r w:rsidR="004A37F2" w:rsidRPr="004A5F47">
        <w:rPr>
          <w:rFonts w:ascii="Book Antiqua" w:eastAsia="Book Antiqua" w:hAnsi="Book Antiqua" w:cs="Book Antiqua"/>
          <w:color w:val="000000"/>
        </w:rPr>
        <w:t xml:space="preserve"> and </w:t>
      </w:r>
      <w:r w:rsidR="00F94FAD" w:rsidRPr="004A5F47">
        <w:rPr>
          <w:rFonts w:ascii="Book Antiqua" w:eastAsia="Book Antiqua" w:hAnsi="Book Antiqua" w:cs="Book Antiqua"/>
          <w:color w:val="000000"/>
        </w:rPr>
        <w:t xml:space="preserve">Mergental </w:t>
      </w:r>
      <w:r w:rsidR="004A37F2" w:rsidRPr="004A5F47">
        <w:rPr>
          <w:rFonts w:ascii="Book Antiqua" w:eastAsia="Book Antiqua" w:hAnsi="Book Antiqua" w:cs="Book Antiqua"/>
          <w:color w:val="000000"/>
        </w:rPr>
        <w:t xml:space="preserve">H </w:t>
      </w:r>
      <w:r w:rsidRPr="004A5F47">
        <w:rPr>
          <w:rFonts w:ascii="Book Antiqua" w:eastAsia="Book Antiqua" w:hAnsi="Book Antiqua" w:cs="Book Antiqua"/>
          <w:color w:val="000000"/>
        </w:rPr>
        <w:lastRenderedPageBreak/>
        <w:t>wr</w:t>
      </w:r>
      <w:r w:rsidR="004A37F2" w:rsidRPr="004A5F47">
        <w:rPr>
          <w:rFonts w:ascii="Book Antiqua" w:hAnsi="Book Antiqua" w:cs="Book Antiqua"/>
          <w:color w:val="000000"/>
          <w:lang w:eastAsia="zh-CN"/>
        </w:rPr>
        <w:t xml:space="preserve">ote the </w:t>
      </w:r>
      <w:r w:rsidRPr="004A5F47">
        <w:rPr>
          <w:rFonts w:ascii="Book Antiqua" w:eastAsia="Book Antiqua" w:hAnsi="Book Antiqua" w:cs="Book Antiqua"/>
          <w:color w:val="000000"/>
        </w:rPr>
        <w:t xml:space="preserve">review and </w:t>
      </w:r>
      <w:r w:rsidR="00A32812" w:rsidRPr="004A5F47">
        <w:rPr>
          <w:rFonts w:ascii="Book Antiqua" w:eastAsia="Book Antiqua" w:hAnsi="Book Antiqua" w:cs="Book Antiqua"/>
          <w:color w:val="000000"/>
        </w:rPr>
        <w:t>performed</w:t>
      </w:r>
      <w:r w:rsidR="00711756" w:rsidRPr="004A5F47">
        <w:rPr>
          <w:rFonts w:ascii="Book Antiqua" w:eastAsia="Book Antiqua" w:hAnsi="Book Antiqua" w:cs="Book Antiqua"/>
          <w:color w:val="000000"/>
        </w:rPr>
        <w:t xml:space="preserve"> the </w:t>
      </w:r>
      <w:r w:rsidRPr="004A5F47">
        <w:rPr>
          <w:rFonts w:ascii="Book Antiqua" w:eastAsia="Book Antiqua" w:hAnsi="Book Antiqua" w:cs="Book Antiqua"/>
          <w:color w:val="000000"/>
        </w:rPr>
        <w:t>editing</w:t>
      </w:r>
      <w:r w:rsidR="004A37F2" w:rsidRPr="004A5F47">
        <w:rPr>
          <w:rFonts w:ascii="Book Antiqua" w:hAnsi="Book Antiqua" w:cs="Book Antiqua"/>
          <w:color w:val="000000"/>
          <w:lang w:eastAsia="zh-CN"/>
        </w:rPr>
        <w:t>;</w:t>
      </w:r>
      <w:r w:rsidRPr="004A5F47">
        <w:rPr>
          <w:rFonts w:ascii="Book Antiqua" w:eastAsia="Book Antiqua" w:hAnsi="Book Antiqua" w:cs="Book Antiqua"/>
          <w:color w:val="000000"/>
        </w:rPr>
        <w:t xml:space="preserve"> All authors have read and agreed to the published version of the manuscript.</w:t>
      </w:r>
    </w:p>
    <w:p w14:paraId="238154F2" w14:textId="77777777" w:rsidR="00AF0051" w:rsidRPr="004A5F47" w:rsidRDefault="00AF0051" w:rsidP="00265460">
      <w:pPr>
        <w:spacing w:line="360" w:lineRule="auto"/>
        <w:jc w:val="both"/>
        <w:rPr>
          <w:rFonts w:ascii="Book Antiqua" w:hAnsi="Book Antiqua"/>
          <w:lang w:eastAsia="zh-CN"/>
        </w:rPr>
      </w:pPr>
    </w:p>
    <w:p w14:paraId="45320864" w14:textId="58608DA3"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color w:val="000000"/>
        </w:rPr>
        <w:t xml:space="preserve">Corresponding author: M Thamara P R Perera, FEBS, FRCS, MBBS, MD, MS, Chairman, Professor, Surgeon, </w:t>
      </w:r>
      <w:r w:rsidRPr="004A5F47">
        <w:rPr>
          <w:rFonts w:ascii="Book Antiqua" w:eastAsia="Book Antiqua" w:hAnsi="Book Antiqua" w:cs="Book Antiqua"/>
          <w:color w:val="000000"/>
        </w:rPr>
        <w:t>The Liver Unit, Quee</w:t>
      </w:r>
      <w:r w:rsidR="00631402" w:rsidRPr="004A5F47">
        <w:rPr>
          <w:rFonts w:ascii="Book Antiqua" w:eastAsia="Book Antiqua" w:hAnsi="Book Antiqua" w:cs="Book Antiqua"/>
          <w:color w:val="000000"/>
        </w:rPr>
        <w:t>n Elizabeth Hospital Birmingham</w:t>
      </w:r>
      <w:r w:rsidRPr="004A5F47">
        <w:rPr>
          <w:rFonts w:ascii="Book Antiqua" w:eastAsia="Book Antiqua" w:hAnsi="Book Antiqua" w:cs="Book Antiqua"/>
          <w:color w:val="000000"/>
        </w:rPr>
        <w:t>, Mindelsohn Way, Birmingham B15 2TH, United Kingdom. thamara.perera@uhb.nhs.uk</w:t>
      </w:r>
    </w:p>
    <w:p w14:paraId="2B78C24A" w14:textId="77777777" w:rsidR="00A77B3E" w:rsidRPr="004A5F47" w:rsidRDefault="00A77B3E" w:rsidP="00265460">
      <w:pPr>
        <w:spacing w:line="360" w:lineRule="auto"/>
        <w:jc w:val="both"/>
        <w:rPr>
          <w:rFonts w:ascii="Book Antiqua" w:hAnsi="Book Antiqua"/>
        </w:rPr>
      </w:pPr>
    </w:p>
    <w:p w14:paraId="52C2622E"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rPr>
        <w:t xml:space="preserve">Received: </w:t>
      </w:r>
      <w:r w:rsidRPr="004A5F47">
        <w:rPr>
          <w:rFonts w:ascii="Book Antiqua" w:eastAsia="Book Antiqua" w:hAnsi="Book Antiqua" w:cs="Book Antiqua"/>
        </w:rPr>
        <w:t>January 26, 2023</w:t>
      </w:r>
    </w:p>
    <w:p w14:paraId="063D5BA0" w14:textId="1CFD288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rPr>
        <w:t xml:space="preserve">Revised: </w:t>
      </w:r>
      <w:r w:rsidR="00881CC0" w:rsidRPr="004A5F47">
        <w:rPr>
          <w:rFonts w:ascii="Book Antiqua" w:hAnsi="Book Antiqua"/>
        </w:rPr>
        <w:t>March 1, 2023</w:t>
      </w:r>
    </w:p>
    <w:p w14:paraId="7AF0C597" w14:textId="41C92EA3" w:rsidR="00A77B3E" w:rsidRPr="004A5F47" w:rsidRDefault="006A1FF4" w:rsidP="00265460">
      <w:pPr>
        <w:spacing w:line="360" w:lineRule="auto"/>
        <w:jc w:val="both"/>
        <w:rPr>
          <w:rFonts w:ascii="Book Antiqua" w:hAnsi="Book Antiqua"/>
          <w:lang w:eastAsia="zh-CN"/>
        </w:rPr>
      </w:pPr>
      <w:r w:rsidRPr="004A5F47">
        <w:rPr>
          <w:rFonts w:ascii="Book Antiqua" w:eastAsia="Book Antiqua" w:hAnsi="Book Antiqua" w:cs="Book Antiqua"/>
          <w:b/>
          <w:bCs/>
        </w:rPr>
        <w:t xml:space="preserve">Accepted: </w:t>
      </w:r>
      <w:r w:rsidR="00DB5FA1" w:rsidRPr="00815C0F">
        <w:rPr>
          <w:rFonts w:ascii="Book Antiqua" w:eastAsia="Book Antiqua" w:hAnsi="Book Antiqua" w:cs="Book Antiqua"/>
          <w:lang w:eastAsia="zh-CN"/>
        </w:rPr>
        <w:t>April 28, 2023</w:t>
      </w:r>
    </w:p>
    <w:p w14:paraId="01D9221A"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rPr>
        <w:t xml:space="preserve">Published online: </w:t>
      </w:r>
    </w:p>
    <w:p w14:paraId="01FDF6D2" w14:textId="77777777" w:rsidR="00A77B3E" w:rsidRPr="004A5F47" w:rsidRDefault="00A77B3E" w:rsidP="00265460">
      <w:pPr>
        <w:spacing w:line="360" w:lineRule="auto"/>
        <w:jc w:val="both"/>
        <w:rPr>
          <w:rFonts w:ascii="Book Antiqua" w:hAnsi="Book Antiqua"/>
        </w:rPr>
        <w:sectPr w:rsidR="00A77B3E" w:rsidRPr="004A5F47">
          <w:footerReference w:type="default" r:id="rId6"/>
          <w:pgSz w:w="12240" w:h="15840"/>
          <w:pgMar w:top="1440" w:right="1440" w:bottom="1440" w:left="1440" w:header="720" w:footer="720" w:gutter="0"/>
          <w:cols w:space="720"/>
          <w:docGrid w:linePitch="360"/>
        </w:sectPr>
      </w:pPr>
    </w:p>
    <w:p w14:paraId="06F292B0"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lastRenderedPageBreak/>
        <w:t>Abstract</w:t>
      </w:r>
    </w:p>
    <w:p w14:paraId="22F21D7C" w14:textId="27880109"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rPr>
        <w:t>The widespread uptake of different machine perfusion (MP) strategies for liver transplant has been driven by an effort to minimi</w:t>
      </w:r>
      <w:r w:rsidR="00711756" w:rsidRPr="004A5F47">
        <w:rPr>
          <w:rFonts w:ascii="Book Antiqua" w:eastAsia="Book Antiqua" w:hAnsi="Book Antiqua" w:cs="Book Antiqua"/>
        </w:rPr>
        <w:t>z</w:t>
      </w:r>
      <w:r w:rsidRPr="004A5F47">
        <w:rPr>
          <w:rFonts w:ascii="Book Antiqua" w:eastAsia="Book Antiqua" w:hAnsi="Book Antiqua" w:cs="Book Antiqua"/>
        </w:rPr>
        <w:t>e graft injury. Damage to the cholangiocytes during the liver donation, preservation</w:t>
      </w:r>
      <w:r w:rsidR="00711756" w:rsidRPr="004A5F47">
        <w:rPr>
          <w:rFonts w:ascii="Book Antiqua" w:eastAsia="Book Antiqua" w:hAnsi="Book Antiqua" w:cs="Book Antiqua"/>
        </w:rPr>
        <w:t>,</w:t>
      </w:r>
      <w:r w:rsidRPr="004A5F47">
        <w:rPr>
          <w:rFonts w:ascii="Book Antiqua" w:eastAsia="Book Antiqua" w:hAnsi="Book Antiqua" w:cs="Book Antiqua"/>
        </w:rPr>
        <w:t xml:space="preserve"> or early posttransplant period may result in stricturing of the biliary tree and inadequate biliary drainage. This problem continues to trouble clinicians, and may have catastrophic consequences for the graft and patient. Ischemic injury, as a result of compromised hepatic artery flow, is a well-known cause of biliary strictures, sepsis</w:t>
      </w:r>
      <w:r w:rsidR="00711756" w:rsidRPr="004A5F47">
        <w:rPr>
          <w:rFonts w:ascii="Book Antiqua" w:eastAsia="Book Antiqua" w:hAnsi="Book Antiqua" w:cs="Book Antiqua"/>
        </w:rPr>
        <w:t>,</w:t>
      </w:r>
      <w:r w:rsidRPr="004A5F47">
        <w:rPr>
          <w:rFonts w:ascii="Book Antiqua" w:eastAsia="Book Antiqua" w:hAnsi="Book Antiqua" w:cs="Book Antiqua"/>
        </w:rPr>
        <w:t xml:space="preserve"> and graft failure. However, very similar lesions can appear with a patent hepatic artery and these are known as ischemic type biliary lesions (ITBL</w:t>
      </w:r>
      <w:r w:rsidR="00711756" w:rsidRPr="004A5F47">
        <w:rPr>
          <w:rFonts w:ascii="Book Antiqua" w:eastAsia="Book Antiqua" w:hAnsi="Book Antiqua" w:cs="Book Antiqua"/>
        </w:rPr>
        <w:t>s</w:t>
      </w:r>
      <w:r w:rsidRPr="004A5F47">
        <w:rPr>
          <w:rFonts w:ascii="Book Antiqua" w:eastAsia="Book Antiqua" w:hAnsi="Book Antiqua" w:cs="Book Antiqua"/>
        </w:rPr>
        <w:t>) that are attributed to microcirculatory dysfunction rather than main hepatic arterial compromise. Both the warm and cold ischemic period duration appear to influence the onset of ITBL</w:t>
      </w:r>
      <w:r w:rsidR="009D6F57" w:rsidRPr="004A5F47">
        <w:rPr>
          <w:rFonts w:ascii="Book Antiqua" w:eastAsia="Book Antiqua" w:hAnsi="Book Antiqua" w:cs="Book Antiqua"/>
        </w:rPr>
        <w:t>s</w:t>
      </w:r>
      <w:r w:rsidRPr="004A5F47">
        <w:rPr>
          <w:rFonts w:ascii="Book Antiqua" w:eastAsia="Book Antiqua" w:hAnsi="Book Antiqua" w:cs="Book Antiqua"/>
        </w:rPr>
        <w:t>. All of the commonly used MP techniques deliver oxygen to the graft cells, and therefore may minimi</w:t>
      </w:r>
      <w:r w:rsidR="00711756" w:rsidRPr="004A5F47">
        <w:rPr>
          <w:rFonts w:ascii="Book Antiqua" w:eastAsia="Book Antiqua" w:hAnsi="Book Antiqua" w:cs="Book Antiqua"/>
        </w:rPr>
        <w:t>z</w:t>
      </w:r>
      <w:r w:rsidRPr="004A5F47">
        <w:rPr>
          <w:rFonts w:ascii="Book Antiqua" w:eastAsia="Book Antiqua" w:hAnsi="Book Antiqua" w:cs="Book Antiqua"/>
        </w:rPr>
        <w:t>e the cholangiocyte injury and subsequently reduce the incidence of ITBL</w:t>
      </w:r>
      <w:r w:rsidR="009D6F57" w:rsidRPr="004A5F47">
        <w:rPr>
          <w:rFonts w:ascii="Book Antiqua" w:eastAsia="Book Antiqua" w:hAnsi="Book Antiqua" w:cs="Book Antiqua"/>
        </w:rPr>
        <w:t>s</w:t>
      </w:r>
      <w:r w:rsidRPr="004A5F47">
        <w:rPr>
          <w:rFonts w:ascii="Book Antiqua" w:eastAsia="Book Antiqua" w:hAnsi="Book Antiqua" w:cs="Book Antiqua"/>
        </w:rPr>
        <w:t xml:space="preserve">. As clinical experience and published evidence grows for these modalities, the impact they have on ITBL rates is important to consider. In this review, the evidence for the three commonly used </w:t>
      </w:r>
      <w:r w:rsidR="00776B2B" w:rsidRPr="004A5F47">
        <w:rPr>
          <w:rFonts w:ascii="Book Antiqua" w:eastAsia="Book Antiqua" w:hAnsi="Book Antiqua" w:cs="Book Antiqua"/>
        </w:rPr>
        <w:t>MP</w:t>
      </w:r>
      <w:r w:rsidRPr="004A5F47">
        <w:rPr>
          <w:rFonts w:ascii="Book Antiqua" w:eastAsia="Book Antiqua" w:hAnsi="Book Antiqua" w:cs="Book Antiqua"/>
        </w:rPr>
        <w:t xml:space="preserve"> strategies </w:t>
      </w:r>
      <w:r w:rsidR="00711756" w:rsidRPr="004A5F47">
        <w:rPr>
          <w:rFonts w:ascii="Book Antiqua" w:hAnsi="Book Antiqua" w:cs="Book Antiqua"/>
          <w:lang w:eastAsia="zh-CN"/>
        </w:rPr>
        <w:t>(</w:t>
      </w:r>
      <w:r w:rsidRPr="004A5F47">
        <w:rPr>
          <w:rFonts w:ascii="Book Antiqua" w:eastAsia="Book Antiqua" w:hAnsi="Book Antiqua" w:cs="Book Antiqua"/>
        </w:rPr>
        <w:t xml:space="preserve">abdominal normothermic regional perfusion </w:t>
      </w:r>
      <w:r w:rsidR="00711756" w:rsidRPr="004A5F47">
        <w:rPr>
          <w:rFonts w:ascii="Book Antiqua" w:hAnsi="Book Antiqua" w:cs="Book Antiqua"/>
          <w:lang w:eastAsia="zh-CN"/>
        </w:rPr>
        <w:t>[</w:t>
      </w:r>
      <w:r w:rsidRPr="004A5F47">
        <w:rPr>
          <w:rFonts w:ascii="Book Antiqua" w:eastAsia="Book Antiqua" w:hAnsi="Book Antiqua" w:cs="Book Antiqua"/>
        </w:rPr>
        <w:t>A-NRP</w:t>
      </w:r>
      <w:r w:rsidR="00711756" w:rsidRPr="004A5F47">
        <w:rPr>
          <w:rFonts w:ascii="Book Antiqua" w:hAnsi="Book Antiqua" w:cs="Book Antiqua"/>
          <w:lang w:eastAsia="zh-CN"/>
        </w:rPr>
        <w:t>]</w:t>
      </w:r>
      <w:r w:rsidRPr="004A5F47">
        <w:rPr>
          <w:rFonts w:ascii="Book Antiqua" w:eastAsia="Book Antiqua" w:hAnsi="Book Antiqua" w:cs="Book Antiqua"/>
        </w:rPr>
        <w:t xml:space="preserve">, hypothermic oxygenated perfusion </w:t>
      </w:r>
      <w:r w:rsidR="00711756" w:rsidRPr="004A5F47">
        <w:rPr>
          <w:rFonts w:ascii="Book Antiqua" w:hAnsi="Book Antiqua" w:cs="Book Antiqua"/>
          <w:lang w:eastAsia="zh-CN"/>
        </w:rPr>
        <w:t>[</w:t>
      </w:r>
      <w:r w:rsidRPr="004A5F47">
        <w:rPr>
          <w:rFonts w:ascii="Book Antiqua" w:eastAsia="Book Antiqua" w:hAnsi="Book Antiqua" w:cs="Book Antiqua"/>
        </w:rPr>
        <w:t>HOPE</w:t>
      </w:r>
      <w:r w:rsidR="00711756" w:rsidRPr="004A5F47">
        <w:rPr>
          <w:rFonts w:ascii="Book Antiqua" w:hAnsi="Book Antiqua" w:cs="Book Antiqua"/>
          <w:lang w:eastAsia="zh-CN"/>
        </w:rPr>
        <w:t>],</w:t>
      </w:r>
      <w:r w:rsidRPr="004A5F47">
        <w:rPr>
          <w:rFonts w:ascii="Book Antiqua" w:eastAsia="Book Antiqua" w:hAnsi="Book Antiqua" w:cs="Book Antiqua"/>
        </w:rPr>
        <w:t xml:space="preserve"> and normothermic </w:t>
      </w:r>
      <w:r w:rsidR="003D7BD7">
        <w:rPr>
          <w:rFonts w:ascii="Book Antiqua" w:hAnsi="Book Antiqua" w:cs="Book Antiqua"/>
          <w:lang w:eastAsia="zh-CN"/>
        </w:rPr>
        <w:t>machine perfusion [NMP]</w:t>
      </w:r>
      <w:r w:rsidRPr="004A5F47">
        <w:rPr>
          <w:rFonts w:ascii="Book Antiqua" w:eastAsia="Book Antiqua" w:hAnsi="Book Antiqua" w:cs="Book Antiqua"/>
        </w:rPr>
        <w:t xml:space="preserve"> for ITBL prevention has been critically reviewed. Inconsistencies with ITBL definitions used in trials, coupled with variations in techniques of MP, make interpretation challenging. Overall, the evidence suggests that both HOPE and A-NRP prevent ITBL</w:t>
      </w:r>
      <w:r w:rsidR="009D6F57" w:rsidRPr="004A5F47">
        <w:rPr>
          <w:rFonts w:ascii="Book Antiqua" w:eastAsia="Book Antiqua" w:hAnsi="Book Antiqua" w:cs="Book Antiqua"/>
        </w:rPr>
        <w:t>s</w:t>
      </w:r>
      <w:r w:rsidRPr="004A5F47">
        <w:rPr>
          <w:rFonts w:ascii="Book Antiqua" w:eastAsia="Book Antiqua" w:hAnsi="Book Antiqua" w:cs="Book Antiqua"/>
        </w:rPr>
        <w:t xml:space="preserve"> in </w:t>
      </w:r>
      <w:r w:rsidR="00B20DAB" w:rsidRPr="004A5F47">
        <w:rPr>
          <w:rFonts w:ascii="Book Antiqua" w:eastAsia="Book Antiqua" w:hAnsi="Book Antiqua" w:cs="Book Antiqua"/>
          <w:color w:val="000000"/>
          <w:shd w:val="clear" w:color="auto" w:fill="FFFFFF"/>
        </w:rPr>
        <w:t>donated after circulatory death</w:t>
      </w:r>
      <w:r w:rsidRPr="004A5F47">
        <w:rPr>
          <w:rFonts w:ascii="Book Antiqua" w:eastAsia="Book Antiqua" w:hAnsi="Book Antiqua" w:cs="Book Antiqua"/>
        </w:rPr>
        <w:t xml:space="preserve"> grafts compared to cold storage. The evidence for ITBL prevention in </w:t>
      </w:r>
      <w:r w:rsidR="00497A67" w:rsidRPr="004A5F47">
        <w:rPr>
          <w:rFonts w:ascii="Book Antiqua" w:hAnsi="Book Antiqua" w:cs="Book Antiqua"/>
          <w:color w:val="000000"/>
          <w:lang w:eastAsia="zh-CN"/>
        </w:rPr>
        <w:t>d</w:t>
      </w:r>
      <w:r w:rsidR="00497A67" w:rsidRPr="004A5F47">
        <w:rPr>
          <w:rFonts w:ascii="Book Antiqua" w:eastAsia="Book Antiqua" w:hAnsi="Book Antiqua" w:cs="Book Antiqua"/>
          <w:color w:val="000000"/>
        </w:rPr>
        <w:t xml:space="preserve">onor after </w:t>
      </w:r>
      <w:r w:rsidR="00497A67" w:rsidRPr="004A5F47">
        <w:rPr>
          <w:rFonts w:ascii="Book Antiqua" w:hAnsi="Book Antiqua" w:cs="Book Antiqua"/>
          <w:color w:val="000000"/>
          <w:lang w:eastAsia="zh-CN"/>
        </w:rPr>
        <w:t>b</w:t>
      </w:r>
      <w:r w:rsidR="00497A67" w:rsidRPr="004A5F47">
        <w:rPr>
          <w:rFonts w:ascii="Book Antiqua" w:eastAsia="Book Antiqua" w:hAnsi="Book Antiqua" w:cs="Book Antiqua"/>
          <w:color w:val="000000"/>
        </w:rPr>
        <w:t xml:space="preserve">rain </w:t>
      </w:r>
      <w:r w:rsidR="00497A67" w:rsidRPr="004A5F47">
        <w:rPr>
          <w:rFonts w:ascii="Book Antiqua" w:hAnsi="Book Antiqua" w:cs="Book Antiqua"/>
          <w:color w:val="000000"/>
          <w:lang w:eastAsia="zh-CN"/>
        </w:rPr>
        <w:t>d</w:t>
      </w:r>
      <w:r w:rsidR="00497A67" w:rsidRPr="004A5F47">
        <w:rPr>
          <w:rFonts w:ascii="Book Antiqua" w:eastAsia="Book Antiqua" w:hAnsi="Book Antiqua" w:cs="Book Antiqua"/>
          <w:color w:val="000000"/>
        </w:rPr>
        <w:t>eath</w:t>
      </w:r>
      <w:r w:rsidRPr="004A5F47">
        <w:rPr>
          <w:rFonts w:ascii="Book Antiqua" w:eastAsia="Book Antiqua" w:hAnsi="Book Antiqua" w:cs="Book Antiqua"/>
        </w:rPr>
        <w:t xml:space="preserve"> grafts with any MP technique is weak.</w:t>
      </w:r>
    </w:p>
    <w:p w14:paraId="06EDECD7" w14:textId="77777777" w:rsidR="00A77B3E" w:rsidRPr="004A5F47" w:rsidRDefault="00A77B3E" w:rsidP="00265460">
      <w:pPr>
        <w:spacing w:line="360" w:lineRule="auto"/>
        <w:jc w:val="both"/>
        <w:rPr>
          <w:rFonts w:ascii="Book Antiqua" w:hAnsi="Book Antiqua"/>
        </w:rPr>
      </w:pPr>
    </w:p>
    <w:p w14:paraId="70A3A003" w14:textId="74761DE7" w:rsidR="00A77B3E" w:rsidRPr="004A5F47" w:rsidRDefault="006A1FF4" w:rsidP="00265460">
      <w:pPr>
        <w:spacing w:line="360" w:lineRule="auto"/>
        <w:jc w:val="both"/>
        <w:rPr>
          <w:rFonts w:ascii="Book Antiqua" w:hAnsi="Book Antiqua"/>
          <w:lang w:eastAsia="zh-CN"/>
        </w:rPr>
      </w:pPr>
      <w:r w:rsidRPr="004A5F47">
        <w:rPr>
          <w:rFonts w:ascii="Book Antiqua" w:eastAsia="Book Antiqua" w:hAnsi="Book Antiqua" w:cs="Book Antiqua"/>
          <w:b/>
          <w:bCs/>
        </w:rPr>
        <w:t xml:space="preserve">Key Words: </w:t>
      </w:r>
      <w:r w:rsidRPr="004A5F47">
        <w:rPr>
          <w:rFonts w:ascii="Book Antiqua" w:eastAsia="Book Antiqua" w:hAnsi="Book Antiqua" w:cs="Book Antiqua"/>
        </w:rPr>
        <w:t xml:space="preserve">Liver </w:t>
      </w:r>
      <w:r w:rsidR="009463C0" w:rsidRPr="004A5F47">
        <w:rPr>
          <w:rFonts w:ascii="Book Antiqua" w:hAnsi="Book Antiqua" w:cs="Book Antiqua"/>
          <w:lang w:eastAsia="zh-CN"/>
        </w:rPr>
        <w:t>t</w:t>
      </w:r>
      <w:r w:rsidRPr="004A5F47">
        <w:rPr>
          <w:rFonts w:ascii="Book Antiqua" w:eastAsia="Book Antiqua" w:hAnsi="Book Antiqua" w:cs="Book Antiqua"/>
        </w:rPr>
        <w:t xml:space="preserve">ransplant; Ischemic </w:t>
      </w:r>
      <w:r w:rsidR="009463C0" w:rsidRPr="004A5F47">
        <w:rPr>
          <w:rFonts w:ascii="Book Antiqua" w:hAnsi="Book Antiqua" w:cs="Book Antiqua"/>
          <w:lang w:eastAsia="zh-CN"/>
        </w:rPr>
        <w:t>t</w:t>
      </w:r>
      <w:r w:rsidRPr="004A5F47">
        <w:rPr>
          <w:rFonts w:ascii="Book Antiqua" w:eastAsia="Book Antiqua" w:hAnsi="Book Antiqua" w:cs="Book Antiqua"/>
        </w:rPr>
        <w:t xml:space="preserve">ype </w:t>
      </w:r>
      <w:r w:rsidR="009463C0" w:rsidRPr="004A5F47">
        <w:rPr>
          <w:rFonts w:ascii="Book Antiqua" w:hAnsi="Book Antiqua" w:cs="Book Antiqua"/>
          <w:lang w:eastAsia="zh-CN"/>
        </w:rPr>
        <w:t>b</w:t>
      </w:r>
      <w:r w:rsidRPr="004A5F47">
        <w:rPr>
          <w:rFonts w:ascii="Book Antiqua" w:eastAsia="Book Antiqua" w:hAnsi="Book Antiqua" w:cs="Book Antiqua"/>
        </w:rPr>
        <w:t xml:space="preserve">iliary </w:t>
      </w:r>
      <w:r w:rsidR="009463C0" w:rsidRPr="004A5F47">
        <w:rPr>
          <w:rFonts w:ascii="Book Antiqua" w:hAnsi="Book Antiqua" w:cs="Book Antiqua"/>
          <w:lang w:eastAsia="zh-CN"/>
        </w:rPr>
        <w:t>l</w:t>
      </w:r>
      <w:r w:rsidRPr="004A5F47">
        <w:rPr>
          <w:rFonts w:ascii="Book Antiqua" w:eastAsia="Book Antiqua" w:hAnsi="Book Antiqua" w:cs="Book Antiqua"/>
        </w:rPr>
        <w:t xml:space="preserve">esions; Hypothermic </w:t>
      </w:r>
      <w:r w:rsidR="009463C0" w:rsidRPr="004A5F47">
        <w:rPr>
          <w:rFonts w:ascii="Book Antiqua" w:hAnsi="Book Antiqua" w:cs="Book Antiqua"/>
          <w:lang w:eastAsia="zh-CN"/>
        </w:rPr>
        <w:t>o</w:t>
      </w:r>
      <w:r w:rsidRPr="004A5F47">
        <w:rPr>
          <w:rFonts w:ascii="Book Antiqua" w:eastAsia="Book Antiqua" w:hAnsi="Book Antiqua" w:cs="Book Antiqua"/>
        </w:rPr>
        <w:t xml:space="preserve">xygenated </w:t>
      </w:r>
      <w:r w:rsidR="009463C0" w:rsidRPr="004A5F47">
        <w:rPr>
          <w:rFonts w:ascii="Book Antiqua" w:hAnsi="Book Antiqua" w:cs="Book Antiqua"/>
          <w:lang w:eastAsia="zh-CN"/>
        </w:rPr>
        <w:t>m</w:t>
      </w:r>
      <w:r w:rsidRPr="004A5F47">
        <w:rPr>
          <w:rFonts w:ascii="Book Antiqua" w:eastAsia="Book Antiqua" w:hAnsi="Book Antiqua" w:cs="Book Antiqua"/>
        </w:rPr>
        <w:t xml:space="preserve">achine </w:t>
      </w:r>
      <w:r w:rsidR="009463C0" w:rsidRPr="004A5F47">
        <w:rPr>
          <w:rFonts w:ascii="Book Antiqua" w:hAnsi="Book Antiqua" w:cs="Book Antiqua"/>
          <w:lang w:eastAsia="zh-CN"/>
        </w:rPr>
        <w:t>p</w:t>
      </w:r>
      <w:r w:rsidRPr="004A5F47">
        <w:rPr>
          <w:rFonts w:ascii="Book Antiqua" w:eastAsia="Book Antiqua" w:hAnsi="Book Antiqua" w:cs="Book Antiqua"/>
        </w:rPr>
        <w:t xml:space="preserve">erfusion; Normothermic </w:t>
      </w:r>
      <w:r w:rsidR="009463C0" w:rsidRPr="004A5F47">
        <w:rPr>
          <w:rFonts w:ascii="Book Antiqua" w:hAnsi="Book Antiqua" w:cs="Book Antiqua"/>
          <w:lang w:eastAsia="zh-CN"/>
        </w:rPr>
        <w:t>m</w:t>
      </w:r>
      <w:r w:rsidRPr="004A5F47">
        <w:rPr>
          <w:rFonts w:ascii="Book Antiqua" w:eastAsia="Book Antiqua" w:hAnsi="Book Antiqua" w:cs="Book Antiqua"/>
        </w:rPr>
        <w:t xml:space="preserve">achine </w:t>
      </w:r>
      <w:r w:rsidR="009463C0" w:rsidRPr="004A5F47">
        <w:rPr>
          <w:rFonts w:ascii="Book Antiqua" w:hAnsi="Book Antiqua" w:cs="Book Antiqua"/>
          <w:lang w:eastAsia="zh-CN"/>
        </w:rPr>
        <w:t>p</w:t>
      </w:r>
      <w:r w:rsidRPr="004A5F47">
        <w:rPr>
          <w:rFonts w:ascii="Book Antiqua" w:eastAsia="Book Antiqua" w:hAnsi="Book Antiqua" w:cs="Book Antiqua"/>
        </w:rPr>
        <w:t xml:space="preserve">erfusion; Abdominal </w:t>
      </w:r>
      <w:r w:rsidR="009463C0" w:rsidRPr="004A5F47">
        <w:rPr>
          <w:rFonts w:ascii="Book Antiqua" w:hAnsi="Book Antiqua" w:cs="Book Antiqua"/>
          <w:lang w:eastAsia="zh-CN"/>
        </w:rPr>
        <w:t>n</w:t>
      </w:r>
      <w:r w:rsidRPr="004A5F47">
        <w:rPr>
          <w:rFonts w:ascii="Book Antiqua" w:eastAsia="Book Antiqua" w:hAnsi="Book Antiqua" w:cs="Book Antiqua"/>
        </w:rPr>
        <w:t xml:space="preserve">ormothermic </w:t>
      </w:r>
      <w:r w:rsidR="009463C0" w:rsidRPr="004A5F47">
        <w:rPr>
          <w:rFonts w:ascii="Book Antiqua" w:hAnsi="Book Antiqua" w:cs="Book Antiqua"/>
          <w:lang w:eastAsia="zh-CN"/>
        </w:rPr>
        <w:t>r</w:t>
      </w:r>
      <w:r w:rsidRPr="004A5F47">
        <w:rPr>
          <w:rFonts w:ascii="Book Antiqua" w:eastAsia="Book Antiqua" w:hAnsi="Book Antiqua" w:cs="Book Antiqua"/>
        </w:rPr>
        <w:t xml:space="preserve">egional </w:t>
      </w:r>
      <w:r w:rsidR="009463C0" w:rsidRPr="004A5F47">
        <w:rPr>
          <w:rFonts w:ascii="Book Antiqua" w:hAnsi="Book Antiqua" w:cs="Book Antiqua"/>
          <w:lang w:eastAsia="zh-CN"/>
        </w:rPr>
        <w:t>p</w:t>
      </w:r>
      <w:r w:rsidRPr="004A5F47">
        <w:rPr>
          <w:rFonts w:ascii="Book Antiqua" w:eastAsia="Book Antiqua" w:hAnsi="Book Antiqua" w:cs="Book Antiqua"/>
        </w:rPr>
        <w:t xml:space="preserve">erfusion; Donation after </w:t>
      </w:r>
      <w:r w:rsidR="009463C0" w:rsidRPr="004A5F47">
        <w:rPr>
          <w:rFonts w:ascii="Book Antiqua" w:hAnsi="Book Antiqua" w:cs="Book Antiqua"/>
          <w:lang w:eastAsia="zh-CN"/>
        </w:rPr>
        <w:t>c</w:t>
      </w:r>
      <w:r w:rsidRPr="004A5F47">
        <w:rPr>
          <w:rFonts w:ascii="Book Antiqua" w:eastAsia="Book Antiqua" w:hAnsi="Book Antiqua" w:cs="Book Antiqua"/>
        </w:rPr>
        <w:t xml:space="preserve">irculatory </w:t>
      </w:r>
      <w:r w:rsidR="009463C0" w:rsidRPr="004A5F47">
        <w:rPr>
          <w:rFonts w:ascii="Book Antiqua" w:hAnsi="Book Antiqua" w:cs="Book Antiqua"/>
          <w:lang w:eastAsia="zh-CN"/>
        </w:rPr>
        <w:t>d</w:t>
      </w:r>
      <w:r w:rsidRPr="004A5F47">
        <w:rPr>
          <w:rFonts w:ascii="Book Antiqua" w:eastAsia="Book Antiqua" w:hAnsi="Book Antiqua" w:cs="Book Antiqua"/>
        </w:rPr>
        <w:t>eath</w:t>
      </w:r>
    </w:p>
    <w:p w14:paraId="503E7DDD" w14:textId="77777777" w:rsidR="00A77B3E" w:rsidRPr="004A5F47" w:rsidRDefault="00A77B3E" w:rsidP="00265460">
      <w:pPr>
        <w:spacing w:line="360" w:lineRule="auto"/>
        <w:jc w:val="both"/>
        <w:rPr>
          <w:rFonts w:ascii="Book Antiqua" w:hAnsi="Book Antiqua"/>
        </w:rPr>
      </w:pPr>
    </w:p>
    <w:p w14:paraId="086F5AFC" w14:textId="50958DD1"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rPr>
        <w:t xml:space="preserve">Durán M, Calleja R, Hann A, Clarke G, Ciria R, Nutu A, Sanabria-Mateos R, Ayllón MD, López-Cillero P, Mergental H, Briceño J, Perera MTPR. </w:t>
      </w:r>
      <w:r w:rsidR="000C2B3B" w:rsidRPr="004A5F47">
        <w:rPr>
          <w:rFonts w:ascii="Book Antiqua" w:eastAsia="Book Antiqua" w:hAnsi="Book Antiqua" w:cs="Book Antiqua"/>
          <w:color w:val="000000"/>
        </w:rPr>
        <w:t xml:space="preserve">Machine perfusion and the </w:t>
      </w:r>
      <w:r w:rsidR="000C2B3B" w:rsidRPr="004A5F47">
        <w:rPr>
          <w:rFonts w:ascii="Book Antiqua" w:eastAsia="Book Antiqua" w:hAnsi="Book Antiqua" w:cs="Book Antiqua"/>
          <w:color w:val="000000"/>
        </w:rPr>
        <w:lastRenderedPageBreak/>
        <w:t>prevention of ischemic type biliary lesions following liver transplant</w:t>
      </w:r>
      <w:r w:rsidR="000C2B3B" w:rsidRPr="004A5F47">
        <w:rPr>
          <w:rFonts w:ascii="Book Antiqua" w:hAnsi="Book Antiqua" w:cs="Book Antiqua"/>
          <w:color w:val="000000"/>
          <w:lang w:eastAsia="zh-CN"/>
        </w:rPr>
        <w:t xml:space="preserve">: </w:t>
      </w:r>
      <w:r w:rsidR="000C2B3B" w:rsidRPr="004A5F47">
        <w:rPr>
          <w:rFonts w:ascii="Book Antiqua" w:eastAsia="Book Antiqua" w:hAnsi="Book Antiqua" w:cs="Book Antiqua"/>
          <w:color w:val="000000"/>
        </w:rPr>
        <w:t>What is the evidence?</w:t>
      </w:r>
      <w:r w:rsidRPr="004A5F47">
        <w:rPr>
          <w:rFonts w:ascii="Book Antiqua" w:eastAsia="Book Antiqua" w:hAnsi="Book Antiqua" w:cs="Book Antiqua"/>
        </w:rPr>
        <w:t xml:space="preserve"> </w:t>
      </w:r>
      <w:r w:rsidRPr="004A5F47">
        <w:rPr>
          <w:rFonts w:ascii="Book Antiqua" w:eastAsia="Book Antiqua" w:hAnsi="Book Antiqua" w:cs="Book Antiqua"/>
          <w:i/>
          <w:iCs/>
        </w:rPr>
        <w:t>World J Gastroenterol</w:t>
      </w:r>
      <w:r w:rsidRPr="004A5F47">
        <w:rPr>
          <w:rFonts w:ascii="Book Antiqua" w:eastAsia="Book Antiqua" w:hAnsi="Book Antiqua" w:cs="Book Antiqua"/>
        </w:rPr>
        <w:t xml:space="preserve"> 2023; In press</w:t>
      </w:r>
    </w:p>
    <w:p w14:paraId="330224E7" w14:textId="77777777" w:rsidR="00A77B3E" w:rsidRPr="004A5F47" w:rsidRDefault="00A77B3E" w:rsidP="00265460">
      <w:pPr>
        <w:spacing w:line="360" w:lineRule="auto"/>
        <w:jc w:val="both"/>
        <w:rPr>
          <w:rFonts w:ascii="Book Antiqua" w:hAnsi="Book Antiqua"/>
        </w:rPr>
      </w:pPr>
    </w:p>
    <w:p w14:paraId="744E83F6" w14:textId="279C8638"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rPr>
        <w:t xml:space="preserve">Core Tip: </w:t>
      </w:r>
      <w:r w:rsidRPr="004A5F47">
        <w:rPr>
          <w:rFonts w:ascii="Book Antiqua" w:eastAsia="Book Antiqua" w:hAnsi="Book Antiqua" w:cs="Book Antiqua"/>
        </w:rPr>
        <w:t>In recent years, the development of different machine perfusion (MP) strategies has generated interest in their use for both the assessment of grafts and optimization during the preservation period. The different mechanisms behind the diverse array of MP strategies may reduce the extent of cholangiocyte and may have the subsequent clinical effect of preventing the development of ischemic type biliary lesions</w:t>
      </w:r>
      <w:r w:rsidR="002D791C" w:rsidRPr="004A5F47">
        <w:rPr>
          <w:rFonts w:ascii="Book Antiqua" w:hAnsi="Book Antiqua" w:cs="Book Antiqua"/>
          <w:lang w:eastAsia="zh-CN"/>
        </w:rPr>
        <w:t xml:space="preserve"> (</w:t>
      </w:r>
      <w:r w:rsidR="002D791C" w:rsidRPr="004A5F47">
        <w:rPr>
          <w:rFonts w:ascii="Book Antiqua" w:eastAsia="Book Antiqua" w:hAnsi="Book Antiqua" w:cs="Book Antiqua"/>
        </w:rPr>
        <w:t>ITBL</w:t>
      </w:r>
      <w:r w:rsidR="00711756" w:rsidRPr="004A5F47">
        <w:rPr>
          <w:rFonts w:ascii="Book Antiqua" w:eastAsia="Book Antiqua" w:hAnsi="Book Antiqua" w:cs="Book Antiqua"/>
        </w:rPr>
        <w:t>s</w:t>
      </w:r>
      <w:r w:rsidR="002D791C" w:rsidRPr="004A5F47">
        <w:rPr>
          <w:rFonts w:ascii="Book Antiqua" w:hAnsi="Book Antiqua" w:cs="Book Antiqua"/>
          <w:lang w:eastAsia="zh-CN"/>
        </w:rPr>
        <w:t>)</w:t>
      </w:r>
      <w:r w:rsidRPr="004A5F47">
        <w:rPr>
          <w:rFonts w:ascii="Book Antiqua" w:eastAsia="Book Antiqua" w:hAnsi="Book Antiqua" w:cs="Book Antiqua"/>
        </w:rPr>
        <w:t xml:space="preserve">. This review summarizes the strength and limitations of clinical studies that have been undertaken, their results, and provides a summary of the available literature on </w:t>
      </w:r>
      <w:r w:rsidR="00776B2B" w:rsidRPr="004A5F47">
        <w:rPr>
          <w:rFonts w:ascii="Book Antiqua" w:eastAsia="Book Antiqua" w:hAnsi="Book Antiqua" w:cs="Book Antiqua"/>
        </w:rPr>
        <w:t>MP</w:t>
      </w:r>
      <w:r w:rsidRPr="004A5F47">
        <w:rPr>
          <w:rFonts w:ascii="Book Antiqua" w:eastAsia="Book Antiqua" w:hAnsi="Book Antiqua" w:cs="Book Antiqua"/>
        </w:rPr>
        <w:t xml:space="preserve"> and the prevention of </w:t>
      </w:r>
      <w:r w:rsidR="002D791C" w:rsidRPr="004A5F47">
        <w:rPr>
          <w:rFonts w:ascii="Book Antiqua" w:eastAsia="Book Antiqua" w:hAnsi="Book Antiqua" w:cs="Book Antiqua"/>
        </w:rPr>
        <w:t>ITBL</w:t>
      </w:r>
      <w:r w:rsidR="00711756" w:rsidRPr="004A5F47">
        <w:rPr>
          <w:rFonts w:ascii="Book Antiqua" w:eastAsia="Book Antiqua" w:hAnsi="Book Antiqua" w:cs="Book Antiqua"/>
        </w:rPr>
        <w:t>s</w:t>
      </w:r>
      <w:r w:rsidRPr="004A5F47">
        <w:rPr>
          <w:rFonts w:ascii="Book Antiqua" w:eastAsia="Book Antiqua" w:hAnsi="Book Antiqua" w:cs="Book Antiqua"/>
        </w:rPr>
        <w:t>.</w:t>
      </w:r>
    </w:p>
    <w:p w14:paraId="0329709A" w14:textId="77777777" w:rsidR="00A77B3E" w:rsidRPr="004A5F47" w:rsidRDefault="00A77B3E" w:rsidP="00265460">
      <w:pPr>
        <w:spacing w:line="360" w:lineRule="auto"/>
        <w:jc w:val="both"/>
        <w:rPr>
          <w:rFonts w:ascii="Book Antiqua" w:hAnsi="Book Antiqua"/>
        </w:rPr>
      </w:pPr>
    </w:p>
    <w:p w14:paraId="67D17DB7"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aps/>
          <w:color w:val="000000"/>
          <w:u w:val="single"/>
        </w:rPr>
        <w:t>INTRODUCTION</w:t>
      </w:r>
    </w:p>
    <w:p w14:paraId="4D8570A5" w14:textId="3ABBC54B"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color w:val="000000"/>
        </w:rPr>
        <w:t>In recent decades, liver transplantation has made several forward strides. These have been in the area of surgical technique, immunosuppressive drug strategies, treatment and prevention of recurrent viral infections, and the increasing use of alternative preservation techniques. Consequently, recipient and graft survival are greater than 90% at 1 year and long-term survival is considered the norm</w:t>
      </w:r>
      <w:r w:rsidR="00455C70" w:rsidRPr="004A5F47">
        <w:rPr>
          <w:rFonts w:ascii="Book Antiqua" w:eastAsia="Book Antiqua" w:hAnsi="Book Antiqua" w:cs="Book Antiqua"/>
          <w:color w:val="000000"/>
          <w:vertAlign w:val="superscript"/>
        </w:rPr>
        <w:t>[1]</w:t>
      </w:r>
      <w:r w:rsidRPr="004A5F47">
        <w:rPr>
          <w:rFonts w:ascii="Book Antiqua" w:eastAsia="Book Antiqua" w:hAnsi="Book Antiqua" w:cs="Book Antiqua"/>
          <w:color w:val="000000"/>
        </w:rPr>
        <w:t>.</w:t>
      </w:r>
      <w:r w:rsidR="00455C70"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 longstanding problem that liver transplantation has faced is the mismatch between the number of donors and the higher number of patients listed for transplant. This has led to long waiting</w:t>
      </w:r>
      <w:r w:rsidR="00711756" w:rsidRPr="004A5F47">
        <w:rPr>
          <w:rFonts w:ascii="Book Antiqua" w:eastAsia="Book Antiqua" w:hAnsi="Book Antiqua" w:cs="Book Antiqua"/>
          <w:color w:val="000000"/>
        </w:rPr>
        <w:t xml:space="preserve"> </w:t>
      </w:r>
      <w:r w:rsidRPr="004A5F47">
        <w:rPr>
          <w:rFonts w:ascii="Book Antiqua" w:eastAsia="Book Antiqua" w:hAnsi="Book Antiqua" w:cs="Book Antiqua"/>
          <w:color w:val="000000"/>
        </w:rPr>
        <w:t>lists for a graft, and up to 20% of patients do</w:t>
      </w:r>
      <w:r w:rsidR="00711756" w:rsidRPr="004A5F47">
        <w:rPr>
          <w:rFonts w:ascii="Book Antiqua" w:eastAsia="Book Antiqua" w:hAnsi="Book Antiqua" w:cs="Book Antiqua"/>
          <w:color w:val="000000"/>
        </w:rPr>
        <w:t xml:space="preserve"> </w:t>
      </w:r>
      <w:r w:rsidRPr="004A5F47">
        <w:rPr>
          <w:rFonts w:ascii="Book Antiqua" w:eastAsia="Book Antiqua" w:hAnsi="Book Antiqua" w:cs="Book Antiqua"/>
          <w:color w:val="000000"/>
        </w:rPr>
        <w:t>n</w:t>
      </w:r>
      <w:r w:rsidR="00711756" w:rsidRPr="004A5F47">
        <w:rPr>
          <w:rFonts w:ascii="Book Antiqua" w:eastAsia="Book Antiqua" w:hAnsi="Book Antiqua" w:cs="Book Antiqua"/>
          <w:color w:val="000000"/>
        </w:rPr>
        <w:t>o</w:t>
      </w:r>
      <w:r w:rsidRPr="004A5F47">
        <w:rPr>
          <w:rFonts w:ascii="Book Antiqua" w:eastAsia="Book Antiqua" w:hAnsi="Book Antiqua" w:cs="Book Antiqua"/>
          <w:color w:val="000000"/>
        </w:rPr>
        <w:t>t survive until transplantation</w:t>
      </w:r>
      <w:r w:rsidR="00065F45" w:rsidRPr="004A5F47">
        <w:rPr>
          <w:rFonts w:ascii="Book Antiqua" w:eastAsia="Book Antiqua" w:hAnsi="Book Antiqua" w:cs="Book Antiqua"/>
          <w:color w:val="000000"/>
          <w:vertAlign w:val="superscript"/>
        </w:rPr>
        <w:t>[2,</w:t>
      </w:r>
      <w:r w:rsidRPr="004A5F47">
        <w:rPr>
          <w:rFonts w:ascii="Book Antiqua" w:eastAsia="Book Antiqua" w:hAnsi="Book Antiqua" w:cs="Book Antiqua"/>
          <w:color w:val="000000"/>
          <w:vertAlign w:val="superscript"/>
        </w:rPr>
        <w:t>3]</w:t>
      </w:r>
      <w:r w:rsidRPr="004A5F47">
        <w:rPr>
          <w:rFonts w:ascii="Book Antiqua" w:eastAsia="Book Antiqua" w:hAnsi="Book Antiqua" w:cs="Book Antiqua"/>
          <w:color w:val="000000"/>
        </w:rPr>
        <w:t>. Furthermore,</w:t>
      </w:r>
      <w:r w:rsidR="00065F4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the recent</w:t>
      </w:r>
      <w:r w:rsidR="00065F4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expansion of transplant indications to include certain oncological scenarios may further aggravate this issue</w:t>
      </w:r>
      <w:r w:rsidR="00065F45" w:rsidRPr="004A5F47">
        <w:rPr>
          <w:rFonts w:ascii="Book Antiqua" w:eastAsia="Book Antiqua" w:hAnsi="Book Antiqua" w:cs="Book Antiqua"/>
          <w:color w:val="000000"/>
          <w:vertAlign w:val="superscript"/>
        </w:rPr>
        <w:t>[4]</w:t>
      </w:r>
      <w:r w:rsidRPr="004A5F47">
        <w:rPr>
          <w:rFonts w:ascii="Book Antiqua" w:eastAsia="Book Antiqua" w:hAnsi="Book Antiqua" w:cs="Book Antiqua"/>
          <w:color w:val="000000"/>
        </w:rPr>
        <w:t>.</w:t>
      </w:r>
      <w:r w:rsidR="00065F4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As a response to this shortage in supply,</w:t>
      </w:r>
      <w:r w:rsidR="00065F4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shd w:val="clear" w:color="auto" w:fill="FFFFFF"/>
        </w:rPr>
        <w:t>living donor liver transplantation and using more marginal organs, including those donated after circulatory death (DCD) are strategies that have</w:t>
      </w:r>
      <w:r w:rsidR="00065F45" w:rsidRPr="004A5F47">
        <w:rPr>
          <w:rFonts w:ascii="Book Antiqua" w:hAnsi="Book Antiqua" w:cs="Book Antiqua"/>
          <w:color w:val="000000"/>
          <w:shd w:val="clear" w:color="auto" w:fill="FFFFFF"/>
          <w:lang w:eastAsia="zh-CN"/>
        </w:rPr>
        <w:t xml:space="preserve"> </w:t>
      </w:r>
      <w:r w:rsidRPr="004A5F47">
        <w:rPr>
          <w:rFonts w:ascii="Book Antiqua" w:eastAsia="Book Antiqua" w:hAnsi="Book Antiqua" w:cs="Book Antiqua"/>
          <w:color w:val="000000"/>
          <w:shd w:val="clear" w:color="auto" w:fill="FFFFFF"/>
        </w:rPr>
        <w:t>been used to increase the donor pool</w:t>
      </w:r>
      <w:r w:rsidRPr="004A5F47">
        <w:rPr>
          <w:rFonts w:ascii="Book Antiqua" w:eastAsia="Book Antiqua" w:hAnsi="Book Antiqua" w:cs="Book Antiqua"/>
          <w:color w:val="000000"/>
          <w:shd w:val="clear" w:color="auto" w:fill="FFFFFF"/>
          <w:vertAlign w:val="superscript"/>
        </w:rPr>
        <w:t>[5]</w:t>
      </w:r>
      <w:r w:rsidRPr="004A5F47">
        <w:rPr>
          <w:rFonts w:ascii="Book Antiqua" w:eastAsia="Book Antiqua" w:hAnsi="Book Antiqua" w:cs="Book Antiqua"/>
          <w:color w:val="000000"/>
          <w:shd w:val="clear" w:color="auto" w:fill="FFFFFF"/>
        </w:rPr>
        <w:t>. Improving long-term graft survival is vital, as the need for retransplantation creates additional demand on a scarce resource.</w:t>
      </w:r>
    </w:p>
    <w:p w14:paraId="7CB0A5FB" w14:textId="508C9162" w:rsidR="00A77B3E" w:rsidRPr="004A5F47" w:rsidRDefault="006A1FF4" w:rsidP="00815C0F">
      <w:pPr>
        <w:spacing w:line="360" w:lineRule="auto"/>
        <w:ind w:firstLineChars="112" w:firstLine="269"/>
        <w:jc w:val="both"/>
        <w:rPr>
          <w:rFonts w:ascii="Book Antiqua" w:hAnsi="Book Antiqua"/>
          <w:lang w:eastAsia="zh-CN"/>
        </w:rPr>
      </w:pPr>
      <w:r w:rsidRPr="004A5F47">
        <w:rPr>
          <w:rFonts w:ascii="Book Antiqua" w:eastAsia="Book Antiqua" w:hAnsi="Book Antiqua" w:cs="Book Antiqua"/>
          <w:color w:val="000000"/>
        </w:rPr>
        <w:t>Adequate biliary drainage is paramount for the success of a liver transplant, and was previously labeled the ‘Achilles heel’ of this procedure</w:t>
      </w:r>
      <w:r w:rsidR="00065F45" w:rsidRPr="004A5F47">
        <w:rPr>
          <w:rFonts w:ascii="Book Antiqua" w:eastAsia="Book Antiqua" w:hAnsi="Book Antiqua" w:cs="Book Antiqua"/>
          <w:color w:val="000000"/>
          <w:vertAlign w:val="superscript"/>
        </w:rPr>
        <w:t>[6]</w:t>
      </w:r>
      <w:r w:rsidRPr="004A5F47">
        <w:rPr>
          <w:rFonts w:ascii="Book Antiqua" w:eastAsia="Book Antiqua" w:hAnsi="Book Antiqua" w:cs="Book Antiqua"/>
          <w:color w:val="000000"/>
        </w:rPr>
        <w:t>.</w:t>
      </w:r>
      <w:r w:rsidR="00065F4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Although vascular complications have the largest impact on short-term graft outcomes, biliary </w:t>
      </w:r>
      <w:r w:rsidRPr="004A5F47">
        <w:rPr>
          <w:rFonts w:ascii="Book Antiqua" w:eastAsia="Book Antiqua" w:hAnsi="Book Antiqua" w:cs="Book Antiqua"/>
          <w:color w:val="000000"/>
        </w:rPr>
        <w:lastRenderedPageBreak/>
        <w:t>complications are the main source of long-term morbidity. These conditions often require costly interventions, cause suffering</w:t>
      </w:r>
      <w:r w:rsidR="00711756"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and adversely affect patients’ quality of life</w:t>
      </w:r>
      <w:r w:rsidR="00DB7C40" w:rsidRPr="004A5F47">
        <w:rPr>
          <w:rFonts w:ascii="Book Antiqua" w:eastAsia="Book Antiqua" w:hAnsi="Book Antiqua" w:cs="Book Antiqua"/>
          <w:color w:val="000000"/>
          <w:vertAlign w:val="superscript"/>
        </w:rPr>
        <w:t>[7]</w:t>
      </w:r>
      <w:r w:rsidRPr="004A5F47">
        <w:rPr>
          <w:rFonts w:ascii="Book Antiqua" w:eastAsia="Book Antiqua" w:hAnsi="Book Antiqua" w:cs="Book Antiqua"/>
          <w:color w:val="000000"/>
        </w:rPr>
        <w:t>.</w:t>
      </w:r>
      <w:r w:rsidR="00DB7C40" w:rsidRPr="004A5F47">
        <w:rPr>
          <w:rFonts w:ascii="Book Antiqua" w:hAnsi="Book Antiqua" w:cs="Book Antiqua"/>
          <w:color w:val="000000"/>
          <w:shd w:val="clear" w:color="auto" w:fill="FFFFFF"/>
          <w:lang w:eastAsia="zh-CN"/>
        </w:rPr>
        <w:t xml:space="preserve"> </w:t>
      </w:r>
      <w:r w:rsidRPr="004A5F47">
        <w:rPr>
          <w:rFonts w:ascii="Book Antiqua" w:eastAsia="Book Antiqua" w:hAnsi="Book Antiqua" w:cs="Book Antiqua"/>
          <w:color w:val="000000"/>
        </w:rPr>
        <w:t>The incidence of these complications is increasing as a result of the growing utilization of extended criteria donor organs, mainly from DCD donors</w:t>
      </w:r>
      <w:r w:rsidRPr="004A5F47">
        <w:rPr>
          <w:rFonts w:ascii="Book Antiqua" w:eastAsia="Book Antiqua" w:hAnsi="Book Antiqua" w:cs="Book Antiqua"/>
          <w:color w:val="000000"/>
          <w:vertAlign w:val="superscript"/>
        </w:rPr>
        <w:t>[8]</w:t>
      </w:r>
      <w:r w:rsidRPr="004A5F47">
        <w:rPr>
          <w:rFonts w:ascii="Book Antiqua" w:eastAsia="Book Antiqua" w:hAnsi="Book Antiqua" w:cs="Book Antiqua"/>
          <w:color w:val="000000"/>
        </w:rPr>
        <w:t>.</w:t>
      </w:r>
    </w:p>
    <w:p w14:paraId="5FE77ED2" w14:textId="5EEE88B8" w:rsidR="00711756" w:rsidRPr="004A5F47" w:rsidRDefault="006A1FF4" w:rsidP="00711756">
      <w:pPr>
        <w:spacing w:line="360" w:lineRule="auto"/>
        <w:ind w:firstLineChars="112" w:firstLine="269"/>
        <w:jc w:val="both"/>
        <w:rPr>
          <w:rFonts w:ascii="Book Antiqua" w:eastAsia="Book Antiqua" w:hAnsi="Book Antiqua" w:cs="Book Antiqua"/>
          <w:color w:val="000000"/>
        </w:rPr>
      </w:pPr>
      <w:r w:rsidRPr="004A5F47">
        <w:rPr>
          <w:rFonts w:ascii="Book Antiqua" w:eastAsia="Book Antiqua" w:hAnsi="Book Antiqua" w:cs="Book Antiqua"/>
          <w:color w:val="000000"/>
        </w:rPr>
        <w:t>In recent years, the development of numerous machine perfusion (MP) strategies</w:t>
      </w:r>
      <w:r w:rsidR="00065F4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has generated</w:t>
      </w:r>
      <w:r w:rsidR="00DB7C40"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interest in their use for both the assessment of grafts</w:t>
      </w:r>
      <w:r w:rsidR="00065F4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and</w:t>
      </w:r>
      <w:r w:rsidR="00065F4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optimization during the preservation period</w:t>
      </w:r>
      <w:r w:rsidR="00DB7C40" w:rsidRPr="004A5F47">
        <w:rPr>
          <w:rFonts w:ascii="Book Antiqua" w:eastAsia="Book Antiqua" w:hAnsi="Book Antiqua" w:cs="Book Antiqua"/>
          <w:color w:val="000000"/>
          <w:vertAlign w:val="superscript"/>
        </w:rPr>
        <w:t>[9]</w:t>
      </w:r>
      <w:r w:rsidRPr="004A5F47">
        <w:rPr>
          <w:rFonts w:ascii="Book Antiqua" w:eastAsia="Book Antiqua" w:hAnsi="Book Antiqua" w:cs="Book Antiqua"/>
          <w:color w:val="000000"/>
        </w:rPr>
        <w:t>.</w:t>
      </w:r>
      <w:r w:rsidR="00DB7C40"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Different techniques of MP have been described and vary in their</w:t>
      </w:r>
      <w:r w:rsidR="00DB7C40"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application, with</w:t>
      </w:r>
      <w:r w:rsidR="00DB7C40" w:rsidRPr="004A5F47">
        <w:rPr>
          <w:rFonts w:ascii="Book Antiqua" w:hAnsi="Book Antiqua" w:cs="Book Antiqua"/>
          <w:color w:val="000000"/>
          <w:lang w:eastAsia="zh-CN"/>
        </w:rPr>
        <w:t xml:space="preserve"> </w:t>
      </w:r>
      <w:r w:rsidRPr="004A5F47">
        <w:rPr>
          <w:rFonts w:ascii="Book Antiqua" w:eastAsia="Book Antiqua" w:hAnsi="Book Antiqua" w:cs="Book Antiqua"/>
          <w:i/>
          <w:iCs/>
          <w:color w:val="000000"/>
        </w:rPr>
        <w:t>in</w:t>
      </w:r>
      <w:r w:rsidR="00711756" w:rsidRPr="004A5F47">
        <w:rPr>
          <w:rFonts w:ascii="Book Antiqua" w:eastAsia="Book Antiqua" w:hAnsi="Book Antiqua" w:cs="Book Antiqua"/>
          <w:i/>
          <w:iCs/>
          <w:color w:val="000000"/>
        </w:rPr>
        <w:t xml:space="preserve"> </w:t>
      </w:r>
      <w:r w:rsidRPr="004A5F47">
        <w:rPr>
          <w:rFonts w:ascii="Book Antiqua" w:eastAsia="Book Antiqua" w:hAnsi="Book Antiqua" w:cs="Book Antiqua"/>
          <w:i/>
          <w:iCs/>
          <w:color w:val="000000"/>
        </w:rPr>
        <w:t xml:space="preserve">situ </w:t>
      </w:r>
      <w:r w:rsidRPr="004A5F47">
        <w:rPr>
          <w:rFonts w:ascii="Book Antiqua" w:eastAsia="Book Antiqua" w:hAnsi="Book Antiqua" w:cs="Book Antiqua"/>
          <w:iCs/>
          <w:color w:val="000000"/>
        </w:rPr>
        <w:t>MP</w:t>
      </w:r>
      <w:r w:rsidR="00DB7C40" w:rsidRPr="004A5F47">
        <w:rPr>
          <w:rFonts w:ascii="Book Antiqua" w:hAnsi="Book Antiqua" w:cs="Book Antiqua"/>
          <w:i/>
          <w:iCs/>
          <w:color w:val="000000"/>
          <w:lang w:eastAsia="zh-CN"/>
        </w:rPr>
        <w:t xml:space="preserve"> </w:t>
      </w:r>
      <w:r w:rsidRPr="004A5F47">
        <w:rPr>
          <w:rFonts w:ascii="Book Antiqua" w:eastAsia="Book Antiqua" w:hAnsi="Book Antiqua" w:cs="Book Antiqua"/>
          <w:color w:val="000000"/>
        </w:rPr>
        <w:t>occurring</w:t>
      </w:r>
      <w:r w:rsidR="00DB7C40"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during organ procurement whil</w:t>
      </w:r>
      <w:r w:rsidR="00711756" w:rsidRPr="004A5F47">
        <w:rPr>
          <w:rFonts w:ascii="Book Antiqua" w:eastAsia="Book Antiqua" w:hAnsi="Book Antiqua" w:cs="Book Antiqua"/>
          <w:color w:val="000000"/>
        </w:rPr>
        <w:t>e</w:t>
      </w:r>
      <w:r w:rsidRPr="004A5F47">
        <w:rPr>
          <w:rFonts w:ascii="Book Antiqua" w:eastAsia="Book Antiqua" w:hAnsi="Book Antiqua" w:cs="Book Antiqua"/>
          <w:color w:val="000000"/>
        </w:rPr>
        <w:t xml:space="preserve"> the graft is within the donor and</w:t>
      </w:r>
      <w:r w:rsidR="00DB7C40" w:rsidRPr="004A5F47">
        <w:rPr>
          <w:rFonts w:ascii="Book Antiqua" w:hAnsi="Book Antiqua" w:cs="Book Antiqua"/>
          <w:color w:val="000000"/>
          <w:lang w:eastAsia="zh-CN"/>
        </w:rPr>
        <w:t xml:space="preserve"> </w:t>
      </w:r>
      <w:r w:rsidRPr="004A5F47">
        <w:rPr>
          <w:rFonts w:ascii="Book Antiqua" w:eastAsia="Book Antiqua" w:hAnsi="Book Antiqua" w:cs="Book Antiqua"/>
          <w:i/>
          <w:iCs/>
          <w:color w:val="000000"/>
        </w:rPr>
        <w:t>ex</w:t>
      </w:r>
      <w:r w:rsidR="00711756" w:rsidRPr="004A5F47">
        <w:rPr>
          <w:rFonts w:ascii="Book Antiqua" w:eastAsia="Book Antiqua" w:hAnsi="Book Antiqua" w:cs="Book Antiqua"/>
          <w:i/>
          <w:iCs/>
          <w:color w:val="000000"/>
        </w:rPr>
        <w:t xml:space="preserve"> </w:t>
      </w:r>
      <w:r w:rsidRPr="004A5F47">
        <w:rPr>
          <w:rFonts w:ascii="Book Antiqua" w:eastAsia="Book Antiqua" w:hAnsi="Book Antiqua" w:cs="Book Antiqua"/>
          <w:i/>
          <w:iCs/>
          <w:color w:val="000000"/>
        </w:rPr>
        <w:t>situ</w:t>
      </w:r>
      <w:r w:rsidR="00DB7C40" w:rsidRPr="004A5F47">
        <w:rPr>
          <w:rFonts w:ascii="Book Antiqua" w:hAnsi="Book Antiqua" w:cs="Book Antiqua"/>
          <w:color w:val="000000"/>
          <w:lang w:eastAsia="zh-CN"/>
        </w:rPr>
        <w:t xml:space="preserve"> </w:t>
      </w:r>
      <w:r w:rsidRPr="004A5F47">
        <w:rPr>
          <w:rFonts w:ascii="Book Antiqua" w:eastAsia="Book Antiqua" w:hAnsi="Book Antiqua" w:cs="Book Antiqua"/>
          <w:iCs/>
          <w:color w:val="000000"/>
        </w:rPr>
        <w:t>MP</w:t>
      </w:r>
      <w:r w:rsidR="00DB7C40"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which occurs after the donor hepatectomy is completed. Both hepatocytes and cholangiocytes are vulnerable to ischemia-reperfusion injury (IRI), and injury to the latter during organ procurement and preservation lies behind the pathogenesis for biliary dysfunction</w:t>
      </w:r>
      <w:r w:rsidRPr="004A5F47">
        <w:rPr>
          <w:rFonts w:ascii="Book Antiqua" w:eastAsia="Book Antiqua" w:hAnsi="Book Antiqua" w:cs="Book Antiqua"/>
          <w:color w:val="000000"/>
          <w:vertAlign w:val="superscript"/>
        </w:rPr>
        <w:t>[10]</w:t>
      </w:r>
      <w:r w:rsidRPr="004A5F47">
        <w:rPr>
          <w:rFonts w:ascii="Book Antiqua" w:eastAsia="Book Antiqua" w:hAnsi="Book Antiqua" w:cs="Book Antiqua"/>
          <w:color w:val="000000"/>
        </w:rPr>
        <w:t>. Consequently, a current trend of research in the MP field is focused on how these different MP perfusion regimens influence post-transplant biliary complications and more specifically, ischemic type biliary lesions (ITBL</w:t>
      </w:r>
      <w:r w:rsidR="00711756"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w:t>
      </w:r>
    </w:p>
    <w:p w14:paraId="6A7A8748" w14:textId="4428A664" w:rsidR="00A77B3E" w:rsidRPr="004A5F47" w:rsidRDefault="006A1FF4" w:rsidP="00815C0F">
      <w:pPr>
        <w:spacing w:line="360" w:lineRule="auto"/>
        <w:ind w:firstLineChars="112" w:firstLine="269"/>
        <w:jc w:val="both"/>
        <w:rPr>
          <w:rFonts w:ascii="Book Antiqua" w:hAnsi="Book Antiqua"/>
          <w:lang w:eastAsia="zh-CN"/>
        </w:rPr>
      </w:pPr>
      <w:r w:rsidRPr="004A5F47">
        <w:rPr>
          <w:rFonts w:ascii="Book Antiqua" w:eastAsia="Book Antiqua" w:hAnsi="Book Antiqua" w:cs="Book Antiqua"/>
          <w:color w:val="000000"/>
        </w:rPr>
        <w:t>This narrative literature review describes the strength and limitations of clinical studies that have been undertaken, their results, and provides a summary of the available literature on MP and the prevention of ITBL</w:t>
      </w:r>
      <w:r w:rsidR="00711756" w:rsidRPr="004A5F47">
        <w:rPr>
          <w:rFonts w:ascii="Book Antiqua" w:eastAsia="Book Antiqua" w:hAnsi="Book Antiqua" w:cs="Book Antiqua"/>
          <w:color w:val="000000"/>
        </w:rPr>
        <w:t>s</w:t>
      </w:r>
      <w:r w:rsidRPr="004A5F47">
        <w:rPr>
          <w:rFonts w:ascii="Book Antiqua" w:eastAsia="Book Antiqua" w:hAnsi="Book Antiqua" w:cs="Book Antiqua"/>
          <w:color w:val="000000"/>
        </w:rPr>
        <w:t>.</w:t>
      </w:r>
    </w:p>
    <w:p w14:paraId="79A4B390" w14:textId="77777777" w:rsidR="00A77B3E" w:rsidRPr="004A5F47" w:rsidRDefault="00A77B3E" w:rsidP="00265460">
      <w:pPr>
        <w:spacing w:line="360" w:lineRule="auto"/>
        <w:jc w:val="both"/>
        <w:rPr>
          <w:rFonts w:ascii="Book Antiqua" w:hAnsi="Book Antiqua"/>
        </w:rPr>
      </w:pPr>
    </w:p>
    <w:p w14:paraId="3E89966C" w14:textId="7FFFE397" w:rsidR="00A77B3E" w:rsidRPr="004A5F47" w:rsidRDefault="006A1FF4" w:rsidP="00265460">
      <w:pPr>
        <w:spacing w:line="360" w:lineRule="auto"/>
        <w:jc w:val="both"/>
        <w:rPr>
          <w:rFonts w:ascii="Book Antiqua" w:hAnsi="Book Antiqua"/>
          <w:i/>
          <w:lang w:eastAsia="zh-CN"/>
        </w:rPr>
      </w:pPr>
      <w:r w:rsidRPr="004A5F47">
        <w:rPr>
          <w:rFonts w:ascii="Book Antiqua" w:eastAsia="Book Antiqua" w:hAnsi="Book Antiqua" w:cs="Book Antiqua"/>
          <w:b/>
          <w:bCs/>
          <w:i/>
          <w:color w:val="000000"/>
        </w:rPr>
        <w:t>Non</w:t>
      </w:r>
      <w:r w:rsidR="00DB7C40" w:rsidRPr="004A5F47">
        <w:rPr>
          <w:rFonts w:ascii="Book Antiqua" w:hAnsi="Book Antiqua" w:cs="Book Antiqua"/>
          <w:b/>
          <w:bCs/>
          <w:i/>
          <w:color w:val="000000"/>
          <w:lang w:eastAsia="zh-CN"/>
        </w:rPr>
        <w:t>a</w:t>
      </w:r>
      <w:r w:rsidRPr="004A5F47">
        <w:rPr>
          <w:rFonts w:ascii="Book Antiqua" w:eastAsia="Book Antiqua" w:hAnsi="Book Antiqua" w:cs="Book Antiqua"/>
          <w:b/>
          <w:bCs/>
          <w:i/>
          <w:color w:val="000000"/>
        </w:rPr>
        <w:t xml:space="preserve">nastomotic </w:t>
      </w:r>
      <w:r w:rsidR="00DB7C40" w:rsidRPr="004A5F47">
        <w:rPr>
          <w:rFonts w:ascii="Book Antiqua" w:hAnsi="Book Antiqua" w:cs="Book Antiqua"/>
          <w:b/>
          <w:bCs/>
          <w:i/>
          <w:color w:val="000000"/>
          <w:lang w:eastAsia="zh-CN"/>
        </w:rPr>
        <w:t>b</w:t>
      </w:r>
      <w:r w:rsidRPr="004A5F47">
        <w:rPr>
          <w:rFonts w:ascii="Book Antiqua" w:eastAsia="Book Antiqua" w:hAnsi="Book Antiqua" w:cs="Book Antiqua"/>
          <w:b/>
          <w:bCs/>
          <w:i/>
          <w:color w:val="000000"/>
        </w:rPr>
        <w:t xml:space="preserve">iliary </w:t>
      </w:r>
      <w:r w:rsidR="00DB7C40" w:rsidRPr="004A5F47">
        <w:rPr>
          <w:rFonts w:ascii="Book Antiqua" w:hAnsi="Book Antiqua" w:cs="Book Antiqua"/>
          <w:b/>
          <w:bCs/>
          <w:i/>
          <w:color w:val="000000"/>
          <w:lang w:eastAsia="zh-CN"/>
        </w:rPr>
        <w:t>s</w:t>
      </w:r>
      <w:r w:rsidRPr="004A5F47">
        <w:rPr>
          <w:rFonts w:ascii="Book Antiqua" w:eastAsia="Book Antiqua" w:hAnsi="Book Antiqua" w:cs="Book Antiqua"/>
          <w:b/>
          <w:bCs/>
          <w:i/>
          <w:color w:val="000000"/>
        </w:rPr>
        <w:t xml:space="preserve">trictures and </w:t>
      </w:r>
      <w:r w:rsidR="00DB7C40" w:rsidRPr="004A5F47">
        <w:rPr>
          <w:rFonts w:ascii="Book Antiqua" w:hAnsi="Book Antiqua" w:cs="Book Antiqua"/>
          <w:b/>
          <w:bCs/>
          <w:i/>
          <w:color w:val="000000"/>
          <w:lang w:eastAsia="zh-CN"/>
        </w:rPr>
        <w:t>i</w:t>
      </w:r>
      <w:r w:rsidRPr="004A5F47">
        <w:rPr>
          <w:rFonts w:ascii="Book Antiqua" w:eastAsia="Book Antiqua" w:hAnsi="Book Antiqua" w:cs="Book Antiqua"/>
          <w:b/>
          <w:bCs/>
          <w:i/>
          <w:color w:val="000000"/>
        </w:rPr>
        <w:t xml:space="preserve">schemic </w:t>
      </w:r>
      <w:r w:rsidR="00DB7C40" w:rsidRPr="004A5F47">
        <w:rPr>
          <w:rFonts w:ascii="Book Antiqua" w:hAnsi="Book Antiqua" w:cs="Book Antiqua"/>
          <w:b/>
          <w:bCs/>
          <w:i/>
          <w:color w:val="000000"/>
          <w:lang w:eastAsia="zh-CN"/>
        </w:rPr>
        <w:t>t</w:t>
      </w:r>
      <w:r w:rsidRPr="004A5F47">
        <w:rPr>
          <w:rFonts w:ascii="Book Antiqua" w:eastAsia="Book Antiqua" w:hAnsi="Book Antiqua" w:cs="Book Antiqua"/>
          <w:b/>
          <w:bCs/>
          <w:i/>
          <w:color w:val="000000"/>
        </w:rPr>
        <w:t xml:space="preserve">ype </w:t>
      </w:r>
      <w:r w:rsidR="00DB7C40" w:rsidRPr="004A5F47">
        <w:rPr>
          <w:rFonts w:ascii="Book Antiqua" w:hAnsi="Book Antiqua" w:cs="Book Antiqua"/>
          <w:b/>
          <w:bCs/>
          <w:i/>
          <w:color w:val="000000"/>
          <w:lang w:eastAsia="zh-CN"/>
        </w:rPr>
        <w:t>b</w:t>
      </w:r>
      <w:r w:rsidRPr="004A5F47">
        <w:rPr>
          <w:rFonts w:ascii="Book Antiqua" w:eastAsia="Book Antiqua" w:hAnsi="Book Antiqua" w:cs="Book Antiqua"/>
          <w:b/>
          <w:bCs/>
          <w:i/>
          <w:color w:val="000000"/>
        </w:rPr>
        <w:t xml:space="preserve">iliary </w:t>
      </w:r>
      <w:r w:rsidR="00DB7C40" w:rsidRPr="004A5F47">
        <w:rPr>
          <w:rFonts w:ascii="Book Antiqua" w:hAnsi="Book Antiqua" w:cs="Book Antiqua"/>
          <w:b/>
          <w:bCs/>
          <w:i/>
          <w:color w:val="000000"/>
          <w:lang w:eastAsia="zh-CN"/>
        </w:rPr>
        <w:t>l</w:t>
      </w:r>
      <w:r w:rsidRPr="004A5F47">
        <w:rPr>
          <w:rFonts w:ascii="Book Antiqua" w:eastAsia="Book Antiqua" w:hAnsi="Book Antiqua" w:cs="Book Antiqua"/>
          <w:b/>
          <w:bCs/>
          <w:i/>
          <w:color w:val="000000"/>
        </w:rPr>
        <w:t>esions</w:t>
      </w:r>
    </w:p>
    <w:p w14:paraId="587ADAD2" w14:textId="44E7533D"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color w:val="000000"/>
        </w:rPr>
        <w:t>Postliver transplantation biliary complications can comprise one (or both) of the following entities;</w:t>
      </w:r>
      <w:r w:rsidR="00E5759C"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strictures (anastomotic and non-anastomotic), and biliary leaks</w:t>
      </w:r>
      <w:r w:rsidR="00E5759C" w:rsidRPr="004A5F47">
        <w:rPr>
          <w:rFonts w:ascii="Book Antiqua" w:eastAsia="Book Antiqua" w:hAnsi="Book Antiqua" w:cs="Book Antiqua"/>
          <w:color w:val="000000"/>
          <w:vertAlign w:val="superscript"/>
        </w:rPr>
        <w:t>[11]</w:t>
      </w:r>
      <w:r w:rsidRPr="004A5F47">
        <w:rPr>
          <w:rFonts w:ascii="Book Antiqua" w:eastAsia="Book Antiqua" w:hAnsi="Book Antiqua" w:cs="Book Antiqua"/>
          <w:color w:val="000000"/>
        </w:rPr>
        <w:t>.</w:t>
      </w:r>
      <w:r w:rsidR="00E5759C"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Anastomotic biliary strictures occur at the site of biliary reconstruction and the surgical technique, and/or local tissue ischemia likely play a role. These strictures are usually managed with endoscopic or radiological procedures, however surgical revision may be required depending on the timing and type of anastomosis</w:t>
      </w:r>
      <w:r w:rsidR="00E5759C" w:rsidRPr="004A5F47">
        <w:rPr>
          <w:rFonts w:ascii="Book Antiqua" w:eastAsia="Book Antiqua" w:hAnsi="Book Antiqua" w:cs="Book Antiqua"/>
          <w:color w:val="000000"/>
          <w:vertAlign w:val="superscript"/>
        </w:rPr>
        <w:t>[12]</w:t>
      </w:r>
      <w:r w:rsidRPr="004A5F47">
        <w:rPr>
          <w:rFonts w:ascii="Book Antiqua" w:eastAsia="Book Antiqua" w:hAnsi="Book Antiqua" w:cs="Book Antiqua"/>
          <w:color w:val="000000"/>
        </w:rPr>
        <w:t>.</w:t>
      </w:r>
      <w:r w:rsidR="00E5759C"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Nonanastomotic strictures (NAS), as the name implies, occur at a site away from the anastomosis and are most common within the initial 12 mo posttransplant. NAS are one of most feared late complications due to it being associated with high rates of graft loss and mortality, and minimal treatment options except re-transplantation</w:t>
      </w:r>
      <w:r w:rsidR="00E5759C" w:rsidRPr="004A5F47">
        <w:rPr>
          <w:rFonts w:ascii="Book Antiqua" w:eastAsia="Book Antiqua" w:hAnsi="Book Antiqua" w:cs="Book Antiqua"/>
          <w:color w:val="000000"/>
          <w:vertAlign w:val="superscript"/>
        </w:rPr>
        <w:t>[8,13]</w:t>
      </w:r>
      <w:r w:rsidRPr="004A5F47">
        <w:rPr>
          <w:rFonts w:ascii="Book Antiqua" w:eastAsia="Book Antiqua" w:hAnsi="Book Antiqua" w:cs="Book Antiqua"/>
          <w:color w:val="000000"/>
        </w:rPr>
        <w:t>.</w:t>
      </w:r>
    </w:p>
    <w:p w14:paraId="301680D4" w14:textId="4CAA0F1B" w:rsidR="00711756"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lastRenderedPageBreak/>
        <w:t>NAS is characteri</w:t>
      </w:r>
      <w:r w:rsidR="00711756" w:rsidRPr="004A5F47">
        <w:rPr>
          <w:rFonts w:ascii="Book Antiqua" w:eastAsia="Book Antiqua" w:hAnsi="Book Antiqua" w:cs="Book Antiqua"/>
          <w:color w:val="000000"/>
        </w:rPr>
        <w:t>z</w:t>
      </w:r>
      <w:r w:rsidRPr="004A5F47">
        <w:rPr>
          <w:rFonts w:ascii="Book Antiqua" w:eastAsia="Book Antiqua" w:hAnsi="Book Antiqua" w:cs="Book Antiqua"/>
          <w:color w:val="000000"/>
        </w:rPr>
        <w:t>ed by diffuse fibrotic strictures and dilatation of the biliary tree at any location from the liver periphery to the main extrahepatic ducts (</w:t>
      </w:r>
      <w:r w:rsidRPr="004A5F47">
        <w:rPr>
          <w:rFonts w:ascii="Book Antiqua" w:eastAsia="Book Antiqua" w:hAnsi="Book Antiqua" w:cs="Book Antiqua"/>
          <w:bCs/>
          <w:color w:val="000000"/>
        </w:rPr>
        <w:t>Figure 1</w:t>
      </w:r>
      <w:r w:rsidRPr="004A5F47">
        <w:rPr>
          <w:rFonts w:ascii="Book Antiqua" w:eastAsia="Book Antiqua" w:hAnsi="Book Antiqua" w:cs="Book Antiqua"/>
          <w:color w:val="000000"/>
        </w:rPr>
        <w:t>). In addition, with the disease evolution, the formation of biliary casts and intrahepatic bilomas may occur in its severest form</w:t>
      </w:r>
      <w:r w:rsidRPr="004A5F47">
        <w:rPr>
          <w:rFonts w:ascii="Book Antiqua" w:eastAsia="Book Antiqua" w:hAnsi="Book Antiqua" w:cs="Book Antiqua"/>
          <w:color w:val="000000"/>
          <w:vertAlign w:val="superscript"/>
        </w:rPr>
        <w:t>[14]</w:t>
      </w:r>
      <w:r w:rsidRPr="004A5F47">
        <w:rPr>
          <w:rFonts w:ascii="Book Antiqua" w:eastAsia="Book Antiqua" w:hAnsi="Book Antiqua" w:cs="Book Antiqua"/>
          <w:color w:val="000000"/>
        </w:rPr>
        <w:t>. The radiological manifestations of NAS are highly variable and range from a peripheral abscess, individual or multiple strictures around the hilum and first order biliary branches, to vanishing ducts seen along the entire biliary tree</w:t>
      </w:r>
      <w:r w:rsidR="00163672" w:rsidRPr="004A5F47">
        <w:rPr>
          <w:rFonts w:ascii="Book Antiqua" w:eastAsia="Book Antiqua" w:hAnsi="Book Antiqua" w:cs="Book Antiqua"/>
          <w:color w:val="000000"/>
          <w:vertAlign w:val="superscript"/>
        </w:rPr>
        <w:t>[15]</w:t>
      </w:r>
      <w:r w:rsidRPr="004A5F47">
        <w:rPr>
          <w:rFonts w:ascii="Book Antiqua" w:eastAsia="Book Antiqua" w:hAnsi="Book Antiqua" w:cs="Book Antiqua"/>
          <w:color w:val="000000"/>
        </w:rPr>
        <w:t>.</w:t>
      </w:r>
      <w:r w:rsidR="00163672"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NAS can occur as a direct result of ischemia from an identifiable hepatic artery stenosis or thrombosis (HAT). However, very similar lesions can develop in the setting of an entirely patent hepatic artery and this specific situation is termed ITBL</w:t>
      </w:r>
      <w:r w:rsidR="00711756" w:rsidRPr="004A5F47">
        <w:rPr>
          <w:rFonts w:ascii="Book Antiqua" w:eastAsia="Book Antiqua" w:hAnsi="Book Antiqua" w:cs="Book Antiqua"/>
          <w:color w:val="000000"/>
        </w:rPr>
        <w:t>s</w:t>
      </w:r>
      <w:r w:rsidRPr="004A5F47">
        <w:rPr>
          <w:rFonts w:ascii="Book Antiqua" w:eastAsia="Book Antiqua" w:hAnsi="Book Antiqua" w:cs="Book Antiqua"/>
          <w:color w:val="000000"/>
        </w:rPr>
        <w:t>, given its similarity to an actual ischemic cholangiopathy (</w:t>
      </w:r>
      <w:r w:rsidRPr="004A5F47">
        <w:rPr>
          <w:rFonts w:ascii="Book Antiqua" w:eastAsia="Book Antiqua" w:hAnsi="Book Antiqua" w:cs="Book Antiqua"/>
          <w:bCs/>
          <w:color w:val="000000"/>
        </w:rPr>
        <w:t>Figure 1</w:t>
      </w:r>
      <w:r w:rsidRPr="004A5F47">
        <w:rPr>
          <w:rFonts w:ascii="Book Antiqua" w:eastAsia="Book Antiqua" w:hAnsi="Book Antiqua" w:cs="Book Antiqua"/>
          <w:color w:val="000000"/>
        </w:rPr>
        <w:t>).</w:t>
      </w:r>
    </w:p>
    <w:p w14:paraId="2815B08B" w14:textId="32E4685F" w:rsidR="00A77B3E" w:rsidRPr="004A5F47" w:rsidRDefault="006A1FF4" w:rsidP="00815C0F">
      <w:pPr>
        <w:spacing w:line="360" w:lineRule="auto"/>
        <w:ind w:firstLineChars="112" w:firstLine="269"/>
        <w:jc w:val="both"/>
        <w:rPr>
          <w:rFonts w:ascii="Book Antiqua" w:hAnsi="Book Antiqua"/>
          <w:lang w:eastAsia="zh-CN"/>
        </w:rPr>
      </w:pPr>
      <w:r w:rsidRPr="004A5F47">
        <w:rPr>
          <w:rFonts w:ascii="Book Antiqua" w:eastAsia="Book Antiqua" w:hAnsi="Book Antiqua" w:cs="Book Antiqua"/>
          <w:color w:val="000000"/>
        </w:rPr>
        <w:t>In a seminal paper by authors from Groningen which excluded patients with HAT, ITBL was classified according to the affected area of the biliary tree</w:t>
      </w:r>
      <w:r w:rsidR="000E2102" w:rsidRPr="004A5F47">
        <w:rPr>
          <w:rFonts w:ascii="Book Antiqua" w:eastAsia="Book Antiqua" w:hAnsi="Book Antiqua" w:cs="Book Antiqua"/>
          <w:color w:val="000000"/>
          <w:vertAlign w:val="superscript"/>
        </w:rPr>
        <w:t>[16]</w:t>
      </w:r>
      <w:r w:rsidRPr="004A5F47">
        <w:rPr>
          <w:rFonts w:ascii="Book Antiqua" w:eastAsia="Book Antiqua" w:hAnsi="Book Antiqua" w:cs="Book Antiqua"/>
          <w:color w:val="000000"/>
        </w:rPr>
        <w:t>.</w:t>
      </w:r>
      <w:r w:rsidR="000E2102"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In this study, they demonstrated that the anatomical location of ITBL</w:t>
      </w:r>
      <w:r w:rsidR="009D6F57"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varied between those that presented early (&lt;</w:t>
      </w:r>
      <w:r w:rsidR="000E2102"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1 year) as opposed to late (&gt;</w:t>
      </w:r>
      <w:r w:rsidR="000E2102"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1 year). In those presenting late, the peripheral liver (</w:t>
      </w:r>
      <w:r w:rsidR="005F28B8" w:rsidRPr="004A5F47">
        <w:rPr>
          <w:rFonts w:ascii="Book Antiqua" w:hAnsi="Book Antiqua" w:cs="Book Antiqua"/>
          <w:color w:val="000000"/>
          <w:lang w:eastAsia="zh-CN"/>
        </w:rPr>
        <w:t>z</w:t>
      </w:r>
      <w:r w:rsidRPr="004A5F47">
        <w:rPr>
          <w:rFonts w:ascii="Book Antiqua" w:eastAsia="Book Antiqua" w:hAnsi="Book Antiqua" w:cs="Book Antiqua"/>
          <w:color w:val="000000"/>
        </w:rPr>
        <w:t xml:space="preserve">one D) was involved more frequently and there was an association with immunological risk factors. </w:t>
      </w:r>
      <w:r w:rsidR="00711756" w:rsidRPr="004A5F47">
        <w:rPr>
          <w:rFonts w:ascii="Book Antiqua" w:eastAsia="Book Antiqua" w:hAnsi="Book Antiqua" w:cs="Book Antiqua"/>
          <w:color w:val="000000"/>
        </w:rPr>
        <w:t>By</w:t>
      </w:r>
      <w:r w:rsidRPr="004A5F47">
        <w:rPr>
          <w:rFonts w:ascii="Book Antiqua" w:eastAsia="Book Antiqua" w:hAnsi="Book Antiqua" w:cs="Book Antiqua"/>
          <w:color w:val="000000"/>
        </w:rPr>
        <w:t xml:space="preserve"> contrast, patients with an early presentation had lesions around the bifurcation and the common bile duct (zone A). This early group had a longer period of both cold and warm ischemia; therefore, hypoxia is thought to be one of the underlying mechanisms. More recently, a U</w:t>
      </w:r>
      <w:r w:rsidR="00254902" w:rsidRPr="004A5F47">
        <w:rPr>
          <w:rFonts w:ascii="Book Antiqua" w:hAnsi="Book Antiqua" w:cs="Book Antiqua"/>
          <w:color w:val="000000"/>
          <w:lang w:eastAsia="zh-CN"/>
        </w:rPr>
        <w:t xml:space="preserve">nited </w:t>
      </w:r>
      <w:r w:rsidRPr="004A5F47">
        <w:rPr>
          <w:rFonts w:ascii="Book Antiqua" w:eastAsia="Book Antiqua" w:hAnsi="Book Antiqua" w:cs="Book Antiqua"/>
          <w:color w:val="000000"/>
        </w:rPr>
        <w:t>S</w:t>
      </w:r>
      <w:r w:rsidR="00254902" w:rsidRPr="004A5F47">
        <w:rPr>
          <w:rFonts w:ascii="Book Antiqua" w:hAnsi="Book Antiqua" w:cs="Book Antiqua"/>
          <w:color w:val="000000"/>
          <w:lang w:eastAsia="zh-CN"/>
        </w:rPr>
        <w:t>tates</w:t>
      </w:r>
      <w:r w:rsidRPr="004A5F47">
        <w:rPr>
          <w:rFonts w:ascii="Book Antiqua" w:eastAsia="Book Antiqua" w:hAnsi="Book Antiqua" w:cs="Book Antiqua"/>
          <w:color w:val="000000"/>
        </w:rPr>
        <w:t xml:space="preserve"> group from the Mayo Clinic proposed a radiologic classification of ITBL</w:t>
      </w:r>
      <w:r w:rsidR="00711756"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into four distinct patterns that correlate with a distinct natural evolution and prognosis</w:t>
      </w:r>
      <w:r w:rsidR="00254902" w:rsidRPr="004A5F47">
        <w:rPr>
          <w:rFonts w:ascii="Book Antiqua" w:eastAsia="Book Antiqua" w:hAnsi="Book Antiqua" w:cs="Book Antiqua"/>
          <w:color w:val="000000"/>
          <w:vertAlign w:val="superscript"/>
        </w:rPr>
        <w:t>[17]</w:t>
      </w:r>
      <w:r w:rsidRPr="004A5F47">
        <w:rPr>
          <w:rFonts w:ascii="Book Antiqua" w:eastAsia="Book Antiqua" w:hAnsi="Book Antiqua" w:cs="Book Antiqua"/>
          <w:color w:val="000000"/>
        </w:rPr>
        <w:t>.</w:t>
      </w:r>
      <w:r w:rsidR="00254902"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In this case, those patients with diffuse necrosis and multifocal progressive patterns experienced more</w:t>
      </w:r>
      <w:r w:rsidR="00254902"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episodes of cholangitis and almost all required stents and eventual retransplant.</w:t>
      </w:r>
    </w:p>
    <w:p w14:paraId="3D13951C" w14:textId="6EF408D0" w:rsidR="00A77B3E" w:rsidRPr="004A5F47" w:rsidRDefault="006A1FF4" w:rsidP="00265460">
      <w:pPr>
        <w:spacing w:line="360" w:lineRule="auto"/>
        <w:ind w:firstLineChars="200" w:firstLine="480"/>
        <w:jc w:val="both"/>
        <w:rPr>
          <w:rFonts w:ascii="Book Antiqua" w:hAnsi="Book Antiqua"/>
        </w:rPr>
      </w:pPr>
      <w:r w:rsidRPr="004A5F47">
        <w:rPr>
          <w:rFonts w:ascii="Book Antiqua" w:eastAsia="Book Antiqua" w:hAnsi="Book Antiqua" w:cs="Book Antiqua"/>
          <w:color w:val="000000"/>
        </w:rPr>
        <w:t>Multiple factors have been associated with</w:t>
      </w:r>
      <w:r w:rsidR="00254902"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ITBL development and are generally divided into three categories: ischemia-related injury</w:t>
      </w:r>
      <w:r w:rsidR="00254902" w:rsidRPr="004A5F47">
        <w:rPr>
          <w:rFonts w:ascii="Book Antiqua" w:hAnsi="Book Antiqua" w:cs="Book Antiqua"/>
          <w:color w:val="000000"/>
          <w:lang w:eastAsia="zh-CN"/>
        </w:rPr>
        <w:t>;</w:t>
      </w:r>
      <w:r w:rsidRPr="004A5F47">
        <w:rPr>
          <w:rFonts w:ascii="Book Antiqua" w:eastAsia="Book Antiqua" w:hAnsi="Book Antiqua" w:cs="Book Antiqua"/>
          <w:color w:val="000000"/>
        </w:rPr>
        <w:t xml:space="preserve"> bile salt mediated injury</w:t>
      </w:r>
      <w:r w:rsidR="00254902" w:rsidRPr="004A5F47">
        <w:rPr>
          <w:rFonts w:ascii="Book Antiqua" w:hAnsi="Book Antiqua" w:cs="Book Antiqua"/>
          <w:color w:val="000000"/>
          <w:lang w:eastAsia="zh-CN"/>
        </w:rPr>
        <w:t>;</w:t>
      </w:r>
      <w:r w:rsidRPr="004A5F47">
        <w:rPr>
          <w:rFonts w:ascii="Book Antiqua" w:eastAsia="Book Antiqua" w:hAnsi="Book Antiqua" w:cs="Book Antiqua"/>
          <w:color w:val="000000"/>
        </w:rPr>
        <w:t xml:space="preserve"> and immune-mediated injury</w:t>
      </w:r>
      <w:r w:rsidR="00254902" w:rsidRPr="004A5F47">
        <w:rPr>
          <w:rFonts w:ascii="Book Antiqua" w:eastAsia="Book Antiqua" w:hAnsi="Book Antiqua" w:cs="Book Antiqua"/>
          <w:color w:val="000000"/>
          <w:vertAlign w:val="superscript"/>
        </w:rPr>
        <w:t>[18,19]</w:t>
      </w:r>
      <w:r w:rsidRPr="004A5F47">
        <w:rPr>
          <w:rFonts w:ascii="Book Antiqua" w:eastAsia="Book Antiqua" w:hAnsi="Book Antiqua" w:cs="Book Antiqua"/>
          <w:color w:val="000000"/>
        </w:rPr>
        <w:t>.</w:t>
      </w:r>
      <w:r w:rsidR="00254902"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The cold </w:t>
      </w:r>
      <w:r w:rsidR="009D6F57" w:rsidRPr="004A5F47">
        <w:rPr>
          <w:rFonts w:ascii="Book Antiqua" w:eastAsia="Book Antiqua" w:hAnsi="Book Antiqua" w:cs="Book Antiqua"/>
          <w:color w:val="000000"/>
        </w:rPr>
        <w:t xml:space="preserve">ischemia time </w:t>
      </w:r>
      <w:r w:rsidRPr="004A5F47">
        <w:rPr>
          <w:rFonts w:ascii="Book Antiqua" w:eastAsia="Book Antiqua" w:hAnsi="Book Antiqua" w:cs="Book Antiqua"/>
          <w:color w:val="000000"/>
        </w:rPr>
        <w:t>(CIT) and donor warm ischemia time (dWIT), and inadequate microvasculature preservation predispose cholangiocytes to a subsequent IRI</w:t>
      </w:r>
      <w:r w:rsidR="0053669F" w:rsidRPr="004A5F47">
        <w:rPr>
          <w:rFonts w:ascii="Book Antiqua" w:eastAsia="Book Antiqua" w:hAnsi="Book Antiqua" w:cs="Book Antiqua"/>
          <w:color w:val="000000"/>
          <w:vertAlign w:val="superscript"/>
        </w:rPr>
        <w:t>[10,18]</w:t>
      </w:r>
      <w:r w:rsidRPr="004A5F47">
        <w:rPr>
          <w:rFonts w:ascii="Book Antiqua" w:eastAsia="Book Antiqua" w:hAnsi="Book Antiqua" w:cs="Book Antiqua"/>
          <w:color w:val="000000"/>
        </w:rPr>
        <w:t>.</w:t>
      </w:r>
      <w:r w:rsidR="0053669F"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The increased incidence of ITBL</w:t>
      </w:r>
      <w:r w:rsidR="009D6F57"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in DCD grafts, which are characteri</w:t>
      </w:r>
      <w:r w:rsidR="00711756" w:rsidRPr="004A5F47">
        <w:rPr>
          <w:rFonts w:ascii="Book Antiqua" w:eastAsia="Book Antiqua" w:hAnsi="Book Antiqua" w:cs="Book Antiqua"/>
          <w:color w:val="000000"/>
        </w:rPr>
        <w:t>z</w:t>
      </w:r>
      <w:r w:rsidRPr="004A5F47">
        <w:rPr>
          <w:rFonts w:ascii="Book Antiqua" w:eastAsia="Book Antiqua" w:hAnsi="Book Antiqua" w:cs="Book Antiqua"/>
          <w:color w:val="000000"/>
        </w:rPr>
        <w:t>ed by a period of dWIT is well established, with ITBL rates of up to 39% following controlled DCD liver transplantation</w:t>
      </w:r>
      <w:r w:rsidR="0053669F" w:rsidRPr="004A5F47">
        <w:rPr>
          <w:rFonts w:ascii="Book Antiqua" w:eastAsia="Book Antiqua" w:hAnsi="Book Antiqua" w:cs="Book Antiqua"/>
          <w:color w:val="000000"/>
          <w:vertAlign w:val="superscript"/>
        </w:rPr>
        <w:t>[13,20,21]</w:t>
      </w:r>
      <w:r w:rsidRPr="004A5F47">
        <w:rPr>
          <w:rFonts w:ascii="Book Antiqua" w:eastAsia="Book Antiqua" w:hAnsi="Book Antiqua" w:cs="Book Antiqua"/>
          <w:color w:val="000000"/>
        </w:rPr>
        <w:t>.</w:t>
      </w:r>
      <w:r w:rsidR="0053669F"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The toxic effect of bile salts on </w:t>
      </w:r>
      <w:r w:rsidRPr="004A5F47">
        <w:rPr>
          <w:rFonts w:ascii="Book Antiqua" w:eastAsia="Book Antiqua" w:hAnsi="Book Antiqua" w:cs="Book Antiqua"/>
          <w:color w:val="000000"/>
        </w:rPr>
        <w:lastRenderedPageBreak/>
        <w:t>cholangiocytes at low temperatures during preservation is well known. Certain bile acids have been shown to promote the secretion of inflammatory mediators, and others are directly cytotoxic to cholangiocytes</w:t>
      </w:r>
      <w:r w:rsidR="0053669F" w:rsidRPr="004A5F47">
        <w:rPr>
          <w:rFonts w:ascii="Book Antiqua" w:eastAsia="Book Antiqua" w:hAnsi="Book Antiqua" w:cs="Book Antiqua"/>
          <w:color w:val="000000"/>
          <w:vertAlign w:val="superscript"/>
        </w:rPr>
        <w:t>[22]</w:t>
      </w:r>
      <w:r w:rsidRPr="004A5F47">
        <w:rPr>
          <w:rFonts w:ascii="Book Antiqua" w:eastAsia="Book Antiqua" w:hAnsi="Book Antiqua" w:cs="Book Antiqua"/>
          <w:color w:val="000000"/>
        </w:rPr>
        <w:t>.</w:t>
      </w:r>
      <w:r w:rsidR="0053669F"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In addition, new bile after implantation and its altered bile salt/phospholipid ratio have detrimental effect</w:t>
      </w:r>
      <w:r w:rsidR="00711756"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on biliary epithelium and induce NAS</w:t>
      </w:r>
      <w:r w:rsidR="0053669F" w:rsidRPr="004A5F47">
        <w:rPr>
          <w:rFonts w:ascii="Book Antiqua" w:eastAsia="Book Antiqua" w:hAnsi="Book Antiqua" w:cs="Book Antiqua"/>
          <w:color w:val="000000"/>
          <w:vertAlign w:val="superscript"/>
        </w:rPr>
        <w:t>[23-25]</w:t>
      </w:r>
      <w:r w:rsidRPr="004A5F47">
        <w:rPr>
          <w:rFonts w:ascii="Book Antiqua" w:eastAsia="Book Antiqua" w:hAnsi="Book Antiqua" w:cs="Book Antiqua"/>
          <w:color w:val="000000"/>
        </w:rPr>
        <w:t>.</w:t>
      </w:r>
      <w:r w:rsidR="0053669F"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An immune-mediated component to the cholangiocyte injury has also been proposed due to several clinical associations, but the mechanism remains under investigation. ITBL has</w:t>
      </w:r>
      <w:r w:rsidR="0053669F"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been demonstrated in association with ABO incompatibility, recurrence of immune-mediated liver diseases, cytomegalovirus infection, presence of </w:t>
      </w:r>
      <w:r w:rsidR="009D2382" w:rsidRPr="004A5F47">
        <w:rPr>
          <w:rFonts w:ascii="Book Antiqua" w:eastAsia="Book Antiqua" w:hAnsi="Book Antiqua" w:cs="Book Antiqua"/>
          <w:color w:val="000000"/>
        </w:rPr>
        <w:t>C-C chemokine receptor type 5,</w:t>
      </w:r>
      <w:r w:rsidRPr="004A5F47">
        <w:rPr>
          <w:rFonts w:ascii="Book Antiqua" w:eastAsia="Book Antiqua" w:hAnsi="Book Antiqua" w:cs="Book Antiqua"/>
          <w:color w:val="000000"/>
        </w:rPr>
        <w:t xml:space="preserve"> polymorphism, and acute or chronic rejection</w:t>
      </w:r>
      <w:r w:rsidR="0053669F" w:rsidRPr="004A5F47">
        <w:rPr>
          <w:rFonts w:ascii="Book Antiqua" w:eastAsia="Book Antiqua" w:hAnsi="Book Antiqua" w:cs="Book Antiqua"/>
          <w:color w:val="000000"/>
          <w:vertAlign w:val="superscript"/>
        </w:rPr>
        <w:t>[18]</w:t>
      </w:r>
      <w:r w:rsidRPr="004A5F47">
        <w:rPr>
          <w:rFonts w:ascii="Book Antiqua" w:eastAsia="Book Antiqua" w:hAnsi="Book Antiqua" w:cs="Book Antiqua"/>
          <w:color w:val="000000"/>
        </w:rPr>
        <w:t>.</w:t>
      </w:r>
    </w:p>
    <w:p w14:paraId="005E9009" w14:textId="065D0E2D" w:rsidR="00711756" w:rsidRPr="004A5F47" w:rsidRDefault="006A1FF4" w:rsidP="00815C0F">
      <w:pPr>
        <w:spacing w:line="360" w:lineRule="auto"/>
        <w:ind w:firstLineChars="112" w:firstLine="269"/>
        <w:jc w:val="both"/>
        <w:rPr>
          <w:rFonts w:ascii="Book Antiqua" w:hAnsi="Book Antiqua"/>
          <w:lang w:eastAsia="zh-CN"/>
        </w:rPr>
      </w:pPr>
      <w:r w:rsidRPr="004A5F47">
        <w:rPr>
          <w:rFonts w:ascii="Book Antiqua" w:eastAsia="Book Antiqua" w:hAnsi="Book Antiqua" w:cs="Book Antiqua"/>
          <w:color w:val="000000"/>
        </w:rPr>
        <w:t>The pathogenesis of ITBL</w:t>
      </w:r>
      <w:r w:rsidR="0053669F"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is multifactorial. Both the cold</w:t>
      </w:r>
      <w:r w:rsidR="00FD2598"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and warm ischemic periods induce the formation of reactive oxygen species (ROS). These ROS are generated as a result of Kupffer and polymorphonuclear cells activation, mitochondrial permeability transition production, oxidative changes in the structure of the biliary canaliculus and adenosine triphosphate </w:t>
      </w:r>
      <w:r w:rsidR="00FD2598" w:rsidRPr="004A5F47">
        <w:rPr>
          <w:rFonts w:ascii="Book Antiqua" w:hAnsi="Book Antiqua" w:cs="Book Antiqua"/>
          <w:color w:val="000000"/>
          <w:lang w:eastAsia="zh-CN"/>
        </w:rPr>
        <w:t>a</w:t>
      </w:r>
      <w:r w:rsidR="00FD2598" w:rsidRPr="004A5F47">
        <w:rPr>
          <w:rFonts w:ascii="Book Antiqua" w:eastAsia="Book Antiqua" w:hAnsi="Book Antiqua" w:cs="Book Antiqua"/>
          <w:color w:val="000000"/>
        </w:rPr>
        <w:t>denosine triphosphate (ATP)</w:t>
      </w:r>
      <w:r w:rsidRPr="004A5F47">
        <w:rPr>
          <w:rFonts w:ascii="Book Antiqua" w:eastAsia="Book Antiqua" w:hAnsi="Book Antiqua" w:cs="Book Antiqua"/>
          <w:color w:val="000000"/>
        </w:rPr>
        <w:t xml:space="preserve"> depletion. These all lead to the </w:t>
      </w:r>
      <w:r w:rsidR="00AC7371" w:rsidRPr="004A5F47">
        <w:rPr>
          <w:rFonts w:ascii="Book Antiqua" w:eastAsia="Book Antiqua" w:hAnsi="Book Antiqua" w:cs="Book Antiqua"/>
          <w:color w:val="000000"/>
        </w:rPr>
        <w:t>apoptosis</w:t>
      </w:r>
      <w:r w:rsidRPr="004A5F47">
        <w:rPr>
          <w:rFonts w:ascii="Book Antiqua" w:eastAsia="Book Antiqua" w:hAnsi="Book Antiqua" w:cs="Book Antiqua"/>
          <w:color w:val="000000"/>
        </w:rPr>
        <w:t xml:space="preserve"> and/or necrosis of the cholangiocytes. This mechanism is interrelated with the cytotoxic effect of bile salts, the cholestasis status induced by ischemia-reperfusion and different immune-mediated mechanisms, which all further propagate the biliary injury. Appropriate donor selection, the use of preservation fluids and MP are just some of the strategies which are thought to prevent this condition</w:t>
      </w:r>
      <w:r w:rsidR="00C05B5D" w:rsidRPr="004A5F47">
        <w:rPr>
          <w:rFonts w:ascii="Book Antiqua" w:eastAsia="Book Antiqua" w:hAnsi="Book Antiqua" w:cs="Book Antiqua"/>
          <w:color w:val="000000"/>
          <w:vertAlign w:val="superscript"/>
        </w:rPr>
        <w:t>[26]</w:t>
      </w:r>
      <w:r w:rsidRPr="004A5F47">
        <w:rPr>
          <w:rFonts w:ascii="Book Antiqua" w:eastAsia="Book Antiqua" w:hAnsi="Book Antiqua" w:cs="Book Antiqua"/>
          <w:color w:val="000000"/>
        </w:rPr>
        <w:t>.</w:t>
      </w:r>
    </w:p>
    <w:p w14:paraId="416216B9" w14:textId="3AF590E4" w:rsidR="00A77B3E"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t>The different mechanisms behind the diverse array of MP strategies may reduce the extent of cholangiocyte injury during the transplantation process, in comparison with static cold storage (SCS). This may have the subsequent clinical effect of preventing the development of ITBL</w:t>
      </w:r>
      <w:r w:rsidR="00711756"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The number of clinical studies on MP strategies continues to increase. With only a few exceptions, the primary outcomes focus mainly on graft and patient survival. In this review, we focus on the available clinical evidence for abdominal normothermic regional perfusion (A-NRP), and </w:t>
      </w:r>
      <w:r w:rsidRPr="004A5F47">
        <w:rPr>
          <w:rFonts w:ascii="Book Antiqua" w:eastAsia="Book Antiqua" w:hAnsi="Book Antiqua" w:cs="Book Antiqua"/>
          <w:i/>
          <w:color w:val="000000"/>
        </w:rPr>
        <w:t>ex</w:t>
      </w:r>
      <w:r w:rsidR="00711756" w:rsidRPr="004A5F47">
        <w:rPr>
          <w:rFonts w:ascii="Book Antiqua" w:eastAsia="Book Antiqua" w:hAnsi="Book Antiqua" w:cs="Book Antiqua"/>
          <w:i/>
          <w:color w:val="000000"/>
        </w:rPr>
        <w:t xml:space="preserve"> </w:t>
      </w:r>
      <w:r w:rsidRPr="004A5F47">
        <w:rPr>
          <w:rFonts w:ascii="Book Antiqua" w:eastAsia="Book Antiqua" w:hAnsi="Book Antiqua" w:cs="Book Antiqua"/>
          <w:i/>
          <w:color w:val="000000"/>
        </w:rPr>
        <w:t>situ</w:t>
      </w:r>
      <w:r w:rsidRPr="004A5F47">
        <w:rPr>
          <w:rFonts w:ascii="Book Antiqua" w:eastAsia="Book Antiqua" w:hAnsi="Book Antiqua" w:cs="Book Antiqua"/>
          <w:color w:val="000000"/>
        </w:rPr>
        <w:t xml:space="preserve"> </w:t>
      </w:r>
      <w:r w:rsidR="00FE58D0" w:rsidRPr="004A5F47">
        <w:rPr>
          <w:rFonts w:ascii="Book Antiqua" w:eastAsia="Book Antiqua" w:hAnsi="Book Antiqua" w:cs="Book Antiqua"/>
        </w:rPr>
        <w:t>hypothermic oxygenated perfusion</w:t>
      </w:r>
      <w:r w:rsidRPr="004A5F47">
        <w:rPr>
          <w:rFonts w:ascii="Book Antiqua" w:eastAsia="Book Antiqua" w:hAnsi="Book Antiqua" w:cs="Book Antiqua"/>
          <w:color w:val="000000"/>
        </w:rPr>
        <w:t xml:space="preserve"> (HOPE)</w:t>
      </w:r>
      <w:r w:rsidR="00711756"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and </w:t>
      </w:r>
      <w:r w:rsidR="0046683F" w:rsidRPr="004A5F47">
        <w:rPr>
          <w:rFonts w:ascii="Book Antiqua" w:eastAsia="Book Antiqua" w:hAnsi="Book Antiqua" w:cs="Book Antiqua"/>
        </w:rPr>
        <w:t>normothermic MP</w:t>
      </w:r>
      <w:r w:rsidRPr="004A5F47">
        <w:rPr>
          <w:rFonts w:ascii="Book Antiqua" w:eastAsia="Book Antiqua" w:hAnsi="Book Antiqua" w:cs="Book Antiqua"/>
          <w:color w:val="000000"/>
        </w:rPr>
        <w:t xml:space="preserve"> (NMP) in relation to the outcome of ITBL</w:t>
      </w:r>
      <w:r w:rsidR="009D6F57" w:rsidRPr="004A5F47">
        <w:rPr>
          <w:rFonts w:ascii="Book Antiqua" w:eastAsia="Book Antiqua" w:hAnsi="Book Antiqua" w:cs="Book Antiqua"/>
          <w:color w:val="000000"/>
        </w:rPr>
        <w:t>s</w:t>
      </w:r>
      <w:r w:rsidRPr="004A5F47">
        <w:rPr>
          <w:rFonts w:ascii="Book Antiqua" w:eastAsia="Book Antiqua" w:hAnsi="Book Antiqua" w:cs="Book Antiqua"/>
          <w:color w:val="000000"/>
        </w:rPr>
        <w:t>.</w:t>
      </w:r>
    </w:p>
    <w:p w14:paraId="6B0E9923" w14:textId="77777777" w:rsidR="00A77B3E" w:rsidRPr="004A5F47" w:rsidRDefault="00A77B3E" w:rsidP="00265460">
      <w:pPr>
        <w:spacing w:line="360" w:lineRule="auto"/>
        <w:jc w:val="both"/>
        <w:rPr>
          <w:rFonts w:ascii="Book Antiqua" w:hAnsi="Book Antiqua"/>
        </w:rPr>
      </w:pPr>
    </w:p>
    <w:p w14:paraId="58070481" w14:textId="4E2C4A3E" w:rsidR="008E6985" w:rsidRDefault="008E6985" w:rsidP="00265460">
      <w:pPr>
        <w:spacing w:line="360" w:lineRule="auto"/>
        <w:jc w:val="both"/>
        <w:rPr>
          <w:rFonts w:ascii="Book Antiqua" w:hAnsi="Book Antiqua"/>
        </w:rPr>
      </w:pPr>
    </w:p>
    <w:p w14:paraId="14291547" w14:textId="77777777" w:rsidR="003D7BD7" w:rsidRPr="004A5F47" w:rsidRDefault="003D7BD7" w:rsidP="00265460">
      <w:pPr>
        <w:spacing w:line="360" w:lineRule="auto"/>
        <w:jc w:val="both"/>
        <w:rPr>
          <w:rFonts w:ascii="Book Antiqua" w:hAnsi="Book Antiqua"/>
        </w:rPr>
      </w:pPr>
    </w:p>
    <w:p w14:paraId="2A15BD11" w14:textId="5652D6FB" w:rsidR="00A77B3E" w:rsidRPr="004A5F47" w:rsidRDefault="006A1FF4" w:rsidP="00265460">
      <w:pPr>
        <w:spacing w:line="360" w:lineRule="auto"/>
        <w:jc w:val="both"/>
        <w:rPr>
          <w:rFonts w:ascii="Book Antiqua" w:eastAsia="Book Antiqua" w:hAnsi="Book Antiqua" w:cs="Book Antiqua"/>
          <w:b/>
          <w:caps/>
          <w:color w:val="000000"/>
          <w:u w:val="single"/>
        </w:rPr>
      </w:pPr>
      <w:r w:rsidRPr="004A5F47">
        <w:rPr>
          <w:rFonts w:ascii="Book Antiqua" w:eastAsia="Book Antiqua" w:hAnsi="Book Antiqua" w:cs="Book Antiqua"/>
          <w:b/>
          <w:caps/>
          <w:color w:val="000000"/>
          <w:u w:val="single"/>
        </w:rPr>
        <w:lastRenderedPageBreak/>
        <w:t xml:space="preserve">Prevention of </w:t>
      </w:r>
      <w:r w:rsidR="002D791C" w:rsidRPr="004A5F47">
        <w:rPr>
          <w:rFonts w:ascii="Book Antiqua" w:eastAsia="Book Antiqua" w:hAnsi="Book Antiqua" w:cs="Book Antiqua"/>
          <w:b/>
          <w:caps/>
          <w:color w:val="000000"/>
          <w:u w:val="single"/>
        </w:rPr>
        <w:t>ITBL</w:t>
      </w:r>
      <w:r w:rsidR="009D6F57" w:rsidRPr="004A5F47">
        <w:rPr>
          <w:rFonts w:ascii="Book Antiqua" w:eastAsia="Book Antiqua" w:hAnsi="Book Antiqua" w:cs="Book Antiqua"/>
          <w:b/>
          <w:caps/>
          <w:color w:val="000000"/>
          <w:u w:val="single"/>
        </w:rPr>
        <w:t>s</w:t>
      </w:r>
      <w:r w:rsidRPr="004A5F47">
        <w:rPr>
          <w:rFonts w:ascii="Book Antiqua" w:eastAsia="Book Antiqua" w:hAnsi="Book Antiqua" w:cs="Book Antiqua"/>
          <w:b/>
          <w:caps/>
          <w:color w:val="000000"/>
          <w:u w:val="single"/>
        </w:rPr>
        <w:t xml:space="preserve"> </w:t>
      </w:r>
      <w:r w:rsidRPr="004A5F47">
        <w:rPr>
          <w:rFonts w:ascii="Book Antiqua" w:eastAsia="Book Antiqua" w:hAnsi="Book Antiqua" w:cs="Book Antiqua"/>
          <w:b/>
          <w:i/>
          <w:caps/>
          <w:color w:val="000000"/>
          <w:u w:val="single"/>
        </w:rPr>
        <w:t>via</w:t>
      </w:r>
      <w:r w:rsidRPr="004A5F47">
        <w:rPr>
          <w:rFonts w:ascii="Book Antiqua" w:eastAsia="Book Antiqua" w:hAnsi="Book Antiqua" w:cs="Book Antiqua"/>
          <w:b/>
          <w:caps/>
          <w:color w:val="000000"/>
          <w:u w:val="single"/>
        </w:rPr>
        <w:t xml:space="preserve"> </w:t>
      </w:r>
      <w:r w:rsidR="00B356D8" w:rsidRPr="004A5F47">
        <w:rPr>
          <w:rFonts w:ascii="Book Antiqua" w:eastAsia="Book Antiqua" w:hAnsi="Book Antiqua" w:cs="Book Antiqua"/>
          <w:b/>
          <w:caps/>
          <w:color w:val="000000"/>
          <w:u w:val="single"/>
        </w:rPr>
        <w:t>MP</w:t>
      </w:r>
    </w:p>
    <w:p w14:paraId="4FE30679" w14:textId="3BB8FAAD"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color w:val="000000"/>
        </w:rPr>
        <w:t xml:space="preserve">The incidence of ITBL posttransplant varies considerably between institution and nations. These differences likely relate to the type of organ donation permitted, ranging from </w:t>
      </w:r>
      <w:r w:rsidR="00497A67" w:rsidRPr="004A5F47">
        <w:rPr>
          <w:rFonts w:ascii="Book Antiqua" w:hAnsi="Book Antiqua" w:cs="Book Antiqua"/>
          <w:color w:val="000000"/>
          <w:lang w:eastAsia="zh-CN"/>
        </w:rPr>
        <w:t>d</w:t>
      </w:r>
      <w:r w:rsidR="00497A67" w:rsidRPr="004A5F47">
        <w:rPr>
          <w:rFonts w:ascii="Book Antiqua" w:eastAsia="Book Antiqua" w:hAnsi="Book Antiqua" w:cs="Book Antiqua"/>
          <w:color w:val="000000"/>
        </w:rPr>
        <w:t xml:space="preserve">onor after </w:t>
      </w:r>
      <w:r w:rsidR="00497A67" w:rsidRPr="004A5F47">
        <w:rPr>
          <w:rFonts w:ascii="Book Antiqua" w:hAnsi="Book Antiqua" w:cs="Book Antiqua"/>
          <w:color w:val="000000"/>
          <w:lang w:eastAsia="zh-CN"/>
        </w:rPr>
        <w:t>b</w:t>
      </w:r>
      <w:r w:rsidR="00497A67" w:rsidRPr="004A5F47">
        <w:rPr>
          <w:rFonts w:ascii="Book Antiqua" w:eastAsia="Book Antiqua" w:hAnsi="Book Antiqua" w:cs="Book Antiqua"/>
          <w:color w:val="000000"/>
        </w:rPr>
        <w:t xml:space="preserve">rain </w:t>
      </w:r>
      <w:r w:rsidR="00497A67" w:rsidRPr="004A5F47">
        <w:rPr>
          <w:rFonts w:ascii="Book Antiqua" w:hAnsi="Book Antiqua" w:cs="Book Antiqua"/>
          <w:color w:val="000000"/>
          <w:lang w:eastAsia="zh-CN"/>
        </w:rPr>
        <w:t>d</w:t>
      </w:r>
      <w:r w:rsidR="00497A67" w:rsidRPr="004A5F47">
        <w:rPr>
          <w:rFonts w:ascii="Book Antiqua" w:eastAsia="Book Antiqua" w:hAnsi="Book Antiqua" w:cs="Book Antiqua"/>
          <w:color w:val="000000"/>
        </w:rPr>
        <w:t xml:space="preserve">eath </w:t>
      </w:r>
      <w:r w:rsidR="00497A67" w:rsidRPr="004A5F47">
        <w:rPr>
          <w:rFonts w:ascii="Book Antiqua" w:hAnsi="Book Antiqua" w:cs="Book Antiqua"/>
          <w:color w:val="000000"/>
          <w:lang w:eastAsia="zh-CN"/>
        </w:rPr>
        <w:t>(</w:t>
      </w:r>
      <w:r w:rsidRPr="004A5F47">
        <w:rPr>
          <w:rFonts w:ascii="Book Antiqua" w:eastAsia="Book Antiqua" w:hAnsi="Book Antiqua" w:cs="Book Antiqua"/>
          <w:color w:val="000000"/>
        </w:rPr>
        <w:t>DBD</w:t>
      </w:r>
      <w:r w:rsidR="00497A67" w:rsidRPr="004A5F47">
        <w:rPr>
          <w:rFonts w:ascii="Book Antiqua" w:hAnsi="Book Antiqua" w:cs="Book Antiqua"/>
          <w:color w:val="000000"/>
          <w:lang w:eastAsia="zh-CN"/>
        </w:rPr>
        <w:t>)</w:t>
      </w:r>
      <w:r w:rsidRPr="004A5F47">
        <w:rPr>
          <w:rFonts w:ascii="Book Antiqua" w:eastAsia="Book Antiqua" w:hAnsi="Book Antiqua" w:cs="Book Antiqua"/>
          <w:color w:val="000000"/>
        </w:rPr>
        <w:t xml:space="preserve"> donors only in some parts of the world, to uncontrolled DCD donors in others. Different national laws regarding the donor age and the ‘no-touch’ period following asystole in DCD donors likely influences outcome, and these matters also complicate the results and interpretation of clinical trials on MP. In addition, it should be noted that the lack of clear and consistent definitions of ITBL</w:t>
      </w:r>
      <w:r w:rsidR="009D6F57"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in the currently available literature makes the assessment of the true impact challenging. Many studies either do not differentiate between anastomotic, ischemic NAS and ITBL</w:t>
      </w:r>
      <w:r w:rsidR="00062B9D" w:rsidRPr="004A5F47">
        <w:rPr>
          <w:rFonts w:ascii="Book Antiqua" w:eastAsia="Book Antiqua" w:hAnsi="Book Antiqua" w:cs="Book Antiqua"/>
          <w:color w:val="000000"/>
        </w:rPr>
        <w:t>s</w:t>
      </w:r>
      <w:r w:rsidR="00711756"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furthermore they may include both symptomatic and nonsymptomatic cases</w:t>
      </w:r>
      <w:r w:rsidR="00B5417A" w:rsidRPr="004A5F47">
        <w:rPr>
          <w:rFonts w:ascii="Book Antiqua" w:eastAsia="Book Antiqua" w:hAnsi="Book Antiqua" w:cs="Book Antiqua"/>
          <w:color w:val="000000"/>
          <w:vertAlign w:val="superscript"/>
        </w:rPr>
        <w:t>[27]</w:t>
      </w:r>
      <w:r w:rsidRPr="004A5F47">
        <w:rPr>
          <w:rFonts w:ascii="Book Antiqua" w:eastAsia="Book Antiqua" w:hAnsi="Book Antiqua" w:cs="Book Antiqua"/>
          <w:color w:val="000000"/>
        </w:rPr>
        <w:t>.</w:t>
      </w:r>
      <w:r w:rsidR="00B5417A"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With these limitations in mind, a literature search was performed in October 2022 using PUBMED</w:t>
      </w:r>
      <w:r w:rsidRPr="004A5F47">
        <w:rPr>
          <w:rFonts w:ascii="Book Antiqua" w:eastAsia="Book Antiqua" w:hAnsi="Book Antiqua" w:cs="Book Antiqua"/>
          <w:color w:val="000000"/>
          <w:vertAlign w:val="superscript"/>
        </w:rPr>
        <w:t>®</w:t>
      </w:r>
      <w:r w:rsidRPr="004A5F47">
        <w:rPr>
          <w:rFonts w:ascii="Book Antiqua" w:eastAsia="Book Antiqua" w:hAnsi="Book Antiqua" w:cs="Book Antiqua"/>
          <w:color w:val="000000"/>
        </w:rPr>
        <w:t>, Embase</w:t>
      </w:r>
      <w:r w:rsidRPr="004A5F47">
        <w:rPr>
          <w:rFonts w:ascii="Book Antiqua" w:eastAsia="Book Antiqua" w:hAnsi="Book Antiqua" w:cs="Book Antiqua"/>
          <w:color w:val="000000"/>
          <w:vertAlign w:val="superscript"/>
        </w:rPr>
        <w:t>®</w:t>
      </w:r>
      <w:r w:rsidR="00711756"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and Medline</w:t>
      </w:r>
      <w:r w:rsidRPr="004A5F47">
        <w:rPr>
          <w:rFonts w:ascii="Book Antiqua" w:eastAsia="Book Antiqua" w:hAnsi="Book Antiqua" w:cs="Book Antiqua"/>
          <w:color w:val="000000"/>
          <w:vertAlign w:val="superscript"/>
        </w:rPr>
        <w:t>®</w:t>
      </w:r>
      <w:r w:rsidRPr="004A5F47">
        <w:rPr>
          <w:rFonts w:ascii="Book Antiqua" w:eastAsia="Book Antiqua" w:hAnsi="Book Antiqua" w:cs="Book Antiqua"/>
          <w:color w:val="000000"/>
        </w:rPr>
        <w:t>. Publications were restricted to those in English, however no further search filters were applied. The following search terms were used (in different combinations with Boolean operators)</w:t>
      </w:r>
      <w:r w:rsidR="00711756"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w:t>
      </w:r>
      <w:r w:rsidR="00335E48" w:rsidRPr="004A5F47">
        <w:rPr>
          <w:rFonts w:ascii="Book Antiqua" w:hAnsi="Book Antiqua" w:cs="Book Antiqua"/>
          <w:color w:val="000000"/>
          <w:lang w:eastAsia="zh-CN"/>
        </w:rPr>
        <w:t>l</w:t>
      </w:r>
      <w:r w:rsidRPr="004A5F47">
        <w:rPr>
          <w:rFonts w:ascii="Book Antiqua" w:eastAsia="Book Antiqua" w:hAnsi="Book Antiqua" w:cs="Book Antiqua"/>
          <w:color w:val="000000"/>
        </w:rPr>
        <w:t xml:space="preserve">iver, transplant, biliary stricture, </w:t>
      </w:r>
      <w:r w:rsidR="002D791C" w:rsidRPr="004A5F47">
        <w:rPr>
          <w:rFonts w:ascii="Book Antiqua" w:eastAsia="Book Antiqua" w:hAnsi="Book Antiqua" w:cs="Book Antiqua"/>
        </w:rPr>
        <w:t>ITBL</w:t>
      </w:r>
      <w:r w:rsidR="00062B9D" w:rsidRPr="004A5F47">
        <w:rPr>
          <w:rFonts w:ascii="Book Antiqua" w:eastAsia="Book Antiqua" w:hAnsi="Book Antiqua" w:cs="Book Antiqua"/>
        </w:rPr>
        <w:t>s</w:t>
      </w:r>
      <w:r w:rsidRPr="004A5F47">
        <w:rPr>
          <w:rFonts w:ascii="Book Antiqua" w:eastAsia="Book Antiqua" w:hAnsi="Book Antiqua" w:cs="Book Antiqua"/>
          <w:color w:val="000000"/>
        </w:rPr>
        <w:t xml:space="preserve">, </w:t>
      </w:r>
      <w:r w:rsidR="00B356D8" w:rsidRPr="004A5F47">
        <w:rPr>
          <w:rFonts w:ascii="Book Antiqua" w:eastAsia="Book Antiqua" w:hAnsi="Book Antiqua" w:cs="Book Antiqua"/>
        </w:rPr>
        <w:t>MP</w:t>
      </w:r>
      <w:r w:rsidRPr="004A5F47">
        <w:rPr>
          <w:rFonts w:ascii="Book Antiqua" w:eastAsia="Book Antiqua" w:hAnsi="Book Antiqua" w:cs="Book Antiqua"/>
          <w:color w:val="000000"/>
        </w:rPr>
        <w:t xml:space="preserve">, machine preservation, normothermic, hypothermic, </w:t>
      </w:r>
      <w:r w:rsidR="00711756" w:rsidRPr="004A5F47">
        <w:rPr>
          <w:rFonts w:ascii="Book Antiqua" w:eastAsia="Book Antiqua" w:hAnsi="Book Antiqua" w:cs="Book Antiqua"/>
          <w:color w:val="000000"/>
        </w:rPr>
        <w:t xml:space="preserve">and </w:t>
      </w:r>
      <w:r w:rsidR="001D6B3C" w:rsidRPr="004A5F47">
        <w:rPr>
          <w:rFonts w:ascii="Book Antiqua" w:eastAsia="Book Antiqua" w:hAnsi="Book Antiqua" w:cs="Book Antiqua"/>
        </w:rPr>
        <w:t>NRP</w:t>
      </w:r>
      <w:r w:rsidRPr="004A5F47">
        <w:rPr>
          <w:rFonts w:ascii="Book Antiqua" w:eastAsia="Book Antiqua" w:hAnsi="Book Antiqua" w:cs="Book Antiqua"/>
          <w:color w:val="000000"/>
        </w:rPr>
        <w:t>. Both prospective and retrospective studies were included if they included outcome data</w:t>
      </w:r>
      <w:r w:rsidR="00B5417A"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pertaining to biliary strictures. Studies without a control (or comparator) group were excluded. A pooled analysis was not performed due to a significant variation in study methodology, MP application technique, and outcome definitions. Institutional ethical approval was not required.</w:t>
      </w:r>
    </w:p>
    <w:p w14:paraId="537C3D20" w14:textId="77777777" w:rsidR="00A77B3E" w:rsidRPr="004A5F47" w:rsidRDefault="00A77B3E" w:rsidP="00265460">
      <w:pPr>
        <w:spacing w:line="360" w:lineRule="auto"/>
        <w:jc w:val="both"/>
        <w:rPr>
          <w:rFonts w:ascii="Book Antiqua" w:hAnsi="Book Antiqua"/>
        </w:rPr>
      </w:pPr>
    </w:p>
    <w:p w14:paraId="5B57B1D6" w14:textId="47616BBA" w:rsidR="00A77B3E" w:rsidRPr="004A5F47" w:rsidRDefault="006A1FF4" w:rsidP="00265460">
      <w:pPr>
        <w:spacing w:line="360" w:lineRule="auto"/>
        <w:jc w:val="both"/>
        <w:rPr>
          <w:rFonts w:ascii="Book Antiqua" w:hAnsi="Book Antiqua"/>
          <w:b/>
          <w:i/>
          <w:lang w:eastAsia="zh-CN"/>
        </w:rPr>
      </w:pPr>
      <w:r w:rsidRPr="004A5F47">
        <w:rPr>
          <w:rFonts w:ascii="Book Antiqua" w:eastAsia="Book Antiqua" w:hAnsi="Book Antiqua" w:cs="Book Antiqua"/>
          <w:b/>
          <w:bCs/>
          <w:i/>
          <w:color w:val="000000"/>
          <w:u w:color="000000"/>
        </w:rPr>
        <w:t>A</w:t>
      </w:r>
      <w:r w:rsidR="001D6B3C" w:rsidRPr="004A5F47">
        <w:rPr>
          <w:rFonts w:ascii="Book Antiqua" w:hAnsi="Book Antiqua" w:cs="Book Antiqua"/>
          <w:b/>
          <w:bCs/>
          <w:i/>
          <w:color w:val="000000"/>
          <w:u w:color="000000"/>
          <w:lang w:eastAsia="zh-CN"/>
        </w:rPr>
        <w:t>-</w:t>
      </w:r>
      <w:r w:rsidR="001D6B3C" w:rsidRPr="004A5F47">
        <w:rPr>
          <w:rFonts w:ascii="Book Antiqua" w:eastAsia="Book Antiqua" w:hAnsi="Book Antiqua" w:cs="Book Antiqua"/>
          <w:b/>
          <w:i/>
        </w:rPr>
        <w:t>NRP</w:t>
      </w:r>
      <w:r w:rsidRPr="004A5F47">
        <w:rPr>
          <w:rFonts w:ascii="Book Antiqua" w:eastAsia="Book Antiqua" w:hAnsi="Book Antiqua" w:cs="Book Antiqua"/>
          <w:b/>
          <w:bCs/>
          <w:i/>
          <w:color w:val="000000"/>
          <w:u w:color="000000"/>
        </w:rPr>
        <w:t xml:space="preserve"> and </w:t>
      </w:r>
      <w:r w:rsidR="002D791C" w:rsidRPr="004A5F47">
        <w:rPr>
          <w:rFonts w:ascii="Book Antiqua" w:eastAsia="Book Antiqua" w:hAnsi="Book Antiqua" w:cs="Book Antiqua"/>
          <w:b/>
          <w:i/>
        </w:rPr>
        <w:t>ITBL</w:t>
      </w:r>
      <w:r w:rsidR="00062B9D" w:rsidRPr="004A5F47">
        <w:rPr>
          <w:rFonts w:ascii="Book Antiqua" w:eastAsia="Book Antiqua" w:hAnsi="Book Antiqua" w:cs="Book Antiqua"/>
          <w:b/>
          <w:i/>
        </w:rPr>
        <w:t>s</w:t>
      </w:r>
    </w:p>
    <w:p w14:paraId="4E4E40E6" w14:textId="0DC032D9" w:rsidR="00A77B3E" w:rsidRPr="004A5F47" w:rsidRDefault="006A1FF4" w:rsidP="00265460">
      <w:pPr>
        <w:spacing w:line="360" w:lineRule="auto"/>
        <w:jc w:val="both"/>
        <w:rPr>
          <w:rFonts w:ascii="Book Antiqua" w:hAnsi="Book Antiqua"/>
          <w:lang w:eastAsia="zh-CN"/>
        </w:rPr>
      </w:pPr>
      <w:r w:rsidRPr="004A5F47">
        <w:rPr>
          <w:rFonts w:ascii="Book Antiqua" w:eastAsia="Book Antiqua" w:hAnsi="Book Antiqua" w:cs="Book Antiqua"/>
          <w:color w:val="000000"/>
        </w:rPr>
        <w:t>A-NRP is an</w:t>
      </w:r>
      <w:r w:rsidR="00172B01" w:rsidRPr="004A5F47">
        <w:rPr>
          <w:rFonts w:ascii="Book Antiqua" w:hAnsi="Book Antiqua" w:cs="Book Antiqua"/>
          <w:color w:val="000000"/>
          <w:lang w:eastAsia="zh-CN"/>
        </w:rPr>
        <w:t xml:space="preserve"> </w:t>
      </w:r>
      <w:r w:rsidRPr="004A5F47">
        <w:rPr>
          <w:rFonts w:ascii="Book Antiqua" w:eastAsia="Book Antiqua" w:hAnsi="Book Antiqua" w:cs="Book Antiqua"/>
          <w:i/>
          <w:iCs/>
          <w:color w:val="000000"/>
        </w:rPr>
        <w:t>in</w:t>
      </w:r>
      <w:r w:rsidR="00711756" w:rsidRPr="004A5F47">
        <w:rPr>
          <w:rFonts w:ascii="Book Antiqua" w:eastAsia="Book Antiqua" w:hAnsi="Book Antiqua" w:cs="Book Antiqua"/>
          <w:i/>
          <w:iCs/>
          <w:color w:val="000000"/>
        </w:rPr>
        <w:t xml:space="preserve"> </w:t>
      </w:r>
      <w:r w:rsidRPr="004A5F47">
        <w:rPr>
          <w:rFonts w:ascii="Book Antiqua" w:eastAsia="Book Antiqua" w:hAnsi="Book Antiqua" w:cs="Book Antiqua"/>
          <w:i/>
          <w:iCs/>
          <w:color w:val="000000"/>
        </w:rPr>
        <w:t>situ</w:t>
      </w:r>
      <w:r w:rsidR="00172B01"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preservation technique using an extracorporeal oxygenated membrane, restoring the perfusion of abdominal organs after the donor is declared deceased.</w:t>
      </w:r>
      <w:r w:rsidR="00172B01"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This technique may lead to a reduction in the dWIT depending on the timing of cannulation</w:t>
      </w:r>
      <w:r w:rsidR="00711756"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however</w:t>
      </w:r>
      <w:r w:rsidR="00711756"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it provides a period of resuscitation immediately after the cellular injury incurred from the dWIT. The provision of near physiological conditions during A-NRP provides a period in which cells can recover their energy stores, therefore </w:t>
      </w:r>
      <w:r w:rsidRPr="004A5F47">
        <w:rPr>
          <w:rFonts w:ascii="Book Antiqua" w:eastAsia="Book Antiqua" w:hAnsi="Book Antiqua" w:cs="Book Antiqua"/>
          <w:color w:val="000000"/>
        </w:rPr>
        <w:lastRenderedPageBreak/>
        <w:t>they tolerate the CIT with minimal additional injury. It can also provide information about graft viability</w:t>
      </w:r>
      <w:r w:rsidR="00172B01"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and reduce the effects of the IRI process</w:t>
      </w:r>
      <w:r w:rsidRPr="004A5F47">
        <w:rPr>
          <w:rFonts w:ascii="Book Antiqua" w:eastAsia="Book Antiqua" w:hAnsi="Book Antiqua" w:cs="Book Antiqua"/>
          <w:color w:val="000000"/>
          <w:vertAlign w:val="superscript"/>
        </w:rPr>
        <w:t>[28]</w:t>
      </w:r>
      <w:r w:rsidRPr="004A5F47">
        <w:rPr>
          <w:rFonts w:ascii="Book Antiqua" w:eastAsia="Book Antiqua" w:hAnsi="Book Antiqua" w:cs="Book Antiqua"/>
          <w:color w:val="000000"/>
        </w:rPr>
        <w:t>.</w:t>
      </w:r>
    </w:p>
    <w:p w14:paraId="01B7E4BB" w14:textId="35D35DB1" w:rsidR="00A77B3E" w:rsidRPr="004A5F47" w:rsidRDefault="006A1FF4" w:rsidP="00815C0F">
      <w:pPr>
        <w:spacing w:line="360" w:lineRule="auto"/>
        <w:ind w:firstLineChars="112" w:firstLine="269"/>
        <w:jc w:val="both"/>
        <w:rPr>
          <w:rFonts w:ascii="Book Antiqua" w:hAnsi="Book Antiqua"/>
          <w:lang w:eastAsia="zh-CN"/>
        </w:rPr>
      </w:pPr>
      <w:r w:rsidRPr="004A5F47">
        <w:rPr>
          <w:rFonts w:ascii="Book Antiqua" w:eastAsia="Book Antiqua" w:hAnsi="Book Antiqua" w:cs="Book Antiqua"/>
          <w:color w:val="000000"/>
        </w:rPr>
        <w:t>In recent years, countries such as Spain, France, U</w:t>
      </w:r>
      <w:r w:rsidR="00172B01" w:rsidRPr="004A5F47">
        <w:rPr>
          <w:rFonts w:ascii="Book Antiqua" w:hAnsi="Book Antiqua" w:cs="Book Antiqua"/>
          <w:color w:val="000000"/>
          <w:lang w:eastAsia="zh-CN"/>
        </w:rPr>
        <w:t xml:space="preserve">nited </w:t>
      </w:r>
      <w:r w:rsidRPr="004A5F47">
        <w:rPr>
          <w:rFonts w:ascii="Book Antiqua" w:eastAsia="Book Antiqua" w:hAnsi="Book Antiqua" w:cs="Book Antiqua"/>
          <w:color w:val="000000"/>
        </w:rPr>
        <w:t>K</w:t>
      </w:r>
      <w:r w:rsidR="00172B01" w:rsidRPr="004A5F47">
        <w:rPr>
          <w:rFonts w:ascii="Book Antiqua" w:hAnsi="Book Antiqua" w:cs="Book Antiqua"/>
          <w:color w:val="000000"/>
          <w:lang w:eastAsia="zh-CN"/>
        </w:rPr>
        <w:t>ingdom</w:t>
      </w:r>
      <w:r w:rsidR="00711756" w:rsidRPr="004A5F47">
        <w:rPr>
          <w:rFonts w:ascii="Book Antiqua" w:hAnsi="Book Antiqua" w:cs="Book Antiqua"/>
          <w:color w:val="000000"/>
          <w:lang w:eastAsia="zh-CN"/>
        </w:rPr>
        <w:t>,</w:t>
      </w:r>
      <w:r w:rsidRPr="004A5F47">
        <w:rPr>
          <w:rFonts w:ascii="Book Antiqua" w:eastAsia="Book Antiqua" w:hAnsi="Book Antiqua" w:cs="Book Antiqua"/>
          <w:color w:val="000000"/>
        </w:rPr>
        <w:t xml:space="preserve"> and Italy have developed different A-NRP protocols as a strategy to improve the outcomes of DCD grafts</w:t>
      </w:r>
      <w:r w:rsidRPr="004A5F47">
        <w:rPr>
          <w:rFonts w:ascii="Book Antiqua" w:eastAsia="Book Antiqua" w:hAnsi="Book Antiqua" w:cs="Book Antiqua"/>
          <w:color w:val="000000"/>
          <w:vertAlign w:val="superscript"/>
        </w:rPr>
        <w:t>[29-33]</w:t>
      </w:r>
      <w:r w:rsidRPr="004A5F47">
        <w:rPr>
          <w:rFonts w:ascii="Book Antiqua" w:eastAsia="Book Antiqua" w:hAnsi="Book Antiqua" w:cs="Book Antiqua"/>
          <w:color w:val="000000"/>
        </w:rPr>
        <w:t>. These protocols differ in the liver viability criteria utili</w:t>
      </w:r>
      <w:r w:rsidR="00711756" w:rsidRPr="004A5F47">
        <w:rPr>
          <w:rFonts w:ascii="Book Antiqua" w:eastAsia="Book Antiqua" w:hAnsi="Book Antiqua" w:cs="Book Antiqua"/>
          <w:color w:val="000000"/>
        </w:rPr>
        <w:t>z</w:t>
      </w:r>
      <w:r w:rsidRPr="004A5F47">
        <w:rPr>
          <w:rFonts w:ascii="Book Antiqua" w:eastAsia="Book Antiqua" w:hAnsi="Book Antiqua" w:cs="Book Antiqua"/>
          <w:color w:val="000000"/>
        </w:rPr>
        <w:t>ed “no-touch” periods required, pre-mortem substance administration</w:t>
      </w:r>
      <w:r w:rsidR="00273825"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and vessel cannulation. All countries aforementioned have a mandatory no-touch period of 5 min except Italy, which requires 20 min. This inevitably lengthens the dWIT. Sedative analgesia administration is not allowed in the </w:t>
      </w:r>
      <w:r w:rsidR="00172B01" w:rsidRPr="004A5F47">
        <w:rPr>
          <w:rFonts w:ascii="Book Antiqua" w:eastAsia="Book Antiqua" w:hAnsi="Book Antiqua" w:cs="Book Antiqua"/>
          <w:color w:val="000000"/>
        </w:rPr>
        <w:t>U</w:t>
      </w:r>
      <w:r w:rsidR="00172B01" w:rsidRPr="004A5F47">
        <w:rPr>
          <w:rFonts w:ascii="Book Antiqua" w:hAnsi="Book Antiqua" w:cs="Book Antiqua"/>
          <w:color w:val="000000"/>
          <w:lang w:eastAsia="zh-CN"/>
        </w:rPr>
        <w:t xml:space="preserve">nited </w:t>
      </w:r>
      <w:r w:rsidR="00172B01" w:rsidRPr="004A5F47">
        <w:rPr>
          <w:rFonts w:ascii="Book Antiqua" w:eastAsia="Book Antiqua" w:hAnsi="Book Antiqua" w:cs="Book Antiqua"/>
          <w:color w:val="000000"/>
        </w:rPr>
        <w:t>K</w:t>
      </w:r>
      <w:r w:rsidR="00172B01" w:rsidRPr="004A5F47">
        <w:rPr>
          <w:rFonts w:ascii="Book Antiqua" w:hAnsi="Book Antiqua" w:cs="Book Antiqua"/>
          <w:color w:val="000000"/>
          <w:lang w:eastAsia="zh-CN"/>
        </w:rPr>
        <w:t>ingdom</w:t>
      </w:r>
      <w:r w:rsidRPr="004A5F47">
        <w:rPr>
          <w:rFonts w:ascii="Book Antiqua" w:eastAsia="Book Antiqua" w:hAnsi="Book Antiqua" w:cs="Book Antiqua"/>
          <w:color w:val="000000"/>
        </w:rPr>
        <w:t>, in contrast to other countries. In Spain, premortem cannulation is allowed while in Italy and France only the identification of femoral vessels to ease cannulation is permitted. The obvious benefit of premortem cannulation is that it minimi</w:t>
      </w:r>
      <w:r w:rsidR="00273825" w:rsidRPr="004A5F47">
        <w:rPr>
          <w:rFonts w:ascii="Book Antiqua" w:eastAsia="Book Antiqua" w:hAnsi="Book Antiqua" w:cs="Book Antiqua"/>
          <w:color w:val="000000"/>
        </w:rPr>
        <w:t>z</w:t>
      </w:r>
      <w:r w:rsidRPr="004A5F47">
        <w:rPr>
          <w:rFonts w:ascii="Book Antiqua" w:eastAsia="Book Antiqua" w:hAnsi="Book Antiqua" w:cs="Book Antiqua"/>
          <w:color w:val="000000"/>
        </w:rPr>
        <w:t>es the dWIT and could achieve better outcomes as a result</w:t>
      </w:r>
      <w:r w:rsidR="00172B01" w:rsidRPr="004A5F47">
        <w:rPr>
          <w:rFonts w:ascii="Book Antiqua" w:eastAsia="Book Antiqua" w:hAnsi="Book Antiqua" w:cs="Book Antiqua"/>
          <w:color w:val="000000"/>
          <w:vertAlign w:val="superscript"/>
        </w:rPr>
        <w:t>[34]</w:t>
      </w:r>
      <w:r w:rsidRPr="004A5F47">
        <w:rPr>
          <w:rFonts w:ascii="Book Antiqua" w:eastAsia="Book Antiqua" w:hAnsi="Book Antiqua" w:cs="Book Antiqua"/>
          <w:color w:val="000000"/>
        </w:rPr>
        <w:t>.</w:t>
      </w:r>
      <w:r w:rsidR="00172B01"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During A-NRP, certain viability parameters are measured, the most common among the different protocols are transaminase levels. Despite transaminase levels being widely accepted, it only reflects hepatocyte injury and not cholangiocytes. Other viability criteria employed include A-NRP duration</w:t>
      </w:r>
      <w:r w:rsidRPr="004A5F47">
        <w:rPr>
          <w:rFonts w:ascii="Book Antiqua" w:eastAsia="Book Antiqua" w:hAnsi="Book Antiqua" w:cs="Book Antiqua"/>
          <w:color w:val="000000"/>
          <w:vertAlign w:val="superscript"/>
        </w:rPr>
        <w:t>[31]</w:t>
      </w:r>
      <w:r w:rsidRPr="004A5F47">
        <w:rPr>
          <w:rFonts w:ascii="Book Antiqua" w:eastAsia="Book Antiqua" w:hAnsi="Book Antiqua" w:cs="Book Antiqua"/>
          <w:color w:val="000000"/>
        </w:rPr>
        <w:t>, lactate clearance</w:t>
      </w:r>
      <w:r w:rsidRPr="004A5F47">
        <w:rPr>
          <w:rFonts w:ascii="Book Antiqua" w:eastAsia="Book Antiqua" w:hAnsi="Book Antiqua" w:cs="Book Antiqua"/>
          <w:color w:val="000000"/>
          <w:vertAlign w:val="superscript"/>
        </w:rPr>
        <w:t>[30]</w:t>
      </w:r>
      <w:r w:rsidR="00273825" w:rsidRPr="004A5F47">
        <w:rPr>
          <w:rFonts w:ascii="Book Antiqua" w:eastAsia="Book Antiqua" w:hAnsi="Book Antiqua" w:cs="Book Antiqua"/>
          <w:color w:val="000000"/>
        </w:rPr>
        <w:t>,</w:t>
      </w:r>
      <w:r w:rsidR="00172B01"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and/or the presence of macrosteatosis</w:t>
      </w:r>
      <w:r w:rsidR="00172B01" w:rsidRPr="004A5F47">
        <w:rPr>
          <w:rFonts w:ascii="Book Antiqua" w:eastAsia="Book Antiqua" w:hAnsi="Book Antiqua" w:cs="Book Antiqua"/>
          <w:color w:val="000000"/>
          <w:vertAlign w:val="superscript"/>
        </w:rPr>
        <w:t>[30,31]</w:t>
      </w:r>
      <w:r w:rsidRPr="004A5F47">
        <w:rPr>
          <w:rFonts w:ascii="Book Antiqua" w:eastAsia="Book Antiqua" w:hAnsi="Book Antiqua" w:cs="Book Antiqua"/>
          <w:color w:val="000000"/>
        </w:rPr>
        <w:t>.</w:t>
      </w:r>
      <w:r w:rsidR="00172B01"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However, some of these parameters are considered controversial</w:t>
      </w:r>
      <w:r w:rsidRPr="004A5F47">
        <w:rPr>
          <w:rFonts w:ascii="Book Antiqua" w:eastAsia="Book Antiqua" w:hAnsi="Book Antiqua" w:cs="Book Antiqua"/>
          <w:color w:val="000000"/>
          <w:vertAlign w:val="superscript"/>
        </w:rPr>
        <w:t>[28]</w:t>
      </w:r>
      <w:r w:rsidRPr="004A5F47">
        <w:rPr>
          <w:rFonts w:ascii="Book Antiqua" w:eastAsia="Book Antiqua" w:hAnsi="Book Antiqua" w:cs="Book Antiqua"/>
          <w:color w:val="000000"/>
        </w:rPr>
        <w:t>.</w:t>
      </w:r>
    </w:p>
    <w:p w14:paraId="1A0EE28E" w14:textId="585C094C" w:rsidR="00273825"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t xml:space="preserve">To date, there has been no randomized </w:t>
      </w:r>
      <w:r w:rsidR="005E3CA5" w:rsidRPr="004A5F47">
        <w:rPr>
          <w:rFonts w:ascii="Book Antiqua" w:eastAsia="Book Antiqua" w:hAnsi="Book Antiqua" w:cs="Book Antiqua"/>
          <w:color w:val="000000"/>
        </w:rPr>
        <w:t xml:space="preserve">controlled </w:t>
      </w:r>
      <w:r w:rsidRPr="004A5F47">
        <w:rPr>
          <w:rFonts w:ascii="Book Antiqua" w:eastAsia="Book Antiqua" w:hAnsi="Book Antiqua" w:cs="Book Antiqua"/>
          <w:color w:val="000000"/>
        </w:rPr>
        <w:t>trial</w:t>
      </w:r>
      <w:r w:rsidR="005E3CA5" w:rsidRPr="004A5F47">
        <w:rPr>
          <w:rFonts w:ascii="Book Antiqua" w:eastAsia="Book Antiqua" w:hAnsi="Book Antiqua" w:cs="Book Antiqua"/>
          <w:color w:val="000000"/>
        </w:rPr>
        <w:t xml:space="preserve"> (RCT)</w:t>
      </w:r>
      <w:r w:rsidRPr="004A5F47">
        <w:rPr>
          <w:rFonts w:ascii="Book Antiqua" w:eastAsia="Book Antiqua" w:hAnsi="Book Antiqua" w:cs="Book Antiqua"/>
          <w:color w:val="000000"/>
        </w:rPr>
        <w:t xml:space="preserve"> comparing A-NRP to the standard retrieval method, known as the super rapid retrieval (SRR) technique. The clinical studies investigating A-NRP that include a comparator group, and provide data on biliary strictures are summarized in</w:t>
      </w:r>
      <w:r w:rsidR="00F0565A" w:rsidRPr="004A5F47">
        <w:rPr>
          <w:rFonts w:ascii="Book Antiqua" w:hAnsi="Book Antiqua" w:cs="Book Antiqua"/>
          <w:color w:val="000000"/>
          <w:lang w:eastAsia="zh-CN"/>
        </w:rPr>
        <w:t xml:space="preserve"> </w:t>
      </w:r>
      <w:r w:rsidRPr="004A5F47">
        <w:rPr>
          <w:rFonts w:ascii="Book Antiqua" w:eastAsia="Book Antiqua" w:hAnsi="Book Antiqua" w:cs="Book Antiqua"/>
          <w:bCs/>
          <w:color w:val="000000"/>
        </w:rPr>
        <w:t>Table 1</w:t>
      </w:r>
      <w:r w:rsidRPr="004A5F47">
        <w:rPr>
          <w:rFonts w:ascii="Book Antiqua" w:eastAsia="Book Antiqua" w:hAnsi="Book Antiqua" w:cs="Book Antiqua"/>
          <w:color w:val="000000"/>
        </w:rPr>
        <w:t>. The definition of ITBL</w:t>
      </w:r>
      <w:r w:rsidR="00062B9D"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used in these studies is relatively homogeneous as most authors have considered ITBL</w:t>
      </w:r>
      <w:r w:rsidR="00062B9D"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to have occurred when NAS developed in the context of a patent hepatic artery. However, two studies did not include an ITBL definition</w:t>
      </w:r>
      <w:r w:rsidR="00F0565A" w:rsidRPr="004A5F47">
        <w:rPr>
          <w:rFonts w:ascii="Book Antiqua" w:eastAsia="Book Antiqua" w:hAnsi="Book Antiqua" w:cs="Book Antiqua"/>
          <w:color w:val="000000"/>
          <w:vertAlign w:val="superscript"/>
        </w:rPr>
        <w:t>[35,</w:t>
      </w:r>
      <w:r w:rsidRPr="004A5F47">
        <w:rPr>
          <w:rFonts w:ascii="Book Antiqua" w:eastAsia="Book Antiqua" w:hAnsi="Book Antiqua" w:cs="Book Antiqua"/>
          <w:color w:val="000000"/>
          <w:vertAlign w:val="superscript"/>
        </w:rPr>
        <w:t>36]</w:t>
      </w:r>
      <w:r w:rsidR="00F0565A"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and two authors</w:t>
      </w:r>
      <w:r w:rsidR="00F0565A" w:rsidRPr="004A5F47">
        <w:rPr>
          <w:rFonts w:ascii="Book Antiqua" w:eastAsia="Book Antiqua" w:hAnsi="Book Antiqua" w:cs="Book Antiqua"/>
          <w:color w:val="000000"/>
          <w:vertAlign w:val="superscript"/>
        </w:rPr>
        <w:t>[31,</w:t>
      </w:r>
      <w:r w:rsidRPr="004A5F47">
        <w:rPr>
          <w:rFonts w:ascii="Book Antiqua" w:eastAsia="Book Antiqua" w:hAnsi="Book Antiqua" w:cs="Book Antiqua"/>
          <w:color w:val="000000"/>
          <w:vertAlign w:val="superscript"/>
        </w:rPr>
        <w:t>37]</w:t>
      </w:r>
      <w:r w:rsidR="00F0565A"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considered NAS regardless of the presence of concomitant HAT.</w:t>
      </w:r>
      <w:r w:rsidR="00F0565A"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Other limitations of these studies include variation in the A-NRP protocols, small sample size, and variability in follow-up periods. These trials can be put into three categories, according </w:t>
      </w:r>
      <w:r w:rsidR="00273825" w:rsidRPr="004A5F47">
        <w:rPr>
          <w:rFonts w:ascii="Book Antiqua" w:eastAsia="Book Antiqua" w:hAnsi="Book Antiqua" w:cs="Book Antiqua"/>
          <w:color w:val="000000"/>
        </w:rPr>
        <w:t xml:space="preserve">to </w:t>
      </w:r>
      <w:r w:rsidRPr="004A5F47">
        <w:rPr>
          <w:rFonts w:ascii="Book Antiqua" w:eastAsia="Book Antiqua" w:hAnsi="Book Antiqua" w:cs="Book Antiqua"/>
          <w:color w:val="000000"/>
        </w:rPr>
        <w:t>the comparator groups</w:t>
      </w:r>
      <w:r w:rsidR="00273825"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w:t>
      </w:r>
      <w:r w:rsidR="00F0565A" w:rsidRPr="004A5F47">
        <w:rPr>
          <w:rFonts w:ascii="Book Antiqua" w:eastAsia="Book Antiqua" w:hAnsi="Book Antiqua" w:cs="Book Antiqua"/>
          <w:color w:val="000000"/>
        </w:rPr>
        <w:t xml:space="preserve">DCD-A-NRP </w:t>
      </w:r>
      <w:r w:rsidR="00F0565A"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DBD-SCS</w:t>
      </w:r>
      <w:r w:rsidR="00F0565A" w:rsidRPr="004A5F47">
        <w:rPr>
          <w:rFonts w:ascii="Book Antiqua" w:hAnsi="Book Antiqua" w:cs="Book Antiqua"/>
          <w:color w:val="000000"/>
          <w:lang w:eastAsia="zh-CN"/>
        </w:rPr>
        <w:t>;</w:t>
      </w:r>
      <w:r w:rsidRPr="004A5F47">
        <w:rPr>
          <w:rFonts w:ascii="Book Antiqua" w:eastAsia="Book Antiqua" w:hAnsi="Book Antiqua" w:cs="Book Antiqua"/>
          <w:color w:val="000000"/>
        </w:rPr>
        <w:t xml:space="preserve"> DCD-A-NRP </w:t>
      </w:r>
      <w:r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DCD-SRR</w:t>
      </w:r>
      <w:r w:rsidR="00F0565A" w:rsidRPr="004A5F47">
        <w:rPr>
          <w:rFonts w:ascii="Book Antiqua" w:hAnsi="Book Antiqua" w:cs="Book Antiqua"/>
          <w:color w:val="000000"/>
          <w:lang w:eastAsia="zh-CN"/>
        </w:rPr>
        <w:t>;</w:t>
      </w:r>
      <w:r w:rsidRPr="004A5F47">
        <w:rPr>
          <w:rFonts w:ascii="Book Antiqua" w:eastAsia="Book Antiqua" w:hAnsi="Book Antiqua" w:cs="Book Antiqua"/>
          <w:color w:val="000000"/>
        </w:rPr>
        <w:t xml:space="preserve"> and </w:t>
      </w:r>
      <w:r w:rsidR="00F0565A" w:rsidRPr="004A5F47">
        <w:rPr>
          <w:rFonts w:ascii="Book Antiqua" w:eastAsia="Book Antiqua" w:hAnsi="Book Antiqua" w:cs="Book Antiqua"/>
          <w:color w:val="000000"/>
        </w:rPr>
        <w:t xml:space="preserve">DCD-A-NRP </w:t>
      </w:r>
      <w:r w:rsidR="00F0565A"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DCD with other MP.</w:t>
      </w:r>
    </w:p>
    <w:p w14:paraId="624A0C39" w14:textId="5434D932" w:rsidR="00A77B3E"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lastRenderedPageBreak/>
        <w:t>In the first group of studies</w:t>
      </w:r>
      <w:r w:rsidR="008F778D" w:rsidRPr="004A5F47">
        <w:rPr>
          <w:rFonts w:ascii="Book Antiqua" w:eastAsia="Book Antiqua" w:hAnsi="Book Antiqua" w:cs="Book Antiqua"/>
          <w:color w:val="000000"/>
          <w:vertAlign w:val="superscript"/>
        </w:rPr>
        <w:t>[31,35,</w:t>
      </w:r>
      <w:r w:rsidRPr="004A5F47">
        <w:rPr>
          <w:rFonts w:ascii="Book Antiqua" w:eastAsia="Book Antiqua" w:hAnsi="Book Antiqua" w:cs="Book Antiqua"/>
          <w:color w:val="000000"/>
          <w:vertAlign w:val="superscript"/>
        </w:rPr>
        <w:t>38-40]</w:t>
      </w:r>
      <w:r w:rsidR="008F778D" w:rsidRPr="004A5F47">
        <w:rPr>
          <w:rFonts w:ascii="Book Antiqua" w:hAnsi="Book Antiqua" w:cs="Book Antiqua"/>
          <w:color w:val="000000"/>
          <w:lang w:eastAsia="zh-CN"/>
        </w:rPr>
        <w:t xml:space="preserve"> </w:t>
      </w:r>
      <w:r w:rsidR="00423EC3" w:rsidRPr="004A5F47">
        <w:rPr>
          <w:rFonts w:ascii="Book Antiqua" w:eastAsia="Book Antiqua" w:hAnsi="Book Antiqua" w:cs="Book Antiqua"/>
          <w:color w:val="000000"/>
        </w:rPr>
        <w:t xml:space="preserve">that </w:t>
      </w:r>
      <w:r w:rsidRPr="004A5F47">
        <w:rPr>
          <w:rFonts w:ascii="Book Antiqua" w:eastAsia="Book Antiqua" w:hAnsi="Book Antiqua" w:cs="Book Antiqua"/>
          <w:color w:val="000000"/>
        </w:rPr>
        <w:t xml:space="preserve">compared DCD-NRP-A grafts </w:t>
      </w:r>
      <w:r w:rsidRPr="004A5F47">
        <w:rPr>
          <w:rFonts w:ascii="Book Antiqua" w:eastAsia="Book Antiqua" w:hAnsi="Book Antiqua" w:cs="Book Antiqua"/>
          <w:i/>
          <w:iCs/>
          <w:color w:val="000000"/>
        </w:rPr>
        <w:t>vs</w:t>
      </w:r>
      <w:r w:rsidRPr="004A5F47">
        <w:rPr>
          <w:rFonts w:ascii="Book Antiqua" w:eastAsia="Book Antiqua" w:hAnsi="Book Antiqua" w:cs="Book Antiqua"/>
          <w:color w:val="000000"/>
        </w:rPr>
        <w:t xml:space="preserve"> DBD-SCS grafts, these authors aimed to demonstrate that DCD grafts after NRP could have similar results of DBD grafts and therefore should not be considered marginal. These studies showed a similar incidence of ITBL</w:t>
      </w:r>
      <w:r w:rsidR="00062B9D" w:rsidRPr="004A5F47">
        <w:rPr>
          <w:rFonts w:ascii="Book Antiqua" w:eastAsia="Book Antiqua" w:hAnsi="Book Antiqua" w:cs="Book Antiqua"/>
          <w:color w:val="000000"/>
        </w:rPr>
        <w:t>s</w:t>
      </w:r>
      <w:r w:rsidR="002B38F4"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between both groups</w:t>
      </w:r>
      <w:r w:rsidR="003F01B5"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and the results in regard to early allograft dysfunction were promising. However, they had</w:t>
      </w:r>
      <w:r w:rsidR="002B38F4"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small sample sizes</w:t>
      </w:r>
      <w:r w:rsidR="002B38F4" w:rsidRPr="004A5F47">
        <w:rPr>
          <w:rFonts w:ascii="Book Antiqua" w:eastAsia="Book Antiqua" w:hAnsi="Book Antiqua" w:cs="Book Antiqua"/>
          <w:color w:val="000000"/>
          <w:vertAlign w:val="superscript"/>
        </w:rPr>
        <w:t>[35,38,</w:t>
      </w:r>
      <w:r w:rsidRPr="004A5F47">
        <w:rPr>
          <w:rFonts w:ascii="Book Antiqua" w:eastAsia="Book Antiqua" w:hAnsi="Book Antiqua" w:cs="Book Antiqua"/>
          <w:color w:val="000000"/>
          <w:vertAlign w:val="superscript"/>
        </w:rPr>
        <w:t>39]</w:t>
      </w:r>
      <w:r w:rsidRPr="004A5F47">
        <w:rPr>
          <w:rFonts w:ascii="Book Antiqua" w:eastAsia="Book Antiqua" w:hAnsi="Book Antiqua" w:cs="Book Antiqua"/>
          <w:color w:val="000000"/>
        </w:rPr>
        <w:t>, differences in follow-up periods</w:t>
      </w:r>
      <w:r w:rsidR="002B38F4" w:rsidRPr="004A5F47">
        <w:rPr>
          <w:rFonts w:ascii="Book Antiqua" w:eastAsia="Book Antiqua" w:hAnsi="Book Antiqua" w:cs="Book Antiqua"/>
          <w:color w:val="000000"/>
          <w:vertAlign w:val="superscript"/>
        </w:rPr>
        <w:t>[31,35,38,</w:t>
      </w:r>
      <w:r w:rsidRPr="004A5F47">
        <w:rPr>
          <w:rFonts w:ascii="Book Antiqua" w:eastAsia="Book Antiqua" w:hAnsi="Book Antiqua" w:cs="Book Antiqua"/>
          <w:color w:val="000000"/>
          <w:vertAlign w:val="superscript"/>
        </w:rPr>
        <w:t>39]</w:t>
      </w:r>
      <w:r w:rsidR="003F01B5" w:rsidRPr="004A5F47">
        <w:rPr>
          <w:rFonts w:ascii="Book Antiqua" w:eastAsia="Book Antiqua" w:hAnsi="Book Antiqua" w:cs="Book Antiqua"/>
          <w:color w:val="000000"/>
        </w:rPr>
        <w:t>,</w:t>
      </w:r>
      <w:r w:rsidR="002B38F4"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and a high proportion of uncontrolled DCD donors</w:t>
      </w:r>
      <w:r w:rsidRPr="004A5F47">
        <w:rPr>
          <w:rFonts w:ascii="Book Antiqua" w:eastAsia="Book Antiqua" w:hAnsi="Book Antiqua" w:cs="Book Antiqua"/>
          <w:color w:val="000000"/>
          <w:vertAlign w:val="superscript"/>
        </w:rPr>
        <w:t>[38]</w:t>
      </w:r>
      <w:r w:rsidRPr="004A5F47">
        <w:rPr>
          <w:rFonts w:ascii="Book Antiqua" w:eastAsia="Book Antiqua" w:hAnsi="Book Antiqua" w:cs="Book Antiqua"/>
          <w:color w:val="000000"/>
        </w:rPr>
        <w:t xml:space="preserve">. Other authors have assessed the outcomes of DCD NRP grafts </w:t>
      </w:r>
      <w:r w:rsidRPr="004A5F47">
        <w:rPr>
          <w:rFonts w:ascii="Book Antiqua" w:eastAsia="Book Antiqua" w:hAnsi="Book Antiqua" w:cs="Book Antiqua"/>
          <w:i/>
          <w:iCs/>
          <w:color w:val="000000"/>
        </w:rPr>
        <w:t>vs</w:t>
      </w:r>
      <w:r w:rsidRPr="004A5F47">
        <w:rPr>
          <w:rFonts w:ascii="Book Antiqua" w:eastAsia="Book Antiqua" w:hAnsi="Book Antiqua" w:cs="Book Antiqua"/>
          <w:color w:val="000000"/>
        </w:rPr>
        <w:t xml:space="preserve"> DCDs grafts recovered by </w:t>
      </w:r>
      <w:r w:rsidRPr="004A5F47">
        <w:rPr>
          <w:rFonts w:ascii="Book Antiqua" w:eastAsia="Book Antiqua" w:hAnsi="Book Antiqua" w:cs="Book Antiqua"/>
          <w:i/>
          <w:iCs/>
          <w:color w:val="000000"/>
        </w:rPr>
        <w:t>via</w:t>
      </w:r>
      <w:r w:rsidRPr="004A5F47">
        <w:rPr>
          <w:rFonts w:ascii="Book Antiqua" w:eastAsia="Book Antiqua" w:hAnsi="Book Antiqua" w:cs="Book Antiqua"/>
          <w:color w:val="000000"/>
        </w:rPr>
        <w:t xml:space="preserve"> the SRR technique and subsequent SCS</w:t>
      </w:r>
      <w:r w:rsidR="002B38F4" w:rsidRPr="004A5F47">
        <w:rPr>
          <w:rFonts w:ascii="Book Antiqua" w:eastAsia="Book Antiqua" w:hAnsi="Book Antiqua" w:cs="Book Antiqua"/>
          <w:color w:val="000000"/>
          <w:vertAlign w:val="superscript"/>
        </w:rPr>
        <w:t>[33,34,36,41]</w:t>
      </w:r>
      <w:r w:rsidRPr="004A5F47">
        <w:rPr>
          <w:rFonts w:ascii="Book Antiqua" w:eastAsia="Book Antiqua" w:hAnsi="Book Antiqua" w:cs="Book Antiqua"/>
          <w:color w:val="000000"/>
        </w:rPr>
        <w:t>.</w:t>
      </w:r>
      <w:r w:rsidR="002B38F4"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Watson </w:t>
      </w:r>
      <w:r w:rsidRPr="004A5F47">
        <w:rPr>
          <w:rFonts w:ascii="Book Antiqua" w:eastAsia="Book Antiqua" w:hAnsi="Book Antiqua" w:cs="Book Antiqua"/>
          <w:i/>
          <w:iCs/>
          <w:color w:val="000000"/>
        </w:rPr>
        <w:t>et al</w:t>
      </w:r>
      <w:r w:rsidRPr="004A5F47">
        <w:rPr>
          <w:rFonts w:ascii="Book Antiqua" w:eastAsia="Book Antiqua" w:hAnsi="Book Antiqua" w:cs="Book Antiqua"/>
          <w:color w:val="000000"/>
          <w:vertAlign w:val="superscript"/>
        </w:rPr>
        <w:t>[33]</w:t>
      </w:r>
      <w:r w:rsidR="002B38F4"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compared two groups, DCD-A-NRP (</w:t>
      </w:r>
      <w:r w:rsidRPr="004A5F47">
        <w:rPr>
          <w:rFonts w:ascii="Book Antiqua" w:eastAsia="Book Antiqua" w:hAnsi="Book Antiqua" w:cs="Book Antiqua"/>
          <w:i/>
          <w:iCs/>
          <w:color w:val="000000"/>
        </w:rPr>
        <w:t>n</w:t>
      </w:r>
      <w:r w:rsidR="002B38F4" w:rsidRPr="004A5F47">
        <w:rPr>
          <w:rFonts w:ascii="Book Antiqua" w:eastAsia="Book Antiqua" w:hAnsi="Book Antiqua" w:cs="Book Antiqua"/>
          <w:color w:val="000000"/>
        </w:rPr>
        <w:t xml:space="preserve"> = 43) </w:t>
      </w:r>
      <w:r w:rsidR="002B38F4"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DCD-SRR (</w:t>
      </w:r>
      <w:r w:rsidRPr="004A5F47">
        <w:rPr>
          <w:rFonts w:ascii="Book Antiqua" w:eastAsia="Book Antiqua" w:hAnsi="Book Antiqua" w:cs="Book Antiqua"/>
          <w:i/>
          <w:iCs/>
          <w:color w:val="000000"/>
        </w:rPr>
        <w:t>n</w:t>
      </w:r>
      <w:r w:rsidRPr="004A5F47">
        <w:rPr>
          <w:rFonts w:ascii="Book Antiqua" w:eastAsia="Book Antiqua" w:hAnsi="Book Antiqua" w:cs="Book Antiqua"/>
          <w:color w:val="000000"/>
        </w:rPr>
        <w:t xml:space="preserve"> = 187)</w:t>
      </w:r>
      <w:r w:rsidR="003F01B5"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and reported both early allograft dysfunction and biliary complication rates. A significantly lower rate of early allograft dysfunction (12% </w:t>
      </w:r>
      <w:r w:rsidR="002B38F4"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32%) and ischemic cholangiopathy</w:t>
      </w:r>
      <w:r w:rsidR="008D4954" w:rsidRPr="004A5F47">
        <w:rPr>
          <w:rFonts w:ascii="Book Antiqua" w:hAnsi="Book Antiqua" w:cs="Book Antiqua"/>
          <w:color w:val="000000"/>
          <w:lang w:eastAsia="zh-CN"/>
        </w:rPr>
        <w:t xml:space="preserve"> (IC)</w:t>
      </w:r>
      <w:r w:rsidRPr="004A5F47">
        <w:rPr>
          <w:rFonts w:ascii="Book Antiqua" w:eastAsia="Book Antiqua" w:hAnsi="Book Antiqua" w:cs="Book Antiqua"/>
          <w:color w:val="000000"/>
        </w:rPr>
        <w:t xml:space="preserve"> (0% </w:t>
      </w:r>
      <w:r w:rsidR="002B38F4"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27%) occurred in the DCD-A-NRP group. Similar comparisons have been performed by Spanish transplant groups. Muñoz </w:t>
      </w:r>
      <w:r w:rsidRPr="004A5F47">
        <w:rPr>
          <w:rFonts w:ascii="Book Antiqua" w:eastAsia="Book Antiqua" w:hAnsi="Book Antiqua" w:cs="Book Antiqua"/>
          <w:i/>
          <w:iCs/>
          <w:color w:val="000000"/>
        </w:rPr>
        <w:t>et al</w:t>
      </w:r>
      <w:r w:rsidRPr="004A5F47">
        <w:rPr>
          <w:rFonts w:ascii="Book Antiqua" w:eastAsia="Book Antiqua" w:hAnsi="Book Antiqua" w:cs="Book Antiqua"/>
          <w:color w:val="000000"/>
          <w:vertAlign w:val="superscript"/>
        </w:rPr>
        <w:t>[36]</w:t>
      </w:r>
      <w:r w:rsidR="002B38F4"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did not demonstrate significant differences in their cohort, probably due to the short follow-up period in the A-NRP group and the low number of patients. However, Hessheimer </w:t>
      </w:r>
      <w:r w:rsidRPr="004A5F47">
        <w:rPr>
          <w:rFonts w:ascii="Book Antiqua" w:eastAsia="Book Antiqua" w:hAnsi="Book Antiqua" w:cs="Book Antiqua"/>
          <w:i/>
          <w:iCs/>
          <w:color w:val="000000"/>
        </w:rPr>
        <w:t>et al</w:t>
      </w:r>
      <w:r w:rsidRPr="004A5F47">
        <w:rPr>
          <w:rFonts w:ascii="Book Antiqua" w:eastAsia="Book Antiqua" w:hAnsi="Book Antiqua" w:cs="Book Antiqua"/>
          <w:color w:val="000000"/>
          <w:vertAlign w:val="superscript"/>
        </w:rPr>
        <w:t>[41]</w:t>
      </w:r>
      <w:r w:rsidR="00BE69A3"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subsequently found an ITBL incidence of 2% in the NRP group (</w:t>
      </w:r>
      <w:r w:rsidRPr="004A5F47">
        <w:rPr>
          <w:rFonts w:ascii="Book Antiqua" w:eastAsia="Book Antiqua" w:hAnsi="Book Antiqua" w:cs="Book Antiqua"/>
          <w:i/>
          <w:iCs/>
          <w:color w:val="000000"/>
        </w:rPr>
        <w:t>n</w:t>
      </w:r>
      <w:r w:rsidRPr="004A5F47">
        <w:rPr>
          <w:rFonts w:ascii="Book Antiqua" w:eastAsia="Book Antiqua" w:hAnsi="Book Antiqua" w:cs="Book Antiqua"/>
          <w:color w:val="000000"/>
        </w:rPr>
        <w:t xml:space="preserve"> = 95) </w:t>
      </w:r>
      <w:r w:rsidR="002B38F4"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13% in the SRR group (</w:t>
      </w:r>
      <w:r w:rsidRPr="004A5F47">
        <w:rPr>
          <w:rFonts w:ascii="Book Antiqua" w:eastAsia="Book Antiqua" w:hAnsi="Book Antiqua" w:cs="Book Antiqua"/>
          <w:i/>
          <w:iCs/>
          <w:color w:val="000000"/>
        </w:rPr>
        <w:t>n</w:t>
      </w:r>
      <w:r w:rsidRPr="004A5F47">
        <w:rPr>
          <w:rFonts w:ascii="Book Antiqua" w:eastAsia="Book Antiqua" w:hAnsi="Book Antiqua" w:cs="Book Antiqua"/>
          <w:color w:val="000000"/>
        </w:rPr>
        <w:t xml:space="preserve"> = 117). These findings were repeated in a second study</w:t>
      </w:r>
      <w:r w:rsidRPr="004A5F47">
        <w:rPr>
          <w:rFonts w:ascii="Book Antiqua" w:eastAsia="Book Antiqua" w:hAnsi="Book Antiqua" w:cs="Book Antiqua"/>
          <w:color w:val="000000"/>
          <w:vertAlign w:val="superscript"/>
        </w:rPr>
        <w:t>[34]</w:t>
      </w:r>
      <w:r w:rsidR="002B38F4"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with a larger sample size (545 NRP </w:t>
      </w:r>
      <w:r w:rsidR="002B38F4"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258 SRR)</w:t>
      </w:r>
      <w:r w:rsidR="00E13B87"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In this second study the ITBL incidence was 1% </w:t>
      </w:r>
      <w:r w:rsidR="002B38F4"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9% in favor of A-NRP, and this is at present the largest cohort of patients with A-NRP with premortem cannulation in the literature. Recently, Schurink </w:t>
      </w:r>
      <w:r w:rsidRPr="004A5F47">
        <w:rPr>
          <w:rFonts w:ascii="Book Antiqua" w:eastAsia="Book Antiqua" w:hAnsi="Book Antiqua" w:cs="Book Antiqua"/>
          <w:i/>
          <w:iCs/>
          <w:color w:val="000000"/>
        </w:rPr>
        <w:t>et al</w:t>
      </w:r>
      <w:r w:rsidR="002B38F4" w:rsidRPr="004A5F47">
        <w:rPr>
          <w:rFonts w:ascii="Book Antiqua" w:eastAsia="Book Antiqua" w:hAnsi="Book Antiqua" w:cs="Book Antiqua"/>
          <w:color w:val="000000"/>
          <w:vertAlign w:val="superscript"/>
        </w:rPr>
        <w:t>[42]</w:t>
      </w:r>
      <w:r w:rsidRPr="004A5F47">
        <w:rPr>
          <w:rFonts w:ascii="Book Antiqua" w:eastAsia="Book Antiqua" w:hAnsi="Book Antiqua" w:cs="Book Antiqua"/>
          <w:color w:val="000000"/>
        </w:rPr>
        <w:t xml:space="preserve"> have reported the safety of</w:t>
      </w:r>
      <w:r w:rsidR="002B38F4"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NRP to rescue DCD grafts that were declined by the Eurotransplant region for transplantation, with no differences in primary nonfunction or</w:t>
      </w:r>
      <w:r w:rsidR="008D4954" w:rsidRPr="004A5F47">
        <w:rPr>
          <w:rFonts w:ascii="Book Antiqua" w:eastAsia="Book Antiqua" w:hAnsi="Book Antiqua" w:cs="Book Antiqua"/>
          <w:color w:val="000000"/>
        </w:rPr>
        <w:t xml:space="preserve"> IC </w:t>
      </w:r>
      <w:r w:rsidRPr="004A5F47">
        <w:rPr>
          <w:rFonts w:ascii="Book Antiqua" w:eastAsia="Book Antiqua" w:hAnsi="Book Antiqua" w:cs="Book Antiqua"/>
          <w:color w:val="000000"/>
        </w:rPr>
        <w:t>compared to DBD and standard, non-NRP DCD grafts</w:t>
      </w:r>
      <w:r w:rsidRPr="004A5F47">
        <w:rPr>
          <w:rFonts w:ascii="Book Antiqua" w:eastAsia="Book Antiqua" w:hAnsi="Book Antiqua" w:cs="Book Antiqua"/>
          <w:color w:val="000000"/>
          <w:vertAlign w:val="superscript"/>
        </w:rPr>
        <w:t>[42]</w:t>
      </w:r>
      <w:r w:rsidRPr="004A5F47">
        <w:rPr>
          <w:rFonts w:ascii="Book Antiqua" w:eastAsia="Book Antiqua" w:hAnsi="Book Antiqua" w:cs="Book Antiqua"/>
          <w:color w:val="000000"/>
        </w:rPr>
        <w:t>.</w:t>
      </w:r>
    </w:p>
    <w:p w14:paraId="6ED1D213" w14:textId="100C56D8" w:rsidR="00A77B3E"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t>Finally, other authors</w:t>
      </w:r>
      <w:r w:rsidR="006F3B03" w:rsidRPr="004A5F47">
        <w:rPr>
          <w:rFonts w:ascii="Book Antiqua" w:eastAsia="Book Antiqua" w:hAnsi="Book Antiqua" w:cs="Book Antiqua"/>
          <w:color w:val="000000"/>
          <w:vertAlign w:val="superscript"/>
        </w:rPr>
        <w:t>[37,</w:t>
      </w:r>
      <w:r w:rsidRPr="004A5F47">
        <w:rPr>
          <w:rFonts w:ascii="Book Antiqua" w:eastAsia="Book Antiqua" w:hAnsi="Book Antiqua" w:cs="Book Antiqua"/>
          <w:color w:val="000000"/>
          <w:vertAlign w:val="superscript"/>
        </w:rPr>
        <w:t>43-45]</w:t>
      </w:r>
      <w:r w:rsidR="006F3B03"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have compared A-NRP with </w:t>
      </w:r>
      <w:r w:rsidRPr="004A5F47">
        <w:rPr>
          <w:rFonts w:ascii="Book Antiqua" w:eastAsia="Book Antiqua" w:hAnsi="Book Antiqua" w:cs="Book Antiqua"/>
          <w:i/>
          <w:color w:val="000000"/>
        </w:rPr>
        <w:t>ex</w:t>
      </w:r>
      <w:r w:rsidR="00EB27F7" w:rsidRPr="004A5F47">
        <w:rPr>
          <w:rFonts w:ascii="Book Antiqua" w:eastAsia="Book Antiqua" w:hAnsi="Book Antiqua" w:cs="Book Antiqua"/>
          <w:i/>
          <w:color w:val="000000"/>
        </w:rPr>
        <w:t xml:space="preserve"> </w:t>
      </w:r>
      <w:r w:rsidRPr="004A5F47">
        <w:rPr>
          <w:rFonts w:ascii="Book Antiqua" w:eastAsia="Book Antiqua" w:hAnsi="Book Antiqua" w:cs="Book Antiqua"/>
          <w:i/>
          <w:color w:val="000000"/>
        </w:rPr>
        <w:t>situ</w:t>
      </w:r>
      <w:r w:rsidRPr="004A5F47">
        <w:rPr>
          <w:rFonts w:ascii="Book Antiqua" w:eastAsia="Book Antiqua" w:hAnsi="Book Antiqua" w:cs="Book Antiqua"/>
          <w:color w:val="000000"/>
        </w:rPr>
        <w:t xml:space="preserve"> preservation techniques such as NMP or HOPE. However, in many of these trials, accurate data on ITBL</w:t>
      </w:r>
      <w:r w:rsidR="00062B9D"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are lacking.</w:t>
      </w:r>
      <w:r w:rsidR="006F3B03"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w:t>
      </w:r>
      <w:r w:rsidR="006F3B03" w:rsidRPr="004A5F47">
        <w:rPr>
          <w:rFonts w:ascii="Book Antiqua" w:eastAsia="Book Antiqua" w:hAnsi="Book Antiqua" w:cs="Book Antiqua"/>
          <w:color w:val="000000"/>
        </w:rPr>
        <w:t xml:space="preserve">he only study comparing HOPE </w:t>
      </w:r>
      <w:r w:rsidR="006F3B03"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NRP was conducted by Muller </w:t>
      </w:r>
      <w:r w:rsidRPr="004A5F47">
        <w:rPr>
          <w:rFonts w:ascii="Book Antiqua" w:eastAsia="Book Antiqua" w:hAnsi="Book Antiqua" w:cs="Book Antiqua"/>
          <w:i/>
          <w:iCs/>
          <w:color w:val="000000"/>
        </w:rPr>
        <w:t>et al</w:t>
      </w:r>
      <w:r w:rsidRPr="004A5F47">
        <w:rPr>
          <w:rFonts w:ascii="Book Antiqua" w:eastAsia="Book Antiqua" w:hAnsi="Book Antiqua" w:cs="Book Antiqua"/>
          <w:color w:val="000000"/>
          <w:vertAlign w:val="superscript"/>
        </w:rPr>
        <w:t>[37]</w:t>
      </w:r>
      <w:r w:rsidRPr="004A5F47">
        <w:rPr>
          <w:rFonts w:ascii="Book Antiqua" w:eastAsia="Book Antiqua" w:hAnsi="Book Antiqua" w:cs="Book Antiqua"/>
          <w:color w:val="000000"/>
        </w:rPr>
        <w:t>.</w:t>
      </w:r>
      <w:r w:rsidR="006F3B03"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These authors reported the incidence of NAS regardless of hepatic artery status, rather than ITBL</w:t>
      </w:r>
      <w:r w:rsidR="00062B9D"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specifically. The rate of NAS was reported to be 6.3% in the NRP group and 12.5% in the HOPE group, but was not significantly different. DCD grafts that underwent A-NRP have been compared to DCD grafts undergoing </w:t>
      </w:r>
      <w:r w:rsidRPr="004A5F47">
        <w:rPr>
          <w:rFonts w:ascii="Book Antiqua" w:eastAsia="Book Antiqua" w:hAnsi="Book Antiqua" w:cs="Book Antiqua"/>
          <w:i/>
          <w:color w:val="000000"/>
        </w:rPr>
        <w:t>ex</w:t>
      </w:r>
      <w:r w:rsidR="00EB27F7" w:rsidRPr="004A5F47">
        <w:rPr>
          <w:rFonts w:ascii="Book Antiqua" w:eastAsia="Book Antiqua" w:hAnsi="Book Antiqua" w:cs="Book Antiqua"/>
          <w:i/>
          <w:color w:val="000000"/>
        </w:rPr>
        <w:t xml:space="preserve"> </w:t>
      </w:r>
      <w:r w:rsidRPr="004A5F47">
        <w:rPr>
          <w:rFonts w:ascii="Book Antiqua" w:eastAsia="Book Antiqua" w:hAnsi="Book Antiqua" w:cs="Book Antiqua"/>
          <w:i/>
          <w:color w:val="000000"/>
        </w:rPr>
        <w:t>situ</w:t>
      </w:r>
      <w:r w:rsidRPr="004A5F47">
        <w:rPr>
          <w:rFonts w:ascii="Book Antiqua" w:eastAsia="Book Antiqua" w:hAnsi="Book Antiqua" w:cs="Book Antiqua"/>
          <w:color w:val="000000"/>
        </w:rPr>
        <w:t xml:space="preserve"> NMP in a study by Gaurav </w:t>
      </w:r>
      <w:r w:rsidRPr="004A5F47">
        <w:rPr>
          <w:rFonts w:ascii="Book Antiqua" w:eastAsia="Book Antiqua" w:hAnsi="Book Antiqua" w:cs="Book Antiqua"/>
          <w:i/>
          <w:iCs/>
          <w:color w:val="000000"/>
        </w:rPr>
        <w:t>et al</w:t>
      </w:r>
      <w:r w:rsidR="006F3B03" w:rsidRPr="004A5F47">
        <w:rPr>
          <w:rFonts w:ascii="Book Antiqua" w:eastAsia="Book Antiqua" w:hAnsi="Book Antiqua" w:cs="Book Antiqua"/>
          <w:color w:val="000000"/>
          <w:vertAlign w:val="superscript"/>
        </w:rPr>
        <w:t>[44]</w:t>
      </w:r>
      <w:r w:rsidRPr="004A5F47">
        <w:rPr>
          <w:rFonts w:ascii="Book Antiqua" w:eastAsia="Book Antiqua" w:hAnsi="Book Antiqua" w:cs="Book Antiqua"/>
          <w:color w:val="000000"/>
        </w:rPr>
        <w:t xml:space="preserve"> This study showed significantly lower rates of ITBL</w:t>
      </w:r>
      <w:r w:rsidR="00062B9D"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in the NRP group </w:t>
      </w:r>
      <w:r w:rsidRPr="004A5F47">
        <w:rPr>
          <w:rFonts w:ascii="Book Antiqua" w:eastAsia="Book Antiqua" w:hAnsi="Book Antiqua" w:cs="Book Antiqua"/>
          <w:color w:val="000000"/>
        </w:rPr>
        <w:lastRenderedPageBreak/>
        <w:t xml:space="preserve">(6.3% </w:t>
      </w:r>
      <w:r w:rsidR="006F3B03"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12.5%) after propensity score matching (PSM)</w:t>
      </w:r>
      <w:r w:rsidRPr="004A5F47">
        <w:rPr>
          <w:rFonts w:ascii="Book Antiqua" w:eastAsia="Book Antiqua" w:hAnsi="Book Antiqua" w:cs="Book Antiqua"/>
          <w:color w:val="000000"/>
          <w:vertAlign w:val="superscript"/>
        </w:rPr>
        <w:t>[44]</w:t>
      </w:r>
      <w:r w:rsidRPr="004A5F47">
        <w:rPr>
          <w:rFonts w:ascii="Book Antiqua" w:eastAsia="Book Antiqua" w:hAnsi="Book Antiqua" w:cs="Book Antiqua"/>
          <w:color w:val="000000"/>
        </w:rPr>
        <w:t xml:space="preserve">. However, in another study </w:t>
      </w:r>
      <w:r w:rsidR="00EB27F7" w:rsidRPr="004A5F47">
        <w:rPr>
          <w:rFonts w:ascii="Book Antiqua" w:eastAsia="Book Antiqua" w:hAnsi="Book Antiqua" w:cs="Book Antiqua"/>
          <w:color w:val="000000"/>
        </w:rPr>
        <w:t xml:space="preserve">that </w:t>
      </w:r>
      <w:r w:rsidRPr="004A5F47">
        <w:rPr>
          <w:rFonts w:ascii="Book Antiqua" w:eastAsia="Book Antiqua" w:hAnsi="Book Antiqua" w:cs="Book Antiqua"/>
          <w:color w:val="000000"/>
        </w:rPr>
        <w:t>used PSM analysis</w:t>
      </w:r>
      <w:r w:rsidRPr="004A5F47">
        <w:rPr>
          <w:rFonts w:ascii="Book Antiqua" w:eastAsia="Book Antiqua" w:hAnsi="Book Antiqua" w:cs="Book Antiqua"/>
          <w:color w:val="000000"/>
          <w:vertAlign w:val="superscript"/>
        </w:rPr>
        <w:t>[45]</w:t>
      </w:r>
      <w:r w:rsidR="006F3B03"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(34 NMP </w:t>
      </w:r>
      <w:r w:rsidR="006F3B03"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68 NRP), there w</w:t>
      </w:r>
      <w:r w:rsidR="00EB27F7" w:rsidRPr="004A5F47">
        <w:rPr>
          <w:rFonts w:ascii="Book Antiqua" w:eastAsia="Book Antiqua" w:hAnsi="Book Antiqua" w:cs="Book Antiqua"/>
          <w:color w:val="000000"/>
        </w:rPr>
        <w:t>ere</w:t>
      </w:r>
      <w:r w:rsidRPr="004A5F47">
        <w:rPr>
          <w:rFonts w:ascii="Book Antiqua" w:eastAsia="Book Antiqua" w:hAnsi="Book Antiqua" w:cs="Book Antiqua"/>
          <w:color w:val="000000"/>
        </w:rPr>
        <w:t xml:space="preserve"> no significant differences in </w:t>
      </w:r>
      <w:r w:rsidR="00EB27F7" w:rsidRPr="004A5F47">
        <w:rPr>
          <w:rFonts w:ascii="Book Antiqua" w:eastAsia="Book Antiqua" w:hAnsi="Book Antiqua" w:cs="Book Antiqua"/>
          <w:color w:val="000000"/>
        </w:rPr>
        <w:t xml:space="preserve">the ITBL rate of </w:t>
      </w:r>
      <w:r w:rsidRPr="004A5F47">
        <w:rPr>
          <w:rFonts w:ascii="Book Antiqua" w:eastAsia="Book Antiqua" w:hAnsi="Book Antiqua" w:cs="Book Antiqua"/>
          <w:color w:val="000000"/>
        </w:rPr>
        <w:t xml:space="preserve">both groups (2.9% NRP </w:t>
      </w:r>
      <w:r w:rsidR="006F3B03"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8.8% NMP). In this latter study, NMP was applied at source as opposed to the study by Gaurav </w:t>
      </w:r>
      <w:r w:rsidRPr="004A5F47">
        <w:rPr>
          <w:rFonts w:ascii="Book Antiqua" w:eastAsia="Book Antiqua" w:hAnsi="Book Antiqua" w:cs="Book Antiqua"/>
          <w:i/>
          <w:iCs/>
          <w:color w:val="000000"/>
        </w:rPr>
        <w:t>et al</w:t>
      </w:r>
      <w:r w:rsidR="006F3B03" w:rsidRPr="004A5F47">
        <w:rPr>
          <w:rFonts w:ascii="Book Antiqua" w:eastAsia="Book Antiqua" w:hAnsi="Book Antiqua" w:cs="Book Antiqua"/>
          <w:color w:val="000000"/>
          <w:vertAlign w:val="superscript"/>
        </w:rPr>
        <w:t>[44]</w:t>
      </w:r>
      <w:r w:rsidR="00EB27F7"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which applied it at the recipient hospital in the majority of cases</w:t>
      </w:r>
      <w:r w:rsidRPr="004A5F47">
        <w:rPr>
          <w:rFonts w:ascii="Book Antiqua" w:eastAsia="Book Antiqua" w:hAnsi="Book Antiqua" w:cs="Book Antiqua"/>
          <w:color w:val="000000"/>
          <w:vertAlign w:val="superscript"/>
        </w:rPr>
        <w:t>[44]</w:t>
      </w:r>
      <w:r w:rsidRPr="004A5F47">
        <w:rPr>
          <w:rFonts w:ascii="Book Antiqua" w:eastAsia="Book Antiqua" w:hAnsi="Book Antiqua" w:cs="Book Antiqua"/>
          <w:color w:val="000000"/>
        </w:rPr>
        <w:t>.</w:t>
      </w:r>
    </w:p>
    <w:p w14:paraId="5F8EFA0F" w14:textId="35FAE5BF" w:rsidR="00A77B3E" w:rsidRPr="004A5F47" w:rsidRDefault="006A1FF4" w:rsidP="00815C0F">
      <w:pPr>
        <w:spacing w:line="360" w:lineRule="auto"/>
        <w:ind w:firstLineChars="112" w:firstLine="269"/>
        <w:jc w:val="both"/>
        <w:rPr>
          <w:rFonts w:ascii="Book Antiqua" w:hAnsi="Book Antiqua"/>
          <w:lang w:eastAsia="zh-CN"/>
        </w:rPr>
      </w:pPr>
      <w:r w:rsidRPr="004A5F47">
        <w:rPr>
          <w:rFonts w:ascii="Book Antiqua" w:eastAsia="Book Antiqua" w:hAnsi="Book Antiqua" w:cs="Book Antiqua"/>
          <w:color w:val="000000"/>
        </w:rPr>
        <w:t xml:space="preserve">A-NRP is a widely used </w:t>
      </w:r>
      <w:r w:rsidRPr="00815C0F">
        <w:rPr>
          <w:rFonts w:ascii="Book Antiqua" w:eastAsia="Book Antiqua" w:hAnsi="Book Antiqua" w:cs="Book Antiqua"/>
          <w:i/>
          <w:iCs/>
          <w:color w:val="000000"/>
        </w:rPr>
        <w:t>in</w:t>
      </w:r>
      <w:r w:rsidR="00EB27F7" w:rsidRPr="00815C0F">
        <w:rPr>
          <w:rFonts w:ascii="Book Antiqua" w:eastAsia="Book Antiqua" w:hAnsi="Book Antiqua" w:cs="Book Antiqua"/>
          <w:i/>
          <w:iCs/>
          <w:color w:val="000000"/>
        </w:rPr>
        <w:t xml:space="preserve"> </w:t>
      </w:r>
      <w:r w:rsidRPr="00815C0F">
        <w:rPr>
          <w:rFonts w:ascii="Book Antiqua" w:eastAsia="Book Antiqua" w:hAnsi="Book Antiqua" w:cs="Book Antiqua"/>
          <w:i/>
          <w:iCs/>
          <w:color w:val="000000"/>
        </w:rPr>
        <w:t>situ</w:t>
      </w:r>
      <w:r w:rsidRPr="004A5F47">
        <w:rPr>
          <w:rFonts w:ascii="Book Antiqua" w:eastAsia="Book Antiqua" w:hAnsi="Book Antiqua" w:cs="Book Antiqua"/>
          <w:color w:val="000000"/>
        </w:rPr>
        <w:t xml:space="preserve"> perfusion technique that has improved outcomes and graft utili</w:t>
      </w:r>
      <w:r w:rsidR="00EB27F7" w:rsidRPr="004A5F47">
        <w:rPr>
          <w:rFonts w:ascii="Book Antiqua" w:eastAsia="Book Antiqua" w:hAnsi="Book Antiqua" w:cs="Book Antiqua"/>
          <w:color w:val="000000"/>
        </w:rPr>
        <w:t>z</w:t>
      </w:r>
      <w:r w:rsidRPr="004A5F47">
        <w:rPr>
          <w:rFonts w:ascii="Book Antiqua" w:eastAsia="Book Antiqua" w:hAnsi="Book Antiqua" w:cs="Book Antiqua"/>
          <w:color w:val="000000"/>
        </w:rPr>
        <w:t>ation in DCD grafts. Protocol aspects such as the “no-touch” period or premortem cannulation may impact in these results, due to its association with WIT. Despite the differences between the protocols adopted in different countries, NRP has still achieved superior outcomes in comparison to SRR in regards to ITBL</w:t>
      </w:r>
      <w:r w:rsidR="00062B9D" w:rsidRPr="004A5F47">
        <w:rPr>
          <w:rFonts w:ascii="Book Antiqua" w:eastAsia="Book Antiqua" w:hAnsi="Book Antiqua" w:cs="Book Antiqua"/>
          <w:color w:val="000000"/>
        </w:rPr>
        <w:t>s</w:t>
      </w:r>
      <w:r w:rsidRPr="004A5F47">
        <w:rPr>
          <w:rFonts w:ascii="Book Antiqua" w:eastAsia="Book Antiqua" w:hAnsi="Book Antiqua" w:cs="Book Antiqua"/>
          <w:color w:val="000000"/>
        </w:rPr>
        <w:t>.</w:t>
      </w:r>
    </w:p>
    <w:p w14:paraId="0B1BF7A8" w14:textId="77777777" w:rsidR="00A77B3E" w:rsidRPr="004A5F47" w:rsidRDefault="00A77B3E" w:rsidP="00265460">
      <w:pPr>
        <w:spacing w:line="360" w:lineRule="auto"/>
        <w:jc w:val="both"/>
        <w:rPr>
          <w:rFonts w:ascii="Book Antiqua" w:hAnsi="Book Antiqua"/>
        </w:rPr>
      </w:pPr>
    </w:p>
    <w:p w14:paraId="4AF8A938" w14:textId="2CA5A989" w:rsidR="00A77B3E" w:rsidRPr="004A5F47" w:rsidRDefault="006A1FF4" w:rsidP="00265460">
      <w:pPr>
        <w:spacing w:line="360" w:lineRule="auto"/>
        <w:jc w:val="both"/>
        <w:rPr>
          <w:rFonts w:ascii="Book Antiqua" w:hAnsi="Book Antiqua"/>
          <w:b/>
          <w:i/>
        </w:rPr>
      </w:pPr>
      <w:r w:rsidRPr="004A5F47">
        <w:rPr>
          <w:rFonts w:ascii="Book Antiqua" w:eastAsia="Book Antiqua" w:hAnsi="Book Antiqua" w:cs="Book Antiqua"/>
          <w:b/>
          <w:bCs/>
          <w:i/>
          <w:color w:val="000000"/>
          <w:u w:color="000000"/>
        </w:rPr>
        <w:t xml:space="preserve">Hypothermic </w:t>
      </w:r>
      <w:r w:rsidR="00C13B02" w:rsidRPr="004A5F47">
        <w:rPr>
          <w:rFonts w:ascii="Book Antiqua" w:hAnsi="Book Antiqua" w:cs="Book Antiqua"/>
          <w:b/>
          <w:bCs/>
          <w:i/>
          <w:color w:val="000000"/>
          <w:u w:color="000000"/>
          <w:lang w:eastAsia="zh-CN"/>
        </w:rPr>
        <w:t>o</w:t>
      </w:r>
      <w:r w:rsidRPr="004A5F47">
        <w:rPr>
          <w:rFonts w:ascii="Book Antiqua" w:eastAsia="Book Antiqua" w:hAnsi="Book Antiqua" w:cs="Book Antiqua"/>
          <w:b/>
          <w:bCs/>
          <w:i/>
          <w:color w:val="000000"/>
          <w:u w:color="000000"/>
        </w:rPr>
        <w:t xml:space="preserve">xygenated </w:t>
      </w:r>
      <w:r w:rsidR="00B356D8" w:rsidRPr="004A5F47">
        <w:rPr>
          <w:rFonts w:ascii="Book Antiqua" w:eastAsia="Book Antiqua" w:hAnsi="Book Antiqua" w:cs="Book Antiqua"/>
          <w:b/>
          <w:i/>
        </w:rPr>
        <w:t>MP</w:t>
      </w:r>
      <w:r w:rsidRPr="004A5F47">
        <w:rPr>
          <w:rFonts w:ascii="Book Antiqua" w:eastAsia="Book Antiqua" w:hAnsi="Book Antiqua" w:cs="Book Antiqua"/>
          <w:b/>
          <w:bCs/>
          <w:i/>
          <w:color w:val="000000"/>
          <w:u w:color="000000"/>
        </w:rPr>
        <w:t xml:space="preserve"> and </w:t>
      </w:r>
      <w:r w:rsidR="002D791C" w:rsidRPr="004A5F47">
        <w:rPr>
          <w:rFonts w:ascii="Book Antiqua" w:eastAsia="Book Antiqua" w:hAnsi="Book Antiqua" w:cs="Book Antiqua"/>
          <w:b/>
          <w:i/>
        </w:rPr>
        <w:t>ITBL</w:t>
      </w:r>
      <w:r w:rsidR="00062B9D" w:rsidRPr="004A5F47">
        <w:rPr>
          <w:rFonts w:ascii="Book Antiqua" w:eastAsia="Book Antiqua" w:hAnsi="Book Antiqua" w:cs="Book Antiqua"/>
          <w:b/>
          <w:i/>
        </w:rPr>
        <w:t>s</w:t>
      </w:r>
    </w:p>
    <w:p w14:paraId="222951F0" w14:textId="6D2AB2CE"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color w:val="000000"/>
        </w:rPr>
        <w:t xml:space="preserve">Hypothermic </w:t>
      </w:r>
      <w:r w:rsidR="00B356D8" w:rsidRPr="004A5F47">
        <w:rPr>
          <w:rFonts w:ascii="Book Antiqua" w:eastAsia="Book Antiqua" w:hAnsi="Book Antiqua" w:cs="Book Antiqua"/>
        </w:rPr>
        <w:t>MP</w:t>
      </w:r>
      <w:r w:rsidRPr="004A5F47">
        <w:rPr>
          <w:rFonts w:ascii="Book Antiqua" w:eastAsia="Book Antiqua" w:hAnsi="Book Antiqua" w:cs="Book Antiqua"/>
          <w:color w:val="000000"/>
        </w:rPr>
        <w:t xml:space="preserve"> (HMP) was first introduced in clinical practice in 2010 by Guarrera </w:t>
      </w:r>
      <w:r w:rsidRPr="004A5F47">
        <w:rPr>
          <w:rFonts w:ascii="Book Antiqua" w:eastAsia="Book Antiqua" w:hAnsi="Book Antiqua" w:cs="Book Antiqua"/>
          <w:i/>
          <w:iCs/>
          <w:color w:val="000000"/>
        </w:rPr>
        <w:t>et al</w:t>
      </w:r>
      <w:r w:rsidR="00DE5439" w:rsidRPr="004A5F47">
        <w:rPr>
          <w:rFonts w:ascii="Book Antiqua" w:eastAsia="Book Antiqua" w:hAnsi="Book Antiqua" w:cs="Book Antiqua"/>
          <w:color w:val="000000"/>
          <w:vertAlign w:val="superscript"/>
        </w:rPr>
        <w:t>[46]</w:t>
      </w:r>
      <w:r w:rsidR="008E3C7F" w:rsidRPr="004A5F47">
        <w:rPr>
          <w:rFonts w:ascii="Book Antiqua" w:eastAsia="Book Antiqua" w:hAnsi="Book Antiqua" w:cs="Book Antiqua"/>
          <w:color w:val="000000"/>
        </w:rPr>
        <w:t>, who</w:t>
      </w:r>
      <w:r w:rsidRPr="004A5F47">
        <w:rPr>
          <w:rFonts w:ascii="Book Antiqua" w:eastAsia="Book Antiqua" w:hAnsi="Book Antiqua" w:cs="Book Antiqua"/>
          <w:color w:val="000000"/>
        </w:rPr>
        <w:t xml:space="preserve"> demonstrat</w:t>
      </w:r>
      <w:r w:rsidR="008E3C7F" w:rsidRPr="004A5F47">
        <w:rPr>
          <w:rFonts w:ascii="Book Antiqua" w:eastAsia="Book Antiqua" w:hAnsi="Book Antiqua" w:cs="Book Antiqua"/>
          <w:color w:val="000000"/>
        </w:rPr>
        <w:t>e</w:t>
      </w:r>
      <w:r w:rsidRPr="004A5F47">
        <w:rPr>
          <w:rFonts w:ascii="Book Antiqua" w:eastAsia="Book Antiqua" w:hAnsi="Book Antiqua" w:cs="Book Antiqua"/>
          <w:color w:val="000000"/>
        </w:rPr>
        <w:t xml:space="preserve"> in their pilot case-controlled series that </w:t>
      </w:r>
      <w:r w:rsidR="008E3C7F" w:rsidRPr="004A5F47">
        <w:rPr>
          <w:rFonts w:ascii="Book Antiqua" w:eastAsia="Book Antiqua" w:hAnsi="Book Antiqua" w:cs="Book Antiqua"/>
          <w:color w:val="000000"/>
        </w:rPr>
        <w:t xml:space="preserve">it </w:t>
      </w:r>
      <w:r w:rsidRPr="004A5F47">
        <w:rPr>
          <w:rFonts w:ascii="Book Antiqua" w:eastAsia="Book Antiqua" w:hAnsi="Book Antiqua" w:cs="Book Antiqua"/>
          <w:color w:val="000000"/>
        </w:rPr>
        <w:t>was a feasible and safe</w:t>
      </w:r>
      <w:r w:rsidR="00DE5439"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preservation method</w:t>
      </w:r>
      <w:r w:rsidR="00DE5439" w:rsidRPr="004A5F47">
        <w:rPr>
          <w:rFonts w:ascii="Book Antiqua" w:eastAsia="Book Antiqua" w:hAnsi="Book Antiqua" w:cs="Book Antiqua"/>
          <w:color w:val="000000"/>
          <w:vertAlign w:val="superscript"/>
        </w:rPr>
        <w:t>[46]</w:t>
      </w:r>
      <w:r w:rsidRPr="004A5F47">
        <w:rPr>
          <w:rFonts w:ascii="Book Antiqua" w:eastAsia="Book Antiqua" w:hAnsi="Book Antiqua" w:cs="Book Antiqua"/>
          <w:color w:val="000000"/>
        </w:rPr>
        <w:t>.</w:t>
      </w:r>
      <w:r w:rsidR="00DE5439" w:rsidRPr="004A5F47">
        <w:rPr>
          <w:rFonts w:ascii="Book Antiqua" w:eastAsia="Book Antiqua" w:hAnsi="Book Antiqua" w:cs="Book Antiqua"/>
          <w:color w:val="000000"/>
        </w:rPr>
        <w:t xml:space="preserve"> </w:t>
      </w:r>
      <w:r w:rsidRPr="004A5F47">
        <w:rPr>
          <w:rFonts w:ascii="Book Antiqua" w:eastAsia="Book Antiqua" w:hAnsi="Book Antiqua" w:cs="Book Antiqua"/>
          <w:color w:val="000000"/>
        </w:rPr>
        <w:t>Subsequently</w:t>
      </w:r>
      <w:r w:rsidR="008E3C7F"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in preclinical studies that investigated the active oxygenation of the hypothermic perfusate over a short period, it demonstrated restored mitochondrial integrity. This </w:t>
      </w:r>
      <w:r w:rsidR="008E3C7F" w:rsidRPr="004A5F47">
        <w:rPr>
          <w:rFonts w:ascii="Book Antiqua" w:eastAsia="Book Antiqua" w:hAnsi="Book Antiqua" w:cs="Book Antiqua"/>
          <w:color w:val="000000"/>
        </w:rPr>
        <w:t>indicated</w:t>
      </w:r>
      <w:r w:rsidR="008E3C7F"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a reduction of oxygen free radicals and damage-associated molecular patterns after transplantation</w:t>
      </w:r>
      <w:r w:rsidR="00DE5439" w:rsidRPr="004A5F47">
        <w:rPr>
          <w:rFonts w:ascii="Book Antiqua" w:eastAsia="Book Antiqua" w:hAnsi="Book Antiqua" w:cs="Book Antiqua"/>
          <w:color w:val="000000"/>
          <w:vertAlign w:val="superscript"/>
        </w:rPr>
        <w:t>[47-49]</w:t>
      </w:r>
      <w:r w:rsidRPr="004A5F47">
        <w:rPr>
          <w:rFonts w:ascii="Book Antiqua" w:eastAsia="Book Antiqua" w:hAnsi="Book Antiqua" w:cs="Book Antiqua"/>
          <w:color w:val="000000"/>
        </w:rPr>
        <w:t>.</w:t>
      </w:r>
      <w:r w:rsidR="00DE5439" w:rsidRPr="004A5F47">
        <w:rPr>
          <w:rFonts w:ascii="Book Antiqua" w:eastAsia="Book Antiqua" w:hAnsi="Book Antiqua" w:cs="Book Antiqua"/>
          <w:color w:val="000000"/>
        </w:rPr>
        <w:t xml:space="preserve"> </w:t>
      </w:r>
      <w:r w:rsidRPr="004A5F47">
        <w:rPr>
          <w:rFonts w:ascii="Book Antiqua" w:eastAsia="Book Antiqua" w:hAnsi="Book Antiqua" w:cs="Book Antiqua"/>
          <w:color w:val="000000"/>
        </w:rPr>
        <w:t xml:space="preserve">Clinical studies </w:t>
      </w:r>
      <w:r w:rsidR="008E3C7F" w:rsidRPr="004A5F47">
        <w:rPr>
          <w:rFonts w:ascii="Book Antiqua" w:eastAsia="Book Antiqua" w:hAnsi="Book Antiqua" w:cs="Book Antiqua"/>
          <w:color w:val="000000"/>
        </w:rPr>
        <w:t xml:space="preserve">have </w:t>
      </w:r>
      <w:r w:rsidRPr="004A5F47">
        <w:rPr>
          <w:rFonts w:ascii="Book Antiqua" w:eastAsia="Book Antiqua" w:hAnsi="Book Antiqua" w:cs="Book Antiqua"/>
          <w:color w:val="000000"/>
        </w:rPr>
        <w:t>also reported promising results in preventing biliary complication and graft function compared to standard SCS</w:t>
      </w:r>
      <w:r w:rsidR="007A42C8" w:rsidRPr="004A5F47">
        <w:rPr>
          <w:rFonts w:ascii="Book Antiqua" w:eastAsia="Book Antiqua" w:hAnsi="Book Antiqua" w:cs="Book Antiqua"/>
          <w:color w:val="000000"/>
          <w:vertAlign w:val="superscript"/>
        </w:rPr>
        <w:t>[50,51]</w:t>
      </w:r>
      <w:r w:rsidRPr="004A5F47">
        <w:rPr>
          <w:rFonts w:ascii="Book Antiqua" w:eastAsia="Book Antiqua" w:hAnsi="Book Antiqua" w:cs="Book Antiqua"/>
          <w:color w:val="000000"/>
        </w:rPr>
        <w:t>.</w:t>
      </w:r>
    </w:p>
    <w:p w14:paraId="7A16865B" w14:textId="06D738A8" w:rsidR="00A77B3E"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t>HOPE is employed as an end-ischemic treatment after SRR or standard procurement in the case of DCD and DBD livers respectively, followed by a variable period of SCS. The devices available are not portable and HOPE needs to be applied at the recipient hospital. Its use limits the CIT and extends graft preservation time, avoiding the damage associated with extended periods of preservation. Two main perfusion strategies are currently employed which combine</w:t>
      </w:r>
      <w:r w:rsidR="00434ABA"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hypothermia with a highly oxygenated perfusate: </w:t>
      </w:r>
      <w:r w:rsidR="00434ABA" w:rsidRPr="004A5F47">
        <w:rPr>
          <w:rFonts w:ascii="Book Antiqua" w:hAnsi="Book Antiqua" w:cs="Book Antiqua"/>
          <w:color w:val="000000"/>
          <w:lang w:eastAsia="zh-CN"/>
        </w:rPr>
        <w:t>(</w:t>
      </w:r>
      <w:r w:rsidRPr="004A5F47">
        <w:rPr>
          <w:rFonts w:ascii="Book Antiqua" w:eastAsia="Book Antiqua" w:hAnsi="Book Antiqua" w:cs="Book Antiqua"/>
          <w:color w:val="000000"/>
        </w:rPr>
        <w:t xml:space="preserve">1) single HOPE or ‘HOPE’, which consists of single perfusion through the portal vein; </w:t>
      </w:r>
      <w:r w:rsidR="003B0B42" w:rsidRPr="004A5F47">
        <w:rPr>
          <w:rFonts w:ascii="Book Antiqua" w:hAnsi="Book Antiqua" w:cs="Book Antiqua"/>
          <w:color w:val="000000"/>
          <w:lang w:eastAsia="zh-CN"/>
        </w:rPr>
        <w:t xml:space="preserve">and </w:t>
      </w:r>
      <w:r w:rsidR="00434ABA" w:rsidRPr="004A5F47">
        <w:rPr>
          <w:rFonts w:ascii="Book Antiqua" w:hAnsi="Book Antiqua" w:cs="Book Antiqua"/>
          <w:color w:val="000000"/>
          <w:lang w:eastAsia="zh-CN"/>
        </w:rPr>
        <w:t>(</w:t>
      </w:r>
      <w:r w:rsidRPr="004A5F47">
        <w:rPr>
          <w:rFonts w:ascii="Book Antiqua" w:eastAsia="Book Antiqua" w:hAnsi="Book Antiqua" w:cs="Book Antiqua"/>
          <w:color w:val="000000"/>
        </w:rPr>
        <w:t>2) dual or ‘D-HOPE’ consisting of dual perfusion through the portal vein and the hepatic artery</w:t>
      </w:r>
      <w:r w:rsidR="00434ABA" w:rsidRPr="004A5F47">
        <w:rPr>
          <w:rFonts w:ascii="Book Antiqua" w:eastAsia="Book Antiqua" w:hAnsi="Book Antiqua" w:cs="Book Antiqua"/>
          <w:color w:val="000000"/>
          <w:vertAlign w:val="superscript"/>
        </w:rPr>
        <w:t>[15,52]</w:t>
      </w:r>
      <w:r w:rsidRPr="004A5F47">
        <w:rPr>
          <w:rFonts w:ascii="Book Antiqua" w:eastAsia="Book Antiqua" w:hAnsi="Book Antiqua" w:cs="Book Antiqua"/>
          <w:color w:val="000000"/>
        </w:rPr>
        <w:t>.</w:t>
      </w:r>
      <w:r w:rsidR="00434ABA"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Currently, there are no clinical studies comparing the two strategies, although preclinical studies performed on pigs did not find differences regarding the preservation </w:t>
      </w:r>
      <w:r w:rsidRPr="004A5F47">
        <w:rPr>
          <w:rFonts w:ascii="Book Antiqua" w:eastAsia="Book Antiqua" w:hAnsi="Book Antiqua" w:cs="Book Antiqua"/>
          <w:color w:val="000000"/>
        </w:rPr>
        <w:lastRenderedPageBreak/>
        <w:t>of hepatobiliary or endothelial function when comparing both strategies</w:t>
      </w:r>
      <w:r w:rsidR="008F72E7" w:rsidRPr="004A5F47">
        <w:rPr>
          <w:rFonts w:ascii="Book Antiqua" w:eastAsia="Book Antiqua" w:hAnsi="Book Antiqua" w:cs="Book Antiqua"/>
          <w:color w:val="000000"/>
          <w:vertAlign w:val="superscript"/>
        </w:rPr>
        <w:t>[53]</w:t>
      </w:r>
      <w:r w:rsidRPr="004A5F47">
        <w:rPr>
          <w:rFonts w:ascii="Book Antiqua" w:eastAsia="Book Antiqua" w:hAnsi="Book Antiqua" w:cs="Book Antiqua"/>
          <w:color w:val="000000"/>
        </w:rPr>
        <w:t>.</w:t>
      </w:r>
      <w:r w:rsidR="008F72E7" w:rsidRPr="004A5F47">
        <w:rPr>
          <w:rFonts w:ascii="Book Antiqua" w:eastAsia="Book Antiqua" w:hAnsi="Book Antiqua" w:cs="Book Antiqua"/>
          <w:color w:val="000000"/>
        </w:rPr>
        <w:t xml:space="preserve"> </w:t>
      </w:r>
      <w:r w:rsidRPr="004A5F47">
        <w:rPr>
          <w:rFonts w:ascii="Book Antiqua" w:eastAsia="Book Antiqua" w:hAnsi="Book Antiqua" w:cs="Book Antiqua"/>
          <w:color w:val="000000"/>
        </w:rPr>
        <w:t>Advocates of D-HOPE emphasi</w:t>
      </w:r>
      <w:r w:rsidR="008E3C7F" w:rsidRPr="004A5F47">
        <w:rPr>
          <w:rFonts w:ascii="Book Antiqua" w:eastAsia="Book Antiqua" w:hAnsi="Book Antiqua" w:cs="Book Antiqua"/>
          <w:color w:val="000000"/>
        </w:rPr>
        <w:t>z</w:t>
      </w:r>
      <w:r w:rsidRPr="004A5F47">
        <w:rPr>
          <w:rFonts w:ascii="Book Antiqua" w:eastAsia="Book Antiqua" w:hAnsi="Book Antiqua" w:cs="Book Antiqua"/>
          <w:color w:val="000000"/>
        </w:rPr>
        <w:t>e that dominant vasculature of the bile ducts comes from arterial supply and single portal perfusion may not provide optimal preservation of the biliary tree. On the other hand, many argue the potential risk of mechanical damage to the hepatic artery intima that may occur during cannulation</w:t>
      </w:r>
      <w:r w:rsidR="008F72E7"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could cause a higher incidence of acute HAT following liver transplant</w:t>
      </w:r>
      <w:r w:rsidR="008F72E7" w:rsidRPr="004A5F47">
        <w:rPr>
          <w:rFonts w:ascii="Book Antiqua" w:eastAsia="Book Antiqua" w:hAnsi="Book Antiqua" w:cs="Book Antiqua"/>
          <w:color w:val="000000"/>
          <w:vertAlign w:val="superscript"/>
        </w:rPr>
        <w:t>[51]</w:t>
      </w:r>
      <w:r w:rsidRPr="004A5F47">
        <w:rPr>
          <w:rFonts w:ascii="Book Antiqua" w:eastAsia="Book Antiqua" w:hAnsi="Book Antiqua" w:cs="Book Antiqua"/>
          <w:color w:val="000000"/>
        </w:rPr>
        <w:t>.</w:t>
      </w:r>
      <w:r w:rsidR="008F72E7"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Researchers from Zurich</w:t>
      </w:r>
      <w:r w:rsidR="008F72E7"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have proposed methods for liver graft assessment during HOPE using real-time quantification of flavin mononucleotide (FMN) in the perfusate</w:t>
      </w:r>
      <w:r w:rsidR="008F72E7" w:rsidRPr="004A5F47">
        <w:rPr>
          <w:rFonts w:ascii="Book Antiqua" w:eastAsia="Book Antiqua" w:hAnsi="Book Antiqua" w:cs="Book Antiqua"/>
          <w:color w:val="000000"/>
          <w:vertAlign w:val="superscript"/>
        </w:rPr>
        <w:t>[54]</w:t>
      </w:r>
      <w:r w:rsidRPr="004A5F47">
        <w:rPr>
          <w:rFonts w:ascii="Book Antiqua" w:eastAsia="Book Antiqua" w:hAnsi="Book Antiqua" w:cs="Book Antiqua"/>
          <w:color w:val="000000"/>
        </w:rPr>
        <w:t>.</w:t>
      </w:r>
      <w:r w:rsidR="008F72E7"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FMN is a molecule part of complex I of the mitochondrial respiratory chain</w:t>
      </w:r>
      <w:r w:rsidR="008F72E7" w:rsidRPr="004A5F47">
        <w:rPr>
          <w:rFonts w:ascii="Book Antiqua" w:eastAsia="Book Antiqua" w:hAnsi="Book Antiqua" w:cs="Book Antiqua"/>
          <w:color w:val="000000"/>
          <w:vertAlign w:val="superscript"/>
        </w:rPr>
        <w:t>[37]</w:t>
      </w:r>
      <w:r w:rsidRPr="004A5F47">
        <w:rPr>
          <w:rFonts w:ascii="Book Antiqua" w:eastAsia="Book Antiqua" w:hAnsi="Book Antiqua" w:cs="Book Antiqua"/>
          <w:color w:val="000000"/>
        </w:rPr>
        <w:t>.</w:t>
      </w:r>
      <w:r w:rsidR="008F72E7"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Its concentration is determined by fluorescence spectroscopy and levels in perfusate correlate with graft function, complications, and graft survival in DCD livers</w:t>
      </w:r>
      <w:r w:rsidR="00486BBC" w:rsidRPr="004A5F47">
        <w:rPr>
          <w:rFonts w:ascii="Book Antiqua" w:eastAsia="Book Antiqua" w:hAnsi="Book Antiqua" w:cs="Book Antiqua"/>
          <w:color w:val="000000"/>
          <w:vertAlign w:val="superscript"/>
        </w:rPr>
        <w:t>[54]</w:t>
      </w:r>
      <w:r w:rsidRPr="004A5F47">
        <w:rPr>
          <w:rFonts w:ascii="Book Antiqua" w:eastAsia="Book Antiqua" w:hAnsi="Book Antiqua" w:cs="Book Antiqua"/>
          <w:color w:val="000000"/>
        </w:rPr>
        <w:t>.</w:t>
      </w:r>
    </w:p>
    <w:p w14:paraId="5AD33448" w14:textId="71D36897" w:rsidR="00A77B3E"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t>The available studies on the use of HOPE as a preservation method, with a control group and reporting data on biliary strictures are summarized in Table 2. At present, these include four RCT</w:t>
      </w:r>
      <w:r w:rsidR="00DF3DAA"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and five retrospective cohort studies with an appropriate control group of SCS grafts, and a single study comparing HOPE against NRP. The influence of HOPE on ITBL prevention has been studied only to a limited extent because in the majority, the primary endpoint was not related to biliary complications.</w:t>
      </w:r>
    </w:p>
    <w:p w14:paraId="7E7AF012" w14:textId="79714E30" w:rsidR="00A77B3E" w:rsidRPr="004A5F47" w:rsidRDefault="006A1FF4" w:rsidP="00815C0F">
      <w:pPr>
        <w:spacing w:line="360" w:lineRule="auto"/>
        <w:ind w:firstLineChars="112" w:firstLine="269"/>
        <w:jc w:val="both"/>
        <w:rPr>
          <w:rFonts w:ascii="Book Antiqua" w:hAnsi="Book Antiqua"/>
          <w:lang w:eastAsia="zh-CN"/>
        </w:rPr>
      </w:pPr>
      <w:r w:rsidRPr="004A5F47">
        <w:rPr>
          <w:rFonts w:ascii="Book Antiqua" w:eastAsia="Book Antiqua" w:hAnsi="Book Antiqua" w:cs="Book Antiqua"/>
          <w:color w:val="000000"/>
        </w:rPr>
        <w:t>The relationship between ITBL and DCD livers is well established</w:t>
      </w:r>
      <w:r w:rsidR="00D41670" w:rsidRPr="004A5F47">
        <w:rPr>
          <w:rFonts w:ascii="Book Antiqua" w:eastAsia="Book Antiqua" w:hAnsi="Book Antiqua" w:cs="Book Antiqua"/>
          <w:color w:val="000000"/>
          <w:vertAlign w:val="superscript"/>
        </w:rPr>
        <w:t>[20]</w:t>
      </w:r>
      <w:r w:rsidRPr="004A5F47">
        <w:rPr>
          <w:rFonts w:ascii="Book Antiqua" w:eastAsia="Book Antiqua" w:hAnsi="Book Antiqua" w:cs="Book Antiqua"/>
          <w:color w:val="000000"/>
        </w:rPr>
        <w:t>.</w:t>
      </w:r>
      <w:r w:rsidR="00D41670"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However, only 4/10 published cohort studies and </w:t>
      </w:r>
      <w:r w:rsidR="001C0E48" w:rsidRPr="004A5F47">
        <w:rPr>
          <w:rFonts w:ascii="Book Antiqua" w:eastAsia="Book Antiqua" w:hAnsi="Book Antiqua" w:cs="Book Antiqua"/>
          <w:color w:val="000000"/>
        </w:rPr>
        <w:t xml:space="preserve">1 </w:t>
      </w:r>
      <w:r w:rsidRPr="004A5F47">
        <w:rPr>
          <w:rFonts w:ascii="Book Antiqua" w:eastAsia="Book Antiqua" w:hAnsi="Book Antiqua" w:cs="Book Antiqua"/>
          <w:color w:val="000000"/>
        </w:rPr>
        <w:t>RCT</w:t>
      </w:r>
      <w:r w:rsidR="007732B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have studied the influence of HOPE on DCD graft outcomes</w:t>
      </w:r>
      <w:r w:rsidR="007732B5" w:rsidRPr="004A5F47">
        <w:rPr>
          <w:rFonts w:ascii="Book Antiqua" w:eastAsia="Book Antiqua" w:hAnsi="Book Antiqua" w:cs="Book Antiqua"/>
          <w:color w:val="000000"/>
          <w:vertAlign w:val="superscript"/>
        </w:rPr>
        <w:t>[51,52,55]</w:t>
      </w:r>
      <w:r w:rsidRPr="004A5F47">
        <w:rPr>
          <w:rFonts w:ascii="Book Antiqua" w:eastAsia="Book Antiqua" w:hAnsi="Book Antiqua" w:cs="Book Antiqua"/>
          <w:color w:val="000000"/>
        </w:rPr>
        <w:t>.</w:t>
      </w:r>
      <w:r w:rsidR="007732B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Thus, most published studies included only DBD livers so there is little or no ITBL incidence, and are not powered for this endpoint</w:t>
      </w:r>
      <w:r w:rsidR="007732B5" w:rsidRPr="004A5F47">
        <w:rPr>
          <w:rFonts w:ascii="Book Antiqua" w:eastAsia="Book Antiqua" w:hAnsi="Book Antiqua" w:cs="Book Antiqua"/>
          <w:color w:val="000000"/>
          <w:vertAlign w:val="superscript"/>
        </w:rPr>
        <w:t>[56-60]</w:t>
      </w:r>
      <w:r w:rsidRPr="004A5F47">
        <w:rPr>
          <w:rFonts w:ascii="Book Antiqua" w:eastAsia="Book Antiqua" w:hAnsi="Book Antiqua" w:cs="Book Antiqua"/>
          <w:color w:val="000000"/>
        </w:rPr>
        <w:t>.</w:t>
      </w:r>
      <w:r w:rsidR="007732B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The most relevant study on ITBL prevention by</w:t>
      </w:r>
      <w:r w:rsidR="007732B5" w:rsidRPr="004A5F47">
        <w:rPr>
          <w:rFonts w:ascii="Book Antiqua" w:hAnsi="Book Antiqua" w:cs="Book Antiqua"/>
          <w:color w:val="000000"/>
          <w:lang w:eastAsia="zh-CN"/>
        </w:rPr>
        <w:t xml:space="preserve"> </w:t>
      </w:r>
      <w:r w:rsidRPr="004A5F47">
        <w:rPr>
          <w:rFonts w:ascii="Book Antiqua" w:eastAsia="Book Antiqua" w:hAnsi="Book Antiqua" w:cs="Book Antiqua"/>
          <w:i/>
          <w:iCs/>
          <w:color w:val="000000"/>
        </w:rPr>
        <w:t>ex</w:t>
      </w:r>
      <w:r w:rsidR="00DF3DAA" w:rsidRPr="004A5F47">
        <w:rPr>
          <w:rFonts w:ascii="Book Antiqua" w:eastAsia="Book Antiqua" w:hAnsi="Book Antiqua" w:cs="Book Antiqua"/>
          <w:i/>
          <w:iCs/>
          <w:color w:val="000000"/>
        </w:rPr>
        <w:t xml:space="preserve"> </w:t>
      </w:r>
      <w:r w:rsidRPr="004A5F47">
        <w:rPr>
          <w:rFonts w:ascii="Book Antiqua" w:eastAsia="Book Antiqua" w:hAnsi="Book Antiqua" w:cs="Book Antiqua"/>
          <w:i/>
          <w:iCs/>
          <w:color w:val="000000"/>
        </w:rPr>
        <w:t>situ</w:t>
      </w:r>
      <w:r w:rsidR="007732B5" w:rsidRPr="004A5F47">
        <w:rPr>
          <w:rFonts w:ascii="Book Antiqua" w:hAnsi="Book Antiqua" w:cs="Book Antiqua"/>
          <w:color w:val="000000"/>
          <w:lang w:eastAsia="zh-CN"/>
        </w:rPr>
        <w:t xml:space="preserve"> </w:t>
      </w:r>
      <w:r w:rsidR="00B356D8" w:rsidRPr="004A5F47">
        <w:rPr>
          <w:rFonts w:ascii="Book Antiqua" w:eastAsia="Book Antiqua" w:hAnsi="Book Antiqua" w:cs="Book Antiqua"/>
        </w:rPr>
        <w:t>MP</w:t>
      </w:r>
      <w:r w:rsidRPr="004A5F47">
        <w:rPr>
          <w:rFonts w:ascii="Book Antiqua" w:eastAsia="Book Antiqua" w:hAnsi="Book Antiqua" w:cs="Book Antiqua"/>
          <w:color w:val="000000"/>
        </w:rPr>
        <w:t xml:space="preserve"> was the multicente</w:t>
      </w:r>
      <w:r w:rsidR="00DF3DAA" w:rsidRPr="004A5F47">
        <w:rPr>
          <w:rFonts w:ascii="Book Antiqua" w:eastAsia="Book Antiqua" w:hAnsi="Book Antiqua" w:cs="Book Antiqua"/>
          <w:color w:val="000000"/>
        </w:rPr>
        <w:t>r</w:t>
      </w:r>
      <w:r w:rsidRPr="004A5F47">
        <w:rPr>
          <w:rFonts w:ascii="Book Antiqua" w:eastAsia="Book Antiqua" w:hAnsi="Book Antiqua" w:cs="Book Antiqua"/>
          <w:color w:val="000000"/>
        </w:rPr>
        <w:t xml:space="preserve"> clinical trial led by the Groningen group</w:t>
      </w:r>
      <w:r w:rsidR="007732B5" w:rsidRPr="004A5F47">
        <w:rPr>
          <w:rFonts w:ascii="Book Antiqua" w:eastAsia="Book Antiqua" w:hAnsi="Book Antiqua" w:cs="Book Antiqua"/>
          <w:color w:val="000000"/>
          <w:vertAlign w:val="superscript"/>
        </w:rPr>
        <w:t>[52]</w:t>
      </w:r>
      <w:r w:rsidRPr="004A5F47">
        <w:rPr>
          <w:rFonts w:ascii="Book Antiqua" w:eastAsia="Book Antiqua" w:hAnsi="Book Antiqua" w:cs="Book Antiqua"/>
          <w:color w:val="000000"/>
        </w:rPr>
        <w:t>.</w:t>
      </w:r>
      <w:r w:rsidR="007732B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This European trial had symptomatic NAS within 6 mo after transplantation as the primary outcome. The study included a clear definition of NAS, which included the presence of a patent hepatic artery and therefore the NAS in this study were all ITBL</w:t>
      </w:r>
      <w:r w:rsidR="00062B9D"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The authors demonstrated that two hours of end-ischemic D-HOPE led to a lower risk of symptomatic NAS after liver transplantation of grafts from DCD donors. NAS occurred in 5/78 (6%) of the patients in the HOPE group compared to 14/78 (18%) of SCS grafts with </w:t>
      </w:r>
      <w:r w:rsidR="001C0E48" w:rsidRPr="004A5F47">
        <w:rPr>
          <w:rFonts w:ascii="Book Antiqua" w:eastAsia="Book Antiqua" w:hAnsi="Book Antiqua" w:cs="Book Antiqua"/>
          <w:color w:val="000000"/>
        </w:rPr>
        <w:t xml:space="preserve">2 </w:t>
      </w:r>
      <w:r w:rsidRPr="004A5F47">
        <w:rPr>
          <w:rFonts w:ascii="Book Antiqua" w:eastAsia="Book Antiqua" w:hAnsi="Book Antiqua" w:cs="Book Antiqua"/>
          <w:color w:val="000000"/>
        </w:rPr>
        <w:t xml:space="preserve">patients from the SCS group requiring a retransplant because </w:t>
      </w:r>
      <w:r w:rsidRPr="004A5F47">
        <w:rPr>
          <w:rFonts w:ascii="Book Antiqua" w:eastAsia="Book Antiqua" w:hAnsi="Book Antiqua" w:cs="Book Antiqua"/>
          <w:color w:val="000000"/>
        </w:rPr>
        <w:lastRenderedPageBreak/>
        <w:t>of severe NAS. Furthermore, the D-HOPE group showed a reduction by a factor of almost four in treatment interventions required for NAS.</w:t>
      </w:r>
    </w:p>
    <w:p w14:paraId="67BFD098" w14:textId="2148079B" w:rsidR="00A77B3E"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t>Trials published by Italian and German groups have reported the efficacy of HOPE for the prevention of complications and a shorter intensive care unit stay</w:t>
      </w:r>
      <w:r w:rsidR="00D550AE" w:rsidRPr="004A5F47">
        <w:rPr>
          <w:rFonts w:ascii="Book Antiqua" w:eastAsia="Book Antiqua" w:hAnsi="Book Antiqua" w:cs="Book Antiqua"/>
          <w:color w:val="000000"/>
          <w:vertAlign w:val="superscript"/>
        </w:rPr>
        <w:t>[56,57]</w:t>
      </w:r>
      <w:r w:rsidRPr="004A5F47">
        <w:rPr>
          <w:rFonts w:ascii="Book Antiqua" w:eastAsia="Book Antiqua" w:hAnsi="Book Antiqua" w:cs="Book Antiqua"/>
          <w:color w:val="000000"/>
        </w:rPr>
        <w:t>.</w:t>
      </w:r>
      <w:r w:rsidR="00D550AE"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There was no mention of ITBL</w:t>
      </w:r>
      <w:r w:rsidR="00B719DC"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in both trials, and grafts studied were from DBD donors so one could assume that most of the biliary complications were from an anastomotic origin. While the primary endpoint in the German</w:t>
      </w:r>
      <w:r w:rsidRPr="004A5F47">
        <w:rPr>
          <w:rFonts w:ascii="Book Antiqua" w:eastAsia="Book Antiqua" w:hAnsi="Book Antiqua" w:cs="Book Antiqua"/>
          <w:color w:val="000000"/>
          <w:vertAlign w:val="superscript"/>
        </w:rPr>
        <w:t>[57]</w:t>
      </w:r>
      <w:r w:rsidR="004E4E1E"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study was the peak </w:t>
      </w:r>
      <w:r w:rsidR="00B23900" w:rsidRPr="004A5F47">
        <w:rPr>
          <w:rFonts w:ascii="Book Antiqua" w:hAnsi="Book Antiqua"/>
        </w:rPr>
        <w:t xml:space="preserve">alanine transaminase </w:t>
      </w:r>
      <w:r w:rsidRPr="004A5F47">
        <w:rPr>
          <w:rFonts w:ascii="Book Antiqua" w:eastAsia="Book Antiqua" w:hAnsi="Book Antiqua" w:cs="Book Antiqua"/>
          <w:color w:val="000000"/>
        </w:rPr>
        <w:t xml:space="preserve">within 1 wk after transplantation and demonstrated a 47% reduction in the serum peak of this enzyme in the HOPE group, the authors did not find any difference in biliary complication. rate (4/23, 17% </w:t>
      </w:r>
      <w:r w:rsidRPr="004A5F47">
        <w:rPr>
          <w:rFonts w:ascii="Book Antiqua" w:eastAsia="Book Antiqua" w:hAnsi="Book Antiqua" w:cs="Book Antiqua"/>
          <w:i/>
          <w:iCs/>
          <w:color w:val="000000"/>
        </w:rPr>
        <w:t>vs</w:t>
      </w:r>
      <w:r w:rsidRPr="004A5F47">
        <w:rPr>
          <w:rFonts w:ascii="Book Antiqua" w:eastAsia="Book Antiqua" w:hAnsi="Book Antiqua" w:cs="Book Antiqua"/>
          <w:color w:val="000000"/>
        </w:rPr>
        <w:t xml:space="preserve"> 26% 6/23). A trial</w:t>
      </w:r>
      <w:r w:rsidRPr="004A5F47">
        <w:rPr>
          <w:rFonts w:ascii="Book Antiqua" w:eastAsia="Book Antiqua" w:hAnsi="Book Antiqua" w:cs="Book Antiqua"/>
          <w:color w:val="000000"/>
          <w:vertAlign w:val="superscript"/>
        </w:rPr>
        <w:t>[56]</w:t>
      </w:r>
      <w:r w:rsidR="003265AA"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demonstrated benefits of HOPE, with a reduction in EAD and better graft survival rates. This study did provide a clear definition of biliary complications, although reported a rate of biliary complication different from bile leak of 5/55 (9%) in the HOPE group compared to 6/55 (11%). Two patients in each group (4%) had biliary strictures, but it </w:t>
      </w:r>
      <w:r w:rsidR="000E2F0F" w:rsidRPr="004A5F47">
        <w:rPr>
          <w:rFonts w:ascii="Book Antiqua" w:eastAsia="Book Antiqua" w:hAnsi="Book Antiqua" w:cs="Book Antiqua"/>
          <w:color w:val="000000"/>
        </w:rPr>
        <w:t xml:space="preserve">was </w:t>
      </w:r>
      <w:r w:rsidRPr="004A5F47">
        <w:rPr>
          <w:rFonts w:ascii="Book Antiqua" w:eastAsia="Book Antiqua" w:hAnsi="Book Antiqua" w:cs="Book Antiqua"/>
          <w:color w:val="000000"/>
        </w:rPr>
        <w:t>unclear if these were ITBL</w:t>
      </w:r>
      <w:r w:rsidR="000E2F0F" w:rsidRPr="004A5F47">
        <w:rPr>
          <w:rFonts w:ascii="Book Antiqua" w:eastAsia="Book Antiqua" w:hAnsi="Book Antiqua" w:cs="Book Antiqua"/>
          <w:color w:val="000000"/>
        </w:rPr>
        <w:t>s</w:t>
      </w:r>
      <w:r w:rsidRPr="004A5F47">
        <w:rPr>
          <w:rFonts w:ascii="Book Antiqua" w:eastAsia="Book Antiqua" w:hAnsi="Book Antiqua" w:cs="Book Antiqua"/>
          <w:color w:val="000000"/>
        </w:rPr>
        <w:t>. A recent multicent</w:t>
      </w:r>
      <w:r w:rsidR="001C0E48" w:rsidRPr="004A5F47">
        <w:rPr>
          <w:rFonts w:ascii="Book Antiqua" w:eastAsia="Book Antiqua" w:hAnsi="Book Antiqua" w:cs="Book Antiqua"/>
          <w:color w:val="000000"/>
        </w:rPr>
        <w:t>er</w:t>
      </w:r>
      <w:r w:rsidRPr="004A5F47">
        <w:rPr>
          <w:rFonts w:ascii="Book Antiqua" w:eastAsia="Book Antiqua" w:hAnsi="Book Antiqua" w:cs="Book Antiqua"/>
          <w:color w:val="000000"/>
        </w:rPr>
        <w:t xml:space="preserve"> trial on DBD livers from the Zurich group</w:t>
      </w:r>
      <w:r w:rsidRPr="004A5F47">
        <w:rPr>
          <w:rFonts w:ascii="Book Antiqua" w:eastAsia="Book Antiqua" w:hAnsi="Book Antiqua" w:cs="Book Antiqua"/>
          <w:color w:val="000000"/>
          <w:vertAlign w:val="superscript"/>
        </w:rPr>
        <w:t>[61]</w:t>
      </w:r>
      <w:r w:rsidR="00040E4E"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reported the effects of HOPE on preventing postoperative complications. Although the primary endpoint was not reached, and the proportion of pat</w:t>
      </w:r>
      <w:r w:rsidR="00D64296" w:rsidRPr="004A5F47">
        <w:rPr>
          <w:rFonts w:ascii="Book Antiqua" w:eastAsia="Book Antiqua" w:hAnsi="Book Antiqua" w:cs="Book Antiqua"/>
          <w:color w:val="000000"/>
        </w:rPr>
        <w:t>ients with at least one Clavien³</w:t>
      </w:r>
      <w:r w:rsidR="00AE34D6" w:rsidRPr="004A5F47">
        <w:rPr>
          <w:rFonts w:ascii="Book Antiqua" w:hAnsi="Book Antiqua" w:cs="Book Antiqua"/>
          <w:color w:val="000000"/>
          <w:lang w:eastAsia="zh-CN"/>
        </w:rPr>
        <w:t xml:space="preserve"> </w:t>
      </w:r>
      <w:r w:rsidR="00AE34D6" w:rsidRPr="004A5F47">
        <w:rPr>
          <w:rFonts w:ascii="Book Antiqua" w:eastAsia="Book Antiqua" w:hAnsi="Book Antiqua" w:cs="Book Antiqua"/>
          <w:color w:val="000000"/>
        </w:rPr>
        <w:t>III complication did not differ</w:t>
      </w:r>
      <w:r w:rsidRPr="004A5F47">
        <w:rPr>
          <w:rFonts w:ascii="Book Antiqua" w:eastAsia="Book Antiqua" w:hAnsi="Book Antiqua" w:cs="Book Antiqua"/>
          <w:color w:val="000000"/>
        </w:rPr>
        <w:t>,</w:t>
      </w:r>
      <w:r w:rsidR="00AE34D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findings suggested that HOPE may decrease the risk of severe liver graft related events. The study did not include a clear definition of NAS and state if</w:t>
      </w:r>
      <w:r w:rsidR="00AE34D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hepatic artery patency was required.</w:t>
      </w:r>
      <w:r w:rsidR="00AE34D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In this study the NAS incidence was</w:t>
      </w:r>
      <w:r w:rsidR="00AE34D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1/85 (1.2%)</w:t>
      </w:r>
      <w:r w:rsidR="00AE34D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in the HOPE group compared to</w:t>
      </w:r>
      <w:r w:rsidR="00AE34D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3/85 (3.5%) in the SCS group.</w:t>
      </w:r>
    </w:p>
    <w:p w14:paraId="056F62D6" w14:textId="57070732" w:rsidR="00A77B3E" w:rsidRPr="004A5F47" w:rsidRDefault="006A1FF4" w:rsidP="00815C0F">
      <w:pPr>
        <w:spacing w:line="360" w:lineRule="auto"/>
        <w:ind w:firstLineChars="112" w:firstLine="269"/>
        <w:jc w:val="both"/>
        <w:rPr>
          <w:rFonts w:ascii="Book Antiqua" w:hAnsi="Book Antiqua"/>
          <w:lang w:eastAsia="zh-CN"/>
        </w:rPr>
      </w:pPr>
      <w:r w:rsidRPr="004A5F47">
        <w:rPr>
          <w:rFonts w:ascii="Book Antiqua" w:eastAsia="Book Antiqua" w:hAnsi="Book Antiqua" w:cs="Book Antiqua"/>
          <w:color w:val="000000"/>
        </w:rPr>
        <w:t xml:space="preserve">The only study comparing A-NRP and HOPE for liver grafts from DCD donors included an A-NRP cohort from </w:t>
      </w:r>
      <w:r w:rsidR="001C0E48" w:rsidRPr="004A5F47">
        <w:rPr>
          <w:rFonts w:ascii="Book Antiqua" w:eastAsia="Book Antiqua" w:hAnsi="Book Antiqua" w:cs="Book Antiqua"/>
          <w:color w:val="000000"/>
        </w:rPr>
        <w:t xml:space="preserve">six </w:t>
      </w:r>
      <w:r w:rsidRPr="004A5F47">
        <w:rPr>
          <w:rFonts w:ascii="Book Antiqua" w:eastAsia="Book Antiqua" w:hAnsi="Book Antiqua" w:cs="Book Antiqua"/>
          <w:color w:val="000000"/>
        </w:rPr>
        <w:t>high-volume French cent</w:t>
      </w:r>
      <w:r w:rsidR="001C0E48" w:rsidRPr="004A5F47">
        <w:rPr>
          <w:rFonts w:ascii="Book Antiqua" w:eastAsia="Book Antiqua" w:hAnsi="Book Antiqua" w:cs="Book Antiqua"/>
          <w:color w:val="000000"/>
        </w:rPr>
        <w:t>ers</w:t>
      </w:r>
      <w:r w:rsidRPr="004A5F47">
        <w:rPr>
          <w:rFonts w:ascii="Book Antiqua" w:eastAsia="Book Antiqua" w:hAnsi="Book Antiqua" w:cs="Book Antiqua"/>
          <w:color w:val="000000"/>
        </w:rPr>
        <w:t xml:space="preserve"> and the HOPE cohort from the Zurich group</w:t>
      </w:r>
      <w:r w:rsidRPr="004A5F47">
        <w:rPr>
          <w:rFonts w:ascii="Book Antiqua" w:eastAsia="Book Antiqua" w:hAnsi="Book Antiqua" w:cs="Book Antiqua"/>
          <w:color w:val="000000"/>
          <w:vertAlign w:val="superscript"/>
        </w:rPr>
        <w:t>[37]</w:t>
      </w:r>
      <w:r w:rsidRPr="004A5F47">
        <w:rPr>
          <w:rFonts w:ascii="Book Antiqua" w:eastAsia="Book Antiqua" w:hAnsi="Book Antiqua" w:cs="Book Antiqua"/>
          <w:color w:val="000000"/>
        </w:rPr>
        <w:t>. In the A-NRP</w:t>
      </w:r>
      <w:r w:rsidR="00AE34D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cohort, femoral artery cannulas were introduced post-mortem after a ‘‘no-touch’’ period of 5 min. NAS was defined as strictures with or without the presence of concomitant HAT or arterial complications and both groups showed similar rates of HAT, PNF and NAS (6/132 in the A-NRP group </w:t>
      </w:r>
      <w:r w:rsidRPr="004A5F47">
        <w:rPr>
          <w:rFonts w:ascii="Book Antiqua" w:eastAsia="Book Antiqua" w:hAnsi="Book Antiqua" w:cs="Book Antiqua"/>
          <w:i/>
          <w:iCs/>
          <w:color w:val="000000"/>
        </w:rPr>
        <w:t>vs</w:t>
      </w:r>
      <w:r w:rsidRPr="004A5F47">
        <w:rPr>
          <w:rFonts w:ascii="Book Antiqua" w:eastAsia="Book Antiqua" w:hAnsi="Book Antiqua" w:cs="Book Antiqua"/>
          <w:color w:val="000000"/>
        </w:rPr>
        <w:t xml:space="preserve"> 8/93 in the HOPE group). D-HOPE has an encouraging role in preventing symptomatic ITBL</w:t>
      </w:r>
      <w:r w:rsidR="000E2F0F"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in liver transplants from DCD grafts, due to mitochondrial injury prevention and ATP recovery under the hypothermic aerobic conditions.</w:t>
      </w:r>
    </w:p>
    <w:p w14:paraId="1D2F6B95" w14:textId="55C6FCE8" w:rsidR="00A77B3E" w:rsidRPr="004A5F47" w:rsidRDefault="006A1FF4" w:rsidP="00265460">
      <w:pPr>
        <w:spacing w:line="360" w:lineRule="auto"/>
        <w:jc w:val="both"/>
        <w:rPr>
          <w:rFonts w:ascii="Book Antiqua" w:hAnsi="Book Antiqua"/>
          <w:b/>
          <w:i/>
        </w:rPr>
      </w:pPr>
      <w:r w:rsidRPr="004A5F47">
        <w:rPr>
          <w:rFonts w:ascii="Book Antiqua" w:eastAsia="Book Antiqua" w:hAnsi="Book Antiqua" w:cs="Book Antiqua"/>
          <w:b/>
          <w:bCs/>
          <w:i/>
          <w:color w:val="000000"/>
          <w:u w:color="000000"/>
        </w:rPr>
        <w:lastRenderedPageBreak/>
        <w:t>N</w:t>
      </w:r>
      <w:r w:rsidR="00B356D8" w:rsidRPr="004A5F47">
        <w:rPr>
          <w:rFonts w:ascii="Book Antiqua" w:eastAsia="Book Antiqua" w:hAnsi="Book Antiqua" w:cs="Book Antiqua"/>
          <w:b/>
          <w:i/>
        </w:rPr>
        <w:t>MP</w:t>
      </w:r>
      <w:r w:rsidRPr="004A5F47">
        <w:rPr>
          <w:rFonts w:ascii="Book Antiqua" w:eastAsia="Book Antiqua" w:hAnsi="Book Antiqua" w:cs="Book Antiqua"/>
          <w:b/>
          <w:bCs/>
          <w:i/>
          <w:color w:val="000000"/>
          <w:u w:color="000000"/>
        </w:rPr>
        <w:t xml:space="preserve"> and </w:t>
      </w:r>
      <w:r w:rsidR="002D791C" w:rsidRPr="004A5F47">
        <w:rPr>
          <w:rFonts w:ascii="Book Antiqua" w:eastAsia="Book Antiqua" w:hAnsi="Book Antiqua" w:cs="Book Antiqua"/>
          <w:b/>
          <w:i/>
        </w:rPr>
        <w:t>ITBL</w:t>
      </w:r>
      <w:r w:rsidR="000E2F0F" w:rsidRPr="004A5F47">
        <w:rPr>
          <w:rFonts w:ascii="Book Antiqua" w:eastAsia="Book Antiqua" w:hAnsi="Book Antiqua" w:cs="Book Antiqua"/>
          <w:b/>
          <w:i/>
        </w:rPr>
        <w:t>s</w:t>
      </w:r>
    </w:p>
    <w:p w14:paraId="6F7CE7CD" w14:textId="34058BE1"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color w:val="000000"/>
        </w:rPr>
        <w:t xml:space="preserve">NMP provides oxygenated blood at a physiological temperature </w:t>
      </w:r>
      <w:r w:rsidRPr="004A5F47">
        <w:rPr>
          <w:rFonts w:ascii="Book Antiqua" w:eastAsia="Book Antiqua" w:hAnsi="Book Antiqua" w:cs="Book Antiqua"/>
          <w:i/>
          <w:iCs/>
          <w:color w:val="000000"/>
        </w:rPr>
        <w:t>via</w:t>
      </w:r>
      <w:r w:rsidRPr="004A5F47">
        <w:rPr>
          <w:rFonts w:ascii="Book Antiqua" w:eastAsia="Book Antiqua" w:hAnsi="Book Antiqua" w:cs="Book Antiqua"/>
          <w:color w:val="000000"/>
        </w:rPr>
        <w:t xml:space="preserve"> both the hepatic artery and portal vein, whilst the liver graft is</w:t>
      </w:r>
      <w:r w:rsidR="003303AE" w:rsidRPr="004A5F47">
        <w:rPr>
          <w:rFonts w:ascii="Book Antiqua" w:hAnsi="Book Antiqua" w:cs="Book Antiqua"/>
          <w:color w:val="000000"/>
          <w:lang w:eastAsia="zh-CN"/>
        </w:rPr>
        <w:t xml:space="preserve"> </w:t>
      </w:r>
      <w:r w:rsidRPr="004A5F47">
        <w:rPr>
          <w:rFonts w:ascii="Book Antiqua" w:eastAsia="Book Antiqua" w:hAnsi="Book Antiqua" w:cs="Book Antiqua"/>
          <w:i/>
          <w:iCs/>
          <w:color w:val="000000"/>
        </w:rPr>
        <w:t>ex</w:t>
      </w:r>
      <w:r w:rsidR="001C0E48" w:rsidRPr="004A5F47">
        <w:rPr>
          <w:rFonts w:ascii="Book Antiqua" w:eastAsia="Book Antiqua" w:hAnsi="Book Antiqua" w:cs="Book Antiqua"/>
          <w:i/>
          <w:iCs/>
          <w:color w:val="000000"/>
        </w:rPr>
        <w:t xml:space="preserve"> </w:t>
      </w:r>
      <w:r w:rsidRPr="004A5F47">
        <w:rPr>
          <w:rFonts w:ascii="Book Antiqua" w:eastAsia="Book Antiqua" w:hAnsi="Book Antiqua" w:cs="Book Antiqua"/>
          <w:i/>
          <w:iCs/>
          <w:color w:val="000000"/>
        </w:rPr>
        <w:t>situ</w:t>
      </w:r>
      <w:r w:rsidRPr="004A5F47">
        <w:rPr>
          <w:rFonts w:ascii="Book Antiqua" w:eastAsia="Book Antiqua" w:hAnsi="Book Antiqua" w:cs="Book Antiqua"/>
          <w:color w:val="000000"/>
          <w:vertAlign w:val="superscript"/>
        </w:rPr>
        <w:t>[62]</w:t>
      </w:r>
      <w:r w:rsidRPr="004A5F47">
        <w:rPr>
          <w:rFonts w:ascii="Book Antiqua" w:eastAsia="Book Antiqua" w:hAnsi="Book Antiqua" w:cs="Book Antiqua"/>
          <w:color w:val="000000"/>
        </w:rPr>
        <w:t>. Several different NMP devices are commercially available, and the majority are transportable even with graft connected. The only major differences between the devices are the nature of the arterial flow (pulsatile or non-pulsatile) and the caval outflow (open or closed). Since the phase 1 first-in-man study that demonstrated safety and feasibility of NMP, there has been a significant uptake in this preservation modality around the world and two large RCTs</w:t>
      </w:r>
      <w:r w:rsidRPr="004A5F47">
        <w:rPr>
          <w:rFonts w:ascii="Book Antiqua" w:eastAsia="Book Antiqua" w:hAnsi="Book Antiqua" w:cs="Book Antiqua"/>
          <w:color w:val="000000"/>
          <w:vertAlign w:val="superscript"/>
        </w:rPr>
        <w:t>[63-65]</w:t>
      </w:r>
      <w:r w:rsidRPr="004A5F47">
        <w:rPr>
          <w:rFonts w:ascii="Book Antiqua" w:eastAsia="Book Antiqua" w:hAnsi="Book Antiqua" w:cs="Book Antiqua"/>
          <w:color w:val="000000"/>
        </w:rPr>
        <w:t>. In contrast to</w:t>
      </w:r>
      <w:r w:rsidR="003303AE" w:rsidRPr="004A5F47">
        <w:rPr>
          <w:rFonts w:ascii="Book Antiqua" w:hAnsi="Book Antiqua" w:cs="Book Antiqua"/>
          <w:color w:val="000000"/>
          <w:lang w:eastAsia="zh-CN"/>
        </w:rPr>
        <w:t xml:space="preserve"> </w:t>
      </w:r>
      <w:r w:rsidRPr="004A5F47">
        <w:rPr>
          <w:rFonts w:ascii="Book Antiqua" w:eastAsia="Book Antiqua" w:hAnsi="Book Antiqua" w:cs="Book Antiqua"/>
          <w:i/>
          <w:iCs/>
          <w:color w:val="000000"/>
        </w:rPr>
        <w:t>ex</w:t>
      </w:r>
      <w:r w:rsidR="001C0E48" w:rsidRPr="004A5F47">
        <w:rPr>
          <w:rFonts w:ascii="Book Antiqua" w:eastAsia="Book Antiqua" w:hAnsi="Book Antiqua" w:cs="Book Antiqua"/>
          <w:i/>
          <w:iCs/>
          <w:color w:val="000000"/>
        </w:rPr>
        <w:t xml:space="preserve"> </w:t>
      </w:r>
      <w:r w:rsidRPr="004A5F47">
        <w:rPr>
          <w:rFonts w:ascii="Book Antiqua" w:eastAsia="Book Antiqua" w:hAnsi="Book Antiqua" w:cs="Book Antiqua"/>
          <w:i/>
          <w:iCs/>
          <w:color w:val="000000"/>
        </w:rPr>
        <w:t>situ</w:t>
      </w:r>
      <w:r w:rsidR="003303AE"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HMP, the more physiological nature of NMP allows cellular function to continue and this can be assessed </w:t>
      </w:r>
      <w:r w:rsidRPr="004A5F47">
        <w:rPr>
          <w:rFonts w:ascii="Book Antiqua" w:eastAsia="Book Antiqua" w:hAnsi="Book Antiqua" w:cs="Book Antiqua"/>
          <w:i/>
          <w:iCs/>
          <w:color w:val="000000"/>
        </w:rPr>
        <w:t>via</w:t>
      </w:r>
      <w:r w:rsidRPr="004A5F47">
        <w:rPr>
          <w:rFonts w:ascii="Book Antiqua" w:eastAsia="Book Antiqua" w:hAnsi="Book Antiqua" w:cs="Book Antiqua"/>
          <w:color w:val="000000"/>
        </w:rPr>
        <w:t xml:space="preserve"> surrogate parameters</w:t>
      </w:r>
      <w:r w:rsidR="003303AE" w:rsidRPr="004A5F47">
        <w:rPr>
          <w:rFonts w:ascii="Book Antiqua" w:eastAsia="Book Antiqua" w:hAnsi="Book Antiqua" w:cs="Book Antiqua"/>
          <w:color w:val="000000"/>
          <w:vertAlign w:val="superscript"/>
        </w:rPr>
        <w:t>[66,</w:t>
      </w:r>
      <w:r w:rsidRPr="004A5F47">
        <w:rPr>
          <w:rFonts w:ascii="Book Antiqua" w:eastAsia="Book Antiqua" w:hAnsi="Book Antiqua" w:cs="Book Antiqua"/>
          <w:color w:val="000000"/>
          <w:vertAlign w:val="superscript"/>
        </w:rPr>
        <w:t>67]</w:t>
      </w:r>
      <w:r w:rsidRPr="004A5F47">
        <w:rPr>
          <w:rFonts w:ascii="Book Antiqua" w:eastAsia="Book Antiqua" w:hAnsi="Book Antiqua" w:cs="Book Antiqua"/>
          <w:color w:val="000000"/>
        </w:rPr>
        <w:t>. Numerous biochemical parameters within the NMP perfusate or bile have been used to predict hepatocellular and cholangiocyte function respectively, in an effort to identify the grafts destined to demonstrate severe EAD or biliary complications</w:t>
      </w:r>
      <w:r w:rsidRPr="004A5F47">
        <w:rPr>
          <w:rFonts w:ascii="Book Antiqua" w:eastAsia="Book Antiqua" w:hAnsi="Book Antiqua" w:cs="Book Antiqua"/>
          <w:color w:val="000000"/>
          <w:vertAlign w:val="superscript"/>
        </w:rPr>
        <w:t>[68]</w:t>
      </w:r>
      <w:r w:rsidRPr="004A5F47">
        <w:rPr>
          <w:rFonts w:ascii="Book Antiqua" w:eastAsia="Book Antiqua" w:hAnsi="Book Antiqua" w:cs="Book Antiqua"/>
          <w:color w:val="000000"/>
        </w:rPr>
        <w:t>. Therefore, an accurate discussion of the impact NMP on ITBL posttransplant needs to consist of two components</w:t>
      </w:r>
      <w:r w:rsidR="001C0E48"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w:t>
      </w:r>
      <w:r w:rsidR="00447E42" w:rsidRPr="004A5F47">
        <w:rPr>
          <w:rFonts w:ascii="Book Antiqua" w:hAnsi="Book Antiqua" w:cs="Book Antiqua"/>
          <w:color w:val="000000"/>
          <w:lang w:eastAsia="zh-CN"/>
        </w:rPr>
        <w:t>(</w:t>
      </w:r>
      <w:r w:rsidRPr="004A5F47">
        <w:rPr>
          <w:rFonts w:ascii="Book Antiqua" w:eastAsia="Book Antiqua" w:hAnsi="Book Antiqua" w:cs="Book Antiqua"/>
          <w:color w:val="000000"/>
        </w:rPr>
        <w:t>1) the incidence of ITBL in NMP preserved grafts in comparison to other modalities</w:t>
      </w:r>
      <w:r w:rsidR="00447E42" w:rsidRPr="004A5F47">
        <w:rPr>
          <w:rFonts w:ascii="Book Antiqua" w:hAnsi="Book Antiqua" w:cs="Book Antiqua"/>
          <w:color w:val="000000"/>
          <w:lang w:eastAsia="zh-CN"/>
        </w:rPr>
        <w:t>; and</w:t>
      </w:r>
      <w:r w:rsidRPr="004A5F47">
        <w:rPr>
          <w:rFonts w:ascii="Book Antiqua" w:eastAsia="Book Antiqua" w:hAnsi="Book Antiqua" w:cs="Book Antiqua"/>
          <w:color w:val="000000"/>
        </w:rPr>
        <w:t xml:space="preserve"> </w:t>
      </w:r>
      <w:r w:rsidR="00447E42" w:rsidRPr="004A5F47">
        <w:rPr>
          <w:rFonts w:ascii="Book Antiqua" w:hAnsi="Book Antiqua" w:cs="Book Antiqua"/>
          <w:color w:val="000000"/>
          <w:lang w:eastAsia="zh-CN"/>
        </w:rPr>
        <w:t>(</w:t>
      </w:r>
      <w:r w:rsidRPr="004A5F47">
        <w:rPr>
          <w:rFonts w:ascii="Book Antiqua" w:eastAsia="Book Antiqua" w:hAnsi="Book Antiqua" w:cs="Book Antiqua"/>
          <w:color w:val="000000"/>
        </w:rPr>
        <w:t>2) the accuracy of NMP parameters to identify livers destined to develop clinically significant ITBL</w:t>
      </w:r>
      <w:r w:rsidR="000348F0" w:rsidRPr="004A5F47">
        <w:rPr>
          <w:rFonts w:ascii="Book Antiqua" w:eastAsia="Book Antiqua" w:hAnsi="Book Antiqua" w:cs="Book Antiqua"/>
          <w:color w:val="000000"/>
        </w:rPr>
        <w:t>s</w:t>
      </w:r>
      <w:r w:rsidRPr="004A5F47">
        <w:rPr>
          <w:rFonts w:ascii="Book Antiqua" w:eastAsia="Book Antiqua" w:hAnsi="Book Antiqua" w:cs="Book Antiqua"/>
          <w:color w:val="000000"/>
        </w:rPr>
        <w:t>.</w:t>
      </w:r>
    </w:p>
    <w:p w14:paraId="100C999D" w14:textId="6A9AA892" w:rsidR="008B520B"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t>Published outcomes for NMP are confounded by the fact that this preservation modality is more frequently applied to organs of marginal quality to facilitate transplantation</w:t>
      </w:r>
      <w:r w:rsidRPr="004A5F47">
        <w:rPr>
          <w:rFonts w:ascii="Book Antiqua" w:eastAsia="Book Antiqua" w:hAnsi="Book Antiqua" w:cs="Book Antiqua"/>
          <w:color w:val="000000"/>
          <w:vertAlign w:val="superscript"/>
        </w:rPr>
        <w:t>[69]</w:t>
      </w:r>
      <w:r w:rsidRPr="004A5F47">
        <w:rPr>
          <w:rFonts w:ascii="Book Antiqua" w:eastAsia="Book Antiqua" w:hAnsi="Book Antiqua" w:cs="Book Antiqua"/>
          <w:color w:val="000000"/>
        </w:rPr>
        <w:t>, and it may be applied for the entirety of the preservation period from the donor hospital (“at source”) or following a period of cold storage</w:t>
      </w:r>
      <w:r w:rsidR="003250A4"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during transport to the recipient cent</w:t>
      </w:r>
      <w:r w:rsidR="001C0E48" w:rsidRPr="004A5F47">
        <w:rPr>
          <w:rFonts w:ascii="Book Antiqua" w:eastAsia="Book Antiqua" w:hAnsi="Book Antiqua" w:cs="Book Antiqua"/>
          <w:color w:val="000000"/>
        </w:rPr>
        <w:t>er</w:t>
      </w:r>
      <w:r w:rsidRPr="004A5F47">
        <w:rPr>
          <w:rFonts w:ascii="Book Antiqua" w:eastAsia="Book Antiqua" w:hAnsi="Book Antiqua" w:cs="Book Antiqua"/>
          <w:color w:val="000000"/>
        </w:rPr>
        <w:t xml:space="preserve"> (“back to base”). The early clinical trials of NMP included both DBD and DCD grafts, with a focus on its feasibility, safety</w:t>
      </w:r>
      <w:r w:rsidR="000A2FB6"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and impact on the </w:t>
      </w:r>
      <w:r w:rsidR="00DB7C40" w:rsidRPr="004A5F47">
        <w:rPr>
          <w:rFonts w:ascii="Book Antiqua" w:eastAsia="Book Antiqua" w:hAnsi="Book Antiqua" w:cs="Book Antiqua"/>
          <w:color w:val="000000"/>
        </w:rPr>
        <w:t>IRI</w:t>
      </w:r>
      <w:r w:rsidRPr="004A5F47">
        <w:rPr>
          <w:rFonts w:ascii="Book Antiqua" w:eastAsia="Book Antiqua" w:hAnsi="Book Antiqua" w:cs="Book Antiqua"/>
          <w:color w:val="000000"/>
        </w:rPr>
        <w:t xml:space="preserve"> as indicated by markers of early graft function</w:t>
      </w:r>
      <w:r w:rsidR="003250A4" w:rsidRPr="004A5F47">
        <w:rPr>
          <w:rFonts w:ascii="Book Antiqua" w:eastAsia="Book Antiqua" w:hAnsi="Book Antiqua" w:cs="Book Antiqua"/>
          <w:color w:val="000000"/>
          <w:vertAlign w:val="superscript"/>
        </w:rPr>
        <w:t>[63,</w:t>
      </w:r>
      <w:r w:rsidRPr="004A5F47">
        <w:rPr>
          <w:rFonts w:ascii="Book Antiqua" w:eastAsia="Book Antiqua" w:hAnsi="Book Antiqua" w:cs="Book Antiqua"/>
          <w:color w:val="000000"/>
          <w:vertAlign w:val="superscript"/>
        </w:rPr>
        <w:t>64]</w:t>
      </w:r>
      <w:r w:rsidRPr="004A5F47">
        <w:rPr>
          <w:rFonts w:ascii="Book Antiqua" w:eastAsia="Book Antiqua" w:hAnsi="Book Antiqua" w:cs="Book Antiqua"/>
          <w:color w:val="000000"/>
        </w:rPr>
        <w:t>. These multicent</w:t>
      </w:r>
      <w:r w:rsidR="001C0E48" w:rsidRPr="004A5F47">
        <w:rPr>
          <w:rFonts w:ascii="Book Antiqua" w:eastAsia="Book Antiqua" w:hAnsi="Book Antiqua" w:cs="Book Antiqua"/>
          <w:color w:val="000000"/>
        </w:rPr>
        <w:t>er</w:t>
      </w:r>
      <w:r w:rsidRPr="004A5F47">
        <w:rPr>
          <w:rFonts w:ascii="Book Antiqua" w:eastAsia="Book Antiqua" w:hAnsi="Book Antiqua" w:cs="Book Antiqua"/>
          <w:color w:val="000000"/>
        </w:rPr>
        <w:t xml:space="preserve"> trials included standard risk donors that were accepted for transplant regardless of the preservation modality (NMP or SCS). Subsequently, clinical practice and research shifted to investigate the ability of NMP to resuscitate poor quality grafts that were otherwise deemed untransplantable with SCS</w:t>
      </w:r>
      <w:r w:rsidRPr="004A5F47">
        <w:rPr>
          <w:rFonts w:ascii="Book Antiqua" w:eastAsia="Book Antiqua" w:hAnsi="Book Antiqua" w:cs="Book Antiqua"/>
          <w:color w:val="000000"/>
          <w:vertAlign w:val="superscript"/>
        </w:rPr>
        <w:t>[70-72]</w:t>
      </w:r>
      <w:r w:rsidRPr="004A5F47">
        <w:rPr>
          <w:rFonts w:ascii="Book Antiqua" w:eastAsia="Book Antiqua" w:hAnsi="Book Antiqua" w:cs="Book Antiqua"/>
          <w:color w:val="000000"/>
        </w:rPr>
        <w:t>. Complicating matters further, supposedly untransplantable livers are a heterogenous group with a varying overall risk of ITBL</w:t>
      </w:r>
      <w:r w:rsidR="000348F0" w:rsidRPr="004A5F47">
        <w:rPr>
          <w:rFonts w:ascii="Book Antiqua" w:eastAsia="Book Antiqua" w:hAnsi="Book Antiqua" w:cs="Book Antiqua"/>
          <w:color w:val="000000"/>
        </w:rPr>
        <w:t>s</w:t>
      </w:r>
      <w:r w:rsidR="001B4FF1" w:rsidRPr="004A5F47">
        <w:rPr>
          <w:rFonts w:ascii="Book Antiqua" w:eastAsia="Book Antiqua" w:hAnsi="Book Antiqua" w:cs="Book Antiqua"/>
          <w:color w:val="000000"/>
          <w:vertAlign w:val="superscript"/>
        </w:rPr>
        <w:t>[71,</w:t>
      </w:r>
      <w:r w:rsidRPr="004A5F47">
        <w:rPr>
          <w:rFonts w:ascii="Book Antiqua" w:eastAsia="Book Antiqua" w:hAnsi="Book Antiqua" w:cs="Book Antiqua"/>
          <w:color w:val="000000"/>
          <w:vertAlign w:val="superscript"/>
        </w:rPr>
        <w:t>73]</w:t>
      </w:r>
      <w:r w:rsidRPr="004A5F47">
        <w:rPr>
          <w:rFonts w:ascii="Book Antiqua" w:eastAsia="Book Antiqua" w:hAnsi="Book Antiqua" w:cs="Book Antiqua"/>
          <w:color w:val="000000"/>
        </w:rPr>
        <w:t>. As an example, a DBD graft with severe macrosteatosis has a different risk of ITBL</w:t>
      </w:r>
      <w:r w:rsidR="000348F0"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than a DCD graft with 60 min of </w:t>
      </w:r>
      <w:r w:rsidRPr="004A5F47">
        <w:rPr>
          <w:rFonts w:ascii="Book Antiqua" w:eastAsia="Book Antiqua" w:hAnsi="Book Antiqua" w:cs="Book Antiqua"/>
          <w:color w:val="000000"/>
        </w:rPr>
        <w:lastRenderedPageBreak/>
        <w:t>dWIT, but both will fall into the declined group due to differing clinical concerns. The increased utili</w:t>
      </w:r>
      <w:r w:rsidR="008B520B" w:rsidRPr="004A5F47">
        <w:rPr>
          <w:rFonts w:ascii="Book Antiqua" w:eastAsia="Book Antiqua" w:hAnsi="Book Antiqua" w:cs="Book Antiqua"/>
          <w:color w:val="000000"/>
        </w:rPr>
        <w:t>z</w:t>
      </w:r>
      <w:r w:rsidRPr="004A5F47">
        <w:rPr>
          <w:rFonts w:ascii="Book Antiqua" w:eastAsia="Book Antiqua" w:hAnsi="Book Antiqua" w:cs="Book Antiqua"/>
          <w:color w:val="000000"/>
        </w:rPr>
        <w:t>ation of NMP for livers otherwise deemed to high risk for transplant following SCS has pragmatic consequences for trial design. This loss in equipoise over the safety of randomi</w:t>
      </w:r>
      <w:r w:rsidR="008B520B" w:rsidRPr="004A5F47">
        <w:rPr>
          <w:rFonts w:ascii="Book Antiqua" w:eastAsia="Book Antiqua" w:hAnsi="Book Antiqua" w:cs="Book Antiqua"/>
          <w:color w:val="000000"/>
        </w:rPr>
        <w:t>z</w:t>
      </w:r>
      <w:r w:rsidRPr="004A5F47">
        <w:rPr>
          <w:rFonts w:ascii="Book Antiqua" w:eastAsia="Book Antiqua" w:hAnsi="Book Antiqua" w:cs="Book Antiqua"/>
          <w:color w:val="000000"/>
        </w:rPr>
        <w:t>ing high-risk livers to SCS results in a greater reliance on cohort studies.</w:t>
      </w:r>
    </w:p>
    <w:p w14:paraId="5D8F1817" w14:textId="2BD58F9F" w:rsidR="00A77B3E"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t>The tri</w:t>
      </w:r>
      <w:r w:rsidR="008B520B" w:rsidRPr="004A5F47">
        <w:rPr>
          <w:rFonts w:ascii="Book Antiqua" w:eastAsia="Book Antiqua" w:hAnsi="Book Antiqua" w:cs="Book Antiqua"/>
          <w:color w:val="000000"/>
        </w:rPr>
        <w:t>a</w:t>
      </w:r>
      <w:r w:rsidRPr="004A5F47">
        <w:rPr>
          <w:rFonts w:ascii="Book Antiqua" w:eastAsia="Book Antiqua" w:hAnsi="Book Antiqua" w:cs="Book Antiqua"/>
          <w:color w:val="000000"/>
        </w:rPr>
        <w:t xml:space="preserve">ls that have investigated NMP in the clinical setting, </w:t>
      </w:r>
      <w:r w:rsidRPr="004A5F47">
        <w:rPr>
          <w:rFonts w:ascii="Book Antiqua" w:eastAsia="Book Antiqua" w:hAnsi="Book Antiqua" w:cs="Book Antiqua"/>
          <w:i/>
          <w:iCs/>
          <w:color w:val="000000"/>
        </w:rPr>
        <w:t>via</w:t>
      </w:r>
      <w:r w:rsidRPr="004A5F47">
        <w:rPr>
          <w:rFonts w:ascii="Book Antiqua" w:eastAsia="Book Antiqua" w:hAnsi="Book Antiqua" w:cs="Book Antiqua"/>
          <w:color w:val="000000"/>
        </w:rPr>
        <w:t xml:space="preserve"> either an RCT or cohort study with a representative control group, are listed in Table 3. Many of these trials unfortunately lack</w:t>
      </w:r>
      <w:r w:rsidR="000348F0" w:rsidRPr="004A5F47">
        <w:rPr>
          <w:rFonts w:ascii="Book Antiqua" w:eastAsia="Book Antiqua" w:hAnsi="Book Antiqua" w:cs="Book Antiqua"/>
          <w:color w:val="000000"/>
        </w:rPr>
        <w:t>ed</w:t>
      </w:r>
      <w:r w:rsidRPr="004A5F47">
        <w:rPr>
          <w:rFonts w:ascii="Book Antiqua" w:eastAsia="Book Antiqua" w:hAnsi="Book Antiqua" w:cs="Book Antiqua"/>
          <w:color w:val="000000"/>
        </w:rPr>
        <w:t xml:space="preserve"> clear definitions of what was considered ITBL</w:t>
      </w:r>
      <w:r w:rsidR="000348F0" w:rsidRPr="004A5F47">
        <w:rPr>
          <w:rFonts w:ascii="Book Antiqua" w:eastAsia="Book Antiqua" w:hAnsi="Book Antiqua" w:cs="Book Antiqua"/>
          <w:color w:val="000000"/>
        </w:rPr>
        <w:t>s</w:t>
      </w:r>
      <w:r w:rsidRPr="004A5F47">
        <w:rPr>
          <w:rFonts w:ascii="Book Antiqua" w:eastAsia="Book Antiqua" w:hAnsi="Book Antiqua" w:cs="Book Antiqua"/>
          <w:color w:val="000000"/>
        </w:rPr>
        <w:t>, and whether complete artery patency was required for the diagnosis. To date, three RCTs of NMP have been completed</w:t>
      </w:r>
      <w:r w:rsidR="00AC5E55" w:rsidRPr="004A5F47">
        <w:rPr>
          <w:rFonts w:ascii="Book Antiqua" w:eastAsia="Book Antiqua" w:hAnsi="Book Antiqua" w:cs="Book Antiqua"/>
          <w:color w:val="000000"/>
          <w:vertAlign w:val="superscript"/>
        </w:rPr>
        <w:t>[64,65,</w:t>
      </w:r>
      <w:r w:rsidRPr="004A5F47">
        <w:rPr>
          <w:rFonts w:ascii="Book Antiqua" w:eastAsia="Book Antiqua" w:hAnsi="Book Antiqua" w:cs="Book Antiqua"/>
          <w:color w:val="000000"/>
          <w:vertAlign w:val="superscript"/>
        </w:rPr>
        <w:t>74]</w:t>
      </w:r>
      <w:r w:rsidR="00AC5E5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(Table 3). The first multicent</w:t>
      </w:r>
      <w:r w:rsidR="008B520B" w:rsidRPr="004A5F47">
        <w:rPr>
          <w:rFonts w:ascii="Book Antiqua" w:eastAsia="Book Antiqua" w:hAnsi="Book Antiqua" w:cs="Book Antiqua"/>
          <w:color w:val="000000"/>
        </w:rPr>
        <w:t>er</w:t>
      </w:r>
      <w:r w:rsidRPr="004A5F47">
        <w:rPr>
          <w:rFonts w:ascii="Book Antiqua" w:eastAsia="Book Antiqua" w:hAnsi="Book Antiqua" w:cs="Book Antiqua"/>
          <w:color w:val="000000"/>
        </w:rPr>
        <w:t xml:space="preserve"> RCT published by Nasralla </w:t>
      </w:r>
      <w:r w:rsidRPr="004A5F47">
        <w:rPr>
          <w:rFonts w:ascii="Book Antiqua" w:eastAsia="Book Antiqua" w:hAnsi="Book Antiqua" w:cs="Book Antiqua"/>
          <w:i/>
          <w:iCs/>
          <w:color w:val="000000"/>
        </w:rPr>
        <w:t>et al</w:t>
      </w:r>
      <w:r w:rsidR="00AC5E55" w:rsidRPr="004A5F47">
        <w:rPr>
          <w:rFonts w:ascii="Book Antiqua" w:eastAsia="Book Antiqua" w:hAnsi="Book Antiqua" w:cs="Book Antiqua"/>
          <w:color w:val="000000"/>
          <w:vertAlign w:val="superscript"/>
        </w:rPr>
        <w:t>[64]</w:t>
      </w:r>
      <w:r w:rsidRPr="004A5F47">
        <w:rPr>
          <w:rFonts w:ascii="Book Antiqua" w:eastAsia="Book Antiqua" w:hAnsi="Book Antiqua" w:cs="Book Antiqua"/>
          <w:color w:val="000000"/>
        </w:rPr>
        <w:t xml:space="preserve"> in 2018 included standard risk grafts from both DBD and DCD donors and applied NMP</w:t>
      </w:r>
      <w:r w:rsidR="00AC5E55" w:rsidRPr="004A5F47">
        <w:rPr>
          <w:rFonts w:ascii="Book Antiqua" w:hAnsi="Book Antiqua" w:cs="Book Antiqua"/>
          <w:color w:val="000000"/>
          <w:lang w:eastAsia="zh-CN"/>
        </w:rPr>
        <w:t xml:space="preserve"> </w:t>
      </w:r>
      <w:r w:rsidRPr="004A5F47">
        <w:rPr>
          <w:rFonts w:ascii="Book Antiqua" w:eastAsia="Book Antiqua" w:hAnsi="Book Antiqua" w:cs="Book Antiqua"/>
          <w:iCs/>
          <w:color w:val="000000"/>
        </w:rPr>
        <w:t>at source.</w:t>
      </w:r>
      <w:r w:rsidR="00AC5E55" w:rsidRPr="004A5F47">
        <w:rPr>
          <w:rFonts w:ascii="Book Antiqua" w:hAnsi="Book Antiqua" w:cs="Book Antiqua"/>
          <w:iCs/>
          <w:color w:val="000000"/>
          <w:lang w:eastAsia="zh-CN"/>
        </w:rPr>
        <w:t xml:space="preserve"> </w:t>
      </w:r>
      <w:r w:rsidRPr="004A5F47">
        <w:rPr>
          <w:rFonts w:ascii="Book Antiqua" w:eastAsia="Book Antiqua" w:hAnsi="Book Antiqua" w:cs="Book Antiqua"/>
          <w:color w:val="000000"/>
        </w:rPr>
        <w:t xml:space="preserve">This study included a protocol </w:t>
      </w:r>
      <w:r w:rsidR="00AE2730" w:rsidRPr="004A5F47">
        <w:rPr>
          <w:rFonts w:ascii="Book Antiqua" w:eastAsia="Book Antiqua" w:hAnsi="Book Antiqua" w:cs="Book Antiqua"/>
          <w:color w:val="000000"/>
        </w:rPr>
        <w:t>magnetic resonance cholangiopancreatography</w:t>
      </w:r>
      <w:r w:rsidRPr="004A5F47">
        <w:rPr>
          <w:rFonts w:ascii="Book Antiqua" w:eastAsia="Book Antiqua" w:hAnsi="Book Antiqua" w:cs="Book Antiqua"/>
          <w:color w:val="000000"/>
        </w:rPr>
        <w:t xml:space="preserve"> at 6 mo to assess for biliary complications of which only a small proportion of subjects completed. The difference in stricture incidence was greatest in the DCD subgroup, with a rate of 26.3% in the DCD-SCS group as opposed to 11.1% in the DCD-NMP group. Whether these ischemic strictures were ITBL</w:t>
      </w:r>
      <w:r w:rsidR="000348F0"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or the result of a vascular lesion is unclear, as HA patency was not possible to determine from the data provided</w:t>
      </w:r>
      <w:r w:rsidR="000D0A48" w:rsidRPr="004A5F47">
        <w:rPr>
          <w:rFonts w:ascii="Book Antiqua" w:eastAsia="Book Antiqua" w:hAnsi="Book Antiqua" w:cs="Book Antiqua"/>
          <w:color w:val="000000"/>
          <w:vertAlign w:val="superscript"/>
        </w:rPr>
        <w:t>[64]</w:t>
      </w:r>
      <w:r w:rsidRPr="004A5F47">
        <w:rPr>
          <w:rFonts w:ascii="Book Antiqua" w:eastAsia="Book Antiqua" w:hAnsi="Book Antiqua" w:cs="Book Antiqua"/>
          <w:color w:val="000000"/>
        </w:rPr>
        <w:t>.</w:t>
      </w:r>
      <w:r w:rsidR="000D0A48"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The smaller </w:t>
      </w:r>
      <w:r w:rsidR="005E3CA5" w:rsidRPr="004A5F47">
        <w:rPr>
          <w:rFonts w:ascii="Book Antiqua" w:eastAsia="Book Antiqua" w:hAnsi="Book Antiqua" w:cs="Book Antiqua"/>
          <w:color w:val="000000"/>
        </w:rPr>
        <w:t>RCT</w:t>
      </w:r>
      <w:r w:rsidRPr="004A5F47">
        <w:rPr>
          <w:rFonts w:ascii="Book Antiqua" w:eastAsia="Book Antiqua" w:hAnsi="Book Antiqua" w:cs="Book Antiqua"/>
          <w:color w:val="000000"/>
        </w:rPr>
        <w:t xml:space="preserve"> conducted by Ghinolfi </w:t>
      </w:r>
      <w:r w:rsidRPr="004A5F47">
        <w:rPr>
          <w:rFonts w:ascii="Book Antiqua" w:eastAsia="Book Antiqua" w:hAnsi="Book Antiqua" w:cs="Book Antiqua"/>
          <w:i/>
          <w:iCs/>
          <w:color w:val="000000"/>
        </w:rPr>
        <w:t>et al</w:t>
      </w:r>
      <w:r w:rsidR="000D0A48" w:rsidRPr="004A5F47">
        <w:rPr>
          <w:rFonts w:ascii="Book Antiqua" w:eastAsia="Book Antiqua" w:hAnsi="Book Antiqua" w:cs="Book Antiqua"/>
          <w:color w:val="000000"/>
          <w:vertAlign w:val="superscript"/>
        </w:rPr>
        <w:t>[74]</w:t>
      </w:r>
      <w:r w:rsidRPr="004A5F47">
        <w:rPr>
          <w:rFonts w:ascii="Book Antiqua" w:eastAsia="Book Antiqua" w:hAnsi="Book Antiqua" w:cs="Book Antiqua"/>
          <w:color w:val="000000"/>
        </w:rPr>
        <w:t xml:space="preserve"> comprised a sample of elderly DBD donors (≥</w:t>
      </w:r>
      <w:r w:rsidR="00F819D5"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70 years) and applied NMP in a back-to-base approach</w:t>
      </w:r>
      <w:r w:rsidRPr="004A5F47">
        <w:rPr>
          <w:rFonts w:ascii="Book Antiqua" w:eastAsia="Book Antiqua" w:hAnsi="Book Antiqua" w:cs="Book Antiqua"/>
          <w:color w:val="000000"/>
          <w:vertAlign w:val="superscript"/>
        </w:rPr>
        <w:t>[74]</w:t>
      </w:r>
      <w:r w:rsidRPr="004A5F47">
        <w:rPr>
          <w:rFonts w:ascii="Book Antiqua" w:eastAsia="Book Antiqua" w:hAnsi="Book Antiqua" w:cs="Book Antiqua"/>
          <w:color w:val="000000"/>
        </w:rPr>
        <w:t>. However, the small sample size and lower overall risk of ITBL</w:t>
      </w:r>
      <w:r w:rsidR="000348F0"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in DBD grafts makes the findings of this study less informative. In this study, only one patient developed a biliary stricture, and they were in the NMP group. A recent large RCT from the U</w:t>
      </w:r>
      <w:r w:rsidR="0087177F" w:rsidRPr="004A5F47">
        <w:rPr>
          <w:rFonts w:ascii="Book Antiqua" w:hAnsi="Book Antiqua" w:cs="Book Antiqua"/>
          <w:color w:val="000000"/>
          <w:lang w:eastAsia="zh-CN"/>
        </w:rPr>
        <w:t xml:space="preserve">nited </w:t>
      </w:r>
      <w:r w:rsidRPr="004A5F47">
        <w:rPr>
          <w:rFonts w:ascii="Book Antiqua" w:eastAsia="Book Antiqua" w:hAnsi="Book Antiqua" w:cs="Book Antiqua"/>
          <w:color w:val="000000"/>
        </w:rPr>
        <w:t>S</w:t>
      </w:r>
      <w:r w:rsidR="0087177F" w:rsidRPr="004A5F47">
        <w:rPr>
          <w:rFonts w:ascii="Book Antiqua" w:hAnsi="Book Antiqua" w:cs="Book Antiqua"/>
          <w:color w:val="000000"/>
          <w:lang w:eastAsia="zh-CN"/>
        </w:rPr>
        <w:t>tates</w:t>
      </w:r>
      <w:r w:rsidRPr="004A5F47">
        <w:rPr>
          <w:rFonts w:ascii="Book Antiqua" w:eastAsia="Book Antiqua" w:hAnsi="Book Antiqua" w:cs="Book Antiqua"/>
          <w:color w:val="000000"/>
        </w:rPr>
        <w:t xml:space="preserve"> randomi</w:t>
      </w:r>
      <w:r w:rsidR="008B520B" w:rsidRPr="004A5F47">
        <w:rPr>
          <w:rFonts w:ascii="Book Antiqua" w:eastAsia="Book Antiqua" w:hAnsi="Book Antiqua" w:cs="Book Antiqua"/>
          <w:color w:val="000000"/>
        </w:rPr>
        <w:t>z</w:t>
      </w:r>
      <w:r w:rsidRPr="004A5F47">
        <w:rPr>
          <w:rFonts w:ascii="Book Antiqua" w:eastAsia="Book Antiqua" w:hAnsi="Book Antiqua" w:cs="Book Antiqua"/>
          <w:color w:val="000000"/>
        </w:rPr>
        <w:t xml:space="preserve">ed nearly 300 </w:t>
      </w:r>
      <w:r w:rsidR="0087177F" w:rsidRPr="004A5F47">
        <w:rPr>
          <w:rFonts w:ascii="Book Antiqua" w:hAnsi="Book Antiqua" w:cs="Book Antiqua"/>
          <w:color w:val="000000"/>
          <w:lang w:eastAsia="zh-CN"/>
        </w:rPr>
        <w:t>l</w:t>
      </w:r>
      <w:r w:rsidRPr="004A5F47">
        <w:rPr>
          <w:rFonts w:ascii="Book Antiqua" w:eastAsia="Book Antiqua" w:hAnsi="Book Antiqua" w:cs="Book Antiqua"/>
          <w:color w:val="000000"/>
        </w:rPr>
        <w:t>ivers (both DBD and DCD) to either at-source NMP or SCS</w:t>
      </w:r>
      <w:r w:rsidRPr="004A5F47">
        <w:rPr>
          <w:rFonts w:ascii="Book Antiqua" w:eastAsia="Book Antiqua" w:hAnsi="Book Antiqua" w:cs="Book Antiqua"/>
          <w:color w:val="000000"/>
          <w:vertAlign w:val="superscript"/>
        </w:rPr>
        <w:t>[65]</w:t>
      </w:r>
      <w:r w:rsidRPr="004A5F47">
        <w:rPr>
          <w:rFonts w:ascii="Book Antiqua" w:eastAsia="Book Antiqua" w:hAnsi="Book Antiqua" w:cs="Book Antiqua"/>
          <w:color w:val="000000"/>
        </w:rPr>
        <w:t>. These authors did provide a definition of what they considered an ischemic biliary complication (Table 3) and this occurred in 4 and 14 of the NMP and SCS livers respectively. Once again, the granularity of the data presented does not allow determination of the proportion of patients with ischemic biliary complications that were truly ITBL</w:t>
      </w:r>
      <w:r w:rsidR="000348F0"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It should be noted that none of these </w:t>
      </w:r>
      <w:r w:rsidR="005E3CA5" w:rsidRPr="004A5F47">
        <w:rPr>
          <w:rFonts w:ascii="Book Antiqua" w:eastAsia="Book Antiqua" w:hAnsi="Book Antiqua" w:cs="Book Antiqua"/>
          <w:color w:val="000000"/>
        </w:rPr>
        <w:t>RCTs</w:t>
      </w:r>
      <w:r w:rsidRPr="004A5F47">
        <w:rPr>
          <w:rFonts w:ascii="Book Antiqua" w:eastAsia="Book Antiqua" w:hAnsi="Book Antiqua" w:cs="Book Antiqua"/>
          <w:color w:val="000000"/>
        </w:rPr>
        <w:t xml:space="preserve"> performed any formal viability testing of the grafts prior to transplant and were not powered appropriately to assess for biliary complications.</w:t>
      </w:r>
    </w:p>
    <w:p w14:paraId="45B5995A" w14:textId="109FAA77" w:rsidR="005E3CA5"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lastRenderedPageBreak/>
        <w:t xml:space="preserve">Both prospective and retrospective cohort studies have investigated biliary complications following NMP (Table 3). In the VITTAL trial, Mergental </w:t>
      </w:r>
      <w:r w:rsidRPr="004A5F47">
        <w:rPr>
          <w:rFonts w:ascii="Book Antiqua" w:eastAsia="Book Antiqua" w:hAnsi="Book Antiqua" w:cs="Book Antiqua"/>
          <w:i/>
          <w:iCs/>
          <w:color w:val="000000"/>
        </w:rPr>
        <w:t>et al</w:t>
      </w:r>
      <w:r w:rsidR="00A93DD3" w:rsidRPr="004A5F47">
        <w:rPr>
          <w:rFonts w:ascii="Book Antiqua" w:eastAsia="Book Antiqua" w:hAnsi="Book Antiqua" w:cs="Book Antiqua"/>
          <w:color w:val="000000"/>
          <w:vertAlign w:val="superscript"/>
        </w:rPr>
        <w:t>[71]</w:t>
      </w:r>
      <w:r w:rsidRPr="004A5F47">
        <w:rPr>
          <w:rFonts w:ascii="Book Antiqua" w:eastAsia="Book Antiqua" w:hAnsi="Book Antiqua" w:cs="Book Antiqua"/>
          <w:color w:val="000000"/>
        </w:rPr>
        <w:t xml:space="preserve"> reported the outcomes of a prospective cohort of 22 </w:t>
      </w:r>
      <w:r w:rsidR="00312271" w:rsidRPr="004A5F47">
        <w:rPr>
          <w:rFonts w:ascii="Book Antiqua" w:hAnsi="Book Antiqua" w:cs="Book Antiqua"/>
          <w:color w:val="000000"/>
          <w:lang w:eastAsia="zh-CN"/>
        </w:rPr>
        <w:t>l</w:t>
      </w:r>
      <w:r w:rsidRPr="004A5F47">
        <w:rPr>
          <w:rFonts w:ascii="Book Antiqua" w:eastAsia="Book Antiqua" w:hAnsi="Book Antiqua" w:cs="Book Antiqua"/>
          <w:color w:val="000000"/>
        </w:rPr>
        <w:t>ivers (12 DBD, 10 DCD) destined for discard that were transplanted following back-to-base NMP. After 6 mo follow</w:t>
      </w:r>
      <w:r w:rsidR="005E3CA5" w:rsidRPr="004A5F47">
        <w:rPr>
          <w:rFonts w:ascii="Book Antiqua" w:eastAsia="Book Antiqua" w:hAnsi="Book Antiqua" w:cs="Book Antiqua"/>
          <w:color w:val="000000"/>
        </w:rPr>
        <w:t>-</w:t>
      </w:r>
      <w:r w:rsidRPr="004A5F47">
        <w:rPr>
          <w:rFonts w:ascii="Book Antiqua" w:eastAsia="Book Antiqua" w:hAnsi="Book Antiqua" w:cs="Book Antiqua"/>
          <w:color w:val="000000"/>
        </w:rPr>
        <w:t>up, 3/10 of the DCD livers had developed symptomatic</w:t>
      </w:r>
      <w:r w:rsidR="00234F4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nonanastomotic biliary strictures. </w:t>
      </w:r>
      <w:r w:rsidR="00234F46" w:rsidRPr="004A5F47">
        <w:rPr>
          <w:rFonts w:ascii="Book Antiqua" w:eastAsia="Book Antiqua" w:hAnsi="Book Antiqua" w:cs="Book Antiqua"/>
          <w:color w:val="000000"/>
        </w:rPr>
        <w:t>R</w:t>
      </w:r>
      <w:r w:rsidRPr="004A5F47">
        <w:rPr>
          <w:rFonts w:ascii="Book Antiqua" w:eastAsia="Book Antiqua" w:hAnsi="Book Antiqua" w:cs="Book Antiqua"/>
          <w:color w:val="000000"/>
        </w:rPr>
        <w:t>equiring</w:t>
      </w:r>
      <w:r w:rsidR="00234F4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retransplantation</w:t>
      </w:r>
      <w:r w:rsidR="0054564F" w:rsidRPr="004A5F47">
        <w:rPr>
          <w:rFonts w:ascii="Book Antiqua" w:eastAsia="Book Antiqua" w:hAnsi="Book Antiqua" w:cs="Book Antiqua"/>
          <w:color w:val="000000"/>
          <w:vertAlign w:val="superscript"/>
        </w:rPr>
        <w:t>[71]</w:t>
      </w:r>
      <w:r w:rsidR="0054564F"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Fodor </w:t>
      </w:r>
      <w:r w:rsidRPr="004A5F47">
        <w:rPr>
          <w:rFonts w:ascii="Book Antiqua" w:eastAsia="Book Antiqua" w:hAnsi="Book Antiqua" w:cs="Book Antiqua"/>
          <w:i/>
          <w:iCs/>
          <w:color w:val="000000"/>
        </w:rPr>
        <w:t>et al</w:t>
      </w:r>
      <w:r w:rsidR="00234F46" w:rsidRPr="004A5F47">
        <w:rPr>
          <w:rFonts w:ascii="Book Antiqua" w:eastAsia="Book Antiqua" w:hAnsi="Book Antiqua" w:cs="Book Antiqua"/>
          <w:color w:val="000000"/>
          <w:vertAlign w:val="superscript"/>
        </w:rPr>
        <w:t>[75]</w:t>
      </w:r>
      <w:r w:rsidRPr="004A5F47">
        <w:rPr>
          <w:rFonts w:ascii="Book Antiqua" w:eastAsia="Book Antiqua" w:hAnsi="Book Antiqua" w:cs="Book Antiqua"/>
          <w:color w:val="000000"/>
        </w:rPr>
        <w:t xml:space="preserve"> subsequently reported a retrospective cohort study of predominantly DBD grafts (49 DBD and 9 DCD) preserved </w:t>
      </w:r>
      <w:r w:rsidRPr="004A5F47">
        <w:rPr>
          <w:rFonts w:ascii="Book Antiqua" w:eastAsia="Book Antiqua" w:hAnsi="Book Antiqua" w:cs="Book Antiqua"/>
          <w:i/>
          <w:iCs/>
          <w:color w:val="000000"/>
        </w:rPr>
        <w:t>via</w:t>
      </w:r>
      <w:r w:rsidRPr="004A5F47">
        <w:rPr>
          <w:rFonts w:ascii="Book Antiqua" w:eastAsia="Book Antiqua" w:hAnsi="Book Antiqua" w:cs="Book Antiqua"/>
          <w:color w:val="000000"/>
        </w:rPr>
        <w:t xml:space="preserve"> back-to-base NMP and reported both a lower incidence and severity of ITBL</w:t>
      </w:r>
      <w:r w:rsidR="000348F0"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in the NMP group in comparison to SCS</w:t>
      </w:r>
      <w:r w:rsidRPr="004A5F47">
        <w:rPr>
          <w:rFonts w:ascii="Book Antiqua" w:eastAsia="Book Antiqua" w:hAnsi="Book Antiqua" w:cs="Book Antiqua"/>
          <w:color w:val="000000"/>
          <w:vertAlign w:val="superscript"/>
        </w:rPr>
        <w:t>[75]</w:t>
      </w:r>
      <w:r w:rsidRPr="004A5F47">
        <w:rPr>
          <w:rFonts w:ascii="Book Antiqua" w:eastAsia="Book Antiqua" w:hAnsi="Book Antiqua" w:cs="Book Antiqua"/>
          <w:color w:val="000000"/>
        </w:rPr>
        <w:t>. This study had a clear definition of ITBL</w:t>
      </w:r>
      <w:r w:rsidR="000348F0"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and applied viability testing</w:t>
      </w:r>
      <w:r w:rsidR="005E3CA5"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which included bile output and pH, however specific parameters for these were not reported. Recently, Gaurav </w:t>
      </w:r>
      <w:r w:rsidRPr="004A5F47">
        <w:rPr>
          <w:rFonts w:ascii="Book Antiqua" w:eastAsia="Book Antiqua" w:hAnsi="Book Antiqua" w:cs="Book Antiqua"/>
          <w:i/>
          <w:iCs/>
          <w:color w:val="000000"/>
        </w:rPr>
        <w:t>et al</w:t>
      </w:r>
      <w:r w:rsidR="003323C1" w:rsidRPr="004A5F47">
        <w:rPr>
          <w:rFonts w:ascii="Book Antiqua" w:eastAsia="Book Antiqua" w:hAnsi="Book Antiqua" w:cs="Book Antiqua"/>
          <w:color w:val="000000"/>
          <w:vertAlign w:val="superscript"/>
        </w:rPr>
        <w:t>[44]</w:t>
      </w:r>
      <w:r w:rsidRPr="004A5F47">
        <w:rPr>
          <w:rFonts w:ascii="Book Antiqua" w:eastAsia="Book Antiqua" w:hAnsi="Book Antiqua" w:cs="Book Antiqua"/>
          <w:color w:val="000000"/>
        </w:rPr>
        <w:t xml:space="preserve"> published a single cent</w:t>
      </w:r>
      <w:r w:rsidR="005E3CA5" w:rsidRPr="004A5F47">
        <w:rPr>
          <w:rFonts w:ascii="Book Antiqua" w:eastAsia="Book Antiqua" w:hAnsi="Book Antiqua" w:cs="Book Antiqua"/>
          <w:color w:val="000000"/>
        </w:rPr>
        <w:t>er</w:t>
      </w:r>
      <w:r w:rsidRPr="004A5F47">
        <w:rPr>
          <w:rFonts w:ascii="Book Antiqua" w:eastAsia="Book Antiqua" w:hAnsi="Book Antiqua" w:cs="Book Antiqua"/>
          <w:color w:val="000000"/>
        </w:rPr>
        <w:t xml:space="preserve"> retrospective cohort study of DCD grafts preserved by NMP (back-to-base and at-source), NRP and CS with the primary outcome being NAS</w:t>
      </w:r>
      <w:r w:rsidRPr="004A5F47">
        <w:rPr>
          <w:rFonts w:ascii="Book Antiqua" w:eastAsia="Book Antiqua" w:hAnsi="Book Antiqua" w:cs="Book Antiqua"/>
          <w:color w:val="000000"/>
          <w:vertAlign w:val="superscript"/>
        </w:rPr>
        <w:t>[44]</w:t>
      </w:r>
      <w:r w:rsidRPr="004A5F47">
        <w:rPr>
          <w:rFonts w:ascii="Book Antiqua" w:eastAsia="Book Antiqua" w:hAnsi="Book Antiqua" w:cs="Book Antiqua"/>
          <w:color w:val="000000"/>
        </w:rPr>
        <w:t>. These authors also provided a clear definition of NAS and this required hepatic artery patency. In the NMP group, 12/69 developed NAS and in 7/12 it was clinically significant. This was comparable to the SCS group (22/97, 12/22 clinically significant) but higher than the NRP group (4/69, 0/4 clinically significant). It must be noted that this study applied biliary viability testing to NMP preserved livers and 77% of these NMP preserved DCD livers proceeded to transplant.</w:t>
      </w:r>
    </w:p>
    <w:p w14:paraId="1CE09EFA" w14:textId="585B404A" w:rsidR="00A77B3E" w:rsidRPr="004A5F47" w:rsidRDefault="006A1FF4" w:rsidP="00815C0F">
      <w:pPr>
        <w:spacing w:line="360" w:lineRule="auto"/>
        <w:ind w:firstLineChars="112" w:firstLine="269"/>
        <w:jc w:val="both"/>
        <w:rPr>
          <w:rFonts w:ascii="Book Antiqua" w:hAnsi="Book Antiqua"/>
        </w:rPr>
      </w:pPr>
      <w:r w:rsidRPr="004A5F47">
        <w:rPr>
          <w:rFonts w:ascii="Book Antiqua" w:eastAsia="Book Antiqua" w:hAnsi="Book Antiqua" w:cs="Book Antiqua"/>
          <w:color w:val="000000"/>
        </w:rPr>
        <w:t>Utili</w:t>
      </w:r>
      <w:r w:rsidR="005E3CA5" w:rsidRPr="004A5F47">
        <w:rPr>
          <w:rFonts w:ascii="Book Antiqua" w:eastAsia="Book Antiqua" w:hAnsi="Book Antiqua" w:cs="Book Antiqua"/>
          <w:color w:val="000000"/>
        </w:rPr>
        <w:t>z</w:t>
      </w:r>
      <w:r w:rsidRPr="004A5F47">
        <w:rPr>
          <w:rFonts w:ascii="Book Antiqua" w:eastAsia="Book Antiqua" w:hAnsi="Book Antiqua" w:cs="Book Antiqua"/>
          <w:color w:val="000000"/>
        </w:rPr>
        <w:t>ing NMP perfusate and bile parameters to predict (and avoid) certain outcomes remains controversial. The risks associated with liberal use of NMP preserved livers is associated morbidity and mortality. The risks associated with being too stringent on the NMP viability criteria, when predictive accuracy is less than perfect, is the discard of a liver that would have resulted in acceptable outcomes. NMP indicators of biliary injury and/or function have been studied by several groups in human livers</w:t>
      </w:r>
      <w:r w:rsidR="00A95329" w:rsidRPr="004A5F47">
        <w:rPr>
          <w:rFonts w:ascii="Book Antiqua" w:eastAsia="Book Antiqua" w:hAnsi="Book Antiqua" w:cs="Book Antiqua"/>
          <w:color w:val="000000"/>
          <w:vertAlign w:val="superscript"/>
        </w:rPr>
        <w:t>[76,</w:t>
      </w:r>
      <w:r w:rsidRPr="004A5F47">
        <w:rPr>
          <w:rFonts w:ascii="Book Antiqua" w:eastAsia="Book Antiqua" w:hAnsi="Book Antiqua" w:cs="Book Antiqua"/>
          <w:color w:val="000000"/>
          <w:vertAlign w:val="superscript"/>
        </w:rPr>
        <w:t>77]</w:t>
      </w:r>
      <w:r w:rsidRPr="004A5F47">
        <w:rPr>
          <w:rFonts w:ascii="Book Antiqua" w:eastAsia="Book Antiqua" w:hAnsi="Book Antiqua" w:cs="Book Antiqua"/>
          <w:color w:val="000000"/>
        </w:rPr>
        <w:t xml:space="preserve">. The early experience of associating bile pH, bicarbonate and glucose with cholangiopathies was reported by Watson </w:t>
      </w:r>
      <w:r w:rsidRPr="004A5F47">
        <w:rPr>
          <w:rFonts w:ascii="Book Antiqua" w:eastAsia="Book Antiqua" w:hAnsi="Book Antiqua" w:cs="Book Antiqua"/>
          <w:i/>
          <w:iCs/>
          <w:color w:val="000000"/>
        </w:rPr>
        <w:t>et al</w:t>
      </w:r>
      <w:r w:rsidR="00A95329" w:rsidRPr="004A5F47">
        <w:rPr>
          <w:rFonts w:ascii="Book Antiqua" w:eastAsia="Book Antiqua" w:hAnsi="Book Antiqua" w:cs="Book Antiqua"/>
          <w:color w:val="000000"/>
          <w:vertAlign w:val="superscript"/>
        </w:rPr>
        <w:t>[7</w:t>
      </w:r>
      <w:r w:rsidR="00F06AD8" w:rsidRPr="004A5F47">
        <w:rPr>
          <w:rFonts w:ascii="Book Antiqua" w:hAnsi="Book Antiqua" w:cs="Book Antiqua"/>
          <w:color w:val="000000"/>
          <w:vertAlign w:val="superscript"/>
          <w:lang w:eastAsia="zh-CN"/>
        </w:rPr>
        <w:t>7</w:t>
      </w:r>
      <w:r w:rsidR="00A95329" w:rsidRPr="004A5F47">
        <w:rPr>
          <w:rFonts w:ascii="Book Antiqua" w:eastAsia="Book Antiqua" w:hAnsi="Book Antiqua" w:cs="Book Antiqua"/>
          <w:color w:val="000000"/>
          <w:vertAlign w:val="superscript"/>
        </w:rPr>
        <w:t>]</w:t>
      </w:r>
      <w:r w:rsidRPr="004A5F47">
        <w:rPr>
          <w:rFonts w:ascii="Book Antiqua" w:eastAsia="Book Antiqua" w:hAnsi="Book Antiqua" w:cs="Book Antiqua"/>
          <w:color w:val="000000"/>
        </w:rPr>
        <w:t xml:space="preserve"> in 2018, from 16 transplanted livers. In this group of livers, a biliary pH &lt;</w:t>
      </w:r>
      <w:r w:rsidR="00A95329"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7.4 occurred in 3/16</w:t>
      </w:r>
      <w:r w:rsidR="005E3CA5" w:rsidRPr="004A5F47">
        <w:rPr>
          <w:rFonts w:ascii="Book Antiqua" w:eastAsia="Book Antiqua" w:hAnsi="Book Antiqua" w:cs="Book Antiqua"/>
          <w:color w:val="000000"/>
        </w:rPr>
        <w:t>,</w:t>
      </w:r>
      <w:r w:rsidRPr="004A5F47">
        <w:rPr>
          <w:rFonts w:ascii="Book Antiqua" w:eastAsia="Book Antiqua" w:hAnsi="Book Antiqua" w:cs="Book Antiqua"/>
          <w:color w:val="000000"/>
        </w:rPr>
        <w:t xml:space="preserve"> and all three of these developed a cholangiopathy. A lower biliary bicarbonate and higher biliary glucose concentration was also associated with subsequent cholangiopathy. Recently, the same group have reported outcomes in a much larger cohort of 144 transplanted livers</w:t>
      </w:r>
      <w:r w:rsidRPr="004A5F47">
        <w:rPr>
          <w:rFonts w:ascii="Book Antiqua" w:eastAsia="Book Antiqua" w:hAnsi="Book Antiqua" w:cs="Book Antiqua"/>
          <w:color w:val="000000"/>
          <w:vertAlign w:val="superscript"/>
        </w:rPr>
        <w:t>[78]</w:t>
      </w:r>
      <w:r w:rsidRPr="004A5F47">
        <w:rPr>
          <w:rFonts w:ascii="Book Antiqua" w:eastAsia="Book Antiqua" w:hAnsi="Book Antiqua" w:cs="Book Antiqua"/>
          <w:color w:val="000000"/>
        </w:rPr>
        <w:t xml:space="preserve">. Interestingly, 15 of these transplanted </w:t>
      </w:r>
      <w:r w:rsidRPr="004A5F47">
        <w:rPr>
          <w:rFonts w:ascii="Book Antiqua" w:eastAsia="Book Antiqua" w:hAnsi="Book Antiqua" w:cs="Book Antiqua"/>
          <w:color w:val="000000"/>
        </w:rPr>
        <w:lastRenderedPageBreak/>
        <w:t xml:space="preserve">livers did not meet their previously reported cholangiocyte viability criteria and in a further three livers no bile was produced which precluded this assessment. Clinically significant </w:t>
      </w:r>
      <w:r w:rsidR="00E5759C" w:rsidRPr="004A5F47">
        <w:rPr>
          <w:rFonts w:ascii="Book Antiqua" w:eastAsia="Book Antiqua" w:hAnsi="Book Antiqua" w:cs="Book Antiqua"/>
          <w:color w:val="000000"/>
        </w:rPr>
        <w:t>NAS</w:t>
      </w:r>
      <w:r w:rsidRPr="004A5F47">
        <w:rPr>
          <w:rFonts w:ascii="Book Antiqua" w:eastAsia="Book Antiqua" w:hAnsi="Book Antiqua" w:cs="Book Antiqua"/>
          <w:color w:val="000000"/>
        </w:rPr>
        <w:t xml:space="preserve"> developed in 9/144 recipients and all of these had a bile pH &gt;</w:t>
      </w:r>
      <w:r w:rsidR="00807AFB"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7.5. Matton </w:t>
      </w:r>
      <w:r w:rsidRPr="004A5F47">
        <w:rPr>
          <w:rFonts w:ascii="Book Antiqua" w:eastAsia="Book Antiqua" w:hAnsi="Book Antiqua" w:cs="Book Antiqua"/>
          <w:i/>
          <w:iCs/>
          <w:color w:val="000000"/>
        </w:rPr>
        <w:t>et al</w:t>
      </w:r>
      <w:r w:rsidR="00807AFB" w:rsidRPr="004A5F47">
        <w:rPr>
          <w:rFonts w:ascii="Book Antiqua" w:eastAsia="Book Antiqua" w:hAnsi="Book Antiqua" w:cs="Book Antiqua"/>
          <w:color w:val="000000"/>
          <w:vertAlign w:val="superscript"/>
        </w:rPr>
        <w:t>[76]</w:t>
      </w:r>
      <w:r w:rsidRPr="004A5F47">
        <w:rPr>
          <w:rFonts w:ascii="Book Antiqua" w:eastAsia="Book Antiqua" w:hAnsi="Book Antiqua" w:cs="Book Antiqua"/>
          <w:color w:val="000000"/>
        </w:rPr>
        <w:t xml:space="preserve"> investigated biliary NMP parameters in both the laboratory and a small clinical trial (</w:t>
      </w:r>
      <w:r w:rsidRPr="004A5F47">
        <w:rPr>
          <w:rFonts w:ascii="Book Antiqua" w:eastAsia="Book Antiqua" w:hAnsi="Book Antiqua" w:cs="Book Antiqua"/>
          <w:i/>
          <w:iCs/>
          <w:color w:val="000000"/>
        </w:rPr>
        <w:t>n</w:t>
      </w:r>
      <w:r w:rsidRPr="004A5F47">
        <w:rPr>
          <w:rFonts w:ascii="Book Antiqua" w:eastAsia="Book Antiqua" w:hAnsi="Book Antiqua" w:cs="Book Antiqua"/>
          <w:color w:val="000000"/>
        </w:rPr>
        <w:t xml:space="preserve"> = 6)</w:t>
      </w:r>
      <w:r w:rsidRPr="004A5F47">
        <w:rPr>
          <w:rFonts w:ascii="Book Antiqua" w:eastAsia="Book Antiqua" w:hAnsi="Book Antiqua" w:cs="Book Antiqua"/>
          <w:color w:val="000000"/>
          <w:vertAlign w:val="superscript"/>
        </w:rPr>
        <w:t>[76]</w:t>
      </w:r>
      <w:r w:rsidRPr="004A5F47">
        <w:rPr>
          <w:rFonts w:ascii="Book Antiqua" w:eastAsia="Book Antiqua" w:hAnsi="Book Antiqua" w:cs="Book Antiqua"/>
          <w:color w:val="000000"/>
        </w:rPr>
        <w:t>. These authors did not have any cases of ITBL</w:t>
      </w:r>
      <w:r w:rsidR="00BF7BDF"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in the recipients within the trial, but demonstrated an inverse correlation between bile pH and bicarbonate concentration with histological evidence of biliary injury in a group of non-transplanted livers. A pH and bicarbonate concentration of &lt;</w:t>
      </w:r>
      <w:r w:rsidR="00A41408"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7.48 and &lt;</w:t>
      </w:r>
      <w:r w:rsidR="00A41408"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18</w:t>
      </w:r>
      <w:r w:rsidR="00A41408"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mmol/L had a positive predictive value of 75% and 91% for significant biliary injury. In summary, the prediction (and avoidance) of ITBL</w:t>
      </w:r>
      <w:r w:rsidR="00BF7BDF"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using NMP requires further research.</w:t>
      </w:r>
      <w:r w:rsidR="00F24483"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This will undoubtedly be of assistance to the transplant community, however at present the accuracy remains sub-optimal and it must be improved to avoid the unnecessary discard of grafts.</w:t>
      </w:r>
    </w:p>
    <w:p w14:paraId="703F94CA" w14:textId="77777777" w:rsidR="00A77B3E" w:rsidRPr="004A5F47" w:rsidRDefault="00A77B3E" w:rsidP="00265460">
      <w:pPr>
        <w:spacing w:line="360" w:lineRule="auto"/>
        <w:jc w:val="both"/>
        <w:rPr>
          <w:rFonts w:ascii="Book Antiqua" w:hAnsi="Book Antiqua"/>
        </w:rPr>
      </w:pPr>
    </w:p>
    <w:p w14:paraId="523BFD85" w14:textId="79A71F88" w:rsidR="00A77B3E" w:rsidRPr="004A5F47" w:rsidRDefault="006A1FF4" w:rsidP="00265460">
      <w:pPr>
        <w:spacing w:line="360" w:lineRule="auto"/>
        <w:jc w:val="both"/>
        <w:rPr>
          <w:rFonts w:ascii="Book Antiqua" w:hAnsi="Book Antiqua"/>
          <w:i/>
          <w:lang w:eastAsia="zh-CN"/>
        </w:rPr>
      </w:pPr>
      <w:r w:rsidRPr="004A5F47">
        <w:rPr>
          <w:rFonts w:ascii="Book Antiqua" w:eastAsia="Book Antiqua" w:hAnsi="Book Antiqua" w:cs="Book Antiqua"/>
          <w:b/>
          <w:bCs/>
          <w:i/>
          <w:color w:val="000000"/>
          <w:u w:color="000000"/>
        </w:rPr>
        <w:t>Machine combination approaches</w:t>
      </w:r>
    </w:p>
    <w:p w14:paraId="74B2F8FD" w14:textId="01795730"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color w:val="000000"/>
        </w:rPr>
        <w:t>In theory, the different rationale behind the various MP strategies could work synergistically to prevent ITBL</w:t>
      </w:r>
      <w:r w:rsidR="00BF7BDF"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A-NRP abbreviates the dWIT induced damage and provides in-situ resuscitation prior to the cold ischemic period, whereas the </w:t>
      </w:r>
      <w:r w:rsidRPr="004A5F47">
        <w:rPr>
          <w:rFonts w:ascii="Book Antiqua" w:eastAsia="Book Antiqua" w:hAnsi="Book Antiqua" w:cs="Book Antiqua"/>
          <w:i/>
          <w:color w:val="000000"/>
        </w:rPr>
        <w:t>ex</w:t>
      </w:r>
      <w:r w:rsidR="005E3CA5" w:rsidRPr="004A5F47">
        <w:rPr>
          <w:rFonts w:ascii="Book Antiqua" w:eastAsia="Book Antiqua" w:hAnsi="Book Antiqua" w:cs="Book Antiqua"/>
          <w:i/>
          <w:color w:val="000000"/>
        </w:rPr>
        <w:t xml:space="preserve"> </w:t>
      </w:r>
      <w:r w:rsidRPr="004A5F47">
        <w:rPr>
          <w:rFonts w:ascii="Book Antiqua" w:eastAsia="Book Antiqua" w:hAnsi="Book Antiqua" w:cs="Book Antiqua"/>
          <w:i/>
          <w:color w:val="000000"/>
        </w:rPr>
        <w:t>situ</w:t>
      </w:r>
      <w:r w:rsidRPr="004A5F47">
        <w:rPr>
          <w:rFonts w:ascii="Book Antiqua" w:eastAsia="Book Antiqua" w:hAnsi="Book Antiqua" w:cs="Book Antiqua"/>
          <w:color w:val="000000"/>
        </w:rPr>
        <w:t xml:space="preserve"> techniques may dampen IRI. Conversely, the application of sequential </w:t>
      </w:r>
      <w:r w:rsidR="00B356D8" w:rsidRPr="004A5F47">
        <w:rPr>
          <w:rFonts w:ascii="Book Antiqua" w:eastAsia="Book Antiqua" w:hAnsi="Book Antiqua" w:cs="Book Antiqua"/>
        </w:rPr>
        <w:t>MP</w:t>
      </w:r>
      <w:r w:rsidRPr="004A5F47">
        <w:rPr>
          <w:rFonts w:ascii="Book Antiqua" w:eastAsia="Book Antiqua" w:hAnsi="Book Antiqua" w:cs="Book Antiqua"/>
          <w:color w:val="000000"/>
        </w:rPr>
        <w:t xml:space="preserve"> strategies may follow the rule of diminishing returns and the resources may not be justified. Despite the report that individual grafts had the combination of A-NRP and NMP, clarity in the ITBL rate with this combination is lacking as they were excluded from the analysis of this study</w:t>
      </w:r>
      <w:r w:rsidR="00054327" w:rsidRPr="004A5F47">
        <w:rPr>
          <w:rFonts w:ascii="Book Antiqua" w:eastAsia="Book Antiqua" w:hAnsi="Book Antiqua" w:cs="Book Antiqua"/>
          <w:color w:val="000000"/>
          <w:vertAlign w:val="superscript"/>
        </w:rPr>
        <w:t>[44,</w:t>
      </w:r>
      <w:r w:rsidRPr="004A5F47">
        <w:rPr>
          <w:rFonts w:ascii="Book Antiqua" w:eastAsia="Book Antiqua" w:hAnsi="Book Antiqua" w:cs="Book Antiqua"/>
          <w:color w:val="000000"/>
          <w:vertAlign w:val="superscript"/>
        </w:rPr>
        <w:t>79]</w:t>
      </w:r>
      <w:r w:rsidRPr="004A5F47">
        <w:rPr>
          <w:rFonts w:ascii="Book Antiqua" w:eastAsia="Book Antiqua" w:hAnsi="Book Antiqua" w:cs="Book Antiqua"/>
          <w:color w:val="000000"/>
        </w:rPr>
        <w:t xml:space="preserve">. The Groningen group have also reported their experience with sequential </w:t>
      </w:r>
      <w:r w:rsidRPr="004A5F47">
        <w:rPr>
          <w:rFonts w:ascii="Book Antiqua" w:eastAsia="Book Antiqua" w:hAnsi="Book Antiqua" w:cs="Book Antiqua"/>
          <w:i/>
          <w:color w:val="000000"/>
        </w:rPr>
        <w:t>ex-situ</w:t>
      </w:r>
      <w:r w:rsidRPr="004A5F47">
        <w:rPr>
          <w:rFonts w:ascii="Book Antiqua" w:eastAsia="Book Antiqua" w:hAnsi="Book Antiqua" w:cs="Book Antiqua"/>
          <w:color w:val="000000"/>
        </w:rPr>
        <w:t xml:space="preserve"> end-ischemic D-HOPE, controlled oxygenated rewarming and NMP for high-risk livers (mostly DCD grafts)</w:t>
      </w:r>
      <w:r w:rsidR="00054327" w:rsidRPr="004A5F47">
        <w:rPr>
          <w:rFonts w:ascii="Book Antiqua" w:eastAsia="Book Antiqua" w:hAnsi="Book Antiqua" w:cs="Book Antiqua"/>
          <w:color w:val="000000"/>
          <w:vertAlign w:val="superscript"/>
        </w:rPr>
        <w:t>[80]</w:t>
      </w:r>
      <w:r w:rsidRPr="004A5F47">
        <w:rPr>
          <w:rFonts w:ascii="Book Antiqua" w:eastAsia="Book Antiqua" w:hAnsi="Book Antiqua" w:cs="Book Antiqua"/>
          <w:color w:val="000000"/>
        </w:rPr>
        <w:t>.</w:t>
      </w:r>
      <w:r w:rsidR="00054327"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The application of this protocol is proposed to protects these livers against IRI (D-HOPE phase) and enables viability assessment (NMP phase) prior to transplantation, resulting in promising outcomes.</w:t>
      </w:r>
    </w:p>
    <w:p w14:paraId="5464AA3B" w14:textId="27128CF4" w:rsidR="00A77B3E" w:rsidRPr="004A5F47" w:rsidRDefault="006A1FF4" w:rsidP="00815C0F">
      <w:pPr>
        <w:spacing w:line="360" w:lineRule="auto"/>
        <w:ind w:firstLineChars="75" w:firstLine="180"/>
        <w:jc w:val="both"/>
        <w:rPr>
          <w:rFonts w:ascii="Book Antiqua" w:hAnsi="Book Antiqua"/>
        </w:rPr>
      </w:pPr>
      <w:r w:rsidRPr="004A5F47">
        <w:rPr>
          <w:rFonts w:ascii="Book Antiqua" w:eastAsia="Book Antiqua" w:hAnsi="Book Antiqua" w:cs="Book Antiqua"/>
          <w:color w:val="000000"/>
        </w:rPr>
        <w:t>In Italy, as aforementioned circulatory death during DCD procurement is declared after a stand-off period of 20 min. This prolonged dWIT time has been a general reluctance to use such DCD grafts for transplantation due to the probable high risk of graft failure</w:t>
      </w:r>
      <w:r w:rsidR="00567816"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 xml:space="preserve">The combination of A-NRP and D-HOPE has contributed to increase the donor pool in this </w:t>
      </w:r>
      <w:r w:rsidRPr="004A5F47">
        <w:rPr>
          <w:rFonts w:ascii="Book Antiqua" w:eastAsia="Book Antiqua" w:hAnsi="Book Antiqua" w:cs="Book Antiqua"/>
          <w:color w:val="000000"/>
        </w:rPr>
        <w:lastRenderedPageBreak/>
        <w:t>high-risk donor context. In a retrospective cohort study, this combination has reported satisfactory outcomes in terms of ITBL</w:t>
      </w:r>
      <w:r w:rsidR="00BA0505"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when compared with relatively low-risk donor cont</w:t>
      </w:r>
      <w:r w:rsidR="00715042" w:rsidRPr="004A5F47">
        <w:rPr>
          <w:rFonts w:ascii="Book Antiqua" w:eastAsia="Book Antiqua" w:hAnsi="Book Antiqua" w:cs="Book Antiqua"/>
          <w:color w:val="000000"/>
        </w:rPr>
        <w:t xml:space="preserve">rol group (A-NRP + D-HOPE 3% </w:t>
      </w:r>
      <w:r w:rsidR="00715042" w:rsidRPr="004A5F47">
        <w:rPr>
          <w:rFonts w:ascii="Book Antiqua" w:eastAsia="Book Antiqua" w:hAnsi="Book Antiqua" w:cs="Book Antiqua"/>
          <w:i/>
          <w:color w:val="000000"/>
        </w:rPr>
        <w:t>vs</w:t>
      </w:r>
      <w:r w:rsidRPr="004A5F47">
        <w:rPr>
          <w:rFonts w:ascii="Book Antiqua" w:eastAsia="Book Antiqua" w:hAnsi="Book Antiqua" w:cs="Book Antiqua"/>
          <w:color w:val="000000"/>
        </w:rPr>
        <w:t xml:space="preserve"> SCS 8%)</w:t>
      </w:r>
      <w:r w:rsidRPr="004A5F47">
        <w:rPr>
          <w:rFonts w:ascii="Book Antiqua" w:eastAsia="Book Antiqua" w:hAnsi="Book Antiqua" w:cs="Book Antiqua"/>
          <w:color w:val="000000"/>
          <w:vertAlign w:val="superscript"/>
        </w:rPr>
        <w:t>[43]</w:t>
      </w:r>
      <w:r w:rsidRPr="004A5F47">
        <w:rPr>
          <w:rFonts w:ascii="Book Antiqua" w:eastAsia="Book Antiqua" w:hAnsi="Book Antiqua" w:cs="Book Antiqua"/>
          <w:color w:val="000000"/>
        </w:rPr>
        <w:t>. Recently, a new procedure called ischemia-free liver transplantation has been proposed, during which liver grafts are procured, preserved and implanted under continuous NMP. Its applicability and clinical impact are yet to be determined</w:t>
      </w:r>
      <w:r w:rsidRPr="004A5F47">
        <w:rPr>
          <w:rFonts w:ascii="Book Antiqua" w:eastAsia="Book Antiqua" w:hAnsi="Book Antiqua" w:cs="Book Antiqua"/>
          <w:color w:val="000000"/>
          <w:vertAlign w:val="superscript"/>
        </w:rPr>
        <w:t>[81]</w:t>
      </w:r>
      <w:r w:rsidRPr="004A5F47">
        <w:rPr>
          <w:rFonts w:ascii="Book Antiqua" w:eastAsia="Book Antiqua" w:hAnsi="Book Antiqua" w:cs="Book Antiqua"/>
          <w:color w:val="000000"/>
        </w:rPr>
        <w:t>. Further studies are required to determine if additional benefits are achieved by combining different techniques.</w:t>
      </w:r>
    </w:p>
    <w:p w14:paraId="34E3778B" w14:textId="77777777" w:rsidR="00A77B3E" w:rsidRPr="004A5F47" w:rsidRDefault="00A77B3E" w:rsidP="00265460">
      <w:pPr>
        <w:spacing w:line="360" w:lineRule="auto"/>
        <w:jc w:val="both"/>
        <w:rPr>
          <w:rFonts w:ascii="Book Antiqua" w:hAnsi="Book Antiqua"/>
        </w:rPr>
      </w:pPr>
    </w:p>
    <w:p w14:paraId="156DEEBC" w14:textId="26342DFC" w:rsidR="00A77B3E" w:rsidRPr="004A5F47" w:rsidRDefault="006A1FF4" w:rsidP="00265460">
      <w:pPr>
        <w:spacing w:line="360" w:lineRule="auto"/>
        <w:jc w:val="both"/>
        <w:rPr>
          <w:rFonts w:ascii="Book Antiqua" w:eastAsia="Book Antiqua" w:hAnsi="Book Antiqua" w:cs="Book Antiqua"/>
          <w:b/>
          <w:caps/>
          <w:color w:val="000000"/>
          <w:u w:val="single"/>
        </w:rPr>
      </w:pPr>
      <w:r w:rsidRPr="004A5F47">
        <w:rPr>
          <w:rFonts w:ascii="Book Antiqua" w:eastAsia="Book Antiqua" w:hAnsi="Book Antiqua" w:cs="Book Antiqua"/>
          <w:b/>
          <w:caps/>
          <w:color w:val="000000"/>
          <w:u w:val="single"/>
        </w:rPr>
        <w:t>Evidence summary</w:t>
      </w:r>
    </w:p>
    <w:p w14:paraId="175D0787" w14:textId="57ADD845"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color w:val="000000"/>
        </w:rPr>
        <w:t>The volume of data on MP and its impact on the development of ITBL</w:t>
      </w:r>
      <w:r w:rsidR="00700403"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following liver transplant is growing. However, with only a few exceptions, ITBL was not the primary outcome under investigation in these studies and therefore were not designed and reported with this entity in mind. It is difficult in many published studies to tease out what biliary complications represent the development of ITBL</w:t>
      </w:r>
      <w:r w:rsidR="00700403" w:rsidRPr="004A5F47">
        <w:rPr>
          <w:rFonts w:ascii="Book Antiqua" w:eastAsia="Book Antiqua" w:hAnsi="Book Antiqua" w:cs="Book Antiqua"/>
          <w:color w:val="000000"/>
        </w:rPr>
        <w:t>s</w:t>
      </w:r>
      <w:r w:rsidRPr="004A5F47">
        <w:rPr>
          <w:rFonts w:ascii="Book Antiqua" w:eastAsia="Book Antiqua" w:hAnsi="Book Antiqua" w:cs="Book Antiqua"/>
          <w:color w:val="000000"/>
        </w:rPr>
        <w:t>, as opposed to strictures of another cause. With this considered, the evidence for prevention of ITBL</w:t>
      </w:r>
      <w:r w:rsidR="00700403"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with MP is distinctly different for DCD as opposed to DBD grafts.</w:t>
      </w:r>
    </w:p>
    <w:p w14:paraId="1AEDFA7B" w14:textId="213CC214" w:rsidR="00A77B3E" w:rsidRPr="004A5F47" w:rsidRDefault="006A1FF4" w:rsidP="00815C0F">
      <w:pPr>
        <w:spacing w:line="360" w:lineRule="auto"/>
        <w:ind w:firstLineChars="112" w:firstLine="269"/>
        <w:jc w:val="both"/>
        <w:rPr>
          <w:rFonts w:ascii="Book Antiqua" w:hAnsi="Book Antiqua"/>
          <w:lang w:eastAsia="zh-CN"/>
        </w:rPr>
      </w:pPr>
      <w:r w:rsidRPr="004A5F47">
        <w:rPr>
          <w:rFonts w:ascii="Book Antiqua" w:eastAsia="Book Antiqua" w:hAnsi="Book Antiqua" w:cs="Book Antiqua"/>
          <w:color w:val="000000"/>
        </w:rPr>
        <w:t xml:space="preserve">The highest quality evidence for ITBL prevention with MP in DCD grafts is D-HOPE, in comparison to SRR and SCS. This is based on finding from a </w:t>
      </w:r>
      <w:r w:rsidR="005E3CA5" w:rsidRPr="004A5F47">
        <w:rPr>
          <w:rFonts w:ascii="Book Antiqua" w:eastAsia="Book Antiqua" w:hAnsi="Book Antiqua" w:cs="Book Antiqua"/>
          <w:color w:val="000000"/>
        </w:rPr>
        <w:t>RCT</w:t>
      </w:r>
      <w:r w:rsidRPr="004A5F47">
        <w:rPr>
          <w:rFonts w:ascii="Book Antiqua" w:eastAsia="Book Antiqua" w:hAnsi="Book Antiqua" w:cs="Book Antiqua"/>
          <w:color w:val="000000"/>
          <w:vertAlign w:val="superscript"/>
        </w:rPr>
        <w:t>[52]</w:t>
      </w:r>
      <w:r w:rsidRPr="004A5F47">
        <w:rPr>
          <w:rFonts w:ascii="Book Antiqua" w:eastAsia="Book Antiqua" w:hAnsi="Book Antiqua" w:cs="Book Antiqua"/>
          <w:color w:val="000000"/>
        </w:rPr>
        <w:t xml:space="preserve">. However, a larger quantity of lower quality evidence supports A-NRP in comparison to both SRR with SCS, and NMP </w:t>
      </w:r>
      <w:r w:rsidRPr="004A5F47">
        <w:rPr>
          <w:rFonts w:ascii="Book Antiqua" w:eastAsia="Book Antiqua" w:hAnsi="Book Antiqua" w:cs="Book Antiqua"/>
          <w:i/>
          <w:iCs/>
          <w:color w:val="000000"/>
        </w:rPr>
        <w:t>via</w:t>
      </w:r>
      <w:r w:rsidRPr="004A5F47">
        <w:rPr>
          <w:rFonts w:ascii="Book Antiqua" w:eastAsia="Book Antiqua" w:hAnsi="Book Antiqua" w:cs="Book Antiqua"/>
          <w:color w:val="000000"/>
        </w:rPr>
        <w:t xml:space="preserve"> a ‘back to base’ approach. At present, there is no evidence that D-HOPE is superior to A-NRP or that the combination of these two MP techniques results in a further reduction of ITBL</w:t>
      </w:r>
      <w:r w:rsidR="00700403"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than each one in isolation. Based on the DCD subgroup from one </w:t>
      </w:r>
      <w:r w:rsidR="00C61C0C" w:rsidRPr="004A5F47">
        <w:rPr>
          <w:rFonts w:ascii="Book Antiqua" w:eastAsia="Book Antiqua" w:hAnsi="Book Antiqua" w:cs="Book Antiqua"/>
          <w:color w:val="000000"/>
        </w:rPr>
        <w:t>randomized</w:t>
      </w:r>
      <w:r w:rsidRPr="004A5F47">
        <w:rPr>
          <w:rFonts w:ascii="Book Antiqua" w:eastAsia="Book Antiqua" w:hAnsi="Book Antiqua" w:cs="Book Antiqua"/>
          <w:color w:val="000000"/>
        </w:rPr>
        <w:t xml:space="preserve"> trial</w:t>
      </w:r>
      <w:r w:rsidRPr="004A5F47">
        <w:rPr>
          <w:rFonts w:ascii="Book Antiqua" w:eastAsia="Book Antiqua" w:hAnsi="Book Antiqua" w:cs="Book Antiqua"/>
          <w:color w:val="000000"/>
          <w:vertAlign w:val="superscript"/>
        </w:rPr>
        <w:t>[64]</w:t>
      </w:r>
      <w:r w:rsidRPr="004A5F47">
        <w:rPr>
          <w:rFonts w:ascii="Book Antiqua" w:eastAsia="Book Antiqua" w:hAnsi="Book Antiqua" w:cs="Book Antiqua"/>
          <w:color w:val="000000"/>
        </w:rPr>
        <w:t>, there is a suggestion that NMP applied ‘at source’ reduces</w:t>
      </w:r>
      <w:r w:rsidR="00715042"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ITBL in comparison to SRR and SCS</w:t>
      </w:r>
      <w:r w:rsidRPr="004A5F47">
        <w:rPr>
          <w:rFonts w:ascii="Book Antiqua" w:eastAsia="Book Antiqua" w:hAnsi="Book Antiqua" w:cs="Book Antiqua"/>
          <w:color w:val="000000"/>
          <w:vertAlign w:val="superscript"/>
        </w:rPr>
        <w:t>[64]</w:t>
      </w:r>
      <w:r w:rsidRPr="004A5F47">
        <w:rPr>
          <w:rFonts w:ascii="Book Antiqua" w:eastAsia="Book Antiqua" w:hAnsi="Book Antiqua" w:cs="Book Antiqua"/>
          <w:color w:val="000000"/>
        </w:rPr>
        <w:t>. There is no good quality evidence that NMP applied in a ‘back to base’ approach for DCD grafts prevents ITBL</w:t>
      </w:r>
      <w:r w:rsidR="00700403" w:rsidRPr="004A5F47">
        <w:rPr>
          <w:rFonts w:ascii="Book Antiqua" w:eastAsia="Book Antiqua" w:hAnsi="Book Antiqua" w:cs="Book Antiqua"/>
          <w:color w:val="000000"/>
        </w:rPr>
        <w:t>s</w:t>
      </w:r>
      <w:r w:rsidRPr="004A5F47">
        <w:rPr>
          <w:rFonts w:ascii="Book Antiqua" w:eastAsia="Book Antiqua" w:hAnsi="Book Antiqua" w:cs="Book Antiqua"/>
          <w:color w:val="000000"/>
        </w:rPr>
        <w:t>. In DBD donors, the incidence of ITBL</w:t>
      </w:r>
      <w:r w:rsidR="00700403" w:rsidRPr="004A5F47">
        <w:rPr>
          <w:rFonts w:ascii="Book Antiqua" w:eastAsia="Book Antiqua" w:hAnsi="Book Antiqua" w:cs="Book Antiqua"/>
          <w:color w:val="000000"/>
        </w:rPr>
        <w:t>s</w:t>
      </w:r>
      <w:r w:rsidRPr="004A5F47">
        <w:rPr>
          <w:rFonts w:ascii="Book Antiqua" w:eastAsia="Book Antiqua" w:hAnsi="Book Antiqua" w:cs="Book Antiqua"/>
          <w:color w:val="000000"/>
        </w:rPr>
        <w:t xml:space="preserve"> is lower and therefore studies with a large sample size will be required to demonstrate a noticeable effect. The available evidence to suggest that either NMP ‘at source’ or ‘back to base’ for DBD grafts is weak, and consists of only one cohort study</w:t>
      </w:r>
      <w:r w:rsidRPr="004A5F47">
        <w:rPr>
          <w:rFonts w:ascii="Book Antiqua" w:eastAsia="Book Antiqua" w:hAnsi="Book Antiqua" w:cs="Book Antiqua"/>
          <w:color w:val="000000"/>
          <w:vertAlign w:val="superscript"/>
        </w:rPr>
        <w:t>[75]</w:t>
      </w:r>
      <w:r w:rsidRPr="004A5F47">
        <w:rPr>
          <w:rFonts w:ascii="Book Antiqua" w:eastAsia="Book Antiqua" w:hAnsi="Book Antiqua" w:cs="Book Antiqua"/>
          <w:color w:val="000000"/>
        </w:rPr>
        <w:t>. There is no trial evidence to support a reduction in ITBL for DBD grafts with HMP strategies.</w:t>
      </w:r>
    </w:p>
    <w:p w14:paraId="70A8BCC3"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aps/>
          <w:color w:val="000000"/>
          <w:u w:val="single"/>
        </w:rPr>
        <w:lastRenderedPageBreak/>
        <w:t>CONCLUSION</w:t>
      </w:r>
    </w:p>
    <w:p w14:paraId="2A57D5E6" w14:textId="1005F3DD"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color w:val="000000"/>
        </w:rPr>
        <w:t>ITBL remains an ongoing issue and the notion that biliary complications are the ‘achilles heel’ of liver transplantation remains true. However, with the introduction of MP technology, gains are being made in the prevention of this highly morbid condition. The greatest area of improvement is for DCD grafts with RCT evidence for D-HOPE, and large cohort studies supporting A-NRP. Given the demonstrated benefits these modalities have over SCS for DCD grafts, a loss of equipoise within the transplant community is diminishing the opportunity for further RCTs that include a SCS group. As an organ donor often generously gives numerous organs, the impact A-NRP has on other abdominal viscera may influence the decision regarding the most appropriate MP strategies.</w:t>
      </w:r>
      <w:r w:rsidR="005A4B61"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Multiple factors likely interact to cause ITBL</w:t>
      </w:r>
      <w:r w:rsidR="00700403" w:rsidRPr="004A5F47">
        <w:rPr>
          <w:rFonts w:ascii="Book Antiqua" w:eastAsia="Book Antiqua" w:hAnsi="Book Antiqua" w:cs="Book Antiqua"/>
          <w:color w:val="000000"/>
        </w:rPr>
        <w:t>s</w:t>
      </w:r>
      <w:r w:rsidRPr="004A5F47">
        <w:rPr>
          <w:rFonts w:ascii="Book Antiqua" w:eastAsia="Book Antiqua" w:hAnsi="Book Antiqua" w:cs="Book Antiqua"/>
          <w:color w:val="000000"/>
        </w:rPr>
        <w:t>, and a greater understanding of these will undoubtedly help refine both preventative and treatment interventions.</w:t>
      </w:r>
    </w:p>
    <w:p w14:paraId="0C8CC9B8" w14:textId="77777777" w:rsidR="00A77B3E" w:rsidRPr="004A5F47" w:rsidRDefault="00A77B3E" w:rsidP="00265460">
      <w:pPr>
        <w:spacing w:line="360" w:lineRule="auto"/>
        <w:jc w:val="both"/>
        <w:rPr>
          <w:rFonts w:ascii="Book Antiqua" w:hAnsi="Book Antiqua"/>
          <w:lang w:eastAsia="zh-CN"/>
        </w:rPr>
      </w:pPr>
    </w:p>
    <w:p w14:paraId="0F1098ED" w14:textId="77777777" w:rsidR="003A511E" w:rsidRPr="004A5F47" w:rsidRDefault="003A511E" w:rsidP="00265460">
      <w:pPr>
        <w:spacing w:line="360" w:lineRule="auto"/>
        <w:jc w:val="both"/>
      </w:pPr>
      <w:r w:rsidRPr="004A5F47">
        <w:rPr>
          <w:rFonts w:ascii="Book Antiqua" w:eastAsia="Book Antiqua" w:hAnsi="Book Antiqua" w:cs="Book Antiqua"/>
          <w:b/>
          <w:caps/>
          <w:color w:val="000000"/>
          <w:u w:val="single"/>
        </w:rPr>
        <w:t>ACKNOWLEDGEMENTS</w:t>
      </w:r>
    </w:p>
    <w:p w14:paraId="6FE021BD" w14:textId="32EE4A9A" w:rsidR="002414B6" w:rsidRPr="004A5F47" w:rsidRDefault="003A511E" w:rsidP="00265460">
      <w:pPr>
        <w:spacing w:line="360" w:lineRule="auto"/>
        <w:jc w:val="both"/>
        <w:rPr>
          <w:lang w:eastAsia="zh-CN"/>
        </w:rPr>
      </w:pPr>
      <w:r w:rsidRPr="004A5F47">
        <w:rPr>
          <w:rFonts w:ascii="Book Antiqua" w:eastAsia="Book Antiqua" w:hAnsi="Book Antiqua" w:cs="Book Antiqua"/>
          <w:color w:val="000000"/>
        </w:rPr>
        <w:t>Angus Hann would like to acknowledge the funding received in the form of the Catherine Marie Enright research scholarship from the Royal Australasian College of Surgeons to support his program of research. Figure</w:t>
      </w:r>
      <w:r w:rsidR="00566B69" w:rsidRPr="004A5F47">
        <w:rPr>
          <w:rFonts w:ascii="Book Antiqua" w:hAnsi="Book Antiqua" w:cs="Book Antiqua"/>
          <w:color w:val="000000"/>
          <w:lang w:eastAsia="zh-CN"/>
        </w:rPr>
        <w:t xml:space="preserve"> </w:t>
      </w:r>
      <w:r w:rsidRPr="004A5F47">
        <w:rPr>
          <w:rFonts w:ascii="Book Antiqua" w:eastAsia="Book Antiqua" w:hAnsi="Book Antiqua" w:cs="Book Antiqua"/>
          <w:color w:val="000000"/>
        </w:rPr>
        <w:t>created with biorender.com, accessed on January 2023.</w:t>
      </w:r>
    </w:p>
    <w:p w14:paraId="047B3EB5" w14:textId="77777777" w:rsidR="002414B6" w:rsidRPr="004A5F47" w:rsidRDefault="002414B6" w:rsidP="00265460">
      <w:pPr>
        <w:spacing w:line="360" w:lineRule="auto"/>
        <w:jc w:val="both"/>
        <w:rPr>
          <w:rFonts w:ascii="Book Antiqua" w:hAnsi="Book Antiqua"/>
          <w:lang w:eastAsia="zh-CN"/>
        </w:rPr>
      </w:pPr>
    </w:p>
    <w:p w14:paraId="10235836"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t>REFERENCES</w:t>
      </w:r>
    </w:p>
    <w:p w14:paraId="4C92085F"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1 </w:t>
      </w:r>
      <w:r w:rsidRPr="004A5F47">
        <w:rPr>
          <w:rFonts w:ascii="Book Antiqua" w:hAnsi="Book Antiqua"/>
          <w:b/>
          <w:bCs/>
        </w:rPr>
        <w:t>Muller X</w:t>
      </w:r>
      <w:r w:rsidRPr="004A5F47">
        <w:rPr>
          <w:rFonts w:ascii="Book Antiqua" w:hAnsi="Book Antiqua"/>
        </w:rPr>
        <w:t xml:space="preserve">, Marcon F, Sapisochin G, Marquez M, Dondero F, Rayar M, Doyle MMB, Callans L, Li J, Nowak G, Allard MA, Jochmans I, Jacskon K, Beltrame MC, van Reeven M, Iesari S, Cucchetti A, Sharma H, Staiger RD, Raptis DA, Petrowsky H, de Oliveira M, Hernandez-Alejandro R, Pinna AD, Lerut J, Polak WG, de Santibañes E, de Santibañes M, Cameron AM, Pirenne J, Cherqui D, Adam RA, Ericzon BG, Nashan B, Olthoff K, Shaked A, Chapman WC, Boudjema K, Soubrane O, Paugam-Burtz C, Greig PD, Grant DR, Carvalheiro A, Muiesan P, Dutkowski P, Puhan M, Clavien PA. Defining Benchmarks in Liver Transplantation: A Multicenter Outcome Analysis Determining Best Achievable Results. </w:t>
      </w:r>
      <w:r w:rsidRPr="004A5F47">
        <w:rPr>
          <w:rFonts w:ascii="Book Antiqua" w:hAnsi="Book Antiqua"/>
          <w:i/>
          <w:iCs/>
        </w:rPr>
        <w:t>Ann Surg</w:t>
      </w:r>
      <w:r w:rsidRPr="004A5F47">
        <w:rPr>
          <w:rFonts w:ascii="Book Antiqua" w:hAnsi="Book Antiqua"/>
        </w:rPr>
        <w:t xml:space="preserve"> 2018; </w:t>
      </w:r>
      <w:r w:rsidRPr="004A5F47">
        <w:rPr>
          <w:rFonts w:ascii="Book Antiqua" w:hAnsi="Book Antiqua"/>
          <w:b/>
          <w:bCs/>
        </w:rPr>
        <w:t>267</w:t>
      </w:r>
      <w:r w:rsidRPr="004A5F47">
        <w:rPr>
          <w:rFonts w:ascii="Book Antiqua" w:hAnsi="Book Antiqua"/>
        </w:rPr>
        <w:t>: 419-425 [PMID: 28885508 DOI: 10.1097/SLA.0000000000002477]</w:t>
      </w:r>
    </w:p>
    <w:p w14:paraId="1957FEE1" w14:textId="77777777" w:rsidR="00AD0097" w:rsidRPr="004A5F47" w:rsidRDefault="00AD0097" w:rsidP="00265460">
      <w:pPr>
        <w:spacing w:line="360" w:lineRule="auto"/>
        <w:jc w:val="both"/>
        <w:rPr>
          <w:rFonts w:ascii="Book Antiqua" w:hAnsi="Book Antiqua"/>
        </w:rPr>
      </w:pPr>
      <w:r w:rsidRPr="004A5F47">
        <w:rPr>
          <w:rFonts w:ascii="Book Antiqua" w:hAnsi="Book Antiqua"/>
        </w:rPr>
        <w:lastRenderedPageBreak/>
        <w:t xml:space="preserve">2 </w:t>
      </w:r>
      <w:r w:rsidRPr="004A5F47">
        <w:rPr>
          <w:rFonts w:ascii="Book Antiqua" w:hAnsi="Book Antiqua"/>
          <w:b/>
          <w:bCs/>
        </w:rPr>
        <w:t>MacConmara M</w:t>
      </w:r>
      <w:r w:rsidRPr="004A5F47">
        <w:rPr>
          <w:rFonts w:ascii="Book Antiqua" w:hAnsi="Book Antiqua"/>
        </w:rPr>
        <w:t xml:space="preserve">, Hanish SI, Hwang CS, De Gregorio L, Desai DM, Feizpour CA, Tanriover B, Markmann JF, Zeh H 3rd, Vagefi PA. Making Every Liver Count: Increased Transplant Yield of Donor Livers Through Normothermic Machine Perfusion. </w:t>
      </w:r>
      <w:r w:rsidRPr="004A5F47">
        <w:rPr>
          <w:rFonts w:ascii="Book Antiqua" w:hAnsi="Book Antiqua"/>
          <w:i/>
          <w:iCs/>
        </w:rPr>
        <w:t>Ann Surg</w:t>
      </w:r>
      <w:r w:rsidRPr="004A5F47">
        <w:rPr>
          <w:rFonts w:ascii="Book Antiqua" w:hAnsi="Book Antiqua"/>
        </w:rPr>
        <w:t xml:space="preserve"> 2020; </w:t>
      </w:r>
      <w:r w:rsidRPr="004A5F47">
        <w:rPr>
          <w:rFonts w:ascii="Book Antiqua" w:hAnsi="Book Antiqua"/>
          <w:b/>
          <w:bCs/>
        </w:rPr>
        <w:t>272</w:t>
      </w:r>
      <w:r w:rsidRPr="004A5F47">
        <w:rPr>
          <w:rFonts w:ascii="Book Antiqua" w:hAnsi="Book Antiqua"/>
        </w:rPr>
        <w:t>: 397-401 [PMID: 32694447 DOI: 10.1097/SLA.0000000000004198]</w:t>
      </w:r>
    </w:p>
    <w:p w14:paraId="5FD9B376"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3 </w:t>
      </w:r>
      <w:r w:rsidRPr="004A5F47">
        <w:rPr>
          <w:rFonts w:ascii="Book Antiqua" w:hAnsi="Book Antiqua"/>
          <w:b/>
          <w:bCs/>
        </w:rPr>
        <w:t>Briceño J</w:t>
      </w:r>
      <w:r w:rsidRPr="004A5F47">
        <w:rPr>
          <w:rFonts w:ascii="Book Antiqua" w:hAnsi="Book Antiqua"/>
        </w:rPr>
        <w:t xml:space="preserve">, Ciria R, de la Mata M. Donor-recipient matching: myths and realities. </w:t>
      </w:r>
      <w:r w:rsidRPr="004A5F47">
        <w:rPr>
          <w:rFonts w:ascii="Book Antiqua" w:hAnsi="Book Antiqua"/>
          <w:i/>
          <w:iCs/>
        </w:rPr>
        <w:t>J Hepatol</w:t>
      </w:r>
      <w:r w:rsidRPr="004A5F47">
        <w:rPr>
          <w:rFonts w:ascii="Book Antiqua" w:hAnsi="Book Antiqua"/>
        </w:rPr>
        <w:t xml:space="preserve"> 2013; </w:t>
      </w:r>
      <w:r w:rsidRPr="004A5F47">
        <w:rPr>
          <w:rFonts w:ascii="Book Antiqua" w:hAnsi="Book Antiqua"/>
          <w:b/>
          <w:bCs/>
        </w:rPr>
        <w:t>58</w:t>
      </w:r>
      <w:r w:rsidRPr="004A5F47">
        <w:rPr>
          <w:rFonts w:ascii="Book Antiqua" w:hAnsi="Book Antiqua"/>
        </w:rPr>
        <w:t>: 811-820 [PMID: 23104164 DOI: 10.1016/j.jhep.2012.10.020]</w:t>
      </w:r>
    </w:p>
    <w:p w14:paraId="3DC698C6"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 </w:t>
      </w:r>
      <w:r w:rsidRPr="004A5F47">
        <w:rPr>
          <w:rFonts w:ascii="Book Antiqua" w:hAnsi="Book Antiqua"/>
          <w:b/>
          <w:bCs/>
        </w:rPr>
        <w:t>Panayotova G</w:t>
      </w:r>
      <w:r w:rsidRPr="004A5F47">
        <w:rPr>
          <w:rFonts w:ascii="Book Antiqua" w:hAnsi="Book Antiqua"/>
        </w:rPr>
        <w:t xml:space="preserve">, Lunsford KE, Latt NL, Paterno F, Guarrera JV, Pyrsopoulos N. Expanding indications for liver transplantation in the era of liver transplant oncology. </w:t>
      </w:r>
      <w:r w:rsidRPr="004A5F47">
        <w:rPr>
          <w:rFonts w:ascii="Book Antiqua" w:hAnsi="Book Antiqua"/>
          <w:i/>
          <w:iCs/>
        </w:rPr>
        <w:t>World J Gastrointest Surg</w:t>
      </w:r>
      <w:r w:rsidRPr="004A5F47">
        <w:rPr>
          <w:rFonts w:ascii="Book Antiqua" w:hAnsi="Book Antiqua"/>
        </w:rPr>
        <w:t xml:space="preserve"> 2021; </w:t>
      </w:r>
      <w:r w:rsidRPr="004A5F47">
        <w:rPr>
          <w:rFonts w:ascii="Book Antiqua" w:hAnsi="Book Antiqua"/>
          <w:b/>
          <w:bCs/>
        </w:rPr>
        <w:t>13</w:t>
      </w:r>
      <w:r w:rsidRPr="004A5F47">
        <w:rPr>
          <w:rFonts w:ascii="Book Antiqua" w:hAnsi="Book Antiqua"/>
        </w:rPr>
        <w:t>: 392-405 [PMID: 34122730 DOI: 10.4240/wjgs.v13.i5.392]</w:t>
      </w:r>
    </w:p>
    <w:p w14:paraId="06DFB4C8"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5 </w:t>
      </w:r>
      <w:r w:rsidRPr="004A5F47">
        <w:rPr>
          <w:rFonts w:ascii="Book Antiqua" w:hAnsi="Book Antiqua"/>
          <w:b/>
          <w:bCs/>
        </w:rPr>
        <w:t>Kollmann D</w:t>
      </w:r>
      <w:r w:rsidRPr="004A5F47">
        <w:rPr>
          <w:rFonts w:ascii="Book Antiqua" w:hAnsi="Book Antiqua"/>
        </w:rPr>
        <w:t xml:space="preserve">, Sapisochin G, Goldaracena N, Hansen BE, Rajakumar R, Selzner N, Bhat M, McCluskey S, Cattral MS, Greig PD, Lilly L, McGilvray ID, Ghanekar A, Grant DR, Selzner M. Expanding the donor pool: Donation after circulatory death and living liver donation do not compromise the results of liver transplantation. </w:t>
      </w:r>
      <w:r w:rsidRPr="004A5F47">
        <w:rPr>
          <w:rFonts w:ascii="Book Antiqua" w:hAnsi="Book Antiqua"/>
          <w:i/>
          <w:iCs/>
        </w:rPr>
        <w:t>Liver Transpl</w:t>
      </w:r>
      <w:r w:rsidRPr="004A5F47">
        <w:rPr>
          <w:rFonts w:ascii="Book Antiqua" w:hAnsi="Book Antiqua"/>
        </w:rPr>
        <w:t xml:space="preserve"> 2018; </w:t>
      </w:r>
      <w:r w:rsidRPr="004A5F47">
        <w:rPr>
          <w:rFonts w:ascii="Book Antiqua" w:hAnsi="Book Antiqua"/>
          <w:b/>
          <w:bCs/>
        </w:rPr>
        <w:t>24</w:t>
      </w:r>
      <w:r w:rsidRPr="004A5F47">
        <w:rPr>
          <w:rFonts w:ascii="Book Antiqua" w:hAnsi="Book Antiqua"/>
        </w:rPr>
        <w:t>: 779-789 [PMID: 29604237 DOI: 10.1002/lt.25068]</w:t>
      </w:r>
    </w:p>
    <w:p w14:paraId="4F270FC2"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 </w:t>
      </w:r>
      <w:r w:rsidRPr="004A5F47">
        <w:rPr>
          <w:rFonts w:ascii="Book Antiqua" w:hAnsi="Book Antiqua"/>
          <w:b/>
          <w:bCs/>
        </w:rPr>
        <w:t>Calne RY</w:t>
      </w:r>
      <w:r w:rsidRPr="004A5F47">
        <w:rPr>
          <w:rFonts w:ascii="Book Antiqua" w:hAnsi="Book Antiqua"/>
        </w:rPr>
        <w:t xml:space="preserve">. A new technique for biliary drainage in orthotopic liver transplantation utilizing the gall bladder as a pedicle graft conduit between the donor and recipient common bile ducts. </w:t>
      </w:r>
      <w:r w:rsidRPr="004A5F47">
        <w:rPr>
          <w:rFonts w:ascii="Book Antiqua" w:hAnsi="Book Antiqua"/>
          <w:i/>
          <w:iCs/>
        </w:rPr>
        <w:t>Ann Surg</w:t>
      </w:r>
      <w:r w:rsidRPr="004A5F47">
        <w:rPr>
          <w:rFonts w:ascii="Book Antiqua" w:hAnsi="Book Antiqua"/>
        </w:rPr>
        <w:t xml:space="preserve"> 1976; </w:t>
      </w:r>
      <w:r w:rsidRPr="004A5F47">
        <w:rPr>
          <w:rFonts w:ascii="Book Antiqua" w:hAnsi="Book Antiqua"/>
          <w:b/>
          <w:bCs/>
        </w:rPr>
        <w:t>184</w:t>
      </w:r>
      <w:r w:rsidRPr="004A5F47">
        <w:rPr>
          <w:rFonts w:ascii="Book Antiqua" w:hAnsi="Book Antiqua"/>
        </w:rPr>
        <w:t>: 605-609 [PMID: 791164 DOI: 10.1097/00000658-197611000-00012]</w:t>
      </w:r>
    </w:p>
    <w:p w14:paraId="28945AAC"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 </w:t>
      </w:r>
      <w:r w:rsidRPr="004A5F47">
        <w:rPr>
          <w:rFonts w:ascii="Book Antiqua" w:hAnsi="Book Antiqua"/>
          <w:b/>
          <w:bCs/>
        </w:rPr>
        <w:t>Boteon YL</w:t>
      </w:r>
      <w:r w:rsidRPr="004A5F47">
        <w:rPr>
          <w:rFonts w:ascii="Book Antiqua" w:hAnsi="Book Antiqua"/>
        </w:rPr>
        <w:t xml:space="preserve">, Boteon AP, Attard J, Wallace L, Bhogal RH, Afford SC. Impact of machine perfusion of the liver on post-transplant biliary complications: A systematic review. </w:t>
      </w:r>
      <w:r w:rsidRPr="004A5F47">
        <w:rPr>
          <w:rFonts w:ascii="Book Antiqua" w:hAnsi="Book Antiqua"/>
          <w:i/>
          <w:iCs/>
        </w:rPr>
        <w:t>World J Transplant</w:t>
      </w:r>
      <w:r w:rsidRPr="004A5F47">
        <w:rPr>
          <w:rFonts w:ascii="Book Antiqua" w:hAnsi="Book Antiqua"/>
        </w:rPr>
        <w:t xml:space="preserve"> 2018; </w:t>
      </w:r>
      <w:r w:rsidRPr="004A5F47">
        <w:rPr>
          <w:rFonts w:ascii="Book Antiqua" w:hAnsi="Book Antiqua"/>
          <w:b/>
          <w:bCs/>
        </w:rPr>
        <w:t>8</w:t>
      </w:r>
      <w:r w:rsidRPr="004A5F47">
        <w:rPr>
          <w:rFonts w:ascii="Book Antiqua" w:hAnsi="Book Antiqua"/>
        </w:rPr>
        <w:t>: 220-231 [PMID: 30370232 DOI: 10.5500/wjt.v8.i6.220]</w:t>
      </w:r>
    </w:p>
    <w:p w14:paraId="5E67401D"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8 </w:t>
      </w:r>
      <w:r w:rsidRPr="004A5F47">
        <w:rPr>
          <w:rFonts w:ascii="Book Antiqua" w:hAnsi="Book Antiqua"/>
          <w:b/>
          <w:bCs/>
        </w:rPr>
        <w:t>Hessheimer AJ</w:t>
      </w:r>
      <w:r w:rsidRPr="004A5F47">
        <w:rPr>
          <w:rFonts w:ascii="Book Antiqua" w:hAnsi="Book Antiqua"/>
        </w:rPr>
        <w:t xml:space="preserve">, Cárdenas A, García-Valdecasas JC, Fondevila C. Can we prevent ischemic-type biliary lesions in donation after circulatory determination of death liver transplantation? </w:t>
      </w:r>
      <w:r w:rsidRPr="004A5F47">
        <w:rPr>
          <w:rFonts w:ascii="Book Antiqua" w:hAnsi="Book Antiqua"/>
          <w:i/>
          <w:iCs/>
        </w:rPr>
        <w:t>Liver Transpl</w:t>
      </w:r>
      <w:r w:rsidRPr="004A5F47">
        <w:rPr>
          <w:rFonts w:ascii="Book Antiqua" w:hAnsi="Book Antiqua"/>
        </w:rPr>
        <w:t xml:space="preserve"> 2016; </w:t>
      </w:r>
      <w:r w:rsidRPr="004A5F47">
        <w:rPr>
          <w:rFonts w:ascii="Book Antiqua" w:hAnsi="Book Antiqua"/>
          <w:b/>
          <w:bCs/>
        </w:rPr>
        <w:t>22</w:t>
      </w:r>
      <w:r w:rsidRPr="004A5F47">
        <w:rPr>
          <w:rFonts w:ascii="Book Antiqua" w:hAnsi="Book Antiqua"/>
        </w:rPr>
        <w:t>: 1025-1033 [PMID: 27082839 DOI: 10.1002/lt.24460]</w:t>
      </w:r>
    </w:p>
    <w:p w14:paraId="3A138B40" w14:textId="33980747" w:rsidR="00AD0097" w:rsidRPr="004A5F47" w:rsidRDefault="00AD0097" w:rsidP="00265460">
      <w:pPr>
        <w:spacing w:line="360" w:lineRule="auto"/>
        <w:jc w:val="both"/>
        <w:rPr>
          <w:rFonts w:ascii="Book Antiqua" w:hAnsi="Book Antiqua"/>
        </w:rPr>
      </w:pPr>
      <w:r w:rsidRPr="004A5F47">
        <w:rPr>
          <w:rFonts w:ascii="Book Antiqua" w:hAnsi="Book Antiqua"/>
        </w:rPr>
        <w:t xml:space="preserve">9 </w:t>
      </w:r>
      <w:r w:rsidRPr="004A5F47">
        <w:rPr>
          <w:rFonts w:ascii="Book Antiqua" w:hAnsi="Book Antiqua"/>
          <w:b/>
          <w:bCs/>
        </w:rPr>
        <w:t>Durán M,</w:t>
      </w:r>
      <w:r w:rsidRPr="004A5F47">
        <w:rPr>
          <w:rFonts w:ascii="Book Antiqua" w:hAnsi="Book Antiqua"/>
        </w:rPr>
        <w:t xml:space="preserve"> Hann A, Lembach H, Nutu A, Clarke G, Patel I, Sneiders D, Hartog H, Mirza DF, Perera MTPR. Normothermic Machine Perfusion as a Tool for Safe Transplantation of High-Risk Recipients. </w:t>
      </w:r>
      <w:r w:rsidRPr="004A5F47">
        <w:rPr>
          <w:rFonts w:ascii="Book Antiqua" w:hAnsi="Book Antiqua"/>
          <w:i/>
        </w:rPr>
        <w:t>Transplantology</w:t>
      </w:r>
      <w:r w:rsidRPr="004A5F47">
        <w:rPr>
          <w:rFonts w:ascii="Book Antiqua" w:hAnsi="Book Antiqua"/>
        </w:rPr>
        <w:t xml:space="preserve"> 2022; </w:t>
      </w:r>
      <w:r w:rsidRPr="004A5F47">
        <w:rPr>
          <w:rFonts w:ascii="Book Antiqua" w:hAnsi="Book Antiqua"/>
          <w:b/>
        </w:rPr>
        <w:t>3</w:t>
      </w:r>
      <w:r w:rsidRPr="004A5F47">
        <w:rPr>
          <w:rFonts w:ascii="Book Antiqua" w:hAnsi="Book Antiqua"/>
        </w:rPr>
        <w:t>: 169-183 [DOI:</w:t>
      </w:r>
      <w:r w:rsidR="00BF4429" w:rsidRPr="004A5F47">
        <w:rPr>
          <w:rFonts w:ascii="Book Antiqua" w:hAnsi="Book Antiqua"/>
          <w:lang w:eastAsia="zh-CN"/>
        </w:rPr>
        <w:t xml:space="preserve"> </w:t>
      </w:r>
      <w:r w:rsidRPr="004A5F47">
        <w:rPr>
          <w:rFonts w:ascii="Book Antiqua" w:hAnsi="Book Antiqua"/>
        </w:rPr>
        <w:t>10.3390/transplantology3020018]</w:t>
      </w:r>
    </w:p>
    <w:p w14:paraId="1AD1F39D"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10 </w:t>
      </w:r>
      <w:r w:rsidRPr="004A5F47">
        <w:rPr>
          <w:rFonts w:ascii="Book Antiqua" w:hAnsi="Book Antiqua"/>
          <w:b/>
          <w:bCs/>
        </w:rPr>
        <w:t>Noack K</w:t>
      </w:r>
      <w:r w:rsidRPr="004A5F47">
        <w:rPr>
          <w:rFonts w:ascii="Book Antiqua" w:hAnsi="Book Antiqua"/>
        </w:rPr>
        <w:t xml:space="preserve">, Bronk SF, Kato A, Gores GJ. The greater vulnerability of bile duct cells to reoxygenation injury than to anoxia. Implications for the pathogenesis of biliary strictures </w:t>
      </w:r>
      <w:r w:rsidRPr="004A5F47">
        <w:rPr>
          <w:rFonts w:ascii="Book Antiqua" w:hAnsi="Book Antiqua"/>
        </w:rPr>
        <w:lastRenderedPageBreak/>
        <w:t xml:space="preserve">after liver transplantation. </w:t>
      </w:r>
      <w:r w:rsidRPr="004A5F47">
        <w:rPr>
          <w:rFonts w:ascii="Book Antiqua" w:hAnsi="Book Antiqua"/>
          <w:i/>
          <w:iCs/>
        </w:rPr>
        <w:t>Transplantation</w:t>
      </w:r>
      <w:r w:rsidRPr="004A5F47">
        <w:rPr>
          <w:rFonts w:ascii="Book Antiqua" w:hAnsi="Book Antiqua"/>
        </w:rPr>
        <w:t xml:space="preserve"> 1993; </w:t>
      </w:r>
      <w:r w:rsidRPr="004A5F47">
        <w:rPr>
          <w:rFonts w:ascii="Book Antiqua" w:hAnsi="Book Antiqua"/>
          <w:b/>
          <w:bCs/>
        </w:rPr>
        <w:t>56</w:t>
      </w:r>
      <w:r w:rsidRPr="004A5F47">
        <w:rPr>
          <w:rFonts w:ascii="Book Antiqua" w:hAnsi="Book Antiqua"/>
        </w:rPr>
        <w:t>: 495-500 [PMID: 8212138 DOI: 10.1097/00007890-199309000-00001]</w:t>
      </w:r>
    </w:p>
    <w:p w14:paraId="037B8DF4" w14:textId="77777777" w:rsidR="00AD0097" w:rsidRPr="004A5F47" w:rsidRDefault="00AD0097" w:rsidP="00265460">
      <w:pPr>
        <w:spacing w:line="360" w:lineRule="auto"/>
        <w:jc w:val="both"/>
        <w:rPr>
          <w:rFonts w:ascii="Book Antiqua" w:hAnsi="Book Antiqua"/>
        </w:rPr>
      </w:pPr>
      <w:r w:rsidRPr="00815C0F">
        <w:rPr>
          <w:rFonts w:ascii="Book Antiqua" w:hAnsi="Book Antiqua"/>
        </w:rPr>
        <w:t xml:space="preserve">11 </w:t>
      </w:r>
      <w:r w:rsidRPr="00815C0F">
        <w:rPr>
          <w:rFonts w:ascii="Book Antiqua" w:hAnsi="Book Antiqua"/>
          <w:b/>
          <w:bCs/>
        </w:rPr>
        <w:t>Kochhar G</w:t>
      </w:r>
      <w:r w:rsidRPr="00815C0F">
        <w:rPr>
          <w:rFonts w:ascii="Book Antiqua" w:hAnsi="Book Antiqua"/>
        </w:rPr>
        <w:t xml:space="preserve">, Parungao JM, Hanouneh IA, Parsi MA. </w:t>
      </w:r>
      <w:r w:rsidRPr="004A5F47">
        <w:rPr>
          <w:rFonts w:ascii="Book Antiqua" w:hAnsi="Book Antiqua"/>
        </w:rPr>
        <w:t xml:space="preserve">Biliary complications following liver transplantation. </w:t>
      </w:r>
      <w:r w:rsidRPr="004A5F47">
        <w:rPr>
          <w:rFonts w:ascii="Book Antiqua" w:hAnsi="Book Antiqua"/>
          <w:i/>
          <w:iCs/>
        </w:rPr>
        <w:t>World J Gastroenterol</w:t>
      </w:r>
      <w:r w:rsidRPr="004A5F47">
        <w:rPr>
          <w:rFonts w:ascii="Book Antiqua" w:hAnsi="Book Antiqua"/>
        </w:rPr>
        <w:t xml:space="preserve"> 2013; </w:t>
      </w:r>
      <w:r w:rsidRPr="004A5F47">
        <w:rPr>
          <w:rFonts w:ascii="Book Antiqua" w:hAnsi="Book Antiqua"/>
          <w:b/>
          <w:bCs/>
        </w:rPr>
        <w:t>19</w:t>
      </w:r>
      <w:r w:rsidRPr="004A5F47">
        <w:rPr>
          <w:rFonts w:ascii="Book Antiqua" w:hAnsi="Book Antiqua"/>
        </w:rPr>
        <w:t>: 2841-2846 [PMID: 23704818 DOI: 10.3748/wjg.v19.i19.2841]</w:t>
      </w:r>
    </w:p>
    <w:p w14:paraId="36017ACB"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12 </w:t>
      </w:r>
      <w:r w:rsidRPr="004A5F47">
        <w:rPr>
          <w:rFonts w:ascii="Book Antiqua" w:hAnsi="Book Antiqua"/>
          <w:b/>
          <w:bCs/>
        </w:rPr>
        <w:t>Verdonk RC</w:t>
      </w:r>
      <w:r w:rsidRPr="004A5F47">
        <w:rPr>
          <w:rFonts w:ascii="Book Antiqua" w:hAnsi="Book Antiqua"/>
        </w:rPr>
        <w:t xml:space="preserve">, Buis CI, Porte RJ, van der Jagt EJ, Limburg AJ, van den Berg AP, Slooff MJ, Peeters PM, de Jong KP, Kleibeuker JH, Haagsma EB. Anastomotic biliary strictures after liver transplantation: causes and consequences. </w:t>
      </w:r>
      <w:r w:rsidRPr="004A5F47">
        <w:rPr>
          <w:rFonts w:ascii="Book Antiqua" w:hAnsi="Book Antiqua"/>
          <w:i/>
          <w:iCs/>
        </w:rPr>
        <w:t>Liver Transpl</w:t>
      </w:r>
      <w:r w:rsidRPr="004A5F47">
        <w:rPr>
          <w:rFonts w:ascii="Book Antiqua" w:hAnsi="Book Antiqua"/>
        </w:rPr>
        <w:t xml:space="preserve"> 2006; </w:t>
      </w:r>
      <w:r w:rsidRPr="004A5F47">
        <w:rPr>
          <w:rFonts w:ascii="Book Antiqua" w:hAnsi="Book Antiqua"/>
          <w:b/>
          <w:bCs/>
        </w:rPr>
        <w:t>12</w:t>
      </w:r>
      <w:r w:rsidRPr="004A5F47">
        <w:rPr>
          <w:rFonts w:ascii="Book Antiqua" w:hAnsi="Book Antiqua"/>
        </w:rPr>
        <w:t>: 726-735 [PMID: 16628689 DOI: 10.1002/Lt.20714]</w:t>
      </w:r>
    </w:p>
    <w:p w14:paraId="71D09D94"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13 </w:t>
      </w:r>
      <w:r w:rsidRPr="004A5F47">
        <w:rPr>
          <w:rFonts w:ascii="Book Antiqua" w:hAnsi="Book Antiqua"/>
          <w:b/>
          <w:bCs/>
        </w:rPr>
        <w:t>Jay CL</w:t>
      </w:r>
      <w:r w:rsidRPr="004A5F47">
        <w:rPr>
          <w:rFonts w:ascii="Book Antiqua" w:hAnsi="Book Antiqua"/>
        </w:rPr>
        <w:t xml:space="preserve">, Lyuksemburg V, Ladner DP, Wang E, Caicedo JC, Holl JL, Abecassis MM, Skaro AI. Ischemic cholangiopathy after controlled donation after cardiac death liver transplantation: a meta-analysis. </w:t>
      </w:r>
      <w:r w:rsidRPr="004A5F47">
        <w:rPr>
          <w:rFonts w:ascii="Book Antiqua" w:hAnsi="Book Antiqua"/>
          <w:i/>
          <w:iCs/>
        </w:rPr>
        <w:t>Ann Surg</w:t>
      </w:r>
      <w:r w:rsidRPr="004A5F47">
        <w:rPr>
          <w:rFonts w:ascii="Book Antiqua" w:hAnsi="Book Antiqua"/>
        </w:rPr>
        <w:t xml:space="preserve"> 2011; </w:t>
      </w:r>
      <w:r w:rsidRPr="004A5F47">
        <w:rPr>
          <w:rFonts w:ascii="Book Antiqua" w:hAnsi="Book Antiqua"/>
          <w:b/>
          <w:bCs/>
        </w:rPr>
        <w:t>253</w:t>
      </w:r>
      <w:r w:rsidRPr="004A5F47">
        <w:rPr>
          <w:rFonts w:ascii="Book Antiqua" w:hAnsi="Book Antiqua"/>
        </w:rPr>
        <w:t>: 259-264 [PMID: 21245668 DOI: 10.1097/SLA.0b013e318204e658]</w:t>
      </w:r>
    </w:p>
    <w:p w14:paraId="6B3A1CD1"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14 </w:t>
      </w:r>
      <w:r w:rsidRPr="004A5F47">
        <w:rPr>
          <w:rFonts w:ascii="Book Antiqua" w:hAnsi="Book Antiqua"/>
          <w:b/>
          <w:bCs/>
        </w:rPr>
        <w:t>Foley DP</w:t>
      </w:r>
      <w:r w:rsidRPr="004A5F47">
        <w:rPr>
          <w:rFonts w:ascii="Book Antiqua" w:hAnsi="Book Antiqua"/>
        </w:rPr>
        <w:t xml:space="preserve">, Fernandez LA, Leverson G, Anderson M, Mezrich J, Sollinger HW, D'Alessandro A. Biliary complications after liver transplantation from donation after cardiac death donors: an analysis of risk factors and long-term outcomes from a single center. </w:t>
      </w:r>
      <w:r w:rsidRPr="004A5F47">
        <w:rPr>
          <w:rFonts w:ascii="Book Antiqua" w:hAnsi="Book Antiqua"/>
          <w:i/>
          <w:iCs/>
        </w:rPr>
        <w:t>Ann Surg</w:t>
      </w:r>
      <w:r w:rsidRPr="004A5F47">
        <w:rPr>
          <w:rFonts w:ascii="Book Antiqua" w:hAnsi="Book Antiqua"/>
        </w:rPr>
        <w:t xml:space="preserve"> 2011; </w:t>
      </w:r>
      <w:r w:rsidRPr="004A5F47">
        <w:rPr>
          <w:rFonts w:ascii="Book Antiqua" w:hAnsi="Book Antiqua"/>
          <w:b/>
          <w:bCs/>
        </w:rPr>
        <w:t>253</w:t>
      </w:r>
      <w:r w:rsidRPr="004A5F47">
        <w:rPr>
          <w:rFonts w:ascii="Book Antiqua" w:hAnsi="Book Antiqua"/>
        </w:rPr>
        <w:t>: 817-825 [PMID: 21475025 DOI: 10.1097/SLA.0b013e3182104784]</w:t>
      </w:r>
    </w:p>
    <w:p w14:paraId="2F7066E7"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15 </w:t>
      </w:r>
      <w:r w:rsidRPr="004A5F47">
        <w:rPr>
          <w:rFonts w:ascii="Book Antiqua" w:hAnsi="Book Antiqua"/>
          <w:b/>
          <w:bCs/>
        </w:rPr>
        <w:t>Schlegel A</w:t>
      </w:r>
      <w:r w:rsidRPr="004A5F47">
        <w:rPr>
          <w:rFonts w:ascii="Book Antiqua" w:hAnsi="Book Antiqua"/>
        </w:rPr>
        <w:t xml:space="preserve">, Porte R, Dutkowski P. Protective mechanisms and current clinical evidence of hypothermic oxygenated machine perfusion (HOPE) in preventing post-transplant cholangiopathy. </w:t>
      </w:r>
      <w:r w:rsidRPr="004A5F47">
        <w:rPr>
          <w:rFonts w:ascii="Book Antiqua" w:hAnsi="Book Antiqua"/>
          <w:i/>
          <w:iCs/>
        </w:rPr>
        <w:t>J Hepatol</w:t>
      </w:r>
      <w:r w:rsidRPr="004A5F47">
        <w:rPr>
          <w:rFonts w:ascii="Book Antiqua" w:hAnsi="Book Antiqua"/>
        </w:rPr>
        <w:t xml:space="preserve"> 2022; </w:t>
      </w:r>
      <w:r w:rsidRPr="004A5F47">
        <w:rPr>
          <w:rFonts w:ascii="Book Antiqua" w:hAnsi="Book Antiqua"/>
          <w:b/>
          <w:bCs/>
        </w:rPr>
        <w:t>76</w:t>
      </w:r>
      <w:r w:rsidRPr="004A5F47">
        <w:rPr>
          <w:rFonts w:ascii="Book Antiqua" w:hAnsi="Book Antiqua"/>
        </w:rPr>
        <w:t>: 1330-1347 [PMID: 35589254 DOI: 10.1016/j.jhep.2022.01.024]</w:t>
      </w:r>
    </w:p>
    <w:p w14:paraId="062871D4"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16 </w:t>
      </w:r>
      <w:r w:rsidRPr="004A5F47">
        <w:rPr>
          <w:rFonts w:ascii="Book Antiqua" w:hAnsi="Book Antiqua"/>
          <w:b/>
          <w:bCs/>
        </w:rPr>
        <w:t>Buis CI</w:t>
      </w:r>
      <w:r w:rsidRPr="004A5F47">
        <w:rPr>
          <w:rFonts w:ascii="Book Antiqua" w:hAnsi="Book Antiqua"/>
        </w:rPr>
        <w:t xml:space="preserve">, Verdonk RC, Van der Jagt EJ, van der Hilst CS, Slooff MJ, Haagsma EB, Porte RJ. Nonanastomotic biliary strictures after liver transplantation, part 1: Radiological features and risk factors for early vs. late presentation. </w:t>
      </w:r>
      <w:r w:rsidRPr="004A5F47">
        <w:rPr>
          <w:rFonts w:ascii="Book Antiqua" w:hAnsi="Book Antiqua"/>
          <w:i/>
          <w:iCs/>
        </w:rPr>
        <w:t>Liver Transpl</w:t>
      </w:r>
      <w:r w:rsidRPr="004A5F47">
        <w:rPr>
          <w:rFonts w:ascii="Book Antiqua" w:hAnsi="Book Antiqua"/>
        </w:rPr>
        <w:t xml:space="preserve"> 2007; </w:t>
      </w:r>
      <w:r w:rsidRPr="004A5F47">
        <w:rPr>
          <w:rFonts w:ascii="Book Antiqua" w:hAnsi="Book Antiqua"/>
          <w:b/>
          <w:bCs/>
        </w:rPr>
        <w:t>13</w:t>
      </w:r>
      <w:r w:rsidRPr="004A5F47">
        <w:rPr>
          <w:rFonts w:ascii="Book Antiqua" w:hAnsi="Book Antiqua"/>
        </w:rPr>
        <w:t>: 708-718 [PMID: 17457932 DOI: 10.1002/Lt.21166]</w:t>
      </w:r>
    </w:p>
    <w:p w14:paraId="58A3978C"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17 </w:t>
      </w:r>
      <w:r w:rsidRPr="004A5F47">
        <w:rPr>
          <w:rFonts w:ascii="Book Antiqua" w:hAnsi="Book Antiqua"/>
          <w:b/>
          <w:bCs/>
        </w:rPr>
        <w:t>Croome KP</w:t>
      </w:r>
      <w:r w:rsidRPr="004A5F47">
        <w:rPr>
          <w:rFonts w:ascii="Book Antiqua" w:hAnsi="Book Antiqua"/>
        </w:rPr>
        <w:t xml:space="preserve">, Mathur AK, Aqel B, Yang L, Taner T, Heimbach JK, Rosen CB, Paz-Fumagalli R, Taner CB. Classification of Distinct Patterns of Ischemic Cholangiopathy Following DCD Liver Transplantation: Distinct Clinical Courses and Long-term </w:t>
      </w:r>
      <w:r w:rsidRPr="004A5F47">
        <w:rPr>
          <w:rFonts w:ascii="Book Antiqua" w:hAnsi="Book Antiqua"/>
        </w:rPr>
        <w:lastRenderedPageBreak/>
        <w:t xml:space="preserve">Outcomes From a Multicenter Cohort. </w:t>
      </w:r>
      <w:r w:rsidRPr="004A5F47">
        <w:rPr>
          <w:rFonts w:ascii="Book Antiqua" w:hAnsi="Book Antiqua"/>
          <w:i/>
          <w:iCs/>
        </w:rPr>
        <w:t>Transplantation</w:t>
      </w:r>
      <w:r w:rsidRPr="004A5F47">
        <w:rPr>
          <w:rFonts w:ascii="Book Antiqua" w:hAnsi="Book Antiqua"/>
        </w:rPr>
        <w:t xml:space="preserve"> 2022; </w:t>
      </w:r>
      <w:r w:rsidRPr="004A5F47">
        <w:rPr>
          <w:rFonts w:ascii="Book Antiqua" w:hAnsi="Book Antiqua"/>
          <w:b/>
          <w:bCs/>
        </w:rPr>
        <w:t>106</w:t>
      </w:r>
      <w:r w:rsidRPr="004A5F47">
        <w:rPr>
          <w:rFonts w:ascii="Book Antiqua" w:hAnsi="Book Antiqua"/>
        </w:rPr>
        <w:t>: 1206-1214 [PMID: 34468429 DOI: 10.1097/TP.0000000000003928]</w:t>
      </w:r>
    </w:p>
    <w:p w14:paraId="16F9C548" w14:textId="77777777" w:rsidR="00AD0097" w:rsidRPr="00815C0F" w:rsidRDefault="00AD0097" w:rsidP="00265460">
      <w:pPr>
        <w:spacing w:line="360" w:lineRule="auto"/>
        <w:jc w:val="both"/>
        <w:rPr>
          <w:rFonts w:ascii="Book Antiqua" w:hAnsi="Book Antiqua"/>
        </w:rPr>
      </w:pPr>
      <w:r w:rsidRPr="004A5F47">
        <w:rPr>
          <w:rFonts w:ascii="Book Antiqua" w:hAnsi="Book Antiqua"/>
        </w:rPr>
        <w:t xml:space="preserve">18 </w:t>
      </w:r>
      <w:r w:rsidRPr="004A5F47">
        <w:rPr>
          <w:rFonts w:ascii="Book Antiqua" w:hAnsi="Book Antiqua"/>
          <w:b/>
          <w:bCs/>
        </w:rPr>
        <w:t>Op den Dries S</w:t>
      </w:r>
      <w:r w:rsidRPr="004A5F47">
        <w:rPr>
          <w:rFonts w:ascii="Book Antiqua" w:hAnsi="Book Antiqua"/>
        </w:rPr>
        <w:t xml:space="preserve">, Sutton ME, Lisman T, Porte RJ. Protection of bile ducts in liver transplantation: looking beyond ischemia. </w:t>
      </w:r>
      <w:r w:rsidRPr="00815C0F">
        <w:rPr>
          <w:rFonts w:ascii="Book Antiqua" w:hAnsi="Book Antiqua"/>
          <w:i/>
          <w:iCs/>
        </w:rPr>
        <w:t>Transplantation</w:t>
      </w:r>
      <w:r w:rsidRPr="00815C0F">
        <w:rPr>
          <w:rFonts w:ascii="Book Antiqua" w:hAnsi="Book Antiqua"/>
        </w:rPr>
        <w:t xml:space="preserve"> 2011; </w:t>
      </w:r>
      <w:r w:rsidRPr="00815C0F">
        <w:rPr>
          <w:rFonts w:ascii="Book Antiqua" w:hAnsi="Book Antiqua"/>
          <w:b/>
          <w:bCs/>
        </w:rPr>
        <w:t>92</w:t>
      </w:r>
      <w:r w:rsidRPr="00815C0F">
        <w:rPr>
          <w:rFonts w:ascii="Book Antiqua" w:hAnsi="Book Antiqua"/>
        </w:rPr>
        <w:t>: 373-379 [PMID: 21629175 DOI: 10.1097/TP.0b013e318223a384]</w:t>
      </w:r>
    </w:p>
    <w:p w14:paraId="07121275" w14:textId="77777777" w:rsidR="00AD0097" w:rsidRPr="004A5F47" w:rsidRDefault="00AD0097" w:rsidP="00265460">
      <w:pPr>
        <w:spacing w:line="360" w:lineRule="auto"/>
        <w:jc w:val="both"/>
        <w:rPr>
          <w:rFonts w:ascii="Book Antiqua" w:hAnsi="Book Antiqua"/>
        </w:rPr>
      </w:pPr>
      <w:r w:rsidRPr="00815C0F">
        <w:rPr>
          <w:rFonts w:ascii="Book Antiqua" w:hAnsi="Book Antiqua"/>
        </w:rPr>
        <w:t xml:space="preserve">19 </w:t>
      </w:r>
      <w:r w:rsidRPr="00815C0F">
        <w:rPr>
          <w:rFonts w:ascii="Book Antiqua" w:hAnsi="Book Antiqua"/>
          <w:b/>
          <w:bCs/>
        </w:rPr>
        <w:t>de Vries Y</w:t>
      </w:r>
      <w:r w:rsidRPr="00815C0F">
        <w:rPr>
          <w:rFonts w:ascii="Book Antiqua" w:hAnsi="Book Antiqua"/>
        </w:rPr>
        <w:t xml:space="preserve">, von Meijenfeldt FA, Porte RJ. </w:t>
      </w:r>
      <w:r w:rsidRPr="004A5F47">
        <w:rPr>
          <w:rFonts w:ascii="Book Antiqua" w:hAnsi="Book Antiqua"/>
        </w:rPr>
        <w:t xml:space="preserve">Post-transplant cholangiopathy: Classification, pathogenesis, and preventive strategies. </w:t>
      </w:r>
      <w:r w:rsidRPr="004A5F47">
        <w:rPr>
          <w:rFonts w:ascii="Book Antiqua" w:hAnsi="Book Antiqua"/>
          <w:i/>
          <w:iCs/>
        </w:rPr>
        <w:t>Biochim Biophys Acta Mol Basis Dis</w:t>
      </w:r>
      <w:r w:rsidRPr="004A5F47">
        <w:rPr>
          <w:rFonts w:ascii="Book Antiqua" w:hAnsi="Book Antiqua"/>
        </w:rPr>
        <w:t xml:space="preserve"> 2018; </w:t>
      </w:r>
      <w:r w:rsidRPr="004A5F47">
        <w:rPr>
          <w:rFonts w:ascii="Book Antiqua" w:hAnsi="Book Antiqua"/>
          <w:b/>
          <w:bCs/>
        </w:rPr>
        <w:t>1864</w:t>
      </w:r>
      <w:r w:rsidRPr="004A5F47">
        <w:rPr>
          <w:rFonts w:ascii="Book Antiqua" w:hAnsi="Book Antiqua"/>
        </w:rPr>
        <w:t>: 1507-1515 [PMID: 28645651 DOI: 10.1016/j.bbadis.2017.06.013]</w:t>
      </w:r>
    </w:p>
    <w:p w14:paraId="5B5AC7ED"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20 </w:t>
      </w:r>
      <w:r w:rsidRPr="004A5F47">
        <w:rPr>
          <w:rFonts w:ascii="Book Antiqua" w:hAnsi="Book Antiqua"/>
          <w:b/>
          <w:bCs/>
        </w:rPr>
        <w:t>O'Neill S</w:t>
      </w:r>
      <w:r w:rsidRPr="004A5F47">
        <w:rPr>
          <w:rFonts w:ascii="Book Antiqua" w:hAnsi="Book Antiqua"/>
        </w:rPr>
        <w:t xml:space="preserve">, Roebuck A, Khoo E, Wigmore SJ, Harrison EM. A meta-analysis and meta-regression of outcomes including biliary complications in donation after cardiac death liver transplantation. </w:t>
      </w:r>
      <w:r w:rsidRPr="004A5F47">
        <w:rPr>
          <w:rFonts w:ascii="Book Antiqua" w:hAnsi="Book Antiqua"/>
          <w:i/>
          <w:iCs/>
        </w:rPr>
        <w:t>Transpl Int</w:t>
      </w:r>
      <w:r w:rsidRPr="004A5F47">
        <w:rPr>
          <w:rFonts w:ascii="Book Antiqua" w:hAnsi="Book Antiqua"/>
        </w:rPr>
        <w:t xml:space="preserve"> 2014; </w:t>
      </w:r>
      <w:r w:rsidRPr="004A5F47">
        <w:rPr>
          <w:rFonts w:ascii="Book Antiqua" w:hAnsi="Book Antiqua"/>
          <w:b/>
          <w:bCs/>
        </w:rPr>
        <w:t>27</w:t>
      </w:r>
      <w:r w:rsidRPr="004A5F47">
        <w:rPr>
          <w:rFonts w:ascii="Book Antiqua" w:hAnsi="Book Antiqua"/>
        </w:rPr>
        <w:t>: 1159-1174 [PMID: 25052036 DOI: 10.1111/tri.12403]</w:t>
      </w:r>
    </w:p>
    <w:p w14:paraId="44B4BC7E"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21 </w:t>
      </w:r>
      <w:r w:rsidRPr="004A5F47">
        <w:rPr>
          <w:rFonts w:ascii="Book Antiqua" w:hAnsi="Book Antiqua"/>
          <w:b/>
          <w:bCs/>
        </w:rPr>
        <w:t>Laing RW</w:t>
      </w:r>
      <w:r w:rsidRPr="004A5F47">
        <w:rPr>
          <w:rFonts w:ascii="Book Antiqua" w:hAnsi="Book Antiqua"/>
        </w:rPr>
        <w:t xml:space="preserve">, Scalera I, Isaac J, Mergental H, Mirza DF, Hodson J, Wilkin RJ, Perera MT, Muiesan P. Liver Transplantation Using Grafts From Donors After Circulatory Death: A Propensity Score-Matched Study From a Single Center. </w:t>
      </w:r>
      <w:r w:rsidRPr="004A5F47">
        <w:rPr>
          <w:rFonts w:ascii="Book Antiqua" w:hAnsi="Book Antiqua"/>
          <w:i/>
          <w:iCs/>
        </w:rPr>
        <w:t>Am J Transplant</w:t>
      </w:r>
      <w:r w:rsidRPr="004A5F47">
        <w:rPr>
          <w:rFonts w:ascii="Book Antiqua" w:hAnsi="Book Antiqua"/>
        </w:rPr>
        <w:t xml:space="preserve"> 2016; </w:t>
      </w:r>
      <w:r w:rsidRPr="004A5F47">
        <w:rPr>
          <w:rFonts w:ascii="Book Antiqua" w:hAnsi="Book Antiqua"/>
          <w:b/>
          <w:bCs/>
        </w:rPr>
        <w:t>16</w:t>
      </w:r>
      <w:r w:rsidRPr="004A5F47">
        <w:rPr>
          <w:rFonts w:ascii="Book Antiqua" w:hAnsi="Book Antiqua"/>
        </w:rPr>
        <w:t>: 1795-1804 [PMID: 26725645 DOI: 10.1111/ajt.13699]</w:t>
      </w:r>
    </w:p>
    <w:p w14:paraId="64B00F1A"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22 </w:t>
      </w:r>
      <w:r w:rsidRPr="004A5F47">
        <w:rPr>
          <w:rFonts w:ascii="Book Antiqua" w:hAnsi="Book Antiqua"/>
          <w:b/>
          <w:bCs/>
        </w:rPr>
        <w:t>Lamireau T</w:t>
      </w:r>
      <w:r w:rsidRPr="004A5F47">
        <w:rPr>
          <w:rFonts w:ascii="Book Antiqua" w:hAnsi="Book Antiqua"/>
        </w:rPr>
        <w:t xml:space="preserve">, Zoltowska M, Levy E, Yousef I, Rosenbaum J, Tuchweber B, Desmoulière A. Effects of bile acids on biliary epithelial cells: proliferation, cytotoxicity, and cytokine secretion. </w:t>
      </w:r>
      <w:r w:rsidRPr="004A5F47">
        <w:rPr>
          <w:rFonts w:ascii="Book Antiqua" w:hAnsi="Book Antiqua"/>
          <w:i/>
          <w:iCs/>
        </w:rPr>
        <w:t>Life Sci</w:t>
      </w:r>
      <w:r w:rsidRPr="004A5F47">
        <w:rPr>
          <w:rFonts w:ascii="Book Antiqua" w:hAnsi="Book Antiqua"/>
        </w:rPr>
        <w:t xml:space="preserve"> 2003; </w:t>
      </w:r>
      <w:r w:rsidRPr="004A5F47">
        <w:rPr>
          <w:rFonts w:ascii="Book Antiqua" w:hAnsi="Book Antiqua"/>
          <w:b/>
          <w:bCs/>
        </w:rPr>
        <w:t>72</w:t>
      </w:r>
      <w:r w:rsidRPr="004A5F47">
        <w:rPr>
          <w:rFonts w:ascii="Book Antiqua" w:hAnsi="Book Antiqua"/>
        </w:rPr>
        <w:t>: 1401-1411 [PMID: 12527037 DOI: 10.1016/s0024-3205(02)02408-6]</w:t>
      </w:r>
    </w:p>
    <w:p w14:paraId="514056C6"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23 </w:t>
      </w:r>
      <w:r w:rsidRPr="004A5F47">
        <w:rPr>
          <w:rFonts w:ascii="Book Antiqua" w:hAnsi="Book Antiqua"/>
          <w:b/>
          <w:bCs/>
        </w:rPr>
        <w:t>Knoop M</w:t>
      </w:r>
      <w:r w:rsidRPr="004A5F47">
        <w:rPr>
          <w:rFonts w:ascii="Book Antiqua" w:hAnsi="Book Antiqua"/>
        </w:rPr>
        <w:t xml:space="preserve">, Schnoy N, Keck H, Neuhaus P. Morphological changes of human common bile ducts after extended cold preservation. </w:t>
      </w:r>
      <w:r w:rsidRPr="004A5F47">
        <w:rPr>
          <w:rFonts w:ascii="Book Antiqua" w:hAnsi="Book Antiqua"/>
          <w:i/>
          <w:iCs/>
        </w:rPr>
        <w:t>Transplantation</w:t>
      </w:r>
      <w:r w:rsidRPr="004A5F47">
        <w:rPr>
          <w:rFonts w:ascii="Book Antiqua" w:hAnsi="Book Antiqua"/>
        </w:rPr>
        <w:t xml:space="preserve"> 1993; </w:t>
      </w:r>
      <w:r w:rsidRPr="004A5F47">
        <w:rPr>
          <w:rFonts w:ascii="Book Antiqua" w:hAnsi="Book Antiqua"/>
          <w:b/>
          <w:bCs/>
        </w:rPr>
        <w:t>56</w:t>
      </w:r>
      <w:r w:rsidRPr="004A5F47">
        <w:rPr>
          <w:rFonts w:ascii="Book Antiqua" w:hAnsi="Book Antiqua"/>
        </w:rPr>
        <w:t>: 1572-1573 [PMID: 8279043]</w:t>
      </w:r>
    </w:p>
    <w:p w14:paraId="2C4DCD36" w14:textId="77777777" w:rsidR="00AD0097" w:rsidRPr="004A5F47" w:rsidRDefault="00AD0097" w:rsidP="00265460">
      <w:pPr>
        <w:spacing w:line="360" w:lineRule="auto"/>
        <w:jc w:val="both"/>
        <w:rPr>
          <w:rFonts w:ascii="Book Antiqua" w:hAnsi="Book Antiqua"/>
        </w:rPr>
      </w:pPr>
      <w:r w:rsidRPr="00815C0F">
        <w:rPr>
          <w:rFonts w:ascii="Book Antiqua" w:hAnsi="Book Antiqua"/>
        </w:rPr>
        <w:t xml:space="preserve">24 </w:t>
      </w:r>
      <w:r w:rsidRPr="00815C0F">
        <w:rPr>
          <w:rFonts w:ascii="Book Antiqua" w:hAnsi="Book Antiqua"/>
          <w:b/>
          <w:bCs/>
        </w:rPr>
        <w:t>Buis CI</w:t>
      </w:r>
      <w:r w:rsidRPr="00815C0F">
        <w:rPr>
          <w:rFonts w:ascii="Book Antiqua" w:hAnsi="Book Antiqua"/>
        </w:rPr>
        <w:t xml:space="preserve">, Geuken E, Visser DS, Kuipers F, Haagsma EB, Verkade HJ, Porte RJ. </w:t>
      </w:r>
      <w:r w:rsidRPr="004A5F47">
        <w:rPr>
          <w:rFonts w:ascii="Book Antiqua" w:hAnsi="Book Antiqua"/>
        </w:rPr>
        <w:t xml:space="preserve">Altered bile composition after liver transplantation is associated with the development of nonanastomotic biliary strictures. </w:t>
      </w:r>
      <w:r w:rsidRPr="004A5F47">
        <w:rPr>
          <w:rFonts w:ascii="Book Antiqua" w:hAnsi="Book Antiqua"/>
          <w:i/>
          <w:iCs/>
        </w:rPr>
        <w:t>J Hepatol</w:t>
      </w:r>
      <w:r w:rsidRPr="004A5F47">
        <w:rPr>
          <w:rFonts w:ascii="Book Antiqua" w:hAnsi="Book Antiqua"/>
        </w:rPr>
        <w:t xml:space="preserve"> 2009; </w:t>
      </w:r>
      <w:r w:rsidRPr="004A5F47">
        <w:rPr>
          <w:rFonts w:ascii="Book Antiqua" w:hAnsi="Book Antiqua"/>
          <w:b/>
          <w:bCs/>
        </w:rPr>
        <w:t>50</w:t>
      </w:r>
      <w:r w:rsidRPr="004A5F47">
        <w:rPr>
          <w:rFonts w:ascii="Book Antiqua" w:hAnsi="Book Antiqua"/>
        </w:rPr>
        <w:t>: 69-79 [PMID: 19012987 DOI: 10.1016/j.jhep.2008.07.032]</w:t>
      </w:r>
    </w:p>
    <w:p w14:paraId="3FC65DF2"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25 </w:t>
      </w:r>
      <w:r w:rsidRPr="004A5F47">
        <w:rPr>
          <w:rFonts w:ascii="Book Antiqua" w:hAnsi="Book Antiqua"/>
          <w:b/>
          <w:bCs/>
        </w:rPr>
        <w:t>Geuken E</w:t>
      </w:r>
      <w:r w:rsidRPr="004A5F47">
        <w:rPr>
          <w:rFonts w:ascii="Book Antiqua" w:hAnsi="Book Antiqua"/>
        </w:rPr>
        <w:t xml:space="preserve">, Visser D, Kuipers F, Blokzijl H, Leuvenink HG, de Jong KP, Peeters PM, Jansen PL, Slooff MJ, Gouw AS, Porte RJ. Rapid increase of bile salt secretion is associated </w:t>
      </w:r>
      <w:r w:rsidRPr="004A5F47">
        <w:rPr>
          <w:rFonts w:ascii="Book Antiqua" w:hAnsi="Book Antiqua"/>
        </w:rPr>
        <w:lastRenderedPageBreak/>
        <w:t xml:space="preserve">with bile duct injury after human liver transplantation. </w:t>
      </w:r>
      <w:r w:rsidRPr="004A5F47">
        <w:rPr>
          <w:rFonts w:ascii="Book Antiqua" w:hAnsi="Book Antiqua"/>
          <w:i/>
          <w:iCs/>
        </w:rPr>
        <w:t>J Hepatol</w:t>
      </w:r>
      <w:r w:rsidRPr="004A5F47">
        <w:rPr>
          <w:rFonts w:ascii="Book Antiqua" w:hAnsi="Book Antiqua"/>
        </w:rPr>
        <w:t xml:space="preserve"> 2004; </w:t>
      </w:r>
      <w:r w:rsidRPr="004A5F47">
        <w:rPr>
          <w:rFonts w:ascii="Book Antiqua" w:hAnsi="Book Antiqua"/>
          <w:b/>
          <w:bCs/>
        </w:rPr>
        <w:t>41</w:t>
      </w:r>
      <w:r w:rsidRPr="004A5F47">
        <w:rPr>
          <w:rFonts w:ascii="Book Antiqua" w:hAnsi="Book Antiqua"/>
        </w:rPr>
        <w:t>: 1017-1025 [PMID: 15582136 DOI: 10.1016/j.jhep.2004.08.023]</w:t>
      </w:r>
    </w:p>
    <w:p w14:paraId="380ED1C6"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26 </w:t>
      </w:r>
      <w:r w:rsidRPr="004A5F47">
        <w:rPr>
          <w:rFonts w:ascii="Book Antiqua" w:hAnsi="Book Antiqua"/>
          <w:b/>
          <w:bCs/>
        </w:rPr>
        <w:t>Cursio R</w:t>
      </w:r>
      <w:r w:rsidRPr="004A5F47">
        <w:rPr>
          <w:rFonts w:ascii="Book Antiqua" w:hAnsi="Book Antiqua"/>
        </w:rPr>
        <w:t xml:space="preserve">, Gugenheim J. Ischemia-Reperfusion Injury and Ischemic-Type Biliary Lesions following Liver Transplantation. </w:t>
      </w:r>
      <w:r w:rsidRPr="004A5F47">
        <w:rPr>
          <w:rFonts w:ascii="Book Antiqua" w:hAnsi="Book Antiqua"/>
          <w:i/>
          <w:iCs/>
        </w:rPr>
        <w:t>J Transplant</w:t>
      </w:r>
      <w:r w:rsidRPr="004A5F47">
        <w:rPr>
          <w:rFonts w:ascii="Book Antiqua" w:hAnsi="Book Antiqua"/>
        </w:rPr>
        <w:t xml:space="preserve"> 2012; </w:t>
      </w:r>
      <w:r w:rsidRPr="004A5F47">
        <w:rPr>
          <w:rFonts w:ascii="Book Antiqua" w:hAnsi="Book Antiqua"/>
          <w:b/>
          <w:bCs/>
        </w:rPr>
        <w:t>2012</w:t>
      </w:r>
      <w:r w:rsidRPr="004A5F47">
        <w:rPr>
          <w:rFonts w:ascii="Book Antiqua" w:hAnsi="Book Antiqua"/>
        </w:rPr>
        <w:t>: 164329 [PMID: 22530107 DOI: 10.1155/2012/164329]</w:t>
      </w:r>
    </w:p>
    <w:p w14:paraId="2B926FFF"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27 </w:t>
      </w:r>
      <w:r w:rsidRPr="004A5F47">
        <w:rPr>
          <w:rFonts w:ascii="Book Antiqua" w:hAnsi="Book Antiqua"/>
          <w:b/>
          <w:bCs/>
        </w:rPr>
        <w:t>Ramírez-Del Val A</w:t>
      </w:r>
      <w:r w:rsidRPr="004A5F47">
        <w:rPr>
          <w:rFonts w:ascii="Book Antiqua" w:hAnsi="Book Antiqua"/>
        </w:rPr>
        <w:t xml:space="preserve">, Guarrera J, Porte RJ, Selzner M, Spiro M, Raptis DA, Friend PJ, Nasralla D; ERAS4OLT.org Working Group. Does machine perfusion improve immediate and short-term outcomes by enhancing graft function and recipient recovery after liver transplantation? A systematic review of the literature, meta-analysis and expert panel recommendations. </w:t>
      </w:r>
      <w:r w:rsidRPr="004A5F47">
        <w:rPr>
          <w:rFonts w:ascii="Book Antiqua" w:hAnsi="Book Antiqua"/>
          <w:i/>
          <w:iCs/>
        </w:rPr>
        <w:t>Clin Transplant</w:t>
      </w:r>
      <w:r w:rsidRPr="004A5F47">
        <w:rPr>
          <w:rFonts w:ascii="Book Antiqua" w:hAnsi="Book Antiqua"/>
        </w:rPr>
        <w:t xml:space="preserve"> 2022; </w:t>
      </w:r>
      <w:r w:rsidRPr="004A5F47">
        <w:rPr>
          <w:rFonts w:ascii="Book Antiqua" w:hAnsi="Book Antiqua"/>
          <w:b/>
          <w:bCs/>
        </w:rPr>
        <w:t>36</w:t>
      </w:r>
      <w:r w:rsidRPr="004A5F47">
        <w:rPr>
          <w:rFonts w:ascii="Book Antiqua" w:hAnsi="Book Antiqua"/>
        </w:rPr>
        <w:t>: e14638 [PMID: 35279883 DOI: 10.1111/ctr.14638]</w:t>
      </w:r>
    </w:p>
    <w:p w14:paraId="2BDF6606"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28 </w:t>
      </w:r>
      <w:r w:rsidRPr="004A5F47">
        <w:rPr>
          <w:rFonts w:ascii="Book Antiqua" w:hAnsi="Book Antiqua"/>
          <w:b/>
          <w:bCs/>
        </w:rPr>
        <w:t>Melandro F</w:t>
      </w:r>
      <w:r w:rsidRPr="004A5F47">
        <w:rPr>
          <w:rFonts w:ascii="Book Antiqua" w:hAnsi="Book Antiqua"/>
        </w:rPr>
        <w:t xml:space="preserve">, Basta G, Torri F, Biancofiore G, Del Turco S, Orlando F, Guarracino F, Maremmani P, Lazzeri C, Peris A, De Simone P, Ghinolfi D. Normothermic regional perfusion in liver transplantation from donation after cardiocirculatory death: Technical, biochemical, and regulatory aspects and review of literature. </w:t>
      </w:r>
      <w:r w:rsidRPr="004A5F47">
        <w:rPr>
          <w:rFonts w:ascii="Book Antiqua" w:hAnsi="Book Antiqua"/>
          <w:i/>
          <w:iCs/>
        </w:rPr>
        <w:t>Artif Organs</w:t>
      </w:r>
      <w:r w:rsidRPr="004A5F47">
        <w:rPr>
          <w:rFonts w:ascii="Book Antiqua" w:hAnsi="Book Antiqua"/>
        </w:rPr>
        <w:t xml:space="preserve"> 2022; </w:t>
      </w:r>
      <w:r w:rsidRPr="004A5F47">
        <w:rPr>
          <w:rFonts w:ascii="Book Antiqua" w:hAnsi="Book Antiqua"/>
          <w:b/>
          <w:bCs/>
        </w:rPr>
        <w:t>46</w:t>
      </w:r>
      <w:r w:rsidRPr="004A5F47">
        <w:rPr>
          <w:rFonts w:ascii="Book Antiqua" w:hAnsi="Book Antiqua"/>
        </w:rPr>
        <w:t>: 1727-1740 [PMID: 35733227 DOI: 10.1111/aor.14330]</w:t>
      </w:r>
    </w:p>
    <w:p w14:paraId="3459CC99"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29 </w:t>
      </w:r>
      <w:r w:rsidRPr="004A5F47">
        <w:rPr>
          <w:rFonts w:ascii="Book Antiqua" w:hAnsi="Book Antiqua"/>
          <w:b/>
          <w:bCs/>
        </w:rPr>
        <w:t>Abdel-Misih SR</w:t>
      </w:r>
      <w:r w:rsidRPr="004A5F47">
        <w:rPr>
          <w:rFonts w:ascii="Book Antiqua" w:hAnsi="Book Antiqua"/>
        </w:rPr>
        <w:t xml:space="preserve">, Wei L, Benson AB 3rd, Cohen S, Lai L, Skibber J, Wilkinson N, Weiser M, Schrag D, Bekaii-Saab T. Neoadjuvant Therapy for Rectal Cancer Affects Lymph Node Yield and Status Without Clear Implications on Outcome: The Case for Eliminating a Metric and Using Preoperative Staging to Guide Therapy. </w:t>
      </w:r>
      <w:r w:rsidRPr="004A5F47">
        <w:rPr>
          <w:rFonts w:ascii="Book Antiqua" w:hAnsi="Book Antiqua"/>
          <w:i/>
          <w:iCs/>
        </w:rPr>
        <w:t>J Natl Compr Canc Netw</w:t>
      </w:r>
      <w:r w:rsidRPr="004A5F47">
        <w:rPr>
          <w:rFonts w:ascii="Book Antiqua" w:hAnsi="Book Antiqua"/>
        </w:rPr>
        <w:t xml:space="preserve"> 2016; </w:t>
      </w:r>
      <w:r w:rsidRPr="004A5F47">
        <w:rPr>
          <w:rFonts w:ascii="Book Antiqua" w:hAnsi="Book Antiqua"/>
          <w:b/>
          <w:bCs/>
        </w:rPr>
        <w:t>14</w:t>
      </w:r>
      <w:r w:rsidRPr="004A5F47">
        <w:rPr>
          <w:rFonts w:ascii="Book Antiqua" w:hAnsi="Book Antiqua"/>
        </w:rPr>
        <w:t>: 1528-1534 [PMID: 27956537 DOI: 10.6004/jnccn.2016.0164]</w:t>
      </w:r>
    </w:p>
    <w:p w14:paraId="740AC9F1"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30 </w:t>
      </w:r>
      <w:r w:rsidRPr="004A5F47">
        <w:rPr>
          <w:rFonts w:ascii="Book Antiqua" w:hAnsi="Book Antiqua"/>
          <w:b/>
          <w:bCs/>
        </w:rPr>
        <w:t>De Carlis L</w:t>
      </w:r>
      <w:r w:rsidRPr="004A5F47">
        <w:rPr>
          <w:rFonts w:ascii="Book Antiqua" w:hAnsi="Book Antiqua"/>
        </w:rPr>
        <w:t xml:space="preserve">, De Carlis R, Lauterio A, Di Sandro S, Ferla F, Zanierato M. Sequential Use of Normothermic Regional Perfusion and Hypothermic Machine Perfusion in Donation After Cardiac Death Liver Transplantation With Extended Warm Ischemia Time. </w:t>
      </w:r>
      <w:r w:rsidRPr="004A5F47">
        <w:rPr>
          <w:rFonts w:ascii="Book Antiqua" w:hAnsi="Book Antiqua"/>
          <w:i/>
          <w:iCs/>
        </w:rPr>
        <w:t>Transplantation</w:t>
      </w:r>
      <w:r w:rsidRPr="004A5F47">
        <w:rPr>
          <w:rFonts w:ascii="Book Antiqua" w:hAnsi="Book Antiqua"/>
        </w:rPr>
        <w:t xml:space="preserve"> 2016; </w:t>
      </w:r>
      <w:r w:rsidRPr="004A5F47">
        <w:rPr>
          <w:rFonts w:ascii="Book Antiqua" w:hAnsi="Book Antiqua"/>
          <w:b/>
          <w:bCs/>
        </w:rPr>
        <w:t>100</w:t>
      </w:r>
      <w:r w:rsidRPr="004A5F47">
        <w:rPr>
          <w:rFonts w:ascii="Book Antiqua" w:hAnsi="Book Antiqua"/>
        </w:rPr>
        <w:t>: e101-e102 [PMID: 27495774 DOI: 10.1097/TP.0000000000001419]</w:t>
      </w:r>
    </w:p>
    <w:p w14:paraId="5CF223E0"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31 </w:t>
      </w:r>
      <w:r w:rsidRPr="004A5F47">
        <w:rPr>
          <w:rFonts w:ascii="Book Antiqua" w:hAnsi="Book Antiqua"/>
          <w:b/>
          <w:bCs/>
        </w:rPr>
        <w:t>Savier E</w:t>
      </w:r>
      <w:r w:rsidRPr="004A5F47">
        <w:rPr>
          <w:rFonts w:ascii="Book Antiqua" w:hAnsi="Book Antiqua"/>
        </w:rPr>
        <w:t xml:space="preserve">, Lim C, Rayar M, Orlando F, Boudjema K, Mohkam K, Lesurtel M, Mabrut JY, Pittau G, Begdadi N, Cherqui D, Adam R, Dondero F, Sepulveda A, Soubrane O, Bucur P, Barbier L, Salame E, Jasseron C, Antoine C, Riou B, Scatton O. Favorable Outcomes of Liver Transplantation from Controlled Circulatory Death Donors Using </w:t>
      </w:r>
      <w:r w:rsidRPr="004A5F47">
        <w:rPr>
          <w:rFonts w:ascii="Book Antiqua" w:hAnsi="Book Antiqua"/>
        </w:rPr>
        <w:lastRenderedPageBreak/>
        <w:t xml:space="preserve">Normothermic Regional Perfusion Compared to Brain Death Donors. </w:t>
      </w:r>
      <w:r w:rsidRPr="004A5F47">
        <w:rPr>
          <w:rFonts w:ascii="Book Antiqua" w:hAnsi="Book Antiqua"/>
          <w:i/>
          <w:iCs/>
        </w:rPr>
        <w:t>Transplantation</w:t>
      </w:r>
      <w:r w:rsidRPr="004A5F47">
        <w:rPr>
          <w:rFonts w:ascii="Book Antiqua" w:hAnsi="Book Antiqua"/>
        </w:rPr>
        <w:t xml:space="preserve"> 2020; </w:t>
      </w:r>
      <w:r w:rsidRPr="004A5F47">
        <w:rPr>
          <w:rFonts w:ascii="Book Antiqua" w:hAnsi="Book Antiqua"/>
          <w:b/>
          <w:bCs/>
        </w:rPr>
        <w:t>104</w:t>
      </w:r>
      <w:r w:rsidRPr="004A5F47">
        <w:rPr>
          <w:rFonts w:ascii="Book Antiqua" w:hAnsi="Book Antiqua"/>
        </w:rPr>
        <w:t>: 1943-1951 [PMID: 32639402 DOI: 10.1097/TP.0000000000003372]</w:t>
      </w:r>
    </w:p>
    <w:p w14:paraId="505735D8" w14:textId="5595FED3" w:rsidR="00AD0097" w:rsidRPr="004A5F47" w:rsidRDefault="00AD0097" w:rsidP="00265460">
      <w:pPr>
        <w:spacing w:line="360" w:lineRule="auto"/>
        <w:jc w:val="both"/>
        <w:rPr>
          <w:rFonts w:ascii="Book Antiqua" w:hAnsi="Book Antiqua"/>
        </w:rPr>
      </w:pPr>
      <w:r w:rsidRPr="004A5F47">
        <w:rPr>
          <w:rFonts w:ascii="Book Antiqua" w:hAnsi="Book Antiqua"/>
        </w:rPr>
        <w:t xml:space="preserve">32 </w:t>
      </w:r>
      <w:r w:rsidRPr="004A5F47">
        <w:rPr>
          <w:rFonts w:ascii="Book Antiqua" w:hAnsi="Book Antiqua"/>
          <w:b/>
        </w:rPr>
        <w:t>Trasplantes ONT</w:t>
      </w:r>
      <w:r w:rsidRPr="004A5F47">
        <w:rPr>
          <w:rFonts w:ascii="Book Antiqua" w:hAnsi="Book Antiqua"/>
        </w:rPr>
        <w:t>. Protocolo nacional de donación y trasplante hepático en donación en asistolia controlada. 2015</w:t>
      </w:r>
      <w:r w:rsidR="008F355C" w:rsidRPr="004A5F47">
        <w:rPr>
          <w:rFonts w:ascii="Book Antiqua" w:hAnsi="Book Antiqua"/>
          <w:lang w:eastAsia="zh-CN"/>
        </w:rPr>
        <w:t>.</w:t>
      </w:r>
      <w:r w:rsidRPr="004A5F47">
        <w:rPr>
          <w:rFonts w:ascii="Book Antiqua" w:hAnsi="Book Antiqua"/>
        </w:rPr>
        <w:t xml:space="preserve"> </w:t>
      </w:r>
      <w:r w:rsidR="008F355C" w:rsidRPr="004A5F47">
        <w:rPr>
          <w:rFonts w:ascii="Book Antiqua" w:hAnsi="Book Antiqua"/>
          <w:lang w:eastAsia="zh-CN"/>
        </w:rPr>
        <w:t xml:space="preserve">Available from: </w:t>
      </w:r>
      <w:r w:rsidR="008F355C" w:rsidRPr="004A5F47">
        <w:rPr>
          <w:rFonts w:ascii="Book Antiqua" w:hAnsi="Book Antiqua"/>
        </w:rPr>
        <w:t>https://www.enfermeria21.com/revistas/metas/articulo/81185/</w:t>
      </w:r>
    </w:p>
    <w:p w14:paraId="3CB987C5"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33 </w:t>
      </w:r>
      <w:r w:rsidRPr="004A5F47">
        <w:rPr>
          <w:rFonts w:ascii="Book Antiqua" w:hAnsi="Book Antiqua"/>
          <w:b/>
          <w:bCs/>
        </w:rPr>
        <w:t>Watson CJE</w:t>
      </w:r>
      <w:r w:rsidRPr="004A5F47">
        <w:rPr>
          <w:rFonts w:ascii="Book Antiqua" w:hAnsi="Book Antiqua"/>
        </w:rPr>
        <w:t xml:space="preserve">, Hunt F, Messer S, Currie I, Large S, Sutherland A, Crick K, Wigmore SJ, Fear C, Cornateanu S, Randle LV, Terrace JD, Upponi S, Taylor R, Allen E, Butler AJ, Oniscu GC. In situ normothermic perfusion of livers in controlled circulatory death donation may prevent ischemic cholangiopathy and improve graft survival. </w:t>
      </w:r>
      <w:r w:rsidRPr="004A5F47">
        <w:rPr>
          <w:rFonts w:ascii="Book Antiqua" w:hAnsi="Book Antiqua"/>
          <w:i/>
          <w:iCs/>
        </w:rPr>
        <w:t>Am J Transplant</w:t>
      </w:r>
      <w:r w:rsidRPr="004A5F47">
        <w:rPr>
          <w:rFonts w:ascii="Book Antiqua" w:hAnsi="Book Antiqua"/>
        </w:rPr>
        <w:t xml:space="preserve"> 2019; </w:t>
      </w:r>
      <w:r w:rsidRPr="004A5F47">
        <w:rPr>
          <w:rFonts w:ascii="Book Antiqua" w:hAnsi="Book Antiqua"/>
          <w:b/>
          <w:bCs/>
        </w:rPr>
        <w:t>19</w:t>
      </w:r>
      <w:r w:rsidRPr="004A5F47">
        <w:rPr>
          <w:rFonts w:ascii="Book Antiqua" w:hAnsi="Book Antiqua"/>
        </w:rPr>
        <w:t>: 1745-1758 [PMID: 30589499 DOI: 10.1111/ajt.15241]</w:t>
      </w:r>
    </w:p>
    <w:p w14:paraId="349A646A"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34 </w:t>
      </w:r>
      <w:r w:rsidRPr="004A5F47">
        <w:rPr>
          <w:rFonts w:ascii="Book Antiqua" w:hAnsi="Book Antiqua"/>
          <w:b/>
          <w:bCs/>
        </w:rPr>
        <w:t>Hessheimer AJ</w:t>
      </w:r>
      <w:r w:rsidRPr="004A5F47">
        <w:rPr>
          <w:rFonts w:ascii="Book Antiqua" w:hAnsi="Book Antiqua"/>
        </w:rPr>
        <w:t xml:space="preserve">, de la Rosa G, Gastaca M, Ruíz P, Otero A, Gómez M, Alconchel F, Ramírez P, Bosca A, López-Andújar R, Atutxa L, Royo-Villanova M, Sánchez B, Santoyo J, Marín LM, Gómez-Bravo MÁ, Mosteiro F, Villegas Herrera MT, Villar Del Moral J, González-Abos C, Vidal B, López-Domínguez J, Lladó L, Roldán J, Justo I, Jiménez C, López-Monclús J, Sánchez-Turrión V, Rodríguez-Laíz G, Velasco Sánchez E, López-Baena JÁ, Caralt M, Charco R, Tomé S, Varo E, Martí-Cruchaga P, Rotellar F, Varona MA, Barrera M, Rodríguez-Sanjuan JC, Briceño J, López D, Blanco G, Nuño J, Pacheco D, Coll E, Domínguez-Gil B, Fondevila C. Abdominal normothermic regional perfusion in controlled donation after circulatory determination of death liver transplantation: Outcomes and risk factors for graft loss. </w:t>
      </w:r>
      <w:r w:rsidRPr="004A5F47">
        <w:rPr>
          <w:rFonts w:ascii="Book Antiqua" w:hAnsi="Book Antiqua"/>
          <w:i/>
          <w:iCs/>
        </w:rPr>
        <w:t>Am J Transplant</w:t>
      </w:r>
      <w:r w:rsidRPr="004A5F47">
        <w:rPr>
          <w:rFonts w:ascii="Book Antiqua" w:hAnsi="Book Antiqua"/>
        </w:rPr>
        <w:t xml:space="preserve"> 2022; </w:t>
      </w:r>
      <w:r w:rsidRPr="004A5F47">
        <w:rPr>
          <w:rFonts w:ascii="Book Antiqua" w:hAnsi="Book Antiqua"/>
          <w:b/>
          <w:bCs/>
        </w:rPr>
        <w:t>22</w:t>
      </w:r>
      <w:r w:rsidRPr="004A5F47">
        <w:rPr>
          <w:rFonts w:ascii="Book Antiqua" w:hAnsi="Book Antiqua"/>
        </w:rPr>
        <w:t>: 1169-1181 [PMID: 34856070 DOI: 10.1111/ajt.16899]</w:t>
      </w:r>
    </w:p>
    <w:p w14:paraId="220AF3CD"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35 </w:t>
      </w:r>
      <w:r w:rsidRPr="004A5F47">
        <w:rPr>
          <w:rFonts w:ascii="Book Antiqua" w:hAnsi="Book Antiqua"/>
          <w:b/>
          <w:bCs/>
        </w:rPr>
        <w:t>Miñambres E</w:t>
      </w:r>
      <w:r w:rsidRPr="004A5F47">
        <w:rPr>
          <w:rFonts w:ascii="Book Antiqua" w:hAnsi="Book Antiqua"/>
        </w:rPr>
        <w:t xml:space="preserve">, Ruiz P, Ballesteros MA, Álvarez C, Cifrián JM, Atutxa L, Ventoso A, Castillo F, Gastaca M. Combined lung and liver procurement in controlled donation after circulatory death using normothermic abdominal perfusion. Initial experience in two Spanish centers. </w:t>
      </w:r>
      <w:r w:rsidRPr="004A5F47">
        <w:rPr>
          <w:rFonts w:ascii="Book Antiqua" w:hAnsi="Book Antiqua"/>
          <w:i/>
          <w:iCs/>
        </w:rPr>
        <w:t>Am J Transplant</w:t>
      </w:r>
      <w:r w:rsidRPr="004A5F47">
        <w:rPr>
          <w:rFonts w:ascii="Book Antiqua" w:hAnsi="Book Antiqua"/>
        </w:rPr>
        <w:t xml:space="preserve"> 2020; </w:t>
      </w:r>
      <w:r w:rsidRPr="004A5F47">
        <w:rPr>
          <w:rFonts w:ascii="Book Antiqua" w:hAnsi="Book Antiqua"/>
          <w:b/>
          <w:bCs/>
        </w:rPr>
        <w:t>20</w:t>
      </w:r>
      <w:r w:rsidRPr="004A5F47">
        <w:rPr>
          <w:rFonts w:ascii="Book Antiqua" w:hAnsi="Book Antiqua"/>
        </w:rPr>
        <w:t>: 231-240 [PMID: 31265753 DOI: 10.1111/ajt.15520]</w:t>
      </w:r>
    </w:p>
    <w:p w14:paraId="1937C948"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36 </w:t>
      </w:r>
      <w:r w:rsidRPr="004A5F47">
        <w:rPr>
          <w:rFonts w:ascii="Book Antiqua" w:hAnsi="Book Antiqua"/>
          <w:b/>
          <w:bCs/>
        </w:rPr>
        <w:t>Muñoz DC</w:t>
      </w:r>
      <w:r w:rsidRPr="004A5F47">
        <w:rPr>
          <w:rFonts w:ascii="Book Antiqua" w:hAnsi="Book Antiqua"/>
        </w:rPr>
        <w:t xml:space="preserve">, Pérez BS, Martínez MP, León Díaz FJ, Fernández Aguilar JL, Pérez Daga JA, Santoyo J. Does Normothermic Regional Perfusion Improve the Results of Donation After Circulatory Death Liver Transplantation? </w:t>
      </w:r>
      <w:r w:rsidRPr="004A5F47">
        <w:rPr>
          <w:rFonts w:ascii="Book Antiqua" w:hAnsi="Book Antiqua"/>
          <w:i/>
          <w:iCs/>
        </w:rPr>
        <w:t>Transplant Proc</w:t>
      </w:r>
      <w:r w:rsidRPr="004A5F47">
        <w:rPr>
          <w:rFonts w:ascii="Book Antiqua" w:hAnsi="Book Antiqua"/>
        </w:rPr>
        <w:t xml:space="preserve"> 2020; </w:t>
      </w:r>
      <w:r w:rsidRPr="004A5F47">
        <w:rPr>
          <w:rFonts w:ascii="Book Antiqua" w:hAnsi="Book Antiqua"/>
          <w:b/>
          <w:bCs/>
        </w:rPr>
        <w:t>52</w:t>
      </w:r>
      <w:r w:rsidRPr="004A5F47">
        <w:rPr>
          <w:rFonts w:ascii="Book Antiqua" w:hAnsi="Book Antiqua"/>
        </w:rPr>
        <w:t>: 1477-1480 [PMID: 32252997 DOI: 10.1016/j.transproceed.2020.01.088]</w:t>
      </w:r>
    </w:p>
    <w:p w14:paraId="0C317F6A" w14:textId="77777777" w:rsidR="00AD0097" w:rsidRPr="004A5F47" w:rsidRDefault="00AD0097" w:rsidP="00265460">
      <w:pPr>
        <w:spacing w:line="360" w:lineRule="auto"/>
        <w:jc w:val="both"/>
        <w:rPr>
          <w:rFonts w:ascii="Book Antiqua" w:hAnsi="Book Antiqua"/>
        </w:rPr>
      </w:pPr>
      <w:r w:rsidRPr="004A5F47">
        <w:rPr>
          <w:rFonts w:ascii="Book Antiqua" w:hAnsi="Book Antiqua"/>
        </w:rPr>
        <w:lastRenderedPageBreak/>
        <w:t xml:space="preserve">37 </w:t>
      </w:r>
      <w:r w:rsidRPr="004A5F47">
        <w:rPr>
          <w:rFonts w:ascii="Book Antiqua" w:hAnsi="Book Antiqua"/>
          <w:b/>
          <w:bCs/>
        </w:rPr>
        <w:t>Muller X</w:t>
      </w:r>
      <w:r w:rsidRPr="004A5F47">
        <w:rPr>
          <w:rFonts w:ascii="Book Antiqua" w:hAnsi="Book Antiqua"/>
        </w:rPr>
        <w:t xml:space="preserve">, Mohkam K, Mueller M, Schlegel A, Dondero F, Sepulveda A, Savier E, Scatton O, Bucur P, Salame E, Jeddou H, Sulpice L, Pittau G, Allard MA, Mabrut JY, Dutkowski P, Clavien PA, Lesurtel M. Hypothermic Oxygenated Perfusion Versus Normothermic Regional Perfusion in Liver Transplantation From Controlled Donation After Circulatory Death: First International Comparative Study. </w:t>
      </w:r>
      <w:r w:rsidRPr="004A5F47">
        <w:rPr>
          <w:rFonts w:ascii="Book Antiqua" w:hAnsi="Book Antiqua"/>
          <w:i/>
          <w:iCs/>
        </w:rPr>
        <w:t>Ann Surg</w:t>
      </w:r>
      <w:r w:rsidRPr="004A5F47">
        <w:rPr>
          <w:rFonts w:ascii="Book Antiqua" w:hAnsi="Book Antiqua"/>
        </w:rPr>
        <w:t xml:space="preserve"> 2020; </w:t>
      </w:r>
      <w:r w:rsidRPr="004A5F47">
        <w:rPr>
          <w:rFonts w:ascii="Book Antiqua" w:hAnsi="Book Antiqua"/>
          <w:b/>
          <w:bCs/>
        </w:rPr>
        <w:t>272</w:t>
      </w:r>
      <w:r w:rsidRPr="004A5F47">
        <w:rPr>
          <w:rFonts w:ascii="Book Antiqua" w:hAnsi="Book Antiqua"/>
        </w:rPr>
        <w:t>: 751-758 [PMID: 32833758 DOI: 10.1097/SLA.0000000000004268]</w:t>
      </w:r>
    </w:p>
    <w:p w14:paraId="61F1B815"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38 </w:t>
      </w:r>
      <w:r w:rsidRPr="004A5F47">
        <w:rPr>
          <w:rFonts w:ascii="Book Antiqua" w:hAnsi="Book Antiqua"/>
          <w:b/>
          <w:bCs/>
        </w:rPr>
        <w:t>De Carlis R</w:t>
      </w:r>
      <w:r w:rsidRPr="004A5F47">
        <w:rPr>
          <w:rFonts w:ascii="Book Antiqua" w:hAnsi="Book Antiqua"/>
        </w:rPr>
        <w:t xml:space="preserve">, Di Sandro S, Lauterio A, Botta F, Ferla F, Andorno E, Bagnardi V, De Carlis L. Liver Grafts From Donors After Circulatory Death on Regional Perfusion With Extended Warm Ischemia Compared With Donors After Brain Death. </w:t>
      </w:r>
      <w:r w:rsidRPr="004A5F47">
        <w:rPr>
          <w:rFonts w:ascii="Book Antiqua" w:hAnsi="Book Antiqua"/>
          <w:i/>
          <w:iCs/>
        </w:rPr>
        <w:t>Liver Transpl</w:t>
      </w:r>
      <w:r w:rsidRPr="004A5F47">
        <w:rPr>
          <w:rFonts w:ascii="Book Antiqua" w:hAnsi="Book Antiqua"/>
        </w:rPr>
        <w:t xml:space="preserve"> 2018; </w:t>
      </w:r>
      <w:r w:rsidRPr="004A5F47">
        <w:rPr>
          <w:rFonts w:ascii="Book Antiqua" w:hAnsi="Book Antiqua"/>
          <w:b/>
          <w:bCs/>
        </w:rPr>
        <w:t>24</w:t>
      </w:r>
      <w:r w:rsidRPr="004A5F47">
        <w:rPr>
          <w:rFonts w:ascii="Book Antiqua" w:hAnsi="Book Antiqua"/>
        </w:rPr>
        <w:t>: 1523-1535 [PMID: 30022597 DOI: 10.1002/lt.25312]</w:t>
      </w:r>
    </w:p>
    <w:p w14:paraId="112FEEC6"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39 </w:t>
      </w:r>
      <w:r w:rsidRPr="004A5F47">
        <w:rPr>
          <w:rFonts w:ascii="Book Antiqua" w:hAnsi="Book Antiqua"/>
          <w:b/>
          <w:bCs/>
        </w:rPr>
        <w:t>Rodríguez-Sanjuán JC</w:t>
      </w:r>
      <w:r w:rsidRPr="004A5F47">
        <w:rPr>
          <w:rFonts w:ascii="Book Antiqua" w:hAnsi="Book Antiqua"/>
        </w:rPr>
        <w:t xml:space="preserve">, Ruiz N, Miñambres E, Toledo E, González-Noriega M, Fernández-Santiago R, Castillo F. Liver Transplant From Controlled Cardiac Death Donors Using Normothermic Regional Perfusion: Comparison With Liver Transplants From Brain Dead Donors. </w:t>
      </w:r>
      <w:r w:rsidRPr="004A5F47">
        <w:rPr>
          <w:rFonts w:ascii="Book Antiqua" w:hAnsi="Book Antiqua"/>
          <w:i/>
          <w:iCs/>
        </w:rPr>
        <w:t>Transplant Proc</w:t>
      </w:r>
      <w:r w:rsidRPr="004A5F47">
        <w:rPr>
          <w:rFonts w:ascii="Book Antiqua" w:hAnsi="Book Antiqua"/>
        </w:rPr>
        <w:t xml:space="preserve"> 2019; </w:t>
      </w:r>
      <w:r w:rsidRPr="004A5F47">
        <w:rPr>
          <w:rFonts w:ascii="Book Antiqua" w:hAnsi="Book Antiqua"/>
          <w:b/>
          <w:bCs/>
        </w:rPr>
        <w:t>51</w:t>
      </w:r>
      <w:r w:rsidRPr="004A5F47">
        <w:rPr>
          <w:rFonts w:ascii="Book Antiqua" w:hAnsi="Book Antiqua"/>
        </w:rPr>
        <w:t>: 12-19 [PMID: 30655135 DOI: 10.1016/j.transproceed.2018.04.067]</w:t>
      </w:r>
    </w:p>
    <w:p w14:paraId="76E7E00B"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40 </w:t>
      </w:r>
      <w:r w:rsidRPr="004A5F47">
        <w:rPr>
          <w:rFonts w:ascii="Book Antiqua" w:hAnsi="Book Antiqua"/>
          <w:b/>
          <w:bCs/>
        </w:rPr>
        <w:t>Ruiz P</w:t>
      </w:r>
      <w:r w:rsidRPr="004A5F47">
        <w:rPr>
          <w:rFonts w:ascii="Book Antiqua" w:hAnsi="Book Antiqua"/>
        </w:rPr>
        <w:t xml:space="preserve">, Valdivieso A, Palomares I, Prieto M, Ventoso A, Salvador P, Senosiain M, Fernandez JR, Testillano M, Bustamante FJ, Gastaca M. Similar Results in Liver Transplantation From Controlled Donation After Circulatory Death Donors With Normothermic Regional Perfusion and Donation After Brain Death Donors: A Case-Matched Single-Center Study. </w:t>
      </w:r>
      <w:r w:rsidRPr="004A5F47">
        <w:rPr>
          <w:rFonts w:ascii="Book Antiqua" w:hAnsi="Book Antiqua"/>
          <w:i/>
          <w:iCs/>
        </w:rPr>
        <w:t>Liver Transpl</w:t>
      </w:r>
      <w:r w:rsidRPr="004A5F47">
        <w:rPr>
          <w:rFonts w:ascii="Book Antiqua" w:hAnsi="Book Antiqua"/>
        </w:rPr>
        <w:t xml:space="preserve"> 2021; </w:t>
      </w:r>
      <w:r w:rsidRPr="004A5F47">
        <w:rPr>
          <w:rFonts w:ascii="Book Antiqua" w:hAnsi="Book Antiqua"/>
          <w:b/>
          <w:bCs/>
        </w:rPr>
        <w:t>27</w:t>
      </w:r>
      <w:r w:rsidRPr="004A5F47">
        <w:rPr>
          <w:rFonts w:ascii="Book Antiqua" w:hAnsi="Book Antiqua"/>
        </w:rPr>
        <w:t>: 1747-1757 [PMID: 34455694 DOI: 10.1002/lt.26281]</w:t>
      </w:r>
    </w:p>
    <w:p w14:paraId="388AF617"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41 </w:t>
      </w:r>
      <w:r w:rsidRPr="004A5F47">
        <w:rPr>
          <w:rFonts w:ascii="Book Antiqua" w:hAnsi="Book Antiqua"/>
          <w:b/>
          <w:bCs/>
        </w:rPr>
        <w:t>Hessheimer AJ</w:t>
      </w:r>
      <w:r w:rsidRPr="004A5F47">
        <w:rPr>
          <w:rFonts w:ascii="Book Antiqua" w:hAnsi="Book Antiqua"/>
        </w:rPr>
        <w:t xml:space="preserve">, Coll E, Torres F, Ruíz P, Gastaca M, Rivas JI, Gómez M, Sánchez B, Santoyo J, Ramírez P, Parrilla P, Marín LM, Gómez-Bravo MÁ, García-Valdecasas JC, López-Monclús J, Boscá A, López-Andújar R, Fundora-Suárez J, Villar J, García-Sesma Á, Jiménez C, Rodríguez-Laíz G, Lladó L, Rodríguez JC, Barrera M, Charco R, López-Baena JÁ, Briceño J, Pardo F, Blanco G, Pacheco D, Domínguez-Gil B, Sánchez Turrión V, Fondevila C. Normothermic regional perfusion vs. super-rapid recovery in controlled donation after circulatory death liver transplantation. </w:t>
      </w:r>
      <w:r w:rsidRPr="004A5F47">
        <w:rPr>
          <w:rFonts w:ascii="Book Antiqua" w:hAnsi="Book Antiqua"/>
          <w:i/>
          <w:iCs/>
        </w:rPr>
        <w:t>J Hepatol</w:t>
      </w:r>
      <w:r w:rsidRPr="004A5F47">
        <w:rPr>
          <w:rFonts w:ascii="Book Antiqua" w:hAnsi="Book Antiqua"/>
        </w:rPr>
        <w:t xml:space="preserve"> 2019; </w:t>
      </w:r>
      <w:r w:rsidRPr="004A5F47">
        <w:rPr>
          <w:rFonts w:ascii="Book Antiqua" w:hAnsi="Book Antiqua"/>
          <w:b/>
          <w:bCs/>
        </w:rPr>
        <w:t>70</w:t>
      </w:r>
      <w:r w:rsidRPr="004A5F47">
        <w:rPr>
          <w:rFonts w:ascii="Book Antiqua" w:hAnsi="Book Antiqua"/>
        </w:rPr>
        <w:t>: 658-665 [PMID: 30582980 DOI: 10.1016/j.jhep.2018.12.013]</w:t>
      </w:r>
    </w:p>
    <w:p w14:paraId="460FA001" w14:textId="77777777" w:rsidR="00AD0097" w:rsidRPr="004A5F47" w:rsidRDefault="00AD0097" w:rsidP="00265460">
      <w:pPr>
        <w:spacing w:line="360" w:lineRule="auto"/>
        <w:jc w:val="both"/>
        <w:rPr>
          <w:rFonts w:ascii="Book Antiqua" w:hAnsi="Book Antiqua"/>
        </w:rPr>
      </w:pPr>
      <w:r w:rsidRPr="004A5F47">
        <w:rPr>
          <w:rFonts w:ascii="Book Antiqua" w:hAnsi="Book Antiqua"/>
        </w:rPr>
        <w:lastRenderedPageBreak/>
        <w:t xml:space="preserve">42 </w:t>
      </w:r>
      <w:r w:rsidRPr="004A5F47">
        <w:rPr>
          <w:rFonts w:ascii="Book Antiqua" w:hAnsi="Book Antiqua"/>
          <w:b/>
          <w:bCs/>
        </w:rPr>
        <w:t>Schurink IJ</w:t>
      </w:r>
      <w:r w:rsidRPr="004A5F47">
        <w:rPr>
          <w:rFonts w:ascii="Book Antiqua" w:hAnsi="Book Antiqua"/>
        </w:rPr>
        <w:t xml:space="preserve">, de Goeij FHC, Habets LJM, van de Leemkolk FEM, van Dun CAA, Oniscu GC, Alwayn IPJ, Polak WG, Huurman VAL, de Jonge J. Salvage of Declined Extended-criteria DCD Livers Using In Situ Normothermic Regional Perfusion. </w:t>
      </w:r>
      <w:r w:rsidRPr="004A5F47">
        <w:rPr>
          <w:rFonts w:ascii="Book Antiqua" w:hAnsi="Book Antiqua"/>
          <w:i/>
          <w:iCs/>
        </w:rPr>
        <w:t>Ann Surg</w:t>
      </w:r>
      <w:r w:rsidRPr="004A5F47">
        <w:rPr>
          <w:rFonts w:ascii="Book Antiqua" w:hAnsi="Book Antiqua"/>
        </w:rPr>
        <w:t xml:space="preserve"> 2022; </w:t>
      </w:r>
      <w:r w:rsidRPr="004A5F47">
        <w:rPr>
          <w:rFonts w:ascii="Book Antiqua" w:hAnsi="Book Antiqua"/>
          <w:b/>
          <w:bCs/>
        </w:rPr>
        <w:t>276</w:t>
      </w:r>
      <w:r w:rsidRPr="004A5F47">
        <w:rPr>
          <w:rFonts w:ascii="Book Antiqua" w:hAnsi="Book Antiqua"/>
        </w:rPr>
        <w:t>: e223-e230 [PMID: 35861530 DOI: 10.1097/SLA.0000000000005611]</w:t>
      </w:r>
    </w:p>
    <w:p w14:paraId="607A236C"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43 </w:t>
      </w:r>
      <w:r w:rsidRPr="004A5F47">
        <w:rPr>
          <w:rFonts w:ascii="Book Antiqua" w:hAnsi="Book Antiqua"/>
          <w:b/>
          <w:bCs/>
        </w:rPr>
        <w:t>De Carlis R</w:t>
      </w:r>
      <w:r w:rsidRPr="004A5F47">
        <w:rPr>
          <w:rFonts w:ascii="Book Antiqua" w:hAnsi="Book Antiqua"/>
        </w:rPr>
        <w:t xml:space="preserve">, Schlegel A, Frassoni S, Olivieri T, Ravaioli M, Camagni S, Patrono D, Bassi D, Pagano D, Di Sandro S, Lauterio A, Bagnardi V, Gruttadauria S, Cillo U, Romagnoli R, Colledan M, Cescon M, Di Benedetto F, Muiesan P, De Carlis L. How to Preserve Liver Grafts From Circulatory Death With Long Warm Ischemia? A Retrospective Italian Cohort Study With Normothermic Regional Perfusion and Hypothermic Oxygenated Perfusion. </w:t>
      </w:r>
      <w:r w:rsidRPr="004A5F47">
        <w:rPr>
          <w:rFonts w:ascii="Book Antiqua" w:hAnsi="Book Antiqua"/>
          <w:i/>
          <w:iCs/>
        </w:rPr>
        <w:t>Transplantation</w:t>
      </w:r>
      <w:r w:rsidRPr="004A5F47">
        <w:rPr>
          <w:rFonts w:ascii="Book Antiqua" w:hAnsi="Book Antiqua"/>
        </w:rPr>
        <w:t xml:space="preserve"> 2021; </w:t>
      </w:r>
      <w:r w:rsidRPr="004A5F47">
        <w:rPr>
          <w:rFonts w:ascii="Book Antiqua" w:hAnsi="Book Antiqua"/>
          <w:b/>
          <w:bCs/>
        </w:rPr>
        <w:t>105</w:t>
      </w:r>
      <w:r w:rsidRPr="004A5F47">
        <w:rPr>
          <w:rFonts w:ascii="Book Antiqua" w:hAnsi="Book Antiqua"/>
        </w:rPr>
        <w:t>: 2385-2396 [PMID: 33617211 DOI: 10.1097/TP.0000000000003595]</w:t>
      </w:r>
    </w:p>
    <w:p w14:paraId="48ADD700"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44 </w:t>
      </w:r>
      <w:r w:rsidRPr="004A5F47">
        <w:rPr>
          <w:rFonts w:ascii="Book Antiqua" w:hAnsi="Book Antiqua"/>
          <w:b/>
          <w:bCs/>
        </w:rPr>
        <w:t>Gaurav R</w:t>
      </w:r>
      <w:r w:rsidRPr="004A5F47">
        <w:rPr>
          <w:rFonts w:ascii="Book Antiqua" w:hAnsi="Book Antiqua"/>
        </w:rPr>
        <w:t xml:space="preserve">, Butler AJ, Kosmoliaptsis V, Mumford L, Fear C, Swift L, Fedotovs A, Upponi S, Khwaja S, Richards J, Allison M, Watson CJE. Liver Transplantation Outcomes From Controlled Circulatory Death Donors: SCS vs in situ NRP vs ex situ NMP. </w:t>
      </w:r>
      <w:r w:rsidRPr="004A5F47">
        <w:rPr>
          <w:rFonts w:ascii="Book Antiqua" w:hAnsi="Book Antiqua"/>
          <w:i/>
          <w:iCs/>
        </w:rPr>
        <w:t>Ann Surg</w:t>
      </w:r>
      <w:r w:rsidRPr="004A5F47">
        <w:rPr>
          <w:rFonts w:ascii="Book Antiqua" w:hAnsi="Book Antiqua"/>
        </w:rPr>
        <w:t xml:space="preserve"> 2022; </w:t>
      </w:r>
      <w:r w:rsidRPr="004A5F47">
        <w:rPr>
          <w:rFonts w:ascii="Book Antiqua" w:hAnsi="Book Antiqua"/>
          <w:b/>
          <w:bCs/>
        </w:rPr>
        <w:t>275</w:t>
      </w:r>
      <w:r w:rsidRPr="004A5F47">
        <w:rPr>
          <w:rFonts w:ascii="Book Antiqua" w:hAnsi="Book Antiqua"/>
        </w:rPr>
        <w:t>: 1156-1164 [PMID: 35258511 DOI: 10.1097/SLA.0000000000005428]</w:t>
      </w:r>
    </w:p>
    <w:p w14:paraId="501E0300"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45 </w:t>
      </w:r>
      <w:r w:rsidRPr="004A5F47">
        <w:rPr>
          <w:rFonts w:ascii="Book Antiqua" w:hAnsi="Book Antiqua"/>
          <w:b/>
          <w:bCs/>
        </w:rPr>
        <w:t>Mohkam K</w:t>
      </w:r>
      <w:r w:rsidRPr="004A5F47">
        <w:rPr>
          <w:rFonts w:ascii="Book Antiqua" w:hAnsi="Book Antiqua"/>
        </w:rPr>
        <w:t xml:space="preserve">, Nasralla D, Mergental H, Muller X, Butler A, Jassem W, Imber C, Monbaliu D, Perera MTPR, Laing RW, García-Valdecasas JC, Paul A, Dondero F, Cauchy F, Savier E, Scatton O, Robin F, Sulpice L, Bucur P, Salamé E, Pittau G, Allard MA, Pradat P, Rossignol G, Mabrut JY, Ploeg RJ, Friend PJ, Mirza DF, Lesurtel M; Consortium for Organ Preservation in Europe (COPE). In situ normothermic regional perfusion versus ex situ normothermic machine perfusion in liver transplantation from donation after circulatory death. </w:t>
      </w:r>
      <w:r w:rsidRPr="004A5F47">
        <w:rPr>
          <w:rFonts w:ascii="Book Antiqua" w:hAnsi="Book Antiqua"/>
          <w:i/>
          <w:iCs/>
        </w:rPr>
        <w:t>Liver Transpl</w:t>
      </w:r>
      <w:r w:rsidRPr="004A5F47">
        <w:rPr>
          <w:rFonts w:ascii="Book Antiqua" w:hAnsi="Book Antiqua"/>
        </w:rPr>
        <w:t xml:space="preserve"> 2022; </w:t>
      </w:r>
      <w:r w:rsidRPr="004A5F47">
        <w:rPr>
          <w:rFonts w:ascii="Book Antiqua" w:hAnsi="Book Antiqua"/>
          <w:b/>
          <w:bCs/>
        </w:rPr>
        <w:t>28</w:t>
      </w:r>
      <w:r w:rsidRPr="004A5F47">
        <w:rPr>
          <w:rFonts w:ascii="Book Antiqua" w:hAnsi="Book Antiqua"/>
        </w:rPr>
        <w:t>: 1716-1725 [PMID: 35662403 DOI: 10.1002/lt.26522]</w:t>
      </w:r>
    </w:p>
    <w:p w14:paraId="2A65F556"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46 </w:t>
      </w:r>
      <w:r w:rsidRPr="004A5F47">
        <w:rPr>
          <w:rFonts w:ascii="Book Antiqua" w:hAnsi="Book Antiqua"/>
          <w:b/>
          <w:bCs/>
        </w:rPr>
        <w:t>Guarrera JV</w:t>
      </w:r>
      <w:r w:rsidRPr="004A5F47">
        <w:rPr>
          <w:rFonts w:ascii="Book Antiqua" w:hAnsi="Book Antiqua"/>
        </w:rPr>
        <w:t xml:space="preserve">, Henry SD, Samstein B, Odeh-Ramadan R, Kinkhabwala M, Goldstein MJ, Ratner LE, Renz JF, Lee HT, Brown RS Jr, Emond JC. Hypothermic machine preservation in human liver transplantation: the first clinical series. </w:t>
      </w:r>
      <w:r w:rsidRPr="004A5F47">
        <w:rPr>
          <w:rFonts w:ascii="Book Antiqua" w:hAnsi="Book Antiqua"/>
          <w:i/>
          <w:iCs/>
        </w:rPr>
        <w:t>Am J Transplant</w:t>
      </w:r>
      <w:r w:rsidRPr="004A5F47">
        <w:rPr>
          <w:rFonts w:ascii="Book Antiqua" w:hAnsi="Book Antiqua"/>
        </w:rPr>
        <w:t xml:space="preserve"> 2010; </w:t>
      </w:r>
      <w:r w:rsidRPr="004A5F47">
        <w:rPr>
          <w:rFonts w:ascii="Book Antiqua" w:hAnsi="Book Antiqua"/>
          <w:b/>
          <w:bCs/>
        </w:rPr>
        <w:t>10</w:t>
      </w:r>
      <w:r w:rsidRPr="004A5F47">
        <w:rPr>
          <w:rFonts w:ascii="Book Antiqua" w:hAnsi="Book Antiqua"/>
        </w:rPr>
        <w:t>: 372-381 [PMID: 19958323 DOI: 10.1111/j.1600-6143.2009.02932.x]</w:t>
      </w:r>
    </w:p>
    <w:p w14:paraId="2481B205"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47 </w:t>
      </w:r>
      <w:r w:rsidRPr="004A5F47">
        <w:rPr>
          <w:rFonts w:ascii="Book Antiqua" w:hAnsi="Book Antiqua"/>
          <w:b/>
          <w:bCs/>
        </w:rPr>
        <w:t>Schlegel A</w:t>
      </w:r>
      <w:r w:rsidRPr="004A5F47">
        <w:rPr>
          <w:rFonts w:ascii="Book Antiqua" w:hAnsi="Book Antiqua"/>
        </w:rPr>
        <w:t xml:space="preserve">, Kron P, Graf R, Clavien PA, Dutkowski P. Hypothermic Oxygenated Perfusion (HOPE) downregulates the immune response in a rat model of liver </w:t>
      </w:r>
      <w:r w:rsidRPr="004A5F47">
        <w:rPr>
          <w:rFonts w:ascii="Book Antiqua" w:hAnsi="Book Antiqua"/>
        </w:rPr>
        <w:lastRenderedPageBreak/>
        <w:t xml:space="preserve">transplantation. </w:t>
      </w:r>
      <w:r w:rsidRPr="004A5F47">
        <w:rPr>
          <w:rFonts w:ascii="Book Antiqua" w:hAnsi="Book Antiqua"/>
          <w:i/>
          <w:iCs/>
        </w:rPr>
        <w:t>Ann Surg</w:t>
      </w:r>
      <w:r w:rsidRPr="004A5F47">
        <w:rPr>
          <w:rFonts w:ascii="Book Antiqua" w:hAnsi="Book Antiqua"/>
        </w:rPr>
        <w:t xml:space="preserve"> 2014; </w:t>
      </w:r>
      <w:r w:rsidRPr="004A5F47">
        <w:rPr>
          <w:rFonts w:ascii="Book Antiqua" w:hAnsi="Book Antiqua"/>
          <w:b/>
          <w:bCs/>
        </w:rPr>
        <w:t>260</w:t>
      </w:r>
      <w:r w:rsidRPr="004A5F47">
        <w:rPr>
          <w:rFonts w:ascii="Book Antiqua" w:hAnsi="Book Antiqua"/>
        </w:rPr>
        <w:t>: 931-7; discussion 937-8 [PMID: 25243553 DOI: 10.1097/SLA.0000000000000941]</w:t>
      </w:r>
    </w:p>
    <w:p w14:paraId="1E973220"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48 </w:t>
      </w:r>
      <w:r w:rsidRPr="004A5F47">
        <w:rPr>
          <w:rFonts w:ascii="Book Antiqua" w:hAnsi="Book Antiqua"/>
          <w:b/>
          <w:bCs/>
        </w:rPr>
        <w:t>Dutkowski P</w:t>
      </w:r>
      <w:r w:rsidRPr="004A5F47">
        <w:rPr>
          <w:rFonts w:ascii="Book Antiqua" w:hAnsi="Book Antiqua"/>
        </w:rPr>
        <w:t xml:space="preserve">, Furrer K, Tian Y, Graf R, Clavien PA. Novel short-term hypothermic oxygenated perfusion (HOPE) system prevents injury in rat liver graft from non-heart beating donor. </w:t>
      </w:r>
      <w:r w:rsidRPr="004A5F47">
        <w:rPr>
          <w:rFonts w:ascii="Book Antiqua" w:hAnsi="Book Antiqua"/>
          <w:i/>
          <w:iCs/>
        </w:rPr>
        <w:t>Ann Surg</w:t>
      </w:r>
      <w:r w:rsidRPr="004A5F47">
        <w:rPr>
          <w:rFonts w:ascii="Book Antiqua" w:hAnsi="Book Antiqua"/>
        </w:rPr>
        <w:t xml:space="preserve"> 2006; </w:t>
      </w:r>
      <w:r w:rsidRPr="004A5F47">
        <w:rPr>
          <w:rFonts w:ascii="Book Antiqua" w:hAnsi="Book Antiqua"/>
          <w:b/>
          <w:bCs/>
        </w:rPr>
        <w:t>244</w:t>
      </w:r>
      <w:r w:rsidRPr="004A5F47">
        <w:rPr>
          <w:rFonts w:ascii="Book Antiqua" w:hAnsi="Book Antiqua"/>
        </w:rPr>
        <w:t>: 968-76; discussion 976-7 [PMID: 17122622 DOI: 10.1097/01.sla.0000247056.85590.6b]</w:t>
      </w:r>
    </w:p>
    <w:p w14:paraId="296AB3F8"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49 </w:t>
      </w:r>
      <w:r w:rsidRPr="004A5F47">
        <w:rPr>
          <w:rFonts w:ascii="Book Antiqua" w:hAnsi="Book Antiqua"/>
          <w:b/>
          <w:bCs/>
        </w:rPr>
        <w:t>de Rougemont O</w:t>
      </w:r>
      <w:r w:rsidRPr="004A5F47">
        <w:rPr>
          <w:rFonts w:ascii="Book Antiqua" w:hAnsi="Book Antiqua"/>
        </w:rPr>
        <w:t xml:space="preserve">, Breitenstein S, Leskosek B, Weber A, Graf R, Clavien PA, Dutkowski P. One hour hypothermic oxygenated perfusion (HOPE) protects nonviable liver allografts donated after cardiac death. </w:t>
      </w:r>
      <w:r w:rsidRPr="004A5F47">
        <w:rPr>
          <w:rFonts w:ascii="Book Antiqua" w:hAnsi="Book Antiqua"/>
          <w:i/>
          <w:iCs/>
        </w:rPr>
        <w:t>Ann Surg</w:t>
      </w:r>
      <w:r w:rsidRPr="004A5F47">
        <w:rPr>
          <w:rFonts w:ascii="Book Antiqua" w:hAnsi="Book Antiqua"/>
        </w:rPr>
        <w:t xml:space="preserve"> 2009; </w:t>
      </w:r>
      <w:r w:rsidRPr="004A5F47">
        <w:rPr>
          <w:rFonts w:ascii="Book Antiqua" w:hAnsi="Book Antiqua"/>
          <w:b/>
          <w:bCs/>
        </w:rPr>
        <w:t>250</w:t>
      </w:r>
      <w:r w:rsidRPr="004A5F47">
        <w:rPr>
          <w:rFonts w:ascii="Book Antiqua" w:hAnsi="Book Antiqua"/>
        </w:rPr>
        <w:t>: 674-683 [PMID: 19806056 DOI: 10.1097/SLA.0b013e3181bcb1ee]</w:t>
      </w:r>
    </w:p>
    <w:p w14:paraId="7D86E95D"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50 </w:t>
      </w:r>
      <w:r w:rsidRPr="004A5F47">
        <w:rPr>
          <w:rFonts w:ascii="Book Antiqua" w:hAnsi="Book Antiqua"/>
          <w:b/>
          <w:bCs/>
        </w:rPr>
        <w:t>Dutkowski P</w:t>
      </w:r>
      <w:r w:rsidRPr="004A5F47">
        <w:rPr>
          <w:rFonts w:ascii="Book Antiqua" w:hAnsi="Book Antiqua"/>
        </w:rPr>
        <w:t xml:space="preserve">, Polak WG, Muiesan P, Schlegel A, Verhoeven CJ, Scalera I, DeOliveira ML, Kron P, Clavien PA. First Comparison of Hypothermic Oxygenated PErfusion Versus Static Cold Storage of Human Donation After Cardiac Death Liver Transplants: An International-matched Case Analysis. </w:t>
      </w:r>
      <w:r w:rsidRPr="004A5F47">
        <w:rPr>
          <w:rFonts w:ascii="Book Antiqua" w:hAnsi="Book Antiqua"/>
          <w:i/>
          <w:iCs/>
        </w:rPr>
        <w:t>Ann Surg</w:t>
      </w:r>
      <w:r w:rsidRPr="004A5F47">
        <w:rPr>
          <w:rFonts w:ascii="Book Antiqua" w:hAnsi="Book Antiqua"/>
        </w:rPr>
        <w:t xml:space="preserve"> 2015; </w:t>
      </w:r>
      <w:r w:rsidRPr="004A5F47">
        <w:rPr>
          <w:rFonts w:ascii="Book Antiqua" w:hAnsi="Book Antiqua"/>
          <w:b/>
          <w:bCs/>
        </w:rPr>
        <w:t>262</w:t>
      </w:r>
      <w:r w:rsidRPr="004A5F47">
        <w:rPr>
          <w:rFonts w:ascii="Book Antiqua" w:hAnsi="Book Antiqua"/>
        </w:rPr>
        <w:t>: 764-70; discussion 770-1 [PMID: 26583664 DOI: 10.1097/SLA.0000000000001473]</w:t>
      </w:r>
    </w:p>
    <w:p w14:paraId="3BB37E6F"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51 </w:t>
      </w:r>
      <w:r w:rsidRPr="004A5F47">
        <w:rPr>
          <w:rFonts w:ascii="Book Antiqua" w:hAnsi="Book Antiqua"/>
          <w:b/>
          <w:bCs/>
        </w:rPr>
        <w:t>van Rijn R</w:t>
      </w:r>
      <w:r w:rsidRPr="004A5F47">
        <w:rPr>
          <w:rFonts w:ascii="Book Antiqua" w:hAnsi="Book Antiqua"/>
        </w:rPr>
        <w:t xml:space="preserve">, Karimian N, Matton APM, Burlage LC, Westerkamp AC, van den Berg AP, de Kleine RHJ, de Boer MT, Lisman T, Porte RJ. Dual hypothermic oxygenated machine perfusion in liver transplants donated after circulatory death. </w:t>
      </w:r>
      <w:r w:rsidRPr="004A5F47">
        <w:rPr>
          <w:rFonts w:ascii="Book Antiqua" w:hAnsi="Book Antiqua"/>
          <w:i/>
          <w:iCs/>
        </w:rPr>
        <w:t>Br J Surg</w:t>
      </w:r>
      <w:r w:rsidRPr="004A5F47">
        <w:rPr>
          <w:rFonts w:ascii="Book Antiqua" w:hAnsi="Book Antiqua"/>
        </w:rPr>
        <w:t xml:space="preserve"> 2017; </w:t>
      </w:r>
      <w:r w:rsidRPr="004A5F47">
        <w:rPr>
          <w:rFonts w:ascii="Book Antiqua" w:hAnsi="Book Antiqua"/>
          <w:b/>
          <w:bCs/>
        </w:rPr>
        <w:t>104</w:t>
      </w:r>
      <w:r w:rsidRPr="004A5F47">
        <w:rPr>
          <w:rFonts w:ascii="Book Antiqua" w:hAnsi="Book Antiqua"/>
        </w:rPr>
        <w:t>: 907-917 [PMID: 28394402 DOI: 10.1002/bjs.10515]</w:t>
      </w:r>
    </w:p>
    <w:p w14:paraId="70064682"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52 </w:t>
      </w:r>
      <w:r w:rsidRPr="004A5F47">
        <w:rPr>
          <w:rFonts w:ascii="Book Antiqua" w:hAnsi="Book Antiqua"/>
          <w:b/>
          <w:bCs/>
        </w:rPr>
        <w:t>van Rijn R</w:t>
      </w:r>
      <w:r w:rsidRPr="004A5F47">
        <w:rPr>
          <w:rFonts w:ascii="Book Antiqua" w:hAnsi="Book Antiqua"/>
        </w:rPr>
        <w:t xml:space="preserve">, Schurink IJ, de Vries Y, van den Berg AP, Cortes Cerisuelo M, Darwish Murad S, Erdmann JI, Gilbo N, de Haas RJ, Heaton N, van Hoek B, Huurman VAL, Jochmans I, van Leeuwen OB, de Meijer VE, Monbaliu D, Polak WG, Slangen JJG, Troisi RI, Vanlander A, de Jonge J, Porte RJ; DHOPE-DCD Trial Investigators. Hypothermic Machine Perfusion in Liver Transplantation - A Randomized Trial. </w:t>
      </w:r>
      <w:r w:rsidRPr="004A5F47">
        <w:rPr>
          <w:rFonts w:ascii="Book Antiqua" w:hAnsi="Book Antiqua"/>
          <w:i/>
          <w:iCs/>
        </w:rPr>
        <w:t>N Engl J Med</w:t>
      </w:r>
      <w:r w:rsidRPr="004A5F47">
        <w:rPr>
          <w:rFonts w:ascii="Book Antiqua" w:hAnsi="Book Antiqua"/>
        </w:rPr>
        <w:t xml:space="preserve"> 2021; </w:t>
      </w:r>
      <w:r w:rsidRPr="004A5F47">
        <w:rPr>
          <w:rFonts w:ascii="Book Antiqua" w:hAnsi="Book Antiqua"/>
          <w:b/>
          <w:bCs/>
        </w:rPr>
        <w:t>384</w:t>
      </w:r>
      <w:r w:rsidRPr="004A5F47">
        <w:rPr>
          <w:rFonts w:ascii="Book Antiqua" w:hAnsi="Book Antiqua"/>
        </w:rPr>
        <w:t>: 1391-1401 [PMID: 33626248 DOI: 10.1056/NEJMoa2031532]</w:t>
      </w:r>
    </w:p>
    <w:p w14:paraId="3BCBCF6E" w14:textId="77777777" w:rsidR="00AD0097" w:rsidRPr="004A5F47" w:rsidRDefault="00AD0097" w:rsidP="00265460">
      <w:pPr>
        <w:spacing w:line="360" w:lineRule="auto"/>
        <w:jc w:val="both"/>
        <w:rPr>
          <w:rFonts w:ascii="Book Antiqua" w:hAnsi="Book Antiqua"/>
        </w:rPr>
      </w:pPr>
      <w:r w:rsidRPr="00815C0F">
        <w:rPr>
          <w:rFonts w:ascii="Book Antiqua" w:hAnsi="Book Antiqua"/>
        </w:rPr>
        <w:t xml:space="preserve">53 </w:t>
      </w:r>
      <w:r w:rsidRPr="00815C0F">
        <w:rPr>
          <w:rFonts w:ascii="Book Antiqua" w:hAnsi="Book Antiqua"/>
          <w:b/>
          <w:bCs/>
        </w:rPr>
        <w:t>de Vries Y</w:t>
      </w:r>
      <w:r w:rsidRPr="00815C0F">
        <w:rPr>
          <w:rFonts w:ascii="Book Antiqua" w:hAnsi="Book Antiqua"/>
        </w:rPr>
        <w:t xml:space="preserve">, Brüggenwirth IMA, Karangwa SA, von Meijenfeldt FA, van Leeuwen OB, Burlage LC, de Jong IEM, Gouw ASH, de Meijer VE, Lisman T, Porte RJ. </w:t>
      </w:r>
      <w:r w:rsidRPr="004A5F47">
        <w:rPr>
          <w:rFonts w:ascii="Book Antiqua" w:hAnsi="Book Antiqua"/>
        </w:rPr>
        <w:t xml:space="preserve">Dual Versus Single Oxygenated Hypothermic Machine Perfusion of Porcine Livers: Impact on Hepatobiliary and Endothelial Cell Injury. </w:t>
      </w:r>
      <w:r w:rsidRPr="004A5F47">
        <w:rPr>
          <w:rFonts w:ascii="Book Antiqua" w:hAnsi="Book Antiqua"/>
          <w:i/>
          <w:iCs/>
        </w:rPr>
        <w:t>Transplant Direct</w:t>
      </w:r>
      <w:r w:rsidRPr="004A5F47">
        <w:rPr>
          <w:rFonts w:ascii="Book Antiqua" w:hAnsi="Book Antiqua"/>
        </w:rPr>
        <w:t xml:space="preserve"> 2021; </w:t>
      </w:r>
      <w:r w:rsidRPr="004A5F47">
        <w:rPr>
          <w:rFonts w:ascii="Book Antiqua" w:hAnsi="Book Antiqua"/>
          <w:b/>
          <w:bCs/>
        </w:rPr>
        <w:t>7</w:t>
      </w:r>
      <w:r w:rsidRPr="004A5F47">
        <w:rPr>
          <w:rFonts w:ascii="Book Antiqua" w:hAnsi="Book Antiqua"/>
        </w:rPr>
        <w:t>: e741 [PMID: 34386578 DOI: 10.1097/TXD.0000000000001184]</w:t>
      </w:r>
    </w:p>
    <w:p w14:paraId="14E17F83" w14:textId="77777777" w:rsidR="00AD0097" w:rsidRPr="004A5F47" w:rsidRDefault="00AD0097" w:rsidP="00265460">
      <w:pPr>
        <w:spacing w:line="360" w:lineRule="auto"/>
        <w:jc w:val="both"/>
        <w:rPr>
          <w:rFonts w:ascii="Book Antiqua" w:hAnsi="Book Antiqua"/>
        </w:rPr>
      </w:pPr>
      <w:r w:rsidRPr="004A5F47">
        <w:rPr>
          <w:rFonts w:ascii="Book Antiqua" w:hAnsi="Book Antiqua"/>
        </w:rPr>
        <w:lastRenderedPageBreak/>
        <w:t xml:space="preserve">54 </w:t>
      </w:r>
      <w:r w:rsidRPr="004A5F47">
        <w:rPr>
          <w:rFonts w:ascii="Book Antiqua" w:hAnsi="Book Antiqua"/>
          <w:b/>
          <w:bCs/>
        </w:rPr>
        <w:t>Muller X</w:t>
      </w:r>
      <w:r w:rsidRPr="004A5F47">
        <w:rPr>
          <w:rFonts w:ascii="Book Antiqua" w:hAnsi="Book Antiqua"/>
        </w:rPr>
        <w:t xml:space="preserve">, Schlegel A, Kron P, Eshmuminov D, Würdinger M, Meierhofer D, Clavien PA, Dutkowski P. Novel Real-time Prediction of Liver Graft Function During Hypothermic Oxygenated Machine Perfusion Before Liver Transplantation. </w:t>
      </w:r>
      <w:r w:rsidRPr="004A5F47">
        <w:rPr>
          <w:rFonts w:ascii="Book Antiqua" w:hAnsi="Book Antiqua"/>
          <w:i/>
          <w:iCs/>
        </w:rPr>
        <w:t>Ann Surg</w:t>
      </w:r>
      <w:r w:rsidRPr="004A5F47">
        <w:rPr>
          <w:rFonts w:ascii="Book Antiqua" w:hAnsi="Book Antiqua"/>
        </w:rPr>
        <w:t xml:space="preserve"> 2019; </w:t>
      </w:r>
      <w:r w:rsidRPr="004A5F47">
        <w:rPr>
          <w:rFonts w:ascii="Book Antiqua" w:hAnsi="Book Antiqua"/>
          <w:b/>
          <w:bCs/>
        </w:rPr>
        <w:t>270</w:t>
      </w:r>
      <w:r w:rsidRPr="004A5F47">
        <w:rPr>
          <w:rFonts w:ascii="Book Antiqua" w:hAnsi="Book Antiqua"/>
        </w:rPr>
        <w:t>: 783-790 [PMID: 31592808 DOI: 10.1097/SLA.0000000000003513]</w:t>
      </w:r>
    </w:p>
    <w:p w14:paraId="29E5822F"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55 </w:t>
      </w:r>
      <w:r w:rsidRPr="004A5F47">
        <w:rPr>
          <w:rFonts w:ascii="Book Antiqua" w:hAnsi="Book Antiqua"/>
          <w:b/>
          <w:bCs/>
        </w:rPr>
        <w:t>Schlegel A</w:t>
      </w:r>
      <w:r w:rsidRPr="004A5F47">
        <w:rPr>
          <w:rFonts w:ascii="Book Antiqua" w:hAnsi="Book Antiqua"/>
        </w:rPr>
        <w:t xml:space="preserve">, Muller X, Kalisvaart M, Muellhaupt B, Perera MTPR, Isaac JR, Clavien PA, Muiesan P, Dutkowski P. Outcomes of DCD liver transplantation using organs treated by hypothermic oxygenated perfusion before implantation. </w:t>
      </w:r>
      <w:r w:rsidRPr="004A5F47">
        <w:rPr>
          <w:rFonts w:ascii="Book Antiqua" w:hAnsi="Book Antiqua"/>
          <w:i/>
          <w:iCs/>
        </w:rPr>
        <w:t>J Hepatol</w:t>
      </w:r>
      <w:r w:rsidRPr="004A5F47">
        <w:rPr>
          <w:rFonts w:ascii="Book Antiqua" w:hAnsi="Book Antiqua"/>
        </w:rPr>
        <w:t xml:space="preserve"> 2019; </w:t>
      </w:r>
      <w:r w:rsidRPr="004A5F47">
        <w:rPr>
          <w:rFonts w:ascii="Book Antiqua" w:hAnsi="Book Antiqua"/>
          <w:b/>
          <w:bCs/>
        </w:rPr>
        <w:t>70</w:t>
      </w:r>
      <w:r w:rsidRPr="004A5F47">
        <w:rPr>
          <w:rFonts w:ascii="Book Antiqua" w:hAnsi="Book Antiqua"/>
        </w:rPr>
        <w:t>: 50-57 [PMID: 30342115 DOI: 10.1016/j.jhep.2018.10.005]</w:t>
      </w:r>
    </w:p>
    <w:p w14:paraId="64C00463"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56 </w:t>
      </w:r>
      <w:r w:rsidRPr="004A5F47">
        <w:rPr>
          <w:rFonts w:ascii="Book Antiqua" w:hAnsi="Book Antiqua"/>
          <w:b/>
          <w:bCs/>
        </w:rPr>
        <w:t>Ravaioli M</w:t>
      </w:r>
      <w:r w:rsidRPr="004A5F47">
        <w:rPr>
          <w:rFonts w:ascii="Book Antiqua" w:hAnsi="Book Antiqua"/>
        </w:rPr>
        <w:t xml:space="preserve">, Germinario G, Dajti G, Sessa M, Vasuri F, Siniscalchi A, Morelli MC, Serenari M, Del Gaudio M, Zanfi C, Odaldi F, Bertuzzo VR, Maroni L, Laurenzi A, Cescon M. Hypothermic oxygenated perfusion in extended criteria donor liver transplantation-A randomized clinical trial. </w:t>
      </w:r>
      <w:r w:rsidRPr="004A5F47">
        <w:rPr>
          <w:rFonts w:ascii="Book Antiqua" w:hAnsi="Book Antiqua"/>
          <w:i/>
          <w:iCs/>
        </w:rPr>
        <w:t>Am J Transplant</w:t>
      </w:r>
      <w:r w:rsidRPr="004A5F47">
        <w:rPr>
          <w:rFonts w:ascii="Book Antiqua" w:hAnsi="Book Antiqua"/>
        </w:rPr>
        <w:t xml:space="preserve"> 2022; </w:t>
      </w:r>
      <w:r w:rsidRPr="004A5F47">
        <w:rPr>
          <w:rFonts w:ascii="Book Antiqua" w:hAnsi="Book Antiqua"/>
          <w:b/>
          <w:bCs/>
        </w:rPr>
        <w:t>22</w:t>
      </w:r>
      <w:r w:rsidRPr="004A5F47">
        <w:rPr>
          <w:rFonts w:ascii="Book Antiqua" w:hAnsi="Book Antiqua"/>
        </w:rPr>
        <w:t>: 2401-2408 [PMID: 35671067 DOI: 10.1111/ajt.17115]</w:t>
      </w:r>
    </w:p>
    <w:p w14:paraId="35753676"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57 </w:t>
      </w:r>
      <w:r w:rsidRPr="004A5F47">
        <w:rPr>
          <w:rFonts w:ascii="Book Antiqua" w:hAnsi="Book Antiqua"/>
          <w:b/>
          <w:bCs/>
        </w:rPr>
        <w:t>Czigany Z</w:t>
      </w:r>
      <w:r w:rsidRPr="004A5F47">
        <w:rPr>
          <w:rFonts w:ascii="Book Antiqua" w:hAnsi="Book Antiqua"/>
        </w:rPr>
        <w:t xml:space="preserve">, Pratschke J, Froněk J, Guba M, Schöning W, Raptis DA, Andrassy J, Kramer M, Strnad P, Tolba RH, Liu W, Keller T, Miller H, Pavicevic S, Uluk D, Kocik M, Lurje I, Trautwein C, Mehrabi A, Popescu I, Vondran FWR, Ju C, Tacke F, Neumann UP, Lurje G. Hypothermic Oxygenated Machine Perfusion Reduces Early Allograft Injury and Improves Post-transplant Outcomes in Extended Criteria Donation Liver Transplantation From Donation After Brain Death: Results From a Multicenter Randomized Controlled Trial (HOPE ECD-DBD). </w:t>
      </w:r>
      <w:r w:rsidRPr="004A5F47">
        <w:rPr>
          <w:rFonts w:ascii="Book Antiqua" w:hAnsi="Book Antiqua"/>
          <w:i/>
          <w:iCs/>
        </w:rPr>
        <w:t>Ann Surg</w:t>
      </w:r>
      <w:r w:rsidRPr="004A5F47">
        <w:rPr>
          <w:rFonts w:ascii="Book Antiqua" w:hAnsi="Book Antiqua"/>
        </w:rPr>
        <w:t xml:space="preserve"> 2021; </w:t>
      </w:r>
      <w:r w:rsidRPr="004A5F47">
        <w:rPr>
          <w:rFonts w:ascii="Book Antiqua" w:hAnsi="Book Antiqua"/>
          <w:b/>
          <w:bCs/>
        </w:rPr>
        <w:t>274</w:t>
      </w:r>
      <w:r w:rsidRPr="004A5F47">
        <w:rPr>
          <w:rFonts w:ascii="Book Antiqua" w:hAnsi="Book Antiqua"/>
        </w:rPr>
        <w:t>: 705-712 [PMID: 34334635 DOI: 10.1097/SLA.0000000000005110]</w:t>
      </w:r>
    </w:p>
    <w:p w14:paraId="6CB7274E"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58 </w:t>
      </w:r>
      <w:r w:rsidRPr="004A5F47">
        <w:rPr>
          <w:rFonts w:ascii="Book Antiqua" w:hAnsi="Book Antiqua"/>
          <w:b/>
          <w:bCs/>
        </w:rPr>
        <w:t>Rayar M</w:t>
      </w:r>
      <w:r w:rsidRPr="004A5F47">
        <w:rPr>
          <w:rFonts w:ascii="Book Antiqua" w:hAnsi="Book Antiqua"/>
        </w:rPr>
        <w:t xml:space="preserve">, Beaurepaire JM, Bajeux E, Hamonic S, Renard T, Locher C, Desfourneaux V, Merdrignac A, Bergeat D, Lakehal M, Sulpice L, Houssel-Debry P, Jezequel C, Camus C, Bardou-Jacquet E, Meunier B. Hypothermic Oxygenated Perfusion Improves Extended Criteria Donor Liver Graft Function and Reduces Duration of Hospitalization Without Extra Cost: The PERPHO Study. </w:t>
      </w:r>
      <w:r w:rsidRPr="004A5F47">
        <w:rPr>
          <w:rFonts w:ascii="Book Antiqua" w:hAnsi="Book Antiqua"/>
          <w:i/>
          <w:iCs/>
        </w:rPr>
        <w:t>Liver Transpl</w:t>
      </w:r>
      <w:r w:rsidRPr="004A5F47">
        <w:rPr>
          <w:rFonts w:ascii="Book Antiqua" w:hAnsi="Book Antiqua"/>
        </w:rPr>
        <w:t xml:space="preserve"> 2021; </w:t>
      </w:r>
      <w:r w:rsidRPr="004A5F47">
        <w:rPr>
          <w:rFonts w:ascii="Book Antiqua" w:hAnsi="Book Antiqua"/>
          <w:b/>
          <w:bCs/>
        </w:rPr>
        <w:t>27</w:t>
      </w:r>
      <w:r w:rsidRPr="004A5F47">
        <w:rPr>
          <w:rFonts w:ascii="Book Antiqua" w:hAnsi="Book Antiqua"/>
        </w:rPr>
        <w:t>: 349-362 [PMID: 33237618 DOI: 10.1002/lt.25955]</w:t>
      </w:r>
    </w:p>
    <w:p w14:paraId="496BBE64"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59 </w:t>
      </w:r>
      <w:r w:rsidRPr="004A5F47">
        <w:rPr>
          <w:rFonts w:ascii="Book Antiqua" w:hAnsi="Book Antiqua"/>
          <w:b/>
          <w:bCs/>
        </w:rPr>
        <w:t>Ravaioli M</w:t>
      </w:r>
      <w:r w:rsidRPr="004A5F47">
        <w:rPr>
          <w:rFonts w:ascii="Book Antiqua" w:hAnsi="Book Antiqua"/>
        </w:rPr>
        <w:t xml:space="preserve">, De Pace V, Angeletti A, Comai G, Vasuri F, Baldassarre M, Maroni L, Odaldi F, Fallani G, Caraceni P, Germinario G, Donadei C, Malvi D, Del Gaudio M, Bertuzzo VR, Siniscalchi A, Ranieri VM, D'Errico A, Pasquinelli G, Morelli MC, Pinna </w:t>
      </w:r>
      <w:r w:rsidRPr="004A5F47">
        <w:rPr>
          <w:rFonts w:ascii="Book Antiqua" w:hAnsi="Book Antiqua"/>
        </w:rPr>
        <w:lastRenderedPageBreak/>
        <w:t xml:space="preserve">AD, Cescon M, La Manna G. Hypothermic Oxygenated New Machine Perfusion System in Liver and Kidney Transplantation of Extended Criteria Donors:First Italian Clinical Trial. </w:t>
      </w:r>
      <w:r w:rsidRPr="004A5F47">
        <w:rPr>
          <w:rFonts w:ascii="Book Antiqua" w:hAnsi="Book Antiqua"/>
          <w:i/>
          <w:iCs/>
        </w:rPr>
        <w:t>Sci Rep</w:t>
      </w:r>
      <w:r w:rsidRPr="004A5F47">
        <w:rPr>
          <w:rFonts w:ascii="Book Antiqua" w:hAnsi="Book Antiqua"/>
        </w:rPr>
        <w:t xml:space="preserve"> 2020; </w:t>
      </w:r>
      <w:r w:rsidRPr="004A5F47">
        <w:rPr>
          <w:rFonts w:ascii="Book Antiqua" w:hAnsi="Book Antiqua"/>
          <w:b/>
          <w:bCs/>
        </w:rPr>
        <w:t>10</w:t>
      </w:r>
      <w:r w:rsidRPr="004A5F47">
        <w:rPr>
          <w:rFonts w:ascii="Book Antiqua" w:hAnsi="Book Antiqua"/>
        </w:rPr>
        <w:t>: 6063 [PMID: 32269237 DOI: 10.1038/s41598-020-62979-9]</w:t>
      </w:r>
    </w:p>
    <w:p w14:paraId="4573E11D"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60 </w:t>
      </w:r>
      <w:r w:rsidRPr="004A5F47">
        <w:rPr>
          <w:rFonts w:ascii="Book Antiqua" w:hAnsi="Book Antiqua"/>
          <w:b/>
          <w:bCs/>
        </w:rPr>
        <w:t>Patrono D</w:t>
      </w:r>
      <w:r w:rsidRPr="004A5F47">
        <w:rPr>
          <w:rFonts w:ascii="Book Antiqua" w:hAnsi="Book Antiqua"/>
        </w:rPr>
        <w:t xml:space="preserve">, Cussa D, Sciannameo V, Montanari E, Panconesi R, Berchialla P, Lepore M, Gambella A, Rizza G, Catalano G, Mirabella S, Tandoi F, Lupo F, Balagna R, Salizzoni M, Romagnoli R. Outcome of liver transplantation with grafts from brain-dead donors treated with dual hypothermic oxygenated machine perfusion, with particular reference to elderly donors. </w:t>
      </w:r>
      <w:r w:rsidRPr="004A5F47">
        <w:rPr>
          <w:rFonts w:ascii="Book Antiqua" w:hAnsi="Book Antiqua"/>
          <w:i/>
          <w:iCs/>
        </w:rPr>
        <w:t>Am J Transplant</w:t>
      </w:r>
      <w:r w:rsidRPr="004A5F47">
        <w:rPr>
          <w:rFonts w:ascii="Book Antiqua" w:hAnsi="Book Antiqua"/>
        </w:rPr>
        <w:t xml:space="preserve"> 2022; </w:t>
      </w:r>
      <w:r w:rsidRPr="004A5F47">
        <w:rPr>
          <w:rFonts w:ascii="Book Antiqua" w:hAnsi="Book Antiqua"/>
          <w:b/>
          <w:bCs/>
        </w:rPr>
        <w:t>22</w:t>
      </w:r>
      <w:r w:rsidRPr="004A5F47">
        <w:rPr>
          <w:rFonts w:ascii="Book Antiqua" w:hAnsi="Book Antiqua"/>
        </w:rPr>
        <w:t>: 1382-1395 [PMID: 35150050 DOI: 10.1111/ajt.16996]</w:t>
      </w:r>
    </w:p>
    <w:p w14:paraId="098FE6C3"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61 </w:t>
      </w:r>
      <w:r w:rsidRPr="004A5F47">
        <w:rPr>
          <w:rFonts w:ascii="Book Antiqua" w:hAnsi="Book Antiqua"/>
          <w:b/>
          <w:bCs/>
        </w:rPr>
        <w:t>Schlegel A</w:t>
      </w:r>
      <w:r w:rsidRPr="004A5F47">
        <w:rPr>
          <w:rFonts w:ascii="Book Antiqua" w:hAnsi="Book Antiqua"/>
        </w:rPr>
        <w:t xml:space="preserve">, Mueller M, Muller X, Eden J, Panconesi R, von Felten S, Steigmiller K, Sousa Da Silva RX, de Rougemont O, Mabrut JY, Lesurtel M, Cerisuelo MC, Heaton ND, Allard MA, Adam R, Monbaliu D, Jochmans I, Haring MPD, Porte RJ, Parente A, Muiesan P, Kron P, Attia M, Kollmann D, Berlakovich G, Rogiers X, Petterson K, Kranich AL, Amberg S, Müllhaupt B, Clavien PA, Dutkowski P. A multicenter randomized-controlled trial of hypothermic oxygenated perfusion (HOPE) for human liver grafts before transplantation. </w:t>
      </w:r>
      <w:r w:rsidRPr="004A5F47">
        <w:rPr>
          <w:rFonts w:ascii="Book Antiqua" w:hAnsi="Book Antiqua"/>
          <w:i/>
          <w:iCs/>
        </w:rPr>
        <w:t>J Hepatol</w:t>
      </w:r>
      <w:r w:rsidRPr="004A5F47">
        <w:rPr>
          <w:rFonts w:ascii="Book Antiqua" w:hAnsi="Book Antiqua"/>
        </w:rPr>
        <w:t xml:space="preserve"> 2023; </w:t>
      </w:r>
      <w:r w:rsidRPr="004A5F47">
        <w:rPr>
          <w:rFonts w:ascii="Book Antiqua" w:hAnsi="Book Antiqua"/>
          <w:b/>
          <w:bCs/>
        </w:rPr>
        <w:t>78</w:t>
      </w:r>
      <w:r w:rsidRPr="004A5F47">
        <w:rPr>
          <w:rFonts w:ascii="Book Antiqua" w:hAnsi="Book Antiqua"/>
        </w:rPr>
        <w:t>: 783-793 [PMID: 36681160 DOI: 10.1016/j.jhep.2022.12.030]</w:t>
      </w:r>
    </w:p>
    <w:p w14:paraId="7094766B"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62 </w:t>
      </w:r>
      <w:r w:rsidRPr="004A5F47">
        <w:rPr>
          <w:rFonts w:ascii="Book Antiqua" w:hAnsi="Book Antiqua"/>
          <w:b/>
          <w:bCs/>
        </w:rPr>
        <w:t>Ceresa CDL</w:t>
      </w:r>
      <w:r w:rsidRPr="004A5F47">
        <w:rPr>
          <w:rFonts w:ascii="Book Antiqua" w:hAnsi="Book Antiqua"/>
        </w:rPr>
        <w:t xml:space="preserve">, Nasralla D, Coussios CC, Friend PJ. The case for normothermic machine perfusion in liver transplantation. </w:t>
      </w:r>
      <w:r w:rsidRPr="004A5F47">
        <w:rPr>
          <w:rFonts w:ascii="Book Antiqua" w:hAnsi="Book Antiqua"/>
          <w:i/>
          <w:iCs/>
        </w:rPr>
        <w:t>Liver Transpl</w:t>
      </w:r>
      <w:r w:rsidRPr="004A5F47">
        <w:rPr>
          <w:rFonts w:ascii="Book Antiqua" w:hAnsi="Book Antiqua"/>
        </w:rPr>
        <w:t xml:space="preserve"> 2018; </w:t>
      </w:r>
      <w:r w:rsidRPr="004A5F47">
        <w:rPr>
          <w:rFonts w:ascii="Book Antiqua" w:hAnsi="Book Antiqua"/>
          <w:b/>
          <w:bCs/>
        </w:rPr>
        <w:t>24</w:t>
      </w:r>
      <w:r w:rsidRPr="004A5F47">
        <w:rPr>
          <w:rFonts w:ascii="Book Antiqua" w:hAnsi="Book Antiqua"/>
        </w:rPr>
        <w:t>: 269-275 [PMID: 29272051 DOI: 10.1002/lt.25000]</w:t>
      </w:r>
    </w:p>
    <w:p w14:paraId="0A8FCDD3"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63 </w:t>
      </w:r>
      <w:r w:rsidRPr="004A5F47">
        <w:rPr>
          <w:rFonts w:ascii="Book Antiqua" w:hAnsi="Book Antiqua"/>
          <w:b/>
          <w:bCs/>
        </w:rPr>
        <w:t>Ravikumar R</w:t>
      </w:r>
      <w:r w:rsidRPr="004A5F47">
        <w:rPr>
          <w:rFonts w:ascii="Book Antiqua" w:hAnsi="Book Antiqua"/>
        </w:rPr>
        <w:t xml:space="preserve">, Jassem W, Mergental H, Heaton N, Mirza D, Perera MT, Quaglia A, Holroyd D, Vogel T, Coussios CC, Friend PJ. Liver Transplantation After Ex Vivo Normothermic Machine Preservation: A Phase 1 (First-in-Man) Clinical Trial. </w:t>
      </w:r>
      <w:r w:rsidRPr="004A5F47">
        <w:rPr>
          <w:rFonts w:ascii="Book Antiqua" w:hAnsi="Book Antiqua"/>
          <w:i/>
          <w:iCs/>
        </w:rPr>
        <w:t>Am J Transplant</w:t>
      </w:r>
      <w:r w:rsidRPr="004A5F47">
        <w:rPr>
          <w:rFonts w:ascii="Book Antiqua" w:hAnsi="Book Antiqua"/>
        </w:rPr>
        <w:t xml:space="preserve"> 2016; </w:t>
      </w:r>
      <w:r w:rsidRPr="004A5F47">
        <w:rPr>
          <w:rFonts w:ascii="Book Antiqua" w:hAnsi="Book Antiqua"/>
          <w:b/>
          <w:bCs/>
        </w:rPr>
        <w:t>16</w:t>
      </w:r>
      <w:r w:rsidRPr="004A5F47">
        <w:rPr>
          <w:rFonts w:ascii="Book Antiqua" w:hAnsi="Book Antiqua"/>
        </w:rPr>
        <w:t>: 1779-1787 [PMID: 26752191 DOI: 10.1111/ajt.13708]</w:t>
      </w:r>
    </w:p>
    <w:p w14:paraId="49D7E128"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64 </w:t>
      </w:r>
      <w:r w:rsidRPr="004A5F47">
        <w:rPr>
          <w:rFonts w:ascii="Book Antiqua" w:hAnsi="Book Antiqua"/>
          <w:b/>
          <w:bCs/>
        </w:rPr>
        <w:t>Nasralla D</w:t>
      </w:r>
      <w:r w:rsidRPr="004A5F47">
        <w:rPr>
          <w:rFonts w:ascii="Book Antiqua" w:hAnsi="Book Antiqua"/>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w:t>
      </w:r>
      <w:r w:rsidRPr="004A5F47">
        <w:rPr>
          <w:rFonts w:ascii="Book Antiqua" w:hAnsi="Book Antiqua"/>
        </w:rPr>
        <w:lastRenderedPageBreak/>
        <w:t xml:space="preserve">of normothermic preservation in liver transplantation. </w:t>
      </w:r>
      <w:r w:rsidRPr="004A5F47">
        <w:rPr>
          <w:rFonts w:ascii="Book Antiqua" w:hAnsi="Book Antiqua"/>
          <w:i/>
          <w:iCs/>
        </w:rPr>
        <w:t>Nature</w:t>
      </w:r>
      <w:r w:rsidRPr="004A5F47">
        <w:rPr>
          <w:rFonts w:ascii="Book Antiqua" w:hAnsi="Book Antiqua"/>
        </w:rPr>
        <w:t xml:space="preserve"> 2018; </w:t>
      </w:r>
      <w:r w:rsidRPr="004A5F47">
        <w:rPr>
          <w:rFonts w:ascii="Book Antiqua" w:hAnsi="Book Antiqua"/>
          <w:b/>
          <w:bCs/>
        </w:rPr>
        <w:t>557</w:t>
      </w:r>
      <w:r w:rsidRPr="004A5F47">
        <w:rPr>
          <w:rFonts w:ascii="Book Antiqua" w:hAnsi="Book Antiqua"/>
        </w:rPr>
        <w:t>: 50-56 [PMID: 29670285 DOI: 10.1038/s41586-018-0047-9]</w:t>
      </w:r>
    </w:p>
    <w:p w14:paraId="79E59CA3"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65 </w:t>
      </w:r>
      <w:r w:rsidRPr="004A5F47">
        <w:rPr>
          <w:rFonts w:ascii="Book Antiqua" w:hAnsi="Book Antiqua"/>
          <w:b/>
          <w:bCs/>
        </w:rPr>
        <w:t>Markmann JF</w:t>
      </w:r>
      <w:r w:rsidRPr="004A5F47">
        <w:rPr>
          <w:rFonts w:ascii="Book Antiqua" w:hAnsi="Book Antiqua"/>
        </w:rPr>
        <w:t xml:space="preserve">, Abouljoud MS, Ghobrial RM, Bhati CS, Pelletier SJ, Lu AD, Ottmann S, Klair T, Eymard C, Roll GR, Magliocca J, Pruett TL, Reyes J, Black SM, Marsh CL, Schnickel G, Kinkhabwala M, Florman SS, Merani S, Demetris AJ, Kimura S, Rizzari M, Saharia A, Levy M, Agarwal A, Cigarroa FG, Eason JD, Syed S, Washburn WK, Parekh J, Moon J, Maskin A, Yeh H, Vagefi PA, MacConmara MP. Impact of Portable Normothermic Blood-Based Machine Perfusion on Outcomes of Liver Transplant: The OCS Liver PROTECT Randomized Clinical Trial. </w:t>
      </w:r>
      <w:r w:rsidRPr="004A5F47">
        <w:rPr>
          <w:rFonts w:ascii="Book Antiqua" w:hAnsi="Book Antiqua"/>
          <w:i/>
          <w:iCs/>
        </w:rPr>
        <w:t>JAMA Surg</w:t>
      </w:r>
      <w:r w:rsidRPr="004A5F47">
        <w:rPr>
          <w:rFonts w:ascii="Book Antiqua" w:hAnsi="Book Antiqua"/>
        </w:rPr>
        <w:t xml:space="preserve"> 2022; </w:t>
      </w:r>
      <w:r w:rsidRPr="004A5F47">
        <w:rPr>
          <w:rFonts w:ascii="Book Antiqua" w:hAnsi="Book Antiqua"/>
          <w:b/>
          <w:bCs/>
        </w:rPr>
        <w:t>157</w:t>
      </w:r>
      <w:r w:rsidRPr="004A5F47">
        <w:rPr>
          <w:rFonts w:ascii="Book Antiqua" w:hAnsi="Book Antiqua"/>
        </w:rPr>
        <w:t>: 189-198 [PMID: 34985503 DOI: 10.1001/jamasurg.2021.6781]</w:t>
      </w:r>
    </w:p>
    <w:p w14:paraId="78B702A3"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66 </w:t>
      </w:r>
      <w:r w:rsidRPr="004A5F47">
        <w:rPr>
          <w:rFonts w:ascii="Book Antiqua" w:hAnsi="Book Antiqua"/>
          <w:b/>
          <w:bCs/>
        </w:rPr>
        <w:t>Hann A</w:t>
      </w:r>
      <w:r w:rsidRPr="004A5F47">
        <w:rPr>
          <w:rFonts w:ascii="Book Antiqua" w:hAnsi="Book Antiqua"/>
        </w:rPr>
        <w:t xml:space="preserve">, Lembach H, Nutu A, Mergental H, Isaac JL, Isaac JR, Oo YH, Armstrong MJ, Rajoriya N, Afford S, Bartlett D, Mirza DF, Hartog H, Perera MTPR. Assessment of Deceased Brain Dead Donor Liver Grafts via Normothermic Machine Perfusion: Lactate Clearance Time Threshold Can Be Safely Extended to 6 Hours. </w:t>
      </w:r>
      <w:r w:rsidRPr="004A5F47">
        <w:rPr>
          <w:rFonts w:ascii="Book Antiqua" w:hAnsi="Book Antiqua"/>
          <w:i/>
          <w:iCs/>
        </w:rPr>
        <w:t>Liver Transpl</w:t>
      </w:r>
      <w:r w:rsidRPr="004A5F47">
        <w:rPr>
          <w:rFonts w:ascii="Book Antiqua" w:hAnsi="Book Antiqua"/>
        </w:rPr>
        <w:t xml:space="preserve"> 2022; </w:t>
      </w:r>
      <w:r w:rsidRPr="004A5F47">
        <w:rPr>
          <w:rFonts w:ascii="Book Antiqua" w:hAnsi="Book Antiqua"/>
          <w:b/>
          <w:bCs/>
        </w:rPr>
        <w:t>28</w:t>
      </w:r>
      <w:r w:rsidRPr="004A5F47">
        <w:rPr>
          <w:rFonts w:ascii="Book Antiqua" w:hAnsi="Book Antiqua"/>
        </w:rPr>
        <w:t>: 493-496 [PMID: 34606663 DOI: 10.1002/lt.26317]</w:t>
      </w:r>
    </w:p>
    <w:p w14:paraId="1FED16EF"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67 </w:t>
      </w:r>
      <w:r w:rsidRPr="004A5F47">
        <w:rPr>
          <w:rFonts w:ascii="Book Antiqua" w:hAnsi="Book Antiqua"/>
          <w:b/>
          <w:bCs/>
        </w:rPr>
        <w:t>Mergental H</w:t>
      </w:r>
      <w:r w:rsidRPr="004A5F47">
        <w:rPr>
          <w:rFonts w:ascii="Book Antiqua" w:hAnsi="Book Antiqua"/>
        </w:rPr>
        <w:t xml:space="preserve">, Stephenson BTF, Laing RW, Kirkham AJ, Neil DAH, Wallace LL, Boteon YL, Widmer J, Bhogal RH, Perera MTPR, Smith A, Reynolds GM, Yap C, Hübscher SG, Mirza DF, Afford SC. Development of Clinical Criteria for Functional Assessment to Predict Primary Nonfunction of High-Risk Livers Using Normothermic Machine Perfusion. </w:t>
      </w:r>
      <w:r w:rsidRPr="004A5F47">
        <w:rPr>
          <w:rFonts w:ascii="Book Antiqua" w:hAnsi="Book Antiqua"/>
          <w:i/>
          <w:iCs/>
        </w:rPr>
        <w:t>Liver Transpl</w:t>
      </w:r>
      <w:r w:rsidRPr="004A5F47">
        <w:rPr>
          <w:rFonts w:ascii="Book Antiqua" w:hAnsi="Book Antiqua"/>
        </w:rPr>
        <w:t xml:space="preserve"> 2018; </w:t>
      </w:r>
      <w:r w:rsidRPr="004A5F47">
        <w:rPr>
          <w:rFonts w:ascii="Book Antiqua" w:hAnsi="Book Antiqua"/>
          <w:b/>
          <w:bCs/>
        </w:rPr>
        <w:t>24</w:t>
      </w:r>
      <w:r w:rsidRPr="004A5F47">
        <w:rPr>
          <w:rFonts w:ascii="Book Antiqua" w:hAnsi="Book Antiqua"/>
        </w:rPr>
        <w:t>: 1453-1469 [PMID: 30359490 DOI: 10.1002/lt.25291]</w:t>
      </w:r>
    </w:p>
    <w:p w14:paraId="6595A211"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68 </w:t>
      </w:r>
      <w:r w:rsidRPr="004A5F47">
        <w:rPr>
          <w:rFonts w:ascii="Book Antiqua" w:hAnsi="Book Antiqua"/>
          <w:b/>
          <w:bCs/>
        </w:rPr>
        <w:t>Hann A</w:t>
      </w:r>
      <w:r w:rsidRPr="004A5F47">
        <w:rPr>
          <w:rFonts w:ascii="Book Antiqua" w:hAnsi="Book Antiqua"/>
        </w:rPr>
        <w:t xml:space="preserve">, Nutu A, Clarke G, Patel I, Sneiders D, Oo YH, Hartog H, Perera MTPR. Normothermic Machine Perfusion-Improving the Supply of Transplantable Livers for High-Risk Recipients. </w:t>
      </w:r>
      <w:r w:rsidRPr="004A5F47">
        <w:rPr>
          <w:rFonts w:ascii="Book Antiqua" w:hAnsi="Book Antiqua"/>
          <w:i/>
          <w:iCs/>
        </w:rPr>
        <w:t>Transpl Int</w:t>
      </w:r>
      <w:r w:rsidRPr="004A5F47">
        <w:rPr>
          <w:rFonts w:ascii="Book Antiqua" w:hAnsi="Book Antiqua"/>
        </w:rPr>
        <w:t xml:space="preserve"> 2022; </w:t>
      </w:r>
      <w:r w:rsidRPr="004A5F47">
        <w:rPr>
          <w:rFonts w:ascii="Book Antiqua" w:hAnsi="Book Antiqua"/>
          <w:b/>
          <w:bCs/>
        </w:rPr>
        <w:t>35</w:t>
      </w:r>
      <w:r w:rsidRPr="004A5F47">
        <w:rPr>
          <w:rFonts w:ascii="Book Antiqua" w:hAnsi="Book Antiqua"/>
        </w:rPr>
        <w:t>: 10460 [PMID: 35711320 DOI: 10.3389/ti.2022.10460]</w:t>
      </w:r>
    </w:p>
    <w:p w14:paraId="38775ED0"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69 </w:t>
      </w:r>
      <w:r w:rsidRPr="004A5F47">
        <w:rPr>
          <w:rFonts w:ascii="Book Antiqua" w:hAnsi="Book Antiqua"/>
          <w:b/>
          <w:bCs/>
        </w:rPr>
        <w:t>Hann A</w:t>
      </w:r>
      <w:r w:rsidRPr="004A5F47">
        <w:rPr>
          <w:rFonts w:ascii="Book Antiqua" w:hAnsi="Book Antiqua"/>
        </w:rPr>
        <w:t xml:space="preserve">, Raza SS, Sneiders D, Nutu A, Mergental H, Mirza DF, Hartog H, Perera MTP. Comment on: Static cold storage compared with normothermic machine perfusion of the liver and effect on ischaemic-type biliary lesions after transplantation: a propensity-score matched study. </w:t>
      </w:r>
      <w:r w:rsidRPr="004A5F47">
        <w:rPr>
          <w:rFonts w:ascii="Book Antiqua" w:hAnsi="Book Antiqua"/>
          <w:i/>
          <w:iCs/>
        </w:rPr>
        <w:t>Br J Surg</w:t>
      </w:r>
      <w:r w:rsidRPr="004A5F47">
        <w:rPr>
          <w:rFonts w:ascii="Book Antiqua" w:hAnsi="Book Antiqua"/>
        </w:rPr>
        <w:t xml:space="preserve"> 2021; </w:t>
      </w:r>
      <w:r w:rsidRPr="004A5F47">
        <w:rPr>
          <w:rFonts w:ascii="Book Antiqua" w:hAnsi="Book Antiqua"/>
          <w:b/>
          <w:bCs/>
        </w:rPr>
        <w:t>109</w:t>
      </w:r>
      <w:r w:rsidRPr="004A5F47">
        <w:rPr>
          <w:rFonts w:ascii="Book Antiqua" w:hAnsi="Book Antiqua"/>
        </w:rPr>
        <w:t>: e12-e13 [PMID: 34672319 DOI: 10.1093/bjs/znab349]</w:t>
      </w:r>
    </w:p>
    <w:p w14:paraId="567D15F9"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70 </w:t>
      </w:r>
      <w:r w:rsidRPr="004A5F47">
        <w:rPr>
          <w:rFonts w:ascii="Book Antiqua" w:hAnsi="Book Antiqua"/>
          <w:b/>
          <w:bCs/>
        </w:rPr>
        <w:t>Mergental H</w:t>
      </w:r>
      <w:r w:rsidRPr="004A5F47">
        <w:rPr>
          <w:rFonts w:ascii="Book Antiqua" w:hAnsi="Book Antiqua"/>
        </w:rPr>
        <w:t xml:space="preserve">, Perera MT, Laing RW, Muiesan P, Isaac JR, Smith A, Stephenson BT, Cilliers H, Neil DA, Hübscher SG, Afford SC, Mirza DF. Transplantation of Declined </w:t>
      </w:r>
      <w:r w:rsidRPr="004A5F47">
        <w:rPr>
          <w:rFonts w:ascii="Book Antiqua" w:hAnsi="Book Antiqua"/>
        </w:rPr>
        <w:lastRenderedPageBreak/>
        <w:t xml:space="preserve">Liver Allografts Following Normothermic Ex-Situ Evaluation. </w:t>
      </w:r>
      <w:r w:rsidRPr="004A5F47">
        <w:rPr>
          <w:rFonts w:ascii="Book Antiqua" w:hAnsi="Book Antiqua"/>
          <w:i/>
          <w:iCs/>
        </w:rPr>
        <w:t>Am J Transplant</w:t>
      </w:r>
      <w:r w:rsidRPr="004A5F47">
        <w:rPr>
          <w:rFonts w:ascii="Book Antiqua" w:hAnsi="Book Antiqua"/>
        </w:rPr>
        <w:t xml:space="preserve"> 2016; </w:t>
      </w:r>
      <w:r w:rsidRPr="004A5F47">
        <w:rPr>
          <w:rFonts w:ascii="Book Antiqua" w:hAnsi="Book Antiqua"/>
          <w:b/>
          <w:bCs/>
        </w:rPr>
        <w:t>16</w:t>
      </w:r>
      <w:r w:rsidRPr="004A5F47">
        <w:rPr>
          <w:rFonts w:ascii="Book Antiqua" w:hAnsi="Book Antiqua"/>
        </w:rPr>
        <w:t>: 3235-3245 [PMID: 27192971 DOI: 10.1111/ajt.13875]</w:t>
      </w:r>
    </w:p>
    <w:p w14:paraId="17C0C514"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71 </w:t>
      </w:r>
      <w:r w:rsidRPr="004A5F47">
        <w:rPr>
          <w:rFonts w:ascii="Book Antiqua" w:hAnsi="Book Antiqua"/>
          <w:b/>
          <w:bCs/>
        </w:rPr>
        <w:t>Mergental H</w:t>
      </w:r>
      <w:r w:rsidRPr="004A5F47">
        <w:rPr>
          <w:rFonts w:ascii="Book Antiqua" w:hAnsi="Book Antiqua"/>
        </w:rPr>
        <w:t xml:space="preserve">, Laing RW, Kirkham AJ, Perera MTPR, Boteon YL, Attard J, Barton D, Curbishley S, Wilkhu M, Neil DAH, Hübscher SG, Muiesan P, Isaac JR, Roberts KJ, Abradelo M, Schlegel A, Ferguson J, Cilliers H, Bion J, Adams DH, Morris C, Friend PJ, Yap C, Afford SC, Mirza DF. Transplantation of discarded livers following viability testing with normothermic machine perfusion. </w:t>
      </w:r>
      <w:r w:rsidRPr="004A5F47">
        <w:rPr>
          <w:rFonts w:ascii="Book Antiqua" w:hAnsi="Book Antiqua"/>
          <w:i/>
          <w:iCs/>
        </w:rPr>
        <w:t>Nat Commun</w:t>
      </w:r>
      <w:r w:rsidRPr="004A5F47">
        <w:rPr>
          <w:rFonts w:ascii="Book Antiqua" w:hAnsi="Book Antiqua"/>
        </w:rPr>
        <w:t xml:space="preserve"> 2020; </w:t>
      </w:r>
      <w:r w:rsidRPr="004A5F47">
        <w:rPr>
          <w:rFonts w:ascii="Book Antiqua" w:hAnsi="Book Antiqua"/>
          <w:b/>
          <w:bCs/>
        </w:rPr>
        <w:t>11</w:t>
      </w:r>
      <w:r w:rsidRPr="004A5F47">
        <w:rPr>
          <w:rFonts w:ascii="Book Antiqua" w:hAnsi="Book Antiqua"/>
        </w:rPr>
        <w:t>: 2939 [PMID: 32546694 DOI: 10.1038/s41467-020-16251-3]</w:t>
      </w:r>
    </w:p>
    <w:p w14:paraId="59555F04"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72 </w:t>
      </w:r>
      <w:r w:rsidRPr="004A5F47">
        <w:rPr>
          <w:rFonts w:ascii="Book Antiqua" w:hAnsi="Book Antiqua"/>
          <w:b/>
          <w:bCs/>
        </w:rPr>
        <w:t>Reiling J</w:t>
      </w:r>
      <w:r w:rsidRPr="004A5F47">
        <w:rPr>
          <w:rFonts w:ascii="Book Antiqua" w:hAnsi="Book Antiqua"/>
        </w:rPr>
        <w:t xml:space="preserve">, Butler N, Simpson A, Hodgkinson P, Campbell C, Lockwood D, Bridle K, Santrampurwala N, Britton L, Crawford D, Dejong CHC, Fawcett J. Assessment and Transplantation of Orphan Donor Livers: A Back-to-Base Approach to Normothermic Machine Perfusion. </w:t>
      </w:r>
      <w:r w:rsidRPr="004A5F47">
        <w:rPr>
          <w:rFonts w:ascii="Book Antiqua" w:hAnsi="Book Antiqua"/>
          <w:i/>
          <w:iCs/>
        </w:rPr>
        <w:t>Liver Transpl</w:t>
      </w:r>
      <w:r w:rsidRPr="004A5F47">
        <w:rPr>
          <w:rFonts w:ascii="Book Antiqua" w:hAnsi="Book Antiqua"/>
        </w:rPr>
        <w:t xml:space="preserve"> 2020; </w:t>
      </w:r>
      <w:r w:rsidRPr="004A5F47">
        <w:rPr>
          <w:rFonts w:ascii="Book Antiqua" w:hAnsi="Book Antiqua"/>
          <w:b/>
          <w:bCs/>
        </w:rPr>
        <w:t>26</w:t>
      </w:r>
      <w:r w:rsidRPr="004A5F47">
        <w:rPr>
          <w:rFonts w:ascii="Book Antiqua" w:hAnsi="Book Antiqua"/>
        </w:rPr>
        <w:t>: 1618-1628 [PMID: 32682340 DOI: 10.1002/lt.25850]</w:t>
      </w:r>
    </w:p>
    <w:p w14:paraId="3B2AF29F"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73 </w:t>
      </w:r>
      <w:r w:rsidRPr="004A5F47">
        <w:rPr>
          <w:rFonts w:ascii="Book Antiqua" w:hAnsi="Book Antiqua"/>
          <w:b/>
          <w:bCs/>
        </w:rPr>
        <w:t>Marcon F</w:t>
      </w:r>
      <w:r w:rsidRPr="004A5F47">
        <w:rPr>
          <w:rFonts w:ascii="Book Antiqua" w:hAnsi="Book Antiqua"/>
        </w:rPr>
        <w:t xml:space="preserve">, Schlegel A, Bartlett DC, Kalisvaart M, Bishop D, Mergental H, Roberts KJ, Mirza DF, Isaac J, Muiesan P, Perera MT. Utilization of Declined Liver Grafts Yields Comparable Transplant Outcomes and Previous Decline Should Not Be a Deterrent to Graft Use. </w:t>
      </w:r>
      <w:r w:rsidRPr="004A5F47">
        <w:rPr>
          <w:rFonts w:ascii="Book Antiqua" w:hAnsi="Book Antiqua"/>
          <w:i/>
          <w:iCs/>
        </w:rPr>
        <w:t>Transplantation</w:t>
      </w:r>
      <w:r w:rsidRPr="004A5F47">
        <w:rPr>
          <w:rFonts w:ascii="Book Antiqua" w:hAnsi="Book Antiqua"/>
        </w:rPr>
        <w:t xml:space="preserve"> 2018; </w:t>
      </w:r>
      <w:r w:rsidRPr="004A5F47">
        <w:rPr>
          <w:rFonts w:ascii="Book Antiqua" w:hAnsi="Book Antiqua"/>
          <w:b/>
          <w:bCs/>
        </w:rPr>
        <w:t>102</w:t>
      </w:r>
      <w:r w:rsidRPr="004A5F47">
        <w:rPr>
          <w:rFonts w:ascii="Book Antiqua" w:hAnsi="Book Antiqua"/>
        </w:rPr>
        <w:t>: e211-e218 [PMID: 29702538 DOI: 10.1097/TP.0000000000002127]</w:t>
      </w:r>
    </w:p>
    <w:p w14:paraId="79AA9340"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74 </w:t>
      </w:r>
      <w:r w:rsidRPr="004A5F47">
        <w:rPr>
          <w:rFonts w:ascii="Book Antiqua" w:hAnsi="Book Antiqua"/>
          <w:b/>
          <w:bCs/>
        </w:rPr>
        <w:t>Ghinolfi D</w:t>
      </w:r>
      <w:r w:rsidRPr="004A5F47">
        <w:rPr>
          <w:rFonts w:ascii="Book Antiqua" w:hAnsi="Book Antiqua"/>
        </w:rPr>
        <w:t xml:space="preserve">, Rreka E, De Tata V, Franzini M, Pezzati D, Fierabracci V, Masini M, Cacciatoinsilla A, Bindi ML, Marselli L, Mazzotti V, Morganti R, Marchetti P, Biancofiore G, Campani D, Paolicchi A, De Simone P. Pilot, Open, Randomized, Prospective Trial for Normothermic Machine Perfusion Evaluation in Liver Transplantation From Older Donors. </w:t>
      </w:r>
      <w:r w:rsidRPr="004A5F47">
        <w:rPr>
          <w:rFonts w:ascii="Book Antiqua" w:hAnsi="Book Antiqua"/>
          <w:i/>
          <w:iCs/>
        </w:rPr>
        <w:t>Liver Transpl</w:t>
      </w:r>
      <w:r w:rsidRPr="004A5F47">
        <w:rPr>
          <w:rFonts w:ascii="Book Antiqua" w:hAnsi="Book Antiqua"/>
        </w:rPr>
        <w:t xml:space="preserve"> 2019; </w:t>
      </w:r>
      <w:r w:rsidRPr="004A5F47">
        <w:rPr>
          <w:rFonts w:ascii="Book Antiqua" w:hAnsi="Book Antiqua"/>
          <w:b/>
          <w:bCs/>
        </w:rPr>
        <w:t>25</w:t>
      </w:r>
      <w:r w:rsidRPr="004A5F47">
        <w:rPr>
          <w:rFonts w:ascii="Book Antiqua" w:hAnsi="Book Antiqua"/>
        </w:rPr>
        <w:t>: 436-449 [PMID: 30362649 DOI: 10.1002/lt.25362]</w:t>
      </w:r>
    </w:p>
    <w:p w14:paraId="1FE0081F"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75 </w:t>
      </w:r>
      <w:r w:rsidRPr="004A5F47">
        <w:rPr>
          <w:rFonts w:ascii="Book Antiqua" w:hAnsi="Book Antiqua"/>
          <w:b/>
          <w:bCs/>
        </w:rPr>
        <w:t>Fodor M</w:t>
      </w:r>
      <w:r w:rsidRPr="004A5F47">
        <w:rPr>
          <w:rFonts w:ascii="Book Antiqua" w:hAnsi="Book Antiqua"/>
        </w:rPr>
        <w:t xml:space="preserve">, Cardini B, Peter W, Weissenbacher A, Oberhuber R, Hautz T, Otarashvili G, Margreiter C, Maglione M, Resch T, Krendl F, Meszaros AT, Bogensperger C, Gasteiger S, Messner F, Henninger B, Zoller H, Tilg H, Öfner D, Schneeberger S. Static cold storage compared with normothermic machine perfusion of the liver and effect on ischaemic-type biliary lesions after transplantation: a propensity score-matched study. </w:t>
      </w:r>
      <w:r w:rsidRPr="004A5F47">
        <w:rPr>
          <w:rFonts w:ascii="Book Antiqua" w:hAnsi="Book Antiqua"/>
          <w:i/>
          <w:iCs/>
        </w:rPr>
        <w:t>Br J Surg</w:t>
      </w:r>
      <w:r w:rsidRPr="004A5F47">
        <w:rPr>
          <w:rFonts w:ascii="Book Antiqua" w:hAnsi="Book Antiqua"/>
        </w:rPr>
        <w:t xml:space="preserve"> 2021; </w:t>
      </w:r>
      <w:r w:rsidRPr="004A5F47">
        <w:rPr>
          <w:rFonts w:ascii="Book Antiqua" w:hAnsi="Book Antiqua"/>
          <w:b/>
          <w:bCs/>
        </w:rPr>
        <w:t>108</w:t>
      </w:r>
      <w:r w:rsidRPr="004A5F47">
        <w:rPr>
          <w:rFonts w:ascii="Book Antiqua" w:hAnsi="Book Antiqua"/>
        </w:rPr>
        <w:t>: 1082-1089 [PMID: 34027968 DOI: 10.1093/bjs/znab118]</w:t>
      </w:r>
    </w:p>
    <w:p w14:paraId="70A44920" w14:textId="77777777" w:rsidR="00AD0097" w:rsidRPr="004A5F47" w:rsidRDefault="00AD0097" w:rsidP="00265460">
      <w:pPr>
        <w:spacing w:line="360" w:lineRule="auto"/>
        <w:jc w:val="both"/>
        <w:rPr>
          <w:rFonts w:ascii="Book Antiqua" w:hAnsi="Book Antiqua"/>
        </w:rPr>
      </w:pPr>
      <w:r w:rsidRPr="004A5F47">
        <w:rPr>
          <w:rFonts w:ascii="Book Antiqua" w:hAnsi="Book Antiqua"/>
        </w:rPr>
        <w:lastRenderedPageBreak/>
        <w:t xml:space="preserve">76 </w:t>
      </w:r>
      <w:r w:rsidRPr="004A5F47">
        <w:rPr>
          <w:rFonts w:ascii="Book Antiqua" w:hAnsi="Book Antiqua"/>
          <w:b/>
          <w:bCs/>
        </w:rPr>
        <w:t>Matton APM</w:t>
      </w:r>
      <w:r w:rsidRPr="004A5F47">
        <w:rPr>
          <w:rFonts w:ascii="Book Antiqua" w:hAnsi="Book Antiqua"/>
        </w:rPr>
        <w:t xml:space="preserve">, de Vries Y, Burlage LC, van Rijn R, Fujiyoshi M, de Meijer VE, de Boer MT, de Kleine RHJ, Verkade HJ, Gouw ASH, Lisman T, Porte RJ. Biliary Bicarbonate, pH, and Glucose Are Suitable Biomarkers of Biliary Viability During Ex Situ Normothermic Machine Perfusion of Human Donor Livers. </w:t>
      </w:r>
      <w:r w:rsidRPr="004A5F47">
        <w:rPr>
          <w:rFonts w:ascii="Book Antiqua" w:hAnsi="Book Antiqua"/>
          <w:i/>
          <w:iCs/>
        </w:rPr>
        <w:t>Transplantation</w:t>
      </w:r>
      <w:r w:rsidRPr="004A5F47">
        <w:rPr>
          <w:rFonts w:ascii="Book Antiqua" w:hAnsi="Book Antiqua"/>
        </w:rPr>
        <w:t xml:space="preserve"> 2019; </w:t>
      </w:r>
      <w:r w:rsidRPr="004A5F47">
        <w:rPr>
          <w:rFonts w:ascii="Book Antiqua" w:hAnsi="Book Antiqua"/>
          <w:b/>
          <w:bCs/>
        </w:rPr>
        <w:t>103</w:t>
      </w:r>
      <w:r w:rsidRPr="004A5F47">
        <w:rPr>
          <w:rFonts w:ascii="Book Antiqua" w:hAnsi="Book Antiqua"/>
        </w:rPr>
        <w:t>: 1405-1413 [PMID: 30395120 DOI: 10.1097/TP.0000000000002500]</w:t>
      </w:r>
    </w:p>
    <w:p w14:paraId="699655D8"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77 </w:t>
      </w:r>
      <w:r w:rsidRPr="004A5F47">
        <w:rPr>
          <w:rFonts w:ascii="Book Antiqua" w:hAnsi="Book Antiqua"/>
          <w:b/>
          <w:bCs/>
        </w:rPr>
        <w:t>Watson CJE</w:t>
      </w:r>
      <w:r w:rsidRPr="004A5F47">
        <w:rPr>
          <w:rFonts w:ascii="Book Antiqua" w:hAnsi="Book Antiqua"/>
        </w:rPr>
        <w:t xml:space="preserve">, Kosmoliaptsis V, Pley C, Randle L, Fear C, Crick K, Gimson AE, Allison M, Upponi S, Brais R, Jochmans I, Butler AJ. Observations on the ex situ perfusion of livers for transplantation. </w:t>
      </w:r>
      <w:r w:rsidRPr="004A5F47">
        <w:rPr>
          <w:rFonts w:ascii="Book Antiqua" w:hAnsi="Book Antiqua"/>
          <w:i/>
          <w:iCs/>
        </w:rPr>
        <w:t>Am J Transplant</w:t>
      </w:r>
      <w:r w:rsidRPr="004A5F47">
        <w:rPr>
          <w:rFonts w:ascii="Book Antiqua" w:hAnsi="Book Antiqua"/>
        </w:rPr>
        <w:t xml:space="preserve"> 2018; </w:t>
      </w:r>
      <w:r w:rsidRPr="004A5F47">
        <w:rPr>
          <w:rFonts w:ascii="Book Antiqua" w:hAnsi="Book Antiqua"/>
          <w:b/>
          <w:bCs/>
        </w:rPr>
        <w:t>18</w:t>
      </w:r>
      <w:r w:rsidRPr="004A5F47">
        <w:rPr>
          <w:rFonts w:ascii="Book Antiqua" w:hAnsi="Book Antiqua"/>
        </w:rPr>
        <w:t>: 2005-2020 [PMID: 29419931 DOI: 10.1111/ajt.14687]</w:t>
      </w:r>
    </w:p>
    <w:p w14:paraId="47683E06"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78 </w:t>
      </w:r>
      <w:r w:rsidRPr="004A5F47">
        <w:rPr>
          <w:rFonts w:ascii="Book Antiqua" w:hAnsi="Book Antiqua"/>
          <w:b/>
          <w:bCs/>
        </w:rPr>
        <w:t>Watson CJE</w:t>
      </w:r>
      <w:r w:rsidRPr="004A5F47">
        <w:rPr>
          <w:rFonts w:ascii="Book Antiqua" w:hAnsi="Book Antiqua"/>
        </w:rPr>
        <w:t xml:space="preserve">, Gaurav R, Fear C, Swift L, Selves L, Ceresa CDL, Upponi SS, Brais R, Allison M, Macdonald-Wallis C, Taylor R, Butler AJ. Predicting Early Allograft Function After Normothermic Machine Perfusion. </w:t>
      </w:r>
      <w:r w:rsidRPr="004A5F47">
        <w:rPr>
          <w:rFonts w:ascii="Book Antiqua" w:hAnsi="Book Antiqua"/>
          <w:i/>
          <w:iCs/>
        </w:rPr>
        <w:t>Transplantation</w:t>
      </w:r>
      <w:r w:rsidRPr="004A5F47">
        <w:rPr>
          <w:rFonts w:ascii="Book Antiqua" w:hAnsi="Book Antiqua"/>
        </w:rPr>
        <w:t xml:space="preserve"> 2022; </w:t>
      </w:r>
      <w:r w:rsidRPr="004A5F47">
        <w:rPr>
          <w:rFonts w:ascii="Book Antiqua" w:hAnsi="Book Antiqua"/>
          <w:b/>
          <w:bCs/>
        </w:rPr>
        <w:t>106</w:t>
      </w:r>
      <w:r w:rsidRPr="004A5F47">
        <w:rPr>
          <w:rFonts w:ascii="Book Antiqua" w:hAnsi="Book Antiqua"/>
        </w:rPr>
        <w:t>: 2391-2398 [PMID: 36044364 DOI: 10.1097/TP.0000000000004263]</w:t>
      </w:r>
    </w:p>
    <w:p w14:paraId="05203E01"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79 </w:t>
      </w:r>
      <w:r w:rsidRPr="004A5F47">
        <w:rPr>
          <w:rFonts w:ascii="Book Antiqua" w:hAnsi="Book Antiqua"/>
          <w:b/>
          <w:bCs/>
        </w:rPr>
        <w:t>Ghinolfi D</w:t>
      </w:r>
      <w:r w:rsidRPr="004A5F47">
        <w:rPr>
          <w:rFonts w:ascii="Book Antiqua" w:hAnsi="Book Antiqua"/>
        </w:rPr>
        <w:t xml:space="preserve">, Dondossola D, Rreka E, Lonati C, Pezzati D, Cacciatoinsilla A, Kersik A, Lazzeri C, Zanella A, Peris A, Maggioni M, Biancofiore G, Reggiani P, Morganti R, De Simone P, Rossi G. Sequential Use of Normothermic Regional and Ex Situ Machine Perfusion in Donation After Circulatory Death Liver Transplant. </w:t>
      </w:r>
      <w:r w:rsidRPr="004A5F47">
        <w:rPr>
          <w:rFonts w:ascii="Book Antiqua" w:hAnsi="Book Antiqua"/>
          <w:i/>
          <w:iCs/>
        </w:rPr>
        <w:t>Liver Transpl</w:t>
      </w:r>
      <w:r w:rsidRPr="004A5F47">
        <w:rPr>
          <w:rFonts w:ascii="Book Antiqua" w:hAnsi="Book Antiqua"/>
        </w:rPr>
        <w:t xml:space="preserve"> 2021; </w:t>
      </w:r>
      <w:r w:rsidRPr="004A5F47">
        <w:rPr>
          <w:rFonts w:ascii="Book Antiqua" w:hAnsi="Book Antiqua"/>
          <w:b/>
          <w:bCs/>
        </w:rPr>
        <w:t>27</w:t>
      </w:r>
      <w:r w:rsidRPr="004A5F47">
        <w:rPr>
          <w:rFonts w:ascii="Book Antiqua" w:hAnsi="Book Antiqua"/>
        </w:rPr>
        <w:t>: 385-402 [PMID: 32949117 DOI: 10.1002/lt.25899]</w:t>
      </w:r>
    </w:p>
    <w:p w14:paraId="40F76D54"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80 </w:t>
      </w:r>
      <w:r w:rsidRPr="004A5F47">
        <w:rPr>
          <w:rFonts w:ascii="Book Antiqua" w:hAnsi="Book Antiqua"/>
          <w:b/>
          <w:bCs/>
        </w:rPr>
        <w:t>van Leeuwen OB</w:t>
      </w:r>
      <w:r w:rsidRPr="004A5F47">
        <w:rPr>
          <w:rFonts w:ascii="Book Antiqua" w:hAnsi="Book Antiqua"/>
        </w:rPr>
        <w:t xml:space="preserve">, Bodewes SB, Lantinga VA, Haring MPD, Thorne AM, Brüggenwirth IMA, van den Berg AP, de Boer MT, de Jong IEM, de Kleine RHJ, Lascaris B, Nijsten MWN, Reyntjens KMEM, de Meijer VE, Porte RJ. Sequential hypothermic and normothermic machine perfusion enables safe transplantation of high-risk donor livers. </w:t>
      </w:r>
      <w:r w:rsidRPr="004A5F47">
        <w:rPr>
          <w:rFonts w:ascii="Book Antiqua" w:hAnsi="Book Antiqua"/>
          <w:i/>
          <w:iCs/>
        </w:rPr>
        <w:t>Am J Transplant</w:t>
      </w:r>
      <w:r w:rsidRPr="004A5F47">
        <w:rPr>
          <w:rFonts w:ascii="Book Antiqua" w:hAnsi="Book Antiqua"/>
        </w:rPr>
        <w:t xml:space="preserve"> 2022; </w:t>
      </w:r>
      <w:r w:rsidRPr="004A5F47">
        <w:rPr>
          <w:rFonts w:ascii="Book Antiqua" w:hAnsi="Book Antiqua"/>
          <w:b/>
          <w:bCs/>
        </w:rPr>
        <w:t>22</w:t>
      </w:r>
      <w:r w:rsidRPr="004A5F47">
        <w:rPr>
          <w:rFonts w:ascii="Book Antiqua" w:hAnsi="Book Antiqua"/>
        </w:rPr>
        <w:t>: 1658-1670 [PMID: 35286759 DOI: 10.1111/ajt.17022]</w:t>
      </w:r>
    </w:p>
    <w:p w14:paraId="6F29F57F" w14:textId="77777777" w:rsidR="00AD0097" w:rsidRPr="004A5F47" w:rsidRDefault="00AD0097" w:rsidP="00265460">
      <w:pPr>
        <w:spacing w:line="360" w:lineRule="auto"/>
        <w:jc w:val="both"/>
        <w:rPr>
          <w:rFonts w:ascii="Book Antiqua" w:hAnsi="Book Antiqua"/>
        </w:rPr>
      </w:pPr>
      <w:r w:rsidRPr="004A5F47">
        <w:rPr>
          <w:rFonts w:ascii="Book Antiqua" w:hAnsi="Book Antiqua"/>
        </w:rPr>
        <w:t xml:space="preserve">81 </w:t>
      </w:r>
      <w:r w:rsidRPr="004A5F47">
        <w:rPr>
          <w:rFonts w:ascii="Book Antiqua" w:hAnsi="Book Antiqua"/>
          <w:b/>
          <w:bCs/>
        </w:rPr>
        <w:t>Guo Z</w:t>
      </w:r>
      <w:r w:rsidRPr="004A5F47">
        <w:rPr>
          <w:rFonts w:ascii="Book Antiqua" w:hAnsi="Book Antiqua"/>
        </w:rPr>
        <w:t xml:space="preserve">, Zhao Q, Huang S, Huang C, Wang D, Yang L, Zhang J, Chen M, Wu L, Zhang Z, Zhu Z, Wang L, Zhu C, Zhang Y, Tang Y, Sun C, Xiong W, Shen Y, Chen X, Xu J, Wang T, Ma Y, Hu A, Chen Y, Zhu X, Rong J, Cai C, Gong F, Guan X, Huang W, Ko DS, Li X, Tullius SG, Huang J, Ju W, He X. Ischaemia-free liver transplantation in humans: a first-in-human trial. </w:t>
      </w:r>
      <w:r w:rsidRPr="004A5F47">
        <w:rPr>
          <w:rFonts w:ascii="Book Antiqua" w:hAnsi="Book Antiqua"/>
          <w:i/>
          <w:iCs/>
        </w:rPr>
        <w:t>Lancet Reg Health West Pac</w:t>
      </w:r>
      <w:r w:rsidRPr="004A5F47">
        <w:rPr>
          <w:rFonts w:ascii="Book Antiqua" w:hAnsi="Book Antiqua"/>
        </w:rPr>
        <w:t xml:space="preserve"> 2021; </w:t>
      </w:r>
      <w:r w:rsidRPr="004A5F47">
        <w:rPr>
          <w:rFonts w:ascii="Book Antiqua" w:hAnsi="Book Antiqua"/>
          <w:b/>
          <w:bCs/>
        </w:rPr>
        <w:t>16</w:t>
      </w:r>
      <w:r w:rsidRPr="004A5F47">
        <w:rPr>
          <w:rFonts w:ascii="Book Antiqua" w:hAnsi="Book Antiqua"/>
        </w:rPr>
        <w:t>: 100260 [PMID: 34590063 DOI: 10.1016/j.lanwpc.2021.100260]</w:t>
      </w:r>
    </w:p>
    <w:p w14:paraId="37BBFC01" w14:textId="77777777" w:rsidR="00AD0097" w:rsidRPr="004A5F47" w:rsidRDefault="00AD0097" w:rsidP="00265460">
      <w:pPr>
        <w:spacing w:line="360" w:lineRule="auto"/>
        <w:jc w:val="both"/>
        <w:rPr>
          <w:rFonts w:ascii="Book Antiqua" w:hAnsi="Book Antiqua"/>
        </w:rPr>
      </w:pPr>
      <w:r w:rsidRPr="004A5F47">
        <w:rPr>
          <w:rFonts w:ascii="Book Antiqua" w:hAnsi="Book Antiqua"/>
        </w:rPr>
        <w:lastRenderedPageBreak/>
        <w:t xml:space="preserve">82 </w:t>
      </w:r>
      <w:r w:rsidRPr="004A5F47">
        <w:rPr>
          <w:rFonts w:ascii="Book Antiqua" w:hAnsi="Book Antiqua"/>
          <w:b/>
          <w:bCs/>
        </w:rPr>
        <w:t>Hann A</w:t>
      </w:r>
      <w:r w:rsidRPr="004A5F47">
        <w:rPr>
          <w:rFonts w:ascii="Book Antiqua" w:hAnsi="Book Antiqua"/>
        </w:rPr>
        <w:t xml:space="preserve">, Lembach H, Nutu A, Dassanayake B, Tillakaratne S, McKay SC, Boteon APCS, Boteon YL, Mergental H, Murphy N, Bangash MN, Neil DAH, Issac JL, Javed N, Faulkner T, Bennet D, Moore R, Vasanth S, Subash G, Cuell J, Rao R, Cilliers H, Russel S, Haydon G, Mutimer D, Roberts KJ, Mirza DF, Ferguson J, Bartlett D, Isaac JR, Rajoriya N, Armstrong MJ, Hartog H, Perera MTPR. Outcomes of normothermic machine perfusion of liver grafts in repeat liver transplantation (NAPLES initiative). </w:t>
      </w:r>
      <w:r w:rsidRPr="004A5F47">
        <w:rPr>
          <w:rFonts w:ascii="Book Antiqua" w:hAnsi="Book Antiqua"/>
          <w:i/>
          <w:iCs/>
        </w:rPr>
        <w:t>Br J Surg</w:t>
      </w:r>
      <w:r w:rsidRPr="004A5F47">
        <w:rPr>
          <w:rFonts w:ascii="Book Antiqua" w:hAnsi="Book Antiqua"/>
        </w:rPr>
        <w:t xml:space="preserve"> 2022; </w:t>
      </w:r>
      <w:r w:rsidRPr="004A5F47">
        <w:rPr>
          <w:rFonts w:ascii="Book Antiqua" w:hAnsi="Book Antiqua"/>
          <w:b/>
          <w:bCs/>
        </w:rPr>
        <w:t>109</w:t>
      </w:r>
      <w:r w:rsidRPr="004A5F47">
        <w:rPr>
          <w:rFonts w:ascii="Book Antiqua" w:hAnsi="Book Antiqua"/>
        </w:rPr>
        <w:t>: 372-380 [PMID: 35170730 DOI: 10.1093/bjs/znab475]</w:t>
      </w:r>
    </w:p>
    <w:p w14:paraId="5956E264" w14:textId="028BDF2E" w:rsidR="00641614" w:rsidRPr="004A5F47" w:rsidRDefault="00641614" w:rsidP="00265460">
      <w:pPr>
        <w:spacing w:line="360" w:lineRule="auto"/>
        <w:jc w:val="both"/>
        <w:rPr>
          <w:rFonts w:ascii="Book Antiqua" w:hAnsi="Book Antiqua"/>
        </w:rPr>
      </w:pPr>
      <w:r w:rsidRPr="004A5F47">
        <w:rPr>
          <w:rFonts w:ascii="Book Antiqua" w:hAnsi="Book Antiqua"/>
        </w:rPr>
        <w:t>8</w:t>
      </w:r>
      <w:r w:rsidRPr="004A5F47">
        <w:rPr>
          <w:rFonts w:ascii="Book Antiqua" w:hAnsi="Book Antiqua"/>
          <w:lang w:eastAsia="zh-CN"/>
        </w:rPr>
        <w:t>3</w:t>
      </w:r>
      <w:r w:rsidRPr="004A5F47">
        <w:rPr>
          <w:rFonts w:ascii="Book Antiqua" w:hAnsi="Book Antiqua"/>
        </w:rPr>
        <w:t xml:space="preserve"> </w:t>
      </w:r>
      <w:r w:rsidRPr="004A5F47">
        <w:rPr>
          <w:rFonts w:ascii="Book Antiqua" w:hAnsi="Book Antiqua"/>
          <w:b/>
          <w:bCs/>
        </w:rPr>
        <w:t>Bral M</w:t>
      </w:r>
      <w:r w:rsidRPr="004A5F47">
        <w:rPr>
          <w:rFonts w:ascii="Book Antiqua" w:hAnsi="Book Antiqua"/>
        </w:rPr>
        <w:t xml:space="preserve">, Dajani K, Leon Izquierdo D, Bigam D, Kneteman N, Ceresa CDL, Friend PJ, Shapiro AMJ. A Back-to-Base Experience of Human Normothermic Ex Situ Liver Perfusion: Does the Chill Kill? </w:t>
      </w:r>
      <w:r w:rsidRPr="004A5F47">
        <w:rPr>
          <w:rFonts w:ascii="Book Antiqua" w:hAnsi="Book Antiqua"/>
          <w:i/>
          <w:iCs/>
        </w:rPr>
        <w:t>Liver Transpl</w:t>
      </w:r>
      <w:r w:rsidRPr="004A5F47">
        <w:rPr>
          <w:rFonts w:ascii="Book Antiqua" w:hAnsi="Book Antiqua"/>
        </w:rPr>
        <w:t xml:space="preserve"> 2019; </w:t>
      </w:r>
      <w:r w:rsidRPr="004A5F47">
        <w:rPr>
          <w:rFonts w:ascii="Book Antiqua" w:hAnsi="Book Antiqua"/>
          <w:b/>
          <w:bCs/>
        </w:rPr>
        <w:t>25</w:t>
      </w:r>
      <w:r w:rsidRPr="004A5F47">
        <w:rPr>
          <w:rFonts w:ascii="Book Antiqua" w:hAnsi="Book Antiqua"/>
        </w:rPr>
        <w:t>: 848-858 [PMID: 30938039 DOI: 10.1002/lt.25464]</w:t>
      </w:r>
    </w:p>
    <w:p w14:paraId="41BF775F" w14:textId="7C7CA606" w:rsidR="00AD0097" w:rsidRPr="004A5F47" w:rsidRDefault="00AD0097" w:rsidP="00265460">
      <w:pPr>
        <w:spacing w:line="360" w:lineRule="auto"/>
        <w:jc w:val="both"/>
        <w:rPr>
          <w:rFonts w:ascii="Book Antiqua" w:hAnsi="Book Antiqua"/>
        </w:rPr>
      </w:pPr>
      <w:r w:rsidRPr="004A5F47">
        <w:rPr>
          <w:rFonts w:ascii="Book Antiqua" w:hAnsi="Book Antiqua"/>
        </w:rPr>
        <w:t>8</w:t>
      </w:r>
      <w:r w:rsidR="00641614" w:rsidRPr="004A5F47">
        <w:rPr>
          <w:rFonts w:ascii="Book Antiqua" w:hAnsi="Book Antiqua"/>
          <w:lang w:eastAsia="zh-CN"/>
        </w:rPr>
        <w:t>4</w:t>
      </w:r>
      <w:r w:rsidRPr="004A5F47">
        <w:rPr>
          <w:rFonts w:ascii="Book Antiqua" w:hAnsi="Book Antiqua"/>
        </w:rPr>
        <w:t xml:space="preserve"> </w:t>
      </w:r>
      <w:r w:rsidRPr="004A5F47">
        <w:rPr>
          <w:rFonts w:ascii="Book Antiqua" w:hAnsi="Book Antiqua"/>
          <w:b/>
          <w:bCs/>
        </w:rPr>
        <w:t>Liu Q</w:t>
      </w:r>
      <w:r w:rsidRPr="004A5F47">
        <w:rPr>
          <w:rFonts w:ascii="Book Antiqua" w:hAnsi="Book Antiqua"/>
        </w:rPr>
        <w:t xml:space="preserve">, Hassan A, Pezzati D, Soliman B, Lomaglio L, Grady P, Del Angel Diaz L, Simioni A, Maikhor S, Etterling J, D'Amico G, Iuppa G, Diago Uso T, Hashimoto K, Aucejo F, Fujiki M, Eghtesad B, Sasaki K, Kwon CHD, Cywinski J, Irefin S, Bennett A, Baldwin W, Miller C, Quintini C. Ex Situ Liver Machine Perfusion: The Impact of Fresh Frozen Plasma. </w:t>
      </w:r>
      <w:r w:rsidRPr="004A5F47">
        <w:rPr>
          <w:rFonts w:ascii="Book Antiqua" w:hAnsi="Book Antiqua"/>
          <w:i/>
          <w:iCs/>
        </w:rPr>
        <w:t>Liver Transpl</w:t>
      </w:r>
      <w:r w:rsidRPr="004A5F47">
        <w:rPr>
          <w:rFonts w:ascii="Book Antiqua" w:hAnsi="Book Antiqua"/>
        </w:rPr>
        <w:t xml:space="preserve"> 2020; </w:t>
      </w:r>
      <w:r w:rsidRPr="004A5F47">
        <w:rPr>
          <w:rFonts w:ascii="Book Antiqua" w:hAnsi="Book Antiqua"/>
          <w:b/>
          <w:bCs/>
        </w:rPr>
        <w:t>26</w:t>
      </w:r>
      <w:r w:rsidRPr="004A5F47">
        <w:rPr>
          <w:rFonts w:ascii="Book Antiqua" w:hAnsi="Book Antiqua"/>
        </w:rPr>
        <w:t>: 215-226 [PMID: 31642164 DOI: 10.1002/lt.25668]</w:t>
      </w:r>
    </w:p>
    <w:p w14:paraId="69535C83" w14:textId="1E78FC9C" w:rsidR="00AD0097" w:rsidRPr="004A5F47" w:rsidRDefault="00AD0097" w:rsidP="00265460">
      <w:pPr>
        <w:spacing w:line="360" w:lineRule="auto"/>
        <w:jc w:val="both"/>
        <w:rPr>
          <w:rFonts w:ascii="Book Antiqua" w:hAnsi="Book Antiqua"/>
        </w:rPr>
      </w:pPr>
      <w:r w:rsidRPr="004A5F47">
        <w:rPr>
          <w:rFonts w:ascii="Book Antiqua" w:hAnsi="Book Antiqua"/>
        </w:rPr>
        <w:t>8</w:t>
      </w:r>
      <w:r w:rsidR="00641614" w:rsidRPr="004A5F47">
        <w:rPr>
          <w:rFonts w:ascii="Book Antiqua" w:hAnsi="Book Antiqua"/>
          <w:lang w:eastAsia="zh-CN"/>
        </w:rPr>
        <w:t>5</w:t>
      </w:r>
      <w:r w:rsidRPr="004A5F47">
        <w:rPr>
          <w:rFonts w:ascii="Book Antiqua" w:hAnsi="Book Antiqua"/>
        </w:rPr>
        <w:t xml:space="preserve"> </w:t>
      </w:r>
      <w:r w:rsidRPr="004A5F47">
        <w:rPr>
          <w:rFonts w:ascii="Book Antiqua" w:hAnsi="Book Antiqua"/>
          <w:b/>
          <w:bCs/>
        </w:rPr>
        <w:t>Bral M</w:t>
      </w:r>
      <w:r w:rsidRPr="004A5F47">
        <w:rPr>
          <w:rFonts w:ascii="Book Antiqua" w:hAnsi="Book Antiqua"/>
        </w:rPr>
        <w:t xml:space="preserve">, Gala-Lopez B, Bigam D, Kneteman N, Malcolm A, Livingstone S, Andres A, Emamaullee J, Russell L, Coussios C, West LJ, Friend PJ, Shapiro AM. Preliminary Single-Center Canadian Experience of Human Normothermic Ex Vivo Liver Perfusion: Results of a Clinical Trial. </w:t>
      </w:r>
      <w:r w:rsidRPr="004A5F47">
        <w:rPr>
          <w:rFonts w:ascii="Book Antiqua" w:hAnsi="Book Antiqua"/>
          <w:i/>
          <w:iCs/>
        </w:rPr>
        <w:t>Am J Transplant</w:t>
      </w:r>
      <w:r w:rsidRPr="004A5F47">
        <w:rPr>
          <w:rFonts w:ascii="Book Antiqua" w:hAnsi="Book Antiqua"/>
        </w:rPr>
        <w:t xml:space="preserve"> 2017; </w:t>
      </w:r>
      <w:r w:rsidRPr="004A5F47">
        <w:rPr>
          <w:rFonts w:ascii="Book Antiqua" w:hAnsi="Book Antiqua"/>
          <w:b/>
          <w:bCs/>
        </w:rPr>
        <w:t>17</w:t>
      </w:r>
      <w:r w:rsidRPr="004A5F47">
        <w:rPr>
          <w:rFonts w:ascii="Book Antiqua" w:hAnsi="Book Antiqua"/>
        </w:rPr>
        <w:t>: 1071-1080 [PMID: 27639262 DOI: 10.1111/ajt.14049]</w:t>
      </w:r>
    </w:p>
    <w:p w14:paraId="2E117D0B" w14:textId="2BA42198" w:rsidR="0054564F" w:rsidRPr="004A5F47" w:rsidRDefault="0054564F" w:rsidP="00265460">
      <w:pPr>
        <w:spacing w:line="360" w:lineRule="auto"/>
        <w:jc w:val="both"/>
        <w:rPr>
          <w:rFonts w:ascii="Book Antiqua" w:hAnsi="Book Antiqua"/>
        </w:rPr>
      </w:pPr>
    </w:p>
    <w:p w14:paraId="6BABA9CE" w14:textId="77777777" w:rsidR="0054564F" w:rsidRPr="004A5F47" w:rsidRDefault="0054564F" w:rsidP="00265460">
      <w:pPr>
        <w:spacing w:line="360" w:lineRule="auto"/>
        <w:jc w:val="both"/>
        <w:rPr>
          <w:rFonts w:ascii="Book Antiqua" w:hAnsi="Book Antiqua"/>
        </w:rPr>
      </w:pPr>
    </w:p>
    <w:p w14:paraId="5F47805F" w14:textId="6FF6D739" w:rsidR="0054564F" w:rsidRPr="004A5F47" w:rsidRDefault="0054564F" w:rsidP="00265460">
      <w:pPr>
        <w:spacing w:line="360" w:lineRule="auto"/>
        <w:jc w:val="both"/>
        <w:rPr>
          <w:rFonts w:ascii="Book Antiqua" w:hAnsi="Book Antiqua"/>
        </w:rPr>
        <w:sectPr w:rsidR="0054564F" w:rsidRPr="004A5F47">
          <w:pgSz w:w="12240" w:h="15840"/>
          <w:pgMar w:top="1440" w:right="1440" w:bottom="1440" w:left="1440" w:header="720" w:footer="720" w:gutter="0"/>
          <w:cols w:space="720"/>
          <w:docGrid w:linePitch="360"/>
        </w:sectPr>
      </w:pPr>
    </w:p>
    <w:p w14:paraId="55149BBF"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lastRenderedPageBreak/>
        <w:t>Footnotes</w:t>
      </w:r>
    </w:p>
    <w:p w14:paraId="12A7C30F" w14:textId="09CE3ECA" w:rsidR="00A77B3E" w:rsidRPr="004A5F47" w:rsidRDefault="006A1FF4" w:rsidP="00265460">
      <w:pPr>
        <w:spacing w:line="360" w:lineRule="auto"/>
        <w:jc w:val="both"/>
        <w:rPr>
          <w:rFonts w:ascii="Book Antiqua" w:hAnsi="Book Antiqua"/>
          <w:lang w:eastAsia="zh-CN"/>
        </w:rPr>
      </w:pPr>
      <w:r w:rsidRPr="004A5F47">
        <w:rPr>
          <w:rFonts w:ascii="Book Antiqua" w:eastAsia="Book Antiqua" w:hAnsi="Book Antiqua" w:cs="Book Antiqua"/>
          <w:b/>
          <w:bCs/>
          <w:color w:val="000000"/>
        </w:rPr>
        <w:t>Conflict-of-interest statement:</w:t>
      </w:r>
      <w:r w:rsidR="006B12C8" w:rsidRPr="004A5F47">
        <w:rPr>
          <w:rFonts w:ascii="Book Antiqua" w:hAnsi="Book Antiqua" w:cs="Book Antiqua"/>
          <w:bCs/>
          <w:color w:val="000000"/>
        </w:rPr>
        <w:t xml:space="preserve"> </w:t>
      </w:r>
      <w:r w:rsidR="0037327C" w:rsidRPr="004A5F47">
        <w:rPr>
          <w:rFonts w:ascii="Book Antiqua" w:eastAsia="Book Antiqua" w:hAnsi="Book Antiqua" w:cs="Book Antiqua"/>
          <w:color w:val="000000"/>
        </w:rPr>
        <w:t>The funding provided for normothermic machine perfusion consumables generously donated by the Ann Fox Foundation, under the umbrella of University Hospital Birmingham Charities.</w:t>
      </w:r>
    </w:p>
    <w:p w14:paraId="48F2D3AA" w14:textId="77777777" w:rsidR="00A77B3E" w:rsidRPr="004A5F47" w:rsidRDefault="00A77B3E" w:rsidP="00265460">
      <w:pPr>
        <w:spacing w:line="360" w:lineRule="auto"/>
        <w:jc w:val="both"/>
        <w:rPr>
          <w:rFonts w:ascii="Book Antiqua" w:hAnsi="Book Antiqua"/>
        </w:rPr>
      </w:pPr>
    </w:p>
    <w:p w14:paraId="26AF09F6"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bCs/>
        </w:rPr>
        <w:t xml:space="preserve">Open-Access: </w:t>
      </w:r>
      <w:r w:rsidRPr="004A5F4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1DD6BE" w14:textId="77777777" w:rsidR="00A77B3E" w:rsidRPr="004A5F47" w:rsidRDefault="00A77B3E" w:rsidP="00265460">
      <w:pPr>
        <w:spacing w:line="360" w:lineRule="auto"/>
        <w:jc w:val="both"/>
        <w:rPr>
          <w:rFonts w:ascii="Book Antiqua" w:hAnsi="Book Antiqua"/>
        </w:rPr>
      </w:pPr>
    </w:p>
    <w:p w14:paraId="0A211413" w14:textId="7AB0C328" w:rsidR="00D329E6" w:rsidRPr="004A5F47" w:rsidRDefault="006A1FF4" w:rsidP="00265460">
      <w:pPr>
        <w:spacing w:line="360" w:lineRule="auto"/>
        <w:jc w:val="both"/>
        <w:rPr>
          <w:rFonts w:ascii="Book Antiqua" w:hAnsi="Book Antiqua"/>
          <w:lang w:eastAsia="zh-CN"/>
        </w:rPr>
      </w:pPr>
      <w:r w:rsidRPr="004A5F47">
        <w:rPr>
          <w:rFonts w:ascii="Book Antiqua" w:eastAsia="Book Antiqua" w:hAnsi="Book Antiqua" w:cs="Book Antiqua"/>
          <w:b/>
          <w:color w:val="000000"/>
        </w:rPr>
        <w:t xml:space="preserve">Provenance and peer review: </w:t>
      </w:r>
      <w:r w:rsidRPr="004A5F47">
        <w:rPr>
          <w:rFonts w:ascii="Book Antiqua" w:eastAsia="Book Antiqua" w:hAnsi="Book Antiqua" w:cs="Book Antiqua"/>
        </w:rPr>
        <w:t>Invited article; Externally peer reviewed.</w:t>
      </w:r>
    </w:p>
    <w:p w14:paraId="2796E228"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t xml:space="preserve">Peer-review model: </w:t>
      </w:r>
      <w:r w:rsidRPr="004A5F47">
        <w:rPr>
          <w:rFonts w:ascii="Book Antiqua" w:eastAsia="Book Antiqua" w:hAnsi="Book Antiqua" w:cs="Book Antiqua"/>
        </w:rPr>
        <w:t>Single blind</w:t>
      </w:r>
    </w:p>
    <w:p w14:paraId="626EEB40" w14:textId="77777777" w:rsidR="00A77B3E" w:rsidRPr="004A5F47" w:rsidRDefault="00A77B3E" w:rsidP="00265460">
      <w:pPr>
        <w:spacing w:line="360" w:lineRule="auto"/>
        <w:jc w:val="both"/>
        <w:rPr>
          <w:rFonts w:ascii="Book Antiqua" w:hAnsi="Book Antiqua"/>
        </w:rPr>
      </w:pPr>
    </w:p>
    <w:p w14:paraId="5443E478"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t xml:space="preserve">Peer-review started: </w:t>
      </w:r>
      <w:r w:rsidRPr="004A5F47">
        <w:rPr>
          <w:rFonts w:ascii="Book Antiqua" w:eastAsia="Book Antiqua" w:hAnsi="Book Antiqua" w:cs="Book Antiqua"/>
        </w:rPr>
        <w:t>January 26, 2023</w:t>
      </w:r>
    </w:p>
    <w:p w14:paraId="4BA0B0DA"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t xml:space="preserve">First decision: </w:t>
      </w:r>
      <w:r w:rsidRPr="004A5F47">
        <w:rPr>
          <w:rFonts w:ascii="Book Antiqua" w:eastAsia="Book Antiqua" w:hAnsi="Book Antiqua" w:cs="Book Antiqua"/>
        </w:rPr>
        <w:t>February 16, 2023</w:t>
      </w:r>
    </w:p>
    <w:p w14:paraId="6EAD6C31"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t xml:space="preserve">Article in press: </w:t>
      </w:r>
    </w:p>
    <w:p w14:paraId="0E1C7B35" w14:textId="77777777" w:rsidR="00A77B3E" w:rsidRPr="004A5F47" w:rsidRDefault="00A77B3E" w:rsidP="00265460">
      <w:pPr>
        <w:spacing w:line="360" w:lineRule="auto"/>
        <w:jc w:val="both"/>
        <w:rPr>
          <w:rFonts w:ascii="Book Antiqua" w:hAnsi="Book Antiqua"/>
        </w:rPr>
      </w:pPr>
    </w:p>
    <w:p w14:paraId="75AF46D7" w14:textId="11E4813D"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t xml:space="preserve">Specialty type: </w:t>
      </w:r>
      <w:bookmarkStart w:id="0" w:name="_Hlk73628407"/>
      <w:r w:rsidR="00D329E6" w:rsidRPr="004A5F47">
        <w:rPr>
          <w:rFonts w:ascii="Book Antiqua" w:eastAsia="Microsoft YaHei" w:hAnsi="Book Antiqua" w:cs="SimSun"/>
        </w:rPr>
        <w:t>Gastroenterology and hepatology</w:t>
      </w:r>
      <w:bookmarkEnd w:id="0"/>
    </w:p>
    <w:p w14:paraId="603D94D9"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t xml:space="preserve">Country/Territory of origin: </w:t>
      </w:r>
      <w:r w:rsidRPr="004A5F47">
        <w:rPr>
          <w:rFonts w:ascii="Book Antiqua" w:eastAsia="Book Antiqua" w:hAnsi="Book Antiqua" w:cs="Book Antiqua"/>
        </w:rPr>
        <w:t>United Kingdom</w:t>
      </w:r>
    </w:p>
    <w:p w14:paraId="358434A8"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b/>
          <w:color w:val="000000"/>
        </w:rPr>
        <w:t>Peer-review report’s scientific quality classification</w:t>
      </w:r>
    </w:p>
    <w:p w14:paraId="2BE4D31F"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rPr>
        <w:t>Grade A (Excellent): 0</w:t>
      </w:r>
    </w:p>
    <w:p w14:paraId="048407AF"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rPr>
        <w:t>Grade B (Very good): B, B</w:t>
      </w:r>
    </w:p>
    <w:p w14:paraId="5827799F"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rPr>
        <w:t>Grade C (Good): 0</w:t>
      </w:r>
    </w:p>
    <w:p w14:paraId="7D71B9AD"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rPr>
        <w:t>Grade D (Fair): 0</w:t>
      </w:r>
    </w:p>
    <w:p w14:paraId="0EED17CA" w14:textId="77777777" w:rsidR="00A77B3E" w:rsidRPr="004A5F47" w:rsidRDefault="006A1FF4" w:rsidP="00265460">
      <w:pPr>
        <w:spacing w:line="360" w:lineRule="auto"/>
        <w:jc w:val="both"/>
        <w:rPr>
          <w:rFonts w:ascii="Book Antiqua" w:hAnsi="Book Antiqua"/>
        </w:rPr>
      </w:pPr>
      <w:r w:rsidRPr="004A5F47">
        <w:rPr>
          <w:rFonts w:ascii="Book Antiqua" w:eastAsia="Book Antiqua" w:hAnsi="Book Antiqua" w:cs="Book Antiqua"/>
        </w:rPr>
        <w:t>Grade E (Poor): 0</w:t>
      </w:r>
    </w:p>
    <w:p w14:paraId="38B65043" w14:textId="77777777" w:rsidR="00A77B3E" w:rsidRPr="004A5F47" w:rsidRDefault="00A77B3E" w:rsidP="00265460">
      <w:pPr>
        <w:spacing w:line="360" w:lineRule="auto"/>
        <w:jc w:val="both"/>
        <w:rPr>
          <w:rFonts w:ascii="Book Antiqua" w:hAnsi="Book Antiqua"/>
        </w:rPr>
      </w:pPr>
    </w:p>
    <w:p w14:paraId="475BA57D" w14:textId="18703FD5" w:rsidR="00124EFD" w:rsidRPr="004A5F47" w:rsidRDefault="006A1FF4" w:rsidP="00265460">
      <w:pPr>
        <w:spacing w:line="360" w:lineRule="auto"/>
        <w:jc w:val="both"/>
        <w:rPr>
          <w:rFonts w:ascii="Book Antiqua" w:hAnsi="Book Antiqua" w:cs="Book Antiqua"/>
          <w:b/>
          <w:color w:val="000000"/>
          <w:lang w:eastAsia="zh-CN"/>
        </w:rPr>
      </w:pPr>
      <w:r w:rsidRPr="004A5F47">
        <w:rPr>
          <w:rFonts w:ascii="Book Antiqua" w:eastAsia="Book Antiqua" w:hAnsi="Book Antiqua" w:cs="Book Antiqua"/>
          <w:b/>
          <w:color w:val="000000"/>
        </w:rPr>
        <w:t xml:space="preserve">P-Reviewer: </w:t>
      </w:r>
      <w:r w:rsidRPr="004A5F47">
        <w:rPr>
          <w:rFonts w:ascii="Book Antiqua" w:eastAsia="Book Antiqua" w:hAnsi="Book Antiqua" w:cs="Book Antiqua"/>
        </w:rPr>
        <w:t>Dabbous H, Egypt; Xu X, China</w:t>
      </w:r>
      <w:r w:rsidRPr="004A5F47">
        <w:rPr>
          <w:rFonts w:ascii="Book Antiqua" w:eastAsia="Book Antiqua" w:hAnsi="Book Antiqua" w:cs="Book Antiqua"/>
          <w:b/>
          <w:color w:val="000000"/>
        </w:rPr>
        <w:t xml:space="preserve"> S-Editor: </w:t>
      </w:r>
      <w:r w:rsidR="002439E3" w:rsidRPr="004A5F47">
        <w:rPr>
          <w:rFonts w:ascii="Book Antiqua" w:hAnsi="Book Antiqua" w:cs="Book Antiqua"/>
          <w:color w:val="000000"/>
          <w:lang w:eastAsia="zh-CN"/>
        </w:rPr>
        <w:t>Fan JR</w:t>
      </w:r>
      <w:r w:rsidRPr="004A5F47">
        <w:rPr>
          <w:rFonts w:ascii="Book Antiqua" w:eastAsia="Book Antiqua" w:hAnsi="Book Antiqua" w:cs="Book Antiqua"/>
          <w:b/>
          <w:color w:val="000000"/>
        </w:rPr>
        <w:t xml:space="preserve"> L-Editor:</w:t>
      </w:r>
      <w:r w:rsidR="00914A83" w:rsidRPr="004A5F47">
        <w:rPr>
          <w:rFonts w:ascii="Book Antiqua" w:eastAsia="Book Antiqua" w:hAnsi="Book Antiqua" w:cs="Book Antiqua"/>
          <w:b/>
          <w:color w:val="000000"/>
        </w:rPr>
        <w:t xml:space="preserve"> </w:t>
      </w:r>
      <w:r w:rsidR="004019A8" w:rsidRPr="004A5F47">
        <w:rPr>
          <w:rFonts w:ascii="Book Antiqua" w:hAnsi="Book Antiqua" w:cs="Book Antiqua"/>
          <w:color w:val="000000"/>
          <w:lang w:eastAsia="zh-CN"/>
        </w:rPr>
        <w:t>Filipodia</w:t>
      </w:r>
      <w:r w:rsidR="00914A83" w:rsidRPr="004A5F47">
        <w:rPr>
          <w:rFonts w:ascii="Book Antiqua" w:hAnsi="Book Antiqua" w:cs="Book Antiqua"/>
          <w:color w:val="000000"/>
          <w:lang w:eastAsia="zh-CN"/>
        </w:rPr>
        <w:t xml:space="preserve"> </w:t>
      </w:r>
      <w:r w:rsidRPr="004A5F47">
        <w:rPr>
          <w:rFonts w:ascii="Book Antiqua" w:eastAsia="Book Antiqua" w:hAnsi="Book Antiqua" w:cs="Book Antiqua"/>
          <w:b/>
          <w:color w:val="000000"/>
        </w:rPr>
        <w:t>P-Editor:</w:t>
      </w:r>
    </w:p>
    <w:p w14:paraId="4531F6CD" w14:textId="21E885A7" w:rsidR="00A77B3E" w:rsidRPr="004A5F47" w:rsidRDefault="006A1FF4" w:rsidP="00265460">
      <w:pPr>
        <w:spacing w:line="360" w:lineRule="auto"/>
        <w:jc w:val="both"/>
        <w:rPr>
          <w:rFonts w:ascii="Book Antiqua" w:hAnsi="Book Antiqua"/>
        </w:rPr>
        <w:sectPr w:rsidR="00A77B3E" w:rsidRPr="004A5F47">
          <w:pgSz w:w="12240" w:h="15840"/>
          <w:pgMar w:top="1440" w:right="1440" w:bottom="1440" w:left="1440" w:header="720" w:footer="720" w:gutter="0"/>
          <w:cols w:space="720"/>
          <w:docGrid w:linePitch="360"/>
        </w:sectPr>
      </w:pPr>
      <w:r w:rsidRPr="004A5F47">
        <w:rPr>
          <w:rFonts w:ascii="Book Antiqua" w:eastAsia="Book Antiqua" w:hAnsi="Book Antiqua" w:cs="Book Antiqua"/>
          <w:b/>
          <w:color w:val="000000"/>
        </w:rPr>
        <w:lastRenderedPageBreak/>
        <w:t xml:space="preserve"> </w:t>
      </w:r>
    </w:p>
    <w:p w14:paraId="28D5F5DC" w14:textId="77777777" w:rsidR="00A77B3E" w:rsidRPr="004A5F47" w:rsidRDefault="006A1FF4" w:rsidP="00265460">
      <w:pPr>
        <w:spacing w:line="360" w:lineRule="auto"/>
        <w:jc w:val="both"/>
        <w:rPr>
          <w:rFonts w:ascii="Book Antiqua" w:hAnsi="Book Antiqua" w:cs="Book Antiqua"/>
          <w:b/>
          <w:color w:val="000000"/>
          <w:lang w:eastAsia="zh-CN"/>
        </w:rPr>
      </w:pPr>
      <w:r w:rsidRPr="004A5F47">
        <w:rPr>
          <w:rFonts w:ascii="Book Antiqua" w:eastAsia="Book Antiqua" w:hAnsi="Book Antiqua" w:cs="Book Antiqua"/>
          <w:b/>
          <w:color w:val="000000"/>
        </w:rPr>
        <w:lastRenderedPageBreak/>
        <w:t>Figure Legends</w:t>
      </w:r>
    </w:p>
    <w:p w14:paraId="5E07ABA6" w14:textId="4F42018C" w:rsidR="00955205" w:rsidRPr="004A5F47" w:rsidRDefault="00955205" w:rsidP="00265460">
      <w:pPr>
        <w:spacing w:line="360" w:lineRule="auto"/>
        <w:jc w:val="both"/>
        <w:rPr>
          <w:rFonts w:ascii="Book Antiqua" w:hAnsi="Book Antiqua"/>
          <w:lang w:eastAsia="zh-CN"/>
        </w:rPr>
      </w:pPr>
      <w:r w:rsidRPr="004A5F47">
        <w:rPr>
          <w:rFonts w:ascii="Book Antiqua" w:hAnsi="Book Antiqua"/>
          <w:noProof/>
          <w:lang w:eastAsia="zh-CN"/>
        </w:rPr>
        <w:drawing>
          <wp:inline distT="0" distB="0" distL="0" distR="0" wp14:anchorId="32422855" wp14:editId="2F1221DE">
            <wp:extent cx="5486400" cy="50857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5085715"/>
                    </a:xfrm>
                    <a:prstGeom prst="rect">
                      <a:avLst/>
                    </a:prstGeom>
                  </pic:spPr>
                </pic:pic>
              </a:graphicData>
            </a:graphic>
          </wp:inline>
        </w:drawing>
      </w:r>
    </w:p>
    <w:p w14:paraId="3345B52A" w14:textId="0C77CF8D" w:rsidR="00A77B3E" w:rsidRPr="004A5F47" w:rsidRDefault="00172BB2" w:rsidP="00265460">
      <w:pPr>
        <w:spacing w:line="360" w:lineRule="auto"/>
        <w:jc w:val="both"/>
        <w:rPr>
          <w:rFonts w:ascii="Book Antiqua" w:hAnsi="Book Antiqua"/>
        </w:rPr>
      </w:pPr>
      <w:r w:rsidRPr="004A5F47">
        <w:rPr>
          <w:rFonts w:ascii="Book Antiqua" w:hAnsi="Book Antiqua" w:cs="Book Antiqua"/>
          <w:b/>
          <w:bCs/>
          <w:color w:val="000000"/>
          <w:lang w:eastAsia="zh-CN"/>
        </w:rPr>
        <w:t>Figure</w:t>
      </w:r>
      <w:r w:rsidRPr="004A5F47">
        <w:rPr>
          <w:rFonts w:ascii="Book Antiqua" w:eastAsia="Book Antiqua" w:hAnsi="Book Antiqua" w:cs="Book Antiqua"/>
          <w:b/>
          <w:color w:val="000000"/>
        </w:rPr>
        <w:t xml:space="preserve"> 1 </w:t>
      </w:r>
      <w:r w:rsidR="00AE2730" w:rsidRPr="004A5F47">
        <w:rPr>
          <w:rFonts w:ascii="Book Antiqua" w:eastAsia="Book Antiqua" w:hAnsi="Book Antiqua" w:cs="Book Antiqua"/>
          <w:b/>
          <w:color w:val="000000"/>
        </w:rPr>
        <w:t>Magnetic resonance cholangiopancreatography</w:t>
      </w:r>
      <w:r w:rsidR="006A1FF4" w:rsidRPr="004A5F47">
        <w:rPr>
          <w:rFonts w:ascii="Book Antiqua" w:eastAsia="Book Antiqua" w:hAnsi="Book Antiqua" w:cs="Book Antiqua"/>
          <w:b/>
          <w:color w:val="000000"/>
        </w:rPr>
        <w:t xml:space="preserve"> reconstruction images of ischemic type biliary lesions in </w:t>
      </w:r>
      <w:r w:rsidR="00B20DAB" w:rsidRPr="004A5F47">
        <w:rPr>
          <w:rFonts w:ascii="Book Antiqua" w:eastAsia="Book Antiqua" w:hAnsi="Book Antiqua" w:cs="Book Antiqua"/>
          <w:b/>
          <w:color w:val="000000"/>
          <w:shd w:val="clear" w:color="auto" w:fill="FFFFFF"/>
        </w:rPr>
        <w:t>donated after circulatory death</w:t>
      </w:r>
      <w:r w:rsidR="006A1FF4" w:rsidRPr="004A5F47">
        <w:rPr>
          <w:rFonts w:ascii="Book Antiqua" w:eastAsia="Book Antiqua" w:hAnsi="Book Antiqua" w:cs="Book Antiqua"/>
          <w:b/>
          <w:color w:val="000000"/>
        </w:rPr>
        <w:t xml:space="preserve"> graft recipients.</w:t>
      </w:r>
      <w:r w:rsidR="006A1FF4" w:rsidRPr="004A5F47">
        <w:rPr>
          <w:rFonts w:ascii="Book Antiqua" w:eastAsia="Book Antiqua" w:hAnsi="Book Antiqua" w:cs="Book Antiqua"/>
          <w:color w:val="000000"/>
        </w:rPr>
        <w:t xml:space="preserve"> A</w:t>
      </w:r>
      <w:r w:rsidRPr="004A5F47">
        <w:rPr>
          <w:rFonts w:ascii="Book Antiqua" w:hAnsi="Book Antiqua" w:cs="Book Antiqua"/>
          <w:color w:val="000000"/>
          <w:lang w:eastAsia="zh-CN"/>
        </w:rPr>
        <w:t>:</w:t>
      </w:r>
      <w:r w:rsidR="006A1FF4" w:rsidRPr="004A5F47">
        <w:rPr>
          <w:rFonts w:ascii="Book Antiqua" w:eastAsia="Book Antiqua" w:hAnsi="Book Antiqua" w:cs="Book Antiqua"/>
          <w:color w:val="000000"/>
        </w:rPr>
        <w:t xml:space="preserve"> Significant structuring and confluence of right and left ducts, in addition to the right posterior duct (yellow arrows). Upstream dilation on left indicated by blue arrow</w:t>
      </w:r>
      <w:r w:rsidRPr="004A5F47">
        <w:rPr>
          <w:rFonts w:ascii="Book Antiqua" w:hAnsi="Book Antiqua" w:cs="Book Antiqua"/>
          <w:color w:val="000000"/>
          <w:lang w:eastAsia="zh-CN"/>
        </w:rPr>
        <w:t>;</w:t>
      </w:r>
      <w:r w:rsidR="006A1FF4" w:rsidRPr="004A5F47">
        <w:rPr>
          <w:rFonts w:ascii="Book Antiqua" w:eastAsia="Book Antiqua" w:hAnsi="Book Antiqua" w:cs="Book Antiqua"/>
          <w:color w:val="000000"/>
        </w:rPr>
        <w:t xml:space="preserve"> B</w:t>
      </w:r>
      <w:r w:rsidRPr="004A5F47">
        <w:rPr>
          <w:rFonts w:ascii="Book Antiqua" w:hAnsi="Book Antiqua" w:cs="Book Antiqua"/>
          <w:color w:val="000000"/>
          <w:lang w:eastAsia="zh-CN"/>
        </w:rPr>
        <w:t>:</w:t>
      </w:r>
      <w:r w:rsidR="006A1FF4" w:rsidRPr="004A5F47">
        <w:rPr>
          <w:rFonts w:ascii="Book Antiqua" w:eastAsia="Book Antiqua" w:hAnsi="Book Antiqua" w:cs="Book Antiqua"/>
          <w:color w:val="000000"/>
        </w:rPr>
        <w:t xml:space="preserve"> Structuring at a second order duct on the right (yellow arrow) with upstream dilation</w:t>
      </w:r>
      <w:r w:rsidRPr="004A5F47">
        <w:rPr>
          <w:rFonts w:ascii="Book Antiqua" w:hAnsi="Book Antiqua" w:cs="Book Antiqua"/>
          <w:color w:val="000000"/>
          <w:lang w:eastAsia="zh-CN"/>
        </w:rPr>
        <w:t>;</w:t>
      </w:r>
      <w:r w:rsidR="006A1FF4" w:rsidRPr="004A5F47">
        <w:rPr>
          <w:rFonts w:ascii="Book Antiqua" w:eastAsia="Book Antiqua" w:hAnsi="Book Antiqua" w:cs="Book Antiqua"/>
          <w:color w:val="000000"/>
        </w:rPr>
        <w:t xml:space="preserve"> C</w:t>
      </w:r>
      <w:r w:rsidRPr="004A5F47">
        <w:rPr>
          <w:rFonts w:ascii="Book Antiqua" w:hAnsi="Book Antiqua" w:cs="Book Antiqua"/>
          <w:color w:val="000000"/>
          <w:lang w:eastAsia="zh-CN"/>
        </w:rPr>
        <w:t>:</w:t>
      </w:r>
      <w:r w:rsidR="006A1FF4" w:rsidRPr="004A5F47">
        <w:rPr>
          <w:rFonts w:ascii="Book Antiqua" w:eastAsia="Book Antiqua" w:hAnsi="Book Antiqua" w:cs="Book Antiqua"/>
          <w:color w:val="000000"/>
        </w:rPr>
        <w:t xml:space="preserve"> Strictures in periphery of left biliary system.</w:t>
      </w:r>
      <w:r w:rsidR="007B664C" w:rsidRPr="004A5F47">
        <w:rPr>
          <w:rFonts w:ascii="Book Antiqua" w:hAnsi="Book Antiqua" w:cs="Book Antiqua"/>
          <w:color w:val="000000"/>
          <w:lang w:eastAsia="zh-CN"/>
        </w:rPr>
        <w:t xml:space="preserve"> </w:t>
      </w:r>
      <w:r w:rsidR="00523A85" w:rsidRPr="004A5F47">
        <w:rPr>
          <w:rFonts w:ascii="Book Antiqua" w:eastAsia="Book Antiqua" w:hAnsi="Book Antiqua" w:cs="Book Antiqua"/>
          <w:color w:val="000000"/>
        </w:rPr>
        <w:t>Figure</w:t>
      </w:r>
      <w:r w:rsidR="00523A85" w:rsidRPr="004A5F47">
        <w:rPr>
          <w:rFonts w:ascii="Book Antiqua" w:hAnsi="Book Antiqua" w:cs="Book Antiqua"/>
          <w:color w:val="000000"/>
          <w:lang w:eastAsia="zh-CN"/>
        </w:rPr>
        <w:t xml:space="preserve"> </w:t>
      </w:r>
      <w:r w:rsidR="00523A85" w:rsidRPr="004A5F47">
        <w:rPr>
          <w:rFonts w:ascii="Book Antiqua" w:eastAsia="Book Antiqua" w:hAnsi="Book Antiqua" w:cs="Book Antiqua"/>
          <w:color w:val="000000"/>
        </w:rPr>
        <w:t>created with biorender.com, accessed on January 2023.</w:t>
      </w:r>
      <w:r w:rsidR="00523A85" w:rsidRPr="004A5F47">
        <w:rPr>
          <w:rFonts w:ascii="Book Antiqua" w:hAnsi="Book Antiqua"/>
          <w:lang w:eastAsia="zh-CN"/>
        </w:rPr>
        <w:t xml:space="preserve"> </w:t>
      </w:r>
      <w:r w:rsidR="005E3CA5" w:rsidRPr="004A5F47">
        <w:rPr>
          <w:rFonts w:ascii="Book Antiqua" w:eastAsia="Book Antiqua" w:hAnsi="Book Antiqua" w:cs="Book Antiqua"/>
          <w:color w:val="000000"/>
        </w:rPr>
        <w:t>LHD</w:t>
      </w:r>
      <w:r w:rsidR="005E3CA5" w:rsidRPr="004A5F47">
        <w:rPr>
          <w:rFonts w:ascii="Book Antiqua" w:hAnsi="Book Antiqua" w:cs="Book Antiqua"/>
          <w:color w:val="000000"/>
          <w:lang w:eastAsia="zh-CN"/>
        </w:rPr>
        <w:t>:</w:t>
      </w:r>
      <w:r w:rsidR="005E3CA5" w:rsidRPr="004A5F47">
        <w:rPr>
          <w:rFonts w:ascii="Book Antiqua" w:eastAsia="Book Antiqua" w:hAnsi="Book Antiqua" w:cs="Book Antiqua"/>
          <w:color w:val="000000"/>
        </w:rPr>
        <w:t xml:space="preserve"> </w:t>
      </w:r>
      <w:r w:rsidR="005E3CA5" w:rsidRPr="004A5F47">
        <w:rPr>
          <w:rFonts w:ascii="Book Antiqua" w:hAnsi="Book Antiqua" w:cs="Book Antiqua"/>
          <w:color w:val="000000"/>
          <w:lang w:eastAsia="zh-CN"/>
        </w:rPr>
        <w:t>L</w:t>
      </w:r>
      <w:r w:rsidR="005E3CA5" w:rsidRPr="004A5F47">
        <w:rPr>
          <w:rFonts w:ascii="Book Antiqua" w:eastAsia="Book Antiqua" w:hAnsi="Book Antiqua" w:cs="Book Antiqua"/>
          <w:color w:val="000000"/>
        </w:rPr>
        <w:t xml:space="preserve">eft ducts; </w:t>
      </w:r>
      <w:r w:rsidR="007B664C" w:rsidRPr="004A5F47">
        <w:rPr>
          <w:rFonts w:ascii="Book Antiqua" w:eastAsia="Book Antiqua" w:hAnsi="Book Antiqua" w:cs="Book Antiqua"/>
          <w:color w:val="000000"/>
        </w:rPr>
        <w:t>RHD</w:t>
      </w:r>
      <w:r w:rsidR="007B664C" w:rsidRPr="004A5F47">
        <w:rPr>
          <w:rFonts w:ascii="Book Antiqua" w:hAnsi="Book Antiqua" w:cs="Book Antiqua"/>
          <w:color w:val="000000"/>
          <w:lang w:eastAsia="zh-CN"/>
        </w:rPr>
        <w:t>: R</w:t>
      </w:r>
      <w:r w:rsidR="007B664C" w:rsidRPr="004A5F47">
        <w:rPr>
          <w:rFonts w:ascii="Book Antiqua" w:eastAsia="Book Antiqua" w:hAnsi="Book Antiqua" w:cs="Book Antiqua"/>
          <w:color w:val="000000"/>
        </w:rPr>
        <w:t>ight ducts</w:t>
      </w:r>
      <w:r w:rsidR="00D27DE5" w:rsidRPr="004A5F47">
        <w:rPr>
          <w:rFonts w:ascii="Book Antiqua" w:hAnsi="Book Antiqua" w:cs="Book Antiqua"/>
          <w:color w:val="000000"/>
          <w:lang w:eastAsia="zh-CN"/>
        </w:rPr>
        <w:t>.</w:t>
      </w:r>
      <w:r w:rsidR="00523A85" w:rsidRPr="004A5F47">
        <w:rPr>
          <w:rFonts w:ascii="Book Antiqua" w:hAnsi="Book Antiqua" w:cs="Book Antiqua"/>
          <w:color w:val="000000"/>
          <w:lang w:eastAsia="zh-CN"/>
        </w:rPr>
        <w:t xml:space="preserve"> </w:t>
      </w:r>
    </w:p>
    <w:p w14:paraId="2ECB90E5" w14:textId="77777777" w:rsidR="00124EFD" w:rsidRPr="004A5F47" w:rsidRDefault="00124EFD" w:rsidP="00265460">
      <w:pPr>
        <w:spacing w:line="360" w:lineRule="auto"/>
        <w:jc w:val="both"/>
        <w:rPr>
          <w:rFonts w:ascii="Book Antiqua" w:hAnsi="Book Antiqua"/>
        </w:rPr>
        <w:sectPr w:rsidR="00124EFD" w:rsidRPr="004A5F47">
          <w:pgSz w:w="12240" w:h="15840"/>
          <w:pgMar w:top="1440" w:right="1440" w:bottom="1440" w:left="1440" w:header="720" w:footer="720" w:gutter="0"/>
          <w:cols w:space="720"/>
          <w:docGrid w:linePitch="360"/>
        </w:sectPr>
      </w:pPr>
    </w:p>
    <w:p w14:paraId="3C644CD0" w14:textId="29304253" w:rsidR="00D27DE5" w:rsidRPr="004A5F47" w:rsidRDefault="000E33B7" w:rsidP="00265460">
      <w:pPr>
        <w:spacing w:line="360" w:lineRule="auto"/>
        <w:jc w:val="both"/>
        <w:rPr>
          <w:rFonts w:ascii="Book Antiqua" w:hAnsi="Book Antiqua"/>
          <w:b/>
          <w:bCs/>
          <w:lang w:eastAsia="zh-CN"/>
        </w:rPr>
      </w:pPr>
      <w:r w:rsidRPr="004A5F47">
        <w:rPr>
          <w:rFonts w:ascii="Book Antiqua" w:hAnsi="Book Antiqua"/>
          <w:b/>
          <w:bCs/>
        </w:rPr>
        <w:lastRenderedPageBreak/>
        <w:t>Table 1</w:t>
      </w:r>
      <w:r w:rsidRPr="004A5F47">
        <w:rPr>
          <w:rFonts w:ascii="Book Antiqua" w:hAnsi="Book Antiqua"/>
          <w:b/>
          <w:bCs/>
          <w:lang w:eastAsia="zh-CN"/>
        </w:rPr>
        <w:t xml:space="preserve"> </w:t>
      </w:r>
      <w:r w:rsidRPr="004A5F47">
        <w:rPr>
          <w:rFonts w:ascii="Book Antiqua" w:hAnsi="Book Antiqua"/>
          <w:b/>
          <w:bCs/>
        </w:rPr>
        <w:t xml:space="preserve">Clinical studies assessing the impact of abdominal normothermic regional perfusion on </w:t>
      </w:r>
      <w:r w:rsidR="00700403" w:rsidRPr="004A5F47">
        <w:rPr>
          <w:rFonts w:ascii="Book Antiqua" w:hAnsi="Book Antiqua"/>
          <w:b/>
          <w:bCs/>
        </w:rPr>
        <w:t>i</w:t>
      </w:r>
      <w:r w:rsidRPr="004A5F47">
        <w:rPr>
          <w:rFonts w:ascii="Book Antiqua" w:hAnsi="Book Antiqua"/>
          <w:b/>
          <w:bCs/>
        </w:rPr>
        <w:t>schemic type biliary lesions after liver transplantation</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38"/>
        <w:gridCol w:w="877"/>
        <w:gridCol w:w="949"/>
        <w:gridCol w:w="1285"/>
        <w:gridCol w:w="1109"/>
        <w:gridCol w:w="2820"/>
        <w:gridCol w:w="1270"/>
        <w:gridCol w:w="1422"/>
        <w:gridCol w:w="980"/>
        <w:gridCol w:w="788"/>
        <w:gridCol w:w="122"/>
      </w:tblGrid>
      <w:tr w:rsidR="00560214" w:rsidRPr="004A5F47" w14:paraId="7E0B2A6F" w14:textId="77777777" w:rsidTr="00D07AA7">
        <w:trPr>
          <w:trHeight w:val="441"/>
        </w:trPr>
        <w:tc>
          <w:tcPr>
            <w:tcW w:w="504" w:type="pct"/>
            <w:tcBorders>
              <w:top w:val="single" w:sz="4" w:space="0" w:color="auto"/>
              <w:bottom w:val="single" w:sz="4" w:space="0" w:color="auto"/>
            </w:tcBorders>
            <w:shd w:val="clear" w:color="auto" w:fill="auto"/>
            <w:hideMark/>
          </w:tcPr>
          <w:p w14:paraId="1231D38C" w14:textId="02C5A778" w:rsidR="000E33B7" w:rsidRPr="00815C0F" w:rsidRDefault="00560214" w:rsidP="00265460">
            <w:pPr>
              <w:pStyle w:val="EndNoteBibliography"/>
              <w:spacing w:line="360" w:lineRule="auto"/>
              <w:jc w:val="both"/>
              <w:rPr>
                <w:rFonts w:ascii="Book Antiqua" w:hAnsi="Book Antiqua"/>
                <w:b/>
                <w:bCs/>
                <w:color w:val="000000" w:themeColor="text1"/>
                <w:lang w:val="en-US" w:eastAsia="zh-CN"/>
              </w:rPr>
            </w:pPr>
            <w:r w:rsidRPr="004A5F47">
              <w:rPr>
                <w:rFonts w:ascii="Book Antiqua" w:hAnsi="Book Antiqua"/>
                <w:b/>
                <w:bCs/>
                <w:color w:val="000000" w:themeColor="text1"/>
                <w:lang w:val="en-US" w:eastAsia="zh-CN"/>
              </w:rPr>
              <w:t>Ref.</w:t>
            </w:r>
          </w:p>
        </w:tc>
        <w:tc>
          <w:tcPr>
            <w:tcW w:w="327" w:type="pct"/>
            <w:tcBorders>
              <w:top w:val="single" w:sz="4" w:space="0" w:color="auto"/>
              <w:bottom w:val="single" w:sz="4" w:space="0" w:color="auto"/>
            </w:tcBorders>
            <w:shd w:val="clear" w:color="auto" w:fill="auto"/>
            <w:hideMark/>
          </w:tcPr>
          <w:p w14:paraId="1C8D66CC" w14:textId="77777777" w:rsidR="000E33B7" w:rsidRPr="00815C0F" w:rsidRDefault="000E33B7" w:rsidP="00265460">
            <w:pPr>
              <w:pStyle w:val="EndNoteBibliography"/>
              <w:spacing w:line="360" w:lineRule="auto"/>
              <w:jc w:val="both"/>
              <w:rPr>
                <w:rFonts w:ascii="Book Antiqua" w:hAnsi="Book Antiqua"/>
                <w:b/>
                <w:bCs/>
                <w:color w:val="000000" w:themeColor="text1"/>
                <w:lang w:val="en-US"/>
              </w:rPr>
            </w:pPr>
            <w:r w:rsidRPr="004A5F47">
              <w:rPr>
                <w:rFonts w:ascii="Book Antiqua" w:hAnsi="Book Antiqua"/>
                <w:b/>
                <w:bCs/>
                <w:color w:val="000000" w:themeColor="text1"/>
                <w:lang w:val="en-US"/>
              </w:rPr>
              <w:t xml:space="preserve">Study design </w:t>
            </w:r>
          </w:p>
        </w:tc>
        <w:tc>
          <w:tcPr>
            <w:tcW w:w="359" w:type="pct"/>
            <w:tcBorders>
              <w:top w:val="single" w:sz="4" w:space="0" w:color="auto"/>
              <w:bottom w:val="single" w:sz="4" w:space="0" w:color="auto"/>
            </w:tcBorders>
            <w:shd w:val="clear" w:color="auto" w:fill="auto"/>
            <w:hideMark/>
          </w:tcPr>
          <w:p w14:paraId="77AD57C7" w14:textId="77777777" w:rsidR="000E33B7" w:rsidRPr="00815C0F" w:rsidRDefault="000E33B7" w:rsidP="00265460">
            <w:pPr>
              <w:pStyle w:val="EndNoteBibliography"/>
              <w:spacing w:line="360" w:lineRule="auto"/>
              <w:jc w:val="both"/>
              <w:rPr>
                <w:rFonts w:ascii="Book Antiqua" w:hAnsi="Book Antiqua"/>
                <w:b/>
                <w:bCs/>
                <w:color w:val="000000" w:themeColor="text1"/>
                <w:lang w:val="en-US"/>
              </w:rPr>
            </w:pPr>
            <w:r w:rsidRPr="004A5F47">
              <w:rPr>
                <w:rFonts w:ascii="Book Antiqua" w:hAnsi="Book Antiqua"/>
                <w:b/>
                <w:bCs/>
                <w:color w:val="000000" w:themeColor="text1"/>
                <w:lang w:val="en-US"/>
              </w:rPr>
              <w:t>Groups (</w:t>
            </w:r>
            <w:r w:rsidRPr="004A5F47">
              <w:rPr>
                <w:rFonts w:ascii="Book Antiqua" w:hAnsi="Book Antiqua"/>
                <w:b/>
                <w:bCs/>
                <w:i/>
                <w:color w:val="000000" w:themeColor="text1"/>
                <w:lang w:val="en-US"/>
              </w:rPr>
              <w:t>n</w:t>
            </w:r>
            <w:r w:rsidRPr="004A5F47">
              <w:rPr>
                <w:rFonts w:ascii="Book Antiqua" w:hAnsi="Book Antiqua"/>
                <w:b/>
                <w:bCs/>
                <w:color w:val="000000" w:themeColor="text1"/>
                <w:lang w:val="en-US"/>
              </w:rPr>
              <w:t>)</w:t>
            </w:r>
          </w:p>
        </w:tc>
        <w:tc>
          <w:tcPr>
            <w:tcW w:w="484" w:type="pct"/>
            <w:tcBorders>
              <w:top w:val="single" w:sz="4" w:space="0" w:color="auto"/>
              <w:bottom w:val="single" w:sz="4" w:space="0" w:color="auto"/>
            </w:tcBorders>
            <w:shd w:val="clear" w:color="auto" w:fill="auto"/>
            <w:hideMark/>
          </w:tcPr>
          <w:p w14:paraId="500D6BEC" w14:textId="77777777" w:rsidR="000E33B7" w:rsidRPr="00815C0F" w:rsidRDefault="000E33B7" w:rsidP="00265460">
            <w:pPr>
              <w:pStyle w:val="EndNoteBibliography"/>
              <w:spacing w:line="360" w:lineRule="auto"/>
              <w:jc w:val="both"/>
              <w:rPr>
                <w:rFonts w:ascii="Book Antiqua" w:hAnsi="Book Antiqua"/>
                <w:b/>
                <w:bCs/>
                <w:color w:val="000000" w:themeColor="text1"/>
                <w:lang w:val="en-US"/>
              </w:rPr>
            </w:pPr>
            <w:r w:rsidRPr="004A5F47">
              <w:rPr>
                <w:rFonts w:ascii="Book Antiqua" w:hAnsi="Book Antiqua"/>
                <w:b/>
                <w:bCs/>
                <w:color w:val="000000" w:themeColor="text1"/>
                <w:lang w:val="en-US"/>
              </w:rPr>
              <w:t>Control group</w:t>
            </w:r>
          </w:p>
        </w:tc>
        <w:tc>
          <w:tcPr>
            <w:tcW w:w="416" w:type="pct"/>
            <w:tcBorders>
              <w:top w:val="single" w:sz="4" w:space="0" w:color="auto"/>
              <w:bottom w:val="single" w:sz="4" w:space="0" w:color="auto"/>
            </w:tcBorders>
            <w:shd w:val="clear" w:color="auto" w:fill="auto"/>
            <w:hideMark/>
          </w:tcPr>
          <w:p w14:paraId="2DF21587" w14:textId="6B155F9E" w:rsidR="000E33B7" w:rsidRPr="00815C0F" w:rsidRDefault="000E33B7" w:rsidP="00265460">
            <w:pPr>
              <w:pStyle w:val="EndNoteBibliography"/>
              <w:spacing w:line="360" w:lineRule="auto"/>
              <w:jc w:val="both"/>
              <w:rPr>
                <w:rFonts w:ascii="Book Antiqua" w:hAnsi="Book Antiqua"/>
                <w:b/>
                <w:lang w:val="en-US"/>
              </w:rPr>
            </w:pPr>
            <w:r w:rsidRPr="004A5F47">
              <w:rPr>
                <w:rFonts w:ascii="Book Antiqua" w:hAnsi="Book Antiqua"/>
                <w:b/>
                <w:bCs/>
                <w:color w:val="000000" w:themeColor="text1"/>
                <w:lang w:val="en-US"/>
              </w:rPr>
              <w:t xml:space="preserve">NRP </w:t>
            </w:r>
            <w:r w:rsidR="00E65F97" w:rsidRPr="004A5F47">
              <w:rPr>
                <w:rFonts w:ascii="Book Antiqua" w:hAnsi="Book Antiqua"/>
                <w:b/>
                <w:bCs/>
                <w:color w:val="000000" w:themeColor="text1"/>
                <w:lang w:val="en-US" w:eastAsia="zh-CN"/>
              </w:rPr>
              <w:t>p</w:t>
            </w:r>
            <w:r w:rsidRPr="004A5F47">
              <w:rPr>
                <w:rFonts w:ascii="Book Antiqua" w:hAnsi="Book Antiqua"/>
                <w:b/>
                <w:bCs/>
                <w:color w:val="000000" w:themeColor="text1"/>
                <w:lang w:val="en-US"/>
              </w:rPr>
              <w:t>rotocol and</w:t>
            </w:r>
            <w:r w:rsidRPr="004A5F47">
              <w:rPr>
                <w:rFonts w:ascii="Book Antiqua" w:hAnsi="Book Antiqua"/>
                <w:b/>
                <w:lang w:val="en-US"/>
              </w:rPr>
              <w:t xml:space="preserve"> viability criteria </w:t>
            </w:r>
          </w:p>
        </w:tc>
        <w:tc>
          <w:tcPr>
            <w:tcW w:w="1073" w:type="pct"/>
            <w:tcBorders>
              <w:top w:val="single" w:sz="4" w:space="0" w:color="auto"/>
              <w:bottom w:val="single" w:sz="4" w:space="0" w:color="auto"/>
            </w:tcBorders>
            <w:shd w:val="clear" w:color="auto" w:fill="auto"/>
            <w:hideMark/>
          </w:tcPr>
          <w:p w14:paraId="3B3098E3" w14:textId="77777777" w:rsidR="000E33B7" w:rsidRPr="00815C0F" w:rsidRDefault="000E33B7" w:rsidP="00265460">
            <w:pPr>
              <w:pStyle w:val="EndNoteBibliography"/>
              <w:spacing w:line="360" w:lineRule="auto"/>
              <w:jc w:val="both"/>
              <w:rPr>
                <w:rFonts w:ascii="Book Antiqua" w:hAnsi="Book Antiqua"/>
                <w:b/>
                <w:bCs/>
                <w:color w:val="000000" w:themeColor="text1"/>
                <w:lang w:val="en-US"/>
              </w:rPr>
            </w:pPr>
            <w:r w:rsidRPr="004A5F47">
              <w:rPr>
                <w:rFonts w:ascii="Book Antiqua" w:hAnsi="Book Antiqua"/>
                <w:b/>
                <w:bCs/>
                <w:color w:val="000000" w:themeColor="text1"/>
                <w:lang w:val="en-US"/>
              </w:rPr>
              <w:t>Definition of ITBL</w:t>
            </w:r>
          </w:p>
        </w:tc>
        <w:tc>
          <w:tcPr>
            <w:tcW w:w="478" w:type="pct"/>
            <w:tcBorders>
              <w:top w:val="single" w:sz="4" w:space="0" w:color="auto"/>
              <w:bottom w:val="single" w:sz="4" w:space="0" w:color="auto"/>
            </w:tcBorders>
            <w:shd w:val="clear" w:color="auto" w:fill="auto"/>
            <w:hideMark/>
          </w:tcPr>
          <w:p w14:paraId="526602D2" w14:textId="77777777" w:rsidR="000E33B7" w:rsidRPr="00815C0F" w:rsidRDefault="000E33B7" w:rsidP="00265460">
            <w:pPr>
              <w:pStyle w:val="EndNoteBibliography"/>
              <w:spacing w:line="360" w:lineRule="auto"/>
              <w:jc w:val="both"/>
              <w:rPr>
                <w:rFonts w:ascii="Book Antiqua" w:hAnsi="Book Antiqua"/>
                <w:b/>
                <w:bCs/>
                <w:color w:val="000000" w:themeColor="text1"/>
                <w:lang w:val="en-US"/>
              </w:rPr>
            </w:pPr>
            <w:r w:rsidRPr="004A5F47">
              <w:rPr>
                <w:rFonts w:ascii="Book Antiqua" w:hAnsi="Book Antiqua"/>
                <w:b/>
                <w:bCs/>
                <w:color w:val="000000" w:themeColor="text1"/>
                <w:lang w:val="en-US"/>
              </w:rPr>
              <w:t>Follow up</w:t>
            </w:r>
          </w:p>
        </w:tc>
        <w:tc>
          <w:tcPr>
            <w:tcW w:w="536" w:type="pct"/>
            <w:tcBorders>
              <w:top w:val="single" w:sz="4" w:space="0" w:color="auto"/>
              <w:bottom w:val="single" w:sz="4" w:space="0" w:color="auto"/>
            </w:tcBorders>
            <w:shd w:val="clear" w:color="auto" w:fill="auto"/>
            <w:hideMark/>
          </w:tcPr>
          <w:p w14:paraId="2E8721A2" w14:textId="4AFBEF06" w:rsidR="000E33B7" w:rsidRPr="00815C0F" w:rsidRDefault="000E33B7" w:rsidP="00265460">
            <w:pPr>
              <w:pStyle w:val="EndNoteBibliography"/>
              <w:spacing w:line="360" w:lineRule="auto"/>
              <w:jc w:val="both"/>
              <w:rPr>
                <w:rFonts w:ascii="Book Antiqua" w:hAnsi="Book Antiqua"/>
                <w:b/>
                <w:lang w:val="en-US"/>
              </w:rPr>
            </w:pPr>
            <w:r w:rsidRPr="004A5F47">
              <w:rPr>
                <w:rFonts w:ascii="Book Antiqua" w:hAnsi="Book Antiqua"/>
                <w:b/>
                <w:bCs/>
                <w:color w:val="000000" w:themeColor="text1"/>
                <w:lang w:val="en-US"/>
              </w:rPr>
              <w:t xml:space="preserve">ITBL in </w:t>
            </w:r>
            <w:r w:rsidR="00E66A1D" w:rsidRPr="004A5F47">
              <w:rPr>
                <w:rFonts w:ascii="Book Antiqua" w:hAnsi="Book Antiqua"/>
                <w:b/>
                <w:bCs/>
                <w:color w:val="000000" w:themeColor="text1"/>
                <w:lang w:val="en-US" w:eastAsia="zh-CN"/>
              </w:rPr>
              <w:t>i</w:t>
            </w:r>
            <w:r w:rsidRPr="004A5F47">
              <w:rPr>
                <w:rFonts w:ascii="Book Antiqua" w:hAnsi="Book Antiqua"/>
                <w:b/>
                <w:bCs/>
                <w:color w:val="000000" w:themeColor="text1"/>
                <w:lang w:val="en-US"/>
              </w:rPr>
              <w:t>ntervention (DCD</w:t>
            </w:r>
            <w:r w:rsidRPr="004A5F47">
              <w:rPr>
                <w:rFonts w:ascii="Book Antiqua" w:hAnsi="Book Antiqua"/>
                <w:b/>
                <w:lang w:val="en-US"/>
              </w:rPr>
              <w:t xml:space="preserve"> NRP)</w:t>
            </w:r>
          </w:p>
        </w:tc>
        <w:tc>
          <w:tcPr>
            <w:tcW w:w="483" w:type="pct"/>
            <w:tcBorders>
              <w:top w:val="single" w:sz="4" w:space="0" w:color="auto"/>
              <w:bottom w:val="single" w:sz="4" w:space="0" w:color="auto"/>
            </w:tcBorders>
            <w:shd w:val="clear" w:color="auto" w:fill="auto"/>
            <w:hideMark/>
          </w:tcPr>
          <w:p w14:paraId="11221A8C" w14:textId="77777777" w:rsidR="000E33B7" w:rsidRPr="00815C0F" w:rsidRDefault="000E33B7" w:rsidP="00265460">
            <w:pPr>
              <w:pStyle w:val="EndNoteBibliography"/>
              <w:spacing w:line="360" w:lineRule="auto"/>
              <w:jc w:val="both"/>
              <w:rPr>
                <w:rFonts w:ascii="Book Antiqua" w:hAnsi="Book Antiqua"/>
                <w:b/>
                <w:lang w:val="en-US"/>
              </w:rPr>
            </w:pPr>
            <w:r w:rsidRPr="004A5F47">
              <w:rPr>
                <w:rFonts w:ascii="Book Antiqua" w:hAnsi="Book Antiqua"/>
                <w:b/>
                <w:bCs/>
                <w:color w:val="000000" w:themeColor="text1"/>
                <w:lang w:val="en-US"/>
              </w:rPr>
              <w:t xml:space="preserve">ITBL in control </w:t>
            </w:r>
            <w:r w:rsidRPr="004A5F47">
              <w:rPr>
                <w:rFonts w:ascii="Book Antiqua" w:hAnsi="Book Antiqua"/>
                <w:b/>
                <w:lang w:val="en-US"/>
              </w:rPr>
              <w:t>(DCD)</w:t>
            </w:r>
          </w:p>
        </w:tc>
        <w:tc>
          <w:tcPr>
            <w:tcW w:w="340" w:type="pct"/>
            <w:gridSpan w:val="2"/>
            <w:tcBorders>
              <w:top w:val="single" w:sz="4" w:space="0" w:color="auto"/>
              <w:bottom w:val="single" w:sz="4" w:space="0" w:color="auto"/>
            </w:tcBorders>
            <w:shd w:val="clear" w:color="auto" w:fill="auto"/>
            <w:hideMark/>
          </w:tcPr>
          <w:p w14:paraId="64612667" w14:textId="77777777" w:rsidR="000E33B7" w:rsidRPr="00815C0F" w:rsidRDefault="000E33B7" w:rsidP="00265460">
            <w:pPr>
              <w:pStyle w:val="EndNoteBibliography"/>
              <w:spacing w:line="360" w:lineRule="auto"/>
              <w:jc w:val="both"/>
              <w:rPr>
                <w:rFonts w:ascii="Book Antiqua" w:hAnsi="Book Antiqua"/>
                <w:b/>
                <w:lang w:val="en-US"/>
              </w:rPr>
            </w:pPr>
            <w:r w:rsidRPr="004A5F47">
              <w:rPr>
                <w:rFonts w:ascii="Book Antiqua" w:hAnsi="Book Antiqua"/>
                <w:b/>
                <w:bCs/>
                <w:color w:val="000000" w:themeColor="text1"/>
                <w:lang w:val="en-US"/>
              </w:rPr>
              <w:t xml:space="preserve">ITBL in control </w:t>
            </w:r>
            <w:r w:rsidRPr="004A5F47">
              <w:rPr>
                <w:rFonts w:ascii="Book Antiqua" w:hAnsi="Book Antiqua"/>
                <w:b/>
                <w:lang w:val="en-US"/>
              </w:rPr>
              <w:t>(DBD)</w:t>
            </w:r>
          </w:p>
        </w:tc>
      </w:tr>
      <w:tr w:rsidR="005A2D5B" w:rsidRPr="004A5F47" w14:paraId="412069F1" w14:textId="77777777" w:rsidTr="00D07AA7">
        <w:trPr>
          <w:gridAfter w:val="1"/>
          <w:wAfter w:w="47" w:type="pct"/>
          <w:trHeight w:val="630"/>
        </w:trPr>
        <w:tc>
          <w:tcPr>
            <w:tcW w:w="504" w:type="pct"/>
            <w:shd w:val="clear" w:color="auto" w:fill="auto"/>
          </w:tcPr>
          <w:p w14:paraId="247AEAAE" w14:textId="0B498243" w:rsidR="00BB6799" w:rsidRPr="00815C0F" w:rsidRDefault="00BB6799"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Schurink</w:t>
            </w:r>
            <w:r w:rsidR="005A2D5B" w:rsidRPr="004A5F47">
              <w:rPr>
                <w:rFonts w:ascii="Book Antiqua" w:hAnsi="Book Antiqua"/>
                <w:color w:val="000000" w:themeColor="text1"/>
                <w:lang w:val="en-US"/>
              </w:rPr>
              <w:t xml:space="preserve"> </w:t>
            </w:r>
            <w:r w:rsidR="005A2D5B" w:rsidRPr="004A5F47">
              <w:rPr>
                <w:rFonts w:ascii="Book Antiqua" w:hAnsi="Book Antiqua"/>
                <w:i/>
                <w:iCs/>
                <w:color w:val="000000" w:themeColor="text1"/>
                <w:lang w:val="en-US"/>
              </w:rPr>
              <w:t>et al</w:t>
            </w:r>
            <w:r w:rsidR="00265460" w:rsidRPr="004A5F47">
              <w:rPr>
                <w:rFonts w:ascii="Book Antiqua" w:eastAsia="Book Antiqua" w:hAnsi="Book Antiqua" w:cs="Book Antiqua"/>
                <w:color w:val="000000"/>
                <w:vertAlign w:val="superscript"/>
                <w:lang w:val="en-US"/>
              </w:rPr>
              <w:t>[42]</w:t>
            </w:r>
            <w:r w:rsidRPr="004A5F47">
              <w:rPr>
                <w:rFonts w:ascii="Book Antiqua" w:hAnsi="Book Antiqua"/>
                <w:color w:val="000000" w:themeColor="text1"/>
                <w:lang w:val="en-US"/>
              </w:rPr>
              <w:t>,</w:t>
            </w:r>
            <w:r w:rsidR="00265460" w:rsidRPr="004A5F47">
              <w:rPr>
                <w:rFonts w:ascii="Book Antiqua" w:eastAsia="Book Antiqua" w:hAnsi="Book Antiqua" w:cs="Book Antiqua"/>
                <w:color w:val="000000"/>
                <w:vertAlign w:val="superscript"/>
                <w:lang w:val="en-US"/>
              </w:rPr>
              <w:t xml:space="preserve"> </w:t>
            </w:r>
            <w:r w:rsidRPr="004A5F47">
              <w:rPr>
                <w:rFonts w:ascii="Book Antiqua" w:hAnsi="Book Antiqua"/>
                <w:color w:val="000000" w:themeColor="text1"/>
                <w:lang w:val="en-US"/>
              </w:rPr>
              <w:t>2022</w:t>
            </w:r>
          </w:p>
        </w:tc>
        <w:tc>
          <w:tcPr>
            <w:tcW w:w="327" w:type="pct"/>
            <w:shd w:val="clear" w:color="auto" w:fill="auto"/>
          </w:tcPr>
          <w:p w14:paraId="1A89C937" w14:textId="75AD9D6F" w:rsidR="00BB6799" w:rsidRPr="00815C0F" w:rsidRDefault="00BB6799"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tcPr>
          <w:p w14:paraId="32F8F8B5" w14:textId="7B4360E1" w:rsidR="00BB6799" w:rsidRPr="00815C0F" w:rsidRDefault="00265460" w:rsidP="00551E77">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NRP</w:t>
            </w:r>
            <w:r w:rsidR="00551E77" w:rsidRPr="004A5F47">
              <w:rPr>
                <w:rFonts w:ascii="Book Antiqua" w:hAnsi="Book Antiqua"/>
                <w:color w:val="000000" w:themeColor="text1"/>
                <w:vertAlign w:val="superscript"/>
                <w:lang w:val="en-US" w:eastAsia="zh-CN"/>
              </w:rPr>
              <w:t>1</w:t>
            </w:r>
            <w:r w:rsidRPr="004A5F47">
              <w:rPr>
                <w:rFonts w:ascii="Book Antiqua" w:hAnsi="Book Antiqua"/>
                <w:color w:val="000000" w:themeColor="text1"/>
                <w:lang w:val="en-US"/>
              </w:rPr>
              <w:t xml:space="preserve"> (20) </w:t>
            </w:r>
            <w:r w:rsidRPr="004A5F47">
              <w:rPr>
                <w:rFonts w:ascii="Book Antiqua" w:hAnsi="Book Antiqua"/>
                <w:i/>
                <w:color w:val="000000" w:themeColor="text1"/>
                <w:lang w:val="en-US"/>
              </w:rPr>
              <w:t>vs</w:t>
            </w:r>
            <w:r w:rsidRPr="004A5F47">
              <w:rPr>
                <w:rFonts w:ascii="Book Antiqua" w:hAnsi="Book Antiqua"/>
                <w:color w:val="000000" w:themeColor="text1"/>
                <w:lang w:val="en-US" w:eastAsia="zh-CN"/>
              </w:rPr>
              <w:t xml:space="preserve"> </w:t>
            </w:r>
            <w:r w:rsidRPr="004A5F47">
              <w:rPr>
                <w:rFonts w:ascii="Book Antiqua" w:hAnsi="Book Antiqua"/>
                <w:color w:val="000000" w:themeColor="text1"/>
                <w:lang w:val="en-US"/>
              </w:rPr>
              <w:t xml:space="preserve">DCD (49) </w:t>
            </w:r>
            <w:r w:rsidRPr="004A5F47">
              <w:rPr>
                <w:rFonts w:ascii="Book Antiqua" w:hAnsi="Book Antiqua"/>
                <w:i/>
                <w:color w:val="000000" w:themeColor="text1"/>
                <w:lang w:val="en-US"/>
              </w:rPr>
              <w:t>vs</w:t>
            </w:r>
            <w:r w:rsidR="00BB6799" w:rsidRPr="004A5F47">
              <w:rPr>
                <w:rFonts w:ascii="Book Antiqua" w:hAnsi="Book Antiqua"/>
                <w:color w:val="000000" w:themeColor="text1"/>
                <w:lang w:val="en-US"/>
              </w:rPr>
              <w:t xml:space="preserve"> DBD (81)</w:t>
            </w:r>
          </w:p>
        </w:tc>
        <w:tc>
          <w:tcPr>
            <w:tcW w:w="484" w:type="pct"/>
            <w:shd w:val="clear" w:color="auto" w:fill="auto"/>
          </w:tcPr>
          <w:p w14:paraId="1469F44D" w14:textId="0EBFFC17" w:rsidR="00BB6799" w:rsidRPr="00815C0F" w:rsidRDefault="00BB6799"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DCD/DBD</w:t>
            </w:r>
          </w:p>
        </w:tc>
        <w:tc>
          <w:tcPr>
            <w:tcW w:w="416" w:type="pct"/>
            <w:shd w:val="clear" w:color="auto" w:fill="auto"/>
          </w:tcPr>
          <w:p w14:paraId="3FCDD875" w14:textId="0D7C085C" w:rsidR="00BB6799" w:rsidRPr="00815C0F" w:rsidRDefault="00BB6799" w:rsidP="00551E77">
            <w:pPr>
              <w:pStyle w:val="EndNoteBibliography"/>
              <w:spacing w:line="360" w:lineRule="auto"/>
              <w:jc w:val="both"/>
              <w:rPr>
                <w:rFonts w:ascii="Book Antiqua" w:hAnsi="Book Antiqua"/>
                <w:color w:val="000000" w:themeColor="text1"/>
                <w:vertAlign w:val="superscript"/>
                <w:lang w:val="en-US" w:eastAsia="zh-CN"/>
              </w:rPr>
            </w:pPr>
            <w:r w:rsidRPr="004A5F47">
              <w:rPr>
                <w:rFonts w:ascii="Book Antiqua" w:hAnsi="Book Antiqua"/>
                <w:color w:val="000000" w:themeColor="text1"/>
                <w:lang w:val="en-US"/>
              </w:rPr>
              <w:t>Dutch protocol</w:t>
            </w:r>
            <w:r w:rsidR="00551E77" w:rsidRPr="004A5F47">
              <w:rPr>
                <w:rFonts w:ascii="Book Antiqua" w:hAnsi="Book Antiqua"/>
                <w:color w:val="000000" w:themeColor="text1"/>
                <w:vertAlign w:val="superscript"/>
                <w:lang w:val="en-US" w:eastAsia="zh-CN"/>
              </w:rPr>
              <w:t>2</w:t>
            </w:r>
          </w:p>
        </w:tc>
        <w:tc>
          <w:tcPr>
            <w:tcW w:w="1073" w:type="pct"/>
            <w:shd w:val="clear" w:color="auto" w:fill="auto"/>
          </w:tcPr>
          <w:p w14:paraId="56F5D9F8" w14:textId="299EFD95" w:rsidR="00BB6799" w:rsidRPr="00815C0F" w:rsidRDefault="00BB6799"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Symptomatic radiologically NAS without the presence of a HAT</w:t>
            </w:r>
          </w:p>
        </w:tc>
        <w:tc>
          <w:tcPr>
            <w:tcW w:w="478" w:type="pct"/>
            <w:shd w:val="clear" w:color="auto" w:fill="auto"/>
          </w:tcPr>
          <w:p w14:paraId="30B7D44A" w14:textId="0918DB34" w:rsidR="00BB6799" w:rsidRPr="00815C0F" w:rsidRDefault="00802242" w:rsidP="003204D2">
            <w:pPr>
              <w:pStyle w:val="EndNoteBibliography"/>
              <w:spacing w:line="360" w:lineRule="auto"/>
              <w:jc w:val="both"/>
              <w:rPr>
                <w:rFonts w:ascii="Book Antiqua" w:hAnsi="Book Antiqua"/>
                <w:iCs/>
                <w:color w:val="000000" w:themeColor="text1"/>
                <w:lang w:val="en-US"/>
              </w:rPr>
            </w:pPr>
            <w:r w:rsidRPr="004A5F47">
              <w:rPr>
                <w:rFonts w:ascii="Book Antiqua" w:hAnsi="Book Antiqua"/>
                <w:iCs/>
                <w:color w:val="000000" w:themeColor="text1"/>
                <w:lang w:val="en-US"/>
              </w:rPr>
              <w:t>Median-</w:t>
            </w:r>
            <w:r w:rsidR="00BB6799" w:rsidRPr="004A5F47">
              <w:rPr>
                <w:rFonts w:ascii="Book Antiqua" w:hAnsi="Book Antiqua"/>
                <w:color w:val="000000" w:themeColor="text1"/>
                <w:lang w:val="en-US"/>
              </w:rPr>
              <w:t>NRP 23 mo, DCD25 mo and DBD 26 mo</w:t>
            </w:r>
          </w:p>
        </w:tc>
        <w:tc>
          <w:tcPr>
            <w:tcW w:w="536" w:type="pct"/>
            <w:shd w:val="clear" w:color="auto" w:fill="auto"/>
          </w:tcPr>
          <w:p w14:paraId="1757E284" w14:textId="029A7C11" w:rsidR="00BB6799" w:rsidRPr="00815C0F" w:rsidRDefault="00BB6799" w:rsidP="00551E77">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1/15 (7%)</w:t>
            </w:r>
            <w:r w:rsidR="00974DC2" w:rsidRPr="004A5F47">
              <w:rPr>
                <w:rFonts w:ascii="Book Antiqua" w:hAnsi="Book Antiqua"/>
                <w:color w:val="000000" w:themeColor="text1"/>
                <w:lang w:val="en-US" w:eastAsia="zh-CN"/>
              </w:rPr>
              <w:t xml:space="preserve">; </w:t>
            </w:r>
            <w:r w:rsidRPr="004A5F47">
              <w:rPr>
                <w:rFonts w:ascii="Book Antiqua" w:hAnsi="Book Antiqua"/>
                <w:color w:val="000000" w:themeColor="text1"/>
                <w:lang w:val="en-US"/>
              </w:rPr>
              <w:t>1/5 (20%)</w:t>
            </w:r>
            <w:r w:rsidR="00551E77" w:rsidRPr="004A5F47">
              <w:rPr>
                <w:rFonts w:ascii="Book Antiqua" w:hAnsi="Book Antiqua"/>
                <w:color w:val="000000" w:themeColor="text1"/>
                <w:vertAlign w:val="superscript"/>
                <w:lang w:val="en-US" w:eastAsia="zh-CN"/>
              </w:rPr>
              <w:t>3</w:t>
            </w:r>
          </w:p>
        </w:tc>
        <w:tc>
          <w:tcPr>
            <w:tcW w:w="483" w:type="pct"/>
            <w:shd w:val="clear" w:color="auto" w:fill="auto"/>
          </w:tcPr>
          <w:p w14:paraId="2199AE4F" w14:textId="3B57DC9A" w:rsidR="00BB6799" w:rsidRPr="00815C0F" w:rsidRDefault="00BB6799"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8/30 (26%)</w:t>
            </w:r>
          </w:p>
        </w:tc>
        <w:tc>
          <w:tcPr>
            <w:tcW w:w="293" w:type="pct"/>
            <w:shd w:val="clear" w:color="auto" w:fill="auto"/>
          </w:tcPr>
          <w:p w14:paraId="1FC0C3B3" w14:textId="34B6D5F7" w:rsidR="00BB6799" w:rsidRPr="00815C0F" w:rsidRDefault="00BB6799"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6/78 (7%)</w:t>
            </w:r>
          </w:p>
        </w:tc>
      </w:tr>
      <w:tr w:rsidR="00560214" w:rsidRPr="004A5F47" w14:paraId="2DD0471D" w14:textId="77777777" w:rsidTr="00D07AA7">
        <w:trPr>
          <w:trHeight w:val="630"/>
        </w:trPr>
        <w:tc>
          <w:tcPr>
            <w:tcW w:w="504" w:type="pct"/>
            <w:shd w:val="clear" w:color="auto" w:fill="auto"/>
            <w:hideMark/>
          </w:tcPr>
          <w:p w14:paraId="0D67EF8B" w14:textId="77777777" w:rsidR="000E33B7" w:rsidRPr="00815C0F" w:rsidRDefault="000E33B7" w:rsidP="00265460">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 xml:space="preserve">Mohkam </w:t>
            </w:r>
            <w:r w:rsidRPr="004A5F47">
              <w:rPr>
                <w:rFonts w:ascii="Book Antiqua" w:hAnsi="Book Antiqua"/>
                <w:i/>
                <w:color w:val="000000" w:themeColor="text1"/>
                <w:lang w:val="en-US"/>
              </w:rPr>
              <w:t>et al</w:t>
            </w:r>
            <w:r w:rsidRPr="004A5F47">
              <w:rPr>
                <w:rFonts w:ascii="Book Antiqua" w:hAnsi="Book Antiqua"/>
                <w:color w:val="000000" w:themeColor="text1"/>
                <w:vertAlign w:val="superscript"/>
                <w:lang w:val="en-US" w:eastAsia="zh-CN"/>
              </w:rPr>
              <w:t>[45]</w:t>
            </w:r>
            <w:r w:rsidRPr="004A5F47">
              <w:rPr>
                <w:rFonts w:ascii="Book Antiqua" w:hAnsi="Book Antiqua"/>
                <w:color w:val="000000" w:themeColor="text1"/>
                <w:lang w:val="en-US" w:eastAsia="zh-CN"/>
              </w:rPr>
              <w:t>,</w:t>
            </w:r>
            <w:r w:rsidRPr="004A5F47">
              <w:rPr>
                <w:rFonts w:ascii="Book Antiqua" w:hAnsi="Book Antiqua"/>
                <w:color w:val="000000" w:themeColor="text1"/>
                <w:lang w:val="en-US"/>
              </w:rPr>
              <w:t xml:space="preserve"> 2022</w:t>
            </w:r>
          </w:p>
        </w:tc>
        <w:tc>
          <w:tcPr>
            <w:tcW w:w="327" w:type="pct"/>
            <w:shd w:val="clear" w:color="auto" w:fill="auto"/>
            <w:hideMark/>
          </w:tcPr>
          <w:p w14:paraId="675D6DB4"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064673CD" w14:textId="29DAD24E" w:rsidR="000E33B7" w:rsidRPr="00815C0F" w:rsidRDefault="001D0D4F"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(157) </w:t>
            </w:r>
            <w:r w:rsidRPr="004A5F47">
              <w:rPr>
                <w:rFonts w:ascii="Book Antiqua" w:hAnsi="Book Antiqua"/>
                <w:i/>
                <w:color w:val="000000" w:themeColor="text1"/>
                <w:lang w:val="en-US"/>
              </w:rPr>
              <w:t>vs</w:t>
            </w:r>
            <w:r w:rsidR="000E33B7" w:rsidRPr="004A5F47">
              <w:rPr>
                <w:rFonts w:ascii="Book Antiqua" w:hAnsi="Book Antiqua"/>
                <w:color w:val="000000" w:themeColor="text1"/>
                <w:lang w:val="en-US"/>
              </w:rPr>
              <w:t xml:space="preserve"> NMP (34)</w:t>
            </w:r>
          </w:p>
        </w:tc>
        <w:tc>
          <w:tcPr>
            <w:tcW w:w="484" w:type="pct"/>
            <w:shd w:val="clear" w:color="auto" w:fill="auto"/>
            <w:hideMark/>
          </w:tcPr>
          <w:p w14:paraId="57D5380B"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DCD</w:t>
            </w:r>
          </w:p>
        </w:tc>
        <w:tc>
          <w:tcPr>
            <w:tcW w:w="416" w:type="pct"/>
            <w:shd w:val="clear" w:color="auto" w:fill="auto"/>
            <w:hideMark/>
          </w:tcPr>
          <w:p w14:paraId="29D3DD28" w14:textId="6D186982" w:rsidR="000E33B7" w:rsidRPr="00815C0F" w:rsidRDefault="000E33B7" w:rsidP="00490124">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France protocol</w:t>
            </w:r>
            <w:r w:rsidR="00490124" w:rsidRPr="004A5F47">
              <w:rPr>
                <w:rFonts w:ascii="Book Antiqua" w:hAnsi="Book Antiqua"/>
                <w:color w:val="000000" w:themeColor="text1"/>
                <w:vertAlign w:val="superscript"/>
                <w:lang w:val="en-US" w:eastAsia="zh-CN"/>
              </w:rPr>
              <w:t>4</w:t>
            </w:r>
            <w:r w:rsidRPr="004A5F47">
              <w:rPr>
                <w:rFonts w:ascii="Book Antiqua" w:hAnsi="Book Antiqua"/>
                <w:color w:val="000000" w:themeColor="text1"/>
                <w:lang w:val="en-US"/>
              </w:rPr>
              <w:t xml:space="preserve"> </w:t>
            </w:r>
          </w:p>
        </w:tc>
        <w:tc>
          <w:tcPr>
            <w:tcW w:w="1073" w:type="pct"/>
            <w:shd w:val="clear" w:color="auto" w:fill="auto"/>
            <w:hideMark/>
          </w:tcPr>
          <w:p w14:paraId="3FD8153B" w14:textId="31453528" w:rsidR="000E33B7" w:rsidRPr="00815C0F" w:rsidRDefault="002263CC" w:rsidP="00265460">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NAS</w:t>
            </w:r>
            <w:r w:rsidR="000E33B7" w:rsidRPr="004A5F47">
              <w:rPr>
                <w:rFonts w:ascii="Book Antiqua" w:hAnsi="Book Antiqua"/>
                <w:color w:val="000000" w:themeColor="text1"/>
                <w:lang w:val="en-US"/>
              </w:rPr>
              <w:t xml:space="preserve"> that were unrelated to </w:t>
            </w:r>
            <w:r w:rsidR="000E33B7" w:rsidRPr="004A5F47">
              <w:rPr>
                <w:rFonts w:ascii="Book Antiqua" w:hAnsi="Book Antiqua"/>
                <w:lang w:val="en-US"/>
              </w:rPr>
              <w:t>any hepatic artery complications</w:t>
            </w:r>
          </w:p>
        </w:tc>
        <w:tc>
          <w:tcPr>
            <w:tcW w:w="478" w:type="pct"/>
            <w:shd w:val="clear" w:color="auto" w:fill="auto"/>
            <w:hideMark/>
          </w:tcPr>
          <w:p w14:paraId="5FB36022" w14:textId="43A041BD"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iCs/>
                <w:color w:val="000000" w:themeColor="text1"/>
                <w:lang w:val="en-US"/>
              </w:rPr>
              <w:t>Median</w:t>
            </w:r>
            <w:r w:rsidR="002C46B0" w:rsidRPr="004A5F47">
              <w:rPr>
                <w:rFonts w:ascii="Book Antiqua" w:hAnsi="Book Antiqua"/>
                <w:color w:val="000000" w:themeColor="text1"/>
                <w:lang w:val="en-US"/>
              </w:rPr>
              <w:t>-</w:t>
            </w:r>
            <w:r w:rsidRPr="004A5F47">
              <w:rPr>
                <w:rFonts w:ascii="Book Antiqua" w:hAnsi="Book Antiqua"/>
                <w:color w:val="000000" w:themeColor="text1"/>
                <w:lang w:val="en-US"/>
              </w:rPr>
              <w:t>NRP 22 mo</w:t>
            </w:r>
            <w:r w:rsidR="00AE0822" w:rsidRPr="004A5F47">
              <w:rPr>
                <w:rFonts w:ascii="Book Antiqua" w:hAnsi="Book Antiqua"/>
                <w:color w:val="000000" w:themeColor="text1"/>
                <w:lang w:val="en-US" w:eastAsia="zh-CN"/>
              </w:rPr>
              <w:t xml:space="preserve">; </w:t>
            </w:r>
            <w:r w:rsidRPr="004A5F47">
              <w:rPr>
                <w:rFonts w:ascii="Book Antiqua" w:hAnsi="Book Antiqua"/>
                <w:color w:val="000000" w:themeColor="text1"/>
                <w:lang w:val="en-US"/>
              </w:rPr>
              <w:t xml:space="preserve">NMP 24 mo </w:t>
            </w:r>
          </w:p>
        </w:tc>
        <w:tc>
          <w:tcPr>
            <w:tcW w:w="536" w:type="pct"/>
            <w:shd w:val="clear" w:color="auto" w:fill="auto"/>
            <w:hideMark/>
          </w:tcPr>
          <w:p w14:paraId="7F7BE12C" w14:textId="4C853196" w:rsidR="000E33B7" w:rsidRPr="00815C0F" w:rsidRDefault="00D94467" w:rsidP="00490124">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2/</w:t>
            </w:r>
            <w:r w:rsidR="00DD6273" w:rsidRPr="004A5F47">
              <w:rPr>
                <w:rFonts w:ascii="Book Antiqua" w:hAnsi="Book Antiqua"/>
                <w:color w:val="000000" w:themeColor="text1"/>
                <w:lang w:val="en-US"/>
              </w:rPr>
              <w:t>68 (2.9</w:t>
            </w:r>
            <w:r w:rsidR="000E33B7" w:rsidRPr="004A5F47">
              <w:rPr>
                <w:rFonts w:ascii="Book Antiqua" w:hAnsi="Book Antiqua"/>
                <w:color w:val="000000" w:themeColor="text1"/>
                <w:lang w:val="en-US"/>
              </w:rPr>
              <w:t>%</w:t>
            </w:r>
            <w:r w:rsidR="000E33B7" w:rsidRPr="004A5F47">
              <w:rPr>
                <w:rFonts w:ascii="Book Antiqua" w:hAnsi="Book Antiqua"/>
                <w:lang w:val="en-US"/>
              </w:rPr>
              <w:t>)</w:t>
            </w:r>
            <w:r w:rsidR="00490124" w:rsidRPr="004A5F47">
              <w:rPr>
                <w:rFonts w:ascii="Book Antiqua" w:hAnsi="Book Antiqua"/>
                <w:vertAlign w:val="superscript"/>
                <w:lang w:val="en-US" w:eastAsia="zh-CN"/>
              </w:rPr>
              <w:t>5</w:t>
            </w:r>
          </w:p>
        </w:tc>
        <w:tc>
          <w:tcPr>
            <w:tcW w:w="483" w:type="pct"/>
            <w:shd w:val="clear" w:color="auto" w:fill="auto"/>
            <w:hideMark/>
          </w:tcPr>
          <w:p w14:paraId="4E7A599B" w14:textId="3069518F" w:rsidR="000E33B7" w:rsidRPr="00815C0F" w:rsidRDefault="000E33B7" w:rsidP="00490124">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3/34 (8.8%)</w:t>
            </w:r>
            <w:r w:rsidR="00490124" w:rsidRPr="004A5F47">
              <w:rPr>
                <w:rFonts w:ascii="Book Antiqua" w:hAnsi="Book Antiqua"/>
                <w:color w:val="000000" w:themeColor="text1"/>
                <w:vertAlign w:val="superscript"/>
                <w:lang w:val="en-US" w:eastAsia="zh-CN"/>
              </w:rPr>
              <w:t>5</w:t>
            </w:r>
          </w:p>
        </w:tc>
        <w:tc>
          <w:tcPr>
            <w:tcW w:w="340" w:type="pct"/>
            <w:gridSpan w:val="2"/>
            <w:shd w:val="clear" w:color="auto" w:fill="auto"/>
            <w:hideMark/>
          </w:tcPr>
          <w:p w14:paraId="46CC7C7B"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r>
      <w:tr w:rsidR="00560214" w:rsidRPr="004A5F47" w14:paraId="49D400ED" w14:textId="77777777" w:rsidTr="00D07AA7">
        <w:trPr>
          <w:trHeight w:val="630"/>
        </w:trPr>
        <w:tc>
          <w:tcPr>
            <w:tcW w:w="504" w:type="pct"/>
            <w:shd w:val="clear" w:color="auto" w:fill="auto"/>
            <w:hideMark/>
          </w:tcPr>
          <w:p w14:paraId="2A44E181" w14:textId="3573C1D3"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lastRenderedPageBreak/>
              <w:t xml:space="preserve">Gaurav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w:t>
            </w:r>
            <w:r w:rsidRPr="004A5F47">
              <w:rPr>
                <w:rFonts w:ascii="Book Antiqua" w:hAnsi="Book Antiqua"/>
                <w:color w:val="000000" w:themeColor="text1"/>
                <w:vertAlign w:val="superscript"/>
                <w:lang w:val="en-US" w:eastAsia="zh-CN"/>
              </w:rPr>
              <w:t>44]</w:t>
            </w:r>
            <w:r w:rsidRPr="004A5F47">
              <w:rPr>
                <w:rFonts w:ascii="Book Antiqua" w:hAnsi="Book Antiqua"/>
                <w:color w:val="000000" w:themeColor="text1"/>
                <w:lang w:val="en-US" w:eastAsia="zh-CN"/>
              </w:rPr>
              <w:t>,</w:t>
            </w:r>
            <w:r w:rsidRPr="004A5F47">
              <w:rPr>
                <w:rFonts w:ascii="Book Antiqua" w:hAnsi="Book Antiqua"/>
                <w:color w:val="000000" w:themeColor="text1"/>
                <w:lang w:val="en-US"/>
              </w:rPr>
              <w:t xml:space="preserve"> 2022</w:t>
            </w:r>
          </w:p>
        </w:tc>
        <w:tc>
          <w:tcPr>
            <w:tcW w:w="327" w:type="pct"/>
            <w:shd w:val="clear" w:color="auto" w:fill="auto"/>
            <w:hideMark/>
          </w:tcPr>
          <w:p w14:paraId="2F8BCDA8"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215D7DED" w14:textId="5FA7416A"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NRP (69) </w:t>
            </w:r>
            <w:r w:rsidR="00690DD7" w:rsidRPr="004A5F47">
              <w:rPr>
                <w:rFonts w:ascii="Book Antiqua" w:hAnsi="Book Antiqua"/>
                <w:i/>
                <w:color w:val="000000" w:themeColor="text1"/>
                <w:lang w:val="en-US"/>
              </w:rPr>
              <w:t>vs</w:t>
            </w:r>
            <w:r w:rsidRPr="004A5F47">
              <w:rPr>
                <w:rFonts w:ascii="Book Antiqua" w:hAnsi="Book Antiqua"/>
                <w:color w:val="000000" w:themeColor="text1"/>
                <w:lang w:val="en-US"/>
              </w:rPr>
              <w:t xml:space="preserve"> NMP (67) </w:t>
            </w:r>
            <w:r w:rsidR="00690DD7" w:rsidRPr="004A5F47">
              <w:rPr>
                <w:rFonts w:ascii="Book Antiqua" w:hAnsi="Book Antiqua"/>
                <w:i/>
                <w:color w:val="000000" w:themeColor="text1"/>
                <w:lang w:val="en-US"/>
              </w:rPr>
              <w:t>vs</w:t>
            </w:r>
            <w:r w:rsidRPr="004A5F47">
              <w:rPr>
                <w:rFonts w:ascii="Book Antiqua" w:hAnsi="Book Antiqua"/>
                <w:lang w:val="en-US"/>
              </w:rPr>
              <w:t xml:space="preserve"> SCS (97)</w:t>
            </w:r>
          </w:p>
        </w:tc>
        <w:tc>
          <w:tcPr>
            <w:tcW w:w="484" w:type="pct"/>
            <w:shd w:val="clear" w:color="auto" w:fill="auto"/>
            <w:hideMark/>
          </w:tcPr>
          <w:p w14:paraId="1AB4A30C"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DCD</w:t>
            </w:r>
          </w:p>
        </w:tc>
        <w:tc>
          <w:tcPr>
            <w:tcW w:w="416" w:type="pct"/>
            <w:shd w:val="clear" w:color="auto" w:fill="auto"/>
            <w:hideMark/>
          </w:tcPr>
          <w:p w14:paraId="1EDFD4CF" w14:textId="5E17DB78" w:rsidR="000E33B7" w:rsidRPr="00815C0F" w:rsidRDefault="000E33B7" w:rsidP="000B57C0">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U</w:t>
            </w:r>
            <w:r w:rsidR="00690DD7" w:rsidRPr="004A5F47">
              <w:rPr>
                <w:rFonts w:ascii="Book Antiqua" w:hAnsi="Book Antiqua"/>
                <w:color w:val="000000" w:themeColor="text1"/>
                <w:lang w:val="en-US" w:eastAsia="zh-CN"/>
              </w:rPr>
              <w:t xml:space="preserve">nited </w:t>
            </w:r>
            <w:r w:rsidRPr="004A5F47">
              <w:rPr>
                <w:rFonts w:ascii="Book Antiqua" w:hAnsi="Book Antiqua"/>
                <w:color w:val="000000" w:themeColor="text1"/>
                <w:lang w:val="en-US"/>
              </w:rPr>
              <w:t>K</w:t>
            </w:r>
            <w:r w:rsidR="00690DD7" w:rsidRPr="004A5F47">
              <w:rPr>
                <w:rFonts w:ascii="Book Antiqua" w:hAnsi="Book Antiqua"/>
                <w:color w:val="000000" w:themeColor="text1"/>
                <w:lang w:val="en-US" w:eastAsia="zh-CN"/>
              </w:rPr>
              <w:t>ingdom</w:t>
            </w:r>
            <w:r w:rsidRPr="004A5F47">
              <w:rPr>
                <w:rFonts w:ascii="Book Antiqua" w:hAnsi="Book Antiqua"/>
                <w:color w:val="000000" w:themeColor="text1"/>
                <w:lang w:val="en-US"/>
              </w:rPr>
              <w:t xml:space="preserve"> protocol</w:t>
            </w:r>
            <w:r w:rsidR="000B57C0" w:rsidRPr="004A5F47">
              <w:rPr>
                <w:rFonts w:ascii="Book Antiqua" w:hAnsi="Book Antiqua"/>
                <w:color w:val="000000" w:themeColor="text1"/>
                <w:vertAlign w:val="superscript"/>
                <w:lang w:val="en-US" w:eastAsia="zh-CN"/>
              </w:rPr>
              <w:t>6</w:t>
            </w:r>
          </w:p>
        </w:tc>
        <w:tc>
          <w:tcPr>
            <w:tcW w:w="1073" w:type="pct"/>
            <w:shd w:val="clear" w:color="auto" w:fill="auto"/>
            <w:hideMark/>
          </w:tcPr>
          <w:p w14:paraId="0BF3CDB0" w14:textId="06A5BBC7" w:rsidR="000E33B7" w:rsidRPr="00815C0F" w:rsidRDefault="000E33B7" w:rsidP="00265460">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Presence of any biliary stricture, dilatation, or irregularity</w:t>
            </w:r>
            <w:r w:rsidRPr="004A5F47">
              <w:rPr>
                <w:rFonts w:ascii="Book Antiqua" w:hAnsi="Book Antiqua"/>
                <w:lang w:val="en-US"/>
              </w:rPr>
              <w:t xml:space="preserve"> of the intra- or extrahepatic bile ducts and/or cast on MRCP away from the biliary anastomosis in the presence of patent arterial vasculature</w:t>
            </w:r>
          </w:p>
        </w:tc>
        <w:tc>
          <w:tcPr>
            <w:tcW w:w="478" w:type="pct"/>
            <w:shd w:val="clear" w:color="auto" w:fill="auto"/>
            <w:hideMark/>
          </w:tcPr>
          <w:p w14:paraId="23268D2A" w14:textId="511D4449"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iCs/>
                <w:color w:val="000000" w:themeColor="text1"/>
                <w:lang w:val="en-US"/>
              </w:rPr>
              <w:t>Median</w:t>
            </w:r>
            <w:r w:rsidR="00D94467" w:rsidRPr="004A5F47">
              <w:rPr>
                <w:rFonts w:ascii="Book Antiqua" w:hAnsi="Book Antiqua"/>
                <w:color w:val="000000" w:themeColor="text1"/>
                <w:lang w:val="en-US"/>
              </w:rPr>
              <w:t>-</w:t>
            </w:r>
            <w:r w:rsidRPr="004A5F47">
              <w:rPr>
                <w:rFonts w:ascii="Book Antiqua" w:hAnsi="Book Antiqua"/>
                <w:color w:val="000000" w:themeColor="text1"/>
                <w:lang w:val="en-US"/>
              </w:rPr>
              <w:t>54 mo (SCS), 28 mo (</w:t>
            </w:r>
            <w:r w:rsidRPr="004A5F47">
              <w:rPr>
                <w:rFonts w:ascii="Book Antiqua" w:hAnsi="Book Antiqua"/>
                <w:lang w:val="en-US"/>
              </w:rPr>
              <w:t>NRP) and 24 mo (NMP)</w:t>
            </w:r>
          </w:p>
        </w:tc>
        <w:tc>
          <w:tcPr>
            <w:tcW w:w="536" w:type="pct"/>
            <w:shd w:val="clear" w:color="auto" w:fill="auto"/>
            <w:hideMark/>
          </w:tcPr>
          <w:p w14:paraId="19024EE4" w14:textId="6DFF2979" w:rsidR="000E33B7" w:rsidRPr="00815C0F" w:rsidRDefault="000E33B7" w:rsidP="000B57C0">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0/69 (0%)</w:t>
            </w:r>
            <w:r w:rsidR="000B57C0" w:rsidRPr="004A5F47">
              <w:rPr>
                <w:rFonts w:ascii="Book Antiqua" w:hAnsi="Book Antiqua"/>
                <w:color w:val="000000" w:themeColor="text1"/>
                <w:vertAlign w:val="superscript"/>
                <w:lang w:val="en-US" w:eastAsia="zh-CN"/>
              </w:rPr>
              <w:t>7</w:t>
            </w:r>
          </w:p>
        </w:tc>
        <w:tc>
          <w:tcPr>
            <w:tcW w:w="483" w:type="pct"/>
            <w:shd w:val="clear" w:color="auto" w:fill="auto"/>
            <w:hideMark/>
          </w:tcPr>
          <w:p w14:paraId="08993103" w14:textId="63EA6B72" w:rsidR="000E33B7" w:rsidRPr="00815C0F" w:rsidRDefault="000E33B7" w:rsidP="000B57C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7/67 (11%)</w:t>
            </w:r>
            <w:r w:rsidR="000B57C0" w:rsidRPr="004A5F47">
              <w:rPr>
                <w:rFonts w:ascii="Book Antiqua" w:hAnsi="Book Antiqua"/>
                <w:color w:val="000000" w:themeColor="text1"/>
                <w:vertAlign w:val="superscript"/>
                <w:lang w:val="en-US" w:eastAsia="zh-CN"/>
              </w:rPr>
              <w:t>7</w:t>
            </w:r>
            <w:r w:rsidR="005A2D5B" w:rsidRPr="004A5F47">
              <w:rPr>
                <w:rFonts w:ascii="Book Antiqua" w:hAnsi="Book Antiqua"/>
                <w:color w:val="000000" w:themeColor="text1"/>
                <w:vertAlign w:val="superscript"/>
                <w:lang w:val="en-US" w:eastAsia="zh-CN"/>
              </w:rPr>
              <w:t xml:space="preserve"> </w:t>
            </w:r>
            <w:r w:rsidRPr="004A5F47">
              <w:rPr>
                <w:rFonts w:ascii="Book Antiqua" w:hAnsi="Book Antiqua"/>
                <w:lang w:val="en-US"/>
              </w:rPr>
              <w:t>NMP and 12/97 (14%)</w:t>
            </w:r>
            <w:r w:rsidR="000B57C0" w:rsidRPr="004A5F47">
              <w:rPr>
                <w:rFonts w:ascii="Book Antiqua" w:hAnsi="Book Antiqua"/>
                <w:color w:val="000000" w:themeColor="text1"/>
                <w:vertAlign w:val="superscript"/>
                <w:lang w:val="en-US" w:eastAsia="zh-CN"/>
              </w:rPr>
              <w:t>7</w:t>
            </w:r>
            <w:r w:rsidRPr="004A5F47">
              <w:rPr>
                <w:rFonts w:ascii="Book Antiqua" w:hAnsi="Book Antiqua"/>
                <w:lang w:val="en-US"/>
              </w:rPr>
              <w:t xml:space="preserve"> SCS</w:t>
            </w:r>
          </w:p>
        </w:tc>
        <w:tc>
          <w:tcPr>
            <w:tcW w:w="340" w:type="pct"/>
            <w:gridSpan w:val="2"/>
            <w:shd w:val="clear" w:color="auto" w:fill="auto"/>
            <w:hideMark/>
          </w:tcPr>
          <w:p w14:paraId="77F9EBB2"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r>
      <w:tr w:rsidR="00560214" w:rsidRPr="004A5F47" w14:paraId="0E2FD946" w14:textId="77777777" w:rsidTr="00D07AA7">
        <w:trPr>
          <w:trHeight w:val="1126"/>
        </w:trPr>
        <w:tc>
          <w:tcPr>
            <w:tcW w:w="504" w:type="pct"/>
            <w:shd w:val="clear" w:color="auto" w:fill="auto"/>
            <w:hideMark/>
          </w:tcPr>
          <w:p w14:paraId="65346846"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Hessheimer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[3</w:t>
            </w:r>
            <w:r w:rsidRPr="004A5F47">
              <w:rPr>
                <w:rFonts w:ascii="Book Antiqua" w:hAnsi="Book Antiqua"/>
                <w:color w:val="000000" w:themeColor="text1"/>
                <w:vertAlign w:val="superscript"/>
                <w:lang w:val="en-US" w:eastAsia="zh-CN"/>
              </w:rPr>
              <w:t>4]</w:t>
            </w:r>
            <w:r w:rsidRPr="004A5F47">
              <w:rPr>
                <w:rFonts w:ascii="Book Antiqua" w:hAnsi="Book Antiqua"/>
                <w:color w:val="000000" w:themeColor="text1"/>
                <w:lang w:val="en-US" w:eastAsia="zh-CN"/>
              </w:rPr>
              <w:t xml:space="preserve">, </w:t>
            </w:r>
            <w:r w:rsidRPr="004A5F47">
              <w:rPr>
                <w:rFonts w:ascii="Book Antiqua" w:hAnsi="Book Antiqua"/>
                <w:color w:val="000000" w:themeColor="text1"/>
                <w:lang w:val="en-US"/>
              </w:rPr>
              <w:t>2022</w:t>
            </w:r>
          </w:p>
        </w:tc>
        <w:tc>
          <w:tcPr>
            <w:tcW w:w="327" w:type="pct"/>
            <w:shd w:val="clear" w:color="auto" w:fill="auto"/>
            <w:hideMark/>
          </w:tcPr>
          <w:p w14:paraId="26914004"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2D519339" w14:textId="2430A0A6" w:rsidR="000E33B7" w:rsidRPr="00815C0F" w:rsidRDefault="0054273F"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(545) </w:t>
            </w:r>
            <w:r w:rsidRPr="004A5F47">
              <w:rPr>
                <w:rFonts w:ascii="Book Antiqua" w:hAnsi="Book Antiqua"/>
                <w:i/>
                <w:color w:val="000000" w:themeColor="text1"/>
                <w:lang w:val="en-US"/>
              </w:rPr>
              <w:t>vs</w:t>
            </w:r>
            <w:r w:rsidR="000E33B7" w:rsidRPr="004A5F47">
              <w:rPr>
                <w:rFonts w:ascii="Book Antiqua" w:hAnsi="Book Antiqua"/>
                <w:color w:val="000000" w:themeColor="text1"/>
                <w:lang w:val="en-US"/>
              </w:rPr>
              <w:t xml:space="preserve"> SRR (258)</w:t>
            </w:r>
          </w:p>
        </w:tc>
        <w:tc>
          <w:tcPr>
            <w:tcW w:w="484" w:type="pct"/>
            <w:shd w:val="clear" w:color="auto" w:fill="auto"/>
            <w:hideMark/>
          </w:tcPr>
          <w:p w14:paraId="2D89CD45"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DCD</w:t>
            </w:r>
          </w:p>
        </w:tc>
        <w:tc>
          <w:tcPr>
            <w:tcW w:w="416" w:type="pct"/>
            <w:shd w:val="clear" w:color="auto" w:fill="auto"/>
            <w:hideMark/>
          </w:tcPr>
          <w:p w14:paraId="1A94A88F" w14:textId="42FE3CF0" w:rsidR="000E33B7" w:rsidRPr="00815C0F" w:rsidRDefault="000E33B7" w:rsidP="000B57C0">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Spain protocol</w:t>
            </w:r>
            <w:r w:rsidR="000B57C0" w:rsidRPr="004A5F47">
              <w:rPr>
                <w:rFonts w:ascii="Book Antiqua" w:hAnsi="Book Antiqua"/>
                <w:color w:val="000000" w:themeColor="text1"/>
                <w:vertAlign w:val="superscript"/>
                <w:lang w:val="en-US" w:eastAsia="zh-CN"/>
              </w:rPr>
              <w:t>8</w:t>
            </w:r>
          </w:p>
        </w:tc>
        <w:tc>
          <w:tcPr>
            <w:tcW w:w="1073" w:type="pct"/>
            <w:shd w:val="clear" w:color="auto" w:fill="auto"/>
            <w:hideMark/>
          </w:tcPr>
          <w:p w14:paraId="54133D48" w14:textId="343C39E0" w:rsidR="000E33B7" w:rsidRPr="00815C0F" w:rsidRDefault="000E33B7" w:rsidP="00265460">
            <w:pPr>
              <w:pStyle w:val="EndNoteBibliography"/>
              <w:spacing w:line="360" w:lineRule="auto"/>
              <w:contextualSpacing/>
              <w:jc w:val="both"/>
              <w:rPr>
                <w:rFonts w:ascii="Book Antiqua" w:hAnsi="Book Antiqua"/>
                <w:lang w:val="en-US" w:eastAsia="zh-CN"/>
              </w:rPr>
            </w:pPr>
            <w:r w:rsidRPr="004A5F47">
              <w:rPr>
                <w:rFonts w:ascii="Book Antiqua" w:hAnsi="Book Antiqua"/>
                <w:color w:val="000000" w:themeColor="text1"/>
                <w:lang w:val="en-US"/>
              </w:rPr>
              <w:t>Patient with patent hepatic artery, signs or symptoms of cholestasis, and direct or indirect cholangiographic imaging reflecting strictures of the intra-</w:t>
            </w:r>
            <w:r w:rsidRPr="004A5F47">
              <w:rPr>
                <w:rFonts w:ascii="Book Antiqua" w:hAnsi="Book Antiqua"/>
                <w:lang w:val="en-US"/>
              </w:rPr>
              <w:t xml:space="preserve"> and/or extrahepatic biliary tree proximal to the transplant anastomosis</w:t>
            </w:r>
          </w:p>
        </w:tc>
        <w:tc>
          <w:tcPr>
            <w:tcW w:w="478" w:type="pct"/>
            <w:shd w:val="clear" w:color="auto" w:fill="auto"/>
            <w:hideMark/>
          </w:tcPr>
          <w:p w14:paraId="0122CA01" w14:textId="329A7AE9" w:rsidR="000E33B7" w:rsidRPr="00815C0F" w:rsidRDefault="00564686"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iCs/>
                <w:color w:val="000000" w:themeColor="text1"/>
                <w:lang w:val="en-US"/>
              </w:rPr>
              <w:t>Median–</w:t>
            </w:r>
            <w:r w:rsidR="000E33B7" w:rsidRPr="004A5F47">
              <w:rPr>
                <w:rFonts w:ascii="Book Antiqua" w:hAnsi="Book Antiqua"/>
                <w:color w:val="000000" w:themeColor="text1"/>
                <w:lang w:val="en-US"/>
              </w:rPr>
              <w:t>31</w:t>
            </w:r>
            <w:r w:rsidRPr="004A5F47">
              <w:rPr>
                <w:rFonts w:ascii="Book Antiqua" w:hAnsi="Book Antiqua"/>
                <w:color w:val="000000" w:themeColor="text1"/>
                <w:lang w:val="en-US" w:eastAsia="zh-CN"/>
              </w:rPr>
              <w:t xml:space="preserve"> </w:t>
            </w:r>
            <w:r w:rsidR="000E33B7" w:rsidRPr="004A5F47">
              <w:rPr>
                <w:rFonts w:ascii="Book Antiqua" w:hAnsi="Book Antiqua"/>
                <w:color w:val="000000" w:themeColor="text1"/>
                <w:lang w:val="en-US"/>
              </w:rPr>
              <w:t>mo</w:t>
            </w:r>
          </w:p>
        </w:tc>
        <w:tc>
          <w:tcPr>
            <w:tcW w:w="536" w:type="pct"/>
            <w:shd w:val="clear" w:color="auto" w:fill="auto"/>
            <w:hideMark/>
          </w:tcPr>
          <w:p w14:paraId="2EAC297C"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6/545 (1%) </w:t>
            </w:r>
          </w:p>
        </w:tc>
        <w:tc>
          <w:tcPr>
            <w:tcW w:w="483" w:type="pct"/>
            <w:shd w:val="clear" w:color="auto" w:fill="auto"/>
            <w:hideMark/>
          </w:tcPr>
          <w:p w14:paraId="1DC03877"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24/258 (9%) </w:t>
            </w:r>
          </w:p>
        </w:tc>
        <w:tc>
          <w:tcPr>
            <w:tcW w:w="340" w:type="pct"/>
            <w:gridSpan w:val="2"/>
            <w:shd w:val="clear" w:color="auto" w:fill="auto"/>
            <w:hideMark/>
          </w:tcPr>
          <w:p w14:paraId="7242F7F8"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r>
      <w:tr w:rsidR="00560214" w:rsidRPr="004A5F47" w14:paraId="3C8C4AF1" w14:textId="77777777" w:rsidTr="00D07AA7">
        <w:trPr>
          <w:trHeight w:val="930"/>
        </w:trPr>
        <w:tc>
          <w:tcPr>
            <w:tcW w:w="504" w:type="pct"/>
            <w:shd w:val="clear" w:color="auto" w:fill="auto"/>
            <w:hideMark/>
          </w:tcPr>
          <w:p w14:paraId="5CAF0B00" w14:textId="7DD8C4DC"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lastRenderedPageBreak/>
              <w:t xml:space="preserve">Ruiz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w:t>
            </w:r>
            <w:r w:rsidRPr="004A5F47">
              <w:rPr>
                <w:rFonts w:ascii="Book Antiqua" w:hAnsi="Book Antiqua"/>
                <w:color w:val="000000" w:themeColor="text1"/>
                <w:vertAlign w:val="superscript"/>
                <w:lang w:val="en-US" w:eastAsia="zh-CN"/>
              </w:rPr>
              <w:t>40]</w:t>
            </w:r>
            <w:r w:rsidRPr="004A5F47">
              <w:rPr>
                <w:rFonts w:ascii="Book Antiqua" w:hAnsi="Book Antiqua"/>
                <w:color w:val="000000" w:themeColor="text1"/>
                <w:lang w:val="en-US" w:eastAsia="zh-CN"/>
              </w:rPr>
              <w:t>,</w:t>
            </w:r>
            <w:r w:rsidRPr="004A5F47">
              <w:rPr>
                <w:rFonts w:ascii="Book Antiqua" w:hAnsi="Book Antiqua"/>
                <w:color w:val="000000" w:themeColor="text1"/>
                <w:vertAlign w:val="superscript"/>
                <w:lang w:val="en-US" w:eastAsia="zh-CN"/>
              </w:rPr>
              <w:t xml:space="preserve"> </w:t>
            </w:r>
            <w:r w:rsidRPr="004A5F47">
              <w:rPr>
                <w:rFonts w:ascii="Book Antiqua" w:hAnsi="Book Antiqua"/>
                <w:color w:val="000000" w:themeColor="text1"/>
                <w:lang w:val="en-US"/>
              </w:rPr>
              <w:t>2021</w:t>
            </w:r>
          </w:p>
        </w:tc>
        <w:tc>
          <w:tcPr>
            <w:tcW w:w="327" w:type="pct"/>
            <w:shd w:val="clear" w:color="auto" w:fill="auto"/>
            <w:hideMark/>
          </w:tcPr>
          <w:p w14:paraId="4245DE29"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0D689899" w14:textId="61185744" w:rsidR="000E33B7" w:rsidRPr="00815C0F" w:rsidRDefault="00564686"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(100) </w:t>
            </w:r>
            <w:r w:rsidRPr="004A5F47">
              <w:rPr>
                <w:rFonts w:ascii="Book Antiqua" w:hAnsi="Book Antiqua"/>
                <w:i/>
                <w:color w:val="000000" w:themeColor="text1"/>
                <w:lang w:val="en-US"/>
              </w:rPr>
              <w:t>vs</w:t>
            </w:r>
            <w:r w:rsidR="000E33B7" w:rsidRPr="004A5F47">
              <w:rPr>
                <w:rFonts w:ascii="Book Antiqua" w:hAnsi="Book Antiqua"/>
                <w:color w:val="000000" w:themeColor="text1"/>
                <w:lang w:val="en-US"/>
              </w:rPr>
              <w:t xml:space="preserve"> DBD (200)</w:t>
            </w:r>
          </w:p>
        </w:tc>
        <w:tc>
          <w:tcPr>
            <w:tcW w:w="484" w:type="pct"/>
            <w:shd w:val="clear" w:color="auto" w:fill="auto"/>
            <w:hideMark/>
          </w:tcPr>
          <w:p w14:paraId="00B2E6EC"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DBD</w:t>
            </w:r>
          </w:p>
        </w:tc>
        <w:tc>
          <w:tcPr>
            <w:tcW w:w="416" w:type="pct"/>
            <w:shd w:val="clear" w:color="auto" w:fill="auto"/>
            <w:hideMark/>
          </w:tcPr>
          <w:p w14:paraId="6A51AE32" w14:textId="47B0CA22" w:rsidR="000E33B7" w:rsidRPr="00815C0F" w:rsidRDefault="000E33B7" w:rsidP="000B57C0">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Spain protocol</w:t>
            </w:r>
            <w:r w:rsidR="000B57C0" w:rsidRPr="004A5F47">
              <w:rPr>
                <w:rFonts w:ascii="Book Antiqua" w:hAnsi="Book Antiqua"/>
                <w:color w:val="000000" w:themeColor="text1"/>
                <w:vertAlign w:val="superscript"/>
                <w:lang w:val="en-US" w:eastAsia="zh-CN"/>
              </w:rPr>
              <w:t>8</w:t>
            </w:r>
          </w:p>
        </w:tc>
        <w:tc>
          <w:tcPr>
            <w:tcW w:w="1073" w:type="pct"/>
            <w:shd w:val="clear" w:color="auto" w:fill="auto"/>
            <w:hideMark/>
          </w:tcPr>
          <w:p w14:paraId="5A94926C" w14:textId="6A776927" w:rsidR="000E33B7" w:rsidRPr="00815C0F" w:rsidRDefault="000E33B7" w:rsidP="00265460">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 xml:space="preserve">Non-anastomotic biliary stricture in the presence of a patent hepatic artery and confirmed based on cholangiographic evidence (T-tube </w:t>
            </w:r>
            <w:r w:rsidRPr="004A5F47">
              <w:rPr>
                <w:rFonts w:ascii="Book Antiqua" w:hAnsi="Book Antiqua"/>
                <w:lang w:val="en-US"/>
              </w:rPr>
              <w:t>cholangiogram or magnetic resonance)</w:t>
            </w:r>
          </w:p>
        </w:tc>
        <w:tc>
          <w:tcPr>
            <w:tcW w:w="478" w:type="pct"/>
            <w:shd w:val="clear" w:color="auto" w:fill="auto"/>
            <w:hideMark/>
          </w:tcPr>
          <w:p w14:paraId="10C231DF" w14:textId="2315B344" w:rsidR="000E33B7" w:rsidRPr="00815C0F" w:rsidRDefault="00564686" w:rsidP="00265460">
            <w:pPr>
              <w:pStyle w:val="EndNoteBibliography"/>
              <w:spacing w:line="360" w:lineRule="auto"/>
              <w:jc w:val="both"/>
              <w:rPr>
                <w:rFonts w:ascii="Book Antiqua" w:hAnsi="Book Antiqua"/>
                <w:lang w:val="en-US"/>
              </w:rPr>
            </w:pPr>
            <w:r w:rsidRPr="004A5F47">
              <w:rPr>
                <w:rFonts w:ascii="Book Antiqua" w:hAnsi="Book Antiqua"/>
                <w:iCs/>
                <w:color w:val="000000" w:themeColor="text1"/>
                <w:lang w:val="en-US"/>
              </w:rPr>
              <w:t>Mean</w:t>
            </w:r>
            <w:r w:rsidR="000E33B7" w:rsidRPr="004A5F47">
              <w:rPr>
                <w:rFonts w:ascii="Book Antiqua" w:hAnsi="Book Antiqua"/>
                <w:iCs/>
                <w:color w:val="000000" w:themeColor="text1"/>
                <w:lang w:val="en-US"/>
              </w:rPr>
              <w:t>-</w:t>
            </w:r>
            <w:r w:rsidR="000E33B7" w:rsidRPr="004A5F47">
              <w:rPr>
                <w:rFonts w:ascii="Book Antiqua" w:hAnsi="Book Antiqua"/>
                <w:color w:val="000000" w:themeColor="text1"/>
                <w:lang w:val="en-US"/>
              </w:rPr>
              <w:t xml:space="preserve">36 </w:t>
            </w:r>
            <w:r w:rsidR="000E33B7" w:rsidRPr="004A5F47">
              <w:rPr>
                <w:rFonts w:ascii="Book Antiqua" w:hAnsi="Book Antiqua"/>
                <w:lang w:val="en-US"/>
              </w:rPr>
              <w:t>mo</w:t>
            </w:r>
          </w:p>
        </w:tc>
        <w:tc>
          <w:tcPr>
            <w:tcW w:w="536" w:type="pct"/>
            <w:shd w:val="clear" w:color="auto" w:fill="auto"/>
            <w:hideMark/>
          </w:tcPr>
          <w:p w14:paraId="04FFFC6D"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0/100 (0%)</w:t>
            </w:r>
          </w:p>
        </w:tc>
        <w:tc>
          <w:tcPr>
            <w:tcW w:w="483" w:type="pct"/>
            <w:shd w:val="clear" w:color="auto" w:fill="auto"/>
            <w:hideMark/>
          </w:tcPr>
          <w:p w14:paraId="6B838EDA"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c>
          <w:tcPr>
            <w:tcW w:w="340" w:type="pct"/>
            <w:gridSpan w:val="2"/>
            <w:shd w:val="clear" w:color="auto" w:fill="auto"/>
            <w:hideMark/>
          </w:tcPr>
          <w:p w14:paraId="310C364F"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0/</w:t>
            </w:r>
            <w:r w:rsidRPr="004A5F47">
              <w:rPr>
                <w:rFonts w:ascii="Book Antiqua" w:hAnsi="Book Antiqua"/>
                <w:lang w:val="en-US"/>
              </w:rPr>
              <w:t>200 (0%)</w:t>
            </w:r>
          </w:p>
        </w:tc>
      </w:tr>
      <w:tr w:rsidR="00560214" w:rsidRPr="004A5F47" w14:paraId="2B7371DE" w14:textId="77777777" w:rsidTr="00D07AA7">
        <w:trPr>
          <w:trHeight w:val="747"/>
        </w:trPr>
        <w:tc>
          <w:tcPr>
            <w:tcW w:w="504" w:type="pct"/>
            <w:shd w:val="clear" w:color="auto" w:fill="auto"/>
            <w:hideMark/>
          </w:tcPr>
          <w:p w14:paraId="6D23DC03" w14:textId="40A196AA"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Muñoz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[36</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rPr>
              <w:t>, 2020</w:t>
            </w:r>
          </w:p>
        </w:tc>
        <w:tc>
          <w:tcPr>
            <w:tcW w:w="327" w:type="pct"/>
            <w:shd w:val="clear" w:color="auto" w:fill="auto"/>
            <w:hideMark/>
          </w:tcPr>
          <w:p w14:paraId="13BC3E7A"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37B58AA3" w14:textId="2BE66446"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(23) </w:t>
            </w:r>
            <w:r w:rsidR="00275CB1" w:rsidRPr="004A5F47">
              <w:rPr>
                <w:rFonts w:ascii="Book Antiqua" w:hAnsi="Book Antiqua"/>
                <w:i/>
                <w:color w:val="000000" w:themeColor="text1"/>
                <w:lang w:val="en-US"/>
              </w:rPr>
              <w:t>vs</w:t>
            </w:r>
            <w:r w:rsidRPr="004A5F47">
              <w:rPr>
                <w:rFonts w:ascii="Book Antiqua" w:hAnsi="Book Antiqua"/>
                <w:color w:val="000000" w:themeColor="text1"/>
                <w:lang w:val="en-US"/>
              </w:rPr>
              <w:t xml:space="preserve"> SRR (22)</w:t>
            </w:r>
          </w:p>
        </w:tc>
        <w:tc>
          <w:tcPr>
            <w:tcW w:w="484" w:type="pct"/>
            <w:shd w:val="clear" w:color="auto" w:fill="auto"/>
            <w:hideMark/>
          </w:tcPr>
          <w:p w14:paraId="4A947185"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DCD</w:t>
            </w:r>
          </w:p>
        </w:tc>
        <w:tc>
          <w:tcPr>
            <w:tcW w:w="416" w:type="pct"/>
            <w:shd w:val="clear" w:color="auto" w:fill="auto"/>
            <w:hideMark/>
          </w:tcPr>
          <w:p w14:paraId="3BD3E125" w14:textId="526B3044" w:rsidR="000E33B7" w:rsidRPr="00815C0F" w:rsidRDefault="000E33B7" w:rsidP="00802242">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Spain protocol</w:t>
            </w:r>
            <w:r w:rsidR="00802242" w:rsidRPr="004A5F47">
              <w:rPr>
                <w:rFonts w:ascii="Book Antiqua" w:hAnsi="Book Antiqua"/>
                <w:color w:val="000000" w:themeColor="text1"/>
                <w:vertAlign w:val="superscript"/>
                <w:lang w:val="en-US" w:eastAsia="zh-CN"/>
              </w:rPr>
              <w:t>8</w:t>
            </w:r>
          </w:p>
        </w:tc>
        <w:tc>
          <w:tcPr>
            <w:tcW w:w="1073" w:type="pct"/>
            <w:shd w:val="clear" w:color="auto" w:fill="auto"/>
            <w:hideMark/>
          </w:tcPr>
          <w:p w14:paraId="4A711C83"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NR</w:t>
            </w:r>
          </w:p>
        </w:tc>
        <w:tc>
          <w:tcPr>
            <w:tcW w:w="478" w:type="pct"/>
            <w:shd w:val="clear" w:color="auto" w:fill="auto"/>
            <w:hideMark/>
          </w:tcPr>
          <w:p w14:paraId="705F9FC9" w14:textId="3C546C73"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iCs/>
                <w:color w:val="000000" w:themeColor="text1"/>
                <w:lang w:val="en-US"/>
              </w:rPr>
              <w:t>Mean</w:t>
            </w:r>
            <w:r w:rsidR="00275CB1" w:rsidRPr="004A5F47">
              <w:rPr>
                <w:rFonts w:ascii="Book Antiqua" w:hAnsi="Book Antiqua"/>
                <w:color w:val="000000" w:themeColor="text1"/>
                <w:lang w:val="en-US"/>
              </w:rPr>
              <w:t>-</w:t>
            </w:r>
            <w:r w:rsidRPr="004A5F47">
              <w:rPr>
                <w:rFonts w:ascii="Book Antiqua" w:hAnsi="Book Antiqua"/>
                <w:color w:val="000000" w:themeColor="text1"/>
                <w:lang w:val="en-US"/>
              </w:rPr>
              <w:t xml:space="preserve">33.9 mo </w:t>
            </w:r>
            <w:r w:rsidRPr="004A5F47">
              <w:rPr>
                <w:rFonts w:ascii="Book Antiqua" w:hAnsi="Book Antiqua"/>
                <w:lang w:val="en-US"/>
              </w:rPr>
              <w:t>(SRR) and 14.2 mo (NRP)</w:t>
            </w:r>
          </w:p>
        </w:tc>
        <w:tc>
          <w:tcPr>
            <w:tcW w:w="536" w:type="pct"/>
            <w:shd w:val="clear" w:color="auto" w:fill="auto"/>
            <w:hideMark/>
          </w:tcPr>
          <w:p w14:paraId="1F81C5D4"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0/23 (0%)</w:t>
            </w:r>
          </w:p>
        </w:tc>
        <w:tc>
          <w:tcPr>
            <w:tcW w:w="483" w:type="pct"/>
            <w:shd w:val="clear" w:color="auto" w:fill="auto"/>
            <w:hideMark/>
          </w:tcPr>
          <w:p w14:paraId="508F0765"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3/</w:t>
            </w:r>
            <w:r w:rsidRPr="004A5F47">
              <w:rPr>
                <w:rFonts w:ascii="Book Antiqua" w:hAnsi="Book Antiqua"/>
                <w:lang w:val="en-US"/>
              </w:rPr>
              <w:t>22 (13.6%)</w:t>
            </w:r>
          </w:p>
        </w:tc>
        <w:tc>
          <w:tcPr>
            <w:tcW w:w="340" w:type="pct"/>
            <w:gridSpan w:val="2"/>
            <w:shd w:val="clear" w:color="auto" w:fill="auto"/>
            <w:hideMark/>
          </w:tcPr>
          <w:p w14:paraId="1A1B7C12"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r>
      <w:tr w:rsidR="00560214" w:rsidRPr="004A5F47" w14:paraId="192F7393" w14:textId="77777777" w:rsidTr="00D07AA7">
        <w:trPr>
          <w:trHeight w:val="630"/>
        </w:trPr>
        <w:tc>
          <w:tcPr>
            <w:tcW w:w="504" w:type="pct"/>
            <w:shd w:val="clear" w:color="auto" w:fill="auto"/>
            <w:hideMark/>
          </w:tcPr>
          <w:p w14:paraId="06E41563" w14:textId="17F62065"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Savier </w:t>
            </w:r>
            <w:r w:rsidRPr="004A5F47">
              <w:rPr>
                <w:rFonts w:ascii="Book Antiqua" w:hAnsi="Book Antiqua"/>
                <w:i/>
                <w:color w:val="000000" w:themeColor="text1"/>
                <w:lang w:val="en-US"/>
              </w:rPr>
              <w:t>et al</w:t>
            </w:r>
            <w:r w:rsidRPr="004A5F47">
              <w:rPr>
                <w:rFonts w:ascii="Book Antiqua" w:hAnsi="Book Antiqua"/>
                <w:color w:val="000000" w:themeColor="text1"/>
                <w:vertAlign w:val="superscript"/>
                <w:lang w:val="en-US"/>
              </w:rPr>
              <w:t>[31</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eastAsia="zh-CN"/>
              </w:rPr>
              <w:t xml:space="preserve">, </w:t>
            </w:r>
            <w:r w:rsidRPr="004A5F47">
              <w:rPr>
                <w:rFonts w:ascii="Book Antiqua" w:hAnsi="Book Antiqua"/>
                <w:color w:val="000000" w:themeColor="text1"/>
                <w:lang w:val="en-US"/>
              </w:rPr>
              <w:t>2020</w:t>
            </w:r>
          </w:p>
        </w:tc>
        <w:tc>
          <w:tcPr>
            <w:tcW w:w="327" w:type="pct"/>
            <w:shd w:val="clear" w:color="auto" w:fill="auto"/>
            <w:hideMark/>
          </w:tcPr>
          <w:p w14:paraId="7715323B"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0334F547" w14:textId="30ED3AD1" w:rsidR="000E33B7" w:rsidRPr="00815C0F" w:rsidRDefault="00275CB1"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(50) </w:t>
            </w:r>
            <w:r w:rsidRPr="004A5F47">
              <w:rPr>
                <w:rFonts w:ascii="Book Antiqua" w:hAnsi="Book Antiqua"/>
                <w:i/>
                <w:color w:val="000000" w:themeColor="text1"/>
                <w:lang w:val="en-US"/>
              </w:rPr>
              <w:t>vs</w:t>
            </w:r>
            <w:r w:rsidR="000E33B7" w:rsidRPr="004A5F47">
              <w:rPr>
                <w:rFonts w:ascii="Book Antiqua" w:hAnsi="Book Antiqua"/>
                <w:color w:val="000000" w:themeColor="text1"/>
                <w:lang w:val="en-US"/>
              </w:rPr>
              <w:t xml:space="preserve"> DBD (100)</w:t>
            </w:r>
          </w:p>
        </w:tc>
        <w:tc>
          <w:tcPr>
            <w:tcW w:w="484" w:type="pct"/>
            <w:shd w:val="clear" w:color="auto" w:fill="auto"/>
            <w:hideMark/>
          </w:tcPr>
          <w:p w14:paraId="21B2513A"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DBD</w:t>
            </w:r>
          </w:p>
        </w:tc>
        <w:tc>
          <w:tcPr>
            <w:tcW w:w="416" w:type="pct"/>
            <w:shd w:val="clear" w:color="auto" w:fill="auto"/>
            <w:hideMark/>
          </w:tcPr>
          <w:p w14:paraId="50E2ECE6" w14:textId="1F6A2DFE" w:rsidR="000E33B7" w:rsidRPr="00815C0F" w:rsidRDefault="000E33B7" w:rsidP="000B57C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France protocol</w:t>
            </w:r>
            <w:r w:rsidR="000B57C0" w:rsidRPr="004A5F47">
              <w:rPr>
                <w:rFonts w:ascii="Book Antiqua" w:hAnsi="Book Antiqua"/>
                <w:color w:val="000000" w:themeColor="text1"/>
                <w:vertAlign w:val="superscript"/>
                <w:lang w:val="en-US" w:eastAsia="zh-CN"/>
              </w:rPr>
              <w:t>4</w:t>
            </w:r>
            <w:r w:rsidRPr="004A5F47">
              <w:rPr>
                <w:rFonts w:ascii="Book Antiqua" w:hAnsi="Book Antiqua"/>
                <w:color w:val="000000" w:themeColor="text1"/>
                <w:lang w:val="en-US"/>
              </w:rPr>
              <w:t xml:space="preserve"> </w:t>
            </w:r>
          </w:p>
        </w:tc>
        <w:tc>
          <w:tcPr>
            <w:tcW w:w="1073" w:type="pct"/>
            <w:shd w:val="clear" w:color="auto" w:fill="auto"/>
            <w:hideMark/>
          </w:tcPr>
          <w:p w14:paraId="2CA70155" w14:textId="47D8C16D" w:rsidR="000E33B7" w:rsidRPr="00815C0F" w:rsidRDefault="000E33B7" w:rsidP="00265460">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 xml:space="preserve">Presence </w:t>
            </w:r>
            <w:r w:rsidRPr="004A5F47">
              <w:rPr>
                <w:rFonts w:ascii="Book Antiqua" w:hAnsi="Book Antiqua"/>
                <w:lang w:val="en-US"/>
              </w:rPr>
              <w:t>of any disseminated biliary stricture on</w:t>
            </w:r>
            <w:r w:rsidR="00275CB1" w:rsidRPr="004A5F47">
              <w:rPr>
                <w:rFonts w:ascii="Book Antiqua" w:hAnsi="Book Antiqua"/>
                <w:lang w:val="en-US" w:eastAsia="zh-CN"/>
              </w:rPr>
              <w:t xml:space="preserve"> </w:t>
            </w:r>
            <w:r w:rsidRPr="004A5F47">
              <w:rPr>
                <w:rFonts w:ascii="Book Antiqua" w:hAnsi="Book Antiqua"/>
                <w:lang w:val="en-US"/>
              </w:rPr>
              <w:t>magnetic resonance and endoscopic retrograde cholangiopancreatography,</w:t>
            </w:r>
            <w:r w:rsidR="00275CB1" w:rsidRPr="004A5F47">
              <w:rPr>
                <w:rFonts w:ascii="Book Antiqua" w:hAnsi="Book Antiqua"/>
                <w:lang w:val="en-US" w:eastAsia="zh-CN"/>
              </w:rPr>
              <w:t xml:space="preserve"> </w:t>
            </w:r>
            <w:r w:rsidRPr="004A5F47">
              <w:rPr>
                <w:rFonts w:ascii="Book Antiqua" w:hAnsi="Book Antiqua"/>
                <w:lang w:val="en-US"/>
              </w:rPr>
              <w:t>regardless of the presence or absence of</w:t>
            </w:r>
            <w:r w:rsidR="003F1C7F" w:rsidRPr="004A5F47">
              <w:rPr>
                <w:rFonts w:ascii="Book Antiqua" w:hAnsi="Book Antiqua"/>
                <w:lang w:val="en-US" w:eastAsia="zh-CN"/>
              </w:rPr>
              <w:t xml:space="preserve"> </w:t>
            </w:r>
            <w:r w:rsidRPr="004A5F47">
              <w:rPr>
                <w:rFonts w:ascii="Book Antiqua" w:hAnsi="Book Antiqua"/>
                <w:lang w:val="en-US"/>
              </w:rPr>
              <w:lastRenderedPageBreak/>
              <w:t>arterial thrombosis or stenosis</w:t>
            </w:r>
          </w:p>
        </w:tc>
        <w:tc>
          <w:tcPr>
            <w:tcW w:w="478" w:type="pct"/>
            <w:shd w:val="clear" w:color="auto" w:fill="auto"/>
            <w:hideMark/>
          </w:tcPr>
          <w:p w14:paraId="1DEAE230" w14:textId="4BE1C305"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iCs/>
                <w:color w:val="000000" w:themeColor="text1"/>
                <w:lang w:val="en-US"/>
              </w:rPr>
              <w:lastRenderedPageBreak/>
              <w:t>Mean</w:t>
            </w:r>
            <w:r w:rsidR="00275CB1" w:rsidRPr="004A5F47">
              <w:rPr>
                <w:rFonts w:ascii="Book Antiqua" w:hAnsi="Book Antiqua"/>
                <w:color w:val="000000" w:themeColor="text1"/>
                <w:lang w:val="en-US"/>
              </w:rPr>
              <w:t>-</w:t>
            </w:r>
            <w:r w:rsidRPr="004A5F47">
              <w:rPr>
                <w:rFonts w:ascii="Book Antiqua" w:hAnsi="Book Antiqua"/>
                <w:color w:val="000000" w:themeColor="text1"/>
                <w:lang w:val="en-US"/>
              </w:rPr>
              <w:t>34.8 mo (cDCD NRP) and 51.7 mo (DBD</w:t>
            </w:r>
            <w:r w:rsidRPr="004A5F47">
              <w:rPr>
                <w:rFonts w:ascii="Book Antiqua" w:hAnsi="Book Antiqua"/>
                <w:lang w:val="en-US"/>
              </w:rPr>
              <w:t>)</w:t>
            </w:r>
          </w:p>
        </w:tc>
        <w:tc>
          <w:tcPr>
            <w:tcW w:w="536" w:type="pct"/>
            <w:shd w:val="clear" w:color="auto" w:fill="auto"/>
            <w:hideMark/>
          </w:tcPr>
          <w:p w14:paraId="56F409C7"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1/50 (2%)</w:t>
            </w:r>
          </w:p>
        </w:tc>
        <w:tc>
          <w:tcPr>
            <w:tcW w:w="483" w:type="pct"/>
            <w:shd w:val="clear" w:color="auto" w:fill="auto"/>
            <w:hideMark/>
          </w:tcPr>
          <w:p w14:paraId="6B27F5ED"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c>
          <w:tcPr>
            <w:tcW w:w="340" w:type="pct"/>
            <w:gridSpan w:val="2"/>
            <w:shd w:val="clear" w:color="auto" w:fill="auto"/>
            <w:hideMark/>
          </w:tcPr>
          <w:p w14:paraId="77126EBE"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1/</w:t>
            </w:r>
            <w:r w:rsidRPr="004A5F47">
              <w:rPr>
                <w:rFonts w:ascii="Book Antiqua" w:hAnsi="Book Antiqua"/>
                <w:lang w:val="en-US"/>
              </w:rPr>
              <w:t>100 (1%)</w:t>
            </w:r>
          </w:p>
        </w:tc>
      </w:tr>
      <w:tr w:rsidR="00560214" w:rsidRPr="004A5F47" w14:paraId="555DDA24" w14:textId="77777777" w:rsidTr="00D07AA7">
        <w:trPr>
          <w:trHeight w:val="940"/>
        </w:trPr>
        <w:tc>
          <w:tcPr>
            <w:tcW w:w="504" w:type="pct"/>
            <w:shd w:val="clear" w:color="auto" w:fill="auto"/>
            <w:hideMark/>
          </w:tcPr>
          <w:p w14:paraId="4C718E51" w14:textId="01300A08"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Miñambres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[35</w:t>
            </w:r>
            <w:r w:rsidRPr="004A5F47">
              <w:rPr>
                <w:rFonts w:ascii="Book Antiqua" w:hAnsi="Book Antiqua"/>
                <w:color w:val="000000" w:themeColor="text1"/>
                <w:vertAlign w:val="superscript"/>
                <w:lang w:val="en-US" w:eastAsia="zh-CN"/>
              </w:rPr>
              <w:t>]</w:t>
            </w:r>
            <w:r w:rsidRPr="004A5F47">
              <w:rPr>
                <w:rFonts w:ascii="Book Antiqua" w:hAnsi="Book Antiqua"/>
                <w:i/>
                <w:iCs/>
                <w:color w:val="000000" w:themeColor="text1"/>
                <w:lang w:val="en-US" w:eastAsia="zh-CN"/>
              </w:rPr>
              <w:t>,</w:t>
            </w:r>
            <w:r w:rsidRPr="004A5F47">
              <w:rPr>
                <w:rFonts w:ascii="Book Antiqua" w:hAnsi="Book Antiqua"/>
                <w:color w:val="000000" w:themeColor="text1"/>
                <w:lang w:val="en-US"/>
              </w:rPr>
              <w:t xml:space="preserve"> 2020</w:t>
            </w:r>
          </w:p>
        </w:tc>
        <w:tc>
          <w:tcPr>
            <w:tcW w:w="327" w:type="pct"/>
            <w:shd w:val="clear" w:color="auto" w:fill="auto"/>
            <w:hideMark/>
          </w:tcPr>
          <w:p w14:paraId="3B6D90F1"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755E4D62" w14:textId="5EB5D818" w:rsidR="000E33B7" w:rsidRPr="00815C0F" w:rsidRDefault="00C1571E"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(16) </w:t>
            </w:r>
            <w:r w:rsidRPr="004A5F47">
              <w:rPr>
                <w:rFonts w:ascii="Book Antiqua" w:hAnsi="Book Antiqua"/>
                <w:i/>
                <w:color w:val="000000" w:themeColor="text1"/>
                <w:lang w:val="en-US"/>
              </w:rPr>
              <w:t>vs</w:t>
            </w:r>
            <w:r w:rsidR="000E33B7" w:rsidRPr="004A5F47">
              <w:rPr>
                <w:rFonts w:ascii="Book Antiqua" w:hAnsi="Book Antiqua"/>
                <w:color w:val="000000" w:themeColor="text1"/>
                <w:lang w:val="en-US"/>
              </w:rPr>
              <w:t xml:space="preserve"> DBD (29)</w:t>
            </w:r>
          </w:p>
        </w:tc>
        <w:tc>
          <w:tcPr>
            <w:tcW w:w="484" w:type="pct"/>
            <w:shd w:val="clear" w:color="auto" w:fill="auto"/>
            <w:hideMark/>
          </w:tcPr>
          <w:p w14:paraId="3DCB8EA8"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DBD</w:t>
            </w:r>
          </w:p>
        </w:tc>
        <w:tc>
          <w:tcPr>
            <w:tcW w:w="416" w:type="pct"/>
            <w:shd w:val="clear" w:color="auto" w:fill="auto"/>
            <w:hideMark/>
          </w:tcPr>
          <w:p w14:paraId="452C85A4" w14:textId="2889E7BF" w:rsidR="000E33B7" w:rsidRPr="00815C0F" w:rsidRDefault="000E33B7" w:rsidP="000B57C0">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Spain protocol</w:t>
            </w:r>
            <w:r w:rsidR="000B57C0" w:rsidRPr="004A5F47">
              <w:rPr>
                <w:rFonts w:ascii="Book Antiqua" w:hAnsi="Book Antiqua"/>
                <w:color w:val="000000" w:themeColor="text1"/>
                <w:vertAlign w:val="superscript"/>
                <w:lang w:val="en-US" w:eastAsia="zh-CN"/>
              </w:rPr>
              <w:t>8</w:t>
            </w:r>
          </w:p>
        </w:tc>
        <w:tc>
          <w:tcPr>
            <w:tcW w:w="1073" w:type="pct"/>
            <w:shd w:val="clear" w:color="auto" w:fill="auto"/>
            <w:hideMark/>
          </w:tcPr>
          <w:p w14:paraId="580FD0C6"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NR</w:t>
            </w:r>
          </w:p>
        </w:tc>
        <w:tc>
          <w:tcPr>
            <w:tcW w:w="478" w:type="pct"/>
            <w:shd w:val="clear" w:color="auto" w:fill="auto"/>
            <w:hideMark/>
          </w:tcPr>
          <w:p w14:paraId="71C920DB" w14:textId="3B6D2F50"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iCs/>
                <w:color w:val="000000" w:themeColor="text1"/>
                <w:lang w:val="en-US"/>
              </w:rPr>
              <w:t>Median</w:t>
            </w:r>
            <w:r w:rsidR="006B6119" w:rsidRPr="004A5F47">
              <w:rPr>
                <w:rFonts w:ascii="Book Antiqua" w:hAnsi="Book Antiqua"/>
                <w:color w:val="000000" w:themeColor="text1"/>
                <w:lang w:val="en-US"/>
              </w:rPr>
              <w:t xml:space="preserve">-6 </w:t>
            </w:r>
            <w:r w:rsidRPr="004A5F47">
              <w:rPr>
                <w:rFonts w:ascii="Book Antiqua" w:hAnsi="Book Antiqua"/>
                <w:color w:val="000000" w:themeColor="text1"/>
                <w:lang w:val="en-US"/>
              </w:rPr>
              <w:t>mo</w:t>
            </w:r>
            <w:r w:rsidR="003F1C7F" w:rsidRPr="004A5F47">
              <w:rPr>
                <w:rFonts w:ascii="Book Antiqua" w:hAnsi="Book Antiqua"/>
                <w:color w:val="000000" w:themeColor="text1"/>
                <w:lang w:val="en-US"/>
              </w:rPr>
              <w:t xml:space="preserve"> (cDCD) and </w:t>
            </w:r>
            <w:r w:rsidRPr="004A5F47">
              <w:rPr>
                <w:rFonts w:ascii="Book Antiqua" w:hAnsi="Book Antiqua"/>
                <w:color w:val="000000" w:themeColor="text1"/>
                <w:lang w:val="en-US"/>
              </w:rPr>
              <w:t>16</w:t>
            </w:r>
            <w:r w:rsidR="00914A83" w:rsidRPr="004A5F47">
              <w:rPr>
                <w:rFonts w:ascii="Book Antiqua" w:hAnsi="Book Antiqua"/>
                <w:color w:val="000000" w:themeColor="text1"/>
                <w:lang w:val="en-US"/>
              </w:rPr>
              <w:t xml:space="preserve"> </w:t>
            </w:r>
            <w:r w:rsidRPr="004A5F47">
              <w:rPr>
                <w:rFonts w:ascii="Book Antiqua" w:hAnsi="Book Antiqua"/>
                <w:color w:val="000000" w:themeColor="text1"/>
                <w:lang w:val="en-US"/>
              </w:rPr>
              <w:t>mo (DBD)</w:t>
            </w:r>
          </w:p>
        </w:tc>
        <w:tc>
          <w:tcPr>
            <w:tcW w:w="536" w:type="pct"/>
            <w:shd w:val="clear" w:color="auto" w:fill="auto"/>
            <w:hideMark/>
          </w:tcPr>
          <w:p w14:paraId="4BFE6519"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0/16 (0%)</w:t>
            </w:r>
          </w:p>
        </w:tc>
        <w:tc>
          <w:tcPr>
            <w:tcW w:w="483" w:type="pct"/>
            <w:shd w:val="clear" w:color="auto" w:fill="auto"/>
            <w:hideMark/>
          </w:tcPr>
          <w:p w14:paraId="79794D5D"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c>
          <w:tcPr>
            <w:tcW w:w="340" w:type="pct"/>
            <w:gridSpan w:val="2"/>
            <w:shd w:val="clear" w:color="auto" w:fill="auto"/>
            <w:hideMark/>
          </w:tcPr>
          <w:p w14:paraId="3D99EE75"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0/29 (0%)</w:t>
            </w:r>
          </w:p>
        </w:tc>
      </w:tr>
      <w:tr w:rsidR="00560214" w:rsidRPr="004A5F47" w14:paraId="282D76ED" w14:textId="77777777" w:rsidTr="00D07AA7">
        <w:trPr>
          <w:trHeight w:val="630"/>
        </w:trPr>
        <w:tc>
          <w:tcPr>
            <w:tcW w:w="504" w:type="pct"/>
            <w:shd w:val="clear" w:color="auto" w:fill="auto"/>
            <w:hideMark/>
          </w:tcPr>
          <w:p w14:paraId="0C86768A" w14:textId="4BDD0D05"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De carlis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w:t>
            </w:r>
            <w:r w:rsidRPr="004A5F47">
              <w:rPr>
                <w:rFonts w:ascii="Book Antiqua" w:hAnsi="Book Antiqua"/>
                <w:color w:val="000000" w:themeColor="text1"/>
                <w:vertAlign w:val="superscript"/>
                <w:lang w:val="en-US" w:eastAsia="zh-CN"/>
              </w:rPr>
              <w:t>43]</w:t>
            </w:r>
            <w:r w:rsidRPr="004A5F47">
              <w:rPr>
                <w:rFonts w:ascii="Book Antiqua" w:hAnsi="Book Antiqua"/>
                <w:color w:val="000000" w:themeColor="text1"/>
                <w:lang w:val="en-US"/>
              </w:rPr>
              <w:t>, 2021</w:t>
            </w:r>
          </w:p>
        </w:tc>
        <w:tc>
          <w:tcPr>
            <w:tcW w:w="327" w:type="pct"/>
            <w:shd w:val="clear" w:color="auto" w:fill="auto"/>
            <w:hideMark/>
          </w:tcPr>
          <w:p w14:paraId="1D7E4F59"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11B6BA30" w14:textId="68511B95" w:rsidR="000E33B7" w:rsidRPr="00815C0F" w:rsidRDefault="00051881"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DCD NRP + D-HOPE (37) </w:t>
            </w:r>
            <w:r w:rsidRPr="004A5F47">
              <w:rPr>
                <w:rFonts w:ascii="Book Antiqua" w:hAnsi="Book Antiqua"/>
                <w:i/>
                <w:color w:val="000000" w:themeColor="text1"/>
                <w:lang w:val="en-US"/>
              </w:rPr>
              <w:t>vs</w:t>
            </w:r>
            <w:r w:rsidR="000E33B7" w:rsidRPr="004A5F47">
              <w:rPr>
                <w:rFonts w:ascii="Book Antiqua" w:hAnsi="Book Antiqua"/>
                <w:color w:val="000000" w:themeColor="text1"/>
                <w:lang w:val="en-US"/>
              </w:rPr>
              <w:t xml:space="preserve"> </w:t>
            </w:r>
            <w:r w:rsidR="000E33B7" w:rsidRPr="004A5F47">
              <w:rPr>
                <w:rFonts w:ascii="Book Antiqua" w:hAnsi="Book Antiqua"/>
                <w:lang w:val="en-US"/>
              </w:rPr>
              <w:t>DCD SRR SCS (37)</w:t>
            </w:r>
          </w:p>
        </w:tc>
        <w:tc>
          <w:tcPr>
            <w:tcW w:w="484" w:type="pct"/>
            <w:shd w:val="clear" w:color="auto" w:fill="auto"/>
            <w:hideMark/>
          </w:tcPr>
          <w:p w14:paraId="2A118766"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DCD</w:t>
            </w:r>
          </w:p>
        </w:tc>
        <w:tc>
          <w:tcPr>
            <w:tcW w:w="416" w:type="pct"/>
            <w:shd w:val="clear" w:color="auto" w:fill="auto"/>
            <w:hideMark/>
          </w:tcPr>
          <w:p w14:paraId="7D842439" w14:textId="1DEDD6BF" w:rsidR="000E33B7" w:rsidRPr="00815C0F" w:rsidRDefault="000E33B7" w:rsidP="000B57C0">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Italy protocol</w:t>
            </w:r>
            <w:r w:rsidR="000B57C0" w:rsidRPr="004A5F47">
              <w:rPr>
                <w:rFonts w:ascii="Book Antiqua" w:hAnsi="Book Antiqua"/>
                <w:color w:val="000000" w:themeColor="text1"/>
                <w:vertAlign w:val="superscript"/>
                <w:lang w:val="en-US" w:eastAsia="zh-CN"/>
              </w:rPr>
              <w:t>9</w:t>
            </w:r>
          </w:p>
        </w:tc>
        <w:tc>
          <w:tcPr>
            <w:tcW w:w="1073" w:type="pct"/>
            <w:shd w:val="clear" w:color="auto" w:fill="auto"/>
            <w:hideMark/>
          </w:tcPr>
          <w:p w14:paraId="516EAC8C" w14:textId="1FE7FD6B"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Cholangiographic </w:t>
            </w:r>
            <w:r w:rsidRPr="004A5F47">
              <w:rPr>
                <w:rFonts w:ascii="Book Antiqua" w:hAnsi="Book Antiqua"/>
                <w:lang w:val="en-US"/>
              </w:rPr>
              <w:t>evidence of diffuse intrahepatic,</w:t>
            </w:r>
            <w:r w:rsidR="00C1571E" w:rsidRPr="004A5F47">
              <w:rPr>
                <w:rFonts w:ascii="Book Antiqua" w:hAnsi="Book Antiqua"/>
                <w:lang w:val="en-US" w:eastAsia="zh-CN"/>
              </w:rPr>
              <w:t xml:space="preserve"> </w:t>
            </w:r>
            <w:r w:rsidRPr="004A5F47">
              <w:rPr>
                <w:rFonts w:ascii="Book Antiqua" w:hAnsi="Book Antiqua"/>
                <w:lang w:val="en-US"/>
              </w:rPr>
              <w:t>hilar, or extrahepatic biliary strictures in the presence of</w:t>
            </w:r>
            <w:r w:rsidR="00C1571E" w:rsidRPr="004A5F47">
              <w:rPr>
                <w:rFonts w:ascii="Book Antiqua" w:hAnsi="Book Antiqua"/>
                <w:lang w:val="en-US" w:eastAsia="zh-CN"/>
              </w:rPr>
              <w:t xml:space="preserve"> </w:t>
            </w:r>
            <w:r w:rsidRPr="004A5F47">
              <w:rPr>
                <w:rFonts w:ascii="Book Antiqua" w:hAnsi="Book Antiqua"/>
                <w:lang w:val="en-US"/>
              </w:rPr>
              <w:t>a patent hepatic artery. Isolated anastomotic strictures</w:t>
            </w:r>
            <w:r w:rsidR="00C1571E" w:rsidRPr="004A5F47">
              <w:rPr>
                <w:rFonts w:ascii="Book Antiqua" w:hAnsi="Book Antiqua"/>
                <w:lang w:val="en-US" w:eastAsia="zh-CN"/>
              </w:rPr>
              <w:t xml:space="preserve"> </w:t>
            </w:r>
            <w:r w:rsidRPr="004A5F47">
              <w:rPr>
                <w:rFonts w:ascii="Book Antiqua" w:hAnsi="Book Antiqua"/>
                <w:lang w:val="en-US"/>
              </w:rPr>
              <w:t>were excluded from IC</w:t>
            </w:r>
          </w:p>
        </w:tc>
        <w:tc>
          <w:tcPr>
            <w:tcW w:w="478" w:type="pct"/>
            <w:shd w:val="clear" w:color="auto" w:fill="auto"/>
            <w:hideMark/>
          </w:tcPr>
          <w:p w14:paraId="1DDE4ADB" w14:textId="6F154520" w:rsidR="000E33B7" w:rsidRPr="00815C0F" w:rsidRDefault="00C1571E" w:rsidP="00265460">
            <w:pPr>
              <w:pStyle w:val="EndNoteBibliography"/>
              <w:spacing w:line="360" w:lineRule="auto"/>
              <w:jc w:val="both"/>
              <w:rPr>
                <w:rFonts w:ascii="Book Antiqua" w:hAnsi="Book Antiqua"/>
                <w:lang w:val="en-US"/>
              </w:rPr>
            </w:pPr>
            <w:r w:rsidRPr="004A5F47">
              <w:rPr>
                <w:rFonts w:ascii="Book Antiqua" w:hAnsi="Book Antiqua"/>
                <w:iCs/>
                <w:color w:val="000000" w:themeColor="text1"/>
                <w:lang w:val="en-US"/>
              </w:rPr>
              <w:t>Median</w:t>
            </w:r>
            <w:r w:rsidR="000E33B7" w:rsidRPr="004A5F47">
              <w:rPr>
                <w:rFonts w:ascii="Book Antiqua" w:hAnsi="Book Antiqua"/>
                <w:iCs/>
                <w:color w:val="000000" w:themeColor="text1"/>
                <w:lang w:val="en-US"/>
              </w:rPr>
              <w:t>-</w:t>
            </w:r>
            <w:r w:rsidR="000E33B7" w:rsidRPr="004A5F47">
              <w:rPr>
                <w:rFonts w:ascii="Book Antiqua" w:hAnsi="Book Antiqua"/>
                <w:color w:val="000000" w:themeColor="text1"/>
                <w:lang w:val="en-US"/>
              </w:rPr>
              <w:t>17 mo</w:t>
            </w:r>
            <w:r w:rsidR="007B5FA3" w:rsidRPr="004A5F47">
              <w:rPr>
                <w:rFonts w:ascii="Book Antiqua" w:hAnsi="Book Antiqua"/>
                <w:color w:val="000000" w:themeColor="text1"/>
                <w:lang w:val="en-US"/>
              </w:rPr>
              <w:t xml:space="preserve"> (NRP + D-HOPE</w:t>
            </w:r>
            <w:r w:rsidR="000E33B7" w:rsidRPr="004A5F47">
              <w:rPr>
                <w:rFonts w:ascii="Book Antiqua" w:hAnsi="Book Antiqua"/>
                <w:color w:val="000000" w:themeColor="text1"/>
                <w:lang w:val="en-US"/>
              </w:rPr>
              <w:t>) and all transplants</w:t>
            </w:r>
            <w:r w:rsidRPr="004A5F47">
              <w:rPr>
                <w:rFonts w:ascii="Book Antiqua" w:hAnsi="Book Antiqua"/>
                <w:lang w:val="en-US"/>
              </w:rPr>
              <w:t xml:space="preserve"> were followed at least 1 y</w:t>
            </w:r>
            <w:r w:rsidR="000E33B7" w:rsidRPr="004A5F47">
              <w:rPr>
                <w:rFonts w:ascii="Book Antiqua" w:hAnsi="Book Antiqua"/>
                <w:lang w:val="en-US"/>
              </w:rPr>
              <w:t>r</w:t>
            </w:r>
          </w:p>
        </w:tc>
        <w:tc>
          <w:tcPr>
            <w:tcW w:w="536" w:type="pct"/>
            <w:shd w:val="clear" w:color="auto" w:fill="auto"/>
            <w:hideMark/>
          </w:tcPr>
          <w:p w14:paraId="73EA7EC9"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1/37 (3%) </w:t>
            </w:r>
          </w:p>
        </w:tc>
        <w:tc>
          <w:tcPr>
            <w:tcW w:w="483" w:type="pct"/>
            <w:shd w:val="clear" w:color="auto" w:fill="auto"/>
            <w:hideMark/>
          </w:tcPr>
          <w:p w14:paraId="060ECCF3"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3/</w:t>
            </w:r>
            <w:r w:rsidRPr="004A5F47">
              <w:rPr>
                <w:rFonts w:ascii="Book Antiqua" w:hAnsi="Book Antiqua"/>
                <w:lang w:val="en-US"/>
              </w:rPr>
              <w:t>37 (8%)</w:t>
            </w:r>
          </w:p>
        </w:tc>
        <w:tc>
          <w:tcPr>
            <w:tcW w:w="340" w:type="pct"/>
            <w:gridSpan w:val="2"/>
            <w:shd w:val="clear" w:color="auto" w:fill="auto"/>
            <w:hideMark/>
          </w:tcPr>
          <w:p w14:paraId="00D9375C"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r>
      <w:tr w:rsidR="00560214" w:rsidRPr="004A5F47" w14:paraId="670C996B" w14:textId="77777777" w:rsidTr="00D07AA7">
        <w:trPr>
          <w:trHeight w:val="1260"/>
        </w:trPr>
        <w:tc>
          <w:tcPr>
            <w:tcW w:w="504" w:type="pct"/>
            <w:shd w:val="clear" w:color="auto" w:fill="auto"/>
            <w:hideMark/>
          </w:tcPr>
          <w:p w14:paraId="733825E8" w14:textId="301C4C04"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Muller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[37</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rPr>
              <w:t>, 2020</w:t>
            </w:r>
          </w:p>
        </w:tc>
        <w:tc>
          <w:tcPr>
            <w:tcW w:w="327" w:type="pct"/>
            <w:shd w:val="clear" w:color="auto" w:fill="auto"/>
            <w:hideMark/>
          </w:tcPr>
          <w:p w14:paraId="4C132962"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16276CA5" w14:textId="1C742E2E"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(132) </w:t>
            </w:r>
            <w:r w:rsidR="008C3AC1" w:rsidRPr="004A5F47">
              <w:rPr>
                <w:rFonts w:ascii="Book Antiqua" w:hAnsi="Book Antiqua"/>
                <w:i/>
                <w:color w:val="000000" w:themeColor="text1"/>
                <w:lang w:val="en-US"/>
              </w:rPr>
              <w:t>vs</w:t>
            </w:r>
            <w:r w:rsidRPr="004A5F47">
              <w:rPr>
                <w:rFonts w:ascii="Book Antiqua" w:hAnsi="Book Antiqua"/>
                <w:color w:val="000000" w:themeColor="text1"/>
                <w:lang w:val="en-US"/>
              </w:rPr>
              <w:t xml:space="preserve"> </w:t>
            </w:r>
            <w:r w:rsidRPr="004A5F47">
              <w:rPr>
                <w:rFonts w:ascii="Book Antiqua" w:hAnsi="Book Antiqua"/>
                <w:color w:val="000000" w:themeColor="text1"/>
                <w:lang w:val="en-US"/>
              </w:rPr>
              <w:lastRenderedPageBreak/>
              <w:t>HOPE (93)</w:t>
            </w:r>
          </w:p>
        </w:tc>
        <w:tc>
          <w:tcPr>
            <w:tcW w:w="484" w:type="pct"/>
            <w:shd w:val="clear" w:color="auto" w:fill="auto"/>
            <w:hideMark/>
          </w:tcPr>
          <w:p w14:paraId="017FB9D5"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lastRenderedPageBreak/>
              <w:t>DCD</w:t>
            </w:r>
          </w:p>
        </w:tc>
        <w:tc>
          <w:tcPr>
            <w:tcW w:w="416" w:type="pct"/>
            <w:shd w:val="clear" w:color="auto" w:fill="auto"/>
            <w:hideMark/>
          </w:tcPr>
          <w:p w14:paraId="1C08C339" w14:textId="5C0680BB" w:rsidR="000E33B7" w:rsidRPr="00815C0F" w:rsidRDefault="000E33B7" w:rsidP="000B57C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France protocol</w:t>
            </w:r>
            <w:r w:rsidR="000B57C0" w:rsidRPr="004A5F47">
              <w:rPr>
                <w:rFonts w:ascii="Book Antiqua" w:hAnsi="Book Antiqua"/>
                <w:color w:val="000000" w:themeColor="text1"/>
                <w:vertAlign w:val="superscript"/>
                <w:lang w:val="en-US" w:eastAsia="zh-CN"/>
              </w:rPr>
              <w:t>4</w:t>
            </w:r>
            <w:r w:rsidRPr="004A5F47">
              <w:rPr>
                <w:rFonts w:ascii="Book Antiqua" w:hAnsi="Book Antiqua"/>
                <w:color w:val="000000" w:themeColor="text1"/>
                <w:lang w:val="en-US"/>
              </w:rPr>
              <w:t xml:space="preserve"> </w:t>
            </w:r>
          </w:p>
        </w:tc>
        <w:tc>
          <w:tcPr>
            <w:tcW w:w="1073" w:type="pct"/>
            <w:shd w:val="clear" w:color="auto" w:fill="auto"/>
            <w:hideMark/>
          </w:tcPr>
          <w:p w14:paraId="173626F2" w14:textId="4494EE49" w:rsidR="000E33B7" w:rsidRPr="00815C0F" w:rsidRDefault="003F1C7F" w:rsidP="00265460">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NAS</w:t>
            </w:r>
            <w:r w:rsidR="000E33B7" w:rsidRPr="004A5F47">
              <w:rPr>
                <w:rFonts w:ascii="Book Antiqua" w:hAnsi="Book Antiqua"/>
                <w:color w:val="000000" w:themeColor="text1"/>
                <w:lang w:val="en-US"/>
              </w:rPr>
              <w:t xml:space="preserve"> was defined as either multifocal, unifocal intrahepatic, </w:t>
            </w:r>
            <w:r w:rsidR="000E33B7" w:rsidRPr="004A5F47">
              <w:rPr>
                <w:rFonts w:ascii="Book Antiqua" w:hAnsi="Book Antiqua"/>
                <w:lang w:val="en-US"/>
              </w:rPr>
              <w:t xml:space="preserve">or </w:t>
            </w:r>
            <w:r w:rsidR="000E33B7" w:rsidRPr="004A5F47">
              <w:rPr>
                <w:rFonts w:ascii="Book Antiqua" w:hAnsi="Book Antiqua"/>
                <w:lang w:val="en-US"/>
              </w:rPr>
              <w:lastRenderedPageBreak/>
              <w:t xml:space="preserve">hilar strictures with or without the presence of concomitant </w:t>
            </w:r>
            <w:r w:rsidRPr="004A5F47">
              <w:rPr>
                <w:rFonts w:ascii="Book Antiqua" w:hAnsi="Book Antiqua"/>
                <w:lang w:val="en-US"/>
              </w:rPr>
              <w:t>HAT</w:t>
            </w:r>
            <w:r w:rsidR="000E33B7" w:rsidRPr="004A5F47">
              <w:rPr>
                <w:rFonts w:ascii="Book Antiqua" w:hAnsi="Book Antiqua"/>
                <w:lang w:val="en-US"/>
              </w:rPr>
              <w:t xml:space="preserve"> or arterial complications. NAS was detected clinically and confirmed by magnetic resonance cholangiography</w:t>
            </w:r>
          </w:p>
        </w:tc>
        <w:tc>
          <w:tcPr>
            <w:tcW w:w="478" w:type="pct"/>
            <w:shd w:val="clear" w:color="auto" w:fill="auto"/>
            <w:hideMark/>
          </w:tcPr>
          <w:p w14:paraId="1380CA9A" w14:textId="63B1880A" w:rsidR="000E33B7" w:rsidRPr="00815C0F" w:rsidRDefault="003059A4"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iCs/>
                <w:color w:val="000000" w:themeColor="text1"/>
                <w:lang w:val="en-US"/>
              </w:rPr>
              <w:lastRenderedPageBreak/>
              <w:t>Median-</w:t>
            </w:r>
            <w:r w:rsidR="000E33B7" w:rsidRPr="004A5F47">
              <w:rPr>
                <w:rFonts w:ascii="Book Antiqua" w:hAnsi="Book Antiqua"/>
                <w:color w:val="000000" w:themeColor="text1"/>
                <w:lang w:val="en-US"/>
              </w:rPr>
              <w:t xml:space="preserve">20 mo (NRP) </w:t>
            </w:r>
            <w:r w:rsidR="000E33B7" w:rsidRPr="004A5F47">
              <w:rPr>
                <w:rFonts w:ascii="Book Antiqua" w:hAnsi="Book Antiqua"/>
                <w:color w:val="000000" w:themeColor="text1"/>
                <w:lang w:val="en-US"/>
              </w:rPr>
              <w:lastRenderedPageBreak/>
              <w:t>and 28 mo (HOPE)</w:t>
            </w:r>
          </w:p>
        </w:tc>
        <w:tc>
          <w:tcPr>
            <w:tcW w:w="536" w:type="pct"/>
            <w:shd w:val="clear" w:color="auto" w:fill="auto"/>
            <w:hideMark/>
          </w:tcPr>
          <w:p w14:paraId="4EE92603" w14:textId="1B5B56B4" w:rsidR="000E33B7" w:rsidRPr="00815C0F" w:rsidRDefault="000E33B7" w:rsidP="000B57C0">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lastRenderedPageBreak/>
              <w:t>2/32 (6.3%)</w:t>
            </w:r>
            <w:r w:rsidR="000B57C0" w:rsidRPr="004A5F47">
              <w:rPr>
                <w:rFonts w:ascii="Book Antiqua" w:hAnsi="Book Antiqua"/>
                <w:color w:val="000000" w:themeColor="text1"/>
                <w:vertAlign w:val="superscript"/>
                <w:lang w:val="en-US" w:eastAsia="zh-CN"/>
              </w:rPr>
              <w:t>5</w:t>
            </w:r>
          </w:p>
        </w:tc>
        <w:tc>
          <w:tcPr>
            <w:tcW w:w="483" w:type="pct"/>
            <w:shd w:val="clear" w:color="auto" w:fill="auto"/>
            <w:hideMark/>
          </w:tcPr>
          <w:p w14:paraId="61641BCA" w14:textId="706257AA" w:rsidR="000E33B7" w:rsidRPr="00815C0F" w:rsidRDefault="000E33B7" w:rsidP="000B57C0">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4/32 (12.5%)</w:t>
            </w:r>
            <w:r w:rsidR="000B57C0" w:rsidRPr="004A5F47">
              <w:rPr>
                <w:rFonts w:ascii="Book Antiqua" w:hAnsi="Book Antiqua"/>
                <w:vertAlign w:val="superscript"/>
                <w:lang w:val="en-US" w:eastAsia="zh-CN"/>
              </w:rPr>
              <w:t>5</w:t>
            </w:r>
          </w:p>
        </w:tc>
        <w:tc>
          <w:tcPr>
            <w:tcW w:w="340" w:type="pct"/>
            <w:gridSpan w:val="2"/>
            <w:shd w:val="clear" w:color="auto" w:fill="auto"/>
            <w:hideMark/>
          </w:tcPr>
          <w:p w14:paraId="588AFCAF"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r>
      <w:tr w:rsidR="00560214" w:rsidRPr="004A5F47" w14:paraId="06E91C2F" w14:textId="77777777" w:rsidTr="00D07AA7">
        <w:trPr>
          <w:trHeight w:val="1124"/>
        </w:trPr>
        <w:tc>
          <w:tcPr>
            <w:tcW w:w="504" w:type="pct"/>
            <w:shd w:val="clear" w:color="auto" w:fill="auto"/>
            <w:hideMark/>
          </w:tcPr>
          <w:p w14:paraId="69668186" w14:textId="37A9CFD2"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Hessheimer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[41</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eastAsia="zh-CN"/>
              </w:rPr>
              <w:t xml:space="preserve">, </w:t>
            </w:r>
            <w:r w:rsidRPr="004A5F47">
              <w:rPr>
                <w:rFonts w:ascii="Book Antiqua" w:hAnsi="Book Antiqua"/>
                <w:color w:val="000000" w:themeColor="text1"/>
                <w:lang w:val="en-US"/>
              </w:rPr>
              <w:t>2019</w:t>
            </w:r>
          </w:p>
        </w:tc>
        <w:tc>
          <w:tcPr>
            <w:tcW w:w="327" w:type="pct"/>
            <w:shd w:val="clear" w:color="auto" w:fill="auto"/>
            <w:hideMark/>
          </w:tcPr>
          <w:p w14:paraId="1C83E1DA"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0A7C1874" w14:textId="102BC9C6" w:rsidR="000E33B7" w:rsidRPr="00815C0F" w:rsidRDefault="003059A4"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(95) </w:t>
            </w:r>
            <w:r w:rsidRPr="004A5F47">
              <w:rPr>
                <w:rFonts w:ascii="Book Antiqua" w:hAnsi="Book Antiqua"/>
                <w:i/>
                <w:color w:val="000000" w:themeColor="text1"/>
                <w:lang w:val="en-US"/>
              </w:rPr>
              <w:t>vs</w:t>
            </w:r>
            <w:r w:rsidR="000E33B7" w:rsidRPr="004A5F47">
              <w:rPr>
                <w:rFonts w:ascii="Book Antiqua" w:hAnsi="Book Antiqua"/>
                <w:color w:val="000000" w:themeColor="text1"/>
                <w:lang w:val="en-US"/>
              </w:rPr>
              <w:t xml:space="preserve"> SRR (117)</w:t>
            </w:r>
          </w:p>
        </w:tc>
        <w:tc>
          <w:tcPr>
            <w:tcW w:w="484" w:type="pct"/>
            <w:shd w:val="clear" w:color="auto" w:fill="auto"/>
            <w:hideMark/>
          </w:tcPr>
          <w:p w14:paraId="55C2CCB7"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DCD</w:t>
            </w:r>
          </w:p>
        </w:tc>
        <w:tc>
          <w:tcPr>
            <w:tcW w:w="416" w:type="pct"/>
            <w:shd w:val="clear" w:color="auto" w:fill="auto"/>
            <w:hideMark/>
          </w:tcPr>
          <w:p w14:paraId="2D3479A0" w14:textId="6A64332C" w:rsidR="000E33B7" w:rsidRPr="00815C0F" w:rsidRDefault="000E33B7" w:rsidP="000B57C0">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Spain protocol</w:t>
            </w:r>
            <w:r w:rsidR="000B57C0" w:rsidRPr="004A5F47">
              <w:rPr>
                <w:rFonts w:ascii="Book Antiqua" w:hAnsi="Book Antiqua"/>
                <w:color w:val="000000" w:themeColor="text1"/>
                <w:vertAlign w:val="superscript"/>
                <w:lang w:val="en-US" w:eastAsia="zh-CN"/>
              </w:rPr>
              <w:t>8</w:t>
            </w:r>
          </w:p>
        </w:tc>
        <w:tc>
          <w:tcPr>
            <w:tcW w:w="1073" w:type="pct"/>
            <w:shd w:val="clear" w:color="auto" w:fill="auto"/>
            <w:hideMark/>
          </w:tcPr>
          <w:p w14:paraId="512AAD3D" w14:textId="3631E98C" w:rsidR="000E33B7" w:rsidRPr="00815C0F" w:rsidRDefault="000E33B7" w:rsidP="00265460">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Cholestasis and confirmed based on cholangiographic evidence (typically coming from magnetic resonance cholangiopancreatography) of diffuse non-anastomotic biliary strictures, with or without prestenotic dilatations, in</w:t>
            </w:r>
            <w:r w:rsidRPr="004A5F47">
              <w:rPr>
                <w:rFonts w:ascii="Book Antiqua" w:hAnsi="Book Antiqua"/>
                <w:lang w:val="en-US"/>
              </w:rPr>
              <w:t xml:space="preserve"> the </w:t>
            </w:r>
            <w:r w:rsidRPr="004A5F47">
              <w:rPr>
                <w:rFonts w:ascii="Book Antiqua" w:hAnsi="Book Antiqua"/>
                <w:lang w:val="en-US"/>
              </w:rPr>
              <w:lastRenderedPageBreak/>
              <w:t>presence of a patent hepatic artery</w:t>
            </w:r>
          </w:p>
        </w:tc>
        <w:tc>
          <w:tcPr>
            <w:tcW w:w="478" w:type="pct"/>
            <w:shd w:val="clear" w:color="auto" w:fill="auto"/>
            <w:hideMark/>
          </w:tcPr>
          <w:p w14:paraId="6D44ED40" w14:textId="294FA0F5"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iCs/>
                <w:color w:val="000000" w:themeColor="text1"/>
                <w:lang w:val="en-US"/>
              </w:rPr>
              <w:lastRenderedPageBreak/>
              <w:t>Median</w:t>
            </w:r>
            <w:r w:rsidR="00D85322" w:rsidRPr="004A5F47">
              <w:rPr>
                <w:rFonts w:ascii="Book Antiqua" w:hAnsi="Book Antiqua"/>
                <w:color w:val="000000" w:themeColor="text1"/>
                <w:lang w:val="en-US"/>
              </w:rPr>
              <w:t>-</w:t>
            </w:r>
            <w:r w:rsidRPr="004A5F47">
              <w:rPr>
                <w:rFonts w:ascii="Book Antiqua" w:hAnsi="Book Antiqua"/>
                <w:color w:val="000000" w:themeColor="text1"/>
                <w:lang w:val="en-US"/>
              </w:rPr>
              <w:t>20</w:t>
            </w:r>
            <w:r w:rsidRPr="004A5F47">
              <w:rPr>
                <w:rFonts w:ascii="Times New Roman" w:hAnsi="Times New Roman" w:cs="Times New Roman"/>
                <w:color w:val="000000" w:themeColor="text1"/>
                <w:lang w:val="en-US"/>
              </w:rPr>
              <w:t> </w:t>
            </w:r>
            <w:r w:rsidRPr="004A5F47">
              <w:rPr>
                <w:rFonts w:ascii="Book Antiqua" w:hAnsi="Book Antiqua"/>
                <w:color w:val="000000" w:themeColor="text1"/>
                <w:lang w:val="en-US"/>
              </w:rPr>
              <w:t>mo</w:t>
            </w:r>
          </w:p>
        </w:tc>
        <w:tc>
          <w:tcPr>
            <w:tcW w:w="536" w:type="pct"/>
            <w:shd w:val="clear" w:color="auto" w:fill="auto"/>
            <w:hideMark/>
          </w:tcPr>
          <w:p w14:paraId="084EA644"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2/95 (2%)</w:t>
            </w:r>
          </w:p>
        </w:tc>
        <w:tc>
          <w:tcPr>
            <w:tcW w:w="483" w:type="pct"/>
            <w:shd w:val="clear" w:color="auto" w:fill="auto"/>
            <w:hideMark/>
          </w:tcPr>
          <w:p w14:paraId="4C4D357A"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15/117 (13%)</w:t>
            </w:r>
          </w:p>
        </w:tc>
        <w:tc>
          <w:tcPr>
            <w:tcW w:w="340" w:type="pct"/>
            <w:gridSpan w:val="2"/>
            <w:shd w:val="clear" w:color="auto" w:fill="auto"/>
            <w:hideMark/>
          </w:tcPr>
          <w:p w14:paraId="49095AB1"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r>
      <w:tr w:rsidR="00560214" w:rsidRPr="004A5F47" w14:paraId="4677AF39" w14:textId="77777777" w:rsidTr="00D07AA7">
        <w:trPr>
          <w:trHeight w:val="1127"/>
        </w:trPr>
        <w:tc>
          <w:tcPr>
            <w:tcW w:w="504" w:type="pct"/>
            <w:shd w:val="clear" w:color="auto" w:fill="auto"/>
            <w:hideMark/>
          </w:tcPr>
          <w:p w14:paraId="37EAEF6C" w14:textId="171B1947" w:rsidR="000E33B7" w:rsidRPr="00815C0F" w:rsidRDefault="007B5FA3" w:rsidP="00265460">
            <w:pPr>
              <w:pStyle w:val="EndNoteBibliography"/>
              <w:spacing w:line="360" w:lineRule="auto"/>
              <w:jc w:val="both"/>
              <w:rPr>
                <w:rFonts w:ascii="Book Antiqua" w:hAnsi="Book Antiqua"/>
                <w:lang w:val="en-US"/>
              </w:rPr>
            </w:pPr>
            <w:r w:rsidRPr="004A5F47">
              <w:rPr>
                <w:rFonts w:ascii="Book Antiqua" w:hAnsi="Book Antiqua"/>
                <w:bCs/>
                <w:lang w:val="en-US"/>
              </w:rPr>
              <w:t>Rodríguez-Sanjuán</w:t>
            </w:r>
            <w:r w:rsidR="000E33B7" w:rsidRPr="004A5F47">
              <w:rPr>
                <w:rFonts w:ascii="Book Antiqua" w:hAnsi="Book Antiqua"/>
                <w:color w:val="000000" w:themeColor="text1"/>
                <w:lang w:val="en-US"/>
              </w:rPr>
              <w:t xml:space="preserve"> </w:t>
            </w:r>
            <w:r w:rsidR="000E33B7" w:rsidRPr="004A5F47">
              <w:rPr>
                <w:rFonts w:ascii="Book Antiqua" w:hAnsi="Book Antiqua"/>
                <w:i/>
                <w:iCs/>
                <w:color w:val="000000" w:themeColor="text1"/>
                <w:lang w:val="en-US"/>
              </w:rPr>
              <w:t>et al</w:t>
            </w:r>
            <w:r w:rsidR="000E33B7" w:rsidRPr="004A5F47">
              <w:rPr>
                <w:rFonts w:ascii="Book Antiqua" w:hAnsi="Book Antiqua"/>
                <w:color w:val="000000" w:themeColor="text1"/>
                <w:vertAlign w:val="superscript"/>
                <w:lang w:val="en-US"/>
              </w:rPr>
              <w:t>[39</w:t>
            </w:r>
            <w:r w:rsidR="000E33B7" w:rsidRPr="004A5F47">
              <w:rPr>
                <w:rFonts w:ascii="Book Antiqua" w:hAnsi="Book Antiqua"/>
                <w:color w:val="000000" w:themeColor="text1"/>
                <w:vertAlign w:val="superscript"/>
                <w:lang w:val="en-US" w:eastAsia="zh-CN"/>
              </w:rPr>
              <w:t>]</w:t>
            </w:r>
            <w:r w:rsidR="000E33B7" w:rsidRPr="004A5F47">
              <w:rPr>
                <w:rFonts w:ascii="Book Antiqua" w:hAnsi="Book Antiqua"/>
                <w:color w:val="000000" w:themeColor="text1"/>
                <w:lang w:val="en-US" w:eastAsia="zh-CN"/>
              </w:rPr>
              <w:t>,</w:t>
            </w:r>
            <w:r w:rsidR="000E33B7" w:rsidRPr="004A5F47">
              <w:rPr>
                <w:rFonts w:ascii="Book Antiqua" w:hAnsi="Book Antiqua"/>
                <w:color w:val="000000" w:themeColor="text1"/>
                <w:vertAlign w:val="superscript"/>
                <w:lang w:val="en-US" w:eastAsia="zh-CN"/>
              </w:rPr>
              <w:t xml:space="preserve"> </w:t>
            </w:r>
            <w:r w:rsidR="000E33B7" w:rsidRPr="004A5F47">
              <w:rPr>
                <w:rFonts w:ascii="Book Antiqua" w:hAnsi="Book Antiqua"/>
                <w:color w:val="000000" w:themeColor="text1"/>
                <w:lang w:val="en-US"/>
              </w:rPr>
              <w:t>2019</w:t>
            </w:r>
          </w:p>
        </w:tc>
        <w:tc>
          <w:tcPr>
            <w:tcW w:w="327" w:type="pct"/>
            <w:shd w:val="clear" w:color="auto" w:fill="auto"/>
            <w:hideMark/>
          </w:tcPr>
          <w:p w14:paraId="4AEFCC7D"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6C84B179" w14:textId="532962F4" w:rsidR="000E33B7" w:rsidRPr="00815C0F" w:rsidRDefault="003059A4"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(11) </w:t>
            </w:r>
            <w:r w:rsidRPr="004A5F47">
              <w:rPr>
                <w:rFonts w:ascii="Book Antiqua" w:hAnsi="Book Antiqua"/>
                <w:i/>
                <w:color w:val="000000" w:themeColor="text1"/>
                <w:lang w:val="en-US"/>
              </w:rPr>
              <w:t>vs</w:t>
            </w:r>
            <w:r w:rsidR="000E33B7" w:rsidRPr="004A5F47">
              <w:rPr>
                <w:rFonts w:ascii="Book Antiqua" w:hAnsi="Book Antiqua"/>
                <w:color w:val="000000" w:themeColor="text1"/>
                <w:lang w:val="en-US"/>
              </w:rPr>
              <w:t xml:space="preserve"> DBD (51)</w:t>
            </w:r>
          </w:p>
        </w:tc>
        <w:tc>
          <w:tcPr>
            <w:tcW w:w="484" w:type="pct"/>
            <w:shd w:val="clear" w:color="auto" w:fill="auto"/>
            <w:hideMark/>
          </w:tcPr>
          <w:p w14:paraId="39995589"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DBD</w:t>
            </w:r>
          </w:p>
        </w:tc>
        <w:tc>
          <w:tcPr>
            <w:tcW w:w="416" w:type="pct"/>
            <w:shd w:val="clear" w:color="auto" w:fill="auto"/>
            <w:hideMark/>
          </w:tcPr>
          <w:p w14:paraId="4A7335DF" w14:textId="6893EBED" w:rsidR="000E33B7" w:rsidRPr="00815C0F" w:rsidRDefault="003059A4" w:rsidP="000B57C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Spain protocol</w:t>
            </w:r>
            <w:r w:rsidR="000B57C0" w:rsidRPr="004A5F47">
              <w:rPr>
                <w:rFonts w:ascii="Book Antiqua" w:hAnsi="Book Antiqua"/>
                <w:color w:val="000000" w:themeColor="text1"/>
                <w:vertAlign w:val="superscript"/>
                <w:lang w:val="en-US" w:eastAsia="zh-CN"/>
              </w:rPr>
              <w:t>8</w:t>
            </w:r>
          </w:p>
        </w:tc>
        <w:tc>
          <w:tcPr>
            <w:tcW w:w="1073" w:type="pct"/>
            <w:shd w:val="clear" w:color="auto" w:fill="auto"/>
            <w:hideMark/>
          </w:tcPr>
          <w:p w14:paraId="40E68254" w14:textId="3A3E0CC4"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Diffuse stenosis o</w:t>
            </w:r>
            <w:r w:rsidR="00312B59" w:rsidRPr="004A5F47">
              <w:rPr>
                <w:rFonts w:ascii="Book Antiqua" w:hAnsi="Book Antiqua"/>
                <w:color w:val="000000" w:themeColor="text1"/>
                <w:lang w:val="en-US"/>
              </w:rPr>
              <w:t>f the intrahepatic biliary tree</w:t>
            </w:r>
            <w:r w:rsidRPr="004A5F47">
              <w:rPr>
                <w:rFonts w:ascii="Book Antiqua" w:hAnsi="Book Antiqua"/>
                <w:color w:val="000000" w:themeColor="text1"/>
                <w:lang w:val="en-US"/>
              </w:rPr>
              <w:t>–suspected by jaundice, cholangitis, abnormal biochemical liver test, or abnormal findings on ultrasound</w:t>
            </w:r>
            <w:r w:rsidRPr="004A5F47">
              <w:rPr>
                <w:rFonts w:ascii="Book Antiqua" w:hAnsi="Book Antiqua"/>
                <w:lang w:val="en-US"/>
              </w:rPr>
              <w:t xml:space="preserve"> or T-tube cholangiography- provided there is no hepatic artery thrombosis</w:t>
            </w:r>
          </w:p>
        </w:tc>
        <w:tc>
          <w:tcPr>
            <w:tcW w:w="478" w:type="pct"/>
            <w:shd w:val="clear" w:color="auto" w:fill="auto"/>
            <w:hideMark/>
          </w:tcPr>
          <w:p w14:paraId="6622B3F2" w14:textId="66BCDCA3"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iCs/>
                <w:color w:val="000000" w:themeColor="text1"/>
                <w:lang w:val="en-US"/>
              </w:rPr>
              <w:t>Ranges</w:t>
            </w:r>
            <w:r w:rsidRPr="004A5F47">
              <w:rPr>
                <w:rFonts w:ascii="Book Antiqua" w:hAnsi="Book Antiqua"/>
                <w:color w:val="000000" w:themeColor="text1"/>
                <w:lang w:val="en-US"/>
              </w:rPr>
              <w:t xml:space="preserve"> bet</w:t>
            </w:r>
            <w:r w:rsidR="009D6F57" w:rsidRPr="004A5F47">
              <w:rPr>
                <w:rFonts w:ascii="Book Antiqua" w:hAnsi="Book Antiqua"/>
                <w:color w:val="000000" w:themeColor="text1"/>
                <w:lang w:val="en-US"/>
              </w:rPr>
              <w:t>w</w:t>
            </w:r>
            <w:r w:rsidRPr="004A5F47">
              <w:rPr>
                <w:rFonts w:ascii="Book Antiqua" w:hAnsi="Book Antiqua"/>
                <w:color w:val="000000" w:themeColor="text1"/>
                <w:lang w:val="en-US"/>
              </w:rPr>
              <w:t>een 7-27</w:t>
            </w:r>
            <w:r w:rsidRPr="004A5F47">
              <w:rPr>
                <w:rFonts w:ascii="Book Antiqua" w:hAnsi="Book Antiqua" w:cs="Times New Roman"/>
                <w:color w:val="000000" w:themeColor="text1"/>
                <w:lang w:val="en-US"/>
              </w:rPr>
              <w:t xml:space="preserve"> </w:t>
            </w:r>
            <w:r w:rsidRPr="004A5F47">
              <w:rPr>
                <w:rFonts w:ascii="Book Antiqua" w:hAnsi="Book Antiqua"/>
                <w:color w:val="000000" w:themeColor="text1"/>
                <w:lang w:val="en-US"/>
              </w:rPr>
              <w:t>mo.</w:t>
            </w:r>
            <w:r w:rsidRPr="004A5F47">
              <w:rPr>
                <w:rFonts w:ascii="Book Antiqua" w:hAnsi="Book Antiqua"/>
                <w:lang w:val="en-US"/>
              </w:rPr>
              <w:t xml:space="preserve"> Minimum follow-up of 3 mo</w:t>
            </w:r>
          </w:p>
        </w:tc>
        <w:tc>
          <w:tcPr>
            <w:tcW w:w="536" w:type="pct"/>
            <w:shd w:val="clear" w:color="auto" w:fill="auto"/>
            <w:hideMark/>
          </w:tcPr>
          <w:p w14:paraId="5C5E262D" w14:textId="05AD365E" w:rsidR="000E33B7" w:rsidRPr="00815C0F" w:rsidRDefault="00312B59"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2/</w:t>
            </w:r>
            <w:r w:rsidR="000E33B7" w:rsidRPr="004A5F47">
              <w:rPr>
                <w:rFonts w:ascii="Book Antiqua" w:hAnsi="Book Antiqua"/>
                <w:color w:val="000000" w:themeColor="text1"/>
                <w:lang w:val="en-US"/>
              </w:rPr>
              <w:t>11 (13.3%)</w:t>
            </w:r>
          </w:p>
        </w:tc>
        <w:tc>
          <w:tcPr>
            <w:tcW w:w="483" w:type="pct"/>
            <w:shd w:val="clear" w:color="auto" w:fill="auto"/>
            <w:hideMark/>
          </w:tcPr>
          <w:p w14:paraId="22EB6F54"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c>
          <w:tcPr>
            <w:tcW w:w="340" w:type="pct"/>
            <w:gridSpan w:val="2"/>
            <w:shd w:val="clear" w:color="auto" w:fill="auto"/>
            <w:hideMark/>
          </w:tcPr>
          <w:p w14:paraId="3D1AC155"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13/</w:t>
            </w:r>
            <w:r w:rsidRPr="004A5F47">
              <w:rPr>
                <w:rFonts w:ascii="Book Antiqua" w:hAnsi="Book Antiqua"/>
                <w:lang w:val="en-US"/>
              </w:rPr>
              <w:t>51 (27.7%)</w:t>
            </w:r>
          </w:p>
        </w:tc>
      </w:tr>
      <w:tr w:rsidR="00560214" w:rsidRPr="004A5F47" w14:paraId="338E1BE9" w14:textId="77777777" w:rsidTr="00D07AA7">
        <w:trPr>
          <w:trHeight w:val="1269"/>
        </w:trPr>
        <w:tc>
          <w:tcPr>
            <w:tcW w:w="504" w:type="pct"/>
            <w:shd w:val="clear" w:color="auto" w:fill="auto"/>
            <w:hideMark/>
          </w:tcPr>
          <w:p w14:paraId="7889F346" w14:textId="13917BA3"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Watson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[33</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rPr>
              <w:t>, 2019</w:t>
            </w:r>
          </w:p>
        </w:tc>
        <w:tc>
          <w:tcPr>
            <w:tcW w:w="327" w:type="pct"/>
            <w:shd w:val="clear" w:color="auto" w:fill="auto"/>
            <w:hideMark/>
          </w:tcPr>
          <w:p w14:paraId="5F46AEE7"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35B0B21B" w14:textId="03B77320"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NRP (43) </w:t>
            </w:r>
            <w:r w:rsidR="003059A4" w:rsidRPr="004A5F47">
              <w:rPr>
                <w:rFonts w:ascii="Book Antiqua" w:hAnsi="Book Antiqua"/>
                <w:i/>
                <w:color w:val="000000" w:themeColor="text1"/>
                <w:lang w:val="en-US"/>
              </w:rPr>
              <w:t>vs</w:t>
            </w:r>
            <w:r w:rsidRPr="004A5F47">
              <w:rPr>
                <w:rFonts w:ascii="Book Antiqua" w:hAnsi="Book Antiqua"/>
                <w:color w:val="000000" w:themeColor="text1"/>
                <w:lang w:val="en-US"/>
              </w:rPr>
              <w:t xml:space="preserve"> SRR (187)</w:t>
            </w:r>
          </w:p>
        </w:tc>
        <w:tc>
          <w:tcPr>
            <w:tcW w:w="484" w:type="pct"/>
            <w:shd w:val="clear" w:color="auto" w:fill="auto"/>
            <w:hideMark/>
          </w:tcPr>
          <w:p w14:paraId="56AD75A5"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DCD</w:t>
            </w:r>
          </w:p>
        </w:tc>
        <w:tc>
          <w:tcPr>
            <w:tcW w:w="416" w:type="pct"/>
            <w:shd w:val="clear" w:color="auto" w:fill="auto"/>
            <w:hideMark/>
          </w:tcPr>
          <w:p w14:paraId="578731DA" w14:textId="53ED3E6A" w:rsidR="000E33B7" w:rsidRPr="00815C0F" w:rsidRDefault="000E33B7" w:rsidP="000B57C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U</w:t>
            </w:r>
            <w:r w:rsidR="003059A4" w:rsidRPr="004A5F47">
              <w:rPr>
                <w:rFonts w:ascii="Book Antiqua" w:hAnsi="Book Antiqua"/>
                <w:color w:val="000000" w:themeColor="text1"/>
                <w:lang w:val="en-US" w:eastAsia="zh-CN"/>
              </w:rPr>
              <w:t xml:space="preserve">nited </w:t>
            </w:r>
            <w:r w:rsidRPr="004A5F47">
              <w:rPr>
                <w:rFonts w:ascii="Book Antiqua" w:hAnsi="Book Antiqua"/>
                <w:color w:val="000000" w:themeColor="text1"/>
                <w:lang w:val="en-US"/>
              </w:rPr>
              <w:t>K</w:t>
            </w:r>
            <w:r w:rsidR="003059A4" w:rsidRPr="004A5F47">
              <w:rPr>
                <w:rFonts w:ascii="Book Antiqua" w:hAnsi="Book Antiqua"/>
                <w:color w:val="000000" w:themeColor="text1"/>
                <w:lang w:val="en-US" w:eastAsia="zh-CN"/>
              </w:rPr>
              <w:t>ingdom</w:t>
            </w:r>
            <w:r w:rsidRPr="004A5F47">
              <w:rPr>
                <w:rFonts w:ascii="Book Antiqua" w:hAnsi="Book Antiqua"/>
                <w:color w:val="000000" w:themeColor="text1"/>
                <w:lang w:val="en-US"/>
              </w:rPr>
              <w:t xml:space="preserve"> protocol</w:t>
            </w:r>
            <w:r w:rsidR="000B57C0" w:rsidRPr="004A5F47">
              <w:rPr>
                <w:rFonts w:ascii="Book Antiqua" w:hAnsi="Book Antiqua"/>
                <w:color w:val="000000" w:themeColor="text1"/>
                <w:vertAlign w:val="superscript"/>
                <w:lang w:val="en-US" w:eastAsia="zh-CN"/>
              </w:rPr>
              <w:t>6</w:t>
            </w:r>
          </w:p>
        </w:tc>
        <w:tc>
          <w:tcPr>
            <w:tcW w:w="1073" w:type="pct"/>
            <w:shd w:val="clear" w:color="auto" w:fill="auto"/>
            <w:hideMark/>
          </w:tcPr>
          <w:p w14:paraId="78905C26" w14:textId="50884200"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 xml:space="preserve">Presence of any non-anastomotic biliary stricture on </w:t>
            </w:r>
            <w:r w:rsidR="00B4289E" w:rsidRPr="004A5F47">
              <w:rPr>
                <w:rFonts w:ascii="Book Antiqua" w:hAnsi="Book Antiqua"/>
                <w:color w:val="000000" w:themeColor="text1"/>
                <w:lang w:val="en-US"/>
              </w:rPr>
              <w:t>ERCP or MRCP</w:t>
            </w:r>
            <w:r w:rsidRPr="004A5F47">
              <w:rPr>
                <w:rFonts w:ascii="Book Antiqua" w:hAnsi="Book Antiqua"/>
                <w:color w:val="000000" w:themeColor="text1"/>
                <w:lang w:val="en-US"/>
              </w:rPr>
              <w:t xml:space="preserve"> in the absence of arterial thrombosis or stenosis</w:t>
            </w:r>
          </w:p>
        </w:tc>
        <w:tc>
          <w:tcPr>
            <w:tcW w:w="478" w:type="pct"/>
            <w:shd w:val="clear" w:color="auto" w:fill="auto"/>
            <w:hideMark/>
          </w:tcPr>
          <w:p w14:paraId="552C037B" w14:textId="41594706"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iCs/>
                <w:color w:val="000000" w:themeColor="text1"/>
                <w:lang w:val="en-US"/>
              </w:rPr>
              <w:t>Up</w:t>
            </w:r>
            <w:r w:rsidR="00312B59" w:rsidRPr="004A5F47">
              <w:rPr>
                <w:rFonts w:ascii="Book Antiqua" w:hAnsi="Book Antiqua"/>
                <w:color w:val="000000" w:themeColor="text1"/>
                <w:lang w:val="en-US"/>
              </w:rPr>
              <w:t xml:space="preserve"> to 5 yr</w:t>
            </w:r>
            <w:r w:rsidRPr="004A5F47">
              <w:rPr>
                <w:rFonts w:ascii="Book Antiqua" w:hAnsi="Book Antiqua"/>
                <w:color w:val="000000" w:themeColor="text1"/>
                <w:lang w:val="en-US"/>
              </w:rPr>
              <w:t xml:space="preserve"> of follow-up</w:t>
            </w:r>
          </w:p>
        </w:tc>
        <w:tc>
          <w:tcPr>
            <w:tcW w:w="536" w:type="pct"/>
            <w:shd w:val="clear" w:color="auto" w:fill="auto"/>
            <w:hideMark/>
          </w:tcPr>
          <w:p w14:paraId="148E7242"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0/42 (0%)</w:t>
            </w:r>
          </w:p>
        </w:tc>
        <w:tc>
          <w:tcPr>
            <w:tcW w:w="483" w:type="pct"/>
            <w:shd w:val="clear" w:color="auto" w:fill="auto"/>
            <w:hideMark/>
          </w:tcPr>
          <w:p w14:paraId="37C20905"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47/</w:t>
            </w:r>
            <w:r w:rsidRPr="004A5F47">
              <w:rPr>
                <w:rFonts w:ascii="Book Antiqua" w:hAnsi="Book Antiqua"/>
                <w:lang w:val="en-US"/>
              </w:rPr>
              <w:t>171 (27%)</w:t>
            </w:r>
          </w:p>
        </w:tc>
        <w:tc>
          <w:tcPr>
            <w:tcW w:w="340" w:type="pct"/>
            <w:gridSpan w:val="2"/>
            <w:shd w:val="clear" w:color="auto" w:fill="auto"/>
            <w:hideMark/>
          </w:tcPr>
          <w:p w14:paraId="29E0E3C1"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r>
      <w:tr w:rsidR="00560214" w:rsidRPr="004A5F47" w14:paraId="061F6C9C" w14:textId="77777777" w:rsidTr="00D07AA7">
        <w:trPr>
          <w:trHeight w:val="682"/>
        </w:trPr>
        <w:tc>
          <w:tcPr>
            <w:tcW w:w="504" w:type="pct"/>
            <w:shd w:val="clear" w:color="auto" w:fill="auto"/>
            <w:hideMark/>
          </w:tcPr>
          <w:p w14:paraId="6DD18758" w14:textId="49C64E72"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lastRenderedPageBreak/>
              <w:t xml:space="preserve">De Carlis </w:t>
            </w:r>
            <w:r w:rsidRPr="004A5F47">
              <w:rPr>
                <w:rFonts w:ascii="Book Antiqua" w:hAnsi="Book Antiqua"/>
                <w:i/>
                <w:color w:val="000000" w:themeColor="text1"/>
                <w:lang w:val="en-US"/>
              </w:rPr>
              <w:t xml:space="preserve">et </w:t>
            </w:r>
            <w:r w:rsidRPr="004A5F47">
              <w:rPr>
                <w:rFonts w:ascii="Book Antiqua" w:hAnsi="Book Antiqua"/>
                <w:i/>
                <w:lang w:val="en-US"/>
              </w:rPr>
              <w:t>al</w:t>
            </w:r>
            <w:r w:rsidRPr="004A5F47">
              <w:rPr>
                <w:rFonts w:ascii="Book Antiqua" w:hAnsi="Book Antiqua"/>
                <w:color w:val="000000" w:themeColor="text1"/>
                <w:vertAlign w:val="superscript"/>
                <w:lang w:val="en-US"/>
              </w:rPr>
              <w:t>[38</w:t>
            </w:r>
            <w:r w:rsidRPr="004A5F47">
              <w:rPr>
                <w:rFonts w:ascii="Book Antiqua" w:hAnsi="Book Antiqua"/>
                <w:color w:val="000000" w:themeColor="text1"/>
                <w:vertAlign w:val="superscript"/>
                <w:lang w:val="en-US" w:eastAsia="zh-CN"/>
              </w:rPr>
              <w:t>]</w:t>
            </w:r>
            <w:r w:rsidRPr="004A5F47">
              <w:rPr>
                <w:rFonts w:ascii="Book Antiqua" w:hAnsi="Book Antiqua"/>
                <w:lang w:val="en-US"/>
              </w:rPr>
              <w:t>, 2018</w:t>
            </w:r>
          </w:p>
        </w:tc>
        <w:tc>
          <w:tcPr>
            <w:tcW w:w="327" w:type="pct"/>
            <w:shd w:val="clear" w:color="auto" w:fill="auto"/>
            <w:hideMark/>
          </w:tcPr>
          <w:p w14:paraId="1A4222AC"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Cohort</w:t>
            </w:r>
          </w:p>
        </w:tc>
        <w:tc>
          <w:tcPr>
            <w:tcW w:w="359" w:type="pct"/>
            <w:shd w:val="clear" w:color="auto" w:fill="auto"/>
            <w:hideMark/>
          </w:tcPr>
          <w:p w14:paraId="7638E2F1" w14:textId="2BE28830" w:rsidR="000E33B7" w:rsidRPr="00815C0F" w:rsidRDefault="003059A4"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NRP (20) </w:t>
            </w:r>
            <w:r w:rsidRPr="004A5F47">
              <w:rPr>
                <w:rFonts w:ascii="Book Antiqua" w:hAnsi="Book Antiqua"/>
                <w:i/>
                <w:color w:val="000000" w:themeColor="text1"/>
                <w:lang w:val="en-US"/>
              </w:rPr>
              <w:t>vs</w:t>
            </w:r>
            <w:r w:rsidR="000E33B7" w:rsidRPr="004A5F47">
              <w:rPr>
                <w:rFonts w:ascii="Book Antiqua" w:hAnsi="Book Antiqua"/>
                <w:color w:val="000000" w:themeColor="text1"/>
                <w:lang w:val="en-US"/>
              </w:rPr>
              <w:t xml:space="preserve"> DBD ECMO SCS </w:t>
            </w:r>
            <w:r w:rsidR="000E33B7" w:rsidRPr="004A5F47">
              <w:rPr>
                <w:rFonts w:ascii="Book Antiqua" w:hAnsi="Book Antiqua"/>
                <w:lang w:val="en-US"/>
              </w:rPr>
              <w:t xml:space="preserve">(17) </w:t>
            </w:r>
            <w:r w:rsidRPr="004A5F47">
              <w:rPr>
                <w:rFonts w:ascii="Book Antiqua" w:hAnsi="Book Antiqua"/>
                <w:i/>
                <w:color w:val="000000" w:themeColor="text1"/>
                <w:lang w:val="en-US"/>
              </w:rPr>
              <w:t>vs</w:t>
            </w:r>
            <w:r w:rsidR="000E33B7" w:rsidRPr="004A5F47">
              <w:rPr>
                <w:rFonts w:ascii="Book Antiqua" w:hAnsi="Book Antiqua"/>
                <w:lang w:val="en-US"/>
              </w:rPr>
              <w:t xml:space="preserve"> DBD non-ECMO SCS (52)</w:t>
            </w:r>
          </w:p>
        </w:tc>
        <w:tc>
          <w:tcPr>
            <w:tcW w:w="484" w:type="pct"/>
            <w:shd w:val="clear" w:color="auto" w:fill="auto"/>
            <w:hideMark/>
          </w:tcPr>
          <w:p w14:paraId="7F673C2C" w14:textId="4AD327F2"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DBD-ECMO </w:t>
            </w:r>
            <w:r w:rsidRPr="004A5F47">
              <w:rPr>
                <w:rFonts w:ascii="Book Antiqua" w:hAnsi="Book Antiqua"/>
                <w:lang w:val="en-US"/>
              </w:rPr>
              <w:t>DBD-non-ECMO</w:t>
            </w:r>
          </w:p>
        </w:tc>
        <w:tc>
          <w:tcPr>
            <w:tcW w:w="416" w:type="pct"/>
            <w:shd w:val="clear" w:color="auto" w:fill="auto"/>
            <w:hideMark/>
          </w:tcPr>
          <w:p w14:paraId="367C5128" w14:textId="052251A8" w:rsidR="000E33B7" w:rsidRPr="00815C0F" w:rsidRDefault="000E33B7" w:rsidP="000B57C0">
            <w:pPr>
              <w:pStyle w:val="EndNoteBibliography"/>
              <w:spacing w:line="360" w:lineRule="auto"/>
              <w:jc w:val="both"/>
              <w:rPr>
                <w:rFonts w:ascii="Book Antiqua" w:hAnsi="Book Antiqua"/>
                <w:color w:val="000000" w:themeColor="text1"/>
                <w:lang w:val="en-US" w:eastAsia="zh-CN"/>
              </w:rPr>
            </w:pPr>
            <w:r w:rsidRPr="004A5F47">
              <w:rPr>
                <w:rFonts w:ascii="Book Antiqua" w:hAnsi="Book Antiqua"/>
                <w:color w:val="000000" w:themeColor="text1"/>
                <w:lang w:val="en-US"/>
              </w:rPr>
              <w:t>Italy protocol</w:t>
            </w:r>
            <w:r w:rsidR="000B57C0" w:rsidRPr="004A5F47">
              <w:rPr>
                <w:rFonts w:ascii="Book Antiqua" w:hAnsi="Book Antiqua"/>
                <w:color w:val="000000" w:themeColor="text1"/>
                <w:vertAlign w:val="superscript"/>
                <w:lang w:val="en-US" w:eastAsia="zh-CN"/>
              </w:rPr>
              <w:t>9</w:t>
            </w:r>
          </w:p>
        </w:tc>
        <w:tc>
          <w:tcPr>
            <w:tcW w:w="1073" w:type="pct"/>
            <w:shd w:val="clear" w:color="auto" w:fill="auto"/>
            <w:hideMark/>
          </w:tcPr>
          <w:p w14:paraId="5A423808" w14:textId="0CB4B15E" w:rsidR="000E33B7" w:rsidRPr="00815C0F" w:rsidRDefault="000E33B7" w:rsidP="00265460">
            <w:pPr>
              <w:pStyle w:val="EndNoteBibliography"/>
              <w:spacing w:line="360" w:lineRule="auto"/>
              <w:jc w:val="both"/>
              <w:rPr>
                <w:rFonts w:ascii="Book Antiqua" w:hAnsi="Book Antiqua"/>
                <w:lang w:val="en-US" w:eastAsia="zh-CN"/>
              </w:rPr>
            </w:pPr>
            <w:r w:rsidRPr="004A5F47">
              <w:rPr>
                <w:rFonts w:ascii="Book Antiqua" w:hAnsi="Book Antiqua"/>
                <w:color w:val="000000" w:themeColor="text1"/>
                <w:lang w:val="en-US"/>
              </w:rPr>
              <w:t xml:space="preserve">Strictures, irregularities, or dilatations of the intrahepatic bile duct. Isolated anastomotic biliary strictures were not included </w:t>
            </w:r>
            <w:r w:rsidRPr="004A5F47">
              <w:rPr>
                <w:rFonts w:ascii="Book Antiqua" w:hAnsi="Book Antiqua"/>
                <w:lang w:val="en-US"/>
              </w:rPr>
              <w:t>in the definition of IC. The diagnosis of IC was confirmed with at least 1 adequate imaging study of the biliary tree, and concomitant hepatic artery thrombosis was excluded by Doppler ultrasound or computed tomography</w:t>
            </w:r>
          </w:p>
        </w:tc>
        <w:tc>
          <w:tcPr>
            <w:tcW w:w="478" w:type="pct"/>
            <w:shd w:val="clear" w:color="auto" w:fill="auto"/>
            <w:hideMark/>
          </w:tcPr>
          <w:p w14:paraId="396C7634" w14:textId="48DCC8E8" w:rsidR="000E33B7" w:rsidRPr="00815C0F" w:rsidRDefault="003059A4"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Median-</w:t>
            </w:r>
            <w:r w:rsidR="000E33B7" w:rsidRPr="004A5F47">
              <w:rPr>
                <w:rFonts w:ascii="Book Antiqua" w:hAnsi="Book Antiqua"/>
                <w:color w:val="000000" w:themeColor="text1"/>
                <w:lang w:val="en-US"/>
              </w:rPr>
              <w:t>14 mo</w:t>
            </w:r>
            <w:r w:rsidRPr="004A5F47">
              <w:rPr>
                <w:rFonts w:ascii="Book Antiqua" w:hAnsi="Book Antiqua"/>
                <w:color w:val="000000" w:themeColor="text1"/>
                <w:lang w:val="en-US"/>
              </w:rPr>
              <w:t xml:space="preserve"> </w:t>
            </w:r>
            <w:r w:rsidR="000E33B7" w:rsidRPr="004A5F47">
              <w:rPr>
                <w:rFonts w:ascii="Book Antiqua" w:hAnsi="Book Antiqua"/>
                <w:color w:val="000000" w:themeColor="text1"/>
                <w:lang w:val="en-US"/>
              </w:rPr>
              <w:t>(cDCD),</w:t>
            </w:r>
            <w:r w:rsidR="000E33B7" w:rsidRPr="004A5F47">
              <w:rPr>
                <w:rFonts w:ascii="Book Antiqua" w:hAnsi="Book Antiqua"/>
                <w:lang w:val="en-US"/>
              </w:rPr>
              <w:t xml:space="preserve"> 20 mo (DBD-ECMO) and 17 mo (DBD-non-ECMO) </w:t>
            </w:r>
          </w:p>
        </w:tc>
        <w:tc>
          <w:tcPr>
            <w:tcW w:w="536" w:type="pct"/>
            <w:shd w:val="clear" w:color="auto" w:fill="auto"/>
            <w:hideMark/>
          </w:tcPr>
          <w:p w14:paraId="10FF86EE"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2/20 (10%)</w:t>
            </w:r>
          </w:p>
        </w:tc>
        <w:tc>
          <w:tcPr>
            <w:tcW w:w="483" w:type="pct"/>
            <w:shd w:val="clear" w:color="auto" w:fill="auto"/>
            <w:noWrap/>
            <w:hideMark/>
          </w:tcPr>
          <w:p w14:paraId="35E80A5D" w14:textId="77777777" w:rsidR="000E33B7" w:rsidRPr="00815C0F" w:rsidRDefault="000E33B7" w:rsidP="00265460">
            <w:pPr>
              <w:pStyle w:val="EndNoteBibliography"/>
              <w:spacing w:line="360" w:lineRule="auto"/>
              <w:jc w:val="both"/>
              <w:rPr>
                <w:rFonts w:ascii="Book Antiqua" w:hAnsi="Book Antiqua"/>
                <w:color w:val="000000" w:themeColor="text1"/>
                <w:lang w:val="en-US"/>
              </w:rPr>
            </w:pPr>
            <w:r w:rsidRPr="004A5F47">
              <w:rPr>
                <w:rFonts w:ascii="Book Antiqua" w:hAnsi="Book Antiqua"/>
                <w:color w:val="000000" w:themeColor="text1"/>
                <w:lang w:val="en-US"/>
              </w:rPr>
              <w:t>NA</w:t>
            </w:r>
          </w:p>
        </w:tc>
        <w:tc>
          <w:tcPr>
            <w:tcW w:w="340" w:type="pct"/>
            <w:gridSpan w:val="2"/>
            <w:shd w:val="clear" w:color="auto" w:fill="auto"/>
            <w:hideMark/>
          </w:tcPr>
          <w:p w14:paraId="21E26A94"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DBD-ECMO </w:t>
            </w:r>
            <w:r w:rsidRPr="004A5F47">
              <w:rPr>
                <w:rFonts w:ascii="Book Antiqua" w:hAnsi="Book Antiqua"/>
                <w:lang w:val="en-US"/>
              </w:rPr>
              <w:t>0/17 0%; DBD-non-ECMO 2/52 (4%)</w:t>
            </w:r>
          </w:p>
        </w:tc>
      </w:tr>
    </w:tbl>
    <w:p w14:paraId="1DDBD2D4" w14:textId="77777777" w:rsidR="005A2D5B" w:rsidRPr="004A5F47" w:rsidRDefault="005A2D5B" w:rsidP="00265460">
      <w:pPr>
        <w:pStyle w:val="EndNoteBibliography"/>
        <w:spacing w:line="360" w:lineRule="auto"/>
        <w:jc w:val="both"/>
        <w:rPr>
          <w:rFonts w:ascii="Book Antiqua" w:hAnsi="Book Antiqua" w:cs="Times New Roman"/>
          <w:vertAlign w:val="superscript"/>
          <w:lang w:eastAsia="zh-CN"/>
        </w:rPr>
      </w:pPr>
    </w:p>
    <w:p w14:paraId="4E843628" w14:textId="67905957" w:rsidR="000E33B7" w:rsidRPr="004A5F47" w:rsidRDefault="000B57C0" w:rsidP="00265460">
      <w:pPr>
        <w:pStyle w:val="EndNoteBibliography"/>
        <w:spacing w:line="360" w:lineRule="auto"/>
        <w:jc w:val="both"/>
        <w:rPr>
          <w:rFonts w:ascii="Book Antiqua" w:hAnsi="Book Antiqua" w:cs="Times New Roman"/>
          <w:lang w:eastAsia="zh-CN"/>
        </w:rPr>
      </w:pPr>
      <w:r w:rsidRPr="004A5F47">
        <w:rPr>
          <w:rFonts w:ascii="Book Antiqua" w:hAnsi="Book Antiqua" w:cs="Times New Roman"/>
          <w:vertAlign w:val="superscript"/>
          <w:lang w:eastAsia="zh-CN"/>
        </w:rPr>
        <w:t>1</w:t>
      </w:r>
      <w:r w:rsidRPr="004A5F47">
        <w:rPr>
          <w:rFonts w:ascii="Book Antiqua" w:hAnsi="Book Antiqua" w:cs="Times New Roman"/>
        </w:rPr>
        <w:t xml:space="preserve">For logistic reasons, 5 patients received additional consecutive dual hypothermic machine perfusion (DHOPE) anticipating a longer </w:t>
      </w:r>
      <w:r w:rsidR="009D6F57" w:rsidRPr="004A5F47">
        <w:rPr>
          <w:rFonts w:ascii="Book Antiqua" w:eastAsia="Book Antiqua" w:hAnsi="Book Antiqua" w:cs="Book Antiqua"/>
          <w:color w:val="000000"/>
        </w:rPr>
        <w:t>cold ischemia time (</w:t>
      </w:r>
      <w:r w:rsidRPr="004A5F47">
        <w:rPr>
          <w:rFonts w:ascii="Book Antiqua" w:hAnsi="Book Antiqua" w:cs="Times New Roman"/>
        </w:rPr>
        <w:t>CIT</w:t>
      </w:r>
      <w:r w:rsidR="009D6F57" w:rsidRPr="004A5F47">
        <w:rPr>
          <w:rFonts w:ascii="Book Antiqua" w:hAnsi="Book Antiqua" w:cs="Times New Roman"/>
        </w:rPr>
        <w:t>)</w:t>
      </w:r>
      <w:r w:rsidRPr="004A5F47">
        <w:rPr>
          <w:rFonts w:ascii="Book Antiqua" w:hAnsi="Book Antiqua" w:cs="Times New Roman"/>
        </w:rPr>
        <w:t xml:space="preserve"> due to difficulties in recipient hepatectomy</w:t>
      </w:r>
      <w:r w:rsidR="00517ECE" w:rsidRPr="004A5F47">
        <w:rPr>
          <w:rFonts w:ascii="Book Antiqua" w:hAnsi="Book Antiqua" w:cs="Times New Roman"/>
          <w:lang w:eastAsia="zh-CN"/>
        </w:rPr>
        <w:t xml:space="preserve">; </w:t>
      </w:r>
      <w:r w:rsidRPr="004A5F47">
        <w:rPr>
          <w:rFonts w:ascii="Book Antiqua" w:hAnsi="Book Antiqua" w:cs="Times New Roman"/>
          <w:vertAlign w:val="superscript"/>
          <w:lang w:eastAsia="zh-CN"/>
        </w:rPr>
        <w:t>2</w:t>
      </w:r>
      <w:r w:rsidR="005A2D5B" w:rsidRPr="004A5F47">
        <w:rPr>
          <w:rFonts w:ascii="Book Antiqua" w:hAnsi="Book Antiqua" w:cs="Times New Roman"/>
        </w:rPr>
        <w:t>Viability criteria used: Assessment 60 min of perfusion, with stable alanine transaminase (ALT) levels &lt;</w:t>
      </w:r>
      <w:r w:rsidR="005A2D5B" w:rsidRPr="004A5F47">
        <w:rPr>
          <w:rFonts w:ascii="Book Antiqua" w:hAnsi="Book Antiqua" w:cs="Times New Roman"/>
          <w:lang w:eastAsia="zh-CN"/>
        </w:rPr>
        <w:t xml:space="preserve"> </w:t>
      </w:r>
      <w:r w:rsidR="005A2D5B" w:rsidRPr="004A5F47">
        <w:rPr>
          <w:rFonts w:ascii="Book Antiqua" w:hAnsi="Book Antiqua" w:cs="Times New Roman"/>
        </w:rPr>
        <w:t>200</w:t>
      </w:r>
      <w:r w:rsidR="005A2D5B" w:rsidRPr="004A5F47">
        <w:rPr>
          <w:rFonts w:ascii="Book Antiqua" w:hAnsi="Book Antiqua" w:cs="Times New Roman"/>
          <w:lang w:eastAsia="zh-CN"/>
        </w:rPr>
        <w:t xml:space="preserve"> </w:t>
      </w:r>
      <w:r w:rsidR="005A2D5B" w:rsidRPr="004A5F47">
        <w:rPr>
          <w:rFonts w:ascii="Book Antiqua" w:hAnsi="Book Antiqua" w:cs="Times New Roman"/>
        </w:rPr>
        <w:t>U/L, a plasma glucose peak &gt;</w:t>
      </w:r>
      <w:r w:rsidR="005A2D5B" w:rsidRPr="004A5F47">
        <w:rPr>
          <w:rFonts w:ascii="Book Antiqua" w:hAnsi="Book Antiqua" w:cs="Times New Roman"/>
          <w:lang w:eastAsia="zh-CN"/>
        </w:rPr>
        <w:t xml:space="preserve"> </w:t>
      </w:r>
      <w:r w:rsidR="005A2D5B" w:rsidRPr="004A5F47">
        <w:rPr>
          <w:rFonts w:ascii="Book Antiqua" w:hAnsi="Book Antiqua" w:cs="Times New Roman"/>
        </w:rPr>
        <w:t>10</w:t>
      </w:r>
      <w:r w:rsidR="005A2D5B" w:rsidRPr="004A5F47">
        <w:rPr>
          <w:rFonts w:ascii="Book Antiqua" w:hAnsi="Book Antiqua" w:cs="Times New Roman"/>
          <w:lang w:eastAsia="zh-CN"/>
        </w:rPr>
        <w:t xml:space="preserve"> </w:t>
      </w:r>
      <w:r w:rsidR="005A2D5B" w:rsidRPr="004A5F47">
        <w:rPr>
          <w:rFonts w:ascii="Book Antiqua" w:hAnsi="Book Antiqua" w:cs="Times New Roman"/>
        </w:rPr>
        <w:t>mmol/L, and decreasing lactate level, around &lt;</w:t>
      </w:r>
      <w:r w:rsidR="005A2D5B" w:rsidRPr="004A5F47">
        <w:rPr>
          <w:rFonts w:ascii="Book Antiqua" w:hAnsi="Book Antiqua" w:cs="Times New Roman"/>
          <w:lang w:eastAsia="zh-CN"/>
        </w:rPr>
        <w:t xml:space="preserve"> </w:t>
      </w:r>
      <w:r w:rsidR="005A2D5B" w:rsidRPr="004A5F47">
        <w:rPr>
          <w:rFonts w:ascii="Book Antiqua" w:hAnsi="Book Antiqua" w:cs="Times New Roman"/>
        </w:rPr>
        <w:t>5</w:t>
      </w:r>
      <w:r w:rsidR="005A2D5B" w:rsidRPr="004A5F47">
        <w:rPr>
          <w:rFonts w:ascii="Book Antiqua" w:hAnsi="Book Antiqua" w:cs="Times New Roman"/>
          <w:lang w:eastAsia="zh-CN"/>
        </w:rPr>
        <w:t xml:space="preserve"> </w:t>
      </w:r>
      <w:r w:rsidR="005A2D5B" w:rsidRPr="004A5F47">
        <w:rPr>
          <w:rFonts w:ascii="Book Antiqua" w:hAnsi="Book Antiqua" w:cs="Times New Roman"/>
        </w:rPr>
        <w:t>mmol/L. Adequate bile quality was defined as a pH &gt;</w:t>
      </w:r>
      <w:r w:rsidR="005A2D5B" w:rsidRPr="004A5F47">
        <w:rPr>
          <w:rFonts w:ascii="Book Antiqua" w:hAnsi="Book Antiqua" w:cs="Times New Roman"/>
          <w:lang w:eastAsia="zh-CN"/>
        </w:rPr>
        <w:t xml:space="preserve"> </w:t>
      </w:r>
      <w:r w:rsidR="005A2D5B" w:rsidRPr="004A5F47">
        <w:rPr>
          <w:rFonts w:ascii="Book Antiqua" w:hAnsi="Book Antiqua" w:cs="Times New Roman"/>
        </w:rPr>
        <w:t>7.45 and glucose &lt;</w:t>
      </w:r>
      <w:r w:rsidR="005A2D5B" w:rsidRPr="004A5F47">
        <w:rPr>
          <w:rFonts w:ascii="Book Antiqua" w:hAnsi="Book Antiqua" w:cs="Times New Roman"/>
          <w:lang w:eastAsia="zh-CN"/>
        </w:rPr>
        <w:t xml:space="preserve"> </w:t>
      </w:r>
      <w:r w:rsidR="005A2D5B" w:rsidRPr="004A5F47">
        <w:rPr>
          <w:rFonts w:ascii="Book Antiqua" w:hAnsi="Book Antiqua" w:cs="Times New Roman"/>
        </w:rPr>
        <w:t>3.0</w:t>
      </w:r>
      <w:r w:rsidR="005A2D5B" w:rsidRPr="004A5F47">
        <w:rPr>
          <w:rFonts w:ascii="Book Antiqua" w:hAnsi="Book Antiqua" w:cs="Times New Roman"/>
          <w:lang w:eastAsia="zh-CN"/>
        </w:rPr>
        <w:t xml:space="preserve"> </w:t>
      </w:r>
      <w:r w:rsidR="005A2D5B" w:rsidRPr="004A5F47">
        <w:rPr>
          <w:rFonts w:ascii="Book Antiqua" w:hAnsi="Book Antiqua" w:cs="Times New Roman"/>
        </w:rPr>
        <w:t xml:space="preserve">mmol/L. Macroscopy </w:t>
      </w:r>
      <w:r w:rsidR="005A2D5B" w:rsidRPr="004A5F47">
        <w:rPr>
          <w:rFonts w:ascii="Book Antiqua" w:hAnsi="Book Antiqua" w:cs="Times New Roman"/>
        </w:rPr>
        <w:lastRenderedPageBreak/>
        <w:t>of the liver did not influence. Postmortem cannulation. 5 No touch period. No antemortem interventions are allowed in Netherlands</w:t>
      </w:r>
      <w:r w:rsidR="00517ECE" w:rsidRPr="004A5F47">
        <w:rPr>
          <w:rFonts w:ascii="Book Antiqua" w:hAnsi="Book Antiqua" w:cs="Times New Roman"/>
        </w:rPr>
        <w:t xml:space="preserve">; </w:t>
      </w:r>
      <w:r w:rsidRPr="004A5F47">
        <w:rPr>
          <w:rFonts w:ascii="Book Antiqua" w:hAnsi="Book Antiqua" w:cs="Times New Roman"/>
          <w:vertAlign w:val="superscript"/>
          <w:lang w:eastAsia="zh-CN"/>
        </w:rPr>
        <w:t>3</w:t>
      </w:r>
      <w:r w:rsidR="000C1E17" w:rsidRPr="004A5F47">
        <w:rPr>
          <w:rFonts w:ascii="Book Antiqua" w:hAnsi="Book Antiqua" w:cs="Times New Roman"/>
        </w:rPr>
        <w:t xml:space="preserve">Normothermic Regional Perfusion </w:t>
      </w:r>
      <w:r w:rsidR="000C1E17" w:rsidRPr="004A5F47">
        <w:rPr>
          <w:rFonts w:ascii="Book Antiqua" w:hAnsi="Book Antiqua" w:cs="Times New Roman"/>
          <w:lang w:eastAsia="zh-CN"/>
        </w:rPr>
        <w:t>(</w:t>
      </w:r>
      <w:r w:rsidR="000C1E17" w:rsidRPr="004A5F47">
        <w:rPr>
          <w:rFonts w:ascii="Book Antiqua" w:hAnsi="Book Antiqua" w:cs="Times New Roman"/>
        </w:rPr>
        <w:t>NRP</w:t>
      </w:r>
      <w:r w:rsidR="000C1E17" w:rsidRPr="004A5F47">
        <w:rPr>
          <w:rFonts w:ascii="Book Antiqua" w:hAnsi="Book Antiqua" w:cs="Times New Roman"/>
          <w:lang w:eastAsia="zh-CN"/>
        </w:rPr>
        <w:t>)</w:t>
      </w:r>
      <w:r w:rsidRPr="004A5F47">
        <w:rPr>
          <w:rFonts w:ascii="Book Antiqua" w:hAnsi="Book Antiqua" w:cs="Times New Roman"/>
          <w:lang w:eastAsia="zh-CN"/>
        </w:rPr>
        <w:t xml:space="preserve"> </w:t>
      </w:r>
      <w:r w:rsidRPr="004A5F47">
        <w:rPr>
          <w:rFonts w:ascii="Book Antiqua" w:hAnsi="Book Antiqua" w:cs="Times New Roman"/>
        </w:rPr>
        <w:t>+</w:t>
      </w:r>
      <w:r w:rsidRPr="004A5F47">
        <w:rPr>
          <w:rFonts w:ascii="Book Antiqua" w:hAnsi="Book Antiqua" w:cs="Times New Roman"/>
          <w:lang w:eastAsia="zh-CN"/>
        </w:rPr>
        <w:t xml:space="preserve"> </w:t>
      </w:r>
      <w:r w:rsidRPr="004A5F47">
        <w:rPr>
          <w:rFonts w:ascii="Book Antiqua" w:hAnsi="Book Antiqua" w:cs="Times New Roman"/>
        </w:rPr>
        <w:t>DHOPE patients</w:t>
      </w:r>
      <w:r w:rsidR="00517ECE" w:rsidRPr="004A5F47">
        <w:rPr>
          <w:rFonts w:ascii="Book Antiqua" w:hAnsi="Book Antiqua" w:cs="Times New Roman"/>
        </w:rPr>
        <w:t xml:space="preserve">; </w:t>
      </w:r>
      <w:r w:rsidRPr="004A5F47">
        <w:rPr>
          <w:rFonts w:ascii="Book Antiqua" w:hAnsi="Book Antiqua" w:cs="Times New Roman"/>
          <w:vertAlign w:val="superscript"/>
          <w:lang w:eastAsia="zh-CN"/>
        </w:rPr>
        <w:t>4</w:t>
      </w:r>
      <w:r w:rsidR="005A306E" w:rsidRPr="004A5F47">
        <w:rPr>
          <w:rFonts w:ascii="Book Antiqua" w:hAnsi="Book Antiqua" w:cs="Times New Roman"/>
        </w:rPr>
        <w:t xml:space="preserve">Viability criteria used: </w:t>
      </w:r>
      <w:r w:rsidR="005A306E" w:rsidRPr="004A5F47">
        <w:rPr>
          <w:rFonts w:ascii="Book Antiqua" w:hAnsi="Book Antiqua" w:cs="Times New Roman"/>
          <w:lang w:eastAsia="zh-CN"/>
        </w:rPr>
        <w:t>(</w:t>
      </w:r>
      <w:r w:rsidR="005A306E" w:rsidRPr="004A5F47">
        <w:rPr>
          <w:rFonts w:ascii="Book Antiqua" w:hAnsi="Book Antiqua" w:cs="Times New Roman"/>
        </w:rPr>
        <w:t xml:space="preserve">1) </w:t>
      </w:r>
      <w:r w:rsidR="009D6F57" w:rsidRPr="004A5F47">
        <w:rPr>
          <w:rFonts w:ascii="Book Antiqua" w:hAnsi="Book Antiqua" w:cs="Times New Roman"/>
        </w:rPr>
        <w:t>s</w:t>
      </w:r>
      <w:r w:rsidR="005A306E" w:rsidRPr="004A5F47">
        <w:rPr>
          <w:rFonts w:ascii="Book Antiqua" w:hAnsi="Book Antiqua" w:cs="Times New Roman"/>
        </w:rPr>
        <w:t xml:space="preserve">erum </w:t>
      </w:r>
      <w:r w:rsidR="00F06124" w:rsidRPr="004A5F47">
        <w:rPr>
          <w:rFonts w:ascii="Book Antiqua" w:hAnsi="Book Antiqua" w:cs="Times New Roman"/>
        </w:rPr>
        <w:t>ALT</w:t>
      </w:r>
      <w:r w:rsidR="005A306E" w:rsidRPr="004A5F47">
        <w:rPr>
          <w:rFonts w:ascii="Book Antiqua" w:hAnsi="Book Antiqua" w:cs="Times New Roman"/>
        </w:rPr>
        <w:t xml:space="preserve"> &lt;</w:t>
      </w:r>
      <w:r w:rsidR="005A306E" w:rsidRPr="004A5F47">
        <w:rPr>
          <w:rFonts w:ascii="Book Antiqua" w:hAnsi="Book Antiqua" w:cs="Times New Roman"/>
          <w:lang w:eastAsia="zh-CN"/>
        </w:rPr>
        <w:t xml:space="preserve"> </w:t>
      </w:r>
      <w:r w:rsidR="005A306E" w:rsidRPr="004A5F47">
        <w:rPr>
          <w:rFonts w:ascii="Book Antiqua" w:hAnsi="Book Antiqua" w:cs="Times New Roman"/>
        </w:rPr>
        <w:t>1000 IU/L at the end of NRP</w:t>
      </w:r>
      <w:r w:rsidR="005A306E" w:rsidRPr="004A5F47">
        <w:rPr>
          <w:rFonts w:ascii="Book Antiqua" w:hAnsi="Book Antiqua" w:cs="Times New Roman"/>
          <w:lang w:eastAsia="zh-CN"/>
        </w:rPr>
        <w:t>;</w:t>
      </w:r>
      <w:r w:rsidR="005A306E" w:rsidRPr="004A5F47">
        <w:rPr>
          <w:rFonts w:ascii="Book Antiqua" w:hAnsi="Book Antiqua" w:cs="Times New Roman"/>
        </w:rPr>
        <w:t xml:space="preserve"> </w:t>
      </w:r>
      <w:r w:rsidR="005A306E" w:rsidRPr="004A5F47">
        <w:rPr>
          <w:rFonts w:ascii="Book Antiqua" w:hAnsi="Book Antiqua" w:cs="Times New Roman"/>
          <w:lang w:eastAsia="zh-CN"/>
        </w:rPr>
        <w:t>(</w:t>
      </w:r>
      <w:r w:rsidR="005A306E" w:rsidRPr="004A5F47">
        <w:rPr>
          <w:rFonts w:ascii="Book Antiqua" w:hAnsi="Book Antiqua" w:cs="Times New Roman"/>
        </w:rPr>
        <w:t xml:space="preserve">2) </w:t>
      </w:r>
      <w:r w:rsidR="009D6F57" w:rsidRPr="004A5F47">
        <w:rPr>
          <w:rFonts w:ascii="Book Antiqua" w:hAnsi="Book Antiqua" w:cs="Times New Roman"/>
        </w:rPr>
        <w:t>m</w:t>
      </w:r>
      <w:r w:rsidR="005A306E" w:rsidRPr="004A5F47">
        <w:rPr>
          <w:rFonts w:ascii="Book Antiqua" w:hAnsi="Book Antiqua" w:cs="Times New Roman"/>
        </w:rPr>
        <w:t>acroscopic appearance</w:t>
      </w:r>
      <w:r w:rsidR="005A306E" w:rsidRPr="004A5F47">
        <w:rPr>
          <w:rFonts w:ascii="Book Antiqua" w:hAnsi="Book Antiqua" w:cs="Times New Roman"/>
          <w:lang w:eastAsia="zh-CN"/>
        </w:rPr>
        <w:t>;</w:t>
      </w:r>
      <w:r w:rsidR="005A306E" w:rsidRPr="004A5F47">
        <w:rPr>
          <w:rFonts w:ascii="Book Antiqua" w:hAnsi="Book Antiqua" w:cs="Times New Roman"/>
        </w:rPr>
        <w:t xml:space="preserve"> </w:t>
      </w:r>
      <w:r w:rsidR="005A306E" w:rsidRPr="004A5F47">
        <w:rPr>
          <w:rFonts w:ascii="Book Antiqua" w:hAnsi="Book Antiqua" w:cs="Times New Roman"/>
          <w:lang w:eastAsia="zh-CN"/>
        </w:rPr>
        <w:t>(</w:t>
      </w:r>
      <w:r w:rsidR="005A306E" w:rsidRPr="004A5F47">
        <w:rPr>
          <w:rFonts w:ascii="Book Antiqua" w:hAnsi="Book Antiqua" w:cs="Times New Roman"/>
        </w:rPr>
        <w:t xml:space="preserve">3) </w:t>
      </w:r>
      <w:r w:rsidR="009D6F57" w:rsidRPr="004A5F47">
        <w:rPr>
          <w:rFonts w:ascii="Book Antiqua" w:hAnsi="Book Antiqua" w:cs="Times New Roman"/>
        </w:rPr>
        <w:t>d</w:t>
      </w:r>
      <w:r w:rsidR="005A306E" w:rsidRPr="004A5F47">
        <w:rPr>
          <w:rFonts w:ascii="Book Antiqua" w:hAnsi="Book Antiqua" w:cs="Times New Roman"/>
        </w:rPr>
        <w:t>ecrease in lactate levels</w:t>
      </w:r>
      <w:r w:rsidR="005A306E" w:rsidRPr="004A5F47">
        <w:rPr>
          <w:rFonts w:ascii="Book Antiqua" w:hAnsi="Book Antiqua" w:cs="Times New Roman"/>
          <w:lang w:eastAsia="zh-CN"/>
        </w:rPr>
        <w:t>;</w:t>
      </w:r>
      <w:r w:rsidR="005A306E" w:rsidRPr="004A5F47">
        <w:rPr>
          <w:rFonts w:ascii="Book Antiqua" w:hAnsi="Book Antiqua" w:cs="Times New Roman"/>
        </w:rPr>
        <w:t xml:space="preserve"> and </w:t>
      </w:r>
      <w:r w:rsidR="005A306E" w:rsidRPr="004A5F47">
        <w:rPr>
          <w:rFonts w:ascii="Book Antiqua" w:hAnsi="Book Antiqua" w:cs="Times New Roman"/>
          <w:lang w:eastAsia="zh-CN"/>
        </w:rPr>
        <w:t>(</w:t>
      </w:r>
      <w:r w:rsidR="005A306E" w:rsidRPr="004A5F47">
        <w:rPr>
          <w:rFonts w:ascii="Book Antiqua" w:hAnsi="Book Antiqua" w:cs="Times New Roman"/>
        </w:rPr>
        <w:t xml:space="preserve">4) </w:t>
      </w:r>
      <w:r w:rsidR="009D6F57" w:rsidRPr="004A5F47">
        <w:rPr>
          <w:rFonts w:ascii="Book Antiqua" w:hAnsi="Book Antiqua" w:cs="Times New Roman"/>
        </w:rPr>
        <w:t>p</w:t>
      </w:r>
      <w:r w:rsidR="005A306E" w:rsidRPr="004A5F47">
        <w:rPr>
          <w:rFonts w:ascii="Book Antiqua" w:hAnsi="Book Antiqua" w:cs="Times New Roman"/>
        </w:rPr>
        <w:t>resence of macrosteatosis &lt;</w:t>
      </w:r>
      <w:r w:rsidR="005A306E" w:rsidRPr="004A5F47">
        <w:rPr>
          <w:rFonts w:ascii="Book Antiqua" w:hAnsi="Book Antiqua" w:cs="Times New Roman"/>
          <w:lang w:eastAsia="zh-CN"/>
        </w:rPr>
        <w:t xml:space="preserve"> </w:t>
      </w:r>
      <w:r w:rsidR="005A306E" w:rsidRPr="004A5F47">
        <w:rPr>
          <w:rFonts w:ascii="Book Antiqua" w:hAnsi="Book Antiqua" w:cs="Times New Roman"/>
        </w:rPr>
        <w:t>30% or fibrosis Ishak score &lt;</w:t>
      </w:r>
      <w:r w:rsidR="005A306E" w:rsidRPr="004A5F47">
        <w:rPr>
          <w:rFonts w:ascii="Book Antiqua" w:hAnsi="Book Antiqua" w:cs="Times New Roman"/>
          <w:lang w:eastAsia="zh-CN"/>
        </w:rPr>
        <w:t xml:space="preserve"> </w:t>
      </w:r>
      <w:r w:rsidR="005A306E" w:rsidRPr="004A5F47">
        <w:rPr>
          <w:rFonts w:ascii="Book Antiqua" w:hAnsi="Book Antiqua" w:cs="Times New Roman"/>
        </w:rPr>
        <w:t>2; Ante mortem cannulation not allowed but identification of femoral vessels to facilitate cannulation is permitted; No touch period: 5 min; Ante mortem substances administration allowed</w:t>
      </w:r>
      <w:r w:rsidR="00517ECE" w:rsidRPr="004A5F47">
        <w:rPr>
          <w:rFonts w:ascii="Book Antiqua" w:hAnsi="Book Antiqua" w:cs="Times New Roman"/>
        </w:rPr>
        <w:t xml:space="preserve">; </w:t>
      </w:r>
      <w:r w:rsidRPr="004A5F47">
        <w:rPr>
          <w:rFonts w:ascii="Book Antiqua" w:hAnsi="Book Antiqua" w:cs="Times New Roman"/>
          <w:vertAlign w:val="superscript"/>
          <w:lang w:eastAsia="zh-CN"/>
        </w:rPr>
        <w:t>5</w:t>
      </w:r>
      <w:r w:rsidR="000E33B7" w:rsidRPr="004A5F47">
        <w:rPr>
          <w:rFonts w:ascii="Book Antiqua" w:hAnsi="Book Antiqua" w:cs="Times New Roman"/>
        </w:rPr>
        <w:t>After propensity score matching</w:t>
      </w:r>
      <w:r w:rsidR="00517ECE" w:rsidRPr="004A5F47">
        <w:rPr>
          <w:rFonts w:ascii="Book Antiqua" w:hAnsi="Book Antiqua" w:cs="Times New Roman"/>
          <w:lang w:eastAsia="zh-CN"/>
        </w:rPr>
        <w:t xml:space="preserve">; </w:t>
      </w:r>
      <w:r w:rsidRPr="004A5F47">
        <w:rPr>
          <w:rFonts w:ascii="Book Antiqua" w:hAnsi="Book Antiqua"/>
          <w:color w:val="000000" w:themeColor="text1"/>
          <w:vertAlign w:val="superscript"/>
          <w:lang w:eastAsia="zh-CN"/>
        </w:rPr>
        <w:t>6</w:t>
      </w:r>
      <w:r w:rsidR="00D53819" w:rsidRPr="004A5F47">
        <w:rPr>
          <w:rFonts w:ascii="Book Antiqua" w:hAnsi="Book Antiqua" w:cs="Times New Roman"/>
        </w:rPr>
        <w:t xml:space="preserve">Viability criteria used: </w:t>
      </w:r>
      <w:r w:rsidR="00D53819" w:rsidRPr="004A5F47">
        <w:rPr>
          <w:rFonts w:ascii="Book Antiqua" w:hAnsi="Book Antiqua" w:cs="Times New Roman"/>
          <w:lang w:eastAsia="zh-CN"/>
        </w:rPr>
        <w:t>(</w:t>
      </w:r>
      <w:r w:rsidR="00D53819" w:rsidRPr="004A5F47">
        <w:rPr>
          <w:rFonts w:ascii="Book Antiqua" w:hAnsi="Book Antiqua" w:cs="Times New Roman"/>
        </w:rPr>
        <w:t>1) ALT levels stabilized between the first and second hour</w:t>
      </w:r>
      <w:r w:rsidR="00D53819" w:rsidRPr="004A5F47">
        <w:rPr>
          <w:rFonts w:ascii="Book Antiqua" w:hAnsi="Book Antiqua" w:cs="Times New Roman"/>
          <w:lang w:eastAsia="zh-CN"/>
        </w:rPr>
        <w:t>;</w:t>
      </w:r>
      <w:r w:rsidR="00D53819" w:rsidRPr="004A5F47">
        <w:rPr>
          <w:rFonts w:ascii="Book Antiqua" w:hAnsi="Book Antiqua" w:cs="Times New Roman"/>
        </w:rPr>
        <w:t xml:space="preserve"> and </w:t>
      </w:r>
      <w:r w:rsidR="00D53819" w:rsidRPr="004A5F47">
        <w:rPr>
          <w:rFonts w:ascii="Book Antiqua" w:hAnsi="Book Antiqua" w:cs="Times New Roman"/>
          <w:lang w:eastAsia="zh-CN"/>
        </w:rPr>
        <w:t>(</w:t>
      </w:r>
      <w:r w:rsidR="00D53819" w:rsidRPr="004A5F47">
        <w:rPr>
          <w:rFonts w:ascii="Book Antiqua" w:hAnsi="Book Antiqua" w:cs="Times New Roman"/>
        </w:rPr>
        <w:t xml:space="preserve">2) </w:t>
      </w:r>
      <w:r w:rsidR="009D6F57" w:rsidRPr="004A5F47">
        <w:rPr>
          <w:rFonts w:ascii="Book Antiqua" w:hAnsi="Book Antiqua" w:cs="Times New Roman"/>
        </w:rPr>
        <w:t>m</w:t>
      </w:r>
      <w:r w:rsidR="00D53819" w:rsidRPr="004A5F47">
        <w:rPr>
          <w:rFonts w:ascii="Book Antiqua" w:hAnsi="Book Antiqua" w:cs="Times New Roman"/>
        </w:rPr>
        <w:t xml:space="preserve">acroscopic appearance. Ante mortem cannulation </w:t>
      </w:r>
      <w:r w:rsidR="00FB41BC" w:rsidRPr="004A5F47">
        <w:rPr>
          <w:rFonts w:ascii="Book Antiqua" w:hAnsi="Book Antiqua" w:cs="Times New Roman"/>
          <w:lang w:eastAsia="zh-CN"/>
        </w:rPr>
        <w:t>not</w:t>
      </w:r>
      <w:r w:rsidR="00D53819" w:rsidRPr="004A5F47">
        <w:rPr>
          <w:rFonts w:ascii="Book Antiqua" w:hAnsi="Book Antiqua" w:cs="Times New Roman"/>
        </w:rPr>
        <w:t xml:space="preserve"> allowed; No touch period: 5 min; Ante mortem substances administration </w:t>
      </w:r>
      <w:r w:rsidR="00FB41BC" w:rsidRPr="004A5F47">
        <w:rPr>
          <w:rFonts w:ascii="Book Antiqua" w:hAnsi="Book Antiqua" w:cs="Times New Roman"/>
          <w:lang w:eastAsia="zh-CN"/>
        </w:rPr>
        <w:t>not</w:t>
      </w:r>
      <w:r w:rsidR="00D53819" w:rsidRPr="004A5F47">
        <w:rPr>
          <w:rFonts w:ascii="Book Antiqua" w:hAnsi="Book Antiqua" w:cs="Times New Roman"/>
        </w:rPr>
        <w:t xml:space="preserve"> allowed</w:t>
      </w:r>
      <w:r w:rsidR="00517ECE" w:rsidRPr="004A5F47">
        <w:rPr>
          <w:rFonts w:ascii="Book Antiqua" w:hAnsi="Book Antiqua" w:cs="Times New Roman"/>
        </w:rPr>
        <w:t xml:space="preserve">; </w:t>
      </w:r>
      <w:r w:rsidRPr="004A5F47">
        <w:rPr>
          <w:rFonts w:ascii="Book Antiqua" w:hAnsi="Book Antiqua" w:cs="Times New Roman"/>
          <w:vertAlign w:val="superscript"/>
          <w:lang w:eastAsia="zh-CN"/>
        </w:rPr>
        <w:t>7</w:t>
      </w:r>
      <w:r w:rsidR="000E33B7" w:rsidRPr="004A5F47">
        <w:rPr>
          <w:rFonts w:ascii="Book Antiqua" w:hAnsi="Book Antiqua" w:cs="Times New Roman"/>
        </w:rPr>
        <w:t xml:space="preserve">Clinically significant </w:t>
      </w:r>
      <w:r w:rsidR="0009546E" w:rsidRPr="004A5F47">
        <w:rPr>
          <w:rFonts w:ascii="Book Antiqua" w:hAnsi="Book Antiqua" w:cs="Times New Roman"/>
          <w:lang w:eastAsia="zh-CN"/>
        </w:rPr>
        <w:t>n</w:t>
      </w:r>
      <w:r w:rsidR="0009546E" w:rsidRPr="004A5F47">
        <w:rPr>
          <w:rFonts w:ascii="Book Antiqua" w:hAnsi="Book Antiqua" w:cs="Times New Roman"/>
        </w:rPr>
        <w:t>onanastamotic biliary strictures</w:t>
      </w:r>
      <w:r w:rsidR="000E33B7" w:rsidRPr="004A5F47">
        <w:rPr>
          <w:rFonts w:ascii="Book Antiqua" w:hAnsi="Book Antiqua" w:cs="Times New Roman"/>
        </w:rPr>
        <w:t xml:space="preserve"> defined as strictures requiring endoscopic or/and surgical intervention</w:t>
      </w:r>
      <w:r w:rsidR="00517ECE" w:rsidRPr="004A5F47">
        <w:rPr>
          <w:rFonts w:ascii="Book Antiqua" w:hAnsi="Book Antiqua" w:cs="Times New Roman"/>
          <w:lang w:eastAsia="zh-CN"/>
        </w:rPr>
        <w:t xml:space="preserve">; </w:t>
      </w:r>
      <w:r w:rsidRPr="004A5F47">
        <w:rPr>
          <w:rFonts w:ascii="Book Antiqua" w:hAnsi="Book Antiqua" w:cs="Times New Roman"/>
          <w:vertAlign w:val="superscript"/>
          <w:lang w:eastAsia="zh-CN"/>
        </w:rPr>
        <w:t>8</w:t>
      </w:r>
      <w:r w:rsidR="000E33B7" w:rsidRPr="004A5F47">
        <w:rPr>
          <w:rFonts w:ascii="Book Antiqua" w:hAnsi="Book Antiqua" w:cs="Times New Roman"/>
        </w:rPr>
        <w:t xml:space="preserve">Viability criteria used: </w:t>
      </w:r>
      <w:r w:rsidR="00405C88" w:rsidRPr="004A5F47">
        <w:rPr>
          <w:rFonts w:ascii="Book Antiqua" w:hAnsi="Book Antiqua" w:cs="Times New Roman"/>
          <w:lang w:eastAsia="zh-CN"/>
        </w:rPr>
        <w:t>(</w:t>
      </w:r>
      <w:r w:rsidR="000E33B7" w:rsidRPr="004A5F47">
        <w:rPr>
          <w:rFonts w:ascii="Book Antiqua" w:hAnsi="Book Antiqua" w:cs="Times New Roman"/>
        </w:rPr>
        <w:t xml:space="preserve">1) Baseline </w:t>
      </w:r>
      <w:r w:rsidR="00C65E6F" w:rsidRPr="004A5F47">
        <w:rPr>
          <w:rFonts w:ascii="Book Antiqua" w:hAnsi="Book Antiqua" w:cs="Times New Roman"/>
        </w:rPr>
        <w:t>aspartate aminotransferase (AST)</w:t>
      </w:r>
      <w:r w:rsidR="000E33B7" w:rsidRPr="004A5F47">
        <w:rPr>
          <w:rFonts w:ascii="Book Antiqua" w:hAnsi="Book Antiqua" w:cs="Times New Roman"/>
        </w:rPr>
        <w:t xml:space="preserve"> and ALT &lt;</w:t>
      </w:r>
      <w:r w:rsidR="00405C88" w:rsidRPr="004A5F47">
        <w:rPr>
          <w:rFonts w:ascii="Book Antiqua" w:hAnsi="Book Antiqua" w:cs="Times New Roman"/>
        </w:rPr>
        <w:t xml:space="preserve"> 3-4 times normal value and/or </w:t>
      </w:r>
      <w:r w:rsidR="000E33B7" w:rsidRPr="004A5F47">
        <w:rPr>
          <w:rFonts w:ascii="Book Antiqua" w:hAnsi="Book Antiqua" w:cs="Times New Roman"/>
        </w:rPr>
        <w:t>AST and ALT &lt; 4-5 times normal value at the end of NRP</w:t>
      </w:r>
      <w:r w:rsidR="00405C88" w:rsidRPr="004A5F47">
        <w:rPr>
          <w:rFonts w:ascii="Book Antiqua" w:hAnsi="Book Antiqua" w:cs="Times New Roman"/>
          <w:lang w:eastAsia="zh-CN"/>
        </w:rPr>
        <w:t>;</w:t>
      </w:r>
      <w:r w:rsidR="000E33B7" w:rsidRPr="004A5F47">
        <w:rPr>
          <w:rFonts w:ascii="Book Antiqua" w:hAnsi="Book Antiqua" w:cs="Times New Roman"/>
        </w:rPr>
        <w:t xml:space="preserve"> and </w:t>
      </w:r>
      <w:r w:rsidR="00405C88" w:rsidRPr="004A5F47">
        <w:rPr>
          <w:rFonts w:ascii="Book Antiqua" w:hAnsi="Book Antiqua" w:cs="Times New Roman"/>
          <w:lang w:eastAsia="zh-CN"/>
        </w:rPr>
        <w:t>(</w:t>
      </w:r>
      <w:r w:rsidR="000E33B7" w:rsidRPr="004A5F47">
        <w:rPr>
          <w:rFonts w:ascii="Book Antiqua" w:hAnsi="Book Antiqua" w:cs="Times New Roman"/>
        </w:rPr>
        <w:t>2) macroscopic appearance; Ante mortem cannulation allowed; No touch period: 5 min; Ante mortem substances administration allowed</w:t>
      </w:r>
      <w:r w:rsidR="00517ECE" w:rsidRPr="004A5F47">
        <w:rPr>
          <w:rFonts w:ascii="Book Antiqua" w:hAnsi="Book Antiqua" w:cs="Times New Roman"/>
        </w:rPr>
        <w:t xml:space="preserve">; </w:t>
      </w:r>
      <w:r w:rsidRPr="004A5F47">
        <w:rPr>
          <w:rFonts w:ascii="Book Antiqua" w:hAnsi="Book Antiqua" w:cs="Times New Roman"/>
          <w:vertAlign w:val="superscript"/>
          <w:lang w:eastAsia="zh-CN"/>
        </w:rPr>
        <w:t>9</w:t>
      </w:r>
      <w:r w:rsidR="000E33B7" w:rsidRPr="004A5F47">
        <w:rPr>
          <w:rFonts w:ascii="Book Antiqua" w:hAnsi="Book Antiqua" w:cs="Times New Roman"/>
        </w:rPr>
        <w:t xml:space="preserve">Viability criteria used: </w:t>
      </w:r>
      <w:r w:rsidR="00405C88" w:rsidRPr="004A5F47">
        <w:rPr>
          <w:rFonts w:ascii="Book Antiqua" w:hAnsi="Book Antiqua" w:cs="Times New Roman"/>
          <w:lang w:eastAsia="zh-CN"/>
        </w:rPr>
        <w:t>(</w:t>
      </w:r>
      <w:r w:rsidR="000E33B7" w:rsidRPr="004A5F47">
        <w:rPr>
          <w:rFonts w:ascii="Book Antiqua" w:hAnsi="Book Antiqua" w:cs="Times New Roman"/>
        </w:rPr>
        <w:t>1) AST and ALT &gt;</w:t>
      </w:r>
      <w:r w:rsidR="00B87558" w:rsidRPr="004A5F47">
        <w:rPr>
          <w:rFonts w:ascii="Book Antiqua" w:hAnsi="Book Antiqua" w:cs="Times New Roman"/>
          <w:lang w:eastAsia="zh-CN"/>
        </w:rPr>
        <w:t xml:space="preserve"> </w:t>
      </w:r>
      <w:r w:rsidR="000E33B7" w:rsidRPr="004A5F47">
        <w:rPr>
          <w:rFonts w:ascii="Book Antiqua" w:hAnsi="Book Antiqua" w:cs="Times New Roman"/>
        </w:rPr>
        <w:t>200 IU/L</w:t>
      </w:r>
      <w:r w:rsidR="00405C88" w:rsidRPr="004A5F47">
        <w:rPr>
          <w:rFonts w:ascii="Book Antiqua" w:hAnsi="Book Antiqua" w:cs="Times New Roman"/>
          <w:lang w:eastAsia="zh-CN"/>
        </w:rPr>
        <w:t>;</w:t>
      </w:r>
      <w:r w:rsidR="000E33B7" w:rsidRPr="004A5F47">
        <w:rPr>
          <w:rFonts w:ascii="Book Antiqua" w:hAnsi="Book Antiqua" w:cs="Times New Roman"/>
        </w:rPr>
        <w:t xml:space="preserve"> </w:t>
      </w:r>
      <w:r w:rsidR="00405C88" w:rsidRPr="004A5F47">
        <w:rPr>
          <w:rFonts w:ascii="Book Antiqua" w:hAnsi="Book Antiqua" w:cs="Times New Roman"/>
          <w:lang w:eastAsia="zh-CN"/>
        </w:rPr>
        <w:t>(</w:t>
      </w:r>
      <w:r w:rsidR="000E33B7" w:rsidRPr="004A5F47">
        <w:rPr>
          <w:rFonts w:ascii="Book Antiqua" w:hAnsi="Book Antiqua" w:cs="Times New Roman"/>
        </w:rPr>
        <w:t xml:space="preserve">2) </w:t>
      </w:r>
      <w:r w:rsidR="009D6F57" w:rsidRPr="004A5F47">
        <w:rPr>
          <w:rFonts w:ascii="Book Antiqua" w:hAnsi="Book Antiqua" w:cs="Times New Roman"/>
        </w:rPr>
        <w:t>m</w:t>
      </w:r>
      <w:r w:rsidR="000E33B7" w:rsidRPr="004A5F47">
        <w:rPr>
          <w:rFonts w:ascii="Book Antiqua" w:hAnsi="Book Antiqua" w:cs="Times New Roman"/>
        </w:rPr>
        <w:t>acrosteatosis &lt;</w:t>
      </w:r>
      <w:r w:rsidR="00405C88" w:rsidRPr="004A5F47">
        <w:rPr>
          <w:rFonts w:ascii="Book Antiqua" w:hAnsi="Book Antiqua" w:cs="Times New Roman"/>
          <w:lang w:eastAsia="zh-CN"/>
        </w:rPr>
        <w:t xml:space="preserve"> </w:t>
      </w:r>
      <w:r w:rsidR="000E33B7" w:rsidRPr="004A5F47">
        <w:rPr>
          <w:rFonts w:ascii="Book Antiqua" w:hAnsi="Book Antiqua" w:cs="Times New Roman"/>
        </w:rPr>
        <w:t>20%</w:t>
      </w:r>
      <w:r w:rsidR="00405C88" w:rsidRPr="004A5F47">
        <w:rPr>
          <w:rFonts w:ascii="Book Antiqua" w:hAnsi="Book Antiqua" w:cs="Times New Roman"/>
          <w:lang w:eastAsia="zh-CN"/>
        </w:rPr>
        <w:t>;</w:t>
      </w:r>
      <w:r w:rsidR="000E33B7" w:rsidRPr="004A5F47">
        <w:rPr>
          <w:rFonts w:ascii="Book Antiqua" w:hAnsi="Book Antiqua" w:cs="Times New Roman"/>
        </w:rPr>
        <w:t xml:space="preserve"> and </w:t>
      </w:r>
      <w:r w:rsidR="00405C88" w:rsidRPr="004A5F47">
        <w:rPr>
          <w:rFonts w:ascii="Book Antiqua" w:hAnsi="Book Antiqua" w:cs="Times New Roman"/>
          <w:lang w:eastAsia="zh-CN"/>
        </w:rPr>
        <w:t>(</w:t>
      </w:r>
      <w:r w:rsidR="000E33B7" w:rsidRPr="004A5F47">
        <w:rPr>
          <w:rFonts w:ascii="Book Antiqua" w:hAnsi="Book Antiqua" w:cs="Times New Roman"/>
        </w:rPr>
        <w:t>3) More than 60 min of NRP; Ante mortem cannulation not allowed but identification of femoral vessels to facilitate cannulation is permitted; No touch period: 20 min; Ante mortem substances administration allowed.</w:t>
      </w:r>
      <w:r w:rsidR="00517ECE" w:rsidRPr="004A5F47">
        <w:rPr>
          <w:rFonts w:ascii="Book Antiqua" w:hAnsi="Book Antiqua" w:cs="Times New Roman"/>
        </w:rPr>
        <w:t xml:space="preserve"> </w:t>
      </w:r>
      <w:r w:rsidR="000E33B7" w:rsidRPr="004A5F47">
        <w:rPr>
          <w:rFonts w:ascii="Book Antiqua" w:hAnsi="Book Antiqua" w:cs="Times New Roman"/>
        </w:rPr>
        <w:t>BS</w:t>
      </w:r>
      <w:r w:rsidR="00B40589" w:rsidRPr="004A5F47">
        <w:rPr>
          <w:rFonts w:ascii="Book Antiqua" w:hAnsi="Book Antiqua" w:cs="Times New Roman"/>
          <w:lang w:eastAsia="zh-CN"/>
        </w:rPr>
        <w:t>:</w:t>
      </w:r>
      <w:r w:rsidR="000E33B7" w:rsidRPr="004A5F47">
        <w:rPr>
          <w:rFonts w:ascii="Book Antiqua" w:hAnsi="Book Antiqua" w:cs="Times New Roman"/>
        </w:rPr>
        <w:t xml:space="preserve"> Biliary strictures</w:t>
      </w:r>
      <w:r w:rsidR="00B40589" w:rsidRPr="004A5F47">
        <w:rPr>
          <w:rFonts w:ascii="Book Antiqua" w:hAnsi="Book Antiqua" w:cs="Times New Roman"/>
          <w:lang w:eastAsia="zh-CN"/>
        </w:rPr>
        <w:t>;</w:t>
      </w:r>
      <w:r w:rsidR="000E33B7" w:rsidRPr="004A5F47">
        <w:rPr>
          <w:rFonts w:ascii="Book Antiqua" w:hAnsi="Book Antiqua" w:cs="Times New Roman"/>
        </w:rPr>
        <w:t xml:space="preserve"> </w:t>
      </w:r>
      <w:r w:rsidR="009D6F57" w:rsidRPr="004A5F47">
        <w:rPr>
          <w:rFonts w:ascii="Book Antiqua" w:hAnsi="Book Antiqua" w:cs="Times New Roman"/>
          <w:lang w:eastAsia="zh-CN"/>
        </w:rPr>
        <w:t xml:space="preserve">DBD: </w:t>
      </w:r>
      <w:r w:rsidR="009D6F57" w:rsidRPr="004A5F47">
        <w:rPr>
          <w:rFonts w:ascii="Book Antiqua" w:eastAsia="Book Antiqua" w:hAnsi="Book Antiqua" w:cs="Book Antiqua"/>
          <w:color w:val="000000"/>
        </w:rPr>
        <w:t>Donor after Brain Death</w:t>
      </w:r>
      <w:r w:rsidR="009D6F57" w:rsidRPr="004A5F47">
        <w:rPr>
          <w:rFonts w:ascii="Book Antiqua" w:hAnsi="Book Antiqua" w:cs="Times New Roman"/>
        </w:rPr>
        <w:t xml:space="preserve">; </w:t>
      </w:r>
      <w:r w:rsidR="009D6F57" w:rsidRPr="004A5F47">
        <w:rPr>
          <w:rFonts w:ascii="Book Antiqua" w:hAnsi="Book Antiqua" w:cs="Times New Roman"/>
          <w:lang w:eastAsia="zh-CN"/>
        </w:rPr>
        <w:t xml:space="preserve">DCD: </w:t>
      </w:r>
      <w:r w:rsidR="009D6F57" w:rsidRPr="004A5F47">
        <w:rPr>
          <w:rFonts w:ascii="Book Antiqua" w:hAnsi="Book Antiqua" w:cs="Book Antiqua"/>
          <w:color w:val="000000"/>
          <w:shd w:val="clear" w:color="auto" w:fill="FFFFFF"/>
          <w:lang w:eastAsia="zh-CN"/>
        </w:rPr>
        <w:t>D</w:t>
      </w:r>
      <w:r w:rsidR="009D6F57" w:rsidRPr="004A5F47">
        <w:rPr>
          <w:rFonts w:ascii="Book Antiqua" w:eastAsia="Book Antiqua" w:hAnsi="Book Antiqua" w:cs="Book Antiqua"/>
          <w:color w:val="000000"/>
          <w:shd w:val="clear" w:color="auto" w:fill="FFFFFF"/>
        </w:rPr>
        <w:t>onated after circulatory death</w:t>
      </w:r>
      <w:r w:rsidR="009D6F57" w:rsidRPr="004A5F47">
        <w:rPr>
          <w:rFonts w:ascii="Book Antiqua" w:hAnsi="Book Antiqua" w:cs="Times New Roman"/>
          <w:lang w:eastAsia="zh-CN"/>
        </w:rPr>
        <w:t xml:space="preserve">; </w:t>
      </w:r>
      <w:r w:rsidR="009D6F57" w:rsidRPr="004A5F47">
        <w:rPr>
          <w:rFonts w:ascii="Book Antiqua" w:hAnsi="Book Antiqua" w:cs="Times New Roman"/>
        </w:rPr>
        <w:t>ERCP</w:t>
      </w:r>
      <w:r w:rsidR="009D6F57" w:rsidRPr="004A5F47">
        <w:rPr>
          <w:rFonts w:ascii="Book Antiqua" w:hAnsi="Book Antiqua" w:cs="Times New Roman"/>
          <w:lang w:eastAsia="zh-CN"/>
        </w:rPr>
        <w:t>:</w:t>
      </w:r>
      <w:r w:rsidR="009D6F57" w:rsidRPr="004A5F47">
        <w:rPr>
          <w:rFonts w:ascii="Book Antiqua" w:hAnsi="Book Antiqua" w:cs="Times New Roman"/>
        </w:rPr>
        <w:t xml:space="preserve"> Endoscopic retrograde cholangiopancreatography</w:t>
      </w:r>
      <w:r w:rsidR="009D6F57" w:rsidRPr="004A5F47">
        <w:rPr>
          <w:rFonts w:ascii="Book Antiqua" w:hAnsi="Book Antiqua" w:cs="Times New Roman"/>
          <w:lang w:eastAsia="zh-CN"/>
        </w:rPr>
        <w:t>;</w:t>
      </w:r>
      <w:r w:rsidR="009D6F57" w:rsidRPr="004A5F47">
        <w:rPr>
          <w:rFonts w:ascii="Book Antiqua" w:hAnsi="Book Antiqua" w:cs="Times New Roman"/>
        </w:rPr>
        <w:t xml:space="preserve"> HA</w:t>
      </w:r>
      <w:r w:rsidR="009D6F57" w:rsidRPr="004A5F47">
        <w:rPr>
          <w:rFonts w:ascii="Book Antiqua" w:hAnsi="Book Antiqua" w:cs="Times New Roman"/>
          <w:lang w:eastAsia="zh-CN"/>
        </w:rPr>
        <w:t>:</w:t>
      </w:r>
      <w:r w:rsidR="009D6F57" w:rsidRPr="004A5F47">
        <w:rPr>
          <w:rFonts w:ascii="Book Antiqua" w:hAnsi="Book Antiqua" w:cs="Times New Roman"/>
        </w:rPr>
        <w:t xml:space="preserve"> Hepatic artery</w:t>
      </w:r>
      <w:r w:rsidR="009D6F57" w:rsidRPr="004A5F47">
        <w:rPr>
          <w:rFonts w:ascii="Book Antiqua" w:hAnsi="Book Antiqua" w:cs="Times New Roman"/>
          <w:lang w:eastAsia="zh-CN"/>
        </w:rPr>
        <w:t xml:space="preserve">; </w:t>
      </w:r>
      <w:r w:rsidR="009D6F57" w:rsidRPr="004A5F47">
        <w:rPr>
          <w:rFonts w:ascii="Book Antiqua" w:hAnsi="Book Antiqua" w:cs="Times New Roman"/>
        </w:rPr>
        <w:t>HAT</w:t>
      </w:r>
      <w:r w:rsidR="009D6F57" w:rsidRPr="004A5F47">
        <w:rPr>
          <w:rFonts w:ascii="Book Antiqua" w:hAnsi="Book Antiqua" w:cs="Times New Roman"/>
          <w:lang w:eastAsia="zh-CN"/>
        </w:rPr>
        <w:t>:</w:t>
      </w:r>
      <w:r w:rsidR="009D6F57" w:rsidRPr="004A5F47">
        <w:rPr>
          <w:rFonts w:ascii="Book Antiqua" w:hAnsi="Book Antiqua" w:cs="Times New Roman"/>
        </w:rPr>
        <w:t xml:space="preserve"> Hepatic artery thrombosis</w:t>
      </w:r>
      <w:r w:rsidR="009D6F57" w:rsidRPr="004A5F47">
        <w:rPr>
          <w:rFonts w:ascii="Book Antiqua" w:hAnsi="Book Antiqua" w:cs="Times New Roman"/>
          <w:lang w:eastAsia="zh-CN"/>
        </w:rPr>
        <w:t>;</w:t>
      </w:r>
      <w:r w:rsidR="009D6F57" w:rsidRPr="004A5F47">
        <w:rPr>
          <w:rFonts w:ascii="Book Antiqua" w:hAnsi="Book Antiqua" w:cs="Times New Roman"/>
        </w:rPr>
        <w:t xml:space="preserve"> </w:t>
      </w:r>
      <w:r w:rsidR="000E33B7" w:rsidRPr="004A5F47">
        <w:rPr>
          <w:rFonts w:ascii="Book Antiqua" w:hAnsi="Book Antiqua" w:cs="Times New Roman"/>
        </w:rPr>
        <w:t>ITBL</w:t>
      </w:r>
      <w:r w:rsidR="009D6F57" w:rsidRPr="004A5F47">
        <w:rPr>
          <w:rFonts w:ascii="Book Antiqua" w:hAnsi="Book Antiqua" w:cs="Times New Roman"/>
        </w:rPr>
        <w:t>s</w:t>
      </w:r>
      <w:r w:rsidR="00B40589" w:rsidRPr="004A5F47">
        <w:rPr>
          <w:rFonts w:ascii="Book Antiqua" w:hAnsi="Book Antiqua" w:cs="Times New Roman"/>
          <w:lang w:eastAsia="zh-CN"/>
        </w:rPr>
        <w:t>:</w:t>
      </w:r>
      <w:r w:rsidR="000E33B7" w:rsidRPr="004A5F47">
        <w:rPr>
          <w:rFonts w:ascii="Book Antiqua" w:hAnsi="Book Antiqua" w:cs="Times New Roman"/>
        </w:rPr>
        <w:t xml:space="preserve"> Ischemic type biliary lesions</w:t>
      </w:r>
      <w:r w:rsidR="00B40589" w:rsidRPr="004A5F47">
        <w:rPr>
          <w:rFonts w:ascii="Book Antiqua" w:hAnsi="Book Antiqua" w:cs="Times New Roman"/>
          <w:lang w:eastAsia="zh-CN"/>
        </w:rPr>
        <w:t>;</w:t>
      </w:r>
      <w:r w:rsidR="000E33B7" w:rsidRPr="004A5F47">
        <w:rPr>
          <w:rFonts w:ascii="Book Antiqua" w:hAnsi="Book Antiqua" w:cs="Times New Roman"/>
        </w:rPr>
        <w:t xml:space="preserve"> </w:t>
      </w:r>
      <w:r w:rsidR="009D6F57" w:rsidRPr="004A5F47">
        <w:rPr>
          <w:rFonts w:ascii="Book Antiqua" w:hAnsi="Book Antiqua" w:cs="Times New Roman"/>
        </w:rPr>
        <w:t>MRCP</w:t>
      </w:r>
      <w:r w:rsidR="009D6F57" w:rsidRPr="004A5F47">
        <w:rPr>
          <w:rFonts w:ascii="Book Antiqua" w:hAnsi="Book Antiqua" w:cs="Times New Roman"/>
          <w:lang w:eastAsia="zh-CN"/>
        </w:rPr>
        <w:t>:</w:t>
      </w:r>
      <w:r w:rsidR="009D6F57" w:rsidRPr="004A5F47">
        <w:rPr>
          <w:rFonts w:ascii="Book Antiqua" w:hAnsi="Book Antiqua" w:cs="Times New Roman"/>
        </w:rPr>
        <w:t xml:space="preserve"> Magnetic resonance cholangi</w:t>
      </w:r>
      <w:r w:rsidR="00517ECE" w:rsidRPr="004A5F47">
        <w:rPr>
          <w:rFonts w:ascii="Book Antiqua" w:hAnsi="Book Antiqua" w:cs="Times New Roman"/>
        </w:rPr>
        <w:t>o</w:t>
      </w:r>
      <w:r w:rsidR="009D6F57" w:rsidRPr="004A5F47">
        <w:rPr>
          <w:rFonts w:ascii="Book Antiqua" w:hAnsi="Book Antiqua" w:cs="Times New Roman"/>
        </w:rPr>
        <w:t>pancreatography</w:t>
      </w:r>
      <w:r w:rsidR="009D6F57" w:rsidRPr="004A5F47">
        <w:rPr>
          <w:rFonts w:ascii="Book Antiqua" w:hAnsi="Book Antiqua" w:cs="Times New Roman"/>
          <w:lang w:eastAsia="zh-CN"/>
        </w:rPr>
        <w:t>;</w:t>
      </w:r>
      <w:r w:rsidR="009D6F57" w:rsidRPr="004A5F47">
        <w:rPr>
          <w:rFonts w:ascii="Book Antiqua" w:hAnsi="Book Antiqua" w:cs="Times New Roman"/>
        </w:rPr>
        <w:t xml:space="preserve"> </w:t>
      </w:r>
      <w:r w:rsidR="000E33B7" w:rsidRPr="004A5F47">
        <w:rPr>
          <w:rFonts w:ascii="Book Antiqua" w:hAnsi="Book Antiqua" w:cs="Times New Roman"/>
        </w:rPr>
        <w:t>NAS</w:t>
      </w:r>
      <w:r w:rsidR="00B40589" w:rsidRPr="004A5F47">
        <w:rPr>
          <w:rFonts w:ascii="Book Antiqua" w:hAnsi="Book Antiqua" w:cs="Times New Roman"/>
          <w:lang w:eastAsia="zh-CN"/>
        </w:rPr>
        <w:t>:</w:t>
      </w:r>
      <w:r w:rsidR="000E33B7" w:rsidRPr="004A5F47">
        <w:rPr>
          <w:rFonts w:ascii="Book Antiqua" w:hAnsi="Book Antiqua" w:cs="Times New Roman"/>
        </w:rPr>
        <w:t xml:space="preserve"> Nonanastamotic biliary strictures</w:t>
      </w:r>
      <w:r w:rsidR="00B40589" w:rsidRPr="004A5F47">
        <w:rPr>
          <w:rFonts w:ascii="Book Antiqua" w:hAnsi="Book Antiqua" w:cs="Times New Roman"/>
          <w:lang w:eastAsia="zh-CN"/>
        </w:rPr>
        <w:t>;</w:t>
      </w:r>
      <w:r w:rsidR="000E33B7" w:rsidRPr="004A5F47">
        <w:rPr>
          <w:rFonts w:ascii="Book Antiqua" w:hAnsi="Book Antiqua" w:cs="Times New Roman"/>
        </w:rPr>
        <w:t xml:space="preserve"> </w:t>
      </w:r>
      <w:r w:rsidR="009D6F57" w:rsidRPr="004A5F47">
        <w:rPr>
          <w:rFonts w:ascii="Book Antiqua" w:hAnsi="Book Antiqua" w:cs="Times New Roman"/>
        </w:rPr>
        <w:t>NR</w:t>
      </w:r>
      <w:r w:rsidR="009D6F57" w:rsidRPr="004A5F47">
        <w:rPr>
          <w:rFonts w:ascii="Book Antiqua" w:hAnsi="Book Antiqua" w:cs="Times New Roman"/>
          <w:lang w:eastAsia="zh-CN"/>
        </w:rPr>
        <w:t>:</w:t>
      </w:r>
      <w:r w:rsidR="009D6F57" w:rsidRPr="004A5F47">
        <w:rPr>
          <w:rFonts w:ascii="Book Antiqua" w:hAnsi="Book Antiqua" w:cs="Times New Roman"/>
        </w:rPr>
        <w:t xml:space="preserve"> Not reported; </w:t>
      </w:r>
      <w:r w:rsidR="000E33B7" w:rsidRPr="004A5F47">
        <w:rPr>
          <w:rFonts w:ascii="Book Antiqua" w:hAnsi="Book Antiqua" w:cs="Times New Roman"/>
        </w:rPr>
        <w:t>NRP</w:t>
      </w:r>
      <w:r w:rsidR="00B40589" w:rsidRPr="004A5F47">
        <w:rPr>
          <w:rFonts w:ascii="Book Antiqua" w:hAnsi="Book Antiqua" w:cs="Times New Roman"/>
          <w:lang w:eastAsia="zh-CN"/>
        </w:rPr>
        <w:t>:</w:t>
      </w:r>
      <w:r w:rsidR="000E33B7" w:rsidRPr="004A5F47">
        <w:rPr>
          <w:rFonts w:ascii="Book Antiqua" w:hAnsi="Book Antiqua" w:cs="Times New Roman"/>
        </w:rPr>
        <w:t xml:space="preserve"> Normothermic Regional Perfusion</w:t>
      </w:r>
      <w:r w:rsidR="00B40589" w:rsidRPr="004A5F47">
        <w:rPr>
          <w:rFonts w:ascii="Book Antiqua" w:hAnsi="Book Antiqua" w:cs="Times New Roman"/>
          <w:lang w:eastAsia="zh-CN"/>
        </w:rPr>
        <w:t>;</w:t>
      </w:r>
      <w:r w:rsidR="000E33B7" w:rsidRPr="004A5F47">
        <w:rPr>
          <w:rFonts w:ascii="Book Antiqua" w:hAnsi="Book Antiqua" w:cs="Times New Roman"/>
        </w:rPr>
        <w:t xml:space="preserve"> SRR</w:t>
      </w:r>
      <w:r w:rsidR="00B40589" w:rsidRPr="004A5F47">
        <w:rPr>
          <w:rFonts w:ascii="Book Antiqua" w:hAnsi="Book Antiqua" w:cs="Times New Roman"/>
          <w:lang w:eastAsia="zh-CN"/>
        </w:rPr>
        <w:t xml:space="preserve">: </w:t>
      </w:r>
      <w:r w:rsidR="000E33B7" w:rsidRPr="004A5F47">
        <w:rPr>
          <w:rFonts w:ascii="Book Antiqua" w:hAnsi="Book Antiqua" w:cs="Times New Roman"/>
        </w:rPr>
        <w:t>S</w:t>
      </w:r>
      <w:r w:rsidR="000E33B7" w:rsidRPr="00815C0F">
        <w:rPr>
          <w:rFonts w:ascii="Book Antiqua" w:hAnsi="Book Antiqua" w:cs="Times New Roman"/>
        </w:rPr>
        <w:t>uper rapid retrieval technique</w:t>
      </w:r>
      <w:r w:rsidR="005E12A5" w:rsidRPr="004A5F47">
        <w:rPr>
          <w:rFonts w:ascii="Book Antiqua" w:hAnsi="Book Antiqua" w:cs="Times New Roman"/>
          <w:lang w:eastAsia="zh-CN"/>
        </w:rPr>
        <w:t>.</w:t>
      </w:r>
    </w:p>
    <w:p w14:paraId="570D08EB" w14:textId="27C0536C" w:rsidR="000E33B7" w:rsidRPr="004A5F47" w:rsidRDefault="000E33B7" w:rsidP="00265460">
      <w:pPr>
        <w:spacing w:line="360" w:lineRule="auto"/>
        <w:jc w:val="both"/>
        <w:rPr>
          <w:rFonts w:ascii="Book Antiqua" w:hAnsi="Book Antiqua"/>
          <w:b/>
          <w:bCs/>
          <w:lang w:eastAsia="zh-CN"/>
        </w:rPr>
      </w:pPr>
      <w:r w:rsidRPr="004A5F47">
        <w:rPr>
          <w:rFonts w:ascii="Book Antiqua" w:hAnsi="Book Antiqua"/>
          <w:lang w:eastAsia="zh-CN"/>
        </w:rPr>
        <w:br w:type="page"/>
      </w:r>
      <w:r w:rsidRPr="004A5F47">
        <w:rPr>
          <w:rFonts w:ascii="Book Antiqua" w:hAnsi="Book Antiqua"/>
          <w:b/>
          <w:bCs/>
        </w:rPr>
        <w:lastRenderedPageBreak/>
        <w:t>Table 2</w:t>
      </w:r>
      <w:r w:rsidR="00056736" w:rsidRPr="004A5F47">
        <w:rPr>
          <w:rFonts w:ascii="Book Antiqua" w:hAnsi="Book Antiqua"/>
          <w:b/>
          <w:bCs/>
          <w:lang w:eastAsia="zh-CN"/>
        </w:rPr>
        <w:t xml:space="preserve"> </w:t>
      </w:r>
      <w:r w:rsidRPr="004A5F47">
        <w:rPr>
          <w:rFonts w:ascii="Book Antiqua" w:hAnsi="Book Antiqua"/>
          <w:b/>
          <w:bCs/>
        </w:rPr>
        <w:t xml:space="preserve">Clinical studies assessing the impact of hypothermic machine perfusion on </w:t>
      </w:r>
      <w:r w:rsidR="00AC7371">
        <w:rPr>
          <w:rFonts w:ascii="Book Antiqua" w:hAnsi="Book Antiqua"/>
          <w:b/>
          <w:bCs/>
        </w:rPr>
        <w:t>i</w:t>
      </w:r>
      <w:r w:rsidR="00AC7371" w:rsidRPr="004A5F47">
        <w:rPr>
          <w:rFonts w:ascii="Book Antiqua" w:hAnsi="Book Antiqua"/>
          <w:b/>
          <w:bCs/>
        </w:rPr>
        <w:t>schemic</w:t>
      </w:r>
      <w:r w:rsidRPr="004A5F47">
        <w:rPr>
          <w:rFonts w:ascii="Book Antiqua" w:hAnsi="Book Antiqua"/>
          <w:b/>
          <w:bCs/>
        </w:rPr>
        <w:t xml:space="preserve"> type biliary lesions after liver transplantation</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31"/>
        <w:gridCol w:w="985"/>
        <w:gridCol w:w="959"/>
        <w:gridCol w:w="1454"/>
        <w:gridCol w:w="1260"/>
        <w:gridCol w:w="2071"/>
        <w:gridCol w:w="1291"/>
        <w:gridCol w:w="899"/>
        <w:gridCol w:w="899"/>
        <w:gridCol w:w="1021"/>
        <w:gridCol w:w="990"/>
      </w:tblGrid>
      <w:tr w:rsidR="00D14244" w:rsidRPr="004A5F47" w14:paraId="5F63BDCE" w14:textId="77777777" w:rsidTr="004C374C">
        <w:trPr>
          <w:trHeight w:val="540"/>
        </w:trPr>
        <w:tc>
          <w:tcPr>
            <w:tcW w:w="436" w:type="pct"/>
            <w:vMerge w:val="restart"/>
            <w:tcBorders>
              <w:top w:val="single" w:sz="4" w:space="0" w:color="auto"/>
              <w:bottom w:val="nil"/>
            </w:tcBorders>
            <w:shd w:val="clear" w:color="auto" w:fill="auto"/>
          </w:tcPr>
          <w:p w14:paraId="76A8CBDC" w14:textId="56471D4B" w:rsidR="00D14244" w:rsidRPr="00815C0F" w:rsidRDefault="00D14244" w:rsidP="00265460">
            <w:pPr>
              <w:pStyle w:val="EndNoteBibliography"/>
              <w:spacing w:line="360" w:lineRule="auto"/>
              <w:jc w:val="both"/>
              <w:rPr>
                <w:rFonts w:ascii="Book Antiqua" w:hAnsi="Book Antiqua"/>
                <w:b/>
                <w:bCs/>
                <w:lang w:val="en-US" w:eastAsia="zh-CN"/>
              </w:rPr>
            </w:pPr>
            <w:r w:rsidRPr="004A5F47">
              <w:rPr>
                <w:rFonts w:ascii="Book Antiqua" w:hAnsi="Book Antiqua"/>
                <w:b/>
                <w:bCs/>
                <w:lang w:val="en-US" w:eastAsia="zh-CN"/>
              </w:rPr>
              <w:t>Ref.</w:t>
            </w:r>
          </w:p>
        </w:tc>
        <w:tc>
          <w:tcPr>
            <w:tcW w:w="380" w:type="pct"/>
            <w:vMerge w:val="restart"/>
            <w:tcBorders>
              <w:top w:val="single" w:sz="4" w:space="0" w:color="auto"/>
              <w:bottom w:val="nil"/>
            </w:tcBorders>
            <w:shd w:val="clear" w:color="auto" w:fill="auto"/>
          </w:tcPr>
          <w:p w14:paraId="44A19CD3" w14:textId="38362D0D"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Study design</w:t>
            </w:r>
          </w:p>
        </w:tc>
        <w:tc>
          <w:tcPr>
            <w:tcW w:w="370" w:type="pct"/>
            <w:vMerge w:val="restart"/>
            <w:tcBorders>
              <w:top w:val="single" w:sz="4" w:space="0" w:color="auto"/>
              <w:bottom w:val="nil"/>
            </w:tcBorders>
            <w:shd w:val="clear" w:color="auto" w:fill="auto"/>
          </w:tcPr>
          <w:p w14:paraId="070A25B2" w14:textId="35444C40"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Group (</w:t>
            </w:r>
            <w:r w:rsidRPr="004A5F47">
              <w:rPr>
                <w:rFonts w:ascii="Book Antiqua" w:hAnsi="Book Antiqua"/>
                <w:b/>
                <w:bCs/>
                <w:i/>
                <w:lang w:val="en-US"/>
              </w:rPr>
              <w:t>n</w:t>
            </w:r>
            <w:r w:rsidRPr="004A5F47">
              <w:rPr>
                <w:rFonts w:ascii="Book Antiqua" w:hAnsi="Book Antiqua"/>
                <w:b/>
                <w:bCs/>
                <w:lang w:val="en-US"/>
              </w:rPr>
              <w:t>)</w:t>
            </w:r>
          </w:p>
        </w:tc>
        <w:tc>
          <w:tcPr>
            <w:tcW w:w="561" w:type="pct"/>
            <w:vMerge w:val="restart"/>
            <w:tcBorders>
              <w:top w:val="single" w:sz="4" w:space="0" w:color="auto"/>
              <w:bottom w:val="nil"/>
            </w:tcBorders>
            <w:shd w:val="clear" w:color="auto" w:fill="auto"/>
          </w:tcPr>
          <w:p w14:paraId="2B54C561" w14:textId="3626A82E"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DBD/DCD</w:t>
            </w:r>
          </w:p>
        </w:tc>
        <w:tc>
          <w:tcPr>
            <w:tcW w:w="486" w:type="pct"/>
            <w:vMerge w:val="restart"/>
            <w:tcBorders>
              <w:top w:val="single" w:sz="4" w:space="0" w:color="auto"/>
              <w:bottom w:val="nil"/>
            </w:tcBorders>
            <w:shd w:val="clear" w:color="auto" w:fill="auto"/>
          </w:tcPr>
          <w:p w14:paraId="6E24D80D" w14:textId="44E94943"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HOPE duration (</w:t>
            </w:r>
            <w:r w:rsidRPr="004A5F47">
              <w:rPr>
                <w:rFonts w:ascii="Book Antiqua" w:hAnsi="Book Antiqua"/>
                <w:b/>
                <w:bCs/>
                <w:lang w:val="en-US" w:eastAsia="zh-CN"/>
              </w:rPr>
              <w:t>m</w:t>
            </w:r>
            <w:r w:rsidRPr="004A5F47">
              <w:rPr>
                <w:rFonts w:ascii="Book Antiqua" w:hAnsi="Book Antiqua"/>
                <w:b/>
                <w:bCs/>
                <w:lang w:val="en-US"/>
              </w:rPr>
              <w:t>edian)</w:t>
            </w:r>
          </w:p>
        </w:tc>
        <w:tc>
          <w:tcPr>
            <w:tcW w:w="799" w:type="pct"/>
            <w:vMerge w:val="restart"/>
            <w:tcBorders>
              <w:top w:val="single" w:sz="4" w:space="0" w:color="auto"/>
              <w:bottom w:val="nil"/>
            </w:tcBorders>
            <w:shd w:val="clear" w:color="auto" w:fill="auto"/>
          </w:tcPr>
          <w:p w14:paraId="1681654F" w14:textId="1F81131E"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Definition of ITBL</w:t>
            </w:r>
          </w:p>
        </w:tc>
        <w:tc>
          <w:tcPr>
            <w:tcW w:w="498" w:type="pct"/>
            <w:vMerge w:val="restart"/>
            <w:tcBorders>
              <w:top w:val="single" w:sz="4" w:space="0" w:color="auto"/>
              <w:bottom w:val="nil"/>
            </w:tcBorders>
            <w:shd w:val="clear" w:color="auto" w:fill="auto"/>
          </w:tcPr>
          <w:p w14:paraId="7D184177" w14:textId="67E8D472"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Follow up</w:t>
            </w:r>
          </w:p>
        </w:tc>
        <w:tc>
          <w:tcPr>
            <w:tcW w:w="694" w:type="pct"/>
            <w:gridSpan w:val="2"/>
            <w:tcBorders>
              <w:top w:val="single" w:sz="4" w:space="0" w:color="auto"/>
              <w:bottom w:val="single" w:sz="4" w:space="0" w:color="auto"/>
            </w:tcBorders>
            <w:shd w:val="clear" w:color="auto" w:fill="auto"/>
          </w:tcPr>
          <w:p w14:paraId="2838FB06" w14:textId="55F75B8F"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ITBL-</w:t>
            </w:r>
            <w:r w:rsidRPr="004A5F47">
              <w:rPr>
                <w:rFonts w:ascii="Book Antiqua" w:hAnsi="Book Antiqua"/>
                <w:b/>
                <w:bCs/>
                <w:lang w:val="en-US" w:eastAsia="zh-CN"/>
              </w:rPr>
              <w:t>i</w:t>
            </w:r>
            <w:r w:rsidRPr="004A5F47">
              <w:rPr>
                <w:rFonts w:ascii="Book Antiqua" w:hAnsi="Book Antiqua"/>
                <w:b/>
                <w:bCs/>
                <w:lang w:val="en-US"/>
              </w:rPr>
              <w:t>ntervention</w:t>
            </w:r>
          </w:p>
        </w:tc>
        <w:tc>
          <w:tcPr>
            <w:tcW w:w="776" w:type="pct"/>
            <w:gridSpan w:val="2"/>
            <w:tcBorders>
              <w:top w:val="single" w:sz="4" w:space="0" w:color="auto"/>
              <w:bottom w:val="single" w:sz="4" w:space="0" w:color="auto"/>
            </w:tcBorders>
            <w:shd w:val="clear" w:color="auto" w:fill="auto"/>
          </w:tcPr>
          <w:p w14:paraId="61D2646E" w14:textId="1B408458"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ITBL-</w:t>
            </w:r>
            <w:r w:rsidRPr="004A5F47">
              <w:rPr>
                <w:rFonts w:ascii="Book Antiqua" w:hAnsi="Book Antiqua"/>
                <w:b/>
                <w:bCs/>
                <w:lang w:val="en-US" w:eastAsia="zh-CN"/>
              </w:rPr>
              <w:t>c</w:t>
            </w:r>
            <w:r w:rsidRPr="004A5F47">
              <w:rPr>
                <w:rFonts w:ascii="Book Antiqua" w:hAnsi="Book Antiqua"/>
                <w:b/>
                <w:bCs/>
                <w:lang w:val="en-US"/>
              </w:rPr>
              <w:t>ontrol</w:t>
            </w:r>
          </w:p>
        </w:tc>
      </w:tr>
      <w:tr w:rsidR="00D14244" w:rsidRPr="004A5F47" w14:paraId="77A382D6" w14:textId="77777777" w:rsidTr="004C374C">
        <w:trPr>
          <w:trHeight w:val="540"/>
        </w:trPr>
        <w:tc>
          <w:tcPr>
            <w:tcW w:w="436" w:type="pct"/>
            <w:vMerge/>
            <w:tcBorders>
              <w:top w:val="nil"/>
              <w:bottom w:val="single" w:sz="4" w:space="0" w:color="auto"/>
            </w:tcBorders>
            <w:shd w:val="clear" w:color="auto" w:fill="auto"/>
            <w:hideMark/>
          </w:tcPr>
          <w:p w14:paraId="00DEE913" w14:textId="7645291C" w:rsidR="00D14244" w:rsidRPr="00815C0F" w:rsidRDefault="00D14244" w:rsidP="00265460">
            <w:pPr>
              <w:pStyle w:val="EndNoteBibliography"/>
              <w:spacing w:line="360" w:lineRule="auto"/>
              <w:jc w:val="both"/>
              <w:rPr>
                <w:rFonts w:ascii="Book Antiqua" w:hAnsi="Book Antiqua"/>
                <w:b/>
                <w:bCs/>
                <w:lang w:val="en-US" w:eastAsia="zh-CN"/>
              </w:rPr>
            </w:pPr>
          </w:p>
        </w:tc>
        <w:tc>
          <w:tcPr>
            <w:tcW w:w="380" w:type="pct"/>
            <w:vMerge/>
            <w:tcBorders>
              <w:top w:val="nil"/>
              <w:bottom w:val="single" w:sz="4" w:space="0" w:color="auto"/>
            </w:tcBorders>
            <w:shd w:val="clear" w:color="auto" w:fill="auto"/>
            <w:hideMark/>
          </w:tcPr>
          <w:p w14:paraId="02A0280E" w14:textId="7EB9C7E2" w:rsidR="00D14244" w:rsidRPr="00815C0F" w:rsidRDefault="00D14244" w:rsidP="00265460">
            <w:pPr>
              <w:pStyle w:val="EndNoteBibliography"/>
              <w:spacing w:line="360" w:lineRule="auto"/>
              <w:jc w:val="both"/>
              <w:rPr>
                <w:rFonts w:ascii="Book Antiqua" w:hAnsi="Book Antiqua"/>
                <w:b/>
                <w:bCs/>
                <w:lang w:val="en-US"/>
              </w:rPr>
            </w:pPr>
          </w:p>
        </w:tc>
        <w:tc>
          <w:tcPr>
            <w:tcW w:w="370" w:type="pct"/>
            <w:vMerge/>
            <w:tcBorders>
              <w:top w:val="nil"/>
              <w:bottom w:val="single" w:sz="4" w:space="0" w:color="auto"/>
            </w:tcBorders>
            <w:shd w:val="clear" w:color="auto" w:fill="auto"/>
            <w:hideMark/>
          </w:tcPr>
          <w:p w14:paraId="552D4803" w14:textId="13FEE92E" w:rsidR="00D14244" w:rsidRPr="00815C0F" w:rsidRDefault="00D14244" w:rsidP="00265460">
            <w:pPr>
              <w:pStyle w:val="EndNoteBibliography"/>
              <w:spacing w:line="360" w:lineRule="auto"/>
              <w:jc w:val="both"/>
              <w:rPr>
                <w:rFonts w:ascii="Book Antiqua" w:hAnsi="Book Antiqua"/>
                <w:b/>
                <w:bCs/>
                <w:lang w:val="en-US"/>
              </w:rPr>
            </w:pPr>
          </w:p>
        </w:tc>
        <w:tc>
          <w:tcPr>
            <w:tcW w:w="561" w:type="pct"/>
            <w:vMerge/>
            <w:tcBorders>
              <w:top w:val="nil"/>
              <w:bottom w:val="single" w:sz="4" w:space="0" w:color="auto"/>
            </w:tcBorders>
            <w:shd w:val="clear" w:color="auto" w:fill="auto"/>
            <w:hideMark/>
          </w:tcPr>
          <w:p w14:paraId="45307B25" w14:textId="02DB67B8" w:rsidR="00D14244" w:rsidRPr="00815C0F" w:rsidRDefault="00D14244" w:rsidP="00265460">
            <w:pPr>
              <w:pStyle w:val="EndNoteBibliography"/>
              <w:spacing w:line="360" w:lineRule="auto"/>
              <w:jc w:val="both"/>
              <w:rPr>
                <w:rFonts w:ascii="Book Antiqua" w:hAnsi="Book Antiqua"/>
                <w:b/>
                <w:bCs/>
                <w:lang w:val="en-US"/>
              </w:rPr>
            </w:pPr>
          </w:p>
        </w:tc>
        <w:tc>
          <w:tcPr>
            <w:tcW w:w="486" w:type="pct"/>
            <w:vMerge/>
            <w:tcBorders>
              <w:top w:val="nil"/>
              <w:bottom w:val="single" w:sz="4" w:space="0" w:color="auto"/>
            </w:tcBorders>
            <w:shd w:val="clear" w:color="auto" w:fill="auto"/>
            <w:hideMark/>
          </w:tcPr>
          <w:p w14:paraId="6FF11E65" w14:textId="403ED11E" w:rsidR="00D14244" w:rsidRPr="00815C0F" w:rsidRDefault="00D14244" w:rsidP="00265460">
            <w:pPr>
              <w:pStyle w:val="EndNoteBibliography"/>
              <w:spacing w:line="360" w:lineRule="auto"/>
              <w:jc w:val="both"/>
              <w:rPr>
                <w:rFonts w:ascii="Book Antiqua" w:hAnsi="Book Antiqua"/>
                <w:b/>
                <w:bCs/>
                <w:lang w:val="en-US"/>
              </w:rPr>
            </w:pPr>
          </w:p>
        </w:tc>
        <w:tc>
          <w:tcPr>
            <w:tcW w:w="799" w:type="pct"/>
            <w:vMerge/>
            <w:tcBorders>
              <w:top w:val="nil"/>
              <w:bottom w:val="single" w:sz="4" w:space="0" w:color="auto"/>
            </w:tcBorders>
            <w:shd w:val="clear" w:color="auto" w:fill="auto"/>
            <w:hideMark/>
          </w:tcPr>
          <w:p w14:paraId="1027EE5F" w14:textId="27E1E0FD" w:rsidR="00D14244" w:rsidRPr="00815C0F" w:rsidRDefault="00D14244" w:rsidP="00265460">
            <w:pPr>
              <w:pStyle w:val="EndNoteBibliography"/>
              <w:spacing w:line="360" w:lineRule="auto"/>
              <w:jc w:val="both"/>
              <w:rPr>
                <w:rFonts w:ascii="Book Antiqua" w:hAnsi="Book Antiqua"/>
                <w:b/>
                <w:bCs/>
                <w:lang w:val="en-US"/>
              </w:rPr>
            </w:pPr>
          </w:p>
        </w:tc>
        <w:tc>
          <w:tcPr>
            <w:tcW w:w="498" w:type="pct"/>
            <w:vMerge/>
            <w:tcBorders>
              <w:top w:val="nil"/>
              <w:bottom w:val="single" w:sz="4" w:space="0" w:color="auto"/>
            </w:tcBorders>
            <w:shd w:val="clear" w:color="auto" w:fill="auto"/>
            <w:hideMark/>
          </w:tcPr>
          <w:p w14:paraId="66F078B8" w14:textId="3D86654B" w:rsidR="00D14244" w:rsidRPr="00815C0F" w:rsidRDefault="00D14244" w:rsidP="00265460">
            <w:pPr>
              <w:pStyle w:val="EndNoteBibliography"/>
              <w:spacing w:line="360" w:lineRule="auto"/>
              <w:jc w:val="both"/>
              <w:rPr>
                <w:rFonts w:ascii="Book Antiqua" w:hAnsi="Book Antiqua"/>
                <w:b/>
                <w:bCs/>
                <w:lang w:val="en-US"/>
              </w:rPr>
            </w:pPr>
          </w:p>
        </w:tc>
        <w:tc>
          <w:tcPr>
            <w:tcW w:w="347" w:type="pct"/>
            <w:tcBorders>
              <w:top w:val="single" w:sz="4" w:space="0" w:color="auto"/>
              <w:bottom w:val="single" w:sz="4" w:space="0" w:color="auto"/>
            </w:tcBorders>
            <w:shd w:val="clear" w:color="auto" w:fill="auto"/>
            <w:hideMark/>
          </w:tcPr>
          <w:p w14:paraId="32540C40" w14:textId="77777777"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DCD</w:t>
            </w:r>
          </w:p>
        </w:tc>
        <w:tc>
          <w:tcPr>
            <w:tcW w:w="347" w:type="pct"/>
            <w:tcBorders>
              <w:top w:val="single" w:sz="4" w:space="0" w:color="auto"/>
              <w:bottom w:val="single" w:sz="4" w:space="0" w:color="auto"/>
            </w:tcBorders>
            <w:shd w:val="clear" w:color="auto" w:fill="auto"/>
            <w:hideMark/>
          </w:tcPr>
          <w:p w14:paraId="5D66D22F" w14:textId="77777777"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DBD</w:t>
            </w:r>
          </w:p>
        </w:tc>
        <w:tc>
          <w:tcPr>
            <w:tcW w:w="394" w:type="pct"/>
            <w:tcBorders>
              <w:top w:val="single" w:sz="4" w:space="0" w:color="auto"/>
              <w:bottom w:val="single" w:sz="4" w:space="0" w:color="auto"/>
            </w:tcBorders>
            <w:shd w:val="clear" w:color="auto" w:fill="auto"/>
            <w:hideMark/>
          </w:tcPr>
          <w:p w14:paraId="4C9A343C" w14:textId="77777777"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DCD</w:t>
            </w:r>
          </w:p>
        </w:tc>
        <w:tc>
          <w:tcPr>
            <w:tcW w:w="382" w:type="pct"/>
            <w:tcBorders>
              <w:top w:val="single" w:sz="4" w:space="0" w:color="auto"/>
              <w:bottom w:val="single" w:sz="4" w:space="0" w:color="auto"/>
            </w:tcBorders>
            <w:shd w:val="clear" w:color="auto" w:fill="auto"/>
            <w:hideMark/>
          </w:tcPr>
          <w:p w14:paraId="52D2AF7F" w14:textId="77777777" w:rsidR="00D14244" w:rsidRPr="00815C0F" w:rsidRDefault="00D14244" w:rsidP="00265460">
            <w:pPr>
              <w:pStyle w:val="EndNoteBibliography"/>
              <w:spacing w:line="360" w:lineRule="auto"/>
              <w:jc w:val="both"/>
              <w:rPr>
                <w:rFonts w:ascii="Book Antiqua" w:hAnsi="Book Antiqua"/>
                <w:b/>
                <w:bCs/>
                <w:lang w:val="en-US"/>
              </w:rPr>
            </w:pPr>
            <w:r w:rsidRPr="004A5F47">
              <w:rPr>
                <w:rFonts w:ascii="Book Antiqua" w:hAnsi="Book Antiqua"/>
                <w:b/>
                <w:bCs/>
                <w:lang w:val="en-US"/>
              </w:rPr>
              <w:t>DBD</w:t>
            </w:r>
          </w:p>
        </w:tc>
      </w:tr>
      <w:tr w:rsidR="000E33B7" w:rsidRPr="004A5F47" w14:paraId="27792441" w14:textId="77777777" w:rsidTr="004C374C">
        <w:trPr>
          <w:trHeight w:val="420"/>
        </w:trPr>
        <w:tc>
          <w:tcPr>
            <w:tcW w:w="436" w:type="pct"/>
            <w:tcBorders>
              <w:top w:val="single" w:sz="4" w:space="0" w:color="auto"/>
            </w:tcBorders>
            <w:shd w:val="clear" w:color="auto" w:fill="auto"/>
          </w:tcPr>
          <w:p w14:paraId="56DF3491" w14:textId="543C6DA4"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Schlegel </w:t>
            </w:r>
            <w:r w:rsidRPr="004A5F47">
              <w:rPr>
                <w:rFonts w:ascii="Book Antiqua" w:hAnsi="Book Antiqua"/>
                <w:i/>
                <w:iCs/>
                <w:lang w:val="en-US"/>
              </w:rPr>
              <w:t>et al</w:t>
            </w:r>
            <w:r w:rsidRPr="004A5F47">
              <w:rPr>
                <w:rFonts w:ascii="Book Antiqua" w:hAnsi="Book Antiqua"/>
                <w:color w:val="000000" w:themeColor="text1"/>
                <w:vertAlign w:val="superscript"/>
                <w:lang w:val="en-US"/>
              </w:rPr>
              <w:t>[61</w:t>
            </w:r>
            <w:r w:rsidRPr="004A5F47">
              <w:rPr>
                <w:rFonts w:ascii="Book Antiqua" w:hAnsi="Book Antiqua"/>
                <w:color w:val="000000" w:themeColor="text1"/>
                <w:vertAlign w:val="superscript"/>
                <w:lang w:val="en-US" w:eastAsia="zh-CN"/>
              </w:rPr>
              <w:t>]</w:t>
            </w:r>
            <w:r w:rsidRPr="004A5F47">
              <w:rPr>
                <w:rFonts w:ascii="Book Antiqua" w:hAnsi="Book Antiqua"/>
                <w:lang w:val="en-US"/>
              </w:rPr>
              <w:t>, 2023</w:t>
            </w:r>
          </w:p>
        </w:tc>
        <w:tc>
          <w:tcPr>
            <w:tcW w:w="380" w:type="pct"/>
            <w:tcBorders>
              <w:top w:val="single" w:sz="4" w:space="0" w:color="auto"/>
            </w:tcBorders>
            <w:shd w:val="clear" w:color="auto" w:fill="auto"/>
          </w:tcPr>
          <w:p w14:paraId="4BF07D03"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RCT</w:t>
            </w:r>
          </w:p>
        </w:tc>
        <w:tc>
          <w:tcPr>
            <w:tcW w:w="370" w:type="pct"/>
            <w:tcBorders>
              <w:top w:val="single" w:sz="4" w:space="0" w:color="auto"/>
            </w:tcBorders>
            <w:shd w:val="clear" w:color="auto" w:fill="auto"/>
          </w:tcPr>
          <w:p w14:paraId="63F8A9DD" w14:textId="2CB11599"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HOPE (85) </w:t>
            </w:r>
            <w:r w:rsidR="00202AE1" w:rsidRPr="004A5F47">
              <w:rPr>
                <w:rFonts w:ascii="Book Antiqua" w:hAnsi="Book Antiqua"/>
                <w:i/>
                <w:lang w:val="en-US"/>
              </w:rPr>
              <w:t>vs</w:t>
            </w:r>
            <w:r w:rsidRPr="004A5F47">
              <w:rPr>
                <w:rFonts w:ascii="Book Antiqua" w:hAnsi="Book Antiqua"/>
                <w:lang w:val="en-US"/>
              </w:rPr>
              <w:t xml:space="preserve"> SCS (85)</w:t>
            </w:r>
          </w:p>
        </w:tc>
        <w:tc>
          <w:tcPr>
            <w:tcW w:w="561" w:type="pct"/>
            <w:tcBorders>
              <w:top w:val="single" w:sz="4" w:space="0" w:color="auto"/>
            </w:tcBorders>
            <w:shd w:val="clear" w:color="auto" w:fill="auto"/>
          </w:tcPr>
          <w:p w14:paraId="559971F4"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DBD</w:t>
            </w:r>
          </w:p>
        </w:tc>
        <w:tc>
          <w:tcPr>
            <w:tcW w:w="486" w:type="pct"/>
            <w:tcBorders>
              <w:top w:val="single" w:sz="4" w:space="0" w:color="auto"/>
            </w:tcBorders>
            <w:shd w:val="clear" w:color="auto" w:fill="auto"/>
          </w:tcPr>
          <w:p w14:paraId="7AB58257" w14:textId="77777777"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95.5 min</w:t>
            </w:r>
          </w:p>
        </w:tc>
        <w:tc>
          <w:tcPr>
            <w:tcW w:w="799" w:type="pct"/>
            <w:tcBorders>
              <w:top w:val="single" w:sz="4" w:space="0" w:color="auto"/>
            </w:tcBorders>
            <w:shd w:val="clear" w:color="auto" w:fill="auto"/>
          </w:tcPr>
          <w:p w14:paraId="2056489B"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NR</w:t>
            </w:r>
          </w:p>
        </w:tc>
        <w:tc>
          <w:tcPr>
            <w:tcW w:w="498" w:type="pct"/>
            <w:tcBorders>
              <w:top w:val="single" w:sz="4" w:space="0" w:color="auto"/>
            </w:tcBorders>
            <w:shd w:val="clear" w:color="auto" w:fill="auto"/>
          </w:tcPr>
          <w:p w14:paraId="292C25AC" w14:textId="60A25169"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12 mo</w:t>
            </w:r>
          </w:p>
        </w:tc>
        <w:tc>
          <w:tcPr>
            <w:tcW w:w="347" w:type="pct"/>
            <w:tcBorders>
              <w:top w:val="single" w:sz="4" w:space="0" w:color="auto"/>
            </w:tcBorders>
            <w:shd w:val="clear" w:color="auto" w:fill="auto"/>
          </w:tcPr>
          <w:p w14:paraId="1DADF647"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47" w:type="pct"/>
            <w:tcBorders>
              <w:top w:val="single" w:sz="4" w:space="0" w:color="auto"/>
            </w:tcBorders>
            <w:shd w:val="clear" w:color="auto" w:fill="auto"/>
          </w:tcPr>
          <w:p w14:paraId="35CDBD83"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1/85 (1.2%)</w:t>
            </w:r>
          </w:p>
        </w:tc>
        <w:tc>
          <w:tcPr>
            <w:tcW w:w="394" w:type="pct"/>
            <w:tcBorders>
              <w:top w:val="single" w:sz="4" w:space="0" w:color="auto"/>
            </w:tcBorders>
            <w:shd w:val="clear" w:color="auto" w:fill="auto"/>
          </w:tcPr>
          <w:p w14:paraId="30EC1B83"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82" w:type="pct"/>
            <w:tcBorders>
              <w:top w:val="single" w:sz="4" w:space="0" w:color="auto"/>
            </w:tcBorders>
            <w:shd w:val="clear" w:color="auto" w:fill="auto"/>
          </w:tcPr>
          <w:p w14:paraId="6CE85105"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3/85 (3.5%)</w:t>
            </w:r>
          </w:p>
        </w:tc>
      </w:tr>
      <w:tr w:rsidR="000E33B7" w:rsidRPr="004A5F47" w14:paraId="3B70DDAF" w14:textId="77777777" w:rsidTr="004C374C">
        <w:trPr>
          <w:trHeight w:val="420"/>
        </w:trPr>
        <w:tc>
          <w:tcPr>
            <w:tcW w:w="436" w:type="pct"/>
            <w:shd w:val="clear" w:color="auto" w:fill="auto"/>
            <w:hideMark/>
          </w:tcPr>
          <w:p w14:paraId="6D70999E" w14:textId="2D47122F"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Ravaioli </w:t>
            </w:r>
            <w:r w:rsidRPr="004A5F47">
              <w:rPr>
                <w:rFonts w:ascii="Book Antiqua" w:hAnsi="Book Antiqua"/>
                <w:i/>
                <w:iCs/>
                <w:lang w:val="en-US"/>
              </w:rPr>
              <w:t>et al</w:t>
            </w:r>
            <w:r w:rsidRPr="004A5F47">
              <w:rPr>
                <w:rFonts w:ascii="Book Antiqua" w:hAnsi="Book Antiqua"/>
                <w:color w:val="000000" w:themeColor="text1"/>
                <w:vertAlign w:val="superscript"/>
                <w:lang w:val="en-US"/>
              </w:rPr>
              <w:t>[56</w:t>
            </w:r>
            <w:r w:rsidRPr="004A5F47">
              <w:rPr>
                <w:rFonts w:ascii="Book Antiqua" w:hAnsi="Book Antiqua"/>
                <w:color w:val="000000" w:themeColor="text1"/>
                <w:vertAlign w:val="superscript"/>
                <w:lang w:val="en-US" w:eastAsia="zh-CN"/>
              </w:rPr>
              <w:t>]</w:t>
            </w:r>
            <w:r w:rsidRPr="004A5F47">
              <w:rPr>
                <w:rFonts w:ascii="Book Antiqua" w:hAnsi="Book Antiqua"/>
                <w:lang w:val="en-US"/>
              </w:rPr>
              <w:t>, 2022</w:t>
            </w:r>
          </w:p>
        </w:tc>
        <w:tc>
          <w:tcPr>
            <w:tcW w:w="380" w:type="pct"/>
            <w:shd w:val="clear" w:color="auto" w:fill="auto"/>
            <w:hideMark/>
          </w:tcPr>
          <w:p w14:paraId="13C23198"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RCT</w:t>
            </w:r>
          </w:p>
        </w:tc>
        <w:tc>
          <w:tcPr>
            <w:tcW w:w="370" w:type="pct"/>
            <w:shd w:val="clear" w:color="auto" w:fill="auto"/>
            <w:hideMark/>
          </w:tcPr>
          <w:p w14:paraId="1BF55CFA" w14:textId="1E12066D"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HOPE (66) </w:t>
            </w:r>
            <w:r w:rsidR="00202AE1" w:rsidRPr="004A5F47">
              <w:rPr>
                <w:rFonts w:ascii="Book Antiqua" w:hAnsi="Book Antiqua"/>
                <w:i/>
                <w:lang w:val="en-US"/>
              </w:rPr>
              <w:t>vs</w:t>
            </w:r>
            <w:r w:rsidRPr="004A5F47">
              <w:rPr>
                <w:rFonts w:ascii="Book Antiqua" w:hAnsi="Book Antiqua"/>
                <w:lang w:val="en-US"/>
              </w:rPr>
              <w:t xml:space="preserve"> SCS (69)</w:t>
            </w:r>
          </w:p>
        </w:tc>
        <w:tc>
          <w:tcPr>
            <w:tcW w:w="561" w:type="pct"/>
            <w:shd w:val="clear" w:color="auto" w:fill="auto"/>
            <w:hideMark/>
          </w:tcPr>
          <w:p w14:paraId="2EFCA49C"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DBD</w:t>
            </w:r>
          </w:p>
        </w:tc>
        <w:tc>
          <w:tcPr>
            <w:tcW w:w="486" w:type="pct"/>
            <w:shd w:val="clear" w:color="auto" w:fill="auto"/>
            <w:hideMark/>
          </w:tcPr>
          <w:p w14:paraId="2D43BA95" w14:textId="77777777"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145 min</w:t>
            </w:r>
          </w:p>
        </w:tc>
        <w:tc>
          <w:tcPr>
            <w:tcW w:w="799" w:type="pct"/>
            <w:shd w:val="clear" w:color="auto" w:fill="auto"/>
            <w:hideMark/>
          </w:tcPr>
          <w:p w14:paraId="1A59ABAA"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Nonspecifically provided: Biliary strictures; Biliary others</w:t>
            </w:r>
          </w:p>
        </w:tc>
        <w:tc>
          <w:tcPr>
            <w:tcW w:w="498" w:type="pct"/>
            <w:shd w:val="clear" w:color="auto" w:fill="auto"/>
            <w:hideMark/>
          </w:tcPr>
          <w:p w14:paraId="7D1B61CF" w14:textId="57C045E8"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12</w:t>
            </w:r>
            <w:r w:rsidR="009F6A3C" w:rsidRPr="004A5F47">
              <w:rPr>
                <w:rFonts w:ascii="Book Antiqua" w:hAnsi="Book Antiqua"/>
                <w:lang w:val="en-US" w:eastAsia="zh-CN"/>
              </w:rPr>
              <w:t xml:space="preserve"> </w:t>
            </w:r>
            <w:r w:rsidRPr="004A5F47">
              <w:rPr>
                <w:rFonts w:ascii="Book Antiqua" w:hAnsi="Book Antiqua"/>
                <w:lang w:val="en-US"/>
              </w:rPr>
              <w:t>mo</w:t>
            </w:r>
          </w:p>
        </w:tc>
        <w:tc>
          <w:tcPr>
            <w:tcW w:w="347" w:type="pct"/>
            <w:shd w:val="clear" w:color="auto" w:fill="auto"/>
            <w:hideMark/>
          </w:tcPr>
          <w:p w14:paraId="1E84463A"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47" w:type="pct"/>
            <w:shd w:val="clear" w:color="auto" w:fill="auto"/>
            <w:hideMark/>
          </w:tcPr>
          <w:p w14:paraId="5386D47E"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5/55 (9%)</w:t>
            </w:r>
          </w:p>
        </w:tc>
        <w:tc>
          <w:tcPr>
            <w:tcW w:w="394" w:type="pct"/>
            <w:shd w:val="clear" w:color="auto" w:fill="auto"/>
            <w:hideMark/>
          </w:tcPr>
          <w:p w14:paraId="7692D32A"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82" w:type="pct"/>
            <w:shd w:val="clear" w:color="auto" w:fill="auto"/>
            <w:hideMark/>
          </w:tcPr>
          <w:p w14:paraId="79BBF9F3"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6/55 (11%)</w:t>
            </w:r>
          </w:p>
        </w:tc>
      </w:tr>
      <w:tr w:rsidR="000E33B7" w:rsidRPr="004A5F47" w14:paraId="3300AC1B" w14:textId="77777777" w:rsidTr="004C374C">
        <w:trPr>
          <w:trHeight w:val="420"/>
        </w:trPr>
        <w:tc>
          <w:tcPr>
            <w:tcW w:w="436" w:type="pct"/>
            <w:shd w:val="clear" w:color="auto" w:fill="auto"/>
            <w:hideMark/>
          </w:tcPr>
          <w:p w14:paraId="73F54688" w14:textId="1A91543E"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van Rijn </w:t>
            </w:r>
            <w:r w:rsidRPr="004A5F47">
              <w:rPr>
                <w:rFonts w:ascii="Book Antiqua" w:hAnsi="Book Antiqua"/>
                <w:i/>
                <w:iCs/>
                <w:lang w:val="en-US"/>
              </w:rPr>
              <w:t>et al</w:t>
            </w:r>
            <w:r w:rsidRPr="004A5F47">
              <w:rPr>
                <w:rFonts w:ascii="Book Antiqua" w:hAnsi="Book Antiqua"/>
                <w:color w:val="000000" w:themeColor="text1"/>
                <w:vertAlign w:val="superscript"/>
                <w:lang w:val="en-US"/>
              </w:rPr>
              <w:t>[52</w:t>
            </w:r>
            <w:r w:rsidRPr="004A5F47">
              <w:rPr>
                <w:rFonts w:ascii="Book Antiqua" w:hAnsi="Book Antiqua"/>
                <w:color w:val="000000" w:themeColor="text1"/>
                <w:vertAlign w:val="superscript"/>
                <w:lang w:val="en-US" w:eastAsia="zh-CN"/>
              </w:rPr>
              <w:t>]</w:t>
            </w:r>
            <w:r w:rsidRPr="004A5F47">
              <w:rPr>
                <w:rFonts w:ascii="Book Antiqua" w:hAnsi="Book Antiqua"/>
                <w:lang w:val="en-US"/>
              </w:rPr>
              <w:t>, 2021</w:t>
            </w:r>
          </w:p>
        </w:tc>
        <w:tc>
          <w:tcPr>
            <w:tcW w:w="380" w:type="pct"/>
            <w:shd w:val="clear" w:color="auto" w:fill="auto"/>
            <w:hideMark/>
          </w:tcPr>
          <w:p w14:paraId="239FC5F2"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RCT</w:t>
            </w:r>
          </w:p>
        </w:tc>
        <w:tc>
          <w:tcPr>
            <w:tcW w:w="370" w:type="pct"/>
            <w:shd w:val="clear" w:color="auto" w:fill="auto"/>
            <w:hideMark/>
          </w:tcPr>
          <w:p w14:paraId="43799607" w14:textId="76B63B2C"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D-HOPE (78) </w:t>
            </w:r>
            <w:r w:rsidR="00202AE1" w:rsidRPr="004A5F47">
              <w:rPr>
                <w:rFonts w:ascii="Book Antiqua" w:hAnsi="Book Antiqua"/>
                <w:i/>
                <w:lang w:val="en-US"/>
              </w:rPr>
              <w:t>vs</w:t>
            </w:r>
            <w:r w:rsidRPr="004A5F47">
              <w:rPr>
                <w:rFonts w:ascii="Book Antiqua" w:hAnsi="Book Antiqua"/>
                <w:lang w:val="en-US"/>
              </w:rPr>
              <w:t xml:space="preserve"> SCS (78)</w:t>
            </w:r>
          </w:p>
        </w:tc>
        <w:tc>
          <w:tcPr>
            <w:tcW w:w="561" w:type="pct"/>
            <w:shd w:val="clear" w:color="auto" w:fill="auto"/>
            <w:hideMark/>
          </w:tcPr>
          <w:p w14:paraId="2A7D5E77"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DCD</w:t>
            </w:r>
          </w:p>
        </w:tc>
        <w:tc>
          <w:tcPr>
            <w:tcW w:w="486" w:type="pct"/>
            <w:shd w:val="clear" w:color="auto" w:fill="auto"/>
            <w:hideMark/>
          </w:tcPr>
          <w:p w14:paraId="269DBF7E" w14:textId="4E3F9E23"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132</w:t>
            </w:r>
            <w:r w:rsidR="00FB3725" w:rsidRPr="004A5F47">
              <w:rPr>
                <w:rFonts w:ascii="Book Antiqua" w:hAnsi="Book Antiqua"/>
                <w:iCs/>
                <w:lang w:val="en-US" w:eastAsia="zh-CN"/>
              </w:rPr>
              <w:t xml:space="preserve"> </w:t>
            </w:r>
            <w:r w:rsidRPr="004A5F47">
              <w:rPr>
                <w:rFonts w:ascii="Book Antiqua" w:hAnsi="Book Antiqua"/>
                <w:iCs/>
                <w:lang w:val="en-US"/>
              </w:rPr>
              <w:t>min</w:t>
            </w:r>
          </w:p>
        </w:tc>
        <w:tc>
          <w:tcPr>
            <w:tcW w:w="799" w:type="pct"/>
            <w:shd w:val="clear" w:color="auto" w:fill="auto"/>
            <w:hideMark/>
          </w:tcPr>
          <w:p w14:paraId="0CC80A76" w14:textId="622EB91F"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Symptomatic NAS diagnosed with the use of 6-mo cholangiography in the presence of a patent HA</w:t>
            </w:r>
          </w:p>
        </w:tc>
        <w:tc>
          <w:tcPr>
            <w:tcW w:w="498" w:type="pct"/>
            <w:shd w:val="clear" w:color="auto" w:fill="auto"/>
            <w:hideMark/>
          </w:tcPr>
          <w:p w14:paraId="7146017E" w14:textId="0646B8DD"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6 mo</w:t>
            </w:r>
          </w:p>
        </w:tc>
        <w:tc>
          <w:tcPr>
            <w:tcW w:w="347" w:type="pct"/>
            <w:shd w:val="clear" w:color="auto" w:fill="auto"/>
            <w:hideMark/>
          </w:tcPr>
          <w:p w14:paraId="25B43A8F"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5/78 (6%)</w:t>
            </w:r>
          </w:p>
        </w:tc>
        <w:tc>
          <w:tcPr>
            <w:tcW w:w="347" w:type="pct"/>
            <w:shd w:val="clear" w:color="auto" w:fill="auto"/>
            <w:hideMark/>
          </w:tcPr>
          <w:p w14:paraId="0E373620"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94" w:type="pct"/>
            <w:shd w:val="clear" w:color="auto" w:fill="auto"/>
            <w:hideMark/>
          </w:tcPr>
          <w:p w14:paraId="7724299C"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14/78 (18%)</w:t>
            </w:r>
          </w:p>
        </w:tc>
        <w:tc>
          <w:tcPr>
            <w:tcW w:w="382" w:type="pct"/>
            <w:shd w:val="clear" w:color="auto" w:fill="auto"/>
            <w:hideMark/>
          </w:tcPr>
          <w:p w14:paraId="415D4A85"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r>
      <w:tr w:rsidR="000E33B7" w:rsidRPr="004A5F47" w14:paraId="27F24795" w14:textId="77777777" w:rsidTr="004C374C">
        <w:trPr>
          <w:trHeight w:val="340"/>
        </w:trPr>
        <w:tc>
          <w:tcPr>
            <w:tcW w:w="436" w:type="pct"/>
            <w:shd w:val="clear" w:color="auto" w:fill="auto"/>
            <w:hideMark/>
          </w:tcPr>
          <w:p w14:paraId="3BD74ED7" w14:textId="0992238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lastRenderedPageBreak/>
              <w:t xml:space="preserve">Czigany </w:t>
            </w:r>
            <w:r w:rsidRPr="004A5F47">
              <w:rPr>
                <w:rFonts w:ascii="Book Antiqua" w:hAnsi="Book Antiqua"/>
                <w:i/>
                <w:iCs/>
                <w:lang w:val="en-US"/>
              </w:rPr>
              <w:t>et al</w:t>
            </w:r>
            <w:r w:rsidRPr="004A5F47">
              <w:rPr>
                <w:rFonts w:ascii="Book Antiqua" w:hAnsi="Book Antiqua"/>
                <w:color w:val="000000" w:themeColor="text1"/>
                <w:vertAlign w:val="superscript"/>
                <w:lang w:val="en-US"/>
              </w:rPr>
              <w:t>[57</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eastAsia="zh-CN"/>
              </w:rPr>
              <w:t xml:space="preserve">, </w:t>
            </w:r>
            <w:r w:rsidRPr="004A5F47">
              <w:rPr>
                <w:rFonts w:ascii="Book Antiqua" w:hAnsi="Book Antiqua"/>
                <w:lang w:val="en-US"/>
              </w:rPr>
              <w:t>2021</w:t>
            </w:r>
          </w:p>
        </w:tc>
        <w:tc>
          <w:tcPr>
            <w:tcW w:w="380" w:type="pct"/>
            <w:shd w:val="clear" w:color="auto" w:fill="auto"/>
            <w:hideMark/>
          </w:tcPr>
          <w:p w14:paraId="4DF86F70"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RCT</w:t>
            </w:r>
          </w:p>
        </w:tc>
        <w:tc>
          <w:tcPr>
            <w:tcW w:w="370" w:type="pct"/>
            <w:shd w:val="clear" w:color="auto" w:fill="auto"/>
            <w:hideMark/>
          </w:tcPr>
          <w:p w14:paraId="4ED7F3A7" w14:textId="09649F3C"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HOPE (23) </w:t>
            </w:r>
            <w:r w:rsidR="00202AE1" w:rsidRPr="004A5F47">
              <w:rPr>
                <w:rFonts w:ascii="Book Antiqua" w:hAnsi="Book Antiqua"/>
                <w:i/>
                <w:lang w:val="en-US"/>
              </w:rPr>
              <w:t>vs</w:t>
            </w:r>
            <w:r w:rsidRPr="004A5F47">
              <w:rPr>
                <w:rFonts w:ascii="Book Antiqua" w:hAnsi="Book Antiqua"/>
                <w:lang w:val="en-US"/>
              </w:rPr>
              <w:t xml:space="preserve"> SCS (23)</w:t>
            </w:r>
          </w:p>
        </w:tc>
        <w:tc>
          <w:tcPr>
            <w:tcW w:w="561" w:type="pct"/>
            <w:shd w:val="clear" w:color="auto" w:fill="auto"/>
            <w:hideMark/>
          </w:tcPr>
          <w:p w14:paraId="4DAB30F3"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DBD</w:t>
            </w:r>
          </w:p>
        </w:tc>
        <w:tc>
          <w:tcPr>
            <w:tcW w:w="486" w:type="pct"/>
            <w:shd w:val="clear" w:color="auto" w:fill="auto"/>
            <w:hideMark/>
          </w:tcPr>
          <w:p w14:paraId="3B81A79B" w14:textId="77777777"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 xml:space="preserve"> 145 min</w:t>
            </w:r>
          </w:p>
        </w:tc>
        <w:tc>
          <w:tcPr>
            <w:tcW w:w="799" w:type="pct"/>
            <w:shd w:val="clear" w:color="auto" w:fill="auto"/>
            <w:hideMark/>
          </w:tcPr>
          <w:p w14:paraId="7807AA2A"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Biliary complications (clinical; radiological)</w:t>
            </w:r>
          </w:p>
        </w:tc>
        <w:tc>
          <w:tcPr>
            <w:tcW w:w="498" w:type="pct"/>
            <w:shd w:val="clear" w:color="auto" w:fill="auto"/>
            <w:hideMark/>
          </w:tcPr>
          <w:p w14:paraId="59180AB0" w14:textId="3580B500"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12 mo</w:t>
            </w:r>
          </w:p>
        </w:tc>
        <w:tc>
          <w:tcPr>
            <w:tcW w:w="347" w:type="pct"/>
            <w:shd w:val="clear" w:color="auto" w:fill="auto"/>
            <w:hideMark/>
          </w:tcPr>
          <w:p w14:paraId="0A5EDE54"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47" w:type="pct"/>
            <w:shd w:val="clear" w:color="auto" w:fill="auto"/>
            <w:hideMark/>
          </w:tcPr>
          <w:p w14:paraId="7483EE91"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4/23 (17%)</w:t>
            </w:r>
          </w:p>
        </w:tc>
        <w:tc>
          <w:tcPr>
            <w:tcW w:w="394" w:type="pct"/>
            <w:shd w:val="clear" w:color="auto" w:fill="auto"/>
            <w:hideMark/>
          </w:tcPr>
          <w:p w14:paraId="04641768"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82" w:type="pct"/>
            <w:shd w:val="clear" w:color="auto" w:fill="auto"/>
            <w:hideMark/>
          </w:tcPr>
          <w:p w14:paraId="0EE2A576"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6/23 (26%)</w:t>
            </w:r>
          </w:p>
        </w:tc>
      </w:tr>
      <w:tr w:rsidR="000E33B7" w:rsidRPr="004A5F47" w14:paraId="2359B52F" w14:textId="77777777" w:rsidTr="004C374C">
        <w:trPr>
          <w:trHeight w:val="420"/>
        </w:trPr>
        <w:tc>
          <w:tcPr>
            <w:tcW w:w="436" w:type="pct"/>
            <w:shd w:val="clear" w:color="auto" w:fill="auto"/>
            <w:hideMark/>
          </w:tcPr>
          <w:p w14:paraId="14B0DCF3" w14:textId="545986B8"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Patrono </w:t>
            </w:r>
            <w:r w:rsidRPr="004A5F47">
              <w:rPr>
                <w:rFonts w:ascii="Book Antiqua" w:hAnsi="Book Antiqua"/>
                <w:i/>
                <w:iCs/>
                <w:lang w:val="en-US"/>
              </w:rPr>
              <w:t>et al</w:t>
            </w:r>
            <w:r w:rsidRPr="004A5F47">
              <w:rPr>
                <w:rFonts w:ascii="Book Antiqua" w:hAnsi="Book Antiqua"/>
                <w:color w:val="000000" w:themeColor="text1"/>
                <w:vertAlign w:val="superscript"/>
                <w:lang w:val="en-US"/>
              </w:rPr>
              <w:t>[60</w:t>
            </w:r>
            <w:r w:rsidRPr="004A5F47">
              <w:rPr>
                <w:rFonts w:ascii="Book Antiqua" w:hAnsi="Book Antiqua"/>
                <w:color w:val="000000" w:themeColor="text1"/>
                <w:vertAlign w:val="superscript"/>
                <w:lang w:val="en-US" w:eastAsia="zh-CN"/>
              </w:rPr>
              <w:t>]</w:t>
            </w:r>
            <w:r w:rsidRPr="004A5F47">
              <w:rPr>
                <w:rFonts w:ascii="Book Antiqua" w:hAnsi="Book Antiqua"/>
                <w:lang w:val="en-US"/>
              </w:rPr>
              <w:t>, 2022</w:t>
            </w:r>
          </w:p>
        </w:tc>
        <w:tc>
          <w:tcPr>
            <w:tcW w:w="380" w:type="pct"/>
            <w:shd w:val="clear" w:color="auto" w:fill="auto"/>
            <w:hideMark/>
          </w:tcPr>
          <w:p w14:paraId="60190422"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Cohort</w:t>
            </w:r>
          </w:p>
        </w:tc>
        <w:tc>
          <w:tcPr>
            <w:tcW w:w="370" w:type="pct"/>
            <w:shd w:val="clear" w:color="auto" w:fill="auto"/>
            <w:hideMark/>
          </w:tcPr>
          <w:p w14:paraId="3AC06C7C" w14:textId="2E7A720B"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D-HOPE (121) </w:t>
            </w:r>
            <w:r w:rsidR="00202AE1" w:rsidRPr="004A5F47">
              <w:rPr>
                <w:rFonts w:ascii="Book Antiqua" w:hAnsi="Book Antiqua"/>
                <w:i/>
                <w:lang w:val="en-US"/>
              </w:rPr>
              <w:t>vs</w:t>
            </w:r>
            <w:r w:rsidRPr="004A5F47">
              <w:rPr>
                <w:rFonts w:ascii="Book Antiqua" w:hAnsi="Book Antiqua"/>
                <w:lang w:val="en-US"/>
              </w:rPr>
              <w:t xml:space="preserve"> SCS (723)</w:t>
            </w:r>
          </w:p>
        </w:tc>
        <w:tc>
          <w:tcPr>
            <w:tcW w:w="561" w:type="pct"/>
            <w:shd w:val="clear" w:color="auto" w:fill="auto"/>
            <w:hideMark/>
          </w:tcPr>
          <w:p w14:paraId="030EAC9D"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DBD</w:t>
            </w:r>
          </w:p>
        </w:tc>
        <w:tc>
          <w:tcPr>
            <w:tcW w:w="486" w:type="pct"/>
            <w:shd w:val="clear" w:color="auto" w:fill="auto"/>
            <w:hideMark/>
          </w:tcPr>
          <w:p w14:paraId="6500B529" w14:textId="77777777"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138 min</w:t>
            </w:r>
          </w:p>
        </w:tc>
        <w:tc>
          <w:tcPr>
            <w:tcW w:w="799" w:type="pct"/>
            <w:shd w:val="clear" w:color="auto" w:fill="auto"/>
            <w:hideMark/>
          </w:tcPr>
          <w:p w14:paraId="6732D397" w14:textId="184D1088" w:rsidR="000E33B7" w:rsidRPr="00815C0F" w:rsidRDefault="000E33B7" w:rsidP="00265460">
            <w:pPr>
              <w:pStyle w:val="EndNoteBibliography"/>
              <w:spacing w:line="360" w:lineRule="auto"/>
              <w:jc w:val="both"/>
              <w:rPr>
                <w:rFonts w:ascii="Book Antiqua" w:hAnsi="Book Antiqua"/>
                <w:lang w:val="en-US" w:eastAsia="zh-CN"/>
              </w:rPr>
            </w:pPr>
            <w:r w:rsidRPr="004A5F47">
              <w:rPr>
                <w:rFonts w:ascii="Book Antiqua" w:hAnsi="Book Antiqua"/>
                <w:lang w:val="en-US"/>
              </w:rPr>
              <w:t>Biliary complications 3-mo cholangiography if clinically indicated</w:t>
            </w:r>
          </w:p>
        </w:tc>
        <w:tc>
          <w:tcPr>
            <w:tcW w:w="498" w:type="pct"/>
            <w:shd w:val="clear" w:color="auto" w:fill="auto"/>
            <w:hideMark/>
          </w:tcPr>
          <w:p w14:paraId="23EC35B4" w14:textId="25AC9991"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Median 21.6 (D-HOPE) and 51.1 (SCS) mo</w:t>
            </w:r>
          </w:p>
        </w:tc>
        <w:tc>
          <w:tcPr>
            <w:tcW w:w="347" w:type="pct"/>
            <w:shd w:val="clear" w:color="auto" w:fill="auto"/>
            <w:hideMark/>
          </w:tcPr>
          <w:p w14:paraId="37D4F8CF"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47" w:type="pct"/>
            <w:shd w:val="clear" w:color="auto" w:fill="auto"/>
            <w:hideMark/>
          </w:tcPr>
          <w:p w14:paraId="0059DC71"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5/121 (4%)</w:t>
            </w:r>
          </w:p>
        </w:tc>
        <w:tc>
          <w:tcPr>
            <w:tcW w:w="394" w:type="pct"/>
            <w:shd w:val="clear" w:color="auto" w:fill="auto"/>
            <w:hideMark/>
          </w:tcPr>
          <w:p w14:paraId="126A9A38"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82" w:type="pct"/>
            <w:shd w:val="clear" w:color="auto" w:fill="auto"/>
            <w:hideMark/>
          </w:tcPr>
          <w:p w14:paraId="1EAB0E8B"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35/723 (5%)</w:t>
            </w:r>
          </w:p>
        </w:tc>
      </w:tr>
      <w:tr w:rsidR="000E33B7" w:rsidRPr="004A5F47" w14:paraId="17075497" w14:textId="77777777" w:rsidTr="004C374C">
        <w:trPr>
          <w:trHeight w:val="360"/>
        </w:trPr>
        <w:tc>
          <w:tcPr>
            <w:tcW w:w="436" w:type="pct"/>
            <w:shd w:val="clear" w:color="auto" w:fill="auto"/>
            <w:hideMark/>
          </w:tcPr>
          <w:p w14:paraId="43888B17" w14:textId="4669ADFC"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Rayar </w:t>
            </w:r>
            <w:r w:rsidRPr="004A5F47">
              <w:rPr>
                <w:rFonts w:ascii="Book Antiqua" w:hAnsi="Book Antiqua"/>
                <w:i/>
                <w:iCs/>
                <w:lang w:val="en-US"/>
              </w:rPr>
              <w:t>et al</w:t>
            </w:r>
            <w:r w:rsidRPr="004A5F47">
              <w:rPr>
                <w:rFonts w:ascii="Book Antiqua" w:hAnsi="Book Antiqua"/>
                <w:color w:val="000000" w:themeColor="text1"/>
                <w:vertAlign w:val="superscript"/>
                <w:lang w:val="en-US"/>
              </w:rPr>
              <w:t>[58</w:t>
            </w:r>
            <w:r w:rsidRPr="004A5F47">
              <w:rPr>
                <w:rFonts w:ascii="Book Antiqua" w:hAnsi="Book Antiqua"/>
                <w:color w:val="000000" w:themeColor="text1"/>
                <w:vertAlign w:val="superscript"/>
                <w:lang w:val="en-US" w:eastAsia="zh-CN"/>
              </w:rPr>
              <w:t>]</w:t>
            </w:r>
            <w:r w:rsidRPr="004A5F47">
              <w:rPr>
                <w:rFonts w:ascii="Book Antiqua" w:hAnsi="Book Antiqua"/>
                <w:lang w:val="en-US"/>
              </w:rPr>
              <w:t>, 2021</w:t>
            </w:r>
          </w:p>
        </w:tc>
        <w:tc>
          <w:tcPr>
            <w:tcW w:w="380" w:type="pct"/>
            <w:shd w:val="clear" w:color="auto" w:fill="auto"/>
            <w:hideMark/>
          </w:tcPr>
          <w:p w14:paraId="684CC1FA"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Cohort</w:t>
            </w:r>
          </w:p>
        </w:tc>
        <w:tc>
          <w:tcPr>
            <w:tcW w:w="370" w:type="pct"/>
            <w:shd w:val="clear" w:color="auto" w:fill="auto"/>
            <w:hideMark/>
          </w:tcPr>
          <w:p w14:paraId="63BA7EBE" w14:textId="6DC3E6C5"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HOPE (25) </w:t>
            </w:r>
            <w:r w:rsidR="00202AE1" w:rsidRPr="004A5F47">
              <w:rPr>
                <w:rFonts w:ascii="Book Antiqua" w:hAnsi="Book Antiqua"/>
                <w:i/>
                <w:lang w:val="en-US"/>
              </w:rPr>
              <w:t>vs</w:t>
            </w:r>
            <w:r w:rsidRPr="004A5F47">
              <w:rPr>
                <w:rFonts w:ascii="Book Antiqua" w:hAnsi="Book Antiqua"/>
                <w:lang w:val="en-US"/>
              </w:rPr>
              <w:t xml:space="preserve"> SCS (69)</w:t>
            </w:r>
          </w:p>
        </w:tc>
        <w:tc>
          <w:tcPr>
            <w:tcW w:w="561" w:type="pct"/>
            <w:shd w:val="clear" w:color="auto" w:fill="auto"/>
            <w:hideMark/>
          </w:tcPr>
          <w:p w14:paraId="049D2096"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DBD</w:t>
            </w:r>
          </w:p>
        </w:tc>
        <w:tc>
          <w:tcPr>
            <w:tcW w:w="486" w:type="pct"/>
            <w:shd w:val="clear" w:color="auto" w:fill="auto"/>
            <w:hideMark/>
          </w:tcPr>
          <w:p w14:paraId="1AF7BAA4" w14:textId="77777777"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117 min</w:t>
            </w:r>
          </w:p>
        </w:tc>
        <w:tc>
          <w:tcPr>
            <w:tcW w:w="799" w:type="pct"/>
            <w:shd w:val="clear" w:color="auto" w:fill="auto"/>
            <w:hideMark/>
          </w:tcPr>
          <w:p w14:paraId="2CBFD622"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NR</w:t>
            </w:r>
          </w:p>
        </w:tc>
        <w:tc>
          <w:tcPr>
            <w:tcW w:w="498" w:type="pct"/>
            <w:shd w:val="clear" w:color="auto" w:fill="auto"/>
            <w:hideMark/>
          </w:tcPr>
          <w:p w14:paraId="5686A4CD" w14:textId="698C1DF9"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12 mo</w:t>
            </w:r>
          </w:p>
        </w:tc>
        <w:tc>
          <w:tcPr>
            <w:tcW w:w="347" w:type="pct"/>
            <w:shd w:val="clear" w:color="auto" w:fill="auto"/>
            <w:hideMark/>
          </w:tcPr>
          <w:p w14:paraId="066D2D22"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47" w:type="pct"/>
            <w:shd w:val="clear" w:color="auto" w:fill="auto"/>
            <w:hideMark/>
          </w:tcPr>
          <w:p w14:paraId="256930F8"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0/25 (0%)</w:t>
            </w:r>
          </w:p>
        </w:tc>
        <w:tc>
          <w:tcPr>
            <w:tcW w:w="394" w:type="pct"/>
            <w:shd w:val="clear" w:color="auto" w:fill="auto"/>
            <w:hideMark/>
          </w:tcPr>
          <w:p w14:paraId="4F8855BC"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82" w:type="pct"/>
            <w:shd w:val="clear" w:color="auto" w:fill="auto"/>
            <w:hideMark/>
          </w:tcPr>
          <w:p w14:paraId="3C4DFD9D" w14:textId="06D09EBD" w:rsidR="000E33B7" w:rsidRPr="00815C0F" w:rsidRDefault="000E33B7" w:rsidP="00265460">
            <w:pPr>
              <w:pStyle w:val="EndNoteBibliography"/>
              <w:spacing w:line="360" w:lineRule="auto"/>
              <w:jc w:val="both"/>
              <w:rPr>
                <w:rFonts w:ascii="Book Antiqua" w:hAnsi="Book Antiqua"/>
                <w:lang w:val="en-US" w:eastAsia="zh-CN"/>
              </w:rPr>
            </w:pPr>
            <w:r w:rsidRPr="004A5F47">
              <w:rPr>
                <w:rFonts w:ascii="Book Antiqua" w:hAnsi="Book Antiqua"/>
                <w:lang w:val="en-US"/>
              </w:rPr>
              <w:t>1/69 (1.5%)</w:t>
            </w:r>
            <w:r w:rsidR="004921C8" w:rsidRPr="004A5F47">
              <w:rPr>
                <w:rFonts w:ascii="Book Antiqua" w:hAnsi="Book Antiqua"/>
                <w:vertAlign w:val="superscript"/>
                <w:lang w:val="en-US" w:eastAsia="zh-CN"/>
              </w:rPr>
              <w:t>1</w:t>
            </w:r>
          </w:p>
        </w:tc>
      </w:tr>
      <w:tr w:rsidR="000E33B7" w:rsidRPr="004A5F47" w14:paraId="4C3D4FBD" w14:textId="77777777" w:rsidTr="004C374C">
        <w:trPr>
          <w:trHeight w:val="600"/>
        </w:trPr>
        <w:tc>
          <w:tcPr>
            <w:tcW w:w="436" w:type="pct"/>
            <w:shd w:val="clear" w:color="auto" w:fill="auto"/>
            <w:hideMark/>
          </w:tcPr>
          <w:p w14:paraId="0F44F58E" w14:textId="3EDB1A6D" w:rsidR="000E33B7" w:rsidRPr="00815C0F" w:rsidRDefault="007B5FA3" w:rsidP="00265460">
            <w:pPr>
              <w:pStyle w:val="EndNoteBibliography"/>
              <w:spacing w:line="360" w:lineRule="auto"/>
              <w:jc w:val="both"/>
              <w:rPr>
                <w:rFonts w:ascii="Book Antiqua" w:hAnsi="Book Antiqua"/>
                <w:lang w:val="en-US"/>
              </w:rPr>
            </w:pPr>
            <w:r w:rsidRPr="004A5F47">
              <w:rPr>
                <w:rFonts w:ascii="Book Antiqua" w:hAnsi="Book Antiqua"/>
                <w:color w:val="000000" w:themeColor="text1"/>
                <w:lang w:val="en-US"/>
              </w:rPr>
              <w:t xml:space="preserve">Muller </w:t>
            </w:r>
            <w:r w:rsidRPr="004A5F47">
              <w:rPr>
                <w:rFonts w:ascii="Book Antiqua" w:hAnsi="Book Antiqua"/>
                <w:i/>
                <w:iCs/>
                <w:color w:val="000000" w:themeColor="text1"/>
                <w:lang w:val="en-US"/>
              </w:rPr>
              <w:t>et al</w:t>
            </w:r>
            <w:r w:rsidRPr="004A5F47">
              <w:rPr>
                <w:rFonts w:ascii="Book Antiqua" w:hAnsi="Book Antiqua"/>
                <w:color w:val="000000" w:themeColor="text1"/>
                <w:vertAlign w:val="superscript"/>
                <w:lang w:val="en-US"/>
              </w:rPr>
              <w:t>[37</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rPr>
              <w:t>, 2020</w:t>
            </w:r>
          </w:p>
        </w:tc>
        <w:tc>
          <w:tcPr>
            <w:tcW w:w="380" w:type="pct"/>
            <w:shd w:val="clear" w:color="auto" w:fill="auto"/>
            <w:hideMark/>
          </w:tcPr>
          <w:p w14:paraId="638D141D"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Cohort</w:t>
            </w:r>
          </w:p>
        </w:tc>
        <w:tc>
          <w:tcPr>
            <w:tcW w:w="370" w:type="pct"/>
            <w:shd w:val="clear" w:color="auto" w:fill="auto"/>
            <w:hideMark/>
          </w:tcPr>
          <w:p w14:paraId="364979F9" w14:textId="0B17238F"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NRP (132) </w:t>
            </w:r>
            <w:r w:rsidR="00202AE1" w:rsidRPr="004A5F47">
              <w:rPr>
                <w:rFonts w:ascii="Book Antiqua" w:hAnsi="Book Antiqua"/>
                <w:i/>
                <w:lang w:val="en-US"/>
              </w:rPr>
              <w:t>vs</w:t>
            </w:r>
            <w:r w:rsidRPr="004A5F47">
              <w:rPr>
                <w:rFonts w:ascii="Book Antiqua" w:hAnsi="Book Antiqua"/>
                <w:lang w:val="en-US"/>
              </w:rPr>
              <w:t xml:space="preserve"> HOPE (93)</w:t>
            </w:r>
          </w:p>
        </w:tc>
        <w:tc>
          <w:tcPr>
            <w:tcW w:w="561" w:type="pct"/>
            <w:shd w:val="clear" w:color="auto" w:fill="auto"/>
            <w:hideMark/>
          </w:tcPr>
          <w:p w14:paraId="3BD90C57"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DCD</w:t>
            </w:r>
          </w:p>
        </w:tc>
        <w:tc>
          <w:tcPr>
            <w:tcW w:w="486" w:type="pct"/>
            <w:shd w:val="clear" w:color="auto" w:fill="auto"/>
            <w:hideMark/>
          </w:tcPr>
          <w:p w14:paraId="10BB3901" w14:textId="77777777"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132 min</w:t>
            </w:r>
          </w:p>
        </w:tc>
        <w:tc>
          <w:tcPr>
            <w:tcW w:w="799" w:type="pct"/>
            <w:shd w:val="clear" w:color="auto" w:fill="auto"/>
            <w:hideMark/>
          </w:tcPr>
          <w:p w14:paraId="79869534"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NAS was defined as strictures with or without HA thrombosis or arterial complications. </w:t>
            </w:r>
          </w:p>
        </w:tc>
        <w:tc>
          <w:tcPr>
            <w:tcW w:w="498" w:type="pct"/>
            <w:shd w:val="clear" w:color="auto" w:fill="auto"/>
            <w:hideMark/>
          </w:tcPr>
          <w:p w14:paraId="3B16F4C9" w14:textId="0634C0A4"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Median 20 (NRP) 28 mo (HOPE) mo</w:t>
            </w:r>
          </w:p>
        </w:tc>
        <w:tc>
          <w:tcPr>
            <w:tcW w:w="347" w:type="pct"/>
            <w:shd w:val="clear" w:color="auto" w:fill="auto"/>
            <w:hideMark/>
          </w:tcPr>
          <w:p w14:paraId="7AB99776"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2/32 (6.3%)</w:t>
            </w:r>
          </w:p>
        </w:tc>
        <w:tc>
          <w:tcPr>
            <w:tcW w:w="347" w:type="pct"/>
            <w:shd w:val="clear" w:color="auto" w:fill="auto"/>
            <w:hideMark/>
          </w:tcPr>
          <w:p w14:paraId="3CF47EE8"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94" w:type="pct"/>
            <w:shd w:val="clear" w:color="auto" w:fill="auto"/>
            <w:hideMark/>
          </w:tcPr>
          <w:p w14:paraId="0AB5597C" w14:textId="3D8176D5"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4/32 (12.5%)</w:t>
            </w:r>
          </w:p>
        </w:tc>
        <w:tc>
          <w:tcPr>
            <w:tcW w:w="382" w:type="pct"/>
            <w:shd w:val="clear" w:color="auto" w:fill="auto"/>
            <w:hideMark/>
          </w:tcPr>
          <w:p w14:paraId="6A369D4C"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r>
      <w:tr w:rsidR="000E33B7" w:rsidRPr="004A5F47" w14:paraId="779EE24B" w14:textId="77777777" w:rsidTr="004C374C">
        <w:trPr>
          <w:trHeight w:val="441"/>
        </w:trPr>
        <w:tc>
          <w:tcPr>
            <w:tcW w:w="436" w:type="pct"/>
            <w:shd w:val="clear" w:color="auto" w:fill="auto"/>
            <w:hideMark/>
          </w:tcPr>
          <w:p w14:paraId="6728EB69" w14:textId="5F44825F"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lastRenderedPageBreak/>
              <w:t xml:space="preserve">Ravaioli </w:t>
            </w:r>
            <w:r w:rsidRPr="004A5F47">
              <w:rPr>
                <w:rFonts w:ascii="Book Antiqua" w:hAnsi="Book Antiqua"/>
                <w:i/>
                <w:iCs/>
                <w:lang w:val="en-US"/>
              </w:rPr>
              <w:t>et al</w:t>
            </w:r>
            <w:r w:rsidRPr="004A5F47">
              <w:rPr>
                <w:rFonts w:ascii="Book Antiqua" w:hAnsi="Book Antiqua"/>
                <w:color w:val="000000" w:themeColor="text1"/>
                <w:vertAlign w:val="superscript"/>
                <w:lang w:val="en-US"/>
              </w:rPr>
              <w:t>[59</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eastAsia="zh-CN"/>
              </w:rPr>
              <w:t xml:space="preserve">, </w:t>
            </w:r>
            <w:r w:rsidRPr="004A5F47">
              <w:rPr>
                <w:rFonts w:ascii="Book Antiqua" w:hAnsi="Book Antiqua"/>
                <w:lang w:val="en-US"/>
              </w:rPr>
              <w:t>2020</w:t>
            </w:r>
          </w:p>
        </w:tc>
        <w:tc>
          <w:tcPr>
            <w:tcW w:w="380" w:type="pct"/>
            <w:shd w:val="clear" w:color="auto" w:fill="auto"/>
            <w:hideMark/>
          </w:tcPr>
          <w:p w14:paraId="27DC0E9C"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Cohort</w:t>
            </w:r>
          </w:p>
        </w:tc>
        <w:tc>
          <w:tcPr>
            <w:tcW w:w="370" w:type="pct"/>
            <w:shd w:val="clear" w:color="auto" w:fill="auto"/>
            <w:hideMark/>
          </w:tcPr>
          <w:p w14:paraId="40294CFD" w14:textId="5CC63A0A"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HOPE (10) </w:t>
            </w:r>
            <w:r w:rsidR="00202AE1" w:rsidRPr="004A5F47">
              <w:rPr>
                <w:rFonts w:ascii="Book Antiqua" w:hAnsi="Book Antiqua"/>
                <w:i/>
                <w:lang w:val="en-US"/>
              </w:rPr>
              <w:t>vs</w:t>
            </w:r>
            <w:r w:rsidRPr="004A5F47">
              <w:rPr>
                <w:rFonts w:ascii="Book Antiqua" w:hAnsi="Book Antiqua"/>
                <w:lang w:val="en-US"/>
              </w:rPr>
              <w:t xml:space="preserve"> SCS (30)</w:t>
            </w:r>
          </w:p>
        </w:tc>
        <w:tc>
          <w:tcPr>
            <w:tcW w:w="561" w:type="pct"/>
            <w:shd w:val="clear" w:color="auto" w:fill="auto"/>
            <w:hideMark/>
          </w:tcPr>
          <w:p w14:paraId="0B7B6958"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DBD</w:t>
            </w:r>
          </w:p>
        </w:tc>
        <w:tc>
          <w:tcPr>
            <w:tcW w:w="486" w:type="pct"/>
            <w:shd w:val="clear" w:color="auto" w:fill="auto"/>
            <w:hideMark/>
          </w:tcPr>
          <w:p w14:paraId="188509DF" w14:textId="77777777"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132 min</w:t>
            </w:r>
          </w:p>
        </w:tc>
        <w:tc>
          <w:tcPr>
            <w:tcW w:w="799" w:type="pct"/>
            <w:shd w:val="clear" w:color="auto" w:fill="auto"/>
            <w:hideMark/>
          </w:tcPr>
          <w:p w14:paraId="42D86CA1"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NR</w:t>
            </w:r>
          </w:p>
        </w:tc>
        <w:tc>
          <w:tcPr>
            <w:tcW w:w="498" w:type="pct"/>
            <w:shd w:val="clear" w:color="auto" w:fill="auto"/>
            <w:hideMark/>
          </w:tcPr>
          <w:p w14:paraId="03CC344F" w14:textId="30CF149E"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12 mo</w:t>
            </w:r>
          </w:p>
        </w:tc>
        <w:tc>
          <w:tcPr>
            <w:tcW w:w="347" w:type="pct"/>
            <w:shd w:val="clear" w:color="auto" w:fill="auto"/>
            <w:hideMark/>
          </w:tcPr>
          <w:p w14:paraId="4BFF69AE"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47" w:type="pct"/>
            <w:shd w:val="clear" w:color="auto" w:fill="auto"/>
            <w:hideMark/>
          </w:tcPr>
          <w:p w14:paraId="20860DC8"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NP</w:t>
            </w:r>
          </w:p>
        </w:tc>
        <w:tc>
          <w:tcPr>
            <w:tcW w:w="394" w:type="pct"/>
            <w:shd w:val="clear" w:color="auto" w:fill="auto"/>
            <w:hideMark/>
          </w:tcPr>
          <w:p w14:paraId="51CB75C4"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82" w:type="pct"/>
            <w:shd w:val="clear" w:color="auto" w:fill="auto"/>
            <w:hideMark/>
          </w:tcPr>
          <w:p w14:paraId="0571BE51"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NP</w:t>
            </w:r>
          </w:p>
        </w:tc>
      </w:tr>
      <w:tr w:rsidR="000E33B7" w:rsidRPr="004A5F47" w14:paraId="5B7DE7FC" w14:textId="77777777" w:rsidTr="004C374C">
        <w:trPr>
          <w:trHeight w:val="501"/>
        </w:trPr>
        <w:tc>
          <w:tcPr>
            <w:tcW w:w="436" w:type="pct"/>
            <w:shd w:val="clear" w:color="auto" w:fill="auto"/>
            <w:hideMark/>
          </w:tcPr>
          <w:p w14:paraId="255C5248" w14:textId="624A70F1"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Schlegel </w:t>
            </w:r>
            <w:r w:rsidRPr="004A5F47">
              <w:rPr>
                <w:rFonts w:ascii="Book Antiqua" w:hAnsi="Book Antiqua"/>
                <w:i/>
                <w:iCs/>
                <w:lang w:val="en-US"/>
              </w:rPr>
              <w:t>et al</w:t>
            </w:r>
            <w:r w:rsidRPr="004A5F47">
              <w:rPr>
                <w:rFonts w:ascii="Book Antiqua" w:hAnsi="Book Antiqua"/>
                <w:color w:val="000000" w:themeColor="text1"/>
                <w:vertAlign w:val="superscript"/>
                <w:lang w:val="en-US"/>
              </w:rPr>
              <w:t>[55</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eastAsia="zh-CN"/>
              </w:rPr>
              <w:t>,</w:t>
            </w:r>
            <w:r w:rsidRPr="004A5F47">
              <w:rPr>
                <w:rFonts w:ascii="Book Antiqua" w:hAnsi="Book Antiqua"/>
                <w:lang w:val="en-US"/>
              </w:rPr>
              <w:t xml:space="preserve"> 2019</w:t>
            </w:r>
          </w:p>
        </w:tc>
        <w:tc>
          <w:tcPr>
            <w:tcW w:w="380" w:type="pct"/>
            <w:shd w:val="clear" w:color="auto" w:fill="auto"/>
            <w:hideMark/>
          </w:tcPr>
          <w:p w14:paraId="61CD515F"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Cohort</w:t>
            </w:r>
          </w:p>
        </w:tc>
        <w:tc>
          <w:tcPr>
            <w:tcW w:w="370" w:type="pct"/>
            <w:shd w:val="clear" w:color="auto" w:fill="auto"/>
            <w:hideMark/>
          </w:tcPr>
          <w:p w14:paraId="1CB792B7" w14:textId="0292B6C5"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HOPE (50) </w:t>
            </w:r>
            <w:r w:rsidR="00202AE1" w:rsidRPr="004A5F47">
              <w:rPr>
                <w:rFonts w:ascii="Book Antiqua" w:hAnsi="Book Antiqua"/>
                <w:i/>
                <w:lang w:val="en-US"/>
              </w:rPr>
              <w:t>vs</w:t>
            </w:r>
            <w:r w:rsidRPr="004A5F47">
              <w:rPr>
                <w:rFonts w:ascii="Book Antiqua" w:hAnsi="Book Antiqua"/>
                <w:lang w:val="en-US"/>
              </w:rPr>
              <w:t xml:space="preserve"> SCS DBD (50) </w:t>
            </w:r>
            <w:r w:rsidR="00202AE1" w:rsidRPr="004A5F47">
              <w:rPr>
                <w:rFonts w:ascii="Book Antiqua" w:hAnsi="Book Antiqua"/>
                <w:i/>
                <w:lang w:val="en-US"/>
              </w:rPr>
              <w:t>vs</w:t>
            </w:r>
            <w:r w:rsidRPr="004A5F47">
              <w:rPr>
                <w:rFonts w:ascii="Book Antiqua" w:hAnsi="Book Antiqua"/>
                <w:lang w:val="en-US"/>
              </w:rPr>
              <w:t xml:space="preserve"> SCS DCD (50)</w:t>
            </w:r>
          </w:p>
        </w:tc>
        <w:tc>
          <w:tcPr>
            <w:tcW w:w="561" w:type="pct"/>
            <w:shd w:val="clear" w:color="auto" w:fill="auto"/>
            <w:hideMark/>
          </w:tcPr>
          <w:p w14:paraId="49842ADB"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Both</w:t>
            </w:r>
          </w:p>
        </w:tc>
        <w:tc>
          <w:tcPr>
            <w:tcW w:w="486" w:type="pct"/>
            <w:shd w:val="clear" w:color="auto" w:fill="auto"/>
            <w:hideMark/>
          </w:tcPr>
          <w:p w14:paraId="6E6CEC1F" w14:textId="77777777"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120 min</w:t>
            </w:r>
          </w:p>
        </w:tc>
        <w:tc>
          <w:tcPr>
            <w:tcW w:w="799" w:type="pct"/>
            <w:shd w:val="clear" w:color="auto" w:fill="auto"/>
            <w:hideMark/>
          </w:tcPr>
          <w:p w14:paraId="63AB55EC"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Ischemic cholangiopathy defined radiologically, as intrahepatic or hilar BS and dilatations with patent HA</w:t>
            </w:r>
          </w:p>
        </w:tc>
        <w:tc>
          <w:tcPr>
            <w:tcW w:w="498" w:type="pct"/>
            <w:shd w:val="clear" w:color="auto" w:fill="auto"/>
            <w:hideMark/>
          </w:tcPr>
          <w:p w14:paraId="3F0C37E5" w14:textId="20052A09" w:rsidR="000E33B7" w:rsidRPr="00815C0F" w:rsidRDefault="009F6A3C" w:rsidP="00265460">
            <w:pPr>
              <w:pStyle w:val="EndNoteBibliography"/>
              <w:spacing w:line="360" w:lineRule="auto"/>
              <w:jc w:val="both"/>
              <w:rPr>
                <w:rFonts w:ascii="Book Antiqua" w:hAnsi="Book Antiqua"/>
                <w:lang w:val="en-US" w:eastAsia="zh-CN"/>
              </w:rPr>
            </w:pPr>
            <w:r w:rsidRPr="004A5F47">
              <w:rPr>
                <w:rFonts w:ascii="Book Antiqua" w:hAnsi="Book Antiqua"/>
                <w:lang w:val="en-US"/>
              </w:rPr>
              <w:t>5 y</w:t>
            </w:r>
            <w:r w:rsidR="000E33B7" w:rsidRPr="004A5F47">
              <w:rPr>
                <w:rFonts w:ascii="Book Antiqua" w:hAnsi="Book Antiqua"/>
                <w:lang w:val="en-US"/>
              </w:rPr>
              <w:t>r</w:t>
            </w:r>
          </w:p>
        </w:tc>
        <w:tc>
          <w:tcPr>
            <w:tcW w:w="347" w:type="pct"/>
            <w:shd w:val="clear" w:color="auto" w:fill="auto"/>
            <w:hideMark/>
          </w:tcPr>
          <w:p w14:paraId="52C91B04"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4/50 (8%)</w:t>
            </w:r>
          </w:p>
        </w:tc>
        <w:tc>
          <w:tcPr>
            <w:tcW w:w="347" w:type="pct"/>
            <w:shd w:val="clear" w:color="auto" w:fill="auto"/>
            <w:hideMark/>
          </w:tcPr>
          <w:p w14:paraId="081E4598"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94" w:type="pct"/>
            <w:shd w:val="clear" w:color="auto" w:fill="auto"/>
            <w:hideMark/>
          </w:tcPr>
          <w:p w14:paraId="0C60833B"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11/50 (22%)</w:t>
            </w:r>
          </w:p>
        </w:tc>
        <w:tc>
          <w:tcPr>
            <w:tcW w:w="382" w:type="pct"/>
            <w:shd w:val="clear" w:color="auto" w:fill="auto"/>
            <w:hideMark/>
          </w:tcPr>
          <w:p w14:paraId="6D972BF3"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1/50 (2%)</w:t>
            </w:r>
          </w:p>
        </w:tc>
      </w:tr>
      <w:tr w:rsidR="000E33B7" w:rsidRPr="004A5F47" w14:paraId="58A08CDE" w14:textId="77777777" w:rsidTr="004C374C">
        <w:trPr>
          <w:trHeight w:val="801"/>
        </w:trPr>
        <w:tc>
          <w:tcPr>
            <w:tcW w:w="436" w:type="pct"/>
            <w:shd w:val="clear" w:color="auto" w:fill="auto"/>
            <w:hideMark/>
          </w:tcPr>
          <w:p w14:paraId="08399F2B" w14:textId="5CDBC61C"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van Rijn </w:t>
            </w:r>
            <w:r w:rsidRPr="004A5F47">
              <w:rPr>
                <w:rFonts w:ascii="Book Antiqua" w:hAnsi="Book Antiqua"/>
                <w:i/>
                <w:iCs/>
                <w:lang w:val="en-US"/>
              </w:rPr>
              <w:t>et al</w:t>
            </w:r>
            <w:r w:rsidRPr="004A5F47">
              <w:rPr>
                <w:rFonts w:ascii="Book Antiqua" w:hAnsi="Book Antiqua"/>
                <w:color w:val="000000" w:themeColor="text1"/>
                <w:vertAlign w:val="superscript"/>
                <w:lang w:val="en-US"/>
              </w:rPr>
              <w:t>[51</w:t>
            </w:r>
            <w:r w:rsidRPr="004A5F47">
              <w:rPr>
                <w:rFonts w:ascii="Book Antiqua" w:hAnsi="Book Antiqua"/>
                <w:color w:val="000000" w:themeColor="text1"/>
                <w:vertAlign w:val="superscript"/>
                <w:lang w:val="en-US" w:eastAsia="zh-CN"/>
              </w:rPr>
              <w:t>]</w:t>
            </w:r>
            <w:r w:rsidRPr="004A5F47">
              <w:rPr>
                <w:rFonts w:ascii="Book Antiqua" w:hAnsi="Book Antiqua"/>
                <w:color w:val="000000" w:themeColor="text1"/>
                <w:lang w:val="en-US" w:eastAsia="zh-CN"/>
              </w:rPr>
              <w:t xml:space="preserve">, </w:t>
            </w:r>
            <w:r w:rsidRPr="004A5F47">
              <w:rPr>
                <w:rFonts w:ascii="Book Antiqua" w:hAnsi="Book Antiqua"/>
                <w:lang w:val="en-US"/>
              </w:rPr>
              <w:t>2017</w:t>
            </w:r>
          </w:p>
        </w:tc>
        <w:tc>
          <w:tcPr>
            <w:tcW w:w="380" w:type="pct"/>
            <w:shd w:val="clear" w:color="auto" w:fill="auto"/>
            <w:hideMark/>
          </w:tcPr>
          <w:p w14:paraId="259BE853"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Cohort</w:t>
            </w:r>
          </w:p>
        </w:tc>
        <w:tc>
          <w:tcPr>
            <w:tcW w:w="370" w:type="pct"/>
            <w:shd w:val="clear" w:color="auto" w:fill="auto"/>
            <w:hideMark/>
          </w:tcPr>
          <w:p w14:paraId="692C785D" w14:textId="623B41AB" w:rsidR="000E33B7" w:rsidRPr="00815C0F" w:rsidRDefault="00202AE1"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D-HOPE (10) </w:t>
            </w:r>
            <w:r w:rsidRPr="004A5F47">
              <w:rPr>
                <w:rFonts w:ascii="Book Antiqua" w:hAnsi="Book Antiqua"/>
                <w:i/>
                <w:lang w:val="en-US"/>
              </w:rPr>
              <w:t>vs</w:t>
            </w:r>
            <w:r w:rsidR="000E33B7" w:rsidRPr="004A5F47">
              <w:rPr>
                <w:rFonts w:ascii="Book Antiqua" w:hAnsi="Book Antiqua"/>
                <w:lang w:val="en-US"/>
              </w:rPr>
              <w:t xml:space="preserve"> SCS (20)</w:t>
            </w:r>
          </w:p>
        </w:tc>
        <w:tc>
          <w:tcPr>
            <w:tcW w:w="561" w:type="pct"/>
            <w:shd w:val="clear" w:color="auto" w:fill="auto"/>
            <w:hideMark/>
          </w:tcPr>
          <w:p w14:paraId="6A127B2C"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DCD</w:t>
            </w:r>
          </w:p>
        </w:tc>
        <w:tc>
          <w:tcPr>
            <w:tcW w:w="486" w:type="pct"/>
            <w:shd w:val="clear" w:color="auto" w:fill="auto"/>
            <w:hideMark/>
          </w:tcPr>
          <w:p w14:paraId="620C3CB2" w14:textId="77777777" w:rsidR="000E33B7" w:rsidRPr="00815C0F" w:rsidRDefault="000E33B7" w:rsidP="00265460">
            <w:pPr>
              <w:pStyle w:val="EndNoteBibliography"/>
              <w:spacing w:line="360" w:lineRule="auto"/>
              <w:jc w:val="both"/>
              <w:rPr>
                <w:rFonts w:ascii="Book Antiqua" w:hAnsi="Book Antiqua"/>
                <w:iCs/>
                <w:lang w:val="en-US"/>
              </w:rPr>
            </w:pPr>
            <w:r w:rsidRPr="004A5F47">
              <w:rPr>
                <w:rFonts w:ascii="Book Antiqua" w:hAnsi="Book Antiqua"/>
                <w:iCs/>
                <w:lang w:val="en-US"/>
              </w:rPr>
              <w:t>126 min</w:t>
            </w:r>
          </w:p>
        </w:tc>
        <w:tc>
          <w:tcPr>
            <w:tcW w:w="799" w:type="pct"/>
            <w:shd w:val="clear" w:color="auto" w:fill="auto"/>
            <w:hideMark/>
          </w:tcPr>
          <w:p w14:paraId="0A816038"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 xml:space="preserve">NAS was defined as bile duct stenosis in the biliary tree as detected by ERCP or MRCP with clinical signs of cholestasis </w:t>
            </w:r>
            <w:r w:rsidRPr="004A5F47">
              <w:rPr>
                <w:rFonts w:ascii="Book Antiqua" w:hAnsi="Book Antiqua"/>
                <w:lang w:val="en-US"/>
              </w:rPr>
              <w:lastRenderedPageBreak/>
              <w:t>and/or cholangitis in the presence of a patent HA</w:t>
            </w:r>
          </w:p>
        </w:tc>
        <w:tc>
          <w:tcPr>
            <w:tcW w:w="498" w:type="pct"/>
            <w:shd w:val="clear" w:color="auto" w:fill="auto"/>
            <w:hideMark/>
          </w:tcPr>
          <w:p w14:paraId="2054F8DF" w14:textId="012A6CDF"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lastRenderedPageBreak/>
              <w:t>12 mo</w:t>
            </w:r>
          </w:p>
        </w:tc>
        <w:tc>
          <w:tcPr>
            <w:tcW w:w="347" w:type="pct"/>
            <w:shd w:val="clear" w:color="auto" w:fill="auto"/>
            <w:hideMark/>
          </w:tcPr>
          <w:p w14:paraId="76DC4326"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1/10 (10%)</w:t>
            </w:r>
          </w:p>
        </w:tc>
        <w:tc>
          <w:tcPr>
            <w:tcW w:w="347" w:type="pct"/>
            <w:shd w:val="clear" w:color="auto" w:fill="auto"/>
            <w:hideMark/>
          </w:tcPr>
          <w:p w14:paraId="7B08F539"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c>
          <w:tcPr>
            <w:tcW w:w="394" w:type="pct"/>
            <w:shd w:val="clear" w:color="auto" w:fill="auto"/>
            <w:hideMark/>
          </w:tcPr>
          <w:p w14:paraId="21B4859E" w14:textId="4E9D3FEA" w:rsidR="000E33B7" w:rsidRPr="00815C0F" w:rsidRDefault="000E33B7" w:rsidP="00265460">
            <w:pPr>
              <w:pStyle w:val="EndNoteBibliography"/>
              <w:spacing w:line="360" w:lineRule="auto"/>
              <w:jc w:val="both"/>
              <w:rPr>
                <w:rFonts w:ascii="Book Antiqua" w:hAnsi="Book Antiqua"/>
                <w:lang w:val="en-US" w:eastAsia="zh-CN"/>
              </w:rPr>
            </w:pPr>
            <w:r w:rsidRPr="004A5F47">
              <w:rPr>
                <w:rFonts w:ascii="Book Antiqua" w:hAnsi="Book Antiqua"/>
                <w:lang w:val="en-US"/>
              </w:rPr>
              <w:t>9/20 (45%)</w:t>
            </w:r>
            <w:r w:rsidR="004921C8" w:rsidRPr="004A5F47">
              <w:rPr>
                <w:rFonts w:ascii="Book Antiqua" w:hAnsi="Book Antiqua"/>
                <w:vertAlign w:val="superscript"/>
                <w:lang w:val="en-US" w:eastAsia="zh-CN"/>
              </w:rPr>
              <w:t>2</w:t>
            </w:r>
          </w:p>
        </w:tc>
        <w:tc>
          <w:tcPr>
            <w:tcW w:w="382" w:type="pct"/>
            <w:shd w:val="clear" w:color="auto" w:fill="auto"/>
            <w:hideMark/>
          </w:tcPr>
          <w:p w14:paraId="2576C642" w14:textId="77777777" w:rsidR="000E33B7" w:rsidRPr="00815C0F" w:rsidRDefault="000E33B7" w:rsidP="00265460">
            <w:pPr>
              <w:pStyle w:val="EndNoteBibliography"/>
              <w:spacing w:line="360" w:lineRule="auto"/>
              <w:jc w:val="both"/>
              <w:rPr>
                <w:rFonts w:ascii="Book Antiqua" w:hAnsi="Book Antiqua"/>
                <w:lang w:val="en-US"/>
              </w:rPr>
            </w:pPr>
            <w:r w:rsidRPr="004A5F47">
              <w:rPr>
                <w:rFonts w:ascii="Book Antiqua" w:hAnsi="Book Antiqua"/>
                <w:lang w:val="en-US"/>
              </w:rPr>
              <w:t>NA</w:t>
            </w:r>
          </w:p>
        </w:tc>
      </w:tr>
    </w:tbl>
    <w:p w14:paraId="45A9F666" w14:textId="5F4E5756" w:rsidR="0000165B" w:rsidRPr="004A5F47" w:rsidRDefault="000D5EEF" w:rsidP="00265460">
      <w:pPr>
        <w:pStyle w:val="EndNoteBibliography"/>
        <w:spacing w:line="360" w:lineRule="auto"/>
        <w:jc w:val="both"/>
        <w:rPr>
          <w:rFonts w:ascii="Book Antiqua" w:hAnsi="Book Antiqua" w:cs="Times New Roman"/>
          <w:lang w:eastAsia="zh-CN"/>
        </w:rPr>
      </w:pPr>
      <w:r w:rsidRPr="004A5F47">
        <w:rPr>
          <w:rFonts w:ascii="Book Antiqua" w:hAnsi="Book Antiqua" w:cs="Times New Roman"/>
          <w:vertAlign w:val="superscript"/>
          <w:lang w:eastAsia="zh-CN"/>
        </w:rPr>
        <w:t>1</w:t>
      </w:r>
      <w:r w:rsidR="000E33B7" w:rsidRPr="004A5F47">
        <w:rPr>
          <w:rFonts w:ascii="Book Antiqua" w:hAnsi="Book Antiqua" w:cs="Times New Roman"/>
        </w:rPr>
        <w:t>Ischemic necrosis</w:t>
      </w:r>
      <w:r w:rsidR="003E6E3F" w:rsidRPr="004A5F47">
        <w:rPr>
          <w:rFonts w:ascii="Book Antiqua" w:hAnsi="Book Antiqua" w:cs="Times New Roman"/>
          <w:lang w:eastAsia="zh-CN"/>
        </w:rPr>
        <w:t xml:space="preserve">; </w:t>
      </w:r>
      <w:r w:rsidRPr="004A5F47">
        <w:rPr>
          <w:rFonts w:ascii="Book Antiqua" w:hAnsi="Book Antiqua"/>
          <w:vertAlign w:val="superscript"/>
          <w:lang w:eastAsia="zh-CN"/>
        </w:rPr>
        <w:t>2</w:t>
      </w:r>
      <w:r w:rsidR="000E33B7" w:rsidRPr="004A5F47">
        <w:rPr>
          <w:rFonts w:ascii="Book Antiqua" w:hAnsi="Book Antiqua" w:cs="Times New Roman"/>
        </w:rPr>
        <w:t>Biliary necrosis 2/9</w:t>
      </w:r>
      <w:r w:rsidR="008934E1" w:rsidRPr="004A5F47">
        <w:rPr>
          <w:rFonts w:ascii="Book Antiqua" w:hAnsi="Book Antiqua" w:cs="Times New Roman"/>
          <w:lang w:eastAsia="zh-CN"/>
        </w:rPr>
        <w:t>.</w:t>
      </w:r>
      <w:r w:rsidR="003E6E3F" w:rsidRPr="004A5F47">
        <w:rPr>
          <w:rFonts w:ascii="Book Antiqua" w:hAnsi="Book Antiqua" w:cs="Times New Roman"/>
        </w:rPr>
        <w:t xml:space="preserve"> </w:t>
      </w:r>
      <w:r w:rsidR="0000165B" w:rsidRPr="004A5F47">
        <w:rPr>
          <w:rFonts w:ascii="Book Antiqua" w:hAnsi="Book Antiqua" w:cs="Times New Roman"/>
        </w:rPr>
        <w:t>BS</w:t>
      </w:r>
      <w:r w:rsidR="0000165B" w:rsidRPr="004A5F47">
        <w:rPr>
          <w:rFonts w:ascii="Book Antiqua" w:hAnsi="Book Antiqua" w:cs="Times New Roman"/>
          <w:lang w:eastAsia="zh-CN"/>
        </w:rPr>
        <w:t>:</w:t>
      </w:r>
      <w:r w:rsidR="0000165B" w:rsidRPr="004A5F47">
        <w:rPr>
          <w:rFonts w:ascii="Book Antiqua" w:hAnsi="Book Antiqua" w:cs="Times New Roman"/>
        </w:rPr>
        <w:t xml:space="preserve"> Biliary strictures</w:t>
      </w:r>
      <w:r w:rsidR="0000165B" w:rsidRPr="004A5F47">
        <w:rPr>
          <w:rFonts w:ascii="Book Antiqua" w:hAnsi="Book Antiqua" w:cs="Times New Roman"/>
          <w:lang w:eastAsia="zh-CN"/>
        </w:rPr>
        <w:t>;</w:t>
      </w:r>
      <w:r w:rsidR="0000165B" w:rsidRPr="004A5F47">
        <w:rPr>
          <w:rFonts w:ascii="Book Antiqua" w:hAnsi="Book Antiqua" w:cs="Times New Roman"/>
        </w:rPr>
        <w:t xml:space="preserve"> </w:t>
      </w:r>
      <w:r w:rsidR="009D6F57" w:rsidRPr="004A5F47">
        <w:rPr>
          <w:rFonts w:ascii="Book Antiqua" w:hAnsi="Book Antiqua" w:cs="Times New Roman"/>
          <w:lang w:eastAsia="zh-CN"/>
        </w:rPr>
        <w:t xml:space="preserve">DBD: </w:t>
      </w:r>
      <w:r w:rsidR="009D6F57" w:rsidRPr="004A5F47">
        <w:rPr>
          <w:rFonts w:ascii="Book Antiqua" w:eastAsia="Book Antiqua" w:hAnsi="Book Antiqua" w:cs="Book Antiqua"/>
          <w:color w:val="000000"/>
        </w:rPr>
        <w:t>Donor after Brain Death</w:t>
      </w:r>
      <w:r w:rsidR="009D6F57" w:rsidRPr="004A5F47">
        <w:rPr>
          <w:rFonts w:ascii="Book Antiqua" w:hAnsi="Book Antiqua" w:cs="Times New Roman"/>
          <w:lang w:eastAsia="zh-CN"/>
        </w:rPr>
        <w:t xml:space="preserve">; DCD: </w:t>
      </w:r>
      <w:r w:rsidR="009D6F57" w:rsidRPr="004A5F47">
        <w:rPr>
          <w:rFonts w:ascii="Book Antiqua" w:hAnsi="Book Antiqua" w:cs="Book Antiqua"/>
          <w:color w:val="000000"/>
          <w:shd w:val="clear" w:color="auto" w:fill="FFFFFF"/>
          <w:lang w:eastAsia="zh-CN"/>
        </w:rPr>
        <w:t>D</w:t>
      </w:r>
      <w:r w:rsidR="009D6F57" w:rsidRPr="004A5F47">
        <w:rPr>
          <w:rFonts w:ascii="Book Antiqua" w:eastAsia="Book Antiqua" w:hAnsi="Book Antiqua" w:cs="Book Antiqua"/>
          <w:color w:val="000000"/>
          <w:shd w:val="clear" w:color="auto" w:fill="FFFFFF"/>
        </w:rPr>
        <w:t>onated after circulatory death</w:t>
      </w:r>
      <w:r w:rsidR="009D6F57" w:rsidRPr="004A5F47">
        <w:rPr>
          <w:rFonts w:ascii="Book Antiqua" w:hAnsi="Book Antiqua" w:cs="Times New Roman"/>
          <w:lang w:eastAsia="zh-CN"/>
        </w:rPr>
        <w:t xml:space="preserve">; </w:t>
      </w:r>
      <w:r w:rsidR="009D6F57" w:rsidRPr="004A5F47">
        <w:rPr>
          <w:rFonts w:ascii="Book Antiqua" w:hAnsi="Book Antiqua" w:cs="Times New Roman"/>
        </w:rPr>
        <w:t>ERCP</w:t>
      </w:r>
      <w:r w:rsidR="009D6F57" w:rsidRPr="004A5F47">
        <w:rPr>
          <w:rFonts w:ascii="Book Antiqua" w:hAnsi="Book Antiqua" w:cs="Times New Roman"/>
          <w:lang w:eastAsia="zh-CN"/>
        </w:rPr>
        <w:t>:</w:t>
      </w:r>
      <w:r w:rsidR="009D6F57" w:rsidRPr="004A5F47">
        <w:rPr>
          <w:rFonts w:ascii="Book Antiqua" w:hAnsi="Book Antiqua" w:cs="Times New Roman"/>
        </w:rPr>
        <w:t xml:space="preserve"> Endoscopic retrograde cholangiopancreatography</w:t>
      </w:r>
      <w:r w:rsidR="009D6F57" w:rsidRPr="004A5F47">
        <w:rPr>
          <w:rFonts w:ascii="Book Antiqua" w:hAnsi="Book Antiqua" w:cs="Times New Roman"/>
          <w:lang w:eastAsia="zh-CN"/>
        </w:rPr>
        <w:t xml:space="preserve">; </w:t>
      </w:r>
      <w:r w:rsidR="009D6F57" w:rsidRPr="004A5F47">
        <w:rPr>
          <w:rFonts w:ascii="Book Antiqua" w:hAnsi="Book Antiqua" w:cs="Times New Roman"/>
        </w:rPr>
        <w:t>HA</w:t>
      </w:r>
      <w:r w:rsidR="009D6F57" w:rsidRPr="004A5F47">
        <w:rPr>
          <w:rFonts w:ascii="Book Antiqua" w:hAnsi="Book Antiqua" w:cs="Times New Roman"/>
          <w:lang w:eastAsia="zh-CN"/>
        </w:rPr>
        <w:t>:</w:t>
      </w:r>
      <w:r w:rsidR="009D6F57" w:rsidRPr="004A5F47">
        <w:rPr>
          <w:rFonts w:ascii="Book Antiqua" w:hAnsi="Book Antiqua" w:cs="Times New Roman"/>
        </w:rPr>
        <w:t xml:space="preserve"> Hepatic artery</w:t>
      </w:r>
      <w:r w:rsidR="009D6F57" w:rsidRPr="004A5F47">
        <w:rPr>
          <w:rFonts w:ascii="Book Antiqua" w:hAnsi="Book Antiqua" w:cs="Times New Roman"/>
          <w:lang w:eastAsia="zh-CN"/>
        </w:rPr>
        <w:t xml:space="preserve">; </w:t>
      </w:r>
      <w:r w:rsidR="0000165B" w:rsidRPr="004A5F47">
        <w:rPr>
          <w:rFonts w:ascii="Book Antiqua" w:hAnsi="Book Antiqua" w:cs="Times New Roman"/>
        </w:rPr>
        <w:t>ITBL</w:t>
      </w:r>
      <w:r w:rsidR="00700403" w:rsidRPr="004A5F47">
        <w:rPr>
          <w:rFonts w:ascii="Book Antiqua" w:hAnsi="Book Antiqua" w:cs="Times New Roman"/>
        </w:rPr>
        <w:t>s</w:t>
      </w:r>
      <w:r w:rsidR="0000165B" w:rsidRPr="004A5F47">
        <w:rPr>
          <w:rFonts w:ascii="Book Antiqua" w:hAnsi="Book Antiqua" w:cs="Times New Roman"/>
          <w:lang w:eastAsia="zh-CN"/>
        </w:rPr>
        <w:t>:</w:t>
      </w:r>
      <w:r w:rsidR="0000165B" w:rsidRPr="004A5F47">
        <w:rPr>
          <w:rFonts w:ascii="Book Antiqua" w:hAnsi="Book Antiqua" w:cs="Times New Roman"/>
        </w:rPr>
        <w:t xml:space="preserve"> Ischemic type biliary lesions</w:t>
      </w:r>
      <w:r w:rsidR="0000165B" w:rsidRPr="004A5F47">
        <w:rPr>
          <w:rFonts w:ascii="Book Antiqua" w:hAnsi="Book Antiqua" w:cs="Times New Roman"/>
          <w:lang w:eastAsia="zh-CN"/>
        </w:rPr>
        <w:t>;</w:t>
      </w:r>
      <w:r w:rsidR="0000165B" w:rsidRPr="004A5F47">
        <w:rPr>
          <w:rFonts w:ascii="Book Antiqua" w:hAnsi="Book Antiqua" w:cs="Times New Roman"/>
        </w:rPr>
        <w:t xml:space="preserve"> </w:t>
      </w:r>
      <w:r w:rsidR="009D6F57" w:rsidRPr="004A5F47">
        <w:rPr>
          <w:rFonts w:ascii="Book Antiqua" w:hAnsi="Book Antiqua" w:cs="Times New Roman"/>
        </w:rPr>
        <w:t>MRCP</w:t>
      </w:r>
      <w:r w:rsidR="009D6F57" w:rsidRPr="004A5F47">
        <w:rPr>
          <w:rFonts w:ascii="Book Antiqua" w:hAnsi="Book Antiqua" w:cs="Times New Roman"/>
          <w:lang w:eastAsia="zh-CN"/>
        </w:rPr>
        <w:t>:</w:t>
      </w:r>
      <w:r w:rsidR="009D6F57" w:rsidRPr="004A5F47">
        <w:rPr>
          <w:rFonts w:ascii="Book Antiqua" w:hAnsi="Book Antiqua" w:cs="Times New Roman"/>
        </w:rPr>
        <w:t xml:space="preserve"> Magnetic resonance cholangi</w:t>
      </w:r>
      <w:r w:rsidR="00137A1D" w:rsidRPr="004A5F47">
        <w:rPr>
          <w:rFonts w:ascii="Book Antiqua" w:hAnsi="Book Antiqua" w:cs="Times New Roman"/>
        </w:rPr>
        <w:t>o</w:t>
      </w:r>
      <w:r w:rsidR="009D6F57" w:rsidRPr="004A5F47">
        <w:rPr>
          <w:rFonts w:ascii="Book Antiqua" w:hAnsi="Book Antiqua" w:cs="Times New Roman"/>
        </w:rPr>
        <w:t>pancreatography</w:t>
      </w:r>
      <w:r w:rsidR="009D6F57" w:rsidRPr="004A5F47">
        <w:rPr>
          <w:rFonts w:ascii="Book Antiqua" w:hAnsi="Book Antiqua" w:cs="Times New Roman"/>
          <w:lang w:eastAsia="zh-CN"/>
        </w:rPr>
        <w:t>;</w:t>
      </w:r>
      <w:r w:rsidR="009D6F57" w:rsidRPr="004A5F47">
        <w:rPr>
          <w:rFonts w:ascii="Book Antiqua" w:hAnsi="Book Antiqua" w:cs="Times New Roman"/>
        </w:rPr>
        <w:t xml:space="preserve"> </w:t>
      </w:r>
      <w:r w:rsidR="0000165B" w:rsidRPr="004A5F47">
        <w:rPr>
          <w:rFonts w:ascii="Book Antiqua" w:hAnsi="Book Antiqua" w:cs="Times New Roman"/>
        </w:rPr>
        <w:t>NAS</w:t>
      </w:r>
      <w:r w:rsidR="0000165B" w:rsidRPr="004A5F47">
        <w:rPr>
          <w:rFonts w:ascii="Book Antiqua" w:hAnsi="Book Antiqua" w:cs="Times New Roman"/>
          <w:lang w:eastAsia="zh-CN"/>
        </w:rPr>
        <w:t>:</w:t>
      </w:r>
      <w:r w:rsidR="0000165B" w:rsidRPr="004A5F47">
        <w:rPr>
          <w:rFonts w:ascii="Book Antiqua" w:hAnsi="Book Antiqua" w:cs="Times New Roman"/>
        </w:rPr>
        <w:t xml:space="preserve"> Nonanastamotic biliary strictures</w:t>
      </w:r>
      <w:r w:rsidR="0000165B" w:rsidRPr="004A5F47">
        <w:rPr>
          <w:rFonts w:ascii="Book Antiqua" w:hAnsi="Book Antiqua" w:cs="Times New Roman"/>
          <w:lang w:eastAsia="zh-CN"/>
        </w:rPr>
        <w:t>;</w:t>
      </w:r>
      <w:r w:rsidR="0000165B" w:rsidRPr="004A5F47">
        <w:rPr>
          <w:rFonts w:ascii="Book Antiqua" w:hAnsi="Book Antiqua" w:cs="Times New Roman"/>
        </w:rPr>
        <w:t xml:space="preserve"> NR</w:t>
      </w:r>
      <w:r w:rsidR="0000165B" w:rsidRPr="004A5F47">
        <w:rPr>
          <w:rFonts w:ascii="Book Antiqua" w:hAnsi="Book Antiqua" w:cs="Times New Roman"/>
          <w:lang w:eastAsia="zh-CN"/>
        </w:rPr>
        <w:t>:</w:t>
      </w:r>
      <w:r w:rsidR="0000165B" w:rsidRPr="004A5F47">
        <w:rPr>
          <w:rFonts w:ascii="Book Antiqua" w:hAnsi="Book Antiqua" w:cs="Times New Roman"/>
        </w:rPr>
        <w:t xml:space="preserve"> Not reported</w:t>
      </w:r>
      <w:r w:rsidR="009D6F57" w:rsidRPr="004A5F47">
        <w:rPr>
          <w:rFonts w:ascii="Book Antiqua" w:hAnsi="Book Antiqua" w:cs="Times New Roman"/>
          <w:lang w:eastAsia="zh-CN"/>
        </w:rPr>
        <w:t>.</w:t>
      </w:r>
      <w:r w:rsidR="004F6FDA" w:rsidRPr="004A5F47">
        <w:rPr>
          <w:rFonts w:ascii="Book Antiqua" w:hAnsi="Book Antiqua" w:cs="Times New Roman"/>
          <w:lang w:eastAsia="zh-CN"/>
        </w:rPr>
        <w:t xml:space="preserve"> </w:t>
      </w:r>
    </w:p>
    <w:p w14:paraId="09315C2E" w14:textId="77777777" w:rsidR="0000165B" w:rsidRPr="004A5F47" w:rsidRDefault="0000165B" w:rsidP="00265460">
      <w:pPr>
        <w:pStyle w:val="EndNoteBibliography"/>
        <w:spacing w:line="360" w:lineRule="auto"/>
        <w:jc w:val="both"/>
        <w:rPr>
          <w:rFonts w:ascii="Book Antiqua" w:hAnsi="Book Antiqua" w:cs="Times New Roman"/>
          <w:lang w:eastAsia="zh-CN"/>
        </w:rPr>
      </w:pPr>
    </w:p>
    <w:p w14:paraId="6D01C2B3" w14:textId="5B795CA7" w:rsidR="000E33B7" w:rsidRPr="004A5F47" w:rsidRDefault="000E33B7" w:rsidP="00265460">
      <w:pPr>
        <w:spacing w:line="360" w:lineRule="auto"/>
        <w:jc w:val="both"/>
        <w:rPr>
          <w:rFonts w:ascii="Book Antiqua" w:hAnsi="Book Antiqua"/>
          <w:b/>
          <w:bCs/>
          <w:lang w:eastAsia="zh-CN"/>
        </w:rPr>
      </w:pPr>
      <w:r w:rsidRPr="004A5F47">
        <w:rPr>
          <w:rFonts w:ascii="Book Antiqua" w:hAnsi="Book Antiqua"/>
          <w:lang w:eastAsia="zh-CN"/>
        </w:rPr>
        <w:br w:type="page"/>
      </w:r>
      <w:r w:rsidRPr="004A5F47">
        <w:rPr>
          <w:rFonts w:ascii="Book Antiqua" w:hAnsi="Book Antiqua"/>
          <w:b/>
          <w:bCs/>
        </w:rPr>
        <w:lastRenderedPageBreak/>
        <w:t>Table 3</w:t>
      </w:r>
      <w:r w:rsidRPr="004A5F47">
        <w:rPr>
          <w:rFonts w:ascii="Book Antiqua" w:hAnsi="Book Antiqua"/>
          <w:b/>
          <w:bCs/>
          <w:lang w:eastAsia="zh-CN"/>
        </w:rPr>
        <w:t xml:space="preserve"> </w:t>
      </w:r>
      <w:r w:rsidRPr="004A5F47">
        <w:rPr>
          <w:rFonts w:ascii="Book Antiqua" w:hAnsi="Book Antiqua"/>
          <w:b/>
          <w:bCs/>
        </w:rPr>
        <w:t xml:space="preserve">Clinical studies assessing the impact of normothermic machine perfusion on </w:t>
      </w:r>
      <w:r w:rsidR="00AC7371">
        <w:rPr>
          <w:rFonts w:ascii="Book Antiqua" w:hAnsi="Book Antiqua"/>
          <w:b/>
          <w:bCs/>
        </w:rPr>
        <w:t>i</w:t>
      </w:r>
      <w:r w:rsidR="00AC7371" w:rsidRPr="004A5F47">
        <w:rPr>
          <w:rFonts w:ascii="Book Antiqua" w:hAnsi="Book Antiqua"/>
          <w:b/>
          <w:bCs/>
        </w:rPr>
        <w:t>schemic</w:t>
      </w:r>
      <w:r w:rsidRPr="004A5F47">
        <w:rPr>
          <w:rFonts w:ascii="Book Antiqua" w:hAnsi="Book Antiqua"/>
          <w:b/>
          <w:bCs/>
        </w:rPr>
        <w:t xml:space="preserve"> type biliary lesions after liver transplantation</w:t>
      </w:r>
    </w:p>
    <w:tbl>
      <w:tblPr>
        <w:tblW w:w="13758" w:type="dxa"/>
        <w:tblInd w:w="-885" w:type="dxa"/>
        <w:tblBorders>
          <w:top w:val="single" w:sz="4" w:space="0" w:color="auto"/>
          <w:bottom w:val="single" w:sz="4" w:space="0" w:color="auto"/>
        </w:tblBorders>
        <w:tblLayout w:type="fixed"/>
        <w:tblLook w:val="0600" w:firstRow="0" w:lastRow="0" w:firstColumn="0" w:lastColumn="0" w:noHBand="1" w:noVBand="1"/>
      </w:tblPr>
      <w:tblGrid>
        <w:gridCol w:w="993"/>
        <w:gridCol w:w="851"/>
        <w:gridCol w:w="1134"/>
        <w:gridCol w:w="850"/>
        <w:gridCol w:w="851"/>
        <w:gridCol w:w="709"/>
        <w:gridCol w:w="850"/>
        <w:gridCol w:w="851"/>
        <w:gridCol w:w="2127"/>
        <w:gridCol w:w="847"/>
        <w:gridCol w:w="847"/>
        <w:gridCol w:w="988"/>
        <w:gridCol w:w="862"/>
        <w:gridCol w:w="998"/>
      </w:tblGrid>
      <w:tr w:rsidR="004B00DC" w:rsidRPr="004A5F47" w14:paraId="74DA0E35" w14:textId="77777777" w:rsidTr="00B2640E">
        <w:trPr>
          <w:trHeight w:val="435"/>
        </w:trPr>
        <w:tc>
          <w:tcPr>
            <w:tcW w:w="993" w:type="dxa"/>
            <w:vMerge w:val="restart"/>
            <w:tcBorders>
              <w:top w:val="single" w:sz="4" w:space="0" w:color="auto"/>
              <w:bottom w:val="single" w:sz="4" w:space="0" w:color="auto"/>
            </w:tcBorders>
            <w:shd w:val="clear" w:color="auto" w:fill="auto"/>
            <w:noWrap/>
          </w:tcPr>
          <w:p w14:paraId="751A3501" w14:textId="289C2433" w:rsidR="004B00DC" w:rsidRPr="00815C0F" w:rsidRDefault="004B00DC" w:rsidP="00265460">
            <w:pPr>
              <w:spacing w:line="360" w:lineRule="auto"/>
              <w:jc w:val="both"/>
              <w:rPr>
                <w:rFonts w:ascii="Book Antiqua" w:hAnsi="Book Antiqua" w:cs="Calibri"/>
                <w:b/>
                <w:bCs/>
                <w:color w:val="000000"/>
                <w:lang w:eastAsia="zh-CN"/>
              </w:rPr>
            </w:pPr>
            <w:r w:rsidRPr="00815C0F">
              <w:rPr>
                <w:rFonts w:ascii="Book Antiqua" w:hAnsi="Book Antiqua" w:cs="Calibri"/>
                <w:b/>
                <w:bCs/>
                <w:color w:val="000000"/>
                <w:lang w:eastAsia="zh-CN"/>
              </w:rPr>
              <w:t>Ref.</w:t>
            </w:r>
          </w:p>
        </w:tc>
        <w:tc>
          <w:tcPr>
            <w:tcW w:w="851" w:type="dxa"/>
            <w:vMerge w:val="restart"/>
            <w:tcBorders>
              <w:top w:val="single" w:sz="4" w:space="0" w:color="auto"/>
              <w:bottom w:val="single" w:sz="4" w:space="0" w:color="auto"/>
            </w:tcBorders>
            <w:shd w:val="clear" w:color="auto" w:fill="auto"/>
          </w:tcPr>
          <w:p w14:paraId="097065B2" w14:textId="180C9E58"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Study design</w:t>
            </w:r>
          </w:p>
        </w:tc>
        <w:tc>
          <w:tcPr>
            <w:tcW w:w="1134" w:type="dxa"/>
            <w:vMerge w:val="restart"/>
            <w:tcBorders>
              <w:top w:val="single" w:sz="4" w:space="0" w:color="auto"/>
              <w:bottom w:val="single" w:sz="4" w:space="0" w:color="auto"/>
            </w:tcBorders>
            <w:shd w:val="clear" w:color="auto" w:fill="auto"/>
          </w:tcPr>
          <w:p w14:paraId="37FA1A95" w14:textId="441F6839"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Intervention group (</w:t>
            </w:r>
            <w:r w:rsidRPr="00815C0F">
              <w:rPr>
                <w:rFonts w:ascii="Book Antiqua" w:eastAsia="Times New Roman" w:hAnsi="Book Antiqua" w:cs="Calibri"/>
                <w:b/>
                <w:bCs/>
                <w:i/>
                <w:color w:val="000000"/>
                <w:lang w:eastAsia="en-GB"/>
              </w:rPr>
              <w:t>n</w:t>
            </w:r>
            <w:r w:rsidRPr="00815C0F">
              <w:rPr>
                <w:rFonts w:ascii="Book Antiqua" w:eastAsia="Times New Roman" w:hAnsi="Book Antiqua" w:cs="Calibri"/>
                <w:b/>
                <w:bCs/>
                <w:color w:val="000000"/>
                <w:lang w:eastAsia="en-GB"/>
              </w:rPr>
              <w:t>)</w:t>
            </w:r>
          </w:p>
        </w:tc>
        <w:tc>
          <w:tcPr>
            <w:tcW w:w="850" w:type="dxa"/>
            <w:vMerge w:val="restart"/>
            <w:tcBorders>
              <w:top w:val="single" w:sz="4" w:space="0" w:color="auto"/>
              <w:bottom w:val="single" w:sz="4" w:space="0" w:color="auto"/>
            </w:tcBorders>
            <w:shd w:val="clear" w:color="auto" w:fill="auto"/>
            <w:noWrap/>
          </w:tcPr>
          <w:p w14:paraId="10DA9375" w14:textId="482E4180"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Control group (</w:t>
            </w:r>
            <w:r w:rsidRPr="00815C0F">
              <w:rPr>
                <w:rFonts w:ascii="Book Antiqua" w:eastAsia="Times New Roman" w:hAnsi="Book Antiqua" w:cs="Calibri"/>
                <w:b/>
                <w:bCs/>
                <w:i/>
                <w:color w:val="000000"/>
                <w:lang w:eastAsia="en-GB"/>
              </w:rPr>
              <w:t>n</w:t>
            </w:r>
            <w:r w:rsidRPr="00815C0F">
              <w:rPr>
                <w:rFonts w:ascii="Book Antiqua" w:eastAsia="Times New Roman" w:hAnsi="Book Antiqua" w:cs="Calibri"/>
                <w:b/>
                <w:bCs/>
                <w:color w:val="000000"/>
                <w:lang w:eastAsia="en-GB"/>
              </w:rPr>
              <w:t>)</w:t>
            </w:r>
          </w:p>
        </w:tc>
        <w:tc>
          <w:tcPr>
            <w:tcW w:w="851" w:type="dxa"/>
            <w:vMerge w:val="restart"/>
            <w:tcBorders>
              <w:top w:val="single" w:sz="4" w:space="0" w:color="auto"/>
              <w:bottom w:val="single" w:sz="4" w:space="0" w:color="auto"/>
            </w:tcBorders>
            <w:shd w:val="clear" w:color="auto" w:fill="auto"/>
          </w:tcPr>
          <w:p w14:paraId="2C57B45D" w14:textId="3E2F6DEC" w:rsidR="004B00DC" w:rsidRPr="00815C0F" w:rsidRDefault="004B00DC" w:rsidP="00265460">
            <w:pPr>
              <w:spacing w:line="360" w:lineRule="auto"/>
              <w:ind w:leftChars="-17" w:left="-41"/>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DBD,</w:t>
            </w:r>
            <w:r w:rsidR="00DB66B3" w:rsidRPr="00815C0F">
              <w:rPr>
                <w:rFonts w:ascii="Book Antiqua" w:hAnsi="Book Antiqua" w:cs="Calibri"/>
                <w:b/>
                <w:bCs/>
                <w:color w:val="000000"/>
                <w:lang w:eastAsia="zh-CN"/>
              </w:rPr>
              <w:t xml:space="preserve"> </w:t>
            </w:r>
            <w:r w:rsidRPr="00815C0F">
              <w:rPr>
                <w:rFonts w:ascii="Book Antiqua" w:eastAsia="Times New Roman" w:hAnsi="Book Antiqua" w:cs="Calibri"/>
                <w:b/>
                <w:bCs/>
                <w:color w:val="000000"/>
                <w:lang w:eastAsia="en-GB"/>
              </w:rPr>
              <w:t>DCD intervention</w:t>
            </w:r>
          </w:p>
        </w:tc>
        <w:tc>
          <w:tcPr>
            <w:tcW w:w="709" w:type="dxa"/>
            <w:vMerge w:val="restart"/>
            <w:tcBorders>
              <w:top w:val="single" w:sz="4" w:space="0" w:color="auto"/>
              <w:bottom w:val="single" w:sz="4" w:space="0" w:color="auto"/>
            </w:tcBorders>
            <w:shd w:val="clear" w:color="auto" w:fill="auto"/>
          </w:tcPr>
          <w:p w14:paraId="3BAF2ADA" w14:textId="65523108"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DBD</w:t>
            </w:r>
            <w:r w:rsidR="00DB66B3" w:rsidRPr="00815C0F">
              <w:rPr>
                <w:rFonts w:ascii="Book Antiqua" w:hAnsi="Book Antiqua" w:cs="Calibri"/>
                <w:b/>
                <w:bCs/>
                <w:color w:val="000000"/>
                <w:lang w:eastAsia="zh-CN"/>
              </w:rPr>
              <w:t xml:space="preserve">, </w:t>
            </w:r>
            <w:r w:rsidRPr="00815C0F">
              <w:rPr>
                <w:rFonts w:ascii="Book Antiqua" w:eastAsia="Times New Roman" w:hAnsi="Book Antiqua" w:cs="Calibri"/>
                <w:b/>
                <w:bCs/>
                <w:color w:val="000000"/>
                <w:lang w:eastAsia="en-GB"/>
              </w:rPr>
              <w:t>DCD control</w:t>
            </w:r>
          </w:p>
        </w:tc>
        <w:tc>
          <w:tcPr>
            <w:tcW w:w="850" w:type="dxa"/>
            <w:vMerge w:val="restart"/>
            <w:tcBorders>
              <w:top w:val="single" w:sz="4" w:space="0" w:color="auto"/>
              <w:bottom w:val="single" w:sz="4" w:space="0" w:color="auto"/>
            </w:tcBorders>
            <w:shd w:val="clear" w:color="auto" w:fill="auto"/>
            <w:noWrap/>
          </w:tcPr>
          <w:p w14:paraId="4A0BC995" w14:textId="354AA993" w:rsidR="004B00DC" w:rsidRPr="00815C0F" w:rsidRDefault="004B00DC" w:rsidP="00265460">
            <w:pPr>
              <w:spacing w:line="360" w:lineRule="auto"/>
              <w:jc w:val="both"/>
              <w:rPr>
                <w:rFonts w:ascii="Book Antiqua" w:hAnsi="Book Antiqua" w:cs="Calibri"/>
                <w:b/>
                <w:bCs/>
                <w:color w:val="000000"/>
                <w:lang w:eastAsia="zh-CN"/>
              </w:rPr>
            </w:pPr>
            <w:r w:rsidRPr="00815C0F">
              <w:rPr>
                <w:rFonts w:ascii="Book Antiqua" w:eastAsia="Times New Roman" w:hAnsi="Book Antiqua" w:cs="Calibri"/>
                <w:b/>
                <w:bCs/>
                <w:color w:val="000000"/>
                <w:lang w:eastAsia="en-GB"/>
              </w:rPr>
              <w:t>NMP duration</w:t>
            </w:r>
            <w:r w:rsidR="00F15F63" w:rsidRPr="00815C0F">
              <w:rPr>
                <w:rFonts w:ascii="Book Antiqua" w:hAnsi="Book Antiqua" w:cs="Calibri"/>
                <w:b/>
                <w:bCs/>
                <w:color w:val="000000"/>
                <w:vertAlign w:val="superscript"/>
                <w:lang w:eastAsia="zh-CN"/>
              </w:rPr>
              <w:t>1</w:t>
            </w:r>
          </w:p>
        </w:tc>
        <w:tc>
          <w:tcPr>
            <w:tcW w:w="851" w:type="dxa"/>
            <w:vMerge w:val="restart"/>
            <w:tcBorders>
              <w:top w:val="single" w:sz="4" w:space="0" w:color="auto"/>
              <w:bottom w:val="single" w:sz="4" w:space="0" w:color="auto"/>
            </w:tcBorders>
            <w:shd w:val="clear" w:color="auto" w:fill="auto"/>
            <w:noWrap/>
          </w:tcPr>
          <w:p w14:paraId="4141318B" w14:textId="09623651"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Viability testing</w:t>
            </w:r>
          </w:p>
        </w:tc>
        <w:tc>
          <w:tcPr>
            <w:tcW w:w="2127" w:type="dxa"/>
            <w:vMerge w:val="restart"/>
            <w:tcBorders>
              <w:top w:val="single" w:sz="4" w:space="0" w:color="auto"/>
              <w:bottom w:val="single" w:sz="4" w:space="0" w:color="auto"/>
            </w:tcBorders>
            <w:shd w:val="clear" w:color="auto" w:fill="auto"/>
            <w:noWrap/>
          </w:tcPr>
          <w:p w14:paraId="7D168838" w14:textId="05E0BEAB"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Definition of ITBL</w:t>
            </w:r>
          </w:p>
        </w:tc>
        <w:tc>
          <w:tcPr>
            <w:tcW w:w="847" w:type="dxa"/>
            <w:vMerge w:val="restart"/>
            <w:tcBorders>
              <w:top w:val="single" w:sz="4" w:space="0" w:color="auto"/>
              <w:bottom w:val="single" w:sz="4" w:space="0" w:color="auto"/>
            </w:tcBorders>
            <w:shd w:val="clear" w:color="auto" w:fill="auto"/>
            <w:noWrap/>
          </w:tcPr>
          <w:p w14:paraId="6474CDAB" w14:textId="3B0E6D59"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Follow up</w:t>
            </w:r>
          </w:p>
        </w:tc>
        <w:tc>
          <w:tcPr>
            <w:tcW w:w="1835" w:type="dxa"/>
            <w:gridSpan w:val="2"/>
            <w:tcBorders>
              <w:top w:val="single" w:sz="4" w:space="0" w:color="auto"/>
              <w:bottom w:val="single" w:sz="4" w:space="0" w:color="auto"/>
            </w:tcBorders>
            <w:shd w:val="clear" w:color="auto" w:fill="auto"/>
            <w:noWrap/>
          </w:tcPr>
          <w:p w14:paraId="3F20B728" w14:textId="596AC715"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ITBL-</w:t>
            </w:r>
            <w:r w:rsidRPr="00815C0F">
              <w:rPr>
                <w:rFonts w:ascii="Book Antiqua" w:hAnsi="Book Antiqua" w:cs="Calibri"/>
                <w:b/>
                <w:bCs/>
                <w:color w:val="000000"/>
                <w:lang w:eastAsia="zh-CN"/>
              </w:rPr>
              <w:t>i</w:t>
            </w:r>
            <w:r w:rsidRPr="00815C0F">
              <w:rPr>
                <w:rFonts w:ascii="Book Antiqua" w:eastAsia="Times New Roman" w:hAnsi="Book Antiqua" w:cs="Calibri"/>
                <w:b/>
                <w:bCs/>
                <w:color w:val="000000"/>
                <w:lang w:eastAsia="en-GB"/>
              </w:rPr>
              <w:t>ntervention</w:t>
            </w:r>
          </w:p>
        </w:tc>
        <w:tc>
          <w:tcPr>
            <w:tcW w:w="1860" w:type="dxa"/>
            <w:gridSpan w:val="2"/>
            <w:tcBorders>
              <w:top w:val="single" w:sz="4" w:space="0" w:color="auto"/>
              <w:bottom w:val="single" w:sz="4" w:space="0" w:color="auto"/>
            </w:tcBorders>
            <w:shd w:val="clear" w:color="auto" w:fill="auto"/>
            <w:noWrap/>
          </w:tcPr>
          <w:p w14:paraId="7CE83F87" w14:textId="0BFC0B91"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ITBL-</w:t>
            </w:r>
            <w:r w:rsidRPr="00815C0F">
              <w:rPr>
                <w:rFonts w:ascii="Book Antiqua" w:hAnsi="Book Antiqua" w:cs="Calibri"/>
                <w:b/>
                <w:bCs/>
                <w:color w:val="000000"/>
                <w:lang w:eastAsia="zh-CN"/>
              </w:rPr>
              <w:t>c</w:t>
            </w:r>
            <w:r w:rsidRPr="00815C0F">
              <w:rPr>
                <w:rFonts w:ascii="Book Antiqua" w:eastAsia="Times New Roman" w:hAnsi="Book Antiqua" w:cs="Calibri"/>
                <w:b/>
                <w:bCs/>
                <w:color w:val="000000"/>
                <w:lang w:eastAsia="en-GB"/>
              </w:rPr>
              <w:t>ontrol</w:t>
            </w:r>
          </w:p>
        </w:tc>
      </w:tr>
      <w:tr w:rsidR="004B00DC" w:rsidRPr="004A5F47" w14:paraId="1F609579" w14:textId="77777777" w:rsidTr="00F8061E">
        <w:trPr>
          <w:trHeight w:val="435"/>
        </w:trPr>
        <w:tc>
          <w:tcPr>
            <w:tcW w:w="993" w:type="dxa"/>
            <w:vMerge/>
            <w:tcBorders>
              <w:top w:val="single" w:sz="4" w:space="0" w:color="auto"/>
              <w:bottom w:val="single" w:sz="4" w:space="0" w:color="auto"/>
            </w:tcBorders>
            <w:shd w:val="clear" w:color="auto" w:fill="auto"/>
            <w:noWrap/>
            <w:hideMark/>
          </w:tcPr>
          <w:p w14:paraId="0A9DC9D1" w14:textId="464812EC" w:rsidR="004B00DC" w:rsidRPr="00815C0F" w:rsidRDefault="004B00DC" w:rsidP="00265460">
            <w:pPr>
              <w:spacing w:line="360" w:lineRule="auto"/>
              <w:jc w:val="both"/>
              <w:rPr>
                <w:rFonts w:ascii="Book Antiqua" w:eastAsia="Times New Roman" w:hAnsi="Book Antiqua" w:cs="Calibri"/>
                <w:b/>
                <w:bCs/>
                <w:color w:val="000000"/>
                <w:lang w:eastAsia="en-GB"/>
              </w:rPr>
            </w:pPr>
          </w:p>
        </w:tc>
        <w:tc>
          <w:tcPr>
            <w:tcW w:w="851" w:type="dxa"/>
            <w:vMerge/>
            <w:tcBorders>
              <w:top w:val="single" w:sz="4" w:space="0" w:color="auto"/>
              <w:bottom w:val="single" w:sz="4" w:space="0" w:color="auto"/>
            </w:tcBorders>
            <w:shd w:val="clear" w:color="auto" w:fill="auto"/>
            <w:hideMark/>
          </w:tcPr>
          <w:p w14:paraId="62540C16" w14:textId="0882ABFC" w:rsidR="004B00DC" w:rsidRPr="00815C0F" w:rsidRDefault="004B00DC" w:rsidP="00265460">
            <w:pPr>
              <w:spacing w:line="360" w:lineRule="auto"/>
              <w:jc w:val="both"/>
              <w:rPr>
                <w:rFonts w:ascii="Book Antiqua" w:eastAsia="Times New Roman" w:hAnsi="Book Antiqua" w:cs="Calibri"/>
                <w:b/>
                <w:bCs/>
                <w:color w:val="000000"/>
                <w:lang w:eastAsia="en-GB"/>
              </w:rPr>
            </w:pPr>
          </w:p>
        </w:tc>
        <w:tc>
          <w:tcPr>
            <w:tcW w:w="1134" w:type="dxa"/>
            <w:vMerge/>
            <w:tcBorders>
              <w:top w:val="single" w:sz="4" w:space="0" w:color="auto"/>
              <w:bottom w:val="single" w:sz="4" w:space="0" w:color="auto"/>
            </w:tcBorders>
            <w:shd w:val="clear" w:color="auto" w:fill="auto"/>
            <w:hideMark/>
          </w:tcPr>
          <w:p w14:paraId="4D60902E" w14:textId="2FCC1A73" w:rsidR="004B00DC" w:rsidRPr="00815C0F" w:rsidRDefault="004B00DC" w:rsidP="00265460">
            <w:pPr>
              <w:spacing w:line="360" w:lineRule="auto"/>
              <w:jc w:val="both"/>
              <w:rPr>
                <w:rFonts w:ascii="Book Antiqua" w:eastAsia="Times New Roman" w:hAnsi="Book Antiqua" w:cs="Calibri"/>
                <w:b/>
                <w:bCs/>
                <w:color w:val="000000"/>
                <w:lang w:eastAsia="en-GB"/>
              </w:rPr>
            </w:pPr>
          </w:p>
        </w:tc>
        <w:tc>
          <w:tcPr>
            <w:tcW w:w="850" w:type="dxa"/>
            <w:vMerge/>
            <w:tcBorders>
              <w:top w:val="single" w:sz="4" w:space="0" w:color="auto"/>
              <w:bottom w:val="single" w:sz="4" w:space="0" w:color="auto"/>
            </w:tcBorders>
            <w:shd w:val="clear" w:color="auto" w:fill="auto"/>
            <w:noWrap/>
            <w:hideMark/>
          </w:tcPr>
          <w:p w14:paraId="0C881153" w14:textId="6DB80896" w:rsidR="004B00DC" w:rsidRPr="00815C0F" w:rsidRDefault="004B00DC" w:rsidP="00265460">
            <w:pPr>
              <w:spacing w:line="360" w:lineRule="auto"/>
              <w:jc w:val="both"/>
              <w:rPr>
                <w:rFonts w:ascii="Book Antiqua" w:eastAsia="Times New Roman" w:hAnsi="Book Antiqua" w:cs="Calibri"/>
                <w:b/>
                <w:bCs/>
                <w:color w:val="000000"/>
                <w:lang w:eastAsia="en-GB"/>
              </w:rPr>
            </w:pPr>
          </w:p>
        </w:tc>
        <w:tc>
          <w:tcPr>
            <w:tcW w:w="851" w:type="dxa"/>
            <w:vMerge/>
            <w:tcBorders>
              <w:top w:val="single" w:sz="4" w:space="0" w:color="auto"/>
              <w:bottom w:val="single" w:sz="4" w:space="0" w:color="auto"/>
            </w:tcBorders>
            <w:shd w:val="clear" w:color="auto" w:fill="auto"/>
            <w:hideMark/>
          </w:tcPr>
          <w:p w14:paraId="5B0D641C" w14:textId="0D12F713" w:rsidR="004B00DC" w:rsidRPr="00815C0F" w:rsidRDefault="004B00DC" w:rsidP="00265460">
            <w:pPr>
              <w:spacing w:line="360" w:lineRule="auto"/>
              <w:ind w:leftChars="-17" w:left="-41"/>
              <w:jc w:val="both"/>
              <w:rPr>
                <w:rFonts w:ascii="Book Antiqua" w:eastAsia="Times New Roman" w:hAnsi="Book Antiqua" w:cs="Calibri"/>
                <w:b/>
                <w:bCs/>
                <w:color w:val="000000"/>
                <w:lang w:eastAsia="en-GB"/>
              </w:rPr>
            </w:pPr>
          </w:p>
        </w:tc>
        <w:tc>
          <w:tcPr>
            <w:tcW w:w="709" w:type="dxa"/>
            <w:vMerge/>
            <w:tcBorders>
              <w:top w:val="single" w:sz="4" w:space="0" w:color="auto"/>
              <w:bottom w:val="single" w:sz="4" w:space="0" w:color="auto"/>
            </w:tcBorders>
            <w:shd w:val="clear" w:color="auto" w:fill="auto"/>
            <w:hideMark/>
          </w:tcPr>
          <w:p w14:paraId="2BC66089" w14:textId="59E1A97C" w:rsidR="004B00DC" w:rsidRPr="00815C0F" w:rsidRDefault="004B00DC" w:rsidP="00265460">
            <w:pPr>
              <w:spacing w:line="360" w:lineRule="auto"/>
              <w:jc w:val="both"/>
              <w:rPr>
                <w:rFonts w:ascii="Book Antiqua" w:eastAsia="Times New Roman" w:hAnsi="Book Antiqua" w:cs="Calibri"/>
                <w:b/>
                <w:bCs/>
                <w:color w:val="000000"/>
                <w:lang w:eastAsia="en-GB"/>
              </w:rPr>
            </w:pPr>
          </w:p>
        </w:tc>
        <w:tc>
          <w:tcPr>
            <w:tcW w:w="850" w:type="dxa"/>
            <w:vMerge/>
            <w:tcBorders>
              <w:top w:val="single" w:sz="4" w:space="0" w:color="auto"/>
              <w:bottom w:val="single" w:sz="4" w:space="0" w:color="auto"/>
            </w:tcBorders>
            <w:shd w:val="clear" w:color="auto" w:fill="auto"/>
            <w:noWrap/>
            <w:hideMark/>
          </w:tcPr>
          <w:p w14:paraId="747243DB" w14:textId="458BFB6B" w:rsidR="004B00DC" w:rsidRPr="00815C0F" w:rsidRDefault="004B00DC" w:rsidP="00265460">
            <w:pPr>
              <w:spacing w:line="360" w:lineRule="auto"/>
              <w:jc w:val="both"/>
              <w:rPr>
                <w:rFonts w:ascii="Book Antiqua" w:eastAsia="Times New Roman" w:hAnsi="Book Antiqua" w:cs="Calibri"/>
                <w:b/>
                <w:bCs/>
                <w:color w:val="000000"/>
                <w:lang w:eastAsia="en-GB"/>
              </w:rPr>
            </w:pPr>
          </w:p>
        </w:tc>
        <w:tc>
          <w:tcPr>
            <w:tcW w:w="851" w:type="dxa"/>
            <w:vMerge/>
            <w:tcBorders>
              <w:top w:val="single" w:sz="4" w:space="0" w:color="auto"/>
              <w:bottom w:val="single" w:sz="4" w:space="0" w:color="auto"/>
            </w:tcBorders>
            <w:shd w:val="clear" w:color="auto" w:fill="auto"/>
            <w:noWrap/>
            <w:hideMark/>
          </w:tcPr>
          <w:p w14:paraId="5EA20B76" w14:textId="222F3DCA" w:rsidR="004B00DC" w:rsidRPr="00815C0F" w:rsidRDefault="004B00DC" w:rsidP="00265460">
            <w:pPr>
              <w:spacing w:line="360" w:lineRule="auto"/>
              <w:jc w:val="both"/>
              <w:rPr>
                <w:rFonts w:ascii="Book Antiqua" w:eastAsia="Times New Roman" w:hAnsi="Book Antiqua" w:cs="Calibri"/>
                <w:b/>
                <w:bCs/>
                <w:color w:val="000000"/>
                <w:lang w:eastAsia="en-GB"/>
              </w:rPr>
            </w:pPr>
          </w:p>
        </w:tc>
        <w:tc>
          <w:tcPr>
            <w:tcW w:w="2127" w:type="dxa"/>
            <w:vMerge/>
            <w:tcBorders>
              <w:top w:val="single" w:sz="4" w:space="0" w:color="auto"/>
              <w:bottom w:val="single" w:sz="4" w:space="0" w:color="auto"/>
            </w:tcBorders>
            <w:shd w:val="clear" w:color="auto" w:fill="auto"/>
            <w:noWrap/>
            <w:hideMark/>
          </w:tcPr>
          <w:p w14:paraId="099EA515" w14:textId="1D274076" w:rsidR="004B00DC" w:rsidRPr="00815C0F" w:rsidRDefault="004B00DC" w:rsidP="00265460">
            <w:pPr>
              <w:spacing w:line="360" w:lineRule="auto"/>
              <w:jc w:val="both"/>
              <w:rPr>
                <w:rFonts w:ascii="Book Antiqua" w:eastAsia="Times New Roman" w:hAnsi="Book Antiqua" w:cs="Calibri"/>
                <w:b/>
                <w:bCs/>
                <w:color w:val="000000"/>
                <w:lang w:eastAsia="en-GB"/>
              </w:rPr>
            </w:pPr>
          </w:p>
        </w:tc>
        <w:tc>
          <w:tcPr>
            <w:tcW w:w="847" w:type="dxa"/>
            <w:vMerge/>
            <w:tcBorders>
              <w:top w:val="single" w:sz="4" w:space="0" w:color="auto"/>
              <w:bottom w:val="single" w:sz="4" w:space="0" w:color="auto"/>
            </w:tcBorders>
            <w:shd w:val="clear" w:color="auto" w:fill="auto"/>
            <w:noWrap/>
            <w:hideMark/>
          </w:tcPr>
          <w:p w14:paraId="262FC9BB" w14:textId="409BFB8F" w:rsidR="004B00DC" w:rsidRPr="00815C0F" w:rsidRDefault="004B00DC" w:rsidP="00265460">
            <w:pPr>
              <w:spacing w:line="360" w:lineRule="auto"/>
              <w:jc w:val="both"/>
              <w:rPr>
                <w:rFonts w:ascii="Book Antiqua" w:eastAsia="Times New Roman" w:hAnsi="Book Antiqua" w:cs="Calibri"/>
                <w:b/>
                <w:bCs/>
                <w:color w:val="000000"/>
                <w:lang w:eastAsia="en-GB"/>
              </w:rPr>
            </w:pPr>
          </w:p>
        </w:tc>
        <w:tc>
          <w:tcPr>
            <w:tcW w:w="847" w:type="dxa"/>
            <w:tcBorders>
              <w:top w:val="single" w:sz="4" w:space="0" w:color="auto"/>
              <w:bottom w:val="single" w:sz="4" w:space="0" w:color="auto"/>
            </w:tcBorders>
            <w:shd w:val="clear" w:color="auto" w:fill="auto"/>
            <w:noWrap/>
            <w:hideMark/>
          </w:tcPr>
          <w:p w14:paraId="125AE021" w14:textId="77777777"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DCD</w:t>
            </w:r>
          </w:p>
        </w:tc>
        <w:tc>
          <w:tcPr>
            <w:tcW w:w="988" w:type="dxa"/>
            <w:tcBorders>
              <w:top w:val="single" w:sz="4" w:space="0" w:color="auto"/>
              <w:bottom w:val="single" w:sz="4" w:space="0" w:color="auto"/>
            </w:tcBorders>
            <w:shd w:val="clear" w:color="auto" w:fill="auto"/>
            <w:noWrap/>
            <w:hideMark/>
          </w:tcPr>
          <w:p w14:paraId="4355199F" w14:textId="77777777"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DBD</w:t>
            </w:r>
          </w:p>
        </w:tc>
        <w:tc>
          <w:tcPr>
            <w:tcW w:w="862" w:type="dxa"/>
            <w:tcBorders>
              <w:top w:val="single" w:sz="4" w:space="0" w:color="auto"/>
              <w:bottom w:val="single" w:sz="4" w:space="0" w:color="auto"/>
            </w:tcBorders>
            <w:shd w:val="clear" w:color="auto" w:fill="auto"/>
            <w:noWrap/>
            <w:hideMark/>
          </w:tcPr>
          <w:p w14:paraId="32C4B51D" w14:textId="77777777"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DCD</w:t>
            </w:r>
          </w:p>
        </w:tc>
        <w:tc>
          <w:tcPr>
            <w:tcW w:w="998" w:type="dxa"/>
            <w:tcBorders>
              <w:top w:val="single" w:sz="4" w:space="0" w:color="auto"/>
              <w:bottom w:val="single" w:sz="4" w:space="0" w:color="auto"/>
            </w:tcBorders>
            <w:shd w:val="clear" w:color="auto" w:fill="auto"/>
            <w:noWrap/>
            <w:hideMark/>
          </w:tcPr>
          <w:p w14:paraId="3F64F6E5" w14:textId="77777777" w:rsidR="004B00DC" w:rsidRPr="00815C0F" w:rsidRDefault="004B00DC" w:rsidP="00265460">
            <w:pPr>
              <w:spacing w:line="360" w:lineRule="auto"/>
              <w:jc w:val="both"/>
              <w:rPr>
                <w:rFonts w:ascii="Book Antiqua" w:eastAsia="Times New Roman" w:hAnsi="Book Antiqua" w:cs="Calibri"/>
                <w:b/>
                <w:bCs/>
                <w:color w:val="000000"/>
                <w:lang w:eastAsia="en-GB"/>
              </w:rPr>
            </w:pPr>
            <w:r w:rsidRPr="00815C0F">
              <w:rPr>
                <w:rFonts w:ascii="Book Antiqua" w:eastAsia="Times New Roman" w:hAnsi="Book Antiqua" w:cs="Calibri"/>
                <w:b/>
                <w:bCs/>
                <w:color w:val="000000"/>
                <w:lang w:eastAsia="en-GB"/>
              </w:rPr>
              <w:t>DBD</w:t>
            </w:r>
          </w:p>
        </w:tc>
      </w:tr>
      <w:tr w:rsidR="001F4ECC" w:rsidRPr="004A5F47" w14:paraId="1A837653" w14:textId="77777777" w:rsidTr="00F8061E">
        <w:trPr>
          <w:trHeight w:val="553"/>
        </w:trPr>
        <w:tc>
          <w:tcPr>
            <w:tcW w:w="993" w:type="dxa"/>
            <w:tcBorders>
              <w:top w:val="single" w:sz="4" w:space="0" w:color="auto"/>
            </w:tcBorders>
            <w:shd w:val="clear" w:color="auto" w:fill="auto"/>
            <w:noWrap/>
            <w:hideMark/>
          </w:tcPr>
          <w:p w14:paraId="5752F41C" w14:textId="2FE2F1DB"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Markmann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[65</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w:t>
            </w:r>
            <w:r w:rsidRPr="004A5F47">
              <w:rPr>
                <w:rFonts w:ascii="Book Antiqua" w:hAnsi="Book Antiqua"/>
              </w:rPr>
              <w:t xml:space="preserve"> </w:t>
            </w:r>
            <w:r w:rsidRPr="00815C0F">
              <w:rPr>
                <w:rFonts w:ascii="Book Antiqua" w:eastAsia="Times New Roman" w:hAnsi="Book Antiqua" w:cs="Calibri"/>
                <w:color w:val="000000"/>
                <w:lang w:eastAsia="en-GB"/>
              </w:rPr>
              <w:t>2022</w:t>
            </w:r>
          </w:p>
        </w:tc>
        <w:tc>
          <w:tcPr>
            <w:tcW w:w="851" w:type="dxa"/>
            <w:tcBorders>
              <w:top w:val="single" w:sz="4" w:space="0" w:color="auto"/>
            </w:tcBorders>
            <w:shd w:val="clear" w:color="auto" w:fill="auto"/>
            <w:noWrap/>
            <w:hideMark/>
          </w:tcPr>
          <w:p w14:paraId="246BB602"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RCT</w:t>
            </w:r>
          </w:p>
        </w:tc>
        <w:tc>
          <w:tcPr>
            <w:tcW w:w="1134" w:type="dxa"/>
            <w:tcBorders>
              <w:top w:val="single" w:sz="4" w:space="0" w:color="auto"/>
            </w:tcBorders>
            <w:shd w:val="clear" w:color="auto" w:fill="auto"/>
            <w:hideMark/>
          </w:tcPr>
          <w:p w14:paraId="53322A6A"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at source (153)</w:t>
            </w:r>
          </w:p>
        </w:tc>
        <w:tc>
          <w:tcPr>
            <w:tcW w:w="850" w:type="dxa"/>
            <w:tcBorders>
              <w:top w:val="single" w:sz="4" w:space="0" w:color="auto"/>
            </w:tcBorders>
            <w:shd w:val="clear" w:color="auto" w:fill="auto"/>
            <w:noWrap/>
            <w:hideMark/>
          </w:tcPr>
          <w:p w14:paraId="46920D7B"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SCS (146)</w:t>
            </w:r>
          </w:p>
        </w:tc>
        <w:tc>
          <w:tcPr>
            <w:tcW w:w="851" w:type="dxa"/>
            <w:tcBorders>
              <w:top w:val="single" w:sz="4" w:space="0" w:color="auto"/>
            </w:tcBorders>
            <w:shd w:val="clear" w:color="auto" w:fill="auto"/>
            <w:noWrap/>
            <w:hideMark/>
          </w:tcPr>
          <w:p w14:paraId="6C1C13E1"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125, 28</w:t>
            </w:r>
          </w:p>
        </w:tc>
        <w:tc>
          <w:tcPr>
            <w:tcW w:w="709" w:type="dxa"/>
            <w:tcBorders>
              <w:top w:val="single" w:sz="4" w:space="0" w:color="auto"/>
            </w:tcBorders>
            <w:shd w:val="clear" w:color="auto" w:fill="auto"/>
            <w:noWrap/>
            <w:hideMark/>
          </w:tcPr>
          <w:p w14:paraId="0C3383AC" w14:textId="3C98DA64"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133,</w:t>
            </w:r>
            <w:r w:rsidR="00DB66B3"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13</w:t>
            </w:r>
          </w:p>
        </w:tc>
        <w:tc>
          <w:tcPr>
            <w:tcW w:w="850" w:type="dxa"/>
            <w:tcBorders>
              <w:top w:val="single" w:sz="4" w:space="0" w:color="auto"/>
            </w:tcBorders>
            <w:shd w:val="clear" w:color="auto" w:fill="auto"/>
            <w:noWrap/>
            <w:hideMark/>
          </w:tcPr>
          <w:p w14:paraId="2F4F0460" w14:textId="7ABDF2A4"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4.5</w:t>
            </w:r>
            <w:r w:rsidR="00F15F63"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tcBorders>
              <w:top w:val="single" w:sz="4" w:space="0" w:color="auto"/>
            </w:tcBorders>
            <w:shd w:val="clear" w:color="auto" w:fill="auto"/>
            <w:noWrap/>
            <w:hideMark/>
          </w:tcPr>
          <w:p w14:paraId="056794C5"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2127" w:type="dxa"/>
            <w:tcBorders>
              <w:top w:val="single" w:sz="4" w:space="0" w:color="auto"/>
            </w:tcBorders>
            <w:shd w:val="clear" w:color="auto" w:fill="auto"/>
            <w:hideMark/>
          </w:tcPr>
          <w:p w14:paraId="71C2FE63"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IBC defined as NAS or bile leaks, confirmed with ERCP or MRCP</w:t>
            </w:r>
          </w:p>
        </w:tc>
        <w:tc>
          <w:tcPr>
            <w:tcW w:w="847" w:type="dxa"/>
            <w:tcBorders>
              <w:top w:val="single" w:sz="4" w:space="0" w:color="auto"/>
            </w:tcBorders>
            <w:shd w:val="clear" w:color="auto" w:fill="auto"/>
            <w:noWrap/>
            <w:hideMark/>
          </w:tcPr>
          <w:p w14:paraId="60A61E57" w14:textId="0C584678"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12 mo</w:t>
            </w:r>
          </w:p>
        </w:tc>
        <w:tc>
          <w:tcPr>
            <w:tcW w:w="1835" w:type="dxa"/>
            <w:gridSpan w:val="2"/>
            <w:tcBorders>
              <w:top w:val="single" w:sz="4" w:space="0" w:color="auto"/>
            </w:tcBorders>
            <w:shd w:val="clear" w:color="auto" w:fill="auto"/>
            <w:noWrap/>
            <w:hideMark/>
          </w:tcPr>
          <w:p w14:paraId="5FE6CB8A" w14:textId="259471B2"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4/153 (2.6%)</w:t>
            </w:r>
            <w:r w:rsidR="00914A83" w:rsidRPr="004A5F47">
              <w:rPr>
                <w:rFonts w:ascii="Book Antiqua" w:eastAsia="Times New Roman" w:hAnsi="Book Antiqua" w:cs="Calibri"/>
                <w:color w:val="000000"/>
                <w:lang w:eastAsia="en-GB"/>
              </w:rPr>
              <w:t xml:space="preserve"> </w:t>
            </w:r>
            <w:r w:rsidRPr="00815C0F">
              <w:rPr>
                <w:rFonts w:ascii="Book Antiqua" w:eastAsia="Times New Roman" w:hAnsi="Book Antiqua" w:cs="Calibri"/>
                <w:color w:val="000000"/>
                <w:lang w:eastAsia="en-GB"/>
              </w:rPr>
              <w:t>(DBD and DCD)</w:t>
            </w:r>
          </w:p>
        </w:tc>
        <w:tc>
          <w:tcPr>
            <w:tcW w:w="1860" w:type="dxa"/>
            <w:gridSpan w:val="2"/>
            <w:tcBorders>
              <w:top w:val="single" w:sz="4" w:space="0" w:color="auto"/>
            </w:tcBorders>
            <w:shd w:val="clear" w:color="auto" w:fill="auto"/>
            <w:noWrap/>
            <w:hideMark/>
          </w:tcPr>
          <w:p w14:paraId="341B6877"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14/146 (9.5%) (DBD and DCD)</w:t>
            </w:r>
          </w:p>
        </w:tc>
      </w:tr>
      <w:tr w:rsidR="001F4ECC" w:rsidRPr="004A5F47" w14:paraId="753F6410" w14:textId="77777777" w:rsidTr="00B2640E">
        <w:trPr>
          <w:trHeight w:val="445"/>
        </w:trPr>
        <w:tc>
          <w:tcPr>
            <w:tcW w:w="993" w:type="dxa"/>
            <w:shd w:val="clear" w:color="auto" w:fill="auto"/>
            <w:noWrap/>
            <w:hideMark/>
          </w:tcPr>
          <w:p w14:paraId="405F0081" w14:textId="29C7B04C"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Nasralla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[64</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w:t>
            </w:r>
            <w:r w:rsidRPr="004A5F47">
              <w:rPr>
                <w:rFonts w:ascii="Book Antiqua" w:hAnsi="Book Antiqua"/>
              </w:rPr>
              <w:t xml:space="preserve"> </w:t>
            </w:r>
            <w:r w:rsidRPr="00815C0F">
              <w:rPr>
                <w:rFonts w:ascii="Book Antiqua" w:eastAsia="Times New Roman" w:hAnsi="Book Antiqua" w:cs="Calibri"/>
                <w:color w:val="000000"/>
                <w:lang w:eastAsia="en-GB"/>
              </w:rPr>
              <w:t>2018</w:t>
            </w:r>
          </w:p>
        </w:tc>
        <w:tc>
          <w:tcPr>
            <w:tcW w:w="851" w:type="dxa"/>
            <w:shd w:val="clear" w:color="auto" w:fill="auto"/>
            <w:noWrap/>
            <w:hideMark/>
          </w:tcPr>
          <w:p w14:paraId="17A3311A"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RCT</w:t>
            </w:r>
          </w:p>
        </w:tc>
        <w:tc>
          <w:tcPr>
            <w:tcW w:w="1134" w:type="dxa"/>
            <w:shd w:val="clear" w:color="auto" w:fill="auto"/>
            <w:hideMark/>
          </w:tcPr>
          <w:p w14:paraId="6A9F7CEC"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at source (121)</w:t>
            </w:r>
          </w:p>
        </w:tc>
        <w:tc>
          <w:tcPr>
            <w:tcW w:w="850" w:type="dxa"/>
            <w:shd w:val="clear" w:color="auto" w:fill="auto"/>
            <w:noWrap/>
            <w:hideMark/>
          </w:tcPr>
          <w:p w14:paraId="038858B5"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SCS (101)</w:t>
            </w:r>
          </w:p>
        </w:tc>
        <w:tc>
          <w:tcPr>
            <w:tcW w:w="851" w:type="dxa"/>
            <w:shd w:val="clear" w:color="auto" w:fill="auto"/>
            <w:noWrap/>
            <w:hideMark/>
          </w:tcPr>
          <w:p w14:paraId="20BFCB9B" w14:textId="319429CF"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87,</w:t>
            </w:r>
            <w:r w:rsidR="00F15F63"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34</w:t>
            </w:r>
          </w:p>
        </w:tc>
        <w:tc>
          <w:tcPr>
            <w:tcW w:w="709" w:type="dxa"/>
            <w:shd w:val="clear" w:color="auto" w:fill="auto"/>
            <w:noWrap/>
            <w:hideMark/>
          </w:tcPr>
          <w:p w14:paraId="78F2C775" w14:textId="1C14B73A"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80,</w:t>
            </w:r>
            <w:r w:rsidR="00F15F63"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21</w:t>
            </w:r>
          </w:p>
        </w:tc>
        <w:tc>
          <w:tcPr>
            <w:tcW w:w="850" w:type="dxa"/>
            <w:shd w:val="clear" w:color="auto" w:fill="auto"/>
            <w:noWrap/>
            <w:hideMark/>
          </w:tcPr>
          <w:p w14:paraId="14DABEA8" w14:textId="034B1F6D"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9.1</w:t>
            </w:r>
            <w:r w:rsidR="00F15F63"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shd w:val="clear" w:color="auto" w:fill="auto"/>
            <w:noWrap/>
            <w:hideMark/>
          </w:tcPr>
          <w:p w14:paraId="26D0DCC5"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No viability testing </w:t>
            </w:r>
          </w:p>
        </w:tc>
        <w:tc>
          <w:tcPr>
            <w:tcW w:w="2127" w:type="dxa"/>
            <w:shd w:val="clear" w:color="auto" w:fill="auto"/>
            <w:hideMark/>
          </w:tcPr>
          <w:p w14:paraId="35B22BB6" w14:textId="66E78B4F"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 xml:space="preserve">Protocol MRCP at 6 </w:t>
            </w:r>
            <w:r w:rsidR="00F15F63" w:rsidRPr="00815C0F">
              <w:rPr>
                <w:rFonts w:ascii="Book Antiqua" w:eastAsia="Times New Roman" w:hAnsi="Book Antiqua" w:cs="Calibri"/>
                <w:color w:val="000000"/>
                <w:lang w:eastAsia="en-GB"/>
              </w:rPr>
              <w:t xml:space="preserve">mo. No distinction between </w:t>
            </w:r>
            <w:r w:rsidRPr="00815C0F">
              <w:rPr>
                <w:rFonts w:ascii="Book Antiqua" w:eastAsia="Times New Roman" w:hAnsi="Book Antiqua" w:cs="Calibri"/>
                <w:color w:val="000000"/>
                <w:lang w:eastAsia="en-GB"/>
              </w:rPr>
              <w:t>IC and ITBL</w:t>
            </w:r>
          </w:p>
        </w:tc>
        <w:tc>
          <w:tcPr>
            <w:tcW w:w="847" w:type="dxa"/>
            <w:shd w:val="clear" w:color="auto" w:fill="auto"/>
            <w:noWrap/>
            <w:hideMark/>
          </w:tcPr>
          <w:p w14:paraId="0F43BD29" w14:textId="5BD848CA"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6 mo</w:t>
            </w:r>
          </w:p>
        </w:tc>
        <w:tc>
          <w:tcPr>
            <w:tcW w:w="847" w:type="dxa"/>
            <w:shd w:val="clear" w:color="auto" w:fill="auto"/>
            <w:noWrap/>
            <w:hideMark/>
          </w:tcPr>
          <w:p w14:paraId="34BC91C8" w14:textId="5B925FC9"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3/27 (11.1%)</w:t>
            </w:r>
            <w:r w:rsidR="00A90F6B" w:rsidRPr="004A5F47">
              <w:rPr>
                <w:rFonts w:ascii="Book Antiqua" w:hAnsi="Book Antiqua"/>
                <w:vertAlign w:val="superscript"/>
                <w:lang w:eastAsia="zh-CN"/>
              </w:rPr>
              <w:t>2</w:t>
            </w:r>
          </w:p>
        </w:tc>
        <w:tc>
          <w:tcPr>
            <w:tcW w:w="988" w:type="dxa"/>
            <w:shd w:val="clear" w:color="auto" w:fill="auto"/>
            <w:noWrap/>
            <w:hideMark/>
          </w:tcPr>
          <w:p w14:paraId="41316EDD" w14:textId="30E1B19F"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4/54 (7.4%)</w:t>
            </w:r>
            <w:r w:rsidR="00A90F6B" w:rsidRPr="004A5F47">
              <w:rPr>
                <w:rFonts w:ascii="Book Antiqua" w:hAnsi="Book Antiqua"/>
                <w:vertAlign w:val="superscript"/>
                <w:lang w:eastAsia="zh-CN"/>
              </w:rPr>
              <w:t>2</w:t>
            </w:r>
          </w:p>
        </w:tc>
        <w:tc>
          <w:tcPr>
            <w:tcW w:w="862" w:type="dxa"/>
            <w:shd w:val="clear" w:color="auto" w:fill="auto"/>
            <w:noWrap/>
            <w:hideMark/>
          </w:tcPr>
          <w:p w14:paraId="2076D985" w14:textId="7667F5BF"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5/19 (26.3%)</w:t>
            </w:r>
            <w:r w:rsidR="00A90F6B" w:rsidRPr="004A5F47">
              <w:rPr>
                <w:rFonts w:ascii="Book Antiqua" w:hAnsi="Book Antiqua"/>
                <w:vertAlign w:val="superscript"/>
                <w:lang w:eastAsia="zh-CN"/>
              </w:rPr>
              <w:t>2</w:t>
            </w:r>
          </w:p>
        </w:tc>
        <w:tc>
          <w:tcPr>
            <w:tcW w:w="998" w:type="dxa"/>
            <w:shd w:val="clear" w:color="auto" w:fill="auto"/>
            <w:noWrap/>
            <w:hideMark/>
          </w:tcPr>
          <w:p w14:paraId="0A8396DD" w14:textId="2976715D"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3/55 (5.5%)</w:t>
            </w:r>
            <w:r w:rsidR="00A90F6B" w:rsidRPr="004A5F47">
              <w:rPr>
                <w:rFonts w:ascii="Book Antiqua" w:hAnsi="Book Antiqua"/>
                <w:vertAlign w:val="superscript"/>
                <w:lang w:eastAsia="zh-CN"/>
              </w:rPr>
              <w:t>2</w:t>
            </w:r>
          </w:p>
        </w:tc>
      </w:tr>
      <w:tr w:rsidR="001F4ECC" w:rsidRPr="004A5F47" w14:paraId="1FFD495E" w14:textId="77777777" w:rsidTr="00B2640E">
        <w:trPr>
          <w:trHeight w:val="219"/>
        </w:trPr>
        <w:tc>
          <w:tcPr>
            <w:tcW w:w="993" w:type="dxa"/>
            <w:shd w:val="clear" w:color="auto" w:fill="auto"/>
            <w:noWrap/>
            <w:hideMark/>
          </w:tcPr>
          <w:p w14:paraId="1BEEBA78" w14:textId="170F6250"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 xml:space="preserve">Ghinolfi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[74</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w:t>
            </w:r>
            <w:r w:rsidRPr="004A5F47">
              <w:rPr>
                <w:rFonts w:ascii="Book Antiqua" w:hAnsi="Book Antiqua"/>
              </w:rPr>
              <w:t xml:space="preserve"> </w:t>
            </w:r>
            <w:r w:rsidRPr="00815C0F">
              <w:rPr>
                <w:rFonts w:ascii="Book Antiqua" w:eastAsia="Times New Roman" w:hAnsi="Book Antiqua" w:cs="Calibri"/>
                <w:color w:val="000000"/>
                <w:lang w:eastAsia="en-GB"/>
              </w:rPr>
              <w:t>201</w:t>
            </w:r>
            <w:r w:rsidR="0065210E" w:rsidRPr="00815C0F">
              <w:rPr>
                <w:rFonts w:ascii="Book Antiqua" w:hAnsi="Book Antiqua" w:cs="Calibri"/>
                <w:color w:val="000000"/>
                <w:lang w:eastAsia="zh-CN"/>
              </w:rPr>
              <w:t>9</w:t>
            </w:r>
          </w:p>
        </w:tc>
        <w:tc>
          <w:tcPr>
            <w:tcW w:w="851" w:type="dxa"/>
            <w:shd w:val="clear" w:color="auto" w:fill="auto"/>
            <w:noWrap/>
            <w:hideMark/>
          </w:tcPr>
          <w:p w14:paraId="30743C6D"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RCT</w:t>
            </w:r>
          </w:p>
        </w:tc>
        <w:tc>
          <w:tcPr>
            <w:tcW w:w="1134" w:type="dxa"/>
            <w:shd w:val="clear" w:color="auto" w:fill="auto"/>
            <w:hideMark/>
          </w:tcPr>
          <w:p w14:paraId="763EE93A"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back-to-base (10)</w:t>
            </w:r>
          </w:p>
        </w:tc>
        <w:tc>
          <w:tcPr>
            <w:tcW w:w="850" w:type="dxa"/>
            <w:shd w:val="clear" w:color="auto" w:fill="auto"/>
            <w:noWrap/>
            <w:hideMark/>
          </w:tcPr>
          <w:p w14:paraId="668648C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SCS (10)</w:t>
            </w:r>
          </w:p>
        </w:tc>
        <w:tc>
          <w:tcPr>
            <w:tcW w:w="851" w:type="dxa"/>
            <w:shd w:val="clear" w:color="auto" w:fill="auto"/>
            <w:noWrap/>
            <w:hideMark/>
          </w:tcPr>
          <w:p w14:paraId="48A32474"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All DBD</w:t>
            </w:r>
          </w:p>
        </w:tc>
        <w:tc>
          <w:tcPr>
            <w:tcW w:w="709" w:type="dxa"/>
            <w:shd w:val="clear" w:color="auto" w:fill="auto"/>
            <w:noWrap/>
            <w:hideMark/>
          </w:tcPr>
          <w:p w14:paraId="35BA6363"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All DBD</w:t>
            </w:r>
          </w:p>
        </w:tc>
        <w:tc>
          <w:tcPr>
            <w:tcW w:w="850" w:type="dxa"/>
            <w:shd w:val="clear" w:color="auto" w:fill="auto"/>
            <w:noWrap/>
            <w:hideMark/>
          </w:tcPr>
          <w:p w14:paraId="4A83A05C" w14:textId="300294A4"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4.2</w:t>
            </w:r>
            <w:r w:rsidR="0045131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shd w:val="clear" w:color="auto" w:fill="auto"/>
            <w:noWrap/>
            <w:hideMark/>
          </w:tcPr>
          <w:p w14:paraId="36ABC9A1"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2127" w:type="dxa"/>
            <w:shd w:val="clear" w:color="auto" w:fill="auto"/>
            <w:hideMark/>
          </w:tcPr>
          <w:p w14:paraId="77630804"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847" w:type="dxa"/>
            <w:shd w:val="clear" w:color="auto" w:fill="auto"/>
            <w:noWrap/>
            <w:hideMark/>
          </w:tcPr>
          <w:p w14:paraId="2D377C30" w14:textId="1EB533A4"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6 mo</w:t>
            </w:r>
          </w:p>
        </w:tc>
        <w:tc>
          <w:tcPr>
            <w:tcW w:w="847" w:type="dxa"/>
            <w:shd w:val="clear" w:color="auto" w:fill="auto"/>
            <w:noWrap/>
            <w:hideMark/>
          </w:tcPr>
          <w:p w14:paraId="44A40525"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NA</w:t>
            </w:r>
          </w:p>
        </w:tc>
        <w:tc>
          <w:tcPr>
            <w:tcW w:w="988" w:type="dxa"/>
            <w:shd w:val="clear" w:color="auto" w:fill="auto"/>
            <w:noWrap/>
            <w:hideMark/>
          </w:tcPr>
          <w:p w14:paraId="63662FC3"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1/10 (10%)</w:t>
            </w:r>
          </w:p>
        </w:tc>
        <w:tc>
          <w:tcPr>
            <w:tcW w:w="862" w:type="dxa"/>
            <w:shd w:val="clear" w:color="auto" w:fill="auto"/>
            <w:noWrap/>
            <w:hideMark/>
          </w:tcPr>
          <w:p w14:paraId="62432514"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NA</w:t>
            </w:r>
          </w:p>
        </w:tc>
        <w:tc>
          <w:tcPr>
            <w:tcW w:w="998" w:type="dxa"/>
            <w:shd w:val="clear" w:color="auto" w:fill="auto"/>
            <w:noWrap/>
            <w:hideMark/>
          </w:tcPr>
          <w:p w14:paraId="44F256EB"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0/10</w:t>
            </w:r>
          </w:p>
        </w:tc>
      </w:tr>
      <w:tr w:rsidR="001F4ECC" w:rsidRPr="004A5F47" w14:paraId="463C9DAB" w14:textId="77777777" w:rsidTr="00B2640E">
        <w:trPr>
          <w:trHeight w:val="704"/>
        </w:trPr>
        <w:tc>
          <w:tcPr>
            <w:tcW w:w="993" w:type="dxa"/>
            <w:vMerge w:val="restart"/>
            <w:shd w:val="clear" w:color="auto" w:fill="auto"/>
            <w:noWrap/>
            <w:hideMark/>
          </w:tcPr>
          <w:p w14:paraId="52F46660" w14:textId="6FAE18F0" w:rsidR="000E33B7" w:rsidRPr="00815C0F" w:rsidRDefault="00CA16DD" w:rsidP="00265460">
            <w:pPr>
              <w:spacing w:line="360" w:lineRule="auto"/>
              <w:jc w:val="both"/>
              <w:rPr>
                <w:rFonts w:ascii="Book Antiqua" w:eastAsia="Times New Roman" w:hAnsi="Book Antiqua" w:cs="Calibri"/>
                <w:color w:val="000000"/>
                <w:lang w:eastAsia="en-GB"/>
              </w:rPr>
            </w:pPr>
            <w:r w:rsidRPr="00815C0F">
              <w:rPr>
                <w:rFonts w:ascii="Book Antiqua" w:hAnsi="Book Antiqua"/>
                <w:color w:val="000000" w:themeColor="text1"/>
              </w:rPr>
              <w:lastRenderedPageBreak/>
              <w:t xml:space="preserve">Gaurav </w:t>
            </w:r>
            <w:r w:rsidRPr="00815C0F">
              <w:rPr>
                <w:rFonts w:ascii="Book Antiqua" w:hAnsi="Book Antiqua"/>
                <w:i/>
                <w:iCs/>
                <w:color w:val="000000" w:themeColor="text1"/>
              </w:rPr>
              <w:t>et al</w:t>
            </w:r>
            <w:r w:rsidRPr="00815C0F">
              <w:rPr>
                <w:rFonts w:ascii="Book Antiqua" w:hAnsi="Book Antiqua"/>
                <w:color w:val="000000" w:themeColor="text1"/>
                <w:vertAlign w:val="superscript"/>
              </w:rPr>
              <w:t>[</w:t>
            </w:r>
            <w:r w:rsidRPr="00815C0F">
              <w:rPr>
                <w:rFonts w:ascii="Book Antiqua" w:hAnsi="Book Antiqua"/>
                <w:color w:val="000000" w:themeColor="text1"/>
                <w:vertAlign w:val="superscript"/>
                <w:lang w:eastAsia="zh-CN"/>
              </w:rPr>
              <w:t>44]</w:t>
            </w:r>
            <w:r w:rsidRPr="00815C0F">
              <w:rPr>
                <w:rFonts w:ascii="Book Antiqua" w:hAnsi="Book Antiqua"/>
                <w:color w:val="000000" w:themeColor="text1"/>
                <w:lang w:eastAsia="zh-CN"/>
              </w:rPr>
              <w:t>,</w:t>
            </w:r>
            <w:r w:rsidRPr="00815C0F">
              <w:rPr>
                <w:rFonts w:ascii="Book Antiqua" w:hAnsi="Book Antiqua"/>
                <w:color w:val="000000" w:themeColor="text1"/>
              </w:rPr>
              <w:t xml:space="preserve"> 2022</w:t>
            </w:r>
          </w:p>
        </w:tc>
        <w:tc>
          <w:tcPr>
            <w:tcW w:w="851" w:type="dxa"/>
            <w:vMerge w:val="restart"/>
            <w:shd w:val="clear" w:color="auto" w:fill="auto"/>
            <w:noWrap/>
            <w:hideMark/>
          </w:tcPr>
          <w:p w14:paraId="050858CE"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vMerge w:val="restart"/>
            <w:shd w:val="clear" w:color="auto" w:fill="auto"/>
            <w:hideMark/>
          </w:tcPr>
          <w:p w14:paraId="2C4387D7"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back to base OR at-source (67)</w:t>
            </w:r>
          </w:p>
        </w:tc>
        <w:tc>
          <w:tcPr>
            <w:tcW w:w="850" w:type="dxa"/>
            <w:vMerge w:val="restart"/>
            <w:shd w:val="clear" w:color="auto" w:fill="auto"/>
            <w:hideMark/>
          </w:tcPr>
          <w:p w14:paraId="35BF1501" w14:textId="482774D4"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SCS (97)</w:t>
            </w:r>
            <w:r w:rsidR="00752CC2" w:rsidRPr="00815C0F">
              <w:rPr>
                <w:rFonts w:ascii="Book Antiqua" w:hAnsi="Book Antiqua" w:cs="Calibri"/>
                <w:color w:val="000000"/>
                <w:lang w:eastAsia="zh-CN"/>
              </w:rPr>
              <w:t>;</w:t>
            </w:r>
            <w:r w:rsidRPr="00815C0F">
              <w:rPr>
                <w:rFonts w:ascii="Book Antiqua" w:eastAsia="Times New Roman" w:hAnsi="Book Antiqua" w:cs="Calibri"/>
                <w:color w:val="000000"/>
                <w:lang w:eastAsia="en-GB"/>
              </w:rPr>
              <w:t xml:space="preserve"> NRP (69)</w:t>
            </w:r>
          </w:p>
        </w:tc>
        <w:tc>
          <w:tcPr>
            <w:tcW w:w="851" w:type="dxa"/>
            <w:vMerge w:val="restart"/>
            <w:shd w:val="clear" w:color="auto" w:fill="auto"/>
            <w:noWrap/>
            <w:hideMark/>
          </w:tcPr>
          <w:p w14:paraId="7E958F4A"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All DCD</w:t>
            </w:r>
          </w:p>
        </w:tc>
        <w:tc>
          <w:tcPr>
            <w:tcW w:w="709" w:type="dxa"/>
            <w:vMerge w:val="restart"/>
            <w:shd w:val="clear" w:color="auto" w:fill="auto"/>
            <w:noWrap/>
            <w:hideMark/>
          </w:tcPr>
          <w:p w14:paraId="4AA7187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All DCD</w:t>
            </w:r>
          </w:p>
        </w:tc>
        <w:tc>
          <w:tcPr>
            <w:tcW w:w="850" w:type="dxa"/>
            <w:vMerge w:val="restart"/>
            <w:shd w:val="clear" w:color="auto" w:fill="auto"/>
            <w:noWrap/>
            <w:hideMark/>
          </w:tcPr>
          <w:p w14:paraId="0762A6EA" w14:textId="0BB7A15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7.6</w:t>
            </w:r>
            <w:r w:rsidR="0045131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vMerge w:val="restart"/>
            <w:shd w:val="clear" w:color="auto" w:fill="auto"/>
            <w:noWrap/>
            <w:hideMark/>
          </w:tcPr>
          <w:p w14:paraId="6EAA0106"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Cambridge criteria</w:t>
            </w:r>
          </w:p>
        </w:tc>
        <w:tc>
          <w:tcPr>
            <w:tcW w:w="2127" w:type="dxa"/>
            <w:vMerge w:val="restart"/>
            <w:shd w:val="clear" w:color="auto" w:fill="auto"/>
            <w:hideMark/>
          </w:tcPr>
          <w:p w14:paraId="0AF62EDB" w14:textId="4ADA7861"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 xml:space="preserve">NAS defined as any BS, dilatation, or irregularity of the bile </w:t>
            </w:r>
            <w:r w:rsidR="00B7595E" w:rsidRPr="00815C0F">
              <w:rPr>
                <w:rFonts w:ascii="Book Antiqua" w:eastAsia="Times New Roman" w:hAnsi="Book Antiqua" w:cs="Calibri"/>
                <w:color w:val="000000"/>
                <w:lang w:eastAsia="en-GB"/>
              </w:rPr>
              <w:t xml:space="preserve">ducts and/or cast on MRCP away </w:t>
            </w:r>
            <w:r w:rsidRPr="00815C0F">
              <w:rPr>
                <w:rFonts w:ascii="Book Antiqua" w:eastAsia="Times New Roman" w:hAnsi="Book Antiqua" w:cs="Calibri"/>
                <w:color w:val="000000"/>
                <w:lang w:eastAsia="en-GB"/>
              </w:rPr>
              <w:t>from the anastomosis with</w:t>
            </w:r>
            <w:r w:rsidR="00914A83" w:rsidRPr="004A5F47">
              <w:rPr>
                <w:rFonts w:ascii="Book Antiqua" w:eastAsia="Times New Roman" w:hAnsi="Book Antiqua" w:cs="Calibri"/>
                <w:color w:val="000000"/>
                <w:lang w:eastAsia="en-GB"/>
              </w:rPr>
              <w:t xml:space="preserve"> </w:t>
            </w:r>
            <w:r w:rsidRPr="00815C0F">
              <w:rPr>
                <w:rFonts w:ascii="Book Antiqua" w:eastAsia="Times New Roman" w:hAnsi="Book Antiqua" w:cs="Calibri"/>
                <w:color w:val="000000"/>
                <w:lang w:eastAsia="en-GB"/>
              </w:rPr>
              <w:t>patent HA</w:t>
            </w:r>
          </w:p>
        </w:tc>
        <w:tc>
          <w:tcPr>
            <w:tcW w:w="847" w:type="dxa"/>
            <w:vMerge w:val="restart"/>
            <w:shd w:val="clear" w:color="auto" w:fill="auto"/>
            <w:noWrap/>
            <w:hideMark/>
          </w:tcPr>
          <w:p w14:paraId="21703BC9" w14:textId="710415C3"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6 mo</w:t>
            </w:r>
            <w:r w:rsidR="0045131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minimum</w:t>
            </w:r>
          </w:p>
        </w:tc>
        <w:tc>
          <w:tcPr>
            <w:tcW w:w="847" w:type="dxa"/>
            <w:vMerge w:val="restart"/>
            <w:shd w:val="clear" w:color="auto" w:fill="auto"/>
            <w:noWrap/>
            <w:hideMark/>
          </w:tcPr>
          <w:p w14:paraId="79FFAED8" w14:textId="14079BCE"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12/67 (17.9%)</w:t>
            </w:r>
            <w:r w:rsidR="00451314" w:rsidRPr="00815C0F">
              <w:rPr>
                <w:rFonts w:ascii="Book Antiqua" w:hAnsi="Book Antiqua" w:cs="Calibri"/>
                <w:color w:val="000000"/>
                <w:lang w:eastAsia="zh-CN"/>
              </w:rPr>
              <w:t xml:space="preserve"> </w:t>
            </w:r>
            <w:r w:rsidR="00451314" w:rsidRPr="00815C0F">
              <w:rPr>
                <w:rFonts w:ascii="Book Antiqua" w:eastAsia="Times New Roman" w:hAnsi="Book Antiqua" w:cs="Calibri"/>
                <w:color w:val="000000"/>
                <w:lang w:eastAsia="en-GB"/>
              </w:rPr>
              <w:t>[7/67, 10.4</w:t>
            </w:r>
            <w:r w:rsidR="00D140D3" w:rsidRPr="00815C0F">
              <w:rPr>
                <w:rFonts w:ascii="Book Antiqua" w:eastAsia="Times New Roman" w:hAnsi="Book Antiqua" w:cs="Calibri"/>
                <w:color w:val="000000"/>
                <w:lang w:eastAsia="en-GB"/>
              </w:rPr>
              <w:t>%</w:t>
            </w:r>
            <w:r w:rsidR="00E779EF" w:rsidRPr="004A5F47">
              <w:rPr>
                <w:rFonts w:ascii="Book Antiqua" w:hAnsi="Book Antiqua"/>
                <w:vertAlign w:val="superscript"/>
                <w:lang w:eastAsia="zh-CN"/>
              </w:rPr>
              <w:t>3</w:t>
            </w:r>
            <w:r w:rsidRPr="00815C0F">
              <w:rPr>
                <w:rFonts w:ascii="Book Antiqua" w:eastAsia="Times New Roman" w:hAnsi="Book Antiqua" w:cs="Calibri"/>
                <w:color w:val="000000"/>
                <w:lang w:eastAsia="en-GB"/>
              </w:rPr>
              <w:t>]</w:t>
            </w:r>
            <w:r w:rsidR="00D140D3" w:rsidRPr="004A5F47">
              <w:rPr>
                <w:rFonts w:ascii="Book Antiqua" w:hAnsi="Book Antiqua"/>
                <w:highlight w:val="yellow"/>
              </w:rPr>
              <w:t xml:space="preserve"> </w:t>
            </w:r>
          </w:p>
        </w:tc>
        <w:tc>
          <w:tcPr>
            <w:tcW w:w="988" w:type="dxa"/>
            <w:vMerge w:val="restart"/>
            <w:shd w:val="clear" w:color="auto" w:fill="auto"/>
            <w:noWrap/>
            <w:hideMark/>
          </w:tcPr>
          <w:p w14:paraId="60E38CCD"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NA</w:t>
            </w:r>
          </w:p>
        </w:tc>
        <w:tc>
          <w:tcPr>
            <w:tcW w:w="862" w:type="dxa"/>
            <w:vMerge w:val="restart"/>
            <w:shd w:val="clear" w:color="auto" w:fill="auto"/>
            <w:hideMark/>
          </w:tcPr>
          <w:p w14:paraId="149D89BD" w14:textId="174F1671" w:rsidR="000E33B7" w:rsidRPr="00815C0F" w:rsidRDefault="00451314"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NRP-</w:t>
            </w:r>
            <w:r w:rsidR="000E33B7" w:rsidRPr="00815C0F">
              <w:rPr>
                <w:rFonts w:ascii="Book Antiqua" w:eastAsia="Times New Roman" w:hAnsi="Book Antiqua" w:cs="Calibri"/>
                <w:color w:val="000000"/>
                <w:lang w:eastAsia="en-GB"/>
              </w:rPr>
              <w:t>4/69 (5.7%)</w:t>
            </w:r>
            <w:r w:rsidRPr="00815C0F">
              <w:rPr>
                <w:rFonts w:ascii="Book Antiqua" w:hAnsi="Book Antiqua" w:cs="Calibri"/>
                <w:color w:val="000000"/>
                <w:lang w:eastAsia="zh-CN"/>
              </w:rPr>
              <w:t xml:space="preserve"> </w:t>
            </w:r>
            <w:r w:rsidR="000E33B7" w:rsidRPr="00815C0F">
              <w:rPr>
                <w:rFonts w:ascii="Book Antiqua" w:eastAsia="Times New Roman" w:hAnsi="Book Antiqua" w:cs="Calibri"/>
                <w:color w:val="000000"/>
                <w:lang w:eastAsia="en-GB"/>
              </w:rPr>
              <w:t>[0</w:t>
            </w:r>
            <w:r w:rsidR="00E779EF" w:rsidRPr="004A5F47">
              <w:rPr>
                <w:rFonts w:ascii="Book Antiqua" w:hAnsi="Book Antiqua"/>
                <w:vertAlign w:val="superscript"/>
                <w:lang w:eastAsia="zh-CN"/>
              </w:rPr>
              <w:t>3</w:t>
            </w:r>
            <w:r w:rsidR="000E33B7" w:rsidRPr="00815C0F">
              <w:rPr>
                <w:rFonts w:ascii="Book Antiqua" w:eastAsia="Times New Roman" w:hAnsi="Book Antiqua" w:cs="Calibri"/>
                <w:color w:val="000000"/>
                <w:lang w:eastAsia="en-GB"/>
              </w:rPr>
              <w:t>]</w:t>
            </w:r>
            <w:r w:rsidR="00914A83" w:rsidRPr="004A5F47">
              <w:rPr>
                <w:rFonts w:ascii="Book Antiqua" w:eastAsia="Times New Roman" w:hAnsi="Book Antiqua" w:cs="Calibri"/>
                <w:color w:val="000000"/>
                <w:lang w:eastAsia="en-GB"/>
              </w:rPr>
              <w:t xml:space="preserve">  </w:t>
            </w:r>
            <w:r w:rsidRPr="00815C0F">
              <w:rPr>
                <w:rFonts w:ascii="Book Antiqua" w:eastAsia="Times New Roman" w:hAnsi="Book Antiqua" w:cs="Calibri"/>
                <w:color w:val="000000"/>
                <w:lang w:eastAsia="en-GB"/>
              </w:rPr>
              <w:t xml:space="preserve">SCS-22/97 (22.6%) </w:t>
            </w:r>
            <w:r w:rsidR="00D140D3" w:rsidRPr="00815C0F">
              <w:rPr>
                <w:rFonts w:ascii="Book Antiqua" w:eastAsia="Times New Roman" w:hAnsi="Book Antiqua" w:cs="Calibri"/>
                <w:color w:val="000000"/>
                <w:lang w:eastAsia="en-GB"/>
              </w:rPr>
              <w:t>[</w:t>
            </w:r>
            <w:r w:rsidRPr="00815C0F">
              <w:rPr>
                <w:rFonts w:ascii="Book Antiqua" w:eastAsia="Times New Roman" w:hAnsi="Book Antiqua" w:cs="Calibri"/>
                <w:color w:val="000000"/>
                <w:lang w:eastAsia="en-GB"/>
              </w:rPr>
              <w:t>12</w:t>
            </w:r>
            <w:r w:rsidRPr="00815C0F">
              <w:rPr>
                <w:rFonts w:ascii="Book Antiqua" w:hAnsi="Book Antiqua" w:cs="Calibri"/>
                <w:color w:val="000000"/>
                <w:lang w:eastAsia="zh-CN"/>
              </w:rPr>
              <w:t>/</w:t>
            </w:r>
            <w:r w:rsidR="000E33B7" w:rsidRPr="00815C0F">
              <w:rPr>
                <w:rFonts w:ascii="Book Antiqua" w:eastAsia="Times New Roman" w:hAnsi="Book Antiqua" w:cs="Calibri"/>
                <w:color w:val="000000"/>
                <w:lang w:eastAsia="en-GB"/>
              </w:rPr>
              <w:t>97, 12.3%</w:t>
            </w:r>
            <w:r w:rsidR="00E779EF" w:rsidRPr="004A5F47">
              <w:rPr>
                <w:rFonts w:ascii="Book Antiqua" w:hAnsi="Book Antiqua"/>
                <w:vertAlign w:val="superscript"/>
                <w:lang w:eastAsia="zh-CN"/>
              </w:rPr>
              <w:t>3</w:t>
            </w:r>
            <w:r w:rsidR="00D140D3" w:rsidRPr="00815C0F">
              <w:rPr>
                <w:rFonts w:ascii="Book Antiqua" w:eastAsia="Times New Roman" w:hAnsi="Book Antiqua" w:cs="Calibri"/>
                <w:color w:val="000000"/>
                <w:lang w:eastAsia="en-GB"/>
              </w:rPr>
              <w:t>]</w:t>
            </w:r>
          </w:p>
        </w:tc>
        <w:tc>
          <w:tcPr>
            <w:tcW w:w="998" w:type="dxa"/>
            <w:vMerge w:val="restart"/>
            <w:shd w:val="clear" w:color="auto" w:fill="auto"/>
            <w:noWrap/>
            <w:hideMark/>
          </w:tcPr>
          <w:p w14:paraId="7AB9D566"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NA</w:t>
            </w:r>
          </w:p>
        </w:tc>
      </w:tr>
      <w:tr w:rsidR="001F4ECC" w:rsidRPr="004A5F47" w14:paraId="74F884DF" w14:textId="77777777" w:rsidTr="00B2640E">
        <w:trPr>
          <w:trHeight w:val="447"/>
        </w:trPr>
        <w:tc>
          <w:tcPr>
            <w:tcW w:w="993" w:type="dxa"/>
            <w:vMerge/>
            <w:shd w:val="clear" w:color="auto" w:fill="auto"/>
            <w:vAlign w:val="center"/>
            <w:hideMark/>
          </w:tcPr>
          <w:p w14:paraId="1E798D74"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851" w:type="dxa"/>
            <w:vMerge/>
            <w:shd w:val="clear" w:color="auto" w:fill="auto"/>
            <w:vAlign w:val="center"/>
            <w:hideMark/>
          </w:tcPr>
          <w:p w14:paraId="383456EF"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1134" w:type="dxa"/>
            <w:vMerge/>
            <w:shd w:val="clear" w:color="auto" w:fill="auto"/>
            <w:vAlign w:val="center"/>
            <w:hideMark/>
          </w:tcPr>
          <w:p w14:paraId="4AF7E6B7"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850" w:type="dxa"/>
            <w:vMerge/>
            <w:shd w:val="clear" w:color="auto" w:fill="auto"/>
            <w:vAlign w:val="center"/>
            <w:hideMark/>
          </w:tcPr>
          <w:p w14:paraId="235AD6CB"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851" w:type="dxa"/>
            <w:vMerge/>
            <w:shd w:val="clear" w:color="auto" w:fill="auto"/>
            <w:vAlign w:val="center"/>
            <w:hideMark/>
          </w:tcPr>
          <w:p w14:paraId="6EEEFB31"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709" w:type="dxa"/>
            <w:vMerge/>
            <w:shd w:val="clear" w:color="auto" w:fill="auto"/>
            <w:vAlign w:val="center"/>
            <w:hideMark/>
          </w:tcPr>
          <w:p w14:paraId="612771A6"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850" w:type="dxa"/>
            <w:vMerge/>
            <w:shd w:val="clear" w:color="auto" w:fill="auto"/>
            <w:vAlign w:val="center"/>
            <w:hideMark/>
          </w:tcPr>
          <w:p w14:paraId="413FC7E5"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851" w:type="dxa"/>
            <w:vMerge/>
            <w:shd w:val="clear" w:color="auto" w:fill="auto"/>
            <w:vAlign w:val="center"/>
            <w:hideMark/>
          </w:tcPr>
          <w:p w14:paraId="46E466D2"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2127" w:type="dxa"/>
            <w:vMerge/>
            <w:shd w:val="clear" w:color="auto" w:fill="auto"/>
            <w:vAlign w:val="center"/>
            <w:hideMark/>
          </w:tcPr>
          <w:p w14:paraId="43495CD5"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847" w:type="dxa"/>
            <w:vMerge/>
            <w:shd w:val="clear" w:color="auto" w:fill="auto"/>
            <w:vAlign w:val="center"/>
            <w:hideMark/>
          </w:tcPr>
          <w:p w14:paraId="707B2959"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847" w:type="dxa"/>
            <w:vMerge/>
            <w:shd w:val="clear" w:color="auto" w:fill="auto"/>
            <w:vAlign w:val="center"/>
            <w:hideMark/>
          </w:tcPr>
          <w:p w14:paraId="3FEE3098"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988" w:type="dxa"/>
            <w:vMerge/>
            <w:shd w:val="clear" w:color="auto" w:fill="auto"/>
            <w:vAlign w:val="center"/>
            <w:hideMark/>
          </w:tcPr>
          <w:p w14:paraId="2FCB1B66"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862" w:type="dxa"/>
            <w:vMerge/>
            <w:shd w:val="clear" w:color="auto" w:fill="auto"/>
            <w:vAlign w:val="center"/>
            <w:hideMark/>
          </w:tcPr>
          <w:p w14:paraId="1DE6EC47"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c>
          <w:tcPr>
            <w:tcW w:w="998" w:type="dxa"/>
            <w:vMerge/>
            <w:shd w:val="clear" w:color="auto" w:fill="auto"/>
            <w:vAlign w:val="center"/>
            <w:hideMark/>
          </w:tcPr>
          <w:p w14:paraId="3F031990" w14:textId="77777777" w:rsidR="000E33B7" w:rsidRPr="00815C0F" w:rsidRDefault="000E33B7" w:rsidP="00265460">
            <w:pPr>
              <w:spacing w:line="360" w:lineRule="auto"/>
              <w:jc w:val="both"/>
              <w:rPr>
                <w:rFonts w:ascii="Book Antiqua" w:eastAsia="Times New Roman" w:hAnsi="Book Antiqua" w:cs="Calibri"/>
                <w:color w:val="000000"/>
                <w:lang w:eastAsia="en-GB"/>
              </w:rPr>
            </w:pPr>
          </w:p>
        </w:tc>
      </w:tr>
      <w:tr w:rsidR="001F4ECC" w:rsidRPr="004A5F47" w14:paraId="2EB0F704" w14:textId="77777777" w:rsidTr="00B2640E">
        <w:trPr>
          <w:trHeight w:val="201"/>
        </w:trPr>
        <w:tc>
          <w:tcPr>
            <w:tcW w:w="993" w:type="dxa"/>
            <w:shd w:val="clear" w:color="auto" w:fill="auto"/>
            <w:noWrap/>
            <w:hideMark/>
          </w:tcPr>
          <w:p w14:paraId="7D0E5DDD" w14:textId="3043A36A"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Hann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[82</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w:t>
            </w:r>
            <w:r w:rsidRPr="004A5F47">
              <w:rPr>
                <w:rFonts w:ascii="Book Antiqua" w:hAnsi="Book Antiqua"/>
              </w:rPr>
              <w:t xml:space="preserve"> </w:t>
            </w:r>
            <w:r w:rsidRPr="00815C0F">
              <w:rPr>
                <w:rFonts w:ascii="Book Antiqua" w:eastAsia="Times New Roman" w:hAnsi="Book Antiqua" w:cs="Calibri"/>
                <w:color w:val="000000"/>
                <w:lang w:eastAsia="en-GB"/>
              </w:rPr>
              <w:t>2022</w:t>
            </w:r>
          </w:p>
        </w:tc>
        <w:tc>
          <w:tcPr>
            <w:tcW w:w="851" w:type="dxa"/>
            <w:shd w:val="clear" w:color="auto" w:fill="auto"/>
            <w:noWrap/>
            <w:hideMark/>
          </w:tcPr>
          <w:p w14:paraId="2B33D50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shd w:val="clear" w:color="auto" w:fill="auto"/>
            <w:hideMark/>
          </w:tcPr>
          <w:p w14:paraId="7E8157F8"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back to base (26)</w:t>
            </w:r>
          </w:p>
        </w:tc>
        <w:tc>
          <w:tcPr>
            <w:tcW w:w="850" w:type="dxa"/>
            <w:shd w:val="clear" w:color="auto" w:fill="auto"/>
            <w:noWrap/>
            <w:hideMark/>
          </w:tcPr>
          <w:p w14:paraId="4318B5C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SCS (56)</w:t>
            </w:r>
          </w:p>
        </w:tc>
        <w:tc>
          <w:tcPr>
            <w:tcW w:w="851" w:type="dxa"/>
            <w:shd w:val="clear" w:color="auto" w:fill="auto"/>
            <w:noWrap/>
            <w:hideMark/>
          </w:tcPr>
          <w:p w14:paraId="2602C10E"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All DBD</w:t>
            </w:r>
          </w:p>
        </w:tc>
        <w:tc>
          <w:tcPr>
            <w:tcW w:w="709" w:type="dxa"/>
            <w:shd w:val="clear" w:color="auto" w:fill="auto"/>
            <w:noWrap/>
            <w:hideMark/>
          </w:tcPr>
          <w:p w14:paraId="52B4F22D"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All DBD</w:t>
            </w:r>
          </w:p>
        </w:tc>
        <w:tc>
          <w:tcPr>
            <w:tcW w:w="850" w:type="dxa"/>
            <w:shd w:val="clear" w:color="auto" w:fill="auto"/>
            <w:noWrap/>
            <w:hideMark/>
          </w:tcPr>
          <w:p w14:paraId="02BB9C1E" w14:textId="30EB0618"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12</w:t>
            </w:r>
            <w:r w:rsidR="00145E17"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shd w:val="clear" w:color="auto" w:fill="auto"/>
            <w:noWrap/>
            <w:hideMark/>
          </w:tcPr>
          <w:p w14:paraId="7260D05C"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Birmingham criteria</w:t>
            </w:r>
          </w:p>
        </w:tc>
        <w:tc>
          <w:tcPr>
            <w:tcW w:w="2127" w:type="dxa"/>
            <w:shd w:val="clear" w:color="auto" w:fill="auto"/>
            <w:hideMark/>
          </w:tcPr>
          <w:p w14:paraId="072652BD" w14:textId="46006B00" w:rsidR="000E33B7" w:rsidRPr="00815C0F" w:rsidRDefault="00145E1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Not reported</w:t>
            </w:r>
            <w:r w:rsidR="000E33B7" w:rsidRPr="00815C0F">
              <w:rPr>
                <w:rFonts w:ascii="Book Antiqua" w:eastAsia="Times New Roman" w:hAnsi="Book Antiqua" w:cs="Calibri"/>
                <w:color w:val="000000"/>
                <w:lang w:eastAsia="en-GB"/>
              </w:rPr>
              <w:t xml:space="preserve"> </w:t>
            </w:r>
          </w:p>
        </w:tc>
        <w:tc>
          <w:tcPr>
            <w:tcW w:w="847" w:type="dxa"/>
            <w:shd w:val="clear" w:color="auto" w:fill="auto"/>
            <w:noWrap/>
            <w:hideMark/>
          </w:tcPr>
          <w:p w14:paraId="6440C3B2" w14:textId="501CA34C"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6 mo</w:t>
            </w:r>
            <w:r w:rsidR="00145E17" w:rsidRPr="00815C0F">
              <w:rPr>
                <w:rFonts w:ascii="Book Antiqua" w:hAnsi="Book Antiqua" w:cs="Calibri"/>
                <w:color w:val="000000"/>
                <w:lang w:eastAsia="zh-CN"/>
              </w:rPr>
              <w:t xml:space="preserve"> </w:t>
            </w:r>
            <w:r w:rsidR="00AC7371" w:rsidRPr="00AC7371">
              <w:rPr>
                <w:rFonts w:ascii="Book Antiqua" w:eastAsia="Times New Roman" w:hAnsi="Book Antiqua" w:cs="Calibri"/>
                <w:color w:val="000000"/>
                <w:lang w:eastAsia="en-GB"/>
              </w:rPr>
              <w:t>minimum</w:t>
            </w:r>
          </w:p>
        </w:tc>
        <w:tc>
          <w:tcPr>
            <w:tcW w:w="847" w:type="dxa"/>
            <w:shd w:val="clear" w:color="auto" w:fill="auto"/>
            <w:noWrap/>
            <w:hideMark/>
          </w:tcPr>
          <w:p w14:paraId="23A075DB"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NA</w:t>
            </w:r>
          </w:p>
        </w:tc>
        <w:tc>
          <w:tcPr>
            <w:tcW w:w="988" w:type="dxa"/>
            <w:shd w:val="clear" w:color="auto" w:fill="auto"/>
            <w:noWrap/>
            <w:hideMark/>
          </w:tcPr>
          <w:p w14:paraId="5DD62581"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1/26 (3.8%)</w:t>
            </w:r>
          </w:p>
        </w:tc>
        <w:tc>
          <w:tcPr>
            <w:tcW w:w="862" w:type="dxa"/>
            <w:shd w:val="clear" w:color="auto" w:fill="auto"/>
            <w:noWrap/>
            <w:hideMark/>
          </w:tcPr>
          <w:p w14:paraId="7B69A29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NA</w:t>
            </w:r>
          </w:p>
        </w:tc>
        <w:tc>
          <w:tcPr>
            <w:tcW w:w="998" w:type="dxa"/>
            <w:shd w:val="clear" w:color="auto" w:fill="auto"/>
            <w:noWrap/>
            <w:hideMark/>
          </w:tcPr>
          <w:p w14:paraId="1E90A905"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6/56 (10.7%)</w:t>
            </w:r>
          </w:p>
        </w:tc>
      </w:tr>
      <w:tr w:rsidR="001F4ECC" w:rsidRPr="004A5F47" w14:paraId="1F2E4B31" w14:textId="77777777" w:rsidTr="00B2640E">
        <w:trPr>
          <w:trHeight w:val="925"/>
        </w:trPr>
        <w:tc>
          <w:tcPr>
            <w:tcW w:w="993" w:type="dxa"/>
            <w:shd w:val="clear" w:color="auto" w:fill="auto"/>
            <w:noWrap/>
            <w:hideMark/>
          </w:tcPr>
          <w:p w14:paraId="560111E5" w14:textId="05DDFD1B"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Fodor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[75</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w:t>
            </w:r>
            <w:r w:rsidRPr="004A5F47">
              <w:rPr>
                <w:rFonts w:ascii="Book Antiqua" w:hAnsi="Book Antiqua"/>
              </w:rPr>
              <w:t xml:space="preserve"> </w:t>
            </w:r>
            <w:r w:rsidRPr="00815C0F">
              <w:rPr>
                <w:rFonts w:ascii="Book Antiqua" w:eastAsia="Times New Roman" w:hAnsi="Book Antiqua" w:cs="Calibri"/>
                <w:color w:val="000000"/>
                <w:lang w:eastAsia="en-GB"/>
              </w:rPr>
              <w:t>2021</w:t>
            </w:r>
          </w:p>
        </w:tc>
        <w:tc>
          <w:tcPr>
            <w:tcW w:w="851" w:type="dxa"/>
            <w:shd w:val="clear" w:color="auto" w:fill="auto"/>
            <w:noWrap/>
            <w:hideMark/>
          </w:tcPr>
          <w:p w14:paraId="021855F0"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shd w:val="clear" w:color="auto" w:fill="auto"/>
            <w:hideMark/>
          </w:tcPr>
          <w:p w14:paraId="7AA58032"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back to base (59)</w:t>
            </w:r>
          </w:p>
        </w:tc>
        <w:tc>
          <w:tcPr>
            <w:tcW w:w="850" w:type="dxa"/>
            <w:shd w:val="clear" w:color="auto" w:fill="auto"/>
            <w:noWrap/>
            <w:hideMark/>
          </w:tcPr>
          <w:p w14:paraId="3A33FE38"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SCS (59)</w:t>
            </w:r>
          </w:p>
        </w:tc>
        <w:tc>
          <w:tcPr>
            <w:tcW w:w="851" w:type="dxa"/>
            <w:shd w:val="clear" w:color="auto" w:fill="auto"/>
            <w:noWrap/>
            <w:hideMark/>
          </w:tcPr>
          <w:p w14:paraId="77AC8514" w14:textId="2FFD698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49,</w:t>
            </w:r>
            <w:r w:rsidR="00F7550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9</w:t>
            </w:r>
          </w:p>
        </w:tc>
        <w:tc>
          <w:tcPr>
            <w:tcW w:w="709" w:type="dxa"/>
            <w:shd w:val="clear" w:color="auto" w:fill="auto"/>
            <w:noWrap/>
            <w:hideMark/>
          </w:tcPr>
          <w:p w14:paraId="307A4F32" w14:textId="27C6273A"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55,</w:t>
            </w:r>
            <w:r w:rsidR="00F7550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4</w:t>
            </w:r>
          </w:p>
        </w:tc>
        <w:tc>
          <w:tcPr>
            <w:tcW w:w="850" w:type="dxa"/>
            <w:shd w:val="clear" w:color="auto" w:fill="auto"/>
            <w:noWrap/>
            <w:hideMark/>
          </w:tcPr>
          <w:p w14:paraId="5F3CFF76" w14:textId="1250EA87"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15</w:t>
            </w:r>
            <w:r w:rsidR="00F7550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shd w:val="clear" w:color="auto" w:fill="auto"/>
            <w:hideMark/>
          </w:tcPr>
          <w:p w14:paraId="42214AF4"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Certain parameter</w:t>
            </w:r>
            <w:r w:rsidRPr="00815C0F">
              <w:rPr>
                <w:rFonts w:ascii="Book Antiqua" w:eastAsia="Times New Roman" w:hAnsi="Book Antiqua" w:cs="Calibri"/>
                <w:color w:val="000000"/>
                <w:lang w:eastAsia="en-GB"/>
              </w:rPr>
              <w:lastRenderedPageBreak/>
              <w:t>s signs of "good organ function", others considered "warning" signs</w:t>
            </w:r>
          </w:p>
        </w:tc>
        <w:tc>
          <w:tcPr>
            <w:tcW w:w="2127" w:type="dxa"/>
            <w:shd w:val="clear" w:color="auto" w:fill="auto"/>
            <w:hideMark/>
          </w:tcPr>
          <w:p w14:paraId="12453A80"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lastRenderedPageBreak/>
              <w:t xml:space="preserve">ITBL was defined as BS, dilatation or irregularity of the intra- or </w:t>
            </w:r>
            <w:r w:rsidRPr="00815C0F">
              <w:rPr>
                <w:rFonts w:ascii="Book Antiqua" w:eastAsia="Times New Roman" w:hAnsi="Book Antiqua" w:cs="Calibri"/>
                <w:color w:val="000000"/>
                <w:lang w:eastAsia="en-GB"/>
              </w:rPr>
              <w:lastRenderedPageBreak/>
              <w:t>extrahepatic bile ducts with or without biliary cast formation in the absence of HAS or HAT</w:t>
            </w:r>
          </w:p>
        </w:tc>
        <w:tc>
          <w:tcPr>
            <w:tcW w:w="847" w:type="dxa"/>
            <w:shd w:val="clear" w:color="auto" w:fill="auto"/>
            <w:noWrap/>
            <w:hideMark/>
          </w:tcPr>
          <w:p w14:paraId="04E1FB66" w14:textId="45420353"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lastRenderedPageBreak/>
              <w:t>3 mo minimum</w:t>
            </w:r>
          </w:p>
        </w:tc>
        <w:tc>
          <w:tcPr>
            <w:tcW w:w="847" w:type="dxa"/>
            <w:shd w:val="clear" w:color="auto" w:fill="auto"/>
            <w:noWrap/>
            <w:hideMark/>
          </w:tcPr>
          <w:p w14:paraId="6C7622B0"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0/9</w:t>
            </w:r>
          </w:p>
        </w:tc>
        <w:tc>
          <w:tcPr>
            <w:tcW w:w="988" w:type="dxa"/>
            <w:shd w:val="clear" w:color="auto" w:fill="auto"/>
            <w:noWrap/>
            <w:hideMark/>
          </w:tcPr>
          <w:p w14:paraId="0B1DA158"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2/49 (4%)</w:t>
            </w:r>
          </w:p>
        </w:tc>
        <w:tc>
          <w:tcPr>
            <w:tcW w:w="862" w:type="dxa"/>
            <w:shd w:val="clear" w:color="auto" w:fill="auto"/>
            <w:noWrap/>
            <w:hideMark/>
          </w:tcPr>
          <w:p w14:paraId="0AC3538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1/4 (25%)</w:t>
            </w:r>
          </w:p>
        </w:tc>
        <w:tc>
          <w:tcPr>
            <w:tcW w:w="998" w:type="dxa"/>
            <w:shd w:val="clear" w:color="auto" w:fill="auto"/>
            <w:noWrap/>
            <w:hideMark/>
          </w:tcPr>
          <w:p w14:paraId="02695D56"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7/55 (12.7%)</w:t>
            </w:r>
          </w:p>
        </w:tc>
      </w:tr>
      <w:tr w:rsidR="001F4ECC" w:rsidRPr="004A5F47" w14:paraId="5727C75B" w14:textId="77777777" w:rsidTr="00B2640E">
        <w:trPr>
          <w:trHeight w:val="515"/>
        </w:trPr>
        <w:tc>
          <w:tcPr>
            <w:tcW w:w="993" w:type="dxa"/>
            <w:shd w:val="clear" w:color="auto" w:fill="auto"/>
            <w:noWrap/>
            <w:hideMark/>
          </w:tcPr>
          <w:p w14:paraId="4E074AF4" w14:textId="347CF791" w:rsidR="000E33B7" w:rsidRPr="00815C0F" w:rsidRDefault="00CA16DD" w:rsidP="00265460">
            <w:pPr>
              <w:spacing w:line="360" w:lineRule="auto"/>
              <w:jc w:val="both"/>
              <w:rPr>
                <w:rFonts w:ascii="Book Antiqua" w:eastAsia="Times New Roman" w:hAnsi="Book Antiqua" w:cs="Calibri"/>
                <w:color w:val="000000"/>
                <w:lang w:eastAsia="en-GB"/>
              </w:rPr>
            </w:pPr>
            <w:r w:rsidRPr="00815C0F">
              <w:rPr>
                <w:rFonts w:ascii="Book Antiqua" w:hAnsi="Book Antiqua"/>
                <w:color w:val="000000" w:themeColor="text1"/>
              </w:rPr>
              <w:t xml:space="preserve">Mohkam </w:t>
            </w:r>
            <w:r w:rsidRPr="00815C0F">
              <w:rPr>
                <w:rFonts w:ascii="Book Antiqua" w:hAnsi="Book Antiqua"/>
                <w:i/>
                <w:color w:val="000000" w:themeColor="text1"/>
              </w:rPr>
              <w:t>et al</w:t>
            </w:r>
            <w:r w:rsidRPr="00815C0F">
              <w:rPr>
                <w:rFonts w:ascii="Book Antiqua" w:hAnsi="Book Antiqua"/>
                <w:color w:val="000000" w:themeColor="text1"/>
                <w:vertAlign w:val="superscript"/>
                <w:lang w:eastAsia="zh-CN"/>
              </w:rPr>
              <w:t>[45]</w:t>
            </w:r>
            <w:r w:rsidRPr="00815C0F">
              <w:rPr>
                <w:rFonts w:ascii="Book Antiqua" w:hAnsi="Book Antiqua"/>
                <w:color w:val="000000" w:themeColor="text1"/>
                <w:lang w:eastAsia="zh-CN"/>
              </w:rPr>
              <w:t>,</w:t>
            </w:r>
            <w:r w:rsidRPr="00815C0F">
              <w:rPr>
                <w:rFonts w:ascii="Book Antiqua" w:hAnsi="Book Antiqua"/>
                <w:color w:val="000000" w:themeColor="text1"/>
              </w:rPr>
              <w:t xml:space="preserve"> 2022</w:t>
            </w:r>
          </w:p>
        </w:tc>
        <w:tc>
          <w:tcPr>
            <w:tcW w:w="851" w:type="dxa"/>
            <w:shd w:val="clear" w:color="auto" w:fill="auto"/>
            <w:noWrap/>
            <w:hideMark/>
          </w:tcPr>
          <w:p w14:paraId="08D34D4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shd w:val="clear" w:color="auto" w:fill="auto"/>
            <w:hideMark/>
          </w:tcPr>
          <w:p w14:paraId="2D497AE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at source (34)</w:t>
            </w:r>
          </w:p>
        </w:tc>
        <w:tc>
          <w:tcPr>
            <w:tcW w:w="850" w:type="dxa"/>
            <w:shd w:val="clear" w:color="auto" w:fill="auto"/>
            <w:noWrap/>
            <w:hideMark/>
          </w:tcPr>
          <w:p w14:paraId="76FDF53E"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NRP (68)</w:t>
            </w:r>
          </w:p>
        </w:tc>
        <w:tc>
          <w:tcPr>
            <w:tcW w:w="851" w:type="dxa"/>
            <w:shd w:val="clear" w:color="auto" w:fill="auto"/>
            <w:noWrap/>
            <w:hideMark/>
          </w:tcPr>
          <w:p w14:paraId="07B6443D"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All DCDs</w:t>
            </w:r>
          </w:p>
        </w:tc>
        <w:tc>
          <w:tcPr>
            <w:tcW w:w="709" w:type="dxa"/>
            <w:shd w:val="clear" w:color="auto" w:fill="auto"/>
            <w:noWrap/>
            <w:hideMark/>
          </w:tcPr>
          <w:p w14:paraId="76647D3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All DCD</w:t>
            </w:r>
          </w:p>
        </w:tc>
        <w:tc>
          <w:tcPr>
            <w:tcW w:w="850" w:type="dxa"/>
            <w:shd w:val="clear" w:color="auto" w:fill="auto"/>
            <w:noWrap/>
            <w:hideMark/>
          </w:tcPr>
          <w:p w14:paraId="0825D6B9" w14:textId="69D07917"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8.8</w:t>
            </w:r>
            <w:r w:rsidR="00F7550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shd w:val="clear" w:color="auto" w:fill="auto"/>
            <w:noWrap/>
            <w:hideMark/>
          </w:tcPr>
          <w:p w14:paraId="2EAB1BD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Not applied</w:t>
            </w:r>
          </w:p>
        </w:tc>
        <w:tc>
          <w:tcPr>
            <w:tcW w:w="2127" w:type="dxa"/>
            <w:shd w:val="clear" w:color="auto" w:fill="auto"/>
            <w:hideMark/>
          </w:tcPr>
          <w:p w14:paraId="755826DA" w14:textId="23B2E5A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Refers to BS requiring a specific treatment or </w:t>
            </w:r>
            <w:r w:rsidR="00F75504" w:rsidRPr="00815C0F">
              <w:rPr>
                <w:rFonts w:ascii="Book Antiqua" w:eastAsia="Times New Roman" w:hAnsi="Book Antiqua" w:cs="Calibri"/>
                <w:color w:val="000000"/>
                <w:lang w:eastAsia="en-GB"/>
              </w:rPr>
              <w:t xml:space="preserve">resulting to graft loss and/or </w:t>
            </w:r>
            <w:r w:rsidRPr="00815C0F">
              <w:rPr>
                <w:rFonts w:ascii="Book Antiqua" w:eastAsia="Times New Roman" w:hAnsi="Book Antiqua" w:cs="Calibri"/>
                <w:color w:val="000000"/>
                <w:lang w:eastAsia="en-GB"/>
              </w:rPr>
              <w:t>death</w:t>
            </w:r>
          </w:p>
        </w:tc>
        <w:tc>
          <w:tcPr>
            <w:tcW w:w="847" w:type="dxa"/>
            <w:shd w:val="clear" w:color="auto" w:fill="auto"/>
            <w:noWrap/>
            <w:hideMark/>
          </w:tcPr>
          <w:p w14:paraId="51D75CED" w14:textId="2120FC14"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23 mo</w:t>
            </w:r>
          </w:p>
        </w:tc>
        <w:tc>
          <w:tcPr>
            <w:tcW w:w="847" w:type="dxa"/>
            <w:shd w:val="clear" w:color="auto" w:fill="auto"/>
            <w:noWrap/>
            <w:hideMark/>
          </w:tcPr>
          <w:p w14:paraId="4E14C0F2"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1/34 (2.9%)</w:t>
            </w:r>
          </w:p>
        </w:tc>
        <w:tc>
          <w:tcPr>
            <w:tcW w:w="988" w:type="dxa"/>
            <w:shd w:val="clear" w:color="auto" w:fill="auto"/>
            <w:noWrap/>
            <w:hideMark/>
          </w:tcPr>
          <w:p w14:paraId="0D3ADD62"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NA</w:t>
            </w:r>
          </w:p>
        </w:tc>
        <w:tc>
          <w:tcPr>
            <w:tcW w:w="862" w:type="dxa"/>
            <w:shd w:val="clear" w:color="auto" w:fill="auto"/>
            <w:noWrap/>
            <w:hideMark/>
          </w:tcPr>
          <w:p w14:paraId="264BA76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1/68 (1.5%)</w:t>
            </w:r>
          </w:p>
        </w:tc>
        <w:tc>
          <w:tcPr>
            <w:tcW w:w="998" w:type="dxa"/>
            <w:shd w:val="clear" w:color="auto" w:fill="auto"/>
            <w:noWrap/>
            <w:hideMark/>
          </w:tcPr>
          <w:p w14:paraId="3F6314F5"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NA</w:t>
            </w:r>
          </w:p>
        </w:tc>
      </w:tr>
      <w:tr w:rsidR="001F4ECC" w:rsidRPr="004A5F47" w14:paraId="1EC59501" w14:textId="77777777" w:rsidTr="00B2640E">
        <w:trPr>
          <w:trHeight w:val="197"/>
        </w:trPr>
        <w:tc>
          <w:tcPr>
            <w:tcW w:w="993" w:type="dxa"/>
            <w:shd w:val="clear" w:color="auto" w:fill="auto"/>
            <w:noWrap/>
            <w:hideMark/>
          </w:tcPr>
          <w:p w14:paraId="2C17CB6C" w14:textId="07AFFF33"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lastRenderedPageBreak/>
              <w:t xml:space="preserve">Mergental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[71</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w:t>
            </w:r>
            <w:r w:rsidRPr="004A5F47">
              <w:rPr>
                <w:rFonts w:ascii="Book Antiqua" w:hAnsi="Book Antiqua"/>
              </w:rPr>
              <w:t xml:space="preserve"> </w:t>
            </w:r>
            <w:r w:rsidRPr="00815C0F">
              <w:rPr>
                <w:rFonts w:ascii="Book Antiqua" w:eastAsia="Times New Roman" w:hAnsi="Book Antiqua" w:cs="Calibri"/>
                <w:color w:val="000000"/>
                <w:lang w:eastAsia="en-GB"/>
              </w:rPr>
              <w:t>2020</w:t>
            </w:r>
          </w:p>
        </w:tc>
        <w:tc>
          <w:tcPr>
            <w:tcW w:w="851" w:type="dxa"/>
            <w:shd w:val="clear" w:color="auto" w:fill="auto"/>
            <w:noWrap/>
            <w:hideMark/>
          </w:tcPr>
          <w:p w14:paraId="27E3AE26"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shd w:val="clear" w:color="auto" w:fill="auto"/>
            <w:hideMark/>
          </w:tcPr>
          <w:p w14:paraId="649CBF52"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back-to-base (22)</w:t>
            </w:r>
          </w:p>
        </w:tc>
        <w:tc>
          <w:tcPr>
            <w:tcW w:w="850" w:type="dxa"/>
            <w:shd w:val="clear" w:color="auto" w:fill="auto"/>
            <w:noWrap/>
            <w:hideMark/>
          </w:tcPr>
          <w:p w14:paraId="6C648C9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SCS (44)</w:t>
            </w:r>
          </w:p>
        </w:tc>
        <w:tc>
          <w:tcPr>
            <w:tcW w:w="851" w:type="dxa"/>
            <w:shd w:val="clear" w:color="auto" w:fill="auto"/>
            <w:noWrap/>
            <w:hideMark/>
          </w:tcPr>
          <w:p w14:paraId="687395D0" w14:textId="2A0BF93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12,</w:t>
            </w:r>
            <w:r w:rsidR="00F7550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10</w:t>
            </w:r>
          </w:p>
        </w:tc>
        <w:tc>
          <w:tcPr>
            <w:tcW w:w="709" w:type="dxa"/>
            <w:shd w:val="clear" w:color="auto" w:fill="auto"/>
            <w:noWrap/>
            <w:hideMark/>
          </w:tcPr>
          <w:p w14:paraId="3547358A" w14:textId="06972D20"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24,</w:t>
            </w:r>
            <w:r w:rsidR="00F7550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20</w:t>
            </w:r>
            <w:r w:rsidR="00A007AB" w:rsidRPr="00815C0F">
              <w:rPr>
                <w:rFonts w:ascii="Book Antiqua" w:hAnsi="Book Antiqua" w:cs="Calibri"/>
                <w:color w:val="000000"/>
                <w:vertAlign w:val="superscript"/>
                <w:lang w:eastAsia="zh-CN"/>
              </w:rPr>
              <w:t>4</w:t>
            </w:r>
          </w:p>
        </w:tc>
        <w:tc>
          <w:tcPr>
            <w:tcW w:w="850" w:type="dxa"/>
            <w:shd w:val="clear" w:color="auto" w:fill="auto"/>
            <w:noWrap/>
            <w:hideMark/>
          </w:tcPr>
          <w:p w14:paraId="07DDB4F8" w14:textId="7D8A8B0F"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9.8</w:t>
            </w:r>
            <w:r w:rsidR="00F75504"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shd w:val="clear" w:color="auto" w:fill="auto"/>
            <w:noWrap/>
            <w:hideMark/>
          </w:tcPr>
          <w:p w14:paraId="5F744CA8"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Birmingham criteria</w:t>
            </w:r>
          </w:p>
        </w:tc>
        <w:tc>
          <w:tcPr>
            <w:tcW w:w="2127" w:type="dxa"/>
            <w:shd w:val="clear" w:color="auto" w:fill="auto"/>
            <w:hideMark/>
          </w:tcPr>
          <w:p w14:paraId="0BADBC93"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847" w:type="dxa"/>
            <w:shd w:val="clear" w:color="auto" w:fill="auto"/>
            <w:noWrap/>
            <w:hideMark/>
          </w:tcPr>
          <w:p w14:paraId="23280A54" w14:textId="4705BD01"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6 mo</w:t>
            </w:r>
          </w:p>
        </w:tc>
        <w:tc>
          <w:tcPr>
            <w:tcW w:w="847" w:type="dxa"/>
            <w:shd w:val="clear" w:color="auto" w:fill="auto"/>
            <w:noWrap/>
            <w:hideMark/>
          </w:tcPr>
          <w:p w14:paraId="5220F176"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7/10 (70%)</w:t>
            </w:r>
          </w:p>
        </w:tc>
        <w:tc>
          <w:tcPr>
            <w:tcW w:w="988" w:type="dxa"/>
            <w:shd w:val="clear" w:color="auto" w:fill="auto"/>
            <w:noWrap/>
            <w:hideMark/>
          </w:tcPr>
          <w:p w14:paraId="54DC1781"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0/12</w:t>
            </w:r>
          </w:p>
        </w:tc>
        <w:tc>
          <w:tcPr>
            <w:tcW w:w="862" w:type="dxa"/>
            <w:shd w:val="clear" w:color="auto" w:fill="auto"/>
            <w:noWrap/>
            <w:hideMark/>
          </w:tcPr>
          <w:p w14:paraId="1A7E8F53"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998" w:type="dxa"/>
            <w:shd w:val="clear" w:color="auto" w:fill="auto"/>
            <w:noWrap/>
            <w:hideMark/>
          </w:tcPr>
          <w:p w14:paraId="044D265E"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r>
      <w:tr w:rsidR="001F4ECC" w:rsidRPr="004A5F47" w14:paraId="5C16BF6D" w14:textId="77777777" w:rsidTr="00B2640E">
        <w:trPr>
          <w:trHeight w:val="959"/>
        </w:trPr>
        <w:tc>
          <w:tcPr>
            <w:tcW w:w="993" w:type="dxa"/>
            <w:shd w:val="clear" w:color="auto" w:fill="auto"/>
            <w:noWrap/>
            <w:hideMark/>
          </w:tcPr>
          <w:p w14:paraId="1CF20B53" w14:textId="360BC905"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Bral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[8</w:t>
            </w:r>
            <w:r w:rsidR="00EC6AF8" w:rsidRPr="004A5F47">
              <w:rPr>
                <w:rFonts w:ascii="Book Antiqua" w:hAnsi="Book Antiqua"/>
                <w:color w:val="000000" w:themeColor="text1"/>
                <w:vertAlign w:val="superscript"/>
                <w:lang w:eastAsia="zh-CN"/>
              </w:rPr>
              <w:t>3</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w:t>
            </w:r>
            <w:r w:rsidRPr="004A5F47">
              <w:rPr>
                <w:rFonts w:ascii="Book Antiqua" w:hAnsi="Book Antiqua"/>
              </w:rPr>
              <w:t xml:space="preserve"> </w:t>
            </w:r>
            <w:r w:rsidRPr="00815C0F">
              <w:rPr>
                <w:rFonts w:ascii="Book Antiqua" w:eastAsia="Times New Roman" w:hAnsi="Book Antiqua" w:cs="Calibri"/>
                <w:color w:val="000000"/>
                <w:lang w:eastAsia="en-GB"/>
              </w:rPr>
              <w:t>2019</w:t>
            </w:r>
          </w:p>
        </w:tc>
        <w:tc>
          <w:tcPr>
            <w:tcW w:w="851" w:type="dxa"/>
            <w:shd w:val="clear" w:color="auto" w:fill="auto"/>
            <w:noWrap/>
            <w:hideMark/>
          </w:tcPr>
          <w:p w14:paraId="0CA93F54"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shd w:val="clear" w:color="auto" w:fill="auto"/>
            <w:hideMark/>
          </w:tcPr>
          <w:p w14:paraId="53EF3AA1"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back-to-base (26)</w:t>
            </w:r>
          </w:p>
        </w:tc>
        <w:tc>
          <w:tcPr>
            <w:tcW w:w="850" w:type="dxa"/>
            <w:shd w:val="clear" w:color="auto" w:fill="auto"/>
            <w:noWrap/>
            <w:hideMark/>
          </w:tcPr>
          <w:p w14:paraId="1BA9066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at source (17)</w:t>
            </w:r>
          </w:p>
        </w:tc>
        <w:tc>
          <w:tcPr>
            <w:tcW w:w="851" w:type="dxa"/>
            <w:shd w:val="clear" w:color="auto" w:fill="auto"/>
            <w:noWrap/>
            <w:hideMark/>
          </w:tcPr>
          <w:p w14:paraId="3E67AE68" w14:textId="0E6D2261"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20,</w:t>
            </w:r>
            <w:r w:rsidR="00D02C7E"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6</w:t>
            </w:r>
          </w:p>
        </w:tc>
        <w:tc>
          <w:tcPr>
            <w:tcW w:w="709" w:type="dxa"/>
            <w:shd w:val="clear" w:color="auto" w:fill="auto"/>
            <w:noWrap/>
            <w:hideMark/>
          </w:tcPr>
          <w:p w14:paraId="2A9A9177" w14:textId="0BCC9C1D"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13,</w:t>
            </w:r>
            <w:r w:rsidR="00D02C7E"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4</w:t>
            </w:r>
          </w:p>
        </w:tc>
        <w:tc>
          <w:tcPr>
            <w:tcW w:w="850" w:type="dxa"/>
            <w:shd w:val="clear" w:color="auto" w:fill="auto"/>
            <w:hideMark/>
          </w:tcPr>
          <w:p w14:paraId="06CB593A" w14:textId="232B9EA6"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7.8</w:t>
            </w:r>
            <w:r w:rsidR="00D02C7E" w:rsidRPr="00815C0F">
              <w:rPr>
                <w:rFonts w:ascii="Book Antiqua" w:hAnsi="Book Antiqua" w:cs="Calibri"/>
                <w:color w:val="000000"/>
                <w:lang w:eastAsia="zh-CN"/>
              </w:rPr>
              <w:t xml:space="preserve"> </w:t>
            </w:r>
            <w:r w:rsidR="00D02C7E" w:rsidRPr="00815C0F">
              <w:rPr>
                <w:rFonts w:ascii="Book Antiqua" w:eastAsia="Times New Roman" w:hAnsi="Book Antiqua" w:cs="Calibri"/>
                <w:color w:val="000000"/>
                <w:lang w:eastAsia="en-GB"/>
              </w:rPr>
              <w:t>h</w:t>
            </w:r>
            <w:r w:rsidRPr="00815C0F">
              <w:rPr>
                <w:rFonts w:ascii="Book Antiqua" w:eastAsia="Times New Roman" w:hAnsi="Book Antiqua" w:cs="Calibri"/>
                <w:color w:val="000000"/>
                <w:lang w:eastAsia="en-GB"/>
              </w:rPr>
              <w:t xml:space="preserve"> (back-to-base)</w:t>
            </w:r>
            <w:r w:rsidR="00D02C7E"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10.3</w:t>
            </w:r>
            <w:r w:rsidR="00D02C7E" w:rsidRPr="00815C0F">
              <w:rPr>
                <w:rFonts w:ascii="Book Antiqua" w:hAnsi="Book Antiqua" w:cs="Calibri"/>
                <w:color w:val="000000"/>
                <w:lang w:eastAsia="zh-CN"/>
              </w:rPr>
              <w:t xml:space="preserve"> </w:t>
            </w:r>
            <w:r w:rsidR="00D02C7E" w:rsidRPr="00815C0F">
              <w:rPr>
                <w:rFonts w:ascii="Book Antiqua" w:eastAsia="Times New Roman" w:hAnsi="Book Antiqua" w:cs="Calibri"/>
                <w:color w:val="000000"/>
                <w:lang w:eastAsia="en-GB"/>
              </w:rPr>
              <w:t>h</w:t>
            </w:r>
            <w:r w:rsidRPr="00815C0F">
              <w:rPr>
                <w:rFonts w:ascii="Book Antiqua" w:eastAsia="Times New Roman" w:hAnsi="Book Antiqua" w:cs="Calibri"/>
                <w:color w:val="000000"/>
                <w:lang w:eastAsia="en-GB"/>
              </w:rPr>
              <w:t xml:space="preserve"> (at-source)</w:t>
            </w:r>
          </w:p>
        </w:tc>
        <w:tc>
          <w:tcPr>
            <w:tcW w:w="851" w:type="dxa"/>
            <w:shd w:val="clear" w:color="auto" w:fill="auto"/>
            <w:hideMark/>
          </w:tcPr>
          <w:p w14:paraId="422AB520" w14:textId="12D72A1F"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 xml:space="preserve">Parameters included opening lactate level, lactate clearance, necessity </w:t>
            </w:r>
            <w:r w:rsidRPr="00815C0F">
              <w:rPr>
                <w:rFonts w:ascii="Book Antiqua" w:eastAsia="Times New Roman" w:hAnsi="Book Antiqua" w:cs="Calibri"/>
                <w:color w:val="000000"/>
                <w:lang w:eastAsia="en-GB"/>
              </w:rPr>
              <w:lastRenderedPageBreak/>
              <w:t>of bicarbonate supplementation, and bile production</w:t>
            </w:r>
          </w:p>
        </w:tc>
        <w:tc>
          <w:tcPr>
            <w:tcW w:w="2127" w:type="dxa"/>
            <w:shd w:val="clear" w:color="auto" w:fill="auto"/>
            <w:hideMark/>
          </w:tcPr>
          <w:p w14:paraId="7B736928" w14:textId="20FD3CB8" w:rsidR="000E33B7" w:rsidRPr="00815C0F" w:rsidRDefault="00D02C7E"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lastRenderedPageBreak/>
              <w:t>IC</w:t>
            </w:r>
            <w:r w:rsidR="000E33B7" w:rsidRPr="00815C0F">
              <w:rPr>
                <w:rFonts w:ascii="Book Antiqua" w:eastAsia="Times New Roman" w:hAnsi="Book Antiqua" w:cs="Calibri"/>
                <w:color w:val="000000"/>
                <w:lang w:eastAsia="en-GB"/>
              </w:rPr>
              <w:t xml:space="preserve"> defined as diffuse BS in the absence of significant arterial stenosis</w:t>
            </w:r>
          </w:p>
        </w:tc>
        <w:tc>
          <w:tcPr>
            <w:tcW w:w="847" w:type="dxa"/>
            <w:shd w:val="clear" w:color="auto" w:fill="auto"/>
            <w:noWrap/>
            <w:hideMark/>
          </w:tcPr>
          <w:p w14:paraId="15963040" w14:textId="4230A143"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6 mo</w:t>
            </w:r>
          </w:p>
        </w:tc>
        <w:tc>
          <w:tcPr>
            <w:tcW w:w="847" w:type="dxa"/>
            <w:shd w:val="clear" w:color="auto" w:fill="auto"/>
            <w:noWrap/>
            <w:hideMark/>
          </w:tcPr>
          <w:p w14:paraId="3DC5BF5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0/6</w:t>
            </w:r>
          </w:p>
        </w:tc>
        <w:tc>
          <w:tcPr>
            <w:tcW w:w="988" w:type="dxa"/>
            <w:shd w:val="clear" w:color="auto" w:fill="auto"/>
            <w:noWrap/>
            <w:hideMark/>
          </w:tcPr>
          <w:p w14:paraId="664B7B3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0/20</w:t>
            </w:r>
          </w:p>
        </w:tc>
        <w:tc>
          <w:tcPr>
            <w:tcW w:w="862" w:type="dxa"/>
            <w:shd w:val="clear" w:color="auto" w:fill="auto"/>
            <w:noWrap/>
            <w:hideMark/>
          </w:tcPr>
          <w:p w14:paraId="78C32022"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0/4</w:t>
            </w:r>
          </w:p>
        </w:tc>
        <w:tc>
          <w:tcPr>
            <w:tcW w:w="998" w:type="dxa"/>
            <w:shd w:val="clear" w:color="auto" w:fill="auto"/>
            <w:noWrap/>
            <w:hideMark/>
          </w:tcPr>
          <w:p w14:paraId="70B49DCD"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0/13</w:t>
            </w:r>
          </w:p>
        </w:tc>
      </w:tr>
      <w:tr w:rsidR="001F4ECC" w:rsidRPr="004A5F47" w14:paraId="49AE7172" w14:textId="77777777" w:rsidTr="00B2640E">
        <w:trPr>
          <w:trHeight w:val="295"/>
        </w:trPr>
        <w:tc>
          <w:tcPr>
            <w:tcW w:w="993" w:type="dxa"/>
            <w:shd w:val="clear" w:color="auto" w:fill="auto"/>
            <w:noWrap/>
            <w:hideMark/>
          </w:tcPr>
          <w:p w14:paraId="6FBA9F79" w14:textId="279AC048"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Ceresa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[62</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w:t>
            </w:r>
            <w:r w:rsidRPr="004A5F47">
              <w:rPr>
                <w:rFonts w:ascii="Book Antiqua" w:hAnsi="Book Antiqua"/>
              </w:rPr>
              <w:t xml:space="preserve"> </w:t>
            </w:r>
            <w:r w:rsidRPr="00815C0F">
              <w:rPr>
                <w:rFonts w:ascii="Book Antiqua" w:eastAsia="Times New Roman" w:hAnsi="Book Antiqua" w:cs="Calibri"/>
                <w:color w:val="000000"/>
                <w:lang w:eastAsia="en-GB"/>
              </w:rPr>
              <w:t>2019</w:t>
            </w:r>
          </w:p>
        </w:tc>
        <w:tc>
          <w:tcPr>
            <w:tcW w:w="851" w:type="dxa"/>
            <w:shd w:val="clear" w:color="auto" w:fill="auto"/>
            <w:noWrap/>
            <w:hideMark/>
          </w:tcPr>
          <w:p w14:paraId="6584CDDB"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shd w:val="clear" w:color="auto" w:fill="auto"/>
            <w:hideMark/>
          </w:tcPr>
          <w:p w14:paraId="32DA2FCA"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back-to-base (31)</w:t>
            </w:r>
          </w:p>
        </w:tc>
        <w:tc>
          <w:tcPr>
            <w:tcW w:w="850" w:type="dxa"/>
            <w:shd w:val="clear" w:color="auto" w:fill="auto"/>
            <w:noWrap/>
            <w:hideMark/>
          </w:tcPr>
          <w:p w14:paraId="77681B11"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at-source (104)</w:t>
            </w:r>
          </w:p>
        </w:tc>
        <w:tc>
          <w:tcPr>
            <w:tcW w:w="851" w:type="dxa"/>
            <w:shd w:val="clear" w:color="auto" w:fill="auto"/>
            <w:noWrap/>
            <w:hideMark/>
          </w:tcPr>
          <w:p w14:paraId="6FE34E57" w14:textId="2BA3B890"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23,</w:t>
            </w:r>
            <w:r w:rsidR="008D4528"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8</w:t>
            </w:r>
          </w:p>
        </w:tc>
        <w:tc>
          <w:tcPr>
            <w:tcW w:w="709" w:type="dxa"/>
            <w:shd w:val="clear" w:color="auto" w:fill="auto"/>
            <w:noWrap/>
            <w:hideMark/>
          </w:tcPr>
          <w:p w14:paraId="7E41407C" w14:textId="1F52195D"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73,</w:t>
            </w:r>
            <w:r w:rsidR="008D4528"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31</w:t>
            </w:r>
          </w:p>
        </w:tc>
        <w:tc>
          <w:tcPr>
            <w:tcW w:w="850" w:type="dxa"/>
            <w:shd w:val="clear" w:color="auto" w:fill="auto"/>
            <w:noWrap/>
            <w:hideMark/>
          </w:tcPr>
          <w:p w14:paraId="325F930D" w14:textId="2B106722"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8.4</w:t>
            </w:r>
            <w:r w:rsidR="008D4528" w:rsidRPr="00815C0F">
              <w:rPr>
                <w:rFonts w:ascii="Book Antiqua" w:hAnsi="Book Antiqua" w:cs="Calibri"/>
                <w:color w:val="000000"/>
                <w:lang w:eastAsia="zh-CN"/>
              </w:rPr>
              <w:t xml:space="preserve"> </w:t>
            </w:r>
            <w:r w:rsidR="008D4528" w:rsidRPr="00815C0F">
              <w:rPr>
                <w:rFonts w:ascii="Book Antiqua" w:eastAsia="Times New Roman" w:hAnsi="Book Antiqua" w:cs="Calibri"/>
                <w:color w:val="000000"/>
                <w:lang w:eastAsia="en-GB"/>
              </w:rPr>
              <w:t>h</w:t>
            </w:r>
            <w:r w:rsidR="002425DD"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(mean)</w:t>
            </w:r>
          </w:p>
        </w:tc>
        <w:tc>
          <w:tcPr>
            <w:tcW w:w="851" w:type="dxa"/>
            <w:shd w:val="clear" w:color="auto" w:fill="auto"/>
            <w:hideMark/>
          </w:tcPr>
          <w:p w14:paraId="179927A7" w14:textId="4E93B35C" w:rsidR="000E33B7" w:rsidRPr="00815C0F" w:rsidRDefault="009403EB"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No viability criteria</w:t>
            </w:r>
            <w:r w:rsidR="000E33B7" w:rsidRPr="00815C0F">
              <w:rPr>
                <w:rFonts w:ascii="Book Antiqua" w:eastAsia="Times New Roman" w:hAnsi="Book Antiqua" w:cs="Calibri"/>
                <w:color w:val="000000"/>
                <w:lang w:eastAsia="en-GB"/>
              </w:rPr>
              <w:t xml:space="preserve"> </w:t>
            </w:r>
          </w:p>
        </w:tc>
        <w:tc>
          <w:tcPr>
            <w:tcW w:w="2127" w:type="dxa"/>
            <w:shd w:val="clear" w:color="auto" w:fill="auto"/>
            <w:hideMark/>
          </w:tcPr>
          <w:p w14:paraId="6992E18C"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847" w:type="dxa"/>
            <w:shd w:val="clear" w:color="auto" w:fill="auto"/>
            <w:noWrap/>
            <w:hideMark/>
          </w:tcPr>
          <w:p w14:paraId="42E39452" w14:textId="2019B1EA"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12</w:t>
            </w:r>
            <w:r w:rsidR="008D4528"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mo</w:t>
            </w:r>
          </w:p>
        </w:tc>
        <w:tc>
          <w:tcPr>
            <w:tcW w:w="847" w:type="dxa"/>
            <w:shd w:val="clear" w:color="auto" w:fill="auto"/>
            <w:noWrap/>
            <w:hideMark/>
          </w:tcPr>
          <w:p w14:paraId="2FBDED2D"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0/8</w:t>
            </w:r>
          </w:p>
        </w:tc>
        <w:tc>
          <w:tcPr>
            <w:tcW w:w="988" w:type="dxa"/>
            <w:shd w:val="clear" w:color="auto" w:fill="auto"/>
            <w:noWrap/>
            <w:hideMark/>
          </w:tcPr>
          <w:p w14:paraId="24409398"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0/23</w:t>
            </w:r>
          </w:p>
        </w:tc>
        <w:tc>
          <w:tcPr>
            <w:tcW w:w="862" w:type="dxa"/>
            <w:shd w:val="clear" w:color="auto" w:fill="auto"/>
            <w:noWrap/>
            <w:hideMark/>
          </w:tcPr>
          <w:p w14:paraId="5C6AE331"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998" w:type="dxa"/>
            <w:shd w:val="clear" w:color="auto" w:fill="auto"/>
            <w:noWrap/>
            <w:hideMark/>
          </w:tcPr>
          <w:p w14:paraId="0B9AB8C1"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r>
      <w:tr w:rsidR="001F4ECC" w:rsidRPr="004A5F47" w14:paraId="75FD789C" w14:textId="77777777" w:rsidTr="00B2640E">
        <w:trPr>
          <w:trHeight w:val="321"/>
        </w:trPr>
        <w:tc>
          <w:tcPr>
            <w:tcW w:w="993" w:type="dxa"/>
            <w:shd w:val="clear" w:color="auto" w:fill="auto"/>
            <w:noWrap/>
            <w:hideMark/>
          </w:tcPr>
          <w:p w14:paraId="4442F822" w14:textId="0EAE967B"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Liu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[8</w:t>
            </w:r>
            <w:r w:rsidR="00EC6AF8" w:rsidRPr="004A5F47">
              <w:rPr>
                <w:rFonts w:ascii="Book Antiqua" w:hAnsi="Book Antiqua"/>
                <w:color w:val="000000" w:themeColor="text1"/>
                <w:vertAlign w:val="superscript"/>
                <w:lang w:eastAsia="zh-CN"/>
              </w:rPr>
              <w:t>4</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 xml:space="preserve">, </w:t>
            </w:r>
            <w:r w:rsidRPr="00815C0F">
              <w:rPr>
                <w:rFonts w:ascii="Book Antiqua" w:eastAsia="Times New Roman" w:hAnsi="Book Antiqua" w:cs="Calibri"/>
                <w:color w:val="000000"/>
                <w:lang w:eastAsia="en-GB"/>
              </w:rPr>
              <w:t>2019</w:t>
            </w:r>
          </w:p>
        </w:tc>
        <w:tc>
          <w:tcPr>
            <w:tcW w:w="851" w:type="dxa"/>
            <w:shd w:val="clear" w:color="auto" w:fill="auto"/>
            <w:noWrap/>
            <w:hideMark/>
          </w:tcPr>
          <w:p w14:paraId="58360266"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shd w:val="clear" w:color="auto" w:fill="auto"/>
            <w:hideMark/>
          </w:tcPr>
          <w:p w14:paraId="2B06D8ED"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back to base OR at-</w:t>
            </w:r>
            <w:r w:rsidRPr="00815C0F">
              <w:rPr>
                <w:rFonts w:ascii="Book Antiqua" w:eastAsia="Times New Roman" w:hAnsi="Book Antiqua" w:cs="Calibri"/>
                <w:color w:val="000000"/>
                <w:lang w:eastAsia="en-GB"/>
              </w:rPr>
              <w:lastRenderedPageBreak/>
              <w:t>source (21)</w:t>
            </w:r>
          </w:p>
        </w:tc>
        <w:tc>
          <w:tcPr>
            <w:tcW w:w="850" w:type="dxa"/>
            <w:shd w:val="clear" w:color="auto" w:fill="auto"/>
            <w:noWrap/>
            <w:hideMark/>
          </w:tcPr>
          <w:p w14:paraId="40BCB5B8"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lastRenderedPageBreak/>
              <w:t>SCS (84)</w:t>
            </w:r>
          </w:p>
        </w:tc>
        <w:tc>
          <w:tcPr>
            <w:tcW w:w="851" w:type="dxa"/>
            <w:shd w:val="clear" w:color="auto" w:fill="auto"/>
            <w:noWrap/>
            <w:hideMark/>
          </w:tcPr>
          <w:p w14:paraId="22942179" w14:textId="03A7B261"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13,</w:t>
            </w:r>
            <w:r w:rsidR="00030092"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8</w:t>
            </w:r>
          </w:p>
        </w:tc>
        <w:tc>
          <w:tcPr>
            <w:tcW w:w="709" w:type="dxa"/>
            <w:shd w:val="clear" w:color="auto" w:fill="auto"/>
            <w:noWrap/>
            <w:hideMark/>
          </w:tcPr>
          <w:p w14:paraId="27D4D954" w14:textId="28774BE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52,</w:t>
            </w:r>
            <w:r w:rsidR="00030092"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32</w:t>
            </w:r>
          </w:p>
        </w:tc>
        <w:tc>
          <w:tcPr>
            <w:tcW w:w="850" w:type="dxa"/>
            <w:shd w:val="clear" w:color="auto" w:fill="auto"/>
            <w:noWrap/>
            <w:hideMark/>
          </w:tcPr>
          <w:p w14:paraId="2BA2321A" w14:textId="7C48C9ED"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4</w:t>
            </w:r>
            <w:r w:rsidR="00030092" w:rsidRPr="00815C0F">
              <w:rPr>
                <w:rFonts w:ascii="Book Antiqua" w:hAnsi="Book Antiqua" w:cs="Calibri"/>
                <w:color w:val="000000"/>
                <w:lang w:eastAsia="zh-CN"/>
              </w:rPr>
              <w:t xml:space="preserve"> </w:t>
            </w:r>
            <w:r w:rsidR="00030092" w:rsidRPr="00815C0F">
              <w:rPr>
                <w:rFonts w:ascii="Book Antiqua" w:eastAsia="Times New Roman" w:hAnsi="Book Antiqua" w:cs="Calibri"/>
                <w:color w:val="000000"/>
                <w:lang w:eastAsia="en-GB"/>
              </w:rPr>
              <w:t>h</w:t>
            </w:r>
            <w:r w:rsidRPr="00815C0F">
              <w:rPr>
                <w:rFonts w:ascii="Book Antiqua" w:eastAsia="Times New Roman" w:hAnsi="Book Antiqua" w:cs="Calibri"/>
                <w:color w:val="000000"/>
                <w:lang w:eastAsia="en-GB"/>
              </w:rPr>
              <w:t xml:space="preserve"> 52</w:t>
            </w:r>
          </w:p>
        </w:tc>
        <w:tc>
          <w:tcPr>
            <w:tcW w:w="851" w:type="dxa"/>
            <w:shd w:val="clear" w:color="auto" w:fill="auto"/>
            <w:noWrap/>
            <w:hideMark/>
          </w:tcPr>
          <w:p w14:paraId="0868C6F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No viability </w:t>
            </w:r>
            <w:r w:rsidRPr="00815C0F">
              <w:rPr>
                <w:rFonts w:ascii="Book Antiqua" w:eastAsia="Times New Roman" w:hAnsi="Book Antiqua" w:cs="Calibri"/>
                <w:color w:val="000000"/>
                <w:lang w:eastAsia="en-GB"/>
              </w:rPr>
              <w:lastRenderedPageBreak/>
              <w:t>testing</w:t>
            </w:r>
          </w:p>
        </w:tc>
        <w:tc>
          <w:tcPr>
            <w:tcW w:w="2127" w:type="dxa"/>
            <w:shd w:val="clear" w:color="auto" w:fill="auto"/>
            <w:hideMark/>
          </w:tcPr>
          <w:p w14:paraId="36A5E26C"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lastRenderedPageBreak/>
              <w:t>NR</w:t>
            </w:r>
          </w:p>
        </w:tc>
        <w:tc>
          <w:tcPr>
            <w:tcW w:w="847" w:type="dxa"/>
            <w:shd w:val="clear" w:color="auto" w:fill="auto"/>
            <w:noWrap/>
            <w:hideMark/>
          </w:tcPr>
          <w:p w14:paraId="14EC2A45" w14:textId="22688DEE"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12 mo minimum</w:t>
            </w:r>
          </w:p>
        </w:tc>
        <w:tc>
          <w:tcPr>
            <w:tcW w:w="847" w:type="dxa"/>
            <w:shd w:val="clear" w:color="auto" w:fill="auto"/>
            <w:noWrap/>
            <w:hideMark/>
          </w:tcPr>
          <w:p w14:paraId="431E552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0/8</w:t>
            </w:r>
          </w:p>
        </w:tc>
        <w:tc>
          <w:tcPr>
            <w:tcW w:w="988" w:type="dxa"/>
            <w:shd w:val="clear" w:color="auto" w:fill="auto"/>
            <w:noWrap/>
            <w:hideMark/>
          </w:tcPr>
          <w:p w14:paraId="7DB5D34B"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0/13</w:t>
            </w:r>
          </w:p>
        </w:tc>
        <w:tc>
          <w:tcPr>
            <w:tcW w:w="862" w:type="dxa"/>
            <w:shd w:val="clear" w:color="auto" w:fill="auto"/>
            <w:noWrap/>
            <w:hideMark/>
          </w:tcPr>
          <w:p w14:paraId="4377D670"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998" w:type="dxa"/>
            <w:shd w:val="clear" w:color="auto" w:fill="auto"/>
            <w:noWrap/>
            <w:hideMark/>
          </w:tcPr>
          <w:p w14:paraId="676A59A2"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r>
      <w:tr w:rsidR="001F4ECC" w:rsidRPr="004A5F47" w14:paraId="76F90A01" w14:textId="77777777" w:rsidTr="00B2640E">
        <w:trPr>
          <w:trHeight w:val="134"/>
        </w:trPr>
        <w:tc>
          <w:tcPr>
            <w:tcW w:w="993" w:type="dxa"/>
            <w:shd w:val="clear" w:color="auto" w:fill="auto"/>
            <w:noWrap/>
            <w:hideMark/>
          </w:tcPr>
          <w:p w14:paraId="1808F3EF" w14:textId="6B3D0B2F"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Bral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[8</w:t>
            </w:r>
            <w:r w:rsidR="00EC6AF8" w:rsidRPr="004A5F47">
              <w:rPr>
                <w:rFonts w:ascii="Book Antiqua" w:hAnsi="Book Antiqua"/>
                <w:color w:val="000000" w:themeColor="text1"/>
                <w:vertAlign w:val="superscript"/>
                <w:lang w:eastAsia="zh-CN"/>
              </w:rPr>
              <w:t>5</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 xml:space="preserve">, </w:t>
            </w:r>
            <w:r w:rsidRPr="00815C0F">
              <w:rPr>
                <w:rFonts w:ascii="Book Antiqua" w:eastAsia="Times New Roman" w:hAnsi="Book Antiqua" w:cs="Calibri"/>
                <w:color w:val="000000"/>
                <w:lang w:eastAsia="en-GB"/>
              </w:rPr>
              <w:t>2017</w:t>
            </w:r>
          </w:p>
        </w:tc>
        <w:tc>
          <w:tcPr>
            <w:tcW w:w="851" w:type="dxa"/>
            <w:shd w:val="clear" w:color="auto" w:fill="auto"/>
            <w:noWrap/>
            <w:hideMark/>
          </w:tcPr>
          <w:p w14:paraId="2A82C3A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shd w:val="clear" w:color="auto" w:fill="auto"/>
            <w:hideMark/>
          </w:tcPr>
          <w:p w14:paraId="7598E7D5"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at-source (9)</w:t>
            </w:r>
          </w:p>
        </w:tc>
        <w:tc>
          <w:tcPr>
            <w:tcW w:w="850" w:type="dxa"/>
            <w:shd w:val="clear" w:color="auto" w:fill="auto"/>
            <w:noWrap/>
            <w:hideMark/>
          </w:tcPr>
          <w:p w14:paraId="0602D47D"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SCS (30)</w:t>
            </w:r>
          </w:p>
        </w:tc>
        <w:tc>
          <w:tcPr>
            <w:tcW w:w="851" w:type="dxa"/>
            <w:shd w:val="clear" w:color="auto" w:fill="auto"/>
            <w:noWrap/>
            <w:hideMark/>
          </w:tcPr>
          <w:p w14:paraId="359E677F" w14:textId="572302B6"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6,</w:t>
            </w:r>
            <w:r w:rsidR="00030092"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3</w:t>
            </w:r>
          </w:p>
        </w:tc>
        <w:tc>
          <w:tcPr>
            <w:tcW w:w="709" w:type="dxa"/>
            <w:shd w:val="clear" w:color="auto" w:fill="auto"/>
            <w:noWrap/>
            <w:hideMark/>
          </w:tcPr>
          <w:p w14:paraId="18F553CC" w14:textId="752BE7BD"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22,</w:t>
            </w:r>
            <w:r w:rsidR="00030092"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8</w:t>
            </w:r>
          </w:p>
        </w:tc>
        <w:tc>
          <w:tcPr>
            <w:tcW w:w="850" w:type="dxa"/>
            <w:shd w:val="clear" w:color="auto" w:fill="auto"/>
            <w:noWrap/>
            <w:hideMark/>
          </w:tcPr>
          <w:p w14:paraId="169C78BA" w14:textId="77537100"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11.5</w:t>
            </w:r>
            <w:r w:rsidR="00030092"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shd w:val="clear" w:color="auto" w:fill="auto"/>
            <w:noWrap/>
            <w:hideMark/>
          </w:tcPr>
          <w:p w14:paraId="0BD03337"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No viability testing</w:t>
            </w:r>
          </w:p>
        </w:tc>
        <w:tc>
          <w:tcPr>
            <w:tcW w:w="2127" w:type="dxa"/>
            <w:shd w:val="clear" w:color="auto" w:fill="auto"/>
            <w:hideMark/>
          </w:tcPr>
          <w:p w14:paraId="4D498EEF"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847" w:type="dxa"/>
            <w:shd w:val="clear" w:color="auto" w:fill="auto"/>
            <w:noWrap/>
            <w:hideMark/>
          </w:tcPr>
          <w:p w14:paraId="19FD4B61" w14:textId="0A66BCE0"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6 mo</w:t>
            </w:r>
          </w:p>
        </w:tc>
        <w:tc>
          <w:tcPr>
            <w:tcW w:w="847" w:type="dxa"/>
            <w:shd w:val="clear" w:color="auto" w:fill="auto"/>
            <w:noWrap/>
            <w:hideMark/>
          </w:tcPr>
          <w:p w14:paraId="254198F0"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0/3</w:t>
            </w:r>
          </w:p>
        </w:tc>
        <w:tc>
          <w:tcPr>
            <w:tcW w:w="988" w:type="dxa"/>
            <w:shd w:val="clear" w:color="auto" w:fill="auto"/>
            <w:noWrap/>
            <w:hideMark/>
          </w:tcPr>
          <w:p w14:paraId="6094FAB7"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0/6</w:t>
            </w:r>
          </w:p>
        </w:tc>
        <w:tc>
          <w:tcPr>
            <w:tcW w:w="862" w:type="dxa"/>
            <w:shd w:val="clear" w:color="auto" w:fill="auto"/>
            <w:noWrap/>
            <w:hideMark/>
          </w:tcPr>
          <w:p w14:paraId="4E631BEA"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998" w:type="dxa"/>
            <w:shd w:val="clear" w:color="auto" w:fill="auto"/>
            <w:noWrap/>
            <w:hideMark/>
          </w:tcPr>
          <w:p w14:paraId="4B32CD41"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r>
      <w:tr w:rsidR="001F4ECC" w:rsidRPr="004A5F47" w14:paraId="63847570" w14:textId="77777777" w:rsidTr="00B2640E">
        <w:trPr>
          <w:trHeight w:val="121"/>
        </w:trPr>
        <w:tc>
          <w:tcPr>
            <w:tcW w:w="993" w:type="dxa"/>
            <w:shd w:val="clear" w:color="auto" w:fill="auto"/>
            <w:noWrap/>
            <w:hideMark/>
          </w:tcPr>
          <w:p w14:paraId="4B01CEEF" w14:textId="3FD328B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 xml:space="preserve">Ravikumar </w:t>
            </w:r>
            <w:r w:rsidRPr="00815C0F">
              <w:rPr>
                <w:rFonts w:ascii="Book Antiqua" w:eastAsia="Times New Roman" w:hAnsi="Book Antiqua" w:cs="Calibri"/>
                <w:i/>
                <w:iCs/>
                <w:color w:val="000000"/>
                <w:lang w:eastAsia="en-GB"/>
              </w:rPr>
              <w:t>et al</w:t>
            </w:r>
            <w:r w:rsidRPr="004A5F47">
              <w:rPr>
                <w:rFonts w:ascii="Book Antiqua" w:hAnsi="Book Antiqua"/>
                <w:color w:val="000000" w:themeColor="text1"/>
                <w:vertAlign w:val="superscript"/>
              </w:rPr>
              <w:t>[63</w:t>
            </w:r>
            <w:r w:rsidRPr="004A5F47">
              <w:rPr>
                <w:rFonts w:ascii="Book Antiqua" w:hAnsi="Book Antiqua"/>
                <w:color w:val="000000" w:themeColor="text1"/>
                <w:vertAlign w:val="superscript"/>
                <w:lang w:eastAsia="zh-CN"/>
              </w:rPr>
              <w:t>]</w:t>
            </w:r>
            <w:r w:rsidRPr="004A5F47">
              <w:rPr>
                <w:rFonts w:ascii="Book Antiqua" w:hAnsi="Book Antiqua"/>
                <w:color w:val="000000" w:themeColor="text1"/>
                <w:lang w:eastAsia="zh-CN"/>
              </w:rPr>
              <w:t>,</w:t>
            </w:r>
            <w:r w:rsidRPr="004A5F47">
              <w:rPr>
                <w:rFonts w:ascii="Book Antiqua" w:hAnsi="Book Antiqua"/>
              </w:rPr>
              <w:t xml:space="preserve"> </w:t>
            </w:r>
            <w:r w:rsidRPr="00815C0F">
              <w:rPr>
                <w:rFonts w:ascii="Book Antiqua" w:eastAsia="Times New Roman" w:hAnsi="Book Antiqua" w:cs="Calibri"/>
                <w:color w:val="000000"/>
                <w:lang w:eastAsia="en-GB"/>
              </w:rPr>
              <w:t>2016</w:t>
            </w:r>
          </w:p>
        </w:tc>
        <w:tc>
          <w:tcPr>
            <w:tcW w:w="851" w:type="dxa"/>
            <w:shd w:val="clear" w:color="auto" w:fill="auto"/>
            <w:noWrap/>
            <w:hideMark/>
          </w:tcPr>
          <w:p w14:paraId="1F6C895B"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Cohort</w:t>
            </w:r>
          </w:p>
        </w:tc>
        <w:tc>
          <w:tcPr>
            <w:tcW w:w="1134" w:type="dxa"/>
            <w:shd w:val="clear" w:color="auto" w:fill="auto"/>
            <w:hideMark/>
          </w:tcPr>
          <w:p w14:paraId="21DE3C6E"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NMP at-source (20)</w:t>
            </w:r>
          </w:p>
        </w:tc>
        <w:tc>
          <w:tcPr>
            <w:tcW w:w="850" w:type="dxa"/>
            <w:shd w:val="clear" w:color="auto" w:fill="auto"/>
            <w:noWrap/>
            <w:hideMark/>
          </w:tcPr>
          <w:p w14:paraId="65C10FAA"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SCS (40)</w:t>
            </w:r>
          </w:p>
        </w:tc>
        <w:tc>
          <w:tcPr>
            <w:tcW w:w="851" w:type="dxa"/>
            <w:shd w:val="clear" w:color="auto" w:fill="auto"/>
            <w:noWrap/>
            <w:hideMark/>
          </w:tcPr>
          <w:p w14:paraId="3A82E671" w14:textId="5E93AB1E"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16,</w:t>
            </w:r>
            <w:r w:rsidR="00030092"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4</w:t>
            </w:r>
          </w:p>
        </w:tc>
        <w:tc>
          <w:tcPr>
            <w:tcW w:w="709" w:type="dxa"/>
            <w:shd w:val="clear" w:color="auto" w:fill="auto"/>
            <w:noWrap/>
            <w:hideMark/>
          </w:tcPr>
          <w:p w14:paraId="4ACF564A" w14:textId="306645E2" w:rsidR="000E33B7" w:rsidRPr="00815C0F" w:rsidRDefault="000E33B7" w:rsidP="00265460">
            <w:pPr>
              <w:spacing w:line="360" w:lineRule="auto"/>
              <w:jc w:val="both"/>
              <w:rPr>
                <w:rFonts w:ascii="Book Antiqua" w:eastAsia="Times New Roman" w:hAnsi="Book Antiqua"/>
                <w:lang w:eastAsia="en-GB"/>
              </w:rPr>
            </w:pPr>
            <w:r w:rsidRPr="00815C0F">
              <w:rPr>
                <w:rFonts w:ascii="Book Antiqua" w:eastAsia="Times New Roman" w:hAnsi="Book Antiqua"/>
                <w:lang w:eastAsia="en-GB"/>
              </w:rPr>
              <w:t>32,</w:t>
            </w:r>
            <w:r w:rsidR="00030092" w:rsidRPr="00815C0F">
              <w:rPr>
                <w:rFonts w:ascii="Book Antiqua" w:hAnsi="Book Antiqua"/>
                <w:lang w:eastAsia="zh-CN"/>
              </w:rPr>
              <w:t xml:space="preserve"> </w:t>
            </w:r>
            <w:r w:rsidRPr="00815C0F">
              <w:rPr>
                <w:rFonts w:ascii="Book Antiqua" w:eastAsia="Times New Roman" w:hAnsi="Book Antiqua"/>
                <w:lang w:eastAsia="en-GB"/>
              </w:rPr>
              <w:t>8</w:t>
            </w:r>
          </w:p>
        </w:tc>
        <w:tc>
          <w:tcPr>
            <w:tcW w:w="850" w:type="dxa"/>
            <w:shd w:val="clear" w:color="auto" w:fill="auto"/>
            <w:noWrap/>
            <w:hideMark/>
          </w:tcPr>
          <w:p w14:paraId="0F2E3B8A" w14:textId="6E0ABF9B"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9.3</w:t>
            </w:r>
            <w:r w:rsidR="00030092" w:rsidRPr="00815C0F">
              <w:rPr>
                <w:rFonts w:ascii="Book Antiqua" w:hAnsi="Book Antiqua" w:cs="Calibri"/>
                <w:color w:val="000000"/>
                <w:lang w:eastAsia="zh-CN"/>
              </w:rPr>
              <w:t xml:space="preserve"> </w:t>
            </w:r>
            <w:r w:rsidRPr="00815C0F">
              <w:rPr>
                <w:rFonts w:ascii="Book Antiqua" w:eastAsia="Times New Roman" w:hAnsi="Book Antiqua" w:cs="Calibri"/>
                <w:color w:val="000000"/>
                <w:lang w:eastAsia="en-GB"/>
              </w:rPr>
              <w:t>h</w:t>
            </w:r>
          </w:p>
        </w:tc>
        <w:tc>
          <w:tcPr>
            <w:tcW w:w="851" w:type="dxa"/>
            <w:shd w:val="clear" w:color="auto" w:fill="auto"/>
            <w:noWrap/>
            <w:hideMark/>
          </w:tcPr>
          <w:p w14:paraId="7BAECAC3"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No viability testing</w:t>
            </w:r>
          </w:p>
        </w:tc>
        <w:tc>
          <w:tcPr>
            <w:tcW w:w="2127" w:type="dxa"/>
            <w:shd w:val="clear" w:color="auto" w:fill="auto"/>
            <w:hideMark/>
          </w:tcPr>
          <w:p w14:paraId="7BA58C6E" w14:textId="25153820" w:rsidR="000E33B7" w:rsidRPr="00815C0F" w:rsidRDefault="009B052D" w:rsidP="00265460">
            <w:pPr>
              <w:spacing w:line="360" w:lineRule="auto"/>
              <w:jc w:val="both"/>
              <w:rPr>
                <w:rFonts w:ascii="Book Antiqua" w:eastAsia="Times New Roman" w:hAnsi="Book Antiqua" w:cs="Calibri"/>
                <w:color w:val="000000"/>
                <w:lang w:eastAsia="en-GB"/>
              </w:rPr>
            </w:pPr>
            <w:r w:rsidRPr="00815C0F">
              <w:rPr>
                <w:rFonts w:ascii="Book Antiqua" w:hAnsi="Book Antiqua" w:cs="Calibri"/>
                <w:color w:val="000000"/>
                <w:lang w:eastAsia="zh-CN"/>
              </w:rPr>
              <w:t>NR</w:t>
            </w:r>
            <w:r w:rsidR="000E33B7" w:rsidRPr="00815C0F">
              <w:rPr>
                <w:rFonts w:ascii="Book Antiqua" w:eastAsia="Times New Roman" w:hAnsi="Book Antiqua" w:cs="Calibri"/>
                <w:color w:val="000000"/>
                <w:lang w:eastAsia="en-GB"/>
              </w:rPr>
              <w:t xml:space="preserve"> </w:t>
            </w:r>
          </w:p>
        </w:tc>
        <w:tc>
          <w:tcPr>
            <w:tcW w:w="847" w:type="dxa"/>
            <w:shd w:val="clear" w:color="auto" w:fill="auto"/>
            <w:noWrap/>
            <w:hideMark/>
          </w:tcPr>
          <w:p w14:paraId="19093FE4" w14:textId="69841000" w:rsidR="000E33B7" w:rsidRPr="00815C0F" w:rsidRDefault="000E33B7" w:rsidP="00265460">
            <w:pPr>
              <w:spacing w:line="360" w:lineRule="auto"/>
              <w:jc w:val="both"/>
              <w:rPr>
                <w:rFonts w:ascii="Book Antiqua" w:hAnsi="Book Antiqua" w:cs="Calibri"/>
                <w:color w:val="000000"/>
                <w:lang w:eastAsia="zh-CN"/>
              </w:rPr>
            </w:pPr>
            <w:r w:rsidRPr="00815C0F">
              <w:rPr>
                <w:rFonts w:ascii="Book Antiqua" w:eastAsia="Times New Roman" w:hAnsi="Book Antiqua" w:cs="Calibri"/>
                <w:color w:val="000000"/>
                <w:lang w:eastAsia="en-GB"/>
              </w:rPr>
              <w:t>30 d</w:t>
            </w:r>
          </w:p>
        </w:tc>
        <w:tc>
          <w:tcPr>
            <w:tcW w:w="847" w:type="dxa"/>
            <w:shd w:val="clear" w:color="auto" w:fill="auto"/>
            <w:noWrap/>
            <w:hideMark/>
          </w:tcPr>
          <w:p w14:paraId="12E4BEE9"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0/4</w:t>
            </w:r>
          </w:p>
        </w:tc>
        <w:tc>
          <w:tcPr>
            <w:tcW w:w="988" w:type="dxa"/>
            <w:shd w:val="clear" w:color="auto" w:fill="auto"/>
            <w:noWrap/>
            <w:hideMark/>
          </w:tcPr>
          <w:p w14:paraId="6C7CA325"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0/16</w:t>
            </w:r>
          </w:p>
        </w:tc>
        <w:tc>
          <w:tcPr>
            <w:tcW w:w="862" w:type="dxa"/>
            <w:shd w:val="clear" w:color="auto" w:fill="auto"/>
            <w:noWrap/>
            <w:hideMark/>
          </w:tcPr>
          <w:p w14:paraId="048BAC9E"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c>
          <w:tcPr>
            <w:tcW w:w="998" w:type="dxa"/>
            <w:shd w:val="clear" w:color="auto" w:fill="auto"/>
            <w:noWrap/>
            <w:hideMark/>
          </w:tcPr>
          <w:p w14:paraId="7D69EBB5" w14:textId="77777777" w:rsidR="000E33B7" w:rsidRPr="00815C0F" w:rsidRDefault="000E33B7" w:rsidP="00265460">
            <w:pPr>
              <w:spacing w:line="360" w:lineRule="auto"/>
              <w:jc w:val="both"/>
              <w:rPr>
                <w:rFonts w:ascii="Book Antiqua" w:eastAsia="Times New Roman" w:hAnsi="Book Antiqua" w:cs="Calibri"/>
                <w:color w:val="000000"/>
                <w:lang w:eastAsia="en-GB"/>
              </w:rPr>
            </w:pPr>
            <w:r w:rsidRPr="00815C0F">
              <w:rPr>
                <w:rFonts w:ascii="Book Antiqua" w:eastAsia="Times New Roman" w:hAnsi="Book Antiqua" w:cs="Calibri"/>
                <w:color w:val="000000"/>
                <w:lang w:eastAsia="en-GB"/>
              </w:rPr>
              <w:t>NR</w:t>
            </w:r>
          </w:p>
        </w:tc>
      </w:tr>
    </w:tbl>
    <w:p w14:paraId="02C31632" w14:textId="0E9ACA7F" w:rsidR="009B052D" w:rsidRPr="004A5F47" w:rsidRDefault="00D02C7E" w:rsidP="00265460">
      <w:pPr>
        <w:pStyle w:val="EndNoteBibliography"/>
        <w:spacing w:line="360" w:lineRule="auto"/>
        <w:jc w:val="both"/>
        <w:rPr>
          <w:rFonts w:ascii="Book Antiqua" w:hAnsi="Book Antiqua" w:cs="Times New Roman"/>
          <w:lang w:eastAsia="zh-CN"/>
        </w:rPr>
      </w:pPr>
      <w:r w:rsidRPr="004A5F47">
        <w:rPr>
          <w:rFonts w:ascii="Book Antiqua" w:hAnsi="Book Antiqua" w:cs="Times New Roman"/>
          <w:vertAlign w:val="superscript"/>
          <w:lang w:eastAsia="zh-CN"/>
        </w:rPr>
        <w:t>1</w:t>
      </w:r>
      <w:r w:rsidR="000E33B7" w:rsidRPr="004A5F47">
        <w:rPr>
          <w:rFonts w:ascii="Book Antiqua" w:hAnsi="Book Antiqua" w:cs="Times New Roman"/>
        </w:rPr>
        <w:t>Median duration unless otherwise stated</w:t>
      </w:r>
      <w:r w:rsidR="001D6D40" w:rsidRPr="004A5F47">
        <w:rPr>
          <w:rFonts w:ascii="Book Antiqua" w:hAnsi="Book Antiqua" w:cs="Times New Roman"/>
          <w:lang w:eastAsia="zh-CN"/>
        </w:rPr>
        <w:t xml:space="preserve">; </w:t>
      </w:r>
      <w:r w:rsidR="008D0B74" w:rsidRPr="004A5F47">
        <w:rPr>
          <w:rFonts w:ascii="Book Antiqua" w:hAnsi="Book Antiqua"/>
          <w:vertAlign w:val="superscript"/>
          <w:lang w:eastAsia="zh-CN"/>
        </w:rPr>
        <w:t>2</w:t>
      </w:r>
      <w:r w:rsidR="000E33B7" w:rsidRPr="004A5F47">
        <w:rPr>
          <w:rFonts w:ascii="Book Antiqua" w:hAnsi="Book Antiqua" w:cs="Times New Roman"/>
        </w:rPr>
        <w:t xml:space="preserve">Numerator represents the number of patients that completed the 6 mo protocol </w:t>
      </w:r>
      <w:r w:rsidR="0061417A" w:rsidRPr="004A5F47">
        <w:rPr>
          <w:rFonts w:ascii="Book Antiqua" w:hAnsi="Book Antiqua" w:cs="Times New Roman"/>
          <w:lang w:eastAsia="zh-CN"/>
        </w:rPr>
        <w:t>m</w:t>
      </w:r>
      <w:r w:rsidR="0061417A" w:rsidRPr="004A5F47">
        <w:rPr>
          <w:rFonts w:ascii="Book Antiqua" w:hAnsi="Book Antiqua" w:cs="Times New Roman"/>
        </w:rPr>
        <w:t>agnetic resonance cholangi</w:t>
      </w:r>
      <w:r w:rsidR="000E6312" w:rsidRPr="004A5F47">
        <w:rPr>
          <w:rFonts w:ascii="Book Antiqua" w:hAnsi="Book Antiqua" w:cs="Times New Roman"/>
        </w:rPr>
        <w:t>o</w:t>
      </w:r>
      <w:r w:rsidR="0061417A" w:rsidRPr="004A5F47">
        <w:rPr>
          <w:rFonts w:ascii="Book Antiqua" w:hAnsi="Book Antiqua" w:cs="Times New Roman"/>
        </w:rPr>
        <w:t>pancreatography</w:t>
      </w:r>
      <w:r w:rsidR="001D6D40" w:rsidRPr="004A5F47">
        <w:rPr>
          <w:rFonts w:ascii="Book Antiqua" w:hAnsi="Book Antiqua" w:cs="Times New Roman"/>
          <w:lang w:eastAsia="zh-CN"/>
        </w:rPr>
        <w:t xml:space="preserve">; </w:t>
      </w:r>
      <w:r w:rsidR="008D0B74" w:rsidRPr="004A5F47">
        <w:rPr>
          <w:rFonts w:ascii="Book Antiqua" w:hAnsi="Book Antiqua"/>
          <w:vertAlign w:val="superscript"/>
          <w:lang w:eastAsia="zh-CN"/>
        </w:rPr>
        <w:t>3</w:t>
      </w:r>
      <w:r w:rsidR="008D0B74" w:rsidRPr="004A5F47">
        <w:rPr>
          <w:rFonts w:ascii="Book Antiqua" w:hAnsi="Book Antiqua" w:cs="Times New Roman"/>
        </w:rPr>
        <w:t>Number of clinically significant strictures, defined as those requiring intervention</w:t>
      </w:r>
      <w:r w:rsidR="001D6D40" w:rsidRPr="004A5F47">
        <w:rPr>
          <w:rFonts w:ascii="Book Antiqua" w:hAnsi="Book Antiqua" w:cs="Times New Roman"/>
          <w:lang w:eastAsia="zh-CN"/>
        </w:rPr>
        <w:t xml:space="preserve">; </w:t>
      </w:r>
      <w:r w:rsidR="00A007AB" w:rsidRPr="004A5F47">
        <w:rPr>
          <w:rFonts w:ascii="Book Antiqua" w:hAnsi="Book Antiqua"/>
          <w:vertAlign w:val="superscript"/>
          <w:lang w:eastAsia="zh-CN"/>
        </w:rPr>
        <w:t>4</w:t>
      </w:r>
      <w:r w:rsidR="00A007AB" w:rsidRPr="004A5F47">
        <w:rPr>
          <w:rFonts w:ascii="Book Antiqua" w:hAnsi="Book Antiqua" w:cs="Times New Roman"/>
        </w:rPr>
        <w:t>Presumed based on propensity matching</w:t>
      </w:r>
      <w:r w:rsidR="00A007AB" w:rsidRPr="004A5F47">
        <w:rPr>
          <w:rFonts w:ascii="Book Antiqua" w:hAnsi="Book Antiqua" w:cs="Times New Roman"/>
          <w:lang w:eastAsia="zh-CN"/>
        </w:rPr>
        <w:t>.</w:t>
      </w:r>
      <w:r w:rsidR="001D6D40" w:rsidRPr="004A5F47">
        <w:rPr>
          <w:rFonts w:ascii="Book Antiqua" w:hAnsi="Book Antiqua" w:cs="Times New Roman"/>
        </w:rPr>
        <w:t xml:space="preserve"> </w:t>
      </w:r>
      <w:r w:rsidR="009B052D" w:rsidRPr="004A5F47">
        <w:rPr>
          <w:rFonts w:ascii="Book Antiqua" w:hAnsi="Book Antiqua" w:cs="Times New Roman"/>
        </w:rPr>
        <w:t>BS</w:t>
      </w:r>
      <w:r w:rsidR="009B052D" w:rsidRPr="004A5F47">
        <w:rPr>
          <w:rFonts w:ascii="Book Antiqua" w:hAnsi="Book Antiqua" w:cs="Times New Roman"/>
          <w:lang w:eastAsia="zh-CN"/>
        </w:rPr>
        <w:t>:</w:t>
      </w:r>
      <w:r w:rsidR="009B052D" w:rsidRPr="004A5F47">
        <w:rPr>
          <w:rFonts w:ascii="Book Antiqua" w:hAnsi="Book Antiqua" w:cs="Times New Roman"/>
        </w:rPr>
        <w:t xml:space="preserve"> Biliary strictures</w:t>
      </w:r>
      <w:r w:rsidR="009B052D" w:rsidRPr="004A5F47">
        <w:rPr>
          <w:rFonts w:ascii="Book Antiqua" w:hAnsi="Book Antiqua" w:cs="Times New Roman"/>
          <w:lang w:eastAsia="zh-CN"/>
        </w:rPr>
        <w:t>;</w:t>
      </w:r>
      <w:r w:rsidR="009B052D" w:rsidRPr="004A5F47">
        <w:rPr>
          <w:rFonts w:ascii="Book Antiqua" w:hAnsi="Book Antiqua" w:cs="Times New Roman"/>
        </w:rPr>
        <w:t xml:space="preserve"> </w:t>
      </w:r>
      <w:r w:rsidR="00700403" w:rsidRPr="004A5F47">
        <w:rPr>
          <w:rFonts w:ascii="Book Antiqua" w:hAnsi="Book Antiqua" w:cs="Times New Roman"/>
          <w:lang w:eastAsia="zh-CN"/>
        </w:rPr>
        <w:t xml:space="preserve">DBD: </w:t>
      </w:r>
      <w:r w:rsidR="00700403" w:rsidRPr="004A5F47">
        <w:rPr>
          <w:rFonts w:ascii="Book Antiqua" w:eastAsia="Book Antiqua" w:hAnsi="Book Antiqua" w:cs="Book Antiqua"/>
          <w:color w:val="000000"/>
        </w:rPr>
        <w:t>Donor after Brain Death</w:t>
      </w:r>
      <w:r w:rsidR="00700403" w:rsidRPr="004A5F47">
        <w:rPr>
          <w:rFonts w:ascii="Book Antiqua" w:hAnsi="Book Antiqua" w:cs="Times New Roman"/>
          <w:lang w:eastAsia="zh-CN"/>
        </w:rPr>
        <w:t xml:space="preserve">; DCD: </w:t>
      </w:r>
      <w:r w:rsidR="00700403" w:rsidRPr="004A5F47">
        <w:rPr>
          <w:rFonts w:ascii="Book Antiqua" w:hAnsi="Book Antiqua" w:cs="Book Antiqua"/>
          <w:color w:val="000000"/>
          <w:shd w:val="clear" w:color="auto" w:fill="FFFFFF"/>
          <w:lang w:eastAsia="zh-CN"/>
        </w:rPr>
        <w:t>D</w:t>
      </w:r>
      <w:r w:rsidR="00700403" w:rsidRPr="004A5F47">
        <w:rPr>
          <w:rFonts w:ascii="Book Antiqua" w:eastAsia="Book Antiqua" w:hAnsi="Book Antiqua" w:cs="Book Antiqua"/>
          <w:color w:val="000000"/>
          <w:shd w:val="clear" w:color="auto" w:fill="FFFFFF"/>
        </w:rPr>
        <w:t>onated after circulatory death</w:t>
      </w:r>
      <w:r w:rsidR="00700403" w:rsidRPr="004A5F47">
        <w:rPr>
          <w:rFonts w:ascii="Book Antiqua" w:hAnsi="Book Antiqua" w:cs="Times New Roman"/>
          <w:lang w:eastAsia="zh-CN"/>
        </w:rPr>
        <w:t xml:space="preserve">; </w:t>
      </w:r>
      <w:r w:rsidR="00700403" w:rsidRPr="004A5F47">
        <w:rPr>
          <w:rFonts w:ascii="Book Antiqua" w:hAnsi="Book Antiqua" w:cs="Times New Roman"/>
        </w:rPr>
        <w:t>ERCP</w:t>
      </w:r>
      <w:r w:rsidR="00700403" w:rsidRPr="004A5F47">
        <w:rPr>
          <w:rFonts w:ascii="Book Antiqua" w:hAnsi="Book Antiqua" w:cs="Times New Roman"/>
          <w:lang w:eastAsia="zh-CN"/>
        </w:rPr>
        <w:t>:</w:t>
      </w:r>
      <w:r w:rsidR="00700403" w:rsidRPr="004A5F47">
        <w:rPr>
          <w:rFonts w:ascii="Book Antiqua" w:hAnsi="Book Antiqua" w:cs="Times New Roman"/>
        </w:rPr>
        <w:t xml:space="preserve"> Endoscopic retrograde cholangiopancreatography</w:t>
      </w:r>
      <w:r w:rsidR="00700403" w:rsidRPr="004A5F47">
        <w:rPr>
          <w:rFonts w:ascii="Book Antiqua" w:hAnsi="Book Antiqua" w:cs="Times New Roman"/>
          <w:lang w:eastAsia="zh-CN"/>
        </w:rPr>
        <w:t xml:space="preserve">; </w:t>
      </w:r>
      <w:r w:rsidR="00700403" w:rsidRPr="004A5F47">
        <w:rPr>
          <w:rFonts w:ascii="Book Antiqua" w:eastAsia="Times New Roman" w:hAnsi="Book Antiqua"/>
          <w:color w:val="000000"/>
          <w:lang w:eastAsia="en-GB"/>
        </w:rPr>
        <w:t>IC</w:t>
      </w:r>
      <w:r w:rsidR="00700403" w:rsidRPr="004A5F47">
        <w:rPr>
          <w:rFonts w:ascii="Book Antiqua" w:hAnsi="Book Antiqua"/>
          <w:color w:val="000000"/>
          <w:lang w:eastAsia="zh-CN"/>
        </w:rPr>
        <w:t>:</w:t>
      </w:r>
      <w:r w:rsidR="00700403" w:rsidRPr="004A5F47">
        <w:rPr>
          <w:rFonts w:ascii="Book Antiqua" w:eastAsia="Times New Roman" w:hAnsi="Book Antiqua"/>
          <w:color w:val="000000"/>
          <w:lang w:eastAsia="en-GB"/>
        </w:rPr>
        <w:t xml:space="preserve"> Ischemic cholangiopathy</w:t>
      </w:r>
      <w:r w:rsidR="00700403" w:rsidRPr="004A5F47">
        <w:rPr>
          <w:rFonts w:ascii="Book Antiqua" w:hAnsi="Book Antiqua"/>
          <w:color w:val="000000"/>
          <w:lang w:eastAsia="zh-CN"/>
        </w:rPr>
        <w:t xml:space="preserve">; </w:t>
      </w:r>
      <w:r w:rsidR="009D6F57" w:rsidRPr="004A5F47">
        <w:rPr>
          <w:rFonts w:ascii="Book Antiqua" w:hAnsi="Book Antiqua" w:cs="Times New Roman"/>
        </w:rPr>
        <w:t>HA</w:t>
      </w:r>
      <w:r w:rsidR="009D6F57" w:rsidRPr="004A5F47">
        <w:rPr>
          <w:rFonts w:ascii="Book Antiqua" w:hAnsi="Book Antiqua" w:cs="Times New Roman"/>
          <w:lang w:eastAsia="zh-CN"/>
        </w:rPr>
        <w:t>:</w:t>
      </w:r>
      <w:r w:rsidR="009D6F57" w:rsidRPr="004A5F47">
        <w:rPr>
          <w:rFonts w:ascii="Book Antiqua" w:hAnsi="Book Antiqua" w:cs="Times New Roman"/>
        </w:rPr>
        <w:t xml:space="preserve"> Hepatic artery</w:t>
      </w:r>
      <w:r w:rsidR="009D6F57" w:rsidRPr="004A5F47">
        <w:rPr>
          <w:rFonts w:ascii="Book Antiqua" w:hAnsi="Book Antiqua" w:cs="Times New Roman"/>
          <w:lang w:eastAsia="zh-CN"/>
        </w:rPr>
        <w:t>;</w:t>
      </w:r>
      <w:r w:rsidR="00700403" w:rsidRPr="004A5F47">
        <w:rPr>
          <w:rFonts w:ascii="Book Antiqua" w:hAnsi="Book Antiqua"/>
          <w:color w:val="000000"/>
          <w:lang w:eastAsia="zh-CN"/>
        </w:rPr>
        <w:t xml:space="preserve"> HAS: </w:t>
      </w:r>
      <w:r w:rsidR="00700403" w:rsidRPr="004A5F47">
        <w:rPr>
          <w:rFonts w:ascii="Book Antiqua" w:hAnsi="Book Antiqua" w:cs="Book Antiqua"/>
          <w:color w:val="000000"/>
          <w:lang w:eastAsia="zh-CN"/>
        </w:rPr>
        <w:t>H</w:t>
      </w:r>
      <w:r w:rsidR="00700403" w:rsidRPr="004A5F47">
        <w:rPr>
          <w:rFonts w:ascii="Book Antiqua" w:eastAsia="Book Antiqua" w:hAnsi="Book Antiqua" w:cs="Book Antiqua"/>
          <w:color w:val="000000"/>
        </w:rPr>
        <w:t>epatic artery stenosis</w:t>
      </w:r>
      <w:r w:rsidR="00700403" w:rsidRPr="004A5F47">
        <w:rPr>
          <w:rFonts w:ascii="Book Antiqua" w:hAnsi="Book Antiqua" w:cs="Book Antiqua"/>
          <w:color w:val="000000"/>
          <w:lang w:eastAsia="zh-CN"/>
        </w:rPr>
        <w:t>;</w:t>
      </w:r>
      <w:r w:rsidR="00700403" w:rsidRPr="004A5F47">
        <w:rPr>
          <w:rFonts w:ascii="Book Antiqua" w:eastAsia="Book Antiqua" w:hAnsi="Book Antiqua" w:cs="Book Antiqua"/>
          <w:color w:val="000000"/>
        </w:rPr>
        <w:t xml:space="preserve"> </w:t>
      </w:r>
      <w:r w:rsidR="00700403" w:rsidRPr="004A5F47">
        <w:rPr>
          <w:rFonts w:ascii="Book Antiqua" w:hAnsi="Book Antiqua" w:cs="Book Antiqua"/>
          <w:color w:val="000000"/>
          <w:lang w:eastAsia="zh-CN"/>
        </w:rPr>
        <w:t>HAT: H</w:t>
      </w:r>
      <w:r w:rsidR="00700403" w:rsidRPr="004A5F47">
        <w:rPr>
          <w:rFonts w:ascii="Book Antiqua" w:eastAsia="Book Antiqua" w:hAnsi="Book Antiqua" w:cs="Book Antiqua"/>
          <w:color w:val="000000"/>
        </w:rPr>
        <w:t>epatic artery thrombosis</w:t>
      </w:r>
      <w:r w:rsidR="00700403" w:rsidRPr="004A5F47">
        <w:rPr>
          <w:rFonts w:ascii="Book Antiqua" w:hAnsi="Book Antiqua" w:cs="Book Antiqua"/>
          <w:color w:val="000000"/>
          <w:lang w:eastAsia="zh-CN"/>
        </w:rPr>
        <w:t xml:space="preserve">; </w:t>
      </w:r>
      <w:r w:rsidR="009B052D" w:rsidRPr="004A5F47">
        <w:rPr>
          <w:rFonts w:ascii="Book Antiqua" w:hAnsi="Book Antiqua" w:cs="Times New Roman"/>
        </w:rPr>
        <w:t>IBC</w:t>
      </w:r>
      <w:r w:rsidR="009B052D" w:rsidRPr="004A5F47">
        <w:rPr>
          <w:rFonts w:ascii="Book Antiqua" w:hAnsi="Book Antiqua" w:cs="Times New Roman"/>
          <w:lang w:eastAsia="zh-CN"/>
        </w:rPr>
        <w:t>:</w:t>
      </w:r>
      <w:r w:rsidR="009B052D" w:rsidRPr="004A5F47">
        <w:rPr>
          <w:rFonts w:ascii="Book Antiqua" w:hAnsi="Book Antiqua" w:cs="Times New Roman"/>
        </w:rPr>
        <w:t xml:space="preserve"> Ischemic biliary complication</w:t>
      </w:r>
      <w:r w:rsidR="009B052D" w:rsidRPr="004A5F47">
        <w:rPr>
          <w:rFonts w:ascii="Book Antiqua" w:hAnsi="Book Antiqua" w:cs="Times New Roman"/>
          <w:lang w:eastAsia="zh-CN"/>
        </w:rPr>
        <w:t>;</w:t>
      </w:r>
      <w:r w:rsidR="009B052D" w:rsidRPr="004A5F47">
        <w:rPr>
          <w:rFonts w:ascii="Book Antiqua" w:hAnsi="Book Antiqua" w:cs="Times New Roman"/>
        </w:rPr>
        <w:t xml:space="preserve"> ITBL</w:t>
      </w:r>
      <w:r w:rsidR="009B052D" w:rsidRPr="004A5F47">
        <w:rPr>
          <w:rFonts w:ascii="Book Antiqua" w:hAnsi="Book Antiqua" w:cs="Times New Roman"/>
          <w:lang w:eastAsia="zh-CN"/>
        </w:rPr>
        <w:t>:</w:t>
      </w:r>
      <w:r w:rsidR="009B052D" w:rsidRPr="004A5F47">
        <w:rPr>
          <w:rFonts w:ascii="Book Antiqua" w:hAnsi="Book Antiqua" w:cs="Times New Roman"/>
        </w:rPr>
        <w:t xml:space="preserve"> Ischemic type biliary lesions</w:t>
      </w:r>
      <w:r w:rsidR="00700403" w:rsidRPr="004A5F47">
        <w:rPr>
          <w:rFonts w:ascii="Book Antiqua" w:hAnsi="Book Antiqua" w:cs="Times New Roman"/>
        </w:rPr>
        <w:t>;</w:t>
      </w:r>
      <w:r w:rsidR="009B052D" w:rsidRPr="004A5F47">
        <w:rPr>
          <w:rFonts w:ascii="Book Antiqua" w:hAnsi="Book Antiqua" w:cs="Times New Roman"/>
        </w:rPr>
        <w:t xml:space="preserve"> NAS</w:t>
      </w:r>
      <w:r w:rsidR="009B052D" w:rsidRPr="004A5F47">
        <w:rPr>
          <w:rFonts w:ascii="Book Antiqua" w:hAnsi="Book Antiqua" w:cs="Times New Roman"/>
          <w:lang w:eastAsia="zh-CN"/>
        </w:rPr>
        <w:t>:</w:t>
      </w:r>
      <w:r w:rsidR="009B052D" w:rsidRPr="004A5F47">
        <w:rPr>
          <w:rFonts w:ascii="Book Antiqua" w:hAnsi="Book Antiqua" w:cs="Times New Roman"/>
        </w:rPr>
        <w:t xml:space="preserve"> Nonanastamotic biliary strictures</w:t>
      </w:r>
      <w:r w:rsidR="009B052D" w:rsidRPr="004A5F47">
        <w:rPr>
          <w:rFonts w:ascii="Book Antiqua" w:hAnsi="Book Antiqua" w:cs="Times New Roman"/>
          <w:lang w:eastAsia="zh-CN"/>
        </w:rPr>
        <w:t>;</w:t>
      </w:r>
      <w:r w:rsidR="009B052D" w:rsidRPr="004A5F47">
        <w:rPr>
          <w:rFonts w:ascii="Book Antiqua" w:hAnsi="Book Antiqua" w:cs="Times New Roman"/>
        </w:rPr>
        <w:t xml:space="preserve"> </w:t>
      </w:r>
      <w:r w:rsidR="00700403" w:rsidRPr="004A5F47">
        <w:rPr>
          <w:rFonts w:ascii="Book Antiqua" w:hAnsi="Book Antiqua" w:cs="Times New Roman"/>
        </w:rPr>
        <w:t>NR</w:t>
      </w:r>
      <w:r w:rsidR="00700403" w:rsidRPr="004A5F47">
        <w:rPr>
          <w:rFonts w:ascii="Book Antiqua" w:hAnsi="Book Antiqua" w:cs="Times New Roman"/>
          <w:lang w:eastAsia="zh-CN"/>
        </w:rPr>
        <w:t>:</w:t>
      </w:r>
      <w:r w:rsidR="00700403" w:rsidRPr="004A5F47">
        <w:rPr>
          <w:rFonts w:ascii="Book Antiqua" w:hAnsi="Book Antiqua" w:cs="Times New Roman"/>
        </w:rPr>
        <w:t xml:space="preserve"> Not reported</w:t>
      </w:r>
      <w:r w:rsidR="00700403" w:rsidRPr="004A5F47">
        <w:rPr>
          <w:rFonts w:ascii="Book Antiqua" w:hAnsi="Book Antiqua" w:cs="Times New Roman"/>
          <w:lang w:eastAsia="zh-CN"/>
        </w:rPr>
        <w:t xml:space="preserve">; </w:t>
      </w:r>
      <w:r w:rsidR="009B052D" w:rsidRPr="004A5F47">
        <w:rPr>
          <w:rFonts w:ascii="Book Antiqua" w:hAnsi="Book Antiqua" w:cs="Times New Roman"/>
        </w:rPr>
        <w:t>NRP</w:t>
      </w:r>
      <w:r w:rsidR="009B052D" w:rsidRPr="004A5F47">
        <w:rPr>
          <w:rFonts w:ascii="Book Antiqua" w:hAnsi="Book Antiqua" w:cs="Times New Roman"/>
          <w:lang w:eastAsia="zh-CN"/>
        </w:rPr>
        <w:t>:</w:t>
      </w:r>
      <w:r w:rsidR="009B052D" w:rsidRPr="004A5F47">
        <w:rPr>
          <w:rFonts w:ascii="Book Antiqua" w:hAnsi="Book Antiqua" w:cs="Times New Roman"/>
        </w:rPr>
        <w:t xml:space="preserve"> Normothermic Regional Perfusion</w:t>
      </w:r>
      <w:r w:rsidR="009B052D" w:rsidRPr="004A5F47">
        <w:rPr>
          <w:rFonts w:ascii="Book Antiqua" w:hAnsi="Book Antiqua" w:cs="Times New Roman"/>
          <w:lang w:eastAsia="zh-CN"/>
        </w:rPr>
        <w:t>;</w:t>
      </w:r>
      <w:r w:rsidR="009B052D" w:rsidRPr="004A5F47">
        <w:rPr>
          <w:rFonts w:ascii="Book Antiqua" w:hAnsi="Book Antiqua" w:cs="Times New Roman"/>
        </w:rPr>
        <w:t xml:space="preserve"> </w:t>
      </w:r>
      <w:r w:rsidR="00700403" w:rsidRPr="004A5F47">
        <w:rPr>
          <w:rFonts w:ascii="Book Antiqua" w:hAnsi="Book Antiqua" w:cs="Times New Roman"/>
        </w:rPr>
        <w:t>MRCP</w:t>
      </w:r>
      <w:r w:rsidR="00700403" w:rsidRPr="004A5F47">
        <w:rPr>
          <w:rFonts w:ascii="Book Antiqua" w:hAnsi="Book Antiqua" w:cs="Times New Roman"/>
          <w:lang w:eastAsia="zh-CN"/>
        </w:rPr>
        <w:t>:</w:t>
      </w:r>
      <w:r w:rsidR="00700403" w:rsidRPr="004A5F47">
        <w:rPr>
          <w:rFonts w:ascii="Book Antiqua" w:hAnsi="Book Antiqua" w:cs="Times New Roman"/>
        </w:rPr>
        <w:t xml:space="preserve"> Magnetic resonance cholangi</w:t>
      </w:r>
      <w:r w:rsidR="00F2359B" w:rsidRPr="004A5F47">
        <w:rPr>
          <w:rFonts w:ascii="Book Antiqua" w:hAnsi="Book Antiqua" w:cs="Times New Roman"/>
        </w:rPr>
        <w:t>o</w:t>
      </w:r>
      <w:r w:rsidR="00700403" w:rsidRPr="004A5F47">
        <w:rPr>
          <w:rFonts w:ascii="Book Antiqua" w:hAnsi="Book Antiqua" w:cs="Times New Roman"/>
        </w:rPr>
        <w:t>pancreatography</w:t>
      </w:r>
      <w:r w:rsidR="00700403" w:rsidRPr="004A5F47">
        <w:rPr>
          <w:rFonts w:ascii="Book Antiqua" w:hAnsi="Book Antiqua" w:cs="Times New Roman"/>
          <w:lang w:eastAsia="zh-CN"/>
        </w:rPr>
        <w:t>;</w:t>
      </w:r>
      <w:r w:rsidR="00700403" w:rsidRPr="004A5F47">
        <w:rPr>
          <w:rFonts w:ascii="Book Antiqua" w:hAnsi="Book Antiqua" w:cs="Times New Roman"/>
        </w:rPr>
        <w:t xml:space="preserve"> </w:t>
      </w:r>
      <w:r w:rsidR="00B722D9" w:rsidRPr="004A5F47">
        <w:rPr>
          <w:rFonts w:ascii="Book Antiqua" w:hAnsi="Book Antiqua" w:cs="Book Antiqua"/>
          <w:color w:val="000000"/>
          <w:lang w:eastAsia="zh-CN"/>
        </w:rPr>
        <w:t>RCT: R</w:t>
      </w:r>
      <w:r w:rsidR="00B722D9" w:rsidRPr="004A5F47">
        <w:rPr>
          <w:rFonts w:ascii="Book Antiqua" w:eastAsia="Book Antiqua" w:hAnsi="Book Antiqua" w:cs="Book Antiqua"/>
          <w:color w:val="000000"/>
        </w:rPr>
        <w:t>andomi</w:t>
      </w:r>
      <w:r w:rsidR="00700403" w:rsidRPr="004A5F47">
        <w:rPr>
          <w:rFonts w:ascii="Book Antiqua" w:eastAsia="Book Antiqua" w:hAnsi="Book Antiqua" w:cs="Book Antiqua"/>
          <w:color w:val="000000"/>
        </w:rPr>
        <w:t>z</w:t>
      </w:r>
      <w:r w:rsidR="00B722D9" w:rsidRPr="004A5F47">
        <w:rPr>
          <w:rFonts w:ascii="Book Antiqua" w:eastAsia="Book Antiqua" w:hAnsi="Book Antiqua" w:cs="Book Antiqua"/>
          <w:color w:val="000000"/>
        </w:rPr>
        <w:t>ed controlled trials</w:t>
      </w:r>
      <w:r w:rsidR="00B722D9" w:rsidRPr="004A5F47">
        <w:rPr>
          <w:rFonts w:ascii="Book Antiqua" w:hAnsi="Book Antiqua" w:cs="Book Antiqua"/>
          <w:color w:val="000000"/>
          <w:lang w:eastAsia="zh-CN"/>
        </w:rPr>
        <w:t>.</w:t>
      </w:r>
    </w:p>
    <w:p w14:paraId="23288F50" w14:textId="77777777" w:rsidR="000E33B7" w:rsidRPr="004A5F47" w:rsidRDefault="000E33B7" w:rsidP="00265460">
      <w:pPr>
        <w:spacing w:line="360" w:lineRule="auto"/>
        <w:jc w:val="both"/>
        <w:rPr>
          <w:rFonts w:ascii="Book Antiqua" w:hAnsi="Book Antiqua"/>
          <w:lang w:eastAsia="zh-CN"/>
        </w:rPr>
      </w:pPr>
    </w:p>
    <w:sectPr w:rsidR="000E33B7" w:rsidRPr="004A5F47" w:rsidSect="000E33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3ABC" w14:textId="77777777" w:rsidR="00724A9C" w:rsidRDefault="00724A9C" w:rsidP="00C70B3E">
      <w:r>
        <w:separator/>
      </w:r>
    </w:p>
  </w:endnote>
  <w:endnote w:type="continuationSeparator" w:id="0">
    <w:p w14:paraId="2AFA8507" w14:textId="77777777" w:rsidR="00724A9C" w:rsidRDefault="00724A9C" w:rsidP="00C7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777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3501E55" w14:textId="5E501859" w:rsidR="004E51FC" w:rsidRPr="004E51FC" w:rsidRDefault="004E51FC">
            <w:pPr>
              <w:pStyle w:val="Footer"/>
              <w:jc w:val="right"/>
              <w:rPr>
                <w:rFonts w:ascii="Book Antiqua" w:hAnsi="Book Antiqua"/>
                <w:sz w:val="24"/>
                <w:szCs w:val="24"/>
              </w:rPr>
            </w:pPr>
            <w:r w:rsidRPr="004E51FC">
              <w:rPr>
                <w:rFonts w:ascii="Book Antiqua" w:hAnsi="Book Antiqua"/>
                <w:sz w:val="24"/>
                <w:szCs w:val="24"/>
                <w:lang w:val="zh-CN" w:eastAsia="zh-CN"/>
              </w:rPr>
              <w:t xml:space="preserve"> </w:t>
            </w:r>
            <w:r w:rsidRPr="00815C0F">
              <w:rPr>
                <w:rFonts w:ascii="Book Antiqua" w:hAnsi="Book Antiqua"/>
                <w:sz w:val="24"/>
                <w:szCs w:val="24"/>
              </w:rPr>
              <w:fldChar w:fldCharType="begin"/>
            </w:r>
            <w:r w:rsidRPr="00815C0F">
              <w:rPr>
                <w:rFonts w:ascii="Book Antiqua" w:hAnsi="Book Antiqua"/>
                <w:sz w:val="24"/>
                <w:szCs w:val="24"/>
              </w:rPr>
              <w:instrText>PAGE</w:instrText>
            </w:r>
            <w:r w:rsidRPr="00815C0F">
              <w:rPr>
                <w:rFonts w:ascii="Book Antiqua" w:hAnsi="Book Antiqua"/>
                <w:sz w:val="24"/>
                <w:szCs w:val="24"/>
              </w:rPr>
              <w:fldChar w:fldCharType="separate"/>
            </w:r>
            <w:r w:rsidR="00F755F5" w:rsidRPr="00815C0F">
              <w:rPr>
                <w:rFonts w:ascii="Book Antiqua" w:hAnsi="Book Antiqua"/>
                <w:noProof/>
                <w:sz w:val="24"/>
                <w:szCs w:val="24"/>
              </w:rPr>
              <w:t>3</w:t>
            </w:r>
            <w:r w:rsidRPr="00815C0F">
              <w:rPr>
                <w:rFonts w:ascii="Book Antiqua" w:hAnsi="Book Antiqua"/>
                <w:sz w:val="24"/>
                <w:szCs w:val="24"/>
              </w:rPr>
              <w:fldChar w:fldCharType="end"/>
            </w:r>
            <w:r w:rsidRPr="00711756">
              <w:rPr>
                <w:rFonts w:ascii="Book Antiqua" w:hAnsi="Book Antiqua"/>
                <w:sz w:val="24"/>
                <w:szCs w:val="24"/>
                <w:lang w:val="zh-CN" w:eastAsia="zh-CN"/>
              </w:rPr>
              <w:t xml:space="preserve"> / </w:t>
            </w:r>
            <w:r w:rsidRPr="00815C0F">
              <w:rPr>
                <w:rFonts w:ascii="Book Antiqua" w:hAnsi="Book Antiqua"/>
                <w:sz w:val="24"/>
                <w:szCs w:val="24"/>
              </w:rPr>
              <w:fldChar w:fldCharType="begin"/>
            </w:r>
            <w:r w:rsidRPr="00815C0F">
              <w:rPr>
                <w:rFonts w:ascii="Book Antiqua" w:hAnsi="Book Antiqua"/>
                <w:sz w:val="24"/>
                <w:szCs w:val="24"/>
              </w:rPr>
              <w:instrText>NUMPAGES</w:instrText>
            </w:r>
            <w:r w:rsidRPr="00815C0F">
              <w:rPr>
                <w:rFonts w:ascii="Book Antiqua" w:hAnsi="Book Antiqua"/>
                <w:sz w:val="24"/>
                <w:szCs w:val="24"/>
              </w:rPr>
              <w:fldChar w:fldCharType="separate"/>
            </w:r>
            <w:r w:rsidR="00F755F5" w:rsidRPr="00815C0F">
              <w:rPr>
                <w:rFonts w:ascii="Book Antiqua" w:hAnsi="Book Antiqua"/>
                <w:noProof/>
                <w:sz w:val="24"/>
                <w:szCs w:val="24"/>
              </w:rPr>
              <w:t>57</w:t>
            </w:r>
            <w:r w:rsidRPr="00815C0F">
              <w:rPr>
                <w:rFonts w:ascii="Book Antiqua" w:hAnsi="Book Antiqua"/>
                <w:sz w:val="24"/>
                <w:szCs w:val="24"/>
              </w:rPr>
              <w:fldChar w:fldCharType="end"/>
            </w:r>
          </w:p>
        </w:sdtContent>
      </w:sdt>
    </w:sdtContent>
  </w:sdt>
  <w:p w14:paraId="1ACC0FF0" w14:textId="77777777" w:rsidR="004E51FC" w:rsidRDefault="004E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E4AF" w14:textId="77777777" w:rsidR="00724A9C" w:rsidRDefault="00724A9C" w:rsidP="00C70B3E">
      <w:r>
        <w:separator/>
      </w:r>
    </w:p>
  </w:footnote>
  <w:footnote w:type="continuationSeparator" w:id="0">
    <w:p w14:paraId="620A0194" w14:textId="77777777" w:rsidR="00724A9C" w:rsidRDefault="00724A9C" w:rsidP="00C7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64"/>
    <w:rsid w:val="0000165B"/>
    <w:rsid w:val="00025801"/>
    <w:rsid w:val="00030092"/>
    <w:rsid w:val="000348F0"/>
    <w:rsid w:val="00040E4E"/>
    <w:rsid w:val="00042841"/>
    <w:rsid w:val="00047471"/>
    <w:rsid w:val="00051881"/>
    <w:rsid w:val="00054327"/>
    <w:rsid w:val="00054680"/>
    <w:rsid w:val="00056736"/>
    <w:rsid w:val="00062B9D"/>
    <w:rsid w:val="00065F45"/>
    <w:rsid w:val="00086D8B"/>
    <w:rsid w:val="00093D87"/>
    <w:rsid w:val="0009546E"/>
    <w:rsid w:val="00095AD7"/>
    <w:rsid w:val="000A2FB6"/>
    <w:rsid w:val="000B57C0"/>
    <w:rsid w:val="000C1E17"/>
    <w:rsid w:val="000C2B3B"/>
    <w:rsid w:val="000D0A48"/>
    <w:rsid w:val="000D58EA"/>
    <w:rsid w:val="000D5EEF"/>
    <w:rsid w:val="000E1929"/>
    <w:rsid w:val="000E2102"/>
    <w:rsid w:val="000E2F0F"/>
    <w:rsid w:val="000E33B7"/>
    <w:rsid w:val="000E4C86"/>
    <w:rsid w:val="000E6312"/>
    <w:rsid w:val="000F0A71"/>
    <w:rsid w:val="000F3C4B"/>
    <w:rsid w:val="001223B8"/>
    <w:rsid w:val="00124EFD"/>
    <w:rsid w:val="00130256"/>
    <w:rsid w:val="00137A1D"/>
    <w:rsid w:val="001447A2"/>
    <w:rsid w:val="00145E17"/>
    <w:rsid w:val="00163672"/>
    <w:rsid w:val="00166274"/>
    <w:rsid w:val="00172B01"/>
    <w:rsid w:val="00172BB2"/>
    <w:rsid w:val="00181DD7"/>
    <w:rsid w:val="001A1E3B"/>
    <w:rsid w:val="001A3D3C"/>
    <w:rsid w:val="001A75E5"/>
    <w:rsid w:val="001B4FF1"/>
    <w:rsid w:val="001C0E48"/>
    <w:rsid w:val="001C4A8B"/>
    <w:rsid w:val="001D0D4F"/>
    <w:rsid w:val="001D6B3C"/>
    <w:rsid w:val="001D6D40"/>
    <w:rsid w:val="001F4ECC"/>
    <w:rsid w:val="00202AE1"/>
    <w:rsid w:val="002037FD"/>
    <w:rsid w:val="002263CC"/>
    <w:rsid w:val="00234F46"/>
    <w:rsid w:val="00237505"/>
    <w:rsid w:val="002414B6"/>
    <w:rsid w:val="002425DD"/>
    <w:rsid w:val="002439E3"/>
    <w:rsid w:val="00254902"/>
    <w:rsid w:val="00265460"/>
    <w:rsid w:val="0026647E"/>
    <w:rsid w:val="00273825"/>
    <w:rsid w:val="00274313"/>
    <w:rsid w:val="00275CB1"/>
    <w:rsid w:val="002800A9"/>
    <w:rsid w:val="00286103"/>
    <w:rsid w:val="00293693"/>
    <w:rsid w:val="002B38F4"/>
    <w:rsid w:val="002C46B0"/>
    <w:rsid w:val="002D791C"/>
    <w:rsid w:val="003059A4"/>
    <w:rsid w:val="00312271"/>
    <w:rsid w:val="00312B59"/>
    <w:rsid w:val="003204D2"/>
    <w:rsid w:val="003250A4"/>
    <w:rsid w:val="003265AA"/>
    <w:rsid w:val="003303AE"/>
    <w:rsid w:val="003323C1"/>
    <w:rsid w:val="00335E48"/>
    <w:rsid w:val="00356E14"/>
    <w:rsid w:val="00365403"/>
    <w:rsid w:val="0037327C"/>
    <w:rsid w:val="003A511E"/>
    <w:rsid w:val="003A70E7"/>
    <w:rsid w:val="003A7DD9"/>
    <w:rsid w:val="003B0B42"/>
    <w:rsid w:val="003B2341"/>
    <w:rsid w:val="003B7A42"/>
    <w:rsid w:val="003D7BD7"/>
    <w:rsid w:val="003E6E3F"/>
    <w:rsid w:val="003F01B5"/>
    <w:rsid w:val="003F1C7F"/>
    <w:rsid w:val="003F3075"/>
    <w:rsid w:val="004019A8"/>
    <w:rsid w:val="00405C88"/>
    <w:rsid w:val="00422E97"/>
    <w:rsid w:val="00423EC3"/>
    <w:rsid w:val="00430CC9"/>
    <w:rsid w:val="004331F3"/>
    <w:rsid w:val="00434ABA"/>
    <w:rsid w:val="00447E42"/>
    <w:rsid w:val="00451314"/>
    <w:rsid w:val="00455C70"/>
    <w:rsid w:val="0046683F"/>
    <w:rsid w:val="00481033"/>
    <w:rsid w:val="00482649"/>
    <w:rsid w:val="00486BBC"/>
    <w:rsid w:val="00490124"/>
    <w:rsid w:val="004921C8"/>
    <w:rsid w:val="00493A88"/>
    <w:rsid w:val="00497A67"/>
    <w:rsid w:val="004A37F2"/>
    <w:rsid w:val="004A5F47"/>
    <w:rsid w:val="004B00DC"/>
    <w:rsid w:val="004B4A22"/>
    <w:rsid w:val="004B5085"/>
    <w:rsid w:val="004B6247"/>
    <w:rsid w:val="004C374C"/>
    <w:rsid w:val="004C388D"/>
    <w:rsid w:val="004E4E1E"/>
    <w:rsid w:val="004E51FC"/>
    <w:rsid w:val="004F6FDA"/>
    <w:rsid w:val="005152F8"/>
    <w:rsid w:val="00517ECE"/>
    <w:rsid w:val="00521CD4"/>
    <w:rsid w:val="00523A85"/>
    <w:rsid w:val="00534C7A"/>
    <w:rsid w:val="0053669F"/>
    <w:rsid w:val="0054273F"/>
    <w:rsid w:val="00544207"/>
    <w:rsid w:val="0054564F"/>
    <w:rsid w:val="00551E77"/>
    <w:rsid w:val="00552DD4"/>
    <w:rsid w:val="00560214"/>
    <w:rsid w:val="00564686"/>
    <w:rsid w:val="00566B69"/>
    <w:rsid w:val="00567816"/>
    <w:rsid w:val="00576E9C"/>
    <w:rsid w:val="005905FE"/>
    <w:rsid w:val="00595232"/>
    <w:rsid w:val="00596A28"/>
    <w:rsid w:val="005A060A"/>
    <w:rsid w:val="005A2D5B"/>
    <w:rsid w:val="005A306E"/>
    <w:rsid w:val="005A4B61"/>
    <w:rsid w:val="005B2BF6"/>
    <w:rsid w:val="005B5360"/>
    <w:rsid w:val="005C6451"/>
    <w:rsid w:val="005E12A5"/>
    <w:rsid w:val="005E3CA5"/>
    <w:rsid w:val="005F28B8"/>
    <w:rsid w:val="0061417A"/>
    <w:rsid w:val="00614F79"/>
    <w:rsid w:val="00631402"/>
    <w:rsid w:val="00632BC0"/>
    <w:rsid w:val="00641614"/>
    <w:rsid w:val="00643CE3"/>
    <w:rsid w:val="00644094"/>
    <w:rsid w:val="00645BB2"/>
    <w:rsid w:val="0065210E"/>
    <w:rsid w:val="00657BA5"/>
    <w:rsid w:val="0067191E"/>
    <w:rsid w:val="00682C34"/>
    <w:rsid w:val="00690DD7"/>
    <w:rsid w:val="00693509"/>
    <w:rsid w:val="0069350E"/>
    <w:rsid w:val="006A1FF4"/>
    <w:rsid w:val="006B12C8"/>
    <w:rsid w:val="006B6119"/>
    <w:rsid w:val="006D48B1"/>
    <w:rsid w:val="006F3B03"/>
    <w:rsid w:val="00700403"/>
    <w:rsid w:val="0070047C"/>
    <w:rsid w:val="00711756"/>
    <w:rsid w:val="007129E1"/>
    <w:rsid w:val="00715042"/>
    <w:rsid w:val="007167FF"/>
    <w:rsid w:val="00724A9C"/>
    <w:rsid w:val="007356DC"/>
    <w:rsid w:val="00752C7F"/>
    <w:rsid w:val="00752CC2"/>
    <w:rsid w:val="00767D7F"/>
    <w:rsid w:val="007732B5"/>
    <w:rsid w:val="00776B2B"/>
    <w:rsid w:val="007A3DA9"/>
    <w:rsid w:val="007A42C8"/>
    <w:rsid w:val="007B5FA3"/>
    <w:rsid w:val="007B664C"/>
    <w:rsid w:val="007E58E0"/>
    <w:rsid w:val="007E6502"/>
    <w:rsid w:val="00802242"/>
    <w:rsid w:val="00805D7B"/>
    <w:rsid w:val="00807AFB"/>
    <w:rsid w:val="00815C0F"/>
    <w:rsid w:val="00825513"/>
    <w:rsid w:val="00831AFC"/>
    <w:rsid w:val="00843B5E"/>
    <w:rsid w:val="00861DEB"/>
    <w:rsid w:val="0087177F"/>
    <w:rsid w:val="00872374"/>
    <w:rsid w:val="00881CC0"/>
    <w:rsid w:val="008934E1"/>
    <w:rsid w:val="008B520B"/>
    <w:rsid w:val="008C0E2E"/>
    <w:rsid w:val="008C1BDF"/>
    <w:rsid w:val="008C3AC1"/>
    <w:rsid w:val="008D0B74"/>
    <w:rsid w:val="008D4528"/>
    <w:rsid w:val="008D4954"/>
    <w:rsid w:val="008D64A0"/>
    <w:rsid w:val="008E3C7F"/>
    <w:rsid w:val="008E5DDC"/>
    <w:rsid w:val="008E6985"/>
    <w:rsid w:val="008E793E"/>
    <w:rsid w:val="008E7CDA"/>
    <w:rsid w:val="008F355C"/>
    <w:rsid w:val="008F72E7"/>
    <w:rsid w:val="008F778D"/>
    <w:rsid w:val="00904FCB"/>
    <w:rsid w:val="00914A83"/>
    <w:rsid w:val="00915A4E"/>
    <w:rsid w:val="00917ED0"/>
    <w:rsid w:val="00927A30"/>
    <w:rsid w:val="0093072C"/>
    <w:rsid w:val="009403EB"/>
    <w:rsid w:val="009463C0"/>
    <w:rsid w:val="00955205"/>
    <w:rsid w:val="009677F2"/>
    <w:rsid w:val="00971C9B"/>
    <w:rsid w:val="009749DD"/>
    <w:rsid w:val="00974DC2"/>
    <w:rsid w:val="009A43EF"/>
    <w:rsid w:val="009A598D"/>
    <w:rsid w:val="009A6277"/>
    <w:rsid w:val="009B052D"/>
    <w:rsid w:val="009D2382"/>
    <w:rsid w:val="009D6F57"/>
    <w:rsid w:val="009E75F5"/>
    <w:rsid w:val="009F6A3C"/>
    <w:rsid w:val="00A007AB"/>
    <w:rsid w:val="00A32812"/>
    <w:rsid w:val="00A41408"/>
    <w:rsid w:val="00A77B3E"/>
    <w:rsid w:val="00A90F6B"/>
    <w:rsid w:val="00A93971"/>
    <w:rsid w:val="00A93DD3"/>
    <w:rsid w:val="00A95329"/>
    <w:rsid w:val="00A96087"/>
    <w:rsid w:val="00AB0FCF"/>
    <w:rsid w:val="00AC5E55"/>
    <w:rsid w:val="00AC7371"/>
    <w:rsid w:val="00AD0097"/>
    <w:rsid w:val="00AD65B4"/>
    <w:rsid w:val="00AE0822"/>
    <w:rsid w:val="00AE2730"/>
    <w:rsid w:val="00AE34D6"/>
    <w:rsid w:val="00AF0051"/>
    <w:rsid w:val="00AF3741"/>
    <w:rsid w:val="00AF3F9B"/>
    <w:rsid w:val="00B20DAB"/>
    <w:rsid w:val="00B23566"/>
    <w:rsid w:val="00B23900"/>
    <w:rsid w:val="00B2640E"/>
    <w:rsid w:val="00B3300D"/>
    <w:rsid w:val="00B356D8"/>
    <w:rsid w:val="00B36263"/>
    <w:rsid w:val="00B40589"/>
    <w:rsid w:val="00B41D36"/>
    <w:rsid w:val="00B4289E"/>
    <w:rsid w:val="00B459C0"/>
    <w:rsid w:val="00B466EB"/>
    <w:rsid w:val="00B5417A"/>
    <w:rsid w:val="00B719DC"/>
    <w:rsid w:val="00B722D9"/>
    <w:rsid w:val="00B7595E"/>
    <w:rsid w:val="00B87558"/>
    <w:rsid w:val="00BA0505"/>
    <w:rsid w:val="00BB6799"/>
    <w:rsid w:val="00BC3CE7"/>
    <w:rsid w:val="00BD7824"/>
    <w:rsid w:val="00BE69A3"/>
    <w:rsid w:val="00BF4429"/>
    <w:rsid w:val="00BF7BDF"/>
    <w:rsid w:val="00C05B5D"/>
    <w:rsid w:val="00C13B02"/>
    <w:rsid w:val="00C1571E"/>
    <w:rsid w:val="00C469C3"/>
    <w:rsid w:val="00C56B39"/>
    <w:rsid w:val="00C61C0C"/>
    <w:rsid w:val="00C65E6F"/>
    <w:rsid w:val="00C70B3E"/>
    <w:rsid w:val="00C76DB3"/>
    <w:rsid w:val="00CA16DD"/>
    <w:rsid w:val="00CA2A55"/>
    <w:rsid w:val="00CD3CC3"/>
    <w:rsid w:val="00CD4DB3"/>
    <w:rsid w:val="00CE0852"/>
    <w:rsid w:val="00CF4C38"/>
    <w:rsid w:val="00D02C7E"/>
    <w:rsid w:val="00D07AA7"/>
    <w:rsid w:val="00D11040"/>
    <w:rsid w:val="00D140D3"/>
    <w:rsid w:val="00D14244"/>
    <w:rsid w:val="00D27DE5"/>
    <w:rsid w:val="00D329E6"/>
    <w:rsid w:val="00D41670"/>
    <w:rsid w:val="00D53819"/>
    <w:rsid w:val="00D55010"/>
    <w:rsid w:val="00D550AE"/>
    <w:rsid w:val="00D56089"/>
    <w:rsid w:val="00D64296"/>
    <w:rsid w:val="00D85322"/>
    <w:rsid w:val="00D91B96"/>
    <w:rsid w:val="00D94467"/>
    <w:rsid w:val="00DB5FA1"/>
    <w:rsid w:val="00DB66B3"/>
    <w:rsid w:val="00DB7C40"/>
    <w:rsid w:val="00DD2F5C"/>
    <w:rsid w:val="00DD6273"/>
    <w:rsid w:val="00DE02D9"/>
    <w:rsid w:val="00DE5439"/>
    <w:rsid w:val="00DF3313"/>
    <w:rsid w:val="00DF3DAA"/>
    <w:rsid w:val="00DF44B3"/>
    <w:rsid w:val="00E11696"/>
    <w:rsid w:val="00E13B87"/>
    <w:rsid w:val="00E50DA6"/>
    <w:rsid w:val="00E5759C"/>
    <w:rsid w:val="00E57F56"/>
    <w:rsid w:val="00E65F97"/>
    <w:rsid w:val="00E66A1D"/>
    <w:rsid w:val="00E678BB"/>
    <w:rsid w:val="00E779EF"/>
    <w:rsid w:val="00E94632"/>
    <w:rsid w:val="00EB27F7"/>
    <w:rsid w:val="00EC6AF8"/>
    <w:rsid w:val="00EC729D"/>
    <w:rsid w:val="00ED2D39"/>
    <w:rsid w:val="00ED35E6"/>
    <w:rsid w:val="00EF55FC"/>
    <w:rsid w:val="00F0565A"/>
    <w:rsid w:val="00F06124"/>
    <w:rsid w:val="00F06AD8"/>
    <w:rsid w:val="00F13DB0"/>
    <w:rsid w:val="00F15F63"/>
    <w:rsid w:val="00F22850"/>
    <w:rsid w:val="00F2359B"/>
    <w:rsid w:val="00F24483"/>
    <w:rsid w:val="00F34FC4"/>
    <w:rsid w:val="00F51BFF"/>
    <w:rsid w:val="00F75504"/>
    <w:rsid w:val="00F755F5"/>
    <w:rsid w:val="00F801E0"/>
    <w:rsid w:val="00F80505"/>
    <w:rsid w:val="00F8061E"/>
    <w:rsid w:val="00F819D5"/>
    <w:rsid w:val="00F93879"/>
    <w:rsid w:val="00F94FAD"/>
    <w:rsid w:val="00FA2425"/>
    <w:rsid w:val="00FB3725"/>
    <w:rsid w:val="00FB41BC"/>
    <w:rsid w:val="00FB4E11"/>
    <w:rsid w:val="00FB4E14"/>
    <w:rsid w:val="00FB727E"/>
    <w:rsid w:val="00FD0774"/>
    <w:rsid w:val="00FD2598"/>
    <w:rsid w:val="00FE58D0"/>
    <w:rsid w:val="00FF6BA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89C2C"/>
  <w15:docId w15:val="{BF0C03AC-1D5B-5B49-BA35-5C6F5D0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0B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70B3E"/>
    <w:rPr>
      <w:sz w:val="18"/>
      <w:szCs w:val="18"/>
    </w:rPr>
  </w:style>
  <w:style w:type="paragraph" w:styleId="Footer">
    <w:name w:val="footer"/>
    <w:basedOn w:val="Normal"/>
    <w:link w:val="FooterChar"/>
    <w:uiPriority w:val="99"/>
    <w:unhideWhenUsed/>
    <w:rsid w:val="00C70B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70B3E"/>
    <w:rPr>
      <w:sz w:val="18"/>
      <w:szCs w:val="18"/>
    </w:rPr>
  </w:style>
  <w:style w:type="paragraph" w:styleId="BalloonText">
    <w:name w:val="Balloon Text"/>
    <w:basedOn w:val="Normal"/>
    <w:link w:val="BalloonTextChar"/>
    <w:rsid w:val="00955205"/>
    <w:rPr>
      <w:sz w:val="18"/>
      <w:szCs w:val="18"/>
    </w:rPr>
  </w:style>
  <w:style w:type="character" w:customStyle="1" w:styleId="BalloonTextChar">
    <w:name w:val="Balloon Text Char"/>
    <w:basedOn w:val="DefaultParagraphFont"/>
    <w:link w:val="BalloonText"/>
    <w:rsid w:val="00955205"/>
    <w:rPr>
      <w:sz w:val="18"/>
      <w:szCs w:val="18"/>
    </w:rPr>
  </w:style>
  <w:style w:type="paragraph" w:customStyle="1" w:styleId="EndNoteBibliography">
    <w:name w:val="EndNote Bibliography"/>
    <w:basedOn w:val="Normal"/>
    <w:link w:val="EndNoteBibliographyCar"/>
    <w:rsid w:val="000E33B7"/>
    <w:rPr>
      <w:rFonts w:ascii="Calibri" w:hAnsi="Calibri" w:cs="Calibri"/>
    </w:rPr>
  </w:style>
  <w:style w:type="character" w:customStyle="1" w:styleId="EndNoteBibliographyCar">
    <w:name w:val="EndNote Bibliography Car"/>
    <w:basedOn w:val="DefaultParagraphFont"/>
    <w:link w:val="EndNoteBibliography"/>
    <w:rsid w:val="000E33B7"/>
    <w:rPr>
      <w:rFonts w:ascii="Calibri" w:hAnsi="Calibri" w:cs="Calibri"/>
      <w:sz w:val="24"/>
      <w:szCs w:val="24"/>
    </w:rPr>
  </w:style>
  <w:style w:type="table" w:styleId="TableGrid">
    <w:name w:val="Table Grid"/>
    <w:basedOn w:val="TableNormal"/>
    <w:uiPriority w:val="39"/>
    <w:rsid w:val="000E33B7"/>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DefaultParagraphFont"/>
    <w:rsid w:val="005C6451"/>
  </w:style>
  <w:style w:type="character" w:styleId="CommentReference">
    <w:name w:val="annotation reference"/>
    <w:basedOn w:val="DefaultParagraphFont"/>
    <w:semiHidden/>
    <w:unhideWhenUsed/>
    <w:rsid w:val="001447A2"/>
    <w:rPr>
      <w:sz w:val="21"/>
      <w:szCs w:val="21"/>
    </w:rPr>
  </w:style>
  <w:style w:type="paragraph" w:styleId="CommentText">
    <w:name w:val="annotation text"/>
    <w:basedOn w:val="Normal"/>
    <w:link w:val="CommentTextChar"/>
    <w:unhideWhenUsed/>
    <w:rsid w:val="001447A2"/>
  </w:style>
  <w:style w:type="character" w:customStyle="1" w:styleId="CommentTextChar">
    <w:name w:val="Comment Text Char"/>
    <w:basedOn w:val="DefaultParagraphFont"/>
    <w:link w:val="CommentText"/>
    <w:rsid w:val="001447A2"/>
    <w:rPr>
      <w:sz w:val="24"/>
      <w:szCs w:val="24"/>
    </w:rPr>
  </w:style>
  <w:style w:type="paragraph" w:styleId="CommentSubject">
    <w:name w:val="annotation subject"/>
    <w:basedOn w:val="CommentText"/>
    <w:next w:val="CommentText"/>
    <w:link w:val="CommentSubjectChar"/>
    <w:semiHidden/>
    <w:unhideWhenUsed/>
    <w:rsid w:val="001447A2"/>
    <w:rPr>
      <w:b/>
      <w:bCs/>
    </w:rPr>
  </w:style>
  <w:style w:type="character" w:customStyle="1" w:styleId="CommentSubjectChar">
    <w:name w:val="Comment Subject Char"/>
    <w:basedOn w:val="CommentTextChar"/>
    <w:link w:val="CommentSubject"/>
    <w:semiHidden/>
    <w:rsid w:val="001447A2"/>
    <w:rPr>
      <w:b/>
      <w:bCs/>
      <w:sz w:val="24"/>
      <w:szCs w:val="24"/>
    </w:rPr>
  </w:style>
  <w:style w:type="paragraph" w:styleId="Revision">
    <w:name w:val="Revision"/>
    <w:hidden/>
    <w:uiPriority w:val="99"/>
    <w:semiHidden/>
    <w:rsid w:val="00645B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13068</Words>
  <Characters>74493</Characters>
  <Application>Microsoft Office Word</Application>
  <DocSecurity>0</DocSecurity>
  <Lines>620</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2023-05-03T21:47:00Z</dcterms:created>
  <dcterms:modified xsi:type="dcterms:W3CDTF">2023-05-03T21:47:00Z</dcterms:modified>
</cp:coreProperties>
</file>