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1080A"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11E0CDF"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83404</w:t>
      </w:r>
    </w:p>
    <w:p w14:paraId="28E0AB6B"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E1CF62C" w14:textId="77777777" w:rsidR="00D03248" w:rsidRDefault="00D03248">
      <w:pPr>
        <w:spacing w:line="360" w:lineRule="auto"/>
        <w:jc w:val="both"/>
        <w:rPr>
          <w:rFonts w:ascii="Book Antiqua" w:hAnsi="Book Antiqua"/>
        </w:rPr>
      </w:pPr>
    </w:p>
    <w:p w14:paraId="481CC8B4" w14:textId="77777777" w:rsidR="00D03248" w:rsidRDefault="0031688F">
      <w:pPr>
        <w:spacing w:line="360" w:lineRule="auto"/>
        <w:jc w:val="both"/>
        <w:rPr>
          <w:rFonts w:ascii="Book Antiqua" w:hAnsi="Book Antiqua"/>
        </w:rPr>
      </w:pPr>
      <w:r>
        <w:rPr>
          <w:rFonts w:ascii="Book Antiqua" w:eastAsia="Book Antiqua" w:hAnsi="Book Antiqua" w:cs="Book Antiqua"/>
          <w:b/>
          <w:i/>
          <w:color w:val="000000"/>
        </w:rPr>
        <w:t>Basic Study</w:t>
      </w:r>
    </w:p>
    <w:p w14:paraId="134C8F9D"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Metronomic </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apecitabine </w:t>
      </w:r>
      <w:r>
        <w:rPr>
          <w:rFonts w:ascii="Book Antiqua" w:hAnsi="Book Antiqua" w:cs="Book Antiqua" w:hint="eastAsia"/>
          <w:b/>
          <w:bCs/>
          <w:color w:val="000000"/>
          <w:lang w:eastAsia="zh-CN"/>
        </w:rPr>
        <w:t>i</w:t>
      </w:r>
      <w:r>
        <w:rPr>
          <w:rFonts w:ascii="Book Antiqua" w:eastAsia="Book Antiqua" w:hAnsi="Book Antiqua" w:cs="Book Antiqua"/>
          <w:b/>
          <w:bCs/>
          <w:color w:val="000000"/>
        </w:rPr>
        <w:t xml:space="preserve">nhibits </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iver </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ransplant </w:t>
      </w:r>
      <w:r>
        <w:rPr>
          <w:rFonts w:ascii="Book Antiqua" w:hAnsi="Book Antiqua" w:cs="Book Antiqua" w:hint="eastAsia"/>
          <w:b/>
          <w:bCs/>
          <w:color w:val="000000"/>
          <w:lang w:eastAsia="zh-CN"/>
        </w:rPr>
        <w:t>r</w:t>
      </w:r>
      <w:r>
        <w:rPr>
          <w:rFonts w:ascii="Book Antiqua" w:eastAsia="Book Antiqua" w:hAnsi="Book Antiqua" w:cs="Book Antiqua"/>
          <w:b/>
          <w:bCs/>
          <w:color w:val="000000"/>
        </w:rPr>
        <w:t xml:space="preserve">ejection in </w:t>
      </w:r>
      <w:r>
        <w:rPr>
          <w:rFonts w:ascii="Book Antiqua" w:hAnsi="Book Antiqua" w:cs="Book Antiqua" w:hint="eastAsia"/>
          <w:b/>
          <w:bCs/>
          <w:color w:val="000000"/>
          <w:lang w:eastAsia="zh-CN"/>
        </w:rPr>
        <w:t>r</w:t>
      </w:r>
      <w:r>
        <w:rPr>
          <w:rFonts w:ascii="Book Antiqua" w:eastAsia="Book Antiqua" w:hAnsi="Book Antiqua" w:cs="Book Antiqua"/>
          <w:b/>
          <w:bCs/>
          <w:color w:val="000000"/>
        </w:rPr>
        <w:t xml:space="preserve">ats by </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riggering </w:t>
      </w:r>
      <w:r>
        <w:rPr>
          <w:rFonts w:ascii="Book Antiqua" w:hAnsi="Book Antiqua" w:cs="Book Antiqua" w:hint="eastAsia"/>
          <w:b/>
          <w:bCs/>
          <w:color w:val="000000"/>
          <w:lang w:eastAsia="zh-CN"/>
        </w:rPr>
        <w:t>r</w:t>
      </w:r>
      <w:r>
        <w:rPr>
          <w:rFonts w:ascii="Book Antiqua" w:eastAsia="Book Antiqua" w:hAnsi="Book Antiqua" w:cs="Book Antiqua"/>
          <w:b/>
          <w:bCs/>
          <w:color w:val="000000"/>
        </w:rPr>
        <w:t xml:space="preserve">ecipients’ T </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ell </w:t>
      </w:r>
      <w:r>
        <w:rPr>
          <w:rFonts w:ascii="Book Antiqua" w:hAnsi="Book Antiqua" w:cs="Book Antiqua" w:hint="eastAsia"/>
          <w:b/>
          <w:bCs/>
          <w:color w:val="000000"/>
          <w:lang w:eastAsia="zh-CN"/>
        </w:rPr>
        <w:t>f</w:t>
      </w:r>
      <w:r>
        <w:rPr>
          <w:rFonts w:ascii="Book Antiqua" w:eastAsia="Book Antiqua" w:hAnsi="Book Antiqua" w:cs="Book Antiqua"/>
          <w:b/>
          <w:bCs/>
          <w:color w:val="000000"/>
        </w:rPr>
        <w:t>erroptosis</w:t>
      </w:r>
    </w:p>
    <w:p w14:paraId="7B2E34ED" w14:textId="77777777" w:rsidR="00D03248" w:rsidRDefault="00D03248">
      <w:pPr>
        <w:spacing w:line="360" w:lineRule="auto"/>
        <w:jc w:val="both"/>
        <w:rPr>
          <w:rFonts w:ascii="Book Antiqua" w:hAnsi="Book Antiqua"/>
        </w:rPr>
      </w:pPr>
    </w:p>
    <w:p w14:paraId="36B15F76" w14:textId="77777777" w:rsidR="00D03248" w:rsidRDefault="0031688F">
      <w:pPr>
        <w:spacing w:line="360" w:lineRule="auto"/>
        <w:jc w:val="both"/>
        <w:rPr>
          <w:rFonts w:ascii="Book Antiqua" w:hAnsi="Book Antiqua"/>
          <w:lang w:eastAsia="zh-CN"/>
        </w:rPr>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antirejection effect of metronomic CAP</w:t>
      </w:r>
    </w:p>
    <w:p w14:paraId="4DA7F2FB" w14:textId="77777777" w:rsidR="00D03248" w:rsidRDefault="00D03248">
      <w:pPr>
        <w:spacing w:line="360" w:lineRule="auto"/>
        <w:jc w:val="both"/>
        <w:rPr>
          <w:rFonts w:ascii="Book Antiqua" w:hAnsi="Book Antiqua"/>
        </w:rPr>
      </w:pPr>
    </w:p>
    <w:p w14:paraId="3F215B1B"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Hao Wang, Zheng</w:t>
      </w:r>
      <w:r>
        <w:rPr>
          <w:rFonts w:ascii="Book Antiqua" w:hAnsi="Book Antiqua" w:cs="Book Antiqua" w:hint="eastAsia"/>
          <w:color w:val="000000"/>
          <w:lang w:eastAsia="zh-CN"/>
        </w:rPr>
        <w:t>-L</w:t>
      </w:r>
      <w:r>
        <w:rPr>
          <w:rFonts w:ascii="Book Antiqua" w:eastAsia="Book Antiqua" w:hAnsi="Book Antiqua" w:cs="Book Antiqua"/>
          <w:color w:val="000000"/>
        </w:rPr>
        <w:t>u Wang, Sai Zhang, De</w:t>
      </w:r>
      <w:r>
        <w:rPr>
          <w:rFonts w:ascii="Book Antiqua" w:hAnsi="Book Antiqua" w:cs="Book Antiqua" w:hint="eastAsia"/>
          <w:color w:val="000000"/>
          <w:lang w:eastAsia="zh-CN"/>
        </w:rPr>
        <w:t>-J</w:t>
      </w:r>
      <w:r>
        <w:rPr>
          <w:rFonts w:ascii="Book Antiqua" w:eastAsia="Book Antiqua" w:hAnsi="Book Antiqua" w:cs="Book Antiqua"/>
          <w:color w:val="000000"/>
        </w:rPr>
        <w:t>un Kong, Rui</w:t>
      </w:r>
      <w:r>
        <w:rPr>
          <w:rFonts w:ascii="Book Antiqua" w:hAnsi="Book Antiqua" w:cs="Book Antiqua" w:hint="eastAsia"/>
          <w:color w:val="000000"/>
          <w:lang w:eastAsia="zh-CN"/>
        </w:rPr>
        <w:t>-N</w:t>
      </w:r>
      <w:r>
        <w:rPr>
          <w:rFonts w:ascii="Book Antiqua" w:eastAsia="Book Antiqua" w:hAnsi="Book Antiqua" w:cs="Book Antiqua"/>
          <w:color w:val="000000"/>
        </w:rPr>
        <w:t>ing Yang, Lei Cao, Jian</w:t>
      </w:r>
      <w:r>
        <w:rPr>
          <w:rFonts w:ascii="Book Antiqua" w:hAnsi="Book Antiqua" w:cs="Book Antiqua" w:hint="eastAsia"/>
          <w:color w:val="000000"/>
          <w:lang w:eastAsia="zh-CN"/>
        </w:rPr>
        <w:t>-X</w:t>
      </w:r>
      <w:r>
        <w:rPr>
          <w:rFonts w:ascii="Book Antiqua" w:eastAsia="Book Antiqua" w:hAnsi="Book Antiqua" w:cs="Book Antiqua"/>
          <w:color w:val="000000"/>
        </w:rPr>
        <w:t>i Wang, Sei Yoshida, Zhuo</w:t>
      </w:r>
      <w:r>
        <w:rPr>
          <w:rFonts w:ascii="Book Antiqua" w:hAnsi="Book Antiqua" w:cs="Book Antiqua" w:hint="eastAsia"/>
          <w:color w:val="000000"/>
          <w:lang w:eastAsia="zh-CN"/>
        </w:rPr>
        <w:t>-L</w:t>
      </w:r>
      <w:r>
        <w:rPr>
          <w:rFonts w:ascii="Book Antiqua" w:eastAsia="Book Antiqua" w:hAnsi="Book Antiqua" w:cs="Book Antiqua"/>
          <w:color w:val="000000"/>
        </w:rPr>
        <w:t>un Song, Tao Liu, Shun</w:t>
      </w:r>
      <w:r>
        <w:rPr>
          <w:rFonts w:ascii="Book Antiqua" w:hAnsi="Book Antiqua" w:cs="Book Antiqua" w:hint="eastAsia"/>
          <w:color w:val="000000"/>
          <w:lang w:eastAsia="zh-CN"/>
        </w:rPr>
        <w:t>-L</w:t>
      </w:r>
      <w:r>
        <w:rPr>
          <w:rFonts w:ascii="Book Antiqua" w:eastAsia="Book Antiqua" w:hAnsi="Book Antiqua" w:cs="Book Antiqua"/>
          <w:color w:val="000000"/>
        </w:rPr>
        <w:t>i Fan, Jia</w:t>
      </w:r>
      <w:r>
        <w:rPr>
          <w:rFonts w:ascii="Book Antiqua" w:hAnsi="Book Antiqua" w:cs="Book Antiqua" w:hint="eastAsia"/>
          <w:color w:val="000000"/>
          <w:lang w:eastAsia="zh-CN"/>
        </w:rPr>
        <w:t>-S</w:t>
      </w:r>
      <w:r>
        <w:rPr>
          <w:rFonts w:ascii="Book Antiqua" w:eastAsia="Book Antiqua" w:hAnsi="Book Antiqua" w:cs="Book Antiqua"/>
          <w:color w:val="000000"/>
        </w:rPr>
        <w:t>hu Ren, Jiang</w:t>
      </w:r>
      <w:r>
        <w:rPr>
          <w:rFonts w:ascii="Book Antiqua" w:hAnsi="Book Antiqua" w:cs="Book Antiqua" w:hint="eastAsia"/>
          <w:color w:val="000000"/>
          <w:lang w:eastAsia="zh-CN"/>
        </w:rPr>
        <w:t>-H</w:t>
      </w:r>
      <w:r>
        <w:rPr>
          <w:rFonts w:ascii="Book Antiqua" w:eastAsia="Book Antiqua" w:hAnsi="Book Antiqua" w:cs="Book Antiqua"/>
          <w:color w:val="000000"/>
        </w:rPr>
        <w:t>ong Li, Zhong</w:t>
      </w:r>
      <w:r>
        <w:rPr>
          <w:rFonts w:ascii="Book Antiqua" w:hAnsi="Book Antiqua" w:cs="Book Antiqua" w:hint="eastAsia"/>
          <w:color w:val="000000"/>
          <w:lang w:eastAsia="zh-CN"/>
        </w:rPr>
        <w:t>-</w:t>
      </w:r>
      <w:r>
        <w:rPr>
          <w:rFonts w:ascii="Book Antiqua" w:eastAsia="Book Antiqua" w:hAnsi="Book Antiqua" w:cs="Book Antiqua"/>
          <w:color w:val="000000"/>
        </w:rPr>
        <w:t>Yang Shen, Hong Zheng</w:t>
      </w:r>
    </w:p>
    <w:p w14:paraId="7DB0DF11" w14:textId="77777777" w:rsidR="00D03248" w:rsidRDefault="00D03248">
      <w:pPr>
        <w:spacing w:line="360" w:lineRule="auto"/>
        <w:jc w:val="both"/>
        <w:rPr>
          <w:rFonts w:ascii="Book Antiqua" w:hAnsi="Book Antiqua"/>
        </w:rPr>
      </w:pPr>
    </w:p>
    <w:p w14:paraId="056A7B3A"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Hao Wang, Rui</w:t>
      </w:r>
      <w:r>
        <w:rPr>
          <w:rFonts w:ascii="Book Antiqua" w:hAnsi="Book Antiqua" w:cs="Book Antiqua" w:hint="eastAsia"/>
          <w:b/>
          <w:bCs/>
          <w:color w:val="000000"/>
          <w:lang w:eastAsia="zh-CN"/>
        </w:rPr>
        <w:t>-N</w:t>
      </w:r>
      <w:r>
        <w:rPr>
          <w:rFonts w:ascii="Book Antiqua" w:eastAsia="Book Antiqua" w:hAnsi="Book Antiqua" w:cs="Book Antiqua"/>
          <w:b/>
          <w:bCs/>
          <w:color w:val="000000"/>
        </w:rPr>
        <w:t>ing Yang, Jia</w:t>
      </w:r>
      <w:r>
        <w:rPr>
          <w:rFonts w:ascii="Book Antiqua" w:hAnsi="Book Antiqua" w:cs="Book Antiqua" w:hint="eastAsia"/>
          <w:b/>
          <w:bCs/>
          <w:color w:val="000000"/>
          <w:lang w:eastAsia="zh-CN"/>
        </w:rPr>
        <w:t>-S</w:t>
      </w:r>
      <w:r>
        <w:rPr>
          <w:rFonts w:ascii="Book Antiqua" w:eastAsia="Book Antiqua" w:hAnsi="Book Antiqua" w:cs="Book Antiqua"/>
          <w:b/>
          <w:bCs/>
          <w:color w:val="000000"/>
        </w:rPr>
        <w:t>hu Ren, Jiang</w:t>
      </w:r>
      <w:r>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ong Li, </w:t>
      </w:r>
      <w:r>
        <w:rPr>
          <w:rFonts w:ascii="Book Antiqua" w:eastAsia="Book Antiqua" w:hAnsi="Book Antiqua" w:cs="Book Antiqua"/>
          <w:color w:val="000000"/>
        </w:rPr>
        <w:t>The First Central Clinical School, Tianjin Medical University, Tianjin 300190, China</w:t>
      </w:r>
    </w:p>
    <w:p w14:paraId="610610D9" w14:textId="77777777" w:rsidR="00D03248" w:rsidRDefault="00D03248">
      <w:pPr>
        <w:spacing w:line="360" w:lineRule="auto"/>
        <w:jc w:val="both"/>
        <w:rPr>
          <w:rFonts w:ascii="Book Antiqua" w:hAnsi="Book Antiqua"/>
        </w:rPr>
      </w:pPr>
    </w:p>
    <w:p w14:paraId="40C13830"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Zheng</w:t>
      </w:r>
      <w:r>
        <w:rPr>
          <w:rFonts w:ascii="Book Antiqua" w:hAnsi="Book Antiqua" w:cs="Book Antiqua" w:hint="eastAsia"/>
          <w:b/>
          <w:bCs/>
          <w:color w:val="000000"/>
          <w:lang w:eastAsia="zh-CN"/>
        </w:rPr>
        <w:t>-L</w:t>
      </w:r>
      <w:r>
        <w:rPr>
          <w:rFonts w:ascii="Book Antiqua" w:eastAsia="Book Antiqua" w:hAnsi="Book Antiqua" w:cs="Book Antiqua"/>
          <w:b/>
          <w:bCs/>
          <w:color w:val="000000"/>
        </w:rPr>
        <w:t>u Wang, Zhuo</w:t>
      </w:r>
      <w:r>
        <w:rPr>
          <w:rFonts w:ascii="Book Antiqua" w:hAnsi="Book Antiqua" w:cs="Book Antiqua" w:hint="eastAsia"/>
          <w:b/>
          <w:bCs/>
          <w:color w:val="000000"/>
          <w:lang w:eastAsia="zh-CN"/>
        </w:rPr>
        <w:t>-L</w:t>
      </w:r>
      <w:r>
        <w:rPr>
          <w:rFonts w:ascii="Book Antiqua" w:eastAsia="Book Antiqua" w:hAnsi="Book Antiqua" w:cs="Book Antiqua"/>
          <w:b/>
          <w:bCs/>
          <w:color w:val="000000"/>
        </w:rPr>
        <w:t>un Song, Shun</w:t>
      </w:r>
      <w:r>
        <w:rPr>
          <w:rFonts w:ascii="Book Antiqua" w:hAnsi="Book Antiqua" w:cs="Book Antiqua" w:hint="eastAsia"/>
          <w:b/>
          <w:bCs/>
          <w:color w:val="000000"/>
          <w:lang w:eastAsia="zh-CN"/>
        </w:rPr>
        <w:t>-L</w:t>
      </w:r>
      <w:r>
        <w:rPr>
          <w:rFonts w:ascii="Book Antiqua" w:eastAsia="Book Antiqua" w:hAnsi="Book Antiqua" w:cs="Book Antiqua"/>
          <w:b/>
          <w:bCs/>
          <w:color w:val="000000"/>
        </w:rPr>
        <w:t>i Fan, Zhong</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Yang Shen, Hong Zheng, </w:t>
      </w:r>
      <w:r>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Pr>
          <w:rFonts w:ascii="Book Antiqua" w:eastAsia="Book Antiqua" w:hAnsi="Book Antiqua" w:cs="Book Antiqua"/>
          <w:color w:val="000000"/>
        </w:rPr>
        <w:t>Organ Transplant, Tianjin First Central Hospital, School of Medicine, Nankai University, Tianjin 300190, China</w:t>
      </w:r>
    </w:p>
    <w:p w14:paraId="4F955DBB" w14:textId="77777777" w:rsidR="00D03248" w:rsidRDefault="00D03248">
      <w:pPr>
        <w:spacing w:line="360" w:lineRule="auto"/>
        <w:jc w:val="both"/>
        <w:rPr>
          <w:rFonts w:ascii="Book Antiqua" w:hAnsi="Book Antiqua"/>
        </w:rPr>
      </w:pPr>
    </w:p>
    <w:p w14:paraId="3039B609"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Zheng</w:t>
      </w:r>
      <w:r>
        <w:rPr>
          <w:rFonts w:ascii="Book Antiqua" w:hAnsi="Book Antiqua" w:cs="Book Antiqua" w:hint="eastAsia"/>
          <w:b/>
          <w:bCs/>
          <w:color w:val="000000"/>
          <w:lang w:eastAsia="zh-CN"/>
        </w:rPr>
        <w:t>-L</w:t>
      </w:r>
      <w:r>
        <w:rPr>
          <w:rFonts w:ascii="Book Antiqua" w:eastAsia="Book Antiqua" w:hAnsi="Book Antiqua" w:cs="Book Antiqua"/>
          <w:b/>
          <w:bCs/>
          <w:color w:val="000000"/>
        </w:rPr>
        <w:t>u Wang, Zhong</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Yang Shen, Hong Zheng, </w:t>
      </w:r>
      <w:r>
        <w:rPr>
          <w:rFonts w:ascii="Book Antiqua" w:eastAsia="Book Antiqua" w:hAnsi="Book Antiqua" w:cs="Book Antiqua"/>
          <w:color w:val="000000"/>
        </w:rPr>
        <w:t>Key Laboratory of Transplant Medicine, Chinese Academy of Medical Sciences, Tianjin 300190, China</w:t>
      </w:r>
    </w:p>
    <w:p w14:paraId="31094EB6" w14:textId="77777777" w:rsidR="00D03248" w:rsidRDefault="00D03248">
      <w:pPr>
        <w:spacing w:line="360" w:lineRule="auto"/>
        <w:jc w:val="both"/>
        <w:rPr>
          <w:rFonts w:ascii="Book Antiqua" w:hAnsi="Book Antiqua"/>
        </w:rPr>
      </w:pPr>
    </w:p>
    <w:p w14:paraId="4D1D74FB"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Sai Zhang, De</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un Kong, </w:t>
      </w:r>
      <w:r>
        <w:rPr>
          <w:rFonts w:ascii="Book Antiqua" w:eastAsia="Book Antiqua" w:hAnsi="Book Antiqua" w:cs="Book Antiqua"/>
          <w:color w:val="000000"/>
        </w:rPr>
        <w:t>School of Medicine, Nankai University, Tianjin 300190, China</w:t>
      </w:r>
    </w:p>
    <w:p w14:paraId="7E1DAB5B" w14:textId="77777777" w:rsidR="00D03248" w:rsidRDefault="00D03248">
      <w:pPr>
        <w:spacing w:line="360" w:lineRule="auto"/>
        <w:jc w:val="both"/>
        <w:rPr>
          <w:rFonts w:ascii="Book Antiqua" w:hAnsi="Book Antiqua"/>
        </w:rPr>
      </w:pPr>
    </w:p>
    <w:p w14:paraId="5343AAA8"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Lei Cao, Jian</w:t>
      </w:r>
      <w:r>
        <w:rPr>
          <w:rFonts w:ascii="Book Antiqua" w:hAnsi="Book Antiqua" w:cs="Book Antiqua" w:hint="eastAsia"/>
          <w:b/>
          <w:bCs/>
          <w:color w:val="000000"/>
          <w:lang w:eastAsia="zh-CN"/>
        </w:rPr>
        <w:t>-X</w:t>
      </w:r>
      <w:r>
        <w:rPr>
          <w:rFonts w:ascii="Book Antiqua" w:eastAsia="Book Antiqua" w:hAnsi="Book Antiqua" w:cs="Book Antiqua"/>
          <w:b/>
          <w:bCs/>
          <w:color w:val="000000"/>
        </w:rPr>
        <w:t>i Wang, Sei Yoshida, Zhong</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Yang Shen, Hong Zheng, </w:t>
      </w:r>
      <w:r>
        <w:rPr>
          <w:rFonts w:ascii="Book Antiqua" w:eastAsia="Book Antiqua" w:hAnsi="Book Antiqua" w:cs="Book Antiqua"/>
          <w:color w:val="000000"/>
        </w:rPr>
        <w:t>Research Institute of Transplant Medicine, Nankai University, Tianjin 300071, China</w:t>
      </w:r>
    </w:p>
    <w:p w14:paraId="65F6DEBF" w14:textId="77777777" w:rsidR="00D03248" w:rsidRDefault="00D03248">
      <w:pPr>
        <w:spacing w:line="360" w:lineRule="auto"/>
        <w:jc w:val="both"/>
        <w:rPr>
          <w:rFonts w:ascii="Book Antiqua" w:hAnsi="Book Antiqua"/>
        </w:rPr>
      </w:pPr>
    </w:p>
    <w:p w14:paraId="4ACC3EEC"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lastRenderedPageBreak/>
        <w:t>Lei Cao, Jian</w:t>
      </w:r>
      <w:r>
        <w:rPr>
          <w:rFonts w:ascii="Book Antiqua" w:hAnsi="Book Antiqua" w:cs="Book Antiqua" w:hint="eastAsia"/>
          <w:b/>
          <w:bCs/>
          <w:color w:val="000000"/>
          <w:lang w:eastAsia="zh-CN"/>
        </w:rPr>
        <w:t>-X</w:t>
      </w:r>
      <w:r>
        <w:rPr>
          <w:rFonts w:ascii="Book Antiqua" w:eastAsia="Book Antiqua" w:hAnsi="Book Antiqua" w:cs="Book Antiqua"/>
          <w:b/>
          <w:bCs/>
          <w:color w:val="000000"/>
        </w:rPr>
        <w:t>i Wang, Zhong</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Yang Shen, Hong Zheng, </w:t>
      </w:r>
      <w:r>
        <w:rPr>
          <w:rFonts w:ascii="Book Antiqua" w:eastAsia="Book Antiqua" w:hAnsi="Book Antiqua" w:cs="Book Antiqua"/>
          <w:color w:val="000000"/>
        </w:rPr>
        <w:t>Tianjin Key Laboratory for Organ Transplantation, Tianjin First Central Hospital, School of Medicine, Nankai University, Tianjin 300071, China</w:t>
      </w:r>
    </w:p>
    <w:p w14:paraId="1896AF0A" w14:textId="77777777" w:rsidR="00D03248" w:rsidRDefault="00D03248">
      <w:pPr>
        <w:spacing w:line="360" w:lineRule="auto"/>
        <w:jc w:val="both"/>
        <w:rPr>
          <w:rFonts w:ascii="Book Antiqua" w:hAnsi="Book Antiqua"/>
        </w:rPr>
      </w:pPr>
    </w:p>
    <w:p w14:paraId="67C5DB29"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Tao Liu, Zhong</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Yang Shen, Hong Zheng, </w:t>
      </w:r>
      <w:r>
        <w:rPr>
          <w:rFonts w:ascii="Book Antiqua" w:eastAsia="Book Antiqua" w:hAnsi="Book Antiqua" w:cs="Book Antiqua"/>
          <w:color w:val="000000"/>
        </w:rPr>
        <w:t>National Health Commission’s Key Laboratory for Critical Care Medicine, Tianjin First Central Hospital, Tianjin 300071, China</w:t>
      </w:r>
    </w:p>
    <w:p w14:paraId="2C75AD81" w14:textId="77777777" w:rsidR="00D03248" w:rsidRDefault="00D03248">
      <w:pPr>
        <w:spacing w:line="360" w:lineRule="auto"/>
        <w:jc w:val="both"/>
        <w:rPr>
          <w:rFonts w:ascii="Book Antiqua" w:hAnsi="Book Antiqua"/>
        </w:rPr>
      </w:pPr>
    </w:p>
    <w:p w14:paraId="398E0023"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H conceived the study, performed the experiments, analyzed the data, generated the figures, and wrote the manuscript; Wang ZL, Zhang S, and Kong DJ provided technical help and assisted with the experiments; Zhang S, Kong DJ, Yang RN, Cao L, and Wang JX helped with the data analyses; Wang ZL, Yoshida S, Zhang S, Liu T, Shen ZY, and Zheng H performed critical reading of the manuscript; Fan SL, Ren JS, Li JH, and Zheng H assisted with the editing and writing of the manuscript; Zheng H supervised the study and edited the manuscript.</w:t>
      </w:r>
    </w:p>
    <w:p w14:paraId="17A80321" w14:textId="77777777" w:rsidR="00D03248" w:rsidRDefault="00D03248">
      <w:pPr>
        <w:spacing w:line="360" w:lineRule="auto"/>
        <w:jc w:val="both"/>
        <w:rPr>
          <w:rFonts w:ascii="Book Antiqua" w:hAnsi="Book Antiqua"/>
        </w:rPr>
      </w:pPr>
    </w:p>
    <w:p w14:paraId="238CB63F"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Key Research and Development Program of China, No. 2020YFA0710802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he Youth Science Fund of the Nature Science Foundation of Tianjin, No. 20JCQNJC01370</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he Key Projects of Tianjin Science and Technology Project, No. 21JCZDJC00160</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T</w:t>
      </w:r>
      <w:r>
        <w:rPr>
          <w:rFonts w:ascii="Book Antiqua" w:eastAsia="Book Antiqua" w:hAnsi="Book Antiqua" w:cs="Book Antiqua"/>
          <w:color w:val="000000"/>
        </w:rPr>
        <w:t>he Science Foundation of Tianjin Health Commission, No. ZC20065 and No.</w:t>
      </w:r>
      <w:r>
        <w:rPr>
          <w:rFonts w:ascii="Book Antiqua" w:hAnsi="Book Antiqua" w:cs="Book Antiqua" w:hint="eastAsia"/>
          <w:color w:val="000000"/>
          <w:lang w:eastAsia="zh-CN"/>
        </w:rPr>
        <w:t xml:space="preserve"> </w:t>
      </w:r>
      <w:r>
        <w:rPr>
          <w:rFonts w:ascii="Book Antiqua" w:eastAsia="Book Antiqua" w:hAnsi="Book Antiqua" w:cs="Book Antiqua"/>
          <w:color w:val="000000"/>
        </w:rPr>
        <w:t>ZC20089.</w:t>
      </w:r>
    </w:p>
    <w:p w14:paraId="68385DA2" w14:textId="77777777" w:rsidR="00D03248" w:rsidRDefault="00D03248">
      <w:pPr>
        <w:spacing w:line="360" w:lineRule="auto"/>
        <w:jc w:val="both"/>
        <w:rPr>
          <w:rFonts w:ascii="Book Antiqua" w:hAnsi="Book Antiqua"/>
        </w:rPr>
      </w:pPr>
    </w:p>
    <w:p w14:paraId="556D0C62"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Corresponding author: Hong Zheng, PhD, Professor, </w:t>
      </w:r>
      <w:r>
        <w:rPr>
          <w:rFonts w:ascii="Book Antiqua" w:eastAsia="Book Antiqua" w:hAnsi="Book Antiqua" w:cs="Book Antiqua"/>
          <w:color w:val="000000"/>
        </w:rPr>
        <w:t xml:space="preserve">Department </w:t>
      </w:r>
      <w:r>
        <w:rPr>
          <w:rFonts w:ascii="Book Antiqua" w:hAnsi="Book Antiqua" w:cs="Book Antiqua" w:hint="eastAsia"/>
          <w:color w:val="000000"/>
          <w:lang w:eastAsia="zh-CN"/>
        </w:rPr>
        <w:t xml:space="preserve">of </w:t>
      </w:r>
      <w:r>
        <w:rPr>
          <w:rFonts w:ascii="Book Antiqua" w:eastAsia="Book Antiqua" w:hAnsi="Book Antiqua" w:cs="Book Antiqua"/>
          <w:color w:val="000000"/>
        </w:rPr>
        <w:t xml:space="preserve">Organ Transplant, Tianjin First Central Hospital, School of Medicine, Nankai University, </w:t>
      </w:r>
      <w:r>
        <w:rPr>
          <w:rFonts w:ascii="Book Antiqua" w:hAnsi="Book Antiqua" w:cs="Book Antiqua" w:hint="eastAsia"/>
          <w:color w:val="000000"/>
          <w:lang w:eastAsia="zh-CN"/>
        </w:rPr>
        <w:t xml:space="preserve">No. </w:t>
      </w:r>
      <w:r>
        <w:rPr>
          <w:rFonts w:ascii="Book Antiqua" w:eastAsia="Book Antiqua" w:hAnsi="Book Antiqua" w:cs="Book Antiqua"/>
          <w:color w:val="000000"/>
        </w:rPr>
        <w:t>24 Fukang Road, Nankai District, Tianjin 300190, China. zhenghongyx@139.com</w:t>
      </w:r>
    </w:p>
    <w:p w14:paraId="5380E118" w14:textId="77777777" w:rsidR="00D03248" w:rsidRDefault="00D03248">
      <w:pPr>
        <w:spacing w:line="360" w:lineRule="auto"/>
        <w:jc w:val="both"/>
        <w:rPr>
          <w:rFonts w:ascii="Book Antiqua" w:hAnsi="Book Antiqua"/>
        </w:rPr>
      </w:pPr>
    </w:p>
    <w:p w14:paraId="1248393A"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21, 2023</w:t>
      </w:r>
    </w:p>
    <w:p w14:paraId="77C821EF"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hAnsi="Book Antiqua"/>
        </w:rPr>
        <w:t>February 19, 2023</w:t>
      </w:r>
    </w:p>
    <w:p w14:paraId="53CAD30C"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3570B7" w:rsidRPr="00AC1798">
        <w:rPr>
          <w:rFonts w:ascii="Book Antiqua" w:eastAsia="Book Antiqua" w:hAnsi="Book Antiqua" w:cs="Book Antiqua"/>
          <w:color w:val="000000"/>
        </w:rPr>
        <w:t>April 28, 2023</w:t>
      </w:r>
    </w:p>
    <w:p w14:paraId="270F4BB4" w14:textId="77777777" w:rsidR="00D03248" w:rsidRDefault="0031688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lastRenderedPageBreak/>
        <w:t xml:space="preserve">Published online: </w:t>
      </w:r>
      <w:r w:rsidR="00AA2689" w:rsidRPr="00AA2689">
        <w:rPr>
          <w:rFonts w:ascii="Book Antiqua" w:eastAsia="Book Antiqua" w:hAnsi="Book Antiqua" w:cs="Book Antiqua"/>
          <w:bCs/>
          <w:color w:val="000000"/>
        </w:rPr>
        <w:t>May 28, 2023</w:t>
      </w:r>
    </w:p>
    <w:p w14:paraId="10D7F1CA" w14:textId="77777777" w:rsidR="00D03248" w:rsidRDefault="00D03248">
      <w:pPr>
        <w:spacing w:line="360" w:lineRule="auto"/>
        <w:jc w:val="both"/>
        <w:rPr>
          <w:rFonts w:ascii="Book Antiqua" w:hAnsi="Book Antiqua"/>
          <w:lang w:eastAsia="zh-CN"/>
        </w:rPr>
      </w:pPr>
    </w:p>
    <w:p w14:paraId="47638B1A"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Abstract</w:t>
      </w:r>
    </w:p>
    <w:p w14:paraId="50DC518A"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BACKGROUND</w:t>
      </w:r>
    </w:p>
    <w:p w14:paraId="2F3106F5"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Capecitabine (CAP) is a classic antimetabolic drug and has shown potential antirejection effects after liver transplantation (LT) in clinical studies. Our previous study showed that metronomic CAP can cause the programmed death of T cells by inducing oxidative stress in healthy mice. Ferroptosis, a newly defined non-apoptotic cell death that occurs in response to iron overload and lethal levels of lipid peroxidation, is an important mechanism by which CAP induces cell death. Therefore, ferroptosis may also play an important role in CAP-induced T cell death and play an immunosuppressive role in acute rejection after transplantation.</w:t>
      </w:r>
    </w:p>
    <w:p w14:paraId="06E4A718" w14:textId="77777777" w:rsidR="00D03248" w:rsidRDefault="00D03248">
      <w:pPr>
        <w:spacing w:line="360" w:lineRule="auto"/>
        <w:jc w:val="both"/>
        <w:rPr>
          <w:rFonts w:ascii="Book Antiqua" w:hAnsi="Book Antiqua"/>
        </w:rPr>
      </w:pPr>
    </w:p>
    <w:p w14:paraId="0CEAFF24"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AIM</w:t>
      </w:r>
    </w:p>
    <w:p w14:paraId="2E4ABD21" w14:textId="77777777" w:rsidR="00D03248" w:rsidRDefault="0031688F">
      <w:pPr>
        <w:spacing w:line="360" w:lineRule="auto"/>
        <w:jc w:val="both"/>
        <w:rPr>
          <w:rFonts w:ascii="Book Antiqua" w:hAnsi="Book Antiqua"/>
          <w:lang w:eastAsia="zh-CN"/>
        </w:rPr>
      </w:pPr>
      <w:r>
        <w:rPr>
          <w:rFonts w:ascii="Book Antiqua" w:eastAsia="Book Antiqua" w:hAnsi="Book Antiqua" w:cs="Book Antiqua"/>
          <w:color w:val="000000"/>
        </w:rPr>
        <w:t>To investigate the functions and underlying mechanisms of antirejection effects of metronomic CAP.</w:t>
      </w:r>
    </w:p>
    <w:p w14:paraId="0446658C" w14:textId="77777777" w:rsidR="00D03248" w:rsidRDefault="00D03248">
      <w:pPr>
        <w:spacing w:line="360" w:lineRule="auto"/>
        <w:jc w:val="both"/>
        <w:rPr>
          <w:rFonts w:ascii="Book Antiqua" w:hAnsi="Book Antiqua"/>
        </w:rPr>
      </w:pPr>
    </w:p>
    <w:p w14:paraId="1BB25513"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METHODS</w:t>
      </w:r>
    </w:p>
    <w:p w14:paraId="237669A2"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 xml:space="preserve">A rat LT model of acute rejection was established, and the effect of metronomic CAP on splenic hematopoietic function and acute graft rejection was evaluated 7 d after LT. </w:t>
      </w:r>
      <w:r w:rsidRPr="00A2088B">
        <w:rPr>
          <w:rFonts w:ascii="Book Antiqua" w:eastAsia="Book Antiqua" w:hAnsi="Book Antiqua" w:cs="Book Antiqua"/>
          <w:i/>
          <w:iCs/>
          <w:color w:val="000000"/>
        </w:rPr>
        <w:t>In vitro</w:t>
      </w:r>
      <w:r>
        <w:rPr>
          <w:rFonts w:ascii="Book Antiqua" w:eastAsia="Book Antiqua" w:hAnsi="Book Antiqua" w:cs="Book Antiqua"/>
          <w:color w:val="000000"/>
        </w:rPr>
        <w:t>, primary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were sorted from rat spleens and human peripheral blood, and co-cultured with or without 5-fluorouracil (5-FU) (active agent of CAP). The levels of ferroptosis-related proteins, ferrous ion concentration, and oxidative stress-related indicators were observed. The changes in mitochondrial structure were observed using electron microscopy.</w:t>
      </w:r>
    </w:p>
    <w:p w14:paraId="10BF3A61" w14:textId="77777777" w:rsidR="00D03248" w:rsidRDefault="00D03248">
      <w:pPr>
        <w:spacing w:line="360" w:lineRule="auto"/>
        <w:jc w:val="both"/>
        <w:rPr>
          <w:rFonts w:ascii="Book Antiqua" w:hAnsi="Book Antiqua"/>
        </w:rPr>
      </w:pPr>
    </w:p>
    <w:p w14:paraId="132F5C81"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RESULTS</w:t>
      </w:r>
    </w:p>
    <w:p w14:paraId="1AFC7C5C"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 xml:space="preserve">With no significant myelotoxicity, metronomic CAP alleviated graft injury (Banff score 9 </w:t>
      </w:r>
      <w:r>
        <w:rPr>
          <w:rFonts w:ascii="Book Antiqua" w:eastAsia="Book Antiqua" w:hAnsi="Book Antiqua" w:cs="Book Antiqua"/>
          <w:i/>
          <w:iCs/>
          <w:color w:val="000000"/>
        </w:rPr>
        <w:t>vs</w:t>
      </w:r>
      <w:r>
        <w:rPr>
          <w:rFonts w:ascii="Book Antiqua" w:eastAsia="Book Antiqua" w:hAnsi="Book Antiqua" w:cs="Book Antiqua"/>
          <w:color w:val="000000"/>
        </w:rPr>
        <w:t xml:space="preserve"> 7.333,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prolonged the survival time of the recipient rats (11.5 d </w:t>
      </w:r>
      <w:r>
        <w:rPr>
          <w:rFonts w:ascii="Book Antiqua" w:eastAsia="Book Antiqua" w:hAnsi="Book Antiqua" w:cs="Book Antiqua"/>
          <w:i/>
          <w:iCs/>
          <w:color w:val="000000"/>
        </w:rPr>
        <w:t>vs</w:t>
      </w:r>
      <w:r>
        <w:rPr>
          <w:rFonts w:ascii="Book Antiqua" w:eastAsia="Book Antiqua" w:hAnsi="Book Antiqua" w:cs="Book Antiqua"/>
          <w:color w:val="000000"/>
        </w:rPr>
        <w:t xml:space="preserve"> 16 d,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lastRenderedPageBreak/>
        <w:t>0.01), and reduced the infiltration rate of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peripheral blood (6.859 </w:t>
      </w:r>
      <w:r>
        <w:rPr>
          <w:rFonts w:ascii="Book Antiqua" w:eastAsia="Book Antiqua" w:hAnsi="Book Antiqua" w:cs="Book Antiqua"/>
          <w:i/>
          <w:iCs/>
          <w:color w:val="000000"/>
        </w:rPr>
        <w:t>vs</w:t>
      </w:r>
      <w:r>
        <w:rPr>
          <w:rFonts w:ascii="Book Antiqua" w:eastAsia="Book Antiqua" w:hAnsi="Book Antiqua" w:cs="Book Antiqua"/>
          <w:color w:val="000000"/>
        </w:rPr>
        <w:t xml:space="preserve"> 3.735,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liver graft (7.459 </w:t>
      </w:r>
      <w:r>
        <w:rPr>
          <w:rFonts w:ascii="Book Antiqua" w:eastAsia="Book Antiqua" w:hAnsi="Book Antiqua" w:cs="Book Antiqua"/>
          <w:i/>
          <w:iCs/>
          <w:color w:val="000000"/>
        </w:rPr>
        <w:t>vs</w:t>
      </w:r>
      <w:r>
        <w:rPr>
          <w:rFonts w:ascii="Book Antiqua" w:eastAsia="Book Antiqua" w:hAnsi="Book Antiqua" w:cs="Book Antiqua"/>
          <w:color w:val="000000"/>
        </w:rPr>
        <w:t xml:space="preserve"> 3.432,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and spleen (26.92 </w:t>
      </w:r>
      <w:r>
        <w:rPr>
          <w:rFonts w:ascii="Book Antiqua" w:eastAsia="Book Antiqua" w:hAnsi="Book Antiqua" w:cs="Book Antiqua"/>
          <w:i/>
          <w:iCs/>
          <w:color w:val="000000"/>
        </w:rPr>
        <w:t>vs</w:t>
      </w:r>
      <w:r>
        <w:rPr>
          <w:rFonts w:ascii="Book Antiqua" w:eastAsia="Book Antiqua" w:hAnsi="Book Antiqua" w:cs="Book Antiqua"/>
          <w:color w:val="000000"/>
        </w:rPr>
        <w:t xml:space="preserve"> 12.9,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thereby inhibiting acute rejection after LT. </w:t>
      </w:r>
      <w:r>
        <w:rPr>
          <w:rFonts w:ascii="Book Antiqua" w:eastAsia="Book Antiqua" w:hAnsi="Book Antiqua" w:cs="Book Antiqua"/>
          <w:i/>
          <w:iCs/>
          <w:color w:val="000000"/>
        </w:rPr>
        <w:t>In vitro</w:t>
      </w:r>
      <w:r>
        <w:rPr>
          <w:rFonts w:ascii="Book Antiqua" w:eastAsia="Book Antiqua" w:hAnsi="Book Antiqua" w:cs="Book Antiqua"/>
          <w:color w:val="000000"/>
        </w:rPr>
        <w:t>, 5-FU, an end product of CAP metabolism, induced the degradation of the ferritin heavy chain by upregulating nuclear receptor coactivator 4, which caused the accumulation of ferrous ions. It also inhibited nuclear erythroid 2 p45-related factor 2, heme oxygenase-1, and glutathione peroxidase 4, eventually leading to oxidative damage and ferroptosis of T cells.</w:t>
      </w:r>
    </w:p>
    <w:p w14:paraId="633B9170" w14:textId="77777777" w:rsidR="00D03248" w:rsidRDefault="00D03248">
      <w:pPr>
        <w:spacing w:line="360" w:lineRule="auto"/>
        <w:jc w:val="both"/>
        <w:rPr>
          <w:rFonts w:ascii="Book Antiqua" w:hAnsi="Book Antiqua"/>
        </w:rPr>
      </w:pPr>
    </w:p>
    <w:p w14:paraId="7F47627B"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CONCLUSION</w:t>
      </w:r>
    </w:p>
    <w:p w14:paraId="7099FEFE"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Metronomic CAP can suppress acute allograft rejection in rats by triggering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ferroptosis, which makes it an effective immunosuppressive agent after LT.</w:t>
      </w:r>
    </w:p>
    <w:p w14:paraId="5ED84F48" w14:textId="77777777" w:rsidR="00D03248" w:rsidRDefault="00D03248">
      <w:pPr>
        <w:spacing w:line="360" w:lineRule="auto"/>
        <w:jc w:val="both"/>
        <w:rPr>
          <w:rFonts w:ascii="Book Antiqua" w:hAnsi="Book Antiqua"/>
        </w:rPr>
      </w:pPr>
    </w:p>
    <w:p w14:paraId="2B66647C" w14:textId="77777777" w:rsidR="00D03248" w:rsidRDefault="0031688F">
      <w:pPr>
        <w:spacing w:line="360" w:lineRule="auto"/>
        <w:jc w:val="both"/>
        <w:rPr>
          <w:rFonts w:ascii="Book Antiqua" w:hAnsi="Book Antiqua"/>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Capecitabine; Ferroptosis; T Lymphocytes, Immunosuppressive agents; Graft rejection; Liver transplantation</w:t>
      </w:r>
    </w:p>
    <w:p w14:paraId="0DD310F0" w14:textId="77777777" w:rsidR="00F2793B" w:rsidRDefault="00F2793B" w:rsidP="00F2793B"/>
    <w:p w14:paraId="753D732B" w14:textId="77777777" w:rsidR="00F2793B" w:rsidRDefault="00F2793B" w:rsidP="00F2793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1229AF08" w14:textId="77777777" w:rsidR="00D03248" w:rsidRDefault="00D03248">
      <w:pPr>
        <w:spacing w:line="360" w:lineRule="auto"/>
        <w:jc w:val="both"/>
        <w:rPr>
          <w:rFonts w:ascii="Book Antiqua" w:hAnsi="Book Antiqua"/>
        </w:rPr>
      </w:pPr>
    </w:p>
    <w:p w14:paraId="642C9268" w14:textId="77777777" w:rsidR="0029618A" w:rsidRPr="0029618A" w:rsidRDefault="001A76EF" w:rsidP="0029618A">
      <w:pPr>
        <w:spacing w:line="360" w:lineRule="auto"/>
        <w:jc w:val="both"/>
        <w:rPr>
          <w:rFonts w:ascii="Book Antiqua" w:eastAsia="Book Antiqua" w:hAnsi="Book Antiqua" w:cs="Book Antiqua"/>
          <w:color w:val="000000"/>
        </w:rPr>
      </w:pPr>
      <w:r w:rsidRPr="001A76EF">
        <w:rPr>
          <w:rFonts w:ascii="Book Antiqua" w:eastAsia="Book Antiqua" w:hAnsi="Book Antiqua" w:cs="Book Antiqua"/>
          <w:b/>
          <w:color w:val="000000"/>
        </w:rPr>
        <w:t>Citation</w:t>
      </w:r>
      <w:r w:rsidRPr="001A76EF">
        <w:rPr>
          <w:rFonts w:ascii="Book Antiqua" w:hAnsi="Book Antiqua" w:cs="Book Antiqua" w:hint="eastAsia"/>
          <w:b/>
          <w:color w:val="000000"/>
          <w:lang w:eastAsia="zh-CN"/>
        </w:rPr>
        <w:t>:</w:t>
      </w:r>
      <w:r w:rsidRPr="001A76EF">
        <w:rPr>
          <w:rFonts w:ascii="Book Antiqua" w:hAnsi="Book Antiqua" w:cs="Book Antiqua"/>
          <w:b/>
          <w:color w:val="000000"/>
          <w:lang w:eastAsia="zh-CN"/>
        </w:rPr>
        <w:t xml:space="preserve"> </w:t>
      </w:r>
      <w:r w:rsidR="0031688F">
        <w:rPr>
          <w:rFonts w:ascii="Book Antiqua" w:eastAsia="Book Antiqua" w:hAnsi="Book Antiqua" w:cs="Book Antiqua"/>
          <w:color w:val="000000"/>
        </w:rPr>
        <w:t>Wang H, Wang Z</w:t>
      </w:r>
      <w:r w:rsidR="0031688F">
        <w:rPr>
          <w:rFonts w:ascii="Book Antiqua" w:hAnsi="Book Antiqua" w:cs="Book Antiqua" w:hint="eastAsia"/>
          <w:color w:val="000000"/>
          <w:lang w:eastAsia="zh-CN"/>
        </w:rPr>
        <w:t>L</w:t>
      </w:r>
      <w:r w:rsidR="0031688F">
        <w:rPr>
          <w:rFonts w:ascii="Book Antiqua" w:eastAsia="Book Antiqua" w:hAnsi="Book Antiqua" w:cs="Book Antiqua"/>
          <w:color w:val="000000"/>
        </w:rPr>
        <w:t>, Zhang S, Kong D</w:t>
      </w:r>
      <w:r w:rsidR="0031688F">
        <w:rPr>
          <w:rFonts w:ascii="Book Antiqua" w:hAnsi="Book Antiqua" w:cs="Book Antiqua" w:hint="eastAsia"/>
          <w:color w:val="000000"/>
          <w:lang w:eastAsia="zh-CN"/>
        </w:rPr>
        <w:t>J</w:t>
      </w:r>
      <w:r w:rsidR="0031688F">
        <w:rPr>
          <w:rFonts w:ascii="Book Antiqua" w:eastAsia="Book Antiqua" w:hAnsi="Book Antiqua" w:cs="Book Antiqua"/>
          <w:color w:val="000000"/>
        </w:rPr>
        <w:t>, Yang R</w:t>
      </w:r>
      <w:r w:rsidR="0031688F">
        <w:rPr>
          <w:rFonts w:ascii="Book Antiqua" w:hAnsi="Book Antiqua" w:cs="Book Antiqua" w:hint="eastAsia"/>
          <w:color w:val="000000"/>
          <w:lang w:eastAsia="zh-CN"/>
        </w:rPr>
        <w:t>N</w:t>
      </w:r>
      <w:r w:rsidR="0031688F">
        <w:rPr>
          <w:rFonts w:ascii="Book Antiqua" w:eastAsia="Book Antiqua" w:hAnsi="Book Antiqua" w:cs="Book Antiqua"/>
          <w:color w:val="000000"/>
        </w:rPr>
        <w:t>, Cao L, Wang J</w:t>
      </w:r>
      <w:r w:rsidR="0031688F">
        <w:rPr>
          <w:rFonts w:ascii="Book Antiqua" w:hAnsi="Book Antiqua" w:cs="Book Antiqua" w:hint="eastAsia"/>
          <w:color w:val="000000"/>
          <w:lang w:eastAsia="zh-CN"/>
        </w:rPr>
        <w:t>X</w:t>
      </w:r>
      <w:r w:rsidR="0031688F">
        <w:rPr>
          <w:rFonts w:ascii="Book Antiqua" w:eastAsia="Book Antiqua" w:hAnsi="Book Antiqua" w:cs="Book Antiqua"/>
          <w:color w:val="000000"/>
        </w:rPr>
        <w:t>, Yoshida S, Song Z</w:t>
      </w:r>
      <w:r w:rsidR="0031688F">
        <w:rPr>
          <w:rFonts w:ascii="Book Antiqua" w:hAnsi="Book Antiqua" w:cs="Book Antiqua" w:hint="eastAsia"/>
          <w:color w:val="000000"/>
          <w:lang w:eastAsia="zh-CN"/>
        </w:rPr>
        <w:t>L</w:t>
      </w:r>
      <w:r w:rsidR="0031688F">
        <w:rPr>
          <w:rFonts w:ascii="Book Antiqua" w:eastAsia="Book Antiqua" w:hAnsi="Book Antiqua" w:cs="Book Antiqua"/>
          <w:color w:val="000000"/>
        </w:rPr>
        <w:t>, Liu T, Fan S</w:t>
      </w:r>
      <w:r w:rsidR="0031688F">
        <w:rPr>
          <w:rFonts w:ascii="Book Antiqua" w:hAnsi="Book Antiqua" w:cs="Book Antiqua" w:hint="eastAsia"/>
          <w:color w:val="000000"/>
          <w:lang w:eastAsia="zh-CN"/>
        </w:rPr>
        <w:t>L</w:t>
      </w:r>
      <w:r w:rsidR="0031688F">
        <w:rPr>
          <w:rFonts w:ascii="Book Antiqua" w:eastAsia="Book Antiqua" w:hAnsi="Book Antiqua" w:cs="Book Antiqua"/>
          <w:color w:val="000000"/>
        </w:rPr>
        <w:t>, Ren J</w:t>
      </w:r>
      <w:r w:rsidR="0031688F">
        <w:rPr>
          <w:rFonts w:ascii="Book Antiqua" w:hAnsi="Book Antiqua" w:cs="Book Antiqua" w:hint="eastAsia"/>
          <w:color w:val="000000"/>
          <w:lang w:eastAsia="zh-CN"/>
        </w:rPr>
        <w:t>S</w:t>
      </w:r>
      <w:r w:rsidR="0031688F">
        <w:rPr>
          <w:rFonts w:ascii="Book Antiqua" w:eastAsia="Book Antiqua" w:hAnsi="Book Antiqua" w:cs="Book Antiqua"/>
          <w:color w:val="000000"/>
        </w:rPr>
        <w:t>, Li J</w:t>
      </w:r>
      <w:r w:rsidR="0031688F">
        <w:rPr>
          <w:rFonts w:ascii="Book Antiqua" w:hAnsi="Book Antiqua" w:cs="Book Antiqua" w:hint="eastAsia"/>
          <w:color w:val="000000"/>
          <w:lang w:eastAsia="zh-CN"/>
        </w:rPr>
        <w:t>H</w:t>
      </w:r>
      <w:r w:rsidR="0031688F">
        <w:rPr>
          <w:rFonts w:ascii="Book Antiqua" w:eastAsia="Book Antiqua" w:hAnsi="Book Antiqua" w:cs="Book Antiqua"/>
          <w:color w:val="000000"/>
        </w:rPr>
        <w:t>, Shen Z</w:t>
      </w:r>
      <w:r w:rsidR="0031688F">
        <w:rPr>
          <w:rFonts w:ascii="Book Antiqua" w:hAnsi="Book Antiqua" w:cs="Book Antiqua" w:hint="eastAsia"/>
          <w:color w:val="000000"/>
          <w:lang w:eastAsia="zh-CN"/>
        </w:rPr>
        <w:t>Y</w:t>
      </w:r>
      <w:r w:rsidR="0031688F">
        <w:rPr>
          <w:rFonts w:ascii="Book Antiqua" w:eastAsia="Book Antiqua" w:hAnsi="Book Antiqua" w:cs="Book Antiqua"/>
          <w:color w:val="000000"/>
        </w:rPr>
        <w:t xml:space="preserve">, Zheng H. </w:t>
      </w:r>
      <w:r w:rsidR="0031688F">
        <w:rPr>
          <w:rFonts w:ascii="Book Antiqua" w:eastAsia="Book Antiqua" w:hAnsi="Book Antiqua" w:cs="Book Antiqua"/>
          <w:bCs/>
          <w:color w:val="000000"/>
        </w:rPr>
        <w:t xml:space="preserve">Metronomic </w:t>
      </w:r>
      <w:r w:rsidR="0031688F">
        <w:rPr>
          <w:rFonts w:ascii="Book Antiqua" w:hAnsi="Book Antiqua" w:cs="Book Antiqua" w:hint="eastAsia"/>
          <w:bCs/>
          <w:color w:val="000000"/>
          <w:lang w:eastAsia="zh-CN"/>
        </w:rPr>
        <w:t>c</w:t>
      </w:r>
      <w:r w:rsidR="0031688F">
        <w:rPr>
          <w:rFonts w:ascii="Book Antiqua" w:eastAsia="Book Antiqua" w:hAnsi="Book Antiqua" w:cs="Book Antiqua"/>
          <w:bCs/>
          <w:color w:val="000000"/>
        </w:rPr>
        <w:t xml:space="preserve">apecitabine </w:t>
      </w:r>
      <w:r w:rsidR="0031688F">
        <w:rPr>
          <w:rFonts w:ascii="Book Antiqua" w:hAnsi="Book Antiqua" w:cs="Book Antiqua" w:hint="eastAsia"/>
          <w:bCs/>
          <w:color w:val="000000"/>
          <w:lang w:eastAsia="zh-CN"/>
        </w:rPr>
        <w:t>i</w:t>
      </w:r>
      <w:r w:rsidR="0031688F">
        <w:rPr>
          <w:rFonts w:ascii="Book Antiqua" w:eastAsia="Book Antiqua" w:hAnsi="Book Antiqua" w:cs="Book Antiqua"/>
          <w:bCs/>
          <w:color w:val="000000"/>
        </w:rPr>
        <w:t xml:space="preserve">nhibits </w:t>
      </w:r>
      <w:r w:rsidR="0031688F">
        <w:rPr>
          <w:rFonts w:ascii="Book Antiqua" w:hAnsi="Book Antiqua" w:cs="Book Antiqua" w:hint="eastAsia"/>
          <w:bCs/>
          <w:color w:val="000000"/>
          <w:lang w:eastAsia="zh-CN"/>
        </w:rPr>
        <w:t>l</w:t>
      </w:r>
      <w:r w:rsidR="0031688F">
        <w:rPr>
          <w:rFonts w:ascii="Book Antiqua" w:eastAsia="Book Antiqua" w:hAnsi="Book Antiqua" w:cs="Book Antiqua"/>
          <w:bCs/>
          <w:color w:val="000000"/>
        </w:rPr>
        <w:t xml:space="preserve">iver </w:t>
      </w:r>
      <w:r w:rsidR="0031688F">
        <w:rPr>
          <w:rFonts w:ascii="Book Antiqua" w:hAnsi="Book Antiqua" w:cs="Book Antiqua" w:hint="eastAsia"/>
          <w:bCs/>
          <w:color w:val="000000"/>
          <w:lang w:eastAsia="zh-CN"/>
        </w:rPr>
        <w:t>t</w:t>
      </w:r>
      <w:r w:rsidR="0031688F">
        <w:rPr>
          <w:rFonts w:ascii="Book Antiqua" w:eastAsia="Book Antiqua" w:hAnsi="Book Antiqua" w:cs="Book Antiqua"/>
          <w:bCs/>
          <w:color w:val="000000"/>
        </w:rPr>
        <w:t xml:space="preserve">ransplant </w:t>
      </w:r>
      <w:r w:rsidR="0031688F">
        <w:rPr>
          <w:rFonts w:ascii="Book Antiqua" w:hAnsi="Book Antiqua" w:cs="Book Antiqua" w:hint="eastAsia"/>
          <w:bCs/>
          <w:color w:val="000000"/>
          <w:lang w:eastAsia="zh-CN"/>
        </w:rPr>
        <w:t>r</w:t>
      </w:r>
      <w:r w:rsidR="0031688F">
        <w:rPr>
          <w:rFonts w:ascii="Book Antiqua" w:eastAsia="Book Antiqua" w:hAnsi="Book Antiqua" w:cs="Book Antiqua"/>
          <w:bCs/>
          <w:color w:val="000000"/>
        </w:rPr>
        <w:t xml:space="preserve">ejection in </w:t>
      </w:r>
      <w:r w:rsidR="0031688F">
        <w:rPr>
          <w:rFonts w:ascii="Book Antiqua" w:hAnsi="Book Antiqua" w:cs="Book Antiqua" w:hint="eastAsia"/>
          <w:bCs/>
          <w:color w:val="000000"/>
          <w:lang w:eastAsia="zh-CN"/>
        </w:rPr>
        <w:t>r</w:t>
      </w:r>
      <w:r w:rsidR="0031688F">
        <w:rPr>
          <w:rFonts w:ascii="Book Antiqua" w:eastAsia="Book Antiqua" w:hAnsi="Book Antiqua" w:cs="Book Antiqua"/>
          <w:bCs/>
          <w:color w:val="000000"/>
        </w:rPr>
        <w:t xml:space="preserve">ats by </w:t>
      </w:r>
      <w:r w:rsidR="0031688F">
        <w:rPr>
          <w:rFonts w:ascii="Book Antiqua" w:hAnsi="Book Antiqua" w:cs="Book Antiqua" w:hint="eastAsia"/>
          <w:bCs/>
          <w:color w:val="000000"/>
          <w:lang w:eastAsia="zh-CN"/>
        </w:rPr>
        <w:t>t</w:t>
      </w:r>
      <w:r w:rsidR="0031688F">
        <w:rPr>
          <w:rFonts w:ascii="Book Antiqua" w:eastAsia="Book Antiqua" w:hAnsi="Book Antiqua" w:cs="Book Antiqua"/>
          <w:bCs/>
          <w:color w:val="000000"/>
        </w:rPr>
        <w:t xml:space="preserve">riggering </w:t>
      </w:r>
      <w:r w:rsidR="0031688F">
        <w:rPr>
          <w:rFonts w:ascii="Book Antiqua" w:hAnsi="Book Antiqua" w:cs="Book Antiqua" w:hint="eastAsia"/>
          <w:bCs/>
          <w:color w:val="000000"/>
          <w:lang w:eastAsia="zh-CN"/>
        </w:rPr>
        <w:t>r</w:t>
      </w:r>
      <w:r w:rsidR="0031688F">
        <w:rPr>
          <w:rFonts w:ascii="Book Antiqua" w:eastAsia="Book Antiqua" w:hAnsi="Book Antiqua" w:cs="Book Antiqua"/>
          <w:bCs/>
          <w:color w:val="000000"/>
        </w:rPr>
        <w:t xml:space="preserve">ecipients’ T </w:t>
      </w:r>
      <w:r w:rsidR="0031688F">
        <w:rPr>
          <w:rFonts w:ascii="Book Antiqua" w:hAnsi="Book Antiqua" w:cs="Book Antiqua" w:hint="eastAsia"/>
          <w:bCs/>
          <w:color w:val="000000"/>
          <w:lang w:eastAsia="zh-CN"/>
        </w:rPr>
        <w:t>c</w:t>
      </w:r>
      <w:r w:rsidR="0031688F">
        <w:rPr>
          <w:rFonts w:ascii="Book Antiqua" w:eastAsia="Book Antiqua" w:hAnsi="Book Antiqua" w:cs="Book Antiqua"/>
          <w:bCs/>
          <w:color w:val="000000"/>
        </w:rPr>
        <w:t xml:space="preserve">ell </w:t>
      </w:r>
      <w:r w:rsidR="0031688F">
        <w:rPr>
          <w:rFonts w:ascii="Book Antiqua" w:hAnsi="Book Antiqua" w:cs="Book Antiqua" w:hint="eastAsia"/>
          <w:bCs/>
          <w:color w:val="000000"/>
          <w:lang w:eastAsia="zh-CN"/>
        </w:rPr>
        <w:t>f</w:t>
      </w:r>
      <w:r w:rsidR="0031688F">
        <w:rPr>
          <w:rFonts w:ascii="Book Antiqua" w:eastAsia="Book Antiqua" w:hAnsi="Book Antiqua" w:cs="Book Antiqua"/>
          <w:bCs/>
          <w:color w:val="000000"/>
        </w:rPr>
        <w:t>erroptosis</w:t>
      </w:r>
      <w:r w:rsidR="0031688F">
        <w:rPr>
          <w:rFonts w:ascii="Book Antiqua" w:eastAsia="Book Antiqua" w:hAnsi="Book Antiqua" w:cs="Book Antiqua"/>
          <w:color w:val="000000"/>
        </w:rPr>
        <w:t xml:space="preserve">. </w:t>
      </w:r>
      <w:r w:rsidR="0031688F">
        <w:rPr>
          <w:rFonts w:ascii="Book Antiqua" w:eastAsia="Book Antiqua" w:hAnsi="Book Antiqua" w:cs="Book Antiqua"/>
          <w:i/>
          <w:iCs/>
          <w:color w:val="000000"/>
        </w:rPr>
        <w:t>World J Gastroenterol</w:t>
      </w:r>
      <w:r w:rsidR="0031688F">
        <w:rPr>
          <w:rFonts w:ascii="Book Antiqua" w:eastAsia="Book Antiqua" w:hAnsi="Book Antiqua" w:cs="Book Antiqua"/>
          <w:color w:val="000000"/>
        </w:rPr>
        <w:t xml:space="preserve"> </w:t>
      </w:r>
    </w:p>
    <w:p w14:paraId="1CF98B15" w14:textId="0DDDADD1" w:rsidR="0029618A" w:rsidRPr="0029618A" w:rsidRDefault="0029618A" w:rsidP="0029618A">
      <w:pPr>
        <w:spacing w:line="360" w:lineRule="auto"/>
        <w:jc w:val="both"/>
        <w:rPr>
          <w:rFonts w:ascii="Book Antiqua" w:eastAsia="Book Antiqua" w:hAnsi="Book Antiqua" w:cs="Book Antiqua"/>
          <w:color w:val="000000"/>
        </w:rPr>
      </w:pPr>
      <w:r w:rsidRPr="0029618A">
        <w:rPr>
          <w:rFonts w:ascii="Book Antiqua" w:eastAsia="Book Antiqua" w:hAnsi="Book Antiqua" w:cs="Book Antiqua"/>
          <w:color w:val="000000"/>
        </w:rPr>
        <w:t xml:space="preserve">2023; 29(20): </w:t>
      </w:r>
      <w:r w:rsidR="00F74D2A" w:rsidRPr="00F74D2A">
        <w:rPr>
          <w:rFonts w:ascii="Book Antiqua" w:eastAsia="Book Antiqua" w:hAnsi="Book Antiqua" w:cs="Book Antiqua"/>
          <w:color w:val="000000"/>
        </w:rPr>
        <w:t>3084-3102</w:t>
      </w:r>
    </w:p>
    <w:p w14:paraId="2C595C4D" w14:textId="737C355E" w:rsidR="0029618A" w:rsidRPr="0029618A" w:rsidRDefault="0029618A" w:rsidP="0029618A">
      <w:pPr>
        <w:spacing w:line="360" w:lineRule="auto"/>
        <w:jc w:val="both"/>
        <w:rPr>
          <w:rFonts w:ascii="Book Antiqua" w:eastAsia="Book Antiqua" w:hAnsi="Book Antiqua" w:cs="Book Antiqua"/>
          <w:color w:val="000000"/>
        </w:rPr>
      </w:pPr>
      <w:r w:rsidRPr="00952802">
        <w:rPr>
          <w:rFonts w:ascii="Book Antiqua" w:eastAsia="Book Antiqua" w:hAnsi="Book Antiqua" w:cs="Book Antiqua"/>
          <w:b/>
          <w:color w:val="000000"/>
        </w:rPr>
        <w:t>URL:</w:t>
      </w:r>
      <w:r w:rsidRPr="0029618A">
        <w:rPr>
          <w:rFonts w:ascii="Book Antiqua" w:eastAsia="Book Antiqua" w:hAnsi="Book Antiqua" w:cs="Book Antiqua"/>
          <w:color w:val="000000"/>
        </w:rPr>
        <w:t xml:space="preserve"> https://www.wjgnet.com/1007-9327/full/v29/i20/</w:t>
      </w:r>
      <w:r w:rsidR="00F74D2A" w:rsidRPr="00F74D2A">
        <w:rPr>
          <w:rFonts w:ascii="Book Antiqua" w:eastAsia="Book Antiqua" w:hAnsi="Book Antiqua" w:cs="Book Antiqua"/>
          <w:color w:val="000000"/>
        </w:rPr>
        <w:t>3084</w:t>
      </w:r>
      <w:r w:rsidRPr="0029618A">
        <w:rPr>
          <w:rFonts w:ascii="Book Antiqua" w:eastAsia="Book Antiqua" w:hAnsi="Book Antiqua" w:cs="Book Antiqua"/>
          <w:color w:val="000000"/>
        </w:rPr>
        <w:t>.htm</w:t>
      </w:r>
    </w:p>
    <w:p w14:paraId="7B36CE3C" w14:textId="0E989DCE" w:rsidR="00D03248" w:rsidRDefault="0029618A" w:rsidP="00F74D2A">
      <w:pPr>
        <w:spacing w:line="360" w:lineRule="auto"/>
        <w:jc w:val="both"/>
        <w:rPr>
          <w:rFonts w:ascii="Book Antiqua" w:hAnsi="Book Antiqua"/>
        </w:rPr>
      </w:pPr>
      <w:r w:rsidRPr="00952802">
        <w:rPr>
          <w:rFonts w:ascii="Book Antiqua" w:eastAsia="Book Antiqua" w:hAnsi="Book Antiqua" w:cs="Book Antiqua"/>
          <w:b/>
          <w:color w:val="000000"/>
        </w:rPr>
        <w:t>DOI:</w:t>
      </w:r>
      <w:r w:rsidRPr="0029618A">
        <w:rPr>
          <w:rFonts w:ascii="Book Antiqua" w:eastAsia="Book Antiqua" w:hAnsi="Book Antiqua" w:cs="Book Antiqua"/>
          <w:color w:val="000000"/>
        </w:rPr>
        <w:t xml:space="preserve"> https://dx.doi.org/10.3748/wjg.v</w:t>
      </w:r>
      <w:r w:rsidR="00A02AC8">
        <w:rPr>
          <w:rFonts w:ascii="Book Antiqua" w:eastAsia="Book Antiqua" w:hAnsi="Book Antiqua" w:cs="Book Antiqua"/>
          <w:color w:val="000000"/>
        </w:rPr>
        <w:t>29</w:t>
      </w:r>
      <w:r w:rsidRPr="0029618A">
        <w:rPr>
          <w:rFonts w:ascii="Book Antiqua" w:eastAsia="Book Antiqua" w:hAnsi="Book Antiqua" w:cs="Book Antiqua"/>
          <w:color w:val="000000"/>
        </w:rPr>
        <w:t>.i</w:t>
      </w:r>
      <w:r w:rsidR="00A02AC8">
        <w:rPr>
          <w:rFonts w:ascii="Book Antiqua" w:eastAsia="Book Antiqua" w:hAnsi="Book Antiqua" w:cs="Book Antiqua"/>
          <w:color w:val="000000"/>
        </w:rPr>
        <w:t>2</w:t>
      </w:r>
      <w:r w:rsidRPr="0029618A">
        <w:rPr>
          <w:rFonts w:ascii="Book Antiqua" w:eastAsia="Book Antiqua" w:hAnsi="Book Antiqua" w:cs="Book Antiqua"/>
          <w:color w:val="000000"/>
        </w:rPr>
        <w:t>0.</w:t>
      </w:r>
      <w:r w:rsidR="00F74D2A" w:rsidRPr="00F74D2A">
        <w:rPr>
          <w:rFonts w:ascii="Book Antiqua" w:eastAsia="Book Antiqua" w:hAnsi="Book Antiqua" w:cs="Book Antiqua"/>
          <w:color w:val="000000"/>
        </w:rPr>
        <w:t>3084</w:t>
      </w:r>
    </w:p>
    <w:p w14:paraId="0092D2F4" w14:textId="77777777" w:rsidR="00D03248" w:rsidRDefault="00D03248">
      <w:pPr>
        <w:spacing w:line="360" w:lineRule="auto"/>
        <w:jc w:val="both"/>
        <w:rPr>
          <w:rFonts w:ascii="Book Antiqua" w:hAnsi="Book Antiqua"/>
        </w:rPr>
      </w:pPr>
    </w:p>
    <w:p w14:paraId="1BB3978F"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Our studies proved that metronomic capecitabine (CAP) alleviated the acute rejection after transplantation in rats without the common side effect of myelosuppression. T cell ferroptosis is the underlying mechanism behind the </w:t>
      </w:r>
      <w:r>
        <w:rPr>
          <w:rFonts w:ascii="Book Antiqua" w:eastAsia="Book Antiqua" w:hAnsi="Book Antiqua" w:cs="Book Antiqua"/>
          <w:color w:val="000000"/>
        </w:rPr>
        <w:lastRenderedPageBreak/>
        <w:t>antirejection effect of CAP, which can induce cell ferrous ions overload and suppress the nuclear erythroid 2 p45-related factor 2, heme oxygenase-1/glutathione peroxidase 4 antioxidant systems, thereby directly increasing the levels of intracellular reactive oxygen species, and leading to severe oxidative damage in T cells. These results revealed a new mechanism of CAP-induced T cell programmed death and suggested the possibility of using CAP as an immunosuppressant after transplantation.</w:t>
      </w:r>
    </w:p>
    <w:p w14:paraId="53CA1647" w14:textId="77777777" w:rsidR="00D03248" w:rsidRDefault="00D03248">
      <w:pPr>
        <w:spacing w:line="360" w:lineRule="auto"/>
        <w:jc w:val="both"/>
        <w:rPr>
          <w:rFonts w:ascii="Book Antiqua" w:hAnsi="Book Antiqua"/>
        </w:rPr>
      </w:pPr>
    </w:p>
    <w:p w14:paraId="0AC57228" w14:textId="77777777" w:rsidR="00D03248" w:rsidRDefault="0031688F">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3B927EB"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Recurrence of hepatocellular carcinoma (HCC) represents a serious issue after liver transplantation (LT), and is closely related to the usage of immunosuppressant drugs</w:t>
      </w:r>
      <w:r>
        <w:rPr>
          <w:rFonts w:ascii="Book Antiqua" w:eastAsia="Book Antiqua" w:hAnsi="Book Antiqua" w:cs="Book Antiqua"/>
          <w:color w:val="000000"/>
          <w:vertAlign w:val="superscript"/>
        </w:rPr>
        <w:t>[1-3]</w:t>
      </w:r>
      <w:r>
        <w:rPr>
          <w:rFonts w:ascii="Book Antiqua" w:eastAsia="Book Antiqua" w:hAnsi="Book Antiqua" w:cs="Book Antiqua"/>
          <w:color w:val="000000"/>
        </w:rPr>
        <w:t>. As a classic antimetabolic chemotherapeutic agent, capecitabine (CAP) is widely used in the treatment of cancers and has also shown good effects on HCC</w:t>
      </w:r>
      <w:r>
        <w:rPr>
          <w:rFonts w:ascii="Book Antiqua" w:eastAsia="Book Antiqua" w:hAnsi="Book Antiqua" w:cs="Book Antiqua"/>
          <w:color w:val="000000"/>
          <w:vertAlign w:val="superscript"/>
        </w:rPr>
        <w:t>[4,5]</w:t>
      </w:r>
      <w:r>
        <w:rPr>
          <w:rFonts w:ascii="Book Antiqua" w:eastAsia="Book Antiqua" w:hAnsi="Book Antiqua" w:cs="Book Antiqua"/>
          <w:color w:val="000000"/>
        </w:rPr>
        <w:t>. Metronomic CAP is suitable for long-term oral administration with low adverse effects and without sacrificing treatment efficacy</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In patients with recurrent liver cancer after LT, Ravaioli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showed that metronomic CAP achieved similar efficacy to sorafenib, a protein kinase inhibitor approved for HCC but with a high incidence of adverse effects</w:t>
      </w:r>
      <w:r>
        <w:rPr>
          <w:rFonts w:ascii="Book Antiqua" w:eastAsia="Book Antiqua" w:hAnsi="Book Antiqua" w:cs="Book Antiqua"/>
          <w:color w:val="000000"/>
          <w:vertAlign w:val="superscript"/>
        </w:rPr>
        <w:t>[9]</w:t>
      </w:r>
      <w:r>
        <w:rPr>
          <w:rFonts w:ascii="Book Antiqua" w:eastAsia="Book Antiqua" w:hAnsi="Book Antiqua" w:cs="Book Antiqua"/>
          <w:color w:val="000000"/>
        </w:rPr>
        <w:t>. Interestingly, no acute rejection was seen, suggesting that CAP may have both immunosuppressive and anticarcinogenic effects. CAP is a fluoropyrimidine prodrug that is metabolized in a three-step process to 5-fluorouracil (5-FU)</w:t>
      </w:r>
      <w:r>
        <w:rPr>
          <w:rFonts w:ascii="Book Antiqua" w:eastAsia="Book Antiqua" w:hAnsi="Book Antiqua" w:cs="Book Antiqua"/>
          <w:color w:val="000000"/>
          <w:vertAlign w:val="superscript"/>
        </w:rPr>
        <w:t>[10]</w:t>
      </w:r>
      <w:r>
        <w:rPr>
          <w:rFonts w:ascii="Book Antiqua" w:eastAsia="Book Antiqua" w:hAnsi="Book Antiqua" w:cs="Book Antiqua"/>
          <w:color w:val="000000"/>
        </w:rPr>
        <w:t>. The last step requires thymidine phosphorylase (TP), the distribution of which determines CAP distribution. This partially explains its different pharmacological characteristics compared to 5-FU. Because TP is highly expressed in cancer cells and lymphocytes</w:t>
      </w:r>
      <w:r>
        <w:rPr>
          <w:rFonts w:ascii="Book Antiqua" w:eastAsia="Book Antiqua" w:hAnsi="Book Antiqua" w:cs="Book Antiqua"/>
          <w:color w:val="000000"/>
          <w:vertAlign w:val="superscript"/>
        </w:rPr>
        <w:t>[11,12]</w:t>
      </w:r>
      <w:r>
        <w:rPr>
          <w:rFonts w:ascii="Book Antiqua" w:eastAsia="Book Antiqua" w:hAnsi="Book Antiqua" w:cs="Book Antiqua"/>
          <w:color w:val="000000"/>
        </w:rPr>
        <w:t>, the administration of CAP to LT patients with HCC may increase tumor killing while preventing graft rejection. In preliminary work, we found that the differential expression of TP avoided CAP’s side effects of myelosuppression and suppressed normal mouse immune responses by inducing T cell apoptosis</w:t>
      </w:r>
      <w:r>
        <w:rPr>
          <w:rFonts w:ascii="Book Antiqua" w:eastAsia="Book Antiqua" w:hAnsi="Book Antiqua" w:cs="Book Antiqua"/>
          <w:color w:val="000000"/>
          <w:vertAlign w:val="superscript"/>
        </w:rPr>
        <w:t>[13]</w:t>
      </w:r>
      <w:r>
        <w:rPr>
          <w:rFonts w:ascii="Book Antiqua" w:eastAsia="Book Antiqua" w:hAnsi="Book Antiqua" w:cs="Book Antiqua"/>
          <w:color w:val="000000"/>
        </w:rPr>
        <w:t>. However, it is not clear what effect CAP has during the immune activation that follows transplantation, which is key to its use as an immunosuppressant.</w:t>
      </w:r>
    </w:p>
    <w:p w14:paraId="013D55D7" w14:textId="77777777" w:rsidR="00D03248" w:rsidRDefault="0031688F">
      <w:pPr>
        <w:spacing w:line="360" w:lineRule="auto"/>
        <w:ind w:firstLine="420"/>
        <w:jc w:val="both"/>
        <w:rPr>
          <w:rFonts w:ascii="Book Antiqua" w:hAnsi="Book Antiqua"/>
        </w:rPr>
      </w:pPr>
      <w:r>
        <w:rPr>
          <w:rFonts w:ascii="Book Antiqua" w:eastAsia="Book Antiqua" w:hAnsi="Book Antiqua" w:cs="Book Antiqua"/>
          <w:color w:val="000000"/>
        </w:rPr>
        <w:lastRenderedPageBreak/>
        <w:t>Ferroptosis is a newly defined nonapoptotic cell death that occurs with iron overload and lethal levels of lipid peroxidation</w:t>
      </w:r>
      <w:r>
        <w:rPr>
          <w:rFonts w:ascii="Book Antiqua" w:eastAsia="Book Antiqua" w:hAnsi="Book Antiqua" w:cs="Book Antiqua"/>
          <w:color w:val="000000"/>
          <w:vertAlign w:val="superscript"/>
        </w:rPr>
        <w:t>[14-16]</w:t>
      </w:r>
      <w:r>
        <w:rPr>
          <w:rFonts w:ascii="Book Antiqua" w:eastAsia="Book Antiqua" w:hAnsi="Book Antiqua" w:cs="Book Antiqua"/>
          <w:color w:val="000000"/>
        </w:rPr>
        <w:t>. Ferroptosis is tightly regulated by iron metabolism, while ferritin is the major intracellular iron storage protein complex. Ferritinophagy activation depends on nuclear receptor coactivator 4 (NCOA4) to transport ferritin to the autophagosome and degrade ferritin to increase intracellular iron levels</w:t>
      </w:r>
      <w:r>
        <w:rPr>
          <w:rFonts w:ascii="Book Antiqua" w:eastAsia="Book Antiqua" w:hAnsi="Book Antiqua" w:cs="Book Antiqua"/>
          <w:color w:val="000000"/>
          <w:vertAlign w:val="superscript"/>
        </w:rPr>
        <w:t>[17,18]</w:t>
      </w:r>
      <w:r>
        <w:rPr>
          <w:rFonts w:ascii="Book Antiqua" w:eastAsia="Book Antiqua" w:hAnsi="Book Antiqua" w:cs="Book Antiqua"/>
          <w:color w:val="000000"/>
        </w:rPr>
        <w:t>. Subsequently, free ferrous ions overload results in oxidative injury by the Fenton reaction. Although the regulatory mechanisms of ferroptosis are poorly understood, some molecules with antioxidant effects may be implicated, such as nuclear erythroid 2 p45-related factor 2 (Nrf2)</w:t>
      </w:r>
      <w:r>
        <w:rPr>
          <w:rFonts w:ascii="Book Antiqua" w:eastAsia="Book Antiqua" w:hAnsi="Book Antiqua" w:cs="Book Antiqua"/>
          <w:color w:val="000000"/>
          <w:vertAlign w:val="superscript"/>
        </w:rPr>
        <w:t>[19,20]</w:t>
      </w:r>
      <w:r>
        <w:rPr>
          <w:rFonts w:ascii="Book Antiqua" w:eastAsia="Book Antiqua" w:hAnsi="Book Antiqua" w:cs="Book Antiqua"/>
          <w:color w:val="000000"/>
        </w:rPr>
        <w:t>, heme oxygenase-1 (HO-1)</w:t>
      </w:r>
      <w:r>
        <w:rPr>
          <w:rFonts w:ascii="Book Antiqua" w:eastAsia="Book Antiqua" w:hAnsi="Book Antiqua" w:cs="Book Antiqua"/>
          <w:color w:val="000000"/>
          <w:vertAlign w:val="superscript"/>
        </w:rPr>
        <w:t>[21]</w:t>
      </w:r>
      <w:r>
        <w:rPr>
          <w:rFonts w:ascii="Book Antiqua" w:eastAsia="Book Antiqua" w:hAnsi="Book Antiqua" w:cs="Book Antiqua"/>
          <w:color w:val="000000"/>
        </w:rPr>
        <w:t>, and glutathione peroxidase 4 (GPX4)</w:t>
      </w:r>
      <w:r>
        <w:rPr>
          <w:rFonts w:ascii="Book Antiqua" w:eastAsia="Book Antiqua" w:hAnsi="Book Antiqua" w:cs="Book Antiqua"/>
          <w:color w:val="000000"/>
          <w:vertAlign w:val="superscript"/>
        </w:rPr>
        <w:t>[22]</w:t>
      </w:r>
      <w:r>
        <w:rPr>
          <w:rFonts w:ascii="Book Antiqua" w:eastAsia="Book Antiqua" w:hAnsi="Book Antiqua" w:cs="Book Antiqua"/>
          <w:color w:val="000000"/>
        </w:rPr>
        <w:t>. Overall, free ferrous ions result in reactive oxygen species (ROS) generation and oxidative injury, whereas the Nrf2-HO-1/GPX4 antioxidative system protects cells from oxidative damage induced by ferroptosis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In mouse models and </w:t>
      </w:r>
      <w:r>
        <w:rPr>
          <w:rFonts w:ascii="Book Antiqua" w:eastAsia="Book Antiqua" w:hAnsi="Book Antiqua" w:cs="Book Antiqua"/>
          <w:i/>
          <w:iCs/>
          <w:color w:val="000000"/>
        </w:rPr>
        <w:t>in vitro</w:t>
      </w:r>
      <w:r>
        <w:rPr>
          <w:rFonts w:ascii="Book Antiqua" w:eastAsia="Book Antiqua" w:hAnsi="Book Antiqua" w:cs="Book Antiqua"/>
          <w:color w:val="000000"/>
        </w:rPr>
        <w:t>, 5-FU mediates injuries in intestinal mucosal cells, such as those occurring during chemotherapy, by reducing Nrf2 expression and increasing ferroptosis</w:t>
      </w:r>
      <w:r>
        <w:rPr>
          <w:rFonts w:ascii="Book Antiqua" w:eastAsia="Book Antiqua" w:hAnsi="Book Antiqua" w:cs="Book Antiqua"/>
          <w:color w:val="000000"/>
          <w:vertAlign w:val="superscript"/>
        </w:rPr>
        <w:t>[24]</w:t>
      </w:r>
      <w:r>
        <w:rPr>
          <w:rFonts w:ascii="Book Antiqua" w:eastAsia="Book Antiqua" w:hAnsi="Book Antiqua" w:cs="Book Antiqua"/>
          <w:color w:val="000000"/>
        </w:rPr>
        <w:t>. 5-FU also leads to ROS and iron homeostasis-dependent ferroptosis in myocardial cells by reducing the expression of GPX4 and ferritin heavy chain (FTH1) but enhancing the expression of transferrin receptor 1</w:t>
      </w:r>
      <w:r>
        <w:rPr>
          <w:rFonts w:ascii="Book Antiqua" w:eastAsia="Book Antiqua" w:hAnsi="Book Antiqua" w:cs="Book Antiqua"/>
          <w:color w:val="000000"/>
          <w:vertAlign w:val="superscript"/>
        </w:rPr>
        <w:t>[25]</w:t>
      </w:r>
      <w:r>
        <w:rPr>
          <w:rFonts w:ascii="Book Antiqua" w:eastAsia="Book Antiqua" w:hAnsi="Book Antiqua" w:cs="Book Antiqua"/>
          <w:color w:val="000000"/>
        </w:rPr>
        <w:t>. Thus, mechanistically, ferroptosis plays an important role in the cell-killing effect of 5-FU.</w:t>
      </w:r>
    </w:p>
    <w:p w14:paraId="2912C910" w14:textId="77777777" w:rsidR="00D03248" w:rsidRDefault="0031688F">
      <w:pPr>
        <w:spacing w:line="360" w:lineRule="auto"/>
        <w:ind w:firstLine="420"/>
        <w:jc w:val="both"/>
        <w:rPr>
          <w:rFonts w:ascii="Book Antiqua" w:hAnsi="Book Antiqua"/>
        </w:rPr>
      </w:pPr>
      <w:r>
        <w:rPr>
          <w:rFonts w:ascii="Book Antiqua" w:eastAsia="Book Antiqua" w:hAnsi="Book Antiqua" w:cs="Book Antiqua"/>
          <w:color w:val="000000"/>
        </w:rPr>
        <w:t>Our previous study indicated that metronomic CAP can increase ROS levels and reduce mitochondrial membrane potential (MMP), thus affecting the immune system of mice</w:t>
      </w:r>
      <w:r>
        <w:rPr>
          <w:rFonts w:ascii="Book Antiqua" w:eastAsia="Book Antiqua" w:hAnsi="Book Antiqua" w:cs="Book Antiqua"/>
          <w:color w:val="000000"/>
          <w:vertAlign w:val="superscript"/>
        </w:rPr>
        <w:t>[13]</w:t>
      </w:r>
      <w:r>
        <w:rPr>
          <w:rFonts w:ascii="Book Antiqua" w:eastAsia="Book Antiqua" w:hAnsi="Book Antiqua" w:cs="Book Antiqua"/>
          <w:color w:val="000000"/>
        </w:rPr>
        <w:t>. Those results prompted us to further explore whether ferroptosis plays a significant role in 5-FU-induced immunosuppression. In this study, we investigated the effect of metronomic CAP on acute rejection in a rat model of LT, and determined how ferroptosis affects 5-FU-induced immunosuppression. Elucidating the possible mechanism of CAP as an immunosuppressant with anticancer effects is of great relevance to optimize drug regimens for HCC patients after LT in the future.</w:t>
      </w:r>
    </w:p>
    <w:p w14:paraId="50B827E1" w14:textId="77777777" w:rsidR="00D03248" w:rsidRDefault="00D03248">
      <w:pPr>
        <w:spacing w:line="360" w:lineRule="auto"/>
        <w:ind w:firstLine="420"/>
        <w:jc w:val="both"/>
        <w:rPr>
          <w:rFonts w:ascii="Book Antiqua" w:hAnsi="Book Antiqua"/>
        </w:rPr>
      </w:pPr>
    </w:p>
    <w:p w14:paraId="43DEC981" w14:textId="77777777" w:rsidR="00D03248" w:rsidRDefault="0031688F">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54E52517"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Animals</w:t>
      </w:r>
    </w:p>
    <w:p w14:paraId="75CCCB47"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lastRenderedPageBreak/>
        <w:t>Specific-pathogen-free male Lewis rats (donors) and male Brown Norway rats (recipients) aged 8–10 wk and weighing 250–300 g were obtained from Beijing Vital River Laboratory Animal Technology Co. Ltd. (Beijing, China). The rats were housed in a standard room, and fed filtered clean water and standard laboratory food. To acclimatize, the rats were housed 1 wk before transplantation. According to different postoperative medication regimens, the rats were randomized to untreated control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(CON) (0.9% saline, ig) and metronomic capecitabine-treated (MET) groups (CAP 100 mg/kg/d, ig). A total of 12 recipients (6 rats/group) were used for postoperative specimen collection at 7 d after transplantation, and another 12 recipients (6 rats/group) were used to observe survival. All invasive procedures and specimen collection were performed under isoflurane anesthesia to minimize pain or discomfort.</w:t>
      </w:r>
    </w:p>
    <w:p w14:paraId="4C9F6086" w14:textId="77777777" w:rsidR="00D03248" w:rsidRDefault="00D03248">
      <w:pPr>
        <w:spacing w:line="360" w:lineRule="auto"/>
        <w:jc w:val="both"/>
        <w:rPr>
          <w:rFonts w:ascii="Book Antiqua" w:hAnsi="Book Antiqua"/>
        </w:rPr>
      </w:pPr>
    </w:p>
    <w:p w14:paraId="1946C6BB"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Orthotopic LT in rats</w:t>
      </w:r>
    </w:p>
    <w:p w14:paraId="4B42A370"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Anesthesia was induced with isoflurane and orthotopic LT was performed based on Kamada’s two-cuff method. The anhepatic phase was controlled within 26 min</w:t>
      </w:r>
      <w:r>
        <w:rPr>
          <w:rFonts w:ascii="Book Antiqua" w:eastAsia="Book Antiqua" w:hAnsi="Book Antiqua" w:cs="Book Antiqua"/>
          <w:color w:val="000000"/>
          <w:vertAlign w:val="superscript"/>
        </w:rPr>
        <w:t>[26,27]</w:t>
      </w:r>
      <w:r>
        <w:rPr>
          <w:rFonts w:ascii="Book Antiqua" w:eastAsia="Book Antiqua" w:hAnsi="Book Antiqua" w:cs="Book Antiqua"/>
          <w:color w:val="000000"/>
        </w:rPr>
        <w:t>. After transplantation, the rats received 2 mL Ringer’s lactate to replenish blood volume and were rewarmed in an incubator at 37</w:t>
      </w:r>
      <w:r>
        <w:rPr>
          <w:rFonts w:ascii="Book Antiqua" w:hAnsi="Book Antiqua" w:cs="Book Antiqua" w:hint="eastAsia"/>
          <w:color w:val="000000"/>
          <w:lang w:eastAsia="zh-CN"/>
        </w:rPr>
        <w:t xml:space="preserve"> </w:t>
      </w:r>
      <w:r w:rsidR="00303968">
        <w:rPr>
          <w:rFonts w:ascii="宋体" w:eastAsia="宋体" w:hAnsi="宋体" w:cs="宋体" w:hint="eastAsia"/>
          <w:color w:val="000000"/>
        </w:rPr>
        <w:t>℃</w:t>
      </w:r>
      <w:r>
        <w:rPr>
          <w:rFonts w:ascii="Book Antiqua" w:eastAsia="Book Antiqua" w:hAnsi="Book Antiqua" w:cs="Book Antiqua"/>
          <w:color w:val="000000"/>
        </w:rPr>
        <w:t xml:space="preserve"> for 30 min. On day 7 after LT, an overdose of pentobarbital (150 mg/kg) was injected intraperitoneally for euthanasia. Femur, blood, spleen, and the transplanted liver were collected for further examination.</w:t>
      </w:r>
    </w:p>
    <w:p w14:paraId="5684DFAB" w14:textId="77777777" w:rsidR="00D03248" w:rsidRDefault="00D03248">
      <w:pPr>
        <w:spacing w:line="360" w:lineRule="auto"/>
        <w:jc w:val="both"/>
        <w:rPr>
          <w:rFonts w:ascii="Book Antiqua" w:hAnsi="Book Antiqua"/>
        </w:rPr>
      </w:pPr>
    </w:p>
    <w:p w14:paraId="4285971C"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Routine blood tests</w:t>
      </w:r>
    </w:p>
    <w:p w14:paraId="1A02EDE8"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Whole blood was used for blood routine tests 7 d after LT. These were performed with an automatic hematology analyzer (BC-2800Vet; Mindray, Shenzhen, China).</w:t>
      </w:r>
    </w:p>
    <w:p w14:paraId="7D6DA3DC" w14:textId="77777777" w:rsidR="00D03248" w:rsidRDefault="00D03248">
      <w:pPr>
        <w:spacing w:line="360" w:lineRule="auto"/>
        <w:jc w:val="both"/>
        <w:rPr>
          <w:rFonts w:ascii="Book Antiqua" w:hAnsi="Book Antiqua"/>
        </w:rPr>
      </w:pPr>
    </w:p>
    <w:p w14:paraId="7234332B"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Peripheral blood lymphocyte CD3</w:t>
      </w:r>
      <w:r>
        <w:rPr>
          <w:rFonts w:ascii="Book Antiqua" w:eastAsia="Book Antiqua" w:hAnsi="Book Antiqua" w:cs="Book Antiqua"/>
          <w:b/>
          <w:i/>
          <w:iCs/>
          <w:color w:val="000000"/>
          <w:vertAlign w:val="superscript"/>
        </w:rPr>
        <w:t xml:space="preserve">+ </w:t>
      </w:r>
      <w:r>
        <w:rPr>
          <w:rFonts w:ascii="Book Antiqua" w:eastAsia="Book Antiqua" w:hAnsi="Book Antiqua" w:cs="Book Antiqua"/>
          <w:b/>
          <w:i/>
          <w:iCs/>
          <w:color w:val="000000"/>
        </w:rPr>
        <w:t>T cell count</w:t>
      </w:r>
    </w:p>
    <w:p w14:paraId="579BE963"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Peripheral blood lymphocyte CD3</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 cell count was obtained based on peripheral blood lymphocyte count and flow cytometric analysis of the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ratio.</w:t>
      </w:r>
    </w:p>
    <w:p w14:paraId="1355630B" w14:textId="77777777" w:rsidR="00D03248" w:rsidRDefault="00D03248">
      <w:pPr>
        <w:spacing w:line="360" w:lineRule="auto"/>
        <w:jc w:val="both"/>
        <w:rPr>
          <w:rFonts w:ascii="Book Antiqua" w:hAnsi="Book Antiqua"/>
        </w:rPr>
      </w:pPr>
    </w:p>
    <w:p w14:paraId="4DC55BEF"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Liver function assay</w:t>
      </w:r>
    </w:p>
    <w:p w14:paraId="2764CFD8"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lastRenderedPageBreak/>
        <w:t>Serum levels of aspartate aminotransferase (AST), alanine aminotransferase (ALT), total bilirubin (TBIL), and direct bilirubin (DBIL) were measured using kits (Mindray, Shenzhen, China) and read with an automatic biochemical analyzer (BS-240VET; Mindray, Shenzhen, China).</w:t>
      </w:r>
    </w:p>
    <w:p w14:paraId="61865A26" w14:textId="77777777" w:rsidR="00D03248" w:rsidRDefault="00D03248">
      <w:pPr>
        <w:spacing w:line="360" w:lineRule="auto"/>
        <w:jc w:val="both"/>
        <w:rPr>
          <w:rFonts w:ascii="Book Antiqua" w:hAnsi="Book Antiqua"/>
        </w:rPr>
      </w:pPr>
    </w:p>
    <w:p w14:paraId="7A3D44FC"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Flow cytometric analysis</w:t>
      </w:r>
    </w:p>
    <w:p w14:paraId="1B8C67F1"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Rat peripheral blood mononuclear cells were isolated by gradient centrifugation with a rat peripheral blood mononuclear cell separation solution (Solarbio, Beijing, China). Anti-CD3 antibodies (APC anti-rat CD3 Antibody, Cat# 201414; RRID: AB_2563366 BioLegend, San Diego, CA, U</w:t>
      </w:r>
      <w:r>
        <w:rPr>
          <w:rFonts w:ascii="Book Antiqua" w:hAnsi="Book Antiqua" w:cs="Book Antiqua" w:hint="eastAsia"/>
          <w:color w:val="000000"/>
          <w:lang w:eastAsia="zh-CN"/>
        </w:rPr>
        <w:t>nited States</w:t>
      </w:r>
      <w:r>
        <w:rPr>
          <w:rFonts w:ascii="Book Antiqua" w:eastAsia="Book Antiqua" w:hAnsi="Book Antiqua" w:cs="Book Antiqua"/>
          <w:color w:val="000000"/>
        </w:rPr>
        <w:t>) were used for extracellular staining to identify CD3-positive lymphocytes. Flow cytometry was performed using the Accuri C6 Plus flow cytometry (BD Biosciences, Palo Alto, CA, U</w:t>
      </w:r>
      <w:r>
        <w:rPr>
          <w:rFonts w:ascii="Book Antiqua" w:hAnsi="Book Antiqua" w:cs="Book Antiqua" w:hint="eastAsia"/>
          <w:color w:val="000000"/>
          <w:lang w:eastAsia="zh-CN"/>
        </w:rPr>
        <w:t>nited States</w:t>
      </w:r>
      <w:r>
        <w:rPr>
          <w:rFonts w:ascii="Book Antiqua" w:eastAsia="Book Antiqua" w:hAnsi="Book Antiqua" w:cs="Book Antiqua"/>
          <w:color w:val="000000"/>
        </w:rPr>
        <w:t>), and FlowJo software (TreeStar, Woodburn, OR, U</w:t>
      </w:r>
      <w:r>
        <w:rPr>
          <w:rFonts w:ascii="Book Antiqua" w:hAnsi="Book Antiqua" w:cs="Book Antiqua" w:hint="eastAsia"/>
          <w:color w:val="000000"/>
          <w:lang w:eastAsia="zh-CN"/>
        </w:rPr>
        <w:t>nited States</w:t>
      </w:r>
      <w:r>
        <w:rPr>
          <w:rFonts w:ascii="Book Antiqua" w:eastAsia="Book Antiqua" w:hAnsi="Book Antiqua" w:cs="Book Antiqua"/>
          <w:color w:val="000000"/>
        </w:rPr>
        <w:t>) was used for data analysis.</w:t>
      </w:r>
    </w:p>
    <w:p w14:paraId="747C4DB5" w14:textId="77777777" w:rsidR="00D03248" w:rsidRDefault="0031688F">
      <w:pPr>
        <w:spacing w:line="360" w:lineRule="auto"/>
        <w:ind w:firstLine="420"/>
        <w:jc w:val="both"/>
        <w:rPr>
          <w:rFonts w:ascii="Book Antiqua" w:hAnsi="Book Antiqua"/>
        </w:rPr>
      </w:pPr>
      <w:r>
        <w:rPr>
          <w:rFonts w:ascii="Book Antiqua" w:eastAsia="Book Antiqua" w:hAnsi="Book Antiqua" w:cs="Book Antiqua"/>
          <w:color w:val="000000"/>
        </w:rPr>
        <w:t>The ferrous levels in T cells were measured using FerroOrange (Cat# MX4559, Maokang Biotechnology, Shanghai, China). Cells were incubated with FerroOrange (37</w:t>
      </w:r>
      <w:r>
        <w:rPr>
          <w:rFonts w:ascii="Book Antiqua" w:hAnsi="Book Antiqua" w:cs="Book Antiqua" w:hint="eastAsia"/>
          <w:color w:val="000000"/>
          <w:lang w:eastAsia="zh-CN"/>
        </w:rPr>
        <w:t xml:space="preserve"> </w:t>
      </w:r>
      <w:r w:rsidR="00303968">
        <w:rPr>
          <w:rFonts w:ascii="宋体" w:eastAsia="宋体" w:hAnsi="宋体" w:cs="宋体" w:hint="eastAsia"/>
          <w:color w:val="000000"/>
        </w:rPr>
        <w:t>℃</w:t>
      </w:r>
      <w:r>
        <w:rPr>
          <w:rFonts w:ascii="Book Antiqua" w:eastAsia="Book Antiqua" w:hAnsi="Book Antiqua" w:cs="Book Antiqua"/>
          <w:color w:val="000000"/>
        </w:rPr>
        <w:t>, 20 min) for fluorescence detection. To measure intracellular ROS, cells were resuspended in phosphate-buffered saline (PBS) containing DCFH-DA (Cat# CA1410, Solarbio, Beijing, China) at 37</w:t>
      </w:r>
      <w:r>
        <w:rPr>
          <w:rFonts w:ascii="Book Antiqua" w:hAnsi="Book Antiqua" w:cs="Book Antiqua" w:hint="eastAsia"/>
          <w:color w:val="000000"/>
          <w:lang w:eastAsia="zh-CN"/>
        </w:rPr>
        <w:t xml:space="preserve"> </w:t>
      </w:r>
      <w:r w:rsidR="00303968">
        <w:rPr>
          <w:rFonts w:ascii="宋体" w:eastAsia="宋体" w:hAnsi="宋体" w:cs="宋体" w:hint="eastAsia"/>
          <w:color w:val="000000"/>
        </w:rPr>
        <w:t>℃</w:t>
      </w:r>
      <w:r>
        <w:rPr>
          <w:rFonts w:ascii="Book Antiqua" w:eastAsia="Book Antiqua" w:hAnsi="Book Antiqua" w:cs="Book Antiqua"/>
          <w:color w:val="000000"/>
        </w:rPr>
        <w:t xml:space="preserve"> for 30</w:t>
      </w:r>
      <w:r>
        <w:rPr>
          <w:rFonts w:eastAsia="Book Antiqua"/>
          <w:color w:val="000000"/>
        </w:rPr>
        <w:t> </w:t>
      </w:r>
      <w:r>
        <w:rPr>
          <w:rFonts w:ascii="Book Antiqua" w:eastAsia="Book Antiqua" w:hAnsi="Book Antiqua" w:cs="Book Antiqua"/>
          <w:color w:val="000000"/>
        </w:rPr>
        <w:t>min and washed twice with PBS for fluorescence detection. To measure the lipid ROS of T cells, C11-BODIPY 581/591 (Cat# MX5211, Maokang Biotechnology, Shanghai, China) was added and incubated at 37</w:t>
      </w:r>
      <w:r>
        <w:rPr>
          <w:rFonts w:ascii="Book Antiqua" w:hAnsi="Book Antiqua" w:cs="Book Antiqua" w:hint="eastAsia"/>
          <w:color w:val="000000"/>
          <w:lang w:eastAsia="zh-CN"/>
        </w:rPr>
        <w:t xml:space="preserve"> </w:t>
      </w:r>
      <w:r w:rsidR="00303968">
        <w:rPr>
          <w:rFonts w:ascii="宋体" w:eastAsia="宋体" w:hAnsi="宋体" w:cs="宋体" w:hint="eastAsia"/>
          <w:color w:val="000000"/>
        </w:rPr>
        <w:t>℃</w:t>
      </w:r>
      <w:r>
        <w:rPr>
          <w:rFonts w:ascii="Book Antiqua" w:eastAsia="Book Antiqua" w:hAnsi="Book Antiqua" w:cs="Book Antiqua"/>
          <w:color w:val="000000"/>
        </w:rPr>
        <w:t xml:space="preserve"> with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30 min. Cells were then washed twice before fluorescence detection. The MMP Assay Kit (Cat# M8650, Solarbio, Beijing, China) was used to measure the MMP in T cells. Cells were incubated with JC-1 working solution at 37</w:t>
      </w:r>
      <w:r>
        <w:rPr>
          <w:rFonts w:ascii="Book Antiqua" w:hAnsi="Book Antiqua" w:cs="Book Antiqua" w:hint="eastAsia"/>
          <w:color w:val="000000"/>
          <w:lang w:eastAsia="zh-CN"/>
        </w:rPr>
        <w:t xml:space="preserve"> </w:t>
      </w:r>
      <w:r w:rsidR="00303968">
        <w:rPr>
          <w:rFonts w:ascii="宋体" w:eastAsia="宋体" w:hAnsi="宋体" w:cs="宋体" w:hint="eastAsia"/>
          <w:color w:val="000000"/>
        </w:rPr>
        <w:t>℃</w:t>
      </w:r>
      <w:r>
        <w:rPr>
          <w:rFonts w:ascii="Book Antiqua" w:eastAsia="Book Antiqua" w:hAnsi="Book Antiqua" w:cs="Book Antiqua"/>
          <w:color w:val="000000"/>
        </w:rPr>
        <w:t xml:space="preserve"> for 20 min, then washed twice with JC-1 buffer for fluorescence detection. BODIPY emission was recorded on an oxidized C11 signal (FITC channel).</w:t>
      </w:r>
    </w:p>
    <w:p w14:paraId="5FBE0BB1" w14:textId="77777777" w:rsidR="00D03248" w:rsidRDefault="00D03248">
      <w:pPr>
        <w:spacing w:line="360" w:lineRule="auto"/>
        <w:ind w:firstLine="420"/>
        <w:jc w:val="both"/>
        <w:rPr>
          <w:rFonts w:ascii="Book Antiqua" w:hAnsi="Book Antiqua"/>
        </w:rPr>
      </w:pPr>
    </w:p>
    <w:p w14:paraId="18D377B8"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Luminex assay</w:t>
      </w:r>
    </w:p>
    <w:p w14:paraId="03A48F56"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 xml:space="preserve">The rat sera were analyzed for cytokine concentrations </w:t>
      </w:r>
      <w:r>
        <w:rPr>
          <w:rFonts w:ascii="Book Antiqua" w:hAnsi="Book Antiqua" w:cs="Book Antiqua" w:hint="eastAsia"/>
          <w:color w:val="000000"/>
          <w:lang w:eastAsia="zh-CN"/>
        </w:rPr>
        <w:t>[</w:t>
      </w:r>
      <w:r>
        <w:rPr>
          <w:rFonts w:ascii="Book Antiqua" w:eastAsia="Book Antiqua" w:hAnsi="Book Antiqua" w:cs="Book Antiqua"/>
          <w:color w:val="000000"/>
        </w:rPr>
        <w:t xml:space="preserve">interleukin </w:t>
      </w:r>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r>
        <w:rPr>
          <w:rFonts w:ascii="Book Antiqua" w:eastAsia="Book Antiqua" w:hAnsi="Book Antiqua" w:cs="Book Antiqua"/>
          <w:color w:val="000000"/>
        </w:rPr>
        <w:t>-10, IL-2, IL-1α, IL-4, interferon gamma (IFN-γ), tumor necrosis factor alpha (TNF-α), IL-5, IL-6, growth-</w:t>
      </w:r>
      <w:r>
        <w:rPr>
          <w:rFonts w:ascii="Book Antiqua" w:eastAsia="Book Antiqua" w:hAnsi="Book Antiqua" w:cs="Book Antiqua"/>
          <w:color w:val="000000"/>
        </w:rPr>
        <w:lastRenderedPageBreak/>
        <w:t>regulated oncogene (GRO)/keratinocyte chemoattractant (KC), IL-12p70</w:t>
      </w:r>
      <w:r>
        <w:rPr>
          <w:rFonts w:ascii="Book Antiqua" w:hAnsi="Book Antiqua" w:cs="Book Antiqua" w:hint="eastAsia"/>
          <w:color w:val="000000"/>
          <w:lang w:eastAsia="zh-CN"/>
        </w:rPr>
        <w:t>]</w:t>
      </w:r>
      <w:r>
        <w:rPr>
          <w:rFonts w:ascii="Book Antiqua" w:eastAsia="Book Antiqua" w:hAnsi="Book Antiqua" w:cs="Book Antiqua"/>
          <w:color w:val="000000"/>
        </w:rPr>
        <w:t xml:space="preserve"> using the Millipore Luminex 200 instrument (Luminex Corporation, Austin, TX, U</w:t>
      </w:r>
      <w:r>
        <w:rPr>
          <w:rFonts w:ascii="Book Antiqua" w:hAnsi="Book Antiqua" w:cs="Book Antiqua" w:hint="eastAsia"/>
          <w:color w:val="000000"/>
          <w:lang w:eastAsia="zh-CN"/>
        </w:rPr>
        <w:t>nited States</w:t>
      </w:r>
      <w:r>
        <w:rPr>
          <w:rFonts w:ascii="Book Antiqua" w:eastAsia="Book Antiqua" w:hAnsi="Book Antiqua" w:cs="Book Antiqua"/>
          <w:color w:val="000000"/>
        </w:rPr>
        <w:t>), after incubation of the samples with beads according to the manufacturer’s instructions. The quantification was performed with Luminex xPonent version 3.1 software.</w:t>
      </w:r>
    </w:p>
    <w:p w14:paraId="5B1B8047" w14:textId="77777777" w:rsidR="00D03248" w:rsidRDefault="00D03248">
      <w:pPr>
        <w:spacing w:line="360" w:lineRule="auto"/>
        <w:jc w:val="both"/>
        <w:rPr>
          <w:rFonts w:ascii="Book Antiqua" w:hAnsi="Book Antiqua"/>
        </w:rPr>
      </w:pPr>
    </w:p>
    <w:p w14:paraId="4914F9CF"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Cell culture</w:t>
      </w:r>
    </w:p>
    <w:p w14:paraId="44C0681E"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Healthy mononuclear cells from the spleen of rats and peripheral blood of humans were collected by gradient centrifugation with respectively, rat tissue mononuclear cell separation solution (Solarbio, Beijing, China) and human peripheral blood mononuclear cell separation solution (Solarbio, Beijing, China). T cells were purified through positive magnetic selection using microbeads (Miltenyi Biotec, Bergisch Gladbac, Germany) and cultivated at 2.0 ×</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cells/well in 6-well plates with RPMI-1640 with 5% fetal bovine serum and 100 IU/mL IL-2. Within the first 72 h, the anti-CD3/CD28 antibody (Cat# 201401, RRID: AB_893302; 2 μg/mL and Cat# 200902, RRID: AB_313891; 1 μg/mL) were used to stimulate the T cells.</w:t>
      </w:r>
    </w:p>
    <w:p w14:paraId="246732A6" w14:textId="77777777" w:rsidR="00D03248" w:rsidRDefault="00D03248">
      <w:pPr>
        <w:spacing w:line="360" w:lineRule="auto"/>
        <w:jc w:val="both"/>
        <w:rPr>
          <w:rFonts w:ascii="Book Antiqua" w:hAnsi="Book Antiqua"/>
        </w:rPr>
      </w:pPr>
    </w:p>
    <w:p w14:paraId="260EC56D"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Cell proliferation assay</w:t>
      </w:r>
    </w:p>
    <w:p w14:paraId="1FB8A624"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 xml:space="preserve">The Cell Counting Kit-8 (CCK-8) assay (Boster, Hubei, China) was used to evaluate T cell proliferation </w:t>
      </w:r>
      <w:r>
        <w:rPr>
          <w:rFonts w:ascii="Book Antiqua" w:eastAsia="Book Antiqua" w:hAnsi="Book Antiqua" w:cs="Book Antiqua"/>
          <w:i/>
          <w:iCs/>
          <w:color w:val="000000"/>
        </w:rPr>
        <w:t>in vitro</w:t>
      </w:r>
      <w:r>
        <w:rPr>
          <w:rFonts w:ascii="Book Antiqua" w:eastAsia="Book Antiqua" w:hAnsi="Book Antiqua" w:cs="Book Antiqua"/>
          <w:color w:val="000000"/>
        </w:rPr>
        <w:t>. The CON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5-FU group (5-FU 15</w:t>
      </w:r>
      <w:r w:rsidR="003D6469">
        <w:rPr>
          <w:rFonts w:ascii="Book Antiqua" w:eastAsia="Book Antiqua" w:hAnsi="Book Antiqua" w:cs="Book Antiqua"/>
          <w:color w:val="000000"/>
        </w:rPr>
        <w:t xml:space="preserve"> </w:t>
      </w:r>
      <w:r w:rsidR="003D6469" w:rsidRPr="00451A2F">
        <w:rPr>
          <w:rFonts w:ascii="Book Antiqua" w:eastAsia="Book Antiqua" w:hAnsi="Book Antiqua" w:cs="Book Antiqua"/>
          <w:color w:val="000000"/>
        </w:rPr>
        <w:t>μ</w:t>
      </w:r>
      <w:r w:rsidR="003D6469" w:rsidRPr="003D6469">
        <w:rPr>
          <w:rFonts w:ascii="Book Antiqua" w:eastAsia="Book Antiqua" w:hAnsi="Book Antiqua" w:cs="Book Antiqua"/>
          <w:color w:val="000000"/>
        </w:rPr>
        <w:t>mol/L</w:t>
      </w:r>
      <w:r>
        <w:rPr>
          <w:rFonts w:ascii="Book Antiqua" w:eastAsia="Book Antiqua" w:hAnsi="Book Antiqua" w:cs="Book Antiqua"/>
          <w:color w:val="000000"/>
        </w:rPr>
        <w:t xml:space="preserve">, MCE, Shanghai, China; </w:t>
      </w:r>
      <w:r>
        <w:rPr>
          <w:rFonts w:ascii="Book Antiqua" w:eastAsia="Book Antiqua" w:hAnsi="Book Antiqua" w:cs="Book Antiqua"/>
          <w:i/>
          <w:color w:val="000000"/>
        </w:rPr>
        <w:t>n</w:t>
      </w:r>
      <w:r>
        <w:rPr>
          <w:rFonts w:ascii="Book Antiqua" w:eastAsia="Book Antiqua" w:hAnsi="Book Antiqua" w:cs="Book Antiqua"/>
          <w:color w:val="000000"/>
        </w:rPr>
        <w:t xml:space="preserve"> = 3); ferrostatin-1 (Fer-1) group (Fer-1 2</w:t>
      </w:r>
      <w:r w:rsidR="003D6469">
        <w:rPr>
          <w:rFonts w:ascii="Book Antiqua" w:eastAsia="Book Antiqua" w:hAnsi="Book Antiqua" w:cs="Book Antiqua"/>
          <w:color w:val="000000"/>
        </w:rPr>
        <w:t xml:space="preserve"> </w:t>
      </w:r>
      <w:r w:rsidR="003D6469" w:rsidRPr="000A6050">
        <w:rPr>
          <w:rFonts w:ascii="Book Antiqua" w:eastAsia="Book Antiqua" w:hAnsi="Book Antiqua" w:cs="Book Antiqua"/>
          <w:color w:val="000000"/>
        </w:rPr>
        <w:t>μ</w:t>
      </w:r>
      <w:r w:rsidR="003D6469" w:rsidRPr="003D6469">
        <w:rPr>
          <w:rFonts w:ascii="Book Antiqua" w:eastAsia="Book Antiqua" w:hAnsi="Book Antiqua" w:cs="Book Antiqua"/>
          <w:color w:val="000000"/>
        </w:rPr>
        <w:t>mol/L</w:t>
      </w:r>
      <w:r>
        <w:rPr>
          <w:rFonts w:ascii="Book Antiqua" w:eastAsia="Book Antiqua" w:hAnsi="Book Antiqua" w:cs="Book Antiqua"/>
          <w:color w:val="000000"/>
        </w:rPr>
        <w:t>, MCE, Shanghai, China; n = 3); 5-FU+fer-1 group (5-FU 15</w:t>
      </w:r>
      <w:r w:rsidR="003D6469">
        <w:rPr>
          <w:rFonts w:ascii="Book Antiqua" w:eastAsia="Book Antiqua" w:hAnsi="Book Antiqua" w:cs="Book Antiqua"/>
          <w:color w:val="000000"/>
        </w:rPr>
        <w:t xml:space="preserve"> </w:t>
      </w:r>
      <w:r w:rsidR="003D6469" w:rsidRPr="000A6050">
        <w:rPr>
          <w:rFonts w:ascii="Book Antiqua" w:eastAsia="Book Antiqua" w:hAnsi="Book Antiqua" w:cs="Book Antiqua"/>
          <w:color w:val="000000"/>
        </w:rPr>
        <w:t>μ</w:t>
      </w:r>
      <w:r w:rsidR="003D6469" w:rsidRPr="003D6469">
        <w:rPr>
          <w:rFonts w:ascii="Book Antiqua" w:eastAsia="Book Antiqua" w:hAnsi="Book Antiqua" w:cs="Book Antiqua"/>
          <w:color w:val="000000"/>
        </w:rPr>
        <w:t>mol/L</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fer-1 2</w:t>
      </w:r>
      <w:r w:rsidR="003D6469">
        <w:rPr>
          <w:rFonts w:ascii="Book Antiqua" w:eastAsia="Book Antiqua" w:hAnsi="Book Antiqua" w:cs="Book Antiqua"/>
          <w:color w:val="000000"/>
        </w:rPr>
        <w:t xml:space="preserve"> </w:t>
      </w:r>
      <w:r w:rsidR="003D6469" w:rsidRPr="000A6050">
        <w:rPr>
          <w:rFonts w:ascii="Book Antiqua" w:eastAsia="Book Antiqua" w:hAnsi="Book Antiqua" w:cs="Book Antiqua"/>
          <w:color w:val="000000"/>
        </w:rPr>
        <w:t>μ</w:t>
      </w:r>
      <w:r w:rsidR="003D6469" w:rsidRPr="003D6469">
        <w:rPr>
          <w:rFonts w:ascii="Book Antiqua" w:eastAsia="Book Antiqua" w:hAnsi="Book Antiqua" w:cs="Book Antiqua"/>
          <w:color w:val="000000"/>
        </w:rPr>
        <w:t>mol/L</w:t>
      </w:r>
      <w:r>
        <w:rPr>
          <w:rFonts w:ascii="Book Antiqua" w:eastAsia="Book Antiqua" w:hAnsi="Book Antiqua" w:cs="Book Antiqua"/>
          <w:color w:val="000000"/>
        </w:rPr>
        <w:t>) were included. After 72 h of culture, CCK-8 solution was added to each well of the 96-well plates and allowed to incubate for 2 h at 37</w:t>
      </w:r>
      <w:r>
        <w:rPr>
          <w:rFonts w:ascii="Book Antiqua" w:hAnsi="Book Antiqua" w:cs="Book Antiqua" w:hint="eastAsia"/>
          <w:color w:val="000000"/>
          <w:lang w:eastAsia="zh-CN"/>
        </w:rPr>
        <w:t xml:space="preserve"> </w:t>
      </w:r>
      <w:r w:rsidR="00303968">
        <w:rPr>
          <w:rFonts w:ascii="宋体" w:eastAsia="宋体" w:hAnsi="宋体" w:cs="宋体" w:hint="eastAsia"/>
          <w:color w:val="000000"/>
        </w:rPr>
        <w:t>℃</w:t>
      </w:r>
      <w:r>
        <w:rPr>
          <w:rFonts w:ascii="Book Antiqua" w:eastAsia="Book Antiqua" w:hAnsi="Book Antiqua" w:cs="Book Antiqua"/>
          <w:color w:val="000000"/>
        </w:rPr>
        <w:t>, and the optical density value at 450 nm was recorded.</w:t>
      </w:r>
    </w:p>
    <w:p w14:paraId="09CA67C2" w14:textId="77777777" w:rsidR="00D03248" w:rsidRDefault="00D03248">
      <w:pPr>
        <w:spacing w:line="360" w:lineRule="auto"/>
        <w:jc w:val="both"/>
        <w:rPr>
          <w:rFonts w:ascii="Book Antiqua" w:hAnsi="Book Antiqua"/>
        </w:rPr>
      </w:pPr>
    </w:p>
    <w:p w14:paraId="34FB2531"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Histopathology</w:t>
      </w:r>
    </w:p>
    <w:p w14:paraId="21CE869E"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The femurs and grafts (</w:t>
      </w:r>
      <w:r>
        <w:rPr>
          <w:rFonts w:ascii="Book Antiqua" w:eastAsia="Book Antiqua" w:hAnsi="Book Antiqua" w:cs="Book Antiqua"/>
          <w:i/>
          <w:iCs/>
          <w:color w:val="000000"/>
        </w:rPr>
        <w:t>n</w:t>
      </w:r>
      <w:r>
        <w:rPr>
          <w:rFonts w:ascii="Book Antiqua" w:eastAsia="Book Antiqua" w:hAnsi="Book Antiqua" w:cs="Book Antiqua"/>
          <w:color w:val="000000"/>
        </w:rPr>
        <w:t xml:space="preserve"> = 6 for each group) were removed on postoperative day 7. The femurs were decalcified with EDTA decalcifying solution (Solarbio, Beijing, China). Then both femurs and grafts were fixed in 10% paraformaldehyde, dehydrated, paraffin-</w:t>
      </w:r>
      <w:r>
        <w:rPr>
          <w:rFonts w:ascii="Book Antiqua" w:eastAsia="Book Antiqua" w:hAnsi="Book Antiqua" w:cs="Book Antiqua"/>
          <w:color w:val="000000"/>
        </w:rPr>
        <w:lastRenderedPageBreak/>
        <w:t>embedded, cut into 4 μm slides, and stained with hematoxylin and eosin (H&amp;E; G1120; Solarbio, Beijing, China).</w:t>
      </w:r>
    </w:p>
    <w:p w14:paraId="0B0F2F9F" w14:textId="77777777" w:rsidR="00D03248" w:rsidRDefault="00D03248">
      <w:pPr>
        <w:spacing w:line="360" w:lineRule="auto"/>
        <w:jc w:val="both"/>
        <w:rPr>
          <w:rFonts w:ascii="Book Antiqua" w:hAnsi="Book Antiqua"/>
        </w:rPr>
      </w:pPr>
    </w:p>
    <w:p w14:paraId="60A2A088"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Immunohistochemistry</w:t>
      </w:r>
    </w:p>
    <w:p w14:paraId="59F55CF8"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cell infiltration was assessed on spleen and liver graft sections as follows: </w:t>
      </w:r>
      <w:r>
        <w:rPr>
          <w:rFonts w:ascii="Book Antiqua" w:hAnsi="Book Antiqua" w:cs="Book Antiqua" w:hint="eastAsia"/>
          <w:color w:val="000000"/>
          <w:lang w:eastAsia="zh-CN"/>
        </w:rPr>
        <w:t>T</w:t>
      </w:r>
      <w:r>
        <w:rPr>
          <w:rFonts w:ascii="Book Antiqua" w:eastAsia="Book Antiqua" w:hAnsi="Book Antiqua" w:cs="Book Antiqua"/>
          <w:color w:val="000000"/>
        </w:rPr>
        <w:t>issue sections were heated for 15 min in EDTA (pH 8.0) in a microwave for antigen retrieval, incubated in 3% hydrogen peroxide for 30 min to eliminate endogenous peroxidase activity, and blocked in normal goat serum. Then the sections were incubated overnight at 4</w:t>
      </w:r>
      <w:r w:rsidR="003D6469">
        <w:rPr>
          <w:rFonts w:ascii="Book Antiqua" w:eastAsia="Book Antiqua" w:hAnsi="Book Antiqua" w:cs="Book Antiqua"/>
          <w:color w:val="000000"/>
        </w:rPr>
        <w:t xml:space="preserve"> </w:t>
      </w:r>
      <w:r w:rsidR="003D6469" w:rsidRPr="00451A2F">
        <w:rPr>
          <w:rFonts w:ascii="宋体" w:eastAsia="宋体" w:hAnsi="宋体" w:cs="宋体" w:hint="eastAsia"/>
          <w:color w:val="000000"/>
          <w:sz w:val="20"/>
          <w:szCs w:val="20"/>
          <w:lang w:eastAsia="zh-CN"/>
        </w:rPr>
        <w:t>℃</w:t>
      </w:r>
      <w:r w:rsidR="003D6469" w:rsidRPr="00451A2F">
        <w:rPr>
          <w:rFonts w:ascii="Book Antiqua" w:eastAsia="宋体" w:hAnsi="Book Antiqua" w:cs="宋体"/>
          <w:color w:val="000000"/>
          <w:lang w:eastAsia="zh-CN"/>
        </w:rPr>
        <w:t xml:space="preserve"> </w:t>
      </w:r>
      <w:r>
        <w:rPr>
          <w:rFonts w:ascii="Book Antiqua" w:eastAsia="Book Antiqua" w:hAnsi="Book Antiqua" w:cs="Book Antiqua"/>
          <w:color w:val="000000"/>
        </w:rPr>
        <w:t>with a rat anti-CD3 antibody (CD3-12, Cat# ab11089, RRID: AB_2889189; Abcam,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and incubated with a secondary antibody (Goat Anti-Rat IgG H&amp;L, Cat# ab97057, RRID: AB_10680316; Abcam,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or 30 min at room temperature the next day. Finally, the sections were stained with freshly prepared diaminobenzidine solution and counterstained with hematoxylin. ImageJ software was applied to 20</w:t>
      </w:r>
      <w:r w:rsidR="00F31E6C">
        <w:rPr>
          <w:rFonts w:ascii="Book Antiqua" w:eastAsia="Book Antiqua" w:hAnsi="Book Antiqua" w:cs="Book Antiqua"/>
          <w:color w:val="000000"/>
        </w:rPr>
        <w:t>0</w:t>
      </w:r>
      <w:r>
        <w:rPr>
          <w:rFonts w:ascii="Book Antiqua" w:hAnsi="Book Antiqua" w:cs="Book Antiqua" w:hint="eastAsia"/>
          <w:color w:val="000000"/>
          <w:lang w:eastAsia="zh-CN"/>
        </w:rPr>
        <w:t xml:space="preserve"> </w:t>
      </w:r>
      <w:r>
        <w:rPr>
          <w:rFonts w:ascii="Book Antiqua" w:eastAsia="Book Antiqua" w:hAnsi="Book Antiqua" w:cs="Book Antiqua"/>
          <w:color w:val="000000"/>
        </w:rPr>
        <w:t>× images to quantify the CD3-positive fields.</w:t>
      </w:r>
    </w:p>
    <w:p w14:paraId="34FC6E96" w14:textId="77777777" w:rsidR="00D03248" w:rsidRDefault="00D03248">
      <w:pPr>
        <w:spacing w:line="360" w:lineRule="auto"/>
        <w:jc w:val="both"/>
        <w:rPr>
          <w:rFonts w:ascii="Book Antiqua" w:hAnsi="Book Antiqua"/>
        </w:rPr>
      </w:pPr>
    </w:p>
    <w:p w14:paraId="532B37D3"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Transmission electron microscopy</w:t>
      </w:r>
    </w:p>
    <w:p w14:paraId="3C09707F"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Cells were collected after centrifugation and fixed in 2.5% glutaraldehyde. After dehydration through graded ethanol, the cells were embedded in epoxy resins and cut into ultrathin sections. The morphologic changes in mitochondrial ultrastructure were observed using a transmission electron microscope (HT7800; Hitachi, Tokyo, Japan).</w:t>
      </w:r>
    </w:p>
    <w:p w14:paraId="512D7F9E" w14:textId="77777777" w:rsidR="00D03248" w:rsidRDefault="00D03248">
      <w:pPr>
        <w:spacing w:line="360" w:lineRule="auto"/>
        <w:jc w:val="both"/>
        <w:rPr>
          <w:rFonts w:ascii="Book Antiqua" w:hAnsi="Book Antiqua"/>
        </w:rPr>
      </w:pPr>
    </w:p>
    <w:p w14:paraId="5985B52D"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Western blot analysis</w:t>
      </w:r>
    </w:p>
    <w:p w14:paraId="798464F2"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Total protein was extracted using RIPA buffer containing protease and phosphatase inhibitors. The mixture was placed on ice for 30 min for cell lysis, and then centrifuged at 12000 g for 15 min at 4</w:t>
      </w:r>
      <w:r>
        <w:rPr>
          <w:rFonts w:ascii="Book Antiqua" w:hAnsi="Book Antiqua" w:cs="Book Antiqua" w:hint="eastAsia"/>
          <w:color w:val="000000"/>
          <w:lang w:eastAsia="zh-CN"/>
        </w:rPr>
        <w:t xml:space="preserve"> </w:t>
      </w:r>
      <w:r w:rsidR="00303968">
        <w:rPr>
          <w:rFonts w:ascii="宋体" w:eastAsia="宋体" w:hAnsi="宋体" w:cs="宋体" w:hint="eastAsia"/>
          <w:color w:val="000000"/>
        </w:rPr>
        <w:t>℃</w:t>
      </w:r>
      <w:r>
        <w:rPr>
          <w:rFonts w:ascii="Book Antiqua" w:eastAsia="Book Antiqua" w:hAnsi="Book Antiqua" w:cs="Book Antiqua"/>
          <w:color w:val="000000"/>
        </w:rPr>
        <w:t xml:space="preserve"> to discard the cell debris. Total protein concentration was quantified by the BCA Protein Assay Kit (Beyotime Biotechnology, Beijing, China). The proteins were resolved by sodium dodecyl sulfate-polyacrylamide gel electrophoresis, electrotransferred to polyvinylidene fluoride membranes, and blocked in 5% skimmed milk for 1 h. Then the membranes were incubated overnight at 4</w:t>
      </w:r>
      <w:r>
        <w:rPr>
          <w:rFonts w:ascii="Book Antiqua" w:hAnsi="Book Antiqua" w:cs="Book Antiqua" w:hint="eastAsia"/>
          <w:color w:val="000000"/>
          <w:lang w:eastAsia="zh-CN"/>
        </w:rPr>
        <w:t xml:space="preserve"> </w:t>
      </w:r>
      <w:r w:rsidR="00303968">
        <w:rPr>
          <w:rFonts w:ascii="宋体" w:eastAsia="宋体" w:hAnsi="宋体" w:cs="宋体" w:hint="eastAsia"/>
          <w:color w:val="000000"/>
        </w:rPr>
        <w:t>℃</w:t>
      </w:r>
      <w:r>
        <w:rPr>
          <w:rFonts w:ascii="Book Antiqua" w:eastAsia="Book Antiqua" w:hAnsi="Book Antiqua" w:cs="Book Antiqua"/>
          <w:color w:val="000000"/>
        </w:rPr>
        <w:t xml:space="preserve"> with primary </w:t>
      </w:r>
      <w:r>
        <w:rPr>
          <w:rFonts w:ascii="Book Antiqua" w:eastAsia="Book Antiqua" w:hAnsi="Book Antiqua" w:cs="Book Antiqua"/>
          <w:color w:val="000000"/>
        </w:rPr>
        <w:lastRenderedPageBreak/>
        <w:t>antibodies against FTH1 (EPR18878, Cat# ab183781; Abcam,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NCOA4 (Cat# PA5-96398, RRID: AB_2808200; Thermo Fisher Scientific, Waltham, MA, U</w:t>
      </w:r>
      <w:r>
        <w:rPr>
          <w:rFonts w:ascii="Book Antiqua" w:hAnsi="Book Antiqua" w:cs="Book Antiqua" w:hint="eastAsia"/>
          <w:color w:val="000000"/>
          <w:lang w:eastAsia="zh-CN"/>
        </w:rPr>
        <w:t>nited States</w:t>
      </w:r>
      <w:r>
        <w:rPr>
          <w:rFonts w:ascii="Book Antiqua" w:eastAsia="Book Antiqua" w:hAnsi="Book Antiqua" w:cs="Book Antiqua"/>
          <w:color w:val="000000"/>
        </w:rPr>
        <w:t>), Nrf2 (E5F1A, Cat# 20733S, Cell Signaling Technology, Danvers, MA, U</w:t>
      </w:r>
      <w:r>
        <w:rPr>
          <w:rFonts w:ascii="Book Antiqua" w:hAnsi="Book Antiqua" w:cs="Book Antiqua" w:hint="eastAsia"/>
          <w:color w:val="000000"/>
          <w:lang w:eastAsia="zh-CN"/>
        </w:rPr>
        <w:t>nited States</w:t>
      </w:r>
      <w:r>
        <w:rPr>
          <w:rFonts w:ascii="Book Antiqua" w:eastAsia="Book Antiqua" w:hAnsi="Book Antiqua" w:cs="Book Antiqua"/>
          <w:color w:val="000000"/>
        </w:rPr>
        <w:t>), HO-1 (EPR1390Y, Cat# ab68477, RRID: AB_11156457; Abcam,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and GPX4 (EPNCIR144, Cat# ab125066, RRID: AB_10973901; Abcam,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β-actin (SP124, Cat# ab115777, RRID: AB_10899528; Abcam, Cambridge, MA, U</w:t>
      </w:r>
      <w:r>
        <w:rPr>
          <w:rFonts w:ascii="Book Antiqua" w:hAnsi="Book Antiqua" w:cs="Book Antiqua" w:hint="eastAsia"/>
          <w:color w:val="000000"/>
          <w:lang w:eastAsia="zh-CN"/>
        </w:rPr>
        <w:t>nited States</w:t>
      </w:r>
      <w:r>
        <w:rPr>
          <w:rFonts w:ascii="Book Antiqua" w:eastAsia="Book Antiqua" w:hAnsi="Book Antiqua" w:cs="Book Antiqua"/>
          <w:color w:val="000000"/>
        </w:rPr>
        <w:t>) antibody served as the internal control. The membranes were washed and then incubated with a secondary antibody (Goat anti-Rabbit IgG H+L, Cat# A16110; Thermo Fisher Scientific, Shanghai, China) for 1 h at RT. Proteins were detected with an imaging system (Bio-Rad, Hercules, CA, U</w:t>
      </w:r>
      <w:r>
        <w:rPr>
          <w:rFonts w:ascii="Book Antiqua" w:hAnsi="Book Antiqua" w:cs="Book Antiqua" w:hint="eastAsia"/>
          <w:color w:val="000000"/>
          <w:lang w:eastAsia="zh-CN"/>
        </w:rPr>
        <w:t>nited States</w:t>
      </w:r>
      <w:r>
        <w:rPr>
          <w:rFonts w:ascii="Book Antiqua" w:eastAsia="Book Antiqua" w:hAnsi="Book Antiqua" w:cs="Book Antiqua"/>
          <w:color w:val="000000"/>
        </w:rPr>
        <w:t>), and band intensities were analyzed with ImageJ software (National Institutes of Health, Bethesda, MD, U</w:t>
      </w:r>
      <w:r>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6721A3CE" w14:textId="77777777" w:rsidR="00D03248" w:rsidRDefault="00D03248">
      <w:pPr>
        <w:spacing w:line="360" w:lineRule="auto"/>
        <w:jc w:val="both"/>
        <w:rPr>
          <w:rFonts w:ascii="Book Antiqua" w:hAnsi="Book Antiqua"/>
        </w:rPr>
      </w:pPr>
    </w:p>
    <w:p w14:paraId="1095F479"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Statistical analyses</w:t>
      </w:r>
    </w:p>
    <w:p w14:paraId="63D0893E"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 xml:space="preserve">The statistical analyses were performed with SPSS 23.0 (IBM Analytics) and GraphPad 8.0 (GraphPad Software). The statistical methods of this study were reviewed by Yuan Wang from the Department of Biostatistics and Epidemiology, The First Central Clinical School, Tianjin Medical University. Data are presented as the mean ± standard error of the mean. The unpaired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assess the differences between the two groups, and a one-way analysis of variance was used to assess the differences among three or more groups.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was considered statistically significant.</w:t>
      </w:r>
    </w:p>
    <w:p w14:paraId="522DEDB5" w14:textId="77777777" w:rsidR="00D03248" w:rsidRDefault="00D03248">
      <w:pPr>
        <w:spacing w:line="360" w:lineRule="auto"/>
        <w:jc w:val="both"/>
        <w:rPr>
          <w:rFonts w:ascii="Book Antiqua" w:hAnsi="Book Antiqua"/>
        </w:rPr>
      </w:pPr>
    </w:p>
    <w:p w14:paraId="47051EF5" w14:textId="77777777" w:rsidR="00D03248" w:rsidRDefault="0031688F">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A816D8E"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Metronomic CAP exerts a marginal myelosuppressive effect, compatible with continuous administration</w:t>
      </w:r>
    </w:p>
    <w:p w14:paraId="42549E2D"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 xml:space="preserve">5-FU, the end product of CAP, may induce myelotoxicity. Thus, we first evaluated metronomic CAP’s myelotoxicity on peripheral blood hemoglobin (HGB), platelets (PLTs), and leukocytes in a rat model of orthotopic LT, where recipient Brown-Norway rats received the livers from Lewis rats. Seven days after LT, there was no significant </w:t>
      </w:r>
      <w:r>
        <w:rPr>
          <w:rFonts w:ascii="Book Antiqua" w:eastAsia="Book Antiqua" w:hAnsi="Book Antiqua" w:cs="Book Antiqua"/>
          <w:color w:val="000000"/>
        </w:rPr>
        <w:lastRenderedPageBreak/>
        <w:t>difference in the index of HGB and PLTs between the CON group and the MET group (Figure 1A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However, leukopenia with a reduced number of lymphocytes was found in the MET group, while the number of other leukocyte subsets (granulocytes and mononuclear cells) was not significantly different (Figure 1C–F). These results suggest that CAP had a relatively targeted killing effect on lymphocytes, but no obvious effect on PLTs, erythrocytes, monocytes, or granulocytes. In the bone marrow, the rats in the MET group had no pathological manifestation of myelosuppression (Figure 1G), suggesting that the lymphocytopenia caused by CAP did not result from myelosuppression.</w:t>
      </w:r>
    </w:p>
    <w:p w14:paraId="43450A07" w14:textId="77777777" w:rsidR="00D03248" w:rsidRDefault="00D03248">
      <w:pPr>
        <w:spacing w:line="360" w:lineRule="auto"/>
        <w:jc w:val="both"/>
        <w:rPr>
          <w:rFonts w:ascii="Book Antiqua" w:hAnsi="Book Antiqua"/>
        </w:rPr>
      </w:pPr>
    </w:p>
    <w:p w14:paraId="4A9E74AD"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Metronomic CAP reduces acute rejection and alleviates graft injury</w:t>
      </w:r>
    </w:p>
    <w:p w14:paraId="3BEEEB49"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To evaluate the effect of metronomic CAP during acute rejection, the grafted livers were harvested on day 7 after LT for histopathological examination. As shown in Figure 2A, prominent acute rejection with severe bile duct damage, endothelitis, and hepatocyte vacuolation occurred in the grafts of the CON group. Portal areas were infiltrated by inflammatory cells, hepatic sinusoids were greatly expanded, and the sinusoidal endothelial cells were markedly swollen. Compared with the CON group, acute rejection in the MET group was ameliorated, as evidenced by inflammatory cell infiltration being confined to only some of the portal areas and the degeneration of a few bile duct epithelia. The Banff scores</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decreased in the MET group compared with the CON group (Figure 2B). On day 7 after LT, liver damage was assessed by measuring serum levels of AST and ALT (Figure 2C</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 Compared with the CON group, CAP significantly decreased the serum levels of ALT and AST. However, TBIL and DBIL in both groups showed an increasing trend after the operation, but there was no significant difference between the two groups (Figure 2E</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F). In the survival analysis, a log-rank (Mantel Cox) test was conducted. Rats in the MET group had a longer survival time compared with the CON group (Figure 2G, median survival time: 16.5 and 11.5 d;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0.01).</w:t>
      </w:r>
    </w:p>
    <w:p w14:paraId="57C53293" w14:textId="77777777" w:rsidR="00D03248" w:rsidRDefault="00D03248">
      <w:pPr>
        <w:spacing w:line="360" w:lineRule="auto"/>
        <w:jc w:val="both"/>
        <w:rPr>
          <w:rFonts w:ascii="Book Antiqua" w:hAnsi="Book Antiqua"/>
        </w:rPr>
      </w:pPr>
    </w:p>
    <w:p w14:paraId="43321030"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Metronomic CAP reduces the number of CD3</w:t>
      </w:r>
      <w:r>
        <w:rPr>
          <w:rFonts w:ascii="Book Antiqua" w:eastAsia="Book Antiqua" w:hAnsi="Book Antiqua" w:cs="Book Antiqua"/>
          <w:b/>
          <w:i/>
          <w:iCs/>
          <w:color w:val="000000"/>
          <w:vertAlign w:val="superscript"/>
        </w:rPr>
        <w:t>+</w:t>
      </w:r>
      <w:r>
        <w:rPr>
          <w:rFonts w:ascii="Book Antiqua" w:eastAsia="Book Antiqua" w:hAnsi="Book Antiqua" w:cs="Book Antiqua"/>
          <w:b/>
          <w:i/>
          <w:iCs/>
          <w:color w:val="000000"/>
        </w:rPr>
        <w:t xml:space="preserve"> T cells in graft recipients</w:t>
      </w:r>
    </w:p>
    <w:p w14:paraId="72A3D2A8"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lastRenderedPageBreak/>
        <w:t>Next, to investigate whether the inhibition of acute rejection by metronomic CAP involved an effect on T cells,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the peripheral blood, grafts, and spleens were analyzed. Compared to the CON group, the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the peripheral blood were significantly lower in the MET group (Figure 3A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In addition, a large number of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was localized in the portal canal area of the CON group. Infiltrated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both the liver and spleen were significantly reduced in the MET group (Figure 3C</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 These results indicate that metronomic CAP can decrease the number of CD3</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 cells in the peripheral blood, liver, and spleen of the recipient rats.</w:t>
      </w:r>
    </w:p>
    <w:p w14:paraId="11D57357" w14:textId="77777777" w:rsidR="00D03248" w:rsidRDefault="00D03248">
      <w:pPr>
        <w:spacing w:line="360" w:lineRule="auto"/>
        <w:jc w:val="both"/>
        <w:rPr>
          <w:rFonts w:ascii="Book Antiqua" w:hAnsi="Book Antiqua"/>
        </w:rPr>
      </w:pPr>
    </w:p>
    <w:p w14:paraId="44B69145"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Metronomic CAP regulates serum cytokine levels</w:t>
      </w:r>
    </w:p>
    <w:p w14:paraId="2AEFD48A"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 xml:space="preserve">Cytokines are an important reflection of immune cell function and immune status. Thus, the levels of IFN-γ, TNF-α, human GRO/KC, IL-1β, IL-2, IL-4, IL-5, IL-6, IL-10, and IL-12p70 in peripheral blood and graft were quantified by Luminex assay. As shown in Figure 4, the levels of pro-inflammatory IFN-γ, TNF-α, IL-2, and IL-12p70 in the MET group were significantly lower than those in the CON group. Other cytokines (IL-1β, IL-5, IL-6, IL-4, IL-10, and GRO/KC) did not show significant changes (Supplementary </w:t>
      </w:r>
      <w:r>
        <w:rPr>
          <w:rFonts w:ascii="Book Antiqua" w:hAnsi="Book Antiqua" w:cs="Book Antiqua" w:hint="eastAsia"/>
          <w:color w:val="000000"/>
          <w:lang w:eastAsia="zh-CN"/>
        </w:rPr>
        <w:t>F</w:t>
      </w:r>
      <w:r>
        <w:rPr>
          <w:rFonts w:ascii="Book Antiqua" w:eastAsia="Book Antiqua" w:hAnsi="Book Antiqua" w:cs="Book Antiqua"/>
          <w:color w:val="000000"/>
        </w:rPr>
        <w:t>igure 1). The results showed that metronomic CAP plays an immunosuppressive role by downregulating the concentration of pro-inflammatory cytokines.</w:t>
      </w:r>
    </w:p>
    <w:p w14:paraId="4DB98F1E" w14:textId="77777777" w:rsidR="00D03248" w:rsidRDefault="00D03248">
      <w:pPr>
        <w:spacing w:line="360" w:lineRule="auto"/>
        <w:jc w:val="both"/>
        <w:rPr>
          <w:rFonts w:ascii="Book Antiqua" w:hAnsi="Book Antiqua"/>
        </w:rPr>
      </w:pPr>
    </w:p>
    <w:p w14:paraId="62B45BB2"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Metronomic CAP increases T cell free ferrous ions and induces lipid peroxidation in vivo</w:t>
      </w:r>
    </w:p>
    <w:p w14:paraId="3C2EA7C9"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The immune activation of T cells is particularly important in the acute rejection of organ transplants. Similar to many commonly used immunosuppressants, the killing effect of CAP on T cells is also key to its immunosuppressive activity</w:t>
      </w:r>
      <w:r>
        <w:rPr>
          <w:rFonts w:ascii="Book Antiqua" w:eastAsia="Book Antiqua" w:hAnsi="Book Antiqua" w:cs="Book Antiqua"/>
          <w:color w:val="000000"/>
          <w:vertAlign w:val="superscript"/>
        </w:rPr>
        <w:t>[13]</w:t>
      </w:r>
      <w:r>
        <w:rPr>
          <w:rFonts w:ascii="Book Antiqua" w:eastAsia="Book Antiqua" w:hAnsi="Book Antiqua" w:cs="Book Antiqua"/>
          <w:color w:val="000000"/>
        </w:rPr>
        <w:t>. Therefore, we further explored the mechanism of T cell killing by metronomic CAP. Ferroptosis is a new form of ROS-dependent programmed cell death that may plays an important role in CAP-mediated cytotoxicity. Thus, we measured by flow cytometry the concentration of free ferrous ions, ROS level, and lipid ROS level in peripheral blood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from transplanted rats of both groups at day 7. Compared with the CON group, free ferrous ion concentration (Figure 5A), total ROS (Figure 5B), and lipid ROS (Figure 5C) levels </w:t>
      </w:r>
      <w:r>
        <w:rPr>
          <w:rFonts w:ascii="Book Antiqua" w:eastAsia="Book Antiqua" w:hAnsi="Book Antiqua" w:cs="Book Antiqua"/>
          <w:color w:val="000000"/>
        </w:rPr>
        <w:lastRenderedPageBreak/>
        <w:t>were increased in the MET group. At the same time, the detection of the MMP showed a decreasing trend in the MET group (Figure 5D). These results indicated that metronomic CAP leads to the generation of ferrous ions and results in lipid peroxidation, which conforms to the typical characteristics of ferroptosis.</w:t>
      </w:r>
    </w:p>
    <w:p w14:paraId="64E7A7FA" w14:textId="77777777" w:rsidR="00D03248" w:rsidRDefault="00D03248">
      <w:pPr>
        <w:spacing w:line="360" w:lineRule="auto"/>
        <w:jc w:val="both"/>
        <w:rPr>
          <w:rFonts w:ascii="Book Antiqua" w:hAnsi="Book Antiqua"/>
        </w:rPr>
      </w:pPr>
    </w:p>
    <w:p w14:paraId="2624197C"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5-FU triggers ferritinophagy and ferroptosis in T cells in vitro</w:t>
      </w:r>
    </w:p>
    <w:p w14:paraId="51F26098"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 xml:space="preserve">To further explore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the mechanism underlying the CAP-mediated ferroptosis linked to immunosuppression observed </w:t>
      </w:r>
      <w:r>
        <w:rPr>
          <w:rFonts w:ascii="Book Antiqua" w:eastAsia="Book Antiqua" w:hAnsi="Book Antiqua" w:cs="Book Antiqua"/>
          <w:i/>
          <w:iCs/>
          <w:color w:val="000000"/>
        </w:rPr>
        <w:t>in vivo</w:t>
      </w:r>
      <w:r>
        <w:rPr>
          <w:rFonts w:ascii="Book Antiqua" w:eastAsia="Book Antiqua" w:hAnsi="Book Antiqua" w:cs="Book Antiqua"/>
          <w:color w:val="000000"/>
        </w:rPr>
        <w:t>, primary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were sorted from rat spleens and human peripheral blood (Supplementary </w:t>
      </w:r>
      <w:r>
        <w:rPr>
          <w:rFonts w:ascii="Book Antiqua" w:hAnsi="Book Antiqua" w:cs="Book Antiqua" w:hint="eastAsia"/>
          <w:color w:val="000000"/>
          <w:lang w:eastAsia="zh-CN"/>
        </w:rPr>
        <w:t>F</w:t>
      </w:r>
      <w:r>
        <w:rPr>
          <w:rFonts w:ascii="Book Antiqua" w:eastAsia="Book Antiqua" w:hAnsi="Book Antiqua" w:cs="Book Antiqua"/>
          <w:color w:val="000000"/>
        </w:rPr>
        <w:t>igure 2). Both primary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were treated with 5-FU </w:t>
      </w:r>
      <w:r>
        <w:rPr>
          <w:rFonts w:ascii="Book Antiqua" w:eastAsia="Book Antiqua" w:hAnsi="Book Antiqua" w:cs="Book Antiqua"/>
          <w:i/>
          <w:iCs/>
          <w:color w:val="000000"/>
        </w:rPr>
        <w:t xml:space="preserve">in vitro </w:t>
      </w:r>
      <w:r>
        <w:rPr>
          <w:rFonts w:ascii="Book Antiqua" w:eastAsia="Book Antiqua" w:hAnsi="Book Antiqua" w:cs="Book Antiqua"/>
          <w:color w:val="000000"/>
        </w:rPr>
        <w:t xml:space="preserve">(Supplementary </w:t>
      </w:r>
      <w:r>
        <w:rPr>
          <w:rFonts w:ascii="Book Antiqua" w:hAnsi="Book Antiqua" w:cs="Book Antiqua" w:hint="eastAsia"/>
          <w:color w:val="000000"/>
          <w:lang w:eastAsia="zh-CN"/>
        </w:rPr>
        <w:t>F</w:t>
      </w:r>
      <w:r>
        <w:rPr>
          <w:rFonts w:ascii="Book Antiqua" w:eastAsia="Book Antiqua" w:hAnsi="Book Antiqua" w:cs="Book Antiqua"/>
          <w:color w:val="000000"/>
        </w:rPr>
        <w:t xml:space="preserve">igure 3). This treatment significantly inhibited cell viability, which was attenuated by the ferroptosis inhibitor Fer-1 (Figure 6A). Transmission electron microscopy revealed typical characteristics of ferroptosis in 5-FU-treated group, namely, smaller mitochondria with increased membrane density, and diminished mitochondrial cristae (Figure 6B). Free ferrous ions concentration was increased in the 5-FU-treated group, whereas Fer-1 partially reversed the increase of ferrous ions induced by 5-FU (Figure 6C). As a selective cargo receptor, NCOA4 mediates the transport of ferritin into lysosomes, inducing ferroptosis. Western blot analysis revealed that 5-FU treatment induced FTH1 decrease, but a tendency toward increasing NCOA4 expression was observed (Figure 6D), consistent with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(Supplementary </w:t>
      </w:r>
      <w:r>
        <w:rPr>
          <w:rFonts w:ascii="Book Antiqua" w:hAnsi="Book Antiqua" w:cs="Book Antiqua" w:hint="eastAsia"/>
          <w:color w:val="000000"/>
          <w:lang w:eastAsia="zh-CN"/>
        </w:rPr>
        <w:t>F</w:t>
      </w:r>
      <w:r>
        <w:rPr>
          <w:rFonts w:ascii="Book Antiqua" w:eastAsia="Book Antiqua" w:hAnsi="Book Antiqua" w:cs="Book Antiqua"/>
          <w:color w:val="000000"/>
        </w:rPr>
        <w:t>igure 4). These results confirmed that the cytotoxicity of 5-FU is at least partly related to the induction of T cell ferroptosis, in which the increase of free ferrous ions caused by NCOA4-mediated ferritinophagy plays an important role.</w:t>
      </w:r>
    </w:p>
    <w:p w14:paraId="5A708A0C" w14:textId="77777777" w:rsidR="00D03248" w:rsidRDefault="00D03248">
      <w:pPr>
        <w:spacing w:line="360" w:lineRule="auto"/>
        <w:jc w:val="both"/>
        <w:rPr>
          <w:rFonts w:ascii="Book Antiqua" w:hAnsi="Book Antiqua"/>
        </w:rPr>
      </w:pPr>
    </w:p>
    <w:p w14:paraId="2A6CDE9B" w14:textId="77777777" w:rsidR="00D03248" w:rsidRDefault="0031688F">
      <w:pPr>
        <w:spacing w:line="360" w:lineRule="auto"/>
        <w:jc w:val="both"/>
        <w:rPr>
          <w:rFonts w:ascii="Book Antiqua" w:hAnsi="Book Antiqua"/>
          <w:b/>
        </w:rPr>
      </w:pPr>
      <w:r>
        <w:rPr>
          <w:rFonts w:ascii="Book Antiqua" w:eastAsia="Book Antiqua" w:hAnsi="Book Antiqua" w:cs="Book Antiqua"/>
          <w:b/>
          <w:i/>
          <w:iCs/>
          <w:color w:val="000000"/>
        </w:rPr>
        <w:t>5-FU-triggered ferroptosis is associated with the inhibition of the Nrf2-HO-1/GPX4 antioxidative pathway</w:t>
      </w:r>
    </w:p>
    <w:p w14:paraId="2DA49788"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To evaluate the effect of 5-FU on the antioxidant system, antioxidant-related proteins were measured in rat and human primary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treated with 5-FU. The expression of Nrf-2, HO-1, and GPX4 was evaluated in both groups and compared, and treatment with 5-FU was found to be associated with a marked decrease (Figure 7A), consistent </w:t>
      </w:r>
      <w:r>
        <w:rPr>
          <w:rFonts w:ascii="Book Antiqua" w:eastAsia="Book Antiqua" w:hAnsi="Book Antiqua" w:cs="Book Antiqua"/>
          <w:color w:val="000000"/>
        </w:rPr>
        <w:lastRenderedPageBreak/>
        <w:t xml:space="preserve">with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(Supplementary </w:t>
      </w:r>
      <w:r>
        <w:rPr>
          <w:rFonts w:ascii="Book Antiqua" w:hAnsi="Book Antiqua" w:cs="Book Antiqua" w:hint="eastAsia"/>
          <w:color w:val="000000"/>
          <w:lang w:eastAsia="zh-CN"/>
        </w:rPr>
        <w:t>F</w:t>
      </w:r>
      <w:r>
        <w:rPr>
          <w:rFonts w:ascii="Book Antiqua" w:eastAsia="Book Antiqua" w:hAnsi="Book Antiqua" w:cs="Book Antiqua"/>
          <w:color w:val="000000"/>
        </w:rPr>
        <w:t>igure 4). The results showed that 5-FU treatment increased total ROS and lipid ROS levels and decreased MMP (Figure 7B–D). It also decreased glutathione (GSH) levels and increased the oxidative stress biomarker malondialdehyde (MDA) (Figure 7E</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F). Fer-1 inhibits ferroptosis partly by activating Nrf2</w:t>
      </w:r>
      <w:r>
        <w:rPr>
          <w:rFonts w:ascii="Book Antiqua" w:eastAsia="Book Antiqua" w:hAnsi="Book Antiqua" w:cs="Book Antiqua"/>
          <w:color w:val="000000"/>
          <w:vertAlign w:val="superscript"/>
        </w:rPr>
        <w:t>[29]</w:t>
      </w:r>
      <w:r>
        <w:rPr>
          <w:rFonts w:ascii="Book Antiqua" w:eastAsia="Book Antiqua" w:hAnsi="Book Antiqua" w:cs="Book Antiqua"/>
          <w:color w:val="000000"/>
        </w:rPr>
        <w:t>. Accordingly, it reversed 5-FU-mediated inhibition of Nrf-2, HO-1, and GPX4, increased GSH level, and decreased MDA content, thereby alleviating cell peroxidation induced by 5-FU (Figure 7A–D). These results suggest that 5-FU inhibits the antioxidant system of T cells, inducing the T cells damaged by lipid peroxidation, which results in ferroptosis.</w:t>
      </w:r>
    </w:p>
    <w:p w14:paraId="1E56113A" w14:textId="77777777" w:rsidR="00D03248" w:rsidRDefault="00D03248">
      <w:pPr>
        <w:spacing w:line="360" w:lineRule="auto"/>
        <w:jc w:val="both"/>
        <w:rPr>
          <w:rFonts w:ascii="Book Antiqua" w:hAnsi="Book Antiqua"/>
        </w:rPr>
      </w:pPr>
    </w:p>
    <w:p w14:paraId="66DFA939" w14:textId="77777777" w:rsidR="00D03248" w:rsidRDefault="0031688F">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D6BD0AA"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The conflict between the risk of tumor formation and immune rejection after transplantation has always been a concern. Therefore, it is of great clinical value to identify a drug with both immunosuppressive and anticancer effects. CAP is a classic chemotherapy drug for HCC</w:t>
      </w:r>
      <w:r>
        <w:rPr>
          <w:rFonts w:ascii="Book Antiqua" w:eastAsia="Book Antiqua" w:hAnsi="Book Antiqua" w:cs="Book Antiqua"/>
          <w:color w:val="000000"/>
          <w:vertAlign w:val="superscript"/>
        </w:rPr>
        <w:t>[4,6]</w:t>
      </w:r>
      <w:r>
        <w:rPr>
          <w:rFonts w:ascii="Book Antiqua" w:eastAsia="Book Antiqua" w:hAnsi="Book Antiqua" w:cs="Book Antiqua"/>
          <w:color w:val="000000"/>
        </w:rPr>
        <w:t>, which has been shown to have immunosuppressive effects in a previous study</w:t>
      </w:r>
      <w:r>
        <w:rPr>
          <w:rFonts w:ascii="Book Antiqua" w:eastAsia="Book Antiqua" w:hAnsi="Book Antiqua" w:cs="Book Antiqua"/>
          <w:color w:val="000000"/>
          <w:vertAlign w:val="superscript"/>
        </w:rPr>
        <w:t>[8]</w:t>
      </w:r>
      <w:r>
        <w:rPr>
          <w:rFonts w:ascii="Book Antiqua" w:eastAsia="Book Antiqua" w:hAnsi="Book Antiqua" w:cs="Book Antiqua"/>
          <w:color w:val="000000"/>
        </w:rPr>
        <w:t>, suggesting that metronomic CAP can be used as an immunosuppressant after transplantation and bring long-term benefits to LT patients with HCC. In our previous study, we found that metronomic CAP exerts immunosuppressive effects on normal mice by inducing T cell apoptosis</w:t>
      </w:r>
      <w:r>
        <w:rPr>
          <w:rFonts w:ascii="Book Antiqua" w:eastAsia="Book Antiqua" w:hAnsi="Book Antiqua" w:cs="Book Antiqua"/>
          <w:color w:val="000000"/>
          <w:vertAlign w:val="superscript"/>
        </w:rPr>
        <w:t>[13]</w:t>
      </w:r>
      <w:r>
        <w:rPr>
          <w:rFonts w:ascii="Book Antiqua" w:eastAsia="Book Antiqua" w:hAnsi="Book Antiqua" w:cs="Book Antiqua"/>
          <w:color w:val="000000"/>
        </w:rPr>
        <w:t>; however, the effect of CAP on the immune system in the context of organ transplantation was unclear. Therefore, we explored the safety, availability, and mechanism of metronomic CAP as an immunosuppressant in a model of rat orthotopic LT. Our results suggest that metronomic CAP can inhibit the acute rejection of LT by inhibiting T cells while avoiding the main side effects of 5-FU. Its mechanism is related to the induction of ferritin degradation and the inhibition of antioxidant-related proteins, which ultimately leads to the death of T cells (Figure 8).</w:t>
      </w:r>
    </w:p>
    <w:p w14:paraId="1C30E53F" w14:textId="77777777" w:rsidR="00D03248" w:rsidRDefault="0031688F">
      <w:pPr>
        <w:spacing w:line="360" w:lineRule="auto"/>
        <w:ind w:firstLine="420"/>
        <w:jc w:val="both"/>
        <w:rPr>
          <w:rFonts w:ascii="Book Antiqua" w:hAnsi="Book Antiqua"/>
        </w:rPr>
      </w:pPr>
      <w:r>
        <w:rPr>
          <w:rFonts w:ascii="Book Antiqua" w:eastAsia="Book Antiqua" w:hAnsi="Book Antiqua" w:cs="Book Antiqua"/>
          <w:color w:val="000000"/>
        </w:rPr>
        <w:t>The main effects of 5-FU are on rapidly proliferating tissues, specifically bone marrow. 5-FU suppressed bone marrow hematopoiesis including a significant decrease in the number of erythrocytes, platelet, and leukocyte in the peripheral blood</w:t>
      </w:r>
      <w:r>
        <w:rPr>
          <w:rFonts w:ascii="Book Antiqua" w:eastAsia="Book Antiqua" w:hAnsi="Book Antiqua" w:cs="Book Antiqua"/>
          <w:color w:val="000000"/>
          <w:vertAlign w:val="superscript"/>
        </w:rPr>
        <w:t>[30,31]</w:t>
      </w:r>
      <w:r>
        <w:rPr>
          <w:rFonts w:ascii="Book Antiqua" w:eastAsia="Book Antiqua" w:hAnsi="Book Antiqua" w:cs="Book Antiqua"/>
          <w:color w:val="000000"/>
        </w:rPr>
        <w:t xml:space="preserve">. As the </w:t>
      </w:r>
      <w:r>
        <w:rPr>
          <w:rFonts w:ascii="Book Antiqua" w:eastAsia="Book Antiqua" w:hAnsi="Book Antiqua" w:cs="Book Antiqua"/>
          <w:color w:val="000000"/>
        </w:rPr>
        <w:lastRenderedPageBreak/>
        <w:t>prodrug of 5-FU, it is of high clinical relevance to show the safety of the medication of CAP. Overall, metronomic CAP is considered safe, with fewer side effects than traditional chemotherapy regimens. Metronomic CAP is well tolerated and safe in clinical practice, including for patients with HCC or patients after LT</w:t>
      </w:r>
      <w:r>
        <w:rPr>
          <w:rFonts w:ascii="Book Antiqua" w:eastAsia="Book Antiqua" w:hAnsi="Book Antiqua" w:cs="Book Antiqua"/>
          <w:color w:val="000000"/>
          <w:vertAlign w:val="superscript"/>
        </w:rPr>
        <w:t>[8,32-34]</w:t>
      </w:r>
      <w:r>
        <w:rPr>
          <w:rFonts w:ascii="Book Antiqua" w:eastAsia="Book Antiqua" w:hAnsi="Book Antiqua" w:cs="Book Antiqua"/>
          <w:color w:val="000000"/>
        </w:rPr>
        <w:t>. In mice, there was also no obvious myelosuppression in the MET group 7 d after taking CAP, though the related studies showed that 5-FU could cause severe myelosuppression after 7 d of administration</w:t>
      </w:r>
      <w:r>
        <w:rPr>
          <w:rFonts w:ascii="Book Antiqua" w:eastAsia="Book Antiqua" w:hAnsi="Book Antiqua" w:cs="Book Antiqua"/>
          <w:color w:val="000000"/>
          <w:vertAlign w:val="superscript"/>
        </w:rPr>
        <w:t>[35]</w:t>
      </w:r>
      <w:r>
        <w:rPr>
          <w:rFonts w:ascii="Book Antiqua" w:eastAsia="Book Antiqua" w:hAnsi="Book Antiqua" w:cs="Book Antiqua"/>
          <w:color w:val="000000"/>
        </w:rPr>
        <w:t>. TP is a key enzyme in the metabolism of CAP</w:t>
      </w:r>
      <w:r>
        <w:rPr>
          <w:rFonts w:ascii="Book Antiqua" w:eastAsia="Book Antiqua" w:hAnsi="Book Antiqua" w:cs="Book Antiqua"/>
          <w:color w:val="000000"/>
          <w:vertAlign w:val="superscript"/>
        </w:rPr>
        <w:t>[36]</w:t>
      </w:r>
      <w:r>
        <w:rPr>
          <w:rFonts w:ascii="Book Antiqua" w:eastAsia="Book Antiqua" w:hAnsi="Book Antiqua" w:cs="Book Antiqua"/>
          <w:color w:val="000000"/>
        </w:rPr>
        <w:t>. The lack of TP in bone marrow may explain the lack of bone marrow suppression of CAP</w:t>
      </w:r>
      <w:r>
        <w:rPr>
          <w:rFonts w:ascii="Book Antiqua" w:eastAsia="Book Antiqua" w:hAnsi="Book Antiqua" w:cs="Book Antiqua"/>
          <w:color w:val="000000"/>
          <w:vertAlign w:val="superscript"/>
        </w:rPr>
        <w:t>[11,13]</w:t>
      </w:r>
      <w:r>
        <w:rPr>
          <w:rFonts w:ascii="Book Antiqua" w:eastAsia="Book Antiqua" w:hAnsi="Book Antiqua" w:cs="Book Antiqua"/>
          <w:color w:val="000000"/>
        </w:rPr>
        <w:t>. In a past study, we established the safety of CAP in CAP-fed mice, which did not cause significant myelosuppression after 21 d of administration</w:t>
      </w:r>
      <w:r>
        <w:rPr>
          <w:rFonts w:ascii="Book Antiqua" w:eastAsia="Book Antiqua" w:hAnsi="Book Antiqua" w:cs="Book Antiqua"/>
          <w:color w:val="000000"/>
          <w:vertAlign w:val="superscript"/>
        </w:rPr>
        <w:t>[13]</w:t>
      </w:r>
      <w:r>
        <w:rPr>
          <w:rFonts w:ascii="Book Antiqua" w:eastAsia="Book Antiqua" w:hAnsi="Book Antiqua" w:cs="Book Antiqua"/>
          <w:color w:val="000000"/>
        </w:rPr>
        <w:t>. However, the depletion of lymphocytes is not related to bone marrow suppression, and the high expression of TP in lymphocytes directly leads to the killing effect of CAP</w:t>
      </w:r>
      <w:r>
        <w:rPr>
          <w:rFonts w:ascii="Book Antiqua" w:eastAsia="Book Antiqua" w:hAnsi="Book Antiqua" w:cs="Book Antiqua"/>
          <w:color w:val="000000"/>
          <w:vertAlign w:val="superscript"/>
        </w:rPr>
        <w:t>[11]</w:t>
      </w:r>
      <w:r>
        <w:rPr>
          <w:rFonts w:ascii="Book Antiqua" w:eastAsia="Book Antiqua" w:hAnsi="Book Antiqua" w:cs="Book Antiqua"/>
          <w:color w:val="000000"/>
        </w:rPr>
        <w:t>. CAP is safe for long-term use because it can circumvent the inhibitory effect of 5-FU on bone marrow hematopoietic function.</w:t>
      </w:r>
    </w:p>
    <w:p w14:paraId="1AD77369" w14:textId="77777777" w:rsidR="00D03248" w:rsidRDefault="0031688F">
      <w:pPr>
        <w:spacing w:line="360" w:lineRule="auto"/>
        <w:ind w:firstLine="420"/>
        <w:jc w:val="both"/>
        <w:rPr>
          <w:rFonts w:ascii="Book Antiqua" w:hAnsi="Book Antiqua"/>
        </w:rPr>
      </w:pPr>
      <w:r>
        <w:rPr>
          <w:rFonts w:ascii="Book Antiqua" w:eastAsia="Book Antiqua" w:hAnsi="Book Antiqua" w:cs="Book Antiqua"/>
          <w:color w:val="000000"/>
        </w:rPr>
        <w:t>When acute rejection occurs, immune cells mainly infiltrate the hilar region of the grafted liver, inducing pericentral inflammation, damaging the vascular and bile duct endothelium, damaging hepatocytes, and destroying the lobular structure</w:t>
      </w:r>
      <w:r>
        <w:rPr>
          <w:rFonts w:ascii="Book Antiqua" w:eastAsia="Book Antiqua" w:hAnsi="Book Antiqua" w:cs="Book Antiqua"/>
          <w:color w:val="000000"/>
          <w:vertAlign w:val="superscript"/>
        </w:rPr>
        <w:t>[37,38]</w:t>
      </w:r>
      <w:r>
        <w:rPr>
          <w:rFonts w:ascii="Book Antiqua" w:eastAsia="Book Antiqua" w:hAnsi="Book Antiqua" w:cs="Book Antiqua"/>
          <w:color w:val="000000"/>
        </w:rPr>
        <w:t>. CAP can preserve the function and structure of the transplanted liver by inhibiting acute rejection. Compared with the CON group, the Banff score was significantly lower in the MET group at 7 d after transplantation while the elevation of ALT and AST in the MET group was significantly less pronounced than that in the CON group. ALT and AST are primarily expressed in liver cells, and liver allograft destruction caused by rejection is positively associated with ALT and AST expression</w:t>
      </w:r>
      <w:r>
        <w:rPr>
          <w:rFonts w:ascii="Book Antiqua" w:eastAsia="Book Antiqua" w:hAnsi="Book Antiqua" w:cs="Book Antiqua"/>
          <w:color w:val="000000"/>
          <w:vertAlign w:val="superscript"/>
        </w:rPr>
        <w:t>[39,40]</w:t>
      </w:r>
      <w:r>
        <w:rPr>
          <w:rFonts w:ascii="Book Antiqua" w:eastAsia="Book Antiqua" w:hAnsi="Book Antiqua" w:cs="Book Antiqua"/>
          <w:color w:val="000000"/>
        </w:rPr>
        <w:t>. However, TBIL and DBIL in both groups showed an increasing trend after surgery with no significant difference between the two groups. It may be related to biliary tract injury and bilirubin stasis caused by the lack of hepatic artery reconstruction and the use of cannula reconstruction of the bile duct in the traditional rat “two-cuff method” orthotopic LT</w:t>
      </w:r>
      <w:r>
        <w:rPr>
          <w:rFonts w:ascii="Book Antiqua" w:eastAsia="Book Antiqua" w:hAnsi="Book Antiqua" w:cs="Book Antiqua"/>
          <w:color w:val="000000"/>
          <w:vertAlign w:val="superscript"/>
        </w:rPr>
        <w:t>[41]</w:t>
      </w:r>
      <w:r>
        <w:rPr>
          <w:rFonts w:ascii="Book Antiqua" w:eastAsia="Book Antiqua" w:hAnsi="Book Antiqua" w:cs="Book Antiqua"/>
          <w:color w:val="000000"/>
        </w:rPr>
        <w:t>.</w:t>
      </w:r>
    </w:p>
    <w:p w14:paraId="56734E99" w14:textId="77777777" w:rsidR="00D03248" w:rsidRDefault="0031688F">
      <w:pPr>
        <w:spacing w:line="360" w:lineRule="auto"/>
        <w:ind w:firstLine="420"/>
        <w:jc w:val="both"/>
        <w:rPr>
          <w:rFonts w:ascii="Book Antiqua" w:hAnsi="Book Antiqua"/>
        </w:rPr>
      </w:pPr>
      <w:r>
        <w:rPr>
          <w:rFonts w:ascii="Book Antiqua" w:eastAsia="Book Antiqua" w:hAnsi="Book Antiqua" w:cs="Book Antiqua"/>
          <w:color w:val="000000"/>
        </w:rPr>
        <w:t>Antigen presentation and T cell activation are key steps in rejection. Donor-derived antigen-presenting cells provide immune stimulation to recipient naive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known as the direct antigen presentation pathway, which is the main mode of activation </w:t>
      </w:r>
      <w:r>
        <w:rPr>
          <w:rFonts w:ascii="Book Antiqua" w:eastAsia="Book Antiqua" w:hAnsi="Book Antiqua" w:cs="Book Antiqua"/>
          <w:color w:val="000000"/>
        </w:rPr>
        <w:lastRenderedPageBreak/>
        <w:t>in acute rejection</w:t>
      </w:r>
      <w:r>
        <w:rPr>
          <w:rFonts w:ascii="Book Antiqua" w:eastAsia="Book Antiqua" w:hAnsi="Book Antiqua" w:cs="Book Antiqua"/>
          <w:color w:val="000000"/>
          <w:vertAlign w:val="superscript"/>
        </w:rPr>
        <w:t>[42,43]</w:t>
      </w:r>
      <w:r>
        <w:rPr>
          <w:rFonts w:ascii="Book Antiqua" w:eastAsia="Book Antiqua" w:hAnsi="Book Antiqua" w:cs="Book Antiqua"/>
          <w:color w:val="000000"/>
        </w:rPr>
        <w:t>. Once rejection is initiated,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mainly differentiate into cytotoxic T cells, which directly cause graft injury. CD4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can differentiate into many subtypes, mainly helper T cells (Th1, Th2, and Th17) and regulatory T cells (Treg). In acute rejection, T cells differentiate mainly to Th1, driven by pro-inflammatory cytokines such as IL-12 and IFN-γ. Th1 cells secrete IL-2 and IFN-γ, providing a positive feedback loop to stimulate Th1 cells to proliferate further. IFN-γ is usually associated with proinflammatory and immune activation processes while IL-2 is necessary for survival and effects of activated T cells. T cell activation, proliferation, differentiation, and migration are the immune basis of acute rejection after organ transplantation, and are often used as the targets of clinical immunosuppression</w:t>
      </w:r>
      <w:r>
        <w:rPr>
          <w:rFonts w:ascii="Book Antiqua" w:eastAsia="Book Antiqua" w:hAnsi="Book Antiqua" w:cs="Book Antiqua"/>
          <w:color w:val="000000"/>
          <w:vertAlign w:val="superscript"/>
        </w:rPr>
        <w:t>[42,44,45]</w:t>
      </w:r>
      <w:r>
        <w:rPr>
          <w:rFonts w:ascii="Book Antiqua" w:eastAsia="Book Antiqua" w:hAnsi="Book Antiqua" w:cs="Book Antiqua"/>
          <w:color w:val="000000"/>
        </w:rPr>
        <w:t>. The results of our study showed that IL-2 and IFN-γ were decreased in CAP treated rats. The changes in cytokines suggest that in addition to decreasing the number of T cells, CAP may also target Th0 cells’ differentiation. Since IFN-γ has a stimulatory effect on the secretion of TNF-α by M1 macrophages</w:t>
      </w:r>
      <w:r>
        <w:rPr>
          <w:rFonts w:ascii="Book Antiqua" w:eastAsia="Book Antiqua" w:hAnsi="Book Antiqua" w:cs="Book Antiqua"/>
          <w:color w:val="000000"/>
          <w:vertAlign w:val="superscript"/>
        </w:rPr>
        <w:t>[46]</w:t>
      </w:r>
      <w:r>
        <w:rPr>
          <w:rFonts w:ascii="Book Antiqua" w:eastAsia="Book Antiqua" w:hAnsi="Book Antiqua" w:cs="Book Antiqua"/>
          <w:color w:val="000000"/>
        </w:rPr>
        <w:t>, the decrease in TNF-α may be related to the inhibition of IL-2 secretion in T cells by CAP. By inducing the programmed death of T cells, CAP mitigates transplant rejection and protects graft function. Moreover, cytokines associated with rejection were also affected by CAP treatment. Metronomic CAP significantly reduced the levels of pro-inflammatory cytokines (IFN-γ, TNF-α, IL-2, and IL-12p70), which are mainly secreted by immune cells and contributing to rejection</w:t>
      </w:r>
      <w:r>
        <w:rPr>
          <w:rFonts w:ascii="Book Antiqua" w:eastAsia="Book Antiqua" w:hAnsi="Book Antiqua" w:cs="Book Antiqua"/>
          <w:color w:val="000000"/>
          <w:vertAlign w:val="superscript"/>
        </w:rPr>
        <w:t>[47-50]</w:t>
      </w:r>
      <w:r>
        <w:rPr>
          <w:rFonts w:ascii="Book Antiqua" w:eastAsia="Book Antiqua" w:hAnsi="Book Antiqua" w:cs="Book Antiqua"/>
          <w:color w:val="000000"/>
        </w:rPr>
        <w:t xml:space="preserve">. </w:t>
      </w:r>
    </w:p>
    <w:p w14:paraId="209B1A0D" w14:textId="77777777" w:rsidR="00D03248" w:rsidRDefault="0031688F">
      <w:pPr>
        <w:spacing w:line="360" w:lineRule="auto"/>
        <w:ind w:firstLine="420"/>
        <w:jc w:val="both"/>
        <w:rPr>
          <w:rFonts w:ascii="Book Antiqua" w:hAnsi="Book Antiqua"/>
        </w:rPr>
      </w:pPr>
      <w:r>
        <w:rPr>
          <w:rFonts w:ascii="Book Antiqua" w:eastAsia="Book Antiqua" w:hAnsi="Book Antiqua" w:cs="Book Antiqua"/>
          <w:color w:val="000000"/>
        </w:rPr>
        <w:t>The data from our study demonstrated that the selective cytotoxic effect of the T cells of metronomic CAP is crucial for the prevention of acute organ transplant rejection. Next, we further explored the mechanism underlying the immunosuppressive effect of metronomic CAP by studying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more details. Mitochondria is a main source of ROS and mitochondria ROS is a critical component of T cell activation, proliferation, and effector function of T cells</w:t>
      </w:r>
      <w:r>
        <w:rPr>
          <w:rFonts w:ascii="Book Antiqua" w:eastAsia="Book Antiqua" w:hAnsi="Book Antiqua" w:cs="Book Antiqua"/>
          <w:color w:val="000000"/>
          <w:vertAlign w:val="superscript"/>
        </w:rPr>
        <w:t>[51-53]</w:t>
      </w:r>
      <w:r>
        <w:rPr>
          <w:rFonts w:ascii="Book Antiqua" w:eastAsia="Book Antiqua" w:hAnsi="Book Antiqua" w:cs="Book Antiqua"/>
          <w:color w:val="000000"/>
        </w:rPr>
        <w:t>. However, excessive ROS production, inducible by a high level of iron, leads to ROS-mediated membrane phospholipid peroxidation and T cell death upon activation</w:t>
      </w:r>
      <w:r>
        <w:rPr>
          <w:rFonts w:ascii="Book Antiqua" w:eastAsia="Book Antiqua" w:hAnsi="Book Antiqua" w:cs="Book Antiqua"/>
          <w:color w:val="000000"/>
          <w:vertAlign w:val="superscript"/>
        </w:rPr>
        <w:t>[54]</w:t>
      </w:r>
      <w:r>
        <w:rPr>
          <w:rFonts w:ascii="Book Antiqua" w:eastAsia="Book Antiqua" w:hAnsi="Book Antiqua" w:cs="Book Antiqua"/>
          <w:color w:val="000000"/>
        </w:rPr>
        <w:t>. Thus, we investigated the effect of CAP on the level of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 ferrous ions with a ferrous probe and found that CAP treatment induced ferrous ion accumulation, accompanied by increased ROS and lipid ROS and decreased MMP. </w:t>
      </w:r>
      <w:r>
        <w:rPr>
          <w:rFonts w:ascii="Book Antiqua" w:eastAsia="Book Antiqua" w:hAnsi="Book Antiqua" w:cs="Book Antiqua"/>
          <w:color w:val="000000"/>
        </w:rPr>
        <w:lastRenderedPageBreak/>
        <w:t>Mitochondrial ROS production and MMP reduction are two important parameters of mitochondrial damage, and lipid peroxidation following ROS generation plays an important role in ROS-induced cellular damage</w:t>
      </w:r>
      <w:r>
        <w:rPr>
          <w:rFonts w:ascii="Book Antiqua" w:eastAsia="Book Antiqua" w:hAnsi="Book Antiqua" w:cs="Book Antiqua"/>
          <w:color w:val="000000"/>
          <w:vertAlign w:val="superscript"/>
        </w:rPr>
        <w:t>[55-57]</w:t>
      </w:r>
      <w:r>
        <w:rPr>
          <w:rFonts w:ascii="Book Antiqua" w:eastAsia="Book Antiqua" w:hAnsi="Book Antiqua" w:cs="Book Antiqua"/>
          <w:color w:val="000000"/>
        </w:rPr>
        <w:t>. These results indicate that metronomic CAP increased ferrous ion accumulation and oxidative damage in the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of rats after transplantation, which may be the mechanism behind CAP-induced T cell reduction. Next, we used rat and human primary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to further explore the role of ferroptosis in CAP-induced immunosuppression </w:t>
      </w:r>
      <w:r>
        <w:rPr>
          <w:rFonts w:ascii="Book Antiqua" w:eastAsia="Book Antiqua" w:hAnsi="Book Antiqua" w:cs="Book Antiqua"/>
          <w:i/>
          <w:iCs/>
          <w:color w:val="000000"/>
        </w:rPr>
        <w:t>in vitro</w:t>
      </w:r>
      <w:r>
        <w:rPr>
          <w:rFonts w:ascii="Book Antiqua" w:eastAsia="Book Antiqua" w:hAnsi="Book Antiqua" w:cs="Book Antiqua"/>
          <w:color w:val="000000"/>
        </w:rPr>
        <w:t>. Free ferrous iron overload, lipid peroxide accumulation, and specific mitochondrial morphological changes are three key characteristics that distinguish ferroptosis from other programmed cell deaths</w:t>
      </w:r>
      <w:r>
        <w:rPr>
          <w:rFonts w:ascii="Book Antiqua" w:eastAsia="Book Antiqua" w:hAnsi="Book Antiqua" w:cs="Book Antiqua"/>
          <w:color w:val="000000"/>
          <w:vertAlign w:val="superscript"/>
        </w:rPr>
        <w:t>[14]</w:t>
      </w:r>
      <w:r>
        <w:rPr>
          <w:rFonts w:ascii="Book Antiqua" w:eastAsia="Book Antiqua" w:hAnsi="Book Antiqua" w:cs="Book Antiqua"/>
          <w:color w:val="000000"/>
        </w:rPr>
        <w:t>. In this study, typical mitochondrial changes were observed in T cells of the 5-FU group under transmission electron microscopy. Ferrous ion in rat primary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of the 5-FU group was increased with the downregulation of FTH1 and upregulation of NCOA4, revealing the occurrence of ferritinophagy. That is, the autophagic degradation of ferritin, contributed to rat T cell ferrous overload, excessive lipid peroxidation, and eventually ferroptosis in the 5-FU group. Nrf2 is a core player in the regulation of antioxidant molecules in cells, which can induce the synthesis of HO-1 and GPX4</w:t>
      </w:r>
      <w:r>
        <w:rPr>
          <w:rFonts w:ascii="Book Antiqua" w:eastAsia="Book Antiqua" w:hAnsi="Book Antiqua" w:cs="Book Antiqua"/>
          <w:color w:val="000000"/>
          <w:vertAlign w:val="superscript"/>
        </w:rPr>
        <w:t>[20,58]</w:t>
      </w:r>
      <w:r>
        <w:rPr>
          <w:rFonts w:ascii="Book Antiqua" w:eastAsia="Book Antiqua" w:hAnsi="Book Antiqua" w:cs="Book Antiqua"/>
          <w:color w:val="000000"/>
        </w:rPr>
        <w:t>. The Nrf2-HO-1/GPX4 antioxidative system, which participates in the regulation of oxidative damage and inhibits erastin-induced ferroptosis</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was suppressed by 5-FU </w:t>
      </w:r>
      <w:r>
        <w:rPr>
          <w:rFonts w:ascii="Book Antiqua" w:eastAsia="Book Antiqua" w:hAnsi="Book Antiqua" w:cs="Book Antiqua"/>
          <w:i/>
          <w:iCs/>
          <w:color w:val="000000"/>
        </w:rPr>
        <w:t>in vitro</w:t>
      </w:r>
      <w:r>
        <w:rPr>
          <w:rFonts w:ascii="Book Antiqua" w:eastAsia="Book Antiqua" w:hAnsi="Book Antiqua" w:cs="Book Antiqua"/>
          <w:color w:val="000000"/>
        </w:rPr>
        <w:t>. It also reduced GSH levels, indicative of impairment of antioxidant capacity, and improved the levels of MDA, an end-product of lipid peroxidation.</w:t>
      </w:r>
    </w:p>
    <w:p w14:paraId="79432FB9" w14:textId="77777777" w:rsidR="00D03248" w:rsidRDefault="0031688F">
      <w:pPr>
        <w:spacing w:line="360" w:lineRule="auto"/>
        <w:ind w:firstLine="420"/>
        <w:jc w:val="both"/>
        <w:rPr>
          <w:rFonts w:ascii="Book Antiqua" w:hAnsi="Book Antiqua"/>
        </w:rPr>
      </w:pPr>
      <w:r>
        <w:rPr>
          <w:rFonts w:ascii="Book Antiqua" w:eastAsia="Book Antiqua" w:hAnsi="Book Antiqua" w:cs="Book Antiqua"/>
          <w:color w:val="000000"/>
        </w:rPr>
        <w:t xml:space="preserve">In this study, we showed that metronomic CAP alleviated rat LT rejection without the common side effect (myelosuppression) of antitumor drugs. T cell ferroptosis plays an important role in the antirejection effect of CAP, which can induce cell iron overload and suppress the Nrf2-HO-1/GPX4 antioxidant systems, directly increasing the levels of intracellular ROS, leading to severe mitochondrial damage in T cells. These results revealed a new mechanism of CAP-induced T cell programmed death and suggested the possibility of using CAP as an immunosuppressant after transplantation. As a traditional antitumor drug, CAP has immunosuppressive effects, that may kill tumor cells and </w:t>
      </w:r>
      <w:r>
        <w:rPr>
          <w:rFonts w:ascii="Book Antiqua" w:eastAsia="Book Antiqua" w:hAnsi="Book Antiqua" w:cs="Book Antiqua"/>
          <w:color w:val="000000"/>
        </w:rPr>
        <w:lastRenderedPageBreak/>
        <w:t>induce T cell death at the same time. CAP may have both antirejection and antitumor effects on patients with HCC after LT, thereby having broad clinical application prospects. In light of our findings, CAP alone as an immunosuppressive agent does not achieve satisfactory therapeutic effects. Therefore, the combination and interaction of CAP with other immunosuppressive agents is an important research direction in the future. In addition, we observed interesting effects of CAP on different cytokines, but further observations were lacking. The effects of CAP on T cell subsets and other immune cells are worth further attention. In the future, we plan to establish tumor-bearing animal models for allotransplantation, to clarify the dual antirejection and antitumor effects of CAP. In conclusion, the immunosuppressive effect of CAP should be further explored to optimize the drug treatment regimen for LT patients with liver cancer.</w:t>
      </w:r>
    </w:p>
    <w:p w14:paraId="218AC598" w14:textId="77777777" w:rsidR="00D03248" w:rsidRDefault="00D03248">
      <w:pPr>
        <w:spacing w:line="360" w:lineRule="auto"/>
        <w:ind w:firstLine="420"/>
        <w:jc w:val="both"/>
        <w:rPr>
          <w:rFonts w:ascii="Book Antiqua" w:hAnsi="Book Antiqua"/>
        </w:rPr>
      </w:pPr>
    </w:p>
    <w:p w14:paraId="63CB1595" w14:textId="77777777" w:rsidR="00D03248" w:rsidRDefault="0031688F">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107EC45"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Metronomic CAP can alleviate liver graft injury and reduce the proliferation and infiltration of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peripheral blood, graft, and spleen, thereby inhibiting acute rejection after LT. T cell ferroptosis plays an important role in the antirejection effect of CAP, which can induce cell iron overload and suppress the Nrf2-HO-1/GPX4 antioxidant systems, thereby directly increasing the levels of intracellular ROS and leading to severe oxidative damage in T cells.</w:t>
      </w:r>
    </w:p>
    <w:p w14:paraId="27FFBF33" w14:textId="77777777" w:rsidR="00D03248" w:rsidRDefault="00D03248">
      <w:pPr>
        <w:spacing w:line="360" w:lineRule="auto"/>
        <w:jc w:val="both"/>
        <w:rPr>
          <w:rFonts w:ascii="Book Antiqua" w:hAnsi="Book Antiqua"/>
        </w:rPr>
      </w:pPr>
    </w:p>
    <w:p w14:paraId="1956E0D9" w14:textId="77777777" w:rsidR="00D03248" w:rsidRDefault="0031688F">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4FC913A" w14:textId="77777777" w:rsidR="00D03248" w:rsidRDefault="0031688F">
      <w:pPr>
        <w:spacing w:line="360" w:lineRule="auto"/>
        <w:jc w:val="both"/>
        <w:rPr>
          <w:rFonts w:ascii="Book Antiqua" w:hAnsi="Book Antiqua"/>
        </w:rPr>
      </w:pPr>
      <w:r>
        <w:rPr>
          <w:rFonts w:ascii="Book Antiqua" w:eastAsia="Book Antiqua" w:hAnsi="Book Antiqua" w:cs="Book Antiqua"/>
          <w:b/>
          <w:i/>
          <w:color w:val="000000"/>
        </w:rPr>
        <w:t>Research background</w:t>
      </w:r>
    </w:p>
    <w:p w14:paraId="585C3C97"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As a classical antimetabolite, capecitabine</w:t>
      </w:r>
      <w:r>
        <w:rPr>
          <w:rFonts w:ascii="Book Antiqua" w:hAnsi="Book Antiqua" w:cs="Book Antiqua" w:hint="eastAsia"/>
          <w:color w:val="000000"/>
          <w:lang w:eastAsia="zh-CN"/>
        </w:rPr>
        <w:t xml:space="preserve"> (</w:t>
      </w:r>
      <w:r>
        <w:rPr>
          <w:rFonts w:ascii="Book Antiqua" w:eastAsia="Book Antiqua" w:hAnsi="Book Antiqua" w:cs="Book Antiqua"/>
          <w:color w:val="000000"/>
        </w:rPr>
        <w:t>CAP</w:t>
      </w:r>
      <w:r>
        <w:rPr>
          <w:rFonts w:ascii="Book Antiqua" w:hAnsi="Book Antiqua" w:cs="Book Antiqua" w:hint="eastAsia"/>
          <w:color w:val="000000"/>
          <w:lang w:eastAsia="zh-CN"/>
        </w:rPr>
        <w:t>)</w:t>
      </w:r>
      <w:r>
        <w:rPr>
          <w:rFonts w:ascii="Book Antiqua" w:eastAsia="Book Antiqua" w:hAnsi="Book Antiqua" w:cs="Book Antiqua"/>
          <w:color w:val="000000"/>
        </w:rPr>
        <w:t xml:space="preserve"> has shown potential antirejection effects after liver transplantation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w:t>
      </w:r>
      <w:r>
        <w:rPr>
          <w:rFonts w:ascii="Book Antiqua" w:eastAsia="Book Antiqua" w:hAnsi="Book Antiqua" w:cs="Book Antiqua"/>
          <w:color w:val="000000"/>
        </w:rPr>
        <w:t xml:space="preserve"> in clinical trials. Our previous study showed that metronomic CAP can cause programmed T cell death in healthy mice by inducing oxidative stress, which is also the key step in ferroptosis. Thus, ferroptosis may play an important role in CAP-induced T cell death and an immunosuppressive role in acute rejection after transplantation.</w:t>
      </w:r>
    </w:p>
    <w:p w14:paraId="658D5F3B" w14:textId="77777777" w:rsidR="00D03248" w:rsidRDefault="00D03248">
      <w:pPr>
        <w:spacing w:line="360" w:lineRule="auto"/>
        <w:jc w:val="both"/>
        <w:rPr>
          <w:rFonts w:ascii="Book Antiqua" w:hAnsi="Book Antiqua"/>
        </w:rPr>
      </w:pPr>
    </w:p>
    <w:p w14:paraId="7B8B5204" w14:textId="77777777" w:rsidR="00D03248" w:rsidRDefault="0031688F">
      <w:pPr>
        <w:spacing w:line="360" w:lineRule="auto"/>
        <w:jc w:val="both"/>
        <w:rPr>
          <w:rFonts w:ascii="Book Antiqua" w:hAnsi="Book Antiqua"/>
        </w:rPr>
      </w:pPr>
      <w:r>
        <w:rPr>
          <w:rFonts w:ascii="Book Antiqua" w:eastAsia="Book Antiqua" w:hAnsi="Book Antiqua" w:cs="Book Antiqua"/>
          <w:b/>
          <w:i/>
          <w:color w:val="000000"/>
        </w:rPr>
        <w:lastRenderedPageBreak/>
        <w:t>Research motivation</w:t>
      </w:r>
    </w:p>
    <w:p w14:paraId="2AD65FC3"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This study investigated the immunosuppressive effect of metronomic CAP in rat LT and its mechanism, which may be used as an immunosuppressive agent after LT to improve the prognosis of liver transplant patients with hepatocellular carcinoma.</w:t>
      </w:r>
    </w:p>
    <w:p w14:paraId="7D247C80" w14:textId="77777777" w:rsidR="00D03248" w:rsidRDefault="00D03248">
      <w:pPr>
        <w:spacing w:line="360" w:lineRule="auto"/>
        <w:jc w:val="both"/>
        <w:rPr>
          <w:rFonts w:ascii="Book Antiqua" w:hAnsi="Book Antiqua"/>
        </w:rPr>
      </w:pPr>
    </w:p>
    <w:p w14:paraId="7BC93155" w14:textId="77777777" w:rsidR="00D03248" w:rsidRDefault="0031688F">
      <w:pPr>
        <w:spacing w:line="360" w:lineRule="auto"/>
        <w:jc w:val="both"/>
        <w:rPr>
          <w:rFonts w:ascii="Book Antiqua" w:hAnsi="Book Antiqua"/>
        </w:rPr>
      </w:pPr>
      <w:r>
        <w:rPr>
          <w:rFonts w:ascii="Book Antiqua" w:eastAsia="Book Antiqua" w:hAnsi="Book Antiqua" w:cs="Book Antiqua"/>
          <w:b/>
          <w:i/>
          <w:color w:val="000000"/>
        </w:rPr>
        <w:t>Research objectives</w:t>
      </w:r>
    </w:p>
    <w:p w14:paraId="70768D60"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The objective of this study was to investigate the possibility of using CAP as an anti-rejection agent after transplantation. The results showed that metronomic CAP could exert an immunosuppressive effect by inducing T cell ferroptosis, which provided a basis for investigating CAP as part of an immunosuppressive regimen.</w:t>
      </w:r>
    </w:p>
    <w:p w14:paraId="0F1A93B0" w14:textId="77777777" w:rsidR="00D03248" w:rsidRDefault="00D03248">
      <w:pPr>
        <w:spacing w:line="360" w:lineRule="auto"/>
        <w:jc w:val="both"/>
        <w:rPr>
          <w:rFonts w:ascii="Book Antiqua" w:hAnsi="Book Antiqua"/>
        </w:rPr>
      </w:pPr>
    </w:p>
    <w:p w14:paraId="09A08B80" w14:textId="77777777" w:rsidR="00D03248" w:rsidRDefault="0031688F">
      <w:pPr>
        <w:spacing w:line="360" w:lineRule="auto"/>
        <w:jc w:val="both"/>
        <w:rPr>
          <w:rFonts w:ascii="Book Antiqua" w:hAnsi="Book Antiqua"/>
        </w:rPr>
      </w:pPr>
      <w:r>
        <w:rPr>
          <w:rFonts w:ascii="Book Antiqua" w:eastAsia="Book Antiqua" w:hAnsi="Book Antiqua" w:cs="Book Antiqua"/>
          <w:b/>
          <w:i/>
          <w:color w:val="000000"/>
        </w:rPr>
        <w:t>Research methods</w:t>
      </w:r>
    </w:p>
    <w:p w14:paraId="6F1468B1"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 xml:space="preserve">A rat LT model of acute rejection was established, and the effect of metronomic CAP on splenic hematopoietic function and acute graft rejection was evaluated 7 d after transplantation. </w:t>
      </w:r>
      <w:r>
        <w:rPr>
          <w:rFonts w:ascii="Book Antiqua" w:eastAsia="Book Antiqua" w:hAnsi="Book Antiqua" w:cs="Book Antiqua"/>
          <w:i/>
          <w:iCs/>
          <w:color w:val="000000"/>
        </w:rPr>
        <w:t>In vitro</w:t>
      </w:r>
      <w:r>
        <w:rPr>
          <w:rFonts w:ascii="Book Antiqua" w:eastAsia="Book Antiqua" w:hAnsi="Book Antiqua" w:cs="Book Antiqua"/>
          <w:color w:val="000000"/>
        </w:rPr>
        <w:t>, primary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were sorted and co-cultured with or without 5-fluorouracil</w:t>
      </w:r>
      <w:r>
        <w:rPr>
          <w:rFonts w:ascii="Book Antiqua" w:hAnsi="Book Antiqua" w:cs="Book Antiqua" w:hint="eastAsia"/>
          <w:color w:val="000000"/>
          <w:lang w:eastAsia="zh-CN"/>
        </w:rPr>
        <w:t xml:space="preserve"> (</w:t>
      </w:r>
      <w:r>
        <w:rPr>
          <w:rFonts w:ascii="Book Antiqua" w:eastAsia="Book Antiqua" w:hAnsi="Book Antiqua" w:cs="Book Antiqua"/>
          <w:color w:val="000000"/>
        </w:rPr>
        <w:t>5-FU</w:t>
      </w:r>
      <w:r>
        <w:rPr>
          <w:rFonts w:ascii="Book Antiqua" w:hAnsi="Book Antiqua" w:cs="Book Antiqua" w:hint="eastAsia"/>
          <w:color w:val="000000"/>
          <w:lang w:eastAsia="zh-CN"/>
        </w:rPr>
        <w:t>)</w:t>
      </w:r>
      <w:r>
        <w:rPr>
          <w:rFonts w:ascii="Book Antiqua" w:eastAsia="Book Antiqua" w:hAnsi="Book Antiqua" w:cs="Book Antiqua"/>
          <w:color w:val="000000"/>
        </w:rPr>
        <w:t xml:space="preserve"> (active agent of CAP). The levels of ferroptosis-related proteins, ferrous ion concentration, and oxidative stress-related indicators were observed. The changes in mitochondrial structure were observed using electron microscopy.</w:t>
      </w:r>
    </w:p>
    <w:p w14:paraId="7D013B2B" w14:textId="77777777" w:rsidR="00D03248" w:rsidRDefault="00D03248">
      <w:pPr>
        <w:spacing w:line="360" w:lineRule="auto"/>
        <w:jc w:val="both"/>
        <w:rPr>
          <w:rFonts w:ascii="Book Antiqua" w:hAnsi="Book Antiqua"/>
        </w:rPr>
      </w:pPr>
    </w:p>
    <w:p w14:paraId="3347DDFA" w14:textId="77777777" w:rsidR="00D03248" w:rsidRDefault="0031688F">
      <w:pPr>
        <w:spacing w:line="360" w:lineRule="auto"/>
        <w:jc w:val="both"/>
        <w:rPr>
          <w:rFonts w:ascii="Book Antiqua" w:hAnsi="Book Antiqua"/>
        </w:rPr>
      </w:pPr>
      <w:r>
        <w:rPr>
          <w:rFonts w:ascii="Book Antiqua" w:eastAsia="Book Antiqua" w:hAnsi="Book Antiqua" w:cs="Book Antiqua"/>
          <w:b/>
          <w:i/>
          <w:color w:val="000000"/>
        </w:rPr>
        <w:t>Research results</w:t>
      </w:r>
    </w:p>
    <w:p w14:paraId="671B9550"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With no significant myelotoxicity, metronomic CAP alleviated graft injury, prolonged the survival time of the recipient rats, and reduced the infiltration rate of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peripheral blood, liver graft, and spleen, thereby inhibiting acute rejection after LT. In </w:t>
      </w:r>
      <w:r>
        <w:rPr>
          <w:rFonts w:ascii="Book Antiqua" w:eastAsia="Book Antiqua" w:hAnsi="Book Antiqua" w:cs="Book Antiqua"/>
          <w:i/>
          <w:iCs/>
          <w:color w:val="000000"/>
        </w:rPr>
        <w:t>vitro</w:t>
      </w:r>
      <w:r>
        <w:rPr>
          <w:rFonts w:ascii="Book Antiqua" w:eastAsia="Book Antiqua" w:hAnsi="Book Antiqua" w:cs="Book Antiqua"/>
          <w:color w:val="000000"/>
        </w:rPr>
        <w:t>, 5-FU, an end product of CAP metabolism, induced the degradation of the ferritin heavy chain by upregulating nuclear receptor coactivator 4, which caused the accumulation of ferrous ions. It also inhibited nuclear erythroid 2 p45-related factor 2, heme oxygenase-1, and glutathione peroxidase 4, eventually leading to oxidative damage and ferroptosis of T cells.</w:t>
      </w:r>
    </w:p>
    <w:p w14:paraId="283C0192" w14:textId="77777777" w:rsidR="00D03248" w:rsidRDefault="00D03248">
      <w:pPr>
        <w:spacing w:line="360" w:lineRule="auto"/>
        <w:jc w:val="both"/>
        <w:rPr>
          <w:rFonts w:ascii="Book Antiqua" w:hAnsi="Book Antiqua"/>
        </w:rPr>
      </w:pPr>
    </w:p>
    <w:p w14:paraId="2114F9E9" w14:textId="77777777" w:rsidR="00D03248" w:rsidRDefault="0031688F">
      <w:pPr>
        <w:spacing w:line="360" w:lineRule="auto"/>
        <w:jc w:val="both"/>
        <w:rPr>
          <w:rFonts w:ascii="Book Antiqua" w:hAnsi="Book Antiqua"/>
        </w:rPr>
      </w:pPr>
      <w:r>
        <w:rPr>
          <w:rFonts w:ascii="Book Antiqua" w:eastAsia="Book Antiqua" w:hAnsi="Book Antiqua" w:cs="Book Antiqua"/>
          <w:b/>
          <w:i/>
          <w:color w:val="000000"/>
        </w:rPr>
        <w:lastRenderedPageBreak/>
        <w:t>Research conclusions</w:t>
      </w:r>
    </w:p>
    <w:p w14:paraId="3CC41824"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Metronomic CAP can alleviate liver graft injury and reduce the proliferation and infiltration of CD3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cells in peripheral blood, graft, and spleen by inducing T cell oxidative damage and ferroptosis, thereby inhibiting acute rejection after LT. </w:t>
      </w:r>
    </w:p>
    <w:p w14:paraId="49DEF545" w14:textId="77777777" w:rsidR="00D03248" w:rsidRDefault="00D03248">
      <w:pPr>
        <w:spacing w:line="360" w:lineRule="auto"/>
        <w:jc w:val="both"/>
        <w:rPr>
          <w:rFonts w:ascii="Book Antiqua" w:hAnsi="Book Antiqua"/>
        </w:rPr>
      </w:pPr>
    </w:p>
    <w:p w14:paraId="097429E4" w14:textId="77777777" w:rsidR="00D03248" w:rsidRDefault="0031688F">
      <w:pPr>
        <w:spacing w:line="360" w:lineRule="auto"/>
        <w:jc w:val="both"/>
        <w:rPr>
          <w:rFonts w:ascii="Book Antiqua" w:hAnsi="Book Antiqua"/>
        </w:rPr>
      </w:pPr>
      <w:r>
        <w:rPr>
          <w:rFonts w:ascii="Book Antiqua" w:eastAsia="Book Antiqua" w:hAnsi="Book Antiqua" w:cs="Book Antiqua"/>
          <w:b/>
          <w:i/>
          <w:color w:val="000000"/>
        </w:rPr>
        <w:t>Research perspectives</w:t>
      </w:r>
    </w:p>
    <w:p w14:paraId="4877D0CA"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The combination and interaction of CAP with other immunosuppressive agents is an important research direction in the future. In addition, the effects of CAP on T cell subsets and other immune cells are worth further attention. Besides, we plan to establish tumor-bearing animal models for allotransplantation, to clarify the dual antirejection and antitumor effects of CAP.</w:t>
      </w:r>
      <w:r>
        <w:rPr>
          <w:rFonts w:ascii="Book Antiqua" w:eastAsia="Book Antiqua" w:hAnsi="Book Antiqua" w:cs="Book Antiqua"/>
          <w:b/>
          <w:bCs/>
          <w:color w:val="000000"/>
        </w:rPr>
        <w:t xml:space="preserve"> </w:t>
      </w:r>
    </w:p>
    <w:p w14:paraId="3791C1BB" w14:textId="77777777" w:rsidR="00D03248" w:rsidRDefault="00D03248">
      <w:pPr>
        <w:spacing w:line="360" w:lineRule="auto"/>
        <w:jc w:val="both"/>
        <w:rPr>
          <w:rFonts w:ascii="Book Antiqua" w:hAnsi="Book Antiqua"/>
        </w:rPr>
      </w:pPr>
    </w:p>
    <w:p w14:paraId="6DC1EF6F"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REFERENCES</w:t>
      </w:r>
    </w:p>
    <w:p w14:paraId="440B609F" w14:textId="77777777" w:rsidR="00D03248" w:rsidRDefault="0031688F">
      <w:pPr>
        <w:spacing w:line="360" w:lineRule="auto"/>
        <w:jc w:val="both"/>
        <w:rPr>
          <w:rFonts w:ascii="Book Antiqua" w:hAnsi="Book Antiqua"/>
        </w:rPr>
      </w:pPr>
      <w:r>
        <w:rPr>
          <w:rFonts w:ascii="Book Antiqua" w:hAnsi="Book Antiqua"/>
        </w:rPr>
        <w:t xml:space="preserve">1 </w:t>
      </w:r>
      <w:r>
        <w:rPr>
          <w:rFonts w:ascii="Book Antiqua" w:hAnsi="Book Antiqua"/>
          <w:b/>
          <w:bCs/>
        </w:rPr>
        <w:t>Vivarelli M</w:t>
      </w:r>
      <w:r>
        <w:rPr>
          <w:rFonts w:ascii="Book Antiqua" w:hAnsi="Book Antiqua"/>
        </w:rPr>
        <w:t xml:space="preserve">, Cucchetti A, La Barba G, Ravaioli M, Del Gaudio M, Lauro A, Grazi GL, Pinna AD. Liver transplantation for hepatocellular carcinoma under calcineurin inhibitors: reassessment of risk factors for tumor recurrence. </w:t>
      </w:r>
      <w:r>
        <w:rPr>
          <w:rFonts w:ascii="Book Antiqua" w:hAnsi="Book Antiqua"/>
          <w:i/>
          <w:iCs/>
        </w:rPr>
        <w:t>Ann Surg</w:t>
      </w:r>
      <w:r>
        <w:rPr>
          <w:rFonts w:ascii="Book Antiqua" w:hAnsi="Book Antiqua"/>
        </w:rPr>
        <w:t xml:space="preserve"> 2008; </w:t>
      </w:r>
      <w:r>
        <w:rPr>
          <w:rFonts w:ascii="Book Antiqua" w:hAnsi="Book Antiqua"/>
          <w:b/>
          <w:bCs/>
        </w:rPr>
        <w:t>248</w:t>
      </w:r>
      <w:r>
        <w:rPr>
          <w:rFonts w:ascii="Book Antiqua" w:hAnsi="Book Antiqua"/>
        </w:rPr>
        <w:t>: 857-862 [PMID: 18948815 DOI: 10.1097/SLA.0b013e3181896278]</w:t>
      </w:r>
    </w:p>
    <w:p w14:paraId="038691CD" w14:textId="77777777" w:rsidR="00D03248" w:rsidRDefault="0031688F">
      <w:pPr>
        <w:spacing w:line="360" w:lineRule="auto"/>
        <w:jc w:val="both"/>
        <w:rPr>
          <w:rFonts w:ascii="Book Antiqua" w:hAnsi="Book Antiqua"/>
        </w:rPr>
      </w:pPr>
      <w:r>
        <w:rPr>
          <w:rFonts w:ascii="Book Antiqua" w:hAnsi="Book Antiqua"/>
        </w:rPr>
        <w:t xml:space="preserve">2 </w:t>
      </w:r>
      <w:r>
        <w:rPr>
          <w:rFonts w:ascii="Book Antiqua" w:hAnsi="Book Antiqua"/>
          <w:b/>
          <w:bCs/>
        </w:rPr>
        <w:t>Gish RG</w:t>
      </w:r>
      <w:r>
        <w:rPr>
          <w:rFonts w:ascii="Book Antiqua" w:hAnsi="Book Antiqua"/>
        </w:rPr>
        <w:t xml:space="preserve">. Hepatocellular carcinoma: overcoming challenges in disease management. </w:t>
      </w:r>
      <w:r>
        <w:rPr>
          <w:rFonts w:ascii="Book Antiqua" w:hAnsi="Book Antiqua"/>
          <w:i/>
          <w:iCs/>
        </w:rPr>
        <w:t>Clin Gastroenterol Hepatol</w:t>
      </w:r>
      <w:r>
        <w:rPr>
          <w:rFonts w:ascii="Book Antiqua" w:hAnsi="Book Antiqua"/>
        </w:rPr>
        <w:t xml:space="preserve"> 2006; </w:t>
      </w:r>
      <w:r>
        <w:rPr>
          <w:rFonts w:ascii="Book Antiqua" w:hAnsi="Book Antiqua"/>
          <w:b/>
          <w:bCs/>
        </w:rPr>
        <w:t>4</w:t>
      </w:r>
      <w:r>
        <w:rPr>
          <w:rFonts w:ascii="Book Antiqua" w:hAnsi="Book Antiqua"/>
        </w:rPr>
        <w:t>: 252-261 [PMID: 16527686 DOI: 10.1016/j.cgh.2006.01.001]</w:t>
      </w:r>
    </w:p>
    <w:p w14:paraId="5C941760" w14:textId="77777777" w:rsidR="00D03248" w:rsidRDefault="0031688F">
      <w:pPr>
        <w:spacing w:line="360" w:lineRule="auto"/>
        <w:jc w:val="both"/>
        <w:rPr>
          <w:rFonts w:ascii="Book Antiqua" w:hAnsi="Book Antiqua"/>
        </w:rPr>
      </w:pPr>
      <w:r>
        <w:rPr>
          <w:rFonts w:ascii="Book Antiqua" w:hAnsi="Book Antiqua"/>
        </w:rPr>
        <w:t xml:space="preserve">3 </w:t>
      </w:r>
      <w:r>
        <w:rPr>
          <w:rFonts w:ascii="Book Antiqua" w:hAnsi="Book Antiqua"/>
          <w:b/>
          <w:bCs/>
        </w:rPr>
        <w:t>Kawahara T</w:t>
      </w:r>
      <w:r>
        <w:rPr>
          <w:rFonts w:ascii="Book Antiqua" w:hAnsi="Book Antiqua"/>
        </w:rPr>
        <w:t xml:space="preserve">, Asthana S, Kneteman NM. m-TOR inhibitors: what role in liver transplantation? </w:t>
      </w:r>
      <w:r>
        <w:rPr>
          <w:rFonts w:ascii="Book Antiqua" w:hAnsi="Book Antiqua"/>
          <w:i/>
          <w:iCs/>
        </w:rPr>
        <w:t>J Hepatol</w:t>
      </w:r>
      <w:r>
        <w:rPr>
          <w:rFonts w:ascii="Book Antiqua" w:hAnsi="Book Antiqua"/>
        </w:rPr>
        <w:t xml:space="preserve"> 2011; </w:t>
      </w:r>
      <w:r>
        <w:rPr>
          <w:rFonts w:ascii="Book Antiqua" w:hAnsi="Book Antiqua"/>
          <w:b/>
          <w:bCs/>
        </w:rPr>
        <w:t>55</w:t>
      </w:r>
      <w:r>
        <w:rPr>
          <w:rFonts w:ascii="Book Antiqua" w:hAnsi="Book Antiqua"/>
        </w:rPr>
        <w:t>: 1441-1451 [PMID: 21781947 DOI: 10.1016/j.jhep.2011.06.015]</w:t>
      </w:r>
    </w:p>
    <w:p w14:paraId="385196AA" w14:textId="77777777" w:rsidR="00D03248" w:rsidRDefault="0031688F">
      <w:pPr>
        <w:spacing w:line="360" w:lineRule="auto"/>
        <w:jc w:val="both"/>
        <w:rPr>
          <w:rFonts w:ascii="Book Antiqua" w:hAnsi="Book Antiqua"/>
        </w:rPr>
      </w:pPr>
      <w:r>
        <w:rPr>
          <w:rFonts w:ascii="Book Antiqua" w:hAnsi="Book Antiqua"/>
        </w:rPr>
        <w:t xml:space="preserve">4 </w:t>
      </w:r>
      <w:r>
        <w:rPr>
          <w:rFonts w:ascii="Book Antiqua" w:hAnsi="Book Antiqua"/>
          <w:b/>
          <w:bCs/>
        </w:rPr>
        <w:t>Pelizzaro F</w:t>
      </w:r>
      <w:r>
        <w:rPr>
          <w:rFonts w:ascii="Book Antiqua" w:hAnsi="Book Antiqua"/>
        </w:rPr>
        <w:t xml:space="preserve">, Sammarco A, Dadduzio V, Pastorelli D, Giovanis P, Soldà C, Rizzato MD, Lombardi G, Lonardi S, Peserico G, Imondi A, Sartori A, Maddalo G, Farinati F. Capecitabine in advanced hepatocellular carcinoma: A multicenter experience. </w:t>
      </w:r>
      <w:r>
        <w:rPr>
          <w:rFonts w:ascii="Book Antiqua" w:hAnsi="Book Antiqua"/>
          <w:i/>
          <w:iCs/>
        </w:rPr>
        <w:t>Dig Liver Dis</w:t>
      </w:r>
      <w:r>
        <w:rPr>
          <w:rFonts w:ascii="Book Antiqua" w:hAnsi="Book Antiqua"/>
        </w:rPr>
        <w:t xml:space="preserve"> 2019; </w:t>
      </w:r>
      <w:r>
        <w:rPr>
          <w:rFonts w:ascii="Book Antiqua" w:hAnsi="Book Antiqua"/>
          <w:b/>
          <w:bCs/>
        </w:rPr>
        <w:t>51</w:t>
      </w:r>
      <w:r>
        <w:rPr>
          <w:rFonts w:ascii="Book Antiqua" w:hAnsi="Book Antiqua"/>
        </w:rPr>
        <w:t>: 1713-1719 [PMID: 31320302 DOI: 10.1016/j.dld.2019.06.015]</w:t>
      </w:r>
    </w:p>
    <w:p w14:paraId="2D0DDAF7" w14:textId="77777777" w:rsidR="00D03248" w:rsidRDefault="0031688F">
      <w:pPr>
        <w:spacing w:line="360" w:lineRule="auto"/>
        <w:jc w:val="both"/>
        <w:rPr>
          <w:rFonts w:ascii="Book Antiqua" w:hAnsi="Book Antiqua"/>
        </w:rPr>
      </w:pPr>
      <w:r>
        <w:rPr>
          <w:rFonts w:ascii="Book Antiqua" w:hAnsi="Book Antiqua"/>
        </w:rPr>
        <w:t xml:space="preserve">5 </w:t>
      </w:r>
      <w:r>
        <w:rPr>
          <w:rFonts w:ascii="Book Antiqua" w:hAnsi="Book Antiqua"/>
          <w:b/>
          <w:bCs/>
        </w:rPr>
        <w:t>Changou CA</w:t>
      </w:r>
      <w:r>
        <w:rPr>
          <w:rFonts w:ascii="Book Antiqua" w:hAnsi="Book Antiqua"/>
        </w:rPr>
        <w:t xml:space="preserve">, Shiah HS, Chen LT, Liu S, Luh F, Liu SH, Cheng YC, Yen Y. A Phase II Clinical Trial on the Combination Therapy of PHY906 Plus Capecitabine in </w:t>
      </w:r>
      <w:r>
        <w:rPr>
          <w:rFonts w:ascii="Book Antiqua" w:hAnsi="Book Antiqua"/>
        </w:rPr>
        <w:lastRenderedPageBreak/>
        <w:t xml:space="preserve">Hepatocellular Carcinoma. </w:t>
      </w:r>
      <w:r>
        <w:rPr>
          <w:rFonts w:ascii="Book Antiqua" w:hAnsi="Book Antiqua"/>
          <w:i/>
          <w:iCs/>
        </w:rPr>
        <w:t>Oncologist</w:t>
      </w:r>
      <w:r>
        <w:rPr>
          <w:rFonts w:ascii="Book Antiqua" w:hAnsi="Book Antiqua"/>
        </w:rPr>
        <w:t xml:space="preserve"> 2021; </w:t>
      </w:r>
      <w:r>
        <w:rPr>
          <w:rFonts w:ascii="Book Antiqua" w:hAnsi="Book Antiqua"/>
          <w:b/>
          <w:bCs/>
        </w:rPr>
        <w:t>26</w:t>
      </w:r>
      <w:r>
        <w:rPr>
          <w:rFonts w:ascii="Book Antiqua" w:hAnsi="Book Antiqua"/>
        </w:rPr>
        <w:t>: e367-e373 [PMID: 33140457 DOI: 10.1002/onco.13582]</w:t>
      </w:r>
    </w:p>
    <w:p w14:paraId="0795FC18" w14:textId="77777777" w:rsidR="00D03248" w:rsidRDefault="0031688F">
      <w:pPr>
        <w:spacing w:line="360" w:lineRule="auto"/>
        <w:jc w:val="both"/>
        <w:rPr>
          <w:rFonts w:ascii="Book Antiqua" w:hAnsi="Book Antiqua"/>
        </w:rPr>
      </w:pPr>
      <w:r>
        <w:rPr>
          <w:rFonts w:ascii="Book Antiqua" w:hAnsi="Book Antiqua"/>
        </w:rPr>
        <w:t xml:space="preserve">6 </w:t>
      </w:r>
      <w:r>
        <w:rPr>
          <w:rFonts w:ascii="Book Antiqua" w:hAnsi="Book Antiqua"/>
          <w:b/>
          <w:bCs/>
        </w:rPr>
        <w:t>Bocci G</w:t>
      </w:r>
      <w:r>
        <w:rPr>
          <w:rFonts w:ascii="Book Antiqua" w:hAnsi="Book Antiqua"/>
        </w:rPr>
        <w:t xml:space="preserve">, Kerbel RS. Pharmacokinetics of metronomic chemotherapy: a neglected but crucial aspect. </w:t>
      </w:r>
      <w:r>
        <w:rPr>
          <w:rFonts w:ascii="Book Antiqua" w:hAnsi="Book Antiqua"/>
          <w:i/>
          <w:iCs/>
        </w:rPr>
        <w:t>Nat Rev Clin Oncol</w:t>
      </w:r>
      <w:r>
        <w:rPr>
          <w:rFonts w:ascii="Book Antiqua" w:hAnsi="Book Antiqua"/>
        </w:rPr>
        <w:t xml:space="preserve"> 2016; </w:t>
      </w:r>
      <w:r>
        <w:rPr>
          <w:rFonts w:ascii="Book Antiqua" w:hAnsi="Book Antiqua"/>
          <w:b/>
          <w:bCs/>
        </w:rPr>
        <w:t>13</w:t>
      </w:r>
      <w:r>
        <w:rPr>
          <w:rFonts w:ascii="Book Antiqua" w:hAnsi="Book Antiqua"/>
        </w:rPr>
        <w:t>: 659-673 [PMID: 27184418 DOI: 10.1038/nrclinonc.2016.64]</w:t>
      </w:r>
    </w:p>
    <w:p w14:paraId="1FF4C757" w14:textId="77777777" w:rsidR="00D03248" w:rsidRDefault="0031688F">
      <w:pPr>
        <w:spacing w:line="360" w:lineRule="auto"/>
        <w:jc w:val="both"/>
        <w:rPr>
          <w:rFonts w:ascii="Book Antiqua" w:hAnsi="Book Antiqua"/>
        </w:rPr>
      </w:pPr>
      <w:r>
        <w:rPr>
          <w:rFonts w:ascii="Book Antiqua" w:hAnsi="Book Antiqua"/>
        </w:rPr>
        <w:t xml:space="preserve">7 </w:t>
      </w:r>
      <w:r>
        <w:rPr>
          <w:rFonts w:ascii="Book Antiqua" w:hAnsi="Book Antiqua"/>
          <w:b/>
          <w:bCs/>
        </w:rPr>
        <w:t>Kerbel RS</w:t>
      </w:r>
      <w:r>
        <w:rPr>
          <w:rFonts w:ascii="Book Antiqua" w:hAnsi="Book Antiqua"/>
        </w:rPr>
        <w:t xml:space="preserve">, Shaked Y. The potential clinical promise of 'multimodality' metronomic chemotherapy revealed by preclinical studies of metastatic disease. </w:t>
      </w:r>
      <w:r>
        <w:rPr>
          <w:rFonts w:ascii="Book Antiqua" w:hAnsi="Book Antiqua"/>
          <w:i/>
          <w:iCs/>
        </w:rPr>
        <w:t>Cancer Lett</w:t>
      </w:r>
      <w:r>
        <w:rPr>
          <w:rFonts w:ascii="Book Antiqua" w:hAnsi="Book Antiqua"/>
        </w:rPr>
        <w:t xml:space="preserve"> 2017; </w:t>
      </w:r>
      <w:r>
        <w:rPr>
          <w:rFonts w:ascii="Book Antiqua" w:hAnsi="Book Antiqua"/>
          <w:b/>
          <w:bCs/>
        </w:rPr>
        <w:t>400</w:t>
      </w:r>
      <w:r>
        <w:rPr>
          <w:rFonts w:ascii="Book Antiqua" w:hAnsi="Book Antiqua"/>
        </w:rPr>
        <w:t>: 293-304 [PMID: 28202353 DOI: 10.1016/j.canlet.2017.02.005]</w:t>
      </w:r>
    </w:p>
    <w:p w14:paraId="0C9004F0" w14:textId="77777777" w:rsidR="00D03248" w:rsidRDefault="0031688F">
      <w:pPr>
        <w:spacing w:line="360" w:lineRule="auto"/>
        <w:jc w:val="both"/>
        <w:rPr>
          <w:rFonts w:ascii="Book Antiqua" w:hAnsi="Book Antiqua"/>
        </w:rPr>
      </w:pPr>
      <w:r>
        <w:rPr>
          <w:rFonts w:ascii="Book Antiqua" w:hAnsi="Book Antiqua"/>
        </w:rPr>
        <w:t xml:space="preserve">8 </w:t>
      </w:r>
      <w:r>
        <w:rPr>
          <w:rFonts w:ascii="Book Antiqua" w:hAnsi="Book Antiqua"/>
          <w:b/>
          <w:bCs/>
        </w:rPr>
        <w:t>Ravaioli M</w:t>
      </w:r>
      <w:r>
        <w:rPr>
          <w:rFonts w:ascii="Book Antiqua" w:hAnsi="Book Antiqua"/>
        </w:rPr>
        <w:t xml:space="preserve">, Cucchetti A, Pinna AD, De Pace V, Neri F, Barbera MA, Maroni L, Frega G, Palloni A, De Lorenzo S, Ripoli MC, Pantaleo MA, Cescon M, Del Gaudio M, Brandi G. The role of metronomic capecitabine for treatment of recurrent hepatocellular carcinoma after liver transplantation.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11305 [PMID: 28900245 DOI: 10.1038/s41598-017-11810-z]</w:t>
      </w:r>
    </w:p>
    <w:p w14:paraId="0C1A24BC" w14:textId="77777777" w:rsidR="00D03248" w:rsidRDefault="0031688F">
      <w:pPr>
        <w:spacing w:line="360" w:lineRule="auto"/>
        <w:jc w:val="both"/>
        <w:rPr>
          <w:rFonts w:ascii="Book Antiqua" w:hAnsi="Book Antiqua"/>
        </w:rPr>
      </w:pPr>
      <w:r>
        <w:rPr>
          <w:rFonts w:ascii="Book Antiqua" w:hAnsi="Book Antiqua"/>
        </w:rPr>
        <w:t xml:space="preserve">9 </w:t>
      </w:r>
      <w:r>
        <w:rPr>
          <w:rFonts w:ascii="Book Antiqua" w:hAnsi="Book Antiqua"/>
          <w:b/>
          <w:bCs/>
        </w:rPr>
        <w:t>Keating GM</w:t>
      </w:r>
      <w:r>
        <w:rPr>
          <w:rFonts w:ascii="Book Antiqua" w:hAnsi="Book Antiqua"/>
        </w:rPr>
        <w:t xml:space="preserve">, Santoro A. Sorafenib: a review of its use in advanced hepatocellular carcinoma. </w:t>
      </w:r>
      <w:r>
        <w:rPr>
          <w:rFonts w:ascii="Book Antiqua" w:hAnsi="Book Antiqua"/>
          <w:i/>
          <w:iCs/>
        </w:rPr>
        <w:t>Drugs</w:t>
      </w:r>
      <w:r>
        <w:rPr>
          <w:rFonts w:ascii="Book Antiqua" w:hAnsi="Book Antiqua"/>
        </w:rPr>
        <w:t xml:space="preserve"> 2009; </w:t>
      </w:r>
      <w:r>
        <w:rPr>
          <w:rFonts w:ascii="Book Antiqua" w:hAnsi="Book Antiqua"/>
          <w:b/>
          <w:bCs/>
        </w:rPr>
        <w:t>69</w:t>
      </w:r>
      <w:r>
        <w:rPr>
          <w:rFonts w:ascii="Book Antiqua" w:hAnsi="Book Antiqua"/>
        </w:rPr>
        <w:t>: 223-240 [PMID: 19228077 DOI: 10.2165/00003495-200969020-00006]</w:t>
      </w:r>
    </w:p>
    <w:p w14:paraId="620006F4" w14:textId="77777777" w:rsidR="00D03248" w:rsidRDefault="0031688F">
      <w:pPr>
        <w:spacing w:line="360" w:lineRule="auto"/>
        <w:jc w:val="both"/>
        <w:rPr>
          <w:rFonts w:ascii="Book Antiqua" w:hAnsi="Book Antiqua"/>
        </w:rPr>
      </w:pPr>
      <w:r>
        <w:rPr>
          <w:rFonts w:ascii="Book Antiqua" w:hAnsi="Book Antiqua"/>
        </w:rPr>
        <w:t xml:space="preserve">10 </w:t>
      </w:r>
      <w:r>
        <w:rPr>
          <w:rFonts w:ascii="Book Antiqua" w:hAnsi="Book Antiqua"/>
          <w:b/>
          <w:bCs/>
        </w:rPr>
        <w:t>Ishikawa T</w:t>
      </w:r>
      <w:r>
        <w:rPr>
          <w:rFonts w:ascii="Book Antiqua" w:hAnsi="Book Antiqua"/>
        </w:rPr>
        <w:t xml:space="preserve">, Utoh M, Sawada N, Nishida M, Fukase Y, Sekiguchi F, Ishitsuka H. Tumor selective delivery of 5-fluorouracil by capecitabine, a new oral fluoropyrimidine carbamate, in human cancer xenografts. </w:t>
      </w:r>
      <w:r>
        <w:rPr>
          <w:rFonts w:ascii="Book Antiqua" w:hAnsi="Book Antiqua"/>
          <w:i/>
          <w:iCs/>
        </w:rPr>
        <w:t>Biochem Pharmacol</w:t>
      </w:r>
      <w:r>
        <w:rPr>
          <w:rFonts w:ascii="Book Antiqua" w:hAnsi="Book Antiqua"/>
        </w:rPr>
        <w:t xml:space="preserve"> 1998; </w:t>
      </w:r>
      <w:r>
        <w:rPr>
          <w:rFonts w:ascii="Book Antiqua" w:hAnsi="Book Antiqua"/>
          <w:b/>
          <w:bCs/>
        </w:rPr>
        <w:t>55</w:t>
      </w:r>
      <w:r>
        <w:rPr>
          <w:rFonts w:ascii="Book Antiqua" w:hAnsi="Book Antiqua"/>
        </w:rPr>
        <w:t>: 1091-1097 [PMID: 9605432 DOI: 10.1016/s0006-2952(97)00682-5]</w:t>
      </w:r>
    </w:p>
    <w:p w14:paraId="3617A37F" w14:textId="77777777" w:rsidR="00D03248" w:rsidRDefault="0031688F">
      <w:pPr>
        <w:spacing w:line="360" w:lineRule="auto"/>
        <w:jc w:val="both"/>
        <w:rPr>
          <w:rFonts w:ascii="Book Antiqua" w:hAnsi="Book Antiqua"/>
        </w:rPr>
      </w:pPr>
      <w:r>
        <w:rPr>
          <w:rFonts w:ascii="Book Antiqua" w:hAnsi="Book Antiqua"/>
        </w:rPr>
        <w:t xml:space="preserve">11 </w:t>
      </w:r>
      <w:r>
        <w:rPr>
          <w:rFonts w:ascii="Book Antiqua" w:hAnsi="Book Antiqua"/>
          <w:b/>
          <w:bCs/>
        </w:rPr>
        <w:t>Yoshimura A</w:t>
      </w:r>
      <w:r>
        <w:rPr>
          <w:rFonts w:ascii="Book Antiqua" w:hAnsi="Book Antiqua"/>
        </w:rPr>
        <w:t xml:space="preserve">, Kuwazuru Y, Furukawa T, Yoshida H, Yamada K, Akiyama S. Purification and tissue distribution of human thymidine phosphorylase; high expression in lymphocytes, reticulocytes and tumors. </w:t>
      </w:r>
      <w:r>
        <w:rPr>
          <w:rFonts w:ascii="Book Antiqua" w:hAnsi="Book Antiqua"/>
          <w:i/>
          <w:iCs/>
        </w:rPr>
        <w:t>Biochim Biophys Acta</w:t>
      </w:r>
      <w:r>
        <w:rPr>
          <w:rFonts w:ascii="Book Antiqua" w:hAnsi="Book Antiqua"/>
        </w:rPr>
        <w:t xml:space="preserve"> 1990; </w:t>
      </w:r>
      <w:r>
        <w:rPr>
          <w:rFonts w:ascii="Book Antiqua" w:hAnsi="Book Antiqua"/>
          <w:b/>
          <w:bCs/>
        </w:rPr>
        <w:t>1034</w:t>
      </w:r>
      <w:r>
        <w:rPr>
          <w:rFonts w:ascii="Book Antiqua" w:hAnsi="Book Antiqua"/>
        </w:rPr>
        <w:t>: 107-113 [PMID: 2328255 DOI: 10.1016/0304-4165(90)90160-x]</w:t>
      </w:r>
    </w:p>
    <w:p w14:paraId="43E80558" w14:textId="77777777" w:rsidR="00D03248" w:rsidRDefault="0031688F">
      <w:pPr>
        <w:spacing w:line="360" w:lineRule="auto"/>
        <w:jc w:val="both"/>
        <w:rPr>
          <w:rFonts w:ascii="Book Antiqua" w:hAnsi="Book Antiqua"/>
        </w:rPr>
      </w:pPr>
      <w:r>
        <w:rPr>
          <w:rFonts w:ascii="Book Antiqua" w:hAnsi="Book Antiqua"/>
        </w:rPr>
        <w:t xml:space="preserve">12 </w:t>
      </w:r>
      <w:r>
        <w:rPr>
          <w:rFonts w:ascii="Book Antiqua" w:hAnsi="Book Antiqua"/>
          <w:b/>
          <w:bCs/>
        </w:rPr>
        <w:t>Schüller J</w:t>
      </w:r>
      <w:r>
        <w:rPr>
          <w:rFonts w:ascii="Book Antiqua" w:hAnsi="Book Antiqua"/>
        </w:rPr>
        <w:t xml:space="preserve">, Cassidy J, Dumont E, Roos B, Durston S, Banken L, Utoh M, Mori K, Weidekamm E, Reigner B. Preferential activation of capecitabine in tumor following oral administration to colorectal cancer patients. </w:t>
      </w:r>
      <w:r>
        <w:rPr>
          <w:rFonts w:ascii="Book Antiqua" w:hAnsi="Book Antiqua"/>
          <w:i/>
          <w:iCs/>
        </w:rPr>
        <w:t>Cancer Chemother Pharmacol</w:t>
      </w:r>
      <w:r>
        <w:rPr>
          <w:rFonts w:ascii="Book Antiqua" w:hAnsi="Book Antiqua"/>
        </w:rPr>
        <w:t xml:space="preserve"> 2000; </w:t>
      </w:r>
      <w:r>
        <w:rPr>
          <w:rFonts w:ascii="Book Antiqua" w:hAnsi="Book Antiqua"/>
          <w:b/>
          <w:bCs/>
        </w:rPr>
        <w:t>45</w:t>
      </w:r>
      <w:r>
        <w:rPr>
          <w:rFonts w:ascii="Book Antiqua" w:hAnsi="Book Antiqua"/>
        </w:rPr>
        <w:t>: 291-297 [PMID: 10755317 DOI: 10.1007/s002800050043]</w:t>
      </w:r>
    </w:p>
    <w:p w14:paraId="3721E260" w14:textId="77777777" w:rsidR="00D03248" w:rsidRDefault="0031688F">
      <w:pPr>
        <w:spacing w:line="360" w:lineRule="auto"/>
        <w:jc w:val="both"/>
        <w:rPr>
          <w:rFonts w:ascii="Book Antiqua" w:hAnsi="Book Antiqua"/>
        </w:rPr>
      </w:pPr>
      <w:r>
        <w:rPr>
          <w:rFonts w:ascii="Book Antiqua" w:hAnsi="Book Antiqua"/>
        </w:rPr>
        <w:lastRenderedPageBreak/>
        <w:t xml:space="preserve">13 </w:t>
      </w:r>
      <w:r>
        <w:rPr>
          <w:rFonts w:ascii="Book Antiqua" w:hAnsi="Book Antiqua"/>
          <w:b/>
          <w:bCs/>
        </w:rPr>
        <w:t>Zhang S</w:t>
      </w:r>
      <w:r>
        <w:rPr>
          <w:rFonts w:ascii="Book Antiqua" w:hAnsi="Book Antiqua"/>
        </w:rPr>
        <w:t xml:space="preserve">, Wang Z, Fan S, Liu T, Yoshida S, Yang S, Liu L, Hou W, Cao L, Wang J, Song Z, Li S, Zhang S, Wang H, Li J, Zheng H, Shen Z. Capecitabine Can Induce T Cell Apoptosis: A Potential Immunosuppressive Agent With Anti-Cancer Effect. </w:t>
      </w:r>
      <w:r>
        <w:rPr>
          <w:rFonts w:ascii="Book Antiqua" w:hAnsi="Book Antiqua"/>
          <w:i/>
          <w:iCs/>
        </w:rPr>
        <w:t>Front Immunol</w:t>
      </w:r>
      <w:r>
        <w:rPr>
          <w:rFonts w:ascii="Book Antiqua" w:hAnsi="Book Antiqua"/>
        </w:rPr>
        <w:t xml:space="preserve"> 2021; </w:t>
      </w:r>
      <w:r>
        <w:rPr>
          <w:rFonts w:ascii="Book Antiqua" w:hAnsi="Book Antiqua"/>
          <w:b/>
          <w:bCs/>
        </w:rPr>
        <w:t>12</w:t>
      </w:r>
      <w:r>
        <w:rPr>
          <w:rFonts w:ascii="Book Antiqua" w:hAnsi="Book Antiqua"/>
        </w:rPr>
        <w:t>: 737849 [PMID: 34557199 DOI: 10.3389/fimmu.2021.737849]</w:t>
      </w:r>
    </w:p>
    <w:p w14:paraId="29F65BD0" w14:textId="77777777" w:rsidR="00D03248" w:rsidRDefault="0031688F">
      <w:pPr>
        <w:spacing w:line="360" w:lineRule="auto"/>
        <w:jc w:val="both"/>
        <w:rPr>
          <w:rFonts w:ascii="Book Antiqua" w:hAnsi="Book Antiqua"/>
        </w:rPr>
      </w:pPr>
      <w:r>
        <w:rPr>
          <w:rFonts w:ascii="Book Antiqua" w:hAnsi="Book Antiqua"/>
        </w:rPr>
        <w:t xml:space="preserve">14 </w:t>
      </w:r>
      <w:r>
        <w:rPr>
          <w:rFonts w:ascii="Book Antiqua" w:hAnsi="Book Antiqua"/>
          <w:b/>
          <w:bCs/>
        </w:rPr>
        <w:t>Dixon SJ</w:t>
      </w:r>
      <w:r>
        <w:rPr>
          <w:rFonts w:ascii="Book Antiqua" w:hAnsi="Book Antiqua"/>
        </w:rPr>
        <w:t xml:space="preserve">, Lemberg KM, Lamprecht MR, Skouta R, Zaitsev EM, Gleason CE, Patel DN, Bauer AJ, Cantley AM, Yang WS, Morrison B 3rd, Stockwell BR. Ferroptosis: an iron-dependent form of nonapoptotic cell death. </w:t>
      </w:r>
      <w:r>
        <w:rPr>
          <w:rFonts w:ascii="Book Antiqua" w:hAnsi="Book Antiqua"/>
          <w:i/>
          <w:iCs/>
        </w:rPr>
        <w:t>Cell</w:t>
      </w:r>
      <w:r>
        <w:rPr>
          <w:rFonts w:ascii="Book Antiqua" w:hAnsi="Book Antiqua"/>
        </w:rPr>
        <w:t xml:space="preserve"> 2012; </w:t>
      </w:r>
      <w:r>
        <w:rPr>
          <w:rFonts w:ascii="Book Antiqua" w:hAnsi="Book Antiqua"/>
          <w:b/>
          <w:bCs/>
        </w:rPr>
        <w:t>149</w:t>
      </w:r>
      <w:r>
        <w:rPr>
          <w:rFonts w:ascii="Book Antiqua" w:hAnsi="Book Antiqua"/>
        </w:rPr>
        <w:t>: 1060-1072 [PMID: 22632970 DOI: 10.1016/j.cell.2012.03.042]</w:t>
      </w:r>
    </w:p>
    <w:p w14:paraId="6B2CF35B" w14:textId="77777777" w:rsidR="00D03248" w:rsidRDefault="0031688F">
      <w:pPr>
        <w:spacing w:line="360" w:lineRule="auto"/>
        <w:jc w:val="both"/>
        <w:rPr>
          <w:rFonts w:ascii="Book Antiqua" w:hAnsi="Book Antiqua"/>
        </w:rPr>
      </w:pPr>
      <w:r>
        <w:rPr>
          <w:rFonts w:ascii="Book Antiqua" w:hAnsi="Book Antiqua"/>
        </w:rPr>
        <w:t xml:space="preserve">15 </w:t>
      </w:r>
      <w:r>
        <w:rPr>
          <w:rFonts w:ascii="Book Antiqua" w:hAnsi="Book Antiqua"/>
          <w:b/>
          <w:bCs/>
        </w:rPr>
        <w:t>Xie Y</w:t>
      </w:r>
      <w:r>
        <w:rPr>
          <w:rFonts w:ascii="Book Antiqua" w:hAnsi="Book Antiqua"/>
        </w:rPr>
        <w:t xml:space="preserve">, Hou W, Song X, Yu Y, Huang J, Sun X, Kang R, Tang D. Ferroptosis: process and function. </w:t>
      </w:r>
      <w:r>
        <w:rPr>
          <w:rFonts w:ascii="Book Antiqua" w:hAnsi="Book Antiqua"/>
          <w:i/>
          <w:iCs/>
        </w:rPr>
        <w:t>Cell Death Differ</w:t>
      </w:r>
      <w:r>
        <w:rPr>
          <w:rFonts w:ascii="Book Antiqua" w:hAnsi="Book Antiqua"/>
        </w:rPr>
        <w:t xml:space="preserve"> 2016; </w:t>
      </w:r>
      <w:r>
        <w:rPr>
          <w:rFonts w:ascii="Book Antiqua" w:hAnsi="Book Antiqua"/>
          <w:b/>
          <w:bCs/>
        </w:rPr>
        <w:t>23</w:t>
      </w:r>
      <w:r>
        <w:rPr>
          <w:rFonts w:ascii="Book Antiqua" w:hAnsi="Book Antiqua"/>
        </w:rPr>
        <w:t>: 369-379 [PMID: 26794443 DOI: 10.1038/cdd.2015.158]</w:t>
      </w:r>
    </w:p>
    <w:p w14:paraId="3680DE20" w14:textId="77777777" w:rsidR="00D03248" w:rsidRDefault="0031688F">
      <w:pPr>
        <w:spacing w:line="360" w:lineRule="auto"/>
        <w:jc w:val="both"/>
        <w:rPr>
          <w:rFonts w:ascii="Book Antiqua" w:hAnsi="Book Antiqua"/>
        </w:rPr>
      </w:pPr>
      <w:r>
        <w:rPr>
          <w:rFonts w:ascii="Book Antiqua" w:hAnsi="Book Antiqua"/>
        </w:rPr>
        <w:t xml:space="preserve">16 </w:t>
      </w:r>
      <w:r>
        <w:rPr>
          <w:rFonts w:ascii="Book Antiqua" w:hAnsi="Book Antiqua"/>
          <w:b/>
          <w:bCs/>
        </w:rPr>
        <w:t>Li J</w:t>
      </w:r>
      <w:r>
        <w:rPr>
          <w:rFonts w:ascii="Book Antiqua" w:hAnsi="Book Antiqua"/>
        </w:rPr>
        <w:t xml:space="preserve">, Cao F, Yin HL, Huang ZJ, Lin ZT, Mao N, Sun B, Wang G. Ferroptosis: past, present and future. </w:t>
      </w:r>
      <w:r>
        <w:rPr>
          <w:rFonts w:ascii="Book Antiqua" w:hAnsi="Book Antiqua"/>
          <w:i/>
          <w:iCs/>
        </w:rPr>
        <w:t>Cell Death Dis</w:t>
      </w:r>
      <w:r>
        <w:rPr>
          <w:rFonts w:ascii="Book Antiqua" w:hAnsi="Book Antiqua"/>
        </w:rPr>
        <w:t xml:space="preserve"> 2020; </w:t>
      </w:r>
      <w:r>
        <w:rPr>
          <w:rFonts w:ascii="Book Antiqua" w:hAnsi="Book Antiqua"/>
          <w:b/>
          <w:bCs/>
        </w:rPr>
        <w:t>11</w:t>
      </w:r>
      <w:r>
        <w:rPr>
          <w:rFonts w:ascii="Book Antiqua" w:hAnsi="Book Antiqua"/>
        </w:rPr>
        <w:t>: 88 [PMID: 32015325 DOI: 10.1038/s41419-020-2298-2]</w:t>
      </w:r>
    </w:p>
    <w:p w14:paraId="08D6330B" w14:textId="77777777" w:rsidR="00D03248" w:rsidRDefault="0031688F">
      <w:pPr>
        <w:spacing w:line="360" w:lineRule="auto"/>
        <w:jc w:val="both"/>
        <w:rPr>
          <w:rFonts w:ascii="Book Antiqua" w:hAnsi="Book Antiqua"/>
        </w:rPr>
      </w:pPr>
      <w:r>
        <w:rPr>
          <w:rFonts w:ascii="Book Antiqua" w:hAnsi="Book Antiqua"/>
        </w:rPr>
        <w:t xml:space="preserve">17 </w:t>
      </w:r>
      <w:r>
        <w:rPr>
          <w:rFonts w:ascii="Book Antiqua" w:hAnsi="Book Antiqua"/>
          <w:b/>
          <w:bCs/>
        </w:rPr>
        <w:t>Truman-Rosentsvit M</w:t>
      </w:r>
      <w:r>
        <w:rPr>
          <w:rFonts w:ascii="Book Antiqua" w:hAnsi="Book Antiqua"/>
        </w:rPr>
        <w:t xml:space="preserve">, Berenbaum D, Spektor L, Cohen LA, Belizowsky-Moshe S, Lifshitz L, Ma J, Li W, Kesselman E, Abutbul-Ionita I, Danino D, Gutierrez L, Li H, Li K, Lou H, Regoni M, Poli M, Glaser F, Rouault TA, Meyron-Holtz EG. Ferritin is secreted via 2 distinct nonclassical vesicular pathways. </w:t>
      </w:r>
      <w:r>
        <w:rPr>
          <w:rFonts w:ascii="Book Antiqua" w:hAnsi="Book Antiqua"/>
          <w:i/>
          <w:iCs/>
        </w:rPr>
        <w:t>Blood</w:t>
      </w:r>
      <w:r>
        <w:rPr>
          <w:rFonts w:ascii="Book Antiqua" w:hAnsi="Book Antiqua"/>
        </w:rPr>
        <w:t xml:space="preserve"> 2018; </w:t>
      </w:r>
      <w:r>
        <w:rPr>
          <w:rFonts w:ascii="Book Antiqua" w:hAnsi="Book Antiqua"/>
          <w:b/>
          <w:bCs/>
        </w:rPr>
        <w:t>131</w:t>
      </w:r>
      <w:r>
        <w:rPr>
          <w:rFonts w:ascii="Book Antiqua" w:hAnsi="Book Antiqua"/>
        </w:rPr>
        <w:t>: 342-352 [PMID: 29074498 DOI: 10.1182/blood-2017-02-768580]</w:t>
      </w:r>
    </w:p>
    <w:p w14:paraId="1C70D011" w14:textId="77777777" w:rsidR="00D03248" w:rsidRDefault="0031688F">
      <w:pPr>
        <w:spacing w:line="360" w:lineRule="auto"/>
        <w:jc w:val="both"/>
        <w:rPr>
          <w:rFonts w:ascii="Book Antiqua" w:hAnsi="Book Antiqua"/>
        </w:rPr>
      </w:pPr>
      <w:r>
        <w:rPr>
          <w:rFonts w:ascii="Book Antiqua" w:hAnsi="Book Antiqua"/>
        </w:rPr>
        <w:t xml:space="preserve">18 </w:t>
      </w:r>
      <w:r>
        <w:rPr>
          <w:rFonts w:ascii="Book Antiqua" w:hAnsi="Book Antiqua"/>
          <w:b/>
          <w:bCs/>
        </w:rPr>
        <w:t>Fuhrmann DC</w:t>
      </w:r>
      <w:r>
        <w:rPr>
          <w:rFonts w:ascii="Book Antiqua" w:hAnsi="Book Antiqua"/>
        </w:rPr>
        <w:t xml:space="preserve">, Mondorf A, Beifuß J, Jung M, Brüne B. Hypoxia inhibits ferritinophagy, increases mitochondrial ferritin, and protects from ferroptosis. </w:t>
      </w:r>
      <w:r>
        <w:rPr>
          <w:rFonts w:ascii="Book Antiqua" w:hAnsi="Book Antiqua"/>
          <w:i/>
          <w:iCs/>
        </w:rPr>
        <w:t>Redox Biol</w:t>
      </w:r>
      <w:r>
        <w:rPr>
          <w:rFonts w:ascii="Book Antiqua" w:hAnsi="Book Antiqua"/>
        </w:rPr>
        <w:t xml:space="preserve"> 2020; </w:t>
      </w:r>
      <w:r>
        <w:rPr>
          <w:rFonts w:ascii="Book Antiqua" w:hAnsi="Book Antiqua"/>
          <w:b/>
          <w:bCs/>
        </w:rPr>
        <w:t>36</w:t>
      </w:r>
      <w:r>
        <w:rPr>
          <w:rFonts w:ascii="Book Antiqua" w:hAnsi="Book Antiqua"/>
        </w:rPr>
        <w:t>: 101670 [PMID: 32810738 DOI: 10.1016/j.redox.2020.101670]</w:t>
      </w:r>
    </w:p>
    <w:p w14:paraId="2EEACFF4" w14:textId="77777777" w:rsidR="00D03248" w:rsidRDefault="0031688F">
      <w:pPr>
        <w:spacing w:line="360" w:lineRule="auto"/>
        <w:jc w:val="both"/>
        <w:rPr>
          <w:rFonts w:ascii="Book Antiqua" w:hAnsi="Book Antiqua"/>
        </w:rPr>
      </w:pPr>
      <w:r>
        <w:rPr>
          <w:rFonts w:ascii="Book Antiqua" w:hAnsi="Book Antiqua"/>
        </w:rPr>
        <w:t xml:space="preserve">19 </w:t>
      </w:r>
      <w:r>
        <w:rPr>
          <w:rFonts w:ascii="Book Antiqua" w:hAnsi="Book Antiqua"/>
          <w:b/>
          <w:bCs/>
        </w:rPr>
        <w:t>Dodson M</w:t>
      </w:r>
      <w:r>
        <w:rPr>
          <w:rFonts w:ascii="Book Antiqua" w:hAnsi="Book Antiqua"/>
        </w:rPr>
        <w:t xml:space="preserve">, Castro-Portuguez R, Zhang DD. NRF2 plays a critical role in mitigating lipid peroxidation and ferroptosis. </w:t>
      </w:r>
      <w:r>
        <w:rPr>
          <w:rFonts w:ascii="Book Antiqua" w:hAnsi="Book Antiqua"/>
          <w:i/>
          <w:iCs/>
        </w:rPr>
        <w:t>Redox Biol</w:t>
      </w:r>
      <w:r>
        <w:rPr>
          <w:rFonts w:ascii="Book Antiqua" w:hAnsi="Book Antiqua"/>
        </w:rPr>
        <w:t xml:space="preserve"> 2019; </w:t>
      </w:r>
      <w:r>
        <w:rPr>
          <w:rFonts w:ascii="Book Antiqua" w:hAnsi="Book Antiqua"/>
          <w:b/>
          <w:bCs/>
        </w:rPr>
        <w:t>23</w:t>
      </w:r>
      <w:r>
        <w:rPr>
          <w:rFonts w:ascii="Book Antiqua" w:hAnsi="Book Antiqua"/>
        </w:rPr>
        <w:t>: 101107 [PMID: 30692038 DOI: 10.1016/j.redox.2019.101107]</w:t>
      </w:r>
    </w:p>
    <w:p w14:paraId="01388AD4" w14:textId="77777777" w:rsidR="00D03248" w:rsidRDefault="0031688F">
      <w:pPr>
        <w:spacing w:line="360" w:lineRule="auto"/>
        <w:jc w:val="both"/>
        <w:rPr>
          <w:rFonts w:ascii="Book Antiqua" w:hAnsi="Book Antiqua"/>
        </w:rPr>
      </w:pPr>
      <w:r>
        <w:rPr>
          <w:rFonts w:ascii="Book Antiqua" w:hAnsi="Book Antiqua"/>
        </w:rPr>
        <w:t xml:space="preserve">20 </w:t>
      </w:r>
      <w:r>
        <w:rPr>
          <w:rFonts w:ascii="Book Antiqua" w:hAnsi="Book Antiqua"/>
          <w:b/>
          <w:bCs/>
        </w:rPr>
        <w:t>Song X</w:t>
      </w:r>
      <w:r>
        <w:rPr>
          <w:rFonts w:ascii="Book Antiqua" w:hAnsi="Book Antiqua"/>
        </w:rPr>
        <w:t xml:space="preserve">, Long D. Nrf2 and Ferroptosis: A New Research Direction for Neurodegenerative Diseases. </w:t>
      </w:r>
      <w:r>
        <w:rPr>
          <w:rFonts w:ascii="Book Antiqua" w:hAnsi="Book Antiqua"/>
          <w:i/>
          <w:iCs/>
        </w:rPr>
        <w:t>Front Neurosci</w:t>
      </w:r>
      <w:r>
        <w:rPr>
          <w:rFonts w:ascii="Book Antiqua" w:hAnsi="Book Antiqua"/>
        </w:rPr>
        <w:t xml:space="preserve"> 2020; </w:t>
      </w:r>
      <w:r>
        <w:rPr>
          <w:rFonts w:ascii="Book Antiqua" w:hAnsi="Book Antiqua"/>
          <w:b/>
          <w:bCs/>
        </w:rPr>
        <w:t>14</w:t>
      </w:r>
      <w:r>
        <w:rPr>
          <w:rFonts w:ascii="Book Antiqua" w:hAnsi="Book Antiqua"/>
        </w:rPr>
        <w:t>: 267 [PMID: 32372896 DOI: 10.3389/fnins.2020.00267]</w:t>
      </w:r>
    </w:p>
    <w:p w14:paraId="7132898E" w14:textId="77777777" w:rsidR="00D03248" w:rsidRDefault="0031688F">
      <w:pPr>
        <w:spacing w:line="360" w:lineRule="auto"/>
        <w:jc w:val="both"/>
        <w:rPr>
          <w:rFonts w:ascii="Book Antiqua" w:hAnsi="Book Antiqua"/>
        </w:rPr>
      </w:pPr>
      <w:r>
        <w:rPr>
          <w:rFonts w:ascii="Book Antiqua" w:hAnsi="Book Antiqua"/>
        </w:rPr>
        <w:lastRenderedPageBreak/>
        <w:t xml:space="preserve">21 </w:t>
      </w:r>
      <w:r>
        <w:rPr>
          <w:rFonts w:ascii="Book Antiqua" w:hAnsi="Book Antiqua"/>
          <w:b/>
          <w:bCs/>
        </w:rPr>
        <w:t>Kwon MY</w:t>
      </w:r>
      <w:r>
        <w:rPr>
          <w:rFonts w:ascii="Book Antiqua" w:hAnsi="Book Antiqua"/>
        </w:rPr>
        <w:t xml:space="preserve">, Park E, Lee SJ, Chung SW. Heme oxygenase-1 accelerates erastin-induced ferroptotic cell death. </w:t>
      </w:r>
      <w:r>
        <w:rPr>
          <w:rFonts w:ascii="Book Antiqua" w:hAnsi="Book Antiqua"/>
          <w:i/>
          <w:iCs/>
        </w:rPr>
        <w:t>Oncotarget</w:t>
      </w:r>
      <w:r>
        <w:rPr>
          <w:rFonts w:ascii="Book Antiqua" w:hAnsi="Book Antiqua"/>
        </w:rPr>
        <w:t xml:space="preserve"> 2015; </w:t>
      </w:r>
      <w:r>
        <w:rPr>
          <w:rFonts w:ascii="Book Antiqua" w:hAnsi="Book Antiqua"/>
          <w:b/>
          <w:bCs/>
        </w:rPr>
        <w:t>6</w:t>
      </w:r>
      <w:r>
        <w:rPr>
          <w:rFonts w:ascii="Book Antiqua" w:hAnsi="Book Antiqua"/>
        </w:rPr>
        <w:t>: 24393-24403 [PMID: 26405158 DOI: 10.18632/oncotarget.5162]</w:t>
      </w:r>
    </w:p>
    <w:p w14:paraId="3AD402AD" w14:textId="77777777" w:rsidR="00D03248" w:rsidRDefault="0031688F">
      <w:pPr>
        <w:spacing w:line="360" w:lineRule="auto"/>
        <w:jc w:val="both"/>
        <w:rPr>
          <w:rFonts w:ascii="Book Antiqua" w:hAnsi="Book Antiqua"/>
        </w:rPr>
      </w:pPr>
      <w:r>
        <w:rPr>
          <w:rFonts w:ascii="Book Antiqua" w:hAnsi="Book Antiqua"/>
        </w:rPr>
        <w:t xml:space="preserve">22 </w:t>
      </w:r>
      <w:r>
        <w:rPr>
          <w:rFonts w:ascii="Book Antiqua" w:hAnsi="Book Antiqua"/>
          <w:b/>
          <w:bCs/>
        </w:rPr>
        <w:t>Seibt TM</w:t>
      </w:r>
      <w:r>
        <w:rPr>
          <w:rFonts w:ascii="Book Antiqua" w:hAnsi="Book Antiqua"/>
        </w:rPr>
        <w:t xml:space="preserve">, Proneth B, Conrad M. Role of GPX4 in ferroptosis and its pharmacological implication. </w:t>
      </w:r>
      <w:r>
        <w:rPr>
          <w:rFonts w:ascii="Book Antiqua" w:hAnsi="Book Antiqua"/>
          <w:i/>
          <w:iCs/>
        </w:rPr>
        <w:t>Free Radic Biol Med</w:t>
      </w:r>
      <w:r>
        <w:rPr>
          <w:rFonts w:ascii="Book Antiqua" w:hAnsi="Book Antiqua"/>
        </w:rPr>
        <w:t xml:space="preserve"> 2019; </w:t>
      </w:r>
      <w:r>
        <w:rPr>
          <w:rFonts w:ascii="Book Antiqua" w:hAnsi="Book Antiqua"/>
          <w:b/>
          <w:bCs/>
        </w:rPr>
        <w:t>133</w:t>
      </w:r>
      <w:r>
        <w:rPr>
          <w:rFonts w:ascii="Book Antiqua" w:hAnsi="Book Antiqua"/>
        </w:rPr>
        <w:t>: 144-152 [PMID: 30219704 DOI: 10.1016/j.freeradbiomed.2018.09.014]</w:t>
      </w:r>
    </w:p>
    <w:p w14:paraId="7277700D" w14:textId="77777777" w:rsidR="00D03248" w:rsidRDefault="0031688F">
      <w:pPr>
        <w:spacing w:line="360" w:lineRule="auto"/>
        <w:jc w:val="both"/>
        <w:rPr>
          <w:rFonts w:ascii="Book Antiqua" w:hAnsi="Book Antiqua"/>
        </w:rPr>
      </w:pPr>
      <w:r>
        <w:rPr>
          <w:rFonts w:ascii="Book Antiqua" w:hAnsi="Book Antiqua"/>
        </w:rPr>
        <w:t xml:space="preserve">23 </w:t>
      </w:r>
      <w:r>
        <w:rPr>
          <w:rFonts w:ascii="Book Antiqua" w:hAnsi="Book Antiqua"/>
          <w:b/>
          <w:bCs/>
        </w:rPr>
        <w:t>Deng HF</w:t>
      </w:r>
      <w:r>
        <w:rPr>
          <w:rFonts w:ascii="Book Antiqua" w:hAnsi="Book Antiqua"/>
        </w:rPr>
        <w:t xml:space="preserve">, Yue LX, Wang NN, Zhou YQ, Zhou W, Liu X, Ni YH, Huang CS, Qiu LZ, Liu H, Tan HL, Tang XL, Wang YG, Ma ZC, Gao Y. Mitochondrial Iron Overload-Mediated Inhibition of Nrf2-HO-1/GPX4 Assisted ALI-Induced Nephrotoxicity. </w:t>
      </w:r>
      <w:r>
        <w:rPr>
          <w:rFonts w:ascii="Book Antiqua" w:hAnsi="Book Antiqua"/>
          <w:i/>
          <w:iCs/>
        </w:rPr>
        <w:t>Front Pharmacol</w:t>
      </w:r>
      <w:r>
        <w:rPr>
          <w:rFonts w:ascii="Book Antiqua" w:hAnsi="Book Antiqua"/>
        </w:rPr>
        <w:t xml:space="preserve"> 2020; </w:t>
      </w:r>
      <w:r>
        <w:rPr>
          <w:rFonts w:ascii="Book Antiqua" w:hAnsi="Book Antiqua"/>
          <w:b/>
          <w:bCs/>
        </w:rPr>
        <w:t>11</w:t>
      </w:r>
      <w:r>
        <w:rPr>
          <w:rFonts w:ascii="Book Antiqua" w:hAnsi="Book Antiqua"/>
        </w:rPr>
        <w:t>: 624529 [PMID: 33584308 DOI: 10.3389/fphar.2020.624529]</w:t>
      </w:r>
    </w:p>
    <w:p w14:paraId="6B128E51" w14:textId="77777777" w:rsidR="00D03248" w:rsidRDefault="0031688F">
      <w:pPr>
        <w:spacing w:line="360" w:lineRule="auto"/>
        <w:jc w:val="both"/>
        <w:rPr>
          <w:rFonts w:ascii="Book Antiqua" w:hAnsi="Book Antiqua"/>
        </w:rPr>
      </w:pPr>
      <w:r>
        <w:rPr>
          <w:rFonts w:ascii="Book Antiqua" w:hAnsi="Book Antiqua"/>
        </w:rPr>
        <w:t xml:space="preserve">24 </w:t>
      </w:r>
      <w:r>
        <w:rPr>
          <w:rFonts w:ascii="Book Antiqua" w:hAnsi="Book Antiqua"/>
          <w:b/>
          <w:bCs/>
        </w:rPr>
        <w:t>Deng S</w:t>
      </w:r>
      <w:r>
        <w:rPr>
          <w:rFonts w:ascii="Book Antiqua" w:hAnsi="Book Antiqua"/>
        </w:rPr>
        <w:t xml:space="preserve">, Wu D, Li L, Li J, Xu Y. TBHQ attenuates ferroptosis against 5-fluorouracil-induced intestinal epithelial cell injury and intestinal mucositis via activation of Nrf2. </w:t>
      </w:r>
      <w:r>
        <w:rPr>
          <w:rFonts w:ascii="Book Antiqua" w:hAnsi="Book Antiqua"/>
          <w:i/>
          <w:iCs/>
        </w:rPr>
        <w:t>Cell Mol Biol Lett</w:t>
      </w:r>
      <w:r>
        <w:rPr>
          <w:rFonts w:ascii="Book Antiqua" w:hAnsi="Book Antiqua"/>
        </w:rPr>
        <w:t xml:space="preserve"> 2021; </w:t>
      </w:r>
      <w:r>
        <w:rPr>
          <w:rFonts w:ascii="Book Antiqua" w:hAnsi="Book Antiqua"/>
          <w:b/>
          <w:bCs/>
        </w:rPr>
        <w:t>26</w:t>
      </w:r>
      <w:r>
        <w:rPr>
          <w:rFonts w:ascii="Book Antiqua" w:hAnsi="Book Antiqua"/>
        </w:rPr>
        <w:t>: 48 [PMID: 34794379 DOI: 10.1186/s11658-021-00294-5]</w:t>
      </w:r>
    </w:p>
    <w:p w14:paraId="41EAB356" w14:textId="77777777" w:rsidR="00D03248" w:rsidRDefault="0031688F">
      <w:pPr>
        <w:spacing w:line="360" w:lineRule="auto"/>
        <w:jc w:val="both"/>
        <w:rPr>
          <w:rFonts w:ascii="Book Antiqua" w:hAnsi="Book Antiqua"/>
        </w:rPr>
      </w:pPr>
      <w:r>
        <w:rPr>
          <w:rFonts w:ascii="Book Antiqua" w:hAnsi="Book Antiqua"/>
        </w:rPr>
        <w:t xml:space="preserve">25 </w:t>
      </w:r>
      <w:r>
        <w:rPr>
          <w:rFonts w:ascii="Book Antiqua" w:hAnsi="Book Antiqua"/>
          <w:b/>
          <w:bCs/>
        </w:rPr>
        <w:t>Li D</w:t>
      </w:r>
      <w:r>
        <w:rPr>
          <w:rFonts w:ascii="Book Antiqua" w:hAnsi="Book Antiqua"/>
        </w:rPr>
        <w:t xml:space="preserve">, Song C, Zhang J, Zhao X. ROS and iron homeostasis dependent ferroptosis play a vital role in 5-Fluorouracil induced cardiotoxicity in vitro and in vivo. </w:t>
      </w:r>
      <w:r>
        <w:rPr>
          <w:rFonts w:ascii="Book Antiqua" w:hAnsi="Book Antiqua"/>
          <w:i/>
          <w:iCs/>
        </w:rPr>
        <w:t>Toxicology</w:t>
      </w:r>
      <w:r>
        <w:rPr>
          <w:rFonts w:ascii="Book Antiqua" w:hAnsi="Book Antiqua"/>
        </w:rPr>
        <w:t xml:space="preserve"> 2022; </w:t>
      </w:r>
      <w:r>
        <w:rPr>
          <w:rFonts w:ascii="Book Antiqua" w:hAnsi="Book Antiqua"/>
          <w:b/>
          <w:bCs/>
        </w:rPr>
        <w:t>468</w:t>
      </w:r>
      <w:r>
        <w:rPr>
          <w:rFonts w:ascii="Book Antiqua" w:hAnsi="Book Antiqua"/>
        </w:rPr>
        <w:t>: 153113 [PMID: 35101590 DOI: 10.1016/j.tox.2022.153113]</w:t>
      </w:r>
    </w:p>
    <w:p w14:paraId="63EEB219" w14:textId="77777777" w:rsidR="00D03248" w:rsidRDefault="0031688F">
      <w:pPr>
        <w:spacing w:line="360" w:lineRule="auto"/>
        <w:jc w:val="both"/>
        <w:rPr>
          <w:rFonts w:ascii="Book Antiqua" w:hAnsi="Book Antiqua"/>
        </w:rPr>
      </w:pPr>
      <w:r>
        <w:rPr>
          <w:rFonts w:ascii="Book Antiqua" w:hAnsi="Book Antiqua"/>
        </w:rPr>
        <w:t xml:space="preserve">26 </w:t>
      </w:r>
      <w:r>
        <w:rPr>
          <w:rFonts w:ascii="Book Antiqua" w:hAnsi="Book Antiqua"/>
          <w:b/>
          <w:bCs/>
        </w:rPr>
        <w:t>Xu HS</w:t>
      </w:r>
      <w:r>
        <w:rPr>
          <w:rFonts w:ascii="Book Antiqua" w:hAnsi="Book Antiqua"/>
        </w:rPr>
        <w:t xml:space="preserve">, Rosenlof LK, Pruett TL, Jones RS. Prostaglandin E1 increases survival with extended anhepatic phase during liver transplantation. </w:t>
      </w:r>
      <w:r>
        <w:rPr>
          <w:rFonts w:ascii="Book Antiqua" w:hAnsi="Book Antiqua"/>
          <w:i/>
          <w:iCs/>
        </w:rPr>
        <w:t>Ann Surg</w:t>
      </w:r>
      <w:r>
        <w:rPr>
          <w:rFonts w:ascii="Book Antiqua" w:hAnsi="Book Antiqua"/>
        </w:rPr>
        <w:t xml:space="preserve"> 1994; </w:t>
      </w:r>
      <w:r>
        <w:rPr>
          <w:rFonts w:ascii="Book Antiqua" w:hAnsi="Book Antiqua"/>
          <w:b/>
          <w:bCs/>
        </w:rPr>
        <w:t>220</w:t>
      </w:r>
      <w:r>
        <w:rPr>
          <w:rFonts w:ascii="Book Antiqua" w:hAnsi="Book Antiqua"/>
        </w:rPr>
        <w:t>: 53-58 [PMID: 8024359 DOI: 10.1097/00000658-199407000-00009]</w:t>
      </w:r>
    </w:p>
    <w:p w14:paraId="57334A56" w14:textId="77777777" w:rsidR="00D03248" w:rsidRDefault="0031688F">
      <w:pPr>
        <w:spacing w:line="360" w:lineRule="auto"/>
        <w:jc w:val="both"/>
        <w:rPr>
          <w:rFonts w:ascii="Book Antiqua" w:hAnsi="Book Antiqua"/>
        </w:rPr>
      </w:pPr>
      <w:r>
        <w:rPr>
          <w:rFonts w:ascii="Book Antiqua" w:hAnsi="Book Antiqua"/>
        </w:rPr>
        <w:t xml:space="preserve">27 </w:t>
      </w:r>
      <w:r>
        <w:rPr>
          <w:rFonts w:ascii="Book Antiqua" w:hAnsi="Book Antiqua"/>
          <w:b/>
          <w:bCs/>
        </w:rPr>
        <w:t>Kamada N</w:t>
      </w:r>
      <w:r>
        <w:rPr>
          <w:rFonts w:ascii="Book Antiqua" w:hAnsi="Book Antiqua"/>
        </w:rPr>
        <w:t xml:space="preserve">, Calne RY. Orthotopic liver transplantation in the rat. Technique using cuff for portal vein anastomosis and biliary drainage. </w:t>
      </w:r>
      <w:r>
        <w:rPr>
          <w:rFonts w:ascii="Book Antiqua" w:hAnsi="Book Antiqua"/>
          <w:i/>
          <w:iCs/>
        </w:rPr>
        <w:t>Transplantation</w:t>
      </w:r>
      <w:r>
        <w:rPr>
          <w:rFonts w:ascii="Book Antiqua" w:hAnsi="Book Antiqua"/>
        </w:rPr>
        <w:t xml:space="preserve"> 1979; </w:t>
      </w:r>
      <w:r>
        <w:rPr>
          <w:rFonts w:ascii="Book Antiqua" w:hAnsi="Book Antiqua"/>
          <w:b/>
          <w:bCs/>
        </w:rPr>
        <w:t>28</w:t>
      </w:r>
      <w:r>
        <w:rPr>
          <w:rFonts w:ascii="Book Antiqua" w:hAnsi="Book Antiqua"/>
        </w:rPr>
        <w:t>: 47-50 [PMID: 377595]</w:t>
      </w:r>
    </w:p>
    <w:p w14:paraId="65B7BC9A" w14:textId="77777777" w:rsidR="00D03248" w:rsidRDefault="0031688F">
      <w:pPr>
        <w:spacing w:line="360" w:lineRule="auto"/>
        <w:jc w:val="both"/>
        <w:rPr>
          <w:rFonts w:ascii="Book Antiqua" w:hAnsi="Book Antiqua"/>
        </w:rPr>
      </w:pPr>
      <w:r>
        <w:rPr>
          <w:rFonts w:ascii="Book Antiqua" w:hAnsi="Book Antiqua"/>
        </w:rPr>
        <w:t xml:space="preserve">28 Banff schema for grading liver allograft rejection: an international consensus document. </w:t>
      </w:r>
      <w:r>
        <w:rPr>
          <w:rFonts w:ascii="Book Antiqua" w:hAnsi="Book Antiqua"/>
          <w:i/>
          <w:iCs/>
        </w:rPr>
        <w:t>Hepatology</w:t>
      </w:r>
      <w:r>
        <w:rPr>
          <w:rFonts w:ascii="Book Antiqua" w:hAnsi="Book Antiqua"/>
        </w:rPr>
        <w:t xml:space="preserve"> 1997; </w:t>
      </w:r>
      <w:r>
        <w:rPr>
          <w:rFonts w:ascii="Book Antiqua" w:hAnsi="Book Antiqua"/>
          <w:b/>
          <w:bCs/>
        </w:rPr>
        <w:t>25</w:t>
      </w:r>
      <w:r>
        <w:rPr>
          <w:rFonts w:ascii="Book Antiqua" w:hAnsi="Book Antiqua"/>
        </w:rPr>
        <w:t>: 658-663 [PMID: 9049215 DOI: 10.1002/hep.510250328]</w:t>
      </w:r>
    </w:p>
    <w:p w14:paraId="54CB4758" w14:textId="77777777" w:rsidR="00D03248" w:rsidRDefault="0031688F">
      <w:pPr>
        <w:spacing w:line="360" w:lineRule="auto"/>
        <w:jc w:val="both"/>
        <w:rPr>
          <w:rFonts w:ascii="Book Antiqua" w:hAnsi="Book Antiqua"/>
        </w:rPr>
      </w:pPr>
      <w:r>
        <w:rPr>
          <w:rFonts w:ascii="Book Antiqua" w:hAnsi="Book Antiqua"/>
        </w:rPr>
        <w:t xml:space="preserve">29 </w:t>
      </w:r>
      <w:r>
        <w:rPr>
          <w:rFonts w:ascii="Book Antiqua" w:hAnsi="Book Antiqua"/>
          <w:b/>
          <w:bCs/>
        </w:rPr>
        <w:t>Li X</w:t>
      </w:r>
      <w:r>
        <w:rPr>
          <w:rFonts w:ascii="Book Antiqua" w:hAnsi="Book Antiqua"/>
        </w:rPr>
        <w:t xml:space="preserve">, Chen J, Yuan S, Zhuang X, Qiao T. Activation of the P62-Keap1-NRF2 Pathway Protects against Ferroptosis in Radiation-Induced Lung Injury. </w:t>
      </w:r>
      <w:r>
        <w:rPr>
          <w:rFonts w:ascii="Book Antiqua" w:hAnsi="Book Antiqua"/>
          <w:i/>
          <w:iCs/>
        </w:rPr>
        <w:t>Oxid Med Cell Longev</w:t>
      </w:r>
      <w:r>
        <w:rPr>
          <w:rFonts w:ascii="Book Antiqua" w:hAnsi="Book Antiqua"/>
        </w:rPr>
        <w:t xml:space="preserve"> 2022; </w:t>
      </w:r>
      <w:r>
        <w:rPr>
          <w:rFonts w:ascii="Book Antiqua" w:hAnsi="Book Antiqua"/>
          <w:b/>
          <w:bCs/>
        </w:rPr>
        <w:t>2022</w:t>
      </w:r>
      <w:r>
        <w:rPr>
          <w:rFonts w:ascii="Book Antiqua" w:hAnsi="Book Antiqua"/>
        </w:rPr>
        <w:t>: 8973509 [PMID: 35847598 DOI: 10.1155/2022/8973509]</w:t>
      </w:r>
    </w:p>
    <w:p w14:paraId="157CEE49" w14:textId="77777777" w:rsidR="00D03248" w:rsidRDefault="0031688F">
      <w:pPr>
        <w:spacing w:line="360" w:lineRule="auto"/>
        <w:jc w:val="both"/>
        <w:rPr>
          <w:rFonts w:ascii="Book Antiqua" w:hAnsi="Book Antiqua"/>
        </w:rPr>
      </w:pPr>
      <w:r>
        <w:rPr>
          <w:rFonts w:ascii="Book Antiqua" w:hAnsi="Book Antiqua"/>
        </w:rPr>
        <w:lastRenderedPageBreak/>
        <w:t xml:space="preserve">30 </w:t>
      </w:r>
      <w:r>
        <w:rPr>
          <w:rFonts w:ascii="Book Antiqua" w:hAnsi="Book Antiqua"/>
          <w:b/>
          <w:bCs/>
        </w:rPr>
        <w:t>Ishibashi M</w:t>
      </w:r>
      <w:r>
        <w:rPr>
          <w:rFonts w:ascii="Book Antiqua" w:hAnsi="Book Antiqua"/>
        </w:rPr>
        <w:t xml:space="preserve">, Ishii M, Yamamoto S, Mori Y, Shimizu S. Possible involvement of TRPM2 activation in 5-fluorouracil-induced myelosuppression in mice. </w:t>
      </w:r>
      <w:r>
        <w:rPr>
          <w:rFonts w:ascii="Book Antiqua" w:hAnsi="Book Antiqua"/>
          <w:i/>
          <w:iCs/>
        </w:rPr>
        <w:t>Eur J Pharmacol</w:t>
      </w:r>
      <w:r>
        <w:rPr>
          <w:rFonts w:ascii="Book Antiqua" w:hAnsi="Book Antiqua"/>
        </w:rPr>
        <w:t xml:space="preserve"> 2021; </w:t>
      </w:r>
      <w:r>
        <w:rPr>
          <w:rFonts w:ascii="Book Antiqua" w:hAnsi="Book Antiqua"/>
          <w:b/>
          <w:bCs/>
        </w:rPr>
        <w:t>891</w:t>
      </w:r>
      <w:r>
        <w:rPr>
          <w:rFonts w:ascii="Book Antiqua" w:hAnsi="Book Antiqua"/>
        </w:rPr>
        <w:t>: 173671 [PMID: 33131720 DOI: 10.1016/j.ejphar.2020.173671]</w:t>
      </w:r>
    </w:p>
    <w:p w14:paraId="74CE2EE6" w14:textId="77777777" w:rsidR="00D03248" w:rsidRDefault="0031688F">
      <w:pPr>
        <w:spacing w:line="360" w:lineRule="auto"/>
        <w:jc w:val="both"/>
        <w:rPr>
          <w:rFonts w:ascii="Book Antiqua" w:hAnsi="Book Antiqua"/>
        </w:rPr>
      </w:pPr>
      <w:r>
        <w:rPr>
          <w:rFonts w:ascii="Book Antiqua" w:hAnsi="Book Antiqua"/>
        </w:rPr>
        <w:t xml:space="preserve">31 </w:t>
      </w:r>
      <w:r>
        <w:rPr>
          <w:rFonts w:ascii="Book Antiqua" w:hAnsi="Book Antiqua"/>
          <w:b/>
          <w:bCs/>
        </w:rPr>
        <w:t>Numazawa S</w:t>
      </w:r>
      <w:r>
        <w:rPr>
          <w:rFonts w:ascii="Book Antiqua" w:hAnsi="Book Antiqua"/>
        </w:rPr>
        <w:t xml:space="preserve">, Sugihara K, Miyake S, Tomiyama H, Hida A, Hatsuno M, Yamamoto M, Yoshida T. Possible involvement of oxidative stress in 5-fluorouracil-mediated myelosuppression in mice. </w:t>
      </w:r>
      <w:r>
        <w:rPr>
          <w:rFonts w:ascii="Book Antiqua" w:hAnsi="Book Antiqua"/>
          <w:i/>
          <w:iCs/>
        </w:rPr>
        <w:t>Basic Clin Pharmacol Toxicol</w:t>
      </w:r>
      <w:r>
        <w:rPr>
          <w:rFonts w:ascii="Book Antiqua" w:hAnsi="Book Antiqua"/>
        </w:rPr>
        <w:t xml:space="preserve"> 2011; </w:t>
      </w:r>
      <w:r>
        <w:rPr>
          <w:rFonts w:ascii="Book Antiqua" w:hAnsi="Book Antiqua"/>
          <w:b/>
          <w:bCs/>
        </w:rPr>
        <w:t>108</w:t>
      </w:r>
      <w:r>
        <w:rPr>
          <w:rFonts w:ascii="Book Antiqua" w:hAnsi="Book Antiqua"/>
        </w:rPr>
        <w:t>: 40-45 [PMID: 20722640 DOI: 10.1111/j.1742-7843.2010.00621.x]</w:t>
      </w:r>
    </w:p>
    <w:p w14:paraId="24EA193B" w14:textId="77777777" w:rsidR="00D03248" w:rsidRDefault="0031688F">
      <w:pPr>
        <w:spacing w:line="360" w:lineRule="auto"/>
        <w:jc w:val="both"/>
        <w:rPr>
          <w:rFonts w:ascii="Book Antiqua" w:hAnsi="Book Antiqua"/>
        </w:rPr>
      </w:pPr>
      <w:r>
        <w:rPr>
          <w:rFonts w:ascii="Book Antiqua" w:hAnsi="Book Antiqua"/>
        </w:rPr>
        <w:t xml:space="preserve">32 </w:t>
      </w:r>
      <w:r>
        <w:rPr>
          <w:rFonts w:ascii="Book Antiqua" w:hAnsi="Book Antiqua"/>
          <w:b/>
          <w:bCs/>
        </w:rPr>
        <w:t>Brandi G</w:t>
      </w:r>
      <w:r>
        <w:rPr>
          <w:rFonts w:ascii="Book Antiqua" w:hAnsi="Book Antiqua"/>
        </w:rPr>
        <w:t xml:space="preserve">, de Rosa F, Agostini V, di Girolamo S, Andreone P, Bolondi L, Serra C, Sama C, Golfieri R, Gramenzi A, Cucchetti A, Pinna AD, Trevisani F, Biasco G; Italian Liver Cancer (ITA.LI.CA) Group. Metronomic capecitabine in advanced hepatocellular carcinoma patients: a phase II study. </w:t>
      </w:r>
      <w:r>
        <w:rPr>
          <w:rFonts w:ascii="Book Antiqua" w:hAnsi="Book Antiqua"/>
          <w:i/>
          <w:iCs/>
        </w:rPr>
        <w:t>Oncologist</w:t>
      </w:r>
      <w:r>
        <w:rPr>
          <w:rFonts w:ascii="Book Antiqua" w:hAnsi="Book Antiqua"/>
        </w:rPr>
        <w:t xml:space="preserve"> 2013; </w:t>
      </w:r>
      <w:r>
        <w:rPr>
          <w:rFonts w:ascii="Book Antiqua" w:hAnsi="Book Antiqua"/>
          <w:b/>
          <w:bCs/>
        </w:rPr>
        <w:t>18</w:t>
      </w:r>
      <w:r>
        <w:rPr>
          <w:rFonts w:ascii="Book Antiqua" w:hAnsi="Book Antiqua"/>
        </w:rPr>
        <w:t>: 1256-1257 [PMID: 24232581 DOI: 10.1634/theoncologist.2013-0093]</w:t>
      </w:r>
    </w:p>
    <w:p w14:paraId="43D6A0A9" w14:textId="77777777" w:rsidR="00D03248" w:rsidRDefault="0031688F">
      <w:pPr>
        <w:spacing w:line="360" w:lineRule="auto"/>
        <w:jc w:val="both"/>
        <w:rPr>
          <w:rFonts w:ascii="Book Antiqua" w:hAnsi="Book Antiqua"/>
        </w:rPr>
      </w:pPr>
      <w:r>
        <w:rPr>
          <w:rFonts w:ascii="Book Antiqua" w:hAnsi="Book Antiqua"/>
        </w:rPr>
        <w:t xml:space="preserve">33 </w:t>
      </w:r>
      <w:r>
        <w:rPr>
          <w:rFonts w:ascii="Book Antiqua" w:hAnsi="Book Antiqua"/>
          <w:b/>
          <w:bCs/>
        </w:rPr>
        <w:t>Granito A</w:t>
      </w:r>
      <w:r>
        <w:rPr>
          <w:rFonts w:ascii="Book Antiqua" w:hAnsi="Book Antiqua"/>
        </w:rPr>
        <w:t xml:space="preserve">, Marinelli S, Terzi E, Piscaglia F, Renzulli M, Venerandi L, Benevento F, Bolondi L. Metronomic capecitabine as second-line treatment in hepatocellular carcinoma after sorafenib failure. </w:t>
      </w:r>
      <w:r>
        <w:rPr>
          <w:rFonts w:ascii="Book Antiqua" w:hAnsi="Book Antiqua"/>
          <w:i/>
          <w:iCs/>
        </w:rPr>
        <w:t>Dig Liver Dis</w:t>
      </w:r>
      <w:r>
        <w:rPr>
          <w:rFonts w:ascii="Book Antiqua" w:hAnsi="Book Antiqua"/>
        </w:rPr>
        <w:t xml:space="preserve"> 2015; </w:t>
      </w:r>
      <w:r>
        <w:rPr>
          <w:rFonts w:ascii="Book Antiqua" w:hAnsi="Book Antiqua"/>
          <w:b/>
          <w:bCs/>
        </w:rPr>
        <w:t>47</w:t>
      </w:r>
      <w:r>
        <w:rPr>
          <w:rFonts w:ascii="Book Antiqua" w:hAnsi="Book Antiqua"/>
        </w:rPr>
        <w:t>: 518-522 [PMID: 25861840 DOI: 10.1016/j.dld.2015.03.010]</w:t>
      </w:r>
    </w:p>
    <w:p w14:paraId="1BDE3E07" w14:textId="77777777" w:rsidR="00D03248" w:rsidRDefault="0031688F">
      <w:pPr>
        <w:spacing w:line="360" w:lineRule="auto"/>
        <w:jc w:val="both"/>
        <w:rPr>
          <w:rFonts w:ascii="Book Antiqua" w:hAnsi="Book Antiqua"/>
        </w:rPr>
      </w:pPr>
      <w:r>
        <w:rPr>
          <w:rFonts w:ascii="Book Antiqua" w:hAnsi="Book Antiqua"/>
        </w:rPr>
        <w:t xml:space="preserve">34 </w:t>
      </w:r>
      <w:r>
        <w:rPr>
          <w:rFonts w:ascii="Book Antiqua" w:hAnsi="Book Antiqua"/>
          <w:b/>
          <w:bCs/>
        </w:rPr>
        <w:t>Casadei Gardini A</w:t>
      </w:r>
      <w:r>
        <w:rPr>
          <w:rFonts w:ascii="Book Antiqua" w:hAnsi="Book Antiqua"/>
        </w:rPr>
        <w:t xml:space="preserve">, Foca F, Scartozzi M, Silvestris N, Tamburini E, Faloppi L, Brunetti O, Rudnas B, Pisconti S, Valgiusti M, Marisi G, Foschi FG, Ercolani G, Tassinari D, Cascinu S, Frassineti GL. Metronomic capecitabine versus best supportive care as second-line treatment in hepatocellular carcinoma: a retrospective study.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42499 [PMID: 28211921 DOI: 10.1038/srep42499]</w:t>
      </w:r>
    </w:p>
    <w:p w14:paraId="37FE42B9" w14:textId="77777777" w:rsidR="00D03248" w:rsidRDefault="0031688F">
      <w:pPr>
        <w:spacing w:line="360" w:lineRule="auto"/>
        <w:jc w:val="both"/>
        <w:rPr>
          <w:rFonts w:ascii="Book Antiqua" w:hAnsi="Book Antiqua"/>
        </w:rPr>
      </w:pPr>
      <w:r>
        <w:rPr>
          <w:rFonts w:ascii="Book Antiqua" w:hAnsi="Book Antiqua"/>
        </w:rPr>
        <w:t xml:space="preserve">35 </w:t>
      </w:r>
      <w:r>
        <w:rPr>
          <w:rFonts w:ascii="Book Antiqua" w:hAnsi="Book Antiqua"/>
          <w:b/>
          <w:bCs/>
        </w:rPr>
        <w:t>Kojima S</w:t>
      </w:r>
      <w:r>
        <w:rPr>
          <w:rFonts w:ascii="Book Antiqua" w:hAnsi="Book Antiqua"/>
        </w:rPr>
        <w:t xml:space="preserve">, Takaba K, Kimoto N, Takeda T, Kakuni M, Mizutani M, Suzuki K, Sato H, Hara T. Protective effects of glutathione on 5-fluorouracil-induced myelosuppression in mice. </w:t>
      </w:r>
      <w:r>
        <w:rPr>
          <w:rFonts w:ascii="Book Antiqua" w:hAnsi="Book Antiqua"/>
          <w:i/>
          <w:iCs/>
        </w:rPr>
        <w:t>Arch Toxicol</w:t>
      </w:r>
      <w:r>
        <w:rPr>
          <w:rFonts w:ascii="Book Antiqua" w:hAnsi="Book Antiqua"/>
        </w:rPr>
        <w:t xml:space="preserve"> 2003; </w:t>
      </w:r>
      <w:r>
        <w:rPr>
          <w:rFonts w:ascii="Book Antiqua" w:hAnsi="Book Antiqua"/>
          <w:b/>
          <w:bCs/>
        </w:rPr>
        <w:t>77</w:t>
      </w:r>
      <w:r>
        <w:rPr>
          <w:rFonts w:ascii="Book Antiqua" w:hAnsi="Book Antiqua"/>
        </w:rPr>
        <w:t>: 285-290 [PMID: 12734643 DOI: 10.1007/s00204-003-0448-9]</w:t>
      </w:r>
    </w:p>
    <w:p w14:paraId="3052852E" w14:textId="77777777" w:rsidR="00D03248" w:rsidRDefault="0031688F">
      <w:pPr>
        <w:spacing w:line="360" w:lineRule="auto"/>
        <w:jc w:val="both"/>
        <w:rPr>
          <w:rFonts w:ascii="Book Antiqua" w:hAnsi="Book Antiqua"/>
        </w:rPr>
      </w:pPr>
      <w:r>
        <w:rPr>
          <w:rFonts w:ascii="Book Antiqua" w:hAnsi="Book Antiqua"/>
        </w:rPr>
        <w:t xml:space="preserve">36 </w:t>
      </w:r>
      <w:r>
        <w:rPr>
          <w:rFonts w:ascii="Book Antiqua" w:hAnsi="Book Antiqua"/>
          <w:b/>
          <w:bCs/>
        </w:rPr>
        <w:t>Lam SW</w:t>
      </w:r>
      <w:r>
        <w:rPr>
          <w:rFonts w:ascii="Book Antiqua" w:hAnsi="Book Antiqua"/>
        </w:rPr>
        <w:t xml:space="preserve">, Guchelaar HJ, Boven E. The role of pharmacogenetics in capecitabine efficacy and toxicity. </w:t>
      </w:r>
      <w:r>
        <w:rPr>
          <w:rFonts w:ascii="Book Antiqua" w:hAnsi="Book Antiqua"/>
          <w:i/>
          <w:iCs/>
        </w:rPr>
        <w:t>Cancer Treat Rev</w:t>
      </w:r>
      <w:r>
        <w:rPr>
          <w:rFonts w:ascii="Book Antiqua" w:hAnsi="Book Antiqua"/>
        </w:rPr>
        <w:t xml:space="preserve"> 2016; </w:t>
      </w:r>
      <w:r>
        <w:rPr>
          <w:rFonts w:ascii="Book Antiqua" w:hAnsi="Book Antiqua"/>
          <w:b/>
          <w:bCs/>
        </w:rPr>
        <w:t>50</w:t>
      </w:r>
      <w:r>
        <w:rPr>
          <w:rFonts w:ascii="Book Antiqua" w:hAnsi="Book Antiqua"/>
        </w:rPr>
        <w:t>: 9-22 [PMID: 27569869 DOI: 10.1016/j.ctrv.2016.08.001]</w:t>
      </w:r>
    </w:p>
    <w:p w14:paraId="68CC049C" w14:textId="77777777" w:rsidR="00D03248" w:rsidRDefault="0031688F">
      <w:pPr>
        <w:spacing w:line="360" w:lineRule="auto"/>
        <w:jc w:val="both"/>
        <w:rPr>
          <w:rFonts w:ascii="Book Antiqua" w:hAnsi="Book Antiqua"/>
        </w:rPr>
      </w:pPr>
      <w:r>
        <w:rPr>
          <w:rFonts w:ascii="Book Antiqua" w:hAnsi="Book Antiqua"/>
        </w:rPr>
        <w:t xml:space="preserve">37 </w:t>
      </w:r>
      <w:r>
        <w:rPr>
          <w:rFonts w:ascii="Book Antiqua" w:hAnsi="Book Antiqua"/>
          <w:b/>
          <w:bCs/>
        </w:rPr>
        <w:t>Fels Elliott DR</w:t>
      </w:r>
      <w:r>
        <w:rPr>
          <w:rFonts w:ascii="Book Antiqua" w:hAnsi="Book Antiqua"/>
        </w:rPr>
        <w:t xml:space="preserve">, Tavakol M, Lucas CH, Sheahon K, Kakar S, Hameed B, Ferrell LD, Gill RM. Clinicopathological features and outcomes of parenchymal rejection in liver </w:t>
      </w:r>
      <w:r>
        <w:rPr>
          <w:rFonts w:ascii="Book Antiqua" w:hAnsi="Book Antiqua"/>
        </w:rPr>
        <w:lastRenderedPageBreak/>
        <w:t xml:space="preserve">transplant biopsies. </w:t>
      </w:r>
      <w:r>
        <w:rPr>
          <w:rFonts w:ascii="Book Antiqua" w:hAnsi="Book Antiqua"/>
          <w:i/>
          <w:iCs/>
        </w:rPr>
        <w:t>Histopathology</w:t>
      </w:r>
      <w:r>
        <w:rPr>
          <w:rFonts w:ascii="Book Antiqua" w:hAnsi="Book Antiqua"/>
        </w:rPr>
        <w:t xml:space="preserve"> 2020; </w:t>
      </w:r>
      <w:r>
        <w:rPr>
          <w:rFonts w:ascii="Book Antiqua" w:hAnsi="Book Antiqua"/>
          <w:b/>
          <w:bCs/>
        </w:rPr>
        <w:t>76</w:t>
      </w:r>
      <w:r>
        <w:rPr>
          <w:rFonts w:ascii="Book Antiqua" w:hAnsi="Book Antiqua"/>
        </w:rPr>
        <w:t>: 822-831 [PMID: 31894595 DOI: 10.1111/his.14058]</w:t>
      </w:r>
    </w:p>
    <w:p w14:paraId="75D9B8C6" w14:textId="77777777" w:rsidR="00D03248" w:rsidRDefault="0031688F">
      <w:pPr>
        <w:spacing w:line="360" w:lineRule="auto"/>
        <w:jc w:val="both"/>
        <w:rPr>
          <w:rFonts w:ascii="Book Antiqua" w:hAnsi="Book Antiqua"/>
        </w:rPr>
      </w:pPr>
      <w:r>
        <w:rPr>
          <w:rFonts w:ascii="Book Antiqua" w:hAnsi="Book Antiqua"/>
        </w:rPr>
        <w:t xml:space="preserve">38 </w:t>
      </w:r>
      <w:r>
        <w:rPr>
          <w:rFonts w:ascii="Book Antiqua" w:hAnsi="Book Antiqua"/>
          <w:b/>
          <w:bCs/>
        </w:rPr>
        <w:t>Demirhan B</w:t>
      </w:r>
      <w:r>
        <w:rPr>
          <w:rFonts w:ascii="Book Antiqua" w:hAnsi="Book Antiqua"/>
        </w:rPr>
        <w:t xml:space="preserve">, Bilezikçi B, Haberal AN, Sevmiş S, Arat Z, Haberal M. Hepatic parenchymal changes and histologic eosinophilia as predictors of subsequent acute liver allograft rejection. </w:t>
      </w:r>
      <w:r>
        <w:rPr>
          <w:rFonts w:ascii="Book Antiqua" w:hAnsi="Book Antiqua"/>
          <w:i/>
          <w:iCs/>
        </w:rPr>
        <w:t>Liver Transpl</w:t>
      </w:r>
      <w:r>
        <w:rPr>
          <w:rFonts w:ascii="Book Antiqua" w:hAnsi="Book Antiqua"/>
        </w:rPr>
        <w:t xml:space="preserve"> 2008; </w:t>
      </w:r>
      <w:r>
        <w:rPr>
          <w:rFonts w:ascii="Book Antiqua" w:hAnsi="Book Antiqua"/>
          <w:b/>
          <w:bCs/>
        </w:rPr>
        <w:t>14</w:t>
      </w:r>
      <w:r>
        <w:rPr>
          <w:rFonts w:ascii="Book Antiqua" w:hAnsi="Book Antiqua"/>
        </w:rPr>
        <w:t>: 214-219 [PMID: 18236397 DOI: 10.1002/lt.21360]</w:t>
      </w:r>
    </w:p>
    <w:p w14:paraId="3C92778B" w14:textId="77777777" w:rsidR="00D03248" w:rsidRDefault="0031688F">
      <w:pPr>
        <w:spacing w:line="360" w:lineRule="auto"/>
        <w:jc w:val="both"/>
        <w:rPr>
          <w:rFonts w:ascii="Book Antiqua" w:hAnsi="Book Antiqua"/>
        </w:rPr>
      </w:pPr>
      <w:r>
        <w:rPr>
          <w:rFonts w:ascii="Book Antiqua" w:hAnsi="Book Antiqua"/>
        </w:rPr>
        <w:t xml:space="preserve">39 </w:t>
      </w:r>
      <w:r>
        <w:rPr>
          <w:rFonts w:ascii="Book Antiqua" w:hAnsi="Book Antiqua"/>
          <w:b/>
          <w:bCs/>
        </w:rPr>
        <w:t>De Lorenzo S</w:t>
      </w:r>
      <w:r>
        <w:rPr>
          <w:rFonts w:ascii="Book Antiqua" w:hAnsi="Book Antiqua"/>
        </w:rPr>
        <w:t xml:space="preserve">, Tovoli F, Barbera MA, Garuti F, Palloni A, Frega G, Garajovà I, Rizzo A, Trevisani F, Brandi G. Metronomic capecitabine vs. best supportive care in Child-Pugh B hepatocellular carcinoma: a proof of concept. </w:t>
      </w:r>
      <w:r>
        <w:rPr>
          <w:rFonts w:ascii="Book Antiqua" w:hAnsi="Book Antiqua"/>
          <w:i/>
          <w:iCs/>
        </w:rPr>
        <w:t>Sci Rep</w:t>
      </w:r>
      <w:r>
        <w:rPr>
          <w:rFonts w:ascii="Book Antiqua" w:hAnsi="Book Antiqua"/>
        </w:rPr>
        <w:t xml:space="preserve"> 2018; </w:t>
      </w:r>
      <w:r>
        <w:rPr>
          <w:rFonts w:ascii="Book Antiqua" w:hAnsi="Book Antiqua"/>
          <w:b/>
          <w:bCs/>
        </w:rPr>
        <w:t>8</w:t>
      </w:r>
      <w:r>
        <w:rPr>
          <w:rFonts w:ascii="Book Antiqua" w:hAnsi="Book Antiqua"/>
        </w:rPr>
        <w:t>: 9997 [PMID: 29968763 DOI: 10.1038/s41598-018-28337-6]</w:t>
      </w:r>
    </w:p>
    <w:p w14:paraId="5A00F3D3" w14:textId="77777777" w:rsidR="00D03248" w:rsidRDefault="0031688F">
      <w:pPr>
        <w:spacing w:line="360" w:lineRule="auto"/>
        <w:jc w:val="both"/>
        <w:rPr>
          <w:rFonts w:ascii="Book Antiqua" w:hAnsi="Book Antiqua"/>
        </w:rPr>
      </w:pPr>
      <w:r>
        <w:rPr>
          <w:rFonts w:ascii="Book Antiqua" w:hAnsi="Book Antiqua"/>
        </w:rPr>
        <w:t xml:space="preserve">40 </w:t>
      </w:r>
      <w:r>
        <w:rPr>
          <w:rFonts w:ascii="Book Antiqua" w:hAnsi="Book Antiqua"/>
          <w:b/>
          <w:bCs/>
        </w:rPr>
        <w:t>Vionnet J</w:t>
      </w:r>
      <w:r>
        <w:rPr>
          <w:rFonts w:ascii="Book Antiqua" w:hAnsi="Book Antiqua"/>
        </w:rPr>
        <w:t xml:space="preserve">, Miquel R, Abraldes JG, Wall J, Kodela E, Lozano JJ, Ruiz P, Navasa M, Marshall A, Nevens F, Gelson W, Leithead J, Masson S, Jaeckel E, Taubert R, Tachtatzis P, Eurich D, Simpson KJ, Bonaccorsi-Riani E, Feng S, Bucuvalas J, Ferguson J, Quaglia A, Sidorova J, Elstad M, Douiri A, Sánchez-Fueyo A. Non-invasive alloimmune risk stratification of long-term liver transplant recipients. </w:t>
      </w:r>
      <w:r>
        <w:rPr>
          <w:rFonts w:ascii="Book Antiqua" w:hAnsi="Book Antiqua"/>
          <w:i/>
          <w:iCs/>
        </w:rPr>
        <w:t>J Hepatol</w:t>
      </w:r>
      <w:r>
        <w:rPr>
          <w:rFonts w:ascii="Book Antiqua" w:hAnsi="Book Antiqua"/>
        </w:rPr>
        <w:t xml:space="preserve"> 2021; </w:t>
      </w:r>
      <w:r>
        <w:rPr>
          <w:rFonts w:ascii="Book Antiqua" w:hAnsi="Book Antiqua"/>
          <w:b/>
          <w:bCs/>
        </w:rPr>
        <w:t>75</w:t>
      </w:r>
      <w:r>
        <w:rPr>
          <w:rFonts w:ascii="Book Antiqua" w:hAnsi="Book Antiqua"/>
        </w:rPr>
        <w:t>: 1409-1419 [PMID: 34437910 DOI: 10.1016/j.jhep.2021.08.007]</w:t>
      </w:r>
    </w:p>
    <w:p w14:paraId="7196C7CE" w14:textId="77777777" w:rsidR="00D03248" w:rsidRDefault="0031688F">
      <w:pPr>
        <w:spacing w:line="360" w:lineRule="auto"/>
        <w:jc w:val="both"/>
        <w:rPr>
          <w:rFonts w:ascii="Book Antiqua" w:hAnsi="Book Antiqua"/>
        </w:rPr>
      </w:pPr>
      <w:r>
        <w:rPr>
          <w:rFonts w:ascii="Book Antiqua" w:hAnsi="Book Antiqua"/>
        </w:rPr>
        <w:t xml:space="preserve">41 </w:t>
      </w:r>
      <w:r>
        <w:rPr>
          <w:rFonts w:ascii="Book Antiqua" w:hAnsi="Book Antiqua"/>
          <w:b/>
          <w:bCs/>
        </w:rPr>
        <w:t>Li GL</w:t>
      </w:r>
      <w:r>
        <w:rPr>
          <w:rFonts w:ascii="Book Antiqua" w:hAnsi="Book Antiqua"/>
        </w:rPr>
        <w:t xml:space="preserve">, Lin HM, Long TZ, Lv LH, Yu JD, Huang YH, Min J, Wan YL. High incidence of biliary complications in rat liver transplantation: can we avoid it? </w:t>
      </w:r>
      <w:r>
        <w:rPr>
          <w:rFonts w:ascii="Book Antiqua" w:hAnsi="Book Antiqua"/>
          <w:i/>
          <w:iCs/>
        </w:rPr>
        <w:t>World J Gastroenterol</w:t>
      </w:r>
      <w:r>
        <w:rPr>
          <w:rFonts w:ascii="Book Antiqua" w:hAnsi="Book Antiqua"/>
        </w:rPr>
        <w:t xml:space="preserve"> 2011; </w:t>
      </w:r>
      <w:r>
        <w:rPr>
          <w:rFonts w:ascii="Book Antiqua" w:hAnsi="Book Antiqua"/>
          <w:b/>
          <w:bCs/>
        </w:rPr>
        <w:t>17</w:t>
      </w:r>
      <w:r>
        <w:rPr>
          <w:rFonts w:ascii="Book Antiqua" w:hAnsi="Book Antiqua"/>
        </w:rPr>
        <w:t>: 3140-3144 [PMID: 21912457 DOI: 10.3748/wjg.v17.i26.3140]</w:t>
      </w:r>
    </w:p>
    <w:p w14:paraId="407C2817" w14:textId="77777777" w:rsidR="00D03248" w:rsidRDefault="0031688F">
      <w:pPr>
        <w:spacing w:line="360" w:lineRule="auto"/>
        <w:jc w:val="both"/>
        <w:rPr>
          <w:rFonts w:ascii="Book Antiqua" w:hAnsi="Book Antiqua"/>
        </w:rPr>
      </w:pPr>
      <w:r>
        <w:rPr>
          <w:rFonts w:ascii="Book Antiqua" w:hAnsi="Book Antiqua"/>
        </w:rPr>
        <w:t xml:space="preserve">42 </w:t>
      </w:r>
      <w:r>
        <w:rPr>
          <w:rFonts w:ascii="Book Antiqua" w:hAnsi="Book Antiqua"/>
          <w:b/>
          <w:bCs/>
        </w:rPr>
        <w:t>Ronca V</w:t>
      </w:r>
      <w:r>
        <w:rPr>
          <w:rFonts w:ascii="Book Antiqua" w:hAnsi="Book Antiqua"/>
        </w:rPr>
        <w:t xml:space="preserve">, Wootton G, Milani C, Cain O. The Immunological Basis of Liver Allograft Rejection. </w:t>
      </w:r>
      <w:r>
        <w:rPr>
          <w:rFonts w:ascii="Book Antiqua" w:hAnsi="Book Antiqua"/>
          <w:i/>
          <w:iCs/>
        </w:rPr>
        <w:t>Front Immunol</w:t>
      </w:r>
      <w:r>
        <w:rPr>
          <w:rFonts w:ascii="Book Antiqua" w:hAnsi="Book Antiqua"/>
        </w:rPr>
        <w:t xml:space="preserve"> 2020; </w:t>
      </w:r>
      <w:r>
        <w:rPr>
          <w:rFonts w:ascii="Book Antiqua" w:hAnsi="Book Antiqua"/>
          <w:b/>
          <w:bCs/>
        </w:rPr>
        <w:t>11</w:t>
      </w:r>
      <w:r>
        <w:rPr>
          <w:rFonts w:ascii="Book Antiqua" w:hAnsi="Book Antiqua"/>
        </w:rPr>
        <w:t>: 2155 [PMID: 32983177 DOI: 10.3389/fimmu.2020.02155]</w:t>
      </w:r>
    </w:p>
    <w:p w14:paraId="761AD6BD" w14:textId="77777777" w:rsidR="00D03248" w:rsidRDefault="0031688F">
      <w:pPr>
        <w:spacing w:line="360" w:lineRule="auto"/>
        <w:jc w:val="both"/>
        <w:rPr>
          <w:rFonts w:ascii="Book Antiqua" w:hAnsi="Book Antiqua"/>
        </w:rPr>
      </w:pPr>
      <w:r>
        <w:rPr>
          <w:rFonts w:ascii="Book Antiqua" w:hAnsi="Book Antiqua"/>
        </w:rPr>
        <w:t xml:space="preserve">43 </w:t>
      </w:r>
      <w:r>
        <w:rPr>
          <w:rFonts w:ascii="Book Antiqua" w:hAnsi="Book Antiqua"/>
          <w:b/>
          <w:bCs/>
        </w:rPr>
        <w:t>Safinia N</w:t>
      </w:r>
      <w:r>
        <w:rPr>
          <w:rFonts w:ascii="Book Antiqua" w:hAnsi="Book Antiqua"/>
        </w:rPr>
        <w:t xml:space="preserve">, Vaikunthanathan T, Lechler RI, Sanchez-Fueyo A, Lombardi G. Advances in Liver Transplantation: where are we in the pursuit of transplantation tolerance? </w:t>
      </w:r>
      <w:r>
        <w:rPr>
          <w:rFonts w:ascii="Book Antiqua" w:hAnsi="Book Antiqua"/>
          <w:i/>
          <w:iCs/>
        </w:rPr>
        <w:t>Eur J Immunol</w:t>
      </w:r>
      <w:r>
        <w:rPr>
          <w:rFonts w:ascii="Book Antiqua" w:hAnsi="Book Antiqua"/>
        </w:rPr>
        <w:t xml:space="preserve"> 2021; </w:t>
      </w:r>
      <w:r>
        <w:rPr>
          <w:rFonts w:ascii="Book Antiqua" w:hAnsi="Book Antiqua"/>
          <w:b/>
          <w:bCs/>
        </w:rPr>
        <w:t>51</w:t>
      </w:r>
      <w:r>
        <w:rPr>
          <w:rFonts w:ascii="Book Antiqua" w:hAnsi="Book Antiqua"/>
        </w:rPr>
        <w:t>: 2373-2386 [PMID: 34375446 DOI: 10.1002/eji.202048875]</w:t>
      </w:r>
    </w:p>
    <w:p w14:paraId="7EAD0F6F" w14:textId="77777777" w:rsidR="00D03248" w:rsidRDefault="0031688F">
      <w:pPr>
        <w:spacing w:line="360" w:lineRule="auto"/>
        <w:jc w:val="both"/>
        <w:rPr>
          <w:rFonts w:ascii="Book Antiqua" w:hAnsi="Book Antiqua"/>
        </w:rPr>
      </w:pPr>
      <w:r>
        <w:rPr>
          <w:rFonts w:ascii="Book Antiqua" w:hAnsi="Book Antiqua"/>
        </w:rPr>
        <w:t xml:space="preserve">44 </w:t>
      </w:r>
      <w:r>
        <w:rPr>
          <w:rFonts w:ascii="Book Antiqua" w:hAnsi="Book Antiqua"/>
          <w:b/>
          <w:bCs/>
        </w:rPr>
        <w:t>Kumar BV</w:t>
      </w:r>
      <w:r>
        <w:rPr>
          <w:rFonts w:ascii="Book Antiqua" w:hAnsi="Book Antiqua"/>
        </w:rPr>
        <w:t xml:space="preserve">, Connors TJ, Farber DL. Human T Cell Development, Localization, and Function throughout Life. </w:t>
      </w:r>
      <w:r>
        <w:rPr>
          <w:rFonts w:ascii="Book Antiqua" w:hAnsi="Book Antiqua"/>
          <w:i/>
          <w:iCs/>
        </w:rPr>
        <w:t>Immunity</w:t>
      </w:r>
      <w:r>
        <w:rPr>
          <w:rFonts w:ascii="Book Antiqua" w:hAnsi="Book Antiqua"/>
        </w:rPr>
        <w:t xml:space="preserve"> 2018; </w:t>
      </w:r>
      <w:r>
        <w:rPr>
          <w:rFonts w:ascii="Book Antiqua" w:hAnsi="Book Antiqua"/>
          <w:b/>
          <w:bCs/>
        </w:rPr>
        <w:t>48</w:t>
      </w:r>
      <w:r>
        <w:rPr>
          <w:rFonts w:ascii="Book Antiqua" w:hAnsi="Book Antiqua"/>
        </w:rPr>
        <w:t>: 202-213 [PMID: 29466753 DOI: 10.1016/j.immuni.2018.01.007]</w:t>
      </w:r>
    </w:p>
    <w:p w14:paraId="5036226A" w14:textId="77777777" w:rsidR="00D03248" w:rsidRDefault="0031688F">
      <w:pPr>
        <w:spacing w:line="360" w:lineRule="auto"/>
        <w:jc w:val="both"/>
        <w:rPr>
          <w:rFonts w:ascii="Book Antiqua" w:hAnsi="Book Antiqua"/>
        </w:rPr>
      </w:pPr>
      <w:r>
        <w:rPr>
          <w:rFonts w:ascii="Book Antiqua" w:hAnsi="Book Antiqua"/>
        </w:rPr>
        <w:t xml:space="preserve">45 </w:t>
      </w:r>
      <w:r>
        <w:rPr>
          <w:rFonts w:ascii="Book Antiqua" w:hAnsi="Book Antiqua"/>
          <w:b/>
          <w:bCs/>
        </w:rPr>
        <w:t>Wong TC</w:t>
      </w:r>
      <w:r>
        <w:rPr>
          <w:rFonts w:ascii="Book Antiqua" w:hAnsi="Book Antiqua"/>
        </w:rPr>
        <w:t xml:space="preserve">, Lo CM, Fung JY. Emerging drugs for prevention of T-cell mediated rejection in liver and kidney transplantation. </w:t>
      </w:r>
      <w:r>
        <w:rPr>
          <w:rFonts w:ascii="Book Antiqua" w:hAnsi="Book Antiqua"/>
          <w:i/>
          <w:iCs/>
        </w:rPr>
        <w:t>Expert Opin Emerg Drugs</w:t>
      </w:r>
      <w:r>
        <w:rPr>
          <w:rFonts w:ascii="Book Antiqua" w:hAnsi="Book Antiqua"/>
        </w:rPr>
        <w:t xml:space="preserve"> 2017; </w:t>
      </w:r>
      <w:r>
        <w:rPr>
          <w:rFonts w:ascii="Book Antiqua" w:hAnsi="Book Antiqua"/>
          <w:b/>
          <w:bCs/>
        </w:rPr>
        <w:t>22</w:t>
      </w:r>
      <w:r>
        <w:rPr>
          <w:rFonts w:ascii="Book Antiqua" w:hAnsi="Book Antiqua"/>
        </w:rPr>
        <w:t>: 123-136 [PMID: 28503959 DOI: 10.1080/14728214.2017.1330884]</w:t>
      </w:r>
    </w:p>
    <w:p w14:paraId="47D3178C" w14:textId="77777777" w:rsidR="00D03248" w:rsidRDefault="0031688F">
      <w:pPr>
        <w:spacing w:line="360" w:lineRule="auto"/>
        <w:jc w:val="both"/>
        <w:rPr>
          <w:rFonts w:ascii="Book Antiqua" w:hAnsi="Book Antiqua"/>
        </w:rPr>
      </w:pPr>
      <w:r>
        <w:rPr>
          <w:rFonts w:ascii="Book Antiqua" w:hAnsi="Book Antiqua"/>
        </w:rPr>
        <w:lastRenderedPageBreak/>
        <w:t xml:space="preserve">46 </w:t>
      </w:r>
      <w:r>
        <w:rPr>
          <w:rFonts w:ascii="Book Antiqua" w:hAnsi="Book Antiqua"/>
          <w:b/>
          <w:bCs/>
        </w:rPr>
        <w:t>Sun G</w:t>
      </w:r>
      <w:r>
        <w:rPr>
          <w:rFonts w:ascii="Book Antiqua" w:hAnsi="Book Antiqua"/>
        </w:rPr>
        <w:t xml:space="preserve">, Yang S, Cao G, Wang Q, Hao J, Wen Q, Li Z, So KF, Liu Z, Zhou S, Zhao Y, Yang H, Zhou L, Yin Z. γδ T cells provide the early source of IFN-γ to aggravate lesions in spinal cord injury. </w:t>
      </w:r>
      <w:r>
        <w:rPr>
          <w:rFonts w:ascii="Book Antiqua" w:hAnsi="Book Antiqua"/>
          <w:i/>
          <w:iCs/>
        </w:rPr>
        <w:t>J Exp Med</w:t>
      </w:r>
      <w:r>
        <w:rPr>
          <w:rFonts w:ascii="Book Antiqua" w:hAnsi="Book Antiqua"/>
        </w:rPr>
        <w:t xml:space="preserve"> 2018; </w:t>
      </w:r>
      <w:r>
        <w:rPr>
          <w:rFonts w:ascii="Book Antiqua" w:hAnsi="Book Antiqua"/>
          <w:b/>
          <w:bCs/>
        </w:rPr>
        <w:t>215</w:t>
      </w:r>
      <w:r>
        <w:rPr>
          <w:rFonts w:ascii="Book Antiqua" w:hAnsi="Book Antiqua"/>
        </w:rPr>
        <w:t>: 521-535 [PMID: 29282251 DOI: 10.1084/jem.20170686]</w:t>
      </w:r>
    </w:p>
    <w:p w14:paraId="083B23F0" w14:textId="77777777" w:rsidR="00D03248" w:rsidRDefault="0031688F">
      <w:pPr>
        <w:spacing w:line="360" w:lineRule="auto"/>
        <w:jc w:val="both"/>
        <w:rPr>
          <w:rFonts w:ascii="Book Antiqua" w:hAnsi="Book Antiqua"/>
        </w:rPr>
      </w:pPr>
      <w:r>
        <w:rPr>
          <w:rFonts w:ascii="Book Antiqua" w:hAnsi="Book Antiqua"/>
        </w:rPr>
        <w:t xml:space="preserve">47 </w:t>
      </w:r>
      <w:r>
        <w:rPr>
          <w:rFonts w:ascii="Book Antiqua" w:hAnsi="Book Antiqua"/>
          <w:b/>
          <w:bCs/>
        </w:rPr>
        <w:t>Li S</w:t>
      </w:r>
      <w:r>
        <w:rPr>
          <w:rFonts w:ascii="Book Antiqua" w:hAnsi="Book Antiqua"/>
        </w:rPr>
        <w:t xml:space="preserve">, Yu J, Guo C, Jie Y, Pan Z. The Balance of Th1/Th2 and LAP+Tregs/Th17 Cells Is Crucial for Graft Survival in Allogeneic Corneal Transplantation. </w:t>
      </w:r>
      <w:r>
        <w:rPr>
          <w:rFonts w:ascii="Book Antiqua" w:hAnsi="Book Antiqua"/>
          <w:i/>
          <w:iCs/>
        </w:rPr>
        <w:t>J Ophthalmol</w:t>
      </w:r>
      <w:r>
        <w:rPr>
          <w:rFonts w:ascii="Book Antiqua" w:hAnsi="Book Antiqua"/>
        </w:rPr>
        <w:t xml:space="preserve"> 2018; </w:t>
      </w:r>
      <w:r>
        <w:rPr>
          <w:rFonts w:ascii="Book Antiqua" w:hAnsi="Book Antiqua"/>
          <w:b/>
          <w:bCs/>
        </w:rPr>
        <w:t>2018</w:t>
      </w:r>
      <w:r>
        <w:rPr>
          <w:rFonts w:ascii="Book Antiqua" w:hAnsi="Book Antiqua"/>
        </w:rPr>
        <w:t>: 5404989 [PMID: 29576879 DOI: 10.1155/2018/5404989]</w:t>
      </w:r>
    </w:p>
    <w:p w14:paraId="5FDE6C00" w14:textId="77777777" w:rsidR="00D03248" w:rsidRDefault="0031688F">
      <w:pPr>
        <w:spacing w:line="360" w:lineRule="auto"/>
        <w:jc w:val="both"/>
        <w:rPr>
          <w:rFonts w:ascii="Book Antiqua" w:hAnsi="Book Antiqua"/>
        </w:rPr>
      </w:pPr>
      <w:r>
        <w:rPr>
          <w:rFonts w:ascii="Book Antiqua" w:hAnsi="Book Antiqua"/>
        </w:rPr>
        <w:t xml:space="preserve">48 </w:t>
      </w:r>
      <w:r>
        <w:rPr>
          <w:rFonts w:ascii="Book Antiqua" w:hAnsi="Book Antiqua"/>
          <w:b/>
          <w:bCs/>
        </w:rPr>
        <w:t>Newstead CG</w:t>
      </w:r>
      <w:r>
        <w:rPr>
          <w:rFonts w:ascii="Book Antiqua" w:hAnsi="Book Antiqua"/>
        </w:rPr>
        <w:t xml:space="preserve">, Lamb WR, Brenchley PE, Short CD. Serum and urine IL-6 and TNF-alpha in renal transplant recipients with graft dysfunction. </w:t>
      </w:r>
      <w:r>
        <w:rPr>
          <w:rFonts w:ascii="Book Antiqua" w:hAnsi="Book Antiqua"/>
          <w:i/>
          <w:iCs/>
        </w:rPr>
        <w:t>Transplantation</w:t>
      </w:r>
      <w:r>
        <w:rPr>
          <w:rFonts w:ascii="Book Antiqua" w:hAnsi="Book Antiqua"/>
        </w:rPr>
        <w:t xml:space="preserve"> 1993; </w:t>
      </w:r>
      <w:r>
        <w:rPr>
          <w:rFonts w:ascii="Book Antiqua" w:hAnsi="Book Antiqua"/>
          <w:b/>
          <w:bCs/>
        </w:rPr>
        <w:t>56</w:t>
      </w:r>
      <w:r>
        <w:rPr>
          <w:rFonts w:ascii="Book Antiqua" w:hAnsi="Book Antiqua"/>
        </w:rPr>
        <w:t>: 831-835 [PMID: 8212202 DOI: 10.1097/00007890-199310000-00010]</w:t>
      </w:r>
    </w:p>
    <w:p w14:paraId="72E23694" w14:textId="77777777" w:rsidR="00D03248" w:rsidRDefault="0031688F">
      <w:pPr>
        <w:spacing w:line="360" w:lineRule="auto"/>
        <w:jc w:val="both"/>
        <w:rPr>
          <w:rFonts w:ascii="Book Antiqua" w:hAnsi="Book Antiqua"/>
        </w:rPr>
      </w:pPr>
      <w:r>
        <w:rPr>
          <w:rFonts w:ascii="Book Antiqua" w:hAnsi="Book Antiqua"/>
        </w:rPr>
        <w:t xml:space="preserve">49 </w:t>
      </w:r>
      <w:r>
        <w:rPr>
          <w:rFonts w:ascii="Book Antiqua" w:hAnsi="Book Antiqua"/>
          <w:b/>
          <w:bCs/>
        </w:rPr>
        <w:t>Ma L</w:t>
      </w:r>
      <w:r>
        <w:rPr>
          <w:rFonts w:ascii="Book Antiqua" w:hAnsi="Book Antiqua"/>
        </w:rPr>
        <w:t xml:space="preserve">, Zhang H, Hu K, Lv G, Fu Y, Ayana DA, Zhao P, Jiang Y. The imbalance between Tregs, Th17 cells and inflammatory cytokines among renal transplant recipients. </w:t>
      </w:r>
      <w:r>
        <w:rPr>
          <w:rFonts w:ascii="Book Antiqua" w:hAnsi="Book Antiqua"/>
          <w:i/>
          <w:iCs/>
        </w:rPr>
        <w:t>BMC Immunol</w:t>
      </w:r>
      <w:r>
        <w:rPr>
          <w:rFonts w:ascii="Book Antiqua" w:hAnsi="Book Antiqua"/>
        </w:rPr>
        <w:t xml:space="preserve"> 2015; </w:t>
      </w:r>
      <w:r>
        <w:rPr>
          <w:rFonts w:ascii="Book Antiqua" w:hAnsi="Book Antiqua"/>
          <w:b/>
          <w:bCs/>
        </w:rPr>
        <w:t>16</w:t>
      </w:r>
      <w:r>
        <w:rPr>
          <w:rFonts w:ascii="Book Antiqua" w:hAnsi="Book Antiqua"/>
        </w:rPr>
        <w:t>: 56 [PMID: 26400627 DOI: 10.1186/s12865-015-0118-8]</w:t>
      </w:r>
    </w:p>
    <w:p w14:paraId="6B54D242" w14:textId="77777777" w:rsidR="00D03248" w:rsidRDefault="0031688F">
      <w:pPr>
        <w:spacing w:line="360" w:lineRule="auto"/>
        <w:jc w:val="both"/>
        <w:rPr>
          <w:rFonts w:ascii="Book Antiqua" w:hAnsi="Book Antiqua"/>
        </w:rPr>
      </w:pPr>
      <w:r>
        <w:rPr>
          <w:rFonts w:ascii="Book Antiqua" w:hAnsi="Book Antiqua"/>
        </w:rPr>
        <w:t xml:space="preserve">50 </w:t>
      </w:r>
      <w:r>
        <w:rPr>
          <w:rFonts w:ascii="Book Antiqua" w:hAnsi="Book Antiqua"/>
          <w:b/>
          <w:bCs/>
        </w:rPr>
        <w:t>Assadiasl S</w:t>
      </w:r>
      <w:r>
        <w:rPr>
          <w:rFonts w:ascii="Book Antiqua" w:hAnsi="Book Antiqua"/>
        </w:rPr>
        <w:t xml:space="preserve">, Mooney N, Nicknam MH. Cytokines in Liver Transplantation. </w:t>
      </w:r>
      <w:r>
        <w:rPr>
          <w:rFonts w:ascii="Book Antiqua" w:hAnsi="Book Antiqua"/>
          <w:i/>
          <w:iCs/>
        </w:rPr>
        <w:t>Cytokine</w:t>
      </w:r>
      <w:r>
        <w:rPr>
          <w:rFonts w:ascii="Book Antiqua" w:hAnsi="Book Antiqua"/>
        </w:rPr>
        <w:t xml:space="preserve"> 2021; </w:t>
      </w:r>
      <w:r>
        <w:rPr>
          <w:rFonts w:ascii="Book Antiqua" w:hAnsi="Book Antiqua"/>
          <w:b/>
          <w:bCs/>
        </w:rPr>
        <w:t>148</w:t>
      </w:r>
      <w:r>
        <w:rPr>
          <w:rFonts w:ascii="Book Antiqua" w:hAnsi="Book Antiqua"/>
        </w:rPr>
        <w:t>: 155705 [PMID: 34564024 DOI: 10.1016/j.cyto.2021.155705]</w:t>
      </w:r>
    </w:p>
    <w:p w14:paraId="30132FFA" w14:textId="77777777" w:rsidR="00D03248" w:rsidRDefault="0031688F">
      <w:pPr>
        <w:spacing w:line="360" w:lineRule="auto"/>
        <w:jc w:val="both"/>
        <w:rPr>
          <w:rFonts w:ascii="Book Antiqua" w:hAnsi="Book Antiqua"/>
        </w:rPr>
      </w:pPr>
      <w:r>
        <w:rPr>
          <w:rFonts w:ascii="Book Antiqua" w:hAnsi="Book Antiqua"/>
        </w:rPr>
        <w:t xml:space="preserve">51 </w:t>
      </w:r>
      <w:r>
        <w:rPr>
          <w:rFonts w:ascii="Book Antiqua" w:hAnsi="Book Antiqua"/>
          <w:b/>
          <w:bCs/>
        </w:rPr>
        <w:t>Sena LA</w:t>
      </w:r>
      <w:r>
        <w:rPr>
          <w:rFonts w:ascii="Book Antiqua" w:hAnsi="Book Antiqua"/>
        </w:rPr>
        <w:t xml:space="preserve">, Li S, Jairaman A, Prakriya M, Ezponda T, Hildeman DA, Wang CR, Schumacker PT, Licht JD, Perlman H, Bryce PJ, Chandel NS. Mitochondria are required for antigen-specific T cell activation through reactive oxygen species signaling. </w:t>
      </w:r>
      <w:r>
        <w:rPr>
          <w:rFonts w:ascii="Book Antiqua" w:hAnsi="Book Antiqua"/>
          <w:i/>
          <w:iCs/>
        </w:rPr>
        <w:t>Immunity</w:t>
      </w:r>
      <w:r>
        <w:rPr>
          <w:rFonts w:ascii="Book Antiqua" w:hAnsi="Book Antiqua"/>
        </w:rPr>
        <w:t xml:space="preserve"> 2013; </w:t>
      </w:r>
      <w:r>
        <w:rPr>
          <w:rFonts w:ascii="Book Antiqua" w:hAnsi="Book Antiqua"/>
          <w:b/>
          <w:bCs/>
        </w:rPr>
        <w:t>38</w:t>
      </w:r>
      <w:r>
        <w:rPr>
          <w:rFonts w:ascii="Book Antiqua" w:hAnsi="Book Antiqua"/>
        </w:rPr>
        <w:t>: 225-236 [PMID: 23415911 DOI: 10.1016/j.immuni.2012.10.020]</w:t>
      </w:r>
    </w:p>
    <w:p w14:paraId="6B24695A" w14:textId="77777777" w:rsidR="00D03248" w:rsidRDefault="0031688F">
      <w:pPr>
        <w:spacing w:line="360" w:lineRule="auto"/>
        <w:jc w:val="both"/>
        <w:rPr>
          <w:rFonts w:ascii="Book Antiqua" w:hAnsi="Book Antiqua"/>
        </w:rPr>
      </w:pPr>
      <w:r>
        <w:rPr>
          <w:rFonts w:ascii="Book Antiqua" w:hAnsi="Book Antiqua"/>
        </w:rPr>
        <w:t xml:space="preserve">52 </w:t>
      </w:r>
      <w:r>
        <w:rPr>
          <w:rFonts w:ascii="Book Antiqua" w:hAnsi="Book Antiqua"/>
          <w:b/>
          <w:bCs/>
        </w:rPr>
        <w:t>Pearce EL</w:t>
      </w:r>
      <w:r>
        <w:rPr>
          <w:rFonts w:ascii="Book Antiqua" w:hAnsi="Book Antiqua"/>
        </w:rPr>
        <w:t xml:space="preserve">, Poffenberger MC, Chang CH, Jones RG. Fueling immunity: insights into metabolism and lymphocyte function. </w:t>
      </w:r>
      <w:r>
        <w:rPr>
          <w:rFonts w:ascii="Book Antiqua" w:hAnsi="Book Antiqua"/>
          <w:i/>
          <w:iCs/>
        </w:rPr>
        <w:t>Science</w:t>
      </w:r>
      <w:r>
        <w:rPr>
          <w:rFonts w:ascii="Book Antiqua" w:hAnsi="Book Antiqua"/>
        </w:rPr>
        <w:t xml:space="preserve"> 2013; </w:t>
      </w:r>
      <w:r>
        <w:rPr>
          <w:rFonts w:ascii="Book Antiqua" w:hAnsi="Book Antiqua"/>
          <w:b/>
          <w:bCs/>
        </w:rPr>
        <w:t>342</w:t>
      </w:r>
      <w:r>
        <w:rPr>
          <w:rFonts w:ascii="Book Antiqua" w:hAnsi="Book Antiqua"/>
        </w:rPr>
        <w:t>: 1242454 [PMID: 24115444 DOI: 10.1126/science.1242454]</w:t>
      </w:r>
    </w:p>
    <w:p w14:paraId="6EEA923C" w14:textId="77777777" w:rsidR="00D03248" w:rsidRDefault="0031688F">
      <w:pPr>
        <w:spacing w:line="360" w:lineRule="auto"/>
        <w:jc w:val="both"/>
        <w:rPr>
          <w:rFonts w:ascii="Book Antiqua" w:hAnsi="Book Antiqua"/>
        </w:rPr>
      </w:pPr>
      <w:r>
        <w:rPr>
          <w:rFonts w:ascii="Book Antiqua" w:hAnsi="Book Antiqua"/>
        </w:rPr>
        <w:t xml:space="preserve">53 </w:t>
      </w:r>
      <w:r>
        <w:rPr>
          <w:rFonts w:ascii="Book Antiqua" w:hAnsi="Book Antiqua"/>
          <w:b/>
          <w:bCs/>
        </w:rPr>
        <w:t>Gerriets VA</w:t>
      </w:r>
      <w:r>
        <w:rPr>
          <w:rFonts w:ascii="Book Antiqua" w:hAnsi="Book Antiqua"/>
        </w:rPr>
        <w:t xml:space="preserve">, Kishton RJ, Nichols AG, Macintyre AN, Inoue M, Ilkayeva O, Winter PS, Liu X, Priyadharshini B, Slawinska ME, Haeberli L, Huck C, Turka LA, Wood KC, Hale LP, Smith PA, Schneider MA, MacIver NJ, Locasale JW, Newgard CB, Shinohara ML, Rathmell JC. Metabolic programming and PDHK1 control CD4+ T cell subsets and inflammation. </w:t>
      </w:r>
      <w:r>
        <w:rPr>
          <w:rFonts w:ascii="Book Antiqua" w:hAnsi="Book Antiqua"/>
          <w:i/>
          <w:iCs/>
        </w:rPr>
        <w:t>J Clin Invest</w:t>
      </w:r>
      <w:r>
        <w:rPr>
          <w:rFonts w:ascii="Book Antiqua" w:hAnsi="Book Antiqua"/>
        </w:rPr>
        <w:t xml:space="preserve"> 2015; </w:t>
      </w:r>
      <w:r>
        <w:rPr>
          <w:rFonts w:ascii="Book Antiqua" w:hAnsi="Book Antiqua"/>
          <w:b/>
          <w:bCs/>
        </w:rPr>
        <w:t>125</w:t>
      </w:r>
      <w:r>
        <w:rPr>
          <w:rFonts w:ascii="Book Antiqua" w:hAnsi="Book Antiqua"/>
        </w:rPr>
        <w:t>: 194-207 [PMID: 25437876 DOI: 10.1172/JCI76012]</w:t>
      </w:r>
    </w:p>
    <w:p w14:paraId="37F90168" w14:textId="77777777" w:rsidR="00D03248" w:rsidRDefault="0031688F">
      <w:pPr>
        <w:spacing w:line="360" w:lineRule="auto"/>
        <w:jc w:val="both"/>
        <w:rPr>
          <w:rFonts w:ascii="Book Antiqua" w:hAnsi="Book Antiqua"/>
        </w:rPr>
      </w:pPr>
      <w:r>
        <w:rPr>
          <w:rFonts w:ascii="Book Antiqua" w:hAnsi="Book Antiqua"/>
        </w:rPr>
        <w:lastRenderedPageBreak/>
        <w:t xml:space="preserve">54 </w:t>
      </w:r>
      <w:r>
        <w:rPr>
          <w:rFonts w:ascii="Book Antiqua" w:hAnsi="Book Antiqua"/>
          <w:b/>
          <w:bCs/>
        </w:rPr>
        <w:t>Matsushita M</w:t>
      </w:r>
      <w:r>
        <w:rPr>
          <w:rFonts w:ascii="Book Antiqua" w:hAnsi="Book Antiqua"/>
        </w:rPr>
        <w:t xml:space="preserve">, Freigang S, Schneider C, Conrad M, Bornkamm GW, Kopf M. T cell lipid peroxidation induces ferroptosis and prevents immunity to infection. </w:t>
      </w:r>
      <w:r>
        <w:rPr>
          <w:rFonts w:ascii="Book Antiqua" w:hAnsi="Book Antiqua"/>
          <w:i/>
          <w:iCs/>
        </w:rPr>
        <w:t>J Exp Med</w:t>
      </w:r>
      <w:r>
        <w:rPr>
          <w:rFonts w:ascii="Book Antiqua" w:hAnsi="Book Antiqua"/>
        </w:rPr>
        <w:t xml:space="preserve"> 2015; </w:t>
      </w:r>
      <w:r>
        <w:rPr>
          <w:rFonts w:ascii="Book Antiqua" w:hAnsi="Book Antiqua"/>
          <w:b/>
          <w:bCs/>
        </w:rPr>
        <w:t>212</w:t>
      </w:r>
      <w:r>
        <w:rPr>
          <w:rFonts w:ascii="Book Antiqua" w:hAnsi="Book Antiqua"/>
        </w:rPr>
        <w:t>: 555-568 [PMID: 25824823 DOI: 10.1084/jem.20140857]</w:t>
      </w:r>
    </w:p>
    <w:p w14:paraId="66B7C520" w14:textId="77777777" w:rsidR="00D03248" w:rsidRDefault="0031688F">
      <w:pPr>
        <w:spacing w:line="360" w:lineRule="auto"/>
        <w:jc w:val="both"/>
        <w:rPr>
          <w:rFonts w:ascii="Book Antiqua" w:hAnsi="Book Antiqua"/>
        </w:rPr>
      </w:pPr>
      <w:r>
        <w:rPr>
          <w:rFonts w:ascii="Book Antiqua" w:hAnsi="Book Antiqua"/>
        </w:rPr>
        <w:t xml:space="preserve">55 </w:t>
      </w:r>
      <w:r>
        <w:rPr>
          <w:rFonts w:ascii="Book Antiqua" w:hAnsi="Book Antiqua"/>
          <w:b/>
          <w:bCs/>
        </w:rPr>
        <w:t>Ogando DG</w:t>
      </w:r>
      <w:r>
        <w:rPr>
          <w:rFonts w:ascii="Book Antiqua" w:hAnsi="Book Antiqua"/>
        </w:rPr>
        <w:t xml:space="preserve">, Choi M, Shyam R, Li S, Bonanno JA. Ammonia sensitive SLC4A11 mitochondrial uncoupling reduces glutamine induced oxidative stress. </w:t>
      </w:r>
      <w:r>
        <w:rPr>
          <w:rFonts w:ascii="Book Antiqua" w:hAnsi="Book Antiqua"/>
          <w:i/>
          <w:iCs/>
        </w:rPr>
        <w:t>Redox Biol</w:t>
      </w:r>
      <w:r>
        <w:rPr>
          <w:rFonts w:ascii="Book Antiqua" w:hAnsi="Book Antiqua"/>
        </w:rPr>
        <w:t xml:space="preserve"> 2019; </w:t>
      </w:r>
      <w:r>
        <w:rPr>
          <w:rFonts w:ascii="Book Antiqua" w:hAnsi="Book Antiqua"/>
          <w:b/>
          <w:bCs/>
        </w:rPr>
        <w:t>26</w:t>
      </w:r>
      <w:r>
        <w:rPr>
          <w:rFonts w:ascii="Book Antiqua" w:hAnsi="Book Antiqua"/>
        </w:rPr>
        <w:t>: 101260 [PMID: 31254733 DOI: 10.1016/j.redox.2019.101260]</w:t>
      </w:r>
    </w:p>
    <w:p w14:paraId="33124E5E" w14:textId="77777777" w:rsidR="00D03248" w:rsidRDefault="0031688F">
      <w:pPr>
        <w:spacing w:line="360" w:lineRule="auto"/>
        <w:jc w:val="both"/>
        <w:rPr>
          <w:rFonts w:ascii="Book Antiqua" w:hAnsi="Book Antiqua"/>
        </w:rPr>
      </w:pPr>
      <w:r>
        <w:rPr>
          <w:rFonts w:ascii="Book Antiqua" w:hAnsi="Book Antiqua"/>
        </w:rPr>
        <w:t xml:space="preserve">56 </w:t>
      </w:r>
      <w:r>
        <w:rPr>
          <w:rFonts w:ascii="Book Antiqua" w:hAnsi="Book Antiqua"/>
          <w:b/>
          <w:bCs/>
        </w:rPr>
        <w:t>Zhang J</w:t>
      </w:r>
      <w:r>
        <w:rPr>
          <w:rFonts w:ascii="Book Antiqua" w:hAnsi="Book Antiqua"/>
        </w:rPr>
        <w:t xml:space="preserve">, Wang X, Vikash V, Ye Q, Wu D, Liu Y, Dong W. ROS and ROS-Mediated Cellular Signaling. </w:t>
      </w:r>
      <w:r>
        <w:rPr>
          <w:rFonts w:ascii="Book Antiqua" w:hAnsi="Book Antiqua"/>
          <w:i/>
          <w:iCs/>
        </w:rPr>
        <w:t>Oxid Med Cell Longev</w:t>
      </w:r>
      <w:r>
        <w:rPr>
          <w:rFonts w:ascii="Book Antiqua" w:hAnsi="Book Antiqua"/>
        </w:rPr>
        <w:t xml:space="preserve"> 2016; </w:t>
      </w:r>
      <w:r>
        <w:rPr>
          <w:rFonts w:ascii="Book Antiqua" w:hAnsi="Book Antiqua"/>
          <w:b/>
          <w:bCs/>
        </w:rPr>
        <w:t>2016</w:t>
      </w:r>
      <w:r>
        <w:rPr>
          <w:rFonts w:ascii="Book Antiqua" w:hAnsi="Book Antiqua"/>
        </w:rPr>
        <w:t>: 4350965 [PMID: 26998193 DOI: 10.1155/2016/4350965]</w:t>
      </w:r>
    </w:p>
    <w:p w14:paraId="60553BA5" w14:textId="77777777" w:rsidR="00D03248" w:rsidRDefault="0031688F">
      <w:pPr>
        <w:spacing w:line="360" w:lineRule="auto"/>
        <w:jc w:val="both"/>
        <w:rPr>
          <w:rFonts w:ascii="Book Antiqua" w:hAnsi="Book Antiqua"/>
        </w:rPr>
      </w:pPr>
      <w:r>
        <w:rPr>
          <w:rFonts w:ascii="Book Antiqua" w:hAnsi="Book Antiqua"/>
        </w:rPr>
        <w:t xml:space="preserve">57 </w:t>
      </w:r>
      <w:r>
        <w:rPr>
          <w:rFonts w:ascii="Book Antiqua" w:hAnsi="Book Antiqua"/>
          <w:b/>
          <w:bCs/>
        </w:rPr>
        <w:t>Zorov DB</w:t>
      </w:r>
      <w:r>
        <w:rPr>
          <w:rFonts w:ascii="Book Antiqua" w:hAnsi="Book Antiqua"/>
        </w:rPr>
        <w:t xml:space="preserve">, Juhaszova M, Sollott SJ. Mitochondrial reactive oxygen species (ROS) and ROS-induced ROS release. </w:t>
      </w:r>
      <w:r>
        <w:rPr>
          <w:rFonts w:ascii="Book Antiqua" w:hAnsi="Book Antiqua"/>
          <w:i/>
          <w:iCs/>
        </w:rPr>
        <w:t>Physiol Rev</w:t>
      </w:r>
      <w:r>
        <w:rPr>
          <w:rFonts w:ascii="Book Antiqua" w:hAnsi="Book Antiqua"/>
        </w:rPr>
        <w:t xml:space="preserve"> 2014; </w:t>
      </w:r>
      <w:r>
        <w:rPr>
          <w:rFonts w:ascii="Book Antiqua" w:hAnsi="Book Antiqua"/>
          <w:b/>
          <w:bCs/>
        </w:rPr>
        <w:t>94</w:t>
      </w:r>
      <w:r>
        <w:rPr>
          <w:rFonts w:ascii="Book Antiqua" w:hAnsi="Book Antiqua"/>
        </w:rPr>
        <w:t>: 909-950 [PMID: 24987008 DOI: 10.1152/physrev.00026.2013]</w:t>
      </w:r>
    </w:p>
    <w:p w14:paraId="40DE1E6E" w14:textId="77777777" w:rsidR="00D03248" w:rsidRDefault="0031688F">
      <w:pPr>
        <w:spacing w:line="360" w:lineRule="auto"/>
        <w:jc w:val="both"/>
        <w:rPr>
          <w:rFonts w:ascii="Book Antiqua" w:hAnsi="Book Antiqua"/>
        </w:rPr>
      </w:pPr>
      <w:r>
        <w:rPr>
          <w:rFonts w:ascii="Book Antiqua" w:hAnsi="Book Antiqua"/>
        </w:rPr>
        <w:t xml:space="preserve">58 </w:t>
      </w:r>
      <w:r>
        <w:rPr>
          <w:rFonts w:ascii="Book Antiqua" w:hAnsi="Book Antiqua"/>
          <w:b/>
          <w:bCs/>
        </w:rPr>
        <w:t>Kerins MJ</w:t>
      </w:r>
      <w:r>
        <w:rPr>
          <w:rFonts w:ascii="Book Antiqua" w:hAnsi="Book Antiqua"/>
        </w:rPr>
        <w:t xml:space="preserve">, Milligan J, Wohlschlegel JA, Ooi A. Fumarate hydratase inactivation in hereditary leiomyomatosis and renal cell cancer is synthetic lethal with ferroptosis induction. </w:t>
      </w:r>
      <w:r>
        <w:rPr>
          <w:rFonts w:ascii="Book Antiqua" w:hAnsi="Book Antiqua"/>
          <w:i/>
          <w:iCs/>
        </w:rPr>
        <w:t>Cancer Sci</w:t>
      </w:r>
      <w:r>
        <w:rPr>
          <w:rFonts w:ascii="Book Antiqua" w:hAnsi="Book Antiqua"/>
        </w:rPr>
        <w:t xml:space="preserve"> 2018; </w:t>
      </w:r>
      <w:r>
        <w:rPr>
          <w:rFonts w:ascii="Book Antiqua" w:hAnsi="Book Antiqua"/>
          <w:b/>
          <w:bCs/>
        </w:rPr>
        <w:t>109</w:t>
      </w:r>
      <w:r>
        <w:rPr>
          <w:rFonts w:ascii="Book Antiqua" w:hAnsi="Book Antiqua"/>
        </w:rPr>
        <w:t>: 2757-2766 [PMID: 29917289 DOI: 10.1111/cas.13701]</w:t>
      </w:r>
    </w:p>
    <w:p w14:paraId="2442349C" w14:textId="77777777" w:rsidR="00D03248" w:rsidRDefault="0031688F">
      <w:pPr>
        <w:spacing w:line="360" w:lineRule="auto"/>
        <w:jc w:val="both"/>
        <w:rPr>
          <w:rFonts w:ascii="Book Antiqua" w:hAnsi="Book Antiqua"/>
        </w:rPr>
      </w:pPr>
      <w:r>
        <w:rPr>
          <w:rFonts w:ascii="Book Antiqua" w:hAnsi="Book Antiqua"/>
        </w:rPr>
        <w:t xml:space="preserve">59 </w:t>
      </w:r>
      <w:r>
        <w:rPr>
          <w:rFonts w:ascii="Book Antiqua" w:hAnsi="Book Antiqua"/>
          <w:b/>
          <w:bCs/>
        </w:rPr>
        <w:t>Xu C</w:t>
      </w:r>
      <w:r>
        <w:rPr>
          <w:rFonts w:ascii="Book Antiqua" w:hAnsi="Book Antiqua"/>
        </w:rPr>
        <w:t xml:space="preserve">, Sun S, Johnson T, Qi R, Zhang S, Zhang J, Yang K. The glutathione peroxidase Gpx4 prevents lipid peroxidation and ferroptosis to sustain Treg cell activation and suppression of antitumor immunity. </w:t>
      </w:r>
      <w:r>
        <w:rPr>
          <w:rFonts w:ascii="Book Antiqua" w:hAnsi="Book Antiqua"/>
          <w:i/>
          <w:iCs/>
        </w:rPr>
        <w:t>Cell Rep</w:t>
      </w:r>
      <w:r>
        <w:rPr>
          <w:rFonts w:ascii="Book Antiqua" w:hAnsi="Book Antiqua"/>
        </w:rPr>
        <w:t xml:space="preserve"> 2021; </w:t>
      </w:r>
      <w:r>
        <w:rPr>
          <w:rFonts w:ascii="Book Antiqua" w:hAnsi="Book Antiqua"/>
          <w:b/>
          <w:bCs/>
        </w:rPr>
        <w:t>35</w:t>
      </w:r>
      <w:r>
        <w:rPr>
          <w:rFonts w:ascii="Book Antiqua" w:hAnsi="Book Antiqua"/>
        </w:rPr>
        <w:t>: 109235 [PMID: 34133924 DOI: 10.1016/j.celrep.2021.109235]</w:t>
      </w:r>
    </w:p>
    <w:p w14:paraId="1AE90590" w14:textId="77777777" w:rsidR="00D03248" w:rsidRDefault="00D03248">
      <w:pPr>
        <w:spacing w:line="360" w:lineRule="auto"/>
        <w:jc w:val="both"/>
        <w:rPr>
          <w:rFonts w:ascii="Book Antiqua" w:hAnsi="Book Antiqua"/>
          <w:lang w:eastAsia="zh-CN"/>
        </w:rPr>
      </w:pPr>
    </w:p>
    <w:p w14:paraId="78872453" w14:textId="77777777" w:rsidR="00D03248" w:rsidRDefault="00D03248">
      <w:pPr>
        <w:spacing w:line="360" w:lineRule="auto"/>
        <w:jc w:val="both"/>
        <w:rPr>
          <w:rFonts w:ascii="Book Antiqua" w:hAnsi="Book Antiqua"/>
          <w:lang w:eastAsia="zh-CN"/>
        </w:rPr>
      </w:pPr>
    </w:p>
    <w:p w14:paraId="73897B23" w14:textId="77777777" w:rsidR="00D03248" w:rsidRDefault="00D03248">
      <w:pPr>
        <w:spacing w:line="360" w:lineRule="auto"/>
        <w:jc w:val="both"/>
        <w:rPr>
          <w:rFonts w:ascii="Book Antiqua" w:hAnsi="Book Antiqua"/>
          <w:lang w:eastAsia="zh-CN"/>
        </w:rPr>
        <w:sectPr w:rsidR="00D03248">
          <w:footerReference w:type="default" r:id="rId6"/>
          <w:pgSz w:w="12240" w:h="15840"/>
          <w:pgMar w:top="1440" w:right="1440" w:bottom="1440" w:left="1440" w:header="720" w:footer="720" w:gutter="0"/>
          <w:cols w:space="720"/>
          <w:docGrid w:linePitch="360"/>
        </w:sectPr>
      </w:pPr>
    </w:p>
    <w:p w14:paraId="7C45D8A2"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E94C6D9" w14:textId="77777777" w:rsidR="00D03248" w:rsidRDefault="0031688F">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studies involving human participants were conducted in accordance with the Declaration of Helsinki (1964) and were reviewed and approved by the Tianjin First Hospital clinical research ethics committee</w:t>
      </w:r>
      <w:r>
        <w:rPr>
          <w:rFonts w:ascii="Book Antiqua" w:hAnsi="Book Antiqua" w:cs="Book Antiqua"/>
          <w:color w:val="000000"/>
          <w:lang w:eastAsia="zh-CN"/>
        </w:rPr>
        <w:t>,</w:t>
      </w:r>
      <w:r>
        <w:rPr>
          <w:rFonts w:ascii="Book Antiqua" w:eastAsia="Book Antiqua" w:hAnsi="Book Antiqua" w:cs="Book Antiqua"/>
          <w:color w:val="000000"/>
        </w:rPr>
        <w:t xml:space="preserve"> No. 2022N150KY. The participants provided written informed consent to participate in this study. </w:t>
      </w:r>
    </w:p>
    <w:p w14:paraId="4C9D4062" w14:textId="77777777" w:rsidR="00D03248" w:rsidRDefault="00D03248">
      <w:pPr>
        <w:spacing w:line="360" w:lineRule="auto"/>
        <w:jc w:val="both"/>
        <w:rPr>
          <w:rFonts w:ascii="Book Antiqua" w:hAnsi="Book Antiqua"/>
        </w:rPr>
      </w:pPr>
    </w:p>
    <w:p w14:paraId="47BBC95E"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animal study was reviewed and approved by the ethics committee of the Institute of Radiation Medicine of the Chinese Academy of Medical Sciences</w:t>
      </w:r>
      <w:r>
        <w:rPr>
          <w:rFonts w:ascii="Book Antiqua" w:hAnsi="Book Antiqua" w:cs="Book Antiqua"/>
          <w:color w:val="000000"/>
          <w:lang w:eastAsia="zh-CN"/>
        </w:rPr>
        <w:t>,</w:t>
      </w:r>
      <w:r>
        <w:rPr>
          <w:rFonts w:ascii="Book Antiqua" w:eastAsia="Book Antiqua" w:hAnsi="Book Antiqua" w:cs="Book Antiqua"/>
          <w:color w:val="000000"/>
        </w:rPr>
        <w:t xml:space="preserve"> No. IRM-DWLL-2021184.</w:t>
      </w:r>
    </w:p>
    <w:p w14:paraId="0A28E5DB" w14:textId="77777777" w:rsidR="00D03248" w:rsidRDefault="00D03248">
      <w:pPr>
        <w:spacing w:line="360" w:lineRule="auto"/>
        <w:jc w:val="both"/>
        <w:rPr>
          <w:rFonts w:ascii="Book Antiqua" w:hAnsi="Book Antiqua"/>
          <w:lang w:eastAsia="zh-CN"/>
        </w:rPr>
      </w:pPr>
    </w:p>
    <w:p w14:paraId="5E06B9B4" w14:textId="77777777" w:rsidR="00D03248" w:rsidRDefault="0031688F">
      <w:pPr>
        <w:pStyle w:val="a9"/>
        <w:spacing w:before="0" w:beforeAutospacing="0" w:after="0" w:afterAutospacing="0" w:line="360" w:lineRule="auto"/>
        <w:jc w:val="both"/>
        <w:rPr>
          <w:rFonts w:ascii="Book Antiqua" w:hAnsi="Book Antiqua"/>
        </w:rPr>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14:paraId="430F229B" w14:textId="77777777" w:rsidR="00D03248" w:rsidRDefault="00D03248">
      <w:pPr>
        <w:spacing w:line="360" w:lineRule="auto"/>
        <w:jc w:val="both"/>
        <w:rPr>
          <w:rFonts w:ascii="Book Antiqua" w:hAnsi="Book Antiqua"/>
        </w:rPr>
      </w:pPr>
    </w:p>
    <w:p w14:paraId="36AF6395"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018C2BB7" w14:textId="77777777" w:rsidR="00D03248" w:rsidRDefault="00D03248">
      <w:pPr>
        <w:spacing w:line="360" w:lineRule="auto"/>
        <w:jc w:val="both"/>
        <w:rPr>
          <w:rFonts w:ascii="Book Antiqua" w:hAnsi="Book Antiqua"/>
        </w:rPr>
      </w:pPr>
    </w:p>
    <w:p w14:paraId="7975C420"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r>
        <w:rPr>
          <w:rFonts w:ascii="Book Antiqua" w:eastAsia="Book Antiqua" w:hAnsi="Book Antiqua" w:cs="Book Antiqua"/>
          <w:b/>
          <w:bCs/>
          <w:color w:val="000000"/>
        </w:rPr>
        <w:t xml:space="preserve"> </w:t>
      </w:r>
    </w:p>
    <w:p w14:paraId="35F1E5C1" w14:textId="77777777" w:rsidR="00D03248" w:rsidRDefault="00D03248">
      <w:pPr>
        <w:spacing w:line="360" w:lineRule="auto"/>
        <w:jc w:val="both"/>
        <w:rPr>
          <w:rFonts w:ascii="Book Antiqua" w:hAnsi="Book Antiqua"/>
        </w:rPr>
      </w:pPr>
    </w:p>
    <w:p w14:paraId="1C07F24F"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77E78854" w14:textId="77777777" w:rsidR="00D03248" w:rsidRDefault="00D03248">
      <w:pPr>
        <w:spacing w:line="360" w:lineRule="auto"/>
        <w:jc w:val="both"/>
        <w:rPr>
          <w:rFonts w:ascii="Book Antiqua" w:hAnsi="Book Antiqua"/>
        </w:rPr>
      </w:pPr>
    </w:p>
    <w:p w14:paraId="0865F13C"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E441DE" w14:textId="77777777" w:rsidR="00D03248" w:rsidRDefault="00D03248">
      <w:pPr>
        <w:spacing w:line="360" w:lineRule="auto"/>
        <w:jc w:val="both"/>
        <w:rPr>
          <w:rFonts w:ascii="Book Antiqua" w:hAnsi="Book Antiqua"/>
        </w:rPr>
      </w:pPr>
    </w:p>
    <w:p w14:paraId="54BFCEE5" w14:textId="77777777" w:rsidR="00D03248" w:rsidRDefault="0031688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D70FA96" w14:textId="77777777" w:rsidR="00D03248" w:rsidRDefault="00D03248">
      <w:pPr>
        <w:spacing w:line="360" w:lineRule="auto"/>
        <w:jc w:val="both"/>
        <w:rPr>
          <w:rFonts w:ascii="Book Antiqua" w:hAnsi="Book Antiqua"/>
          <w:lang w:eastAsia="zh-CN"/>
        </w:rPr>
      </w:pPr>
    </w:p>
    <w:p w14:paraId="524A2CB3"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2A1B190" w14:textId="77777777" w:rsidR="00D03248" w:rsidRDefault="00D03248">
      <w:pPr>
        <w:spacing w:line="360" w:lineRule="auto"/>
        <w:jc w:val="both"/>
        <w:rPr>
          <w:rFonts w:ascii="Book Antiqua" w:hAnsi="Book Antiqua"/>
        </w:rPr>
      </w:pPr>
    </w:p>
    <w:p w14:paraId="10258F52"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21, 2023</w:t>
      </w:r>
    </w:p>
    <w:p w14:paraId="0BF80480"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7, 2023</w:t>
      </w:r>
    </w:p>
    <w:p w14:paraId="44D16676"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AC1798">
        <w:rPr>
          <w:rFonts w:ascii="Book Antiqua" w:eastAsia="Book Antiqua" w:hAnsi="Book Antiqua" w:cs="Book Antiqua"/>
          <w:color w:val="000000"/>
        </w:rPr>
        <w:t>April 28, 2023</w:t>
      </w:r>
    </w:p>
    <w:p w14:paraId="30548D0B" w14:textId="77777777" w:rsidR="00D03248" w:rsidRDefault="00D03248">
      <w:pPr>
        <w:spacing w:line="360" w:lineRule="auto"/>
        <w:jc w:val="both"/>
        <w:rPr>
          <w:rFonts w:ascii="Book Antiqua" w:hAnsi="Book Antiqua"/>
        </w:rPr>
      </w:pPr>
    </w:p>
    <w:p w14:paraId="36B3A01C"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24122618"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74C2AFA" w14:textId="77777777" w:rsidR="00D03248" w:rsidRDefault="0031688F">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019A4DD"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Grade A (Excellent): 0</w:t>
      </w:r>
    </w:p>
    <w:p w14:paraId="22D6AFA4" w14:textId="77777777" w:rsidR="00D03248" w:rsidRDefault="0031688F">
      <w:pPr>
        <w:spacing w:line="360" w:lineRule="auto"/>
        <w:jc w:val="both"/>
        <w:rPr>
          <w:rFonts w:ascii="Book Antiqua" w:hAnsi="Book Antiqua"/>
          <w:lang w:eastAsia="zh-CN"/>
        </w:rPr>
      </w:pPr>
      <w:r>
        <w:rPr>
          <w:rFonts w:ascii="Book Antiqua" w:eastAsia="Book Antiqua" w:hAnsi="Book Antiqua" w:cs="Book Antiqua"/>
          <w:color w:val="000000"/>
        </w:rPr>
        <w:t xml:space="preserve">Grade B (Very good): </w:t>
      </w:r>
      <w:r>
        <w:rPr>
          <w:rFonts w:ascii="Book Antiqua" w:hAnsi="Book Antiqua" w:cs="Book Antiqua"/>
          <w:color w:val="000000"/>
          <w:lang w:eastAsia="zh-CN"/>
        </w:rPr>
        <w:t>B</w:t>
      </w:r>
    </w:p>
    <w:p w14:paraId="211CFC13"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Grade C (Good): C, C</w:t>
      </w:r>
    </w:p>
    <w:p w14:paraId="6FFF220B"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Grade D (Fair): 0</w:t>
      </w:r>
    </w:p>
    <w:p w14:paraId="29C9E23B" w14:textId="77777777" w:rsidR="00D03248" w:rsidRDefault="0031688F">
      <w:pPr>
        <w:spacing w:line="360" w:lineRule="auto"/>
        <w:jc w:val="both"/>
        <w:rPr>
          <w:rFonts w:ascii="Book Antiqua" w:hAnsi="Book Antiqua"/>
        </w:rPr>
      </w:pPr>
      <w:r>
        <w:rPr>
          <w:rFonts w:ascii="Book Antiqua" w:eastAsia="Book Antiqua" w:hAnsi="Book Antiqua" w:cs="Book Antiqua"/>
          <w:color w:val="000000"/>
        </w:rPr>
        <w:t>Grade E (Poor): 0</w:t>
      </w:r>
    </w:p>
    <w:p w14:paraId="40F8AA01" w14:textId="77777777" w:rsidR="00D03248" w:rsidRDefault="00D03248">
      <w:pPr>
        <w:spacing w:line="360" w:lineRule="auto"/>
        <w:jc w:val="both"/>
        <w:rPr>
          <w:rFonts w:ascii="Book Antiqua" w:hAnsi="Book Antiqua"/>
        </w:rPr>
      </w:pPr>
    </w:p>
    <w:p w14:paraId="1E9EC786" w14:textId="77777777" w:rsidR="00D03248" w:rsidRDefault="0031688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Boteon YL, Brazil; Chun JW, Korea </w:t>
      </w:r>
      <w:r>
        <w:rPr>
          <w:rFonts w:ascii="Book Antiqua" w:eastAsia="Book Antiqua" w:hAnsi="Book Antiqua" w:cs="Book Antiqua"/>
          <w:b/>
          <w:color w:val="000000"/>
        </w:rPr>
        <w:t xml:space="preserve">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w:t>
      </w:r>
      <w:r>
        <w:rPr>
          <w:rFonts w:ascii="Book Antiqua" w:hAnsi="Book Antiqua" w:cs="Book Antiqua"/>
          <w:color w:val="000000"/>
          <w:lang w:eastAsia="zh-CN"/>
        </w:rPr>
        <w:t xml:space="preserve"> </w:t>
      </w:r>
      <w:r w:rsidR="00AC1798">
        <w:rPr>
          <w:rFonts w:ascii="Book Antiqua" w:hAnsi="Book Antiqua" w:cs="Book Antiqua"/>
          <w:color w:val="000000"/>
          <w:lang w:eastAsia="zh-CN"/>
        </w:rPr>
        <w:t>Liu JH</w:t>
      </w:r>
    </w:p>
    <w:p w14:paraId="4C592D61" w14:textId="77777777" w:rsidR="00D03248" w:rsidRDefault="0031688F">
      <w:pPr>
        <w:spacing w:line="360" w:lineRule="auto"/>
        <w:jc w:val="both"/>
        <w:rPr>
          <w:rFonts w:ascii="Book Antiqua" w:hAnsi="Book Antiqua"/>
        </w:rPr>
        <w:sectPr w:rsidR="00D0324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42EC9F1" w14:textId="77777777" w:rsidR="00D03248" w:rsidRDefault="0031688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EE38A4B" w14:textId="52C72454" w:rsidR="00D03248" w:rsidRDefault="004E72CE">
      <w:pPr>
        <w:spacing w:line="360" w:lineRule="auto"/>
        <w:jc w:val="both"/>
        <w:rPr>
          <w:rFonts w:ascii="Book Antiqua" w:hAnsi="Book Antiqua" w:hint="eastAsia"/>
          <w:lang w:eastAsia="zh-CN"/>
        </w:rPr>
      </w:pPr>
      <w:r>
        <w:rPr>
          <w:rFonts w:ascii="Book Antiqua" w:hAnsi="Book Antiqua" w:hint="eastAsia"/>
          <w:noProof/>
          <w:lang w:eastAsia="zh-CN"/>
        </w:rPr>
        <w:drawing>
          <wp:inline distT="0" distB="0" distL="0" distR="0" wp14:anchorId="1BAC0482" wp14:editId="00D4596E">
            <wp:extent cx="4069088" cy="6824486"/>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69088" cy="6824486"/>
                    </a:xfrm>
                    <a:prstGeom prst="rect">
                      <a:avLst/>
                    </a:prstGeom>
                  </pic:spPr>
                </pic:pic>
              </a:graphicData>
            </a:graphic>
          </wp:inline>
        </w:drawing>
      </w:r>
    </w:p>
    <w:p w14:paraId="1A3D1D37" w14:textId="77777777" w:rsidR="00D03248" w:rsidRDefault="0031688F">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1 Metronomic capecitabine showed no significant myelosuppression.</w:t>
      </w:r>
      <w:r>
        <w:rPr>
          <w:rFonts w:ascii="Book Antiqua" w:eastAsia="Book Antiqua" w:hAnsi="Book Antiqua" w:cs="Book Antiqua"/>
          <w:bCs/>
          <w:color w:val="000000"/>
        </w:rPr>
        <w:t xml:space="preserve"> A and B</w:t>
      </w:r>
      <w:r>
        <w:rPr>
          <w:rFonts w:ascii="Book Antiqua" w:hAnsi="Book Antiqua" w:cs="Book Antiqua"/>
          <w:bCs/>
          <w:color w:val="000000"/>
          <w:lang w:eastAsia="zh-CN"/>
        </w:rPr>
        <w:t>:</w:t>
      </w:r>
      <w:r>
        <w:rPr>
          <w:rFonts w:ascii="Book Antiqua" w:eastAsia="Book Antiqua" w:hAnsi="Book Antiqua" w:cs="Book Antiqua"/>
          <w:bCs/>
          <w:color w:val="000000"/>
        </w:rPr>
        <w:t xml:space="preserve"> Hemoglobin level and platelets count in the peripheral blood</w:t>
      </w:r>
      <w:r>
        <w:rPr>
          <w:rFonts w:ascii="Book Antiqua" w:hAnsi="Book Antiqua" w:cs="Book Antiqua"/>
          <w:bCs/>
          <w:color w:val="000000"/>
          <w:lang w:eastAsia="zh-CN"/>
        </w:rPr>
        <w:t>;</w:t>
      </w:r>
      <w:r>
        <w:rPr>
          <w:rFonts w:ascii="Book Antiqua" w:eastAsia="Book Antiqua" w:hAnsi="Book Antiqua" w:cs="Book Antiqua"/>
          <w:bCs/>
          <w:color w:val="000000"/>
        </w:rPr>
        <w:t xml:space="preserve"> C-F</w:t>
      </w:r>
      <w:r>
        <w:rPr>
          <w:rFonts w:ascii="Book Antiqua" w:hAnsi="Book Antiqua" w:cs="Book Antiqua"/>
          <w:bCs/>
          <w:color w:val="000000"/>
          <w:lang w:eastAsia="zh-CN"/>
        </w:rPr>
        <w:t>:</w:t>
      </w:r>
      <w:r>
        <w:rPr>
          <w:rFonts w:ascii="Book Antiqua" w:eastAsia="Book Antiqua" w:hAnsi="Book Antiqua" w:cs="Book Antiqua"/>
          <w:bCs/>
          <w:color w:val="000000"/>
        </w:rPr>
        <w:t xml:space="preserve"> White blood cells, lymphocytes, granulocytes, and monocytes counts in the peripheral blood</w:t>
      </w:r>
      <w:r>
        <w:rPr>
          <w:rFonts w:ascii="Book Antiqua" w:hAnsi="Book Antiqua" w:cs="Book Antiqua"/>
          <w:bCs/>
          <w:color w:val="000000"/>
          <w:lang w:eastAsia="zh-CN"/>
        </w:rPr>
        <w:t>;</w:t>
      </w:r>
      <w:r>
        <w:rPr>
          <w:rFonts w:ascii="Book Antiqua" w:eastAsia="Book Antiqua" w:hAnsi="Book Antiqua" w:cs="Book Antiqua"/>
          <w:bCs/>
          <w:color w:val="000000"/>
        </w:rPr>
        <w:t xml:space="preserve"> G</w:t>
      </w:r>
      <w:r>
        <w:rPr>
          <w:rFonts w:ascii="Book Antiqua" w:hAnsi="Book Antiqua" w:cs="Book Antiqua"/>
          <w:bCs/>
          <w:color w:val="000000"/>
          <w:lang w:eastAsia="zh-CN"/>
        </w:rPr>
        <w:t>:</w:t>
      </w:r>
      <w:r>
        <w:rPr>
          <w:rFonts w:ascii="Book Antiqua" w:eastAsia="Book Antiqua" w:hAnsi="Book Antiqua" w:cs="Book Antiqua"/>
          <w:bCs/>
          <w:color w:val="000000"/>
        </w:rPr>
        <w:t xml:space="preserve"> Bone </w:t>
      </w:r>
      <w:r>
        <w:rPr>
          <w:rFonts w:ascii="Book Antiqua" w:eastAsia="Book Antiqua" w:hAnsi="Book Antiqua" w:cs="Book Antiqua"/>
          <w:bCs/>
          <w:color w:val="000000"/>
        </w:rPr>
        <w:lastRenderedPageBreak/>
        <w:t xml:space="preserve">marrow tissue was stained with </w:t>
      </w:r>
      <w:r>
        <w:rPr>
          <w:rFonts w:ascii="Book Antiqua" w:eastAsia="Book Antiqua" w:hAnsi="Book Antiqua" w:cs="Book Antiqua"/>
          <w:color w:val="000000"/>
        </w:rPr>
        <w:t>hematoxylin and eosin</w:t>
      </w:r>
      <w:r>
        <w:rPr>
          <w:rFonts w:ascii="Book Antiqua" w:eastAsia="Book Antiqua" w:hAnsi="Book Antiqua" w:cs="Book Antiqua"/>
          <w:bCs/>
          <w:color w:val="000000"/>
        </w:rPr>
        <w:t xml:space="preserve"> (50</w:t>
      </w:r>
      <w:r>
        <w:rPr>
          <w:rFonts w:ascii="Book Antiqua" w:hAnsi="Book Antiqua" w:cs="Book Antiqua"/>
          <w:bCs/>
          <w:color w:val="000000"/>
          <w:lang w:eastAsia="zh-CN"/>
        </w:rPr>
        <w:t xml:space="preserve"> </w:t>
      </w:r>
      <w:r>
        <w:rPr>
          <w:rFonts w:ascii="Book Antiqua" w:eastAsia="Book Antiqua" w:hAnsi="Book Antiqua" w:cs="Book Antiqua"/>
          <w:bCs/>
          <w:color w:val="000000"/>
        </w:rPr>
        <w:t>× and 200</w:t>
      </w:r>
      <w:r>
        <w:rPr>
          <w:rFonts w:ascii="Book Antiqua" w:hAnsi="Book Antiqua" w:cs="Book Antiqua"/>
          <w:bCs/>
          <w:color w:val="000000"/>
          <w:lang w:eastAsia="zh-CN"/>
        </w:rPr>
        <w:t xml:space="preserve"> </w:t>
      </w:r>
      <w:r>
        <w:rPr>
          <w:rFonts w:ascii="Book Antiqua" w:eastAsia="Book Antiqua" w:hAnsi="Book Antiqua" w:cs="Book Antiqua"/>
          <w:bCs/>
          <w:color w:val="000000"/>
        </w:rPr>
        <w:t xml:space="preserve">×). Statistical analysis was done by unpaired </w:t>
      </w:r>
      <w:r>
        <w:rPr>
          <w:rFonts w:ascii="Book Antiqua" w:eastAsia="Book Antiqua" w:hAnsi="Book Antiqua" w:cs="Book Antiqua"/>
          <w:bCs/>
          <w:i/>
          <w:color w:val="000000"/>
        </w:rPr>
        <w:t>t</w:t>
      </w:r>
      <w:r>
        <w:rPr>
          <w:rFonts w:ascii="Book Antiqua" w:eastAsia="Book Antiqua" w:hAnsi="Book Antiqua" w:cs="Book Antiqua"/>
          <w:bCs/>
          <w:color w:val="000000"/>
        </w:rPr>
        <w:t xml:space="preserve">-test, </w:t>
      </w:r>
      <w:r>
        <w:rPr>
          <w:rFonts w:ascii="Book Antiqua" w:eastAsia="Book Antiqua" w:hAnsi="Book Antiqua" w:cs="Book Antiqua"/>
          <w:bCs/>
          <w:i/>
          <w:color w:val="000000"/>
        </w:rPr>
        <w:t>n</w:t>
      </w:r>
      <w:r>
        <w:rPr>
          <w:rFonts w:ascii="Book Antiqua" w:eastAsia="Book Antiqua" w:hAnsi="Book Antiqua" w:cs="Book Antiqua"/>
          <w:bCs/>
          <w:color w:val="000000"/>
        </w:rPr>
        <w:t xml:space="preserve"> = 6. Data are shown as mean ± SD; </w:t>
      </w:r>
      <w:r>
        <w:rPr>
          <w:rFonts w:ascii="Book Antiqua" w:eastAsia="Book Antiqua" w:hAnsi="Book Antiqua" w:cs="Book Antiqua"/>
          <w:bCs/>
          <w:color w:val="000000"/>
          <w:vertAlign w:val="superscript"/>
        </w:rPr>
        <w:t>b</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0.01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control group. CON: </w:t>
      </w:r>
      <w:r>
        <w:rPr>
          <w:rFonts w:ascii="Book Antiqua" w:hAnsi="Book Antiqua" w:cs="Book Antiqua" w:hint="eastAsia"/>
          <w:color w:val="000000"/>
          <w:lang w:eastAsia="zh-CN"/>
        </w:rPr>
        <w:t>U</w:t>
      </w:r>
      <w:r>
        <w:rPr>
          <w:rFonts w:ascii="Book Antiqua" w:eastAsia="Book Antiqua" w:hAnsi="Book Antiqua" w:cs="Book Antiqua"/>
          <w:color w:val="000000"/>
        </w:rPr>
        <w:t>ntreated control</w:t>
      </w:r>
      <w:r>
        <w:rPr>
          <w:rFonts w:ascii="Book Antiqua" w:eastAsia="Book Antiqua" w:hAnsi="Book Antiqua" w:cs="Book Antiqua"/>
          <w:bCs/>
          <w:color w:val="000000"/>
        </w:rPr>
        <w:t xml:space="preserve"> groups, rats received 0.9% normal saline for 7 d; MET: </w:t>
      </w:r>
      <w:r>
        <w:rPr>
          <w:rFonts w:ascii="Book Antiqua" w:hAnsi="Book Antiqua" w:cs="Book Antiqua"/>
          <w:bCs/>
          <w:color w:val="000000"/>
          <w:lang w:eastAsia="zh-CN"/>
        </w:rPr>
        <w:t>M</w:t>
      </w:r>
      <w:r>
        <w:rPr>
          <w:rFonts w:ascii="Book Antiqua" w:eastAsia="Book Antiqua" w:hAnsi="Book Antiqua" w:cs="Book Antiqua"/>
          <w:bCs/>
          <w:color w:val="000000"/>
        </w:rPr>
        <w:t>etronomic capecitabine (CAP)-treated groups, rats received metronomic CAP (100 mg/kg/d) treated for 7 d</w:t>
      </w:r>
      <w:r>
        <w:rPr>
          <w:rFonts w:ascii="Book Antiqua" w:hAnsi="Book Antiqua" w:cs="Book Antiqua"/>
          <w:bCs/>
          <w:color w:val="000000"/>
          <w:lang w:eastAsia="zh-CN"/>
        </w:rPr>
        <w:t xml:space="preserve">; HGB: </w:t>
      </w:r>
      <w:r>
        <w:rPr>
          <w:rFonts w:ascii="Book Antiqua" w:eastAsia="Book Antiqua" w:hAnsi="Book Antiqua" w:cs="Book Antiqua"/>
          <w:bCs/>
          <w:color w:val="000000"/>
        </w:rPr>
        <w:t>Hemoglobin</w:t>
      </w:r>
      <w:r>
        <w:rPr>
          <w:rFonts w:ascii="Book Antiqua" w:hAnsi="Book Antiqua" w:cs="Book Antiqua"/>
          <w:bCs/>
          <w:color w:val="000000"/>
          <w:lang w:eastAsia="zh-CN"/>
        </w:rPr>
        <w:t xml:space="preserve">; </w:t>
      </w:r>
      <w:r>
        <w:rPr>
          <w:rFonts w:ascii="Book Antiqua" w:eastAsia="Book Antiqua" w:hAnsi="Book Antiqua" w:cs="Book Antiqua"/>
          <w:bCs/>
          <w:color w:val="000000"/>
        </w:rPr>
        <w:t>PLT</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P</w:t>
      </w:r>
      <w:r>
        <w:rPr>
          <w:rFonts w:ascii="Book Antiqua" w:eastAsia="Book Antiqua" w:hAnsi="Book Antiqua" w:cs="Book Antiqua"/>
          <w:bCs/>
          <w:color w:val="000000"/>
        </w:rPr>
        <w:t>latelets</w:t>
      </w:r>
      <w:r>
        <w:rPr>
          <w:rFonts w:ascii="Book Antiqua" w:hAnsi="Book Antiqua" w:cs="Book Antiqua"/>
          <w:bCs/>
          <w:color w:val="000000"/>
          <w:lang w:eastAsia="zh-CN"/>
        </w:rPr>
        <w:t xml:space="preserve">; </w:t>
      </w:r>
      <w:r>
        <w:rPr>
          <w:rFonts w:ascii="Book Antiqua" w:eastAsia="Book Antiqua" w:hAnsi="Book Antiqua" w:cs="Book Antiqua"/>
          <w:bCs/>
          <w:color w:val="000000"/>
        </w:rPr>
        <w:t>WBC</w:t>
      </w:r>
      <w:r>
        <w:rPr>
          <w:rFonts w:ascii="Book Antiqua" w:hAnsi="Book Antiqua" w:cs="Book Antiqua"/>
          <w:bCs/>
          <w:color w:val="000000"/>
          <w:lang w:eastAsia="zh-CN"/>
        </w:rPr>
        <w:t>:</w:t>
      </w:r>
      <w:r>
        <w:rPr>
          <w:rFonts w:ascii="Book Antiqua" w:eastAsia="Book Antiqua" w:hAnsi="Book Antiqua" w:cs="Book Antiqua"/>
          <w:bCs/>
          <w:color w:val="000000"/>
        </w:rPr>
        <w:t xml:space="preserve"> White blood cells</w:t>
      </w:r>
      <w:r>
        <w:rPr>
          <w:rFonts w:ascii="Book Antiqua" w:hAnsi="Book Antiqua" w:cs="Book Antiqua"/>
          <w:bCs/>
          <w:color w:val="000000"/>
          <w:lang w:eastAsia="zh-CN"/>
        </w:rPr>
        <w:t xml:space="preserve">; </w:t>
      </w:r>
      <w:r>
        <w:rPr>
          <w:rFonts w:ascii="Book Antiqua" w:eastAsia="Book Antiqua" w:hAnsi="Book Antiqua" w:cs="Book Antiqua"/>
          <w:bCs/>
          <w:color w:val="000000"/>
        </w:rPr>
        <w:t>lymph</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L</w:t>
      </w:r>
      <w:r>
        <w:rPr>
          <w:rFonts w:ascii="Book Antiqua" w:eastAsia="Book Antiqua" w:hAnsi="Book Antiqua" w:cs="Book Antiqua"/>
          <w:bCs/>
          <w:color w:val="000000"/>
        </w:rPr>
        <w:t>ymphocytes</w:t>
      </w:r>
      <w:r>
        <w:rPr>
          <w:rFonts w:ascii="Book Antiqua" w:hAnsi="Book Antiqua" w:cs="Book Antiqua"/>
          <w:bCs/>
          <w:color w:val="000000"/>
          <w:lang w:eastAsia="zh-CN"/>
        </w:rPr>
        <w:t xml:space="preserve">; </w:t>
      </w:r>
      <w:r>
        <w:rPr>
          <w:rFonts w:ascii="Book Antiqua" w:eastAsia="Book Antiqua" w:hAnsi="Book Antiqua" w:cs="Book Antiqua"/>
          <w:bCs/>
          <w:color w:val="000000"/>
        </w:rPr>
        <w:t>Gran</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G</w:t>
      </w:r>
      <w:r>
        <w:rPr>
          <w:rFonts w:ascii="Book Antiqua" w:eastAsia="Book Antiqua" w:hAnsi="Book Antiqua" w:cs="Book Antiqua"/>
          <w:bCs/>
          <w:color w:val="000000"/>
        </w:rPr>
        <w:t>ranulocytes</w:t>
      </w:r>
      <w:r>
        <w:rPr>
          <w:rFonts w:ascii="Book Antiqua" w:hAnsi="Book Antiqua" w:cs="Book Antiqua"/>
          <w:bCs/>
          <w:color w:val="000000"/>
          <w:lang w:eastAsia="zh-CN"/>
        </w:rPr>
        <w:t xml:space="preserve">; </w:t>
      </w:r>
      <w:r>
        <w:rPr>
          <w:rFonts w:ascii="Book Antiqua" w:eastAsia="Book Antiqua" w:hAnsi="Book Antiqua" w:cs="Book Antiqua"/>
          <w:bCs/>
          <w:color w:val="000000"/>
        </w:rPr>
        <w:t>Mon</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M</w:t>
      </w:r>
      <w:r>
        <w:rPr>
          <w:rFonts w:ascii="Book Antiqua" w:eastAsia="Book Antiqua" w:hAnsi="Book Antiqua" w:cs="Book Antiqua"/>
          <w:bCs/>
          <w:color w:val="000000"/>
        </w:rPr>
        <w:t>onocytes</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bCs/>
          <w:color w:val="000000"/>
        </w:rPr>
        <w:cr/>
        <w:t xml:space="preserve"> </w:t>
      </w:r>
    </w:p>
    <w:p w14:paraId="359682C6" w14:textId="3CC97E23" w:rsidR="00D03248" w:rsidRDefault="0031688F">
      <w:pPr>
        <w:spacing w:line="360" w:lineRule="auto"/>
        <w:jc w:val="both"/>
        <w:rPr>
          <w:rFonts w:ascii="Book Antiqua" w:hAnsi="Book Antiqua" w:cs="Book Antiqua"/>
          <w:bCs/>
          <w:color w:val="000000"/>
          <w:lang w:eastAsia="zh-CN"/>
        </w:rPr>
      </w:pPr>
      <w:r>
        <w:rPr>
          <w:rFonts w:ascii="Book Antiqua" w:eastAsia="Book Antiqua" w:hAnsi="Book Antiqua" w:cs="Book Antiqua"/>
          <w:bCs/>
          <w:color w:val="000000"/>
        </w:rPr>
        <w:br w:type="page"/>
      </w:r>
    </w:p>
    <w:p w14:paraId="6A23BDD1" w14:textId="1CD55267" w:rsidR="00D03248" w:rsidRDefault="00764801">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3EC6E88C" wp14:editId="6FD4265D">
            <wp:extent cx="5705868" cy="6611125"/>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5868" cy="6611125"/>
                    </a:xfrm>
                    <a:prstGeom prst="rect">
                      <a:avLst/>
                    </a:prstGeom>
                  </pic:spPr>
                </pic:pic>
              </a:graphicData>
            </a:graphic>
          </wp:inline>
        </w:drawing>
      </w:r>
    </w:p>
    <w:p w14:paraId="7835FD99" w14:textId="77777777" w:rsidR="00D03248" w:rsidRDefault="0031688F">
      <w:pPr>
        <w:spacing w:line="360" w:lineRule="auto"/>
        <w:jc w:val="both"/>
        <w:rPr>
          <w:rFonts w:ascii="Book Antiqua" w:hAnsi="Book Antiqua"/>
          <w:lang w:eastAsia="zh-CN"/>
        </w:rPr>
      </w:pPr>
      <w:r>
        <w:rPr>
          <w:rFonts w:ascii="Book Antiqua" w:hAnsi="Book Antiqua"/>
          <w:b/>
          <w:lang w:eastAsia="zh-CN"/>
        </w:rPr>
        <w:t>Figure 2 Metronomic capecitabine improves liver function and ameliorates liver allograft rejection.</w:t>
      </w:r>
      <w:r>
        <w:rPr>
          <w:rFonts w:ascii="Book Antiqua" w:hAnsi="Book Antiqua"/>
          <w:lang w:eastAsia="zh-CN"/>
        </w:rPr>
        <w:t xml:space="preserve"> A: Liver allograft tissue was stained with </w:t>
      </w:r>
      <w:r>
        <w:rPr>
          <w:rFonts w:ascii="Book Antiqua" w:eastAsia="Book Antiqua" w:hAnsi="Book Antiqua" w:cs="Book Antiqua"/>
          <w:color w:val="000000"/>
        </w:rPr>
        <w:t>hematoxylin and eosin</w:t>
      </w:r>
      <w:r>
        <w:rPr>
          <w:rFonts w:ascii="Book Antiqua" w:hAnsi="Book Antiqua"/>
          <w:lang w:eastAsia="zh-CN"/>
        </w:rPr>
        <w:t xml:space="preserve"> (50 × and 200 ×). Liver tissue, portal vein, and bile duct were significantly injured in the </w:t>
      </w:r>
      <w:r>
        <w:rPr>
          <w:rFonts w:ascii="Book Antiqua" w:hAnsi="Book Antiqua" w:cs="Book Antiqua" w:hint="eastAsia"/>
          <w:color w:val="000000"/>
          <w:lang w:eastAsia="zh-CN"/>
        </w:rPr>
        <w:t>u</w:t>
      </w:r>
      <w:r>
        <w:rPr>
          <w:rFonts w:ascii="Book Antiqua" w:eastAsia="Book Antiqua" w:hAnsi="Book Antiqua" w:cs="Book Antiqua"/>
          <w:color w:val="000000"/>
        </w:rPr>
        <w:t>ntreated control</w:t>
      </w:r>
      <w:r>
        <w:rPr>
          <w:rFonts w:ascii="Book Antiqua" w:hAnsi="Book Antiqua"/>
          <w:lang w:eastAsia="zh-CN"/>
        </w:rPr>
        <w:t xml:space="preserve"> group (CON), with a large number of inflammatory cells infiltrated. In the metronomic capecitabine-treated groups (MET), liver tissue destruction was </w:t>
      </w:r>
      <w:r>
        <w:rPr>
          <w:rFonts w:ascii="Book Antiqua" w:hAnsi="Book Antiqua"/>
          <w:lang w:eastAsia="zh-CN"/>
        </w:rPr>
        <w:lastRenderedPageBreak/>
        <w:t xml:space="preserve">relatively mild, with limited infiltration of inflammatory cells (yellow arrows), relatively little degeneration of portal vein endothelium (red arrows), and bile duct epithelium (blue arrows); B: The severity of acute rejection was graded according to the Banff liver rejection criteria; C-F: Alanine transaminase, aspartate transaminase, total bilirubin, and direct bilirubin levels in the peripheral blood; G: Survival analysis of rats after </w:t>
      </w:r>
      <w:r>
        <w:rPr>
          <w:rFonts w:ascii="Book Antiqua" w:eastAsia="Book Antiqua" w:hAnsi="Book Antiqua" w:cs="Book Antiqua"/>
          <w:color w:val="000000"/>
        </w:rPr>
        <w:t>liver transplantation</w:t>
      </w:r>
      <w:r>
        <w:rPr>
          <w:rFonts w:ascii="Book Antiqua" w:hAnsi="Book Antiqua"/>
          <w:lang w:eastAsia="zh-CN"/>
        </w:rPr>
        <w:t>. The median survival time of the CON and MET groups were 11.5 d and 16 d, respectively (</w:t>
      </w:r>
      <w:r>
        <w:rPr>
          <w:rFonts w:ascii="Book Antiqua" w:hAnsi="Book Antiqua"/>
          <w:i/>
          <w:lang w:eastAsia="zh-CN"/>
        </w:rPr>
        <w:t xml:space="preserve">P </w:t>
      </w:r>
      <w:r>
        <w:rPr>
          <w:rFonts w:ascii="Book Antiqua" w:hAnsi="Book Antiqua"/>
          <w:lang w:eastAsia="zh-CN"/>
        </w:rPr>
        <w:t xml:space="preserve">&lt; 0.01). The survival analysis was done by log-rank (Mantel Cox) test, </w:t>
      </w:r>
      <w:r>
        <w:rPr>
          <w:rFonts w:ascii="Book Antiqua" w:hAnsi="Book Antiqua"/>
          <w:i/>
          <w:lang w:eastAsia="zh-CN"/>
        </w:rPr>
        <w:t>n</w:t>
      </w:r>
      <w:r>
        <w:rPr>
          <w:rFonts w:ascii="Book Antiqua" w:hAnsi="Book Antiqua"/>
          <w:lang w:eastAsia="zh-CN"/>
        </w:rPr>
        <w:t xml:space="preserve"> = 6. Statistical analysis was done by unpaired </w:t>
      </w:r>
      <w:r>
        <w:rPr>
          <w:rFonts w:ascii="Book Antiqua" w:hAnsi="Book Antiqua"/>
          <w:i/>
          <w:lang w:eastAsia="zh-CN"/>
        </w:rPr>
        <w:t>t</w:t>
      </w:r>
      <w:r>
        <w:rPr>
          <w:rFonts w:ascii="Book Antiqua" w:hAnsi="Book Antiqua"/>
          <w:lang w:eastAsia="zh-CN"/>
        </w:rPr>
        <w:t xml:space="preserve">-test, </w:t>
      </w:r>
      <w:r>
        <w:rPr>
          <w:rFonts w:ascii="Book Antiqua" w:hAnsi="Book Antiqua"/>
          <w:i/>
          <w:lang w:eastAsia="zh-CN"/>
        </w:rPr>
        <w:t>n</w:t>
      </w:r>
      <w:r>
        <w:rPr>
          <w:rFonts w:ascii="Book Antiqua" w:hAnsi="Book Antiqua"/>
          <w:lang w:eastAsia="zh-CN"/>
        </w:rPr>
        <w:t xml:space="preserve"> = 6. Data are shown as mean ± SD; </w:t>
      </w:r>
      <w:r>
        <w:rPr>
          <w:rFonts w:ascii="Book Antiqua" w:hAnsi="Book Antiqua"/>
          <w:vertAlign w:val="superscript"/>
          <w:lang w:eastAsia="zh-CN"/>
        </w:rPr>
        <w:t>b</w:t>
      </w:r>
      <w:r>
        <w:rPr>
          <w:rFonts w:ascii="Book Antiqua" w:hAnsi="Book Antiqua"/>
          <w:i/>
          <w:lang w:eastAsia="zh-CN"/>
        </w:rPr>
        <w:t>P</w:t>
      </w:r>
      <w:r>
        <w:rPr>
          <w:rFonts w:ascii="Book Antiqua" w:hAnsi="Book Antiqua"/>
          <w:lang w:eastAsia="zh-CN"/>
        </w:rPr>
        <w:t xml:space="preserve"> &lt; 0.01 </w:t>
      </w:r>
      <w:r>
        <w:rPr>
          <w:rFonts w:ascii="Book Antiqua" w:hAnsi="Book Antiqua"/>
          <w:i/>
          <w:lang w:eastAsia="zh-CN"/>
        </w:rPr>
        <w:t>vs</w:t>
      </w:r>
      <w:r>
        <w:rPr>
          <w:rFonts w:ascii="Book Antiqua" w:hAnsi="Book Antiqua"/>
          <w:lang w:eastAsia="zh-CN"/>
        </w:rPr>
        <w:t xml:space="preserve"> the control group, </w:t>
      </w:r>
      <w:r>
        <w:rPr>
          <w:rFonts w:ascii="Book Antiqua" w:hAnsi="Book Antiqua"/>
          <w:vertAlign w:val="superscript"/>
          <w:lang w:eastAsia="zh-CN"/>
        </w:rPr>
        <w:t>c</w:t>
      </w:r>
      <w:r>
        <w:rPr>
          <w:rFonts w:ascii="Book Antiqua" w:hAnsi="Book Antiqua"/>
          <w:i/>
          <w:lang w:eastAsia="zh-CN"/>
        </w:rPr>
        <w:t>P</w:t>
      </w:r>
      <w:r>
        <w:rPr>
          <w:rFonts w:ascii="Book Antiqua" w:hAnsi="Book Antiqua"/>
          <w:lang w:eastAsia="zh-CN"/>
        </w:rPr>
        <w:t xml:space="preserve"> &lt; 0.001</w:t>
      </w:r>
      <w:r>
        <w:rPr>
          <w:rFonts w:ascii="Book Antiqua" w:hAnsi="Book Antiqua"/>
          <w:i/>
          <w:lang w:eastAsia="zh-CN"/>
        </w:rPr>
        <w:t xml:space="preserve"> vs</w:t>
      </w:r>
      <w:r>
        <w:rPr>
          <w:rFonts w:ascii="Book Antiqua" w:hAnsi="Book Antiqua"/>
          <w:lang w:eastAsia="zh-CN"/>
        </w:rPr>
        <w:t xml:space="preserve"> the control group. CON: </w:t>
      </w:r>
      <w:r>
        <w:rPr>
          <w:rFonts w:ascii="Book Antiqua" w:hAnsi="Book Antiqua" w:cs="Book Antiqua" w:hint="eastAsia"/>
          <w:color w:val="000000"/>
          <w:lang w:eastAsia="zh-CN"/>
        </w:rPr>
        <w:t>U</w:t>
      </w:r>
      <w:r>
        <w:rPr>
          <w:rFonts w:ascii="Book Antiqua" w:eastAsia="Book Antiqua" w:hAnsi="Book Antiqua" w:cs="Book Antiqua"/>
          <w:color w:val="000000"/>
        </w:rPr>
        <w:t>ntreated control</w:t>
      </w:r>
      <w:r>
        <w:rPr>
          <w:rFonts w:ascii="Book Antiqua" w:hAnsi="Book Antiqua"/>
          <w:lang w:eastAsia="zh-CN"/>
        </w:rPr>
        <w:t xml:space="preserve"> groups, rats received 0.9% normal saline for 7 d; MET: Metronomic capecitabine (CAP)-treated groups, rats received metronomic CAP (100 mg/kg/d) treated for 7 d; ALT: Alanine transaminase; AST: Aspartate transaminase; TBIL: Total bilirubin; DBIL: Direct bilirubin. </w:t>
      </w:r>
      <w:r>
        <w:rPr>
          <w:rFonts w:ascii="Book Antiqua" w:hAnsi="Book Antiqua"/>
          <w:lang w:eastAsia="zh-CN"/>
        </w:rPr>
        <w:cr/>
        <w:t xml:space="preserve"> </w:t>
      </w:r>
    </w:p>
    <w:p w14:paraId="4A4ECE64" w14:textId="7755E184" w:rsidR="00D03248" w:rsidRDefault="0031688F">
      <w:pPr>
        <w:spacing w:line="360" w:lineRule="auto"/>
        <w:jc w:val="both"/>
        <w:rPr>
          <w:rFonts w:ascii="Book Antiqua" w:hAnsi="Book Antiqua"/>
          <w:lang w:eastAsia="zh-CN"/>
        </w:rPr>
      </w:pPr>
      <w:r>
        <w:rPr>
          <w:rFonts w:ascii="Book Antiqua" w:hAnsi="Book Antiqua"/>
          <w:lang w:eastAsia="zh-CN"/>
        </w:rPr>
        <w:br w:type="page"/>
      </w:r>
    </w:p>
    <w:p w14:paraId="507921CE" w14:textId="34B980F6" w:rsidR="00D03248" w:rsidRDefault="00764801">
      <w:pPr>
        <w:spacing w:line="360" w:lineRule="auto"/>
        <w:jc w:val="both"/>
        <w:rPr>
          <w:rFonts w:ascii="Book Antiqua" w:hAnsi="Book Antiqua" w:hint="eastAsia"/>
          <w:lang w:eastAsia="zh-CN"/>
        </w:rPr>
      </w:pPr>
      <w:r>
        <w:rPr>
          <w:rFonts w:ascii="Book Antiqua" w:hAnsi="Book Antiqua" w:hint="eastAsia"/>
          <w:noProof/>
          <w:lang w:eastAsia="zh-CN"/>
        </w:rPr>
        <w:lastRenderedPageBreak/>
        <w:drawing>
          <wp:inline distT="0" distB="0" distL="0" distR="0" wp14:anchorId="4B952885" wp14:editId="34405746">
            <wp:extent cx="5782068" cy="68031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2068" cy="6803150"/>
                    </a:xfrm>
                    <a:prstGeom prst="rect">
                      <a:avLst/>
                    </a:prstGeom>
                  </pic:spPr>
                </pic:pic>
              </a:graphicData>
            </a:graphic>
          </wp:inline>
        </w:drawing>
      </w:r>
    </w:p>
    <w:p w14:paraId="5212C8B5" w14:textId="77777777" w:rsidR="00D03248" w:rsidRDefault="0031688F">
      <w:pPr>
        <w:spacing w:line="360" w:lineRule="auto"/>
        <w:jc w:val="both"/>
        <w:rPr>
          <w:rFonts w:ascii="Book Antiqua" w:hAnsi="Book Antiqua"/>
          <w:lang w:eastAsia="zh-CN"/>
        </w:rPr>
      </w:pPr>
      <w:r>
        <w:rPr>
          <w:rFonts w:ascii="Book Antiqua" w:eastAsia="Book Antiqua" w:hAnsi="Book Antiqua" w:cs="Book Antiqua"/>
          <w:b/>
          <w:bCs/>
          <w:color w:val="000000"/>
        </w:rPr>
        <w:t>Figure 3 Metronomic capecitabine decreased the infiltration of CD3</w:t>
      </w:r>
      <w:r>
        <w:rPr>
          <w:rFonts w:ascii="Book Antiqua" w:eastAsia="Book Antiqua" w:hAnsi="Book Antiqua" w:cs="Book Antiqua"/>
          <w:b/>
          <w:bCs/>
          <w:color w:val="000000"/>
          <w:vertAlign w:val="superscript"/>
        </w:rPr>
        <w:t>+</w:t>
      </w:r>
      <w:r>
        <w:rPr>
          <w:rFonts w:ascii="Book Antiqua" w:eastAsia="Book Antiqua" w:hAnsi="Book Antiqua" w:cs="Book Antiqua"/>
          <w:b/>
          <w:bCs/>
          <w:color w:val="000000"/>
        </w:rPr>
        <w:t xml:space="preserve"> T cells in peripheral blood, liver allografts, and spleen.</w:t>
      </w:r>
      <w:r>
        <w:rPr>
          <w:rFonts w:ascii="Book Antiqua" w:eastAsia="Book Antiqua" w:hAnsi="Book Antiqua" w:cs="Book Antiqua"/>
          <w:bCs/>
          <w:color w:val="000000"/>
        </w:rPr>
        <w:t xml:space="preserve"> A</w:t>
      </w:r>
      <w:r>
        <w:rPr>
          <w:rFonts w:ascii="Book Antiqua" w:hAnsi="Book Antiqua" w:cs="Book Antiqua"/>
          <w:bCs/>
          <w:color w:val="000000"/>
          <w:lang w:eastAsia="zh-CN"/>
        </w:rPr>
        <w:t>:</w:t>
      </w:r>
      <w:r>
        <w:rPr>
          <w:rFonts w:ascii="Book Antiqua" w:eastAsia="Book Antiqua" w:hAnsi="Book Antiqua" w:cs="Book Antiqua"/>
          <w:bCs/>
          <w:color w:val="000000"/>
        </w:rPr>
        <w:t xml:space="preserve"> The percentage of CD3</w:t>
      </w:r>
      <w:r>
        <w:rPr>
          <w:rFonts w:ascii="Book Antiqua" w:eastAsia="Book Antiqua" w:hAnsi="Book Antiqua" w:cs="Book Antiqua"/>
          <w:bCs/>
          <w:color w:val="000000"/>
          <w:vertAlign w:val="superscript"/>
        </w:rPr>
        <w:t>+</w:t>
      </w:r>
      <w:r>
        <w:rPr>
          <w:rFonts w:ascii="Book Antiqua" w:eastAsia="Book Antiqua" w:hAnsi="Book Antiqua" w:cs="Book Antiqua"/>
          <w:bCs/>
          <w:color w:val="000000"/>
        </w:rPr>
        <w:t xml:space="preserve"> T cells among lymphocytes in the peripheral blood at postoperative day 7</w:t>
      </w:r>
      <w:r>
        <w:rPr>
          <w:rFonts w:ascii="Book Antiqua" w:hAnsi="Book Antiqua" w:cs="Book Antiqua"/>
          <w:bCs/>
          <w:color w:val="000000"/>
          <w:lang w:eastAsia="zh-CN"/>
        </w:rPr>
        <w:t>;</w:t>
      </w:r>
      <w:r>
        <w:rPr>
          <w:rFonts w:ascii="Book Antiqua" w:eastAsia="Book Antiqua" w:hAnsi="Book Antiqua" w:cs="Book Antiqua"/>
          <w:bCs/>
          <w:color w:val="000000"/>
        </w:rPr>
        <w:t xml:space="preserve"> B</w:t>
      </w:r>
      <w:r>
        <w:rPr>
          <w:rFonts w:ascii="Book Antiqua" w:hAnsi="Book Antiqua" w:cs="Book Antiqua"/>
          <w:bCs/>
          <w:color w:val="000000"/>
          <w:lang w:eastAsia="zh-CN"/>
        </w:rPr>
        <w:t>:</w:t>
      </w:r>
      <w:r>
        <w:rPr>
          <w:rFonts w:ascii="Book Antiqua" w:eastAsia="Book Antiqua" w:hAnsi="Book Antiqua" w:cs="Book Antiqua"/>
          <w:bCs/>
          <w:color w:val="000000"/>
        </w:rPr>
        <w:t xml:space="preserve"> The number of CD3</w:t>
      </w:r>
      <w:r>
        <w:rPr>
          <w:rFonts w:ascii="Book Antiqua" w:eastAsia="Book Antiqua" w:hAnsi="Book Antiqua" w:cs="Book Antiqua"/>
          <w:bCs/>
          <w:color w:val="000000"/>
          <w:vertAlign w:val="superscript"/>
        </w:rPr>
        <w:t>+</w:t>
      </w:r>
      <w:r>
        <w:rPr>
          <w:rFonts w:ascii="Book Antiqua" w:eastAsia="Book Antiqua" w:hAnsi="Book Antiqua" w:cs="Book Antiqua"/>
          <w:bCs/>
          <w:color w:val="000000"/>
        </w:rPr>
        <w:t xml:space="preserve"> T cells in the peripheral blood at postoperative day 7</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 xml:space="preserve">C and D: </w:t>
      </w:r>
      <w:r>
        <w:rPr>
          <w:rFonts w:ascii="Book Antiqua" w:eastAsia="Book Antiqua" w:hAnsi="Book Antiqua" w:cs="Book Antiqua"/>
          <w:bCs/>
          <w:color w:val="000000"/>
        </w:rPr>
        <w:t xml:space="preserve">Grafted liver (C) and spleen (D) sections were stained for CD3. The samples from each group were collected on </w:t>
      </w:r>
      <w:r>
        <w:rPr>
          <w:rFonts w:ascii="Book Antiqua" w:eastAsia="Book Antiqua" w:hAnsi="Book Antiqua" w:cs="Book Antiqua"/>
          <w:bCs/>
          <w:color w:val="000000"/>
        </w:rPr>
        <w:lastRenderedPageBreak/>
        <w:t>postoperative day 7. The arrows show positive staining (50</w:t>
      </w:r>
      <w:r>
        <w:rPr>
          <w:rFonts w:ascii="Book Antiqua" w:hAnsi="Book Antiqua" w:cs="Book Antiqua"/>
          <w:bCs/>
          <w:color w:val="000000"/>
          <w:lang w:eastAsia="zh-CN"/>
        </w:rPr>
        <w:t xml:space="preserve"> </w:t>
      </w:r>
      <w:r>
        <w:rPr>
          <w:rFonts w:ascii="Book Antiqua" w:eastAsia="Book Antiqua" w:hAnsi="Book Antiqua" w:cs="Book Antiqua"/>
          <w:bCs/>
          <w:color w:val="000000"/>
        </w:rPr>
        <w:t>× and 200</w:t>
      </w:r>
      <w:r>
        <w:rPr>
          <w:rFonts w:ascii="Book Antiqua" w:hAnsi="Book Antiqua" w:cs="Book Antiqua"/>
          <w:bCs/>
          <w:color w:val="000000"/>
          <w:lang w:eastAsia="zh-CN"/>
        </w:rPr>
        <w:t xml:space="preserve"> </w:t>
      </w:r>
      <w:r>
        <w:rPr>
          <w:rFonts w:ascii="Book Antiqua" w:eastAsia="Book Antiqua" w:hAnsi="Book Antiqua" w:cs="Book Antiqua"/>
          <w:bCs/>
          <w:color w:val="000000"/>
        </w:rPr>
        <w:t>×). Quantification of the proportion of CD3</w:t>
      </w:r>
      <w:r>
        <w:rPr>
          <w:rFonts w:ascii="Book Antiqua" w:eastAsia="Book Antiqua" w:hAnsi="Book Antiqua" w:cs="Book Antiqua"/>
          <w:bCs/>
          <w:color w:val="000000"/>
          <w:vertAlign w:val="superscript"/>
        </w:rPr>
        <w:t>+</w:t>
      </w:r>
      <w:r>
        <w:rPr>
          <w:rFonts w:ascii="Book Antiqua" w:eastAsia="Book Antiqua" w:hAnsi="Book Antiqua" w:cs="Book Antiqua"/>
          <w:bCs/>
          <w:color w:val="000000"/>
        </w:rPr>
        <w:t xml:space="preserve"> positive area within a given section (%).</w:t>
      </w:r>
      <w:r>
        <w:rPr>
          <w:rFonts w:ascii="Book Antiqua" w:hAnsi="Book Antiqua" w:cs="Book Antiqua"/>
          <w:bCs/>
          <w:color w:val="000000"/>
          <w:lang w:eastAsia="zh-CN"/>
        </w:rPr>
        <w:t xml:space="preserve"> </w:t>
      </w:r>
      <w:r>
        <w:rPr>
          <w:rFonts w:ascii="Book Antiqua" w:eastAsia="Book Antiqua" w:hAnsi="Book Antiqua" w:cs="Book Antiqua"/>
          <w:bCs/>
          <w:color w:val="000000"/>
        </w:rPr>
        <w:t xml:space="preserve">Statistical analysis was done by unpaired </w:t>
      </w:r>
      <w:r>
        <w:rPr>
          <w:rFonts w:ascii="Book Antiqua" w:eastAsia="Book Antiqua" w:hAnsi="Book Antiqua" w:cs="Book Antiqua"/>
          <w:bCs/>
          <w:i/>
          <w:color w:val="000000"/>
        </w:rPr>
        <w:t>t</w:t>
      </w:r>
      <w:r>
        <w:rPr>
          <w:rFonts w:ascii="Book Antiqua" w:eastAsia="Book Antiqua" w:hAnsi="Book Antiqua" w:cs="Book Antiqua"/>
          <w:bCs/>
          <w:color w:val="000000"/>
        </w:rPr>
        <w:t xml:space="preserve">-test, </w:t>
      </w:r>
      <w:r>
        <w:rPr>
          <w:rFonts w:ascii="Book Antiqua" w:eastAsia="Book Antiqua" w:hAnsi="Book Antiqua" w:cs="Book Antiqua"/>
          <w:bCs/>
          <w:i/>
          <w:color w:val="000000"/>
        </w:rPr>
        <w:t>n</w:t>
      </w:r>
      <w:r>
        <w:rPr>
          <w:rFonts w:ascii="Book Antiqua" w:eastAsia="Book Antiqua" w:hAnsi="Book Antiqua" w:cs="Book Antiqua"/>
          <w:bCs/>
          <w:color w:val="000000"/>
        </w:rPr>
        <w:t xml:space="preserve"> = 6. Data are shown as mean ± SD; </w:t>
      </w:r>
      <w:r>
        <w:rPr>
          <w:rFonts w:ascii="Book Antiqua" w:eastAsia="Book Antiqua" w:hAnsi="Book Antiqua" w:cs="Book Antiqua"/>
          <w:bCs/>
          <w:color w:val="000000"/>
          <w:vertAlign w:val="superscript"/>
        </w:rPr>
        <w:t>a</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control group, </w:t>
      </w:r>
      <w:r>
        <w:rPr>
          <w:rFonts w:ascii="Book Antiqua" w:eastAsia="Book Antiqua" w:hAnsi="Book Antiqua" w:cs="Book Antiqua"/>
          <w:bCs/>
          <w:color w:val="000000"/>
          <w:vertAlign w:val="superscript"/>
        </w:rPr>
        <w:t>c</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0.001</w:t>
      </w:r>
      <w:r>
        <w:rPr>
          <w:rFonts w:ascii="Book Antiqua" w:eastAsia="Book Antiqua" w:hAnsi="Book Antiqua" w:cs="Book Antiqua"/>
          <w:bCs/>
          <w:i/>
          <w:color w:val="000000"/>
        </w:rPr>
        <w:t xml:space="preserve"> vs</w:t>
      </w:r>
      <w:r>
        <w:rPr>
          <w:rFonts w:ascii="Book Antiqua" w:eastAsia="Book Antiqua" w:hAnsi="Book Antiqua" w:cs="Book Antiqua"/>
          <w:bCs/>
          <w:color w:val="000000"/>
        </w:rPr>
        <w:t xml:space="preserve"> the control group. CON: </w:t>
      </w:r>
      <w:r>
        <w:rPr>
          <w:rFonts w:ascii="Book Antiqua" w:hAnsi="Book Antiqua" w:cs="Book Antiqua" w:hint="eastAsia"/>
          <w:color w:val="000000"/>
          <w:lang w:eastAsia="zh-CN"/>
        </w:rPr>
        <w:t>U</w:t>
      </w:r>
      <w:r>
        <w:rPr>
          <w:rFonts w:ascii="Book Antiqua" w:eastAsia="Book Antiqua" w:hAnsi="Book Antiqua" w:cs="Book Antiqua"/>
          <w:color w:val="000000"/>
        </w:rPr>
        <w:t>ntreated control</w:t>
      </w:r>
      <w:r>
        <w:rPr>
          <w:rFonts w:ascii="Book Antiqua" w:eastAsia="Book Antiqua" w:hAnsi="Book Antiqua" w:cs="Book Antiqua"/>
          <w:bCs/>
          <w:color w:val="000000"/>
        </w:rPr>
        <w:t xml:space="preserve"> groups, rats received 0.9% normal saline for 7 d; MET: </w:t>
      </w:r>
      <w:r>
        <w:rPr>
          <w:rFonts w:ascii="Book Antiqua" w:hAnsi="Book Antiqua" w:cs="Book Antiqua"/>
          <w:bCs/>
          <w:color w:val="000000"/>
          <w:lang w:eastAsia="zh-CN"/>
        </w:rPr>
        <w:t>M</w:t>
      </w:r>
      <w:r>
        <w:rPr>
          <w:rFonts w:ascii="Book Antiqua" w:eastAsia="Book Antiqua" w:hAnsi="Book Antiqua" w:cs="Book Antiqua"/>
          <w:bCs/>
          <w:color w:val="000000"/>
        </w:rPr>
        <w:t>etronomic capecitabine (CAP)-treated groups, rats received metronomic CAP (100 mg/kg/d) treated for 7 d</w:t>
      </w:r>
      <w:r>
        <w:rPr>
          <w:rFonts w:ascii="Book Antiqua" w:hAnsi="Book Antiqua" w:cs="Book Antiqua"/>
          <w:bCs/>
          <w:color w:val="000000"/>
          <w:lang w:eastAsia="zh-CN"/>
        </w:rPr>
        <w:t>.</w:t>
      </w:r>
    </w:p>
    <w:p w14:paraId="6D95FAEF" w14:textId="2125AC1E" w:rsidR="00D03248" w:rsidRDefault="0031688F">
      <w:pPr>
        <w:spacing w:line="360" w:lineRule="auto"/>
        <w:jc w:val="both"/>
        <w:rPr>
          <w:rFonts w:ascii="Book Antiqua" w:hAnsi="Book Antiqua" w:hint="eastAsia"/>
          <w:lang w:eastAsia="zh-CN"/>
        </w:rPr>
      </w:pPr>
      <w:r>
        <w:rPr>
          <w:rFonts w:ascii="Book Antiqua" w:hAnsi="Book Antiqua"/>
        </w:rPr>
        <w:br w:type="page"/>
      </w:r>
    </w:p>
    <w:p w14:paraId="2DC8837C" w14:textId="3D48B8B7" w:rsidR="00D03248" w:rsidRDefault="004E72CE">
      <w:pPr>
        <w:spacing w:line="360" w:lineRule="auto"/>
        <w:jc w:val="both"/>
        <w:rPr>
          <w:rFonts w:ascii="Book Antiqua" w:hAnsi="Book Antiqua" w:cs="Book Antiqua"/>
          <w:color w:val="000000"/>
          <w:lang w:eastAsia="zh-CN"/>
        </w:rPr>
      </w:pPr>
      <w:r>
        <w:rPr>
          <w:rFonts w:ascii="Book Antiqua" w:hAnsi="Book Antiqua" w:hint="eastAsia"/>
          <w:noProof/>
          <w:lang w:eastAsia="zh-CN"/>
        </w:rPr>
        <w:lastRenderedPageBreak/>
        <w:drawing>
          <wp:inline distT="0" distB="0" distL="0" distR="0" wp14:anchorId="29E318B4" wp14:editId="08376B2A">
            <wp:extent cx="5751588" cy="3233935"/>
            <wp:effectExtent l="0" t="0" r="190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1588" cy="3233935"/>
                    </a:xfrm>
                    <a:prstGeom prst="rect">
                      <a:avLst/>
                    </a:prstGeom>
                  </pic:spPr>
                </pic:pic>
              </a:graphicData>
            </a:graphic>
          </wp:inline>
        </w:drawing>
      </w:r>
      <w:r w:rsidR="0031688F">
        <w:rPr>
          <w:rFonts w:ascii="Book Antiqua" w:eastAsia="Book Antiqua" w:hAnsi="Book Antiqua" w:cs="Book Antiqua"/>
          <w:b/>
          <w:bCs/>
          <w:color w:val="000000"/>
        </w:rPr>
        <w:t xml:space="preserve">Figure 4 Cytokine concentrations of peripheral blood and liver graft in transplanted rats. </w:t>
      </w:r>
      <w:r w:rsidR="0031688F">
        <w:rPr>
          <w:rFonts w:ascii="Book Antiqua" w:eastAsia="Book Antiqua" w:hAnsi="Book Antiqua" w:cs="Book Antiqua"/>
          <w:bCs/>
          <w:color w:val="000000"/>
        </w:rPr>
        <w:t xml:space="preserve">Use Luminex assay to detect the concentrations of </w:t>
      </w:r>
      <w:r w:rsidR="0031688F">
        <w:rPr>
          <w:rFonts w:ascii="Book Antiqua" w:eastAsia="Book Antiqua" w:hAnsi="Book Antiqua" w:cs="Book Antiqua"/>
          <w:color w:val="000000"/>
        </w:rPr>
        <w:t>interferon gamma (IFN-γ)</w:t>
      </w:r>
      <w:r w:rsidR="0031688F">
        <w:rPr>
          <w:rFonts w:ascii="Book Antiqua" w:eastAsia="Book Antiqua" w:hAnsi="Book Antiqua" w:cs="Book Antiqua"/>
          <w:bCs/>
          <w:color w:val="000000"/>
        </w:rPr>
        <w:t xml:space="preserve">, </w:t>
      </w:r>
      <w:r w:rsidR="0031688F">
        <w:rPr>
          <w:rFonts w:ascii="Book Antiqua" w:eastAsia="Book Antiqua" w:hAnsi="Book Antiqua" w:cs="Book Antiqua"/>
          <w:color w:val="000000"/>
        </w:rPr>
        <w:t>tumor necrosis factor alpha (TNF-α)</w:t>
      </w:r>
      <w:r w:rsidR="0031688F">
        <w:rPr>
          <w:rFonts w:ascii="Book Antiqua" w:eastAsia="Book Antiqua" w:hAnsi="Book Antiqua" w:cs="Book Antiqua"/>
          <w:bCs/>
          <w:color w:val="000000"/>
        </w:rPr>
        <w:t xml:space="preserve">, </w:t>
      </w:r>
      <w:r w:rsidR="0031688F">
        <w:rPr>
          <w:rFonts w:ascii="Book Antiqua" w:eastAsia="Book Antiqua" w:hAnsi="Book Antiqua" w:cs="Book Antiqua"/>
          <w:color w:val="000000"/>
        </w:rPr>
        <w:t>interleukin</w:t>
      </w:r>
      <w:r w:rsidR="0031688F">
        <w:rPr>
          <w:rFonts w:ascii="Book Antiqua" w:eastAsia="Book Antiqua" w:hAnsi="Book Antiqua" w:cs="Book Antiqua"/>
          <w:bCs/>
          <w:color w:val="000000"/>
        </w:rPr>
        <w:t xml:space="preserve"> </w:t>
      </w:r>
      <w:r w:rsidR="0031688F">
        <w:rPr>
          <w:rFonts w:ascii="Book Antiqua" w:hAnsi="Book Antiqua" w:cs="Book Antiqua"/>
          <w:bCs/>
          <w:color w:val="000000"/>
          <w:lang w:eastAsia="zh-CN"/>
        </w:rPr>
        <w:t>(</w:t>
      </w:r>
      <w:r w:rsidR="0031688F">
        <w:rPr>
          <w:rFonts w:ascii="Book Antiqua" w:eastAsia="Book Antiqua" w:hAnsi="Book Antiqua" w:cs="Book Antiqua"/>
          <w:bCs/>
          <w:color w:val="000000"/>
        </w:rPr>
        <w:t>IL</w:t>
      </w:r>
      <w:r w:rsidR="0031688F">
        <w:rPr>
          <w:rFonts w:ascii="Book Antiqua" w:hAnsi="Book Antiqua" w:cs="Book Antiqua"/>
          <w:bCs/>
          <w:color w:val="000000"/>
          <w:lang w:eastAsia="zh-CN"/>
        </w:rPr>
        <w:t>)</w:t>
      </w:r>
      <w:r w:rsidR="0031688F">
        <w:rPr>
          <w:rFonts w:ascii="Book Antiqua" w:eastAsia="Book Antiqua" w:hAnsi="Book Antiqua" w:cs="Book Antiqua"/>
          <w:bCs/>
          <w:color w:val="000000"/>
        </w:rPr>
        <w:t>-2 and IL-12 in peripheral blood and graft. A and E</w:t>
      </w:r>
      <w:r w:rsidR="0031688F">
        <w:rPr>
          <w:rFonts w:ascii="Book Antiqua" w:hAnsi="Book Antiqua" w:cs="Book Antiqua"/>
          <w:bCs/>
          <w:color w:val="000000"/>
          <w:lang w:eastAsia="zh-CN"/>
        </w:rPr>
        <w:t>:</w:t>
      </w:r>
      <w:r w:rsidR="0031688F">
        <w:rPr>
          <w:rFonts w:ascii="Book Antiqua" w:eastAsia="Book Antiqua" w:hAnsi="Book Antiqua" w:cs="Book Antiqua"/>
          <w:bCs/>
          <w:color w:val="000000"/>
        </w:rPr>
        <w:t xml:space="preserve"> IFN-γ</w:t>
      </w:r>
      <w:r w:rsidR="0031688F">
        <w:rPr>
          <w:rFonts w:ascii="Book Antiqua" w:hAnsi="Book Antiqua" w:cs="Book Antiqua"/>
          <w:bCs/>
          <w:color w:val="000000"/>
          <w:lang w:eastAsia="zh-CN"/>
        </w:rPr>
        <w:t xml:space="preserve">; </w:t>
      </w:r>
      <w:r w:rsidR="0031688F">
        <w:rPr>
          <w:rFonts w:ascii="Book Antiqua" w:eastAsia="Book Antiqua" w:hAnsi="Book Antiqua" w:cs="Book Antiqua"/>
          <w:bCs/>
          <w:color w:val="000000"/>
        </w:rPr>
        <w:t>B and F</w:t>
      </w:r>
      <w:r w:rsidR="0031688F">
        <w:rPr>
          <w:rFonts w:ascii="Book Antiqua" w:hAnsi="Book Antiqua" w:cs="Book Antiqua"/>
          <w:bCs/>
          <w:color w:val="000000"/>
          <w:lang w:eastAsia="zh-CN"/>
        </w:rPr>
        <w:t>:</w:t>
      </w:r>
      <w:r w:rsidR="0031688F">
        <w:rPr>
          <w:rFonts w:ascii="Book Antiqua" w:eastAsia="Book Antiqua" w:hAnsi="Book Antiqua" w:cs="Book Antiqua"/>
          <w:bCs/>
          <w:color w:val="000000"/>
        </w:rPr>
        <w:t xml:space="preserve"> TNF-α</w:t>
      </w:r>
      <w:r w:rsidR="0031688F">
        <w:rPr>
          <w:rFonts w:ascii="Book Antiqua" w:hAnsi="Book Antiqua" w:cs="Book Antiqua"/>
          <w:bCs/>
          <w:color w:val="000000"/>
          <w:lang w:eastAsia="zh-CN"/>
        </w:rPr>
        <w:t xml:space="preserve">; </w:t>
      </w:r>
      <w:r w:rsidR="0031688F">
        <w:rPr>
          <w:rFonts w:ascii="Book Antiqua" w:eastAsia="Book Antiqua" w:hAnsi="Book Antiqua" w:cs="Book Antiqua"/>
          <w:bCs/>
          <w:color w:val="000000"/>
        </w:rPr>
        <w:t>C and G</w:t>
      </w:r>
      <w:r w:rsidR="0031688F">
        <w:rPr>
          <w:rFonts w:ascii="Book Antiqua" w:hAnsi="Book Antiqua" w:cs="Book Antiqua"/>
          <w:bCs/>
          <w:color w:val="000000"/>
          <w:lang w:eastAsia="zh-CN"/>
        </w:rPr>
        <w:t>:</w:t>
      </w:r>
      <w:r w:rsidR="0031688F">
        <w:rPr>
          <w:rFonts w:ascii="Book Antiqua" w:eastAsia="Book Antiqua" w:hAnsi="Book Antiqua" w:cs="Book Antiqua"/>
          <w:bCs/>
          <w:color w:val="000000"/>
        </w:rPr>
        <w:t xml:space="preserve"> IL-2</w:t>
      </w:r>
      <w:r w:rsidR="0031688F">
        <w:rPr>
          <w:rFonts w:ascii="Book Antiqua" w:hAnsi="Book Antiqua" w:cs="Book Antiqua"/>
          <w:bCs/>
          <w:color w:val="000000"/>
          <w:lang w:eastAsia="zh-CN"/>
        </w:rPr>
        <w:t xml:space="preserve">; </w:t>
      </w:r>
      <w:r w:rsidR="0031688F">
        <w:rPr>
          <w:rFonts w:ascii="Book Antiqua" w:eastAsia="Book Antiqua" w:hAnsi="Book Antiqua" w:cs="Book Antiqua"/>
          <w:bCs/>
          <w:color w:val="000000"/>
        </w:rPr>
        <w:t>D and H</w:t>
      </w:r>
      <w:r w:rsidR="0031688F">
        <w:rPr>
          <w:rFonts w:ascii="Book Antiqua" w:hAnsi="Book Antiqua" w:cs="Book Antiqua"/>
          <w:bCs/>
          <w:color w:val="000000"/>
          <w:lang w:eastAsia="zh-CN"/>
        </w:rPr>
        <w:t>:</w:t>
      </w:r>
      <w:r w:rsidR="0031688F">
        <w:rPr>
          <w:rFonts w:ascii="Book Antiqua" w:eastAsia="Book Antiqua" w:hAnsi="Book Antiqua" w:cs="Book Antiqua"/>
          <w:bCs/>
          <w:color w:val="000000"/>
        </w:rPr>
        <w:t xml:space="preserve"> IL-12</w:t>
      </w:r>
      <w:r w:rsidR="0031688F">
        <w:rPr>
          <w:rFonts w:ascii="Book Antiqua" w:hAnsi="Book Antiqua" w:cs="Book Antiqua"/>
          <w:bCs/>
          <w:color w:val="000000"/>
          <w:lang w:eastAsia="zh-CN"/>
        </w:rPr>
        <w:t xml:space="preserve">. </w:t>
      </w:r>
      <w:r w:rsidR="0031688F">
        <w:rPr>
          <w:rFonts w:ascii="Book Antiqua" w:eastAsia="Book Antiqua" w:hAnsi="Book Antiqua" w:cs="Book Antiqua"/>
          <w:bCs/>
          <w:color w:val="000000"/>
        </w:rPr>
        <w:t xml:space="preserve">Statistical analysis was done by unpaired Students </w:t>
      </w:r>
      <w:r w:rsidR="0031688F">
        <w:rPr>
          <w:rFonts w:ascii="Book Antiqua" w:eastAsia="Book Antiqua" w:hAnsi="Book Antiqua" w:cs="Book Antiqua"/>
          <w:bCs/>
          <w:i/>
          <w:color w:val="000000"/>
        </w:rPr>
        <w:t>t</w:t>
      </w:r>
      <w:r w:rsidR="0031688F">
        <w:rPr>
          <w:rFonts w:ascii="Book Antiqua" w:eastAsia="Book Antiqua" w:hAnsi="Book Antiqua" w:cs="Book Antiqua"/>
          <w:bCs/>
          <w:color w:val="000000"/>
        </w:rPr>
        <w:t xml:space="preserve">-test, </w:t>
      </w:r>
      <w:r w:rsidR="0031688F">
        <w:rPr>
          <w:rFonts w:ascii="Book Antiqua" w:eastAsia="Book Antiqua" w:hAnsi="Book Antiqua" w:cs="Book Antiqua"/>
          <w:bCs/>
          <w:i/>
          <w:color w:val="000000"/>
        </w:rPr>
        <w:t>n</w:t>
      </w:r>
      <w:r w:rsidR="0031688F">
        <w:rPr>
          <w:rFonts w:ascii="Book Antiqua" w:eastAsia="Book Antiqua" w:hAnsi="Book Antiqua" w:cs="Book Antiqua"/>
          <w:bCs/>
          <w:color w:val="000000"/>
        </w:rPr>
        <w:t xml:space="preserve"> = 6. Data are shown as mean ± SD; </w:t>
      </w:r>
      <w:r w:rsidR="0031688F">
        <w:rPr>
          <w:rFonts w:ascii="Book Antiqua" w:eastAsia="Book Antiqua" w:hAnsi="Book Antiqua" w:cs="Book Antiqua"/>
          <w:bCs/>
          <w:color w:val="000000"/>
          <w:vertAlign w:val="superscript"/>
        </w:rPr>
        <w:t>a</w:t>
      </w:r>
      <w:r w:rsidR="0031688F">
        <w:rPr>
          <w:rFonts w:ascii="Book Antiqua" w:eastAsia="Book Antiqua" w:hAnsi="Book Antiqua" w:cs="Book Antiqua"/>
          <w:bCs/>
          <w:i/>
          <w:color w:val="000000"/>
        </w:rPr>
        <w:t>P</w:t>
      </w:r>
      <w:r w:rsidR="0031688F">
        <w:rPr>
          <w:rFonts w:ascii="Book Antiqua" w:eastAsia="Book Antiqua" w:hAnsi="Book Antiqua" w:cs="Book Antiqua"/>
          <w:bCs/>
          <w:color w:val="000000"/>
        </w:rPr>
        <w:t xml:space="preserve"> &lt; 0.05 </w:t>
      </w:r>
      <w:r w:rsidR="0031688F">
        <w:rPr>
          <w:rFonts w:ascii="Book Antiqua" w:eastAsia="Book Antiqua" w:hAnsi="Book Antiqua" w:cs="Book Antiqua"/>
          <w:bCs/>
          <w:i/>
          <w:color w:val="000000"/>
        </w:rPr>
        <w:t>vs</w:t>
      </w:r>
      <w:r w:rsidR="0031688F">
        <w:rPr>
          <w:rFonts w:ascii="Book Antiqua" w:eastAsia="Book Antiqua" w:hAnsi="Book Antiqua" w:cs="Book Antiqua"/>
          <w:bCs/>
          <w:color w:val="000000"/>
        </w:rPr>
        <w:t xml:space="preserve"> the control group, </w:t>
      </w:r>
      <w:r w:rsidR="0031688F">
        <w:rPr>
          <w:rFonts w:ascii="Book Antiqua" w:hAnsi="Book Antiqua" w:cs="Book Antiqua"/>
          <w:bCs/>
          <w:color w:val="000000"/>
          <w:vertAlign w:val="superscript"/>
          <w:lang w:eastAsia="zh-CN"/>
        </w:rPr>
        <w:t>b</w:t>
      </w:r>
      <w:r w:rsidR="0031688F">
        <w:rPr>
          <w:rFonts w:ascii="Book Antiqua" w:eastAsia="Book Antiqua" w:hAnsi="Book Antiqua" w:cs="Book Antiqua"/>
          <w:bCs/>
          <w:i/>
          <w:color w:val="000000"/>
        </w:rPr>
        <w:t>P</w:t>
      </w:r>
      <w:r w:rsidR="0031688F">
        <w:rPr>
          <w:rFonts w:ascii="Book Antiqua" w:eastAsia="Book Antiqua" w:hAnsi="Book Antiqua" w:cs="Book Antiqua"/>
          <w:bCs/>
          <w:color w:val="000000"/>
        </w:rPr>
        <w:t xml:space="preserve"> &lt; 0.01 </w:t>
      </w:r>
      <w:r w:rsidR="0031688F">
        <w:rPr>
          <w:rFonts w:ascii="Book Antiqua" w:eastAsia="Book Antiqua" w:hAnsi="Book Antiqua" w:cs="Book Antiqua"/>
          <w:bCs/>
          <w:i/>
          <w:color w:val="000000"/>
        </w:rPr>
        <w:t>vs</w:t>
      </w:r>
      <w:r w:rsidR="0031688F">
        <w:rPr>
          <w:rFonts w:ascii="Book Antiqua" w:eastAsia="Book Antiqua" w:hAnsi="Book Antiqua" w:cs="Book Antiqua"/>
          <w:bCs/>
          <w:color w:val="000000"/>
        </w:rPr>
        <w:t xml:space="preserve"> the control group, </w:t>
      </w:r>
      <w:r w:rsidR="0031688F">
        <w:rPr>
          <w:rFonts w:ascii="Book Antiqua" w:hAnsi="Book Antiqua" w:cs="Book Antiqua"/>
          <w:bCs/>
          <w:color w:val="000000"/>
          <w:vertAlign w:val="superscript"/>
          <w:lang w:eastAsia="zh-CN"/>
        </w:rPr>
        <w:t>c</w:t>
      </w:r>
      <w:r w:rsidR="0031688F">
        <w:rPr>
          <w:rFonts w:ascii="Book Antiqua" w:eastAsia="Book Antiqua" w:hAnsi="Book Antiqua" w:cs="Book Antiqua"/>
          <w:bCs/>
          <w:i/>
          <w:color w:val="000000"/>
        </w:rPr>
        <w:t>P</w:t>
      </w:r>
      <w:r w:rsidR="0031688F">
        <w:rPr>
          <w:rFonts w:ascii="Book Antiqua" w:eastAsia="Book Antiqua" w:hAnsi="Book Antiqua" w:cs="Book Antiqua"/>
          <w:bCs/>
          <w:color w:val="000000"/>
        </w:rPr>
        <w:t xml:space="preserve"> &lt; 0.001</w:t>
      </w:r>
      <w:r w:rsidR="0031688F">
        <w:rPr>
          <w:rFonts w:ascii="Book Antiqua" w:hAnsi="Book Antiqua" w:cs="Book Antiqua"/>
          <w:bCs/>
          <w:color w:val="000000"/>
          <w:lang w:eastAsia="zh-CN"/>
        </w:rPr>
        <w:t xml:space="preserve"> </w:t>
      </w:r>
      <w:r w:rsidR="0031688F">
        <w:rPr>
          <w:rFonts w:ascii="Book Antiqua" w:eastAsia="Book Antiqua" w:hAnsi="Book Antiqua" w:cs="Book Antiqua"/>
          <w:bCs/>
          <w:i/>
          <w:color w:val="000000"/>
        </w:rPr>
        <w:t>vs</w:t>
      </w:r>
      <w:r w:rsidR="0031688F">
        <w:rPr>
          <w:rFonts w:ascii="Book Antiqua" w:eastAsia="Book Antiqua" w:hAnsi="Book Antiqua" w:cs="Book Antiqua"/>
          <w:bCs/>
          <w:color w:val="000000"/>
        </w:rPr>
        <w:t xml:space="preserve"> the control group. CON: </w:t>
      </w:r>
      <w:r w:rsidR="0031688F">
        <w:rPr>
          <w:rFonts w:ascii="Book Antiqua" w:hAnsi="Book Antiqua" w:cs="Book Antiqua" w:hint="eastAsia"/>
          <w:color w:val="000000"/>
          <w:lang w:eastAsia="zh-CN"/>
        </w:rPr>
        <w:t>U</w:t>
      </w:r>
      <w:r w:rsidR="0031688F">
        <w:rPr>
          <w:rFonts w:ascii="Book Antiqua" w:eastAsia="Book Antiqua" w:hAnsi="Book Antiqua" w:cs="Book Antiqua"/>
          <w:color w:val="000000"/>
        </w:rPr>
        <w:t>ntreated control</w:t>
      </w:r>
      <w:r w:rsidR="0031688F">
        <w:rPr>
          <w:rFonts w:ascii="Book Antiqua" w:eastAsia="Book Antiqua" w:hAnsi="Book Antiqua" w:cs="Book Antiqua"/>
          <w:bCs/>
          <w:color w:val="000000"/>
        </w:rPr>
        <w:t xml:space="preserve"> groups, rats received 0.9% normal saline for 7 d; MET: </w:t>
      </w:r>
      <w:r w:rsidR="0031688F">
        <w:rPr>
          <w:rFonts w:ascii="Book Antiqua" w:hAnsi="Book Antiqua" w:cs="Book Antiqua"/>
          <w:bCs/>
          <w:color w:val="000000"/>
          <w:lang w:eastAsia="zh-CN"/>
        </w:rPr>
        <w:t>M</w:t>
      </w:r>
      <w:r w:rsidR="0031688F">
        <w:rPr>
          <w:rFonts w:ascii="Book Antiqua" w:eastAsia="Book Antiqua" w:hAnsi="Book Antiqua" w:cs="Book Antiqua"/>
          <w:bCs/>
          <w:color w:val="000000"/>
        </w:rPr>
        <w:t>etronomic capecitabine (CAP)-treated groups, rats received metronomic CAP (100 mg/kg/d) treated for 7 d</w:t>
      </w:r>
      <w:r w:rsidR="0031688F">
        <w:rPr>
          <w:rFonts w:ascii="Book Antiqua" w:hAnsi="Book Antiqua" w:cs="Book Antiqua"/>
          <w:bCs/>
          <w:color w:val="000000"/>
          <w:lang w:eastAsia="zh-CN"/>
        </w:rPr>
        <w:t xml:space="preserve">; </w:t>
      </w:r>
      <w:r w:rsidR="0031688F">
        <w:rPr>
          <w:rFonts w:ascii="Book Antiqua" w:eastAsia="Book Antiqua" w:hAnsi="Book Antiqua" w:cs="Book Antiqua"/>
          <w:color w:val="000000"/>
        </w:rPr>
        <w:t>IFN-γ</w:t>
      </w:r>
      <w:r w:rsidR="0031688F">
        <w:rPr>
          <w:rFonts w:ascii="Book Antiqua" w:hAnsi="Book Antiqua" w:cs="Book Antiqua"/>
          <w:color w:val="000000"/>
          <w:lang w:eastAsia="zh-CN"/>
        </w:rPr>
        <w:t>: I</w:t>
      </w:r>
      <w:r w:rsidR="0031688F">
        <w:rPr>
          <w:rFonts w:ascii="Book Antiqua" w:eastAsia="Book Antiqua" w:hAnsi="Book Antiqua" w:cs="Book Antiqua"/>
          <w:color w:val="000000"/>
        </w:rPr>
        <w:t>nterferon gamma</w:t>
      </w:r>
      <w:r w:rsidR="0031688F">
        <w:rPr>
          <w:rFonts w:ascii="Book Antiqua" w:hAnsi="Book Antiqua" w:cs="Book Antiqua"/>
          <w:color w:val="000000"/>
          <w:lang w:eastAsia="zh-CN"/>
        </w:rPr>
        <w:t xml:space="preserve">; </w:t>
      </w:r>
      <w:r w:rsidR="0031688F">
        <w:rPr>
          <w:rFonts w:ascii="Book Antiqua" w:eastAsia="Book Antiqua" w:hAnsi="Book Antiqua" w:cs="Book Antiqua"/>
          <w:color w:val="000000"/>
        </w:rPr>
        <w:t>TNF-α</w:t>
      </w:r>
      <w:r w:rsidR="0031688F">
        <w:rPr>
          <w:rFonts w:ascii="Book Antiqua" w:hAnsi="Book Antiqua" w:cs="Book Antiqua"/>
          <w:color w:val="000000"/>
          <w:lang w:eastAsia="zh-CN"/>
        </w:rPr>
        <w:t>: T</w:t>
      </w:r>
      <w:r w:rsidR="0031688F">
        <w:rPr>
          <w:rFonts w:ascii="Book Antiqua" w:eastAsia="Book Antiqua" w:hAnsi="Book Antiqua" w:cs="Book Antiqua"/>
          <w:color w:val="000000"/>
        </w:rPr>
        <w:t>umor necrosis factor alpha</w:t>
      </w:r>
      <w:r w:rsidR="0031688F">
        <w:rPr>
          <w:rFonts w:ascii="Book Antiqua" w:hAnsi="Book Antiqua" w:cs="Book Antiqua"/>
          <w:color w:val="000000"/>
          <w:lang w:eastAsia="zh-CN"/>
        </w:rPr>
        <w:t xml:space="preserve">; </w:t>
      </w:r>
      <w:r w:rsidR="0031688F">
        <w:rPr>
          <w:rFonts w:ascii="Book Antiqua" w:eastAsia="Book Antiqua" w:hAnsi="Book Antiqua" w:cs="Book Antiqua"/>
          <w:bCs/>
          <w:color w:val="000000"/>
        </w:rPr>
        <w:t>IL</w:t>
      </w:r>
      <w:r w:rsidR="0031688F">
        <w:rPr>
          <w:rFonts w:ascii="Book Antiqua" w:hAnsi="Book Antiqua" w:cs="Book Antiqua"/>
          <w:bCs/>
          <w:color w:val="000000"/>
          <w:lang w:eastAsia="zh-CN"/>
        </w:rPr>
        <w:t>:</w:t>
      </w:r>
      <w:r w:rsidR="0031688F">
        <w:rPr>
          <w:rFonts w:ascii="Book Antiqua" w:eastAsia="Book Antiqua" w:hAnsi="Book Antiqua" w:cs="Book Antiqua"/>
          <w:color w:val="000000"/>
        </w:rPr>
        <w:t xml:space="preserve"> </w:t>
      </w:r>
      <w:r w:rsidR="0031688F">
        <w:rPr>
          <w:rFonts w:ascii="Book Antiqua" w:hAnsi="Book Antiqua" w:cs="Book Antiqua"/>
          <w:color w:val="000000"/>
          <w:lang w:eastAsia="zh-CN"/>
        </w:rPr>
        <w:t>I</w:t>
      </w:r>
      <w:r w:rsidR="0031688F">
        <w:rPr>
          <w:rFonts w:ascii="Book Antiqua" w:eastAsia="Book Antiqua" w:hAnsi="Book Antiqua" w:cs="Book Antiqua"/>
          <w:color w:val="000000"/>
        </w:rPr>
        <w:t>nterleukin</w:t>
      </w:r>
      <w:r w:rsidR="0031688F">
        <w:rPr>
          <w:rFonts w:ascii="Book Antiqua" w:hAnsi="Book Antiqua" w:cs="Book Antiqua"/>
          <w:color w:val="000000"/>
          <w:lang w:eastAsia="zh-CN"/>
        </w:rPr>
        <w:t>.</w:t>
      </w:r>
      <w:r w:rsidR="0031688F">
        <w:rPr>
          <w:rFonts w:ascii="Book Antiqua" w:eastAsia="Book Antiqua" w:hAnsi="Book Antiqua" w:cs="Book Antiqua"/>
          <w:bCs/>
          <w:color w:val="000000"/>
        </w:rPr>
        <w:t xml:space="preserve"> </w:t>
      </w:r>
      <w:r w:rsidR="0031688F">
        <w:rPr>
          <w:rFonts w:ascii="Book Antiqua" w:eastAsia="Book Antiqua" w:hAnsi="Book Antiqua" w:cs="Book Antiqua"/>
          <w:bCs/>
          <w:color w:val="000000"/>
        </w:rPr>
        <w:cr/>
      </w:r>
      <w:r w:rsidR="0031688F">
        <w:rPr>
          <w:rFonts w:ascii="Book Antiqua" w:eastAsia="Book Antiqua" w:hAnsi="Book Antiqua" w:cs="Book Antiqua"/>
          <w:color w:val="000000"/>
        </w:rPr>
        <w:br w:type="page"/>
      </w:r>
    </w:p>
    <w:p w14:paraId="0068EBD1" w14:textId="4571DEE0" w:rsidR="00D03248" w:rsidRDefault="004E72CE">
      <w:pPr>
        <w:spacing w:line="360" w:lineRule="auto"/>
        <w:jc w:val="both"/>
        <w:rPr>
          <w:rFonts w:ascii="Book Antiqua" w:hAnsi="Book Antiqua" w:cs="Book Antiqua"/>
          <w:bCs/>
          <w:color w:val="000000"/>
          <w:lang w:eastAsia="zh-CN"/>
        </w:rPr>
      </w:pPr>
      <w:r>
        <w:rPr>
          <w:rFonts w:ascii="Book Antiqua" w:hAnsi="Book Antiqua" w:hint="eastAsia"/>
          <w:noProof/>
          <w:lang w:eastAsia="zh-CN"/>
        </w:rPr>
        <w:lastRenderedPageBreak/>
        <w:drawing>
          <wp:inline distT="0" distB="0" distL="0" distR="0" wp14:anchorId="3C801EDA" wp14:editId="1A2C651E">
            <wp:extent cx="5422403" cy="5391923"/>
            <wp:effectExtent l="0" t="0" r="69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2403" cy="5391923"/>
                    </a:xfrm>
                    <a:prstGeom prst="rect">
                      <a:avLst/>
                    </a:prstGeom>
                  </pic:spPr>
                </pic:pic>
              </a:graphicData>
            </a:graphic>
          </wp:inline>
        </w:drawing>
      </w:r>
    </w:p>
    <w:p w14:paraId="542B5424"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Figure 5 Metronomic capecitabine caused the increase of free ferrous ions and oxidative stress in peripheral blood CD3</w:t>
      </w:r>
      <w:r>
        <w:rPr>
          <w:rFonts w:ascii="Book Antiqua" w:eastAsia="Book Antiqua" w:hAnsi="Book Antiqua" w:cs="Book Antiqua"/>
          <w:b/>
          <w:bCs/>
          <w:color w:val="000000"/>
          <w:vertAlign w:val="superscript"/>
        </w:rPr>
        <w:t>+</w:t>
      </w:r>
      <w:r>
        <w:rPr>
          <w:rFonts w:ascii="Book Antiqua" w:eastAsia="Book Antiqua" w:hAnsi="Book Antiqua" w:cs="Book Antiqua"/>
          <w:b/>
          <w:bCs/>
          <w:color w:val="000000"/>
        </w:rPr>
        <w:t xml:space="preserve"> T cells of transplanted rats. </w:t>
      </w:r>
      <w:r>
        <w:rPr>
          <w:rFonts w:ascii="Book Antiqua" w:eastAsia="Book Antiqua" w:hAnsi="Book Antiqua" w:cs="Book Antiqua"/>
          <w:bCs/>
          <w:color w:val="000000"/>
        </w:rPr>
        <w:t>A</w:t>
      </w:r>
      <w:r>
        <w:rPr>
          <w:rFonts w:ascii="Book Antiqua" w:hAnsi="Book Antiqua" w:cs="Book Antiqua"/>
          <w:bCs/>
          <w:color w:val="000000"/>
          <w:lang w:eastAsia="zh-CN"/>
        </w:rPr>
        <w:t>:</w:t>
      </w:r>
      <w:r>
        <w:rPr>
          <w:rFonts w:ascii="Book Antiqua" w:eastAsia="Book Antiqua" w:hAnsi="Book Antiqua" w:cs="Book Antiqua"/>
          <w:bCs/>
          <w:color w:val="000000"/>
        </w:rPr>
        <w:t xml:space="preserve"> Representative FACS data showing differential FerroOrange staining reflecting different cytoplasmic labile iron concentrations in </w:t>
      </w:r>
      <w:r>
        <w:rPr>
          <w:rFonts w:ascii="Book Antiqua" w:hAnsi="Book Antiqua" w:cs="Book Antiqua"/>
          <w:bCs/>
          <w:color w:val="000000"/>
          <w:lang w:eastAsia="zh-CN"/>
        </w:rPr>
        <w:t>c</w:t>
      </w:r>
      <w:r>
        <w:rPr>
          <w:rFonts w:ascii="Book Antiqua" w:eastAsia="Book Antiqua" w:hAnsi="Book Antiqua" w:cs="Book Antiqua"/>
          <w:bCs/>
          <w:color w:val="000000"/>
        </w:rPr>
        <w:t>ontrol groups and metronomic capecitabine-treated rats, followed by statistical analysis of mean fluorescence intensity (MFI)</w:t>
      </w:r>
      <w:r>
        <w:rPr>
          <w:rFonts w:ascii="Book Antiqua" w:hAnsi="Book Antiqua" w:cs="Book Antiqua"/>
          <w:bCs/>
          <w:color w:val="000000"/>
          <w:lang w:eastAsia="zh-CN"/>
        </w:rPr>
        <w:t>;</w:t>
      </w:r>
      <w:r>
        <w:rPr>
          <w:rFonts w:ascii="Book Antiqua" w:eastAsia="Book Antiqua" w:hAnsi="Book Antiqua" w:cs="Book Antiqua"/>
          <w:bCs/>
          <w:color w:val="000000"/>
        </w:rPr>
        <w:t xml:space="preserve"> B and C</w:t>
      </w:r>
      <w:r>
        <w:rPr>
          <w:rFonts w:ascii="Book Antiqua" w:hAnsi="Book Antiqua" w:cs="Book Antiqua"/>
          <w:bCs/>
          <w:color w:val="000000"/>
          <w:lang w:eastAsia="zh-CN"/>
        </w:rPr>
        <w:t>:</w:t>
      </w:r>
      <w:r>
        <w:rPr>
          <w:rFonts w:ascii="Book Antiqua" w:eastAsia="Book Antiqua" w:hAnsi="Book Antiqua" w:cs="Book Antiqua"/>
          <w:bCs/>
          <w:color w:val="000000"/>
        </w:rPr>
        <w:t xml:space="preserve"> Reactive oxygen species (ROS) and lipid ROS detected by FACS using DCFH-DA and C11-BODIPY respectively, BODIPY emission was recorded on oxidized C11 (FITC channel) signal. The graph shows the statistical analysis of differential MFIs in the two groups</w:t>
      </w:r>
      <w:r>
        <w:rPr>
          <w:rFonts w:ascii="Book Antiqua" w:hAnsi="Book Antiqua" w:cs="Book Antiqua"/>
          <w:bCs/>
          <w:color w:val="000000"/>
          <w:lang w:eastAsia="zh-CN"/>
        </w:rPr>
        <w:t>;</w:t>
      </w:r>
      <w:r>
        <w:rPr>
          <w:rFonts w:ascii="Book Antiqua" w:eastAsia="Book Antiqua" w:hAnsi="Book Antiqua" w:cs="Book Antiqua"/>
          <w:bCs/>
          <w:color w:val="000000"/>
        </w:rPr>
        <w:t xml:space="preserve"> D</w:t>
      </w:r>
      <w:r>
        <w:rPr>
          <w:rFonts w:ascii="Book Antiqua" w:hAnsi="Book Antiqua" w:cs="Book Antiqua"/>
          <w:bCs/>
          <w:color w:val="000000"/>
          <w:lang w:eastAsia="zh-CN"/>
        </w:rPr>
        <w:t>:</w:t>
      </w:r>
      <w:r>
        <w:rPr>
          <w:rFonts w:ascii="Book Antiqua" w:eastAsia="Book Antiqua" w:hAnsi="Book Antiqua" w:cs="Book Antiqua"/>
          <w:bCs/>
          <w:color w:val="000000"/>
        </w:rPr>
        <w:t xml:space="preserve"> The proportion of cells with reduced mitochondrial membrane potential was assessed by flow cytometry. Statistical analysis was done by unpaired </w:t>
      </w:r>
      <w:r>
        <w:rPr>
          <w:rFonts w:ascii="Book Antiqua" w:eastAsia="Book Antiqua" w:hAnsi="Book Antiqua" w:cs="Book Antiqua"/>
          <w:bCs/>
          <w:i/>
          <w:color w:val="000000"/>
        </w:rPr>
        <w:t>t</w:t>
      </w:r>
      <w:r>
        <w:rPr>
          <w:rFonts w:ascii="Book Antiqua" w:eastAsia="Book Antiqua" w:hAnsi="Book Antiqua" w:cs="Book Antiqua"/>
          <w:bCs/>
          <w:color w:val="000000"/>
        </w:rPr>
        <w:t xml:space="preserve">-test, </w:t>
      </w:r>
      <w:r>
        <w:rPr>
          <w:rFonts w:ascii="Book Antiqua" w:eastAsia="Book Antiqua" w:hAnsi="Book Antiqua" w:cs="Book Antiqua"/>
          <w:bCs/>
          <w:i/>
          <w:color w:val="000000"/>
        </w:rPr>
        <w:t>n</w:t>
      </w:r>
      <w:r>
        <w:rPr>
          <w:rFonts w:ascii="Book Antiqua" w:eastAsia="Book Antiqua" w:hAnsi="Book Antiqua" w:cs="Book Antiqua"/>
          <w:bCs/>
          <w:color w:val="000000"/>
        </w:rPr>
        <w:t xml:space="preserve"> = 3. Data are shown as </w:t>
      </w:r>
      <w:r>
        <w:rPr>
          <w:rFonts w:ascii="Book Antiqua" w:eastAsia="Book Antiqua" w:hAnsi="Book Antiqua" w:cs="Book Antiqua"/>
          <w:bCs/>
          <w:color w:val="000000"/>
        </w:rPr>
        <w:lastRenderedPageBreak/>
        <w:t xml:space="preserve">mean ± SD; </w:t>
      </w:r>
      <w:r>
        <w:rPr>
          <w:rFonts w:ascii="Book Antiqua" w:eastAsia="Book Antiqua" w:hAnsi="Book Antiqua" w:cs="Book Antiqua"/>
          <w:bCs/>
          <w:color w:val="000000"/>
          <w:vertAlign w:val="superscript"/>
        </w:rPr>
        <w:t>b</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0.01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control group, </w:t>
      </w:r>
      <w:r>
        <w:rPr>
          <w:rFonts w:ascii="Book Antiqua" w:hAnsi="Book Antiqua" w:cs="Book Antiqua"/>
          <w:bCs/>
          <w:color w:val="000000"/>
          <w:vertAlign w:val="superscript"/>
          <w:lang w:eastAsia="zh-CN"/>
        </w:rPr>
        <w:t>c</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0.001</w:t>
      </w:r>
      <w:r>
        <w:rPr>
          <w:rFonts w:ascii="Book Antiqua" w:eastAsia="Book Antiqua" w:hAnsi="Book Antiqua" w:cs="Book Antiqua"/>
          <w:bCs/>
          <w:i/>
          <w:color w:val="000000"/>
        </w:rPr>
        <w:t xml:space="preserve"> vs</w:t>
      </w:r>
      <w:r>
        <w:rPr>
          <w:rFonts w:ascii="Book Antiqua" w:eastAsia="Book Antiqua" w:hAnsi="Book Antiqua" w:cs="Book Antiqua"/>
          <w:bCs/>
          <w:color w:val="000000"/>
        </w:rPr>
        <w:t xml:space="preserve"> the control group. CON: </w:t>
      </w:r>
      <w:r>
        <w:rPr>
          <w:rFonts w:ascii="Book Antiqua" w:hAnsi="Book Antiqua" w:cs="Book Antiqua" w:hint="eastAsia"/>
          <w:color w:val="000000"/>
          <w:lang w:eastAsia="zh-CN"/>
        </w:rPr>
        <w:t>U</w:t>
      </w:r>
      <w:r>
        <w:rPr>
          <w:rFonts w:ascii="Book Antiqua" w:eastAsia="Book Antiqua" w:hAnsi="Book Antiqua" w:cs="Book Antiqua"/>
          <w:color w:val="000000"/>
        </w:rPr>
        <w:t>ntreated control</w:t>
      </w:r>
      <w:r>
        <w:rPr>
          <w:rFonts w:ascii="Book Antiqua" w:eastAsia="Book Antiqua" w:hAnsi="Book Antiqua" w:cs="Book Antiqua"/>
          <w:bCs/>
          <w:color w:val="000000"/>
        </w:rPr>
        <w:t xml:space="preserve"> groups, rats received 0.9% normal saline for 7 d; MET: </w:t>
      </w:r>
      <w:r>
        <w:rPr>
          <w:rFonts w:ascii="Book Antiqua" w:hAnsi="Book Antiqua" w:cs="Book Antiqua"/>
          <w:bCs/>
          <w:color w:val="000000"/>
          <w:lang w:eastAsia="zh-CN"/>
        </w:rPr>
        <w:t>M</w:t>
      </w:r>
      <w:r>
        <w:rPr>
          <w:rFonts w:ascii="Book Antiqua" w:eastAsia="Book Antiqua" w:hAnsi="Book Antiqua" w:cs="Book Antiqua"/>
          <w:bCs/>
          <w:color w:val="000000"/>
        </w:rPr>
        <w:t>etronomic capecitabine (CAP)-treated groups, rats received metronomic CAP (100 mg/kg/d) treated for 7 d</w:t>
      </w:r>
      <w:r>
        <w:rPr>
          <w:rFonts w:ascii="Book Antiqua" w:hAnsi="Book Antiqua" w:cs="Book Antiqua"/>
          <w:bCs/>
          <w:color w:val="000000"/>
          <w:lang w:eastAsia="zh-CN"/>
        </w:rPr>
        <w:t xml:space="preserve">; </w:t>
      </w:r>
      <w:r>
        <w:rPr>
          <w:rFonts w:ascii="Book Antiqua" w:eastAsia="Book Antiqua" w:hAnsi="Book Antiqua" w:cs="Book Antiqua"/>
          <w:bCs/>
          <w:color w:val="000000"/>
        </w:rPr>
        <w:t>MFI</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M</w:t>
      </w:r>
      <w:r>
        <w:rPr>
          <w:rFonts w:ascii="Book Antiqua" w:eastAsia="Book Antiqua" w:hAnsi="Book Antiqua" w:cs="Book Antiqua"/>
          <w:bCs/>
          <w:color w:val="000000"/>
        </w:rPr>
        <w:t>ean fluorescence intensity</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bCs/>
          <w:color w:val="000000"/>
        </w:rPr>
        <w:cr/>
      </w:r>
    </w:p>
    <w:p w14:paraId="1D47D128" w14:textId="25161D9A" w:rsidR="00D03248" w:rsidRDefault="0031688F">
      <w:pPr>
        <w:spacing w:line="360" w:lineRule="auto"/>
        <w:jc w:val="both"/>
        <w:rPr>
          <w:rFonts w:ascii="Book Antiqua" w:hAnsi="Book Antiqua"/>
        </w:rPr>
      </w:pPr>
      <w:r>
        <w:rPr>
          <w:rFonts w:ascii="Book Antiqua" w:hAnsi="Book Antiqua"/>
        </w:rPr>
        <w:br w:type="page"/>
      </w:r>
      <w:r w:rsidR="004E72CE">
        <w:rPr>
          <w:rFonts w:ascii="Book Antiqua" w:hAnsi="Book Antiqua" w:hint="eastAsia"/>
          <w:noProof/>
          <w:lang w:eastAsia="zh-CN"/>
        </w:rPr>
        <w:lastRenderedPageBreak/>
        <w:drawing>
          <wp:inline distT="0" distB="0" distL="0" distR="0" wp14:anchorId="5C7A55AA" wp14:editId="1857A5E7">
            <wp:extent cx="5943600" cy="65303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530340"/>
                    </a:xfrm>
                    <a:prstGeom prst="rect">
                      <a:avLst/>
                    </a:prstGeom>
                  </pic:spPr>
                </pic:pic>
              </a:graphicData>
            </a:graphic>
          </wp:inline>
        </w:drawing>
      </w:r>
    </w:p>
    <w:p w14:paraId="672FB8DB" w14:textId="77777777" w:rsidR="00D03248" w:rsidRDefault="0031688F">
      <w:pPr>
        <w:spacing w:line="360" w:lineRule="auto"/>
        <w:jc w:val="both"/>
        <w:rPr>
          <w:rFonts w:ascii="Book Antiqua" w:hAnsi="Book Antiqua"/>
        </w:rPr>
      </w:pPr>
      <w:r>
        <w:rPr>
          <w:rFonts w:ascii="Book Antiqua" w:eastAsia="Book Antiqua" w:hAnsi="Book Antiqua" w:cs="Book Antiqua"/>
          <w:b/>
          <w:bCs/>
          <w:color w:val="000000"/>
        </w:rPr>
        <w:t>Figure 6 5-fluorouracil increases the pool of labile iron and contributes to ferroptosis in CD3</w:t>
      </w:r>
      <w:r>
        <w:rPr>
          <w:rFonts w:ascii="Book Antiqua" w:eastAsia="Book Antiqua" w:hAnsi="Book Antiqua" w:cs="Book Antiqua"/>
          <w:b/>
          <w:bCs/>
          <w:color w:val="000000"/>
          <w:vertAlign w:val="superscript"/>
        </w:rPr>
        <w:t>+</w:t>
      </w:r>
      <w:r>
        <w:rPr>
          <w:rFonts w:ascii="Book Antiqua" w:eastAsia="Book Antiqua" w:hAnsi="Book Antiqua" w:cs="Book Antiqua"/>
          <w:b/>
          <w:bCs/>
          <w:color w:val="000000"/>
        </w:rPr>
        <w:t xml:space="preserve"> T cells. </w:t>
      </w:r>
      <w:r>
        <w:rPr>
          <w:rFonts w:ascii="Book Antiqua" w:eastAsia="Book Antiqua" w:hAnsi="Book Antiqua" w:cs="Book Antiqua"/>
          <w:bCs/>
          <w:i/>
          <w:color w:val="000000"/>
        </w:rPr>
        <w:t>Vitro</w:t>
      </w:r>
      <w:r>
        <w:rPr>
          <w:rFonts w:ascii="Book Antiqua" w:eastAsia="Book Antiqua" w:hAnsi="Book Antiqua" w:cs="Book Antiqua"/>
          <w:bCs/>
          <w:color w:val="000000"/>
        </w:rPr>
        <w:t xml:space="preserve"> experiments were conducted on rat splenic and human peripheral blood CD3</w:t>
      </w:r>
      <w:r>
        <w:rPr>
          <w:rFonts w:ascii="Book Antiqua" w:eastAsia="Book Antiqua" w:hAnsi="Book Antiqua" w:cs="Book Antiqua"/>
          <w:bCs/>
          <w:color w:val="000000"/>
          <w:vertAlign w:val="superscript"/>
        </w:rPr>
        <w:t>+</w:t>
      </w:r>
      <w:r>
        <w:rPr>
          <w:rFonts w:ascii="Book Antiqua" w:eastAsia="Book Antiqua" w:hAnsi="Book Antiqua" w:cs="Book Antiqua"/>
          <w:bCs/>
          <w:color w:val="000000"/>
        </w:rPr>
        <w:t xml:space="preserve"> T cells, which were sorted by immunomagnetic beads. According to predetermined IC50, the rat, and human primary CD3</w:t>
      </w:r>
      <w:r>
        <w:rPr>
          <w:rFonts w:ascii="Book Antiqua" w:eastAsia="Book Antiqua" w:hAnsi="Book Antiqua" w:cs="Book Antiqua"/>
          <w:bCs/>
          <w:color w:val="000000"/>
          <w:vertAlign w:val="superscript"/>
        </w:rPr>
        <w:t>+</w:t>
      </w:r>
      <w:r>
        <w:rPr>
          <w:rFonts w:ascii="Book Antiqua" w:eastAsia="Book Antiqua" w:hAnsi="Book Antiqua" w:cs="Book Antiqua"/>
          <w:bCs/>
          <w:color w:val="000000"/>
        </w:rPr>
        <w:t xml:space="preserve"> T cells were treated with 5-fluorouracil (5-FU) (15 </w:t>
      </w:r>
      <w:r w:rsidR="003D0016" w:rsidRPr="001618BF">
        <w:rPr>
          <w:rFonts w:ascii="Book Antiqua" w:eastAsia="Book Antiqua" w:hAnsi="Book Antiqua" w:cs="Book Antiqua"/>
          <w:bCs/>
          <w:color w:val="000000"/>
        </w:rPr>
        <w:t>μ</w:t>
      </w:r>
      <w:r w:rsidR="003D0016" w:rsidRPr="003D0016">
        <w:rPr>
          <w:rFonts w:ascii="Book Antiqua" w:eastAsia="Book Antiqua" w:hAnsi="Book Antiqua" w:cs="Book Antiqua"/>
          <w:bCs/>
          <w:color w:val="000000"/>
        </w:rPr>
        <w:t>mol/L</w:t>
      </w:r>
      <w:r>
        <w:rPr>
          <w:rFonts w:ascii="Book Antiqua" w:eastAsia="Book Antiqua" w:hAnsi="Book Antiqua" w:cs="Book Antiqua"/>
          <w:bCs/>
          <w:color w:val="000000"/>
        </w:rPr>
        <w:t>) and ferrostatin-1</w:t>
      </w:r>
      <w:r>
        <w:rPr>
          <w:rFonts w:ascii="Book Antiqua" w:hAnsi="Book Antiqua" w:cs="Book Antiqua"/>
          <w:bCs/>
          <w:color w:val="000000"/>
          <w:lang w:eastAsia="zh-CN"/>
        </w:rPr>
        <w:t xml:space="preserve"> (</w:t>
      </w:r>
      <w:r>
        <w:rPr>
          <w:rFonts w:ascii="Book Antiqua" w:eastAsia="Book Antiqua" w:hAnsi="Book Antiqua" w:cs="Book Antiqua"/>
          <w:bCs/>
          <w:color w:val="000000"/>
        </w:rPr>
        <w:t>Fer-1</w:t>
      </w:r>
      <w:r>
        <w:rPr>
          <w:rFonts w:ascii="Book Antiqua" w:hAnsi="Book Antiqua" w:cs="Book Antiqua"/>
          <w:bCs/>
          <w:color w:val="000000"/>
          <w:lang w:eastAsia="zh-CN"/>
        </w:rPr>
        <w:t>)</w:t>
      </w:r>
      <w:r>
        <w:rPr>
          <w:rFonts w:ascii="Book Antiqua" w:eastAsia="Book Antiqua" w:hAnsi="Book Antiqua" w:cs="Book Antiqua"/>
          <w:bCs/>
          <w:color w:val="000000"/>
        </w:rPr>
        <w:t xml:space="preserve"> (2 </w:t>
      </w:r>
      <w:r w:rsidR="003D0016" w:rsidRPr="000A6050">
        <w:rPr>
          <w:rFonts w:ascii="Book Antiqua" w:eastAsia="Book Antiqua" w:hAnsi="Book Antiqua" w:cs="Book Antiqua"/>
          <w:bCs/>
          <w:color w:val="000000"/>
        </w:rPr>
        <w:t>μ</w:t>
      </w:r>
      <w:r w:rsidR="003D0016" w:rsidRPr="003D0016">
        <w:rPr>
          <w:rFonts w:ascii="Book Antiqua" w:eastAsia="Book Antiqua" w:hAnsi="Book Antiqua" w:cs="Book Antiqua"/>
          <w:bCs/>
          <w:color w:val="000000"/>
        </w:rPr>
        <w:t>mol/L</w:t>
      </w:r>
      <w:r>
        <w:rPr>
          <w:rFonts w:ascii="Book Antiqua" w:eastAsia="Book Antiqua" w:hAnsi="Book Antiqua" w:cs="Book Antiqua"/>
          <w:bCs/>
          <w:color w:val="000000"/>
        </w:rPr>
        <w:t>) for 48 h. A</w:t>
      </w:r>
      <w:r>
        <w:rPr>
          <w:rFonts w:ascii="Book Antiqua" w:hAnsi="Book Antiqua" w:cs="Book Antiqua"/>
          <w:bCs/>
          <w:color w:val="000000"/>
          <w:lang w:eastAsia="zh-CN"/>
        </w:rPr>
        <w:t>:</w:t>
      </w:r>
      <w:r>
        <w:rPr>
          <w:rFonts w:ascii="Book Antiqua" w:eastAsia="Book Antiqua" w:hAnsi="Book Antiqua" w:cs="Book Antiqua"/>
          <w:bCs/>
          <w:color w:val="000000"/>
        </w:rPr>
        <w:t xml:space="preserve"> Cell </w:t>
      </w:r>
      <w:r>
        <w:rPr>
          <w:rFonts w:ascii="Book Antiqua" w:eastAsia="Book Antiqua" w:hAnsi="Book Antiqua" w:cs="Book Antiqua"/>
          <w:bCs/>
          <w:color w:val="000000"/>
        </w:rPr>
        <w:lastRenderedPageBreak/>
        <w:t xml:space="preserve">viability was assessed with a </w:t>
      </w:r>
      <w:r>
        <w:rPr>
          <w:rFonts w:ascii="Book Antiqua" w:eastAsia="Book Antiqua" w:hAnsi="Book Antiqua" w:cs="Book Antiqua"/>
          <w:color w:val="000000"/>
        </w:rPr>
        <w:t>Cell Counting Kit-8</w:t>
      </w:r>
      <w:r>
        <w:rPr>
          <w:rFonts w:ascii="Book Antiqua" w:eastAsia="Book Antiqua" w:hAnsi="Book Antiqua" w:cs="Book Antiqua"/>
          <w:bCs/>
          <w:color w:val="000000"/>
        </w:rPr>
        <w:t xml:space="preserve"> kit; the results are expressed as optical density read at 450 nm</w:t>
      </w:r>
      <w:r>
        <w:rPr>
          <w:rFonts w:ascii="Book Antiqua" w:hAnsi="Book Antiqua" w:cs="Book Antiqua"/>
          <w:bCs/>
          <w:color w:val="000000"/>
          <w:lang w:eastAsia="zh-CN"/>
        </w:rPr>
        <w:t>;</w:t>
      </w:r>
      <w:r>
        <w:rPr>
          <w:rFonts w:ascii="Book Antiqua" w:eastAsia="Book Antiqua" w:hAnsi="Book Antiqua" w:cs="Book Antiqua"/>
          <w:bCs/>
          <w:color w:val="000000"/>
        </w:rPr>
        <w:t xml:space="preserve"> B</w:t>
      </w:r>
      <w:r>
        <w:rPr>
          <w:rFonts w:ascii="Book Antiqua" w:hAnsi="Book Antiqua" w:cs="Book Antiqua"/>
          <w:bCs/>
          <w:color w:val="000000"/>
          <w:lang w:eastAsia="zh-CN"/>
        </w:rPr>
        <w:t>:</w:t>
      </w:r>
      <w:r>
        <w:rPr>
          <w:rFonts w:ascii="Book Antiqua" w:eastAsia="Book Antiqua" w:hAnsi="Book Antiqua" w:cs="Book Antiqua"/>
          <w:bCs/>
          <w:color w:val="000000"/>
        </w:rPr>
        <w:t xml:space="preserve"> Transmission electron microscopy images of mitochondria in T cells show increased membrane density (yellow arrows) and a shrunk morphology (Scale bar, 500 nm, and 250</w:t>
      </w:r>
      <w:r>
        <w:rPr>
          <w:rFonts w:ascii="Book Antiqua" w:hAnsi="Book Antiqua" w:cs="Book Antiqua"/>
          <w:bCs/>
          <w:color w:val="000000"/>
          <w:lang w:eastAsia="zh-CN"/>
        </w:rPr>
        <w:t xml:space="preserve"> </w:t>
      </w:r>
      <w:r>
        <w:rPr>
          <w:rFonts w:ascii="Book Antiqua" w:eastAsia="Book Antiqua" w:hAnsi="Book Antiqua" w:cs="Book Antiqua"/>
          <w:bCs/>
          <w:color w:val="000000"/>
        </w:rPr>
        <w:t>nm)</w:t>
      </w:r>
      <w:r>
        <w:rPr>
          <w:rFonts w:ascii="Book Antiqua" w:hAnsi="Book Antiqua" w:cs="Book Antiqua"/>
          <w:bCs/>
          <w:color w:val="000000"/>
          <w:lang w:eastAsia="zh-CN"/>
        </w:rPr>
        <w:t>;</w:t>
      </w:r>
      <w:r>
        <w:rPr>
          <w:rFonts w:ascii="Book Antiqua" w:eastAsia="Book Antiqua" w:hAnsi="Book Antiqua" w:cs="Book Antiqua"/>
          <w:bCs/>
          <w:color w:val="000000"/>
        </w:rPr>
        <w:t xml:space="preserve"> C</w:t>
      </w:r>
      <w:r>
        <w:rPr>
          <w:rFonts w:ascii="Book Antiqua" w:hAnsi="Book Antiqua" w:cs="Book Antiqua"/>
          <w:bCs/>
          <w:color w:val="000000"/>
          <w:lang w:eastAsia="zh-CN"/>
        </w:rPr>
        <w:t>:</w:t>
      </w:r>
      <w:r>
        <w:rPr>
          <w:rFonts w:ascii="Book Antiqua" w:eastAsia="Book Antiqua" w:hAnsi="Book Antiqua" w:cs="Book Antiqua"/>
          <w:bCs/>
          <w:color w:val="000000"/>
        </w:rPr>
        <w:t xml:space="preserve"> Representative FACS data showing FerroOrange staining as the measurement of the level of cytoplasmic labile iron in primary CD3</w:t>
      </w:r>
      <w:r>
        <w:rPr>
          <w:rFonts w:ascii="Book Antiqua" w:eastAsia="Book Antiqua" w:hAnsi="Book Antiqua" w:cs="Book Antiqua"/>
          <w:bCs/>
          <w:color w:val="000000"/>
          <w:vertAlign w:val="superscript"/>
        </w:rPr>
        <w:t>+</w:t>
      </w:r>
      <w:r>
        <w:rPr>
          <w:rFonts w:ascii="Book Antiqua" w:eastAsia="Book Antiqua" w:hAnsi="Book Antiqua" w:cs="Book Antiqua"/>
          <w:bCs/>
          <w:color w:val="000000"/>
        </w:rPr>
        <w:t xml:space="preserve"> T cells. The graph shows the statistical analysis of mean fluorescence intensity in the different groups</w:t>
      </w:r>
      <w:r>
        <w:rPr>
          <w:rFonts w:ascii="Book Antiqua" w:hAnsi="Book Antiqua" w:cs="Book Antiqua"/>
          <w:bCs/>
          <w:color w:val="000000"/>
          <w:lang w:eastAsia="zh-CN"/>
        </w:rPr>
        <w:t>;</w:t>
      </w:r>
      <w:r>
        <w:rPr>
          <w:rFonts w:ascii="Book Antiqua" w:eastAsia="Book Antiqua" w:hAnsi="Book Antiqua" w:cs="Book Antiqua"/>
          <w:bCs/>
          <w:color w:val="000000"/>
        </w:rPr>
        <w:t xml:space="preserve"> D</w:t>
      </w:r>
      <w:r>
        <w:rPr>
          <w:rFonts w:ascii="Book Antiqua" w:hAnsi="Book Antiqua" w:cs="Book Antiqua"/>
          <w:bCs/>
          <w:color w:val="000000"/>
          <w:lang w:eastAsia="zh-CN"/>
        </w:rPr>
        <w:t>:</w:t>
      </w:r>
      <w:r>
        <w:rPr>
          <w:rFonts w:ascii="Book Antiqua" w:eastAsia="Book Antiqua" w:hAnsi="Book Antiqua" w:cs="Book Antiqua"/>
          <w:bCs/>
          <w:color w:val="000000"/>
        </w:rPr>
        <w:t xml:space="preserve"> Levels of ferritinophagy-related proteins nuclear receptor coactivator 4 and ferritin heavy chain 1 were assessed by western blot. CON groups: T cells were treated with DMSO for 48 h; 5-FU groups: T cells were treated with 5-FU (15 </w:t>
      </w:r>
      <w:r w:rsidR="00AC0922" w:rsidRPr="000A6050">
        <w:rPr>
          <w:rFonts w:ascii="Book Antiqua" w:eastAsia="Book Antiqua" w:hAnsi="Book Antiqua" w:cs="Book Antiqua"/>
          <w:bCs/>
          <w:color w:val="000000"/>
        </w:rPr>
        <w:t>μ</w:t>
      </w:r>
      <w:r w:rsidR="00AC0922" w:rsidRPr="003D0016">
        <w:rPr>
          <w:rFonts w:ascii="Book Antiqua" w:eastAsia="Book Antiqua" w:hAnsi="Book Antiqua" w:cs="Book Antiqua"/>
          <w:bCs/>
          <w:color w:val="000000"/>
        </w:rPr>
        <w:t>mol/L</w:t>
      </w:r>
      <w:r>
        <w:rPr>
          <w:rFonts w:ascii="Book Antiqua" w:eastAsia="Book Antiqua" w:hAnsi="Book Antiqua" w:cs="Book Antiqua"/>
          <w:bCs/>
          <w:color w:val="000000"/>
        </w:rPr>
        <w:t>) for 48 h; 5-FU+ Fer-1 groups: T cells were treated with 5-FU (15</w:t>
      </w:r>
      <w:r>
        <w:rPr>
          <w:rFonts w:eastAsia="Book Antiqua"/>
          <w:bCs/>
          <w:color w:val="000000"/>
        </w:rPr>
        <w:t> </w:t>
      </w:r>
      <w:r w:rsidR="00AC0922" w:rsidRPr="000A6050">
        <w:rPr>
          <w:rFonts w:ascii="Book Antiqua" w:eastAsia="Book Antiqua" w:hAnsi="Book Antiqua" w:cs="Book Antiqua"/>
          <w:bCs/>
          <w:color w:val="000000"/>
        </w:rPr>
        <w:t>μ</w:t>
      </w:r>
      <w:r w:rsidR="00AC0922" w:rsidRPr="003D0016">
        <w:rPr>
          <w:rFonts w:ascii="Book Antiqua" w:eastAsia="Book Antiqua" w:hAnsi="Book Antiqua" w:cs="Book Antiqua"/>
          <w:bCs/>
          <w:color w:val="000000"/>
        </w:rPr>
        <w:t>mol/L</w:t>
      </w:r>
      <w:r>
        <w:rPr>
          <w:rFonts w:ascii="Book Antiqua" w:eastAsia="Book Antiqua" w:hAnsi="Book Antiqua" w:cs="Book Antiqua"/>
          <w:bCs/>
          <w:color w:val="000000"/>
        </w:rPr>
        <w:t>) and Fer-1 (2</w:t>
      </w:r>
      <w:r>
        <w:rPr>
          <w:rFonts w:eastAsia="Book Antiqua"/>
          <w:bCs/>
          <w:color w:val="000000"/>
        </w:rPr>
        <w:t> </w:t>
      </w:r>
      <w:r w:rsidR="00AC0922" w:rsidRPr="000A6050">
        <w:rPr>
          <w:rFonts w:ascii="Book Antiqua" w:eastAsia="Book Antiqua" w:hAnsi="Book Antiqua" w:cs="Book Antiqua"/>
          <w:bCs/>
          <w:color w:val="000000"/>
        </w:rPr>
        <w:t>μ</w:t>
      </w:r>
      <w:r w:rsidR="00AC0922" w:rsidRPr="003D0016">
        <w:rPr>
          <w:rFonts w:ascii="Book Antiqua" w:eastAsia="Book Antiqua" w:hAnsi="Book Antiqua" w:cs="Book Antiqua"/>
          <w:bCs/>
          <w:color w:val="000000"/>
        </w:rPr>
        <w:t>mol/L</w:t>
      </w:r>
      <w:r>
        <w:rPr>
          <w:rFonts w:ascii="Book Antiqua" w:eastAsia="Book Antiqua" w:hAnsi="Book Antiqua" w:cs="Book Antiqua"/>
          <w:bCs/>
          <w:color w:val="000000"/>
        </w:rPr>
        <w:t>) for 48</w:t>
      </w:r>
      <w:r>
        <w:rPr>
          <w:rFonts w:eastAsia="Book Antiqua"/>
          <w:bCs/>
          <w:color w:val="000000"/>
        </w:rPr>
        <w:t> </w:t>
      </w:r>
      <w:r>
        <w:rPr>
          <w:rFonts w:ascii="Book Antiqua" w:eastAsia="Book Antiqua" w:hAnsi="Book Antiqua" w:cs="Book Antiqua"/>
          <w:bCs/>
          <w:color w:val="000000"/>
        </w:rPr>
        <w:t xml:space="preserve">h. Statistical analysis was done by one-way ANOVA, </w:t>
      </w:r>
      <w:r>
        <w:rPr>
          <w:rFonts w:ascii="Book Antiqua" w:eastAsia="Book Antiqua" w:hAnsi="Book Antiqua" w:cs="Book Antiqua"/>
          <w:bCs/>
          <w:i/>
          <w:color w:val="000000"/>
        </w:rPr>
        <w:t>n</w:t>
      </w:r>
      <w:r>
        <w:rPr>
          <w:rFonts w:ascii="Book Antiqua" w:eastAsia="Book Antiqua" w:hAnsi="Book Antiqua" w:cs="Book Antiqua"/>
          <w:bCs/>
          <w:color w:val="000000"/>
        </w:rPr>
        <w:t xml:space="preserve"> = 3. Data are shown as mean ± SD. Data are shown as mean ± SD. </w:t>
      </w:r>
      <w:r>
        <w:rPr>
          <w:rFonts w:ascii="Book Antiqua" w:eastAsia="Book Antiqua" w:hAnsi="Book Antiqua" w:cs="Book Antiqua"/>
          <w:bCs/>
          <w:color w:val="000000"/>
          <w:vertAlign w:val="superscript"/>
        </w:rPr>
        <w:t>c</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0.001</w:t>
      </w:r>
      <w:r>
        <w:rPr>
          <w:rFonts w:ascii="Book Antiqua" w:hAnsi="Book Antiqua" w:cs="Book Antiqua"/>
          <w:bCs/>
          <w:color w:val="000000"/>
          <w:lang w:eastAsia="zh-CN"/>
        </w:rPr>
        <w:t xml:space="preserve">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control group, </w:t>
      </w:r>
      <w:r>
        <w:rPr>
          <w:rFonts w:ascii="Book Antiqua" w:hAnsi="Book Antiqua" w:cs="Book Antiqua"/>
          <w:bCs/>
          <w:color w:val="000000"/>
          <w:vertAlign w:val="superscript"/>
          <w:lang w:eastAsia="zh-CN"/>
        </w:rPr>
        <w:t>d</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5-FU group, </w:t>
      </w:r>
      <w:r>
        <w:rPr>
          <w:rFonts w:ascii="Book Antiqua" w:hAnsi="Book Antiqua" w:cs="Book Antiqua"/>
          <w:bCs/>
          <w:color w:val="000000"/>
          <w:vertAlign w:val="superscript"/>
          <w:lang w:eastAsia="zh-CN"/>
        </w:rPr>
        <w:t>e</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0.01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5-FU group, </w:t>
      </w:r>
      <w:r>
        <w:rPr>
          <w:rFonts w:ascii="Book Antiqua" w:hAnsi="Book Antiqua" w:cs="Book Antiqua"/>
          <w:bCs/>
          <w:color w:val="000000"/>
          <w:vertAlign w:val="superscript"/>
          <w:lang w:eastAsia="zh-CN"/>
        </w:rPr>
        <w:t>f</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0.001</w:t>
      </w:r>
      <w:r>
        <w:rPr>
          <w:rFonts w:ascii="Book Antiqua" w:hAnsi="Book Antiqua" w:cs="Book Antiqua"/>
          <w:bCs/>
          <w:color w:val="000000"/>
          <w:lang w:eastAsia="zh-CN"/>
        </w:rPr>
        <w:t xml:space="preserve">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5-FU group.</w:t>
      </w:r>
      <w:r>
        <w:rPr>
          <w:rFonts w:ascii="Book Antiqua" w:hAnsi="Book Antiqua" w:cs="Book Antiqua"/>
          <w:bCs/>
          <w:color w:val="000000"/>
          <w:lang w:eastAsia="zh-CN"/>
        </w:rPr>
        <w:t xml:space="preserve"> </w:t>
      </w:r>
      <w:r>
        <w:rPr>
          <w:rFonts w:ascii="Book Antiqua" w:eastAsia="Book Antiqua" w:hAnsi="Book Antiqua" w:cs="Book Antiqua"/>
          <w:bCs/>
          <w:color w:val="000000"/>
        </w:rPr>
        <w:t xml:space="preserve">CON: </w:t>
      </w:r>
      <w:r>
        <w:rPr>
          <w:rFonts w:ascii="Book Antiqua" w:hAnsi="Book Antiqua" w:cs="Book Antiqua" w:hint="eastAsia"/>
          <w:color w:val="000000"/>
          <w:lang w:eastAsia="zh-CN"/>
        </w:rPr>
        <w:t>U</w:t>
      </w:r>
      <w:r>
        <w:rPr>
          <w:rFonts w:ascii="Book Antiqua" w:eastAsia="Book Antiqua" w:hAnsi="Book Antiqua" w:cs="Book Antiqua"/>
          <w:color w:val="000000"/>
        </w:rPr>
        <w:t>ntreated control</w:t>
      </w:r>
      <w:r>
        <w:rPr>
          <w:rFonts w:ascii="Book Antiqua" w:eastAsia="Book Antiqua" w:hAnsi="Book Antiqua" w:cs="Book Antiqua"/>
          <w:bCs/>
          <w:color w:val="000000"/>
        </w:rPr>
        <w:t xml:space="preserve"> groups</w:t>
      </w:r>
      <w:r>
        <w:rPr>
          <w:rFonts w:ascii="Book Antiqua" w:hAnsi="Book Antiqua" w:cs="Book Antiqua"/>
          <w:bCs/>
          <w:color w:val="000000"/>
          <w:lang w:eastAsia="zh-CN"/>
        </w:rPr>
        <w:t>;</w:t>
      </w:r>
      <w:r>
        <w:rPr>
          <w:rFonts w:ascii="Book Antiqua" w:eastAsia="Book Antiqua" w:hAnsi="Book Antiqua" w:cs="Book Antiqua"/>
          <w:bCs/>
          <w:color w:val="000000"/>
        </w:rPr>
        <w:t xml:space="preserve"> 5-FU</w:t>
      </w:r>
      <w:r>
        <w:rPr>
          <w:rFonts w:ascii="Book Antiqua" w:hAnsi="Book Antiqua" w:cs="Book Antiqua"/>
          <w:bCs/>
          <w:color w:val="000000"/>
          <w:lang w:eastAsia="zh-CN"/>
        </w:rPr>
        <w:t xml:space="preserve">: </w:t>
      </w:r>
      <w:r>
        <w:rPr>
          <w:rFonts w:ascii="Book Antiqua" w:eastAsia="Book Antiqua" w:hAnsi="Book Antiqua" w:cs="Book Antiqua"/>
          <w:bCs/>
          <w:color w:val="000000"/>
        </w:rPr>
        <w:t>5-fluorouracil</w:t>
      </w:r>
      <w:r>
        <w:rPr>
          <w:rFonts w:ascii="Book Antiqua" w:hAnsi="Book Antiqua" w:cs="Book Antiqua"/>
          <w:bCs/>
          <w:color w:val="000000"/>
          <w:lang w:eastAsia="zh-CN"/>
        </w:rPr>
        <w:t xml:space="preserve">; </w:t>
      </w:r>
      <w:r>
        <w:rPr>
          <w:rFonts w:ascii="Book Antiqua" w:eastAsia="Book Antiqua" w:hAnsi="Book Antiqua" w:cs="Book Antiqua"/>
          <w:color w:val="000000"/>
        </w:rPr>
        <w:t>NCOA4:</w:t>
      </w:r>
      <w:r>
        <w:rPr>
          <w:rFonts w:ascii="Book Antiqua" w:hAnsi="Book Antiqua" w:cs="Book Antiqua"/>
          <w:color w:val="000000"/>
          <w:lang w:eastAsia="zh-CN"/>
        </w:rPr>
        <w:t xml:space="preserve"> N</w:t>
      </w:r>
      <w:r>
        <w:rPr>
          <w:rFonts w:ascii="Book Antiqua" w:eastAsia="Book Antiqua" w:hAnsi="Book Antiqua" w:cs="Book Antiqua"/>
          <w:color w:val="000000"/>
        </w:rPr>
        <w:t>uclear receptor coactivator 4</w:t>
      </w:r>
      <w:r>
        <w:rPr>
          <w:rFonts w:ascii="Book Antiqua" w:hAnsi="Book Antiqua" w:cs="Book Antiqua"/>
          <w:color w:val="000000"/>
          <w:lang w:eastAsia="zh-CN"/>
        </w:rPr>
        <w:t xml:space="preserve">; </w:t>
      </w:r>
      <w:r>
        <w:rPr>
          <w:rFonts w:ascii="Book Antiqua" w:eastAsia="Book Antiqua" w:hAnsi="Book Antiqua" w:cs="Book Antiqua"/>
          <w:bCs/>
          <w:color w:val="000000"/>
        </w:rPr>
        <w:t>FTH1</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F</w:t>
      </w:r>
      <w:r>
        <w:rPr>
          <w:rFonts w:ascii="Book Antiqua" w:eastAsia="Book Antiqua" w:hAnsi="Book Antiqua" w:cs="Book Antiqua"/>
          <w:bCs/>
          <w:color w:val="000000"/>
        </w:rPr>
        <w:t>erritin heavy chain 1</w:t>
      </w:r>
      <w:r>
        <w:rPr>
          <w:rFonts w:ascii="Book Antiqua" w:hAnsi="Book Antiqua" w:cs="Book Antiqua"/>
          <w:bCs/>
          <w:color w:val="000000"/>
          <w:lang w:eastAsia="zh-CN"/>
        </w:rPr>
        <w:t xml:space="preserve">; </w:t>
      </w:r>
      <w:r>
        <w:rPr>
          <w:rFonts w:ascii="Book Antiqua" w:eastAsia="Book Antiqua" w:hAnsi="Book Antiqua" w:cs="Book Antiqua"/>
          <w:bCs/>
          <w:color w:val="000000"/>
        </w:rPr>
        <w:t>Fer-1</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F</w:t>
      </w:r>
      <w:r>
        <w:rPr>
          <w:rFonts w:ascii="Book Antiqua" w:eastAsia="Book Antiqua" w:hAnsi="Book Antiqua" w:cs="Book Antiqua"/>
          <w:bCs/>
          <w:color w:val="000000"/>
        </w:rPr>
        <w:t>errostatin-1</w:t>
      </w:r>
      <w:r>
        <w:rPr>
          <w:rFonts w:ascii="Book Antiqua" w:hAnsi="Book Antiqua" w:cs="Book Antiqua"/>
          <w:bCs/>
          <w:color w:val="000000"/>
          <w:lang w:eastAsia="zh-CN"/>
        </w:rPr>
        <w:t>.</w:t>
      </w:r>
      <w:r>
        <w:rPr>
          <w:rFonts w:ascii="Book Antiqua" w:eastAsia="Book Antiqua" w:hAnsi="Book Antiqua" w:cs="Book Antiqua"/>
          <w:bCs/>
          <w:color w:val="000000"/>
        </w:rPr>
        <w:cr/>
      </w:r>
    </w:p>
    <w:p w14:paraId="07312BA3" w14:textId="4D17E58D" w:rsidR="00D03248" w:rsidRDefault="0031688F">
      <w:pPr>
        <w:spacing w:line="360" w:lineRule="auto"/>
        <w:jc w:val="both"/>
        <w:rPr>
          <w:rFonts w:ascii="Book Antiqua" w:hAnsi="Book Antiqua" w:hint="eastAsia"/>
          <w:lang w:eastAsia="zh-CN"/>
        </w:rPr>
      </w:pPr>
      <w:r>
        <w:rPr>
          <w:rFonts w:ascii="Book Antiqua" w:hAnsi="Book Antiqua"/>
        </w:rPr>
        <w:br w:type="page"/>
      </w:r>
    </w:p>
    <w:p w14:paraId="0BE70C2C" w14:textId="48FCE3FB" w:rsidR="004E72CE" w:rsidRDefault="004E72CE">
      <w:pPr>
        <w:spacing w:line="360" w:lineRule="auto"/>
        <w:jc w:val="both"/>
        <w:rPr>
          <w:rFonts w:ascii="Book Antiqua" w:eastAsia="Book Antiqua" w:hAnsi="Book Antiqua" w:cs="Book Antiqua"/>
          <w:b/>
          <w:bCs/>
          <w:color w:val="000000"/>
        </w:rPr>
      </w:pPr>
      <w:r>
        <w:rPr>
          <w:rFonts w:ascii="Book Antiqua" w:hAnsi="Book Antiqua" w:hint="eastAsia"/>
          <w:noProof/>
          <w:lang w:eastAsia="zh-CN"/>
        </w:rPr>
        <w:lastRenderedPageBreak/>
        <w:drawing>
          <wp:inline distT="0" distB="0" distL="0" distR="0" wp14:anchorId="28C2F43E" wp14:editId="2F03A334">
            <wp:extent cx="5577840" cy="7506843"/>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1523" cy="7511799"/>
                    </a:xfrm>
                    <a:prstGeom prst="rect">
                      <a:avLst/>
                    </a:prstGeom>
                  </pic:spPr>
                </pic:pic>
              </a:graphicData>
            </a:graphic>
          </wp:inline>
        </w:drawing>
      </w:r>
    </w:p>
    <w:p w14:paraId="0463CC95" w14:textId="28CE42D7" w:rsidR="00D03248" w:rsidRDefault="0031688F">
      <w:pPr>
        <w:spacing w:line="360" w:lineRule="auto"/>
        <w:jc w:val="both"/>
        <w:rPr>
          <w:rFonts w:ascii="Book Antiqua" w:hAnsi="Book Antiqua"/>
          <w:lang w:eastAsia="zh-CN"/>
        </w:rPr>
      </w:pPr>
      <w:r>
        <w:rPr>
          <w:rFonts w:ascii="Book Antiqua" w:eastAsia="Book Antiqua" w:hAnsi="Book Antiqua" w:cs="Book Antiqua"/>
          <w:b/>
          <w:bCs/>
          <w:color w:val="000000"/>
        </w:rPr>
        <w:t>Figure 7</w:t>
      </w:r>
      <w:r>
        <w:rPr>
          <w:rFonts w:ascii="Book Antiqua" w:hAnsi="Book Antiqua" w:cs="Book Antiqua"/>
          <w:b/>
          <w:bCs/>
          <w:color w:val="000000"/>
          <w:lang w:eastAsia="zh-CN"/>
        </w:rPr>
        <w:t xml:space="preserve"> </w:t>
      </w:r>
      <w:r>
        <w:rPr>
          <w:rFonts w:ascii="Book Antiqua" w:eastAsia="Book Antiqua" w:hAnsi="Book Antiqua" w:cs="Book Antiqua"/>
          <w:b/>
          <w:bCs/>
          <w:color w:val="000000"/>
        </w:rPr>
        <w:t>5-fluorouracil disturbs the antioxidative/oxidative balance, resulting in CD3</w:t>
      </w:r>
      <w:r>
        <w:rPr>
          <w:rFonts w:ascii="Book Antiqua" w:eastAsia="Book Antiqua" w:hAnsi="Book Antiqua" w:cs="Book Antiqua"/>
          <w:b/>
          <w:bCs/>
          <w:color w:val="000000"/>
          <w:vertAlign w:val="superscript"/>
        </w:rPr>
        <w:t>+</w:t>
      </w:r>
      <w:r>
        <w:rPr>
          <w:rFonts w:ascii="Book Antiqua" w:eastAsia="Book Antiqua" w:hAnsi="Book Antiqua" w:cs="Book Antiqua"/>
          <w:b/>
          <w:bCs/>
          <w:color w:val="000000"/>
        </w:rPr>
        <w:t xml:space="preserve"> T cells ferroptosis. </w:t>
      </w:r>
      <w:r>
        <w:rPr>
          <w:rFonts w:ascii="Book Antiqua" w:eastAsia="Book Antiqua" w:hAnsi="Book Antiqua" w:cs="Book Antiqua"/>
          <w:bCs/>
          <w:color w:val="000000"/>
        </w:rPr>
        <w:t>A</w:t>
      </w:r>
      <w:r>
        <w:rPr>
          <w:rFonts w:ascii="Book Antiqua" w:hAnsi="Book Antiqua" w:cs="Book Antiqua"/>
          <w:bCs/>
          <w:color w:val="000000"/>
          <w:lang w:eastAsia="zh-CN"/>
        </w:rPr>
        <w:t>:</w:t>
      </w:r>
      <w:r>
        <w:rPr>
          <w:rFonts w:ascii="Book Antiqua" w:eastAsia="Book Antiqua" w:hAnsi="Book Antiqua" w:cs="Book Antiqua"/>
          <w:bCs/>
          <w:color w:val="000000"/>
        </w:rPr>
        <w:t xml:space="preserve"> Levels of antioxidant proteins nuclear erythroid 2 p45-related </w:t>
      </w:r>
      <w:r>
        <w:rPr>
          <w:rFonts w:ascii="Book Antiqua" w:eastAsia="Book Antiqua" w:hAnsi="Book Antiqua" w:cs="Book Antiqua"/>
          <w:bCs/>
          <w:color w:val="000000"/>
        </w:rPr>
        <w:lastRenderedPageBreak/>
        <w:t>factor 2, heme oxygenase-1, and glutathione peroxidase 4 assessed by western blot, and corresponding graphs showing the statistical comparison between groups</w:t>
      </w:r>
      <w:r>
        <w:rPr>
          <w:rFonts w:ascii="Book Antiqua" w:hAnsi="Book Antiqua" w:cs="Book Antiqua"/>
          <w:bCs/>
          <w:color w:val="000000"/>
          <w:lang w:eastAsia="zh-CN"/>
        </w:rPr>
        <w:t xml:space="preserve">; </w:t>
      </w:r>
      <w:r>
        <w:rPr>
          <w:rFonts w:ascii="Book Antiqua" w:eastAsia="Book Antiqua" w:hAnsi="Book Antiqua" w:cs="Book Antiqua"/>
          <w:bCs/>
          <w:color w:val="000000"/>
        </w:rPr>
        <w:t>B and C</w:t>
      </w:r>
      <w:r>
        <w:rPr>
          <w:rFonts w:ascii="Book Antiqua" w:hAnsi="Book Antiqua" w:cs="Book Antiqua"/>
          <w:bCs/>
          <w:color w:val="000000"/>
          <w:lang w:eastAsia="zh-CN"/>
        </w:rPr>
        <w:t>:</w:t>
      </w:r>
      <w:r>
        <w:rPr>
          <w:rFonts w:ascii="Book Antiqua" w:eastAsia="Book Antiqua" w:hAnsi="Book Antiqua" w:cs="Book Antiqua"/>
          <w:bCs/>
          <w:color w:val="000000"/>
        </w:rPr>
        <w:t xml:space="preserve"> Reactive oxygen species (ROS) and lipid ROS of rat and human CD3</w:t>
      </w:r>
      <w:r>
        <w:rPr>
          <w:rFonts w:ascii="Book Antiqua" w:eastAsia="Book Antiqua" w:hAnsi="Book Antiqua" w:cs="Book Antiqua"/>
          <w:bCs/>
          <w:color w:val="000000"/>
          <w:vertAlign w:val="superscript"/>
        </w:rPr>
        <w:t>+</w:t>
      </w:r>
      <w:r>
        <w:rPr>
          <w:rFonts w:ascii="Book Antiqua" w:eastAsia="Book Antiqua" w:hAnsi="Book Antiqua" w:cs="Book Antiqua"/>
          <w:bCs/>
          <w:color w:val="000000"/>
        </w:rPr>
        <w:t xml:space="preserve"> T cells were detected by FACS using DCFH-DA and C11-BODIPY fluorescent conjugates, BODIPY emission was recorded on oxidized C11 (FITC channel) signal; the graphs display the comparison of mean fluorescence intensity levels in the different groups</w:t>
      </w:r>
      <w:r>
        <w:rPr>
          <w:rFonts w:ascii="Book Antiqua" w:hAnsi="Book Antiqua" w:cs="Book Antiqua"/>
          <w:bCs/>
          <w:color w:val="000000"/>
          <w:lang w:eastAsia="zh-CN"/>
        </w:rPr>
        <w:t>;</w:t>
      </w:r>
      <w:r>
        <w:rPr>
          <w:rFonts w:ascii="Book Antiqua" w:eastAsia="Book Antiqua" w:hAnsi="Book Antiqua" w:cs="Book Antiqua"/>
          <w:bCs/>
          <w:color w:val="000000"/>
        </w:rPr>
        <w:t xml:space="preserve"> D</w:t>
      </w:r>
      <w:r>
        <w:rPr>
          <w:rFonts w:ascii="Book Antiqua" w:hAnsi="Book Antiqua" w:cs="Book Antiqua"/>
          <w:bCs/>
          <w:color w:val="000000"/>
          <w:lang w:eastAsia="zh-CN"/>
        </w:rPr>
        <w:t>:</w:t>
      </w:r>
      <w:r>
        <w:rPr>
          <w:rFonts w:ascii="Book Antiqua" w:eastAsia="Book Antiqua" w:hAnsi="Book Antiqua" w:cs="Book Antiqua"/>
          <w:bCs/>
          <w:color w:val="000000"/>
        </w:rPr>
        <w:t xml:space="preserve"> Proportion of cells with reduced mitochondrial membrane potential assessed by flow cytometry</w:t>
      </w:r>
      <w:r>
        <w:rPr>
          <w:rFonts w:ascii="Book Antiqua" w:hAnsi="Book Antiqua" w:cs="Book Antiqua"/>
          <w:bCs/>
          <w:color w:val="000000"/>
          <w:lang w:eastAsia="zh-CN"/>
        </w:rPr>
        <w:t>;</w:t>
      </w:r>
      <w:r>
        <w:rPr>
          <w:rFonts w:ascii="Book Antiqua" w:eastAsia="Book Antiqua" w:hAnsi="Book Antiqua" w:cs="Book Antiqua"/>
          <w:bCs/>
          <w:color w:val="000000"/>
        </w:rPr>
        <w:t xml:space="preserve"> E and F</w:t>
      </w:r>
      <w:r>
        <w:rPr>
          <w:rFonts w:ascii="Book Antiqua" w:hAnsi="Book Antiqua" w:cs="Book Antiqua"/>
          <w:bCs/>
          <w:color w:val="000000"/>
          <w:lang w:eastAsia="zh-CN"/>
        </w:rPr>
        <w:t>:</w:t>
      </w:r>
      <w:r>
        <w:rPr>
          <w:rFonts w:ascii="Book Antiqua" w:eastAsia="Book Antiqua" w:hAnsi="Book Antiqua" w:cs="Book Antiqua"/>
          <w:bCs/>
          <w:color w:val="000000"/>
        </w:rPr>
        <w:t xml:space="preserve"> Glutathione and malondialdehyde content T cells after treatment for 48</w:t>
      </w:r>
      <w:r>
        <w:rPr>
          <w:rFonts w:eastAsia="Book Antiqua"/>
          <w:bCs/>
          <w:color w:val="000000"/>
        </w:rPr>
        <w:t> </w:t>
      </w:r>
      <w:r>
        <w:rPr>
          <w:rFonts w:ascii="Book Antiqua" w:eastAsia="Book Antiqua" w:hAnsi="Book Antiqua" w:cs="Book Antiqua"/>
          <w:bCs/>
          <w:color w:val="000000"/>
        </w:rPr>
        <w:t>h. CON groups: T cells were treated with DMSO for 48</w:t>
      </w:r>
      <w:r>
        <w:rPr>
          <w:rFonts w:eastAsia="Book Antiqua"/>
          <w:bCs/>
          <w:color w:val="000000"/>
        </w:rPr>
        <w:t> </w:t>
      </w:r>
      <w:r>
        <w:rPr>
          <w:rFonts w:ascii="Book Antiqua" w:eastAsia="Book Antiqua" w:hAnsi="Book Antiqua" w:cs="Book Antiqua"/>
          <w:bCs/>
          <w:color w:val="000000"/>
        </w:rPr>
        <w:t>h; 5-fluorouracil (5-FU) groups: T cells were treated with 5-FU (15</w:t>
      </w:r>
      <w:r>
        <w:rPr>
          <w:rFonts w:eastAsia="Book Antiqua"/>
          <w:bCs/>
          <w:color w:val="000000"/>
        </w:rPr>
        <w:t> </w:t>
      </w:r>
      <w:r w:rsidR="00FE5708" w:rsidRPr="000A6050">
        <w:rPr>
          <w:rFonts w:ascii="Book Antiqua" w:eastAsia="Book Antiqua" w:hAnsi="Book Antiqua" w:cs="Book Antiqua"/>
          <w:bCs/>
          <w:color w:val="000000"/>
        </w:rPr>
        <w:t>μ</w:t>
      </w:r>
      <w:r w:rsidR="00FE5708" w:rsidRPr="003D0016">
        <w:rPr>
          <w:rFonts w:ascii="Book Antiqua" w:eastAsia="Book Antiqua" w:hAnsi="Book Antiqua" w:cs="Book Antiqua"/>
          <w:bCs/>
          <w:color w:val="000000"/>
        </w:rPr>
        <w:t>mol/L</w:t>
      </w:r>
      <w:r>
        <w:rPr>
          <w:rFonts w:ascii="Book Antiqua" w:eastAsia="Book Antiqua" w:hAnsi="Book Antiqua" w:cs="Book Antiqua"/>
          <w:bCs/>
          <w:color w:val="000000"/>
        </w:rPr>
        <w:t>) for 48</w:t>
      </w:r>
      <w:r>
        <w:rPr>
          <w:rFonts w:eastAsia="Book Antiqua"/>
          <w:bCs/>
          <w:color w:val="000000"/>
        </w:rPr>
        <w:t> </w:t>
      </w:r>
      <w:r>
        <w:rPr>
          <w:rFonts w:ascii="Book Antiqua" w:eastAsia="Book Antiqua" w:hAnsi="Book Antiqua" w:cs="Book Antiqua"/>
          <w:bCs/>
          <w:color w:val="000000"/>
        </w:rPr>
        <w:t>h; 5-FU+ferrostatin-1 (Fer-1) groups: T cells were treated with 5-FU (15</w:t>
      </w:r>
      <w:r>
        <w:rPr>
          <w:rFonts w:eastAsia="Book Antiqua"/>
          <w:bCs/>
          <w:color w:val="000000"/>
        </w:rPr>
        <w:t> </w:t>
      </w:r>
      <w:r w:rsidR="00FE5708" w:rsidRPr="000A6050">
        <w:rPr>
          <w:rFonts w:ascii="Book Antiqua" w:eastAsia="Book Antiqua" w:hAnsi="Book Antiqua" w:cs="Book Antiqua"/>
          <w:bCs/>
          <w:color w:val="000000"/>
        </w:rPr>
        <w:t>μ</w:t>
      </w:r>
      <w:r w:rsidR="00FE5708" w:rsidRPr="003D0016">
        <w:rPr>
          <w:rFonts w:ascii="Book Antiqua" w:eastAsia="Book Antiqua" w:hAnsi="Book Antiqua" w:cs="Book Antiqua"/>
          <w:bCs/>
          <w:color w:val="000000"/>
        </w:rPr>
        <w:t>mol/L</w:t>
      </w:r>
      <w:r>
        <w:rPr>
          <w:rFonts w:ascii="Book Antiqua" w:eastAsia="Book Antiqua" w:hAnsi="Book Antiqua" w:cs="Book Antiqua"/>
          <w:bCs/>
          <w:color w:val="000000"/>
        </w:rPr>
        <w:t>) and Fer-1 (2</w:t>
      </w:r>
      <w:r>
        <w:rPr>
          <w:rFonts w:eastAsia="Book Antiqua"/>
          <w:bCs/>
          <w:color w:val="000000"/>
        </w:rPr>
        <w:t> </w:t>
      </w:r>
      <w:r w:rsidR="00FE5708" w:rsidRPr="000A6050">
        <w:rPr>
          <w:rFonts w:ascii="Book Antiqua" w:eastAsia="Book Antiqua" w:hAnsi="Book Antiqua" w:cs="Book Antiqua"/>
          <w:bCs/>
          <w:color w:val="000000"/>
        </w:rPr>
        <w:t>μ</w:t>
      </w:r>
      <w:r w:rsidR="00FE5708" w:rsidRPr="003D0016">
        <w:rPr>
          <w:rFonts w:ascii="Book Antiqua" w:eastAsia="Book Antiqua" w:hAnsi="Book Antiqua" w:cs="Book Antiqua"/>
          <w:bCs/>
          <w:color w:val="000000"/>
        </w:rPr>
        <w:t>mol/L</w:t>
      </w:r>
      <w:r>
        <w:rPr>
          <w:rFonts w:ascii="Book Antiqua" w:eastAsia="Book Antiqua" w:hAnsi="Book Antiqua" w:cs="Book Antiqua"/>
          <w:bCs/>
          <w:color w:val="000000"/>
        </w:rPr>
        <w:t>) for 48</w:t>
      </w:r>
      <w:r>
        <w:rPr>
          <w:rFonts w:eastAsia="Book Antiqua"/>
          <w:bCs/>
          <w:color w:val="000000"/>
        </w:rPr>
        <w:t> </w:t>
      </w:r>
      <w:r>
        <w:rPr>
          <w:rFonts w:ascii="Book Antiqua" w:eastAsia="Book Antiqua" w:hAnsi="Book Antiqua" w:cs="Book Antiqua"/>
          <w:bCs/>
          <w:color w:val="000000"/>
        </w:rPr>
        <w:t xml:space="preserve">h. Statistical analysis was done by one-way ANOVA, </w:t>
      </w:r>
      <w:r>
        <w:rPr>
          <w:rFonts w:ascii="Book Antiqua" w:eastAsia="Book Antiqua" w:hAnsi="Book Antiqua" w:cs="Book Antiqua"/>
          <w:bCs/>
          <w:i/>
          <w:color w:val="000000"/>
        </w:rPr>
        <w:t>n</w:t>
      </w:r>
      <w:r>
        <w:rPr>
          <w:rFonts w:ascii="Book Antiqua" w:eastAsia="Book Antiqua" w:hAnsi="Book Antiqua" w:cs="Book Antiqua"/>
          <w:bCs/>
          <w:color w:val="000000"/>
        </w:rPr>
        <w:t xml:space="preserve"> = 3. </w:t>
      </w:r>
      <w:r>
        <w:rPr>
          <w:rFonts w:ascii="Book Antiqua" w:eastAsia="Book Antiqua" w:hAnsi="Book Antiqua" w:cs="Book Antiqua"/>
          <w:bCs/>
          <w:color w:val="000000"/>
          <w:vertAlign w:val="superscript"/>
        </w:rPr>
        <w:t>d</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0.05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5-FU group, </w:t>
      </w:r>
      <w:r>
        <w:rPr>
          <w:rFonts w:ascii="Book Antiqua" w:hAnsi="Book Antiqua" w:cs="Book Antiqua"/>
          <w:bCs/>
          <w:color w:val="000000"/>
          <w:vertAlign w:val="superscript"/>
          <w:lang w:eastAsia="zh-CN"/>
        </w:rPr>
        <w:t>e</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0.01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5-FU group, </w:t>
      </w:r>
      <w:r>
        <w:rPr>
          <w:rFonts w:ascii="Book Antiqua" w:hAnsi="Book Antiqua" w:cs="Book Antiqua"/>
          <w:bCs/>
          <w:color w:val="000000"/>
          <w:vertAlign w:val="superscript"/>
          <w:lang w:eastAsia="zh-CN"/>
        </w:rPr>
        <w:t>f</w:t>
      </w:r>
      <w:r>
        <w:rPr>
          <w:rFonts w:ascii="Book Antiqua" w:eastAsia="Book Antiqua" w:hAnsi="Book Antiqua" w:cs="Book Antiqua"/>
          <w:bCs/>
          <w:i/>
          <w:color w:val="000000"/>
        </w:rPr>
        <w:t>P</w:t>
      </w:r>
      <w:r>
        <w:rPr>
          <w:rFonts w:ascii="Book Antiqua" w:eastAsia="Book Antiqua" w:hAnsi="Book Antiqua" w:cs="Book Antiqua"/>
          <w:bCs/>
          <w:color w:val="000000"/>
        </w:rPr>
        <w:t xml:space="preserve"> &lt; 0.001</w:t>
      </w:r>
      <w:r>
        <w:rPr>
          <w:rFonts w:ascii="Book Antiqua" w:hAnsi="Book Antiqua" w:cs="Book Antiqua"/>
          <w:bCs/>
          <w:color w:val="000000"/>
          <w:lang w:eastAsia="zh-CN"/>
        </w:rPr>
        <w:t xml:space="preserve"> </w:t>
      </w:r>
      <w:r>
        <w:rPr>
          <w:rFonts w:ascii="Book Antiqua" w:eastAsia="Book Antiqua" w:hAnsi="Book Antiqua" w:cs="Book Antiqua"/>
          <w:bCs/>
          <w:i/>
          <w:color w:val="000000"/>
        </w:rPr>
        <w:t>vs</w:t>
      </w:r>
      <w:r>
        <w:rPr>
          <w:rFonts w:ascii="Book Antiqua" w:eastAsia="Book Antiqua" w:hAnsi="Book Antiqua" w:cs="Book Antiqua"/>
          <w:bCs/>
          <w:color w:val="000000"/>
        </w:rPr>
        <w:t xml:space="preserve"> the 5-FU group.</w:t>
      </w:r>
      <w:r>
        <w:rPr>
          <w:rFonts w:ascii="Book Antiqua" w:hAnsi="Book Antiqua" w:cs="Book Antiqua"/>
          <w:bCs/>
          <w:color w:val="000000"/>
          <w:lang w:eastAsia="zh-CN"/>
        </w:rPr>
        <w:t xml:space="preserve"> </w:t>
      </w:r>
      <w:r>
        <w:rPr>
          <w:rFonts w:ascii="Book Antiqua" w:eastAsia="Book Antiqua" w:hAnsi="Book Antiqua" w:cs="Book Antiqua"/>
          <w:bCs/>
          <w:color w:val="000000"/>
        </w:rPr>
        <w:t>Nrf2</w:t>
      </w:r>
      <w:r>
        <w:rPr>
          <w:rFonts w:ascii="Book Antiqua" w:hAnsi="Book Antiqua" w:cs="Book Antiqua"/>
          <w:bCs/>
          <w:color w:val="000000"/>
          <w:lang w:eastAsia="zh-CN"/>
        </w:rPr>
        <w:t>: N</w:t>
      </w:r>
      <w:r>
        <w:rPr>
          <w:rFonts w:ascii="Book Antiqua" w:eastAsia="Book Antiqua" w:hAnsi="Book Antiqua" w:cs="Book Antiqua"/>
          <w:bCs/>
          <w:color w:val="000000"/>
        </w:rPr>
        <w:t>uclear erythroid 2 p45-related factor 2</w:t>
      </w:r>
      <w:r>
        <w:rPr>
          <w:rFonts w:ascii="Book Antiqua" w:hAnsi="Book Antiqua" w:cs="Book Antiqua"/>
          <w:bCs/>
          <w:color w:val="000000"/>
          <w:lang w:eastAsia="zh-CN"/>
        </w:rPr>
        <w:t xml:space="preserve">; </w:t>
      </w:r>
      <w:r>
        <w:rPr>
          <w:rFonts w:ascii="Book Antiqua" w:eastAsia="Book Antiqua" w:hAnsi="Book Antiqua" w:cs="Book Antiqua"/>
          <w:bCs/>
          <w:color w:val="000000"/>
        </w:rPr>
        <w:t>HO-1</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H</w:t>
      </w:r>
      <w:r>
        <w:rPr>
          <w:rFonts w:ascii="Book Antiqua" w:eastAsia="Book Antiqua" w:hAnsi="Book Antiqua" w:cs="Book Antiqua"/>
          <w:bCs/>
          <w:color w:val="000000"/>
        </w:rPr>
        <w:t>eme oxygenase-1</w:t>
      </w:r>
      <w:r>
        <w:rPr>
          <w:rFonts w:ascii="Book Antiqua" w:hAnsi="Book Antiqua" w:cs="Book Antiqua"/>
          <w:bCs/>
          <w:color w:val="000000"/>
          <w:lang w:eastAsia="zh-CN"/>
        </w:rPr>
        <w:t xml:space="preserve">; </w:t>
      </w:r>
      <w:r>
        <w:rPr>
          <w:rFonts w:ascii="Book Antiqua" w:eastAsia="Book Antiqua" w:hAnsi="Book Antiqua" w:cs="Book Antiqua"/>
          <w:bCs/>
          <w:color w:val="000000"/>
        </w:rPr>
        <w:t>GPX4</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G</w:t>
      </w:r>
      <w:r>
        <w:rPr>
          <w:rFonts w:ascii="Book Antiqua" w:eastAsia="Book Antiqua" w:hAnsi="Book Antiqua" w:cs="Book Antiqua"/>
          <w:bCs/>
          <w:color w:val="000000"/>
        </w:rPr>
        <w:t>lutathione peroxidase 4</w:t>
      </w:r>
      <w:r>
        <w:rPr>
          <w:rFonts w:ascii="Book Antiqua" w:hAnsi="Book Antiqua" w:cs="Book Antiqua"/>
          <w:bCs/>
          <w:color w:val="000000"/>
          <w:lang w:eastAsia="zh-CN"/>
        </w:rPr>
        <w:t xml:space="preserve">; GSH: </w:t>
      </w:r>
      <w:r>
        <w:rPr>
          <w:rFonts w:ascii="Book Antiqua" w:eastAsia="Book Antiqua" w:hAnsi="Book Antiqua" w:cs="Book Antiqua"/>
          <w:bCs/>
          <w:color w:val="000000"/>
        </w:rPr>
        <w:t>Glutathione</w:t>
      </w:r>
      <w:r>
        <w:rPr>
          <w:rFonts w:ascii="Book Antiqua" w:hAnsi="Book Antiqua" w:cs="Book Antiqua"/>
          <w:bCs/>
          <w:color w:val="000000"/>
          <w:lang w:eastAsia="zh-CN"/>
        </w:rPr>
        <w:t xml:space="preserve">; </w:t>
      </w:r>
      <w:r>
        <w:rPr>
          <w:rFonts w:ascii="Book Antiqua" w:eastAsia="Book Antiqua" w:hAnsi="Book Antiqua" w:cs="Book Antiqua"/>
          <w:bCs/>
          <w:color w:val="000000"/>
        </w:rPr>
        <w:t>MDA</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M</w:t>
      </w:r>
      <w:r>
        <w:rPr>
          <w:rFonts w:ascii="Book Antiqua" w:eastAsia="Book Antiqua" w:hAnsi="Book Antiqua" w:cs="Book Antiqua"/>
          <w:bCs/>
          <w:color w:val="000000"/>
        </w:rPr>
        <w:t>alondialdehyde</w:t>
      </w:r>
      <w:r>
        <w:rPr>
          <w:rFonts w:ascii="Book Antiqua" w:hAnsi="Book Antiqua" w:cs="Book Antiqua"/>
          <w:bCs/>
          <w:color w:val="000000"/>
          <w:lang w:eastAsia="zh-CN"/>
        </w:rPr>
        <w:t xml:space="preserve">; </w:t>
      </w:r>
      <w:r>
        <w:rPr>
          <w:rFonts w:ascii="Book Antiqua" w:eastAsia="Book Antiqua" w:hAnsi="Book Antiqua" w:cs="Book Antiqua"/>
          <w:bCs/>
          <w:color w:val="000000"/>
        </w:rPr>
        <w:t xml:space="preserve">CON: </w:t>
      </w:r>
      <w:r>
        <w:rPr>
          <w:rFonts w:ascii="Book Antiqua" w:hAnsi="Book Antiqua" w:cs="Book Antiqua" w:hint="eastAsia"/>
          <w:color w:val="000000"/>
          <w:lang w:eastAsia="zh-CN"/>
        </w:rPr>
        <w:t>U</w:t>
      </w:r>
      <w:r>
        <w:rPr>
          <w:rFonts w:ascii="Book Antiqua" w:eastAsia="Book Antiqua" w:hAnsi="Book Antiqua" w:cs="Book Antiqua"/>
          <w:color w:val="000000"/>
        </w:rPr>
        <w:t>ntreated control</w:t>
      </w:r>
      <w:r>
        <w:rPr>
          <w:rFonts w:ascii="Book Antiqua" w:hAnsi="Book Antiqua" w:cs="Book Antiqua"/>
          <w:bCs/>
          <w:color w:val="000000"/>
          <w:lang w:eastAsia="zh-CN"/>
        </w:rPr>
        <w:t xml:space="preserve"> </w:t>
      </w:r>
      <w:r>
        <w:rPr>
          <w:rFonts w:ascii="Book Antiqua" w:eastAsia="Book Antiqua" w:hAnsi="Book Antiqua" w:cs="Book Antiqua"/>
          <w:bCs/>
          <w:color w:val="000000"/>
        </w:rPr>
        <w:t>groups</w:t>
      </w:r>
      <w:r>
        <w:rPr>
          <w:rFonts w:ascii="Book Antiqua" w:hAnsi="Book Antiqua" w:cs="Book Antiqua"/>
          <w:bCs/>
          <w:color w:val="000000"/>
          <w:lang w:eastAsia="zh-CN"/>
        </w:rPr>
        <w:t>;</w:t>
      </w:r>
      <w:r>
        <w:rPr>
          <w:rFonts w:ascii="Book Antiqua" w:eastAsia="Book Antiqua" w:hAnsi="Book Antiqua" w:cs="Book Antiqua"/>
          <w:bCs/>
          <w:color w:val="000000"/>
        </w:rPr>
        <w:t xml:space="preserve"> 5-FU</w:t>
      </w:r>
      <w:r>
        <w:rPr>
          <w:rFonts w:ascii="Book Antiqua" w:hAnsi="Book Antiqua" w:cs="Book Antiqua"/>
          <w:bCs/>
          <w:color w:val="000000"/>
          <w:lang w:eastAsia="zh-CN"/>
        </w:rPr>
        <w:t xml:space="preserve">: </w:t>
      </w:r>
      <w:r>
        <w:rPr>
          <w:rFonts w:ascii="Book Antiqua" w:eastAsia="Book Antiqua" w:hAnsi="Book Antiqua" w:cs="Book Antiqua"/>
          <w:bCs/>
          <w:color w:val="000000"/>
        </w:rPr>
        <w:t>5-fluorouracil</w:t>
      </w:r>
      <w:r>
        <w:rPr>
          <w:rFonts w:ascii="Book Antiqua" w:hAnsi="Book Antiqua" w:cs="Book Antiqua"/>
          <w:bCs/>
          <w:color w:val="000000"/>
          <w:lang w:eastAsia="zh-CN"/>
        </w:rPr>
        <w:t xml:space="preserve">; </w:t>
      </w:r>
      <w:r>
        <w:rPr>
          <w:rFonts w:ascii="Book Antiqua" w:eastAsia="Book Antiqua" w:hAnsi="Book Antiqua" w:cs="Book Antiqua"/>
          <w:bCs/>
          <w:color w:val="000000"/>
        </w:rPr>
        <w:t>Fer-1</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bCs/>
          <w:color w:val="000000"/>
          <w:lang w:eastAsia="zh-CN"/>
        </w:rPr>
        <w:t>F</w:t>
      </w:r>
      <w:r>
        <w:rPr>
          <w:rFonts w:ascii="Book Antiqua" w:eastAsia="Book Antiqua" w:hAnsi="Book Antiqua" w:cs="Book Antiqua"/>
          <w:bCs/>
          <w:color w:val="000000"/>
        </w:rPr>
        <w:t>errostatin-1</w:t>
      </w:r>
      <w:r>
        <w:rPr>
          <w:rFonts w:ascii="Book Antiqua" w:hAnsi="Book Antiqua" w:cs="Book Antiqua"/>
          <w:bCs/>
          <w:color w:val="000000"/>
          <w:lang w:eastAsia="zh-CN"/>
        </w:rPr>
        <w:t>; MFI: M</w:t>
      </w:r>
      <w:r>
        <w:rPr>
          <w:rFonts w:ascii="Book Antiqua" w:eastAsia="Book Antiqua" w:hAnsi="Book Antiqua" w:cs="Book Antiqua"/>
          <w:bCs/>
          <w:color w:val="000000"/>
        </w:rPr>
        <w:t>ean fluorescence intensity</w:t>
      </w:r>
      <w:r>
        <w:rPr>
          <w:rFonts w:ascii="Book Antiqua" w:hAnsi="Book Antiqua" w:cs="Book Antiqua"/>
          <w:bCs/>
          <w:color w:val="000000"/>
          <w:lang w:eastAsia="zh-CN"/>
        </w:rPr>
        <w:t>.</w:t>
      </w:r>
    </w:p>
    <w:p w14:paraId="03AC24BC" w14:textId="625829EF" w:rsidR="00D03248" w:rsidRDefault="0031688F">
      <w:pPr>
        <w:spacing w:line="360" w:lineRule="auto"/>
        <w:jc w:val="both"/>
        <w:rPr>
          <w:rFonts w:ascii="Book Antiqua" w:hAnsi="Book Antiqua"/>
        </w:rPr>
      </w:pPr>
      <w:r>
        <w:rPr>
          <w:rFonts w:ascii="Book Antiqua" w:hAnsi="Book Antiqua"/>
        </w:rPr>
        <w:br w:type="page"/>
      </w:r>
      <w:r w:rsidR="004E72CE">
        <w:rPr>
          <w:rFonts w:ascii="Book Antiqua" w:hAnsi="Book Antiqua" w:hint="eastAsia"/>
          <w:noProof/>
          <w:lang w:eastAsia="zh-CN"/>
        </w:rPr>
        <w:lastRenderedPageBreak/>
        <w:drawing>
          <wp:inline distT="0" distB="0" distL="0" distR="0" wp14:anchorId="6B4D9295" wp14:editId="19FD5963">
            <wp:extent cx="4678690" cy="5108458"/>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8690" cy="5108458"/>
                    </a:xfrm>
                    <a:prstGeom prst="rect">
                      <a:avLst/>
                    </a:prstGeom>
                  </pic:spPr>
                </pic:pic>
              </a:graphicData>
            </a:graphic>
          </wp:inline>
        </w:drawing>
      </w:r>
    </w:p>
    <w:p w14:paraId="4AA80574" w14:textId="77777777" w:rsidR="002D4C31" w:rsidRDefault="0031688F">
      <w:pPr>
        <w:spacing w:line="360" w:lineRule="auto"/>
        <w:jc w:val="both"/>
        <w:rPr>
          <w:rFonts w:ascii="Book Antiqua" w:hAnsi="Book Antiqua"/>
        </w:rPr>
        <w:sectPr w:rsidR="002D4C31">
          <w:pgSz w:w="12240" w:h="15840"/>
          <w:pgMar w:top="1440" w:right="1440" w:bottom="1440" w:left="1440" w:header="720" w:footer="720" w:gutter="0"/>
          <w:cols w:space="720"/>
          <w:docGrid w:linePitch="360"/>
        </w:sectPr>
      </w:pPr>
      <w:r>
        <w:rPr>
          <w:rFonts w:ascii="Book Antiqua" w:hAnsi="Book Antiqua"/>
          <w:b/>
        </w:rPr>
        <w:t>Figure 8</w:t>
      </w:r>
      <w:r>
        <w:rPr>
          <w:rFonts w:ascii="Book Antiqua" w:hAnsi="Book Antiqua"/>
          <w:b/>
          <w:lang w:eastAsia="zh-CN"/>
        </w:rPr>
        <w:t xml:space="preserve"> </w:t>
      </w:r>
      <w:r>
        <w:rPr>
          <w:rFonts w:ascii="Book Antiqua" w:hAnsi="Book Antiqua"/>
          <w:b/>
        </w:rPr>
        <w:t>Possible immunosuppressive mechanisms of metronomic capecitabine on T cells by ferroptosis induction.</w:t>
      </w:r>
      <w:r>
        <w:rPr>
          <w:rFonts w:ascii="Book Antiqua" w:hAnsi="Book Antiqua"/>
        </w:rPr>
        <w:t xml:space="preserve"> In the rat model of acute rejection after liver transplantation, metronomic capecitabine (CAP) exerts an immunosuppressive effect by decreasing T cell numbers in peripheral blood, liver graft, and spleen. Metronomic CAP increases the concentration of free ferrous ions by inducing ferritin degradation while inhibiting the expression of antioxidant proteins. Eventually, these effects lead to peroxidation damage and iron toxicity, which induce T cell death. 5-FU: 5-fluorouracil; Nrf2: </w:t>
      </w:r>
      <w:r>
        <w:rPr>
          <w:rFonts w:ascii="Book Antiqua" w:hAnsi="Book Antiqua"/>
          <w:lang w:eastAsia="zh-CN"/>
        </w:rPr>
        <w:t>N</w:t>
      </w:r>
      <w:r>
        <w:rPr>
          <w:rFonts w:ascii="Book Antiqua" w:hAnsi="Book Antiqua"/>
        </w:rPr>
        <w:t xml:space="preserve">uclear erythroid 2 p45-related factor 2; NCOA4: </w:t>
      </w:r>
      <w:r>
        <w:rPr>
          <w:rFonts w:ascii="Book Antiqua" w:hAnsi="Book Antiqua"/>
          <w:lang w:eastAsia="zh-CN"/>
        </w:rPr>
        <w:t>N</w:t>
      </w:r>
      <w:r>
        <w:rPr>
          <w:rFonts w:ascii="Book Antiqua" w:hAnsi="Book Antiqua"/>
        </w:rPr>
        <w:t xml:space="preserve">uclear receptor coactivator 4; HO-1: </w:t>
      </w:r>
      <w:r>
        <w:rPr>
          <w:rFonts w:ascii="Book Antiqua" w:hAnsi="Book Antiqua"/>
          <w:lang w:eastAsia="zh-CN"/>
        </w:rPr>
        <w:t>H</w:t>
      </w:r>
      <w:r>
        <w:rPr>
          <w:rFonts w:ascii="Book Antiqua" w:hAnsi="Book Antiqua"/>
        </w:rPr>
        <w:t xml:space="preserve">eme oxygenase-1; GPX4: </w:t>
      </w:r>
      <w:r>
        <w:rPr>
          <w:rFonts w:ascii="Book Antiqua" w:hAnsi="Book Antiqua"/>
          <w:lang w:eastAsia="zh-CN"/>
        </w:rPr>
        <w:t>G</w:t>
      </w:r>
      <w:r>
        <w:rPr>
          <w:rFonts w:ascii="Book Antiqua" w:hAnsi="Book Antiqua"/>
        </w:rPr>
        <w:t xml:space="preserve">lutathione peroxidase 4; GSH: </w:t>
      </w:r>
      <w:r>
        <w:rPr>
          <w:rFonts w:ascii="Book Antiqua" w:hAnsi="Book Antiqua"/>
          <w:lang w:eastAsia="zh-CN"/>
        </w:rPr>
        <w:t>G</w:t>
      </w:r>
      <w:r>
        <w:rPr>
          <w:rFonts w:ascii="Book Antiqua" w:hAnsi="Book Antiqua"/>
        </w:rPr>
        <w:t xml:space="preserve">lutathione; GSSH: </w:t>
      </w:r>
      <w:r>
        <w:rPr>
          <w:rFonts w:ascii="Book Antiqua" w:hAnsi="Book Antiqua"/>
          <w:lang w:eastAsia="zh-CN"/>
        </w:rPr>
        <w:t>O</w:t>
      </w:r>
      <w:r>
        <w:rPr>
          <w:rFonts w:ascii="Book Antiqua" w:hAnsi="Book Antiqua"/>
        </w:rPr>
        <w:t xml:space="preserve">xidized glutathione; ROS: </w:t>
      </w:r>
      <w:r>
        <w:rPr>
          <w:rFonts w:ascii="Book Antiqua" w:hAnsi="Book Antiqua"/>
          <w:lang w:eastAsia="zh-CN"/>
        </w:rPr>
        <w:t>R</w:t>
      </w:r>
      <w:r>
        <w:rPr>
          <w:rFonts w:ascii="Book Antiqua" w:hAnsi="Book Antiqua"/>
        </w:rPr>
        <w:t>eactive oxygen species.</w:t>
      </w:r>
    </w:p>
    <w:p w14:paraId="25B4136B" w14:textId="77777777" w:rsidR="002D4C31" w:rsidRDefault="002D4C31" w:rsidP="002D4C31">
      <w:pPr>
        <w:snapToGrid w:val="0"/>
        <w:ind w:leftChars="100" w:left="240"/>
        <w:jc w:val="center"/>
        <w:rPr>
          <w:rFonts w:ascii="Book Antiqua" w:hAnsi="Book Antiqua"/>
        </w:rPr>
      </w:pPr>
    </w:p>
    <w:p w14:paraId="0859B722" w14:textId="77777777" w:rsidR="002D4C31" w:rsidRDefault="002D4C31" w:rsidP="002D4C31">
      <w:pPr>
        <w:snapToGrid w:val="0"/>
        <w:ind w:leftChars="100" w:left="240"/>
        <w:jc w:val="center"/>
        <w:rPr>
          <w:rFonts w:ascii="Book Antiqua" w:hAnsi="Book Antiqua"/>
        </w:rPr>
      </w:pPr>
    </w:p>
    <w:p w14:paraId="74D33CDC" w14:textId="77777777" w:rsidR="002D4C31" w:rsidRDefault="002D4C31" w:rsidP="002D4C31">
      <w:pPr>
        <w:snapToGrid w:val="0"/>
        <w:ind w:leftChars="100" w:left="240"/>
        <w:jc w:val="center"/>
        <w:rPr>
          <w:rFonts w:ascii="Book Antiqua" w:hAnsi="Book Antiqua"/>
        </w:rPr>
      </w:pPr>
    </w:p>
    <w:p w14:paraId="66D2B5E3" w14:textId="77777777" w:rsidR="002D4C31" w:rsidRDefault="002D4C31" w:rsidP="002D4C31">
      <w:pPr>
        <w:snapToGrid w:val="0"/>
        <w:ind w:leftChars="100" w:left="240"/>
        <w:jc w:val="center"/>
        <w:rPr>
          <w:rFonts w:ascii="Book Antiqua" w:hAnsi="Book Antiqua"/>
        </w:rPr>
      </w:pPr>
    </w:p>
    <w:p w14:paraId="3C98A9F2" w14:textId="77777777" w:rsidR="002D4C31" w:rsidRDefault="002D4C31" w:rsidP="002D4C31">
      <w:pPr>
        <w:snapToGrid w:val="0"/>
        <w:ind w:leftChars="100" w:left="240"/>
        <w:jc w:val="center"/>
        <w:rPr>
          <w:rFonts w:ascii="Book Antiqua" w:hAnsi="Book Antiqua"/>
        </w:rPr>
      </w:pPr>
      <w:r>
        <w:rPr>
          <w:rFonts w:ascii="Book Antiqua" w:hAnsi="Book Antiqua"/>
          <w:noProof/>
        </w:rPr>
        <w:drawing>
          <wp:inline distT="0" distB="0" distL="0" distR="0" wp14:anchorId="39A3A94A" wp14:editId="56A257AB">
            <wp:extent cx="2499360" cy="1440180"/>
            <wp:effectExtent l="0" t="0" r="0" b="7620"/>
            <wp:docPr id="20" name="图片 2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7BC72A5" w14:textId="77777777" w:rsidR="002D4C31" w:rsidRDefault="002D4C31" w:rsidP="002D4C31">
      <w:pPr>
        <w:snapToGrid w:val="0"/>
        <w:ind w:leftChars="100" w:left="240"/>
        <w:jc w:val="center"/>
        <w:rPr>
          <w:rFonts w:ascii="Book Antiqua" w:hAnsi="Book Antiqua"/>
        </w:rPr>
      </w:pPr>
    </w:p>
    <w:p w14:paraId="2386F398" w14:textId="77777777" w:rsidR="002D4C31" w:rsidRDefault="002D4C31" w:rsidP="002D4C3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B3BC4EC" w14:textId="77777777" w:rsidR="002D4C31" w:rsidRDefault="002D4C31" w:rsidP="002D4C3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EFE35C7" w14:textId="77777777" w:rsidR="002D4C31" w:rsidRDefault="002D4C31" w:rsidP="002D4C3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961D4EE" w14:textId="77777777" w:rsidR="002D4C31" w:rsidRDefault="002D4C31" w:rsidP="002D4C3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9328CCC" w14:textId="77777777" w:rsidR="002D4C31" w:rsidRDefault="002D4C31" w:rsidP="002D4C3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3503BE3" w14:textId="77777777" w:rsidR="002D4C31" w:rsidRDefault="002D4C31" w:rsidP="002D4C3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8163BC6" w14:textId="77777777" w:rsidR="002D4C31" w:rsidRDefault="002D4C31" w:rsidP="002D4C31">
      <w:pPr>
        <w:snapToGrid w:val="0"/>
        <w:ind w:leftChars="100" w:left="240"/>
        <w:jc w:val="center"/>
        <w:rPr>
          <w:rFonts w:ascii="Book Antiqua" w:hAnsi="Book Antiqua"/>
        </w:rPr>
      </w:pPr>
    </w:p>
    <w:p w14:paraId="77FFD944" w14:textId="77777777" w:rsidR="002D4C31" w:rsidRDefault="002D4C31" w:rsidP="002D4C31">
      <w:pPr>
        <w:snapToGrid w:val="0"/>
        <w:ind w:leftChars="100" w:left="240"/>
        <w:jc w:val="center"/>
        <w:rPr>
          <w:rFonts w:ascii="Book Antiqua" w:hAnsi="Book Antiqua"/>
        </w:rPr>
      </w:pPr>
    </w:p>
    <w:p w14:paraId="2D3F0AB4" w14:textId="77777777" w:rsidR="002D4C31" w:rsidRDefault="002D4C31" w:rsidP="002D4C31">
      <w:pPr>
        <w:snapToGrid w:val="0"/>
        <w:ind w:leftChars="100" w:left="240"/>
        <w:jc w:val="center"/>
        <w:rPr>
          <w:rFonts w:ascii="Book Antiqua" w:hAnsi="Book Antiqua"/>
        </w:rPr>
      </w:pPr>
    </w:p>
    <w:p w14:paraId="668A5EC0" w14:textId="77777777" w:rsidR="002D4C31" w:rsidRDefault="002D4C31" w:rsidP="002D4C31">
      <w:pPr>
        <w:snapToGrid w:val="0"/>
        <w:ind w:leftChars="100" w:left="240"/>
        <w:jc w:val="center"/>
        <w:rPr>
          <w:rFonts w:ascii="Book Antiqua" w:hAnsi="Book Antiqua"/>
        </w:rPr>
      </w:pPr>
      <w:r>
        <w:rPr>
          <w:rFonts w:ascii="Book Antiqua" w:hAnsi="Book Antiqua"/>
          <w:noProof/>
        </w:rPr>
        <w:drawing>
          <wp:inline distT="0" distB="0" distL="0" distR="0" wp14:anchorId="2D0A2885" wp14:editId="79C13148">
            <wp:extent cx="1447800" cy="1440180"/>
            <wp:effectExtent l="0" t="0" r="0" b="7620"/>
            <wp:docPr id="21" name="图片 2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561D0E7" w14:textId="77777777" w:rsidR="002D4C31" w:rsidRDefault="002D4C31" w:rsidP="002D4C31">
      <w:pPr>
        <w:snapToGrid w:val="0"/>
        <w:ind w:leftChars="100" w:left="240"/>
        <w:jc w:val="center"/>
        <w:rPr>
          <w:rFonts w:ascii="Book Antiqua" w:hAnsi="Book Antiqua"/>
        </w:rPr>
      </w:pPr>
    </w:p>
    <w:p w14:paraId="74980FFF" w14:textId="77777777" w:rsidR="002D4C31" w:rsidRDefault="002D4C31" w:rsidP="002D4C31">
      <w:pPr>
        <w:snapToGrid w:val="0"/>
        <w:ind w:leftChars="100" w:left="240"/>
        <w:jc w:val="center"/>
        <w:rPr>
          <w:rFonts w:ascii="Book Antiqua" w:hAnsi="Book Antiqua"/>
        </w:rPr>
      </w:pPr>
    </w:p>
    <w:p w14:paraId="08AAA0ED" w14:textId="77777777" w:rsidR="002D4C31" w:rsidRDefault="002D4C31" w:rsidP="002D4C31">
      <w:pPr>
        <w:snapToGrid w:val="0"/>
        <w:ind w:leftChars="100" w:left="240"/>
        <w:jc w:val="center"/>
        <w:rPr>
          <w:rFonts w:ascii="Book Antiqua" w:hAnsi="Book Antiqua"/>
        </w:rPr>
      </w:pPr>
    </w:p>
    <w:p w14:paraId="14EC5E2C" w14:textId="77777777" w:rsidR="002D4C31" w:rsidRDefault="002D4C31" w:rsidP="002D4C31">
      <w:pPr>
        <w:snapToGrid w:val="0"/>
        <w:ind w:leftChars="100" w:left="240"/>
        <w:jc w:val="center"/>
        <w:rPr>
          <w:rFonts w:ascii="Book Antiqua" w:hAnsi="Book Antiqua"/>
        </w:rPr>
      </w:pPr>
    </w:p>
    <w:p w14:paraId="4AE568B1" w14:textId="77777777" w:rsidR="002D4C31" w:rsidRDefault="002D4C31" w:rsidP="002D4C31">
      <w:pPr>
        <w:snapToGrid w:val="0"/>
        <w:ind w:leftChars="100" w:left="240"/>
        <w:jc w:val="center"/>
        <w:rPr>
          <w:rFonts w:ascii="Book Antiqua" w:hAnsi="Book Antiqua"/>
        </w:rPr>
      </w:pPr>
    </w:p>
    <w:p w14:paraId="5DEE3CAB" w14:textId="77777777" w:rsidR="002D4C31" w:rsidRDefault="002D4C31" w:rsidP="002D4C31">
      <w:pPr>
        <w:snapToGrid w:val="0"/>
        <w:ind w:leftChars="100" w:left="240"/>
        <w:jc w:val="center"/>
        <w:rPr>
          <w:rFonts w:ascii="Book Antiqua" w:hAnsi="Book Antiqua"/>
        </w:rPr>
      </w:pPr>
    </w:p>
    <w:p w14:paraId="179A5B51" w14:textId="77777777" w:rsidR="002D4C31" w:rsidRDefault="002D4C31" w:rsidP="002D4C31">
      <w:pPr>
        <w:snapToGrid w:val="0"/>
        <w:ind w:leftChars="100" w:left="240"/>
        <w:jc w:val="center"/>
        <w:rPr>
          <w:rFonts w:ascii="Book Antiqua" w:hAnsi="Book Antiqua"/>
        </w:rPr>
      </w:pPr>
    </w:p>
    <w:p w14:paraId="17ADFB2F" w14:textId="77777777" w:rsidR="002D4C31" w:rsidRDefault="002D4C31" w:rsidP="002D4C31">
      <w:pPr>
        <w:snapToGrid w:val="0"/>
        <w:ind w:leftChars="100" w:left="240"/>
        <w:jc w:val="center"/>
        <w:rPr>
          <w:rFonts w:ascii="Book Antiqua" w:hAnsi="Book Antiqua"/>
        </w:rPr>
      </w:pPr>
    </w:p>
    <w:p w14:paraId="0889FBDD" w14:textId="77777777" w:rsidR="002D4C31" w:rsidRDefault="002D4C31" w:rsidP="002D4C31">
      <w:pPr>
        <w:snapToGrid w:val="0"/>
        <w:ind w:leftChars="100" w:left="240"/>
        <w:jc w:val="center"/>
        <w:rPr>
          <w:rFonts w:ascii="Book Antiqua" w:hAnsi="Book Antiqua"/>
        </w:rPr>
      </w:pPr>
    </w:p>
    <w:p w14:paraId="30901332" w14:textId="77777777" w:rsidR="002D4C31" w:rsidRDefault="002D4C31" w:rsidP="002D4C31">
      <w:pPr>
        <w:snapToGrid w:val="0"/>
        <w:ind w:leftChars="100" w:left="240"/>
        <w:jc w:val="right"/>
        <w:rPr>
          <w:rFonts w:ascii="Book Antiqua" w:hAnsi="Book Antiqua"/>
          <w:color w:val="000000" w:themeColor="text1"/>
        </w:rPr>
      </w:pPr>
    </w:p>
    <w:p w14:paraId="223D2AB3" w14:textId="77777777" w:rsidR="002D4C31" w:rsidRDefault="002D4C31" w:rsidP="002D4C3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1F9BDE16" w14:textId="77777777" w:rsidR="002D4C31" w:rsidRDefault="002D4C31" w:rsidP="002D4C31">
      <w:pPr>
        <w:rPr>
          <w:rFonts w:ascii="Book Antiqua" w:hAnsi="Book Antiqua" w:cs="Book Antiqua"/>
          <w:b/>
          <w:bCs/>
          <w:color w:val="000000"/>
        </w:rPr>
      </w:pPr>
    </w:p>
    <w:p w14:paraId="7E09E109" w14:textId="77777777" w:rsidR="00D03248" w:rsidRDefault="00D03248">
      <w:pPr>
        <w:spacing w:line="360" w:lineRule="auto"/>
        <w:jc w:val="both"/>
        <w:rPr>
          <w:rFonts w:ascii="Book Antiqua" w:hAnsi="Book Antiqua"/>
        </w:rPr>
      </w:pPr>
    </w:p>
    <w:sectPr w:rsidR="00D0324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A7D90" w14:textId="77777777" w:rsidR="00442713" w:rsidRDefault="00442713">
      <w:r>
        <w:separator/>
      </w:r>
    </w:p>
  </w:endnote>
  <w:endnote w:type="continuationSeparator" w:id="0">
    <w:p w14:paraId="65832328" w14:textId="77777777" w:rsidR="00442713" w:rsidRDefault="00442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751883"/>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14:paraId="313A7619" w14:textId="77777777" w:rsidR="00D03248" w:rsidRDefault="0031688F">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A76EF">
              <w:rPr>
                <w:rFonts w:ascii="Book Antiqua" w:hAnsi="Book Antiqua"/>
                <w:b/>
                <w:bCs/>
                <w:noProof/>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A76EF">
              <w:rPr>
                <w:rFonts w:ascii="Book Antiqua" w:hAnsi="Book Antiqua"/>
                <w:b/>
                <w:bCs/>
                <w:noProof/>
                <w:sz w:val="24"/>
                <w:szCs w:val="24"/>
              </w:rPr>
              <w:t>43</w:t>
            </w:r>
            <w:r>
              <w:rPr>
                <w:rFonts w:ascii="Book Antiqua" w:hAnsi="Book Antiqua"/>
                <w:b/>
                <w:bCs/>
                <w:sz w:val="24"/>
                <w:szCs w:val="24"/>
              </w:rPr>
              <w:fldChar w:fldCharType="end"/>
            </w:r>
          </w:p>
        </w:sdtContent>
      </w:sdt>
    </w:sdtContent>
  </w:sdt>
  <w:p w14:paraId="2AD1598D" w14:textId="77777777" w:rsidR="00D03248" w:rsidRDefault="00D0324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E2DB3" w14:textId="77777777" w:rsidR="00442713" w:rsidRDefault="00442713">
      <w:r>
        <w:separator/>
      </w:r>
    </w:p>
  </w:footnote>
  <w:footnote w:type="continuationSeparator" w:id="0">
    <w:p w14:paraId="5685D8C7" w14:textId="77777777" w:rsidR="00442713" w:rsidRDefault="004427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M4MDk4M2FhMDRmMmQyMDdjYzQ2N2EwNGM3YmI3NWYifQ=="/>
  </w:docVars>
  <w:rsids>
    <w:rsidRoot w:val="00AC1798"/>
    <w:rsid w:val="0001731D"/>
    <w:rsid w:val="0003246A"/>
    <w:rsid w:val="00094747"/>
    <w:rsid w:val="000974DE"/>
    <w:rsid w:val="000C13B5"/>
    <w:rsid w:val="000C20F2"/>
    <w:rsid w:val="000C3765"/>
    <w:rsid w:val="000E3486"/>
    <w:rsid w:val="000F6E47"/>
    <w:rsid w:val="00100B90"/>
    <w:rsid w:val="00120B6D"/>
    <w:rsid w:val="001343BC"/>
    <w:rsid w:val="00136E19"/>
    <w:rsid w:val="001417F8"/>
    <w:rsid w:val="0016125C"/>
    <w:rsid w:val="001618BF"/>
    <w:rsid w:val="0017155A"/>
    <w:rsid w:val="00172F65"/>
    <w:rsid w:val="00181990"/>
    <w:rsid w:val="00182CA1"/>
    <w:rsid w:val="00182ED2"/>
    <w:rsid w:val="00185A5B"/>
    <w:rsid w:val="0018663E"/>
    <w:rsid w:val="001912CF"/>
    <w:rsid w:val="001A76EF"/>
    <w:rsid w:val="001C3FD2"/>
    <w:rsid w:val="00205769"/>
    <w:rsid w:val="002204E6"/>
    <w:rsid w:val="0022614D"/>
    <w:rsid w:val="00260E10"/>
    <w:rsid w:val="002646F7"/>
    <w:rsid w:val="00277225"/>
    <w:rsid w:val="00287B94"/>
    <w:rsid w:val="0029618A"/>
    <w:rsid w:val="002C33E1"/>
    <w:rsid w:val="002D24CD"/>
    <w:rsid w:val="002D4C31"/>
    <w:rsid w:val="002D6CAF"/>
    <w:rsid w:val="002E24E8"/>
    <w:rsid w:val="002F5D4D"/>
    <w:rsid w:val="00303968"/>
    <w:rsid w:val="003069C3"/>
    <w:rsid w:val="003114BF"/>
    <w:rsid w:val="00311646"/>
    <w:rsid w:val="003139A6"/>
    <w:rsid w:val="0031688F"/>
    <w:rsid w:val="0032388C"/>
    <w:rsid w:val="00324BB9"/>
    <w:rsid w:val="00346B78"/>
    <w:rsid w:val="003570B7"/>
    <w:rsid w:val="00367A22"/>
    <w:rsid w:val="00372618"/>
    <w:rsid w:val="00396753"/>
    <w:rsid w:val="003A742D"/>
    <w:rsid w:val="003B4DA7"/>
    <w:rsid w:val="003B523E"/>
    <w:rsid w:val="003B72FC"/>
    <w:rsid w:val="003C1323"/>
    <w:rsid w:val="003D0016"/>
    <w:rsid w:val="003D6469"/>
    <w:rsid w:val="003E4997"/>
    <w:rsid w:val="003F5B9E"/>
    <w:rsid w:val="003F5EB9"/>
    <w:rsid w:val="00411FF3"/>
    <w:rsid w:val="004203E4"/>
    <w:rsid w:val="00422874"/>
    <w:rsid w:val="00427E71"/>
    <w:rsid w:val="004311AF"/>
    <w:rsid w:val="00442713"/>
    <w:rsid w:val="00443E1D"/>
    <w:rsid w:val="00451A2F"/>
    <w:rsid w:val="00453B5C"/>
    <w:rsid w:val="004554B8"/>
    <w:rsid w:val="00456B63"/>
    <w:rsid w:val="00485CA5"/>
    <w:rsid w:val="004B3090"/>
    <w:rsid w:val="004C498B"/>
    <w:rsid w:val="004E3533"/>
    <w:rsid w:val="004E4116"/>
    <w:rsid w:val="004E72CE"/>
    <w:rsid w:val="005126F7"/>
    <w:rsid w:val="0051436D"/>
    <w:rsid w:val="0051638D"/>
    <w:rsid w:val="005A61B9"/>
    <w:rsid w:val="005A79E2"/>
    <w:rsid w:val="005E19B7"/>
    <w:rsid w:val="005E267A"/>
    <w:rsid w:val="005E4C2E"/>
    <w:rsid w:val="005E726C"/>
    <w:rsid w:val="005F28DA"/>
    <w:rsid w:val="005F51D6"/>
    <w:rsid w:val="00627117"/>
    <w:rsid w:val="0063511F"/>
    <w:rsid w:val="00683DB2"/>
    <w:rsid w:val="00685A8F"/>
    <w:rsid w:val="00691D32"/>
    <w:rsid w:val="00693E2A"/>
    <w:rsid w:val="0069404F"/>
    <w:rsid w:val="00695923"/>
    <w:rsid w:val="006A25F0"/>
    <w:rsid w:val="006D11B7"/>
    <w:rsid w:val="006D1BDC"/>
    <w:rsid w:val="006D1CBA"/>
    <w:rsid w:val="006F0133"/>
    <w:rsid w:val="0071117F"/>
    <w:rsid w:val="00764801"/>
    <w:rsid w:val="00771E85"/>
    <w:rsid w:val="00794F41"/>
    <w:rsid w:val="007A1DE8"/>
    <w:rsid w:val="007A5137"/>
    <w:rsid w:val="007B1D93"/>
    <w:rsid w:val="007C0530"/>
    <w:rsid w:val="007C4A67"/>
    <w:rsid w:val="007E3510"/>
    <w:rsid w:val="007E6431"/>
    <w:rsid w:val="007F5FF2"/>
    <w:rsid w:val="00814320"/>
    <w:rsid w:val="00846D11"/>
    <w:rsid w:val="00862821"/>
    <w:rsid w:val="008910D2"/>
    <w:rsid w:val="008A3A2C"/>
    <w:rsid w:val="008B5F1E"/>
    <w:rsid w:val="008C55BC"/>
    <w:rsid w:val="008D2C3A"/>
    <w:rsid w:val="008D6A65"/>
    <w:rsid w:val="008F66FD"/>
    <w:rsid w:val="008F7269"/>
    <w:rsid w:val="00900F01"/>
    <w:rsid w:val="00903C14"/>
    <w:rsid w:val="00904694"/>
    <w:rsid w:val="00907ECB"/>
    <w:rsid w:val="009459A9"/>
    <w:rsid w:val="00950DF8"/>
    <w:rsid w:val="00951EEE"/>
    <w:rsid w:val="00952802"/>
    <w:rsid w:val="00962D43"/>
    <w:rsid w:val="0098026A"/>
    <w:rsid w:val="0098211E"/>
    <w:rsid w:val="009B63C2"/>
    <w:rsid w:val="009B7E88"/>
    <w:rsid w:val="009D4BC0"/>
    <w:rsid w:val="009E0CC4"/>
    <w:rsid w:val="00A02AC8"/>
    <w:rsid w:val="00A20747"/>
    <w:rsid w:val="00A2088B"/>
    <w:rsid w:val="00A247A5"/>
    <w:rsid w:val="00A32DF1"/>
    <w:rsid w:val="00A440D8"/>
    <w:rsid w:val="00A47054"/>
    <w:rsid w:val="00A55B3E"/>
    <w:rsid w:val="00A77B3E"/>
    <w:rsid w:val="00A8468E"/>
    <w:rsid w:val="00A9443D"/>
    <w:rsid w:val="00AA1A79"/>
    <w:rsid w:val="00AA2689"/>
    <w:rsid w:val="00AA4A0E"/>
    <w:rsid w:val="00AA5065"/>
    <w:rsid w:val="00AC0922"/>
    <w:rsid w:val="00AC0946"/>
    <w:rsid w:val="00AC1798"/>
    <w:rsid w:val="00AC7B1B"/>
    <w:rsid w:val="00AE15FB"/>
    <w:rsid w:val="00B01CB4"/>
    <w:rsid w:val="00B02FEB"/>
    <w:rsid w:val="00B03EE4"/>
    <w:rsid w:val="00B07DFF"/>
    <w:rsid w:val="00B13D92"/>
    <w:rsid w:val="00B24387"/>
    <w:rsid w:val="00B36336"/>
    <w:rsid w:val="00B4224F"/>
    <w:rsid w:val="00B55456"/>
    <w:rsid w:val="00B66695"/>
    <w:rsid w:val="00B72D11"/>
    <w:rsid w:val="00B7728F"/>
    <w:rsid w:val="00B90A84"/>
    <w:rsid w:val="00B92E49"/>
    <w:rsid w:val="00BB3410"/>
    <w:rsid w:val="00BB705D"/>
    <w:rsid w:val="00BE0ADE"/>
    <w:rsid w:val="00BE346D"/>
    <w:rsid w:val="00BF2B39"/>
    <w:rsid w:val="00C10359"/>
    <w:rsid w:val="00C22CAD"/>
    <w:rsid w:val="00C317AF"/>
    <w:rsid w:val="00C4606E"/>
    <w:rsid w:val="00C611B4"/>
    <w:rsid w:val="00C932F3"/>
    <w:rsid w:val="00C96D85"/>
    <w:rsid w:val="00CA2A55"/>
    <w:rsid w:val="00CD1820"/>
    <w:rsid w:val="00CD42F3"/>
    <w:rsid w:val="00CE2EF1"/>
    <w:rsid w:val="00D03248"/>
    <w:rsid w:val="00D202AA"/>
    <w:rsid w:val="00D206A2"/>
    <w:rsid w:val="00D3334B"/>
    <w:rsid w:val="00D5237E"/>
    <w:rsid w:val="00D94D83"/>
    <w:rsid w:val="00D9689C"/>
    <w:rsid w:val="00DA6681"/>
    <w:rsid w:val="00DB054E"/>
    <w:rsid w:val="00DB433D"/>
    <w:rsid w:val="00DC4B36"/>
    <w:rsid w:val="00DE4690"/>
    <w:rsid w:val="00E00D05"/>
    <w:rsid w:val="00E042A3"/>
    <w:rsid w:val="00E43186"/>
    <w:rsid w:val="00E4352F"/>
    <w:rsid w:val="00E544DD"/>
    <w:rsid w:val="00E700C5"/>
    <w:rsid w:val="00E92922"/>
    <w:rsid w:val="00E96509"/>
    <w:rsid w:val="00EB707E"/>
    <w:rsid w:val="00EC39DA"/>
    <w:rsid w:val="00EC45FA"/>
    <w:rsid w:val="00EE1497"/>
    <w:rsid w:val="00EE4417"/>
    <w:rsid w:val="00EF017F"/>
    <w:rsid w:val="00EF25C1"/>
    <w:rsid w:val="00EF3DC9"/>
    <w:rsid w:val="00F075F1"/>
    <w:rsid w:val="00F15805"/>
    <w:rsid w:val="00F24A11"/>
    <w:rsid w:val="00F2793B"/>
    <w:rsid w:val="00F31E6C"/>
    <w:rsid w:val="00F33253"/>
    <w:rsid w:val="00F658EB"/>
    <w:rsid w:val="00F669DA"/>
    <w:rsid w:val="00F74D2A"/>
    <w:rsid w:val="00F75772"/>
    <w:rsid w:val="00F75BD6"/>
    <w:rsid w:val="00F76B94"/>
    <w:rsid w:val="00F7725E"/>
    <w:rsid w:val="00FE5708"/>
    <w:rsid w:val="35BE1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6590BA"/>
  <w15:docId w15:val="{EDCC7575-06B1-40CE-8F6C-49D382103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spacing w:before="100" w:beforeAutospacing="1" w:after="100" w:afterAutospacing="1"/>
    </w:pPr>
    <w:rPr>
      <w:rFonts w:ascii="宋体" w:eastAsia="宋体" w:hAnsi="宋体" w:cs="宋体"/>
      <w:lang w:eastAsia="zh-CN"/>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rPr>
      <w:sz w:val="18"/>
      <w:szCs w:val="18"/>
    </w:rPr>
  </w:style>
  <w:style w:type="paragraph" w:customStyle="1" w:styleId="1">
    <w:name w:val="修订1"/>
    <w:hidden/>
    <w:uiPriority w:val="99"/>
    <w:semiHidden/>
    <w:rPr>
      <w:sz w:val="24"/>
      <w:szCs w:val="24"/>
      <w:lang w:eastAsia="en-US"/>
    </w:rPr>
  </w:style>
  <w:style w:type="paragraph" w:styleId="aa">
    <w:name w:val="Revision"/>
    <w:hidden/>
    <w:uiPriority w:val="99"/>
    <w:semiHidden/>
    <w:rsid w:val="00A2074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33521;&#25991;&#32534;&#31295;\&#21046;&#20316;PDF\2023-04\83404\83404\83404_Auto_Edited-L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83404_Auto_Edited-LM</Template>
  <TotalTime>52</TotalTime>
  <Pages>45</Pages>
  <Words>9974</Words>
  <Characters>56852</Characters>
  <Application>Microsoft Office Word</Application>
  <DocSecurity>0</DocSecurity>
  <Lines>473</Lines>
  <Paragraphs>133</Paragraphs>
  <ScaleCrop>false</ScaleCrop>
  <Company>微软中国</Company>
  <LinksUpToDate>false</LinksUpToDate>
  <CharactersWithSpaces>66693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Chen YX</cp:lastModifiedBy>
  <cp:revision>24</cp:revision>
  <dcterms:created xsi:type="dcterms:W3CDTF">2023-05-08T05:53:00Z</dcterms:created>
  <dcterms:modified xsi:type="dcterms:W3CDTF">2023-05-25T10:01:00Z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f6309ac0eeebe1843fe6d9ca77d234fd32f8cfce230b1fe3b38bc0f7b07a51fb</vt:lpwstr>
  </property>
  <property fmtid="{D5CDD505-2E9C-101B-9397-08002B2CF9AE}" pid="3" name="KSOProductBuildVer">
    <vt:lpwstr>2052-11.1.0.14036</vt:lpwstr>
  </property>
  <property fmtid="{D5CDD505-2E9C-101B-9397-08002B2CF9AE}" pid="4" name="ICV">
    <vt:lpwstr>456E7CADC55D4FB087AD12963926A304_12</vt:lpwstr>
  </property>
</Properties>
</file>