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287" w:rsidRPr="001B7F6D" w:rsidRDefault="00805F76" w:rsidP="001B7F6D">
      <w:pPr>
        <w:pStyle w:val="Body"/>
        <w:spacing w:line="360" w:lineRule="auto"/>
        <w:jc w:val="both"/>
        <w:rPr>
          <w:rFonts w:ascii="Book Antiqua" w:hAnsi="Book Antiqua"/>
          <w:b/>
          <w:sz w:val="24"/>
          <w:szCs w:val="24"/>
          <w:lang w:eastAsia="zh-CN"/>
        </w:rPr>
      </w:pPr>
      <w:bookmarkStart w:id="0" w:name="OLE_LINK19"/>
      <w:bookmarkStart w:id="1" w:name="OLE_LINK20"/>
      <w:r w:rsidRPr="001B7F6D">
        <w:rPr>
          <w:rFonts w:ascii="Book Antiqua" w:eastAsia="BatangChe" w:hAnsi="Book Antiqua"/>
          <w:b/>
          <w:sz w:val="24"/>
          <w:szCs w:val="24"/>
        </w:rPr>
        <w:t>Name of journal: World Journal of Radiology</w:t>
      </w:r>
    </w:p>
    <w:p w:rsidR="00E37287" w:rsidRPr="001B7F6D" w:rsidRDefault="00805F76" w:rsidP="001B7F6D">
      <w:pPr>
        <w:adjustRightInd w:val="0"/>
        <w:snapToGrid w:val="0"/>
        <w:spacing w:line="360" w:lineRule="auto"/>
        <w:jc w:val="both"/>
        <w:rPr>
          <w:rFonts w:ascii="Book Antiqua" w:hAnsi="Book Antiqua"/>
          <w:b/>
          <w:lang w:eastAsia="zh-CN"/>
        </w:rPr>
      </w:pPr>
      <w:r w:rsidRPr="001B7F6D">
        <w:rPr>
          <w:rFonts w:ascii="Book Antiqua" w:eastAsia="BatangChe" w:hAnsi="Book Antiqua"/>
          <w:b/>
        </w:rPr>
        <w:t>ESPS Manuscript NO:</w:t>
      </w:r>
      <w:r w:rsidRPr="001B7F6D">
        <w:rPr>
          <w:rFonts w:ascii="Book Antiqua" w:hAnsi="Book Antiqua"/>
          <w:b/>
        </w:rPr>
        <w:t xml:space="preserve"> </w:t>
      </w:r>
      <w:r w:rsidR="001B7F6D">
        <w:rPr>
          <w:rFonts w:ascii="Book Antiqua" w:hAnsi="Book Antiqua" w:hint="eastAsia"/>
          <w:b/>
          <w:lang w:eastAsia="zh-CN"/>
        </w:rPr>
        <w:t>8383</w:t>
      </w:r>
    </w:p>
    <w:p w:rsidR="00E37287" w:rsidRPr="001B7F6D" w:rsidRDefault="00805F76" w:rsidP="001B7F6D">
      <w:pPr>
        <w:pStyle w:val="Body"/>
        <w:spacing w:line="360" w:lineRule="auto"/>
        <w:jc w:val="both"/>
        <w:rPr>
          <w:rFonts w:ascii="Book Antiqua" w:hAnsi="Book Antiqua"/>
          <w:b/>
          <w:sz w:val="24"/>
          <w:szCs w:val="24"/>
          <w:lang w:eastAsia="zh-CN"/>
        </w:rPr>
      </w:pPr>
      <w:r w:rsidRPr="001B7F6D">
        <w:rPr>
          <w:rFonts w:ascii="Book Antiqua" w:eastAsia="BatangChe" w:hAnsi="Book Antiqua"/>
          <w:b/>
          <w:sz w:val="24"/>
          <w:szCs w:val="24"/>
        </w:rPr>
        <w:t>Columns:</w:t>
      </w:r>
      <w:bookmarkEnd w:id="0"/>
      <w:bookmarkEnd w:id="1"/>
      <w:r w:rsidRPr="001B7F6D">
        <w:rPr>
          <w:rFonts w:ascii="Book Antiqua" w:hAnsi="Book Antiqua"/>
          <w:b/>
          <w:sz w:val="24"/>
          <w:szCs w:val="24"/>
          <w:lang w:eastAsia="zh-CN"/>
        </w:rPr>
        <w:t xml:space="preserve"> </w:t>
      </w:r>
      <w:r w:rsidRPr="001B7F6D">
        <w:rPr>
          <w:rFonts w:ascii="Book Antiqua" w:hAnsi="Book Antiqua"/>
          <w:b/>
          <w:sz w:val="24"/>
          <w:szCs w:val="24"/>
        </w:rPr>
        <w:t>TOPIC HIGHLIGHT</w:t>
      </w:r>
    </w:p>
    <w:p w:rsidR="003A7147" w:rsidRDefault="003A7147" w:rsidP="001B7F6D">
      <w:pPr>
        <w:pStyle w:val="Body"/>
        <w:spacing w:line="360" w:lineRule="auto"/>
        <w:jc w:val="both"/>
        <w:rPr>
          <w:rFonts w:ascii="Book Antiqua" w:hAnsi="Book Antiqua" w:cs="TwCenMT-Bold"/>
          <w:bCs/>
          <w:sz w:val="24"/>
          <w:lang w:eastAsia="zh-CN"/>
        </w:rPr>
      </w:pPr>
    </w:p>
    <w:p w:rsidR="00E37287" w:rsidRDefault="003A7147" w:rsidP="001B7F6D">
      <w:pPr>
        <w:pStyle w:val="Body"/>
        <w:spacing w:line="360" w:lineRule="auto"/>
        <w:jc w:val="both"/>
        <w:rPr>
          <w:rFonts w:ascii="Book Antiqua" w:hAnsi="Book Antiqua"/>
          <w:sz w:val="24"/>
          <w:lang w:eastAsia="zh-CN"/>
        </w:rPr>
      </w:pPr>
      <w:r w:rsidRPr="00B0503E">
        <w:rPr>
          <w:rFonts w:ascii="Book Antiqua" w:hAnsi="Book Antiqua" w:cs="TwCenMT-Bold"/>
          <w:bCs/>
          <w:sz w:val="24"/>
        </w:rPr>
        <w:t>WJ</w:t>
      </w:r>
      <w:r>
        <w:rPr>
          <w:rFonts w:ascii="Book Antiqua" w:hAnsi="Book Antiqua" w:cs="TwCenMT-Bold" w:hint="eastAsia"/>
          <w:bCs/>
          <w:sz w:val="24"/>
          <w:lang w:eastAsia="zh-CN"/>
        </w:rPr>
        <w:t>R</w:t>
      </w:r>
      <w:r w:rsidRPr="00B0503E">
        <w:rPr>
          <w:rFonts w:ascii="Book Antiqua" w:hAnsi="Book Antiqua" w:cs="TwCenMT-Bold"/>
          <w:bCs/>
          <w:sz w:val="24"/>
        </w:rPr>
        <w:t xml:space="preserve"> </w:t>
      </w:r>
      <w:r>
        <w:rPr>
          <w:rFonts w:ascii="Book Antiqua" w:hAnsi="Book Antiqua" w:cs="TwCenMT-Bold" w:hint="eastAsia"/>
          <w:bCs/>
          <w:sz w:val="24"/>
          <w:lang w:eastAsia="zh-CN"/>
        </w:rPr>
        <w:t>6</w:t>
      </w:r>
      <w:r w:rsidRPr="00B0503E">
        <w:rPr>
          <w:rFonts w:ascii="Book Antiqua" w:hAnsi="Book Antiqua" w:cs="TwCenMT-Bold"/>
          <w:bCs/>
          <w:sz w:val="24"/>
        </w:rPr>
        <w:t>th Anniversary Special Issues</w:t>
      </w:r>
      <w:r w:rsidRPr="00B0503E">
        <w:rPr>
          <w:rFonts w:ascii="Book Antiqua" w:hAnsi="Book Antiqua"/>
          <w:sz w:val="24"/>
        </w:rPr>
        <w:t xml:space="preserve"> (</w:t>
      </w:r>
      <w:r>
        <w:rPr>
          <w:rFonts w:ascii="Book Antiqua" w:hAnsi="Book Antiqua" w:hint="eastAsia"/>
          <w:sz w:val="24"/>
          <w:lang w:eastAsia="zh-CN"/>
        </w:rPr>
        <w:t>7</w:t>
      </w:r>
      <w:r w:rsidRPr="00B0503E">
        <w:rPr>
          <w:rFonts w:ascii="Book Antiqua" w:hAnsi="Book Antiqua"/>
          <w:sz w:val="24"/>
        </w:rPr>
        <w:t>):</w:t>
      </w:r>
      <w:r>
        <w:rPr>
          <w:rFonts w:ascii="Book Antiqua" w:hAnsi="Book Antiqua" w:hint="eastAsia"/>
          <w:sz w:val="24"/>
          <w:lang w:eastAsia="zh-CN"/>
        </w:rPr>
        <w:t xml:space="preserve"> PET</w:t>
      </w:r>
    </w:p>
    <w:p w:rsidR="003A7147" w:rsidRPr="003A7147" w:rsidRDefault="003A7147" w:rsidP="001B7F6D">
      <w:pPr>
        <w:pStyle w:val="Body"/>
        <w:spacing w:line="360" w:lineRule="auto"/>
        <w:jc w:val="both"/>
        <w:rPr>
          <w:rFonts w:ascii="Book Antiqua" w:hAnsi="Book Antiqua"/>
          <w:sz w:val="24"/>
          <w:szCs w:val="24"/>
          <w:lang w:eastAsia="zh-CN"/>
        </w:rPr>
      </w:pPr>
    </w:p>
    <w:p w:rsidR="00E37287" w:rsidRPr="003A7147" w:rsidRDefault="001B7F6D" w:rsidP="001B7F6D">
      <w:pPr>
        <w:pStyle w:val="Body"/>
        <w:spacing w:line="360" w:lineRule="auto"/>
        <w:jc w:val="both"/>
        <w:rPr>
          <w:rFonts w:ascii="Book Antiqua" w:eastAsia="Palatino" w:hAnsi="Book Antiqua" w:cs="Palatino"/>
          <w:b/>
          <w:sz w:val="24"/>
          <w:szCs w:val="24"/>
        </w:rPr>
      </w:pPr>
      <w:r w:rsidRPr="003A7147">
        <w:rPr>
          <w:rFonts w:ascii="Book Antiqua" w:hAnsi="Book Antiqua"/>
          <w:b/>
          <w:sz w:val="24"/>
          <w:szCs w:val="24"/>
        </w:rPr>
        <w:t>Fluoro-D-glucose</w:t>
      </w:r>
      <w:r w:rsidR="00805F76" w:rsidRPr="003A7147">
        <w:rPr>
          <w:rFonts w:ascii="Book Antiqua" w:hAnsi="Book Antiqua"/>
          <w:b/>
          <w:sz w:val="24"/>
          <w:szCs w:val="24"/>
        </w:rPr>
        <w:t xml:space="preserve"> </w:t>
      </w:r>
      <w:r w:rsidRPr="003A7147">
        <w:rPr>
          <w:rFonts w:ascii="Book Antiqua" w:hAnsi="Book Antiqua" w:hint="eastAsia"/>
          <w:b/>
          <w:sz w:val="24"/>
          <w:szCs w:val="24"/>
          <w:lang w:eastAsia="zh-CN"/>
        </w:rPr>
        <w:t>p</w:t>
      </w:r>
      <w:r w:rsidRPr="003A7147">
        <w:rPr>
          <w:rFonts w:ascii="Book Antiqua" w:hAnsi="Book Antiqua"/>
          <w:b/>
          <w:sz w:val="24"/>
          <w:szCs w:val="24"/>
        </w:rPr>
        <w:t>ositron emission tomography</w:t>
      </w:r>
      <w:r w:rsidR="00805F76" w:rsidRPr="003A7147">
        <w:rPr>
          <w:rFonts w:ascii="Book Antiqua" w:hAnsi="Book Antiqua"/>
          <w:b/>
          <w:sz w:val="24"/>
          <w:szCs w:val="24"/>
        </w:rPr>
        <w:t>/</w:t>
      </w:r>
      <w:r w:rsidRPr="003A7147">
        <w:rPr>
          <w:rFonts w:ascii="Book Antiqua" w:hAnsi="Book Antiqua"/>
          <w:b/>
          <w:sz w:val="24"/>
          <w:szCs w:val="24"/>
        </w:rPr>
        <w:t>computed tomography</w:t>
      </w:r>
      <w:r w:rsidR="00805F76" w:rsidRPr="003A7147">
        <w:rPr>
          <w:rFonts w:ascii="Book Antiqua" w:hAnsi="Book Antiqua"/>
          <w:b/>
          <w:sz w:val="24"/>
          <w:szCs w:val="24"/>
        </w:rPr>
        <w:t xml:space="preserve"> </w:t>
      </w:r>
      <w:r w:rsidRPr="003A7147">
        <w:rPr>
          <w:rFonts w:ascii="Book Antiqua" w:hAnsi="Book Antiqua" w:hint="eastAsia"/>
          <w:b/>
          <w:sz w:val="24"/>
          <w:szCs w:val="24"/>
          <w:lang w:eastAsia="zh-CN"/>
        </w:rPr>
        <w:t>i</w:t>
      </w:r>
      <w:r w:rsidR="00805F76" w:rsidRPr="003A7147">
        <w:rPr>
          <w:rFonts w:ascii="Book Antiqua" w:hAnsi="Book Antiqua"/>
          <w:b/>
          <w:sz w:val="24"/>
          <w:szCs w:val="24"/>
        </w:rPr>
        <w:t xml:space="preserve">maging in </w:t>
      </w:r>
      <w:r w:rsidRPr="003A7147">
        <w:rPr>
          <w:rFonts w:ascii="Book Antiqua" w:hAnsi="Book Antiqua" w:hint="eastAsia"/>
          <w:b/>
          <w:sz w:val="24"/>
          <w:szCs w:val="24"/>
          <w:lang w:eastAsia="zh-CN"/>
        </w:rPr>
        <w:t>p</w:t>
      </w:r>
      <w:r w:rsidR="00805F76" w:rsidRPr="003A7147">
        <w:rPr>
          <w:rFonts w:ascii="Book Antiqua" w:hAnsi="Book Antiqua"/>
          <w:b/>
          <w:sz w:val="24"/>
          <w:szCs w:val="24"/>
        </w:rPr>
        <w:t xml:space="preserve">aediatric </w:t>
      </w:r>
      <w:r w:rsidRPr="003A7147">
        <w:rPr>
          <w:rFonts w:ascii="Book Antiqua" w:hAnsi="Book Antiqua" w:hint="eastAsia"/>
          <w:b/>
          <w:sz w:val="24"/>
          <w:szCs w:val="24"/>
          <w:lang w:eastAsia="zh-CN"/>
        </w:rPr>
        <w:t>o</w:t>
      </w:r>
      <w:r w:rsidR="00805F76" w:rsidRPr="003A7147">
        <w:rPr>
          <w:rFonts w:ascii="Book Antiqua" w:hAnsi="Book Antiqua"/>
          <w:b/>
          <w:sz w:val="24"/>
          <w:szCs w:val="24"/>
        </w:rPr>
        <w:t>ncology</w:t>
      </w:r>
    </w:p>
    <w:p w:rsidR="00E37287" w:rsidRDefault="00E37287" w:rsidP="001B7F6D">
      <w:pPr>
        <w:pStyle w:val="Body"/>
        <w:spacing w:line="360" w:lineRule="auto"/>
        <w:jc w:val="both"/>
        <w:rPr>
          <w:rFonts w:ascii="Book Antiqua" w:hAnsi="Book Antiqua" w:cs="Palatino"/>
          <w:sz w:val="24"/>
          <w:szCs w:val="24"/>
          <w:lang w:eastAsia="zh-CN"/>
        </w:rPr>
      </w:pPr>
    </w:p>
    <w:p w:rsidR="001B7F6D" w:rsidRPr="001B7F6D" w:rsidRDefault="003A7147" w:rsidP="001B7F6D">
      <w:pPr>
        <w:pStyle w:val="Body"/>
        <w:spacing w:line="360" w:lineRule="auto"/>
        <w:jc w:val="both"/>
        <w:rPr>
          <w:rFonts w:ascii="Book Antiqua" w:eastAsia="Palatino" w:hAnsi="Book Antiqua" w:cs="Palatino"/>
          <w:sz w:val="24"/>
          <w:szCs w:val="24"/>
        </w:rPr>
      </w:pPr>
      <w:r w:rsidRPr="001B7F6D">
        <w:rPr>
          <w:rFonts w:ascii="Book Antiqua" w:hAnsi="Book Antiqua"/>
          <w:sz w:val="24"/>
          <w:szCs w:val="24"/>
        </w:rPr>
        <w:t xml:space="preserve">Freebody </w:t>
      </w:r>
      <w:r>
        <w:rPr>
          <w:rFonts w:ascii="Book Antiqua" w:hAnsi="Book Antiqua" w:hint="eastAsia"/>
          <w:sz w:val="24"/>
          <w:szCs w:val="24"/>
          <w:lang w:eastAsia="zh-CN"/>
        </w:rPr>
        <w:t xml:space="preserve">J </w:t>
      </w:r>
      <w:r w:rsidRPr="003A7147">
        <w:rPr>
          <w:rFonts w:ascii="Book Antiqua" w:hAnsi="Book Antiqua" w:hint="eastAsia"/>
          <w:i/>
          <w:sz w:val="24"/>
          <w:szCs w:val="24"/>
          <w:lang w:eastAsia="zh-CN"/>
        </w:rPr>
        <w:t>et al</w:t>
      </w:r>
      <w:r>
        <w:rPr>
          <w:rFonts w:ascii="Book Antiqua" w:hAnsi="Book Antiqua" w:hint="eastAsia"/>
          <w:sz w:val="24"/>
          <w:szCs w:val="24"/>
          <w:lang w:eastAsia="zh-CN"/>
        </w:rPr>
        <w:t xml:space="preserve">. </w:t>
      </w:r>
      <w:r w:rsidR="001B7F6D" w:rsidRPr="001B7F6D">
        <w:rPr>
          <w:rFonts w:ascii="Book Antiqua" w:hAnsi="Book Antiqua"/>
          <w:sz w:val="24"/>
          <w:szCs w:val="24"/>
        </w:rPr>
        <w:t xml:space="preserve">FDG PET/CT </w:t>
      </w:r>
      <w:r w:rsidR="001B7F6D">
        <w:rPr>
          <w:rFonts w:ascii="Book Antiqua" w:hAnsi="Book Antiqua" w:hint="eastAsia"/>
          <w:sz w:val="24"/>
          <w:szCs w:val="24"/>
          <w:lang w:eastAsia="zh-CN"/>
        </w:rPr>
        <w:t>i</w:t>
      </w:r>
      <w:r w:rsidR="001B7F6D" w:rsidRPr="001B7F6D">
        <w:rPr>
          <w:rFonts w:ascii="Book Antiqua" w:hAnsi="Book Antiqua"/>
          <w:sz w:val="24"/>
          <w:szCs w:val="24"/>
        </w:rPr>
        <w:t xml:space="preserve">maging in </w:t>
      </w:r>
      <w:r w:rsidR="001B7F6D">
        <w:rPr>
          <w:rFonts w:ascii="Book Antiqua" w:hAnsi="Book Antiqua" w:hint="eastAsia"/>
          <w:sz w:val="24"/>
          <w:szCs w:val="24"/>
          <w:lang w:eastAsia="zh-CN"/>
        </w:rPr>
        <w:t>p</w:t>
      </w:r>
      <w:r w:rsidR="001B7F6D" w:rsidRPr="001B7F6D">
        <w:rPr>
          <w:rFonts w:ascii="Book Antiqua" w:hAnsi="Book Antiqua"/>
          <w:sz w:val="24"/>
          <w:szCs w:val="24"/>
        </w:rPr>
        <w:t xml:space="preserve">aediatric </w:t>
      </w:r>
      <w:r w:rsidR="001B7F6D">
        <w:rPr>
          <w:rFonts w:ascii="Book Antiqua" w:hAnsi="Book Antiqua" w:hint="eastAsia"/>
          <w:sz w:val="24"/>
          <w:szCs w:val="24"/>
          <w:lang w:eastAsia="zh-CN"/>
        </w:rPr>
        <w:t>o</w:t>
      </w:r>
      <w:r w:rsidR="001B7F6D" w:rsidRPr="001B7F6D">
        <w:rPr>
          <w:rFonts w:ascii="Book Antiqua" w:hAnsi="Book Antiqua"/>
          <w:sz w:val="24"/>
          <w:szCs w:val="24"/>
        </w:rPr>
        <w:t>ncology</w:t>
      </w:r>
    </w:p>
    <w:p w:rsidR="001B7F6D" w:rsidRPr="001B7F6D" w:rsidRDefault="001B7F6D" w:rsidP="001B7F6D">
      <w:pPr>
        <w:pStyle w:val="Body"/>
        <w:spacing w:line="360" w:lineRule="auto"/>
        <w:jc w:val="both"/>
        <w:rPr>
          <w:rFonts w:ascii="Book Antiqua" w:hAnsi="Book Antiqua" w:cs="Palatino"/>
          <w:sz w:val="24"/>
          <w:szCs w:val="24"/>
          <w:lang w:eastAsia="zh-CN"/>
        </w:rPr>
      </w:pPr>
    </w:p>
    <w:p w:rsidR="00E37287" w:rsidRPr="001B7F6D" w:rsidRDefault="00805F76" w:rsidP="001B7F6D">
      <w:pPr>
        <w:pStyle w:val="Body"/>
        <w:spacing w:line="360" w:lineRule="auto"/>
        <w:jc w:val="both"/>
        <w:rPr>
          <w:rFonts w:ascii="Book Antiqua" w:eastAsia="Palatino" w:hAnsi="Book Antiqua" w:cs="Palatino"/>
          <w:sz w:val="24"/>
          <w:szCs w:val="24"/>
        </w:rPr>
      </w:pPr>
      <w:r w:rsidRPr="001B7F6D">
        <w:rPr>
          <w:rFonts w:ascii="Book Antiqua" w:hAnsi="Book Antiqua"/>
          <w:sz w:val="24"/>
          <w:szCs w:val="24"/>
        </w:rPr>
        <w:t>John Freebody, Eva A Wegner, Monica A Rossleigh</w:t>
      </w:r>
    </w:p>
    <w:p w:rsidR="00E37287" w:rsidRPr="001B7F6D" w:rsidRDefault="00E37287" w:rsidP="001B7F6D">
      <w:pPr>
        <w:pStyle w:val="Body"/>
        <w:spacing w:line="360" w:lineRule="auto"/>
        <w:jc w:val="both"/>
        <w:rPr>
          <w:rFonts w:ascii="Book Antiqua" w:eastAsia="Palatino" w:hAnsi="Book Antiqua" w:cs="Palatino"/>
          <w:sz w:val="24"/>
          <w:szCs w:val="24"/>
        </w:rPr>
      </w:pPr>
    </w:p>
    <w:p w:rsidR="00E37287" w:rsidRPr="001B7F6D" w:rsidRDefault="003A7147" w:rsidP="001B7F6D">
      <w:pPr>
        <w:pStyle w:val="Body"/>
        <w:spacing w:line="360" w:lineRule="auto"/>
        <w:jc w:val="both"/>
        <w:rPr>
          <w:rFonts w:ascii="Book Antiqua" w:eastAsia="Palatino" w:hAnsi="Book Antiqua" w:cs="Palatino"/>
          <w:sz w:val="24"/>
          <w:szCs w:val="24"/>
        </w:rPr>
      </w:pPr>
      <w:r w:rsidRPr="003A7147">
        <w:rPr>
          <w:rFonts w:ascii="Book Antiqua" w:hAnsi="Book Antiqua"/>
          <w:b/>
          <w:sz w:val="24"/>
          <w:szCs w:val="24"/>
        </w:rPr>
        <w:t>John Freebody, Eva A Wegner, Monica A Rossleigh</w:t>
      </w:r>
      <w:r w:rsidRPr="003A7147">
        <w:rPr>
          <w:rFonts w:ascii="Book Antiqua" w:hAnsi="Book Antiqua" w:cs="Palatino" w:hint="eastAsia"/>
          <w:b/>
          <w:sz w:val="24"/>
          <w:szCs w:val="24"/>
          <w:lang w:eastAsia="zh-CN"/>
        </w:rPr>
        <w:t>,</w:t>
      </w:r>
      <w:r>
        <w:rPr>
          <w:rFonts w:ascii="Book Antiqua" w:hAnsi="Book Antiqua" w:cs="Palatino" w:hint="eastAsia"/>
          <w:sz w:val="24"/>
          <w:szCs w:val="24"/>
          <w:lang w:eastAsia="zh-CN"/>
        </w:rPr>
        <w:t xml:space="preserve"> </w:t>
      </w:r>
      <w:r w:rsidR="00805F76" w:rsidRPr="001B7F6D">
        <w:rPr>
          <w:rFonts w:ascii="Book Antiqua" w:hAnsi="Book Antiqua"/>
          <w:sz w:val="24"/>
          <w:szCs w:val="24"/>
        </w:rPr>
        <w:t>Department of Nuclear Medicine and PET, The Prince of Wales and Sydney Children’s Hospitals, Randwick, NSW 2031, Australia</w:t>
      </w:r>
    </w:p>
    <w:p w:rsidR="00E37287" w:rsidRPr="001B7F6D" w:rsidRDefault="00E37287" w:rsidP="001B7F6D">
      <w:pPr>
        <w:pStyle w:val="Body"/>
        <w:spacing w:line="360" w:lineRule="auto"/>
        <w:jc w:val="both"/>
        <w:rPr>
          <w:rFonts w:ascii="Book Antiqua" w:eastAsia="Palatino" w:hAnsi="Book Antiqua" w:cs="Palatino"/>
          <w:sz w:val="24"/>
          <w:szCs w:val="24"/>
        </w:rPr>
      </w:pPr>
    </w:p>
    <w:p w:rsidR="00E37287" w:rsidRPr="001B7F6D" w:rsidRDefault="003A7147" w:rsidP="001B7F6D">
      <w:pPr>
        <w:pStyle w:val="Body"/>
        <w:spacing w:line="360" w:lineRule="auto"/>
        <w:jc w:val="both"/>
        <w:rPr>
          <w:rFonts w:ascii="Book Antiqua" w:eastAsia="Palatino" w:hAnsi="Book Antiqua" w:cs="Palatino"/>
          <w:sz w:val="24"/>
          <w:szCs w:val="24"/>
        </w:rPr>
      </w:pPr>
      <w:r w:rsidRPr="00D26319">
        <w:rPr>
          <w:rFonts w:ascii="Book Antiqua" w:hAnsi="Book Antiqua"/>
          <w:b/>
          <w:sz w:val="24"/>
        </w:rPr>
        <w:t>Author contributions:</w:t>
      </w:r>
      <w:r w:rsidR="00805F76" w:rsidRPr="001B7F6D">
        <w:rPr>
          <w:rFonts w:ascii="Book Antiqua" w:hAnsi="Book Antiqua"/>
          <w:sz w:val="24"/>
          <w:szCs w:val="24"/>
        </w:rPr>
        <w:t xml:space="preserve"> All authors contributed to the writing and editing of this manuscript.</w:t>
      </w:r>
    </w:p>
    <w:p w:rsidR="00E37287" w:rsidRPr="001B7F6D" w:rsidRDefault="00E37287" w:rsidP="001B7F6D">
      <w:pPr>
        <w:pStyle w:val="Body"/>
        <w:spacing w:line="360" w:lineRule="auto"/>
        <w:jc w:val="both"/>
        <w:rPr>
          <w:rFonts w:ascii="Book Antiqua" w:eastAsia="Palatino" w:hAnsi="Book Antiqua" w:cs="Palatino"/>
          <w:sz w:val="24"/>
          <w:szCs w:val="24"/>
        </w:rPr>
      </w:pPr>
    </w:p>
    <w:p w:rsidR="00E37287" w:rsidRPr="001B7F6D" w:rsidRDefault="003A7147" w:rsidP="001B7F6D">
      <w:pPr>
        <w:pStyle w:val="Body"/>
        <w:spacing w:line="360" w:lineRule="auto"/>
        <w:jc w:val="both"/>
        <w:rPr>
          <w:rFonts w:ascii="Book Antiqua" w:eastAsia="Palatino" w:hAnsi="Book Antiqua" w:cs="Palatino"/>
          <w:sz w:val="24"/>
          <w:szCs w:val="24"/>
        </w:rPr>
      </w:pPr>
      <w:r w:rsidRPr="001A7A03">
        <w:rPr>
          <w:rFonts w:ascii="Book Antiqua" w:hAnsi="Book Antiqua"/>
          <w:b/>
          <w:sz w:val="24"/>
        </w:rPr>
        <w:t>Correspondence to:</w:t>
      </w:r>
      <w:r w:rsidR="00805F76" w:rsidRPr="003A7147">
        <w:rPr>
          <w:rFonts w:ascii="Book Antiqua" w:hAnsi="Book Antiqua"/>
          <w:b/>
          <w:sz w:val="24"/>
          <w:szCs w:val="24"/>
        </w:rPr>
        <w:t xml:space="preserve"> John Freebody, BSc MBBS,</w:t>
      </w:r>
      <w:r w:rsidR="00805F76" w:rsidRPr="001B7F6D">
        <w:rPr>
          <w:rFonts w:ascii="Book Antiqua" w:hAnsi="Book Antiqua"/>
          <w:sz w:val="24"/>
          <w:szCs w:val="24"/>
        </w:rPr>
        <w:t xml:space="preserve"> Department of Nuclear Medicine and PET, The Prince of Wales and Sydney Children’s Hospitals, Barker St, Randwick, NSW 2031, Australia. </w:t>
      </w:r>
      <w:r w:rsidR="00805F76" w:rsidRPr="001B7F6D">
        <w:rPr>
          <w:rStyle w:val="Hyperlink0"/>
          <w:rFonts w:ascii="Book Antiqua" w:hAnsi="Book Antiqua"/>
          <w:sz w:val="24"/>
          <w:szCs w:val="24"/>
          <w:u w:val="none"/>
        </w:rPr>
        <w:t>john.freebody@health.nsw.gov.au</w:t>
      </w:r>
    </w:p>
    <w:p w:rsidR="00E37287" w:rsidRPr="001B7F6D" w:rsidRDefault="00E37287" w:rsidP="001B7F6D">
      <w:pPr>
        <w:pStyle w:val="Body"/>
        <w:spacing w:line="360" w:lineRule="auto"/>
        <w:jc w:val="both"/>
        <w:rPr>
          <w:rFonts w:ascii="Book Antiqua" w:eastAsia="Palatino" w:hAnsi="Book Antiqua" w:cs="Palatino"/>
          <w:sz w:val="24"/>
          <w:szCs w:val="24"/>
        </w:rPr>
      </w:pPr>
    </w:p>
    <w:p w:rsidR="00E37287" w:rsidRPr="001B7F6D" w:rsidRDefault="00805F76" w:rsidP="001B7F6D">
      <w:pPr>
        <w:pStyle w:val="Body"/>
        <w:spacing w:line="360" w:lineRule="auto"/>
        <w:jc w:val="both"/>
        <w:rPr>
          <w:rFonts w:ascii="Book Antiqua" w:eastAsia="Palatino" w:hAnsi="Book Antiqua" w:cs="Palatino"/>
          <w:sz w:val="24"/>
          <w:szCs w:val="24"/>
        </w:rPr>
      </w:pPr>
      <w:r w:rsidRPr="003A7147">
        <w:rPr>
          <w:rFonts w:ascii="Book Antiqua" w:hAnsi="Book Antiqua"/>
          <w:b/>
          <w:sz w:val="24"/>
          <w:szCs w:val="24"/>
        </w:rPr>
        <w:t xml:space="preserve">Telephone: </w:t>
      </w:r>
      <w:r w:rsidRPr="001B7F6D">
        <w:rPr>
          <w:rFonts w:ascii="Book Antiqua" w:hAnsi="Book Antiqua"/>
          <w:sz w:val="24"/>
          <w:szCs w:val="24"/>
        </w:rPr>
        <w:t>+61-2-93822200</w:t>
      </w:r>
      <w:r w:rsidR="003A7147">
        <w:rPr>
          <w:rFonts w:ascii="Book Antiqua" w:hAnsi="Book Antiqua" w:cs="Palatino" w:hint="eastAsia"/>
          <w:sz w:val="24"/>
          <w:szCs w:val="24"/>
          <w:lang w:eastAsia="zh-CN"/>
        </w:rPr>
        <w:t xml:space="preserve"> </w:t>
      </w:r>
      <w:r w:rsidRPr="003A7147">
        <w:rPr>
          <w:rFonts w:ascii="Book Antiqua" w:hAnsi="Book Antiqua"/>
          <w:b/>
          <w:sz w:val="24"/>
          <w:szCs w:val="24"/>
        </w:rPr>
        <w:t>Fax:</w:t>
      </w:r>
      <w:r w:rsidRPr="001B7F6D">
        <w:rPr>
          <w:rFonts w:ascii="Book Antiqua" w:hAnsi="Book Antiqua"/>
          <w:sz w:val="24"/>
          <w:szCs w:val="24"/>
        </w:rPr>
        <w:t xml:space="preserve"> +61-2-93822235</w:t>
      </w:r>
    </w:p>
    <w:p w:rsidR="00E37287" w:rsidRDefault="00E37287" w:rsidP="001B7F6D">
      <w:pPr>
        <w:pStyle w:val="Body"/>
        <w:spacing w:line="360" w:lineRule="auto"/>
        <w:jc w:val="both"/>
        <w:rPr>
          <w:rFonts w:ascii="Book Antiqua" w:hAnsi="Book Antiqua"/>
          <w:sz w:val="24"/>
          <w:szCs w:val="24"/>
          <w:lang w:eastAsia="zh-CN"/>
        </w:rPr>
      </w:pPr>
    </w:p>
    <w:p w:rsidR="003A7147" w:rsidRPr="003A7147" w:rsidRDefault="003A7147" w:rsidP="003A7147">
      <w:pPr>
        <w:spacing w:line="360" w:lineRule="auto"/>
        <w:rPr>
          <w:rFonts w:ascii="Book Antiqua" w:hAnsi="Book Antiqua"/>
          <w:lang w:eastAsia="zh-CN"/>
        </w:rPr>
      </w:pPr>
      <w:r w:rsidRPr="008150D2">
        <w:rPr>
          <w:rFonts w:ascii="Book Antiqua" w:hAnsi="Book Antiqua"/>
          <w:b/>
        </w:rPr>
        <w:t xml:space="preserve">Received: </w:t>
      </w:r>
      <w:r w:rsidRPr="003A7147">
        <w:rPr>
          <w:rFonts w:ascii="Book Antiqua" w:hAnsi="Book Antiqua" w:hint="eastAsia"/>
          <w:lang w:eastAsia="zh-CN"/>
        </w:rPr>
        <w:t>December 26, 2013</w:t>
      </w:r>
      <w:r>
        <w:rPr>
          <w:rFonts w:ascii="Book Antiqua" w:hAnsi="Book Antiqua" w:hint="eastAsia"/>
          <w:b/>
        </w:rPr>
        <w:t xml:space="preserve"> </w:t>
      </w:r>
      <w:r w:rsidRPr="008150D2">
        <w:rPr>
          <w:rFonts w:ascii="Book Antiqua" w:hAnsi="Book Antiqua"/>
          <w:b/>
        </w:rPr>
        <w:t>Revised:</w:t>
      </w:r>
      <w:r>
        <w:rPr>
          <w:rFonts w:ascii="Book Antiqua" w:hAnsi="Book Antiqua" w:hint="eastAsia"/>
          <w:b/>
        </w:rPr>
        <w:t xml:space="preserve"> </w:t>
      </w:r>
      <w:r w:rsidRPr="003A7147">
        <w:rPr>
          <w:rFonts w:ascii="Book Antiqua" w:hAnsi="Book Antiqua" w:hint="eastAsia"/>
          <w:lang w:eastAsia="zh-CN"/>
        </w:rPr>
        <w:t>March 5, 2014</w:t>
      </w:r>
    </w:p>
    <w:p w:rsidR="00740047" w:rsidRDefault="003A7147" w:rsidP="00740047">
      <w:pPr>
        <w:rPr>
          <w:rFonts w:ascii="Book Antiqua" w:hAnsi="Book Antiqua"/>
          <w:color w:val="000000"/>
        </w:rPr>
      </w:pPr>
      <w:r w:rsidRPr="008150D2">
        <w:rPr>
          <w:rFonts w:ascii="Book Antiqua" w:hAnsi="Book Antiqua"/>
          <w:b/>
        </w:rPr>
        <w:t>Accepted:</w:t>
      </w:r>
      <w:bookmarkStart w:id="2" w:name="OLE_LINK2"/>
      <w:bookmarkStart w:id="3" w:name="OLE_LINK3"/>
      <w:bookmarkStart w:id="4" w:name="OLE_LINK4"/>
      <w:r w:rsidR="00740047" w:rsidRPr="00740047">
        <w:rPr>
          <w:rFonts w:ascii="Book Antiqua" w:hAnsi="Book Antiqua"/>
          <w:color w:val="000000"/>
        </w:rPr>
        <w:t xml:space="preserve"> </w:t>
      </w:r>
      <w:r w:rsidR="00740047">
        <w:rPr>
          <w:rFonts w:ascii="Book Antiqua" w:hAnsi="Book Antiqua"/>
          <w:color w:val="000000"/>
        </w:rPr>
        <w:t>September 16, 2014</w:t>
      </w:r>
    </w:p>
    <w:p w:rsidR="003A7147" w:rsidRDefault="005F1053" w:rsidP="003A7147">
      <w:pPr>
        <w:spacing w:line="360" w:lineRule="auto"/>
        <w:rPr>
          <w:rFonts w:ascii="Book Antiqua" w:hAnsi="Book Antiqua"/>
          <w:b/>
        </w:rPr>
      </w:pPr>
      <w:bookmarkStart w:id="5" w:name="_GoBack"/>
      <w:bookmarkEnd w:id="2"/>
      <w:bookmarkEnd w:id="3"/>
      <w:bookmarkEnd w:id="4"/>
      <w:bookmarkEnd w:id="5"/>
      <w:r>
        <w:rPr>
          <w:rFonts w:ascii="Book Antiqua" w:hAnsi="Book Antiqua"/>
          <w:b/>
        </w:rPr>
        <w:t xml:space="preserve"> </w:t>
      </w:r>
    </w:p>
    <w:p w:rsidR="003A7147" w:rsidRDefault="003A7147" w:rsidP="003A7147">
      <w:pPr>
        <w:pStyle w:val="Body"/>
        <w:spacing w:line="360" w:lineRule="auto"/>
        <w:jc w:val="both"/>
        <w:rPr>
          <w:rFonts w:ascii="Book Antiqua" w:hAnsi="Book Antiqua"/>
          <w:b/>
          <w:sz w:val="24"/>
          <w:lang w:eastAsia="zh-CN"/>
        </w:rPr>
      </w:pPr>
      <w:r w:rsidRPr="008150D2">
        <w:rPr>
          <w:rFonts w:ascii="Book Antiqua" w:hAnsi="Book Antiqua"/>
          <w:b/>
          <w:sz w:val="24"/>
        </w:rPr>
        <w:t>Published online:</w:t>
      </w:r>
    </w:p>
    <w:p w:rsidR="003A7147" w:rsidRPr="001B7F6D" w:rsidRDefault="003A7147" w:rsidP="003A7147">
      <w:pPr>
        <w:pStyle w:val="Body"/>
        <w:spacing w:line="360" w:lineRule="auto"/>
        <w:jc w:val="both"/>
        <w:rPr>
          <w:rFonts w:ascii="Book Antiqua" w:hAnsi="Book Antiqua"/>
          <w:sz w:val="24"/>
          <w:szCs w:val="24"/>
          <w:lang w:eastAsia="zh-CN"/>
        </w:rPr>
      </w:pPr>
    </w:p>
    <w:p w:rsidR="00E37287" w:rsidRPr="001B7F6D" w:rsidRDefault="00805F76" w:rsidP="001B7F6D">
      <w:pPr>
        <w:pStyle w:val="Body"/>
        <w:spacing w:line="360" w:lineRule="auto"/>
        <w:jc w:val="both"/>
        <w:rPr>
          <w:rFonts w:ascii="Book Antiqua" w:eastAsia="Palatino" w:hAnsi="Book Antiqua" w:cs="Palatino"/>
          <w:b/>
          <w:iCs/>
          <w:sz w:val="24"/>
          <w:szCs w:val="24"/>
        </w:rPr>
      </w:pPr>
      <w:r w:rsidRPr="001B7F6D">
        <w:rPr>
          <w:rFonts w:ascii="Book Antiqua" w:hAnsi="Book Antiqua"/>
          <w:b/>
          <w:iCs/>
          <w:sz w:val="24"/>
          <w:szCs w:val="24"/>
        </w:rPr>
        <w:t>Abstract</w:t>
      </w:r>
    </w:p>
    <w:p w:rsidR="00E37287" w:rsidRPr="001B7F6D" w:rsidRDefault="00805F76" w:rsidP="001B7F6D">
      <w:pPr>
        <w:pStyle w:val="Body"/>
        <w:spacing w:line="360" w:lineRule="auto"/>
        <w:jc w:val="both"/>
        <w:rPr>
          <w:rFonts w:ascii="Book Antiqua" w:eastAsia="Palatino" w:hAnsi="Book Antiqua" w:cs="Palatino"/>
          <w:sz w:val="24"/>
          <w:szCs w:val="24"/>
        </w:rPr>
      </w:pPr>
      <w:r w:rsidRPr="001B7F6D">
        <w:rPr>
          <w:rFonts w:ascii="Book Antiqua" w:hAnsi="Book Antiqua"/>
          <w:sz w:val="24"/>
          <w:szCs w:val="24"/>
        </w:rPr>
        <w:lastRenderedPageBreak/>
        <w:t xml:space="preserve">Positron emission tomography (PET) is a minimally invasive technique which has been well validated for the diagnosis, staging, monitoring of response to therapy, and disease surveillance of adult oncology patients. Traditionally the value of PET and PET/computed tomography (CT) hybrid imaging has been less clearly defined for paediatric oncology. However recent evidence has emerged regarding the diagnostic utility of these modalities, and they are becoming increasingly important tools in the evaluation and monitoring of children with known or suspected malignant disease. Important indications for </w:t>
      </w:r>
      <w:r w:rsidR="003A7147">
        <w:rPr>
          <w:rFonts w:ascii="Book Antiqua" w:hAnsi="Book Antiqua" w:hint="eastAsia"/>
          <w:sz w:val="24"/>
          <w:szCs w:val="24"/>
          <w:lang w:eastAsia="zh-CN"/>
        </w:rPr>
        <w:t>f</w:t>
      </w:r>
      <w:r w:rsidR="003A7147" w:rsidRPr="003A7147">
        <w:rPr>
          <w:rFonts w:ascii="Book Antiqua" w:hAnsi="Book Antiqua"/>
          <w:sz w:val="24"/>
          <w:szCs w:val="24"/>
        </w:rPr>
        <w:t>luoro-D-glucose</w:t>
      </w:r>
      <w:r w:rsidR="003A7147" w:rsidRPr="001B7F6D">
        <w:rPr>
          <w:rFonts w:ascii="Book Antiqua" w:hAnsi="Book Antiqua"/>
          <w:sz w:val="24"/>
          <w:szCs w:val="24"/>
        </w:rPr>
        <w:t xml:space="preserve"> </w:t>
      </w:r>
      <w:r w:rsidR="003A7147">
        <w:rPr>
          <w:rFonts w:ascii="Book Antiqua" w:hAnsi="Book Antiqua" w:hint="eastAsia"/>
          <w:sz w:val="24"/>
          <w:szCs w:val="24"/>
          <w:lang w:eastAsia="zh-CN"/>
        </w:rPr>
        <w:t>(</w:t>
      </w:r>
      <w:r w:rsidRPr="001B7F6D">
        <w:rPr>
          <w:rFonts w:ascii="Book Antiqua" w:hAnsi="Book Antiqua"/>
          <w:sz w:val="24"/>
          <w:szCs w:val="24"/>
        </w:rPr>
        <w:t>FDG</w:t>
      </w:r>
      <w:r w:rsidR="003A7147">
        <w:rPr>
          <w:rFonts w:ascii="Book Antiqua" w:hAnsi="Book Antiqua" w:hint="eastAsia"/>
          <w:sz w:val="24"/>
          <w:szCs w:val="24"/>
          <w:lang w:eastAsia="zh-CN"/>
        </w:rPr>
        <w:t>)</w:t>
      </w:r>
      <w:r w:rsidRPr="001B7F6D">
        <w:rPr>
          <w:rFonts w:ascii="Book Antiqua" w:hAnsi="Book Antiqua"/>
          <w:sz w:val="24"/>
          <w:szCs w:val="24"/>
        </w:rPr>
        <w:t xml:space="preserve"> PET in paediatric oncology include lymphoma, brain tumours, sarcoma, neuroblastoma, Langerhans cell histiocytosis, urogenital tumours and neurofibromatosis type I. This article aims to review current evidence for the use of FDG PET and PET/CT in these indications. Attention will also be given to technical and logistical issues, the description of common imaging </w:t>
      </w:r>
      <w:r w:rsidRPr="001B7F6D">
        <w:rPr>
          <w:rFonts w:ascii="Book Antiqua" w:hAnsi="Book Antiqua"/>
          <w:sz w:val="24"/>
          <w:szCs w:val="24"/>
          <w:lang w:val="de-DE"/>
        </w:rPr>
        <w:t>pitfalls</w:t>
      </w:r>
      <w:r w:rsidRPr="001B7F6D">
        <w:rPr>
          <w:rFonts w:ascii="Book Antiqua" w:hAnsi="Book Antiqua"/>
          <w:sz w:val="24"/>
          <w:szCs w:val="24"/>
        </w:rPr>
        <w:t>, and dosimetric concerns as they relate to paediatric oncology.</w:t>
      </w:r>
    </w:p>
    <w:p w:rsidR="00E37287" w:rsidRDefault="00E37287" w:rsidP="001B7F6D">
      <w:pPr>
        <w:pStyle w:val="Body"/>
        <w:spacing w:line="360" w:lineRule="auto"/>
        <w:jc w:val="both"/>
        <w:rPr>
          <w:rFonts w:ascii="Book Antiqua" w:hAnsi="Book Antiqua" w:cs="Palatino"/>
          <w:sz w:val="24"/>
          <w:szCs w:val="24"/>
          <w:lang w:eastAsia="zh-CN"/>
        </w:rPr>
      </w:pPr>
    </w:p>
    <w:p w:rsidR="003A7147" w:rsidRDefault="003A7147" w:rsidP="001B7F6D">
      <w:pPr>
        <w:pStyle w:val="Body"/>
        <w:spacing w:line="360" w:lineRule="auto"/>
        <w:jc w:val="both"/>
        <w:rPr>
          <w:rFonts w:ascii="Book Antiqua" w:hAnsi="Book Antiqua" w:cs="Tahoma"/>
          <w:sz w:val="24"/>
          <w:lang w:eastAsia="zh-CN"/>
        </w:rPr>
      </w:pPr>
      <w:r w:rsidRPr="00A562B8">
        <w:rPr>
          <w:rFonts w:ascii="Book Antiqua" w:hAnsi="Book Antiqua" w:cs="Tahoma"/>
          <w:sz w:val="24"/>
          <w:lang w:eastAsia="ja-JP"/>
        </w:rPr>
        <w:t>© 201</w:t>
      </w:r>
      <w:r w:rsidRPr="00A562B8">
        <w:rPr>
          <w:rFonts w:ascii="Book Antiqua" w:hAnsi="Book Antiqua" w:cs="Tahoma" w:hint="eastAsia"/>
          <w:sz w:val="24"/>
        </w:rPr>
        <w:t>4</w:t>
      </w:r>
      <w:r w:rsidRPr="00A562B8">
        <w:rPr>
          <w:rFonts w:ascii="Book Antiqua" w:hAnsi="Book Antiqua" w:cs="Tahoma"/>
          <w:sz w:val="24"/>
          <w:lang w:eastAsia="ja-JP"/>
        </w:rPr>
        <w:t xml:space="preserve"> Baishideng Publishing Group </w:t>
      </w:r>
      <w:r w:rsidRPr="00A562B8">
        <w:rPr>
          <w:rFonts w:ascii="Book Antiqua" w:hAnsi="Book Antiqua" w:cs="Tahoma" w:hint="eastAsia"/>
          <w:sz w:val="24"/>
        </w:rPr>
        <w:t>Inc</w:t>
      </w:r>
      <w:r w:rsidRPr="00A562B8">
        <w:rPr>
          <w:rFonts w:ascii="Book Antiqua" w:hAnsi="Book Antiqua" w:cs="Tahoma"/>
          <w:sz w:val="24"/>
          <w:lang w:eastAsia="ja-JP"/>
        </w:rPr>
        <w:t>. All rights</w:t>
      </w:r>
      <w:r w:rsidRPr="00A562B8">
        <w:rPr>
          <w:rFonts w:ascii="Book Antiqua" w:hAnsi="Book Antiqua" w:cs="Tahoma"/>
          <w:sz w:val="24"/>
        </w:rPr>
        <w:t xml:space="preserve"> </w:t>
      </w:r>
      <w:r w:rsidRPr="00A562B8">
        <w:rPr>
          <w:rFonts w:ascii="Book Antiqua" w:hAnsi="Book Antiqua" w:cs="Tahoma"/>
          <w:sz w:val="24"/>
          <w:lang w:eastAsia="ja-JP"/>
        </w:rPr>
        <w:t>reserved.</w:t>
      </w:r>
    </w:p>
    <w:p w:rsidR="003A7147" w:rsidRPr="003A7147" w:rsidRDefault="003A7147" w:rsidP="001B7F6D">
      <w:pPr>
        <w:pStyle w:val="Body"/>
        <w:spacing w:line="360" w:lineRule="auto"/>
        <w:jc w:val="both"/>
        <w:rPr>
          <w:rFonts w:ascii="Book Antiqua" w:hAnsi="Book Antiqua" w:cs="Palatino"/>
          <w:sz w:val="24"/>
          <w:szCs w:val="24"/>
          <w:lang w:eastAsia="zh-CN"/>
        </w:rPr>
      </w:pPr>
    </w:p>
    <w:p w:rsidR="00E37287" w:rsidRPr="001B7F6D" w:rsidRDefault="00805F76" w:rsidP="001B7F6D">
      <w:pPr>
        <w:pStyle w:val="Body"/>
        <w:spacing w:line="360" w:lineRule="auto"/>
        <w:jc w:val="both"/>
        <w:rPr>
          <w:rFonts w:ascii="Book Antiqua" w:eastAsia="Palatino" w:hAnsi="Book Antiqua" w:cs="Palatino"/>
          <w:sz w:val="24"/>
          <w:szCs w:val="24"/>
        </w:rPr>
      </w:pPr>
      <w:r w:rsidRPr="001B7F6D">
        <w:rPr>
          <w:rFonts w:ascii="Book Antiqua" w:hAnsi="Book Antiqua"/>
          <w:b/>
          <w:iCs/>
          <w:sz w:val="24"/>
          <w:szCs w:val="24"/>
        </w:rPr>
        <w:t>Key</w:t>
      </w:r>
      <w:r w:rsidR="001B7F6D">
        <w:rPr>
          <w:rFonts w:ascii="Book Antiqua" w:hAnsi="Book Antiqua" w:hint="eastAsia"/>
          <w:b/>
          <w:iCs/>
          <w:sz w:val="24"/>
          <w:szCs w:val="24"/>
          <w:lang w:eastAsia="zh-CN"/>
        </w:rPr>
        <w:t xml:space="preserve"> </w:t>
      </w:r>
      <w:r w:rsidRPr="001B7F6D">
        <w:rPr>
          <w:rFonts w:ascii="Book Antiqua" w:hAnsi="Book Antiqua"/>
          <w:b/>
          <w:iCs/>
          <w:sz w:val="24"/>
          <w:szCs w:val="24"/>
        </w:rPr>
        <w:t>words</w:t>
      </w:r>
      <w:r w:rsidRPr="001B7F6D">
        <w:rPr>
          <w:rFonts w:ascii="Book Antiqua" w:hAnsi="Book Antiqua"/>
          <w:b/>
          <w:sz w:val="24"/>
          <w:szCs w:val="24"/>
        </w:rPr>
        <w:t>:</w:t>
      </w:r>
      <w:r w:rsidRPr="001B7F6D">
        <w:rPr>
          <w:rFonts w:ascii="Book Antiqua" w:hAnsi="Book Antiqua"/>
          <w:sz w:val="24"/>
          <w:szCs w:val="24"/>
        </w:rPr>
        <w:t xml:space="preserve"> Positron </w:t>
      </w:r>
      <w:r w:rsidR="001B7F6D" w:rsidRPr="001B7F6D">
        <w:rPr>
          <w:rFonts w:ascii="Book Antiqua" w:hAnsi="Book Antiqua"/>
          <w:sz w:val="24"/>
          <w:szCs w:val="24"/>
        </w:rPr>
        <w:t>emission to</w:t>
      </w:r>
      <w:r w:rsidRPr="001B7F6D">
        <w:rPr>
          <w:rFonts w:ascii="Book Antiqua" w:hAnsi="Book Antiqua"/>
          <w:sz w:val="24"/>
          <w:szCs w:val="24"/>
        </w:rPr>
        <w:t xml:space="preserve">mography; Computed </w:t>
      </w:r>
      <w:r w:rsidR="001B7F6D">
        <w:rPr>
          <w:rFonts w:ascii="Book Antiqua" w:hAnsi="Book Antiqua" w:hint="eastAsia"/>
          <w:sz w:val="24"/>
          <w:szCs w:val="24"/>
          <w:lang w:eastAsia="zh-CN"/>
        </w:rPr>
        <w:t>t</w:t>
      </w:r>
      <w:r w:rsidRPr="001B7F6D">
        <w:rPr>
          <w:rFonts w:ascii="Book Antiqua" w:hAnsi="Book Antiqua"/>
          <w:sz w:val="24"/>
          <w:szCs w:val="24"/>
        </w:rPr>
        <w:t xml:space="preserve">omography; Fluorodeoxyglucose F18; Paediatrics; Oncology; Technical </w:t>
      </w:r>
      <w:r w:rsidR="001B7F6D">
        <w:rPr>
          <w:rFonts w:ascii="Book Antiqua" w:hAnsi="Book Antiqua" w:hint="eastAsia"/>
          <w:sz w:val="24"/>
          <w:szCs w:val="24"/>
          <w:lang w:eastAsia="zh-CN"/>
        </w:rPr>
        <w:t>i</w:t>
      </w:r>
      <w:r w:rsidRPr="001B7F6D">
        <w:rPr>
          <w:rFonts w:ascii="Book Antiqua" w:hAnsi="Book Antiqua"/>
          <w:sz w:val="24"/>
          <w:szCs w:val="24"/>
        </w:rPr>
        <w:t>ssues; Dosimetry</w:t>
      </w:r>
    </w:p>
    <w:p w:rsidR="00E37287" w:rsidRPr="001B7F6D" w:rsidRDefault="00E37287" w:rsidP="001B7F6D">
      <w:pPr>
        <w:spacing w:line="360" w:lineRule="auto"/>
        <w:jc w:val="both"/>
        <w:rPr>
          <w:rFonts w:ascii="Book Antiqua" w:hAnsi="Book Antiqua"/>
          <w:b/>
        </w:rPr>
      </w:pPr>
      <w:bookmarkStart w:id="6" w:name="OLE_LINK103"/>
      <w:bookmarkStart w:id="7" w:name="OLE_LINK104"/>
      <w:bookmarkStart w:id="8" w:name="OLE_LINK30"/>
      <w:bookmarkStart w:id="9" w:name="OLE_LINK31"/>
    </w:p>
    <w:p w:rsidR="00E37287" w:rsidRPr="001B7F6D" w:rsidRDefault="00805F76" w:rsidP="001B7F6D">
      <w:pPr>
        <w:spacing w:line="360" w:lineRule="auto"/>
        <w:jc w:val="both"/>
        <w:rPr>
          <w:rFonts w:ascii="Book Antiqua" w:hAnsi="Book Antiqua"/>
        </w:rPr>
      </w:pPr>
      <w:r w:rsidRPr="001B7F6D">
        <w:rPr>
          <w:rFonts w:ascii="Book Antiqua" w:hAnsi="Book Antiqua"/>
          <w:b/>
        </w:rPr>
        <w:t>Core tip:</w:t>
      </w:r>
      <w:bookmarkEnd w:id="6"/>
      <w:bookmarkEnd w:id="7"/>
      <w:r w:rsidRPr="001B7F6D">
        <w:rPr>
          <w:rFonts w:ascii="Book Antiqua" w:hAnsi="Book Antiqua"/>
        </w:rPr>
        <w:t xml:space="preserve"> </w:t>
      </w:r>
      <w:r w:rsidR="003A7147">
        <w:rPr>
          <w:rFonts w:ascii="Book Antiqua" w:hAnsi="Book Antiqua"/>
        </w:rPr>
        <w:t>Positron emission tomography</w:t>
      </w:r>
      <w:r w:rsidRPr="001B7F6D">
        <w:rPr>
          <w:rFonts w:ascii="Book Antiqua" w:hAnsi="Book Antiqua"/>
        </w:rPr>
        <w:t>/</w:t>
      </w:r>
      <w:r w:rsidR="003A7147" w:rsidRPr="001B7F6D">
        <w:rPr>
          <w:rFonts w:ascii="Book Antiqua" w:hAnsi="Book Antiqua"/>
        </w:rPr>
        <w:t>computed tomography</w:t>
      </w:r>
      <w:r w:rsidRPr="001B7F6D">
        <w:rPr>
          <w:rFonts w:ascii="Book Antiqua" w:hAnsi="Book Antiqua"/>
        </w:rPr>
        <w:t xml:space="preserve"> </w:t>
      </w:r>
      <w:proofErr w:type="gramStart"/>
      <w:r w:rsidRPr="001B7F6D">
        <w:rPr>
          <w:rFonts w:ascii="Book Antiqua" w:hAnsi="Book Antiqua"/>
        </w:rPr>
        <w:t>has</w:t>
      </w:r>
      <w:proofErr w:type="gramEnd"/>
      <w:r w:rsidRPr="001B7F6D">
        <w:rPr>
          <w:rFonts w:ascii="Book Antiqua" w:hAnsi="Book Antiqua"/>
        </w:rPr>
        <w:t xml:space="preserve"> emerged as a powerful and important tool in the assessment of a variety of childhood cancers and can impact significantly on patient management. Further prospective studies will more clearly delineate the precise role of this modality in the assessment of individual malignancies. Accurate image interpretation requires a thorough understanding of the normal variants of uptake unique to children.</w:t>
      </w:r>
    </w:p>
    <w:bookmarkEnd w:id="8"/>
    <w:bookmarkEnd w:id="9"/>
    <w:p w:rsidR="00E37287" w:rsidRDefault="00E37287" w:rsidP="001B7F6D">
      <w:pPr>
        <w:pStyle w:val="Body"/>
        <w:spacing w:line="360" w:lineRule="auto"/>
        <w:jc w:val="both"/>
        <w:rPr>
          <w:rFonts w:ascii="Book Antiqua" w:hAnsi="Book Antiqua"/>
          <w:sz w:val="24"/>
          <w:szCs w:val="24"/>
          <w:lang w:eastAsia="zh-CN"/>
        </w:rPr>
      </w:pPr>
    </w:p>
    <w:p w:rsidR="003A7147" w:rsidRDefault="003A7147" w:rsidP="001B7F6D">
      <w:pPr>
        <w:pStyle w:val="Body"/>
        <w:spacing w:line="360" w:lineRule="auto"/>
        <w:jc w:val="both"/>
        <w:rPr>
          <w:rFonts w:ascii="Book Antiqua" w:hAnsi="Book Antiqua"/>
          <w:sz w:val="24"/>
          <w:szCs w:val="24"/>
          <w:lang w:eastAsia="zh-CN"/>
        </w:rPr>
      </w:pPr>
      <w:r w:rsidRPr="001B7F6D">
        <w:rPr>
          <w:rFonts w:ascii="Book Antiqua" w:hAnsi="Book Antiqua"/>
          <w:sz w:val="24"/>
          <w:szCs w:val="24"/>
        </w:rPr>
        <w:t>Freebody</w:t>
      </w:r>
      <w:r>
        <w:rPr>
          <w:rFonts w:ascii="Book Antiqua" w:hAnsi="Book Antiqua" w:hint="eastAsia"/>
          <w:sz w:val="24"/>
          <w:szCs w:val="24"/>
          <w:lang w:eastAsia="zh-CN"/>
        </w:rPr>
        <w:t xml:space="preserve"> J</w:t>
      </w:r>
      <w:r w:rsidRPr="001B7F6D">
        <w:rPr>
          <w:rFonts w:ascii="Book Antiqua" w:hAnsi="Book Antiqua"/>
          <w:sz w:val="24"/>
          <w:szCs w:val="24"/>
        </w:rPr>
        <w:t>, Wegner</w:t>
      </w:r>
      <w:r>
        <w:rPr>
          <w:rFonts w:ascii="Book Antiqua" w:hAnsi="Book Antiqua" w:hint="eastAsia"/>
          <w:sz w:val="24"/>
          <w:szCs w:val="24"/>
          <w:lang w:eastAsia="zh-CN"/>
        </w:rPr>
        <w:t xml:space="preserve"> EA</w:t>
      </w:r>
      <w:r w:rsidRPr="001B7F6D">
        <w:rPr>
          <w:rFonts w:ascii="Book Antiqua" w:hAnsi="Book Antiqua"/>
          <w:sz w:val="24"/>
          <w:szCs w:val="24"/>
        </w:rPr>
        <w:t>, Rossleigh</w:t>
      </w:r>
      <w:r>
        <w:rPr>
          <w:rFonts w:ascii="Book Antiqua" w:hAnsi="Book Antiqua" w:hint="eastAsia"/>
          <w:sz w:val="24"/>
          <w:szCs w:val="24"/>
          <w:lang w:eastAsia="zh-CN"/>
        </w:rPr>
        <w:t xml:space="preserve"> MA.</w:t>
      </w:r>
      <w:r>
        <w:rPr>
          <w:rFonts w:ascii="Book Antiqua" w:hAnsi="Book Antiqua" w:cs="Palatino" w:hint="eastAsia"/>
          <w:sz w:val="24"/>
          <w:szCs w:val="24"/>
          <w:lang w:eastAsia="zh-CN"/>
        </w:rPr>
        <w:t xml:space="preserve"> </w:t>
      </w:r>
      <w:proofErr w:type="gramStart"/>
      <w:r w:rsidRPr="003A7147">
        <w:rPr>
          <w:rFonts w:ascii="Book Antiqua" w:hAnsi="Book Antiqua"/>
          <w:sz w:val="24"/>
          <w:szCs w:val="24"/>
        </w:rPr>
        <w:t xml:space="preserve">Fluoro-D-glucose </w:t>
      </w:r>
      <w:r w:rsidRPr="003A7147">
        <w:rPr>
          <w:rFonts w:ascii="Book Antiqua" w:hAnsi="Book Antiqua" w:hint="eastAsia"/>
          <w:sz w:val="24"/>
          <w:szCs w:val="24"/>
          <w:lang w:eastAsia="zh-CN"/>
        </w:rPr>
        <w:t>p</w:t>
      </w:r>
      <w:r w:rsidRPr="003A7147">
        <w:rPr>
          <w:rFonts w:ascii="Book Antiqua" w:hAnsi="Book Antiqua"/>
          <w:sz w:val="24"/>
          <w:szCs w:val="24"/>
        </w:rPr>
        <w:t xml:space="preserve">ositron emission tomography/computed tomography </w:t>
      </w:r>
      <w:r w:rsidRPr="003A7147">
        <w:rPr>
          <w:rFonts w:ascii="Book Antiqua" w:hAnsi="Book Antiqua" w:hint="eastAsia"/>
          <w:sz w:val="24"/>
          <w:szCs w:val="24"/>
          <w:lang w:eastAsia="zh-CN"/>
        </w:rPr>
        <w:t>i</w:t>
      </w:r>
      <w:r w:rsidRPr="003A7147">
        <w:rPr>
          <w:rFonts w:ascii="Book Antiqua" w:hAnsi="Book Antiqua"/>
          <w:sz w:val="24"/>
          <w:szCs w:val="24"/>
        </w:rPr>
        <w:t xml:space="preserve">maging in </w:t>
      </w:r>
      <w:r w:rsidRPr="003A7147">
        <w:rPr>
          <w:rFonts w:ascii="Book Antiqua" w:hAnsi="Book Antiqua" w:hint="eastAsia"/>
          <w:sz w:val="24"/>
          <w:szCs w:val="24"/>
          <w:lang w:eastAsia="zh-CN"/>
        </w:rPr>
        <w:t>p</w:t>
      </w:r>
      <w:r w:rsidRPr="003A7147">
        <w:rPr>
          <w:rFonts w:ascii="Book Antiqua" w:hAnsi="Book Antiqua"/>
          <w:sz w:val="24"/>
          <w:szCs w:val="24"/>
        </w:rPr>
        <w:t xml:space="preserve">aediatric </w:t>
      </w:r>
      <w:r w:rsidRPr="003A7147">
        <w:rPr>
          <w:rFonts w:ascii="Book Antiqua" w:hAnsi="Book Antiqua" w:hint="eastAsia"/>
          <w:sz w:val="24"/>
          <w:szCs w:val="24"/>
          <w:lang w:eastAsia="zh-CN"/>
        </w:rPr>
        <w:t>o</w:t>
      </w:r>
      <w:r w:rsidRPr="003A7147">
        <w:rPr>
          <w:rFonts w:ascii="Book Antiqua" w:hAnsi="Book Antiqua"/>
          <w:sz w:val="24"/>
          <w:szCs w:val="24"/>
        </w:rPr>
        <w:t>ncology</w:t>
      </w:r>
      <w:r>
        <w:rPr>
          <w:rFonts w:ascii="Book Antiqua" w:hAnsi="Book Antiqua" w:hint="eastAsia"/>
          <w:sz w:val="24"/>
          <w:szCs w:val="24"/>
          <w:lang w:eastAsia="zh-CN"/>
        </w:rPr>
        <w:t>.</w:t>
      </w:r>
      <w:proofErr w:type="gramEnd"/>
      <w:r>
        <w:rPr>
          <w:rFonts w:ascii="Book Antiqua" w:hAnsi="Book Antiqua" w:hint="eastAsia"/>
          <w:sz w:val="24"/>
          <w:szCs w:val="24"/>
          <w:lang w:eastAsia="zh-CN"/>
        </w:rPr>
        <w:t xml:space="preserve"> </w:t>
      </w:r>
      <w:r w:rsidRPr="00C341A0">
        <w:rPr>
          <w:rFonts w:ascii="Book Antiqua" w:hAnsi="Book Antiqua"/>
          <w:i/>
          <w:iCs/>
          <w:sz w:val="24"/>
          <w:szCs w:val="24"/>
        </w:rPr>
        <w:t>World J Radiol</w:t>
      </w:r>
      <w:r>
        <w:rPr>
          <w:rFonts w:ascii="Book Antiqua" w:hAnsi="Book Antiqua" w:hint="eastAsia"/>
          <w:iCs/>
          <w:sz w:val="24"/>
          <w:szCs w:val="24"/>
          <w:lang w:eastAsia="zh-CN"/>
        </w:rPr>
        <w:t xml:space="preserve"> 2014; </w:t>
      </w:r>
      <w:proofErr w:type="gramStart"/>
      <w:r>
        <w:rPr>
          <w:rFonts w:ascii="Book Antiqua" w:hAnsi="Book Antiqua" w:hint="eastAsia"/>
          <w:iCs/>
          <w:sz w:val="24"/>
          <w:szCs w:val="24"/>
          <w:lang w:eastAsia="zh-CN"/>
        </w:rPr>
        <w:t>In</w:t>
      </w:r>
      <w:proofErr w:type="gramEnd"/>
      <w:r>
        <w:rPr>
          <w:rFonts w:ascii="Book Antiqua" w:hAnsi="Book Antiqua" w:hint="eastAsia"/>
          <w:iCs/>
          <w:sz w:val="24"/>
          <w:szCs w:val="24"/>
          <w:lang w:eastAsia="zh-CN"/>
        </w:rPr>
        <w:t xml:space="preserve"> press</w:t>
      </w:r>
    </w:p>
    <w:p w:rsidR="003A7147" w:rsidRPr="001B7F6D" w:rsidRDefault="003A7147" w:rsidP="001B7F6D">
      <w:pPr>
        <w:pStyle w:val="Body"/>
        <w:spacing w:line="360" w:lineRule="auto"/>
        <w:jc w:val="both"/>
        <w:rPr>
          <w:rFonts w:ascii="Book Antiqua" w:hAnsi="Book Antiqua"/>
          <w:sz w:val="24"/>
          <w:szCs w:val="24"/>
          <w:lang w:eastAsia="zh-CN"/>
        </w:rPr>
      </w:pPr>
    </w:p>
    <w:p w:rsidR="00E37287" w:rsidRPr="001B7F6D" w:rsidRDefault="00805F76" w:rsidP="001B7F6D">
      <w:pPr>
        <w:pStyle w:val="Body"/>
        <w:spacing w:line="360" w:lineRule="auto"/>
        <w:jc w:val="both"/>
        <w:rPr>
          <w:rFonts w:ascii="Book Antiqua" w:eastAsia="Palatino" w:hAnsi="Book Antiqua" w:cs="Palatino"/>
          <w:b/>
          <w:sz w:val="24"/>
          <w:szCs w:val="24"/>
        </w:rPr>
      </w:pPr>
      <w:r w:rsidRPr="001B7F6D">
        <w:rPr>
          <w:rFonts w:ascii="Book Antiqua" w:hAnsi="Book Antiqua"/>
          <w:b/>
          <w:sz w:val="24"/>
          <w:szCs w:val="24"/>
        </w:rPr>
        <w:t>INTRODUCTION</w:t>
      </w:r>
    </w:p>
    <w:p w:rsidR="00E37287" w:rsidRPr="001B7F6D" w:rsidRDefault="00805F76" w:rsidP="001B7F6D">
      <w:pPr>
        <w:pStyle w:val="Body"/>
        <w:spacing w:line="360" w:lineRule="auto"/>
        <w:jc w:val="both"/>
        <w:rPr>
          <w:rFonts w:ascii="Book Antiqua" w:eastAsia="Palatino" w:hAnsi="Book Antiqua" w:cs="Palatino"/>
          <w:sz w:val="24"/>
          <w:szCs w:val="24"/>
        </w:rPr>
      </w:pPr>
      <w:r w:rsidRPr="001B7F6D">
        <w:rPr>
          <w:rFonts w:ascii="Book Antiqua" w:hAnsi="Book Antiqua"/>
          <w:sz w:val="24"/>
          <w:szCs w:val="24"/>
        </w:rPr>
        <w:lastRenderedPageBreak/>
        <w:t xml:space="preserve">Although the incidence of childhood malignancy remains relatively stable, survival rates have significantly improved over the past 30 </w:t>
      </w:r>
      <w:proofErr w:type="gramStart"/>
      <w:r w:rsidRPr="001B7F6D">
        <w:rPr>
          <w:rFonts w:ascii="Book Antiqua" w:hAnsi="Book Antiqua"/>
          <w:sz w:val="24"/>
          <w:szCs w:val="24"/>
        </w:rPr>
        <w:t>years</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w:t>
      </w:r>
      <w:r w:rsidRPr="001B7F6D">
        <w:rPr>
          <w:rFonts w:ascii="Book Antiqua" w:hAnsi="Book Antiqua"/>
          <w:sz w:val="24"/>
          <w:szCs w:val="24"/>
        </w:rPr>
        <w:t>. In addition to improved treatment strategies, survival gains have relied upon continuous improvements in the accurate detection, staging and follow-up of these cancers.</w:t>
      </w:r>
    </w:p>
    <w:p w:rsidR="00E37287" w:rsidRPr="001B7F6D" w:rsidRDefault="00805F76" w:rsidP="003A7147">
      <w:pPr>
        <w:pStyle w:val="Body"/>
        <w:spacing w:line="360" w:lineRule="auto"/>
        <w:ind w:firstLineChars="100" w:firstLine="240"/>
        <w:jc w:val="both"/>
        <w:rPr>
          <w:rFonts w:ascii="Book Antiqua" w:eastAsia="Palatino" w:hAnsi="Book Antiqua" w:cs="Palatino"/>
          <w:sz w:val="24"/>
          <w:szCs w:val="24"/>
        </w:rPr>
      </w:pPr>
      <w:r w:rsidRPr="001B7F6D">
        <w:rPr>
          <w:rFonts w:ascii="Book Antiqua" w:hAnsi="Book Antiqua"/>
          <w:sz w:val="24"/>
          <w:szCs w:val="24"/>
        </w:rPr>
        <w:t>Positron emission tomography (PET) is a minimally invasive technique whereby a labelled radiopharmaceutical is injected into a patient and the resulting distribution used to generate molecular information. In practice, PET-alone scanners have largely been replaced by the hybrid modality of PET/computed tomography (CT) which combines the functional data of PET with the morphological information of CT. There has also been ongoing interest in the utility of fusing PET with magn</w:t>
      </w:r>
      <w:r w:rsidR="003A7147">
        <w:rPr>
          <w:rFonts w:ascii="Book Antiqua" w:hAnsi="Book Antiqua"/>
          <w:sz w:val="24"/>
          <w:szCs w:val="24"/>
        </w:rPr>
        <w:t>etic resonance imaging (PET/MR</w:t>
      </w:r>
      <w:proofErr w:type="gramStart"/>
      <w:r w:rsidR="003A7147">
        <w:rPr>
          <w:rFonts w:ascii="Book Antiqua" w:hAnsi="Book Antiqua"/>
          <w:sz w:val="24"/>
          <w:szCs w:val="24"/>
        </w:rPr>
        <w:t>)</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2]</w:t>
      </w:r>
      <w:r w:rsidRPr="001B7F6D">
        <w:rPr>
          <w:rFonts w:ascii="Book Antiqua" w:hAnsi="Book Antiqua"/>
          <w:sz w:val="24"/>
          <w:szCs w:val="24"/>
        </w:rPr>
        <w:t>.</w:t>
      </w:r>
    </w:p>
    <w:p w:rsidR="00E37287" w:rsidRPr="001B7F6D" w:rsidRDefault="00805F76" w:rsidP="003A7147">
      <w:pPr>
        <w:pStyle w:val="Body"/>
        <w:spacing w:line="360" w:lineRule="auto"/>
        <w:ind w:firstLineChars="100" w:firstLine="240"/>
        <w:jc w:val="both"/>
        <w:rPr>
          <w:rFonts w:ascii="Book Antiqua" w:eastAsia="Palatino" w:hAnsi="Book Antiqua" w:cs="Palatino"/>
          <w:sz w:val="24"/>
          <w:szCs w:val="24"/>
        </w:rPr>
      </w:pPr>
      <w:r w:rsidRPr="001B7F6D">
        <w:rPr>
          <w:rFonts w:ascii="Book Antiqua" w:hAnsi="Book Antiqua"/>
          <w:sz w:val="24"/>
          <w:szCs w:val="24"/>
        </w:rPr>
        <w:t>The use of PET and PET/CT in adult oncology is well established for the purpose of diagnosis, staging, monitoring of response to th</w:t>
      </w:r>
      <w:r w:rsidR="003A7147">
        <w:rPr>
          <w:rFonts w:ascii="Book Antiqua" w:hAnsi="Book Antiqua"/>
          <w:sz w:val="24"/>
          <w:szCs w:val="24"/>
        </w:rPr>
        <w:t xml:space="preserve">erapy, and disease </w:t>
      </w:r>
      <w:proofErr w:type="gramStart"/>
      <w:r w:rsidR="003A7147">
        <w:rPr>
          <w:rFonts w:ascii="Book Antiqua" w:hAnsi="Book Antiqua"/>
          <w:sz w:val="24"/>
          <w:szCs w:val="24"/>
        </w:rPr>
        <w:t>surveillance</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3,4]</w:t>
      </w:r>
      <w:r w:rsidRPr="001B7F6D">
        <w:rPr>
          <w:rFonts w:ascii="Book Antiqua" w:hAnsi="Book Antiqua"/>
          <w:sz w:val="24"/>
          <w:szCs w:val="24"/>
        </w:rPr>
        <w:t>. In contrast to this, the value of these modalities in paediatric oncology has traditionally been much less clearly defined. More recently however, evidence has emerged regarding the diagnostic utility of PET and an important role has been reported f</w:t>
      </w:r>
      <w:r w:rsidR="003A7147">
        <w:rPr>
          <w:rFonts w:ascii="Book Antiqua" w:hAnsi="Book Antiqua"/>
          <w:sz w:val="24"/>
          <w:szCs w:val="24"/>
        </w:rPr>
        <w:t xml:space="preserve">or many paediatric </w:t>
      </w:r>
      <w:proofErr w:type="gramStart"/>
      <w:r w:rsidR="003A7147">
        <w:rPr>
          <w:rFonts w:ascii="Book Antiqua" w:hAnsi="Book Antiqua"/>
          <w:sz w:val="24"/>
          <w:szCs w:val="24"/>
        </w:rPr>
        <w:t>malignancies</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5,6]</w:t>
      </w:r>
      <w:r w:rsidRPr="001B7F6D">
        <w:rPr>
          <w:rFonts w:ascii="Book Antiqua" w:hAnsi="Book Antiqua"/>
          <w:sz w:val="24"/>
          <w:szCs w:val="24"/>
        </w:rPr>
        <w:t>. Hybrid imaging with PET/CT has demonstrated superiority to PET alone in characterising childhood cancers, primarily by increasing diagnostic confidence and reduc</w:t>
      </w:r>
      <w:r w:rsidR="003A7147">
        <w:rPr>
          <w:rFonts w:ascii="Book Antiqua" w:hAnsi="Book Antiqua"/>
          <w:sz w:val="24"/>
          <w:szCs w:val="24"/>
        </w:rPr>
        <w:t xml:space="preserve">ing equivocal </w:t>
      </w:r>
      <w:proofErr w:type="gramStart"/>
      <w:r w:rsidR="003A7147">
        <w:rPr>
          <w:rFonts w:ascii="Book Antiqua" w:hAnsi="Book Antiqua"/>
          <w:sz w:val="24"/>
          <w:szCs w:val="24"/>
        </w:rPr>
        <w:t>findings</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7-9]</w:t>
      </w:r>
      <w:r w:rsidRPr="001B7F6D">
        <w:rPr>
          <w:rFonts w:ascii="Book Antiqua" w:hAnsi="Book Antiqua"/>
          <w:sz w:val="24"/>
          <w:szCs w:val="24"/>
        </w:rPr>
        <w:t xml:space="preserve">. PET/CT has become a central component of paediatric oncological practice. </w:t>
      </w:r>
    </w:p>
    <w:p w:rsidR="00E37287" w:rsidRPr="001B7F6D" w:rsidRDefault="00805F76" w:rsidP="003A7147">
      <w:pPr>
        <w:pStyle w:val="Body"/>
        <w:spacing w:line="360" w:lineRule="auto"/>
        <w:ind w:firstLineChars="100" w:firstLine="240"/>
        <w:jc w:val="both"/>
        <w:rPr>
          <w:rFonts w:ascii="Book Antiqua" w:eastAsia="Palatino" w:hAnsi="Book Antiqua" w:cs="Palatino"/>
          <w:sz w:val="24"/>
          <w:szCs w:val="24"/>
        </w:rPr>
      </w:pPr>
      <w:r w:rsidRPr="001B7F6D">
        <w:rPr>
          <w:rFonts w:ascii="Book Antiqua" w:hAnsi="Book Antiqua"/>
          <w:sz w:val="24"/>
          <w:szCs w:val="24"/>
        </w:rPr>
        <w:t xml:space="preserve">PET imaging has now superseded </w:t>
      </w:r>
      <w:r w:rsidRPr="001B7F6D">
        <w:rPr>
          <w:rFonts w:ascii="Book Antiqua" w:hAnsi="Book Antiqua"/>
          <w:sz w:val="24"/>
          <w:szCs w:val="24"/>
          <w:vertAlign w:val="superscript"/>
        </w:rPr>
        <w:t>67</w:t>
      </w:r>
      <w:r w:rsidRPr="001B7F6D">
        <w:rPr>
          <w:rFonts w:ascii="Book Antiqua" w:hAnsi="Book Antiqua"/>
          <w:sz w:val="24"/>
          <w:szCs w:val="24"/>
        </w:rPr>
        <w:t xml:space="preserve">Ga and </w:t>
      </w:r>
      <w:r w:rsidRPr="001B7F6D">
        <w:rPr>
          <w:rFonts w:ascii="Book Antiqua" w:hAnsi="Book Antiqua"/>
          <w:sz w:val="24"/>
          <w:szCs w:val="24"/>
          <w:vertAlign w:val="superscript"/>
        </w:rPr>
        <w:t>201</w:t>
      </w:r>
      <w:r w:rsidRPr="001B7F6D">
        <w:rPr>
          <w:rFonts w:ascii="Book Antiqua" w:hAnsi="Book Antiqua"/>
          <w:sz w:val="24"/>
          <w:szCs w:val="24"/>
        </w:rPr>
        <w:t xml:space="preserve">Tl scintigraphy for many oncological </w:t>
      </w:r>
      <w:proofErr w:type="gramStart"/>
      <w:r w:rsidRPr="001B7F6D">
        <w:rPr>
          <w:rFonts w:ascii="Book Antiqua" w:hAnsi="Book Antiqua"/>
          <w:sz w:val="24"/>
          <w:szCs w:val="24"/>
        </w:rPr>
        <w:t>applications</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10,11]</w:t>
      </w:r>
      <w:r w:rsidRPr="001B7F6D">
        <w:rPr>
          <w:rFonts w:ascii="Book Antiqua" w:hAnsi="Book Antiqua"/>
          <w:sz w:val="24"/>
          <w:szCs w:val="24"/>
        </w:rPr>
        <w:t>. In addition t</w:t>
      </w:r>
      <w:r w:rsidR="00E57667" w:rsidRPr="001B7F6D">
        <w:rPr>
          <w:rFonts w:ascii="Book Antiqua" w:hAnsi="Book Antiqua"/>
          <w:sz w:val="24"/>
          <w:szCs w:val="24"/>
        </w:rPr>
        <w:t>o improved accuracy and having</w:t>
      </w:r>
      <w:r w:rsidR="00D51D05" w:rsidRPr="001B7F6D">
        <w:rPr>
          <w:rFonts w:ascii="Book Antiqua" w:hAnsi="Book Antiqua"/>
          <w:sz w:val="24"/>
          <w:szCs w:val="24"/>
        </w:rPr>
        <w:t xml:space="preserve"> broader clinical application</w:t>
      </w:r>
      <w:r w:rsidRPr="001B7F6D">
        <w:rPr>
          <w:rFonts w:ascii="Book Antiqua" w:hAnsi="Book Antiqua"/>
          <w:sz w:val="24"/>
          <w:szCs w:val="24"/>
        </w:rPr>
        <w:t xml:space="preserve">, advantages of PET over </w:t>
      </w:r>
      <w:r w:rsidRPr="001B7F6D">
        <w:rPr>
          <w:rFonts w:ascii="Book Antiqua" w:hAnsi="Book Antiqua"/>
          <w:sz w:val="24"/>
          <w:szCs w:val="24"/>
          <w:vertAlign w:val="superscript"/>
        </w:rPr>
        <w:t>67</w:t>
      </w:r>
      <w:r w:rsidRPr="001B7F6D">
        <w:rPr>
          <w:rFonts w:ascii="Book Antiqua" w:hAnsi="Book Antiqua"/>
          <w:sz w:val="24"/>
          <w:szCs w:val="24"/>
        </w:rPr>
        <w:t xml:space="preserve">Ga and </w:t>
      </w:r>
      <w:r w:rsidRPr="001B7F6D">
        <w:rPr>
          <w:rFonts w:ascii="Book Antiqua" w:hAnsi="Book Antiqua"/>
          <w:sz w:val="24"/>
          <w:szCs w:val="24"/>
          <w:vertAlign w:val="superscript"/>
        </w:rPr>
        <w:t>201</w:t>
      </w:r>
      <w:r w:rsidRPr="001B7F6D">
        <w:rPr>
          <w:rFonts w:ascii="Book Antiqua" w:hAnsi="Book Antiqua"/>
          <w:sz w:val="24"/>
          <w:szCs w:val="24"/>
        </w:rPr>
        <w:t>Tl scintigraphy include lower radiation dose, reduced scanning time, same day imaging and improved anatomical localisation. Through calculation of the standardised uptake value (SUV), PET is also able to generate quantita</w:t>
      </w:r>
      <w:r w:rsidR="00F4709A" w:rsidRPr="001B7F6D">
        <w:rPr>
          <w:rFonts w:ascii="Book Antiqua" w:hAnsi="Book Antiqua"/>
          <w:sz w:val="24"/>
          <w:szCs w:val="24"/>
        </w:rPr>
        <w:t>tive data on treatment response</w:t>
      </w:r>
      <w:r w:rsidRPr="001B7F6D">
        <w:rPr>
          <w:rFonts w:ascii="Book Antiqua" w:hAnsi="Book Antiqua"/>
          <w:sz w:val="24"/>
          <w:szCs w:val="24"/>
        </w:rPr>
        <w:t>.</w:t>
      </w:r>
    </w:p>
    <w:p w:rsidR="00E37287" w:rsidRPr="001B7F6D" w:rsidRDefault="00805F76" w:rsidP="003A7147">
      <w:pPr>
        <w:pStyle w:val="Body"/>
        <w:spacing w:line="360" w:lineRule="auto"/>
        <w:ind w:firstLineChars="100" w:firstLine="240"/>
        <w:jc w:val="both"/>
        <w:rPr>
          <w:rFonts w:ascii="Book Antiqua" w:eastAsia="Palatino" w:hAnsi="Book Antiqua" w:cs="Palatino"/>
          <w:sz w:val="24"/>
          <w:szCs w:val="24"/>
        </w:rPr>
      </w:pPr>
      <w:r w:rsidRPr="001B7F6D">
        <w:rPr>
          <w:rFonts w:ascii="Book Antiqua" w:hAnsi="Book Antiqua"/>
          <w:sz w:val="24"/>
          <w:szCs w:val="24"/>
        </w:rPr>
        <w:t>Although there are a number of radiopharmaceuticals available, the majority of clinical PET imaging is performed with 2-deoxy-2-(</w:t>
      </w:r>
      <w:r w:rsidRPr="001B7F6D">
        <w:rPr>
          <w:rFonts w:ascii="Book Antiqua" w:hAnsi="Book Antiqua"/>
          <w:sz w:val="24"/>
          <w:szCs w:val="24"/>
          <w:vertAlign w:val="superscript"/>
        </w:rPr>
        <w:t>18</w:t>
      </w:r>
      <w:r w:rsidRPr="001B7F6D">
        <w:rPr>
          <w:rFonts w:ascii="Book Antiqua" w:hAnsi="Book Antiqua"/>
          <w:sz w:val="24"/>
          <w:szCs w:val="24"/>
        </w:rPr>
        <w:t xml:space="preserve">F)fluoro-D-glucose (FDG). FDG has many characteristics that make it ideal for use in PET imaging. </w:t>
      </w:r>
      <w:r w:rsidRPr="001B7F6D">
        <w:rPr>
          <w:rFonts w:ascii="Book Antiqua" w:hAnsi="Book Antiqua"/>
          <w:sz w:val="24"/>
          <w:szCs w:val="24"/>
          <w:vertAlign w:val="superscript"/>
        </w:rPr>
        <w:t>18</w:t>
      </w:r>
      <w:r w:rsidRPr="001B7F6D">
        <w:rPr>
          <w:rFonts w:ascii="Book Antiqua" w:hAnsi="Book Antiqua"/>
          <w:sz w:val="24"/>
          <w:szCs w:val="24"/>
        </w:rPr>
        <w:t xml:space="preserve">F has a relatively short half-life of 110 min, provides relatively low radiation exposures for diagnostic purposes, and is widely commercially available. FDG mimics glucose in its cellular uptake and thereby serves as a marker of glucose utilisation. FDG is therefore not a tumour-specific entity and </w:t>
      </w:r>
      <w:r w:rsidRPr="001B7F6D">
        <w:rPr>
          <w:rFonts w:ascii="Book Antiqua" w:hAnsi="Book Antiqua"/>
          <w:sz w:val="24"/>
          <w:szCs w:val="24"/>
        </w:rPr>
        <w:lastRenderedPageBreak/>
        <w:t>can accumulate in a number of physiological and pathological processes. The use of dual time-p</w:t>
      </w:r>
      <w:r w:rsidR="00D5738D" w:rsidRPr="001B7F6D">
        <w:rPr>
          <w:rFonts w:ascii="Book Antiqua" w:hAnsi="Book Antiqua"/>
          <w:sz w:val="24"/>
          <w:szCs w:val="24"/>
        </w:rPr>
        <w:t>oint imaging, which exploits</w:t>
      </w:r>
      <w:r w:rsidRPr="001B7F6D">
        <w:rPr>
          <w:rFonts w:ascii="Book Antiqua" w:hAnsi="Book Antiqua"/>
          <w:sz w:val="24"/>
          <w:szCs w:val="24"/>
        </w:rPr>
        <w:t xml:space="preserve"> unique characteristics of malignant cells, can help improve the specificity of FDG </w:t>
      </w:r>
      <w:proofErr w:type="gramStart"/>
      <w:r w:rsidRPr="001B7F6D">
        <w:rPr>
          <w:rFonts w:ascii="Book Antiqua" w:hAnsi="Book Antiqua"/>
          <w:sz w:val="24"/>
          <w:szCs w:val="24"/>
        </w:rPr>
        <w:t>imaging</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12]</w:t>
      </w:r>
      <w:r w:rsidRPr="001B7F6D">
        <w:rPr>
          <w:rFonts w:ascii="Book Antiqua" w:hAnsi="Book Antiqua"/>
          <w:sz w:val="24"/>
          <w:szCs w:val="24"/>
        </w:rPr>
        <w:t>.</w:t>
      </w:r>
    </w:p>
    <w:p w:rsidR="00E37287" w:rsidRPr="001B7F6D" w:rsidRDefault="00805F76" w:rsidP="003A7147">
      <w:pPr>
        <w:pStyle w:val="Body"/>
        <w:spacing w:line="360" w:lineRule="auto"/>
        <w:ind w:firstLineChars="100" w:firstLine="240"/>
        <w:jc w:val="both"/>
        <w:rPr>
          <w:rFonts w:ascii="Book Antiqua" w:eastAsia="Palatino" w:hAnsi="Book Antiqua" w:cs="Palatino"/>
          <w:sz w:val="24"/>
          <w:szCs w:val="24"/>
        </w:rPr>
      </w:pPr>
      <w:r w:rsidRPr="001B7F6D">
        <w:rPr>
          <w:rFonts w:ascii="Book Antiqua" w:hAnsi="Book Antiqua"/>
          <w:sz w:val="24"/>
          <w:szCs w:val="24"/>
        </w:rPr>
        <w:t>Common indications for PET in paediatric oncology include lymphoma, sarcoma, neuroblastoma and primary brain malignancy. Other important indications include Langerhans cell histiocytosis, Wilms tumo</w:t>
      </w:r>
      <w:r w:rsidR="003A7147">
        <w:rPr>
          <w:rFonts w:ascii="Book Antiqua" w:hAnsi="Book Antiqua"/>
          <w:sz w:val="24"/>
          <w:szCs w:val="24"/>
        </w:rPr>
        <w:t xml:space="preserve">r, and neurofibromatosis type </w:t>
      </w:r>
      <w:proofErr w:type="gramStart"/>
      <w:r w:rsidR="003A7147">
        <w:rPr>
          <w:rFonts w:ascii="Book Antiqua" w:hAnsi="Book Antiqua"/>
          <w:sz w:val="24"/>
          <w:szCs w:val="24"/>
        </w:rPr>
        <w:t>I</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13]</w:t>
      </w:r>
      <w:r w:rsidRPr="001B7F6D">
        <w:rPr>
          <w:rFonts w:ascii="Book Antiqua" w:hAnsi="Book Antiqua"/>
          <w:sz w:val="24"/>
          <w:szCs w:val="24"/>
        </w:rPr>
        <w:t>. This article aims to review current evidence for the use of PET and PET/CT in these indications. Imaging with the radiopharmaceutical FDG will be assumed unless noted otherwise. Attention will also be given to technical and logistical issues, the description of common imaging pitfalls, and dosimetric concerns as they relate to paediatric oncology.</w:t>
      </w:r>
    </w:p>
    <w:p w:rsidR="00E37287" w:rsidRPr="001B7F6D" w:rsidRDefault="00E37287" w:rsidP="001B7F6D">
      <w:pPr>
        <w:pStyle w:val="Body"/>
        <w:spacing w:line="360" w:lineRule="auto"/>
        <w:jc w:val="both"/>
        <w:rPr>
          <w:rFonts w:ascii="Book Antiqua" w:hAnsi="Book Antiqua"/>
          <w:sz w:val="24"/>
          <w:szCs w:val="24"/>
          <w:lang w:eastAsia="zh-CN"/>
        </w:rPr>
      </w:pPr>
    </w:p>
    <w:p w:rsidR="00E37287" w:rsidRPr="003A7147" w:rsidRDefault="00805F76" w:rsidP="001B7F6D">
      <w:pPr>
        <w:pStyle w:val="Body"/>
        <w:spacing w:line="360" w:lineRule="auto"/>
        <w:jc w:val="both"/>
        <w:rPr>
          <w:rFonts w:ascii="Book Antiqua" w:eastAsia="Palatino" w:hAnsi="Book Antiqua" w:cs="Palatino"/>
          <w:b/>
          <w:sz w:val="24"/>
          <w:szCs w:val="24"/>
        </w:rPr>
      </w:pPr>
      <w:r w:rsidRPr="003A7147">
        <w:rPr>
          <w:rFonts w:ascii="Book Antiqua" w:hAnsi="Book Antiqua"/>
          <w:b/>
          <w:sz w:val="24"/>
          <w:szCs w:val="24"/>
        </w:rPr>
        <w:t>LYMPHOMA</w:t>
      </w:r>
    </w:p>
    <w:p w:rsidR="00E37287" w:rsidRPr="001B7F6D" w:rsidRDefault="00805F76" w:rsidP="001B7F6D">
      <w:pPr>
        <w:pStyle w:val="Body"/>
        <w:spacing w:line="360" w:lineRule="auto"/>
        <w:jc w:val="both"/>
        <w:rPr>
          <w:rFonts w:ascii="Book Antiqua" w:eastAsia="Palatino" w:hAnsi="Book Antiqua" w:cs="Palatino"/>
          <w:color w:val="131313"/>
          <w:sz w:val="24"/>
          <w:szCs w:val="24"/>
        </w:rPr>
      </w:pPr>
      <w:r w:rsidRPr="001B7F6D">
        <w:rPr>
          <w:rFonts w:ascii="Book Antiqua" w:hAnsi="Book Antiqua"/>
          <w:color w:val="131313"/>
          <w:sz w:val="24"/>
          <w:szCs w:val="24"/>
        </w:rPr>
        <w:t>Non-Hodgkin’s and Hodgkin’s lymphoma collectively account for between 10</w:t>
      </w:r>
      <w:r w:rsidR="003A7147">
        <w:rPr>
          <w:rFonts w:ascii="Book Antiqua" w:hAnsi="Book Antiqua" w:hint="eastAsia"/>
          <w:color w:val="131313"/>
          <w:sz w:val="24"/>
          <w:szCs w:val="24"/>
          <w:lang w:eastAsia="zh-CN"/>
        </w:rPr>
        <w:t>%</w:t>
      </w:r>
      <w:r w:rsidRPr="001B7F6D">
        <w:rPr>
          <w:rFonts w:ascii="Book Antiqua" w:hAnsi="Book Antiqua"/>
          <w:color w:val="131313"/>
          <w:sz w:val="24"/>
          <w:szCs w:val="24"/>
        </w:rPr>
        <w:t xml:space="preserve"> and 15% of paediatric malignancies. Evaluation of lymphoma remains the most frequent indication of PET/CT imaging in children. Its use in this con</w:t>
      </w:r>
      <w:r w:rsidR="003A7147">
        <w:rPr>
          <w:rFonts w:ascii="Book Antiqua" w:hAnsi="Book Antiqua"/>
          <w:color w:val="131313"/>
          <w:sz w:val="24"/>
          <w:szCs w:val="24"/>
        </w:rPr>
        <w:t xml:space="preserve">text has recently been </w:t>
      </w:r>
      <w:proofErr w:type="gramStart"/>
      <w:r w:rsidR="003A7147">
        <w:rPr>
          <w:rFonts w:ascii="Book Antiqua" w:hAnsi="Book Antiqua"/>
          <w:color w:val="131313"/>
          <w:sz w:val="24"/>
          <w:szCs w:val="24"/>
        </w:rPr>
        <w:t>reviewed</w:t>
      </w:r>
      <w:r w:rsidRPr="001B7F6D">
        <w:rPr>
          <w:rFonts w:ascii="Book Antiqua" w:hAnsi="Book Antiqua"/>
          <w:color w:val="131313"/>
          <w:sz w:val="24"/>
          <w:szCs w:val="24"/>
          <w:vertAlign w:val="superscript"/>
        </w:rPr>
        <w:t>[</w:t>
      </w:r>
      <w:proofErr w:type="gramEnd"/>
      <w:r w:rsidRPr="001B7F6D">
        <w:rPr>
          <w:rFonts w:ascii="Book Antiqua" w:hAnsi="Book Antiqua"/>
          <w:color w:val="131313"/>
          <w:sz w:val="24"/>
          <w:szCs w:val="24"/>
          <w:vertAlign w:val="superscript"/>
        </w:rPr>
        <w:t>14]</w:t>
      </w:r>
      <w:r w:rsidRPr="001B7F6D">
        <w:rPr>
          <w:rFonts w:ascii="Book Antiqua" w:hAnsi="Book Antiqua"/>
          <w:color w:val="131313"/>
          <w:sz w:val="24"/>
          <w:szCs w:val="24"/>
        </w:rPr>
        <w:t xml:space="preserve">. </w:t>
      </w:r>
    </w:p>
    <w:p w:rsidR="00E37287" w:rsidRPr="001B7F6D" w:rsidRDefault="00805F76" w:rsidP="003A7147">
      <w:pPr>
        <w:pStyle w:val="Body"/>
        <w:spacing w:line="360" w:lineRule="auto"/>
        <w:ind w:firstLineChars="100" w:firstLine="240"/>
        <w:jc w:val="both"/>
        <w:rPr>
          <w:rFonts w:ascii="Book Antiqua" w:eastAsia="Palatino" w:hAnsi="Book Antiqua" w:cs="Palatino"/>
          <w:color w:val="131313"/>
          <w:sz w:val="24"/>
          <w:szCs w:val="24"/>
        </w:rPr>
      </w:pPr>
      <w:r w:rsidRPr="001B7F6D">
        <w:rPr>
          <w:rFonts w:ascii="Book Antiqua" w:hAnsi="Book Antiqua"/>
          <w:color w:val="131313"/>
          <w:sz w:val="24"/>
          <w:szCs w:val="24"/>
        </w:rPr>
        <w:t>Whilst there is a large body of evidence supporting the use of PET/CT in adults, data remains more limited in relation to paediatric lymphoma. Nevertheless, available studies in children suggest that PET/CT is both diagnostically accurate and of significant clinic</w:t>
      </w:r>
      <w:r w:rsidR="003A7147">
        <w:rPr>
          <w:rFonts w:ascii="Book Antiqua" w:hAnsi="Book Antiqua"/>
          <w:color w:val="131313"/>
          <w:sz w:val="24"/>
          <w:szCs w:val="24"/>
        </w:rPr>
        <w:t xml:space="preserve">al importance in these </w:t>
      </w:r>
      <w:proofErr w:type="gramStart"/>
      <w:r w:rsidR="003A7147">
        <w:rPr>
          <w:rFonts w:ascii="Book Antiqua" w:hAnsi="Book Antiqua"/>
          <w:color w:val="131313"/>
          <w:sz w:val="24"/>
          <w:szCs w:val="24"/>
        </w:rPr>
        <w:t>children</w:t>
      </w:r>
      <w:r w:rsidRPr="001B7F6D">
        <w:rPr>
          <w:rFonts w:ascii="Book Antiqua" w:hAnsi="Book Antiqua"/>
          <w:color w:val="131313"/>
          <w:sz w:val="24"/>
          <w:szCs w:val="24"/>
          <w:vertAlign w:val="superscript"/>
        </w:rPr>
        <w:t>[</w:t>
      </w:r>
      <w:proofErr w:type="gramEnd"/>
      <w:r w:rsidRPr="001B7F6D">
        <w:rPr>
          <w:rFonts w:ascii="Book Antiqua" w:hAnsi="Book Antiqua"/>
          <w:color w:val="131313"/>
          <w:sz w:val="24"/>
          <w:szCs w:val="24"/>
          <w:vertAlign w:val="superscript"/>
        </w:rPr>
        <w:t>15-17]</w:t>
      </w:r>
      <w:r w:rsidRPr="001B7F6D">
        <w:rPr>
          <w:rFonts w:ascii="Book Antiqua" w:hAnsi="Book Antiqua"/>
          <w:color w:val="131313"/>
          <w:sz w:val="24"/>
          <w:szCs w:val="24"/>
        </w:rPr>
        <w:t>.</w:t>
      </w:r>
    </w:p>
    <w:p w:rsidR="00E37287" w:rsidRPr="001B7F6D" w:rsidRDefault="00805F76" w:rsidP="003A7147">
      <w:pPr>
        <w:pStyle w:val="Body"/>
        <w:spacing w:line="360" w:lineRule="auto"/>
        <w:ind w:firstLineChars="100" w:firstLine="240"/>
        <w:jc w:val="both"/>
        <w:rPr>
          <w:rFonts w:ascii="Book Antiqua" w:eastAsia="Palatino" w:hAnsi="Book Antiqua" w:cs="Palatino"/>
          <w:color w:val="131313"/>
          <w:sz w:val="24"/>
          <w:szCs w:val="24"/>
        </w:rPr>
      </w:pPr>
      <w:r w:rsidRPr="001B7F6D">
        <w:rPr>
          <w:rFonts w:ascii="Book Antiqua" w:hAnsi="Book Antiqua"/>
          <w:color w:val="131313"/>
          <w:sz w:val="24"/>
          <w:szCs w:val="24"/>
        </w:rPr>
        <w:t>In two large retrospective studies PET/CT demonstrated superiority over conventional imaging modalities (CT, ultrasound, MRI or bone scintigraphy) in the primary staging of lesions due to both Hodgkin’s and non-Hodgkin’s disease (Figures 1</w:t>
      </w:r>
      <w:r w:rsidR="003A7147" w:rsidRPr="001B7F6D">
        <w:rPr>
          <w:rFonts w:ascii="Book Antiqua" w:hAnsi="Book Antiqua"/>
          <w:color w:val="131313"/>
          <w:sz w:val="24"/>
          <w:szCs w:val="24"/>
        </w:rPr>
        <w:t>A</w:t>
      </w:r>
      <w:r w:rsidRPr="001B7F6D">
        <w:rPr>
          <w:rFonts w:ascii="Book Antiqua" w:hAnsi="Book Antiqua"/>
          <w:color w:val="131313"/>
          <w:sz w:val="24"/>
          <w:szCs w:val="24"/>
        </w:rPr>
        <w:t xml:space="preserve"> and 2</w:t>
      </w:r>
      <w:r w:rsidR="003A7147" w:rsidRPr="001B7F6D">
        <w:rPr>
          <w:rFonts w:ascii="Book Antiqua" w:hAnsi="Book Antiqua"/>
          <w:color w:val="131313"/>
          <w:sz w:val="24"/>
          <w:szCs w:val="24"/>
        </w:rPr>
        <w:t>A</w:t>
      </w:r>
      <w:r w:rsidR="003A7147">
        <w:rPr>
          <w:rFonts w:ascii="Book Antiqua" w:hAnsi="Book Antiqua"/>
          <w:color w:val="131313"/>
          <w:sz w:val="24"/>
          <w:szCs w:val="24"/>
        </w:rPr>
        <w:t>)</w:t>
      </w:r>
      <w:r w:rsidRPr="001B7F6D">
        <w:rPr>
          <w:rFonts w:ascii="Book Antiqua" w:hAnsi="Book Antiqua"/>
          <w:color w:val="131313"/>
          <w:sz w:val="24"/>
          <w:szCs w:val="24"/>
          <w:vertAlign w:val="superscript"/>
        </w:rPr>
        <w:t>[18,19]</w:t>
      </w:r>
      <w:r w:rsidRPr="001B7F6D">
        <w:rPr>
          <w:rFonts w:ascii="Book Antiqua" w:hAnsi="Book Antiqua"/>
          <w:color w:val="131313"/>
          <w:sz w:val="24"/>
          <w:szCs w:val="24"/>
        </w:rPr>
        <w:t xml:space="preserve">. Calculated sensitivities and specificities for initial disease staging was greater than 95% and 99% </w:t>
      </w:r>
      <w:proofErr w:type="gramStart"/>
      <w:r w:rsidRPr="001B7F6D">
        <w:rPr>
          <w:rFonts w:ascii="Book Antiqua" w:hAnsi="Book Antiqua"/>
          <w:color w:val="131313"/>
          <w:sz w:val="24"/>
          <w:szCs w:val="24"/>
        </w:rPr>
        <w:t>respectively</w:t>
      </w:r>
      <w:r w:rsidRPr="001B7F6D">
        <w:rPr>
          <w:rFonts w:ascii="Book Antiqua" w:hAnsi="Book Antiqua"/>
          <w:color w:val="131313"/>
          <w:sz w:val="24"/>
          <w:szCs w:val="24"/>
          <w:vertAlign w:val="superscript"/>
        </w:rPr>
        <w:t>[</w:t>
      </w:r>
      <w:proofErr w:type="gramEnd"/>
      <w:r w:rsidRPr="001B7F6D">
        <w:rPr>
          <w:rFonts w:ascii="Book Antiqua" w:hAnsi="Book Antiqua"/>
          <w:color w:val="131313"/>
          <w:sz w:val="24"/>
          <w:szCs w:val="24"/>
          <w:vertAlign w:val="superscript"/>
        </w:rPr>
        <w:t>18,19]</w:t>
      </w:r>
      <w:r w:rsidRPr="001B7F6D">
        <w:rPr>
          <w:rFonts w:ascii="Book Antiqua" w:hAnsi="Book Antiqua"/>
          <w:color w:val="131313"/>
          <w:sz w:val="24"/>
          <w:szCs w:val="24"/>
        </w:rPr>
        <w:t>. Furthermore, PET/CT modified staging in 27% of cases, with approximately equal instance</w:t>
      </w:r>
      <w:r w:rsidR="003A7147">
        <w:rPr>
          <w:rFonts w:ascii="Book Antiqua" w:hAnsi="Book Antiqua"/>
          <w:color w:val="131313"/>
          <w:sz w:val="24"/>
          <w:szCs w:val="24"/>
        </w:rPr>
        <w:t>s of upstaging and down-</w:t>
      </w:r>
      <w:proofErr w:type="gramStart"/>
      <w:r w:rsidR="003A7147">
        <w:rPr>
          <w:rFonts w:ascii="Book Antiqua" w:hAnsi="Book Antiqua"/>
          <w:color w:val="131313"/>
          <w:sz w:val="24"/>
          <w:szCs w:val="24"/>
        </w:rPr>
        <w:t>staging</w:t>
      </w:r>
      <w:r w:rsidRPr="001B7F6D">
        <w:rPr>
          <w:rFonts w:ascii="Book Antiqua" w:hAnsi="Book Antiqua"/>
          <w:color w:val="131313"/>
          <w:sz w:val="24"/>
          <w:szCs w:val="24"/>
          <w:vertAlign w:val="superscript"/>
        </w:rPr>
        <w:t>[</w:t>
      </w:r>
      <w:proofErr w:type="gramEnd"/>
      <w:r w:rsidRPr="001B7F6D">
        <w:rPr>
          <w:rFonts w:ascii="Book Antiqua" w:hAnsi="Book Antiqua"/>
          <w:color w:val="131313"/>
          <w:sz w:val="24"/>
          <w:szCs w:val="24"/>
          <w:vertAlign w:val="superscript"/>
        </w:rPr>
        <w:t>19]</w:t>
      </w:r>
      <w:r w:rsidRPr="001B7F6D">
        <w:rPr>
          <w:rFonts w:ascii="Book Antiqua" w:hAnsi="Book Antiqua"/>
          <w:color w:val="131313"/>
          <w:sz w:val="24"/>
          <w:szCs w:val="24"/>
        </w:rPr>
        <w:t xml:space="preserve">. </w:t>
      </w:r>
    </w:p>
    <w:p w:rsidR="00E37287" w:rsidRPr="001B7F6D" w:rsidRDefault="00805F76" w:rsidP="003A7147">
      <w:pPr>
        <w:pStyle w:val="Body"/>
        <w:spacing w:line="360" w:lineRule="auto"/>
        <w:ind w:firstLineChars="100" w:firstLine="240"/>
        <w:jc w:val="both"/>
        <w:rPr>
          <w:rFonts w:ascii="Book Antiqua" w:eastAsia="Palatino" w:hAnsi="Book Antiqua" w:cs="Palatino"/>
          <w:color w:val="131313"/>
          <w:sz w:val="24"/>
          <w:szCs w:val="24"/>
        </w:rPr>
      </w:pPr>
      <w:r w:rsidRPr="001B7F6D">
        <w:rPr>
          <w:rFonts w:ascii="Book Antiqua" w:hAnsi="Book Antiqua"/>
          <w:color w:val="131313"/>
          <w:sz w:val="24"/>
          <w:szCs w:val="24"/>
        </w:rPr>
        <w:t>PET has been shown to demonstrate superior sensitivity in the detection of bone marrow involvement due to Hodgkin’s disease when c</w:t>
      </w:r>
      <w:r w:rsidR="003A7147">
        <w:rPr>
          <w:rFonts w:ascii="Book Antiqua" w:hAnsi="Book Antiqua"/>
          <w:color w:val="131313"/>
          <w:sz w:val="24"/>
          <w:szCs w:val="24"/>
        </w:rPr>
        <w:t xml:space="preserve">ompared with bone marrow </w:t>
      </w:r>
      <w:proofErr w:type="gramStart"/>
      <w:r w:rsidR="003A7147">
        <w:rPr>
          <w:rFonts w:ascii="Book Antiqua" w:hAnsi="Book Antiqua"/>
          <w:color w:val="131313"/>
          <w:sz w:val="24"/>
          <w:szCs w:val="24"/>
        </w:rPr>
        <w:t>biopsy</w:t>
      </w:r>
      <w:r w:rsidRPr="001B7F6D">
        <w:rPr>
          <w:rFonts w:ascii="Book Antiqua" w:hAnsi="Book Antiqua"/>
          <w:color w:val="131313"/>
          <w:sz w:val="24"/>
          <w:szCs w:val="24"/>
          <w:vertAlign w:val="superscript"/>
        </w:rPr>
        <w:t>[</w:t>
      </w:r>
      <w:proofErr w:type="gramEnd"/>
      <w:r w:rsidRPr="001B7F6D">
        <w:rPr>
          <w:rFonts w:ascii="Book Antiqua" w:hAnsi="Book Antiqua"/>
          <w:color w:val="131313"/>
          <w:sz w:val="24"/>
          <w:szCs w:val="24"/>
          <w:vertAlign w:val="superscript"/>
        </w:rPr>
        <w:t>20-23]</w:t>
      </w:r>
      <w:r w:rsidRPr="001B7F6D">
        <w:rPr>
          <w:rFonts w:ascii="Book Antiqua" w:hAnsi="Book Antiqua"/>
          <w:color w:val="131313"/>
          <w:sz w:val="24"/>
          <w:szCs w:val="24"/>
        </w:rPr>
        <w:t xml:space="preserve">. Marrow involvement in Hodgkin’s disease is generally unifocal or multifocal and thus can easily be missed on biopsy. PET should therefore be employed as a first-line study in the detection of marrow involvement prior to directed bone marrow biopsy. There is accumulating evidence that a negative PET may replace the need for bone marrow biopsy in patients with Hodgkin’s </w:t>
      </w:r>
      <w:proofErr w:type="gramStart"/>
      <w:r w:rsidRPr="001B7F6D">
        <w:rPr>
          <w:rFonts w:ascii="Book Antiqua" w:hAnsi="Book Antiqua"/>
          <w:color w:val="131313"/>
          <w:sz w:val="24"/>
          <w:szCs w:val="24"/>
        </w:rPr>
        <w:t>lymphoma</w:t>
      </w:r>
      <w:r w:rsidRPr="001B7F6D">
        <w:rPr>
          <w:rFonts w:ascii="Book Antiqua" w:hAnsi="Book Antiqua"/>
          <w:color w:val="131313"/>
          <w:sz w:val="24"/>
          <w:szCs w:val="24"/>
          <w:vertAlign w:val="superscript"/>
        </w:rPr>
        <w:t>[</w:t>
      </w:r>
      <w:proofErr w:type="gramEnd"/>
      <w:r w:rsidRPr="001B7F6D">
        <w:rPr>
          <w:rFonts w:ascii="Book Antiqua" w:hAnsi="Book Antiqua"/>
          <w:color w:val="131313"/>
          <w:sz w:val="24"/>
          <w:szCs w:val="24"/>
          <w:vertAlign w:val="superscript"/>
        </w:rPr>
        <w:t>20,21]</w:t>
      </w:r>
      <w:r w:rsidRPr="001B7F6D">
        <w:rPr>
          <w:rFonts w:ascii="Book Antiqua" w:hAnsi="Book Antiqua"/>
          <w:color w:val="131313"/>
          <w:sz w:val="24"/>
          <w:szCs w:val="24"/>
        </w:rPr>
        <w:t>.</w:t>
      </w:r>
    </w:p>
    <w:p w:rsidR="00E37287" w:rsidRPr="001B7F6D" w:rsidRDefault="00805F76" w:rsidP="003A7147">
      <w:pPr>
        <w:pStyle w:val="Body"/>
        <w:spacing w:line="360" w:lineRule="auto"/>
        <w:ind w:firstLineChars="100" w:firstLine="240"/>
        <w:jc w:val="both"/>
        <w:rPr>
          <w:rFonts w:ascii="Book Antiqua" w:eastAsia="Palatino" w:hAnsi="Book Antiqua" w:cs="Palatino"/>
          <w:color w:val="131313"/>
          <w:sz w:val="24"/>
          <w:szCs w:val="24"/>
        </w:rPr>
      </w:pPr>
      <w:r w:rsidRPr="001B7F6D">
        <w:rPr>
          <w:rFonts w:ascii="Book Antiqua" w:hAnsi="Book Antiqua"/>
          <w:color w:val="131313"/>
          <w:sz w:val="24"/>
          <w:szCs w:val="24"/>
        </w:rPr>
        <w:lastRenderedPageBreak/>
        <w:t xml:space="preserve">PET/CT has also demonstrated efficacy in the evaluation of treatment response, and performs significantly better than conventional imaging modalities in the evaluation of both early and post-completion chemotherapy responses </w:t>
      </w:r>
      <w:r w:rsidRPr="001B7F6D">
        <w:rPr>
          <w:rFonts w:ascii="Book Antiqua" w:hAnsi="Book Antiqua"/>
          <w:color w:val="131313"/>
          <w:sz w:val="24"/>
          <w:szCs w:val="24"/>
          <w:lang w:val="fr-FR"/>
        </w:rPr>
        <w:t>(Figures 1</w:t>
      </w:r>
      <w:r w:rsidR="003A7147" w:rsidRPr="001B7F6D">
        <w:rPr>
          <w:rFonts w:ascii="Book Antiqua" w:hAnsi="Book Antiqua"/>
          <w:color w:val="131313"/>
          <w:sz w:val="24"/>
          <w:szCs w:val="24"/>
        </w:rPr>
        <w:t>B</w:t>
      </w:r>
      <w:r w:rsidRPr="001B7F6D">
        <w:rPr>
          <w:rFonts w:ascii="Book Antiqua" w:hAnsi="Book Antiqua"/>
          <w:color w:val="131313"/>
          <w:sz w:val="24"/>
          <w:szCs w:val="24"/>
        </w:rPr>
        <w:t xml:space="preserve"> and 2</w:t>
      </w:r>
      <w:r w:rsidR="003A7147" w:rsidRPr="001B7F6D">
        <w:rPr>
          <w:rFonts w:ascii="Book Antiqua" w:hAnsi="Book Antiqua"/>
          <w:color w:val="131313"/>
          <w:sz w:val="24"/>
          <w:szCs w:val="24"/>
        </w:rPr>
        <w:t>B</w:t>
      </w:r>
      <w:proofErr w:type="gramStart"/>
      <w:r w:rsidRPr="001B7F6D">
        <w:rPr>
          <w:rFonts w:ascii="Book Antiqua" w:hAnsi="Book Antiqua"/>
          <w:color w:val="131313"/>
          <w:sz w:val="24"/>
          <w:szCs w:val="24"/>
        </w:rPr>
        <w:t>)</w:t>
      </w:r>
      <w:r w:rsidRPr="001B7F6D">
        <w:rPr>
          <w:rFonts w:ascii="Book Antiqua" w:hAnsi="Book Antiqua"/>
          <w:color w:val="131313"/>
          <w:sz w:val="24"/>
          <w:szCs w:val="24"/>
          <w:vertAlign w:val="superscript"/>
        </w:rPr>
        <w:t>[</w:t>
      </w:r>
      <w:proofErr w:type="gramEnd"/>
      <w:r w:rsidRPr="001B7F6D">
        <w:rPr>
          <w:rFonts w:ascii="Book Antiqua" w:hAnsi="Book Antiqua"/>
          <w:color w:val="131313"/>
          <w:sz w:val="24"/>
          <w:szCs w:val="24"/>
          <w:vertAlign w:val="superscript"/>
        </w:rPr>
        <w:t>18]</w:t>
      </w:r>
      <w:r w:rsidRPr="001B7F6D">
        <w:rPr>
          <w:rFonts w:ascii="Book Antiqua" w:hAnsi="Book Antiqua"/>
          <w:color w:val="131313"/>
          <w:sz w:val="24"/>
          <w:szCs w:val="24"/>
        </w:rPr>
        <w:t xml:space="preserve">. Multiple studies have demonstrated that a complete metabolic response early in the course of chemotherapy is associated with an excellent prognosis in </w:t>
      </w:r>
      <w:r w:rsidR="003A7147">
        <w:rPr>
          <w:rFonts w:ascii="Book Antiqua" w:hAnsi="Book Antiqua"/>
          <w:color w:val="131313"/>
          <w:sz w:val="24"/>
          <w:szCs w:val="24"/>
        </w:rPr>
        <w:t xml:space="preserve">children with Hodgkin’s </w:t>
      </w:r>
      <w:proofErr w:type="gramStart"/>
      <w:r w:rsidR="003A7147">
        <w:rPr>
          <w:rFonts w:ascii="Book Antiqua" w:hAnsi="Book Antiqua"/>
          <w:color w:val="131313"/>
          <w:sz w:val="24"/>
          <w:szCs w:val="24"/>
        </w:rPr>
        <w:t>disease</w:t>
      </w:r>
      <w:r w:rsidRPr="001B7F6D">
        <w:rPr>
          <w:rFonts w:ascii="Book Antiqua" w:hAnsi="Book Antiqua"/>
          <w:color w:val="131313"/>
          <w:sz w:val="24"/>
          <w:szCs w:val="24"/>
          <w:vertAlign w:val="superscript"/>
        </w:rPr>
        <w:t>[</w:t>
      </w:r>
      <w:proofErr w:type="gramEnd"/>
      <w:r w:rsidRPr="001B7F6D">
        <w:rPr>
          <w:rFonts w:ascii="Book Antiqua" w:hAnsi="Book Antiqua"/>
          <w:color w:val="131313"/>
          <w:sz w:val="24"/>
          <w:szCs w:val="24"/>
          <w:vertAlign w:val="superscript"/>
        </w:rPr>
        <w:t>24-26]</w:t>
      </w:r>
      <w:r w:rsidRPr="001B7F6D">
        <w:rPr>
          <w:rFonts w:ascii="Book Antiqua" w:hAnsi="Book Antiqua"/>
          <w:color w:val="131313"/>
          <w:sz w:val="24"/>
          <w:szCs w:val="24"/>
        </w:rPr>
        <w:t>. Ongoing trials are aiming to utilise this information to enable distinct treatment protocols for these patients and therefore mini</w:t>
      </w:r>
      <w:r w:rsidR="003A7147">
        <w:rPr>
          <w:rFonts w:ascii="Book Antiqua" w:hAnsi="Book Antiqua"/>
          <w:color w:val="131313"/>
          <w:sz w:val="24"/>
          <w:szCs w:val="24"/>
        </w:rPr>
        <w:t xml:space="preserve">mise treatment-related </w:t>
      </w:r>
      <w:proofErr w:type="gramStart"/>
      <w:r w:rsidR="003A7147">
        <w:rPr>
          <w:rFonts w:ascii="Book Antiqua" w:hAnsi="Book Antiqua"/>
          <w:color w:val="131313"/>
          <w:sz w:val="24"/>
          <w:szCs w:val="24"/>
        </w:rPr>
        <w:t>toxicity</w:t>
      </w:r>
      <w:r w:rsidRPr="001B7F6D">
        <w:rPr>
          <w:rFonts w:ascii="Book Antiqua" w:hAnsi="Book Antiqua"/>
          <w:color w:val="131313"/>
          <w:sz w:val="24"/>
          <w:szCs w:val="24"/>
          <w:vertAlign w:val="superscript"/>
        </w:rPr>
        <w:t>[</w:t>
      </w:r>
      <w:proofErr w:type="gramEnd"/>
      <w:r w:rsidRPr="001B7F6D">
        <w:rPr>
          <w:rFonts w:ascii="Book Antiqua" w:hAnsi="Book Antiqua"/>
          <w:color w:val="131313"/>
          <w:sz w:val="24"/>
          <w:szCs w:val="24"/>
          <w:vertAlign w:val="superscript"/>
        </w:rPr>
        <w:t>14]</w:t>
      </w:r>
      <w:r w:rsidRPr="001B7F6D">
        <w:rPr>
          <w:rFonts w:ascii="Book Antiqua" w:hAnsi="Book Antiqua"/>
          <w:color w:val="131313"/>
          <w:sz w:val="24"/>
          <w:szCs w:val="24"/>
        </w:rPr>
        <w:t>.</w:t>
      </w:r>
    </w:p>
    <w:p w:rsidR="00E37287" w:rsidRPr="001B7F6D" w:rsidRDefault="00805F76" w:rsidP="003A7147">
      <w:pPr>
        <w:pStyle w:val="Body"/>
        <w:spacing w:line="360" w:lineRule="auto"/>
        <w:ind w:firstLineChars="100" w:firstLine="240"/>
        <w:jc w:val="both"/>
        <w:rPr>
          <w:rFonts w:ascii="Book Antiqua" w:hAnsi="Book Antiqua"/>
          <w:color w:val="131313"/>
          <w:sz w:val="24"/>
          <w:szCs w:val="24"/>
        </w:rPr>
      </w:pPr>
      <w:r w:rsidRPr="001B7F6D">
        <w:rPr>
          <w:rFonts w:ascii="Book Antiqua" w:hAnsi="Book Antiqua"/>
          <w:color w:val="131313"/>
          <w:sz w:val="24"/>
          <w:szCs w:val="24"/>
        </w:rPr>
        <w:t>Finally, PET/CT may be a useful modality for the follow-up of children with lymphoma, and a negative study during routine follow-up has a</w:t>
      </w:r>
      <w:r w:rsidR="003A7147">
        <w:rPr>
          <w:rFonts w:ascii="Book Antiqua" w:hAnsi="Book Antiqua"/>
          <w:color w:val="131313"/>
          <w:sz w:val="24"/>
          <w:szCs w:val="24"/>
        </w:rPr>
        <w:t xml:space="preserve"> high negative predictive </w:t>
      </w:r>
      <w:proofErr w:type="gramStart"/>
      <w:r w:rsidR="003A7147">
        <w:rPr>
          <w:rFonts w:ascii="Book Antiqua" w:hAnsi="Book Antiqua"/>
          <w:color w:val="131313"/>
          <w:sz w:val="24"/>
          <w:szCs w:val="24"/>
        </w:rPr>
        <w:t>value</w:t>
      </w:r>
      <w:r w:rsidRPr="001B7F6D">
        <w:rPr>
          <w:rFonts w:ascii="Book Antiqua" w:hAnsi="Book Antiqua"/>
          <w:color w:val="131313"/>
          <w:sz w:val="24"/>
          <w:szCs w:val="24"/>
          <w:vertAlign w:val="superscript"/>
        </w:rPr>
        <w:t>[</w:t>
      </w:r>
      <w:proofErr w:type="gramEnd"/>
      <w:r w:rsidRPr="001B7F6D">
        <w:rPr>
          <w:rFonts w:ascii="Book Antiqua" w:hAnsi="Book Antiqua"/>
          <w:color w:val="131313"/>
          <w:sz w:val="24"/>
          <w:szCs w:val="24"/>
          <w:vertAlign w:val="superscript"/>
        </w:rPr>
        <w:t>16,27,28]</w:t>
      </w:r>
      <w:r w:rsidRPr="001B7F6D">
        <w:rPr>
          <w:rFonts w:ascii="Book Antiqua" w:hAnsi="Book Antiqua"/>
          <w:color w:val="131313"/>
          <w:sz w:val="24"/>
          <w:szCs w:val="24"/>
        </w:rPr>
        <w:t>. PET/CT was found to be superior to conventional imaging during long-term foll</w:t>
      </w:r>
      <w:r w:rsidR="003A7147">
        <w:rPr>
          <w:rFonts w:ascii="Book Antiqua" w:hAnsi="Book Antiqua"/>
          <w:color w:val="131313"/>
          <w:sz w:val="24"/>
          <w:szCs w:val="24"/>
        </w:rPr>
        <w:t xml:space="preserve">ow-up of children with </w:t>
      </w:r>
      <w:proofErr w:type="gramStart"/>
      <w:r w:rsidR="003A7147">
        <w:rPr>
          <w:rFonts w:ascii="Book Antiqua" w:hAnsi="Book Antiqua"/>
          <w:color w:val="131313"/>
          <w:sz w:val="24"/>
          <w:szCs w:val="24"/>
        </w:rPr>
        <w:t>lymphoma</w:t>
      </w:r>
      <w:r w:rsidRPr="001B7F6D">
        <w:rPr>
          <w:rFonts w:ascii="Book Antiqua" w:hAnsi="Book Antiqua"/>
          <w:color w:val="131313"/>
          <w:sz w:val="24"/>
          <w:szCs w:val="24"/>
          <w:vertAlign w:val="superscript"/>
        </w:rPr>
        <w:t>[</w:t>
      </w:r>
      <w:proofErr w:type="gramEnd"/>
      <w:r w:rsidRPr="001B7F6D">
        <w:rPr>
          <w:rFonts w:ascii="Book Antiqua" w:hAnsi="Book Antiqua"/>
          <w:color w:val="131313"/>
          <w:sz w:val="24"/>
          <w:szCs w:val="24"/>
          <w:vertAlign w:val="superscript"/>
        </w:rPr>
        <w:t>19]</w:t>
      </w:r>
      <w:r w:rsidRPr="001B7F6D">
        <w:rPr>
          <w:rFonts w:ascii="Book Antiqua" w:hAnsi="Book Antiqua"/>
          <w:color w:val="131313"/>
          <w:sz w:val="24"/>
          <w:szCs w:val="24"/>
        </w:rPr>
        <w:t>. Therefore although conventional imaging continues to be used as part of the follow-up assessment in these patients, PET/CT may eventually replace this and come to be used as a single imaging modality for routine surveillance (Figure 1</w:t>
      </w:r>
      <w:r w:rsidR="003A7147" w:rsidRPr="001B7F6D">
        <w:rPr>
          <w:rFonts w:ascii="Book Antiqua" w:hAnsi="Book Antiqua"/>
          <w:color w:val="131313"/>
          <w:sz w:val="24"/>
          <w:szCs w:val="24"/>
        </w:rPr>
        <w:t>C</w:t>
      </w:r>
      <w:r w:rsidRPr="001B7F6D">
        <w:rPr>
          <w:rFonts w:ascii="Book Antiqua" w:hAnsi="Book Antiqua"/>
          <w:color w:val="131313"/>
          <w:sz w:val="24"/>
          <w:szCs w:val="24"/>
        </w:rPr>
        <w:t xml:space="preserve">). It should be noted that the use of PET/CT for this indication is yet to be fully elucidated in paediatric patients. Although most Hodgkin’s disease recurrence is FDG-avid, surveillance PET/CT can have high false-positive </w:t>
      </w:r>
      <w:proofErr w:type="gramStart"/>
      <w:r w:rsidRPr="001B7F6D">
        <w:rPr>
          <w:rFonts w:ascii="Book Antiqua" w:hAnsi="Book Antiqua"/>
          <w:color w:val="131313"/>
          <w:sz w:val="24"/>
          <w:szCs w:val="24"/>
        </w:rPr>
        <w:t>rates</w:t>
      </w:r>
      <w:r w:rsidRPr="001B7F6D">
        <w:rPr>
          <w:rFonts w:ascii="Book Antiqua" w:hAnsi="Book Antiqua"/>
          <w:color w:val="131313"/>
          <w:sz w:val="24"/>
          <w:szCs w:val="24"/>
          <w:vertAlign w:val="superscript"/>
        </w:rPr>
        <w:t>[</w:t>
      </w:r>
      <w:proofErr w:type="gramEnd"/>
      <w:r w:rsidRPr="001B7F6D">
        <w:rPr>
          <w:rFonts w:ascii="Book Antiqua" w:hAnsi="Book Antiqua"/>
          <w:color w:val="131313"/>
          <w:sz w:val="24"/>
          <w:szCs w:val="24"/>
          <w:vertAlign w:val="superscript"/>
        </w:rPr>
        <w:t>29]</w:t>
      </w:r>
      <w:r w:rsidRPr="001B7F6D">
        <w:rPr>
          <w:rFonts w:ascii="Book Antiqua" w:hAnsi="Book Antiqua"/>
          <w:color w:val="131313"/>
          <w:sz w:val="24"/>
          <w:szCs w:val="24"/>
        </w:rPr>
        <w:t>. Furthermore, because prognosis is often favourable among children with lymphoma, radiation exposure secondary to diagnostic procedures has significant relevance in children. Current evidence for follow-up PET/CT studies in paediatric lymphoma is best when relapse is clinically suspected or demonstrated by other imaging modalities.</w:t>
      </w:r>
    </w:p>
    <w:p w:rsidR="00E37287" w:rsidRPr="001B7F6D" w:rsidRDefault="00E37287" w:rsidP="001B7F6D">
      <w:pPr>
        <w:spacing w:line="360" w:lineRule="auto"/>
        <w:jc w:val="both"/>
        <w:rPr>
          <w:rFonts w:ascii="Book Antiqua" w:hAnsi="Book Antiqua" w:cs="Arial Unicode MS"/>
          <w:color w:val="131313"/>
        </w:rPr>
      </w:pPr>
    </w:p>
    <w:p w:rsidR="00E37287" w:rsidRPr="003A7147" w:rsidRDefault="00805F76" w:rsidP="001B7F6D">
      <w:pPr>
        <w:pStyle w:val="Body"/>
        <w:suppressAutoHyphens/>
        <w:spacing w:line="360" w:lineRule="auto"/>
        <w:jc w:val="both"/>
        <w:rPr>
          <w:rFonts w:ascii="Book Antiqua" w:eastAsia="Book Antiqua" w:hAnsi="Book Antiqua" w:cs="Book Antiqua"/>
          <w:b/>
          <w:sz w:val="24"/>
          <w:szCs w:val="24"/>
        </w:rPr>
      </w:pPr>
      <w:r w:rsidRPr="003A7147">
        <w:rPr>
          <w:rFonts w:ascii="Book Antiqua" w:eastAsia="Book Antiqua" w:hAnsi="Book Antiqua" w:cs="Book Antiqua"/>
          <w:b/>
          <w:sz w:val="24"/>
          <w:szCs w:val="24"/>
        </w:rPr>
        <w:t>BRAIN TUMOURS</w:t>
      </w:r>
    </w:p>
    <w:p w:rsidR="00E37287" w:rsidRPr="001B7F6D" w:rsidRDefault="00805F76" w:rsidP="001B7F6D">
      <w:pPr>
        <w:pStyle w:val="Body"/>
        <w:suppressAutoHyphens/>
        <w:spacing w:line="360" w:lineRule="auto"/>
        <w:jc w:val="both"/>
        <w:rPr>
          <w:rFonts w:ascii="Book Antiqua" w:eastAsia="Book Antiqua" w:hAnsi="Book Antiqua" w:cs="Book Antiqua"/>
          <w:sz w:val="24"/>
          <w:szCs w:val="24"/>
        </w:rPr>
      </w:pPr>
      <w:r w:rsidRPr="001B7F6D">
        <w:rPr>
          <w:rFonts w:ascii="Book Antiqua" w:eastAsia="Book Antiqua" w:hAnsi="Book Antiqua" w:cs="Book Antiqua"/>
          <w:sz w:val="24"/>
          <w:szCs w:val="24"/>
        </w:rPr>
        <w:t>Brain tumours represent the most common solid neoplasms in childhood and are a leading cause of c</w:t>
      </w:r>
      <w:r w:rsidR="003A7147">
        <w:rPr>
          <w:rFonts w:ascii="Book Antiqua" w:eastAsia="Book Antiqua" w:hAnsi="Book Antiqua" w:cs="Book Antiqua"/>
          <w:sz w:val="24"/>
          <w:szCs w:val="24"/>
        </w:rPr>
        <w:t xml:space="preserve">ancer-related death in </w:t>
      </w:r>
      <w:proofErr w:type="gramStart"/>
      <w:r w:rsidR="003A7147">
        <w:rPr>
          <w:rFonts w:ascii="Book Antiqua" w:eastAsia="Book Antiqua" w:hAnsi="Book Antiqua" w:cs="Book Antiqua"/>
          <w:sz w:val="24"/>
          <w:szCs w:val="24"/>
        </w:rPr>
        <w:t>children</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30]</w:t>
      </w:r>
      <w:r w:rsidRPr="001B7F6D">
        <w:rPr>
          <w:rFonts w:ascii="Book Antiqua" w:eastAsia="Book Antiqua" w:hAnsi="Book Antiqua" w:cs="Book Antiqua"/>
          <w:sz w:val="24"/>
          <w:szCs w:val="24"/>
        </w:rPr>
        <w:t>. As a group they represe</w:t>
      </w:r>
      <w:r w:rsidR="003A7147">
        <w:rPr>
          <w:rFonts w:ascii="Book Antiqua" w:eastAsia="Book Antiqua" w:hAnsi="Book Antiqua" w:cs="Book Antiqua"/>
          <w:sz w:val="24"/>
          <w:szCs w:val="24"/>
        </w:rPr>
        <w:t xml:space="preserve">nt 25% of all childhood </w:t>
      </w:r>
      <w:proofErr w:type="gramStart"/>
      <w:r w:rsidR="003A7147">
        <w:rPr>
          <w:rFonts w:ascii="Book Antiqua" w:eastAsia="Book Antiqua" w:hAnsi="Book Antiqua" w:cs="Book Antiqua"/>
          <w:sz w:val="24"/>
          <w:szCs w:val="24"/>
        </w:rPr>
        <w:t>cancers</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31]</w:t>
      </w:r>
      <w:r w:rsidRPr="001B7F6D">
        <w:rPr>
          <w:rFonts w:ascii="Book Antiqua" w:eastAsia="Book Antiqua" w:hAnsi="Book Antiqua" w:cs="Book Antiqua"/>
          <w:sz w:val="24"/>
          <w:szCs w:val="24"/>
        </w:rPr>
        <w:t>. Common paediatric brain tumours include medulloblastoma, cerebellar astrocytoma, e</w:t>
      </w:r>
      <w:r w:rsidR="003A7147">
        <w:rPr>
          <w:rFonts w:ascii="Book Antiqua" w:eastAsia="Book Antiqua" w:hAnsi="Book Antiqua" w:cs="Book Antiqua"/>
          <w:sz w:val="24"/>
          <w:szCs w:val="24"/>
        </w:rPr>
        <w:t xml:space="preserve">pendymoma and brain stem </w:t>
      </w:r>
      <w:proofErr w:type="gramStart"/>
      <w:r w:rsidR="003A7147">
        <w:rPr>
          <w:rFonts w:ascii="Book Antiqua" w:eastAsia="Book Antiqua" w:hAnsi="Book Antiqua" w:cs="Book Antiqua"/>
          <w:sz w:val="24"/>
          <w:szCs w:val="24"/>
        </w:rPr>
        <w:t>glioma</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32]</w:t>
      </w:r>
      <w:r w:rsidRPr="001B7F6D">
        <w:rPr>
          <w:rFonts w:ascii="Book Antiqua" w:eastAsia="Book Antiqua" w:hAnsi="Book Antiqua" w:cs="Book Antiqua"/>
          <w:sz w:val="24"/>
          <w:szCs w:val="24"/>
        </w:rPr>
        <w:t>. Management of these tumours is challenging and diverse, and requires extensive multidisciplinary collaboration. Survivors of childhood brain tumours often have severe neurological, neurocogni</w:t>
      </w:r>
      <w:r w:rsidR="003A7147">
        <w:rPr>
          <w:rFonts w:ascii="Book Antiqua" w:eastAsia="Book Antiqua" w:hAnsi="Book Antiqua" w:cs="Book Antiqua"/>
          <w:sz w:val="24"/>
          <w:szCs w:val="24"/>
        </w:rPr>
        <w:t xml:space="preserve">tive and psychosocial </w:t>
      </w:r>
      <w:proofErr w:type="gramStart"/>
      <w:r w:rsidR="003A7147">
        <w:rPr>
          <w:rFonts w:ascii="Book Antiqua" w:eastAsia="Book Antiqua" w:hAnsi="Book Antiqua" w:cs="Book Antiqua"/>
          <w:sz w:val="24"/>
          <w:szCs w:val="24"/>
        </w:rPr>
        <w:t>sequelae</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33]</w:t>
      </w:r>
      <w:r w:rsidRPr="001B7F6D">
        <w:rPr>
          <w:rFonts w:ascii="Book Antiqua" w:eastAsia="Book Antiqua" w:hAnsi="Book Antiqua" w:cs="Book Antiqua"/>
          <w:sz w:val="24"/>
          <w:szCs w:val="24"/>
        </w:rPr>
        <w:t>.</w:t>
      </w:r>
    </w:p>
    <w:p w:rsidR="00E37287" w:rsidRPr="001B7F6D" w:rsidRDefault="00805F76" w:rsidP="003A7147">
      <w:pPr>
        <w:pStyle w:val="Body"/>
        <w:suppressAutoHyphens/>
        <w:spacing w:line="360" w:lineRule="auto"/>
        <w:ind w:firstLineChars="100" w:firstLine="240"/>
        <w:jc w:val="both"/>
        <w:rPr>
          <w:rFonts w:ascii="Book Antiqua" w:eastAsia="Book Antiqua" w:hAnsi="Book Antiqua" w:cs="Book Antiqua"/>
          <w:sz w:val="24"/>
          <w:szCs w:val="24"/>
        </w:rPr>
      </w:pPr>
      <w:r w:rsidRPr="001B7F6D">
        <w:rPr>
          <w:rFonts w:ascii="Book Antiqua" w:eastAsia="Book Antiqua" w:hAnsi="Book Antiqua" w:cs="Book Antiqua"/>
          <w:sz w:val="24"/>
          <w:szCs w:val="24"/>
        </w:rPr>
        <w:t xml:space="preserve">Conventional modalities for the anatomic assessment of brain tumours are CT and MRI. A major disadvantage of these modalities is that interpretation is often confounded by brain changes secondary to surgery, chemotherapy and radiotherapy. In these </w:t>
      </w:r>
      <w:r w:rsidRPr="001B7F6D">
        <w:rPr>
          <w:rFonts w:ascii="Book Antiqua" w:eastAsia="Book Antiqua" w:hAnsi="Book Antiqua" w:cs="Book Antiqua"/>
          <w:sz w:val="24"/>
          <w:szCs w:val="24"/>
        </w:rPr>
        <w:lastRenderedPageBreak/>
        <w:t>circumstances normal post-treatment change may be incorrectly identified as viable tumour. Functional imaging techniques are therefore of particular importance for monitoring treatment effects and recurrence.</w:t>
      </w:r>
    </w:p>
    <w:p w:rsidR="00E37287" w:rsidRPr="001B7F6D" w:rsidRDefault="00805F76" w:rsidP="003A7147">
      <w:pPr>
        <w:pStyle w:val="Body"/>
        <w:suppressAutoHyphens/>
        <w:spacing w:line="360" w:lineRule="auto"/>
        <w:ind w:firstLineChars="100" w:firstLine="240"/>
        <w:jc w:val="both"/>
        <w:rPr>
          <w:rFonts w:ascii="Book Antiqua" w:eastAsia="Book Antiqua" w:hAnsi="Book Antiqua" w:cs="Book Antiqua"/>
          <w:sz w:val="24"/>
          <w:szCs w:val="24"/>
        </w:rPr>
      </w:pPr>
      <w:r w:rsidRPr="001B7F6D">
        <w:rPr>
          <w:rFonts w:ascii="Book Antiqua" w:eastAsia="Book Antiqua" w:hAnsi="Book Antiqua" w:cs="Book Antiqua"/>
          <w:sz w:val="24"/>
          <w:szCs w:val="24"/>
        </w:rPr>
        <w:t>PET has shown increasing application in paediatric neuro-oncology. Both FDG and L-methyl-(</w:t>
      </w:r>
      <w:r w:rsidRPr="001B7F6D">
        <w:rPr>
          <w:rFonts w:ascii="Book Antiqua" w:eastAsia="Book Antiqua" w:hAnsi="Book Antiqua" w:cs="Book Antiqua"/>
          <w:sz w:val="24"/>
          <w:szCs w:val="24"/>
          <w:vertAlign w:val="superscript"/>
        </w:rPr>
        <w:t>11</w:t>
      </w:r>
      <w:r w:rsidRPr="001B7F6D">
        <w:rPr>
          <w:rFonts w:ascii="Book Antiqua" w:eastAsia="Book Antiqua" w:hAnsi="Book Antiqua" w:cs="Book Antiqua"/>
          <w:sz w:val="24"/>
          <w:szCs w:val="24"/>
        </w:rPr>
        <w:t>C</w:t>
      </w:r>
      <w:proofErr w:type="gramStart"/>
      <w:r w:rsidRPr="001B7F6D">
        <w:rPr>
          <w:rFonts w:ascii="Book Antiqua" w:eastAsia="Book Antiqua" w:hAnsi="Book Antiqua" w:cs="Book Antiqua"/>
          <w:sz w:val="24"/>
          <w:szCs w:val="24"/>
        </w:rPr>
        <w:t>)methionine</w:t>
      </w:r>
      <w:proofErr w:type="gramEnd"/>
      <w:r w:rsidRPr="001B7F6D">
        <w:rPr>
          <w:rFonts w:ascii="Book Antiqua" w:eastAsia="Book Antiqua" w:hAnsi="Book Antiqua" w:cs="Book Antiqua"/>
          <w:sz w:val="24"/>
          <w:szCs w:val="24"/>
        </w:rPr>
        <w:t xml:space="preserve"> (CMET) radiotracers have shown utility in brain tumour grading, profiling, and for detecting residual, recurrent or </w:t>
      </w:r>
      <w:r w:rsidR="003A7147">
        <w:rPr>
          <w:rFonts w:ascii="Book Antiqua" w:eastAsia="Book Antiqua" w:hAnsi="Book Antiqua" w:cs="Book Antiqua"/>
          <w:sz w:val="24"/>
          <w:szCs w:val="24"/>
        </w:rPr>
        <w:t>progressive disease in children</w:t>
      </w:r>
      <w:r w:rsidRPr="001B7F6D">
        <w:rPr>
          <w:rFonts w:ascii="Book Antiqua" w:eastAsia="Book Antiqua" w:hAnsi="Book Antiqua" w:cs="Book Antiqua"/>
          <w:sz w:val="24"/>
          <w:szCs w:val="24"/>
          <w:vertAlign w:val="superscript"/>
        </w:rPr>
        <w:t>[34-36]</w:t>
      </w:r>
      <w:r w:rsidRPr="001B7F6D">
        <w:rPr>
          <w:rFonts w:ascii="Book Antiqua" w:eastAsia="Book Antiqua" w:hAnsi="Book Antiqua" w:cs="Book Antiqua"/>
          <w:sz w:val="24"/>
          <w:szCs w:val="24"/>
        </w:rPr>
        <w:t>. The fusion of PET data with MR images has been shown to assist with stereotactic biopsy and navigation-based resection among children in whom MR images alo</w:t>
      </w:r>
      <w:r w:rsidR="003A7147">
        <w:rPr>
          <w:rFonts w:ascii="Book Antiqua" w:eastAsia="Book Antiqua" w:hAnsi="Book Antiqua" w:cs="Book Antiqua"/>
          <w:sz w:val="24"/>
          <w:szCs w:val="24"/>
        </w:rPr>
        <w:t xml:space="preserve">ne were considered </w:t>
      </w:r>
      <w:proofErr w:type="gramStart"/>
      <w:r w:rsidR="003A7147">
        <w:rPr>
          <w:rFonts w:ascii="Book Antiqua" w:eastAsia="Book Antiqua" w:hAnsi="Book Antiqua" w:cs="Book Antiqua"/>
          <w:sz w:val="24"/>
          <w:szCs w:val="24"/>
        </w:rPr>
        <w:t>insufficient</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37]</w:t>
      </w:r>
      <w:r w:rsidRPr="001B7F6D">
        <w:rPr>
          <w:rFonts w:ascii="Book Antiqua" w:eastAsia="Book Antiqua" w:hAnsi="Book Antiqua" w:cs="Book Antiqua"/>
          <w:sz w:val="24"/>
          <w:szCs w:val="24"/>
        </w:rPr>
        <w:t>.</w:t>
      </w:r>
    </w:p>
    <w:p w:rsidR="00E37287" w:rsidRPr="001B7F6D" w:rsidRDefault="00805F76" w:rsidP="003A7147">
      <w:pPr>
        <w:pStyle w:val="Body"/>
        <w:suppressAutoHyphens/>
        <w:spacing w:line="360" w:lineRule="auto"/>
        <w:ind w:firstLineChars="100" w:firstLine="240"/>
        <w:jc w:val="both"/>
        <w:rPr>
          <w:rFonts w:ascii="Book Antiqua" w:eastAsia="Book Antiqua" w:hAnsi="Book Antiqua" w:cs="Book Antiqua"/>
          <w:sz w:val="24"/>
          <w:szCs w:val="24"/>
        </w:rPr>
      </w:pPr>
      <w:r w:rsidRPr="001B7F6D">
        <w:rPr>
          <w:rFonts w:ascii="Book Antiqua" w:eastAsia="Book Antiqua" w:hAnsi="Book Antiqua" w:cs="Book Antiqua"/>
          <w:sz w:val="24"/>
          <w:szCs w:val="24"/>
        </w:rPr>
        <w:t>FDG PET has traditionally been used to distinguish low-grade from high-grade tumours, and FDG avidity is a demonstrated predictor of outcome in adu</w:t>
      </w:r>
      <w:r w:rsidR="003A7147">
        <w:rPr>
          <w:rFonts w:ascii="Book Antiqua" w:eastAsia="Book Antiqua" w:hAnsi="Book Antiqua" w:cs="Book Antiqua"/>
          <w:sz w:val="24"/>
          <w:szCs w:val="24"/>
        </w:rPr>
        <w:t xml:space="preserve">lts with high-grade </w:t>
      </w:r>
      <w:proofErr w:type="gramStart"/>
      <w:r w:rsidR="003A7147">
        <w:rPr>
          <w:rFonts w:ascii="Book Antiqua" w:eastAsia="Book Antiqua" w:hAnsi="Book Antiqua" w:cs="Book Antiqua"/>
          <w:sz w:val="24"/>
          <w:szCs w:val="24"/>
        </w:rPr>
        <w:t>astrocytoma</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38]</w:t>
      </w:r>
      <w:r w:rsidRPr="001B7F6D">
        <w:rPr>
          <w:rFonts w:ascii="Book Antiqua" w:eastAsia="Book Antiqua" w:hAnsi="Book Antiqua" w:cs="Book Antiqua"/>
          <w:sz w:val="24"/>
          <w:szCs w:val="24"/>
        </w:rPr>
        <w:t>. Furthermore, FDG hypermetabolism has been shown to predict higher risk for disease progression among chil</w:t>
      </w:r>
      <w:r w:rsidR="003A7147">
        <w:rPr>
          <w:rFonts w:ascii="Book Antiqua" w:eastAsia="Book Antiqua" w:hAnsi="Book Antiqua" w:cs="Book Antiqua"/>
          <w:sz w:val="24"/>
          <w:szCs w:val="24"/>
        </w:rPr>
        <w:t xml:space="preserve">dren with low-grade </w:t>
      </w:r>
      <w:proofErr w:type="gramStart"/>
      <w:r w:rsidR="003A7147">
        <w:rPr>
          <w:rFonts w:ascii="Book Antiqua" w:eastAsia="Book Antiqua" w:hAnsi="Book Antiqua" w:cs="Book Antiqua"/>
          <w:sz w:val="24"/>
          <w:szCs w:val="24"/>
        </w:rPr>
        <w:t>astrocytoma</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39]</w:t>
      </w:r>
      <w:r w:rsidRPr="001B7F6D">
        <w:rPr>
          <w:rFonts w:ascii="Book Antiqua" w:eastAsia="Book Antiqua" w:hAnsi="Book Antiqua" w:cs="Book Antiqua"/>
          <w:sz w:val="24"/>
          <w:szCs w:val="24"/>
        </w:rPr>
        <w:t>. FDG PET is an established technique for the differentiation of viable tumour and surgical cha</w:t>
      </w:r>
      <w:r w:rsidR="003A7147">
        <w:rPr>
          <w:rFonts w:ascii="Book Antiqua" w:eastAsia="Book Antiqua" w:hAnsi="Book Antiqua" w:cs="Book Antiqua"/>
          <w:sz w:val="24"/>
          <w:szCs w:val="24"/>
        </w:rPr>
        <w:t xml:space="preserve">nge in the postoperative </w:t>
      </w:r>
      <w:proofErr w:type="gramStart"/>
      <w:r w:rsidR="003A7147">
        <w:rPr>
          <w:rFonts w:ascii="Book Antiqua" w:eastAsia="Book Antiqua" w:hAnsi="Book Antiqua" w:cs="Book Antiqua"/>
          <w:sz w:val="24"/>
          <w:szCs w:val="24"/>
        </w:rPr>
        <w:t>milieu</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40,41]</w:t>
      </w:r>
      <w:r w:rsidRPr="001B7F6D">
        <w:rPr>
          <w:rFonts w:ascii="Book Antiqua" w:eastAsia="Book Antiqua" w:hAnsi="Book Antiqua" w:cs="Book Antiqua"/>
          <w:sz w:val="24"/>
          <w:szCs w:val="24"/>
        </w:rPr>
        <w:t>.</w:t>
      </w:r>
    </w:p>
    <w:p w:rsidR="00E37287" w:rsidRPr="001B7F6D" w:rsidRDefault="00805F76" w:rsidP="003A7147">
      <w:pPr>
        <w:pStyle w:val="Body"/>
        <w:suppressAutoHyphens/>
        <w:spacing w:line="360" w:lineRule="auto"/>
        <w:ind w:firstLineChars="100" w:firstLine="240"/>
        <w:jc w:val="both"/>
        <w:rPr>
          <w:rFonts w:ascii="Book Antiqua" w:eastAsia="Book Antiqua" w:hAnsi="Book Antiqua" w:cs="Book Antiqua"/>
          <w:sz w:val="24"/>
          <w:szCs w:val="24"/>
        </w:rPr>
      </w:pPr>
      <w:r w:rsidRPr="001B7F6D">
        <w:rPr>
          <w:rFonts w:ascii="Book Antiqua" w:eastAsia="Book Antiqua" w:hAnsi="Book Antiqua" w:cs="Book Antiqua"/>
          <w:sz w:val="24"/>
          <w:szCs w:val="24"/>
        </w:rPr>
        <w:t>CMET is a marker of amino acid uptake and protein synthesis. It has been found useful in the differentiation of low-grade tumours (astrocytomas, oligodendrogliomas and dysembryoplastic neuroepithelial tumours), measurement of tumour boundaries, elucidation of treatment response, and prediction of patient outcome</w:t>
      </w:r>
      <w:r w:rsidRPr="001B7F6D">
        <w:rPr>
          <w:rFonts w:ascii="Book Antiqua" w:eastAsia="Book Antiqua" w:hAnsi="Book Antiqua" w:cs="Book Antiqua"/>
          <w:sz w:val="24"/>
          <w:szCs w:val="24"/>
          <w:vertAlign w:val="superscript"/>
        </w:rPr>
        <w:t>[</w:t>
      </w:r>
      <w:r w:rsidR="00D13633">
        <w:rPr>
          <w:rFonts w:ascii="Book Antiqua" w:hAnsi="Book Antiqua" w:cs="Book Antiqua" w:hint="eastAsia"/>
          <w:sz w:val="24"/>
          <w:szCs w:val="24"/>
          <w:vertAlign w:val="superscript"/>
          <w:lang w:eastAsia="zh-CN"/>
        </w:rPr>
        <w:t>36,42</w:t>
      </w:r>
      <w:r w:rsidRPr="001B7F6D">
        <w:rPr>
          <w:rFonts w:ascii="Book Antiqua" w:eastAsia="Book Antiqua" w:hAnsi="Book Antiqua" w:cs="Book Antiqua"/>
          <w:sz w:val="24"/>
          <w:szCs w:val="24"/>
          <w:vertAlign w:val="superscript"/>
        </w:rPr>
        <w:t>-4</w:t>
      </w:r>
      <w:r w:rsidR="00D13633">
        <w:rPr>
          <w:rFonts w:ascii="Book Antiqua" w:hAnsi="Book Antiqua" w:cs="Book Antiqua" w:hint="eastAsia"/>
          <w:sz w:val="24"/>
          <w:szCs w:val="24"/>
          <w:vertAlign w:val="superscript"/>
          <w:lang w:eastAsia="zh-CN"/>
        </w:rPr>
        <w:t>5</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w:t>
      </w:r>
    </w:p>
    <w:p w:rsidR="00E37287" w:rsidRPr="001B7F6D" w:rsidRDefault="00E37287" w:rsidP="001B7F6D">
      <w:pPr>
        <w:spacing w:line="360" w:lineRule="auto"/>
        <w:jc w:val="both"/>
        <w:rPr>
          <w:rFonts w:ascii="Book Antiqua" w:eastAsia="Palatino" w:hAnsi="Book Antiqua" w:cs="Palatino"/>
          <w:color w:val="131313"/>
        </w:rPr>
      </w:pPr>
    </w:p>
    <w:p w:rsidR="00E37287" w:rsidRPr="003A7147" w:rsidRDefault="00805F76" w:rsidP="001B7F6D">
      <w:pPr>
        <w:pStyle w:val="Body"/>
        <w:spacing w:line="360" w:lineRule="auto"/>
        <w:jc w:val="both"/>
        <w:rPr>
          <w:rFonts w:ascii="Book Antiqua" w:eastAsia="Book Antiqua" w:hAnsi="Book Antiqua" w:cs="Book Antiqua"/>
          <w:b/>
          <w:color w:val="131313"/>
          <w:sz w:val="24"/>
          <w:szCs w:val="24"/>
          <w:u w:color="131313"/>
        </w:rPr>
      </w:pPr>
      <w:r w:rsidRPr="003A7147">
        <w:rPr>
          <w:rFonts w:ascii="Book Antiqua" w:eastAsia="Book Antiqua" w:hAnsi="Book Antiqua" w:cs="Book Antiqua"/>
          <w:b/>
          <w:color w:val="131313"/>
          <w:sz w:val="24"/>
          <w:szCs w:val="24"/>
          <w:u w:color="131313"/>
        </w:rPr>
        <w:t>SARCOMA</w:t>
      </w:r>
    </w:p>
    <w:p w:rsidR="00E37287" w:rsidRPr="001B7F6D" w:rsidRDefault="00805F76" w:rsidP="001B7F6D">
      <w:pPr>
        <w:pStyle w:val="Body"/>
        <w:spacing w:line="360" w:lineRule="auto"/>
        <w:jc w:val="both"/>
        <w:rPr>
          <w:rFonts w:ascii="Book Antiqua" w:eastAsia="Book Antiqua" w:hAnsi="Book Antiqua" w:cs="Book Antiqua"/>
          <w:sz w:val="24"/>
          <w:szCs w:val="24"/>
        </w:rPr>
      </w:pPr>
      <w:r w:rsidRPr="001B7F6D">
        <w:rPr>
          <w:rFonts w:ascii="Book Antiqua" w:eastAsia="Book Antiqua" w:hAnsi="Book Antiqua" w:cs="Book Antiqua"/>
          <w:sz w:val="24"/>
          <w:szCs w:val="24"/>
        </w:rPr>
        <w:t>Ewing’s sarcoma and osteosarcoma are the two primary bone malignancies of childhood, with</w:t>
      </w:r>
      <w:r w:rsidR="003A7147">
        <w:rPr>
          <w:rFonts w:ascii="Book Antiqua" w:eastAsia="Book Antiqua" w:hAnsi="Book Antiqua" w:cs="Book Antiqua"/>
          <w:sz w:val="24"/>
          <w:szCs w:val="24"/>
        </w:rPr>
        <w:t xml:space="preserve"> osteosarcoma being more </w:t>
      </w:r>
      <w:proofErr w:type="gramStart"/>
      <w:r w:rsidR="003A7147">
        <w:rPr>
          <w:rFonts w:ascii="Book Antiqua" w:eastAsia="Book Antiqua" w:hAnsi="Book Antiqua" w:cs="Book Antiqua"/>
          <w:sz w:val="24"/>
          <w:szCs w:val="24"/>
        </w:rPr>
        <w:t>common</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4</w:t>
      </w:r>
      <w:r w:rsidR="00D13633">
        <w:rPr>
          <w:rFonts w:ascii="Book Antiqua" w:hAnsi="Book Antiqua" w:cs="Book Antiqua" w:hint="eastAsia"/>
          <w:sz w:val="24"/>
          <w:szCs w:val="24"/>
          <w:vertAlign w:val="superscript"/>
          <w:lang w:eastAsia="zh-CN"/>
        </w:rPr>
        <w:t>6</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Rhabdomyosarcoma is the most common soft</w:t>
      </w:r>
      <w:r w:rsidR="003A7147">
        <w:rPr>
          <w:rFonts w:ascii="Book Antiqua" w:eastAsia="Book Antiqua" w:hAnsi="Book Antiqua" w:cs="Book Antiqua"/>
          <w:sz w:val="24"/>
          <w:szCs w:val="24"/>
        </w:rPr>
        <w:t xml:space="preserve"> tissue malignancy of </w:t>
      </w:r>
      <w:proofErr w:type="gramStart"/>
      <w:r w:rsidR="003A7147">
        <w:rPr>
          <w:rFonts w:ascii="Book Antiqua" w:eastAsia="Book Antiqua" w:hAnsi="Book Antiqua" w:cs="Book Antiqua"/>
          <w:sz w:val="24"/>
          <w:szCs w:val="24"/>
        </w:rPr>
        <w:t>childhood</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4</w:t>
      </w:r>
      <w:r w:rsidR="00D13633">
        <w:rPr>
          <w:rFonts w:ascii="Book Antiqua" w:hAnsi="Book Antiqua" w:cs="Book Antiqua" w:hint="eastAsia"/>
          <w:sz w:val="24"/>
          <w:szCs w:val="24"/>
          <w:vertAlign w:val="superscript"/>
          <w:lang w:eastAsia="zh-CN"/>
        </w:rPr>
        <w:t>7</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Collectively, bone and soft tissue sarcomas account for around 13% of childhood malignancies with soft tissue diseas</w:t>
      </w:r>
      <w:r w:rsidR="003A7147">
        <w:rPr>
          <w:rFonts w:ascii="Book Antiqua" w:eastAsia="Book Antiqua" w:hAnsi="Book Antiqua" w:cs="Book Antiqua"/>
          <w:sz w:val="24"/>
          <w:szCs w:val="24"/>
        </w:rPr>
        <w:t xml:space="preserve">e being slightly more </w:t>
      </w:r>
      <w:proofErr w:type="gramStart"/>
      <w:r w:rsidR="003A7147">
        <w:rPr>
          <w:rFonts w:ascii="Book Antiqua" w:eastAsia="Book Antiqua" w:hAnsi="Book Antiqua" w:cs="Book Antiqua"/>
          <w:sz w:val="24"/>
          <w:szCs w:val="24"/>
        </w:rPr>
        <w:t>prevalent</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4</w:t>
      </w:r>
      <w:r w:rsidR="00D13633">
        <w:rPr>
          <w:rFonts w:ascii="Book Antiqua" w:hAnsi="Book Antiqua" w:cs="Book Antiqua" w:hint="eastAsia"/>
          <w:sz w:val="24"/>
          <w:szCs w:val="24"/>
          <w:vertAlign w:val="superscript"/>
          <w:lang w:eastAsia="zh-CN"/>
        </w:rPr>
        <w:t>6</w:t>
      </w:r>
      <w:r w:rsidRPr="001B7F6D">
        <w:rPr>
          <w:rFonts w:ascii="Book Antiqua" w:eastAsia="Book Antiqua" w:hAnsi="Book Antiqua" w:cs="Book Antiqua"/>
          <w:sz w:val="24"/>
          <w:szCs w:val="24"/>
          <w:vertAlign w:val="superscript"/>
        </w:rPr>
        <w:t>,4</w:t>
      </w:r>
      <w:r w:rsidR="00D13633">
        <w:rPr>
          <w:rFonts w:ascii="Book Antiqua" w:hAnsi="Book Antiqua" w:cs="Book Antiqua" w:hint="eastAsia"/>
          <w:sz w:val="24"/>
          <w:szCs w:val="24"/>
          <w:vertAlign w:val="superscript"/>
          <w:lang w:eastAsia="zh-CN"/>
        </w:rPr>
        <w:t>7</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Treatment is multimodal and may involve chemotherapy, radiotherapy or surgery.</w:t>
      </w:r>
    </w:p>
    <w:p w:rsidR="00E37287" w:rsidRPr="001B7F6D" w:rsidRDefault="00805F76" w:rsidP="003A7147">
      <w:pPr>
        <w:pStyle w:val="Body"/>
        <w:spacing w:line="360" w:lineRule="auto"/>
        <w:ind w:firstLineChars="100" w:firstLine="240"/>
        <w:jc w:val="both"/>
        <w:rPr>
          <w:rFonts w:ascii="Book Antiqua" w:eastAsia="Book Antiqua" w:hAnsi="Book Antiqua" w:cs="Book Antiqua"/>
          <w:sz w:val="24"/>
          <w:szCs w:val="24"/>
        </w:rPr>
      </w:pPr>
      <w:r w:rsidRPr="001B7F6D">
        <w:rPr>
          <w:rFonts w:ascii="Book Antiqua" w:eastAsia="Book Antiqua" w:hAnsi="Book Antiqua" w:cs="Book Antiqua"/>
          <w:sz w:val="24"/>
          <w:szCs w:val="24"/>
        </w:rPr>
        <w:t>There is a growing body of literature related to the use of PET/CT in paediatric sarcoma, although standard use of the modality has</w:t>
      </w:r>
      <w:r w:rsidR="003A7147">
        <w:rPr>
          <w:rFonts w:ascii="Book Antiqua" w:eastAsia="Book Antiqua" w:hAnsi="Book Antiqua" w:cs="Book Antiqua"/>
          <w:sz w:val="24"/>
          <w:szCs w:val="24"/>
        </w:rPr>
        <w:t xml:space="preserve"> not been extensively </w:t>
      </w:r>
      <w:proofErr w:type="gramStart"/>
      <w:r w:rsidR="003A7147">
        <w:rPr>
          <w:rFonts w:ascii="Book Antiqua" w:eastAsia="Book Antiqua" w:hAnsi="Book Antiqua" w:cs="Book Antiqua"/>
          <w:sz w:val="24"/>
          <w:szCs w:val="24"/>
        </w:rPr>
        <w:t>validated</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4</w:t>
      </w:r>
      <w:r w:rsidR="00D13633">
        <w:rPr>
          <w:rFonts w:ascii="Book Antiqua" w:hAnsi="Book Antiqua" w:cs="Book Antiqua" w:hint="eastAsia"/>
          <w:sz w:val="24"/>
          <w:szCs w:val="24"/>
          <w:vertAlign w:val="superscript"/>
          <w:lang w:eastAsia="zh-CN"/>
        </w:rPr>
        <w:t>8</w:t>
      </w:r>
      <w:r w:rsidRPr="001B7F6D">
        <w:rPr>
          <w:rFonts w:ascii="Book Antiqua" w:eastAsia="Book Antiqua" w:hAnsi="Book Antiqua" w:cs="Book Antiqua"/>
          <w:sz w:val="24"/>
          <w:szCs w:val="24"/>
          <w:vertAlign w:val="superscript"/>
        </w:rPr>
        <w:t>,</w:t>
      </w:r>
      <w:r w:rsidR="00D13633">
        <w:rPr>
          <w:rFonts w:ascii="Book Antiqua" w:hAnsi="Book Antiqua" w:cs="Book Antiqua" w:hint="eastAsia"/>
          <w:sz w:val="24"/>
          <w:szCs w:val="24"/>
          <w:vertAlign w:val="superscript"/>
          <w:lang w:eastAsia="zh-CN"/>
        </w:rPr>
        <w:t>49</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xml:space="preserve">. Nevertheless, PET/CT does appear to demonstrate utility in the staging, monitoring of disease response to therapy, and detection of recurrent disease </w:t>
      </w:r>
      <w:r w:rsidR="003A7147">
        <w:rPr>
          <w:rFonts w:ascii="Book Antiqua" w:eastAsia="Book Antiqua" w:hAnsi="Book Antiqua" w:cs="Book Antiqua"/>
          <w:sz w:val="24"/>
          <w:szCs w:val="24"/>
        </w:rPr>
        <w:t>among these children (Figure 3</w:t>
      </w:r>
      <w:proofErr w:type="gramStart"/>
      <w:r w:rsidR="003A7147">
        <w:rPr>
          <w:rFonts w:ascii="Book Antiqua" w:eastAsia="Book Antiqua" w:hAnsi="Book Antiqua" w:cs="Book Antiqua"/>
          <w:sz w:val="24"/>
          <w:szCs w:val="24"/>
        </w:rPr>
        <w:t>)</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5</w:t>
      </w:r>
      <w:r w:rsidR="00D13633">
        <w:rPr>
          <w:rFonts w:ascii="Book Antiqua" w:hAnsi="Book Antiqua" w:cs="Book Antiqua" w:hint="eastAsia"/>
          <w:sz w:val="24"/>
          <w:szCs w:val="24"/>
          <w:vertAlign w:val="superscript"/>
          <w:lang w:eastAsia="zh-CN"/>
        </w:rPr>
        <w:t>0</w:t>
      </w:r>
      <w:r w:rsidRPr="001B7F6D">
        <w:rPr>
          <w:rFonts w:ascii="Book Antiqua" w:eastAsia="Book Antiqua" w:hAnsi="Book Antiqua" w:cs="Book Antiqua"/>
          <w:sz w:val="24"/>
          <w:szCs w:val="24"/>
          <w:vertAlign w:val="superscript"/>
        </w:rPr>
        <w:t>,5</w:t>
      </w:r>
      <w:r w:rsidR="00D13633">
        <w:rPr>
          <w:rFonts w:ascii="Book Antiqua" w:hAnsi="Book Antiqua" w:cs="Book Antiqua" w:hint="eastAsia"/>
          <w:sz w:val="24"/>
          <w:szCs w:val="24"/>
          <w:vertAlign w:val="superscript"/>
          <w:lang w:eastAsia="zh-CN"/>
        </w:rPr>
        <w:t>1</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xml:space="preserve">. North American consensus guidelines have recommended whole-body </w:t>
      </w:r>
      <w:r w:rsidRPr="001B7F6D">
        <w:rPr>
          <w:rFonts w:ascii="Book Antiqua" w:eastAsia="Book Antiqua" w:hAnsi="Book Antiqua" w:cs="Book Antiqua"/>
          <w:sz w:val="24"/>
          <w:szCs w:val="24"/>
        </w:rPr>
        <w:lastRenderedPageBreak/>
        <w:t>PET at the initial diagnosis of osteosarcom</w:t>
      </w:r>
      <w:r w:rsidR="003A7147">
        <w:rPr>
          <w:rFonts w:ascii="Book Antiqua" w:eastAsia="Book Antiqua" w:hAnsi="Book Antiqua" w:cs="Book Antiqua"/>
          <w:sz w:val="24"/>
          <w:szCs w:val="24"/>
        </w:rPr>
        <w:t xml:space="preserve">a and Ewing sarcoma in </w:t>
      </w:r>
      <w:proofErr w:type="gramStart"/>
      <w:r w:rsidR="003A7147">
        <w:rPr>
          <w:rFonts w:ascii="Book Antiqua" w:eastAsia="Book Antiqua" w:hAnsi="Book Antiqua" w:cs="Book Antiqua"/>
          <w:sz w:val="24"/>
          <w:szCs w:val="24"/>
        </w:rPr>
        <w:t>children</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5</w:t>
      </w:r>
      <w:r w:rsidR="00D13633">
        <w:rPr>
          <w:rFonts w:ascii="Book Antiqua" w:hAnsi="Book Antiqua" w:cs="Book Antiqua" w:hint="eastAsia"/>
          <w:sz w:val="24"/>
          <w:szCs w:val="24"/>
          <w:vertAlign w:val="superscript"/>
          <w:lang w:eastAsia="zh-CN"/>
        </w:rPr>
        <w:t>2</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A previous survey has shown that PET is considered a helpful study by referrers of paediatric sarcoma patients in</w:t>
      </w:r>
      <w:r w:rsidR="003A7147">
        <w:rPr>
          <w:rFonts w:ascii="Book Antiqua" w:eastAsia="Book Antiqua" w:hAnsi="Book Antiqua" w:cs="Book Antiqua"/>
          <w:sz w:val="24"/>
          <w:szCs w:val="24"/>
        </w:rPr>
        <w:t xml:space="preserve"> the vast majority of </w:t>
      </w:r>
      <w:proofErr w:type="gramStart"/>
      <w:r w:rsidR="003A7147">
        <w:rPr>
          <w:rFonts w:ascii="Book Antiqua" w:eastAsia="Book Antiqua" w:hAnsi="Book Antiqua" w:cs="Book Antiqua"/>
          <w:sz w:val="24"/>
          <w:szCs w:val="24"/>
        </w:rPr>
        <w:t>instances</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5]</w:t>
      </w:r>
      <w:r w:rsidRPr="001B7F6D">
        <w:rPr>
          <w:rFonts w:ascii="Book Antiqua" w:eastAsia="Book Antiqua" w:hAnsi="Book Antiqua" w:cs="Book Antiqua"/>
          <w:sz w:val="24"/>
          <w:szCs w:val="24"/>
        </w:rPr>
        <w:t>. The diagnostic accuracy of PET/CT has been found to be greater than either PET alone or conventional imaging in the detection of distant sar</w:t>
      </w:r>
      <w:r w:rsidR="003A7147">
        <w:rPr>
          <w:rFonts w:ascii="Book Antiqua" w:eastAsia="Book Antiqua" w:hAnsi="Book Antiqua" w:cs="Book Antiqua"/>
          <w:sz w:val="24"/>
          <w:szCs w:val="24"/>
        </w:rPr>
        <w:t xml:space="preserve">comatous metastases in </w:t>
      </w:r>
      <w:proofErr w:type="gramStart"/>
      <w:r w:rsidR="003A7147">
        <w:rPr>
          <w:rFonts w:ascii="Book Antiqua" w:eastAsia="Book Antiqua" w:hAnsi="Book Antiqua" w:cs="Book Antiqua"/>
          <w:sz w:val="24"/>
          <w:szCs w:val="24"/>
        </w:rPr>
        <w:t>children</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5</w:t>
      </w:r>
      <w:r w:rsidR="00D13633">
        <w:rPr>
          <w:rFonts w:ascii="Book Antiqua" w:hAnsi="Book Antiqua" w:cs="Book Antiqua" w:hint="eastAsia"/>
          <w:sz w:val="24"/>
          <w:szCs w:val="24"/>
          <w:vertAlign w:val="superscript"/>
          <w:lang w:eastAsia="zh-CN"/>
        </w:rPr>
        <w:t>3</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w:t>
      </w:r>
    </w:p>
    <w:p w:rsidR="00E37287" w:rsidRPr="001B7F6D" w:rsidRDefault="00805F76" w:rsidP="003A7147">
      <w:pPr>
        <w:pStyle w:val="Body"/>
        <w:spacing w:line="360" w:lineRule="auto"/>
        <w:ind w:firstLineChars="100" w:firstLine="240"/>
        <w:jc w:val="both"/>
        <w:rPr>
          <w:rFonts w:ascii="Book Antiqua" w:eastAsia="Book Antiqua" w:hAnsi="Book Antiqua" w:cs="Book Antiqua"/>
          <w:sz w:val="24"/>
          <w:szCs w:val="24"/>
        </w:rPr>
      </w:pPr>
      <w:r w:rsidRPr="001B7F6D">
        <w:rPr>
          <w:rFonts w:ascii="Book Antiqua" w:eastAsia="Book Antiqua" w:hAnsi="Book Antiqua" w:cs="Book Antiqua"/>
          <w:sz w:val="24"/>
          <w:szCs w:val="24"/>
        </w:rPr>
        <w:t>Conventional staging of paediatric oncology patients includes bone scintigraphy, CT and MRI. PET has been found equal or superior to bone scintigraphy in the detection of</w:t>
      </w:r>
      <w:r w:rsidR="003A7147">
        <w:rPr>
          <w:rFonts w:ascii="Book Antiqua" w:eastAsia="Book Antiqua" w:hAnsi="Book Antiqua" w:cs="Book Antiqua"/>
          <w:sz w:val="24"/>
          <w:szCs w:val="24"/>
        </w:rPr>
        <w:t xml:space="preserve"> osseus metastases from </w:t>
      </w:r>
      <w:proofErr w:type="gramStart"/>
      <w:r w:rsidR="003A7147">
        <w:rPr>
          <w:rFonts w:ascii="Book Antiqua" w:eastAsia="Book Antiqua" w:hAnsi="Book Antiqua" w:cs="Book Antiqua"/>
          <w:sz w:val="24"/>
          <w:szCs w:val="24"/>
        </w:rPr>
        <w:t>sarcoma</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5</w:t>
      </w:r>
      <w:r w:rsidR="00D13633">
        <w:rPr>
          <w:rFonts w:ascii="Book Antiqua" w:hAnsi="Book Antiqua" w:cs="Book Antiqua" w:hint="eastAsia"/>
          <w:sz w:val="24"/>
          <w:szCs w:val="24"/>
          <w:vertAlign w:val="superscript"/>
          <w:lang w:eastAsia="zh-CN"/>
        </w:rPr>
        <w:t>4</w:t>
      </w:r>
      <w:r w:rsidRPr="001B7F6D">
        <w:rPr>
          <w:rFonts w:ascii="Book Antiqua" w:eastAsia="Book Antiqua" w:hAnsi="Book Antiqua" w:cs="Book Antiqua"/>
          <w:sz w:val="24"/>
          <w:szCs w:val="24"/>
          <w:vertAlign w:val="superscript"/>
        </w:rPr>
        <w:t>,5</w:t>
      </w:r>
      <w:r w:rsidR="00D13633">
        <w:rPr>
          <w:rFonts w:ascii="Book Antiqua" w:hAnsi="Book Antiqua" w:cs="Book Antiqua" w:hint="eastAsia"/>
          <w:sz w:val="24"/>
          <w:szCs w:val="24"/>
          <w:vertAlign w:val="superscript"/>
          <w:lang w:eastAsia="zh-CN"/>
        </w:rPr>
        <w:t>5</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Such metastases are detected in Ewing sarcoma with a s</w:t>
      </w:r>
      <w:r w:rsidR="003A7147">
        <w:rPr>
          <w:rFonts w:ascii="Book Antiqua" w:eastAsia="Book Antiqua" w:hAnsi="Book Antiqua" w:cs="Book Antiqua"/>
          <w:sz w:val="24"/>
          <w:szCs w:val="24"/>
        </w:rPr>
        <w:t>ensitivity ranging from 88</w:t>
      </w:r>
      <w:r w:rsidR="003A7147">
        <w:rPr>
          <w:rFonts w:ascii="Book Antiqua" w:hAnsi="Book Antiqua" w:cs="Book Antiqua" w:hint="eastAsia"/>
          <w:sz w:val="24"/>
          <w:szCs w:val="24"/>
          <w:lang w:eastAsia="zh-CN"/>
        </w:rPr>
        <w:t>%</w:t>
      </w:r>
      <w:r w:rsidR="003A7147">
        <w:rPr>
          <w:rFonts w:ascii="Book Antiqua" w:eastAsia="Book Antiqua" w:hAnsi="Book Antiqua" w:cs="Book Antiqua"/>
          <w:sz w:val="24"/>
          <w:szCs w:val="24"/>
        </w:rPr>
        <w:t>-100</w:t>
      </w:r>
      <w:proofErr w:type="gramStart"/>
      <w:r w:rsidR="003A7147">
        <w:rPr>
          <w:rFonts w:ascii="Book Antiqua" w:eastAsia="Book Antiqua" w:hAnsi="Book Antiqua" w:cs="Book Antiqua"/>
          <w:sz w:val="24"/>
          <w:szCs w:val="24"/>
        </w:rPr>
        <w:t>%</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5</w:t>
      </w:r>
      <w:r w:rsidR="00D13633">
        <w:rPr>
          <w:rFonts w:ascii="Book Antiqua" w:hAnsi="Book Antiqua" w:cs="Book Antiqua" w:hint="eastAsia"/>
          <w:sz w:val="24"/>
          <w:szCs w:val="24"/>
          <w:vertAlign w:val="superscript"/>
          <w:lang w:eastAsia="zh-CN"/>
        </w:rPr>
        <w:t>4</w:t>
      </w:r>
      <w:r w:rsidRPr="001B7F6D">
        <w:rPr>
          <w:rFonts w:ascii="Book Antiqua" w:eastAsia="Book Antiqua" w:hAnsi="Book Antiqua" w:cs="Book Antiqua"/>
          <w:sz w:val="24"/>
          <w:szCs w:val="24"/>
          <w:vertAlign w:val="superscript"/>
        </w:rPr>
        <w:t>,5</w:t>
      </w:r>
      <w:r w:rsidR="00D13633">
        <w:rPr>
          <w:rFonts w:ascii="Book Antiqua" w:hAnsi="Book Antiqua" w:cs="Book Antiqua" w:hint="eastAsia"/>
          <w:sz w:val="24"/>
          <w:szCs w:val="24"/>
          <w:vertAlign w:val="superscript"/>
          <w:lang w:eastAsia="zh-CN"/>
        </w:rPr>
        <w:t>5</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xml:space="preserve">. Detection of nodal metastases may also be improved with PET as compared with </w:t>
      </w:r>
      <w:r w:rsidR="003A7147">
        <w:rPr>
          <w:rFonts w:ascii="Book Antiqua" w:eastAsia="Book Antiqua" w:hAnsi="Book Antiqua" w:cs="Book Antiqua"/>
          <w:sz w:val="24"/>
          <w:szCs w:val="24"/>
        </w:rPr>
        <w:t xml:space="preserve">conventional imaging </w:t>
      </w:r>
      <w:proofErr w:type="gramStart"/>
      <w:r w:rsidR="003A7147">
        <w:rPr>
          <w:rFonts w:ascii="Book Antiqua" w:eastAsia="Book Antiqua" w:hAnsi="Book Antiqua" w:cs="Book Antiqua"/>
          <w:sz w:val="24"/>
          <w:szCs w:val="24"/>
        </w:rPr>
        <w:t>modalities</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5</w:t>
      </w:r>
      <w:r w:rsidR="00D13633">
        <w:rPr>
          <w:rFonts w:ascii="Book Antiqua" w:hAnsi="Book Antiqua" w:cs="Book Antiqua" w:hint="eastAsia"/>
          <w:sz w:val="24"/>
          <w:szCs w:val="24"/>
          <w:vertAlign w:val="superscript"/>
          <w:lang w:eastAsia="zh-CN"/>
        </w:rPr>
        <w:t>6</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w:t>
      </w:r>
    </w:p>
    <w:p w:rsidR="00E37287" w:rsidRPr="001B7F6D" w:rsidRDefault="00805F76" w:rsidP="003A7147">
      <w:pPr>
        <w:pStyle w:val="Body"/>
        <w:spacing w:line="360" w:lineRule="auto"/>
        <w:ind w:firstLineChars="100" w:firstLine="240"/>
        <w:jc w:val="both"/>
        <w:rPr>
          <w:rFonts w:ascii="Book Antiqua" w:eastAsia="Book Antiqua" w:hAnsi="Book Antiqua" w:cs="Book Antiqua"/>
          <w:sz w:val="24"/>
          <w:szCs w:val="24"/>
        </w:rPr>
      </w:pPr>
      <w:r w:rsidRPr="001B7F6D">
        <w:rPr>
          <w:rFonts w:ascii="Book Antiqua" w:eastAsia="Book Antiqua" w:hAnsi="Book Antiqua" w:cs="Book Antiqua"/>
          <w:sz w:val="24"/>
          <w:szCs w:val="24"/>
        </w:rPr>
        <w:t>Pulmonary metastases are common among children with sarcoma, being present in up to one quarter of pa</w:t>
      </w:r>
      <w:r w:rsidR="003A7147">
        <w:rPr>
          <w:rFonts w:ascii="Book Antiqua" w:eastAsia="Book Antiqua" w:hAnsi="Book Antiqua" w:cs="Book Antiqua"/>
          <w:sz w:val="24"/>
          <w:szCs w:val="24"/>
        </w:rPr>
        <w:t xml:space="preserve">tients at the time of </w:t>
      </w:r>
      <w:proofErr w:type="gramStart"/>
      <w:r w:rsidR="003A7147">
        <w:rPr>
          <w:rFonts w:ascii="Book Antiqua" w:eastAsia="Book Antiqua" w:hAnsi="Book Antiqua" w:cs="Book Antiqua"/>
          <w:sz w:val="24"/>
          <w:szCs w:val="24"/>
        </w:rPr>
        <w:t>diagnosis</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5</w:t>
      </w:r>
      <w:r w:rsidR="00D13633">
        <w:rPr>
          <w:rFonts w:ascii="Book Antiqua" w:hAnsi="Book Antiqua" w:cs="Book Antiqua" w:hint="eastAsia"/>
          <w:sz w:val="24"/>
          <w:szCs w:val="24"/>
          <w:vertAlign w:val="superscript"/>
          <w:lang w:eastAsia="zh-CN"/>
        </w:rPr>
        <w:t>0</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Prompt identification and treatment is crucial to effective management. PET alone has been proven less sensitive than diagnostic CT in the identification of s</w:t>
      </w:r>
      <w:r w:rsidR="003A7147">
        <w:rPr>
          <w:rFonts w:ascii="Book Antiqua" w:eastAsia="Book Antiqua" w:hAnsi="Book Antiqua" w:cs="Book Antiqua"/>
          <w:sz w:val="24"/>
          <w:szCs w:val="24"/>
        </w:rPr>
        <w:t xml:space="preserve">arcomatous pulmonary </w:t>
      </w:r>
      <w:proofErr w:type="gramStart"/>
      <w:r w:rsidR="003A7147">
        <w:rPr>
          <w:rFonts w:ascii="Book Antiqua" w:eastAsia="Book Antiqua" w:hAnsi="Book Antiqua" w:cs="Book Antiqua"/>
          <w:sz w:val="24"/>
          <w:szCs w:val="24"/>
        </w:rPr>
        <w:t>metastases</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5</w:t>
      </w:r>
      <w:r w:rsidR="00D13633">
        <w:rPr>
          <w:rFonts w:ascii="Book Antiqua" w:hAnsi="Book Antiqua" w:cs="Book Antiqua" w:hint="eastAsia"/>
          <w:sz w:val="24"/>
          <w:szCs w:val="24"/>
          <w:vertAlign w:val="superscript"/>
          <w:lang w:eastAsia="zh-CN"/>
        </w:rPr>
        <w:t>6</w:t>
      </w:r>
      <w:r w:rsidRPr="001B7F6D">
        <w:rPr>
          <w:rFonts w:ascii="Book Antiqua" w:eastAsia="Book Antiqua" w:hAnsi="Book Antiqua" w:cs="Book Antiqua"/>
          <w:sz w:val="24"/>
          <w:szCs w:val="24"/>
          <w:vertAlign w:val="superscript"/>
        </w:rPr>
        <w:t>,5</w:t>
      </w:r>
      <w:r w:rsidR="00D13633">
        <w:rPr>
          <w:rFonts w:ascii="Book Antiqua" w:hAnsi="Book Antiqua" w:cs="Book Antiqua" w:hint="eastAsia"/>
          <w:sz w:val="24"/>
          <w:szCs w:val="24"/>
          <w:vertAlign w:val="superscript"/>
          <w:lang w:eastAsia="zh-CN"/>
        </w:rPr>
        <w:t>7</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The sensitivity of PET in detecting pulmonary metastases has been reported to be as low as 24% for lesions smaller than 1</w:t>
      </w:r>
      <w:r w:rsidR="003A7147">
        <w:rPr>
          <w:rFonts w:ascii="Book Antiqua" w:hAnsi="Book Antiqua" w:cs="Book Antiqua" w:hint="eastAsia"/>
          <w:sz w:val="24"/>
          <w:szCs w:val="24"/>
          <w:lang w:eastAsia="zh-CN"/>
        </w:rPr>
        <w:t xml:space="preserve"> </w:t>
      </w:r>
      <w:proofErr w:type="gramStart"/>
      <w:r w:rsidRPr="001B7F6D">
        <w:rPr>
          <w:rFonts w:ascii="Book Antiqua" w:eastAsia="Book Antiqua" w:hAnsi="Book Antiqua" w:cs="Book Antiqua"/>
          <w:sz w:val="24"/>
          <w:szCs w:val="24"/>
        </w:rPr>
        <w:t>cm</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5</w:t>
      </w:r>
      <w:r w:rsidR="00D13633">
        <w:rPr>
          <w:rFonts w:ascii="Book Antiqua" w:hAnsi="Book Antiqua" w:cs="Book Antiqua" w:hint="eastAsia"/>
          <w:sz w:val="24"/>
          <w:szCs w:val="24"/>
          <w:vertAlign w:val="superscript"/>
          <w:lang w:eastAsia="zh-CN"/>
        </w:rPr>
        <w:t>6</w:t>
      </w:r>
      <w:r w:rsidRPr="001B7F6D">
        <w:rPr>
          <w:rFonts w:ascii="Book Antiqua" w:eastAsia="Book Antiqua" w:hAnsi="Book Antiqua" w:cs="Book Antiqua"/>
          <w:sz w:val="24"/>
          <w:szCs w:val="24"/>
          <w:vertAlign w:val="superscript"/>
        </w:rPr>
        <w:t>,5</w:t>
      </w:r>
      <w:r w:rsidR="00D13633">
        <w:rPr>
          <w:rFonts w:ascii="Book Antiqua" w:hAnsi="Book Antiqua" w:cs="Book Antiqua" w:hint="eastAsia"/>
          <w:sz w:val="24"/>
          <w:szCs w:val="24"/>
          <w:vertAlign w:val="superscript"/>
          <w:lang w:eastAsia="zh-CN"/>
        </w:rPr>
        <w:t>8</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This reduced sensitivity is multifactorial and can be attributed to technical limitations such as the finite spatial resolution of the scanner, which dictates that a lesion smaller than 3-4</w:t>
      </w:r>
      <w:r w:rsidR="003A7147">
        <w:rPr>
          <w:rFonts w:ascii="Book Antiqua" w:hAnsi="Book Antiqua" w:cs="Book Antiqua" w:hint="eastAsia"/>
          <w:sz w:val="24"/>
          <w:szCs w:val="24"/>
          <w:lang w:eastAsia="zh-CN"/>
        </w:rPr>
        <w:t xml:space="preserve"> </w:t>
      </w:r>
      <w:r w:rsidRPr="001B7F6D">
        <w:rPr>
          <w:rFonts w:ascii="Book Antiqua" w:eastAsia="Book Antiqua" w:hAnsi="Book Antiqua" w:cs="Book Antiqua"/>
          <w:sz w:val="24"/>
          <w:szCs w:val="24"/>
        </w:rPr>
        <w:t>mm may not be identified; as well as the partial volume effect (PVE) and respiratory movement during emission acquisition.</w:t>
      </w:r>
    </w:p>
    <w:p w:rsidR="00E37287" w:rsidRPr="001B7F6D" w:rsidRDefault="00805F76" w:rsidP="003A7147">
      <w:pPr>
        <w:pStyle w:val="Body"/>
        <w:spacing w:line="360" w:lineRule="auto"/>
        <w:ind w:firstLineChars="100" w:firstLine="240"/>
        <w:jc w:val="both"/>
        <w:rPr>
          <w:rFonts w:ascii="Book Antiqua" w:eastAsia="Book Antiqua" w:hAnsi="Book Antiqua" w:cs="Book Antiqua"/>
          <w:sz w:val="24"/>
          <w:szCs w:val="24"/>
        </w:rPr>
      </w:pPr>
      <w:r w:rsidRPr="001B7F6D">
        <w:rPr>
          <w:rFonts w:ascii="Book Antiqua" w:eastAsia="Book Antiqua" w:hAnsi="Book Antiqua" w:cs="Book Antiqua"/>
          <w:sz w:val="24"/>
          <w:szCs w:val="24"/>
        </w:rPr>
        <w:t>PVE can result in significant qualitative and quantitative changes to PET studies. In practical terms it results in the signals of small avid lesions being spread over larger volumes. It typically occurs whenever the avid lesion is smaller than 3 times the full width at half maximum (FWHM), and is exacerbated when surrounding tissue uptake is particularly low (as is seen in lung tissue).</w:t>
      </w:r>
      <w:r w:rsidR="005F1053">
        <w:rPr>
          <w:rFonts w:ascii="Book Antiqua" w:eastAsia="Book Antiqua" w:hAnsi="Book Antiqua" w:cs="Book Antiqua"/>
          <w:sz w:val="24"/>
          <w:szCs w:val="24"/>
        </w:rPr>
        <w:t xml:space="preserve"> </w:t>
      </w:r>
      <w:r w:rsidRPr="001B7F6D">
        <w:rPr>
          <w:rFonts w:ascii="Book Antiqua" w:eastAsia="Book Antiqua" w:hAnsi="Book Antiqua" w:cs="Book Antiqua"/>
          <w:sz w:val="24"/>
          <w:szCs w:val="24"/>
        </w:rPr>
        <w:t>PVE results in small lesions appearing la</w:t>
      </w:r>
      <w:r w:rsidR="003A7147">
        <w:rPr>
          <w:rFonts w:ascii="Book Antiqua" w:eastAsia="Book Antiqua" w:hAnsi="Book Antiqua" w:cs="Book Antiqua"/>
          <w:sz w:val="24"/>
          <w:szCs w:val="24"/>
        </w:rPr>
        <w:t xml:space="preserve">rger in size but much less </w:t>
      </w:r>
      <w:proofErr w:type="gramStart"/>
      <w:r w:rsidR="003A7147">
        <w:rPr>
          <w:rFonts w:ascii="Book Antiqua" w:eastAsia="Book Antiqua" w:hAnsi="Book Antiqua" w:cs="Book Antiqua"/>
          <w:sz w:val="24"/>
          <w:szCs w:val="24"/>
        </w:rPr>
        <w:t>avid</w:t>
      </w:r>
      <w:r w:rsidRPr="001B7F6D">
        <w:rPr>
          <w:rFonts w:ascii="Book Antiqua" w:eastAsia="Book Antiqua" w:hAnsi="Book Antiqua" w:cs="Book Antiqua"/>
          <w:sz w:val="24"/>
          <w:szCs w:val="24"/>
          <w:vertAlign w:val="superscript"/>
        </w:rPr>
        <w:t>[</w:t>
      </w:r>
      <w:proofErr w:type="gramEnd"/>
      <w:r w:rsidR="00D13633">
        <w:rPr>
          <w:rFonts w:ascii="Book Antiqua" w:hAnsi="Book Antiqua" w:cs="Book Antiqua" w:hint="eastAsia"/>
          <w:sz w:val="24"/>
          <w:szCs w:val="24"/>
          <w:vertAlign w:val="superscript"/>
          <w:lang w:eastAsia="zh-CN"/>
        </w:rPr>
        <w:t>59</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w:t>
      </w:r>
    </w:p>
    <w:p w:rsidR="00E37287" w:rsidRPr="001B7F6D" w:rsidRDefault="00805F76" w:rsidP="003A7147">
      <w:pPr>
        <w:pStyle w:val="Body"/>
        <w:spacing w:line="360" w:lineRule="auto"/>
        <w:ind w:firstLineChars="100" w:firstLine="240"/>
        <w:jc w:val="both"/>
        <w:rPr>
          <w:rFonts w:ascii="Book Antiqua" w:eastAsia="Book Antiqua" w:hAnsi="Book Antiqua" w:cs="Book Antiqua"/>
          <w:sz w:val="24"/>
          <w:szCs w:val="24"/>
        </w:rPr>
      </w:pPr>
      <w:r w:rsidRPr="001B7F6D">
        <w:rPr>
          <w:rFonts w:ascii="Book Antiqua" w:eastAsia="Book Antiqua" w:hAnsi="Book Antiqua" w:cs="Book Antiqua"/>
          <w:sz w:val="24"/>
          <w:szCs w:val="24"/>
        </w:rPr>
        <w:t xml:space="preserve">Respiratory movements affect PET images due to the </w:t>
      </w:r>
      <w:r w:rsidR="00D13633">
        <w:rPr>
          <w:rFonts w:ascii="Book Antiqua" w:eastAsia="Book Antiqua" w:hAnsi="Book Antiqua" w:cs="Book Antiqua"/>
          <w:sz w:val="24"/>
          <w:szCs w:val="24"/>
        </w:rPr>
        <w:t xml:space="preserve">long acquisition times </w:t>
      </w:r>
      <w:proofErr w:type="gramStart"/>
      <w:r w:rsidR="00D13633">
        <w:rPr>
          <w:rFonts w:ascii="Book Antiqua" w:eastAsia="Book Antiqua" w:hAnsi="Book Antiqua" w:cs="Book Antiqua"/>
          <w:sz w:val="24"/>
          <w:szCs w:val="24"/>
        </w:rPr>
        <w:t>involved</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6</w:t>
      </w:r>
      <w:r w:rsidR="00D13633">
        <w:rPr>
          <w:rFonts w:ascii="Book Antiqua" w:hAnsi="Book Antiqua" w:cs="Book Antiqua" w:hint="eastAsia"/>
          <w:sz w:val="24"/>
          <w:szCs w:val="24"/>
          <w:vertAlign w:val="superscript"/>
          <w:lang w:eastAsia="zh-CN"/>
        </w:rPr>
        <w:t>0</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The movement of lung lesions during respiration results in overestimated tracer-avid volumes and</w:t>
      </w:r>
      <w:r w:rsidR="003A7147">
        <w:rPr>
          <w:rFonts w:ascii="Book Antiqua" w:eastAsia="Book Antiqua" w:hAnsi="Book Antiqua" w:cs="Book Antiqua"/>
          <w:sz w:val="24"/>
          <w:szCs w:val="24"/>
        </w:rPr>
        <w:t xml:space="preserve"> reduced apparent tracer </w:t>
      </w:r>
      <w:proofErr w:type="gramStart"/>
      <w:r w:rsidR="003A7147">
        <w:rPr>
          <w:rFonts w:ascii="Book Antiqua" w:eastAsia="Book Antiqua" w:hAnsi="Book Antiqua" w:cs="Book Antiqua"/>
          <w:sz w:val="24"/>
          <w:szCs w:val="24"/>
        </w:rPr>
        <w:t>uptake</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6</w:t>
      </w:r>
      <w:r w:rsidR="00D13633">
        <w:rPr>
          <w:rFonts w:ascii="Book Antiqua" w:hAnsi="Book Antiqua" w:cs="Book Antiqua" w:hint="eastAsia"/>
          <w:sz w:val="24"/>
          <w:szCs w:val="24"/>
          <w:vertAlign w:val="superscript"/>
          <w:lang w:eastAsia="zh-CN"/>
        </w:rPr>
        <w:t>1</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xml:space="preserve">. It is particularly seen in lung tissue closest to the diaphragm. Respiratory gating is a technique whereby the respiratory cycle is divided into multiple phases and the acquired events sorted into temporal bins. It aims to improve the spatial resolution of thoracic PET images at the expense of increased image noise. Respiratory gating has been shown to result in more accurate SUV and volume </w:t>
      </w:r>
      <w:r w:rsidRPr="001B7F6D">
        <w:rPr>
          <w:rFonts w:ascii="Book Antiqua" w:eastAsia="Book Antiqua" w:hAnsi="Book Antiqua" w:cs="Book Antiqua"/>
          <w:sz w:val="24"/>
          <w:szCs w:val="24"/>
        </w:rPr>
        <w:lastRenderedPageBreak/>
        <w:t>me</w:t>
      </w:r>
      <w:r w:rsidR="003A7147">
        <w:rPr>
          <w:rFonts w:ascii="Book Antiqua" w:eastAsia="Book Antiqua" w:hAnsi="Book Antiqua" w:cs="Book Antiqua"/>
          <w:sz w:val="24"/>
          <w:szCs w:val="24"/>
        </w:rPr>
        <w:t xml:space="preserve">asurements of pulmonary </w:t>
      </w:r>
      <w:proofErr w:type="gramStart"/>
      <w:r w:rsidR="003A7147">
        <w:rPr>
          <w:rFonts w:ascii="Book Antiqua" w:eastAsia="Book Antiqua" w:hAnsi="Book Antiqua" w:cs="Book Antiqua"/>
          <w:sz w:val="24"/>
          <w:szCs w:val="24"/>
        </w:rPr>
        <w:t>nodules</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6</w:t>
      </w:r>
      <w:r w:rsidR="00D13633">
        <w:rPr>
          <w:rFonts w:ascii="Book Antiqua" w:hAnsi="Book Antiqua" w:cs="Book Antiqua" w:hint="eastAsia"/>
          <w:sz w:val="24"/>
          <w:szCs w:val="24"/>
          <w:vertAlign w:val="superscript"/>
          <w:lang w:eastAsia="zh-CN"/>
        </w:rPr>
        <w:t>2</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It remains an ongoing area of research but may have future applications, particularly in the area of radia</w:t>
      </w:r>
      <w:r w:rsidR="003A7147">
        <w:rPr>
          <w:rFonts w:ascii="Book Antiqua" w:eastAsia="Book Antiqua" w:hAnsi="Book Antiqua" w:cs="Book Antiqua"/>
          <w:sz w:val="24"/>
          <w:szCs w:val="24"/>
        </w:rPr>
        <w:t xml:space="preserve">tion therapy treatment </w:t>
      </w:r>
      <w:proofErr w:type="gramStart"/>
      <w:r w:rsidR="003A7147">
        <w:rPr>
          <w:rFonts w:ascii="Book Antiqua" w:eastAsia="Book Antiqua" w:hAnsi="Book Antiqua" w:cs="Book Antiqua"/>
          <w:sz w:val="24"/>
          <w:szCs w:val="24"/>
        </w:rPr>
        <w:t>planning</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6</w:t>
      </w:r>
      <w:r w:rsidR="00D13633">
        <w:rPr>
          <w:rFonts w:ascii="Book Antiqua" w:hAnsi="Book Antiqua" w:cs="Book Antiqua" w:hint="eastAsia"/>
          <w:sz w:val="24"/>
          <w:szCs w:val="24"/>
          <w:vertAlign w:val="superscript"/>
          <w:lang w:eastAsia="zh-CN"/>
        </w:rPr>
        <w:t>3</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w:t>
      </w:r>
    </w:p>
    <w:p w:rsidR="00E37287" w:rsidRPr="001B7F6D" w:rsidRDefault="00805F76" w:rsidP="003A7147">
      <w:pPr>
        <w:pStyle w:val="Body"/>
        <w:spacing w:line="360" w:lineRule="auto"/>
        <w:ind w:firstLineChars="100" w:firstLine="240"/>
        <w:jc w:val="both"/>
        <w:rPr>
          <w:rFonts w:ascii="Book Antiqua" w:eastAsia="Book Antiqua" w:hAnsi="Book Antiqua" w:cs="Book Antiqua"/>
          <w:sz w:val="24"/>
          <w:szCs w:val="24"/>
        </w:rPr>
      </w:pPr>
      <w:r w:rsidRPr="001B7F6D">
        <w:rPr>
          <w:rFonts w:ascii="Book Antiqua" w:eastAsia="Book Antiqua" w:hAnsi="Book Antiqua" w:cs="Book Antiqua"/>
          <w:sz w:val="24"/>
          <w:szCs w:val="24"/>
        </w:rPr>
        <w:t>Aside from those technical limitations which affect small pulmonary metastases, PET sensitivity is reduced compared with conventional imaging even for pulmonary meta</w:t>
      </w:r>
      <w:r w:rsidR="00D94B4C" w:rsidRPr="001B7F6D">
        <w:rPr>
          <w:rFonts w:ascii="Book Antiqua" w:eastAsia="Book Antiqua" w:hAnsi="Book Antiqua" w:cs="Book Antiqua"/>
          <w:sz w:val="24"/>
          <w:szCs w:val="24"/>
        </w:rPr>
        <w:t>stases greater than 1</w:t>
      </w:r>
      <w:r w:rsidR="003A7147">
        <w:rPr>
          <w:rFonts w:ascii="Book Antiqua" w:hAnsi="Book Antiqua" w:cs="Book Antiqua" w:hint="eastAsia"/>
          <w:sz w:val="24"/>
          <w:szCs w:val="24"/>
          <w:lang w:eastAsia="zh-CN"/>
        </w:rPr>
        <w:t xml:space="preserve"> </w:t>
      </w:r>
      <w:r w:rsidR="00D94B4C" w:rsidRPr="001B7F6D">
        <w:rPr>
          <w:rFonts w:ascii="Book Antiqua" w:eastAsia="Book Antiqua" w:hAnsi="Book Antiqua" w:cs="Book Antiqua"/>
          <w:sz w:val="24"/>
          <w:szCs w:val="24"/>
        </w:rPr>
        <w:t>cm in size,</w:t>
      </w:r>
      <w:r w:rsidRPr="001B7F6D">
        <w:rPr>
          <w:rFonts w:ascii="Book Antiqua" w:eastAsia="Book Antiqua" w:hAnsi="Book Antiqua" w:cs="Book Antiqua"/>
          <w:sz w:val="24"/>
          <w:szCs w:val="24"/>
        </w:rPr>
        <w:t xml:space="preserve"> including those where the primary tumour is intensely avid. The reason for this finding is poorly understood but may relate to reduced perfusion of lesions, down-regulation of glucose receptor</w:t>
      </w:r>
      <w:r w:rsidR="003A7147">
        <w:rPr>
          <w:rFonts w:ascii="Book Antiqua" w:eastAsia="Book Antiqua" w:hAnsi="Book Antiqua" w:cs="Book Antiqua"/>
          <w:sz w:val="24"/>
          <w:szCs w:val="24"/>
        </w:rPr>
        <w:t xml:space="preserve">s or altered glucose </w:t>
      </w:r>
      <w:proofErr w:type="gramStart"/>
      <w:r w:rsidR="003A7147">
        <w:rPr>
          <w:rFonts w:ascii="Book Antiqua" w:eastAsia="Book Antiqua" w:hAnsi="Book Antiqua" w:cs="Book Antiqua"/>
          <w:sz w:val="24"/>
          <w:szCs w:val="24"/>
        </w:rPr>
        <w:t>metabolism</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5</w:t>
      </w:r>
      <w:r w:rsidR="00D13633">
        <w:rPr>
          <w:rFonts w:ascii="Book Antiqua" w:hAnsi="Book Antiqua" w:cs="Book Antiqua" w:hint="eastAsia"/>
          <w:sz w:val="24"/>
          <w:szCs w:val="24"/>
          <w:vertAlign w:val="superscript"/>
          <w:lang w:eastAsia="zh-CN"/>
        </w:rPr>
        <w:t>8</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w:t>
      </w:r>
    </w:p>
    <w:p w:rsidR="00E37287" w:rsidRPr="001B7F6D" w:rsidRDefault="00805F76" w:rsidP="003A7147">
      <w:pPr>
        <w:pStyle w:val="Body"/>
        <w:spacing w:line="360" w:lineRule="auto"/>
        <w:ind w:firstLineChars="100" w:firstLine="240"/>
        <w:jc w:val="both"/>
        <w:rPr>
          <w:rFonts w:ascii="Book Antiqua" w:eastAsia="Book Antiqua" w:hAnsi="Book Antiqua" w:cs="Book Antiqua"/>
          <w:sz w:val="24"/>
          <w:szCs w:val="24"/>
        </w:rPr>
      </w:pPr>
      <w:r w:rsidRPr="001B7F6D">
        <w:rPr>
          <w:rFonts w:ascii="Book Antiqua" w:eastAsia="Book Antiqua" w:hAnsi="Book Antiqua" w:cs="Book Antiqua"/>
          <w:sz w:val="24"/>
          <w:szCs w:val="24"/>
        </w:rPr>
        <w:t>Fused PET/CT improves detection of pulmo</w:t>
      </w:r>
      <w:r w:rsidR="003A7147">
        <w:rPr>
          <w:rFonts w:ascii="Book Antiqua" w:eastAsia="Book Antiqua" w:hAnsi="Book Antiqua" w:cs="Book Antiqua"/>
          <w:sz w:val="24"/>
          <w:szCs w:val="24"/>
        </w:rPr>
        <w:t xml:space="preserve">nary metastases above PET </w:t>
      </w:r>
      <w:proofErr w:type="gramStart"/>
      <w:r w:rsidR="003A7147">
        <w:rPr>
          <w:rFonts w:ascii="Book Antiqua" w:eastAsia="Book Antiqua" w:hAnsi="Book Antiqua" w:cs="Book Antiqua"/>
          <w:sz w:val="24"/>
          <w:szCs w:val="24"/>
        </w:rPr>
        <w:t>alone</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6</w:t>
      </w:r>
      <w:r w:rsidR="00D13633">
        <w:rPr>
          <w:rFonts w:ascii="Book Antiqua" w:hAnsi="Book Antiqua" w:cs="Book Antiqua" w:hint="eastAsia"/>
          <w:sz w:val="24"/>
          <w:szCs w:val="24"/>
          <w:vertAlign w:val="superscript"/>
          <w:lang w:eastAsia="zh-CN"/>
        </w:rPr>
        <w:t>4</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However, because PET/CT is generally undertaken with a reduced dose CT protocol, image quality may still not be sufficient to detect small pulmonary metastases. It is known that small pulmonary nodules are no more likely to be benign than larger ones among paediatric on</w:t>
      </w:r>
      <w:r w:rsidR="003A7147">
        <w:rPr>
          <w:rFonts w:ascii="Book Antiqua" w:eastAsia="Book Antiqua" w:hAnsi="Book Antiqua" w:cs="Book Antiqua"/>
          <w:sz w:val="24"/>
          <w:szCs w:val="24"/>
        </w:rPr>
        <w:t xml:space="preserve">cology </w:t>
      </w:r>
      <w:proofErr w:type="gramStart"/>
      <w:r w:rsidR="003A7147">
        <w:rPr>
          <w:rFonts w:ascii="Book Antiqua" w:eastAsia="Book Antiqua" w:hAnsi="Book Antiqua" w:cs="Book Antiqua"/>
          <w:sz w:val="24"/>
          <w:szCs w:val="24"/>
        </w:rPr>
        <w:t>patients</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6</w:t>
      </w:r>
      <w:r w:rsidR="00D13633">
        <w:rPr>
          <w:rFonts w:ascii="Book Antiqua" w:hAnsi="Book Antiqua" w:cs="Book Antiqua" w:hint="eastAsia"/>
          <w:sz w:val="24"/>
          <w:szCs w:val="24"/>
          <w:vertAlign w:val="superscript"/>
          <w:lang w:eastAsia="zh-CN"/>
        </w:rPr>
        <w:t>5</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xml:space="preserve">. A diagnostic quality CT of the chest therefore remains an essential part of the staging and </w:t>
      </w:r>
      <w:r w:rsidR="003A7147">
        <w:rPr>
          <w:rFonts w:ascii="Book Antiqua" w:eastAsia="Book Antiqua" w:hAnsi="Book Antiqua" w:cs="Book Antiqua"/>
          <w:sz w:val="24"/>
          <w:szCs w:val="24"/>
        </w:rPr>
        <w:t xml:space="preserve">follow-up of paediatric </w:t>
      </w:r>
      <w:proofErr w:type="gramStart"/>
      <w:r w:rsidR="003A7147">
        <w:rPr>
          <w:rFonts w:ascii="Book Antiqua" w:eastAsia="Book Antiqua" w:hAnsi="Book Antiqua" w:cs="Book Antiqua"/>
          <w:sz w:val="24"/>
          <w:szCs w:val="24"/>
        </w:rPr>
        <w:t>sarcoma</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5</w:t>
      </w:r>
      <w:r w:rsidR="00D13633">
        <w:rPr>
          <w:rFonts w:ascii="Book Antiqua" w:hAnsi="Book Antiqua" w:cs="Book Antiqua" w:hint="eastAsia"/>
          <w:sz w:val="24"/>
          <w:szCs w:val="24"/>
          <w:vertAlign w:val="superscript"/>
          <w:lang w:eastAsia="zh-CN"/>
        </w:rPr>
        <w:t>0</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w:t>
      </w:r>
    </w:p>
    <w:p w:rsidR="00E37287" w:rsidRPr="001B7F6D" w:rsidRDefault="00805F76" w:rsidP="003A7147">
      <w:pPr>
        <w:pStyle w:val="Body"/>
        <w:spacing w:line="360" w:lineRule="auto"/>
        <w:ind w:firstLineChars="100" w:firstLine="240"/>
        <w:jc w:val="both"/>
        <w:rPr>
          <w:rFonts w:ascii="Book Antiqua" w:eastAsia="Book Antiqua" w:hAnsi="Book Antiqua" w:cs="Book Antiqua"/>
          <w:sz w:val="24"/>
          <w:szCs w:val="24"/>
        </w:rPr>
      </w:pPr>
      <w:r w:rsidRPr="001B7F6D">
        <w:rPr>
          <w:rFonts w:ascii="Book Antiqua" w:eastAsia="Book Antiqua" w:hAnsi="Book Antiqua" w:cs="Book Antiqua"/>
          <w:sz w:val="24"/>
          <w:szCs w:val="24"/>
        </w:rPr>
        <w:t xml:space="preserve">PET has additionally been used to identify local and distant recurrence of sarcoma. Reliable follow-up however requires the </w:t>
      </w:r>
      <w:r w:rsidR="003A7147">
        <w:rPr>
          <w:rFonts w:ascii="Book Antiqua" w:eastAsia="Book Antiqua" w:hAnsi="Book Antiqua" w:cs="Book Antiqua"/>
          <w:sz w:val="24"/>
          <w:szCs w:val="24"/>
        </w:rPr>
        <w:t xml:space="preserve">use of other imaging </w:t>
      </w:r>
      <w:proofErr w:type="gramStart"/>
      <w:r w:rsidR="003A7147">
        <w:rPr>
          <w:rFonts w:ascii="Book Antiqua" w:eastAsia="Book Antiqua" w:hAnsi="Book Antiqua" w:cs="Book Antiqua"/>
          <w:sz w:val="24"/>
          <w:szCs w:val="24"/>
        </w:rPr>
        <w:t>modalities</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6</w:t>
      </w:r>
      <w:r w:rsidR="00D13633">
        <w:rPr>
          <w:rFonts w:ascii="Book Antiqua" w:hAnsi="Book Antiqua" w:cs="Book Antiqua" w:hint="eastAsia"/>
          <w:sz w:val="24"/>
          <w:szCs w:val="24"/>
          <w:vertAlign w:val="superscript"/>
          <w:lang w:eastAsia="zh-CN"/>
        </w:rPr>
        <w:t>6</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xml:space="preserve">. Additionally, there has been much interest in the potential use of PET as a prognostic tool. A correlation between the FDG SUV as measured prior to treatment, and clinically important indices such as disease progression </w:t>
      </w:r>
      <w:r w:rsidR="003A7147">
        <w:rPr>
          <w:rFonts w:ascii="Book Antiqua" w:eastAsia="Book Antiqua" w:hAnsi="Book Antiqua" w:cs="Book Antiqua"/>
          <w:sz w:val="24"/>
          <w:szCs w:val="24"/>
        </w:rPr>
        <w:t xml:space="preserve">and survival has been </w:t>
      </w:r>
      <w:proofErr w:type="gramStart"/>
      <w:r w:rsidR="003A7147">
        <w:rPr>
          <w:rFonts w:ascii="Book Antiqua" w:eastAsia="Book Antiqua" w:hAnsi="Book Antiqua" w:cs="Book Antiqua"/>
          <w:sz w:val="24"/>
          <w:szCs w:val="24"/>
        </w:rPr>
        <w:t>described</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6</w:t>
      </w:r>
      <w:r w:rsidR="00D13633">
        <w:rPr>
          <w:rFonts w:ascii="Book Antiqua" w:hAnsi="Book Antiqua" w:cs="Book Antiqua" w:hint="eastAsia"/>
          <w:sz w:val="24"/>
          <w:szCs w:val="24"/>
          <w:vertAlign w:val="superscript"/>
          <w:lang w:eastAsia="zh-CN"/>
        </w:rPr>
        <w:t>7</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Furthermore, PET/CT demonstrates potential in the prediction of treatment response. Because tumour bulk may not significantly change in response to neoadjuvant chemotherapy, CT and MRI have limited value for such assessment. A number of studies have demonstrated that changes in FDG avidity in high-grade sarcoma following neoadjuvant therapy can identify patients at risk of relapse and therefore has potential as a non-invasive surrogate marker in the</w:t>
      </w:r>
      <w:r w:rsidR="003A7147">
        <w:rPr>
          <w:rFonts w:ascii="Book Antiqua" w:eastAsia="Book Antiqua" w:hAnsi="Book Antiqua" w:cs="Book Antiqua"/>
          <w:sz w:val="24"/>
          <w:szCs w:val="24"/>
        </w:rPr>
        <w:t xml:space="preserve"> prediction of patient </w:t>
      </w:r>
      <w:proofErr w:type="gramStart"/>
      <w:r w:rsidR="003A7147">
        <w:rPr>
          <w:rFonts w:ascii="Book Antiqua" w:eastAsia="Book Antiqua" w:hAnsi="Book Antiqua" w:cs="Book Antiqua"/>
          <w:sz w:val="24"/>
          <w:szCs w:val="24"/>
        </w:rPr>
        <w:t>response</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6</w:t>
      </w:r>
      <w:r w:rsidR="00D13633">
        <w:rPr>
          <w:rFonts w:ascii="Book Antiqua" w:hAnsi="Book Antiqua" w:cs="Book Antiqua" w:hint="eastAsia"/>
          <w:sz w:val="24"/>
          <w:szCs w:val="24"/>
          <w:vertAlign w:val="superscript"/>
          <w:lang w:eastAsia="zh-CN"/>
        </w:rPr>
        <w:t>8</w:t>
      </w:r>
      <w:r w:rsidRPr="001B7F6D">
        <w:rPr>
          <w:rFonts w:ascii="Book Antiqua" w:eastAsia="Book Antiqua" w:hAnsi="Book Antiqua" w:cs="Book Antiqua"/>
          <w:sz w:val="24"/>
          <w:szCs w:val="24"/>
          <w:vertAlign w:val="superscript"/>
        </w:rPr>
        <w:t>-7</w:t>
      </w:r>
      <w:r w:rsidR="00D13633">
        <w:rPr>
          <w:rFonts w:ascii="Book Antiqua" w:hAnsi="Book Antiqua" w:cs="Book Antiqua" w:hint="eastAsia"/>
          <w:sz w:val="24"/>
          <w:szCs w:val="24"/>
          <w:vertAlign w:val="superscript"/>
          <w:lang w:eastAsia="zh-CN"/>
        </w:rPr>
        <w:t>0</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w:t>
      </w:r>
    </w:p>
    <w:p w:rsidR="00E37287" w:rsidRPr="001B7F6D" w:rsidRDefault="00805F76" w:rsidP="003A7147">
      <w:pPr>
        <w:pStyle w:val="Body"/>
        <w:spacing w:line="360" w:lineRule="auto"/>
        <w:ind w:firstLineChars="100" w:firstLine="240"/>
        <w:jc w:val="both"/>
        <w:rPr>
          <w:rFonts w:ascii="Book Antiqua" w:eastAsia="Book Antiqua" w:hAnsi="Book Antiqua" w:cs="Book Antiqua"/>
          <w:sz w:val="24"/>
          <w:szCs w:val="24"/>
        </w:rPr>
      </w:pPr>
      <w:r w:rsidRPr="001B7F6D">
        <w:rPr>
          <w:rFonts w:ascii="Book Antiqua" w:eastAsia="Book Antiqua" w:hAnsi="Book Antiqua" w:cs="Book Antiqua"/>
          <w:sz w:val="24"/>
          <w:szCs w:val="24"/>
        </w:rPr>
        <w:t xml:space="preserve">It should be noted that the degree of FDG avidity in sarcoma depends greatly on individual pathology and can range from low grade to markedly avid. This is particularly the case for soft tissue sarcomas including rhabdomyosarcoma, and needs to be appreciated when FDG is used for this </w:t>
      </w:r>
      <w:proofErr w:type="gramStart"/>
      <w:r w:rsidRPr="001B7F6D">
        <w:rPr>
          <w:rFonts w:ascii="Book Antiqua" w:eastAsia="Book Antiqua" w:hAnsi="Book Antiqua" w:cs="Book Antiqua"/>
          <w:sz w:val="24"/>
          <w:szCs w:val="24"/>
        </w:rPr>
        <w:t>indication</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7</w:t>
      </w:r>
      <w:r w:rsidR="00D13633">
        <w:rPr>
          <w:rFonts w:ascii="Book Antiqua" w:hAnsi="Book Antiqua" w:cs="Book Antiqua" w:hint="eastAsia"/>
          <w:sz w:val="24"/>
          <w:szCs w:val="24"/>
          <w:vertAlign w:val="superscript"/>
          <w:lang w:eastAsia="zh-CN"/>
        </w:rPr>
        <w:t>1</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 xml:space="preserve">. Furthermore, there may be heterogeneity of disease-related FDG uptake even within the same patient. Being able to </w:t>
      </w:r>
      <w:r w:rsidRPr="001B7F6D">
        <w:rPr>
          <w:rFonts w:ascii="Book Antiqua" w:eastAsia="Book Antiqua" w:hAnsi="Book Antiqua" w:cs="Book Antiqua"/>
          <w:sz w:val="24"/>
          <w:szCs w:val="24"/>
        </w:rPr>
        <w:lastRenderedPageBreak/>
        <w:t xml:space="preserve">identify the most aggressive area within a heterogenous tumour, and direct biopsy accordingly may be of clinical </w:t>
      </w:r>
      <w:proofErr w:type="gramStart"/>
      <w:r w:rsidRPr="001B7F6D">
        <w:rPr>
          <w:rFonts w:ascii="Book Antiqua" w:eastAsia="Book Antiqua" w:hAnsi="Book Antiqua" w:cs="Book Antiqua"/>
          <w:sz w:val="24"/>
          <w:szCs w:val="24"/>
        </w:rPr>
        <w:t>benefit</w:t>
      </w:r>
      <w:r w:rsidRPr="001B7F6D">
        <w:rPr>
          <w:rFonts w:ascii="Book Antiqua" w:eastAsia="Book Antiqua" w:hAnsi="Book Antiqua" w:cs="Book Antiqua"/>
          <w:sz w:val="24"/>
          <w:szCs w:val="24"/>
          <w:vertAlign w:val="superscript"/>
        </w:rPr>
        <w:t>[</w:t>
      </w:r>
      <w:proofErr w:type="gramEnd"/>
      <w:r w:rsidRPr="001B7F6D">
        <w:rPr>
          <w:rFonts w:ascii="Book Antiqua" w:eastAsia="Book Antiqua" w:hAnsi="Book Antiqua" w:cs="Book Antiqua"/>
          <w:sz w:val="24"/>
          <w:szCs w:val="24"/>
          <w:vertAlign w:val="superscript"/>
        </w:rPr>
        <w:t>7</w:t>
      </w:r>
      <w:r w:rsidR="00D13633">
        <w:rPr>
          <w:rFonts w:ascii="Book Antiqua" w:hAnsi="Book Antiqua" w:cs="Book Antiqua" w:hint="eastAsia"/>
          <w:sz w:val="24"/>
          <w:szCs w:val="24"/>
          <w:vertAlign w:val="superscript"/>
          <w:lang w:eastAsia="zh-CN"/>
        </w:rPr>
        <w:t>1</w:t>
      </w:r>
      <w:r w:rsidRPr="001B7F6D">
        <w:rPr>
          <w:rFonts w:ascii="Book Antiqua" w:eastAsia="Book Antiqua" w:hAnsi="Book Antiqua" w:cs="Book Antiqua"/>
          <w:sz w:val="24"/>
          <w:szCs w:val="24"/>
          <w:vertAlign w:val="superscript"/>
        </w:rPr>
        <w:t>]</w:t>
      </w:r>
      <w:r w:rsidRPr="001B7F6D">
        <w:rPr>
          <w:rFonts w:ascii="Book Antiqua" w:eastAsia="Book Antiqua" w:hAnsi="Book Antiqua" w:cs="Book Antiqua"/>
          <w:sz w:val="24"/>
          <w:szCs w:val="24"/>
        </w:rPr>
        <w:t>.</w:t>
      </w:r>
    </w:p>
    <w:p w:rsidR="00E37287" w:rsidRPr="001B7F6D" w:rsidRDefault="00805F76" w:rsidP="003A7147">
      <w:pPr>
        <w:pStyle w:val="Body"/>
        <w:spacing w:line="360" w:lineRule="auto"/>
        <w:ind w:firstLineChars="100" w:firstLine="240"/>
        <w:jc w:val="both"/>
        <w:rPr>
          <w:rFonts w:ascii="Book Antiqua" w:eastAsia="Book Antiqua" w:hAnsi="Book Antiqua" w:cs="Book Antiqua"/>
          <w:sz w:val="24"/>
          <w:szCs w:val="24"/>
        </w:rPr>
      </w:pPr>
      <w:r w:rsidRPr="001B7F6D">
        <w:rPr>
          <w:rFonts w:ascii="Book Antiqua" w:eastAsia="Book Antiqua" w:hAnsi="Book Antiqua" w:cs="Book Antiqua"/>
          <w:sz w:val="24"/>
          <w:szCs w:val="24"/>
        </w:rPr>
        <w:t>The use of PET and PET/CT among children with sarcoma continues to increase. As discussed above, these modalities appear to be useful in the evaluation and staging, monitoring of therapeutic response, and detection of tumour recurrence. However the exact role of this modality in the routine care of children with sarcoma remains unclear. Ongoing prospective studies are required to delineate the precise role of PET and PET/CT in their management.</w:t>
      </w:r>
    </w:p>
    <w:p w:rsidR="00E37287" w:rsidRPr="001B7F6D" w:rsidRDefault="00E37287" w:rsidP="001B7F6D">
      <w:pPr>
        <w:spacing w:line="360" w:lineRule="auto"/>
        <w:jc w:val="both"/>
        <w:rPr>
          <w:rFonts w:ascii="Book Antiqua" w:hAnsi="Book Antiqua" w:cs="Arial Unicode MS"/>
          <w:color w:val="000000"/>
          <w:lang w:eastAsia="zh-CN"/>
        </w:rPr>
      </w:pPr>
    </w:p>
    <w:p w:rsidR="00E37287" w:rsidRPr="003A7147" w:rsidRDefault="00805F76" w:rsidP="001B7F6D">
      <w:pPr>
        <w:pStyle w:val="Body"/>
        <w:spacing w:line="360" w:lineRule="auto"/>
        <w:jc w:val="both"/>
        <w:rPr>
          <w:rFonts w:ascii="Book Antiqua" w:hAnsi="Book Antiqua"/>
          <w:b/>
          <w:sz w:val="24"/>
          <w:szCs w:val="24"/>
        </w:rPr>
      </w:pPr>
      <w:r w:rsidRPr="003A7147">
        <w:rPr>
          <w:rFonts w:ascii="Book Antiqua" w:hAnsi="Book Antiqua"/>
          <w:b/>
          <w:sz w:val="24"/>
          <w:szCs w:val="24"/>
        </w:rPr>
        <w:t>NEUROFIBROMATOSIS TYPE 1</w:t>
      </w:r>
    </w:p>
    <w:p w:rsidR="00E37287" w:rsidRPr="001B7F6D" w:rsidRDefault="00805F76" w:rsidP="001B7F6D">
      <w:pPr>
        <w:pStyle w:val="Body"/>
        <w:spacing w:line="360" w:lineRule="auto"/>
        <w:jc w:val="both"/>
        <w:rPr>
          <w:rFonts w:ascii="Book Antiqua" w:eastAsia="Palatino" w:hAnsi="Book Antiqua" w:cs="Palatino"/>
          <w:sz w:val="24"/>
          <w:szCs w:val="24"/>
        </w:rPr>
      </w:pPr>
      <w:r w:rsidRPr="001B7F6D">
        <w:rPr>
          <w:rFonts w:ascii="Book Antiqua" w:hAnsi="Book Antiqua"/>
          <w:sz w:val="24"/>
          <w:szCs w:val="24"/>
        </w:rPr>
        <w:t>A number of studies have confirmed the utility of PET and PET/CT in the detection of malignant transformation of neurofibromatosis type 1 (NF1</w:t>
      </w:r>
      <w:proofErr w:type="gramStart"/>
      <w:r w:rsidRPr="001B7F6D">
        <w:rPr>
          <w:rFonts w:ascii="Book Antiqua" w:hAnsi="Book Antiqua"/>
          <w:sz w:val="24"/>
          <w:szCs w:val="24"/>
        </w:rPr>
        <w:t>)</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7</w:t>
      </w:r>
      <w:r w:rsidR="00D13633">
        <w:rPr>
          <w:rFonts w:ascii="Book Antiqua" w:hAnsi="Book Antiqua" w:hint="eastAsia"/>
          <w:sz w:val="24"/>
          <w:szCs w:val="24"/>
          <w:vertAlign w:val="superscript"/>
          <w:lang w:eastAsia="zh-CN"/>
        </w:rPr>
        <w:t>2</w:t>
      </w:r>
      <w:r w:rsidRPr="001B7F6D">
        <w:rPr>
          <w:rFonts w:ascii="Book Antiqua" w:hAnsi="Book Antiqua"/>
          <w:sz w:val="24"/>
          <w:szCs w:val="24"/>
          <w:vertAlign w:val="superscript"/>
        </w:rPr>
        <w:t>,7</w:t>
      </w:r>
      <w:r w:rsidR="00D13633">
        <w:rPr>
          <w:rFonts w:ascii="Book Antiqua" w:hAnsi="Book Antiqua" w:hint="eastAsia"/>
          <w:sz w:val="24"/>
          <w:szCs w:val="24"/>
          <w:vertAlign w:val="superscript"/>
          <w:lang w:eastAsia="zh-CN"/>
        </w:rPr>
        <w:t>3</w:t>
      </w:r>
      <w:r w:rsidRPr="001B7F6D">
        <w:rPr>
          <w:rFonts w:ascii="Book Antiqua" w:hAnsi="Book Antiqua"/>
          <w:sz w:val="24"/>
          <w:szCs w:val="24"/>
          <w:vertAlign w:val="superscript"/>
        </w:rPr>
        <w:t>]</w:t>
      </w:r>
      <w:r w:rsidRPr="001B7F6D">
        <w:rPr>
          <w:rFonts w:ascii="Book Antiqua" w:hAnsi="Book Antiqua"/>
          <w:sz w:val="24"/>
          <w:szCs w:val="24"/>
        </w:rPr>
        <w:t>. Patients with NF1 have an approximate 10% lifetime risk of developing malignant peripher</w:t>
      </w:r>
      <w:r w:rsidR="00D13633">
        <w:rPr>
          <w:rFonts w:ascii="Book Antiqua" w:hAnsi="Book Antiqua"/>
          <w:sz w:val="24"/>
          <w:szCs w:val="24"/>
        </w:rPr>
        <w:t>al nerve sheath tumours (MPNST</w:t>
      </w:r>
      <w:proofErr w:type="gramStart"/>
      <w:r w:rsidR="00D13633">
        <w:rPr>
          <w:rFonts w:ascii="Book Antiqua" w:hAnsi="Book Antiqua"/>
          <w:sz w:val="24"/>
          <w:szCs w:val="24"/>
        </w:rPr>
        <w:t>)</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7</w:t>
      </w:r>
      <w:r w:rsidR="00D13633">
        <w:rPr>
          <w:rFonts w:ascii="Book Antiqua" w:hAnsi="Book Antiqua" w:hint="eastAsia"/>
          <w:sz w:val="24"/>
          <w:szCs w:val="24"/>
          <w:vertAlign w:val="superscript"/>
          <w:lang w:eastAsia="zh-CN"/>
        </w:rPr>
        <w:t>4</w:t>
      </w:r>
      <w:r w:rsidRPr="001B7F6D">
        <w:rPr>
          <w:rFonts w:ascii="Book Antiqua" w:hAnsi="Book Antiqua"/>
          <w:sz w:val="24"/>
          <w:szCs w:val="24"/>
          <w:vertAlign w:val="superscript"/>
        </w:rPr>
        <w:t>,7</w:t>
      </w:r>
      <w:r w:rsidR="00D13633">
        <w:rPr>
          <w:rFonts w:ascii="Book Antiqua" w:hAnsi="Book Antiqua" w:hint="eastAsia"/>
          <w:sz w:val="24"/>
          <w:szCs w:val="24"/>
          <w:vertAlign w:val="superscript"/>
          <w:lang w:eastAsia="zh-CN"/>
        </w:rPr>
        <w:t>5</w:t>
      </w:r>
      <w:r w:rsidRPr="001B7F6D">
        <w:rPr>
          <w:rFonts w:ascii="Book Antiqua" w:hAnsi="Book Antiqua"/>
          <w:sz w:val="24"/>
          <w:szCs w:val="24"/>
          <w:vertAlign w:val="superscript"/>
        </w:rPr>
        <w:t>]</w:t>
      </w:r>
      <w:r w:rsidRPr="001B7F6D">
        <w:rPr>
          <w:rFonts w:ascii="Book Antiqua" w:hAnsi="Book Antiqua"/>
          <w:sz w:val="24"/>
          <w:szCs w:val="24"/>
        </w:rPr>
        <w:t xml:space="preserve">. Such transformation is unreliably detected </w:t>
      </w:r>
      <w:r w:rsidRPr="003A7147">
        <w:rPr>
          <w:rFonts w:ascii="Book Antiqua" w:hAnsi="Book Antiqua"/>
          <w:i/>
          <w:sz w:val="24"/>
          <w:szCs w:val="24"/>
        </w:rPr>
        <w:t>via</w:t>
      </w:r>
      <w:r w:rsidR="00D13633">
        <w:rPr>
          <w:rFonts w:ascii="Book Antiqua" w:hAnsi="Book Antiqua"/>
          <w:sz w:val="24"/>
          <w:szCs w:val="24"/>
        </w:rPr>
        <w:t xml:space="preserve"> conventional </w:t>
      </w:r>
      <w:proofErr w:type="gramStart"/>
      <w:r w:rsidR="00D13633">
        <w:rPr>
          <w:rFonts w:ascii="Book Antiqua" w:hAnsi="Book Antiqua"/>
          <w:sz w:val="24"/>
          <w:szCs w:val="24"/>
        </w:rPr>
        <w:t>imaging</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7</w:t>
      </w:r>
      <w:r w:rsidR="00D13633">
        <w:rPr>
          <w:rFonts w:ascii="Book Antiqua" w:hAnsi="Book Antiqua" w:hint="eastAsia"/>
          <w:sz w:val="24"/>
          <w:szCs w:val="24"/>
          <w:vertAlign w:val="superscript"/>
          <w:lang w:eastAsia="zh-CN"/>
        </w:rPr>
        <w:t>6</w:t>
      </w:r>
      <w:r w:rsidRPr="001B7F6D">
        <w:rPr>
          <w:rFonts w:ascii="Book Antiqua" w:hAnsi="Book Antiqua"/>
          <w:sz w:val="24"/>
          <w:szCs w:val="24"/>
          <w:vertAlign w:val="superscript"/>
        </w:rPr>
        <w:t>-7</w:t>
      </w:r>
      <w:r w:rsidR="00D13633">
        <w:rPr>
          <w:rFonts w:ascii="Book Antiqua" w:hAnsi="Book Antiqua" w:hint="eastAsia"/>
          <w:sz w:val="24"/>
          <w:szCs w:val="24"/>
          <w:vertAlign w:val="superscript"/>
          <w:lang w:eastAsia="zh-CN"/>
        </w:rPr>
        <w:t>8</w:t>
      </w:r>
      <w:r w:rsidRPr="001B7F6D">
        <w:rPr>
          <w:rFonts w:ascii="Book Antiqua" w:hAnsi="Book Antiqua"/>
          <w:sz w:val="24"/>
          <w:szCs w:val="24"/>
          <w:vertAlign w:val="superscript"/>
        </w:rPr>
        <w:t>]</w:t>
      </w:r>
      <w:r w:rsidRPr="001B7F6D">
        <w:rPr>
          <w:rFonts w:ascii="Book Antiqua" w:hAnsi="Book Antiqua"/>
          <w:sz w:val="24"/>
          <w:szCs w:val="24"/>
        </w:rPr>
        <w:t>. In one prospective study patients with symptomatic neurofibromas were assessed with e</w:t>
      </w:r>
      <w:r w:rsidR="00D13633">
        <w:rPr>
          <w:rFonts w:ascii="Book Antiqua" w:hAnsi="Book Antiqua"/>
          <w:sz w:val="24"/>
          <w:szCs w:val="24"/>
        </w:rPr>
        <w:t xml:space="preserve">arly and delayed PET/CT </w:t>
      </w:r>
      <w:proofErr w:type="gramStart"/>
      <w:r w:rsidR="00D13633">
        <w:rPr>
          <w:rFonts w:ascii="Book Antiqua" w:hAnsi="Book Antiqua"/>
          <w:sz w:val="24"/>
          <w:szCs w:val="24"/>
        </w:rPr>
        <w:t>imaging</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7</w:t>
      </w:r>
      <w:r w:rsidR="00D13633">
        <w:rPr>
          <w:rFonts w:ascii="Book Antiqua" w:hAnsi="Book Antiqua" w:hint="eastAsia"/>
          <w:sz w:val="24"/>
          <w:szCs w:val="24"/>
          <w:vertAlign w:val="superscript"/>
          <w:lang w:eastAsia="zh-CN"/>
        </w:rPr>
        <w:t>6</w:t>
      </w:r>
      <w:r w:rsidRPr="001B7F6D">
        <w:rPr>
          <w:rFonts w:ascii="Book Antiqua" w:hAnsi="Book Antiqua"/>
          <w:sz w:val="24"/>
          <w:szCs w:val="24"/>
          <w:vertAlign w:val="superscript"/>
        </w:rPr>
        <w:t>]</w:t>
      </w:r>
      <w:r w:rsidRPr="001B7F6D">
        <w:rPr>
          <w:rFonts w:ascii="Book Antiqua" w:hAnsi="Book Antiqua"/>
          <w:sz w:val="24"/>
          <w:szCs w:val="24"/>
        </w:rPr>
        <w:t>. This modality was found to be highly sensitive and specific in the detection of MPNSTs. In addition to there being significant differences in uptake between malignant and benign lesions, delayed imaging demonstrated a continued divergence of FDG avidity which highlights the value of dual time-point imaging for this indication.</w:t>
      </w:r>
    </w:p>
    <w:p w:rsidR="00E37287" w:rsidRPr="001B7F6D" w:rsidRDefault="00E37287" w:rsidP="001B7F6D">
      <w:pPr>
        <w:pStyle w:val="Body"/>
        <w:spacing w:line="360" w:lineRule="auto"/>
        <w:jc w:val="both"/>
        <w:rPr>
          <w:rFonts w:ascii="Book Antiqua" w:hAnsi="Book Antiqua"/>
          <w:sz w:val="24"/>
          <w:szCs w:val="24"/>
        </w:rPr>
      </w:pPr>
    </w:p>
    <w:p w:rsidR="00E37287" w:rsidRPr="00D13633" w:rsidRDefault="00805F76" w:rsidP="001B7F6D">
      <w:pPr>
        <w:pStyle w:val="Body"/>
        <w:spacing w:line="360" w:lineRule="auto"/>
        <w:jc w:val="both"/>
        <w:rPr>
          <w:rFonts w:ascii="Book Antiqua" w:eastAsia="Palatino" w:hAnsi="Book Antiqua" w:cs="Palatino"/>
          <w:b/>
          <w:sz w:val="24"/>
          <w:szCs w:val="24"/>
        </w:rPr>
      </w:pPr>
      <w:r w:rsidRPr="00D13633">
        <w:rPr>
          <w:rFonts w:ascii="Book Antiqua" w:hAnsi="Book Antiqua"/>
          <w:b/>
          <w:sz w:val="24"/>
          <w:szCs w:val="24"/>
        </w:rPr>
        <w:t>NEUROBLASTOMA</w:t>
      </w:r>
    </w:p>
    <w:p w:rsidR="00E37287" w:rsidRPr="001B7F6D" w:rsidRDefault="00805F76" w:rsidP="001B7F6D">
      <w:pPr>
        <w:pStyle w:val="Body"/>
        <w:spacing w:line="360" w:lineRule="auto"/>
        <w:jc w:val="both"/>
        <w:rPr>
          <w:rFonts w:ascii="Book Antiqua" w:eastAsia="Palatino" w:hAnsi="Book Antiqua" w:cs="Palatino"/>
          <w:sz w:val="24"/>
          <w:szCs w:val="24"/>
        </w:rPr>
      </w:pPr>
      <w:r w:rsidRPr="001B7F6D">
        <w:rPr>
          <w:rFonts w:ascii="Book Antiqua" w:hAnsi="Book Antiqua"/>
          <w:sz w:val="24"/>
          <w:szCs w:val="24"/>
        </w:rPr>
        <w:t>Neuroblastoma is an embryonic tumour arising from neural crest cells of the sympathetic nervo</w:t>
      </w:r>
      <w:r w:rsidR="00D13633">
        <w:rPr>
          <w:rFonts w:ascii="Book Antiqua" w:hAnsi="Book Antiqua"/>
          <w:sz w:val="24"/>
          <w:szCs w:val="24"/>
        </w:rPr>
        <w:t xml:space="preserve">us </w:t>
      </w:r>
      <w:proofErr w:type="gramStart"/>
      <w:r w:rsidR="00D13633">
        <w:rPr>
          <w:rFonts w:ascii="Book Antiqua" w:hAnsi="Book Antiqua"/>
          <w:sz w:val="24"/>
          <w:szCs w:val="24"/>
        </w:rPr>
        <w:t>system</w:t>
      </w:r>
      <w:r w:rsidRPr="001B7F6D">
        <w:rPr>
          <w:rFonts w:ascii="Book Antiqua" w:hAnsi="Book Antiqua"/>
          <w:sz w:val="24"/>
          <w:szCs w:val="24"/>
          <w:vertAlign w:val="superscript"/>
        </w:rPr>
        <w:t>[</w:t>
      </w:r>
      <w:proofErr w:type="gramEnd"/>
      <w:r w:rsidR="00D13633">
        <w:rPr>
          <w:rFonts w:ascii="Book Antiqua" w:hAnsi="Book Antiqua" w:hint="eastAsia"/>
          <w:sz w:val="24"/>
          <w:szCs w:val="24"/>
          <w:vertAlign w:val="superscript"/>
          <w:lang w:eastAsia="zh-CN"/>
        </w:rPr>
        <w:t>79</w:t>
      </w:r>
      <w:r w:rsidRPr="001B7F6D">
        <w:rPr>
          <w:rFonts w:ascii="Book Antiqua" w:hAnsi="Book Antiqua"/>
          <w:sz w:val="24"/>
          <w:szCs w:val="24"/>
          <w:vertAlign w:val="superscript"/>
        </w:rPr>
        <w:t>]</w:t>
      </w:r>
      <w:r w:rsidRPr="001B7F6D">
        <w:rPr>
          <w:rFonts w:ascii="Book Antiqua" w:hAnsi="Book Antiqua"/>
          <w:sz w:val="24"/>
          <w:szCs w:val="24"/>
        </w:rPr>
        <w:t>. It is the most common extracranial solid malignancy in children and accounts for around 8% of all childhood cancers. The clinical course is highly variable, yet the disease accounts for around 15% o</w:t>
      </w:r>
      <w:r w:rsidR="00D13633">
        <w:rPr>
          <w:rFonts w:ascii="Book Antiqua" w:hAnsi="Book Antiqua"/>
          <w:sz w:val="24"/>
          <w:szCs w:val="24"/>
        </w:rPr>
        <w:t xml:space="preserve">f all cancer deaths in </w:t>
      </w:r>
      <w:proofErr w:type="gramStart"/>
      <w:r w:rsidR="00D13633">
        <w:rPr>
          <w:rFonts w:ascii="Book Antiqua" w:hAnsi="Book Antiqua"/>
          <w:sz w:val="24"/>
          <w:szCs w:val="24"/>
        </w:rPr>
        <w:t>children</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8</w:t>
      </w:r>
      <w:r w:rsidR="00D13633">
        <w:rPr>
          <w:rFonts w:ascii="Book Antiqua" w:hAnsi="Book Antiqua" w:hint="eastAsia"/>
          <w:sz w:val="24"/>
          <w:szCs w:val="24"/>
          <w:vertAlign w:val="superscript"/>
          <w:lang w:eastAsia="zh-CN"/>
        </w:rPr>
        <w:t>0</w:t>
      </w:r>
      <w:r w:rsidRPr="001B7F6D">
        <w:rPr>
          <w:rFonts w:ascii="Book Antiqua" w:hAnsi="Book Antiqua"/>
          <w:sz w:val="24"/>
          <w:szCs w:val="24"/>
          <w:vertAlign w:val="superscript"/>
        </w:rPr>
        <w:t>,8</w:t>
      </w:r>
      <w:r w:rsidR="00D13633">
        <w:rPr>
          <w:rFonts w:ascii="Book Antiqua" w:hAnsi="Book Antiqua" w:hint="eastAsia"/>
          <w:sz w:val="24"/>
          <w:szCs w:val="24"/>
          <w:vertAlign w:val="superscript"/>
          <w:lang w:eastAsia="zh-CN"/>
        </w:rPr>
        <w:t>1</w:t>
      </w:r>
      <w:r w:rsidRPr="001B7F6D">
        <w:rPr>
          <w:rFonts w:ascii="Book Antiqua" w:hAnsi="Book Antiqua"/>
          <w:sz w:val="24"/>
          <w:szCs w:val="24"/>
          <w:vertAlign w:val="superscript"/>
        </w:rPr>
        <w:t>]</w:t>
      </w:r>
      <w:r w:rsidRPr="001B7F6D">
        <w:rPr>
          <w:rFonts w:ascii="Book Antiqua" w:hAnsi="Book Antiqua"/>
          <w:sz w:val="24"/>
          <w:szCs w:val="24"/>
        </w:rPr>
        <w:t>. Half of all patients have distant ha</w:t>
      </w:r>
      <w:r w:rsidR="00D13633">
        <w:rPr>
          <w:rFonts w:ascii="Book Antiqua" w:hAnsi="Book Antiqua"/>
          <w:sz w:val="24"/>
          <w:szCs w:val="24"/>
        </w:rPr>
        <w:t xml:space="preserve">ematogenous spread at </w:t>
      </w:r>
      <w:proofErr w:type="gramStart"/>
      <w:r w:rsidR="00D13633">
        <w:rPr>
          <w:rFonts w:ascii="Book Antiqua" w:hAnsi="Book Antiqua"/>
          <w:sz w:val="24"/>
          <w:szCs w:val="24"/>
        </w:rPr>
        <w:t>diagnosis</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8</w:t>
      </w:r>
      <w:r w:rsidR="00D13633">
        <w:rPr>
          <w:rFonts w:ascii="Book Antiqua" w:hAnsi="Book Antiqua" w:hint="eastAsia"/>
          <w:sz w:val="24"/>
          <w:szCs w:val="24"/>
          <w:vertAlign w:val="superscript"/>
          <w:lang w:eastAsia="zh-CN"/>
        </w:rPr>
        <w:t>2</w:t>
      </w:r>
      <w:r w:rsidRPr="001B7F6D">
        <w:rPr>
          <w:rFonts w:ascii="Book Antiqua" w:hAnsi="Book Antiqua"/>
          <w:sz w:val="24"/>
          <w:szCs w:val="24"/>
          <w:vertAlign w:val="superscript"/>
        </w:rPr>
        <w:t>]</w:t>
      </w:r>
      <w:r w:rsidRPr="00D13633">
        <w:rPr>
          <w:rFonts w:ascii="Book Antiqua" w:hAnsi="Book Antiqua"/>
          <w:sz w:val="24"/>
          <w:szCs w:val="24"/>
        </w:rPr>
        <w:t>.</w:t>
      </w:r>
    </w:p>
    <w:p w:rsidR="00E37287" w:rsidRPr="001B7F6D" w:rsidRDefault="00805F76" w:rsidP="00D13633">
      <w:pPr>
        <w:pStyle w:val="Body"/>
        <w:spacing w:line="360" w:lineRule="auto"/>
        <w:ind w:firstLineChars="100" w:firstLine="240"/>
        <w:jc w:val="both"/>
        <w:rPr>
          <w:rFonts w:ascii="Book Antiqua" w:eastAsia="Palatino" w:hAnsi="Book Antiqua" w:cs="Palatino"/>
          <w:sz w:val="24"/>
          <w:szCs w:val="24"/>
        </w:rPr>
      </w:pPr>
      <w:r w:rsidRPr="001B7F6D">
        <w:rPr>
          <w:rFonts w:ascii="Book Antiqua" w:hAnsi="Book Antiqua"/>
          <w:sz w:val="24"/>
          <w:szCs w:val="24"/>
        </w:rPr>
        <w:t xml:space="preserve">The catecholamine analogue </w:t>
      </w:r>
      <w:r w:rsidRPr="001B7F6D">
        <w:rPr>
          <w:rFonts w:ascii="Book Antiqua" w:hAnsi="Book Antiqua"/>
          <w:sz w:val="24"/>
          <w:szCs w:val="24"/>
          <w:vertAlign w:val="superscript"/>
        </w:rPr>
        <w:t>123</w:t>
      </w:r>
      <w:r w:rsidRPr="001B7F6D">
        <w:rPr>
          <w:rFonts w:ascii="Book Antiqua" w:hAnsi="Book Antiqua"/>
          <w:sz w:val="24"/>
          <w:szCs w:val="24"/>
        </w:rPr>
        <w:t xml:space="preserve">I-metaiodobenzylguanidine (MIBG) is widely used to image neuroendocrine tumours and is well established for use in the staging and post-treatment evaluation of </w:t>
      </w:r>
      <w:proofErr w:type="gramStart"/>
      <w:r w:rsidRPr="001B7F6D">
        <w:rPr>
          <w:rFonts w:ascii="Book Antiqua" w:hAnsi="Book Antiqua"/>
          <w:sz w:val="24"/>
          <w:szCs w:val="24"/>
        </w:rPr>
        <w:t>neuroblastoma</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8</w:t>
      </w:r>
      <w:r w:rsidR="00D13633">
        <w:rPr>
          <w:rFonts w:ascii="Book Antiqua" w:hAnsi="Book Antiqua" w:hint="eastAsia"/>
          <w:sz w:val="24"/>
          <w:szCs w:val="24"/>
          <w:vertAlign w:val="superscript"/>
          <w:lang w:eastAsia="zh-CN"/>
        </w:rPr>
        <w:t>3</w:t>
      </w:r>
      <w:r w:rsidRPr="001B7F6D">
        <w:rPr>
          <w:rFonts w:ascii="Book Antiqua" w:hAnsi="Book Antiqua"/>
          <w:sz w:val="24"/>
          <w:szCs w:val="24"/>
          <w:vertAlign w:val="superscript"/>
        </w:rPr>
        <w:t>,8</w:t>
      </w:r>
      <w:r w:rsidR="00D13633">
        <w:rPr>
          <w:rFonts w:ascii="Book Antiqua" w:hAnsi="Book Antiqua" w:hint="eastAsia"/>
          <w:sz w:val="24"/>
          <w:szCs w:val="24"/>
          <w:vertAlign w:val="superscript"/>
          <w:lang w:eastAsia="zh-CN"/>
        </w:rPr>
        <w:t>4</w:t>
      </w:r>
      <w:r w:rsidRPr="001B7F6D">
        <w:rPr>
          <w:rFonts w:ascii="Book Antiqua" w:hAnsi="Book Antiqua"/>
          <w:sz w:val="24"/>
          <w:szCs w:val="24"/>
          <w:vertAlign w:val="superscript"/>
        </w:rPr>
        <w:t>]</w:t>
      </w:r>
      <w:r w:rsidRPr="001B7F6D">
        <w:rPr>
          <w:rFonts w:ascii="Book Antiqua" w:hAnsi="Book Antiqua"/>
          <w:sz w:val="24"/>
          <w:szCs w:val="24"/>
        </w:rPr>
        <w:t xml:space="preserve">. MIBG scintigraphy has a specificity of nearly 100% for neuroblastoma diagnosis and </w:t>
      </w:r>
      <w:proofErr w:type="gramStart"/>
      <w:r w:rsidRPr="001B7F6D">
        <w:rPr>
          <w:rFonts w:ascii="Book Antiqua" w:hAnsi="Book Antiqua"/>
          <w:sz w:val="24"/>
          <w:szCs w:val="24"/>
        </w:rPr>
        <w:t>staging</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8</w:t>
      </w:r>
      <w:r w:rsidR="00D13633">
        <w:rPr>
          <w:rFonts w:ascii="Book Antiqua" w:hAnsi="Book Antiqua" w:hint="eastAsia"/>
          <w:sz w:val="24"/>
          <w:szCs w:val="24"/>
          <w:vertAlign w:val="superscript"/>
          <w:lang w:eastAsia="zh-CN"/>
        </w:rPr>
        <w:t>5</w:t>
      </w:r>
      <w:r w:rsidRPr="001B7F6D">
        <w:rPr>
          <w:rFonts w:ascii="Book Antiqua" w:hAnsi="Book Antiqua"/>
          <w:sz w:val="24"/>
          <w:szCs w:val="24"/>
          <w:vertAlign w:val="superscript"/>
        </w:rPr>
        <w:t>,8</w:t>
      </w:r>
      <w:r w:rsidR="00D13633">
        <w:rPr>
          <w:rFonts w:ascii="Book Antiqua" w:hAnsi="Book Antiqua" w:hint="eastAsia"/>
          <w:sz w:val="24"/>
          <w:szCs w:val="24"/>
          <w:vertAlign w:val="superscript"/>
          <w:lang w:eastAsia="zh-CN"/>
        </w:rPr>
        <w:t>6</w:t>
      </w:r>
      <w:r w:rsidRPr="001B7F6D">
        <w:rPr>
          <w:rFonts w:ascii="Book Antiqua" w:hAnsi="Book Antiqua"/>
          <w:sz w:val="24"/>
          <w:szCs w:val="24"/>
          <w:vertAlign w:val="superscript"/>
        </w:rPr>
        <w:t>]</w:t>
      </w:r>
      <w:r w:rsidRPr="001B7F6D">
        <w:rPr>
          <w:rFonts w:ascii="Book Antiqua" w:hAnsi="Book Antiqua"/>
          <w:sz w:val="24"/>
          <w:szCs w:val="24"/>
        </w:rPr>
        <w:t xml:space="preserve">. Uptake of MIBG requires the presence of a type I catecholamine transport </w:t>
      </w:r>
      <w:proofErr w:type="gramStart"/>
      <w:r w:rsidRPr="001B7F6D">
        <w:rPr>
          <w:rFonts w:ascii="Book Antiqua" w:hAnsi="Book Antiqua"/>
          <w:sz w:val="24"/>
          <w:szCs w:val="24"/>
        </w:rPr>
        <w:t>system</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8</w:t>
      </w:r>
      <w:r w:rsidR="00D13633">
        <w:rPr>
          <w:rFonts w:ascii="Book Antiqua" w:hAnsi="Book Antiqua" w:hint="eastAsia"/>
          <w:sz w:val="24"/>
          <w:szCs w:val="24"/>
          <w:vertAlign w:val="superscript"/>
          <w:lang w:eastAsia="zh-CN"/>
        </w:rPr>
        <w:t>7</w:t>
      </w:r>
      <w:r w:rsidRPr="001B7F6D">
        <w:rPr>
          <w:rFonts w:ascii="Book Antiqua" w:hAnsi="Book Antiqua"/>
          <w:sz w:val="24"/>
          <w:szCs w:val="24"/>
          <w:vertAlign w:val="superscript"/>
        </w:rPr>
        <w:t>]</w:t>
      </w:r>
      <w:r w:rsidRPr="001B7F6D">
        <w:rPr>
          <w:rFonts w:ascii="Book Antiqua" w:hAnsi="Book Antiqua"/>
          <w:sz w:val="24"/>
          <w:szCs w:val="24"/>
        </w:rPr>
        <w:t xml:space="preserve">, which is usually but not uniformly present </w:t>
      </w:r>
      <w:r w:rsidRPr="001B7F6D">
        <w:rPr>
          <w:rFonts w:ascii="Book Antiqua" w:hAnsi="Book Antiqua"/>
          <w:sz w:val="24"/>
          <w:szCs w:val="24"/>
        </w:rPr>
        <w:lastRenderedPageBreak/>
        <w:t xml:space="preserve">on neuroblastoma cells. In around 8% of patients MIBG scanning gives a false-negative result at </w:t>
      </w:r>
      <w:proofErr w:type="gramStart"/>
      <w:r w:rsidRPr="001B7F6D">
        <w:rPr>
          <w:rFonts w:ascii="Book Antiqua" w:hAnsi="Book Antiqua"/>
          <w:sz w:val="24"/>
          <w:szCs w:val="24"/>
        </w:rPr>
        <w:t>diagnosis</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8</w:t>
      </w:r>
      <w:r w:rsidR="00D13633">
        <w:rPr>
          <w:rFonts w:ascii="Book Antiqua" w:hAnsi="Book Antiqua" w:hint="eastAsia"/>
          <w:sz w:val="24"/>
          <w:szCs w:val="24"/>
          <w:vertAlign w:val="superscript"/>
          <w:lang w:eastAsia="zh-CN"/>
        </w:rPr>
        <w:t>8</w:t>
      </w:r>
      <w:r w:rsidRPr="001B7F6D">
        <w:rPr>
          <w:rFonts w:ascii="Book Antiqua" w:hAnsi="Book Antiqua"/>
          <w:sz w:val="24"/>
          <w:szCs w:val="24"/>
          <w:vertAlign w:val="superscript"/>
        </w:rPr>
        <w:t>]</w:t>
      </w:r>
      <w:r w:rsidRPr="001B7F6D">
        <w:rPr>
          <w:rFonts w:ascii="Book Antiqua" w:hAnsi="Book Antiqua"/>
          <w:sz w:val="24"/>
          <w:szCs w:val="24"/>
        </w:rPr>
        <w:t>. False negative results may also lead to incorrect down-staging of disease. Other disadvantages of MIBG scintigraphy include limited spatial resolution, limited sensitivity in small lesions, the need for multiple and prolonged acquisition sessions and a delay between the start of examination and result.</w:t>
      </w:r>
    </w:p>
    <w:p w:rsidR="00E37287" w:rsidRPr="001B7F6D" w:rsidRDefault="00805F76" w:rsidP="00D13633">
      <w:pPr>
        <w:pStyle w:val="Body"/>
        <w:spacing w:line="360" w:lineRule="auto"/>
        <w:ind w:firstLineChars="100" w:firstLine="240"/>
        <w:jc w:val="both"/>
        <w:rPr>
          <w:rFonts w:ascii="Book Antiqua" w:hAnsi="Book Antiqua"/>
          <w:sz w:val="24"/>
          <w:szCs w:val="24"/>
        </w:rPr>
      </w:pPr>
      <w:r w:rsidRPr="001B7F6D">
        <w:rPr>
          <w:rFonts w:ascii="Book Antiqua" w:hAnsi="Book Antiqua"/>
          <w:sz w:val="24"/>
          <w:szCs w:val="24"/>
        </w:rPr>
        <w:t xml:space="preserve">In addition to MIBG, neuroblastoma imaging utilises the modalities of bone scintigraphy, sonography, CT and MR. There is also interest in the use of FDG and other radiopharmaceuticals for PET imaging. Because FDG PET uptake reflects </w:t>
      </w:r>
      <w:r w:rsidR="00D94B4C" w:rsidRPr="001B7F6D">
        <w:rPr>
          <w:rFonts w:ascii="Book Antiqua" w:hAnsi="Book Antiqua"/>
          <w:sz w:val="24"/>
          <w:szCs w:val="24"/>
        </w:rPr>
        <w:t xml:space="preserve">glucose metabolism </w:t>
      </w:r>
      <w:r w:rsidRPr="001B7F6D">
        <w:rPr>
          <w:rFonts w:ascii="Book Antiqua" w:hAnsi="Book Antiqua"/>
          <w:sz w:val="24"/>
          <w:szCs w:val="24"/>
        </w:rPr>
        <w:t xml:space="preserve">by cancer cells, neuroblastoma which fails to accumulate MIBG due to reduced expression of transporter proteins might be expected to be more sensitively assessed using this modality. Further potential advantages of PET over MIBG scintigraphy include improved spatial resolution, single acquisition sessions and shorter scanning times which have the potential </w:t>
      </w:r>
      <w:r w:rsidR="00D13633">
        <w:rPr>
          <w:rFonts w:ascii="Book Antiqua" w:hAnsi="Book Antiqua"/>
          <w:sz w:val="24"/>
          <w:szCs w:val="24"/>
        </w:rPr>
        <w:t xml:space="preserve">to reduce the need for </w:t>
      </w:r>
      <w:proofErr w:type="gramStart"/>
      <w:r w:rsidR="00D13633">
        <w:rPr>
          <w:rFonts w:ascii="Book Antiqua" w:hAnsi="Book Antiqua"/>
          <w:sz w:val="24"/>
          <w:szCs w:val="24"/>
        </w:rPr>
        <w:t>sedation</w:t>
      </w:r>
      <w:r w:rsidRPr="001B7F6D">
        <w:rPr>
          <w:rFonts w:ascii="Book Antiqua" w:hAnsi="Book Antiqua"/>
          <w:sz w:val="24"/>
          <w:szCs w:val="24"/>
          <w:vertAlign w:val="superscript"/>
        </w:rPr>
        <w:t>[</w:t>
      </w:r>
      <w:proofErr w:type="gramEnd"/>
      <w:r w:rsidR="00D13633">
        <w:rPr>
          <w:rFonts w:ascii="Book Antiqua" w:hAnsi="Book Antiqua" w:hint="eastAsia"/>
          <w:sz w:val="24"/>
          <w:szCs w:val="24"/>
          <w:vertAlign w:val="superscript"/>
          <w:lang w:eastAsia="zh-CN"/>
        </w:rPr>
        <w:t>89</w:t>
      </w:r>
      <w:r w:rsidRPr="001B7F6D">
        <w:rPr>
          <w:rFonts w:ascii="Book Antiqua" w:hAnsi="Book Antiqua"/>
          <w:sz w:val="24"/>
          <w:szCs w:val="24"/>
          <w:vertAlign w:val="superscript"/>
        </w:rPr>
        <w:t>]</w:t>
      </w:r>
      <w:r w:rsidRPr="001B7F6D">
        <w:rPr>
          <w:rFonts w:ascii="Book Antiqua" w:hAnsi="Book Antiqua"/>
          <w:sz w:val="24"/>
          <w:szCs w:val="24"/>
        </w:rPr>
        <w:t xml:space="preserve">. </w:t>
      </w:r>
    </w:p>
    <w:p w:rsidR="00E37287" w:rsidRPr="001B7F6D" w:rsidRDefault="00805F76" w:rsidP="00D13633">
      <w:pPr>
        <w:pStyle w:val="Body"/>
        <w:spacing w:line="360" w:lineRule="auto"/>
        <w:ind w:firstLineChars="100" w:firstLine="240"/>
        <w:jc w:val="both"/>
        <w:rPr>
          <w:rFonts w:ascii="Book Antiqua" w:eastAsia="Palatino" w:hAnsi="Book Antiqua" w:cs="Palatino"/>
          <w:sz w:val="24"/>
          <w:szCs w:val="24"/>
        </w:rPr>
      </w:pPr>
      <w:r w:rsidRPr="001B7F6D">
        <w:rPr>
          <w:rFonts w:ascii="Book Antiqua" w:hAnsi="Book Antiqua"/>
          <w:sz w:val="24"/>
          <w:szCs w:val="24"/>
        </w:rPr>
        <w:t xml:space="preserve">A number of studies have compared MIBG scintigraphy with PET in </w:t>
      </w:r>
      <w:proofErr w:type="gramStart"/>
      <w:r w:rsidRPr="001B7F6D">
        <w:rPr>
          <w:rFonts w:ascii="Book Antiqua" w:hAnsi="Book Antiqua"/>
          <w:sz w:val="24"/>
          <w:szCs w:val="24"/>
        </w:rPr>
        <w:t>neuroblastoma</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9</w:t>
      </w:r>
      <w:r w:rsidR="00D13633">
        <w:rPr>
          <w:rFonts w:ascii="Book Antiqua" w:hAnsi="Book Antiqua" w:hint="eastAsia"/>
          <w:sz w:val="24"/>
          <w:szCs w:val="24"/>
          <w:vertAlign w:val="superscript"/>
          <w:lang w:eastAsia="zh-CN"/>
        </w:rPr>
        <w:t>0</w:t>
      </w:r>
      <w:r w:rsidRPr="001B7F6D">
        <w:rPr>
          <w:rFonts w:ascii="Book Antiqua" w:hAnsi="Book Antiqua"/>
          <w:sz w:val="24"/>
          <w:szCs w:val="24"/>
          <w:vertAlign w:val="superscript"/>
        </w:rPr>
        <w:t>-9</w:t>
      </w:r>
      <w:r w:rsidR="00D13633">
        <w:rPr>
          <w:rFonts w:ascii="Book Antiqua" w:hAnsi="Book Antiqua" w:hint="eastAsia"/>
          <w:sz w:val="24"/>
          <w:szCs w:val="24"/>
          <w:vertAlign w:val="superscript"/>
          <w:lang w:eastAsia="zh-CN"/>
        </w:rPr>
        <w:t>3</w:t>
      </w:r>
      <w:r w:rsidRPr="001B7F6D">
        <w:rPr>
          <w:rFonts w:ascii="Book Antiqua" w:hAnsi="Book Antiqua"/>
          <w:sz w:val="24"/>
          <w:szCs w:val="24"/>
          <w:vertAlign w:val="superscript"/>
        </w:rPr>
        <w:t>]</w:t>
      </w:r>
      <w:r w:rsidRPr="001B7F6D">
        <w:rPr>
          <w:rFonts w:ascii="Book Antiqua" w:hAnsi="Book Antiqua"/>
          <w:sz w:val="24"/>
          <w:szCs w:val="24"/>
        </w:rPr>
        <w:t xml:space="preserve">. MIBG appears overall to be superior to PET in the evaluation of stage </w:t>
      </w:r>
      <w:proofErr w:type="gramStart"/>
      <w:r w:rsidRPr="001B7F6D">
        <w:rPr>
          <w:rFonts w:ascii="Book Antiqua" w:hAnsi="Book Antiqua"/>
          <w:sz w:val="24"/>
          <w:szCs w:val="24"/>
        </w:rPr>
        <w:t>4 neuroblastoma, primarily due to improved detection of skeletal disease</w:t>
      </w:r>
      <w:proofErr w:type="gramEnd"/>
      <w:r w:rsidRPr="001B7F6D">
        <w:rPr>
          <w:rFonts w:ascii="Book Antiqua" w:hAnsi="Book Antiqua"/>
          <w:sz w:val="24"/>
          <w:szCs w:val="24"/>
        </w:rPr>
        <w:t>. However PET appears to demonstrate superior detection in stage 1 and 2 neuroblastoma and in tumours which only we</w:t>
      </w:r>
      <w:r w:rsidR="00D13633">
        <w:rPr>
          <w:rFonts w:ascii="Book Antiqua" w:hAnsi="Book Antiqua"/>
          <w:sz w:val="24"/>
          <w:szCs w:val="24"/>
        </w:rPr>
        <w:t>akly accumulate MIBG (Figure 4</w:t>
      </w:r>
      <w:proofErr w:type="gramStart"/>
      <w:r w:rsidR="00D13633">
        <w:rPr>
          <w:rFonts w:ascii="Book Antiqua" w:hAnsi="Book Antiqua"/>
          <w:sz w:val="24"/>
          <w:szCs w:val="24"/>
        </w:rPr>
        <w:t>)</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9</w:t>
      </w:r>
      <w:r w:rsidR="00D13633">
        <w:rPr>
          <w:rFonts w:ascii="Book Antiqua" w:hAnsi="Book Antiqua" w:hint="eastAsia"/>
          <w:sz w:val="24"/>
          <w:szCs w:val="24"/>
          <w:vertAlign w:val="superscript"/>
          <w:lang w:eastAsia="zh-CN"/>
        </w:rPr>
        <w:t>0</w:t>
      </w:r>
      <w:r w:rsidRPr="001B7F6D">
        <w:rPr>
          <w:rFonts w:ascii="Book Antiqua" w:hAnsi="Book Antiqua"/>
          <w:sz w:val="24"/>
          <w:szCs w:val="24"/>
          <w:vertAlign w:val="superscript"/>
        </w:rPr>
        <w:t>,9</w:t>
      </w:r>
      <w:r w:rsidR="00D13633">
        <w:rPr>
          <w:rFonts w:ascii="Book Antiqua" w:hAnsi="Book Antiqua" w:hint="eastAsia"/>
          <w:sz w:val="24"/>
          <w:szCs w:val="24"/>
          <w:vertAlign w:val="superscript"/>
          <w:lang w:eastAsia="zh-CN"/>
        </w:rPr>
        <w:t>2</w:t>
      </w:r>
      <w:r w:rsidRPr="001B7F6D">
        <w:rPr>
          <w:rFonts w:ascii="Book Antiqua" w:hAnsi="Book Antiqua"/>
          <w:sz w:val="24"/>
          <w:szCs w:val="24"/>
          <w:vertAlign w:val="superscript"/>
        </w:rPr>
        <w:t>,9</w:t>
      </w:r>
      <w:r w:rsidR="00D13633">
        <w:rPr>
          <w:rFonts w:ascii="Book Antiqua" w:hAnsi="Book Antiqua" w:hint="eastAsia"/>
          <w:sz w:val="24"/>
          <w:szCs w:val="24"/>
          <w:vertAlign w:val="superscript"/>
          <w:lang w:eastAsia="zh-CN"/>
        </w:rPr>
        <w:t>3</w:t>
      </w:r>
      <w:r w:rsidRPr="001B7F6D">
        <w:rPr>
          <w:rFonts w:ascii="Book Antiqua" w:hAnsi="Book Antiqua"/>
          <w:sz w:val="24"/>
          <w:szCs w:val="24"/>
          <w:vertAlign w:val="superscript"/>
        </w:rPr>
        <w:t>]</w:t>
      </w:r>
      <w:r w:rsidRPr="001B7F6D">
        <w:rPr>
          <w:rFonts w:ascii="Book Antiqua" w:hAnsi="Book Antiqua"/>
          <w:sz w:val="24"/>
          <w:szCs w:val="24"/>
        </w:rPr>
        <w:t>. These results suggest that PET may be important in the context of discrepant or inconclusive findings on MIBG and morphological imaging.</w:t>
      </w:r>
    </w:p>
    <w:p w:rsidR="00E37287" w:rsidRPr="001B7F6D" w:rsidRDefault="00805F76" w:rsidP="00D13633">
      <w:pPr>
        <w:pStyle w:val="Body"/>
        <w:spacing w:line="360" w:lineRule="auto"/>
        <w:ind w:firstLineChars="100" w:firstLine="240"/>
        <w:jc w:val="both"/>
        <w:rPr>
          <w:rFonts w:ascii="Book Antiqua" w:eastAsia="Palatino" w:hAnsi="Book Antiqua" w:cs="Palatino"/>
          <w:sz w:val="24"/>
          <w:szCs w:val="24"/>
        </w:rPr>
      </w:pPr>
      <w:r w:rsidRPr="001B7F6D">
        <w:rPr>
          <w:rFonts w:ascii="Book Antiqua" w:hAnsi="Book Antiqua"/>
          <w:sz w:val="24"/>
          <w:szCs w:val="24"/>
        </w:rPr>
        <w:t xml:space="preserve">To summarise, compared with PET, MIBG remains the </w:t>
      </w:r>
      <w:r w:rsidRPr="001B7F6D">
        <w:rPr>
          <w:rFonts w:ascii="Book Antiqua" w:hAnsi="Book Antiqua"/>
          <w:color w:val="131313"/>
          <w:sz w:val="24"/>
          <w:szCs w:val="24"/>
        </w:rPr>
        <w:t>optimal</w:t>
      </w:r>
      <w:r w:rsidRPr="001B7F6D">
        <w:rPr>
          <w:rFonts w:ascii="Book Antiqua" w:hAnsi="Book Antiqua"/>
          <w:sz w:val="24"/>
          <w:szCs w:val="24"/>
        </w:rPr>
        <w:t xml:space="preserve"> modality for the noninvasive staging of children with neuroblastoma. Overall, a</w:t>
      </w:r>
      <w:r w:rsidRPr="001B7F6D">
        <w:rPr>
          <w:rFonts w:ascii="Book Antiqua" w:hAnsi="Book Antiqua"/>
          <w:sz w:val="24"/>
          <w:szCs w:val="24"/>
          <w:lang w:val="fr-FR"/>
        </w:rPr>
        <w:t>vailable evidence</w:t>
      </w:r>
      <w:r w:rsidRPr="001B7F6D">
        <w:rPr>
          <w:rFonts w:ascii="Book Antiqua" w:hAnsi="Book Antiqua"/>
          <w:sz w:val="24"/>
          <w:szCs w:val="24"/>
        </w:rPr>
        <w:t xml:space="preserve"> suggests that PET is most useful in defining the distribution of disease that either </w:t>
      </w:r>
      <w:r w:rsidRPr="001B7F6D">
        <w:rPr>
          <w:rFonts w:ascii="Book Antiqua" w:hAnsi="Book Antiqua"/>
          <w:sz w:val="24"/>
          <w:szCs w:val="24"/>
          <w:lang w:val="fr-FR"/>
        </w:rPr>
        <w:t>fail</w:t>
      </w:r>
      <w:r w:rsidRPr="001B7F6D">
        <w:rPr>
          <w:rFonts w:ascii="Book Antiqua" w:hAnsi="Book Antiqua"/>
          <w:sz w:val="24"/>
          <w:szCs w:val="24"/>
        </w:rPr>
        <w:t xml:space="preserve">s to concentrate MIBG or does so poorly. In particular, PET should be considered when MIBG scintigraphy reveals less disease than suggested by clinical symptoms or conventional imaging modalities. During follow-up assessment of MIBG-negative neuroblastoma, PET/CT represents the imaging modality of choice. New radiopharmaceuticals for PET imaging, including </w:t>
      </w:r>
      <w:r w:rsidRPr="001B7F6D">
        <w:rPr>
          <w:rFonts w:ascii="Book Antiqua" w:hAnsi="Book Antiqua"/>
          <w:sz w:val="24"/>
          <w:szCs w:val="24"/>
          <w:vertAlign w:val="superscript"/>
        </w:rPr>
        <w:t>18</w:t>
      </w:r>
      <w:r w:rsidRPr="001B7F6D">
        <w:rPr>
          <w:rFonts w:ascii="Book Antiqua" w:hAnsi="Book Antiqua"/>
          <w:sz w:val="24"/>
          <w:szCs w:val="24"/>
        </w:rPr>
        <w:t>F-dihydroxyphenylalanine (</w:t>
      </w:r>
      <w:r w:rsidRPr="001B7F6D">
        <w:rPr>
          <w:rFonts w:ascii="Book Antiqua" w:hAnsi="Book Antiqua"/>
          <w:sz w:val="24"/>
          <w:szCs w:val="24"/>
          <w:vertAlign w:val="superscript"/>
        </w:rPr>
        <w:t>18</w:t>
      </w:r>
      <w:r w:rsidRPr="001B7F6D">
        <w:rPr>
          <w:rFonts w:ascii="Book Antiqua" w:hAnsi="Book Antiqua"/>
          <w:sz w:val="24"/>
          <w:szCs w:val="24"/>
        </w:rPr>
        <w:t xml:space="preserve">F-DOPA) and </w:t>
      </w:r>
      <w:r w:rsidRPr="001B7F6D">
        <w:rPr>
          <w:rFonts w:ascii="Book Antiqua" w:hAnsi="Book Antiqua"/>
          <w:sz w:val="24"/>
          <w:szCs w:val="24"/>
          <w:vertAlign w:val="superscript"/>
        </w:rPr>
        <w:t>68</w:t>
      </w:r>
      <w:r w:rsidRPr="001B7F6D">
        <w:rPr>
          <w:rFonts w:ascii="Book Antiqua" w:hAnsi="Book Antiqua"/>
          <w:sz w:val="24"/>
          <w:szCs w:val="24"/>
        </w:rPr>
        <w:t>Ga-octreotate (</w:t>
      </w:r>
      <w:r w:rsidRPr="001B7F6D">
        <w:rPr>
          <w:rFonts w:ascii="Book Antiqua" w:hAnsi="Book Antiqua"/>
          <w:sz w:val="24"/>
          <w:szCs w:val="24"/>
          <w:vertAlign w:val="superscript"/>
        </w:rPr>
        <w:t>68</w:t>
      </w:r>
      <w:r w:rsidRPr="001B7F6D">
        <w:rPr>
          <w:rFonts w:ascii="Book Antiqua" w:hAnsi="Book Antiqua"/>
          <w:sz w:val="24"/>
          <w:szCs w:val="24"/>
        </w:rPr>
        <w:t>Ga-DOTATATE),</w:t>
      </w:r>
      <w:r w:rsidR="00D13633">
        <w:rPr>
          <w:rFonts w:ascii="Book Antiqua" w:hAnsi="Book Antiqua"/>
          <w:sz w:val="24"/>
          <w:szCs w:val="24"/>
        </w:rPr>
        <w:t xml:space="preserve"> are currently under </w:t>
      </w:r>
      <w:proofErr w:type="gramStart"/>
      <w:r w:rsidR="00D13633">
        <w:rPr>
          <w:rFonts w:ascii="Book Antiqua" w:hAnsi="Book Antiqua"/>
          <w:sz w:val="24"/>
          <w:szCs w:val="24"/>
        </w:rPr>
        <w:t>evaluation</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9</w:t>
      </w:r>
      <w:r w:rsidR="00D13633">
        <w:rPr>
          <w:rFonts w:ascii="Book Antiqua" w:hAnsi="Book Antiqua" w:hint="eastAsia"/>
          <w:sz w:val="24"/>
          <w:szCs w:val="24"/>
          <w:vertAlign w:val="superscript"/>
          <w:lang w:eastAsia="zh-CN"/>
        </w:rPr>
        <w:t>4</w:t>
      </w:r>
      <w:r w:rsidRPr="001B7F6D">
        <w:rPr>
          <w:rFonts w:ascii="Book Antiqua" w:hAnsi="Book Antiqua"/>
          <w:sz w:val="24"/>
          <w:szCs w:val="24"/>
          <w:vertAlign w:val="superscript"/>
        </w:rPr>
        <w:t>,9</w:t>
      </w:r>
      <w:r w:rsidR="00D13633">
        <w:rPr>
          <w:rFonts w:ascii="Book Antiqua" w:hAnsi="Book Antiqua" w:hint="eastAsia"/>
          <w:sz w:val="24"/>
          <w:szCs w:val="24"/>
          <w:vertAlign w:val="superscript"/>
          <w:lang w:eastAsia="zh-CN"/>
        </w:rPr>
        <w:t>5</w:t>
      </w:r>
      <w:r w:rsidRPr="001B7F6D">
        <w:rPr>
          <w:rFonts w:ascii="Book Antiqua" w:hAnsi="Book Antiqua"/>
          <w:sz w:val="24"/>
          <w:szCs w:val="24"/>
          <w:vertAlign w:val="superscript"/>
        </w:rPr>
        <w:t>]</w:t>
      </w:r>
      <w:r w:rsidRPr="001B7F6D">
        <w:rPr>
          <w:rFonts w:ascii="Book Antiqua" w:hAnsi="Book Antiqua"/>
          <w:sz w:val="24"/>
          <w:szCs w:val="24"/>
        </w:rPr>
        <w:t>.</w:t>
      </w:r>
    </w:p>
    <w:p w:rsidR="00E37287" w:rsidRPr="001B7F6D" w:rsidRDefault="00E37287" w:rsidP="001B7F6D">
      <w:pPr>
        <w:spacing w:line="360" w:lineRule="auto"/>
        <w:jc w:val="both"/>
        <w:rPr>
          <w:rFonts w:ascii="Book Antiqua" w:hAnsi="Book Antiqua" w:cs="Palatino"/>
          <w:color w:val="000000"/>
          <w:lang w:eastAsia="zh-CN"/>
        </w:rPr>
      </w:pPr>
    </w:p>
    <w:p w:rsidR="00E37287" w:rsidRPr="00D13633" w:rsidRDefault="00805F76" w:rsidP="001B7F6D">
      <w:pPr>
        <w:pStyle w:val="Body"/>
        <w:suppressAutoHyphens/>
        <w:spacing w:line="360" w:lineRule="auto"/>
        <w:jc w:val="both"/>
        <w:rPr>
          <w:rFonts w:ascii="Book Antiqua" w:hAnsi="Book Antiqua"/>
          <w:b/>
          <w:sz w:val="24"/>
          <w:szCs w:val="24"/>
        </w:rPr>
      </w:pPr>
      <w:r w:rsidRPr="00D13633">
        <w:rPr>
          <w:rFonts w:ascii="Book Antiqua" w:hAnsi="Book Antiqua"/>
          <w:b/>
          <w:sz w:val="24"/>
          <w:szCs w:val="24"/>
        </w:rPr>
        <w:t>WILMS TUMOUR</w:t>
      </w:r>
    </w:p>
    <w:p w:rsidR="00E37287" w:rsidRPr="001B7F6D" w:rsidRDefault="00805F76" w:rsidP="001B7F6D">
      <w:pPr>
        <w:pStyle w:val="Body"/>
        <w:suppressAutoHyphens/>
        <w:spacing w:line="360" w:lineRule="auto"/>
        <w:jc w:val="both"/>
        <w:rPr>
          <w:rFonts w:ascii="Book Antiqua" w:hAnsi="Book Antiqua"/>
          <w:sz w:val="24"/>
          <w:szCs w:val="24"/>
        </w:rPr>
      </w:pPr>
      <w:r w:rsidRPr="001B7F6D">
        <w:rPr>
          <w:rFonts w:ascii="Book Antiqua" w:hAnsi="Book Antiqua"/>
          <w:sz w:val="24"/>
          <w:szCs w:val="24"/>
        </w:rPr>
        <w:lastRenderedPageBreak/>
        <w:t xml:space="preserve">Renal tumours comprise 6% of all childhood cancers. Of these, around 95% are </w:t>
      </w:r>
      <w:r w:rsidR="00D13633">
        <w:rPr>
          <w:rFonts w:ascii="Book Antiqua" w:hAnsi="Book Antiqua"/>
          <w:sz w:val="24"/>
          <w:szCs w:val="24"/>
        </w:rPr>
        <w:t>Wilms tumours (nephroblastomas</w:t>
      </w:r>
      <w:proofErr w:type="gramStart"/>
      <w:r w:rsidR="00D13633">
        <w:rPr>
          <w:rFonts w:ascii="Book Antiqua" w:hAnsi="Book Antiqua"/>
          <w:sz w:val="24"/>
          <w:szCs w:val="24"/>
        </w:rPr>
        <w:t>)</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9</w:t>
      </w:r>
      <w:r w:rsidR="00D13633">
        <w:rPr>
          <w:rFonts w:ascii="Book Antiqua" w:hAnsi="Book Antiqua" w:hint="eastAsia"/>
          <w:sz w:val="24"/>
          <w:szCs w:val="24"/>
          <w:vertAlign w:val="superscript"/>
          <w:lang w:eastAsia="zh-CN"/>
        </w:rPr>
        <w:t>6</w:t>
      </w:r>
      <w:r w:rsidRPr="001B7F6D">
        <w:rPr>
          <w:rFonts w:ascii="Book Antiqua" w:hAnsi="Book Antiqua"/>
          <w:sz w:val="24"/>
          <w:szCs w:val="24"/>
          <w:vertAlign w:val="superscript"/>
        </w:rPr>
        <w:t>]</w:t>
      </w:r>
      <w:r w:rsidRPr="001B7F6D">
        <w:rPr>
          <w:rFonts w:ascii="Book Antiqua" w:hAnsi="Book Antiqua"/>
          <w:sz w:val="24"/>
          <w:szCs w:val="24"/>
        </w:rPr>
        <w:t>. The molecular genetics of Wilms tumour is complex and involves multiple lo</w:t>
      </w:r>
      <w:r w:rsidR="00D13633">
        <w:rPr>
          <w:rFonts w:ascii="Book Antiqua" w:hAnsi="Book Antiqua"/>
          <w:sz w:val="24"/>
          <w:szCs w:val="24"/>
        </w:rPr>
        <w:t xml:space="preserve">ci involved with WNT </w:t>
      </w:r>
      <w:proofErr w:type="gramStart"/>
      <w:r w:rsidR="00D13633">
        <w:rPr>
          <w:rFonts w:ascii="Book Antiqua" w:hAnsi="Book Antiqua"/>
          <w:sz w:val="24"/>
          <w:szCs w:val="24"/>
        </w:rPr>
        <w:t>signalling</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9</w:t>
      </w:r>
      <w:r w:rsidR="00D13633">
        <w:rPr>
          <w:rFonts w:ascii="Book Antiqua" w:hAnsi="Book Antiqua" w:hint="eastAsia"/>
          <w:sz w:val="24"/>
          <w:szCs w:val="24"/>
          <w:vertAlign w:val="superscript"/>
          <w:lang w:eastAsia="zh-CN"/>
        </w:rPr>
        <w:t>7</w:t>
      </w:r>
      <w:r w:rsidRPr="001B7F6D">
        <w:rPr>
          <w:rFonts w:ascii="Book Antiqua" w:hAnsi="Book Antiqua"/>
          <w:sz w:val="24"/>
          <w:szCs w:val="24"/>
          <w:vertAlign w:val="superscript"/>
        </w:rPr>
        <w:t>]</w:t>
      </w:r>
      <w:r w:rsidRPr="001B7F6D">
        <w:rPr>
          <w:rFonts w:ascii="Book Antiqua" w:hAnsi="Book Antiqua"/>
          <w:sz w:val="24"/>
          <w:szCs w:val="24"/>
        </w:rPr>
        <w:t xml:space="preserve">. Mutations in the </w:t>
      </w:r>
      <w:r w:rsidRPr="001B7F6D">
        <w:rPr>
          <w:rFonts w:ascii="Book Antiqua" w:hAnsi="Book Antiqua"/>
          <w:i/>
          <w:iCs/>
          <w:sz w:val="24"/>
          <w:szCs w:val="24"/>
        </w:rPr>
        <w:t>WT</w:t>
      </w:r>
      <w:r w:rsidRPr="001B7F6D">
        <w:rPr>
          <w:rFonts w:ascii="Book Antiqua" w:hAnsi="Book Antiqua"/>
          <w:sz w:val="24"/>
          <w:szCs w:val="24"/>
        </w:rPr>
        <w:t xml:space="preserve"> gene are identified in 10</w:t>
      </w:r>
      <w:r w:rsidR="00D13633">
        <w:rPr>
          <w:rFonts w:ascii="Book Antiqua" w:hAnsi="Book Antiqua" w:hint="eastAsia"/>
          <w:sz w:val="24"/>
          <w:szCs w:val="24"/>
          <w:lang w:eastAsia="zh-CN"/>
        </w:rPr>
        <w:t>%</w:t>
      </w:r>
      <w:r w:rsidRPr="001B7F6D">
        <w:rPr>
          <w:rFonts w:ascii="Book Antiqua" w:hAnsi="Book Antiqua"/>
          <w:sz w:val="24"/>
          <w:szCs w:val="24"/>
        </w:rPr>
        <w:t xml:space="preserve">-15% of sporadic cases. More than 10% of children with Wilms tumour have associated abnormalities, including cryptorchidism, hypospadias, hemihypertrophy and </w:t>
      </w:r>
      <w:proofErr w:type="gramStart"/>
      <w:r w:rsidRPr="001B7F6D">
        <w:rPr>
          <w:rFonts w:ascii="Book Antiqua" w:hAnsi="Book Antiqua"/>
          <w:sz w:val="24"/>
          <w:szCs w:val="24"/>
        </w:rPr>
        <w:t>aniridia</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9</w:t>
      </w:r>
      <w:r w:rsidR="00D13633">
        <w:rPr>
          <w:rFonts w:ascii="Book Antiqua" w:hAnsi="Book Antiqua" w:hint="eastAsia"/>
          <w:sz w:val="24"/>
          <w:szCs w:val="24"/>
          <w:vertAlign w:val="superscript"/>
          <w:lang w:eastAsia="zh-CN"/>
        </w:rPr>
        <w:t>8</w:t>
      </w:r>
      <w:r w:rsidRPr="001B7F6D">
        <w:rPr>
          <w:rFonts w:ascii="Book Antiqua" w:hAnsi="Book Antiqua"/>
          <w:sz w:val="24"/>
          <w:szCs w:val="24"/>
          <w:vertAlign w:val="superscript"/>
        </w:rPr>
        <w:t>]</w:t>
      </w:r>
      <w:r w:rsidRPr="001B7F6D">
        <w:rPr>
          <w:rFonts w:ascii="Book Antiqua" w:hAnsi="Book Antiqua"/>
          <w:sz w:val="24"/>
          <w:szCs w:val="24"/>
        </w:rPr>
        <w:t>. Synchronous bilateral Wilms tumour is presen</w:t>
      </w:r>
      <w:r w:rsidR="00D13633">
        <w:rPr>
          <w:rFonts w:ascii="Book Antiqua" w:hAnsi="Book Antiqua"/>
          <w:sz w:val="24"/>
          <w:szCs w:val="24"/>
        </w:rPr>
        <w:t xml:space="preserve">t in 5% of </w:t>
      </w:r>
      <w:proofErr w:type="gramStart"/>
      <w:r w:rsidR="00D13633">
        <w:rPr>
          <w:rFonts w:ascii="Book Antiqua" w:hAnsi="Book Antiqua"/>
          <w:sz w:val="24"/>
          <w:szCs w:val="24"/>
        </w:rPr>
        <w:t>patients</w:t>
      </w:r>
      <w:r w:rsidRPr="001B7F6D">
        <w:rPr>
          <w:rFonts w:ascii="Book Antiqua" w:hAnsi="Book Antiqua"/>
          <w:sz w:val="24"/>
          <w:szCs w:val="24"/>
          <w:vertAlign w:val="superscript"/>
        </w:rPr>
        <w:t>[</w:t>
      </w:r>
      <w:proofErr w:type="gramEnd"/>
      <w:r w:rsidR="00D13633">
        <w:rPr>
          <w:rFonts w:ascii="Book Antiqua" w:hAnsi="Book Antiqua" w:hint="eastAsia"/>
          <w:sz w:val="24"/>
          <w:szCs w:val="24"/>
          <w:vertAlign w:val="superscript"/>
          <w:lang w:eastAsia="zh-CN"/>
        </w:rPr>
        <w:t>99</w:t>
      </w:r>
      <w:r w:rsidRPr="001B7F6D">
        <w:rPr>
          <w:rFonts w:ascii="Book Antiqua" w:hAnsi="Book Antiqua"/>
          <w:sz w:val="24"/>
          <w:szCs w:val="24"/>
          <w:vertAlign w:val="superscript"/>
        </w:rPr>
        <w:t>]</w:t>
      </w:r>
      <w:r w:rsidRPr="001B7F6D">
        <w:rPr>
          <w:rFonts w:ascii="Book Antiqua" w:hAnsi="Book Antiqua"/>
          <w:sz w:val="24"/>
          <w:szCs w:val="24"/>
        </w:rPr>
        <w:t>. Although prognosis is generally favourable, higher stage disease carries significant mortality and treatment related morbidity.</w:t>
      </w:r>
    </w:p>
    <w:p w:rsidR="00E37287" w:rsidRPr="001B7F6D" w:rsidRDefault="00805F76" w:rsidP="00D13633">
      <w:pPr>
        <w:pStyle w:val="Body"/>
        <w:suppressAutoHyphens/>
        <w:spacing w:line="360" w:lineRule="auto"/>
        <w:ind w:firstLineChars="100" w:firstLine="240"/>
        <w:jc w:val="both"/>
        <w:rPr>
          <w:rFonts w:ascii="Book Antiqua" w:hAnsi="Book Antiqua"/>
          <w:sz w:val="24"/>
          <w:szCs w:val="24"/>
        </w:rPr>
      </w:pPr>
      <w:r w:rsidRPr="001B7F6D">
        <w:rPr>
          <w:rFonts w:ascii="Book Antiqua" w:hAnsi="Book Antiqua"/>
          <w:sz w:val="24"/>
          <w:szCs w:val="24"/>
        </w:rPr>
        <w:t>Imaging at diagnosis typically involves ultrasound, CT and MRI. Although FDG uptake has been describe</w:t>
      </w:r>
      <w:r w:rsidR="00D13633">
        <w:rPr>
          <w:rFonts w:ascii="Book Antiqua" w:hAnsi="Book Antiqua"/>
          <w:sz w:val="24"/>
          <w:szCs w:val="24"/>
        </w:rPr>
        <w:t xml:space="preserve">d in Wilms </w:t>
      </w:r>
      <w:proofErr w:type="gramStart"/>
      <w:r w:rsidR="00D13633">
        <w:rPr>
          <w:rFonts w:ascii="Book Antiqua" w:hAnsi="Book Antiqua"/>
          <w:sz w:val="24"/>
          <w:szCs w:val="24"/>
        </w:rPr>
        <w:t>tumour</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10</w:t>
      </w:r>
      <w:r w:rsidR="00D13633">
        <w:rPr>
          <w:rFonts w:ascii="Book Antiqua" w:hAnsi="Book Antiqua" w:hint="eastAsia"/>
          <w:sz w:val="24"/>
          <w:szCs w:val="24"/>
          <w:vertAlign w:val="superscript"/>
          <w:lang w:eastAsia="zh-CN"/>
        </w:rPr>
        <w:t>0</w:t>
      </w:r>
      <w:r w:rsidRPr="001B7F6D">
        <w:rPr>
          <w:rFonts w:ascii="Book Antiqua" w:hAnsi="Book Antiqua"/>
          <w:sz w:val="24"/>
          <w:szCs w:val="24"/>
          <w:vertAlign w:val="superscript"/>
        </w:rPr>
        <w:t>-10</w:t>
      </w:r>
      <w:r w:rsidR="00D13633">
        <w:rPr>
          <w:rFonts w:ascii="Book Antiqua" w:hAnsi="Book Antiqua" w:hint="eastAsia"/>
          <w:sz w:val="24"/>
          <w:szCs w:val="24"/>
          <w:vertAlign w:val="superscript"/>
          <w:lang w:eastAsia="zh-CN"/>
        </w:rPr>
        <w:t>2</w:t>
      </w:r>
      <w:r w:rsidRPr="001B7F6D">
        <w:rPr>
          <w:rFonts w:ascii="Book Antiqua" w:hAnsi="Book Antiqua"/>
          <w:sz w:val="24"/>
          <w:szCs w:val="24"/>
          <w:vertAlign w:val="superscript"/>
        </w:rPr>
        <w:t>]</w:t>
      </w:r>
      <w:r w:rsidRPr="001B7F6D">
        <w:rPr>
          <w:rFonts w:ascii="Book Antiqua" w:hAnsi="Book Antiqua"/>
          <w:sz w:val="24"/>
          <w:szCs w:val="24"/>
        </w:rPr>
        <w:t xml:space="preserve"> the role of PET/CT has not been clearly established. A particular obstacle to accurate FDG PET imaging of the primary lesion is physiological excretion of tracer </w:t>
      </w:r>
      <w:r w:rsidRPr="00D13633">
        <w:rPr>
          <w:rFonts w:ascii="Book Antiqua" w:hAnsi="Book Antiqua"/>
          <w:i/>
          <w:sz w:val="24"/>
          <w:szCs w:val="24"/>
        </w:rPr>
        <w:t>via</w:t>
      </w:r>
      <w:r w:rsidRPr="001B7F6D">
        <w:rPr>
          <w:rFonts w:ascii="Book Antiqua" w:hAnsi="Book Antiqua"/>
          <w:sz w:val="24"/>
          <w:szCs w:val="24"/>
        </w:rPr>
        <w:t xml:space="preserve"> the kidneys. Such physiological activity may generate uncertainty when attempting to distinguish pathology. The use of hybrid PET/CT scanners may be of some benefit in this regard. </w:t>
      </w:r>
    </w:p>
    <w:p w:rsidR="00E37287" w:rsidRPr="001B7F6D" w:rsidRDefault="00805F76" w:rsidP="00D13633">
      <w:pPr>
        <w:pStyle w:val="Body"/>
        <w:suppressAutoHyphens/>
        <w:spacing w:line="360" w:lineRule="auto"/>
        <w:ind w:firstLineChars="100" w:firstLine="240"/>
        <w:jc w:val="both"/>
        <w:rPr>
          <w:rFonts w:ascii="Book Antiqua" w:hAnsi="Book Antiqua"/>
          <w:sz w:val="24"/>
          <w:szCs w:val="24"/>
        </w:rPr>
      </w:pPr>
      <w:r w:rsidRPr="001B7F6D">
        <w:rPr>
          <w:rFonts w:ascii="Book Antiqua" w:hAnsi="Book Antiqua"/>
          <w:sz w:val="24"/>
          <w:szCs w:val="24"/>
        </w:rPr>
        <w:t>In a small series of 12 patients PET/CT was seen to be concordant with conventional imaging in primary staging and superior to conventional imaging for the detection of</w:t>
      </w:r>
      <w:r w:rsidR="00D13633">
        <w:rPr>
          <w:rFonts w:ascii="Book Antiqua" w:hAnsi="Book Antiqua"/>
          <w:sz w:val="24"/>
          <w:szCs w:val="24"/>
        </w:rPr>
        <w:t xml:space="preserve"> residual and recurrent </w:t>
      </w:r>
      <w:proofErr w:type="gramStart"/>
      <w:r w:rsidR="00D13633">
        <w:rPr>
          <w:rFonts w:ascii="Book Antiqua" w:hAnsi="Book Antiqua"/>
          <w:sz w:val="24"/>
          <w:szCs w:val="24"/>
        </w:rPr>
        <w:t>disease</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10</w:t>
      </w:r>
      <w:r w:rsidR="00D13633">
        <w:rPr>
          <w:rFonts w:ascii="Book Antiqua" w:hAnsi="Book Antiqua" w:hint="eastAsia"/>
          <w:sz w:val="24"/>
          <w:szCs w:val="24"/>
          <w:vertAlign w:val="superscript"/>
          <w:lang w:eastAsia="zh-CN"/>
        </w:rPr>
        <w:t>0</w:t>
      </w:r>
      <w:r w:rsidRPr="001B7F6D">
        <w:rPr>
          <w:rFonts w:ascii="Book Antiqua" w:hAnsi="Book Antiqua"/>
          <w:sz w:val="24"/>
          <w:szCs w:val="24"/>
          <w:vertAlign w:val="superscript"/>
        </w:rPr>
        <w:t>]</w:t>
      </w:r>
      <w:r w:rsidRPr="001B7F6D">
        <w:rPr>
          <w:rFonts w:ascii="Book Antiqua" w:hAnsi="Book Antiqua"/>
          <w:sz w:val="24"/>
          <w:szCs w:val="24"/>
        </w:rPr>
        <w:t>. In another small series of 27 patients Wilms tumour appeared to concentrate FDG, however small pulmonary metastases were not cons</w:t>
      </w:r>
      <w:r w:rsidR="00D13633">
        <w:rPr>
          <w:rFonts w:ascii="Book Antiqua" w:hAnsi="Book Antiqua"/>
          <w:sz w:val="24"/>
          <w:szCs w:val="24"/>
        </w:rPr>
        <w:t xml:space="preserve">istently identified on PET </w:t>
      </w:r>
      <w:proofErr w:type="gramStart"/>
      <w:r w:rsidR="00D13633">
        <w:rPr>
          <w:rFonts w:ascii="Book Antiqua" w:hAnsi="Book Antiqua"/>
          <w:sz w:val="24"/>
          <w:szCs w:val="24"/>
        </w:rPr>
        <w:t>scan</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10</w:t>
      </w:r>
      <w:r w:rsidR="00D13633">
        <w:rPr>
          <w:rFonts w:ascii="Book Antiqua" w:hAnsi="Book Antiqua" w:hint="eastAsia"/>
          <w:sz w:val="24"/>
          <w:szCs w:val="24"/>
          <w:vertAlign w:val="superscript"/>
          <w:lang w:eastAsia="zh-CN"/>
        </w:rPr>
        <w:t>1</w:t>
      </w:r>
      <w:r w:rsidRPr="001B7F6D">
        <w:rPr>
          <w:rFonts w:ascii="Book Antiqua" w:hAnsi="Book Antiqua"/>
          <w:sz w:val="24"/>
          <w:szCs w:val="24"/>
          <w:vertAlign w:val="superscript"/>
        </w:rPr>
        <w:t>]</w:t>
      </w:r>
      <w:r w:rsidRPr="001B7F6D">
        <w:rPr>
          <w:rFonts w:ascii="Book Antiqua" w:hAnsi="Book Antiqua"/>
          <w:sz w:val="24"/>
          <w:szCs w:val="24"/>
        </w:rPr>
        <w:t>. There is evidence that FDG avidity in Wilms tumour may correlat</w:t>
      </w:r>
      <w:r w:rsidR="00D13633">
        <w:rPr>
          <w:rFonts w:ascii="Book Antiqua" w:hAnsi="Book Antiqua"/>
          <w:sz w:val="24"/>
          <w:szCs w:val="24"/>
        </w:rPr>
        <w:t xml:space="preserve">e with higher histological </w:t>
      </w:r>
      <w:proofErr w:type="gramStart"/>
      <w:r w:rsidR="00D13633">
        <w:rPr>
          <w:rFonts w:ascii="Book Antiqua" w:hAnsi="Book Antiqua"/>
          <w:sz w:val="24"/>
          <w:szCs w:val="24"/>
        </w:rPr>
        <w:t>risk</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10</w:t>
      </w:r>
      <w:r w:rsidR="00D13633">
        <w:rPr>
          <w:rFonts w:ascii="Book Antiqua" w:hAnsi="Book Antiqua" w:hint="eastAsia"/>
          <w:sz w:val="24"/>
          <w:szCs w:val="24"/>
          <w:vertAlign w:val="superscript"/>
          <w:lang w:eastAsia="zh-CN"/>
        </w:rPr>
        <w:t>2</w:t>
      </w:r>
      <w:r w:rsidRPr="001B7F6D">
        <w:rPr>
          <w:rFonts w:ascii="Book Antiqua" w:hAnsi="Book Antiqua"/>
          <w:sz w:val="24"/>
          <w:szCs w:val="24"/>
          <w:vertAlign w:val="superscript"/>
        </w:rPr>
        <w:t>]</w:t>
      </w:r>
      <w:r w:rsidRPr="001B7F6D">
        <w:rPr>
          <w:rFonts w:ascii="Book Antiqua" w:hAnsi="Book Antiqua"/>
          <w:sz w:val="24"/>
          <w:szCs w:val="24"/>
        </w:rPr>
        <w:t>.</w:t>
      </w:r>
    </w:p>
    <w:p w:rsidR="00E37287" w:rsidRPr="001B7F6D" w:rsidRDefault="00805F76" w:rsidP="00D13633">
      <w:pPr>
        <w:pStyle w:val="Body"/>
        <w:suppressAutoHyphens/>
        <w:spacing w:line="360" w:lineRule="auto"/>
        <w:ind w:firstLineChars="100" w:firstLine="240"/>
        <w:jc w:val="both"/>
        <w:rPr>
          <w:rFonts w:ascii="Book Antiqua" w:hAnsi="Book Antiqua"/>
          <w:sz w:val="24"/>
          <w:szCs w:val="24"/>
        </w:rPr>
      </w:pPr>
      <w:r w:rsidRPr="001B7F6D">
        <w:rPr>
          <w:rFonts w:ascii="Book Antiqua" w:hAnsi="Book Antiqua"/>
          <w:sz w:val="24"/>
          <w:szCs w:val="24"/>
        </w:rPr>
        <w:t>These studies demonstrate that FDG PET/CT may be a useful adjunct to conventional imaging modalities in Wilms tumour, particularly for the detection of residual and recurrent disease. Further investigation is required to confirm this. The use of functional MRI with diffusion-weighted imaging is another new technique which shows promise in the evaluation of Wilms tumour.</w:t>
      </w:r>
    </w:p>
    <w:p w:rsidR="00E37287" w:rsidRPr="001B7F6D" w:rsidRDefault="00E37287" w:rsidP="001B7F6D">
      <w:pPr>
        <w:spacing w:line="360" w:lineRule="auto"/>
        <w:jc w:val="both"/>
        <w:rPr>
          <w:rFonts w:ascii="Book Antiqua" w:hAnsi="Book Antiqua" w:cs="Arial Unicode MS"/>
          <w:color w:val="000000"/>
        </w:rPr>
      </w:pPr>
    </w:p>
    <w:p w:rsidR="00E37287" w:rsidRPr="00D13633" w:rsidRDefault="00805F76" w:rsidP="001B7F6D">
      <w:pPr>
        <w:pStyle w:val="Body"/>
        <w:spacing w:line="360" w:lineRule="auto"/>
        <w:jc w:val="both"/>
        <w:rPr>
          <w:rFonts w:ascii="Book Antiqua" w:eastAsia="Palatino" w:hAnsi="Book Antiqua" w:cs="Palatino"/>
          <w:b/>
          <w:sz w:val="24"/>
          <w:szCs w:val="24"/>
        </w:rPr>
      </w:pPr>
      <w:r w:rsidRPr="00D13633">
        <w:rPr>
          <w:rFonts w:ascii="Book Antiqua" w:hAnsi="Book Antiqua"/>
          <w:b/>
          <w:sz w:val="24"/>
          <w:szCs w:val="24"/>
        </w:rPr>
        <w:t>LANGERHANS CELL HISTIOCYTOSIS</w:t>
      </w:r>
    </w:p>
    <w:p w:rsidR="00E37287" w:rsidRPr="001B7F6D" w:rsidRDefault="00805F76" w:rsidP="001B7F6D">
      <w:pPr>
        <w:pStyle w:val="Body"/>
        <w:spacing w:line="360" w:lineRule="auto"/>
        <w:jc w:val="both"/>
        <w:rPr>
          <w:rFonts w:ascii="Book Antiqua" w:eastAsia="Palatino" w:hAnsi="Book Antiqua" w:cs="Palatino"/>
          <w:sz w:val="24"/>
          <w:szCs w:val="24"/>
        </w:rPr>
      </w:pPr>
      <w:r w:rsidRPr="001B7F6D">
        <w:rPr>
          <w:rFonts w:ascii="Book Antiqua" w:hAnsi="Book Antiqua"/>
          <w:sz w:val="24"/>
          <w:szCs w:val="24"/>
        </w:rPr>
        <w:t>Langerhans cell histiocytosis (LCH) is a rare disease which involves the clonal proliferation of activated dendrocytes and macrophages. These clonal cells form infiltrates in a variety of organs alon</w:t>
      </w:r>
      <w:r w:rsidR="00D13633">
        <w:rPr>
          <w:rFonts w:ascii="Book Antiqua" w:hAnsi="Book Antiqua"/>
          <w:sz w:val="24"/>
          <w:szCs w:val="24"/>
        </w:rPr>
        <w:t xml:space="preserve">g with other inflammatory </w:t>
      </w:r>
      <w:proofErr w:type="gramStart"/>
      <w:r w:rsidR="00D13633">
        <w:rPr>
          <w:rFonts w:ascii="Book Antiqua" w:hAnsi="Book Antiqua"/>
          <w:sz w:val="24"/>
          <w:szCs w:val="24"/>
        </w:rPr>
        <w:t>cells</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10</w:t>
      </w:r>
      <w:r w:rsidR="00D13633">
        <w:rPr>
          <w:rFonts w:ascii="Book Antiqua" w:hAnsi="Book Antiqua" w:hint="eastAsia"/>
          <w:sz w:val="24"/>
          <w:szCs w:val="24"/>
          <w:vertAlign w:val="superscript"/>
          <w:lang w:eastAsia="zh-CN"/>
        </w:rPr>
        <w:t>3</w:t>
      </w:r>
      <w:r w:rsidRPr="001B7F6D">
        <w:rPr>
          <w:rFonts w:ascii="Book Antiqua" w:hAnsi="Book Antiqua"/>
          <w:sz w:val="24"/>
          <w:szCs w:val="24"/>
          <w:vertAlign w:val="superscript"/>
        </w:rPr>
        <w:t>]</w:t>
      </w:r>
      <w:r w:rsidRPr="001B7F6D">
        <w:rPr>
          <w:rFonts w:ascii="Book Antiqua" w:hAnsi="Book Antiqua"/>
          <w:sz w:val="24"/>
          <w:szCs w:val="24"/>
        </w:rPr>
        <w:t xml:space="preserve">. LCH exists as a heterogenous and complex disease with a broad spectrum of clinical manifestations which range from spontaneous resolution to rapid progression and </w:t>
      </w:r>
      <w:proofErr w:type="gramStart"/>
      <w:r w:rsidRPr="001B7F6D">
        <w:rPr>
          <w:rFonts w:ascii="Book Antiqua" w:hAnsi="Book Antiqua"/>
          <w:sz w:val="24"/>
          <w:szCs w:val="24"/>
        </w:rPr>
        <w:t>death</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10</w:t>
      </w:r>
      <w:r w:rsidR="00D13633">
        <w:rPr>
          <w:rFonts w:ascii="Book Antiqua" w:hAnsi="Book Antiqua" w:hint="eastAsia"/>
          <w:sz w:val="24"/>
          <w:szCs w:val="24"/>
          <w:vertAlign w:val="superscript"/>
          <w:lang w:eastAsia="zh-CN"/>
        </w:rPr>
        <w:t>4</w:t>
      </w:r>
      <w:r w:rsidRPr="001B7F6D">
        <w:rPr>
          <w:rFonts w:ascii="Book Antiqua" w:hAnsi="Book Antiqua"/>
          <w:sz w:val="24"/>
          <w:szCs w:val="24"/>
          <w:vertAlign w:val="superscript"/>
        </w:rPr>
        <w:t>]</w:t>
      </w:r>
      <w:r w:rsidRPr="001B7F6D">
        <w:rPr>
          <w:rFonts w:ascii="Book Antiqua" w:hAnsi="Book Antiqua"/>
          <w:sz w:val="24"/>
          <w:szCs w:val="24"/>
        </w:rPr>
        <w:t xml:space="preserve">. It may occur at any </w:t>
      </w:r>
      <w:r w:rsidRPr="001B7F6D">
        <w:rPr>
          <w:rFonts w:ascii="Book Antiqua" w:hAnsi="Book Antiqua"/>
          <w:sz w:val="24"/>
          <w:szCs w:val="24"/>
        </w:rPr>
        <w:lastRenderedPageBreak/>
        <w:t xml:space="preserve">age but generally affects children between 1 and 15 years. Skeletal survey and bone scintigraphy are established techniques in LCH disease evaluation. In addition, CT and MRI modalities are increasingly used in the detection of skeletal and visceral </w:t>
      </w:r>
      <w:proofErr w:type="gramStart"/>
      <w:r w:rsidRPr="001B7F6D">
        <w:rPr>
          <w:rFonts w:ascii="Book Antiqua" w:hAnsi="Book Antiqua"/>
          <w:sz w:val="24"/>
          <w:szCs w:val="24"/>
        </w:rPr>
        <w:t>disease</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10</w:t>
      </w:r>
      <w:r w:rsidR="00D13633">
        <w:rPr>
          <w:rFonts w:ascii="Book Antiqua" w:hAnsi="Book Antiqua" w:hint="eastAsia"/>
          <w:sz w:val="24"/>
          <w:szCs w:val="24"/>
          <w:vertAlign w:val="superscript"/>
          <w:lang w:eastAsia="zh-CN"/>
        </w:rPr>
        <w:t>5</w:t>
      </w:r>
      <w:r w:rsidRPr="001B7F6D">
        <w:rPr>
          <w:rFonts w:ascii="Book Antiqua" w:hAnsi="Book Antiqua"/>
          <w:sz w:val="24"/>
          <w:szCs w:val="24"/>
          <w:vertAlign w:val="superscript"/>
        </w:rPr>
        <w:t>]</w:t>
      </w:r>
      <w:r w:rsidRPr="001B7F6D">
        <w:rPr>
          <w:rFonts w:ascii="Book Antiqua" w:hAnsi="Book Antiqua"/>
          <w:sz w:val="24"/>
          <w:szCs w:val="24"/>
        </w:rPr>
        <w:t>.</w:t>
      </w:r>
    </w:p>
    <w:p w:rsidR="00E37287" w:rsidRPr="001B7F6D" w:rsidRDefault="00805F76" w:rsidP="00D13633">
      <w:pPr>
        <w:pStyle w:val="Body"/>
        <w:spacing w:line="360" w:lineRule="auto"/>
        <w:ind w:firstLineChars="100" w:firstLine="240"/>
        <w:jc w:val="both"/>
        <w:rPr>
          <w:rFonts w:ascii="Book Antiqua" w:eastAsia="Palatino" w:hAnsi="Book Antiqua" w:cs="Palatino"/>
          <w:sz w:val="24"/>
          <w:szCs w:val="24"/>
        </w:rPr>
      </w:pPr>
      <w:r w:rsidRPr="001B7F6D">
        <w:rPr>
          <w:rFonts w:ascii="Book Antiqua" w:hAnsi="Book Antiqua"/>
          <w:sz w:val="24"/>
          <w:szCs w:val="24"/>
        </w:rPr>
        <w:t>The use of PET and PET/CT in the assessment of patients with LCH has been reported in a number of studies and its use is now well established. PET has been shown to be superior to bone scintigraphy and skeletal survey for over</w:t>
      </w:r>
      <w:r w:rsidR="00D13633">
        <w:rPr>
          <w:rFonts w:ascii="Book Antiqua" w:hAnsi="Book Antiqua"/>
          <w:sz w:val="24"/>
          <w:szCs w:val="24"/>
        </w:rPr>
        <w:t>all lesion detection (Figure 5</w:t>
      </w:r>
      <w:proofErr w:type="gramStart"/>
      <w:r w:rsidR="00D13633">
        <w:rPr>
          <w:rFonts w:ascii="Book Antiqua" w:hAnsi="Book Antiqua"/>
          <w:sz w:val="24"/>
          <w:szCs w:val="24"/>
        </w:rPr>
        <w:t>)</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10</w:t>
      </w:r>
      <w:r w:rsidR="00D13633">
        <w:rPr>
          <w:rFonts w:ascii="Book Antiqua" w:hAnsi="Book Antiqua" w:hint="eastAsia"/>
          <w:sz w:val="24"/>
          <w:szCs w:val="24"/>
          <w:vertAlign w:val="superscript"/>
          <w:lang w:eastAsia="zh-CN"/>
        </w:rPr>
        <w:t>6</w:t>
      </w:r>
      <w:r w:rsidRPr="001B7F6D">
        <w:rPr>
          <w:rFonts w:ascii="Book Antiqua" w:hAnsi="Book Antiqua"/>
          <w:sz w:val="24"/>
          <w:szCs w:val="24"/>
          <w:vertAlign w:val="superscript"/>
        </w:rPr>
        <w:t>-10</w:t>
      </w:r>
      <w:r w:rsidR="00D13633">
        <w:rPr>
          <w:rFonts w:ascii="Book Antiqua" w:hAnsi="Book Antiqua" w:hint="eastAsia"/>
          <w:sz w:val="24"/>
          <w:szCs w:val="24"/>
          <w:vertAlign w:val="superscript"/>
          <w:lang w:eastAsia="zh-CN"/>
        </w:rPr>
        <w:t>8</w:t>
      </w:r>
      <w:r w:rsidRPr="001B7F6D">
        <w:rPr>
          <w:rFonts w:ascii="Book Antiqua" w:hAnsi="Book Antiqua"/>
          <w:sz w:val="24"/>
          <w:szCs w:val="24"/>
          <w:vertAlign w:val="superscript"/>
        </w:rPr>
        <w:t>]</w:t>
      </w:r>
      <w:r w:rsidRPr="001B7F6D">
        <w:rPr>
          <w:rFonts w:ascii="Book Antiqua" w:hAnsi="Book Antiqua"/>
          <w:sz w:val="24"/>
          <w:szCs w:val="24"/>
        </w:rPr>
        <w:t>. Furthermore, PET has demonstrated efficacy in post-treatment lesion assessment and provides information on treatment response earlier th</w:t>
      </w:r>
      <w:r w:rsidR="00D13633">
        <w:rPr>
          <w:rFonts w:ascii="Book Antiqua" w:hAnsi="Book Antiqua"/>
          <w:sz w:val="24"/>
          <w:szCs w:val="24"/>
        </w:rPr>
        <w:t xml:space="preserve">an plain film radiography or </w:t>
      </w:r>
      <w:proofErr w:type="gramStart"/>
      <w:r w:rsidR="00D13633">
        <w:rPr>
          <w:rFonts w:ascii="Book Antiqua" w:hAnsi="Book Antiqua"/>
          <w:sz w:val="24"/>
          <w:szCs w:val="24"/>
        </w:rPr>
        <w:t>CT</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10</w:t>
      </w:r>
      <w:r w:rsidR="00D13633">
        <w:rPr>
          <w:rFonts w:ascii="Book Antiqua" w:hAnsi="Book Antiqua" w:hint="eastAsia"/>
          <w:sz w:val="24"/>
          <w:szCs w:val="24"/>
          <w:vertAlign w:val="superscript"/>
          <w:lang w:eastAsia="zh-CN"/>
        </w:rPr>
        <w:t>6</w:t>
      </w:r>
      <w:r w:rsidRPr="001B7F6D">
        <w:rPr>
          <w:rFonts w:ascii="Book Antiqua" w:hAnsi="Book Antiqua"/>
          <w:sz w:val="24"/>
          <w:szCs w:val="24"/>
          <w:vertAlign w:val="superscript"/>
        </w:rPr>
        <w:t>-11</w:t>
      </w:r>
      <w:r w:rsidR="00D13633">
        <w:rPr>
          <w:rFonts w:ascii="Book Antiqua" w:hAnsi="Book Antiqua" w:hint="eastAsia"/>
          <w:sz w:val="24"/>
          <w:szCs w:val="24"/>
          <w:vertAlign w:val="superscript"/>
          <w:lang w:eastAsia="zh-CN"/>
        </w:rPr>
        <w:t>0</w:t>
      </w:r>
      <w:r w:rsidRPr="001B7F6D">
        <w:rPr>
          <w:rFonts w:ascii="Book Antiqua" w:hAnsi="Book Antiqua"/>
          <w:sz w:val="24"/>
          <w:szCs w:val="24"/>
          <w:vertAlign w:val="superscript"/>
        </w:rPr>
        <w:t>]</w:t>
      </w:r>
      <w:r w:rsidRPr="001B7F6D">
        <w:rPr>
          <w:rFonts w:ascii="Book Antiqua" w:hAnsi="Book Antiqua"/>
          <w:sz w:val="24"/>
          <w:szCs w:val="24"/>
        </w:rPr>
        <w:t>.</w:t>
      </w:r>
    </w:p>
    <w:p w:rsidR="00E37287" w:rsidRPr="001B7F6D" w:rsidRDefault="00805F76" w:rsidP="00D13633">
      <w:pPr>
        <w:pStyle w:val="Body"/>
        <w:spacing w:line="360" w:lineRule="auto"/>
        <w:ind w:firstLineChars="100" w:firstLine="240"/>
        <w:jc w:val="both"/>
        <w:rPr>
          <w:rFonts w:ascii="Book Antiqua" w:eastAsia="Palatino" w:hAnsi="Book Antiqua" w:cs="Palatino"/>
          <w:sz w:val="24"/>
          <w:szCs w:val="24"/>
        </w:rPr>
      </w:pPr>
      <w:r w:rsidRPr="001B7F6D">
        <w:rPr>
          <w:rFonts w:ascii="Book Antiqua" w:hAnsi="Book Antiqua"/>
          <w:sz w:val="24"/>
          <w:szCs w:val="24"/>
        </w:rPr>
        <w:t xml:space="preserve">A recent study has compared the use of PET with MRI in paediatric patients with biopsy-proven </w:t>
      </w:r>
      <w:proofErr w:type="gramStart"/>
      <w:r w:rsidRPr="001B7F6D">
        <w:rPr>
          <w:rFonts w:ascii="Book Antiqua" w:hAnsi="Book Antiqua"/>
          <w:sz w:val="24"/>
          <w:szCs w:val="24"/>
        </w:rPr>
        <w:t>histiocytosis</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11</w:t>
      </w:r>
      <w:r w:rsidR="00D13633">
        <w:rPr>
          <w:rFonts w:ascii="Book Antiqua" w:hAnsi="Book Antiqua" w:hint="eastAsia"/>
          <w:sz w:val="24"/>
          <w:szCs w:val="24"/>
          <w:vertAlign w:val="superscript"/>
          <w:lang w:eastAsia="zh-CN"/>
        </w:rPr>
        <w:t>1</w:t>
      </w:r>
      <w:r w:rsidRPr="001B7F6D">
        <w:rPr>
          <w:rFonts w:ascii="Book Antiqua" w:hAnsi="Book Antiqua"/>
          <w:sz w:val="24"/>
          <w:szCs w:val="24"/>
          <w:vertAlign w:val="superscript"/>
        </w:rPr>
        <w:t>]</w:t>
      </w:r>
      <w:r w:rsidRPr="001B7F6D">
        <w:rPr>
          <w:rFonts w:ascii="Book Antiqua" w:hAnsi="Book Antiqua"/>
          <w:sz w:val="24"/>
          <w:szCs w:val="24"/>
        </w:rPr>
        <w:t xml:space="preserve">. In this study PET was found to be more accurate than MRI for post-treatment evaluation due to lower false-positive rates. MRI showed a higher sensitivity and was important for primary staging and evaluation of CNS disease. Interestingly, whilst there was no clear advantage for combined PET/MRI analysis during follow-up evaluation, the combination did improve sensitivity of primary staging through a reduced false-negative rate. These results suggest that whilst PET alone may be sufficient for post-treatment disease monitoring in LCH, the combination of PET and MRI is preferred for primary disease investigation. A potential future role therefore exists for combined PET/MR imaging in the primary investigation of paediatric LCH. </w:t>
      </w:r>
    </w:p>
    <w:p w:rsidR="00E37287" w:rsidRPr="001B7F6D" w:rsidRDefault="00805F76" w:rsidP="00D13633">
      <w:pPr>
        <w:pStyle w:val="Body"/>
        <w:spacing w:line="360" w:lineRule="auto"/>
        <w:ind w:firstLineChars="100" w:firstLine="240"/>
        <w:jc w:val="both"/>
        <w:rPr>
          <w:rFonts w:ascii="Book Antiqua" w:eastAsia="Palatino" w:hAnsi="Book Antiqua" w:cs="Palatino"/>
          <w:sz w:val="24"/>
          <w:szCs w:val="24"/>
        </w:rPr>
      </w:pPr>
      <w:r w:rsidRPr="001B7F6D">
        <w:rPr>
          <w:rFonts w:ascii="Book Antiqua" w:hAnsi="Book Antiqua"/>
          <w:sz w:val="24"/>
          <w:szCs w:val="24"/>
        </w:rPr>
        <w:t>Taken together, these studies suggest that PET is a valuable modality in the primary assessment, therapeutic monitoring and detection of reactivation of patients with LCH.</w:t>
      </w:r>
    </w:p>
    <w:p w:rsidR="00E37287" w:rsidRPr="001B7F6D" w:rsidRDefault="00E37287" w:rsidP="001B7F6D">
      <w:pPr>
        <w:pStyle w:val="Body"/>
        <w:spacing w:line="360" w:lineRule="auto"/>
        <w:jc w:val="both"/>
        <w:rPr>
          <w:rFonts w:ascii="Book Antiqua" w:hAnsi="Book Antiqua"/>
          <w:sz w:val="24"/>
          <w:szCs w:val="24"/>
          <w:lang w:eastAsia="zh-CN"/>
        </w:rPr>
      </w:pPr>
    </w:p>
    <w:p w:rsidR="00E37287" w:rsidRPr="00D13633" w:rsidRDefault="00805F76" w:rsidP="001B7F6D">
      <w:pPr>
        <w:pStyle w:val="Body"/>
        <w:spacing w:line="360" w:lineRule="auto"/>
        <w:jc w:val="both"/>
        <w:rPr>
          <w:rFonts w:ascii="Book Antiqua" w:eastAsia="Palatino" w:hAnsi="Book Antiqua" w:cs="Palatino"/>
          <w:b/>
          <w:sz w:val="24"/>
          <w:szCs w:val="24"/>
        </w:rPr>
      </w:pPr>
      <w:r w:rsidRPr="00D13633">
        <w:rPr>
          <w:rFonts w:ascii="Book Antiqua" w:hAnsi="Book Antiqua"/>
          <w:b/>
          <w:sz w:val="24"/>
          <w:szCs w:val="24"/>
        </w:rPr>
        <w:t>PRACTICAL ASPECTS</w:t>
      </w:r>
    </w:p>
    <w:p w:rsidR="00E37287" w:rsidRPr="001B7F6D" w:rsidRDefault="00805F76" w:rsidP="001B7F6D">
      <w:pPr>
        <w:pStyle w:val="Body"/>
        <w:spacing w:line="360" w:lineRule="auto"/>
        <w:jc w:val="both"/>
        <w:rPr>
          <w:rFonts w:ascii="Book Antiqua" w:eastAsia="Palatino" w:hAnsi="Book Antiqua" w:cs="Palatino"/>
          <w:sz w:val="24"/>
          <w:szCs w:val="24"/>
        </w:rPr>
      </w:pPr>
      <w:r w:rsidRPr="001B7F6D">
        <w:rPr>
          <w:rFonts w:ascii="Book Antiqua" w:hAnsi="Book Antiqua"/>
          <w:sz w:val="24"/>
          <w:szCs w:val="24"/>
        </w:rPr>
        <w:t>PET/CT requires consideration of particular challenges that are common to paediatric nuclear medicine but uncommon to adult imaging. These include consent, fasting, intravenous acce</w:t>
      </w:r>
      <w:r w:rsidR="00D13633">
        <w:rPr>
          <w:rFonts w:ascii="Book Antiqua" w:hAnsi="Book Antiqua"/>
          <w:sz w:val="24"/>
          <w:szCs w:val="24"/>
        </w:rPr>
        <w:t xml:space="preserve">ss and the question of </w:t>
      </w:r>
      <w:proofErr w:type="gramStart"/>
      <w:r w:rsidR="00D13633">
        <w:rPr>
          <w:rFonts w:ascii="Book Antiqua" w:hAnsi="Book Antiqua"/>
          <w:sz w:val="24"/>
          <w:szCs w:val="24"/>
        </w:rPr>
        <w:t>sedation</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11</w:t>
      </w:r>
      <w:r w:rsidR="00FE175D">
        <w:rPr>
          <w:rFonts w:ascii="Book Antiqua" w:hAnsi="Book Antiqua" w:hint="eastAsia"/>
          <w:sz w:val="24"/>
          <w:szCs w:val="24"/>
          <w:vertAlign w:val="superscript"/>
          <w:lang w:eastAsia="zh-CN"/>
        </w:rPr>
        <w:t>2</w:t>
      </w:r>
      <w:r w:rsidRPr="001B7F6D">
        <w:rPr>
          <w:rFonts w:ascii="Book Antiqua" w:hAnsi="Book Antiqua"/>
          <w:sz w:val="24"/>
          <w:szCs w:val="24"/>
          <w:vertAlign w:val="superscript"/>
        </w:rPr>
        <w:t>,11</w:t>
      </w:r>
      <w:r w:rsidR="00FE175D">
        <w:rPr>
          <w:rFonts w:ascii="Book Antiqua" w:hAnsi="Book Antiqua" w:hint="eastAsia"/>
          <w:sz w:val="24"/>
          <w:szCs w:val="24"/>
          <w:vertAlign w:val="superscript"/>
          <w:lang w:eastAsia="zh-CN"/>
        </w:rPr>
        <w:t>3</w:t>
      </w:r>
      <w:r w:rsidRPr="001B7F6D">
        <w:rPr>
          <w:rFonts w:ascii="Book Antiqua" w:hAnsi="Book Antiqua"/>
          <w:sz w:val="24"/>
          <w:szCs w:val="24"/>
          <w:vertAlign w:val="superscript"/>
        </w:rPr>
        <w:t>]</w:t>
      </w:r>
      <w:r w:rsidRPr="001B7F6D">
        <w:rPr>
          <w:rFonts w:ascii="Book Antiqua" w:hAnsi="Book Antiqua"/>
          <w:sz w:val="24"/>
          <w:szCs w:val="24"/>
        </w:rPr>
        <w:t xml:space="preserve">. Patient cooperation is a significant issue. Successful imaging can be facilitated by providing a relaxed, child-oriented environment, and staff experienced in paediatric venipuncture and the management of children. Available data suggests that PET/CT artefacts due to movement, poor co-registration or non-compliance are no more frequent among paediatric patients than among adult </w:t>
      </w:r>
      <w:proofErr w:type="gramStart"/>
      <w:r w:rsidRPr="001B7F6D">
        <w:rPr>
          <w:rFonts w:ascii="Book Antiqua" w:hAnsi="Book Antiqua"/>
          <w:sz w:val="24"/>
          <w:szCs w:val="24"/>
        </w:rPr>
        <w:t>ones</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11</w:t>
      </w:r>
      <w:r w:rsidR="00FE175D">
        <w:rPr>
          <w:rFonts w:ascii="Book Antiqua" w:hAnsi="Book Antiqua" w:hint="eastAsia"/>
          <w:sz w:val="24"/>
          <w:szCs w:val="24"/>
          <w:vertAlign w:val="superscript"/>
          <w:lang w:eastAsia="zh-CN"/>
        </w:rPr>
        <w:t>4</w:t>
      </w:r>
      <w:r w:rsidRPr="001B7F6D">
        <w:rPr>
          <w:rFonts w:ascii="Book Antiqua" w:hAnsi="Book Antiqua"/>
          <w:sz w:val="24"/>
          <w:szCs w:val="24"/>
          <w:vertAlign w:val="superscript"/>
        </w:rPr>
        <w:t>]</w:t>
      </w:r>
      <w:r w:rsidRPr="001B7F6D">
        <w:rPr>
          <w:rFonts w:ascii="Book Antiqua" w:hAnsi="Book Antiqua"/>
          <w:sz w:val="24"/>
          <w:szCs w:val="24"/>
        </w:rPr>
        <w:t>.</w:t>
      </w:r>
    </w:p>
    <w:p w:rsidR="00E37287" w:rsidRPr="001B7F6D" w:rsidRDefault="00805F76" w:rsidP="00D13633">
      <w:pPr>
        <w:pStyle w:val="Body"/>
        <w:spacing w:line="360" w:lineRule="auto"/>
        <w:ind w:firstLineChars="100" w:firstLine="240"/>
        <w:jc w:val="both"/>
        <w:rPr>
          <w:rFonts w:ascii="Book Antiqua" w:eastAsia="Palatino" w:hAnsi="Book Antiqua" w:cs="Palatino"/>
          <w:sz w:val="24"/>
          <w:szCs w:val="24"/>
        </w:rPr>
      </w:pPr>
      <w:r w:rsidRPr="001B7F6D">
        <w:rPr>
          <w:rFonts w:ascii="Book Antiqua" w:hAnsi="Book Antiqua"/>
          <w:sz w:val="24"/>
          <w:szCs w:val="24"/>
        </w:rPr>
        <w:lastRenderedPageBreak/>
        <w:t xml:space="preserve">Paediatric sedation is a complex issue and requires case-by-case assessment. Often, the child’s parents will be aware of previous cooperation difficulties and can assist with decision making. When sedation is required, it should be limited to </w:t>
      </w:r>
      <w:r w:rsidR="00D13633">
        <w:rPr>
          <w:rFonts w:ascii="Book Antiqua" w:hAnsi="Book Antiqua"/>
          <w:sz w:val="24"/>
          <w:szCs w:val="24"/>
        </w:rPr>
        <w:t xml:space="preserve">the scanning phase of the </w:t>
      </w:r>
      <w:proofErr w:type="gramStart"/>
      <w:r w:rsidR="00D13633">
        <w:rPr>
          <w:rFonts w:ascii="Book Antiqua" w:hAnsi="Book Antiqua"/>
          <w:sz w:val="24"/>
          <w:szCs w:val="24"/>
        </w:rPr>
        <w:t>study</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11</w:t>
      </w:r>
      <w:r w:rsidR="00FE175D">
        <w:rPr>
          <w:rFonts w:ascii="Book Antiqua" w:hAnsi="Book Antiqua" w:hint="eastAsia"/>
          <w:sz w:val="24"/>
          <w:szCs w:val="24"/>
          <w:vertAlign w:val="superscript"/>
          <w:lang w:eastAsia="zh-CN"/>
        </w:rPr>
        <w:t>2</w:t>
      </w:r>
      <w:r w:rsidRPr="001B7F6D">
        <w:rPr>
          <w:rFonts w:ascii="Book Antiqua" w:hAnsi="Book Antiqua"/>
          <w:sz w:val="24"/>
          <w:szCs w:val="24"/>
          <w:vertAlign w:val="superscript"/>
        </w:rPr>
        <w:t>]</w:t>
      </w:r>
      <w:r w:rsidRPr="001B7F6D">
        <w:rPr>
          <w:rFonts w:ascii="Book Antiqua" w:hAnsi="Book Antiqua"/>
          <w:sz w:val="24"/>
          <w:szCs w:val="24"/>
        </w:rPr>
        <w:t xml:space="preserve">. The use of sedation in paediatrics is not without risk and has been associated with a 0.4% incidence of adverse respiratory </w:t>
      </w:r>
      <w:proofErr w:type="gramStart"/>
      <w:r w:rsidRPr="001B7F6D">
        <w:rPr>
          <w:rFonts w:ascii="Book Antiqua" w:hAnsi="Book Antiqua"/>
          <w:sz w:val="24"/>
          <w:szCs w:val="24"/>
        </w:rPr>
        <w:t>events</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11</w:t>
      </w:r>
      <w:r w:rsidR="00FE175D">
        <w:rPr>
          <w:rFonts w:ascii="Book Antiqua" w:hAnsi="Book Antiqua" w:hint="eastAsia"/>
          <w:sz w:val="24"/>
          <w:szCs w:val="24"/>
          <w:vertAlign w:val="superscript"/>
          <w:lang w:eastAsia="zh-CN"/>
        </w:rPr>
        <w:t>5</w:t>
      </w:r>
      <w:r w:rsidRPr="001B7F6D">
        <w:rPr>
          <w:rFonts w:ascii="Book Antiqua" w:hAnsi="Book Antiqua"/>
          <w:sz w:val="24"/>
          <w:szCs w:val="24"/>
          <w:vertAlign w:val="superscript"/>
        </w:rPr>
        <w:t>]</w:t>
      </w:r>
      <w:r w:rsidRPr="001B7F6D">
        <w:rPr>
          <w:rFonts w:ascii="Book Antiqua" w:hAnsi="Book Antiqua"/>
          <w:sz w:val="24"/>
          <w:szCs w:val="24"/>
        </w:rPr>
        <w:t xml:space="preserve">. Sedation protocols vary by institution, but guidelines are </w:t>
      </w:r>
      <w:proofErr w:type="gramStart"/>
      <w:r w:rsidRPr="001B7F6D">
        <w:rPr>
          <w:rFonts w:ascii="Book Antiqua" w:hAnsi="Book Antiqua"/>
          <w:sz w:val="24"/>
          <w:szCs w:val="24"/>
        </w:rPr>
        <w:t>available</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11</w:t>
      </w:r>
      <w:r w:rsidR="00FE175D">
        <w:rPr>
          <w:rFonts w:ascii="Book Antiqua" w:hAnsi="Book Antiqua" w:hint="eastAsia"/>
          <w:sz w:val="24"/>
          <w:szCs w:val="24"/>
          <w:vertAlign w:val="superscript"/>
          <w:lang w:eastAsia="zh-CN"/>
        </w:rPr>
        <w:t>6</w:t>
      </w:r>
      <w:r w:rsidRPr="001B7F6D">
        <w:rPr>
          <w:rFonts w:ascii="Book Antiqua" w:hAnsi="Book Antiqua"/>
          <w:sz w:val="24"/>
          <w:szCs w:val="24"/>
          <w:vertAlign w:val="superscript"/>
        </w:rPr>
        <w:t>,11</w:t>
      </w:r>
      <w:r w:rsidR="00FE175D">
        <w:rPr>
          <w:rFonts w:ascii="Book Antiqua" w:hAnsi="Book Antiqua" w:hint="eastAsia"/>
          <w:sz w:val="24"/>
          <w:szCs w:val="24"/>
          <w:vertAlign w:val="superscript"/>
          <w:lang w:eastAsia="zh-CN"/>
        </w:rPr>
        <w:t>7</w:t>
      </w:r>
      <w:r w:rsidRPr="001B7F6D">
        <w:rPr>
          <w:rFonts w:ascii="Book Antiqua" w:hAnsi="Book Antiqua"/>
          <w:sz w:val="24"/>
          <w:szCs w:val="24"/>
          <w:vertAlign w:val="superscript"/>
        </w:rPr>
        <w:t>]</w:t>
      </w:r>
      <w:r w:rsidRPr="001B7F6D">
        <w:rPr>
          <w:rFonts w:ascii="Book Antiqua" w:hAnsi="Book Antiqua"/>
          <w:sz w:val="24"/>
          <w:szCs w:val="24"/>
        </w:rPr>
        <w:t>.</w:t>
      </w:r>
    </w:p>
    <w:p w:rsidR="00E37287" w:rsidRPr="001B7F6D" w:rsidRDefault="00E37287" w:rsidP="001B7F6D">
      <w:pPr>
        <w:pStyle w:val="Body"/>
        <w:spacing w:line="360" w:lineRule="auto"/>
        <w:jc w:val="both"/>
        <w:rPr>
          <w:rFonts w:ascii="Book Antiqua" w:hAnsi="Book Antiqua"/>
          <w:sz w:val="24"/>
          <w:szCs w:val="24"/>
          <w:lang w:eastAsia="zh-CN"/>
        </w:rPr>
      </w:pPr>
    </w:p>
    <w:p w:rsidR="00E37287" w:rsidRPr="00D13633" w:rsidRDefault="00805F76" w:rsidP="001B7F6D">
      <w:pPr>
        <w:pStyle w:val="Body"/>
        <w:spacing w:line="360" w:lineRule="auto"/>
        <w:jc w:val="both"/>
        <w:rPr>
          <w:rFonts w:ascii="Book Antiqua" w:eastAsia="Palatino" w:hAnsi="Book Antiqua" w:cs="Palatino"/>
          <w:b/>
          <w:sz w:val="24"/>
          <w:szCs w:val="24"/>
        </w:rPr>
      </w:pPr>
      <w:r w:rsidRPr="00D13633">
        <w:rPr>
          <w:rFonts w:ascii="Book Antiqua" w:hAnsi="Book Antiqua"/>
          <w:b/>
          <w:sz w:val="24"/>
          <w:szCs w:val="24"/>
        </w:rPr>
        <w:t>COMMON PITFALLS</w:t>
      </w:r>
    </w:p>
    <w:p w:rsidR="00E37287" w:rsidRPr="001B7F6D" w:rsidRDefault="00805F76" w:rsidP="001B7F6D">
      <w:pPr>
        <w:pStyle w:val="Body"/>
        <w:spacing w:line="360" w:lineRule="auto"/>
        <w:jc w:val="both"/>
        <w:rPr>
          <w:rFonts w:ascii="Book Antiqua" w:eastAsia="Palatino" w:hAnsi="Book Antiqua" w:cs="Palatino"/>
          <w:sz w:val="24"/>
          <w:szCs w:val="24"/>
        </w:rPr>
      </w:pPr>
      <w:r w:rsidRPr="001B7F6D">
        <w:rPr>
          <w:rFonts w:ascii="Book Antiqua" w:hAnsi="Book Antiqua"/>
          <w:sz w:val="24"/>
          <w:szCs w:val="24"/>
        </w:rPr>
        <w:t xml:space="preserve">The accuracy of PET can vary depending on tumour type, location and scan timing in relation to treatment. Furthermore, variant patterns of physiologic FDG uptake often differ in children as compared </w:t>
      </w:r>
      <w:r w:rsidRPr="001B7F6D">
        <w:rPr>
          <w:rFonts w:ascii="Book Antiqua" w:hAnsi="Book Antiqua"/>
          <w:color w:val="131313"/>
          <w:sz w:val="24"/>
          <w:szCs w:val="24"/>
        </w:rPr>
        <w:t>with</w:t>
      </w:r>
      <w:r w:rsidRPr="001B7F6D">
        <w:rPr>
          <w:rFonts w:ascii="Book Antiqua" w:hAnsi="Book Antiqua"/>
          <w:sz w:val="24"/>
          <w:szCs w:val="24"/>
        </w:rPr>
        <w:t xml:space="preserve"> adults and may be mistakenly interpreted as disease. A thorough understanding of normal variant FDG uptake is therefore essential for accurate image interpretation, preventing unnecessary studies or procedures and improving patient care. Image co-registration with hybrid PET/CT systems is helpful in distinguishing normal variation from pathology through the precise localisation of functional data.</w:t>
      </w:r>
    </w:p>
    <w:p w:rsidR="00E37287" w:rsidRPr="001B7F6D" w:rsidRDefault="00805F76" w:rsidP="00D13633">
      <w:pPr>
        <w:pStyle w:val="Body"/>
        <w:spacing w:line="360" w:lineRule="auto"/>
        <w:ind w:firstLineChars="100" w:firstLine="240"/>
        <w:jc w:val="both"/>
        <w:rPr>
          <w:rFonts w:ascii="Book Antiqua" w:eastAsia="Palatino" w:hAnsi="Book Antiqua" w:cs="Palatino"/>
          <w:sz w:val="24"/>
          <w:szCs w:val="24"/>
        </w:rPr>
      </w:pPr>
      <w:r w:rsidRPr="001B7F6D">
        <w:rPr>
          <w:rFonts w:ascii="Book Antiqua" w:hAnsi="Book Antiqua"/>
          <w:sz w:val="24"/>
          <w:szCs w:val="24"/>
        </w:rPr>
        <w:t>Sites of physiologic FDG uptake that can differ in children as compared with adul</w:t>
      </w:r>
      <w:r w:rsidR="00D13633">
        <w:rPr>
          <w:rFonts w:ascii="Book Antiqua" w:hAnsi="Book Antiqua"/>
          <w:sz w:val="24"/>
          <w:szCs w:val="24"/>
        </w:rPr>
        <w:t xml:space="preserve">ts include brown adipose </w:t>
      </w:r>
      <w:proofErr w:type="gramStart"/>
      <w:r w:rsidR="00D13633">
        <w:rPr>
          <w:rFonts w:ascii="Book Antiqua" w:hAnsi="Book Antiqua"/>
          <w:sz w:val="24"/>
          <w:szCs w:val="24"/>
        </w:rPr>
        <w:t>tissue</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11</w:t>
      </w:r>
      <w:r w:rsidR="00FE175D">
        <w:rPr>
          <w:rFonts w:ascii="Book Antiqua" w:hAnsi="Book Antiqua" w:hint="eastAsia"/>
          <w:sz w:val="24"/>
          <w:szCs w:val="24"/>
          <w:vertAlign w:val="superscript"/>
          <w:lang w:eastAsia="zh-CN"/>
        </w:rPr>
        <w:t>8</w:t>
      </w:r>
      <w:r w:rsidRPr="001B7F6D">
        <w:rPr>
          <w:rFonts w:ascii="Book Antiqua" w:hAnsi="Book Antiqua"/>
          <w:sz w:val="24"/>
          <w:szCs w:val="24"/>
          <w:vertAlign w:val="superscript"/>
        </w:rPr>
        <w:t>,1</w:t>
      </w:r>
      <w:r w:rsidR="00FE175D">
        <w:rPr>
          <w:rFonts w:ascii="Book Antiqua" w:hAnsi="Book Antiqua" w:hint="eastAsia"/>
          <w:sz w:val="24"/>
          <w:szCs w:val="24"/>
          <w:vertAlign w:val="superscript"/>
          <w:lang w:eastAsia="zh-CN"/>
        </w:rPr>
        <w:t>19</w:t>
      </w:r>
      <w:r w:rsidRPr="001B7F6D">
        <w:rPr>
          <w:rFonts w:ascii="Book Antiqua" w:hAnsi="Book Antiqua"/>
          <w:sz w:val="24"/>
          <w:szCs w:val="24"/>
          <w:vertAlign w:val="superscript"/>
        </w:rPr>
        <w:t>]</w:t>
      </w:r>
      <w:r w:rsidR="00D13633">
        <w:rPr>
          <w:rFonts w:ascii="Book Antiqua" w:hAnsi="Book Antiqua"/>
          <w:sz w:val="24"/>
          <w:szCs w:val="24"/>
        </w:rPr>
        <w:t>, thymus</w:t>
      </w:r>
      <w:r w:rsidRPr="001B7F6D">
        <w:rPr>
          <w:rFonts w:ascii="Book Antiqua" w:hAnsi="Book Antiqua"/>
          <w:sz w:val="24"/>
          <w:szCs w:val="24"/>
          <w:vertAlign w:val="superscript"/>
        </w:rPr>
        <w:t>[12</w:t>
      </w:r>
      <w:r w:rsidR="00FE175D">
        <w:rPr>
          <w:rFonts w:ascii="Book Antiqua" w:hAnsi="Book Antiqua" w:hint="eastAsia"/>
          <w:sz w:val="24"/>
          <w:szCs w:val="24"/>
          <w:vertAlign w:val="superscript"/>
          <w:lang w:eastAsia="zh-CN"/>
        </w:rPr>
        <w:t>0</w:t>
      </w:r>
      <w:r w:rsidRPr="001B7F6D">
        <w:rPr>
          <w:rFonts w:ascii="Book Antiqua" w:hAnsi="Book Antiqua"/>
          <w:sz w:val="24"/>
          <w:szCs w:val="24"/>
          <w:vertAlign w:val="superscript"/>
        </w:rPr>
        <w:t>]</w:t>
      </w:r>
      <w:r w:rsidRPr="001B7F6D">
        <w:rPr>
          <w:rFonts w:ascii="Book Antiqua" w:hAnsi="Book Antiqua"/>
          <w:sz w:val="24"/>
          <w:szCs w:val="24"/>
        </w:rPr>
        <w:t>, brain</w:t>
      </w:r>
      <w:r w:rsidRPr="001B7F6D">
        <w:rPr>
          <w:rFonts w:ascii="Book Antiqua" w:hAnsi="Book Antiqua"/>
          <w:sz w:val="24"/>
          <w:szCs w:val="24"/>
          <w:vertAlign w:val="superscript"/>
        </w:rPr>
        <w:t>[12</w:t>
      </w:r>
      <w:r w:rsidR="00FE175D">
        <w:rPr>
          <w:rFonts w:ascii="Book Antiqua" w:hAnsi="Book Antiqua" w:hint="eastAsia"/>
          <w:sz w:val="24"/>
          <w:szCs w:val="24"/>
          <w:vertAlign w:val="superscript"/>
          <w:lang w:eastAsia="zh-CN"/>
        </w:rPr>
        <w:t>1</w:t>
      </w:r>
      <w:r w:rsidRPr="001B7F6D">
        <w:rPr>
          <w:rFonts w:ascii="Book Antiqua" w:hAnsi="Book Antiqua"/>
          <w:sz w:val="24"/>
          <w:szCs w:val="24"/>
          <w:vertAlign w:val="superscript"/>
        </w:rPr>
        <w:t>]</w:t>
      </w:r>
      <w:r w:rsidRPr="001B7F6D">
        <w:rPr>
          <w:rFonts w:ascii="Book Antiqua" w:hAnsi="Book Antiqua"/>
          <w:sz w:val="24"/>
          <w:szCs w:val="24"/>
        </w:rPr>
        <w:t xml:space="preserve"> and epiphyseal plates</w:t>
      </w:r>
      <w:r w:rsidRPr="001B7F6D">
        <w:rPr>
          <w:rFonts w:ascii="Book Antiqua" w:hAnsi="Book Antiqua"/>
          <w:sz w:val="24"/>
          <w:szCs w:val="24"/>
          <w:vertAlign w:val="superscript"/>
        </w:rPr>
        <w:t>[12</w:t>
      </w:r>
      <w:r w:rsidR="00FE175D">
        <w:rPr>
          <w:rFonts w:ascii="Book Antiqua" w:hAnsi="Book Antiqua" w:hint="eastAsia"/>
          <w:sz w:val="24"/>
          <w:szCs w:val="24"/>
          <w:vertAlign w:val="superscript"/>
          <w:lang w:eastAsia="zh-CN"/>
        </w:rPr>
        <w:t>2</w:t>
      </w:r>
      <w:r w:rsidRPr="001B7F6D">
        <w:rPr>
          <w:rFonts w:ascii="Book Antiqua" w:hAnsi="Book Antiqua"/>
          <w:sz w:val="24"/>
          <w:szCs w:val="24"/>
          <w:vertAlign w:val="superscript"/>
        </w:rPr>
        <w:t>]</w:t>
      </w:r>
      <w:r w:rsidRPr="001B7F6D">
        <w:rPr>
          <w:rFonts w:ascii="Book Antiqua" w:hAnsi="Book Antiqua"/>
          <w:sz w:val="24"/>
          <w:szCs w:val="24"/>
        </w:rPr>
        <w:t xml:space="preserve">. Each of these potential pitfalls to image interpretation is discussed below. Other potential sites of increased FDG uptake in the paediatric patient include the pharyngeal lymphatic tissue of Waldeyer’s ring, salivary glands and haematopoietic bone </w:t>
      </w:r>
      <w:proofErr w:type="gramStart"/>
      <w:r w:rsidRPr="001B7F6D">
        <w:rPr>
          <w:rFonts w:ascii="Book Antiqua" w:hAnsi="Book Antiqua"/>
          <w:sz w:val="24"/>
          <w:szCs w:val="24"/>
        </w:rPr>
        <w:t>marrow</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12</w:t>
      </w:r>
      <w:r w:rsidR="00FE175D">
        <w:rPr>
          <w:rFonts w:ascii="Book Antiqua" w:hAnsi="Book Antiqua" w:hint="eastAsia"/>
          <w:sz w:val="24"/>
          <w:szCs w:val="24"/>
          <w:vertAlign w:val="superscript"/>
          <w:lang w:eastAsia="zh-CN"/>
        </w:rPr>
        <w:t>3</w:t>
      </w:r>
      <w:r w:rsidRPr="001B7F6D">
        <w:rPr>
          <w:rFonts w:ascii="Book Antiqua" w:hAnsi="Book Antiqua"/>
          <w:sz w:val="24"/>
          <w:szCs w:val="24"/>
          <w:vertAlign w:val="superscript"/>
        </w:rPr>
        <w:t>]</w:t>
      </w:r>
      <w:r w:rsidRPr="001B7F6D">
        <w:rPr>
          <w:rFonts w:ascii="Book Antiqua" w:hAnsi="Book Antiqua"/>
          <w:sz w:val="24"/>
          <w:szCs w:val="24"/>
        </w:rPr>
        <w:t>. Additionally, paediatric patients suffer from a multitude of community acquired infections which may prompt intense reactive nodal avidity and thus mimic malignancy.</w:t>
      </w:r>
    </w:p>
    <w:p w:rsidR="00E37287" w:rsidRPr="001B7F6D" w:rsidRDefault="00E37287" w:rsidP="001B7F6D">
      <w:pPr>
        <w:pStyle w:val="Body"/>
        <w:spacing w:line="360" w:lineRule="auto"/>
        <w:jc w:val="both"/>
        <w:rPr>
          <w:rFonts w:ascii="Book Antiqua" w:eastAsia="Palatino" w:hAnsi="Book Antiqua" w:cs="Palatino"/>
          <w:sz w:val="24"/>
          <w:szCs w:val="24"/>
        </w:rPr>
      </w:pPr>
    </w:p>
    <w:p w:rsidR="00E37287" w:rsidRPr="00D13633" w:rsidRDefault="00805F76" w:rsidP="001B7F6D">
      <w:pPr>
        <w:pStyle w:val="Body"/>
        <w:spacing w:line="360" w:lineRule="auto"/>
        <w:jc w:val="both"/>
        <w:rPr>
          <w:rFonts w:ascii="Book Antiqua" w:eastAsia="Palatino" w:hAnsi="Book Antiqua" w:cs="Palatino"/>
          <w:b/>
          <w:i/>
          <w:sz w:val="24"/>
          <w:szCs w:val="24"/>
        </w:rPr>
      </w:pPr>
      <w:r w:rsidRPr="00D13633">
        <w:rPr>
          <w:rFonts w:ascii="Book Antiqua" w:hAnsi="Book Antiqua"/>
          <w:b/>
          <w:i/>
          <w:sz w:val="24"/>
          <w:szCs w:val="24"/>
        </w:rPr>
        <w:t xml:space="preserve">Brown </w:t>
      </w:r>
      <w:r w:rsidR="00D13633" w:rsidRPr="00D13633">
        <w:rPr>
          <w:rFonts w:ascii="Book Antiqua" w:hAnsi="Book Antiqua" w:hint="eastAsia"/>
          <w:b/>
          <w:i/>
          <w:sz w:val="24"/>
          <w:szCs w:val="24"/>
          <w:lang w:eastAsia="zh-CN"/>
        </w:rPr>
        <w:t>a</w:t>
      </w:r>
      <w:r w:rsidRPr="00D13633">
        <w:rPr>
          <w:rFonts w:ascii="Book Antiqua" w:hAnsi="Book Antiqua"/>
          <w:b/>
          <w:i/>
          <w:sz w:val="24"/>
          <w:szCs w:val="24"/>
        </w:rPr>
        <w:t xml:space="preserve">dipose </w:t>
      </w:r>
      <w:r w:rsidR="00D13633" w:rsidRPr="00D13633">
        <w:rPr>
          <w:rFonts w:ascii="Book Antiqua" w:hAnsi="Book Antiqua" w:hint="eastAsia"/>
          <w:b/>
          <w:i/>
          <w:sz w:val="24"/>
          <w:szCs w:val="24"/>
          <w:lang w:eastAsia="zh-CN"/>
        </w:rPr>
        <w:t>t</w:t>
      </w:r>
      <w:r w:rsidRPr="00D13633">
        <w:rPr>
          <w:rFonts w:ascii="Book Antiqua" w:hAnsi="Book Antiqua"/>
          <w:b/>
          <w:i/>
          <w:sz w:val="24"/>
          <w:szCs w:val="24"/>
        </w:rPr>
        <w:t>issue</w:t>
      </w:r>
    </w:p>
    <w:p w:rsidR="00E37287" w:rsidRPr="001B7F6D" w:rsidRDefault="00805F76" w:rsidP="001B7F6D">
      <w:pPr>
        <w:pStyle w:val="Body"/>
        <w:spacing w:line="360" w:lineRule="auto"/>
        <w:jc w:val="both"/>
        <w:rPr>
          <w:rFonts w:ascii="Book Antiqua" w:eastAsia="Palatino" w:hAnsi="Book Antiqua" w:cs="Palatino"/>
          <w:sz w:val="24"/>
          <w:szCs w:val="24"/>
        </w:rPr>
      </w:pPr>
      <w:r w:rsidRPr="001B7F6D">
        <w:rPr>
          <w:rFonts w:ascii="Book Antiqua" w:hAnsi="Book Antiqua"/>
          <w:sz w:val="24"/>
          <w:szCs w:val="24"/>
        </w:rPr>
        <w:t>Paediatric uptake of brown adipose tissue with</w:t>
      </w:r>
      <w:r w:rsidR="00D13633">
        <w:rPr>
          <w:rFonts w:ascii="Book Antiqua" w:hAnsi="Book Antiqua"/>
          <w:sz w:val="24"/>
          <w:szCs w:val="24"/>
        </w:rPr>
        <w:t xml:space="preserve"> FDG has recently been </w:t>
      </w:r>
      <w:proofErr w:type="gramStart"/>
      <w:r w:rsidR="00D13633">
        <w:rPr>
          <w:rFonts w:ascii="Book Antiqua" w:hAnsi="Book Antiqua"/>
          <w:sz w:val="24"/>
          <w:szCs w:val="24"/>
        </w:rPr>
        <w:t>reviewed</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12</w:t>
      </w:r>
      <w:r w:rsidR="00FE175D">
        <w:rPr>
          <w:rFonts w:ascii="Book Antiqua" w:hAnsi="Book Antiqua" w:hint="eastAsia"/>
          <w:sz w:val="24"/>
          <w:szCs w:val="24"/>
          <w:vertAlign w:val="superscript"/>
          <w:lang w:eastAsia="zh-CN"/>
        </w:rPr>
        <w:t>4</w:t>
      </w:r>
      <w:r w:rsidRPr="001B7F6D">
        <w:rPr>
          <w:rFonts w:ascii="Book Antiqua" w:hAnsi="Book Antiqua"/>
          <w:sz w:val="24"/>
          <w:szCs w:val="24"/>
          <w:vertAlign w:val="superscript"/>
        </w:rPr>
        <w:t>]</w:t>
      </w:r>
      <w:r w:rsidRPr="001B7F6D">
        <w:rPr>
          <w:rFonts w:ascii="Book Antiqua" w:hAnsi="Book Antiqua"/>
          <w:sz w:val="24"/>
          <w:szCs w:val="24"/>
        </w:rPr>
        <w:t xml:space="preserve">. The primary function of brown fat is non-shivering </w:t>
      </w:r>
      <w:proofErr w:type="gramStart"/>
      <w:r w:rsidRPr="001B7F6D">
        <w:rPr>
          <w:rFonts w:ascii="Book Antiqua" w:hAnsi="Book Antiqua"/>
          <w:sz w:val="24"/>
          <w:szCs w:val="24"/>
        </w:rPr>
        <w:t>thermatogenesis</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12</w:t>
      </w:r>
      <w:r w:rsidR="00FE175D">
        <w:rPr>
          <w:rFonts w:ascii="Book Antiqua" w:hAnsi="Book Antiqua" w:hint="eastAsia"/>
          <w:sz w:val="24"/>
          <w:szCs w:val="24"/>
          <w:vertAlign w:val="superscript"/>
          <w:lang w:eastAsia="zh-CN"/>
        </w:rPr>
        <w:t>5</w:t>
      </w:r>
      <w:r w:rsidRPr="001B7F6D">
        <w:rPr>
          <w:rFonts w:ascii="Book Antiqua" w:hAnsi="Book Antiqua"/>
          <w:sz w:val="24"/>
          <w:szCs w:val="24"/>
          <w:vertAlign w:val="superscript"/>
        </w:rPr>
        <w:t>]</w:t>
      </w:r>
      <w:r w:rsidRPr="001B7F6D">
        <w:rPr>
          <w:rFonts w:ascii="Book Antiqua" w:hAnsi="Book Antiqua"/>
          <w:sz w:val="24"/>
          <w:szCs w:val="24"/>
        </w:rPr>
        <w:t xml:space="preserve">. This metabolic process involves expression of mitochondrial uncoupling proteins, including UCP-1, which separate oxidative phosphorylation from ATP synthesis and thereby generate energy dissipated as </w:t>
      </w:r>
      <w:proofErr w:type="gramStart"/>
      <w:r w:rsidRPr="001B7F6D">
        <w:rPr>
          <w:rFonts w:ascii="Book Antiqua" w:hAnsi="Book Antiqua"/>
          <w:sz w:val="24"/>
          <w:szCs w:val="24"/>
        </w:rPr>
        <w:t>heat</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12</w:t>
      </w:r>
      <w:r w:rsidR="00FE175D">
        <w:rPr>
          <w:rFonts w:ascii="Book Antiqua" w:hAnsi="Book Antiqua" w:hint="eastAsia"/>
          <w:sz w:val="24"/>
          <w:szCs w:val="24"/>
          <w:vertAlign w:val="superscript"/>
          <w:lang w:eastAsia="zh-CN"/>
        </w:rPr>
        <w:t>6</w:t>
      </w:r>
      <w:r w:rsidRPr="001B7F6D">
        <w:rPr>
          <w:rFonts w:ascii="Book Antiqua" w:hAnsi="Book Antiqua"/>
          <w:sz w:val="24"/>
          <w:szCs w:val="24"/>
          <w:vertAlign w:val="superscript"/>
        </w:rPr>
        <w:t>]</w:t>
      </w:r>
      <w:r w:rsidRPr="001B7F6D">
        <w:rPr>
          <w:rFonts w:ascii="Book Antiqua" w:hAnsi="Book Antiqua"/>
          <w:sz w:val="24"/>
          <w:szCs w:val="24"/>
        </w:rPr>
        <w:t>.</w:t>
      </w:r>
    </w:p>
    <w:p w:rsidR="00E37287" w:rsidRPr="001B7F6D" w:rsidRDefault="00805F76" w:rsidP="00D13633">
      <w:pPr>
        <w:pStyle w:val="Body"/>
        <w:spacing w:line="360" w:lineRule="auto"/>
        <w:ind w:firstLineChars="100" w:firstLine="240"/>
        <w:jc w:val="both"/>
        <w:rPr>
          <w:rFonts w:ascii="Book Antiqua" w:eastAsia="Palatino" w:hAnsi="Book Antiqua" w:cs="Palatino"/>
          <w:sz w:val="24"/>
          <w:szCs w:val="24"/>
        </w:rPr>
      </w:pPr>
      <w:r w:rsidRPr="001B7F6D">
        <w:rPr>
          <w:rFonts w:ascii="Book Antiqua" w:hAnsi="Book Antiqua"/>
          <w:sz w:val="24"/>
          <w:szCs w:val="24"/>
        </w:rPr>
        <w:t xml:space="preserve">Brown fat FDG uptake has been reported in up to 20% of children and adolescents, but is a rare occurrence among </w:t>
      </w:r>
      <w:proofErr w:type="gramStart"/>
      <w:r w:rsidRPr="001B7F6D">
        <w:rPr>
          <w:rFonts w:ascii="Book Antiqua" w:hAnsi="Book Antiqua"/>
          <w:sz w:val="24"/>
          <w:szCs w:val="24"/>
        </w:rPr>
        <w:t>adults</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w:t>
      </w:r>
      <w:r w:rsidR="00FE175D">
        <w:rPr>
          <w:rFonts w:ascii="Book Antiqua" w:hAnsi="Book Antiqua" w:hint="eastAsia"/>
          <w:sz w:val="24"/>
          <w:szCs w:val="24"/>
          <w:vertAlign w:val="superscript"/>
          <w:lang w:eastAsia="zh-CN"/>
        </w:rPr>
        <w:t>19</w:t>
      </w:r>
      <w:r w:rsidRPr="001B7F6D">
        <w:rPr>
          <w:rFonts w:ascii="Book Antiqua" w:hAnsi="Book Antiqua"/>
          <w:sz w:val="24"/>
          <w:szCs w:val="24"/>
          <w:vertAlign w:val="superscript"/>
        </w:rPr>
        <w:t>,12</w:t>
      </w:r>
      <w:r w:rsidR="00FE175D">
        <w:rPr>
          <w:rFonts w:ascii="Book Antiqua" w:hAnsi="Book Antiqua" w:hint="eastAsia"/>
          <w:sz w:val="24"/>
          <w:szCs w:val="24"/>
          <w:vertAlign w:val="superscript"/>
          <w:lang w:eastAsia="zh-CN"/>
        </w:rPr>
        <w:t>4</w:t>
      </w:r>
      <w:r w:rsidRPr="001B7F6D">
        <w:rPr>
          <w:rFonts w:ascii="Book Antiqua" w:hAnsi="Book Antiqua"/>
          <w:sz w:val="24"/>
          <w:szCs w:val="24"/>
          <w:vertAlign w:val="superscript"/>
        </w:rPr>
        <w:t>]</w:t>
      </w:r>
      <w:r w:rsidRPr="001B7F6D">
        <w:rPr>
          <w:rFonts w:ascii="Book Antiqua" w:hAnsi="Book Antiqua"/>
          <w:sz w:val="24"/>
          <w:szCs w:val="24"/>
        </w:rPr>
        <w:t xml:space="preserve">. Uptake is usually distributed symmetrically </w:t>
      </w:r>
      <w:r w:rsidRPr="001B7F6D">
        <w:rPr>
          <w:rFonts w:ascii="Book Antiqua" w:hAnsi="Book Antiqua"/>
          <w:sz w:val="24"/>
          <w:szCs w:val="24"/>
        </w:rPr>
        <w:lastRenderedPageBreak/>
        <w:t xml:space="preserve">within the neck and supraclavicular regions, axillae, paraspinal regions of the posterior mediastinum, adjacent to the adrenal glands and upper abdominal wall (Figure 6). Such uptake may mimic malignancy or obscure pathological </w:t>
      </w:r>
      <w:proofErr w:type="gramStart"/>
      <w:r w:rsidRPr="001B7F6D">
        <w:rPr>
          <w:rFonts w:ascii="Book Antiqua" w:hAnsi="Book Antiqua"/>
          <w:sz w:val="24"/>
          <w:szCs w:val="24"/>
        </w:rPr>
        <w:t>lesions</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w:t>
      </w:r>
      <w:r w:rsidR="00FE175D">
        <w:rPr>
          <w:rFonts w:ascii="Book Antiqua" w:hAnsi="Book Antiqua" w:hint="eastAsia"/>
          <w:sz w:val="24"/>
          <w:szCs w:val="24"/>
          <w:vertAlign w:val="superscript"/>
          <w:lang w:eastAsia="zh-CN"/>
        </w:rPr>
        <w:t>19</w:t>
      </w:r>
      <w:r w:rsidRPr="001B7F6D">
        <w:rPr>
          <w:rFonts w:ascii="Book Antiqua" w:hAnsi="Book Antiqua"/>
          <w:sz w:val="24"/>
          <w:szCs w:val="24"/>
          <w:vertAlign w:val="superscript"/>
        </w:rPr>
        <w:t>,12</w:t>
      </w:r>
      <w:r w:rsidR="00FE175D">
        <w:rPr>
          <w:rFonts w:ascii="Book Antiqua" w:hAnsi="Book Antiqua" w:hint="eastAsia"/>
          <w:sz w:val="24"/>
          <w:szCs w:val="24"/>
          <w:vertAlign w:val="superscript"/>
          <w:lang w:eastAsia="zh-CN"/>
        </w:rPr>
        <w:t>7</w:t>
      </w:r>
      <w:r w:rsidRPr="001B7F6D">
        <w:rPr>
          <w:rFonts w:ascii="Book Antiqua" w:hAnsi="Book Antiqua"/>
          <w:sz w:val="24"/>
          <w:szCs w:val="24"/>
          <w:vertAlign w:val="superscript"/>
        </w:rPr>
        <w:t>]</w:t>
      </w:r>
      <w:r w:rsidRPr="001B7F6D">
        <w:rPr>
          <w:rFonts w:ascii="Book Antiqua" w:hAnsi="Book Antiqua"/>
          <w:sz w:val="24"/>
          <w:szCs w:val="24"/>
        </w:rPr>
        <w:t xml:space="preserve">. This is particularly true for paediatric lymphoma patients, as brown fat is located adjacent to regions commonly involved in the disease. </w:t>
      </w:r>
    </w:p>
    <w:p w:rsidR="00E37287" w:rsidRPr="001B7F6D" w:rsidRDefault="00805F76" w:rsidP="00D13633">
      <w:pPr>
        <w:pStyle w:val="Body"/>
        <w:spacing w:line="360" w:lineRule="auto"/>
        <w:ind w:firstLineChars="100" w:firstLine="240"/>
        <w:jc w:val="both"/>
        <w:rPr>
          <w:rFonts w:ascii="Book Antiqua" w:eastAsia="Palatino" w:hAnsi="Book Antiqua" w:cs="Palatino"/>
          <w:sz w:val="24"/>
          <w:szCs w:val="24"/>
        </w:rPr>
      </w:pPr>
      <w:r w:rsidRPr="001B7F6D">
        <w:rPr>
          <w:rFonts w:ascii="Book Antiqua" w:hAnsi="Book Antiqua"/>
          <w:sz w:val="24"/>
          <w:szCs w:val="24"/>
        </w:rPr>
        <w:t>Significant reductions in brown fat tracer uptake are made possible by controlling the environmental temperature and stress levels of the patient prior to injection and</w:t>
      </w:r>
      <w:r w:rsidR="00D13633">
        <w:rPr>
          <w:rFonts w:ascii="Book Antiqua" w:hAnsi="Book Antiqua"/>
          <w:sz w:val="24"/>
          <w:szCs w:val="24"/>
        </w:rPr>
        <w:t xml:space="preserve"> during the tracer uptake </w:t>
      </w:r>
      <w:proofErr w:type="gramStart"/>
      <w:r w:rsidR="00D13633">
        <w:rPr>
          <w:rFonts w:ascii="Book Antiqua" w:hAnsi="Book Antiqua"/>
          <w:sz w:val="24"/>
          <w:szCs w:val="24"/>
        </w:rPr>
        <w:t>phase</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12</w:t>
      </w:r>
      <w:r w:rsidR="00FE175D">
        <w:rPr>
          <w:rFonts w:ascii="Book Antiqua" w:hAnsi="Book Antiqua" w:hint="eastAsia"/>
          <w:sz w:val="24"/>
          <w:szCs w:val="24"/>
          <w:vertAlign w:val="superscript"/>
          <w:lang w:eastAsia="zh-CN"/>
        </w:rPr>
        <w:t>8</w:t>
      </w:r>
      <w:r w:rsidRPr="001B7F6D">
        <w:rPr>
          <w:rFonts w:ascii="Book Antiqua" w:hAnsi="Book Antiqua"/>
          <w:sz w:val="24"/>
          <w:szCs w:val="24"/>
          <w:vertAlign w:val="superscript"/>
        </w:rPr>
        <w:t>]</w:t>
      </w:r>
      <w:r w:rsidRPr="001B7F6D">
        <w:rPr>
          <w:rFonts w:ascii="Book Antiqua" w:hAnsi="Book Antiqua"/>
          <w:sz w:val="24"/>
          <w:szCs w:val="24"/>
        </w:rPr>
        <w:t>. Additional blankets are often employed to provide further increases in warmth. In addition, the administration of oral diazepam may reduce brown fat uptake and i</w:t>
      </w:r>
      <w:r w:rsidR="00D13633">
        <w:rPr>
          <w:rFonts w:ascii="Book Antiqua" w:hAnsi="Book Antiqua"/>
          <w:sz w:val="24"/>
          <w:szCs w:val="24"/>
        </w:rPr>
        <w:t xml:space="preserve">s recommended by several </w:t>
      </w:r>
      <w:proofErr w:type="gramStart"/>
      <w:r w:rsidR="00D13633">
        <w:rPr>
          <w:rFonts w:ascii="Book Antiqua" w:hAnsi="Book Antiqua"/>
          <w:sz w:val="24"/>
          <w:szCs w:val="24"/>
        </w:rPr>
        <w:t>groups</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w:t>
      </w:r>
      <w:r w:rsidR="00FE175D">
        <w:rPr>
          <w:rFonts w:ascii="Book Antiqua" w:hAnsi="Book Antiqua" w:hint="eastAsia"/>
          <w:sz w:val="24"/>
          <w:szCs w:val="24"/>
          <w:vertAlign w:val="superscript"/>
          <w:lang w:eastAsia="zh-CN"/>
        </w:rPr>
        <w:t>29</w:t>
      </w:r>
      <w:r w:rsidRPr="001B7F6D">
        <w:rPr>
          <w:rFonts w:ascii="Book Antiqua" w:hAnsi="Book Antiqua"/>
          <w:sz w:val="24"/>
          <w:szCs w:val="24"/>
          <w:vertAlign w:val="superscript"/>
        </w:rPr>
        <w:t>]</w:t>
      </w:r>
      <w:r w:rsidRPr="001B7F6D">
        <w:rPr>
          <w:rFonts w:ascii="Book Antiqua" w:hAnsi="Book Antiqua"/>
          <w:sz w:val="24"/>
          <w:szCs w:val="24"/>
        </w:rPr>
        <w:t>.</w:t>
      </w:r>
      <w:r w:rsidR="00D13633">
        <w:rPr>
          <w:rFonts w:ascii="Book Antiqua" w:hAnsi="Book Antiqua"/>
          <w:sz w:val="24"/>
          <w:szCs w:val="24"/>
        </w:rPr>
        <w:t xml:space="preserve"> Beta blockade with </w:t>
      </w:r>
      <w:proofErr w:type="gramStart"/>
      <w:r w:rsidR="00D13633">
        <w:rPr>
          <w:rFonts w:ascii="Book Antiqua" w:hAnsi="Book Antiqua"/>
          <w:sz w:val="24"/>
          <w:szCs w:val="24"/>
        </w:rPr>
        <w:t>propranolol</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13</w:t>
      </w:r>
      <w:r w:rsidR="00FE175D">
        <w:rPr>
          <w:rFonts w:ascii="Book Antiqua" w:hAnsi="Book Antiqua" w:hint="eastAsia"/>
          <w:sz w:val="24"/>
          <w:szCs w:val="24"/>
          <w:vertAlign w:val="superscript"/>
          <w:lang w:eastAsia="zh-CN"/>
        </w:rPr>
        <w:t>0</w:t>
      </w:r>
      <w:r w:rsidRPr="001B7F6D">
        <w:rPr>
          <w:rFonts w:ascii="Book Antiqua" w:hAnsi="Book Antiqua"/>
          <w:sz w:val="24"/>
          <w:szCs w:val="24"/>
          <w:vertAlign w:val="superscript"/>
        </w:rPr>
        <w:t>]</w:t>
      </w:r>
      <w:r w:rsidR="00D13633">
        <w:rPr>
          <w:rFonts w:ascii="Book Antiqua" w:hAnsi="Book Antiqua"/>
          <w:sz w:val="24"/>
          <w:szCs w:val="24"/>
        </w:rPr>
        <w:t xml:space="preserve"> or intravenous fentanyl</w:t>
      </w:r>
      <w:r w:rsidRPr="001B7F6D">
        <w:rPr>
          <w:rFonts w:ascii="Book Antiqua" w:hAnsi="Book Antiqua"/>
          <w:sz w:val="24"/>
          <w:szCs w:val="24"/>
          <w:vertAlign w:val="superscript"/>
        </w:rPr>
        <w:t>[13</w:t>
      </w:r>
      <w:r w:rsidR="00FE175D">
        <w:rPr>
          <w:rFonts w:ascii="Book Antiqua" w:hAnsi="Book Antiqua" w:hint="eastAsia"/>
          <w:sz w:val="24"/>
          <w:szCs w:val="24"/>
          <w:vertAlign w:val="superscript"/>
          <w:lang w:eastAsia="zh-CN"/>
        </w:rPr>
        <w:t>1</w:t>
      </w:r>
      <w:r w:rsidRPr="001B7F6D">
        <w:rPr>
          <w:rFonts w:ascii="Book Antiqua" w:hAnsi="Book Antiqua"/>
          <w:sz w:val="24"/>
          <w:szCs w:val="24"/>
          <w:vertAlign w:val="superscript"/>
        </w:rPr>
        <w:t>]</w:t>
      </w:r>
      <w:r w:rsidRPr="001B7F6D">
        <w:rPr>
          <w:rFonts w:ascii="Book Antiqua" w:hAnsi="Book Antiqua"/>
          <w:sz w:val="24"/>
          <w:szCs w:val="24"/>
        </w:rPr>
        <w:t xml:space="preserve"> has also been advocated by some. Image co-registration with PET/CT is helpful to distinguish brown adipose tissue from pa</w:t>
      </w:r>
      <w:r w:rsidR="00D13633">
        <w:rPr>
          <w:rFonts w:ascii="Book Antiqua" w:hAnsi="Book Antiqua"/>
          <w:sz w:val="24"/>
          <w:szCs w:val="24"/>
        </w:rPr>
        <w:t xml:space="preserve">thological causes of FDG </w:t>
      </w:r>
      <w:proofErr w:type="gramStart"/>
      <w:r w:rsidR="00D13633">
        <w:rPr>
          <w:rFonts w:ascii="Book Antiqua" w:hAnsi="Book Antiqua"/>
          <w:sz w:val="24"/>
          <w:szCs w:val="24"/>
        </w:rPr>
        <w:t>uptake</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12</w:t>
      </w:r>
      <w:r w:rsidR="00FE175D">
        <w:rPr>
          <w:rFonts w:ascii="Book Antiqua" w:hAnsi="Book Antiqua" w:hint="eastAsia"/>
          <w:sz w:val="24"/>
          <w:szCs w:val="24"/>
          <w:vertAlign w:val="superscript"/>
          <w:lang w:eastAsia="zh-CN"/>
        </w:rPr>
        <w:t>7</w:t>
      </w:r>
      <w:r w:rsidRPr="001B7F6D">
        <w:rPr>
          <w:rFonts w:ascii="Book Antiqua" w:hAnsi="Book Antiqua"/>
          <w:sz w:val="24"/>
          <w:szCs w:val="24"/>
          <w:vertAlign w:val="superscript"/>
        </w:rPr>
        <w:t>]</w:t>
      </w:r>
      <w:r w:rsidRPr="001B7F6D">
        <w:rPr>
          <w:rFonts w:ascii="Book Antiqua" w:hAnsi="Book Antiqua"/>
          <w:sz w:val="24"/>
          <w:szCs w:val="24"/>
        </w:rPr>
        <w:t>.</w:t>
      </w:r>
    </w:p>
    <w:p w:rsidR="00E37287" w:rsidRPr="001B7F6D" w:rsidRDefault="00E37287" w:rsidP="001B7F6D">
      <w:pPr>
        <w:pStyle w:val="Body"/>
        <w:spacing w:line="360" w:lineRule="auto"/>
        <w:jc w:val="both"/>
        <w:rPr>
          <w:rFonts w:ascii="Book Antiqua" w:eastAsia="Palatino" w:hAnsi="Book Antiqua" w:cs="Palatino"/>
          <w:sz w:val="24"/>
          <w:szCs w:val="24"/>
        </w:rPr>
      </w:pPr>
    </w:p>
    <w:p w:rsidR="00E37287" w:rsidRPr="00D13633" w:rsidRDefault="00805F76" w:rsidP="001B7F6D">
      <w:pPr>
        <w:pStyle w:val="Body"/>
        <w:spacing w:line="360" w:lineRule="auto"/>
        <w:jc w:val="both"/>
        <w:rPr>
          <w:rFonts w:ascii="Book Antiqua" w:eastAsia="Palatino" w:hAnsi="Book Antiqua" w:cs="Palatino"/>
          <w:b/>
          <w:i/>
          <w:sz w:val="24"/>
          <w:szCs w:val="24"/>
        </w:rPr>
      </w:pPr>
      <w:r w:rsidRPr="00D13633">
        <w:rPr>
          <w:rFonts w:ascii="Book Antiqua" w:hAnsi="Book Antiqua"/>
          <w:b/>
          <w:i/>
          <w:sz w:val="24"/>
          <w:szCs w:val="24"/>
        </w:rPr>
        <w:t>Thymus</w:t>
      </w:r>
    </w:p>
    <w:p w:rsidR="00E37287" w:rsidRPr="001B7F6D" w:rsidRDefault="00805F76" w:rsidP="001B7F6D">
      <w:pPr>
        <w:pStyle w:val="Body"/>
        <w:spacing w:line="360" w:lineRule="auto"/>
        <w:jc w:val="both"/>
        <w:rPr>
          <w:rFonts w:ascii="Book Antiqua" w:eastAsia="Palatino" w:hAnsi="Book Antiqua" w:cs="Palatino"/>
          <w:sz w:val="24"/>
          <w:szCs w:val="24"/>
        </w:rPr>
      </w:pPr>
      <w:r w:rsidRPr="001B7F6D">
        <w:rPr>
          <w:rFonts w:ascii="Book Antiqua" w:hAnsi="Book Antiqua"/>
          <w:sz w:val="24"/>
          <w:szCs w:val="24"/>
        </w:rPr>
        <w:t>FDG-avid thymic tissue has been demonstrated in 34% of healthy young adults on screenin</w:t>
      </w:r>
      <w:r w:rsidR="00D13633">
        <w:rPr>
          <w:rFonts w:ascii="Book Antiqua" w:hAnsi="Book Antiqua"/>
          <w:sz w:val="24"/>
          <w:szCs w:val="24"/>
        </w:rPr>
        <w:t xml:space="preserve">g PET </w:t>
      </w:r>
      <w:proofErr w:type="gramStart"/>
      <w:r w:rsidR="00D13633">
        <w:rPr>
          <w:rFonts w:ascii="Book Antiqua" w:hAnsi="Book Antiqua"/>
          <w:sz w:val="24"/>
          <w:szCs w:val="24"/>
        </w:rPr>
        <w:t>scans</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13</w:t>
      </w:r>
      <w:r w:rsidR="00FE175D">
        <w:rPr>
          <w:rFonts w:ascii="Book Antiqua" w:hAnsi="Book Antiqua" w:hint="eastAsia"/>
          <w:sz w:val="24"/>
          <w:szCs w:val="24"/>
          <w:vertAlign w:val="superscript"/>
          <w:lang w:eastAsia="zh-CN"/>
        </w:rPr>
        <w:t>2</w:t>
      </w:r>
      <w:r w:rsidRPr="001B7F6D">
        <w:rPr>
          <w:rFonts w:ascii="Book Antiqua" w:hAnsi="Book Antiqua"/>
          <w:sz w:val="24"/>
          <w:szCs w:val="24"/>
          <w:vertAlign w:val="superscript"/>
        </w:rPr>
        <w:t>]</w:t>
      </w:r>
      <w:r w:rsidRPr="001B7F6D">
        <w:rPr>
          <w:rFonts w:ascii="Book Antiqua" w:hAnsi="Book Antiqua"/>
          <w:sz w:val="24"/>
          <w:szCs w:val="24"/>
        </w:rPr>
        <w:t xml:space="preserve">. Among paediatric oncology patients thymic uptake is observed in around 75% of cases irrespective of whether chemotherapy has been </w:t>
      </w:r>
      <w:proofErr w:type="gramStart"/>
      <w:r w:rsidRPr="001B7F6D">
        <w:rPr>
          <w:rFonts w:ascii="Book Antiqua" w:hAnsi="Book Antiqua"/>
          <w:sz w:val="24"/>
          <w:szCs w:val="24"/>
        </w:rPr>
        <w:t>administered</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12</w:t>
      </w:r>
      <w:r w:rsidR="00FE175D">
        <w:rPr>
          <w:rFonts w:ascii="Book Antiqua" w:hAnsi="Book Antiqua" w:hint="eastAsia"/>
          <w:sz w:val="24"/>
          <w:szCs w:val="24"/>
          <w:vertAlign w:val="superscript"/>
          <w:lang w:eastAsia="zh-CN"/>
        </w:rPr>
        <w:t>0</w:t>
      </w:r>
      <w:r w:rsidRPr="001B7F6D">
        <w:rPr>
          <w:rFonts w:ascii="Book Antiqua" w:hAnsi="Book Antiqua"/>
          <w:sz w:val="24"/>
          <w:szCs w:val="24"/>
          <w:vertAlign w:val="superscript"/>
        </w:rPr>
        <w:t>]</w:t>
      </w:r>
      <w:r w:rsidRPr="001B7F6D">
        <w:rPr>
          <w:rFonts w:ascii="Book Antiqua" w:hAnsi="Book Antiqua"/>
          <w:sz w:val="24"/>
          <w:szCs w:val="24"/>
        </w:rPr>
        <w:t>. The increased activity among paediatric oncology patients is thought to be due to reactive thymic hyperplasia secondary to stress, infection or treatment. These changes may appear late and can persist for many months following the completion of treatment.</w:t>
      </w:r>
    </w:p>
    <w:p w:rsidR="00E37287" w:rsidRPr="001B7F6D" w:rsidRDefault="00805F76" w:rsidP="00D13633">
      <w:pPr>
        <w:pStyle w:val="Body"/>
        <w:spacing w:line="360" w:lineRule="auto"/>
        <w:ind w:firstLineChars="100" w:firstLine="240"/>
        <w:jc w:val="both"/>
        <w:rPr>
          <w:rFonts w:ascii="Book Antiqua" w:eastAsia="Palatino" w:hAnsi="Book Antiqua" w:cs="Palatino"/>
          <w:sz w:val="24"/>
          <w:szCs w:val="24"/>
        </w:rPr>
      </w:pPr>
      <w:r w:rsidRPr="001B7F6D">
        <w:rPr>
          <w:rFonts w:ascii="Book Antiqua" w:hAnsi="Book Antiqua"/>
          <w:sz w:val="24"/>
          <w:szCs w:val="24"/>
        </w:rPr>
        <w:t>Familiarity with normal appearances is essential to distinguish between physiologic thymic uptake and active disease in the mediastinum. This is particularly important in children with potentially curable diseases such as lymphoma, as they may often have residual non-malignant tissue in the mediastinum following treatment. The normal pattern of thymic uptake is a homogenous lambda-shaped structure in the anterior mediastinum, although multiple variants are seen (Figure 7). Very intense or heterogenous uptake raises suspicion for thymic or oth</w:t>
      </w:r>
      <w:r w:rsidR="00D13633">
        <w:rPr>
          <w:rFonts w:ascii="Book Antiqua" w:hAnsi="Book Antiqua"/>
          <w:sz w:val="24"/>
          <w:szCs w:val="24"/>
        </w:rPr>
        <w:t xml:space="preserve">er anterior mediastinal </w:t>
      </w:r>
      <w:proofErr w:type="gramStart"/>
      <w:r w:rsidR="00D13633">
        <w:rPr>
          <w:rFonts w:ascii="Book Antiqua" w:hAnsi="Book Antiqua"/>
          <w:sz w:val="24"/>
          <w:szCs w:val="24"/>
        </w:rPr>
        <w:t>disease</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13</w:t>
      </w:r>
      <w:r w:rsidR="00FE175D">
        <w:rPr>
          <w:rFonts w:ascii="Book Antiqua" w:hAnsi="Book Antiqua" w:hint="eastAsia"/>
          <w:sz w:val="24"/>
          <w:szCs w:val="24"/>
          <w:vertAlign w:val="superscript"/>
          <w:lang w:eastAsia="zh-CN"/>
        </w:rPr>
        <w:t>3</w:t>
      </w:r>
      <w:r w:rsidRPr="001B7F6D">
        <w:rPr>
          <w:rFonts w:ascii="Book Antiqua" w:hAnsi="Book Antiqua"/>
          <w:sz w:val="24"/>
          <w:szCs w:val="24"/>
          <w:vertAlign w:val="superscript"/>
        </w:rPr>
        <w:t>]</w:t>
      </w:r>
      <w:r w:rsidRPr="001B7F6D">
        <w:rPr>
          <w:rFonts w:ascii="Book Antiqua" w:hAnsi="Book Antiqua"/>
          <w:sz w:val="24"/>
          <w:szCs w:val="24"/>
        </w:rPr>
        <w:t xml:space="preserve"> (Figure 8).</w:t>
      </w:r>
    </w:p>
    <w:p w:rsidR="00E37287" w:rsidRPr="001B7F6D" w:rsidRDefault="00E37287" w:rsidP="001B7F6D">
      <w:pPr>
        <w:pStyle w:val="Body"/>
        <w:spacing w:line="360" w:lineRule="auto"/>
        <w:jc w:val="both"/>
        <w:rPr>
          <w:rFonts w:ascii="Book Antiqua" w:eastAsia="Palatino" w:hAnsi="Book Antiqua" w:cs="Palatino"/>
          <w:sz w:val="24"/>
          <w:szCs w:val="24"/>
        </w:rPr>
      </w:pPr>
    </w:p>
    <w:p w:rsidR="00E37287" w:rsidRPr="00D13633" w:rsidRDefault="00805F76" w:rsidP="001B7F6D">
      <w:pPr>
        <w:pStyle w:val="Body"/>
        <w:spacing w:line="360" w:lineRule="auto"/>
        <w:jc w:val="both"/>
        <w:rPr>
          <w:rFonts w:ascii="Book Antiqua" w:eastAsia="Palatino" w:hAnsi="Book Antiqua" w:cs="Palatino"/>
          <w:b/>
          <w:i/>
          <w:sz w:val="24"/>
          <w:szCs w:val="24"/>
        </w:rPr>
      </w:pPr>
      <w:r w:rsidRPr="00D13633">
        <w:rPr>
          <w:rFonts w:ascii="Book Antiqua" w:hAnsi="Book Antiqua"/>
          <w:b/>
          <w:i/>
          <w:sz w:val="24"/>
          <w:szCs w:val="24"/>
        </w:rPr>
        <w:t>Brain</w:t>
      </w:r>
    </w:p>
    <w:p w:rsidR="00E37287" w:rsidRPr="001B7F6D" w:rsidRDefault="00805F76" w:rsidP="001B7F6D">
      <w:pPr>
        <w:pStyle w:val="Body"/>
        <w:spacing w:line="360" w:lineRule="auto"/>
        <w:jc w:val="both"/>
        <w:rPr>
          <w:rFonts w:ascii="Book Antiqua" w:eastAsia="Palatino" w:hAnsi="Book Antiqua" w:cs="Palatino"/>
          <w:sz w:val="24"/>
          <w:szCs w:val="24"/>
        </w:rPr>
      </w:pPr>
      <w:r w:rsidRPr="001B7F6D">
        <w:rPr>
          <w:rFonts w:ascii="Book Antiqua" w:hAnsi="Book Antiqua"/>
          <w:sz w:val="24"/>
          <w:szCs w:val="24"/>
        </w:rPr>
        <w:t xml:space="preserve">It is important to recognise maturational changes in cerebral glucose metabolism to allow the identification of pathological alterations. A recent study describing cerebral FDG </w:t>
      </w:r>
      <w:r w:rsidRPr="001B7F6D">
        <w:rPr>
          <w:rFonts w:ascii="Book Antiqua" w:hAnsi="Book Antiqua"/>
          <w:sz w:val="24"/>
          <w:szCs w:val="24"/>
        </w:rPr>
        <w:lastRenderedPageBreak/>
        <w:t>uptake in children demonstrated that all cerebral regions show increasing avidity with age, with rates of c</w:t>
      </w:r>
      <w:r w:rsidR="00D13633">
        <w:rPr>
          <w:rFonts w:ascii="Book Antiqua" w:hAnsi="Book Antiqua"/>
          <w:sz w:val="24"/>
          <w:szCs w:val="24"/>
        </w:rPr>
        <w:t>hange being regionally specific</w:t>
      </w:r>
      <w:r w:rsidRPr="001B7F6D">
        <w:rPr>
          <w:rFonts w:ascii="Book Antiqua" w:hAnsi="Book Antiqua"/>
          <w:sz w:val="24"/>
          <w:szCs w:val="24"/>
          <w:vertAlign w:val="superscript"/>
        </w:rPr>
        <w:t>[12</w:t>
      </w:r>
      <w:r w:rsidR="00FE175D">
        <w:rPr>
          <w:rFonts w:ascii="Book Antiqua" w:hAnsi="Book Antiqua" w:hint="eastAsia"/>
          <w:sz w:val="24"/>
          <w:szCs w:val="24"/>
          <w:vertAlign w:val="superscript"/>
          <w:lang w:eastAsia="zh-CN"/>
        </w:rPr>
        <w:t>1</w:t>
      </w:r>
      <w:r w:rsidRPr="001B7F6D">
        <w:rPr>
          <w:rFonts w:ascii="Book Antiqua" w:hAnsi="Book Antiqua"/>
          <w:sz w:val="24"/>
          <w:szCs w:val="24"/>
          <w:vertAlign w:val="superscript"/>
        </w:rPr>
        <w:t>]</w:t>
      </w:r>
      <w:r w:rsidRPr="001B7F6D">
        <w:rPr>
          <w:rFonts w:ascii="Book Antiqua" w:hAnsi="Book Antiqua"/>
          <w:sz w:val="24"/>
          <w:szCs w:val="24"/>
        </w:rPr>
        <w:t>. The most metabolically active areas in early childhood are the parietal and occipital lobes. B</w:t>
      </w:r>
      <w:r w:rsidR="00D13633">
        <w:rPr>
          <w:rFonts w:ascii="Book Antiqua" w:hAnsi="Book Antiqua"/>
          <w:sz w:val="24"/>
          <w:szCs w:val="24"/>
        </w:rPr>
        <w:t xml:space="preserve">y age 7 these regions have </w:t>
      </w:r>
      <w:proofErr w:type="gramStart"/>
      <w:r w:rsidR="00D13633">
        <w:rPr>
          <w:rFonts w:ascii="Book Antiqua" w:hAnsi="Book Antiqua"/>
          <w:sz w:val="24"/>
          <w:szCs w:val="24"/>
        </w:rPr>
        <w:t>less</w:t>
      </w:r>
      <w:r w:rsidR="00D13633">
        <w:rPr>
          <w:rFonts w:ascii="Book Antiqua" w:hAnsi="Book Antiqua" w:hint="eastAsia"/>
          <w:sz w:val="24"/>
          <w:szCs w:val="24"/>
          <w:lang w:eastAsia="zh-CN"/>
        </w:rPr>
        <w:t xml:space="preserve"> </w:t>
      </w:r>
      <w:r w:rsidRPr="001B7F6D">
        <w:rPr>
          <w:rFonts w:ascii="Book Antiqua" w:hAnsi="Book Antiqua"/>
          <w:sz w:val="24"/>
          <w:szCs w:val="24"/>
        </w:rPr>
        <w:t>uptake</w:t>
      </w:r>
      <w:proofErr w:type="gramEnd"/>
      <w:r w:rsidRPr="001B7F6D">
        <w:rPr>
          <w:rFonts w:ascii="Book Antiqua" w:hAnsi="Book Antiqua"/>
          <w:sz w:val="24"/>
          <w:szCs w:val="24"/>
        </w:rPr>
        <w:t xml:space="preserve"> than the frontal lobes, and by age 10 they have less uptake than the thalamus. Changes in the relative pattern of cortical FDG uptake appear to continue up until at least 16 years of age.</w:t>
      </w:r>
    </w:p>
    <w:p w:rsidR="00E37287" w:rsidRPr="001B7F6D" w:rsidRDefault="00E37287" w:rsidP="001B7F6D">
      <w:pPr>
        <w:pStyle w:val="Body"/>
        <w:spacing w:line="360" w:lineRule="auto"/>
        <w:jc w:val="both"/>
        <w:rPr>
          <w:rFonts w:ascii="Book Antiqua" w:eastAsia="Palatino" w:hAnsi="Book Antiqua" w:cs="Palatino"/>
          <w:sz w:val="24"/>
          <w:szCs w:val="24"/>
        </w:rPr>
      </w:pPr>
    </w:p>
    <w:p w:rsidR="00E37287" w:rsidRPr="00D13633" w:rsidRDefault="00805F76" w:rsidP="001B7F6D">
      <w:pPr>
        <w:pStyle w:val="Body"/>
        <w:spacing w:line="360" w:lineRule="auto"/>
        <w:jc w:val="both"/>
        <w:rPr>
          <w:rFonts w:ascii="Book Antiqua" w:eastAsia="Palatino" w:hAnsi="Book Antiqua" w:cs="Palatino"/>
          <w:b/>
          <w:i/>
          <w:sz w:val="24"/>
          <w:szCs w:val="24"/>
        </w:rPr>
      </w:pPr>
      <w:r w:rsidRPr="00D13633">
        <w:rPr>
          <w:rFonts w:ascii="Book Antiqua" w:hAnsi="Book Antiqua"/>
          <w:b/>
          <w:i/>
          <w:sz w:val="24"/>
          <w:szCs w:val="24"/>
        </w:rPr>
        <w:t xml:space="preserve">Epiphyseal </w:t>
      </w:r>
      <w:r w:rsidR="00D13633" w:rsidRPr="00D13633">
        <w:rPr>
          <w:rFonts w:ascii="Book Antiqua" w:hAnsi="Book Antiqua" w:hint="eastAsia"/>
          <w:b/>
          <w:i/>
          <w:sz w:val="24"/>
          <w:szCs w:val="24"/>
          <w:lang w:eastAsia="zh-CN"/>
        </w:rPr>
        <w:t>p</w:t>
      </w:r>
      <w:r w:rsidRPr="00D13633">
        <w:rPr>
          <w:rFonts w:ascii="Book Antiqua" w:hAnsi="Book Antiqua"/>
          <w:b/>
          <w:i/>
          <w:sz w:val="24"/>
          <w:szCs w:val="24"/>
        </w:rPr>
        <w:t>late</w:t>
      </w:r>
    </w:p>
    <w:p w:rsidR="00E37287" w:rsidRPr="001B7F6D" w:rsidRDefault="00805F76" w:rsidP="001B7F6D">
      <w:pPr>
        <w:pStyle w:val="Body"/>
        <w:spacing w:line="360" w:lineRule="auto"/>
        <w:jc w:val="both"/>
        <w:rPr>
          <w:rFonts w:ascii="Book Antiqua" w:eastAsia="Palatino" w:hAnsi="Book Antiqua" w:cs="Palatino"/>
          <w:sz w:val="24"/>
          <w:szCs w:val="24"/>
        </w:rPr>
      </w:pPr>
      <w:r w:rsidRPr="001B7F6D">
        <w:rPr>
          <w:rFonts w:ascii="Book Antiqua" w:hAnsi="Book Antiqua"/>
          <w:sz w:val="24"/>
          <w:szCs w:val="24"/>
        </w:rPr>
        <w:t>Skeletally immature paediatric patients exhibit physiologic linear uptake in physes and apophyses (F</w:t>
      </w:r>
      <w:r w:rsidR="00D13633">
        <w:rPr>
          <w:rFonts w:ascii="Book Antiqua" w:hAnsi="Book Antiqua"/>
          <w:sz w:val="24"/>
          <w:szCs w:val="24"/>
        </w:rPr>
        <w:t>igure 9</w:t>
      </w:r>
      <w:proofErr w:type="gramStart"/>
      <w:r w:rsidR="00D13633">
        <w:rPr>
          <w:rFonts w:ascii="Book Antiqua" w:hAnsi="Book Antiqua"/>
          <w:sz w:val="24"/>
          <w:szCs w:val="24"/>
        </w:rPr>
        <w:t>)</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12</w:t>
      </w:r>
      <w:r w:rsidR="00FE175D">
        <w:rPr>
          <w:rFonts w:ascii="Book Antiqua" w:hAnsi="Book Antiqua" w:hint="eastAsia"/>
          <w:sz w:val="24"/>
          <w:szCs w:val="24"/>
          <w:vertAlign w:val="superscript"/>
          <w:lang w:eastAsia="zh-CN"/>
        </w:rPr>
        <w:t>2</w:t>
      </w:r>
      <w:r w:rsidRPr="001B7F6D">
        <w:rPr>
          <w:rFonts w:ascii="Book Antiqua" w:hAnsi="Book Antiqua"/>
          <w:sz w:val="24"/>
          <w:szCs w:val="24"/>
          <w:vertAlign w:val="superscript"/>
        </w:rPr>
        <w:t>]</w:t>
      </w:r>
      <w:r w:rsidRPr="001B7F6D">
        <w:rPr>
          <w:rFonts w:ascii="Book Antiqua" w:hAnsi="Book Antiqua"/>
          <w:sz w:val="24"/>
          <w:szCs w:val="24"/>
        </w:rPr>
        <w:t>. Such uptake has the potential to obscure small skeletal lesions, or it may be mistaken for pathological activity. In addition, loss of the normal sharp demarcation of uptake in the physes may reflect bone marrow infiltration or activation and should be recognised. Avid FDG uptake may occasionally occur in benign skeletal lesions (Figure 10). These include fibroosseus defects, whi</w:t>
      </w:r>
      <w:r w:rsidR="00D13633">
        <w:rPr>
          <w:rFonts w:ascii="Book Antiqua" w:hAnsi="Book Antiqua"/>
          <w:sz w:val="24"/>
          <w:szCs w:val="24"/>
        </w:rPr>
        <w:t xml:space="preserve">ch are very common in </w:t>
      </w:r>
      <w:proofErr w:type="gramStart"/>
      <w:r w:rsidR="00D13633">
        <w:rPr>
          <w:rFonts w:ascii="Book Antiqua" w:hAnsi="Book Antiqua"/>
          <w:sz w:val="24"/>
          <w:szCs w:val="24"/>
        </w:rPr>
        <w:t>childhood</w:t>
      </w:r>
      <w:r w:rsidRPr="001B7F6D">
        <w:rPr>
          <w:rFonts w:ascii="Book Antiqua" w:hAnsi="Book Antiqua"/>
          <w:sz w:val="24"/>
          <w:szCs w:val="24"/>
          <w:vertAlign w:val="superscript"/>
        </w:rPr>
        <w:t>[</w:t>
      </w:r>
      <w:proofErr w:type="gramEnd"/>
      <w:r w:rsidRPr="001B7F6D">
        <w:rPr>
          <w:rFonts w:ascii="Book Antiqua" w:hAnsi="Book Antiqua"/>
          <w:sz w:val="24"/>
          <w:szCs w:val="24"/>
          <w:vertAlign w:val="superscript"/>
        </w:rPr>
        <w:t>12</w:t>
      </w:r>
      <w:r w:rsidR="00FE175D">
        <w:rPr>
          <w:rFonts w:ascii="Book Antiqua" w:hAnsi="Book Antiqua" w:hint="eastAsia"/>
          <w:sz w:val="24"/>
          <w:szCs w:val="24"/>
          <w:vertAlign w:val="superscript"/>
          <w:lang w:eastAsia="zh-CN"/>
        </w:rPr>
        <w:t>2</w:t>
      </w:r>
      <w:r w:rsidRPr="001B7F6D">
        <w:rPr>
          <w:rFonts w:ascii="Book Antiqua" w:hAnsi="Book Antiqua"/>
          <w:sz w:val="24"/>
          <w:szCs w:val="24"/>
          <w:vertAlign w:val="superscript"/>
        </w:rPr>
        <w:t>]</w:t>
      </w:r>
      <w:r w:rsidRPr="001B7F6D">
        <w:rPr>
          <w:rFonts w:ascii="Book Antiqua" w:hAnsi="Book Antiqua"/>
          <w:sz w:val="24"/>
          <w:szCs w:val="24"/>
        </w:rPr>
        <w:t xml:space="preserve">, and osteochondromas. An understanding that benign skeletal lesions may take up </w:t>
      </w:r>
      <w:proofErr w:type="gramStart"/>
      <w:r w:rsidRPr="001B7F6D">
        <w:rPr>
          <w:rFonts w:ascii="Book Antiqua" w:hAnsi="Book Antiqua"/>
          <w:sz w:val="24"/>
          <w:szCs w:val="24"/>
        </w:rPr>
        <w:t>FDG,</w:t>
      </w:r>
      <w:proofErr w:type="gramEnd"/>
      <w:r w:rsidRPr="001B7F6D">
        <w:rPr>
          <w:rFonts w:ascii="Book Antiqua" w:hAnsi="Book Antiqua"/>
          <w:sz w:val="24"/>
          <w:szCs w:val="24"/>
        </w:rPr>
        <w:t xml:space="preserve"> and knowledge of the typical appearances seen on the CT component of the scan will reduce false positive findings.</w:t>
      </w:r>
    </w:p>
    <w:p w:rsidR="00E37287" w:rsidRPr="001B7F6D" w:rsidRDefault="00E37287" w:rsidP="001B7F6D">
      <w:pPr>
        <w:pStyle w:val="Body"/>
        <w:spacing w:line="360" w:lineRule="auto"/>
        <w:jc w:val="both"/>
        <w:rPr>
          <w:rFonts w:ascii="Book Antiqua" w:hAnsi="Book Antiqua"/>
          <w:sz w:val="24"/>
          <w:szCs w:val="24"/>
          <w:lang w:eastAsia="zh-CN"/>
        </w:rPr>
      </w:pPr>
    </w:p>
    <w:p w:rsidR="00E37287" w:rsidRPr="00D13633" w:rsidRDefault="00805F76" w:rsidP="001B7F6D">
      <w:pPr>
        <w:pStyle w:val="Body"/>
        <w:spacing w:line="360" w:lineRule="auto"/>
        <w:jc w:val="both"/>
        <w:rPr>
          <w:rFonts w:ascii="Book Antiqua" w:eastAsia="Palatino" w:hAnsi="Book Antiqua" w:cs="Palatino"/>
          <w:b/>
          <w:sz w:val="24"/>
          <w:szCs w:val="24"/>
        </w:rPr>
      </w:pPr>
      <w:r w:rsidRPr="00D13633">
        <w:rPr>
          <w:rFonts w:ascii="Book Antiqua" w:hAnsi="Book Antiqua"/>
          <w:b/>
          <w:sz w:val="24"/>
          <w:szCs w:val="24"/>
        </w:rPr>
        <w:t>DOSIMETRIC CONCERNS</w:t>
      </w:r>
    </w:p>
    <w:p w:rsidR="00E37287" w:rsidRPr="001B7F6D" w:rsidRDefault="00805F76" w:rsidP="001B7F6D">
      <w:pPr>
        <w:pStyle w:val="Body"/>
        <w:spacing w:line="360" w:lineRule="auto"/>
        <w:jc w:val="both"/>
        <w:rPr>
          <w:rFonts w:ascii="Book Antiqua" w:eastAsia="Palatino" w:hAnsi="Book Antiqua" w:cs="Palatino"/>
          <w:sz w:val="24"/>
          <w:szCs w:val="24"/>
          <w:u w:color="000000"/>
        </w:rPr>
      </w:pPr>
      <w:r w:rsidRPr="001B7F6D">
        <w:rPr>
          <w:rFonts w:ascii="Book Antiqua" w:hAnsi="Book Antiqua"/>
          <w:sz w:val="24"/>
          <w:szCs w:val="24"/>
          <w:u w:color="000000"/>
        </w:rPr>
        <w:t xml:space="preserve">As with all imaging modalities that utilise ionising radiation, there are special dosimetric considerations for children undergoing PET/CT scanning. Particular attention is required to keep radiation exposure as low as is reasonably achievable (ALARA principle) in view of the increased lifetime cancer mortality risk in children compared with </w:t>
      </w:r>
      <w:proofErr w:type="gramStart"/>
      <w:r w:rsidRPr="001B7F6D">
        <w:rPr>
          <w:rFonts w:ascii="Book Antiqua" w:hAnsi="Book Antiqua"/>
          <w:sz w:val="24"/>
          <w:szCs w:val="24"/>
          <w:u w:color="000000"/>
        </w:rPr>
        <w:t>adults</w:t>
      </w:r>
      <w:r w:rsidRPr="001B7F6D">
        <w:rPr>
          <w:rFonts w:ascii="Book Antiqua" w:hAnsi="Book Antiqua"/>
          <w:sz w:val="24"/>
          <w:szCs w:val="24"/>
          <w:u w:color="000000"/>
          <w:vertAlign w:val="superscript"/>
        </w:rPr>
        <w:t>[</w:t>
      </w:r>
      <w:proofErr w:type="gramEnd"/>
      <w:r w:rsidRPr="001B7F6D">
        <w:rPr>
          <w:rFonts w:ascii="Book Antiqua" w:hAnsi="Book Antiqua"/>
          <w:sz w:val="24"/>
          <w:szCs w:val="24"/>
          <w:u w:color="000000"/>
          <w:vertAlign w:val="superscript"/>
        </w:rPr>
        <w:t>13</w:t>
      </w:r>
      <w:r w:rsidR="00FE175D">
        <w:rPr>
          <w:rFonts w:ascii="Book Antiqua" w:hAnsi="Book Antiqua" w:hint="eastAsia"/>
          <w:sz w:val="24"/>
          <w:szCs w:val="24"/>
          <w:u w:color="000000"/>
          <w:vertAlign w:val="superscript"/>
          <w:lang w:eastAsia="zh-CN"/>
        </w:rPr>
        <w:t>4</w:t>
      </w:r>
      <w:r w:rsidRPr="001B7F6D">
        <w:rPr>
          <w:rFonts w:ascii="Book Antiqua" w:hAnsi="Book Antiqua"/>
          <w:sz w:val="24"/>
          <w:szCs w:val="24"/>
          <w:u w:color="000000"/>
          <w:vertAlign w:val="superscript"/>
        </w:rPr>
        <w:t>]</w:t>
      </w:r>
      <w:r w:rsidRPr="001B7F6D">
        <w:rPr>
          <w:rFonts w:ascii="Book Antiqua" w:hAnsi="Book Antiqua"/>
          <w:sz w:val="24"/>
          <w:szCs w:val="24"/>
          <w:u w:color="000000"/>
        </w:rPr>
        <w:t xml:space="preserve">. The higher risk of radiation-induced malignancy in paediatric patients is a consequence of both the longer average post-exposure survival of children as compared with adults, and an intrinsic increase </w:t>
      </w:r>
      <w:r w:rsidR="00D13633">
        <w:rPr>
          <w:rFonts w:ascii="Book Antiqua" w:hAnsi="Book Antiqua"/>
          <w:sz w:val="24"/>
          <w:szCs w:val="24"/>
          <w:u w:color="000000"/>
        </w:rPr>
        <w:t xml:space="preserve">in radiosensitivity of </w:t>
      </w:r>
      <w:proofErr w:type="gramStart"/>
      <w:r w:rsidR="00D13633">
        <w:rPr>
          <w:rFonts w:ascii="Book Antiqua" w:hAnsi="Book Antiqua"/>
          <w:sz w:val="24"/>
          <w:szCs w:val="24"/>
          <w:u w:color="000000"/>
        </w:rPr>
        <w:t>children</w:t>
      </w:r>
      <w:r w:rsidRPr="001B7F6D">
        <w:rPr>
          <w:rFonts w:ascii="Book Antiqua" w:hAnsi="Book Antiqua"/>
          <w:sz w:val="24"/>
          <w:szCs w:val="24"/>
          <w:u w:color="000000"/>
          <w:vertAlign w:val="superscript"/>
        </w:rPr>
        <w:t>[</w:t>
      </w:r>
      <w:proofErr w:type="gramEnd"/>
      <w:r w:rsidRPr="001B7F6D">
        <w:rPr>
          <w:rFonts w:ascii="Book Antiqua" w:hAnsi="Book Antiqua"/>
          <w:sz w:val="24"/>
          <w:szCs w:val="24"/>
          <w:u w:color="000000"/>
          <w:vertAlign w:val="superscript"/>
        </w:rPr>
        <w:t>13</w:t>
      </w:r>
      <w:r w:rsidR="00FE175D">
        <w:rPr>
          <w:rFonts w:ascii="Book Antiqua" w:hAnsi="Book Antiqua" w:hint="eastAsia"/>
          <w:sz w:val="24"/>
          <w:szCs w:val="24"/>
          <w:u w:color="000000"/>
          <w:vertAlign w:val="superscript"/>
          <w:lang w:eastAsia="zh-CN"/>
        </w:rPr>
        <w:t>5</w:t>
      </w:r>
      <w:r w:rsidRPr="001B7F6D">
        <w:rPr>
          <w:rFonts w:ascii="Book Antiqua" w:hAnsi="Book Antiqua"/>
          <w:sz w:val="24"/>
          <w:szCs w:val="24"/>
          <w:u w:color="000000"/>
          <w:vertAlign w:val="superscript"/>
        </w:rPr>
        <w:t>,13</w:t>
      </w:r>
      <w:r w:rsidR="00FE175D">
        <w:rPr>
          <w:rFonts w:ascii="Book Antiqua" w:hAnsi="Book Antiqua" w:hint="eastAsia"/>
          <w:sz w:val="24"/>
          <w:szCs w:val="24"/>
          <w:u w:color="000000"/>
          <w:vertAlign w:val="superscript"/>
          <w:lang w:eastAsia="zh-CN"/>
        </w:rPr>
        <w:t>6</w:t>
      </w:r>
      <w:r w:rsidRPr="001B7F6D">
        <w:rPr>
          <w:rFonts w:ascii="Book Antiqua" w:hAnsi="Book Antiqua"/>
          <w:sz w:val="24"/>
          <w:szCs w:val="24"/>
          <w:u w:color="000000"/>
          <w:vertAlign w:val="superscript"/>
        </w:rPr>
        <w:t>]</w:t>
      </w:r>
      <w:r w:rsidRPr="001B7F6D">
        <w:rPr>
          <w:rFonts w:ascii="Book Antiqua" w:hAnsi="Book Antiqua"/>
          <w:sz w:val="24"/>
          <w:szCs w:val="24"/>
          <w:u w:color="000000"/>
        </w:rPr>
        <w:t>.</w:t>
      </w:r>
    </w:p>
    <w:p w:rsidR="00E37287" w:rsidRPr="001B7F6D" w:rsidRDefault="00805F76" w:rsidP="001B7F6D">
      <w:pPr>
        <w:pStyle w:val="Body"/>
        <w:spacing w:line="360" w:lineRule="auto"/>
        <w:jc w:val="both"/>
        <w:rPr>
          <w:rFonts w:ascii="Book Antiqua" w:eastAsia="Palatino" w:hAnsi="Book Antiqua" w:cs="Palatino"/>
          <w:sz w:val="24"/>
          <w:szCs w:val="24"/>
          <w:u w:color="000000"/>
        </w:rPr>
      </w:pPr>
      <w:r w:rsidRPr="001B7F6D">
        <w:rPr>
          <w:rFonts w:ascii="Book Antiqua" w:hAnsi="Book Antiqua"/>
          <w:sz w:val="24"/>
          <w:szCs w:val="24"/>
          <w:u w:color="000000"/>
        </w:rPr>
        <w:t>As risk from radiati</w:t>
      </w:r>
      <w:r w:rsidR="00D13633">
        <w:rPr>
          <w:rFonts w:ascii="Book Antiqua" w:hAnsi="Book Antiqua"/>
          <w:sz w:val="24"/>
          <w:szCs w:val="24"/>
          <w:u w:color="000000"/>
        </w:rPr>
        <w:t xml:space="preserve">on exposure is </w:t>
      </w:r>
      <w:proofErr w:type="gramStart"/>
      <w:r w:rsidR="00D13633">
        <w:rPr>
          <w:rFonts w:ascii="Book Antiqua" w:hAnsi="Book Antiqua"/>
          <w:sz w:val="24"/>
          <w:szCs w:val="24"/>
          <w:u w:color="000000"/>
        </w:rPr>
        <w:t>cumulative</w:t>
      </w:r>
      <w:r w:rsidRPr="001B7F6D">
        <w:rPr>
          <w:rFonts w:ascii="Book Antiqua" w:hAnsi="Book Antiqua"/>
          <w:sz w:val="24"/>
          <w:szCs w:val="24"/>
          <w:u w:color="000000"/>
          <w:vertAlign w:val="superscript"/>
        </w:rPr>
        <w:t>[</w:t>
      </w:r>
      <w:proofErr w:type="gramEnd"/>
      <w:r w:rsidRPr="001B7F6D">
        <w:rPr>
          <w:rFonts w:ascii="Book Antiqua" w:hAnsi="Book Antiqua"/>
          <w:sz w:val="24"/>
          <w:szCs w:val="24"/>
          <w:u w:color="000000"/>
          <w:vertAlign w:val="superscript"/>
        </w:rPr>
        <w:t>13</w:t>
      </w:r>
      <w:r w:rsidR="00FE175D">
        <w:rPr>
          <w:rFonts w:ascii="Book Antiqua" w:hAnsi="Book Antiqua" w:hint="eastAsia"/>
          <w:sz w:val="24"/>
          <w:szCs w:val="24"/>
          <w:u w:color="000000"/>
          <w:vertAlign w:val="superscript"/>
          <w:lang w:eastAsia="zh-CN"/>
        </w:rPr>
        <w:t>7</w:t>
      </w:r>
      <w:r w:rsidRPr="001B7F6D">
        <w:rPr>
          <w:rFonts w:ascii="Book Antiqua" w:hAnsi="Book Antiqua"/>
          <w:sz w:val="24"/>
          <w:szCs w:val="24"/>
          <w:u w:color="000000"/>
          <w:vertAlign w:val="superscript"/>
        </w:rPr>
        <w:t>]</w:t>
      </w:r>
      <w:r w:rsidRPr="001B7F6D">
        <w:rPr>
          <w:rFonts w:ascii="Book Antiqua" w:hAnsi="Book Antiqua"/>
          <w:sz w:val="24"/>
          <w:szCs w:val="24"/>
          <w:u w:color="000000"/>
        </w:rPr>
        <w:t xml:space="preserve">, both nuclear medicine and CT components need to be considered when applying ALARA principles. In this context patient exposure may be adjusted through changes to the dose of administered radiopharmaceutical, CT protocol employed, anatomic area covered and frequency of imaging </w:t>
      </w:r>
      <w:proofErr w:type="gramStart"/>
      <w:r w:rsidRPr="001B7F6D">
        <w:rPr>
          <w:rFonts w:ascii="Book Antiqua" w:hAnsi="Book Antiqua"/>
          <w:sz w:val="24"/>
          <w:szCs w:val="24"/>
          <w:u w:color="000000"/>
        </w:rPr>
        <w:t>performed</w:t>
      </w:r>
      <w:r w:rsidRPr="001B7F6D">
        <w:rPr>
          <w:rFonts w:ascii="Book Antiqua" w:hAnsi="Book Antiqua"/>
          <w:sz w:val="24"/>
          <w:szCs w:val="24"/>
          <w:u w:color="000000"/>
          <w:vertAlign w:val="superscript"/>
        </w:rPr>
        <w:t>[</w:t>
      </w:r>
      <w:proofErr w:type="gramEnd"/>
      <w:r w:rsidRPr="001B7F6D">
        <w:rPr>
          <w:rFonts w:ascii="Book Antiqua" w:hAnsi="Book Antiqua"/>
          <w:sz w:val="24"/>
          <w:szCs w:val="24"/>
          <w:u w:color="000000"/>
          <w:vertAlign w:val="superscript"/>
        </w:rPr>
        <w:t>13</w:t>
      </w:r>
      <w:r w:rsidR="00FE175D">
        <w:rPr>
          <w:rFonts w:ascii="Book Antiqua" w:hAnsi="Book Antiqua" w:hint="eastAsia"/>
          <w:sz w:val="24"/>
          <w:szCs w:val="24"/>
          <w:u w:color="000000"/>
          <w:vertAlign w:val="superscript"/>
          <w:lang w:eastAsia="zh-CN"/>
        </w:rPr>
        <w:t>8</w:t>
      </w:r>
      <w:r w:rsidRPr="001B7F6D">
        <w:rPr>
          <w:rFonts w:ascii="Book Antiqua" w:hAnsi="Book Antiqua"/>
          <w:sz w:val="24"/>
          <w:szCs w:val="24"/>
          <w:u w:color="000000"/>
          <w:vertAlign w:val="superscript"/>
        </w:rPr>
        <w:t>]</w:t>
      </w:r>
      <w:r w:rsidRPr="001B7F6D">
        <w:rPr>
          <w:rFonts w:ascii="Book Antiqua" w:hAnsi="Book Antiqua"/>
          <w:sz w:val="24"/>
          <w:szCs w:val="24"/>
          <w:u w:color="000000"/>
        </w:rPr>
        <w:t xml:space="preserve">. Notably, the end-organ for radiotracer administration is the bladder and therefore the bladder wall tends to receive the greatest radiation </w:t>
      </w:r>
      <w:proofErr w:type="gramStart"/>
      <w:r w:rsidRPr="001B7F6D">
        <w:rPr>
          <w:rFonts w:ascii="Book Antiqua" w:hAnsi="Book Antiqua"/>
          <w:sz w:val="24"/>
          <w:szCs w:val="24"/>
          <w:u w:color="000000"/>
        </w:rPr>
        <w:t>dose</w:t>
      </w:r>
      <w:r w:rsidRPr="001B7F6D">
        <w:rPr>
          <w:rFonts w:ascii="Book Antiqua" w:hAnsi="Book Antiqua"/>
          <w:sz w:val="24"/>
          <w:szCs w:val="24"/>
          <w:u w:color="000000"/>
          <w:vertAlign w:val="superscript"/>
        </w:rPr>
        <w:t>[</w:t>
      </w:r>
      <w:proofErr w:type="gramEnd"/>
      <w:r w:rsidRPr="001B7F6D">
        <w:rPr>
          <w:rFonts w:ascii="Book Antiqua" w:hAnsi="Book Antiqua"/>
          <w:sz w:val="24"/>
          <w:szCs w:val="24"/>
          <w:u w:color="000000"/>
          <w:vertAlign w:val="superscript"/>
        </w:rPr>
        <w:t>1</w:t>
      </w:r>
      <w:r w:rsidR="00FE175D">
        <w:rPr>
          <w:rFonts w:ascii="Book Antiqua" w:hAnsi="Book Antiqua" w:hint="eastAsia"/>
          <w:sz w:val="24"/>
          <w:szCs w:val="24"/>
          <w:u w:color="000000"/>
          <w:vertAlign w:val="superscript"/>
          <w:lang w:eastAsia="zh-CN"/>
        </w:rPr>
        <w:t>39</w:t>
      </w:r>
      <w:r w:rsidRPr="001B7F6D">
        <w:rPr>
          <w:rFonts w:ascii="Book Antiqua" w:hAnsi="Book Antiqua"/>
          <w:sz w:val="24"/>
          <w:szCs w:val="24"/>
          <w:u w:color="000000"/>
          <w:vertAlign w:val="superscript"/>
        </w:rPr>
        <w:t>]</w:t>
      </w:r>
      <w:r w:rsidRPr="001B7F6D">
        <w:rPr>
          <w:rFonts w:ascii="Book Antiqua" w:hAnsi="Book Antiqua"/>
          <w:sz w:val="24"/>
          <w:szCs w:val="24"/>
          <w:u w:color="000000"/>
        </w:rPr>
        <w:t xml:space="preserve">. This </w:t>
      </w:r>
      <w:r w:rsidRPr="001B7F6D">
        <w:rPr>
          <w:rFonts w:ascii="Book Antiqua" w:hAnsi="Book Antiqua"/>
          <w:sz w:val="24"/>
          <w:szCs w:val="24"/>
          <w:u w:color="000000"/>
        </w:rPr>
        <w:lastRenderedPageBreak/>
        <w:t>can be minimised by encouraging fluid intake and frequent voiding following scan completion.</w:t>
      </w:r>
    </w:p>
    <w:p w:rsidR="00E37287" w:rsidRPr="001B7F6D" w:rsidRDefault="00805F76" w:rsidP="00D13633">
      <w:pPr>
        <w:pStyle w:val="Body"/>
        <w:spacing w:line="360" w:lineRule="auto"/>
        <w:ind w:firstLineChars="100" w:firstLine="240"/>
        <w:jc w:val="both"/>
        <w:rPr>
          <w:rFonts w:ascii="Book Antiqua" w:eastAsia="Palatino" w:hAnsi="Book Antiqua" w:cs="Palatino"/>
          <w:sz w:val="24"/>
          <w:szCs w:val="24"/>
          <w:u w:color="000000"/>
        </w:rPr>
      </w:pPr>
      <w:r w:rsidRPr="001B7F6D">
        <w:rPr>
          <w:rFonts w:ascii="Book Antiqua" w:hAnsi="Book Antiqua"/>
          <w:sz w:val="24"/>
          <w:szCs w:val="24"/>
          <w:u w:color="000000"/>
        </w:rPr>
        <w:t>PET and PET/CT radiopharmaceutical dosage guidelines have been established by the European Association of Nuclear Medicine (EANM) Dosim</w:t>
      </w:r>
      <w:r w:rsidR="00D13633">
        <w:rPr>
          <w:rFonts w:ascii="Book Antiqua" w:hAnsi="Book Antiqua"/>
          <w:sz w:val="24"/>
          <w:szCs w:val="24"/>
          <w:u w:color="000000"/>
        </w:rPr>
        <w:t xml:space="preserve">etry and Paediatrics </w:t>
      </w:r>
      <w:proofErr w:type="gramStart"/>
      <w:r w:rsidR="00D13633">
        <w:rPr>
          <w:rFonts w:ascii="Book Antiqua" w:hAnsi="Book Antiqua"/>
          <w:sz w:val="24"/>
          <w:szCs w:val="24"/>
          <w:u w:color="000000"/>
        </w:rPr>
        <w:t>Committees</w:t>
      </w:r>
      <w:r w:rsidRPr="001B7F6D">
        <w:rPr>
          <w:rFonts w:ascii="Book Antiqua" w:hAnsi="Book Antiqua"/>
          <w:sz w:val="24"/>
          <w:szCs w:val="24"/>
          <w:u w:color="000000"/>
          <w:vertAlign w:val="superscript"/>
        </w:rPr>
        <w:t>[</w:t>
      </w:r>
      <w:proofErr w:type="gramEnd"/>
      <w:r w:rsidRPr="001B7F6D">
        <w:rPr>
          <w:rFonts w:ascii="Book Antiqua" w:hAnsi="Book Antiqua"/>
          <w:sz w:val="24"/>
          <w:szCs w:val="24"/>
          <w:u w:color="000000"/>
          <w:vertAlign w:val="superscript"/>
        </w:rPr>
        <w:t>14</w:t>
      </w:r>
      <w:r w:rsidR="00FE175D">
        <w:rPr>
          <w:rFonts w:ascii="Book Antiqua" w:hAnsi="Book Antiqua" w:hint="eastAsia"/>
          <w:sz w:val="24"/>
          <w:szCs w:val="24"/>
          <w:u w:color="000000"/>
          <w:vertAlign w:val="superscript"/>
          <w:lang w:eastAsia="zh-CN"/>
        </w:rPr>
        <w:t>0</w:t>
      </w:r>
      <w:r w:rsidRPr="001B7F6D">
        <w:rPr>
          <w:rFonts w:ascii="Book Antiqua" w:hAnsi="Book Antiqua"/>
          <w:sz w:val="24"/>
          <w:szCs w:val="24"/>
          <w:u w:color="000000"/>
          <w:vertAlign w:val="superscript"/>
        </w:rPr>
        <w:t>,14</w:t>
      </w:r>
      <w:r w:rsidR="00FE175D">
        <w:rPr>
          <w:rFonts w:ascii="Book Antiqua" w:hAnsi="Book Antiqua" w:hint="eastAsia"/>
          <w:sz w:val="24"/>
          <w:szCs w:val="24"/>
          <w:u w:color="000000"/>
          <w:vertAlign w:val="superscript"/>
          <w:lang w:eastAsia="zh-CN"/>
        </w:rPr>
        <w:t>1</w:t>
      </w:r>
      <w:r w:rsidRPr="001B7F6D">
        <w:rPr>
          <w:rFonts w:ascii="Book Antiqua" w:hAnsi="Book Antiqua"/>
          <w:sz w:val="24"/>
          <w:szCs w:val="24"/>
          <w:u w:color="000000"/>
          <w:vertAlign w:val="superscript"/>
        </w:rPr>
        <w:t>]</w:t>
      </w:r>
      <w:r w:rsidRPr="001B7F6D">
        <w:rPr>
          <w:rFonts w:ascii="Book Antiqua" w:hAnsi="Book Antiqua"/>
          <w:sz w:val="24"/>
          <w:szCs w:val="24"/>
          <w:u w:color="000000"/>
        </w:rPr>
        <w:t xml:space="preserve"> and the Pediatric Nuclear Medicine Dose Reduction Workgroup (North</w:t>
      </w:r>
      <w:r w:rsidR="00D13633">
        <w:rPr>
          <w:rFonts w:ascii="Book Antiqua" w:hAnsi="Book Antiqua"/>
          <w:sz w:val="24"/>
          <w:szCs w:val="24"/>
          <w:u w:color="000000"/>
        </w:rPr>
        <w:t xml:space="preserve"> American Consensus Guidelines)</w:t>
      </w:r>
      <w:r w:rsidRPr="001B7F6D">
        <w:rPr>
          <w:rFonts w:ascii="Book Antiqua" w:hAnsi="Book Antiqua"/>
          <w:sz w:val="24"/>
          <w:szCs w:val="24"/>
          <w:u w:color="000000"/>
          <w:vertAlign w:val="superscript"/>
        </w:rPr>
        <w:t>[14</w:t>
      </w:r>
      <w:r w:rsidR="00FE175D">
        <w:rPr>
          <w:rFonts w:ascii="Book Antiqua" w:hAnsi="Book Antiqua" w:hint="eastAsia"/>
          <w:sz w:val="24"/>
          <w:szCs w:val="24"/>
          <w:u w:color="000000"/>
          <w:vertAlign w:val="superscript"/>
          <w:lang w:eastAsia="zh-CN"/>
        </w:rPr>
        <w:t>2</w:t>
      </w:r>
      <w:r w:rsidRPr="001B7F6D">
        <w:rPr>
          <w:rFonts w:ascii="Book Antiqua" w:hAnsi="Book Antiqua"/>
          <w:sz w:val="24"/>
          <w:szCs w:val="24"/>
          <w:u w:color="000000"/>
          <w:vertAlign w:val="superscript"/>
        </w:rPr>
        <w:t>]</w:t>
      </w:r>
      <w:r w:rsidRPr="001B7F6D">
        <w:rPr>
          <w:rFonts w:ascii="Book Antiqua" w:hAnsi="Book Antiqua"/>
          <w:sz w:val="24"/>
          <w:szCs w:val="24"/>
          <w:u w:color="000000"/>
        </w:rPr>
        <w:t>. Although there are some differences between these guidelines (Figure 11) both make recommendations in line with the ALARA principles. The EANM guidelines aim for the administration of FDG as a weight independent effective dose. Doses are calculated using normalisation factors which are derived from biological behaviour and patient weight. The aim is to deliver the same effective radiopharmaceutical dose to paediatric patients regardless of body weight, provided a m</w:t>
      </w:r>
      <w:r w:rsidR="00D13633">
        <w:rPr>
          <w:rFonts w:ascii="Book Antiqua" w:hAnsi="Book Antiqua"/>
          <w:sz w:val="24"/>
          <w:szCs w:val="24"/>
          <w:u w:color="000000"/>
        </w:rPr>
        <w:t xml:space="preserve">inimum activity is </w:t>
      </w:r>
      <w:proofErr w:type="gramStart"/>
      <w:r w:rsidR="00D13633">
        <w:rPr>
          <w:rFonts w:ascii="Book Antiqua" w:hAnsi="Book Antiqua"/>
          <w:sz w:val="24"/>
          <w:szCs w:val="24"/>
          <w:u w:color="000000"/>
        </w:rPr>
        <w:t>administered</w:t>
      </w:r>
      <w:r w:rsidRPr="001B7F6D">
        <w:rPr>
          <w:rFonts w:ascii="Book Antiqua" w:hAnsi="Book Antiqua"/>
          <w:sz w:val="24"/>
          <w:szCs w:val="24"/>
          <w:u w:color="000000"/>
          <w:vertAlign w:val="superscript"/>
        </w:rPr>
        <w:t>[</w:t>
      </w:r>
      <w:proofErr w:type="gramEnd"/>
      <w:r w:rsidRPr="001B7F6D">
        <w:rPr>
          <w:rFonts w:ascii="Book Antiqua" w:hAnsi="Book Antiqua"/>
          <w:sz w:val="24"/>
          <w:szCs w:val="24"/>
          <w:u w:color="000000"/>
          <w:vertAlign w:val="superscript"/>
        </w:rPr>
        <w:t>14</w:t>
      </w:r>
      <w:r w:rsidR="00FE175D">
        <w:rPr>
          <w:rFonts w:ascii="Book Antiqua" w:hAnsi="Book Antiqua" w:hint="eastAsia"/>
          <w:sz w:val="24"/>
          <w:szCs w:val="24"/>
          <w:u w:color="000000"/>
          <w:vertAlign w:val="superscript"/>
          <w:lang w:eastAsia="zh-CN"/>
        </w:rPr>
        <w:t>0</w:t>
      </w:r>
      <w:r w:rsidRPr="001B7F6D">
        <w:rPr>
          <w:rFonts w:ascii="Book Antiqua" w:hAnsi="Book Antiqua"/>
          <w:sz w:val="24"/>
          <w:szCs w:val="24"/>
          <w:u w:color="000000"/>
          <w:vertAlign w:val="superscript"/>
        </w:rPr>
        <w:t>]</w:t>
      </w:r>
      <w:r w:rsidRPr="001B7F6D">
        <w:rPr>
          <w:rFonts w:ascii="Book Antiqua" w:hAnsi="Book Antiqua"/>
          <w:sz w:val="24"/>
          <w:szCs w:val="24"/>
          <w:u w:color="000000"/>
        </w:rPr>
        <w:t>. The North American Consensus Guidelines recommend a standard FDG administered activ</w:t>
      </w:r>
      <w:r w:rsidR="00D13633">
        <w:rPr>
          <w:rFonts w:ascii="Book Antiqua" w:hAnsi="Book Antiqua"/>
          <w:sz w:val="24"/>
          <w:szCs w:val="24"/>
          <w:u w:color="000000"/>
        </w:rPr>
        <w:t xml:space="preserve">ity per kilogram of body </w:t>
      </w:r>
      <w:proofErr w:type="gramStart"/>
      <w:r w:rsidR="00D13633">
        <w:rPr>
          <w:rFonts w:ascii="Book Antiqua" w:hAnsi="Book Antiqua"/>
          <w:sz w:val="24"/>
          <w:szCs w:val="24"/>
          <w:u w:color="000000"/>
        </w:rPr>
        <w:t>weight</w:t>
      </w:r>
      <w:r w:rsidRPr="001B7F6D">
        <w:rPr>
          <w:rFonts w:ascii="Book Antiqua" w:hAnsi="Book Antiqua"/>
          <w:sz w:val="24"/>
          <w:szCs w:val="24"/>
          <w:u w:color="000000"/>
          <w:vertAlign w:val="superscript"/>
        </w:rPr>
        <w:t>[</w:t>
      </w:r>
      <w:proofErr w:type="gramEnd"/>
      <w:r w:rsidRPr="001B7F6D">
        <w:rPr>
          <w:rFonts w:ascii="Book Antiqua" w:hAnsi="Book Antiqua"/>
          <w:sz w:val="24"/>
          <w:szCs w:val="24"/>
          <w:u w:color="000000"/>
          <w:vertAlign w:val="superscript"/>
        </w:rPr>
        <w:t>14</w:t>
      </w:r>
      <w:r w:rsidR="00FE175D">
        <w:rPr>
          <w:rFonts w:ascii="Book Antiqua" w:hAnsi="Book Antiqua" w:hint="eastAsia"/>
          <w:sz w:val="24"/>
          <w:szCs w:val="24"/>
          <w:u w:color="000000"/>
          <w:vertAlign w:val="superscript"/>
          <w:lang w:eastAsia="zh-CN"/>
        </w:rPr>
        <w:t>2</w:t>
      </w:r>
      <w:r w:rsidRPr="001B7F6D">
        <w:rPr>
          <w:rFonts w:ascii="Book Antiqua" w:hAnsi="Book Antiqua"/>
          <w:sz w:val="24"/>
          <w:szCs w:val="24"/>
          <w:u w:color="000000"/>
          <w:vertAlign w:val="superscript"/>
        </w:rPr>
        <w:t>]</w:t>
      </w:r>
      <w:r w:rsidRPr="001B7F6D">
        <w:rPr>
          <w:rFonts w:ascii="Book Antiqua" w:hAnsi="Book Antiqua"/>
          <w:sz w:val="24"/>
          <w:szCs w:val="24"/>
          <w:u w:color="000000"/>
        </w:rPr>
        <w:t>.</w:t>
      </w:r>
    </w:p>
    <w:p w:rsidR="00E37287" w:rsidRPr="001B7F6D" w:rsidRDefault="00805F76" w:rsidP="00D13633">
      <w:pPr>
        <w:pStyle w:val="Body"/>
        <w:spacing w:line="360" w:lineRule="auto"/>
        <w:ind w:firstLineChars="100" w:firstLine="240"/>
        <w:jc w:val="both"/>
        <w:rPr>
          <w:rFonts w:ascii="Book Antiqua" w:eastAsia="Palatino" w:hAnsi="Book Antiqua" w:cs="Palatino"/>
          <w:sz w:val="24"/>
          <w:szCs w:val="24"/>
          <w:u w:color="000000"/>
        </w:rPr>
      </w:pPr>
      <w:r w:rsidRPr="001B7F6D">
        <w:rPr>
          <w:rFonts w:ascii="Book Antiqua" w:hAnsi="Book Antiqua"/>
          <w:sz w:val="24"/>
          <w:szCs w:val="24"/>
          <w:u w:color="000000"/>
        </w:rPr>
        <w:t>Effective Doses to patients from CT images are dependent on tube current (mA), tube potential (kVp), rotation speed, pitch, slice thickness, patient mass and the anatomical volume included in the scan. CT exposures in hybrid PET/CT scanning may be tailored to meet the diagnostic needs of the patient. Commonly, diagnostic quality images are not required and CT exposure factors may be reduced significantly, with the production of images primarily for localisation and attenuation correction. These low dose protocols may reduce CT exposures by 50</w:t>
      </w:r>
      <w:r w:rsidR="00D13633">
        <w:rPr>
          <w:rFonts w:ascii="Book Antiqua" w:hAnsi="Book Antiqua" w:hint="eastAsia"/>
          <w:sz w:val="24"/>
          <w:szCs w:val="24"/>
          <w:u w:color="000000"/>
          <w:lang w:eastAsia="zh-CN"/>
        </w:rPr>
        <w:t>%</w:t>
      </w:r>
      <w:r w:rsidRPr="001B7F6D">
        <w:rPr>
          <w:rFonts w:ascii="Book Antiqua" w:hAnsi="Book Antiqua"/>
          <w:sz w:val="24"/>
          <w:szCs w:val="24"/>
          <w:u w:color="000000"/>
        </w:rPr>
        <w:t xml:space="preserve">-65% compared with typical diagnostic </w:t>
      </w:r>
      <w:proofErr w:type="gramStart"/>
      <w:r w:rsidRPr="001B7F6D">
        <w:rPr>
          <w:rFonts w:ascii="Book Antiqua" w:hAnsi="Book Antiqua"/>
          <w:sz w:val="24"/>
          <w:szCs w:val="24"/>
          <w:u w:color="000000"/>
        </w:rPr>
        <w:t>levels</w:t>
      </w:r>
      <w:r w:rsidRPr="001B7F6D">
        <w:rPr>
          <w:rFonts w:ascii="Book Antiqua" w:hAnsi="Book Antiqua"/>
          <w:sz w:val="24"/>
          <w:szCs w:val="24"/>
          <w:u w:color="000000"/>
          <w:vertAlign w:val="superscript"/>
        </w:rPr>
        <w:t>[</w:t>
      </w:r>
      <w:proofErr w:type="gramEnd"/>
      <w:r w:rsidRPr="001B7F6D">
        <w:rPr>
          <w:rFonts w:ascii="Book Antiqua" w:hAnsi="Book Antiqua"/>
          <w:sz w:val="24"/>
          <w:szCs w:val="24"/>
          <w:u w:color="000000"/>
          <w:vertAlign w:val="superscript"/>
        </w:rPr>
        <w:t>14</w:t>
      </w:r>
      <w:r w:rsidR="00FE175D">
        <w:rPr>
          <w:rFonts w:ascii="Book Antiqua" w:hAnsi="Book Antiqua" w:hint="eastAsia"/>
          <w:sz w:val="24"/>
          <w:szCs w:val="24"/>
          <w:u w:color="000000"/>
          <w:vertAlign w:val="superscript"/>
          <w:lang w:eastAsia="zh-CN"/>
        </w:rPr>
        <w:t>3</w:t>
      </w:r>
      <w:r w:rsidRPr="001B7F6D">
        <w:rPr>
          <w:rFonts w:ascii="Book Antiqua" w:hAnsi="Book Antiqua"/>
          <w:sz w:val="24"/>
          <w:szCs w:val="24"/>
          <w:u w:color="000000"/>
          <w:vertAlign w:val="superscript"/>
        </w:rPr>
        <w:t>]</w:t>
      </w:r>
      <w:r w:rsidRPr="001B7F6D">
        <w:rPr>
          <w:rFonts w:ascii="Book Antiqua" w:hAnsi="Book Antiqua"/>
          <w:sz w:val="24"/>
          <w:szCs w:val="24"/>
          <w:u w:color="000000"/>
        </w:rPr>
        <w:t>.</w:t>
      </w:r>
    </w:p>
    <w:p w:rsidR="00E37287" w:rsidRPr="001B7F6D" w:rsidRDefault="00E37287" w:rsidP="001B7F6D">
      <w:pPr>
        <w:pStyle w:val="Body"/>
        <w:spacing w:line="360" w:lineRule="auto"/>
        <w:jc w:val="both"/>
        <w:rPr>
          <w:rFonts w:ascii="Book Antiqua" w:hAnsi="Book Antiqua"/>
          <w:sz w:val="24"/>
          <w:szCs w:val="24"/>
        </w:rPr>
      </w:pPr>
    </w:p>
    <w:p w:rsidR="00E37287" w:rsidRPr="00D13633" w:rsidRDefault="00805F76" w:rsidP="001B7F6D">
      <w:pPr>
        <w:pStyle w:val="Body"/>
        <w:spacing w:line="360" w:lineRule="auto"/>
        <w:jc w:val="both"/>
        <w:rPr>
          <w:rFonts w:ascii="Book Antiqua" w:eastAsia="Palatino" w:hAnsi="Book Antiqua" w:cs="Palatino"/>
          <w:b/>
          <w:sz w:val="24"/>
          <w:szCs w:val="24"/>
          <w:u w:color="000000"/>
        </w:rPr>
      </w:pPr>
      <w:r w:rsidRPr="00D13633">
        <w:rPr>
          <w:rFonts w:ascii="Book Antiqua" w:hAnsi="Book Antiqua"/>
          <w:b/>
          <w:sz w:val="24"/>
          <w:szCs w:val="24"/>
          <w:u w:color="000000"/>
        </w:rPr>
        <w:t>CONCLUSION</w:t>
      </w:r>
    </w:p>
    <w:p w:rsidR="00E37287" w:rsidRPr="001B7F6D" w:rsidRDefault="00805F76" w:rsidP="001B7F6D">
      <w:pPr>
        <w:pStyle w:val="Body"/>
        <w:spacing w:line="360" w:lineRule="auto"/>
        <w:jc w:val="both"/>
        <w:rPr>
          <w:rFonts w:ascii="Book Antiqua" w:eastAsia="Palatino" w:hAnsi="Book Antiqua" w:cs="Palatino"/>
          <w:sz w:val="24"/>
          <w:szCs w:val="24"/>
          <w:u w:color="000000"/>
        </w:rPr>
      </w:pPr>
      <w:r w:rsidRPr="001B7F6D">
        <w:rPr>
          <w:rFonts w:ascii="Book Antiqua" w:hAnsi="Book Antiqua"/>
          <w:sz w:val="24"/>
          <w:szCs w:val="24"/>
          <w:u w:color="000000"/>
        </w:rPr>
        <w:t>PET and PET/CT have emerged as powerful and important imaging techniques in the assessment of a variety of childhood malignancies, with PET/CT being the preferred modality. Although a number of radiopharmaceuticals exist, FDG remains the most widely used and clinically important. PET/CT scanning should occur in the context of rational and evidence-based imaging decisions, and ongoing large prospective trials will further clarify its role in the assessment of individual malignancies. It is important that a thorough understanding of variant childhood uptake patterns is obtained for accurate image interpretation.</w:t>
      </w:r>
    </w:p>
    <w:p w:rsidR="00E37287" w:rsidRPr="001B7F6D" w:rsidRDefault="00E37287" w:rsidP="001B7F6D">
      <w:pPr>
        <w:pStyle w:val="Body"/>
        <w:spacing w:line="360" w:lineRule="auto"/>
        <w:jc w:val="both"/>
        <w:rPr>
          <w:rFonts w:ascii="Book Antiqua" w:hAnsi="Book Antiqua"/>
          <w:sz w:val="24"/>
          <w:szCs w:val="24"/>
        </w:rPr>
      </w:pPr>
    </w:p>
    <w:p w:rsidR="00E37287" w:rsidRPr="00D13633" w:rsidRDefault="00D13633" w:rsidP="001B7F6D">
      <w:pPr>
        <w:pStyle w:val="Body"/>
        <w:spacing w:line="360" w:lineRule="auto"/>
        <w:jc w:val="both"/>
        <w:rPr>
          <w:rFonts w:ascii="Book Antiqua" w:eastAsia="Palatino" w:hAnsi="Book Antiqua" w:cs="Palatino"/>
          <w:b/>
          <w:sz w:val="24"/>
          <w:szCs w:val="24"/>
          <w:u w:color="000000"/>
        </w:rPr>
      </w:pPr>
      <w:r w:rsidRPr="00D13633">
        <w:rPr>
          <w:rFonts w:ascii="Book Antiqua" w:hAnsi="Book Antiqua"/>
          <w:b/>
          <w:sz w:val="24"/>
          <w:szCs w:val="24"/>
          <w:u w:color="000000"/>
        </w:rPr>
        <w:t>ACKNOWLEDGEMENTS</w:t>
      </w:r>
    </w:p>
    <w:p w:rsidR="00E37287" w:rsidRPr="001B7F6D" w:rsidRDefault="00805F76" w:rsidP="001B7F6D">
      <w:pPr>
        <w:pStyle w:val="Body"/>
        <w:spacing w:line="360" w:lineRule="auto"/>
        <w:jc w:val="both"/>
        <w:rPr>
          <w:rFonts w:ascii="Book Antiqua" w:eastAsia="Palatino" w:hAnsi="Book Antiqua" w:cs="Palatino"/>
          <w:sz w:val="24"/>
          <w:szCs w:val="24"/>
          <w:u w:color="000000"/>
        </w:rPr>
      </w:pPr>
      <w:r w:rsidRPr="001B7F6D">
        <w:rPr>
          <w:rFonts w:ascii="Book Antiqua" w:hAnsi="Book Antiqua"/>
          <w:sz w:val="24"/>
          <w:szCs w:val="24"/>
          <w:u w:color="000000"/>
        </w:rPr>
        <w:lastRenderedPageBreak/>
        <w:t>The authors would like to acknowledge Mr. Bruce McBride, Chief Physicist, Department of Nuclear Medicine and PET, The Prince of Wales and Sydney Children’s Hospitals for assistance in preparing the ‘Dosimetry’ section of this manuscript.</w:t>
      </w:r>
    </w:p>
    <w:p w:rsidR="00E37287" w:rsidRPr="001713F3" w:rsidRDefault="00E37287" w:rsidP="001713F3">
      <w:pPr>
        <w:pStyle w:val="Body"/>
        <w:spacing w:line="360" w:lineRule="auto"/>
        <w:jc w:val="both"/>
        <w:rPr>
          <w:rFonts w:ascii="Book Antiqua" w:eastAsia="Palatino" w:hAnsi="Book Antiqua" w:cs="Palatino"/>
          <w:sz w:val="24"/>
          <w:szCs w:val="24"/>
          <w:u w:color="000000"/>
        </w:rPr>
      </w:pPr>
    </w:p>
    <w:p w:rsidR="00E37287" w:rsidRPr="001713F3" w:rsidRDefault="001B7F6D" w:rsidP="001713F3">
      <w:pPr>
        <w:pStyle w:val="Body"/>
        <w:spacing w:line="360" w:lineRule="auto"/>
        <w:jc w:val="both"/>
        <w:rPr>
          <w:rFonts w:ascii="Book Antiqua" w:hAnsi="Book Antiqua"/>
          <w:b/>
          <w:sz w:val="24"/>
          <w:szCs w:val="24"/>
          <w:u w:color="000000"/>
          <w:lang w:eastAsia="zh-CN"/>
        </w:rPr>
      </w:pPr>
      <w:r w:rsidRPr="001713F3">
        <w:rPr>
          <w:rFonts w:ascii="Book Antiqua" w:hAnsi="Book Antiqua"/>
          <w:b/>
          <w:sz w:val="24"/>
          <w:szCs w:val="24"/>
          <w:u w:color="000000"/>
        </w:rPr>
        <w:t>REFERENCES</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1 </w:t>
      </w:r>
      <w:r w:rsidRPr="001713F3">
        <w:rPr>
          <w:rFonts w:ascii="Book Antiqua" w:eastAsia="宋体" w:hAnsi="Book Antiqua" w:cs="宋体"/>
          <w:b/>
          <w:bCs/>
          <w:color w:val="000000"/>
          <w:bdr w:val="none" w:sz="0" w:space="0" w:color="auto"/>
          <w:lang w:eastAsia="zh-CN"/>
        </w:rPr>
        <w:t>Gatta G</w:t>
      </w:r>
      <w:r w:rsidRPr="001713F3">
        <w:rPr>
          <w:rFonts w:ascii="Book Antiqua" w:eastAsia="宋体" w:hAnsi="Book Antiqua" w:cs="宋体"/>
          <w:color w:val="000000"/>
          <w:bdr w:val="none" w:sz="0" w:space="0" w:color="auto"/>
          <w:lang w:eastAsia="zh-CN"/>
        </w:rPr>
        <w:t>, Zigon G, Capocaccia R, Coebergh JW, Desandes E, Kaatsch P, Pastore G, Peris-Bonet R, Stiller CA</w:t>
      </w:r>
      <w:r w:rsidRPr="001B7F6D">
        <w:rPr>
          <w:rFonts w:ascii="Book Antiqua" w:hAnsi="Book Antiqua"/>
        </w:rPr>
        <w:t>; EUROCARE Working Group</w:t>
      </w:r>
      <w:r w:rsidRPr="001713F3">
        <w:rPr>
          <w:rFonts w:ascii="Book Antiqua" w:eastAsia="宋体" w:hAnsi="Book Antiqua" w:cs="宋体"/>
          <w:color w:val="000000"/>
          <w:bdr w:val="none" w:sz="0" w:space="0" w:color="auto"/>
          <w:lang w:eastAsia="zh-CN"/>
        </w:rPr>
        <w:t>. Survival of European children and young adults with cancer diagnosed 1995-2002. </w:t>
      </w:r>
      <w:r w:rsidRPr="001713F3">
        <w:rPr>
          <w:rFonts w:ascii="Book Antiqua" w:eastAsia="宋体" w:hAnsi="Book Antiqua" w:cs="宋体"/>
          <w:i/>
          <w:iCs/>
          <w:color w:val="000000"/>
          <w:bdr w:val="none" w:sz="0" w:space="0" w:color="auto"/>
          <w:lang w:eastAsia="zh-CN"/>
        </w:rPr>
        <w:t>Eur J Cancer</w:t>
      </w:r>
      <w:r w:rsidRPr="001713F3">
        <w:rPr>
          <w:rFonts w:ascii="Book Antiqua" w:eastAsia="宋体" w:hAnsi="Book Antiqua" w:cs="宋体"/>
          <w:color w:val="000000"/>
          <w:bdr w:val="none" w:sz="0" w:space="0" w:color="auto"/>
          <w:lang w:eastAsia="zh-CN"/>
        </w:rPr>
        <w:t> 2009; </w:t>
      </w:r>
      <w:r w:rsidRPr="001713F3">
        <w:rPr>
          <w:rFonts w:ascii="Book Antiqua" w:eastAsia="宋体" w:hAnsi="Book Antiqua" w:cs="宋体"/>
          <w:b/>
          <w:bCs/>
          <w:color w:val="000000"/>
          <w:bdr w:val="none" w:sz="0" w:space="0" w:color="auto"/>
          <w:lang w:eastAsia="zh-CN"/>
        </w:rPr>
        <w:t>45</w:t>
      </w:r>
      <w:r w:rsidRPr="001713F3">
        <w:rPr>
          <w:rFonts w:ascii="Book Antiqua" w:eastAsia="宋体" w:hAnsi="Book Antiqua" w:cs="宋体"/>
          <w:color w:val="000000"/>
          <w:bdr w:val="none" w:sz="0" w:space="0" w:color="auto"/>
          <w:lang w:eastAsia="zh-CN"/>
        </w:rPr>
        <w:t>: 992-1005 [PMID: 19231160 DOI: 10.1016/j.ejca.2008.11.042]</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2 </w:t>
      </w:r>
      <w:r w:rsidRPr="001713F3">
        <w:rPr>
          <w:rFonts w:ascii="Book Antiqua" w:eastAsia="宋体" w:hAnsi="Book Antiqua" w:cs="宋体"/>
          <w:b/>
          <w:bCs/>
          <w:color w:val="000000"/>
          <w:bdr w:val="none" w:sz="0" w:space="0" w:color="auto"/>
          <w:lang w:eastAsia="zh-CN"/>
        </w:rPr>
        <w:t>Ouyang J</w:t>
      </w:r>
      <w:r w:rsidRPr="001713F3">
        <w:rPr>
          <w:rFonts w:ascii="Book Antiqua" w:eastAsia="宋体" w:hAnsi="Book Antiqua" w:cs="宋体"/>
          <w:color w:val="000000"/>
          <w:bdr w:val="none" w:sz="0" w:space="0" w:color="auto"/>
          <w:lang w:eastAsia="zh-CN"/>
        </w:rPr>
        <w:t>, Li Q, El Fakhri G. Magnetic resonance-based motion correction for positron emission tomography imaging.</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Semin Nucl Med</w:t>
      </w:r>
      <w:r w:rsidRPr="001713F3">
        <w:rPr>
          <w:rFonts w:ascii="Book Antiqua" w:eastAsia="宋体" w:hAnsi="Book Antiqua" w:cs="宋体"/>
          <w:color w:val="000000"/>
          <w:bdr w:val="none" w:sz="0" w:space="0" w:color="auto"/>
          <w:lang w:eastAsia="zh-CN"/>
        </w:rPr>
        <w:t> 2013; </w:t>
      </w:r>
      <w:r w:rsidRPr="001713F3">
        <w:rPr>
          <w:rFonts w:ascii="Book Antiqua" w:eastAsia="宋体" w:hAnsi="Book Antiqua" w:cs="宋体"/>
          <w:b/>
          <w:bCs/>
          <w:color w:val="000000"/>
          <w:bdr w:val="none" w:sz="0" w:space="0" w:color="auto"/>
          <w:lang w:eastAsia="zh-CN"/>
        </w:rPr>
        <w:t>43</w:t>
      </w:r>
      <w:r w:rsidRPr="001713F3">
        <w:rPr>
          <w:rFonts w:ascii="Book Antiqua" w:eastAsia="宋体" w:hAnsi="Book Antiqua" w:cs="宋体"/>
          <w:color w:val="000000"/>
          <w:bdr w:val="none" w:sz="0" w:space="0" w:color="auto"/>
          <w:lang w:eastAsia="zh-CN"/>
        </w:rPr>
        <w:t>: 60-67 [PMID: 23178089 DOI: 10.1053/j.semnuclmed.2012.08.007]</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3 </w:t>
      </w:r>
      <w:r w:rsidRPr="001713F3">
        <w:rPr>
          <w:rFonts w:ascii="Book Antiqua" w:eastAsia="宋体" w:hAnsi="Book Antiqua" w:cs="宋体"/>
          <w:b/>
          <w:bCs/>
          <w:color w:val="000000"/>
          <w:bdr w:val="none" w:sz="0" w:space="0" w:color="auto"/>
          <w:lang w:eastAsia="zh-CN"/>
        </w:rPr>
        <w:t>Juweid ME</w:t>
      </w:r>
      <w:r w:rsidRPr="001713F3">
        <w:rPr>
          <w:rFonts w:ascii="Book Antiqua" w:eastAsia="宋体" w:hAnsi="Book Antiqua" w:cs="宋体"/>
          <w:color w:val="000000"/>
          <w:bdr w:val="none" w:sz="0" w:space="0" w:color="auto"/>
          <w:lang w:eastAsia="zh-CN"/>
        </w:rPr>
        <w:t>, Cheson BD. Positron-emission tomography and assessment of cancer therapy.</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N Engl J Med</w:t>
      </w:r>
      <w:r w:rsidRPr="001713F3">
        <w:rPr>
          <w:rFonts w:ascii="Book Antiqua" w:eastAsia="宋体" w:hAnsi="Book Antiqua" w:cs="宋体"/>
          <w:color w:val="000000"/>
          <w:bdr w:val="none" w:sz="0" w:space="0" w:color="auto"/>
          <w:lang w:eastAsia="zh-CN"/>
        </w:rPr>
        <w:t> 2006; </w:t>
      </w:r>
      <w:r w:rsidRPr="001713F3">
        <w:rPr>
          <w:rFonts w:ascii="Book Antiqua" w:eastAsia="宋体" w:hAnsi="Book Antiqua" w:cs="宋体"/>
          <w:b/>
          <w:bCs/>
          <w:color w:val="000000"/>
          <w:bdr w:val="none" w:sz="0" w:space="0" w:color="auto"/>
          <w:lang w:eastAsia="zh-CN"/>
        </w:rPr>
        <w:t>354</w:t>
      </w:r>
      <w:r w:rsidRPr="001713F3">
        <w:rPr>
          <w:rFonts w:ascii="Book Antiqua" w:eastAsia="宋体" w:hAnsi="Book Antiqua" w:cs="宋体"/>
          <w:color w:val="000000"/>
          <w:bdr w:val="none" w:sz="0" w:space="0" w:color="auto"/>
          <w:lang w:eastAsia="zh-CN"/>
        </w:rPr>
        <w:t>: 496-507 [PMID: 16452561 DOI: 10.1056/NEJMra050276]</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4 </w:t>
      </w:r>
      <w:r w:rsidRPr="001713F3">
        <w:rPr>
          <w:rFonts w:ascii="Book Antiqua" w:eastAsia="宋体" w:hAnsi="Book Antiqua" w:cs="宋体"/>
          <w:b/>
          <w:bCs/>
          <w:color w:val="000000"/>
          <w:bdr w:val="none" w:sz="0" w:space="0" w:color="auto"/>
          <w:lang w:eastAsia="zh-CN"/>
        </w:rPr>
        <w:t>Storto G</w:t>
      </w:r>
      <w:r w:rsidRPr="001713F3">
        <w:rPr>
          <w:rFonts w:ascii="Book Antiqua" w:eastAsia="宋体" w:hAnsi="Book Antiqua" w:cs="宋体"/>
          <w:color w:val="000000"/>
          <w:bdr w:val="none" w:sz="0" w:space="0" w:color="auto"/>
          <w:lang w:eastAsia="zh-CN"/>
        </w:rPr>
        <w:t>, Nicolai E, Salvatore M. [18F</w:t>
      </w:r>
      <w:proofErr w:type="gramStart"/>
      <w:r w:rsidRPr="001713F3">
        <w:rPr>
          <w:rFonts w:ascii="Book Antiqua" w:eastAsia="宋体" w:hAnsi="Book Antiqua" w:cs="宋体"/>
          <w:color w:val="000000"/>
          <w:bdr w:val="none" w:sz="0" w:space="0" w:color="auto"/>
          <w:lang w:eastAsia="zh-CN"/>
        </w:rPr>
        <w:t>]FDG</w:t>
      </w:r>
      <w:proofErr w:type="gramEnd"/>
      <w:r w:rsidRPr="001713F3">
        <w:rPr>
          <w:rFonts w:ascii="Book Antiqua" w:eastAsia="宋体" w:hAnsi="Book Antiqua" w:cs="宋体"/>
          <w:color w:val="000000"/>
          <w:bdr w:val="none" w:sz="0" w:space="0" w:color="auto"/>
          <w:lang w:eastAsia="zh-CN"/>
        </w:rPr>
        <w:t>-PET-CT for early monitoring of tumor response: when and why. </w:t>
      </w:r>
      <w:r w:rsidRPr="001713F3">
        <w:rPr>
          <w:rFonts w:ascii="Book Antiqua" w:eastAsia="宋体" w:hAnsi="Book Antiqua" w:cs="宋体"/>
          <w:i/>
          <w:iCs/>
          <w:color w:val="000000"/>
          <w:bdr w:val="none" w:sz="0" w:space="0" w:color="auto"/>
          <w:lang w:eastAsia="zh-CN"/>
        </w:rPr>
        <w:t>Q J Nucl Med Mol Imaging</w:t>
      </w:r>
      <w:r w:rsidRPr="001713F3">
        <w:rPr>
          <w:rFonts w:ascii="Book Antiqua" w:eastAsia="宋体" w:hAnsi="Book Antiqua" w:cs="宋体"/>
          <w:color w:val="000000"/>
          <w:bdr w:val="none" w:sz="0" w:space="0" w:color="auto"/>
          <w:lang w:eastAsia="zh-CN"/>
        </w:rPr>
        <w:t> 2009; </w:t>
      </w:r>
      <w:r w:rsidRPr="001713F3">
        <w:rPr>
          <w:rFonts w:ascii="Book Antiqua" w:eastAsia="宋体" w:hAnsi="Book Antiqua" w:cs="宋体"/>
          <w:b/>
          <w:bCs/>
          <w:color w:val="000000"/>
          <w:bdr w:val="none" w:sz="0" w:space="0" w:color="auto"/>
          <w:lang w:eastAsia="zh-CN"/>
        </w:rPr>
        <w:t>53</w:t>
      </w:r>
      <w:r w:rsidRPr="001713F3">
        <w:rPr>
          <w:rFonts w:ascii="Book Antiqua" w:eastAsia="宋体" w:hAnsi="Book Antiqua" w:cs="宋体"/>
          <w:color w:val="000000"/>
          <w:bdr w:val="none" w:sz="0" w:space="0" w:color="auto"/>
          <w:lang w:eastAsia="zh-CN"/>
        </w:rPr>
        <w:t>: 167-180 [PMID: 19293765]</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5 </w:t>
      </w:r>
      <w:r w:rsidRPr="001713F3">
        <w:rPr>
          <w:rFonts w:ascii="Book Antiqua" w:eastAsia="宋体" w:hAnsi="Book Antiqua" w:cs="宋体"/>
          <w:b/>
          <w:bCs/>
          <w:color w:val="000000"/>
          <w:bdr w:val="none" w:sz="0" w:space="0" w:color="auto"/>
          <w:lang w:eastAsia="zh-CN"/>
        </w:rPr>
        <w:t>Wegner EA</w:t>
      </w:r>
      <w:r w:rsidRPr="001713F3">
        <w:rPr>
          <w:rFonts w:ascii="Book Antiqua" w:eastAsia="宋体" w:hAnsi="Book Antiqua" w:cs="宋体"/>
          <w:color w:val="000000"/>
          <w:bdr w:val="none" w:sz="0" w:space="0" w:color="auto"/>
          <w:lang w:eastAsia="zh-CN"/>
        </w:rPr>
        <w:t>, Barrington SF, Kingston JE, Robinson RO, Ferner RE, Taj M, Smith MA, O'Doherty MJ.</w:t>
      </w:r>
      <w:proofErr w:type="gramEnd"/>
      <w:r w:rsidRPr="001713F3">
        <w:rPr>
          <w:rFonts w:ascii="Book Antiqua" w:eastAsia="宋体" w:hAnsi="Book Antiqua" w:cs="宋体"/>
          <w:color w:val="000000"/>
          <w:bdr w:val="none" w:sz="0" w:space="0" w:color="auto"/>
          <w:lang w:eastAsia="zh-CN"/>
        </w:rPr>
        <w:t xml:space="preserve"> </w:t>
      </w:r>
      <w:proofErr w:type="gramStart"/>
      <w:r w:rsidRPr="001713F3">
        <w:rPr>
          <w:rFonts w:ascii="Book Antiqua" w:eastAsia="宋体" w:hAnsi="Book Antiqua" w:cs="宋体"/>
          <w:color w:val="000000"/>
          <w:bdr w:val="none" w:sz="0" w:space="0" w:color="auto"/>
          <w:lang w:eastAsia="zh-CN"/>
        </w:rPr>
        <w:t>The impact of PET scanning on management of paediatric oncology patients.</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2005; </w:t>
      </w:r>
      <w:r w:rsidRPr="001713F3">
        <w:rPr>
          <w:rFonts w:ascii="Book Antiqua" w:eastAsia="宋体" w:hAnsi="Book Antiqua" w:cs="宋体"/>
          <w:b/>
          <w:bCs/>
          <w:color w:val="000000"/>
          <w:bdr w:val="none" w:sz="0" w:space="0" w:color="auto"/>
          <w:lang w:eastAsia="zh-CN"/>
        </w:rPr>
        <w:t>32</w:t>
      </w:r>
      <w:r w:rsidRPr="001713F3">
        <w:rPr>
          <w:rFonts w:ascii="Book Antiqua" w:eastAsia="宋体" w:hAnsi="Book Antiqua" w:cs="宋体"/>
          <w:color w:val="000000"/>
          <w:bdr w:val="none" w:sz="0" w:space="0" w:color="auto"/>
          <w:lang w:eastAsia="zh-CN"/>
        </w:rPr>
        <w:t>: 23-30 [PMID: 15290124 DOI: 10.1007/s00259-004-1645-3]</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6 </w:t>
      </w:r>
      <w:r w:rsidRPr="001713F3">
        <w:rPr>
          <w:rFonts w:ascii="Book Antiqua" w:eastAsia="宋体" w:hAnsi="Book Antiqua" w:cs="宋体"/>
          <w:b/>
          <w:bCs/>
          <w:color w:val="000000"/>
          <w:bdr w:val="none" w:sz="0" w:space="0" w:color="auto"/>
          <w:lang w:eastAsia="zh-CN"/>
        </w:rPr>
        <w:t>Goo HW</w:t>
      </w:r>
      <w:r w:rsidRPr="001713F3">
        <w:rPr>
          <w:rFonts w:ascii="Book Antiqua" w:eastAsia="宋体" w:hAnsi="Book Antiqua" w:cs="宋体"/>
          <w:color w:val="000000"/>
          <w:bdr w:val="none" w:sz="0" w:space="0" w:color="auto"/>
          <w:lang w:eastAsia="zh-CN"/>
        </w:rPr>
        <w:t>.</w:t>
      </w:r>
      <w:proofErr w:type="gramEnd"/>
      <w:r w:rsidRPr="001713F3">
        <w:rPr>
          <w:rFonts w:ascii="Book Antiqua" w:eastAsia="宋体" w:hAnsi="Book Antiqua" w:cs="宋体"/>
          <w:color w:val="000000"/>
          <w:bdr w:val="none" w:sz="0" w:space="0" w:color="auto"/>
          <w:lang w:eastAsia="zh-CN"/>
        </w:rPr>
        <w:t xml:space="preserve"> </w:t>
      </w:r>
      <w:proofErr w:type="gramStart"/>
      <w:r w:rsidRPr="001713F3">
        <w:rPr>
          <w:rFonts w:ascii="Book Antiqua" w:eastAsia="宋体" w:hAnsi="Book Antiqua" w:cs="宋体"/>
          <w:color w:val="000000"/>
          <w:bdr w:val="none" w:sz="0" w:space="0" w:color="auto"/>
          <w:lang w:eastAsia="zh-CN"/>
        </w:rPr>
        <w:t>Regional and whole-body imaging in pediatric oncology.</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Pediatr Radiol</w:t>
      </w:r>
      <w:r w:rsidRPr="001713F3">
        <w:rPr>
          <w:rFonts w:ascii="Book Antiqua" w:eastAsia="宋体" w:hAnsi="Book Antiqua" w:cs="宋体"/>
          <w:color w:val="000000"/>
          <w:bdr w:val="none" w:sz="0" w:space="0" w:color="auto"/>
          <w:lang w:eastAsia="zh-CN"/>
        </w:rPr>
        <w:t> 2011; </w:t>
      </w:r>
      <w:r w:rsidRPr="001713F3">
        <w:rPr>
          <w:rFonts w:ascii="Book Antiqua" w:eastAsia="宋体" w:hAnsi="Book Antiqua" w:cs="宋体"/>
          <w:b/>
          <w:bCs/>
          <w:color w:val="000000"/>
          <w:bdr w:val="none" w:sz="0" w:space="0" w:color="auto"/>
          <w:lang w:eastAsia="zh-CN"/>
        </w:rPr>
        <w:t>41 Suppl 1</w:t>
      </w:r>
      <w:r w:rsidRPr="001713F3">
        <w:rPr>
          <w:rFonts w:ascii="Book Antiqua" w:eastAsia="宋体" w:hAnsi="Book Antiqua" w:cs="宋体"/>
          <w:color w:val="000000"/>
          <w:bdr w:val="none" w:sz="0" w:space="0" w:color="auto"/>
          <w:lang w:eastAsia="zh-CN"/>
        </w:rPr>
        <w:t>: S186-S194 [PMID: 21523595 DOI: 10.1007s00247-011-2050-2]</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7 </w:t>
      </w:r>
      <w:r w:rsidRPr="001713F3">
        <w:rPr>
          <w:rFonts w:ascii="Book Antiqua" w:eastAsia="宋体" w:hAnsi="Book Antiqua" w:cs="宋体"/>
          <w:b/>
          <w:bCs/>
          <w:color w:val="000000"/>
          <w:bdr w:val="none" w:sz="0" w:space="0" w:color="auto"/>
          <w:lang w:eastAsia="zh-CN"/>
        </w:rPr>
        <w:t>Bar-Sever Z</w:t>
      </w:r>
      <w:r w:rsidRPr="001713F3">
        <w:rPr>
          <w:rFonts w:ascii="Book Antiqua" w:eastAsia="宋体" w:hAnsi="Book Antiqua" w:cs="宋体"/>
          <w:color w:val="000000"/>
          <w:bdr w:val="none" w:sz="0" w:space="0" w:color="auto"/>
          <w:lang w:eastAsia="zh-CN"/>
        </w:rPr>
        <w:t xml:space="preserve">, Keidar Z, Ben-Barak A, Bar-Shalom R, Postovsky S, Guralnik L, Ben Arush MW, Israel O. </w:t>
      </w:r>
      <w:proofErr w:type="gramStart"/>
      <w:r w:rsidRPr="001713F3">
        <w:rPr>
          <w:rFonts w:ascii="Book Antiqua" w:eastAsia="宋体" w:hAnsi="Book Antiqua" w:cs="宋体"/>
          <w:color w:val="000000"/>
          <w:bdr w:val="none" w:sz="0" w:space="0" w:color="auto"/>
          <w:lang w:eastAsia="zh-CN"/>
        </w:rPr>
        <w:t>The incremental value of 18F-FDG PET/CT in paediatric malignancies.</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2007; </w:t>
      </w:r>
      <w:r w:rsidRPr="001713F3">
        <w:rPr>
          <w:rFonts w:ascii="Book Antiqua" w:eastAsia="宋体" w:hAnsi="Book Antiqua" w:cs="宋体"/>
          <w:b/>
          <w:bCs/>
          <w:color w:val="000000"/>
          <w:bdr w:val="none" w:sz="0" w:space="0" w:color="auto"/>
          <w:lang w:eastAsia="zh-CN"/>
        </w:rPr>
        <w:t>34</w:t>
      </w:r>
      <w:r w:rsidRPr="001713F3">
        <w:rPr>
          <w:rFonts w:ascii="Book Antiqua" w:eastAsia="宋体" w:hAnsi="Book Antiqua" w:cs="宋体"/>
          <w:color w:val="000000"/>
          <w:bdr w:val="none" w:sz="0" w:space="0" w:color="auto"/>
          <w:lang w:eastAsia="zh-CN"/>
        </w:rPr>
        <w:t>: 630-637 [PMID: 17048034 DOI: 10.1007/s00259-006-0253-9]</w:t>
      </w:r>
    </w:p>
    <w:p w:rsidR="001713F3" w:rsidRPr="001B7F6D" w:rsidRDefault="001713F3" w:rsidP="001713F3">
      <w:pPr>
        <w:pStyle w:val="Body"/>
        <w:spacing w:line="360" w:lineRule="auto"/>
        <w:jc w:val="both"/>
        <w:rPr>
          <w:rFonts w:ascii="Book Antiqua" w:eastAsia="Palatino" w:hAnsi="Book Antiqua" w:cs="Palatino"/>
          <w:sz w:val="24"/>
          <w:szCs w:val="24"/>
        </w:rPr>
      </w:pPr>
      <w:r>
        <w:rPr>
          <w:rFonts w:ascii="Book Antiqua" w:hAnsi="Book Antiqua"/>
          <w:sz w:val="24"/>
          <w:szCs w:val="24"/>
        </w:rPr>
        <w:t>8</w:t>
      </w:r>
      <w:r>
        <w:rPr>
          <w:rFonts w:ascii="Book Antiqua" w:hAnsi="Book Antiqua" w:hint="eastAsia"/>
          <w:sz w:val="24"/>
          <w:szCs w:val="24"/>
          <w:lang w:eastAsia="zh-CN"/>
        </w:rPr>
        <w:t xml:space="preserve"> </w:t>
      </w:r>
      <w:r w:rsidRPr="001B7F6D">
        <w:rPr>
          <w:rFonts w:ascii="Book Antiqua" w:hAnsi="Book Antiqua"/>
          <w:b/>
          <w:bCs/>
          <w:sz w:val="24"/>
          <w:szCs w:val="24"/>
        </w:rPr>
        <w:t>Yeung HW</w:t>
      </w:r>
      <w:r w:rsidRPr="001B7F6D">
        <w:rPr>
          <w:rFonts w:ascii="Book Antiqua" w:hAnsi="Book Antiqua"/>
          <w:sz w:val="24"/>
          <w:szCs w:val="24"/>
        </w:rPr>
        <w:t xml:space="preserve">, Schoder H, Smith A, Gonen M, Larson SM. Clinical value of combined positron emission tomography/computed tomography imaging in the interpretation of 2-deoxy-2-[F-18]flouro-D-glucose-positron emission tomography studies in cancer patients. </w:t>
      </w:r>
      <w:r w:rsidRPr="001B7F6D">
        <w:rPr>
          <w:rFonts w:ascii="Book Antiqua" w:hAnsi="Book Antiqua"/>
          <w:i/>
          <w:iCs/>
          <w:sz w:val="24"/>
          <w:szCs w:val="24"/>
        </w:rPr>
        <w:t xml:space="preserve">Mol Imaging Biol </w:t>
      </w:r>
      <w:r w:rsidRPr="001B7F6D">
        <w:rPr>
          <w:rFonts w:ascii="Book Antiqua" w:hAnsi="Book Antiqua"/>
          <w:sz w:val="24"/>
          <w:szCs w:val="24"/>
        </w:rPr>
        <w:t xml:space="preserve">2005; </w:t>
      </w:r>
      <w:r w:rsidRPr="001B7F6D">
        <w:rPr>
          <w:rFonts w:ascii="Book Antiqua" w:hAnsi="Book Antiqua"/>
          <w:b/>
          <w:bCs/>
          <w:sz w:val="24"/>
          <w:szCs w:val="24"/>
        </w:rPr>
        <w:t>7</w:t>
      </w:r>
      <w:r w:rsidRPr="001B7F6D">
        <w:rPr>
          <w:rFonts w:ascii="Book Antiqua" w:hAnsi="Book Antiqua"/>
          <w:sz w:val="24"/>
          <w:szCs w:val="24"/>
        </w:rPr>
        <w:t>: 229-235 [PMID: 15912427 DOI: 10.1007/s11307-005-4113-y]</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9 </w:t>
      </w:r>
      <w:r w:rsidRPr="001713F3">
        <w:rPr>
          <w:rFonts w:ascii="Book Antiqua" w:eastAsia="宋体" w:hAnsi="Book Antiqua" w:cs="宋体"/>
          <w:b/>
          <w:bCs/>
          <w:color w:val="000000"/>
          <w:bdr w:val="none" w:sz="0" w:space="0" w:color="auto"/>
          <w:lang w:eastAsia="zh-CN"/>
        </w:rPr>
        <w:t>Stauss J</w:t>
      </w:r>
      <w:r w:rsidRPr="001713F3">
        <w:rPr>
          <w:rFonts w:ascii="Book Antiqua" w:eastAsia="宋体" w:hAnsi="Book Antiqua" w:cs="宋体"/>
          <w:color w:val="000000"/>
          <w:bdr w:val="none" w:sz="0" w:space="0" w:color="auto"/>
          <w:lang w:eastAsia="zh-CN"/>
        </w:rPr>
        <w:t>, Franzius C, Pfluger T, Juergens KU, Biassoni L, Begent J, Kluge R, Amthauer H, Voelker T, Højgaard L, Barrington S, Hain S, Lynch T, Hahn K</w:t>
      </w:r>
      <w:r w:rsidRPr="001B7F6D">
        <w:rPr>
          <w:rFonts w:ascii="Book Antiqua" w:hAnsi="Book Antiqua"/>
        </w:rPr>
        <w:t>; European Association of Nuclear Medicine</w:t>
      </w:r>
      <w:r w:rsidRPr="001713F3">
        <w:rPr>
          <w:rFonts w:ascii="Book Antiqua" w:eastAsia="宋体" w:hAnsi="Book Antiqua" w:cs="宋体"/>
          <w:color w:val="000000"/>
          <w:bdr w:val="none" w:sz="0" w:space="0" w:color="auto"/>
          <w:lang w:eastAsia="zh-CN"/>
        </w:rPr>
        <w:t xml:space="preserve">. </w:t>
      </w:r>
      <w:proofErr w:type="gramStart"/>
      <w:r w:rsidRPr="001713F3">
        <w:rPr>
          <w:rFonts w:ascii="Book Antiqua" w:eastAsia="宋体" w:hAnsi="Book Antiqua" w:cs="宋体"/>
          <w:color w:val="000000"/>
          <w:bdr w:val="none" w:sz="0" w:space="0" w:color="auto"/>
          <w:lang w:eastAsia="zh-CN"/>
        </w:rPr>
        <w:t xml:space="preserve">Guidelines for 18F-FDG PET and PET-CT imaging in paediatric </w:t>
      </w:r>
      <w:r w:rsidRPr="001713F3">
        <w:rPr>
          <w:rFonts w:ascii="Book Antiqua" w:eastAsia="宋体" w:hAnsi="Book Antiqua" w:cs="宋体"/>
          <w:color w:val="000000"/>
          <w:bdr w:val="none" w:sz="0" w:space="0" w:color="auto"/>
          <w:lang w:eastAsia="zh-CN"/>
        </w:rPr>
        <w:lastRenderedPageBreak/>
        <w:t>oncology.</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2008; </w:t>
      </w:r>
      <w:r w:rsidRPr="001713F3">
        <w:rPr>
          <w:rFonts w:ascii="Book Antiqua" w:eastAsia="宋体" w:hAnsi="Book Antiqua" w:cs="宋体"/>
          <w:b/>
          <w:bCs/>
          <w:color w:val="000000"/>
          <w:bdr w:val="none" w:sz="0" w:space="0" w:color="auto"/>
          <w:lang w:eastAsia="zh-CN"/>
        </w:rPr>
        <w:t>35</w:t>
      </w:r>
      <w:r w:rsidRPr="001713F3">
        <w:rPr>
          <w:rFonts w:ascii="Book Antiqua" w:eastAsia="宋体" w:hAnsi="Book Antiqua" w:cs="宋体"/>
          <w:color w:val="000000"/>
          <w:bdr w:val="none" w:sz="0" w:space="0" w:color="auto"/>
          <w:lang w:eastAsia="zh-CN"/>
        </w:rPr>
        <w:t>: 1581-1588 [PMID: 18536914 DOI: 10.1007/s00259-008-0826-x]</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10 </w:t>
      </w:r>
      <w:r w:rsidRPr="001713F3">
        <w:rPr>
          <w:rFonts w:ascii="Book Antiqua" w:eastAsia="宋体" w:hAnsi="Book Antiqua" w:cs="宋体"/>
          <w:b/>
          <w:bCs/>
          <w:color w:val="000000"/>
          <w:bdr w:val="none" w:sz="0" w:space="0" w:color="auto"/>
          <w:lang w:eastAsia="zh-CN"/>
        </w:rPr>
        <w:t>Hawkins DS</w:t>
      </w:r>
      <w:r w:rsidRPr="001713F3">
        <w:rPr>
          <w:rFonts w:ascii="Book Antiqua" w:eastAsia="宋体" w:hAnsi="Book Antiqua" w:cs="宋体"/>
          <w:color w:val="000000"/>
          <w:bdr w:val="none" w:sz="0" w:space="0" w:color="auto"/>
          <w:lang w:eastAsia="zh-CN"/>
        </w:rPr>
        <w:t>, Rajendran JG, Conrad EU, Bruckner JD, Eary JF.</w:t>
      </w:r>
      <w:proofErr w:type="gramEnd"/>
      <w:r w:rsidRPr="001713F3">
        <w:rPr>
          <w:rFonts w:ascii="Book Antiqua" w:eastAsia="宋体" w:hAnsi="Book Antiqua" w:cs="宋体"/>
          <w:color w:val="000000"/>
          <w:bdr w:val="none" w:sz="0" w:space="0" w:color="auto"/>
          <w:lang w:eastAsia="zh-CN"/>
        </w:rPr>
        <w:t xml:space="preserve"> </w:t>
      </w:r>
      <w:proofErr w:type="gramStart"/>
      <w:r w:rsidRPr="001713F3">
        <w:rPr>
          <w:rFonts w:ascii="Book Antiqua" w:eastAsia="宋体" w:hAnsi="Book Antiqua" w:cs="宋体"/>
          <w:color w:val="000000"/>
          <w:bdr w:val="none" w:sz="0" w:space="0" w:color="auto"/>
          <w:lang w:eastAsia="zh-CN"/>
        </w:rPr>
        <w:t>Evaluation of chemotherapy response in pediatric bone sarcomas by [F-18]-fluorodeoxy-D-glucose positron emission tomography.</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Cancer</w:t>
      </w:r>
      <w:r w:rsidRPr="001713F3">
        <w:rPr>
          <w:rFonts w:ascii="Book Antiqua" w:eastAsia="宋体" w:hAnsi="Book Antiqua" w:cs="宋体"/>
          <w:color w:val="000000"/>
          <w:bdr w:val="none" w:sz="0" w:space="0" w:color="auto"/>
          <w:lang w:eastAsia="zh-CN"/>
        </w:rPr>
        <w:t> 2002; </w:t>
      </w:r>
      <w:r w:rsidRPr="001713F3">
        <w:rPr>
          <w:rFonts w:ascii="Book Antiqua" w:eastAsia="宋体" w:hAnsi="Book Antiqua" w:cs="宋体"/>
          <w:b/>
          <w:bCs/>
          <w:color w:val="000000"/>
          <w:bdr w:val="none" w:sz="0" w:space="0" w:color="auto"/>
          <w:lang w:eastAsia="zh-CN"/>
        </w:rPr>
        <w:t>94</w:t>
      </w:r>
      <w:r w:rsidRPr="001713F3">
        <w:rPr>
          <w:rFonts w:ascii="Book Antiqua" w:eastAsia="宋体" w:hAnsi="Book Antiqua" w:cs="宋体"/>
          <w:color w:val="000000"/>
          <w:bdr w:val="none" w:sz="0" w:space="0" w:color="auto"/>
          <w:lang w:eastAsia="zh-CN"/>
        </w:rPr>
        <w:t>: 3277-3284 [PMID: 12115361 DOI: 10.1002/cncr.10599]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11 </w:t>
      </w:r>
      <w:r w:rsidRPr="001713F3">
        <w:rPr>
          <w:rFonts w:ascii="Book Antiqua" w:eastAsia="宋体" w:hAnsi="Book Antiqua" w:cs="宋体"/>
          <w:b/>
          <w:bCs/>
          <w:color w:val="000000"/>
          <w:bdr w:val="none" w:sz="0" w:space="0" w:color="auto"/>
          <w:lang w:eastAsia="zh-CN"/>
        </w:rPr>
        <w:t>Bar-Shalom R</w:t>
      </w:r>
      <w:r w:rsidRPr="001713F3">
        <w:rPr>
          <w:rFonts w:ascii="Book Antiqua" w:eastAsia="宋体" w:hAnsi="Book Antiqua" w:cs="宋体"/>
          <w:color w:val="000000"/>
          <w:bdr w:val="none" w:sz="0" w:space="0" w:color="auto"/>
          <w:lang w:eastAsia="zh-CN"/>
        </w:rPr>
        <w:t>, Yefremov N, Haim N, Dann EJ, Epelbaum R, Keidar Z, Gaitini D, Frenkel A, Israel O. Camera-based FDG PET and 67Ga SPECT in evaluation of lymphoma: comparative study. </w:t>
      </w:r>
      <w:r w:rsidRPr="001713F3">
        <w:rPr>
          <w:rFonts w:ascii="Book Antiqua" w:eastAsia="宋体" w:hAnsi="Book Antiqua" w:cs="宋体"/>
          <w:i/>
          <w:iCs/>
          <w:color w:val="000000"/>
          <w:bdr w:val="none" w:sz="0" w:space="0" w:color="auto"/>
          <w:lang w:eastAsia="zh-CN"/>
        </w:rPr>
        <w:t>Radiology</w:t>
      </w:r>
      <w:r w:rsidRPr="001713F3">
        <w:rPr>
          <w:rFonts w:ascii="Book Antiqua" w:eastAsia="宋体" w:hAnsi="Book Antiqua" w:cs="宋体"/>
          <w:color w:val="000000"/>
          <w:bdr w:val="none" w:sz="0" w:space="0" w:color="auto"/>
          <w:lang w:eastAsia="zh-CN"/>
        </w:rPr>
        <w:t> 2003; </w:t>
      </w:r>
      <w:r w:rsidRPr="001713F3">
        <w:rPr>
          <w:rFonts w:ascii="Book Antiqua" w:eastAsia="宋体" w:hAnsi="Book Antiqua" w:cs="宋体"/>
          <w:b/>
          <w:bCs/>
          <w:color w:val="000000"/>
          <w:bdr w:val="none" w:sz="0" w:space="0" w:color="auto"/>
          <w:lang w:eastAsia="zh-CN"/>
        </w:rPr>
        <w:t>227</w:t>
      </w:r>
      <w:r w:rsidRPr="001713F3">
        <w:rPr>
          <w:rFonts w:ascii="Book Antiqua" w:eastAsia="宋体" w:hAnsi="Book Antiqua" w:cs="宋体"/>
          <w:color w:val="000000"/>
          <w:bdr w:val="none" w:sz="0" w:space="0" w:color="auto"/>
          <w:lang w:eastAsia="zh-CN"/>
        </w:rPr>
        <w:t>: 353-360 [PMID: 12637679 DOI: 10.1148/radiol.2272020195]</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12 </w:t>
      </w:r>
      <w:r w:rsidRPr="001713F3">
        <w:rPr>
          <w:rFonts w:ascii="Book Antiqua" w:eastAsia="宋体" w:hAnsi="Book Antiqua" w:cs="宋体"/>
          <w:b/>
          <w:bCs/>
          <w:color w:val="000000"/>
          <w:bdr w:val="none" w:sz="0" w:space="0" w:color="auto"/>
          <w:lang w:eastAsia="zh-CN"/>
        </w:rPr>
        <w:t>Costantini DL</w:t>
      </w:r>
      <w:r w:rsidRPr="001713F3">
        <w:rPr>
          <w:rFonts w:ascii="Book Antiqua" w:eastAsia="宋体" w:hAnsi="Book Antiqua" w:cs="宋体"/>
          <w:color w:val="000000"/>
          <w:bdr w:val="none" w:sz="0" w:space="0" w:color="auto"/>
          <w:lang w:eastAsia="zh-CN"/>
        </w:rPr>
        <w:t>, Vali R, Chan J, McQuattie S, Charron M. Dual-time-point FDG PET/CT for the evaluation of pediatric tumors. </w:t>
      </w:r>
      <w:r w:rsidRPr="001713F3">
        <w:rPr>
          <w:rFonts w:ascii="Book Antiqua" w:eastAsia="宋体" w:hAnsi="Book Antiqua" w:cs="宋体"/>
          <w:i/>
          <w:iCs/>
          <w:color w:val="000000"/>
          <w:bdr w:val="none" w:sz="0" w:space="0" w:color="auto"/>
          <w:lang w:eastAsia="zh-CN"/>
        </w:rPr>
        <w:t>AJR Am J Roentgenol</w:t>
      </w:r>
      <w:r w:rsidRPr="001713F3">
        <w:rPr>
          <w:rFonts w:ascii="Book Antiqua" w:eastAsia="宋体" w:hAnsi="Book Antiqua" w:cs="宋体"/>
          <w:color w:val="000000"/>
          <w:bdr w:val="none" w:sz="0" w:space="0" w:color="auto"/>
          <w:lang w:eastAsia="zh-CN"/>
        </w:rPr>
        <w:t> 2013; </w:t>
      </w:r>
      <w:r w:rsidRPr="001713F3">
        <w:rPr>
          <w:rFonts w:ascii="Book Antiqua" w:eastAsia="宋体" w:hAnsi="Book Antiqua" w:cs="宋体"/>
          <w:b/>
          <w:bCs/>
          <w:color w:val="000000"/>
          <w:bdr w:val="none" w:sz="0" w:space="0" w:color="auto"/>
          <w:lang w:eastAsia="zh-CN"/>
        </w:rPr>
        <w:t>200</w:t>
      </w:r>
      <w:r w:rsidRPr="001713F3">
        <w:rPr>
          <w:rFonts w:ascii="Book Antiqua" w:eastAsia="宋体" w:hAnsi="Book Antiqua" w:cs="宋体"/>
          <w:color w:val="000000"/>
          <w:bdr w:val="none" w:sz="0" w:space="0" w:color="auto"/>
          <w:lang w:eastAsia="zh-CN"/>
        </w:rPr>
        <w:t>: 408-413 [PMID: 23345365 DOI: 10.2214/AJR.12.8930]</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13 </w:t>
      </w:r>
      <w:r w:rsidRPr="001713F3">
        <w:rPr>
          <w:rFonts w:ascii="Book Antiqua" w:eastAsia="宋体" w:hAnsi="Book Antiqua" w:cs="宋体"/>
          <w:b/>
          <w:bCs/>
          <w:color w:val="000000"/>
          <w:bdr w:val="none" w:sz="0" w:space="0" w:color="auto"/>
          <w:lang w:eastAsia="zh-CN"/>
        </w:rPr>
        <w:t>Jadvar H</w:t>
      </w:r>
      <w:r w:rsidRPr="001713F3">
        <w:rPr>
          <w:rFonts w:ascii="Book Antiqua" w:eastAsia="宋体" w:hAnsi="Book Antiqua" w:cs="宋体"/>
          <w:color w:val="000000"/>
          <w:bdr w:val="none" w:sz="0" w:space="0" w:color="auto"/>
          <w:lang w:eastAsia="zh-CN"/>
        </w:rPr>
        <w:t>, Connolly LP, Fahey FH, Shulkin BL. PET and PET/CT in pediatric oncology.</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Semin Nucl Med</w:t>
      </w:r>
      <w:r w:rsidRPr="001713F3">
        <w:rPr>
          <w:rFonts w:ascii="Book Antiqua" w:eastAsia="宋体" w:hAnsi="Book Antiqua" w:cs="宋体"/>
          <w:color w:val="000000"/>
          <w:bdr w:val="none" w:sz="0" w:space="0" w:color="auto"/>
          <w:lang w:eastAsia="zh-CN"/>
        </w:rPr>
        <w:t> 2007; </w:t>
      </w:r>
      <w:r w:rsidRPr="001713F3">
        <w:rPr>
          <w:rFonts w:ascii="Book Antiqua" w:eastAsia="宋体" w:hAnsi="Book Antiqua" w:cs="宋体"/>
          <w:b/>
          <w:bCs/>
          <w:color w:val="000000"/>
          <w:bdr w:val="none" w:sz="0" w:space="0" w:color="auto"/>
          <w:lang w:eastAsia="zh-CN"/>
        </w:rPr>
        <w:t>37</w:t>
      </w:r>
      <w:r w:rsidRPr="001713F3">
        <w:rPr>
          <w:rFonts w:ascii="Book Antiqua" w:eastAsia="宋体" w:hAnsi="Book Antiqua" w:cs="宋体"/>
          <w:color w:val="000000"/>
          <w:bdr w:val="none" w:sz="0" w:space="0" w:color="auto"/>
          <w:lang w:eastAsia="zh-CN"/>
        </w:rPr>
        <w:t>: 316-331 [PMID: 17707239 DOI: 10.1053/j.semnuclmed.2007.04.001]</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14 </w:t>
      </w:r>
      <w:r w:rsidRPr="001713F3">
        <w:rPr>
          <w:rFonts w:ascii="Book Antiqua" w:eastAsia="宋体" w:hAnsi="Book Antiqua" w:cs="宋体"/>
          <w:b/>
          <w:bCs/>
          <w:color w:val="000000"/>
          <w:bdr w:val="none" w:sz="0" w:space="0" w:color="auto"/>
          <w:lang w:eastAsia="zh-CN"/>
        </w:rPr>
        <w:t>Kluge R</w:t>
      </w:r>
      <w:r w:rsidRPr="001713F3">
        <w:rPr>
          <w:rFonts w:ascii="Book Antiqua" w:eastAsia="宋体" w:hAnsi="Book Antiqua" w:cs="宋体"/>
          <w:color w:val="000000"/>
          <w:bdr w:val="none" w:sz="0" w:space="0" w:color="auto"/>
          <w:lang w:eastAsia="zh-CN"/>
        </w:rPr>
        <w:t>, Kurch L, Montravers F, Mauz-Körholz C. FDG PET/CT in children and adolescents with lymphoma. </w:t>
      </w:r>
      <w:r w:rsidRPr="001713F3">
        <w:rPr>
          <w:rFonts w:ascii="Book Antiqua" w:eastAsia="宋体" w:hAnsi="Book Antiqua" w:cs="宋体"/>
          <w:i/>
          <w:iCs/>
          <w:color w:val="000000"/>
          <w:bdr w:val="none" w:sz="0" w:space="0" w:color="auto"/>
          <w:lang w:eastAsia="zh-CN"/>
        </w:rPr>
        <w:t>Pediatr Radiol</w:t>
      </w:r>
      <w:r w:rsidRPr="001713F3">
        <w:rPr>
          <w:rFonts w:ascii="Book Antiqua" w:eastAsia="宋体" w:hAnsi="Book Antiqua" w:cs="宋体"/>
          <w:color w:val="000000"/>
          <w:bdr w:val="none" w:sz="0" w:space="0" w:color="auto"/>
          <w:lang w:eastAsia="zh-CN"/>
        </w:rPr>
        <w:t> 2013; </w:t>
      </w:r>
      <w:r w:rsidRPr="001713F3">
        <w:rPr>
          <w:rFonts w:ascii="Book Antiqua" w:eastAsia="宋体" w:hAnsi="Book Antiqua" w:cs="宋体"/>
          <w:b/>
          <w:bCs/>
          <w:color w:val="000000"/>
          <w:bdr w:val="none" w:sz="0" w:space="0" w:color="auto"/>
          <w:lang w:eastAsia="zh-CN"/>
        </w:rPr>
        <w:t>43</w:t>
      </w:r>
      <w:r w:rsidRPr="001713F3">
        <w:rPr>
          <w:rFonts w:ascii="Book Antiqua" w:eastAsia="宋体" w:hAnsi="Book Antiqua" w:cs="宋体"/>
          <w:color w:val="000000"/>
          <w:bdr w:val="none" w:sz="0" w:space="0" w:color="auto"/>
          <w:lang w:eastAsia="zh-CN"/>
        </w:rPr>
        <w:t>: 406-417 [PMID: 23525767 DOI: 10.1007/s00247-012-2559-z]</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15 </w:t>
      </w:r>
      <w:r w:rsidRPr="001713F3">
        <w:rPr>
          <w:rFonts w:ascii="Book Antiqua" w:eastAsia="宋体" w:hAnsi="Book Antiqua" w:cs="宋体"/>
          <w:b/>
          <w:bCs/>
          <w:color w:val="000000"/>
          <w:bdr w:val="none" w:sz="0" w:space="0" w:color="auto"/>
          <w:lang w:eastAsia="zh-CN"/>
        </w:rPr>
        <w:t>Kabickova E</w:t>
      </w:r>
      <w:r w:rsidRPr="001713F3">
        <w:rPr>
          <w:rFonts w:ascii="Book Antiqua" w:eastAsia="宋体" w:hAnsi="Book Antiqua" w:cs="宋体"/>
          <w:color w:val="000000"/>
          <w:bdr w:val="none" w:sz="0" w:space="0" w:color="auto"/>
          <w:lang w:eastAsia="zh-CN"/>
        </w:rPr>
        <w:t>, Sumerauer D, Cumlivska E, Drahokoupilova E, Nekolna M, Chanova M, Hladikova M, Kodet R, Belohlavek O. Comparison of 18F-FDG-PET and standard procedures for the pretreatment staging of children and adolescents with Hodgkin's disease.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2006; </w:t>
      </w:r>
      <w:r w:rsidRPr="001713F3">
        <w:rPr>
          <w:rFonts w:ascii="Book Antiqua" w:eastAsia="宋体" w:hAnsi="Book Antiqua" w:cs="宋体"/>
          <w:b/>
          <w:bCs/>
          <w:color w:val="000000"/>
          <w:bdr w:val="none" w:sz="0" w:space="0" w:color="auto"/>
          <w:lang w:eastAsia="zh-CN"/>
        </w:rPr>
        <w:t>33</w:t>
      </w:r>
      <w:r w:rsidRPr="001713F3">
        <w:rPr>
          <w:rFonts w:ascii="Book Antiqua" w:eastAsia="宋体" w:hAnsi="Book Antiqua" w:cs="宋体"/>
          <w:color w:val="000000"/>
          <w:bdr w:val="none" w:sz="0" w:space="0" w:color="auto"/>
          <w:lang w:eastAsia="zh-CN"/>
        </w:rPr>
        <w:t>: 1025-1031 [PMID: 16565847 DOI: 10.1007/s00259-005-0019-9]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16 </w:t>
      </w:r>
      <w:r w:rsidRPr="001713F3">
        <w:rPr>
          <w:rFonts w:ascii="Book Antiqua" w:eastAsia="宋体" w:hAnsi="Book Antiqua" w:cs="宋体"/>
          <w:b/>
          <w:bCs/>
          <w:color w:val="000000"/>
          <w:bdr w:val="none" w:sz="0" w:space="0" w:color="auto"/>
          <w:lang w:eastAsia="zh-CN"/>
        </w:rPr>
        <w:t>Hernandez-Pampaloni M</w:t>
      </w:r>
      <w:r w:rsidRPr="001713F3">
        <w:rPr>
          <w:rFonts w:ascii="Book Antiqua" w:eastAsia="宋体" w:hAnsi="Book Antiqua" w:cs="宋体"/>
          <w:color w:val="000000"/>
          <w:bdr w:val="none" w:sz="0" w:space="0" w:color="auto"/>
          <w:lang w:eastAsia="zh-CN"/>
        </w:rPr>
        <w:t>, Takalkar A, Yu JQ, Zhuang H, Alavi A. F-18 FDG-PET imaging and correlation with CT in staging and follow-up of pediatric lymphomas. </w:t>
      </w:r>
      <w:r w:rsidRPr="001713F3">
        <w:rPr>
          <w:rFonts w:ascii="Book Antiqua" w:eastAsia="宋体" w:hAnsi="Book Antiqua" w:cs="宋体"/>
          <w:i/>
          <w:iCs/>
          <w:color w:val="000000"/>
          <w:bdr w:val="none" w:sz="0" w:space="0" w:color="auto"/>
          <w:lang w:eastAsia="zh-CN"/>
        </w:rPr>
        <w:t>Pediatr Radiol</w:t>
      </w:r>
      <w:r w:rsidRPr="001713F3">
        <w:rPr>
          <w:rFonts w:ascii="Book Antiqua" w:eastAsia="宋体" w:hAnsi="Book Antiqua" w:cs="宋体"/>
          <w:color w:val="000000"/>
          <w:bdr w:val="none" w:sz="0" w:space="0" w:color="auto"/>
          <w:lang w:eastAsia="zh-CN"/>
        </w:rPr>
        <w:t> 2006; </w:t>
      </w:r>
      <w:r w:rsidRPr="001713F3">
        <w:rPr>
          <w:rFonts w:ascii="Book Antiqua" w:eastAsia="宋体" w:hAnsi="Book Antiqua" w:cs="宋体"/>
          <w:b/>
          <w:bCs/>
          <w:color w:val="000000"/>
          <w:bdr w:val="none" w:sz="0" w:space="0" w:color="auto"/>
          <w:lang w:eastAsia="zh-CN"/>
        </w:rPr>
        <w:t>36</w:t>
      </w:r>
      <w:r w:rsidRPr="001713F3">
        <w:rPr>
          <w:rFonts w:ascii="Book Antiqua" w:eastAsia="宋体" w:hAnsi="Book Antiqua" w:cs="宋体"/>
          <w:color w:val="000000"/>
          <w:bdr w:val="none" w:sz="0" w:space="0" w:color="auto"/>
          <w:lang w:eastAsia="zh-CN"/>
        </w:rPr>
        <w:t>: 524-531 [PMID: 16622665 DOI: 10.1007/s00247-006-0152-z]</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17 </w:t>
      </w:r>
      <w:r w:rsidRPr="001713F3">
        <w:rPr>
          <w:rFonts w:ascii="Book Antiqua" w:eastAsia="宋体" w:hAnsi="Book Antiqua" w:cs="宋体"/>
          <w:b/>
          <w:bCs/>
          <w:color w:val="000000"/>
          <w:bdr w:val="none" w:sz="0" w:space="0" w:color="auto"/>
          <w:lang w:eastAsia="zh-CN"/>
        </w:rPr>
        <w:t>Depas G</w:t>
      </w:r>
      <w:r w:rsidRPr="001713F3">
        <w:rPr>
          <w:rFonts w:ascii="Book Antiqua" w:eastAsia="宋体" w:hAnsi="Book Antiqua" w:cs="宋体"/>
          <w:color w:val="000000"/>
          <w:bdr w:val="none" w:sz="0" w:space="0" w:color="auto"/>
          <w:lang w:eastAsia="zh-CN"/>
        </w:rPr>
        <w:t>, De Barsy C, Jerusalem G, Hoyoux C, Dresse MF, Fassotte MF, Paquet N, Foidart J, Rigo P, Hustinx R. 18F-FDG PET in children with lymphomas.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2005; </w:t>
      </w:r>
      <w:r w:rsidRPr="001713F3">
        <w:rPr>
          <w:rFonts w:ascii="Book Antiqua" w:eastAsia="宋体" w:hAnsi="Book Antiqua" w:cs="宋体"/>
          <w:b/>
          <w:bCs/>
          <w:color w:val="000000"/>
          <w:bdr w:val="none" w:sz="0" w:space="0" w:color="auto"/>
          <w:lang w:eastAsia="zh-CN"/>
        </w:rPr>
        <w:t>32</w:t>
      </w:r>
      <w:r w:rsidRPr="001713F3">
        <w:rPr>
          <w:rFonts w:ascii="Book Antiqua" w:eastAsia="宋体" w:hAnsi="Book Antiqua" w:cs="宋体"/>
          <w:color w:val="000000"/>
          <w:bdr w:val="none" w:sz="0" w:space="0" w:color="auto"/>
          <w:lang w:eastAsia="zh-CN"/>
        </w:rPr>
        <w:t>: 31-38 [PMID: 15605288 DOI: 10.1007/s00259-004-1604-z]</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lastRenderedPageBreak/>
        <w:t>18 </w:t>
      </w:r>
      <w:r w:rsidRPr="001713F3">
        <w:rPr>
          <w:rFonts w:ascii="Book Antiqua" w:eastAsia="宋体" w:hAnsi="Book Antiqua" w:cs="宋体"/>
          <w:b/>
          <w:bCs/>
          <w:color w:val="000000"/>
          <w:bdr w:val="none" w:sz="0" w:space="0" w:color="auto"/>
          <w:lang w:eastAsia="zh-CN"/>
        </w:rPr>
        <w:t>London K</w:t>
      </w:r>
      <w:r w:rsidRPr="001713F3">
        <w:rPr>
          <w:rFonts w:ascii="Book Antiqua" w:eastAsia="宋体" w:hAnsi="Book Antiqua" w:cs="宋体"/>
          <w:color w:val="000000"/>
          <w:bdr w:val="none" w:sz="0" w:space="0" w:color="auto"/>
          <w:lang w:eastAsia="zh-CN"/>
        </w:rPr>
        <w:t>, Cross S, Onikul E, Dalla-Pozza L, Howman-Giles R. 18F-FDG PET/CT in paediatric lymphoma: comparison with conventional imaging.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2011; </w:t>
      </w:r>
      <w:r w:rsidRPr="001713F3">
        <w:rPr>
          <w:rFonts w:ascii="Book Antiqua" w:eastAsia="宋体" w:hAnsi="Book Antiqua" w:cs="宋体"/>
          <w:b/>
          <w:bCs/>
          <w:color w:val="000000"/>
          <w:bdr w:val="none" w:sz="0" w:space="0" w:color="auto"/>
          <w:lang w:eastAsia="zh-CN"/>
        </w:rPr>
        <w:t>38</w:t>
      </w:r>
      <w:r w:rsidRPr="001713F3">
        <w:rPr>
          <w:rFonts w:ascii="Book Antiqua" w:eastAsia="宋体" w:hAnsi="Book Antiqua" w:cs="宋体"/>
          <w:color w:val="000000"/>
          <w:bdr w:val="none" w:sz="0" w:space="0" w:color="auto"/>
          <w:lang w:eastAsia="zh-CN"/>
        </w:rPr>
        <w:t>: 274-284 [PMID: 20848280 DOI: 10.1007/s00259-010-1619-6]</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19 </w:t>
      </w:r>
      <w:r w:rsidRPr="001713F3">
        <w:rPr>
          <w:rFonts w:ascii="Book Antiqua" w:eastAsia="宋体" w:hAnsi="Book Antiqua" w:cs="宋体"/>
          <w:b/>
          <w:bCs/>
          <w:color w:val="000000"/>
          <w:bdr w:val="none" w:sz="0" w:space="0" w:color="auto"/>
          <w:lang w:eastAsia="zh-CN"/>
        </w:rPr>
        <w:t>Riad R</w:t>
      </w:r>
      <w:r w:rsidRPr="001713F3">
        <w:rPr>
          <w:rFonts w:ascii="Book Antiqua" w:eastAsia="宋体" w:hAnsi="Book Antiqua" w:cs="宋体"/>
          <w:color w:val="000000"/>
          <w:bdr w:val="none" w:sz="0" w:space="0" w:color="auto"/>
          <w:lang w:eastAsia="zh-CN"/>
        </w:rPr>
        <w:t>, Omar W, Kotb M, Hafez M, Sidhom I, Zamzam M, Zaky I, Abdel-Dayem H. Role of PET/CT in malignant pediatric lymphoma.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2010; </w:t>
      </w:r>
      <w:r w:rsidRPr="001713F3">
        <w:rPr>
          <w:rFonts w:ascii="Book Antiqua" w:eastAsia="宋体" w:hAnsi="Book Antiqua" w:cs="宋体"/>
          <w:b/>
          <w:bCs/>
          <w:color w:val="000000"/>
          <w:bdr w:val="none" w:sz="0" w:space="0" w:color="auto"/>
          <w:lang w:eastAsia="zh-CN"/>
        </w:rPr>
        <w:t>37</w:t>
      </w:r>
      <w:r w:rsidRPr="001713F3">
        <w:rPr>
          <w:rFonts w:ascii="Book Antiqua" w:eastAsia="宋体" w:hAnsi="Book Antiqua" w:cs="宋体"/>
          <w:color w:val="000000"/>
          <w:bdr w:val="none" w:sz="0" w:space="0" w:color="auto"/>
          <w:lang w:eastAsia="zh-CN"/>
        </w:rPr>
        <w:t>: 319-329 [PMID: 19756591 DOI: 10.1007/s00259-009-1276-9]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20 </w:t>
      </w:r>
      <w:r w:rsidRPr="001713F3">
        <w:rPr>
          <w:rFonts w:ascii="Book Antiqua" w:eastAsia="宋体" w:hAnsi="Book Antiqua" w:cs="宋体"/>
          <w:b/>
          <w:bCs/>
          <w:color w:val="000000"/>
          <w:bdr w:val="none" w:sz="0" w:space="0" w:color="auto"/>
          <w:lang w:eastAsia="zh-CN"/>
        </w:rPr>
        <w:t>Purz S</w:t>
      </w:r>
      <w:r w:rsidRPr="001713F3">
        <w:rPr>
          <w:rFonts w:ascii="Book Antiqua" w:eastAsia="宋体" w:hAnsi="Book Antiqua" w:cs="宋体"/>
          <w:color w:val="000000"/>
          <w:bdr w:val="none" w:sz="0" w:space="0" w:color="auto"/>
          <w:lang w:eastAsia="zh-CN"/>
        </w:rPr>
        <w:t>, Mauz-Körholz C, Körholz D, Hasenclever D, Krausse A, Sorge I, Ruschke K, Stiefel M, Amthauer H, Schober O, Kranert WT, Weber WA, Haberkorn U, Hundsdörfer P, Ehlert K, Becker M, Rössler J, Kulozik AE, Sabri O, Kluge R. [18F]Fluorodeoxyglucose positron emission tomography for detection of bone marrow involvement in children and adolescents with Hodgkin's lymphoma. </w:t>
      </w:r>
      <w:r w:rsidRPr="001713F3">
        <w:rPr>
          <w:rFonts w:ascii="Book Antiqua" w:eastAsia="宋体" w:hAnsi="Book Antiqua" w:cs="宋体"/>
          <w:i/>
          <w:iCs/>
          <w:color w:val="000000"/>
          <w:bdr w:val="none" w:sz="0" w:space="0" w:color="auto"/>
          <w:lang w:eastAsia="zh-CN"/>
        </w:rPr>
        <w:t>J Clin Oncol</w:t>
      </w:r>
      <w:r w:rsidRPr="001713F3">
        <w:rPr>
          <w:rFonts w:ascii="Book Antiqua" w:eastAsia="宋体" w:hAnsi="Book Antiqua" w:cs="宋体"/>
          <w:color w:val="000000"/>
          <w:bdr w:val="none" w:sz="0" w:space="0" w:color="auto"/>
          <w:lang w:eastAsia="zh-CN"/>
        </w:rPr>
        <w:t> 2011; </w:t>
      </w:r>
      <w:r w:rsidRPr="001713F3">
        <w:rPr>
          <w:rFonts w:ascii="Book Antiqua" w:eastAsia="宋体" w:hAnsi="Book Antiqua" w:cs="宋体"/>
          <w:b/>
          <w:bCs/>
          <w:color w:val="000000"/>
          <w:bdr w:val="none" w:sz="0" w:space="0" w:color="auto"/>
          <w:lang w:eastAsia="zh-CN"/>
        </w:rPr>
        <w:t>29</w:t>
      </w:r>
      <w:r w:rsidRPr="001713F3">
        <w:rPr>
          <w:rFonts w:ascii="Book Antiqua" w:eastAsia="宋体" w:hAnsi="Book Antiqua" w:cs="宋体"/>
          <w:color w:val="000000"/>
          <w:bdr w:val="none" w:sz="0" w:space="0" w:color="auto"/>
          <w:lang w:eastAsia="zh-CN"/>
        </w:rPr>
        <w:t>: 3523-3528 [PMID: 21825262 DOI: 10.1200/JCO.2010.32.4996]</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21 </w:t>
      </w:r>
      <w:r w:rsidRPr="001713F3">
        <w:rPr>
          <w:rFonts w:ascii="Book Antiqua" w:eastAsia="宋体" w:hAnsi="Book Antiqua" w:cs="宋体"/>
          <w:b/>
          <w:bCs/>
          <w:color w:val="000000"/>
          <w:bdr w:val="none" w:sz="0" w:space="0" w:color="auto"/>
          <w:lang w:eastAsia="zh-CN"/>
        </w:rPr>
        <w:t>Moulin-Romsee G</w:t>
      </w:r>
      <w:r w:rsidRPr="001713F3">
        <w:rPr>
          <w:rFonts w:ascii="Book Antiqua" w:eastAsia="宋体" w:hAnsi="Book Antiqua" w:cs="宋体"/>
          <w:color w:val="000000"/>
          <w:bdr w:val="none" w:sz="0" w:space="0" w:color="auto"/>
          <w:lang w:eastAsia="zh-CN"/>
        </w:rPr>
        <w:t>, Hindié E, Cuenca X, Brice P, Decaudin D, Bénamor M, Brière J, Anitei M, Filmont JE, Sibon D, de Kerviler E, Moretti JL. (18)F-FDG PET/CT bone/bone marrow findings in Hodgkin's lymphoma may circumvent the use of bone marrow trephine biopsy at diagnosis staging.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2010; </w:t>
      </w:r>
      <w:r w:rsidRPr="001713F3">
        <w:rPr>
          <w:rFonts w:ascii="Book Antiqua" w:eastAsia="宋体" w:hAnsi="Book Antiqua" w:cs="宋体"/>
          <w:b/>
          <w:bCs/>
          <w:color w:val="000000"/>
          <w:bdr w:val="none" w:sz="0" w:space="0" w:color="auto"/>
          <w:lang w:eastAsia="zh-CN"/>
        </w:rPr>
        <w:t>37</w:t>
      </w:r>
      <w:r w:rsidRPr="001713F3">
        <w:rPr>
          <w:rFonts w:ascii="Book Antiqua" w:eastAsia="宋体" w:hAnsi="Book Antiqua" w:cs="宋体"/>
          <w:color w:val="000000"/>
          <w:bdr w:val="none" w:sz="0" w:space="0" w:color="auto"/>
          <w:lang w:eastAsia="zh-CN"/>
        </w:rPr>
        <w:t>: 1095-1105 [PMID: 20204358 DOI: 10.1007/s00259-009-1377-5]</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22 </w:t>
      </w:r>
      <w:r w:rsidRPr="001713F3">
        <w:rPr>
          <w:rFonts w:ascii="Book Antiqua" w:eastAsia="宋体" w:hAnsi="Book Antiqua" w:cs="宋体"/>
          <w:b/>
          <w:bCs/>
          <w:color w:val="000000"/>
          <w:bdr w:val="none" w:sz="0" w:space="0" w:color="auto"/>
          <w:lang w:eastAsia="zh-CN"/>
        </w:rPr>
        <w:t>Pelosi E</w:t>
      </w:r>
      <w:r w:rsidRPr="001713F3">
        <w:rPr>
          <w:rFonts w:ascii="Book Antiqua" w:eastAsia="宋体" w:hAnsi="Book Antiqua" w:cs="宋体"/>
          <w:color w:val="000000"/>
          <w:bdr w:val="none" w:sz="0" w:space="0" w:color="auto"/>
          <w:lang w:eastAsia="zh-CN"/>
        </w:rPr>
        <w:t>, Penna D, Deandreis D, Chiappella A, Skanjeti A, Vitolo U, Bisi G. FDG-PET in the detection of bone marrow disease in Hodgkin's disease and aggressive non-Hodgkin's lymphoma and its impact on clinical management. </w:t>
      </w:r>
      <w:r w:rsidRPr="001713F3">
        <w:rPr>
          <w:rFonts w:ascii="Book Antiqua" w:eastAsia="宋体" w:hAnsi="Book Antiqua" w:cs="宋体"/>
          <w:i/>
          <w:iCs/>
          <w:color w:val="000000"/>
          <w:bdr w:val="none" w:sz="0" w:space="0" w:color="auto"/>
          <w:lang w:eastAsia="zh-CN"/>
        </w:rPr>
        <w:t>Q J Nucl Med Mol Imaging</w:t>
      </w:r>
      <w:r w:rsidRPr="001713F3">
        <w:rPr>
          <w:rFonts w:ascii="Book Antiqua" w:eastAsia="宋体" w:hAnsi="Book Antiqua" w:cs="宋体"/>
          <w:color w:val="000000"/>
          <w:bdr w:val="none" w:sz="0" w:space="0" w:color="auto"/>
          <w:lang w:eastAsia="zh-CN"/>
        </w:rPr>
        <w:t> 2008; </w:t>
      </w:r>
      <w:r w:rsidRPr="001713F3">
        <w:rPr>
          <w:rFonts w:ascii="Book Antiqua" w:eastAsia="宋体" w:hAnsi="Book Antiqua" w:cs="宋体"/>
          <w:b/>
          <w:bCs/>
          <w:color w:val="000000"/>
          <w:bdr w:val="none" w:sz="0" w:space="0" w:color="auto"/>
          <w:lang w:eastAsia="zh-CN"/>
        </w:rPr>
        <w:t>52</w:t>
      </w:r>
      <w:r w:rsidRPr="001713F3">
        <w:rPr>
          <w:rFonts w:ascii="Book Antiqua" w:eastAsia="宋体" w:hAnsi="Book Antiqua" w:cs="宋体"/>
          <w:color w:val="000000"/>
          <w:bdr w:val="none" w:sz="0" w:space="0" w:color="auto"/>
          <w:lang w:eastAsia="zh-CN"/>
        </w:rPr>
        <w:t>: 9-16 [PMID: 18235420]</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23 </w:t>
      </w:r>
      <w:r w:rsidRPr="001713F3">
        <w:rPr>
          <w:rFonts w:ascii="Book Antiqua" w:eastAsia="宋体" w:hAnsi="Book Antiqua" w:cs="宋体"/>
          <w:b/>
          <w:bCs/>
          <w:color w:val="000000"/>
          <w:bdr w:val="none" w:sz="0" w:space="0" w:color="auto"/>
          <w:lang w:eastAsia="zh-CN"/>
        </w:rPr>
        <w:t>Cheng G</w:t>
      </w:r>
      <w:r w:rsidRPr="001713F3">
        <w:rPr>
          <w:rFonts w:ascii="Book Antiqua" w:eastAsia="宋体" w:hAnsi="Book Antiqua" w:cs="宋体"/>
          <w:color w:val="000000"/>
          <w:bdr w:val="none" w:sz="0" w:space="0" w:color="auto"/>
          <w:lang w:eastAsia="zh-CN"/>
        </w:rPr>
        <w:t>, Chen W, Chamroonrat W, Torigian DA, Zhuang H, Alavi A. Biopsy versus FDG PET/CT in the initial evaluation of bone marrow involvement in pediatric lymphoma patients.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2011; </w:t>
      </w:r>
      <w:r w:rsidRPr="001713F3">
        <w:rPr>
          <w:rFonts w:ascii="Book Antiqua" w:eastAsia="宋体" w:hAnsi="Book Antiqua" w:cs="宋体"/>
          <w:b/>
          <w:bCs/>
          <w:color w:val="000000"/>
          <w:bdr w:val="none" w:sz="0" w:space="0" w:color="auto"/>
          <w:lang w:eastAsia="zh-CN"/>
        </w:rPr>
        <w:t>38</w:t>
      </w:r>
      <w:r w:rsidRPr="001713F3">
        <w:rPr>
          <w:rFonts w:ascii="Book Antiqua" w:eastAsia="宋体" w:hAnsi="Book Antiqua" w:cs="宋体"/>
          <w:color w:val="000000"/>
          <w:bdr w:val="none" w:sz="0" w:space="0" w:color="auto"/>
          <w:lang w:eastAsia="zh-CN"/>
        </w:rPr>
        <w:t>: 1469-1476 [PMID: 21505896 DOI: 10.1007/s00259-011-1815-z]</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24 </w:t>
      </w:r>
      <w:r w:rsidRPr="001713F3">
        <w:rPr>
          <w:rFonts w:ascii="Book Antiqua" w:eastAsia="宋体" w:hAnsi="Book Antiqua" w:cs="宋体"/>
          <w:b/>
          <w:bCs/>
          <w:color w:val="000000"/>
          <w:bdr w:val="none" w:sz="0" w:space="0" w:color="auto"/>
          <w:lang w:eastAsia="zh-CN"/>
        </w:rPr>
        <w:t>Furth C</w:t>
      </w:r>
      <w:r w:rsidRPr="001713F3">
        <w:rPr>
          <w:rFonts w:ascii="Book Antiqua" w:eastAsia="宋体" w:hAnsi="Book Antiqua" w:cs="宋体"/>
          <w:color w:val="000000"/>
          <w:bdr w:val="none" w:sz="0" w:space="0" w:color="auto"/>
          <w:lang w:eastAsia="zh-CN"/>
        </w:rPr>
        <w:t>, Steffen IG, Amthauer H, Ruf J, Misch D, Schönberger S, Kobe C, Denecke T, Stöver B, Hautzel H, Henze G, Hundsdoerfer P. Early and late therapy response assessment with [18F</w:t>
      </w:r>
      <w:proofErr w:type="gramStart"/>
      <w:r w:rsidRPr="001713F3">
        <w:rPr>
          <w:rFonts w:ascii="Book Antiqua" w:eastAsia="宋体" w:hAnsi="Book Antiqua" w:cs="宋体"/>
          <w:color w:val="000000"/>
          <w:bdr w:val="none" w:sz="0" w:space="0" w:color="auto"/>
          <w:lang w:eastAsia="zh-CN"/>
        </w:rPr>
        <w:t>]fluorodeoxyglucose</w:t>
      </w:r>
      <w:proofErr w:type="gramEnd"/>
      <w:r w:rsidRPr="001713F3">
        <w:rPr>
          <w:rFonts w:ascii="Book Antiqua" w:eastAsia="宋体" w:hAnsi="Book Antiqua" w:cs="宋体"/>
          <w:color w:val="000000"/>
          <w:bdr w:val="none" w:sz="0" w:space="0" w:color="auto"/>
          <w:lang w:eastAsia="zh-CN"/>
        </w:rPr>
        <w:t xml:space="preserve"> positron emission tomography in pediatric Hodgkin's lymphoma: analysis of a prospective multicenter trial. </w:t>
      </w:r>
      <w:r w:rsidRPr="001713F3">
        <w:rPr>
          <w:rFonts w:ascii="Book Antiqua" w:eastAsia="宋体" w:hAnsi="Book Antiqua" w:cs="宋体"/>
          <w:i/>
          <w:iCs/>
          <w:color w:val="000000"/>
          <w:bdr w:val="none" w:sz="0" w:space="0" w:color="auto"/>
          <w:lang w:eastAsia="zh-CN"/>
        </w:rPr>
        <w:t>J Clin Oncol</w:t>
      </w:r>
      <w:r w:rsidRPr="001713F3">
        <w:rPr>
          <w:rFonts w:ascii="Book Antiqua" w:eastAsia="宋体" w:hAnsi="Book Antiqua" w:cs="宋体"/>
          <w:color w:val="000000"/>
          <w:bdr w:val="none" w:sz="0" w:space="0" w:color="auto"/>
          <w:lang w:eastAsia="zh-CN"/>
        </w:rPr>
        <w:t> 2009; </w:t>
      </w:r>
      <w:r w:rsidRPr="001713F3">
        <w:rPr>
          <w:rFonts w:ascii="Book Antiqua" w:eastAsia="宋体" w:hAnsi="Book Antiqua" w:cs="宋体"/>
          <w:b/>
          <w:bCs/>
          <w:color w:val="000000"/>
          <w:bdr w:val="none" w:sz="0" w:space="0" w:color="auto"/>
          <w:lang w:eastAsia="zh-CN"/>
        </w:rPr>
        <w:t>27</w:t>
      </w:r>
      <w:r w:rsidRPr="001713F3">
        <w:rPr>
          <w:rFonts w:ascii="Book Antiqua" w:eastAsia="宋体" w:hAnsi="Book Antiqua" w:cs="宋体"/>
          <w:color w:val="000000"/>
          <w:bdr w:val="none" w:sz="0" w:space="0" w:color="auto"/>
          <w:lang w:eastAsia="zh-CN"/>
        </w:rPr>
        <w:t>: 4385-4391 [PMID: 19667276 DOI: 10.1200/JCO.2008]</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25 </w:t>
      </w:r>
      <w:r w:rsidRPr="001713F3">
        <w:rPr>
          <w:rFonts w:ascii="Book Antiqua" w:eastAsia="宋体" w:hAnsi="Book Antiqua" w:cs="宋体"/>
          <w:b/>
          <w:bCs/>
          <w:color w:val="000000"/>
          <w:bdr w:val="none" w:sz="0" w:space="0" w:color="auto"/>
          <w:lang w:eastAsia="zh-CN"/>
        </w:rPr>
        <w:t>Hutchings M</w:t>
      </w:r>
      <w:r w:rsidRPr="001713F3">
        <w:rPr>
          <w:rFonts w:ascii="Book Antiqua" w:eastAsia="宋体" w:hAnsi="Book Antiqua" w:cs="宋体"/>
          <w:color w:val="000000"/>
          <w:bdr w:val="none" w:sz="0" w:space="0" w:color="auto"/>
          <w:lang w:eastAsia="zh-CN"/>
        </w:rPr>
        <w:t xml:space="preserve">, Loft A, Hansen M, Pedersen LM, Buhl T, Jurlander J, Buus S, Keiding S, D'Amore F, Boesen AM, Berthelsen AK, Specht L. FDG-PET after two cycles of </w:t>
      </w:r>
      <w:r w:rsidRPr="001713F3">
        <w:rPr>
          <w:rFonts w:ascii="Book Antiqua" w:eastAsia="宋体" w:hAnsi="Book Antiqua" w:cs="宋体"/>
          <w:color w:val="000000"/>
          <w:bdr w:val="none" w:sz="0" w:space="0" w:color="auto"/>
          <w:lang w:eastAsia="zh-CN"/>
        </w:rPr>
        <w:lastRenderedPageBreak/>
        <w:t>chemotherapy predicts treatment failure and progression-free survival in Hodgkin lymphoma. </w:t>
      </w:r>
      <w:r w:rsidRPr="001713F3">
        <w:rPr>
          <w:rFonts w:ascii="Book Antiqua" w:eastAsia="宋体" w:hAnsi="Book Antiqua" w:cs="宋体"/>
          <w:i/>
          <w:iCs/>
          <w:color w:val="000000"/>
          <w:bdr w:val="none" w:sz="0" w:space="0" w:color="auto"/>
          <w:lang w:eastAsia="zh-CN"/>
        </w:rPr>
        <w:t>Blood</w:t>
      </w:r>
      <w:r w:rsidRPr="001713F3">
        <w:rPr>
          <w:rFonts w:ascii="Book Antiqua" w:eastAsia="宋体" w:hAnsi="Book Antiqua" w:cs="宋体"/>
          <w:color w:val="000000"/>
          <w:bdr w:val="none" w:sz="0" w:space="0" w:color="auto"/>
          <w:lang w:eastAsia="zh-CN"/>
        </w:rPr>
        <w:t> 2006; </w:t>
      </w:r>
      <w:r w:rsidRPr="001713F3">
        <w:rPr>
          <w:rFonts w:ascii="Book Antiqua" w:eastAsia="宋体" w:hAnsi="Book Antiqua" w:cs="宋体"/>
          <w:b/>
          <w:bCs/>
          <w:color w:val="000000"/>
          <w:bdr w:val="none" w:sz="0" w:space="0" w:color="auto"/>
          <w:lang w:eastAsia="zh-CN"/>
        </w:rPr>
        <w:t>107</w:t>
      </w:r>
      <w:r w:rsidRPr="001713F3">
        <w:rPr>
          <w:rFonts w:ascii="Book Antiqua" w:eastAsia="宋体" w:hAnsi="Book Antiqua" w:cs="宋体"/>
          <w:color w:val="000000"/>
          <w:bdr w:val="none" w:sz="0" w:space="0" w:color="auto"/>
          <w:lang w:eastAsia="zh-CN"/>
        </w:rPr>
        <w:t>: 52-59 [PMID: 16150944 DOI: 10.1182/blood-2005-06-2252]</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26 </w:t>
      </w:r>
      <w:r w:rsidRPr="001713F3">
        <w:rPr>
          <w:rFonts w:ascii="Book Antiqua" w:eastAsia="宋体" w:hAnsi="Book Antiqua" w:cs="宋体"/>
          <w:b/>
          <w:bCs/>
          <w:color w:val="000000"/>
          <w:bdr w:val="none" w:sz="0" w:space="0" w:color="auto"/>
          <w:lang w:eastAsia="zh-CN"/>
        </w:rPr>
        <w:t>Kostakoglu L</w:t>
      </w:r>
      <w:r w:rsidRPr="001713F3">
        <w:rPr>
          <w:rFonts w:ascii="Book Antiqua" w:eastAsia="宋体" w:hAnsi="Book Antiqua" w:cs="宋体"/>
          <w:color w:val="000000"/>
          <w:bdr w:val="none" w:sz="0" w:space="0" w:color="auto"/>
          <w:lang w:eastAsia="zh-CN"/>
        </w:rPr>
        <w:t>, Coleman M, Leonard JP, Kuji I, Zoe H, Goldsmith SJ. PET predicts prognosis after 1 cycle of chemotherapy in aggressive lymphoma and Hodgkin's disease. </w:t>
      </w:r>
      <w:r w:rsidRPr="001713F3">
        <w:rPr>
          <w:rFonts w:ascii="Book Antiqua" w:eastAsia="宋体" w:hAnsi="Book Antiqua" w:cs="宋体"/>
          <w:i/>
          <w:iCs/>
          <w:color w:val="000000"/>
          <w:bdr w:val="none" w:sz="0" w:space="0" w:color="auto"/>
          <w:lang w:eastAsia="zh-CN"/>
        </w:rPr>
        <w:t>J Nucl Med</w:t>
      </w:r>
      <w:r w:rsidRPr="001713F3">
        <w:rPr>
          <w:rFonts w:ascii="Book Antiqua" w:eastAsia="宋体" w:hAnsi="Book Antiqua" w:cs="宋体"/>
          <w:color w:val="000000"/>
          <w:bdr w:val="none" w:sz="0" w:space="0" w:color="auto"/>
          <w:lang w:eastAsia="zh-CN"/>
        </w:rPr>
        <w:t> 2002; </w:t>
      </w:r>
      <w:r w:rsidRPr="001713F3">
        <w:rPr>
          <w:rFonts w:ascii="Book Antiqua" w:eastAsia="宋体" w:hAnsi="Book Antiqua" w:cs="宋体"/>
          <w:b/>
          <w:bCs/>
          <w:color w:val="000000"/>
          <w:bdr w:val="none" w:sz="0" w:space="0" w:color="auto"/>
          <w:lang w:eastAsia="zh-CN"/>
        </w:rPr>
        <w:t>43</w:t>
      </w:r>
      <w:r w:rsidRPr="001713F3">
        <w:rPr>
          <w:rFonts w:ascii="Book Antiqua" w:eastAsia="宋体" w:hAnsi="Book Antiqua" w:cs="宋体"/>
          <w:color w:val="000000"/>
          <w:bdr w:val="none" w:sz="0" w:space="0" w:color="auto"/>
          <w:lang w:eastAsia="zh-CN"/>
        </w:rPr>
        <w:t>: 1018-1027 [PMID: 12163626]</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27 </w:t>
      </w:r>
      <w:r w:rsidRPr="001713F3">
        <w:rPr>
          <w:rFonts w:ascii="Book Antiqua" w:eastAsia="宋体" w:hAnsi="Book Antiqua" w:cs="宋体"/>
          <w:b/>
          <w:bCs/>
          <w:color w:val="000000"/>
          <w:bdr w:val="none" w:sz="0" w:space="0" w:color="auto"/>
          <w:lang w:eastAsia="zh-CN"/>
        </w:rPr>
        <w:t>Miller E</w:t>
      </w:r>
      <w:r w:rsidRPr="001713F3">
        <w:rPr>
          <w:rFonts w:ascii="Book Antiqua" w:eastAsia="宋体" w:hAnsi="Book Antiqua" w:cs="宋体"/>
          <w:color w:val="000000"/>
          <w:bdr w:val="none" w:sz="0" w:space="0" w:color="auto"/>
          <w:lang w:eastAsia="zh-CN"/>
        </w:rPr>
        <w:t>, Metser U, Avrahami G, Dvir R, Valdman D, Sira LB, Sayar D, Burstein Y, Toren A, Yaniv I, Even-Sapir E. Role of 18F-FDG PET/CT in staging and follow-up of lymphoma in pediatric and young adult patients. </w:t>
      </w:r>
      <w:r w:rsidRPr="001713F3">
        <w:rPr>
          <w:rFonts w:ascii="Book Antiqua" w:eastAsia="宋体" w:hAnsi="Book Antiqua" w:cs="宋体"/>
          <w:i/>
          <w:iCs/>
          <w:color w:val="000000"/>
          <w:bdr w:val="none" w:sz="0" w:space="0" w:color="auto"/>
          <w:lang w:eastAsia="zh-CN"/>
        </w:rPr>
        <w:t xml:space="preserve">J Comput Assist </w:t>
      </w:r>
      <w:proofErr w:type="gramStart"/>
      <w:r w:rsidRPr="001713F3">
        <w:rPr>
          <w:rFonts w:ascii="Book Antiqua" w:eastAsia="宋体" w:hAnsi="Book Antiqua" w:cs="宋体"/>
          <w:i/>
          <w:iCs/>
          <w:color w:val="000000"/>
          <w:bdr w:val="none" w:sz="0" w:space="0" w:color="auto"/>
          <w:lang w:eastAsia="zh-CN"/>
        </w:rPr>
        <w:t>Tomogr</w:t>
      </w:r>
      <w:r w:rsidRPr="001713F3">
        <w:rPr>
          <w:rFonts w:ascii="Book Antiqua" w:eastAsia="宋体" w:hAnsi="Book Antiqua" w:cs="宋体"/>
          <w:color w:val="000000"/>
          <w:bdr w:val="none" w:sz="0" w:space="0" w:color="auto"/>
          <w:lang w:eastAsia="zh-CN"/>
        </w:rPr>
        <w:t> ;</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30</w:t>
      </w:r>
      <w:r w:rsidRPr="001713F3">
        <w:rPr>
          <w:rFonts w:ascii="Book Antiqua" w:eastAsia="宋体" w:hAnsi="Book Antiqua" w:cs="宋体"/>
          <w:color w:val="000000"/>
          <w:bdr w:val="none" w:sz="0" w:space="0" w:color="auto"/>
          <w:lang w:eastAsia="zh-CN"/>
        </w:rPr>
        <w:t>: 689-694 [PMID: 16845304 DOI: 10.1097/00004728-200607000-00022]</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28 </w:t>
      </w:r>
      <w:r w:rsidRPr="001713F3">
        <w:rPr>
          <w:rFonts w:ascii="Book Antiqua" w:eastAsia="宋体" w:hAnsi="Book Antiqua" w:cs="宋体"/>
          <w:b/>
          <w:bCs/>
          <w:color w:val="000000"/>
          <w:bdr w:val="none" w:sz="0" w:space="0" w:color="auto"/>
          <w:lang w:eastAsia="zh-CN"/>
        </w:rPr>
        <w:t>Rhodes MM</w:t>
      </w:r>
      <w:r w:rsidRPr="001713F3">
        <w:rPr>
          <w:rFonts w:ascii="Book Antiqua" w:eastAsia="宋体" w:hAnsi="Book Antiqua" w:cs="宋体"/>
          <w:color w:val="000000"/>
          <w:bdr w:val="none" w:sz="0" w:space="0" w:color="auto"/>
          <w:lang w:eastAsia="zh-CN"/>
        </w:rPr>
        <w:t>, Delbeke D, Whitlock JA, Martin W, Kuttesch JF, Frangoul HA, Shankar S. Utility of FDG-PET/CT in follow-up of children treated for Hodgkin and non-Hodgkin lymphoma. </w:t>
      </w:r>
      <w:r w:rsidRPr="001713F3">
        <w:rPr>
          <w:rFonts w:ascii="Book Antiqua" w:eastAsia="宋体" w:hAnsi="Book Antiqua" w:cs="宋体"/>
          <w:i/>
          <w:iCs/>
          <w:color w:val="000000"/>
          <w:bdr w:val="none" w:sz="0" w:space="0" w:color="auto"/>
          <w:lang w:eastAsia="zh-CN"/>
        </w:rPr>
        <w:t>J Pediatr Hematol Oncol</w:t>
      </w:r>
      <w:r w:rsidRPr="001713F3">
        <w:rPr>
          <w:rFonts w:ascii="Book Antiqua" w:eastAsia="宋体" w:hAnsi="Book Antiqua" w:cs="宋体"/>
          <w:color w:val="000000"/>
          <w:bdr w:val="none" w:sz="0" w:space="0" w:color="auto"/>
          <w:lang w:eastAsia="zh-CN"/>
        </w:rPr>
        <w:t> 2006; </w:t>
      </w:r>
      <w:r w:rsidRPr="001713F3">
        <w:rPr>
          <w:rFonts w:ascii="Book Antiqua" w:eastAsia="宋体" w:hAnsi="Book Antiqua" w:cs="宋体"/>
          <w:b/>
          <w:bCs/>
          <w:color w:val="000000"/>
          <w:bdr w:val="none" w:sz="0" w:space="0" w:color="auto"/>
          <w:lang w:eastAsia="zh-CN"/>
        </w:rPr>
        <w:t>28</w:t>
      </w:r>
      <w:r w:rsidRPr="001713F3">
        <w:rPr>
          <w:rFonts w:ascii="Book Antiqua" w:eastAsia="宋体" w:hAnsi="Book Antiqua" w:cs="宋体"/>
          <w:color w:val="000000"/>
          <w:bdr w:val="none" w:sz="0" w:space="0" w:color="auto"/>
          <w:lang w:eastAsia="zh-CN"/>
        </w:rPr>
        <w:t>: 300-306 [PMID: 16772881 DOI: 10.1097/01.mph.0000212912.37512.b1]</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29 </w:t>
      </w:r>
      <w:r w:rsidRPr="001713F3">
        <w:rPr>
          <w:rFonts w:ascii="Book Antiqua" w:eastAsia="宋体" w:hAnsi="Book Antiqua" w:cs="宋体"/>
          <w:b/>
          <w:bCs/>
          <w:color w:val="000000"/>
          <w:bdr w:val="none" w:sz="0" w:space="0" w:color="auto"/>
          <w:lang w:eastAsia="zh-CN"/>
        </w:rPr>
        <w:t>Crocchiolo R</w:t>
      </w:r>
      <w:r w:rsidRPr="001713F3">
        <w:rPr>
          <w:rFonts w:ascii="Book Antiqua" w:eastAsia="宋体" w:hAnsi="Book Antiqua" w:cs="宋体"/>
          <w:color w:val="000000"/>
          <w:bdr w:val="none" w:sz="0" w:space="0" w:color="auto"/>
          <w:lang w:eastAsia="zh-CN"/>
        </w:rPr>
        <w:t>, Fallanca F, Giovacchini G, Ferreri AJ, Assanelli A, Verona C, Pescarollo A, Bregni M, Ponzoni M, Gianolli L, Fazio F, Ciceri F. Role of 18FDG-PET/CT in detecting relapse during follow-up of patients with Hodgkin's lymphoma. </w:t>
      </w:r>
      <w:r w:rsidRPr="001713F3">
        <w:rPr>
          <w:rFonts w:ascii="Book Antiqua" w:eastAsia="宋体" w:hAnsi="Book Antiqua" w:cs="宋体"/>
          <w:i/>
          <w:iCs/>
          <w:color w:val="000000"/>
          <w:bdr w:val="none" w:sz="0" w:space="0" w:color="auto"/>
          <w:lang w:eastAsia="zh-CN"/>
        </w:rPr>
        <w:t>Ann Hematol</w:t>
      </w:r>
      <w:r w:rsidRPr="001713F3">
        <w:rPr>
          <w:rFonts w:ascii="Book Antiqua" w:eastAsia="宋体" w:hAnsi="Book Antiqua" w:cs="宋体"/>
          <w:color w:val="000000"/>
          <w:bdr w:val="none" w:sz="0" w:space="0" w:color="auto"/>
          <w:lang w:eastAsia="zh-CN"/>
        </w:rPr>
        <w:t> 2009; </w:t>
      </w:r>
      <w:r w:rsidRPr="001713F3">
        <w:rPr>
          <w:rFonts w:ascii="Book Antiqua" w:eastAsia="宋体" w:hAnsi="Book Antiqua" w:cs="宋体"/>
          <w:b/>
          <w:bCs/>
          <w:color w:val="000000"/>
          <w:bdr w:val="none" w:sz="0" w:space="0" w:color="auto"/>
          <w:lang w:eastAsia="zh-CN"/>
        </w:rPr>
        <w:t>88</w:t>
      </w:r>
      <w:r w:rsidRPr="001713F3">
        <w:rPr>
          <w:rFonts w:ascii="Book Antiqua" w:eastAsia="宋体" w:hAnsi="Book Antiqua" w:cs="宋体"/>
          <w:color w:val="000000"/>
          <w:bdr w:val="none" w:sz="0" w:space="0" w:color="auto"/>
          <w:lang w:eastAsia="zh-CN"/>
        </w:rPr>
        <w:t>: 1229-1236 [PMID: 19468730 DOI: 10.1007/s00277-009-0752-4]</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30 </w:t>
      </w:r>
      <w:r w:rsidRPr="001713F3">
        <w:rPr>
          <w:rFonts w:ascii="Book Antiqua" w:eastAsia="宋体" w:hAnsi="Book Antiqua" w:cs="宋体"/>
          <w:b/>
          <w:bCs/>
          <w:color w:val="000000"/>
          <w:bdr w:val="none" w:sz="0" w:space="0" w:color="auto"/>
          <w:lang w:eastAsia="zh-CN"/>
        </w:rPr>
        <w:t>Ramanan M</w:t>
      </w:r>
      <w:r w:rsidRPr="001713F3">
        <w:rPr>
          <w:rFonts w:ascii="Book Antiqua" w:eastAsia="宋体" w:hAnsi="Book Antiqua" w:cs="宋体"/>
          <w:color w:val="000000"/>
          <w:bdr w:val="none" w:sz="0" w:space="0" w:color="auto"/>
          <w:lang w:eastAsia="zh-CN"/>
        </w:rPr>
        <w:t>, Chaseling R. Paediatric brain tumours treated at a single, tertiary paediatric neurosurgical referral centre from 1999 to 2010 in Australia. </w:t>
      </w:r>
      <w:r w:rsidRPr="001713F3">
        <w:rPr>
          <w:rFonts w:ascii="Book Antiqua" w:eastAsia="宋体" w:hAnsi="Book Antiqua" w:cs="宋体"/>
          <w:i/>
          <w:iCs/>
          <w:color w:val="000000"/>
          <w:bdr w:val="none" w:sz="0" w:space="0" w:color="auto"/>
          <w:lang w:eastAsia="zh-CN"/>
        </w:rPr>
        <w:t>J Clin Neurosci</w:t>
      </w:r>
      <w:r w:rsidRPr="001713F3">
        <w:rPr>
          <w:rFonts w:ascii="Book Antiqua" w:eastAsia="宋体" w:hAnsi="Book Antiqua" w:cs="宋体"/>
          <w:color w:val="000000"/>
          <w:bdr w:val="none" w:sz="0" w:space="0" w:color="auto"/>
          <w:lang w:eastAsia="zh-CN"/>
        </w:rPr>
        <w:t> 2012; </w:t>
      </w:r>
      <w:r w:rsidRPr="001713F3">
        <w:rPr>
          <w:rFonts w:ascii="Book Antiqua" w:eastAsia="宋体" w:hAnsi="Book Antiqua" w:cs="宋体"/>
          <w:b/>
          <w:bCs/>
          <w:color w:val="000000"/>
          <w:bdr w:val="none" w:sz="0" w:space="0" w:color="auto"/>
          <w:lang w:eastAsia="zh-CN"/>
        </w:rPr>
        <w:t>19</w:t>
      </w:r>
      <w:r w:rsidRPr="001713F3">
        <w:rPr>
          <w:rFonts w:ascii="Book Antiqua" w:eastAsia="宋体" w:hAnsi="Book Antiqua" w:cs="宋体"/>
          <w:color w:val="000000"/>
          <w:bdr w:val="none" w:sz="0" w:space="0" w:color="auto"/>
          <w:lang w:eastAsia="zh-CN"/>
        </w:rPr>
        <w:t>: 1387-1391 [PMID: 22898201 DOI: 10.1016/j.jocn.2012.01.028]</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31 </w:t>
      </w:r>
      <w:r w:rsidRPr="001713F3">
        <w:rPr>
          <w:rFonts w:ascii="Book Antiqua" w:eastAsia="宋体" w:hAnsi="Book Antiqua" w:cs="宋体"/>
          <w:b/>
          <w:bCs/>
          <w:color w:val="000000"/>
          <w:bdr w:val="none" w:sz="0" w:space="0" w:color="auto"/>
          <w:lang w:eastAsia="zh-CN"/>
        </w:rPr>
        <w:t>Fleming AJ</w:t>
      </w:r>
      <w:r w:rsidRPr="001713F3">
        <w:rPr>
          <w:rFonts w:ascii="Book Antiqua" w:eastAsia="宋体" w:hAnsi="Book Antiqua" w:cs="宋体"/>
          <w:color w:val="000000"/>
          <w:bdr w:val="none" w:sz="0" w:space="0" w:color="auto"/>
          <w:lang w:eastAsia="zh-CN"/>
        </w:rPr>
        <w:t xml:space="preserve">, Chi SN. </w:t>
      </w:r>
      <w:proofErr w:type="gramStart"/>
      <w:r w:rsidRPr="001713F3">
        <w:rPr>
          <w:rFonts w:ascii="Book Antiqua" w:eastAsia="宋体" w:hAnsi="Book Antiqua" w:cs="宋体"/>
          <w:color w:val="000000"/>
          <w:bdr w:val="none" w:sz="0" w:space="0" w:color="auto"/>
          <w:lang w:eastAsia="zh-CN"/>
        </w:rPr>
        <w:t>Brain tumors in children.</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Curr Probl Pediatr Adolesc Health Care</w:t>
      </w:r>
      <w:r w:rsidRPr="001713F3">
        <w:rPr>
          <w:rFonts w:ascii="Book Antiqua" w:eastAsia="宋体" w:hAnsi="Book Antiqua" w:cs="宋体"/>
          <w:color w:val="000000"/>
          <w:bdr w:val="none" w:sz="0" w:space="0" w:color="auto"/>
          <w:lang w:eastAsia="zh-CN"/>
        </w:rPr>
        <w:t> 2012; </w:t>
      </w:r>
      <w:r w:rsidRPr="001713F3">
        <w:rPr>
          <w:rFonts w:ascii="Book Antiqua" w:eastAsia="宋体" w:hAnsi="Book Antiqua" w:cs="宋体"/>
          <w:b/>
          <w:bCs/>
          <w:color w:val="000000"/>
          <w:bdr w:val="none" w:sz="0" w:space="0" w:color="auto"/>
          <w:lang w:eastAsia="zh-CN"/>
        </w:rPr>
        <w:t>42</w:t>
      </w:r>
      <w:r w:rsidRPr="001713F3">
        <w:rPr>
          <w:rFonts w:ascii="Book Antiqua" w:eastAsia="宋体" w:hAnsi="Book Antiqua" w:cs="宋体"/>
          <w:color w:val="000000"/>
          <w:bdr w:val="none" w:sz="0" w:space="0" w:color="auto"/>
          <w:lang w:eastAsia="zh-CN"/>
        </w:rPr>
        <w:t>: 80-103 [PMID: 22433905 DOI: 10.1016/j.cppeds.2011.12.002]</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32 </w:t>
      </w:r>
      <w:r w:rsidRPr="001713F3">
        <w:rPr>
          <w:rFonts w:ascii="Book Antiqua" w:eastAsia="宋体" w:hAnsi="Book Antiqua" w:cs="宋体"/>
          <w:b/>
          <w:bCs/>
          <w:color w:val="000000"/>
          <w:bdr w:val="none" w:sz="0" w:space="0" w:color="auto"/>
          <w:lang w:eastAsia="zh-CN"/>
        </w:rPr>
        <w:t>Kumar R</w:t>
      </w:r>
      <w:r w:rsidRPr="001713F3">
        <w:rPr>
          <w:rFonts w:ascii="Book Antiqua" w:eastAsia="宋体" w:hAnsi="Book Antiqua" w:cs="宋体"/>
          <w:color w:val="000000"/>
          <w:bdr w:val="none" w:sz="0" w:space="0" w:color="auto"/>
          <w:lang w:eastAsia="zh-CN"/>
        </w:rPr>
        <w:t>, Shandal V, Shamim SA, Halanaik D, Malhotra A. Clinical applications of PET and PET/CT in pediatric malignancies. </w:t>
      </w:r>
      <w:r w:rsidRPr="001713F3">
        <w:rPr>
          <w:rFonts w:ascii="Book Antiqua" w:eastAsia="宋体" w:hAnsi="Book Antiqua" w:cs="宋体"/>
          <w:i/>
          <w:iCs/>
          <w:color w:val="000000"/>
          <w:bdr w:val="none" w:sz="0" w:space="0" w:color="auto"/>
          <w:lang w:eastAsia="zh-CN"/>
        </w:rPr>
        <w:t>Expert Rev Anticancer Ther</w:t>
      </w:r>
      <w:r w:rsidRPr="001713F3">
        <w:rPr>
          <w:rFonts w:ascii="Book Antiqua" w:eastAsia="宋体" w:hAnsi="Book Antiqua" w:cs="宋体"/>
          <w:color w:val="000000"/>
          <w:bdr w:val="none" w:sz="0" w:space="0" w:color="auto"/>
          <w:lang w:eastAsia="zh-CN"/>
        </w:rPr>
        <w:t> 2010; </w:t>
      </w:r>
      <w:r w:rsidRPr="001713F3">
        <w:rPr>
          <w:rFonts w:ascii="Book Antiqua" w:eastAsia="宋体" w:hAnsi="Book Antiqua" w:cs="宋体"/>
          <w:b/>
          <w:bCs/>
          <w:color w:val="000000"/>
          <w:bdr w:val="none" w:sz="0" w:space="0" w:color="auto"/>
          <w:lang w:eastAsia="zh-CN"/>
        </w:rPr>
        <w:t>10</w:t>
      </w:r>
      <w:r w:rsidRPr="001713F3">
        <w:rPr>
          <w:rFonts w:ascii="Book Antiqua" w:eastAsia="宋体" w:hAnsi="Book Antiqua" w:cs="宋体"/>
          <w:color w:val="000000"/>
          <w:bdr w:val="none" w:sz="0" w:space="0" w:color="auto"/>
          <w:lang w:eastAsia="zh-CN"/>
        </w:rPr>
        <w:t>: 755-768 [PMID: 20470007 DOI: 10.1586/era.10.12]</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33 </w:t>
      </w:r>
      <w:r w:rsidRPr="001713F3">
        <w:rPr>
          <w:rFonts w:ascii="Book Antiqua" w:eastAsia="宋体" w:hAnsi="Book Antiqua" w:cs="宋体"/>
          <w:b/>
          <w:bCs/>
          <w:color w:val="000000"/>
          <w:bdr w:val="none" w:sz="0" w:space="0" w:color="auto"/>
          <w:lang w:eastAsia="zh-CN"/>
        </w:rPr>
        <w:t>Sønderkaer S</w:t>
      </w:r>
      <w:r w:rsidRPr="001713F3">
        <w:rPr>
          <w:rFonts w:ascii="Book Antiqua" w:eastAsia="宋体" w:hAnsi="Book Antiqua" w:cs="宋体"/>
          <w:color w:val="000000"/>
          <w:bdr w:val="none" w:sz="0" w:space="0" w:color="auto"/>
          <w:lang w:eastAsia="zh-CN"/>
        </w:rPr>
        <w:t>, Schmiegelow M, Carstensen H, Nielsen LB, Müller J, Schmiegelow K. Long-term neurological outcome of childhood brain tumors treated by surgery only. </w:t>
      </w:r>
      <w:r w:rsidRPr="001713F3">
        <w:rPr>
          <w:rFonts w:ascii="Book Antiqua" w:eastAsia="宋体" w:hAnsi="Book Antiqua" w:cs="宋体"/>
          <w:i/>
          <w:iCs/>
          <w:color w:val="000000"/>
          <w:bdr w:val="none" w:sz="0" w:space="0" w:color="auto"/>
          <w:lang w:eastAsia="zh-CN"/>
        </w:rPr>
        <w:t>J Clin Oncol</w:t>
      </w:r>
      <w:r w:rsidRPr="001713F3">
        <w:rPr>
          <w:rFonts w:ascii="Book Antiqua" w:eastAsia="宋体" w:hAnsi="Book Antiqua" w:cs="宋体"/>
          <w:color w:val="000000"/>
          <w:bdr w:val="none" w:sz="0" w:space="0" w:color="auto"/>
          <w:lang w:eastAsia="zh-CN"/>
        </w:rPr>
        <w:t> 2003; </w:t>
      </w:r>
      <w:r w:rsidRPr="001713F3">
        <w:rPr>
          <w:rFonts w:ascii="Book Antiqua" w:eastAsia="宋体" w:hAnsi="Book Antiqua" w:cs="宋体"/>
          <w:b/>
          <w:bCs/>
          <w:color w:val="000000"/>
          <w:bdr w:val="none" w:sz="0" w:space="0" w:color="auto"/>
          <w:lang w:eastAsia="zh-CN"/>
        </w:rPr>
        <w:t>21</w:t>
      </w:r>
      <w:r w:rsidRPr="001713F3">
        <w:rPr>
          <w:rFonts w:ascii="Book Antiqua" w:eastAsia="宋体" w:hAnsi="Book Antiqua" w:cs="宋体"/>
          <w:color w:val="000000"/>
          <w:bdr w:val="none" w:sz="0" w:space="0" w:color="auto"/>
          <w:lang w:eastAsia="zh-CN"/>
        </w:rPr>
        <w:t>: 1347-1351 [PMID: 12663725 DOI: 10.1200/JCO.2003.08.009]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34 </w:t>
      </w:r>
      <w:r w:rsidRPr="001713F3">
        <w:rPr>
          <w:rFonts w:ascii="Book Antiqua" w:eastAsia="宋体" w:hAnsi="Book Antiqua" w:cs="宋体"/>
          <w:b/>
          <w:bCs/>
          <w:color w:val="000000"/>
          <w:bdr w:val="none" w:sz="0" w:space="0" w:color="auto"/>
          <w:lang w:eastAsia="zh-CN"/>
        </w:rPr>
        <w:t>Herholz K</w:t>
      </w:r>
      <w:r w:rsidRPr="001713F3">
        <w:rPr>
          <w:rFonts w:ascii="Book Antiqua" w:eastAsia="宋体" w:hAnsi="Book Antiqua" w:cs="宋体"/>
          <w:color w:val="000000"/>
          <w:bdr w:val="none" w:sz="0" w:space="0" w:color="auto"/>
          <w:lang w:eastAsia="zh-CN"/>
        </w:rPr>
        <w:t>, Hölzer T, Bauer B, Schröder R, Voges J, Ernestus RI, Mendoza G, Weber-Luxenburger G, Löttgen J, Thiel A, Wienhard K, Heiss WD. 11C-methionine PET for differential diagnosis of low-grade gliomas. </w:t>
      </w:r>
      <w:r w:rsidRPr="001713F3">
        <w:rPr>
          <w:rFonts w:ascii="Book Antiqua" w:eastAsia="宋体" w:hAnsi="Book Antiqua" w:cs="宋体"/>
          <w:i/>
          <w:iCs/>
          <w:color w:val="000000"/>
          <w:bdr w:val="none" w:sz="0" w:space="0" w:color="auto"/>
          <w:lang w:eastAsia="zh-CN"/>
        </w:rPr>
        <w:t>Neurology</w:t>
      </w:r>
      <w:r w:rsidRPr="001713F3">
        <w:rPr>
          <w:rFonts w:ascii="Book Antiqua" w:eastAsia="宋体" w:hAnsi="Book Antiqua" w:cs="宋体"/>
          <w:color w:val="000000"/>
          <w:bdr w:val="none" w:sz="0" w:space="0" w:color="auto"/>
          <w:lang w:eastAsia="zh-CN"/>
        </w:rPr>
        <w:t> 1998; </w:t>
      </w:r>
      <w:r w:rsidRPr="001713F3">
        <w:rPr>
          <w:rFonts w:ascii="Book Antiqua" w:eastAsia="宋体" w:hAnsi="Book Antiqua" w:cs="宋体"/>
          <w:b/>
          <w:bCs/>
          <w:color w:val="000000"/>
          <w:bdr w:val="none" w:sz="0" w:space="0" w:color="auto"/>
          <w:lang w:eastAsia="zh-CN"/>
        </w:rPr>
        <w:t>50</w:t>
      </w:r>
      <w:r w:rsidRPr="001713F3">
        <w:rPr>
          <w:rFonts w:ascii="Book Antiqua" w:eastAsia="宋体" w:hAnsi="Book Antiqua" w:cs="宋体"/>
          <w:color w:val="000000"/>
          <w:bdr w:val="none" w:sz="0" w:space="0" w:color="auto"/>
          <w:lang w:eastAsia="zh-CN"/>
        </w:rPr>
        <w:t>: 1316-1322 [PMID: 9595980 DOI: 10.1212/WNL.50.5.1316]</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lastRenderedPageBreak/>
        <w:t>35 </w:t>
      </w:r>
      <w:r w:rsidRPr="001713F3">
        <w:rPr>
          <w:rFonts w:ascii="Book Antiqua" w:eastAsia="宋体" w:hAnsi="Book Antiqua" w:cs="宋体"/>
          <w:b/>
          <w:bCs/>
          <w:color w:val="000000"/>
          <w:bdr w:val="none" w:sz="0" w:space="0" w:color="auto"/>
          <w:lang w:eastAsia="zh-CN"/>
        </w:rPr>
        <w:t>Pirotte B</w:t>
      </w:r>
      <w:r w:rsidRPr="001713F3">
        <w:rPr>
          <w:rFonts w:ascii="Book Antiqua" w:eastAsia="宋体" w:hAnsi="Book Antiqua" w:cs="宋体"/>
          <w:color w:val="000000"/>
          <w:bdr w:val="none" w:sz="0" w:space="0" w:color="auto"/>
          <w:lang w:eastAsia="zh-CN"/>
        </w:rPr>
        <w:t>, Levivier M, Morelli D, Van Bogaert P, Detemmerman D, David P, Baleriaux D, Brotchi J, Goldman S. Positron emission tomography for the early postsurgical evaluation of pediatric brain tumors. </w:t>
      </w:r>
      <w:r w:rsidRPr="001713F3">
        <w:rPr>
          <w:rFonts w:ascii="Book Antiqua" w:eastAsia="宋体" w:hAnsi="Book Antiqua" w:cs="宋体"/>
          <w:i/>
          <w:iCs/>
          <w:color w:val="000000"/>
          <w:bdr w:val="none" w:sz="0" w:space="0" w:color="auto"/>
          <w:lang w:eastAsia="zh-CN"/>
        </w:rPr>
        <w:t>Childs Nerv Syst</w:t>
      </w:r>
      <w:r w:rsidRPr="001713F3">
        <w:rPr>
          <w:rFonts w:ascii="Book Antiqua" w:eastAsia="宋体" w:hAnsi="Book Antiqua" w:cs="宋体"/>
          <w:color w:val="000000"/>
          <w:bdr w:val="none" w:sz="0" w:space="0" w:color="auto"/>
          <w:lang w:eastAsia="zh-CN"/>
        </w:rPr>
        <w:t> 2005; </w:t>
      </w:r>
      <w:r w:rsidRPr="001713F3">
        <w:rPr>
          <w:rFonts w:ascii="Book Antiqua" w:eastAsia="宋体" w:hAnsi="Book Antiqua" w:cs="宋体"/>
          <w:b/>
          <w:bCs/>
          <w:color w:val="000000"/>
          <w:bdr w:val="none" w:sz="0" w:space="0" w:color="auto"/>
          <w:lang w:eastAsia="zh-CN"/>
        </w:rPr>
        <w:t>21</w:t>
      </w:r>
      <w:r w:rsidRPr="001713F3">
        <w:rPr>
          <w:rFonts w:ascii="Book Antiqua" w:eastAsia="宋体" w:hAnsi="Book Antiqua" w:cs="宋体"/>
          <w:color w:val="000000"/>
          <w:bdr w:val="none" w:sz="0" w:space="0" w:color="auto"/>
          <w:lang w:eastAsia="zh-CN"/>
        </w:rPr>
        <w:t>: 294-300 [PMID: 15798921 DOI: 10.1007/s00381-004-1071-7]</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36 </w:t>
      </w:r>
      <w:r w:rsidRPr="001713F3">
        <w:rPr>
          <w:rFonts w:ascii="Book Antiqua" w:eastAsia="宋体" w:hAnsi="Book Antiqua" w:cs="宋体"/>
          <w:b/>
          <w:bCs/>
          <w:color w:val="000000"/>
          <w:bdr w:val="none" w:sz="0" w:space="0" w:color="auto"/>
          <w:lang w:eastAsia="zh-CN"/>
        </w:rPr>
        <w:t>Utriainen M</w:t>
      </w:r>
      <w:r w:rsidRPr="001713F3">
        <w:rPr>
          <w:rFonts w:ascii="Book Antiqua" w:eastAsia="宋体" w:hAnsi="Book Antiqua" w:cs="宋体"/>
          <w:color w:val="000000"/>
          <w:bdr w:val="none" w:sz="0" w:space="0" w:color="auto"/>
          <w:lang w:eastAsia="zh-CN"/>
        </w:rPr>
        <w:t>, Metsähonkala L, Salmi TT, Utriainen T, Kalimo H, Pihko H, Mäkipernaa A, Harila-Saari A, Jyrkkiö S, Laine J, Någren K, Minn H. Metabolic characterization of childhood brain tumors: comparison of 18F-fluorodeoxyglucose and 11C-methionine positron emission tomography. </w:t>
      </w:r>
      <w:r w:rsidRPr="001713F3">
        <w:rPr>
          <w:rFonts w:ascii="Book Antiqua" w:eastAsia="宋体" w:hAnsi="Book Antiqua" w:cs="宋体"/>
          <w:i/>
          <w:iCs/>
          <w:color w:val="000000"/>
          <w:bdr w:val="none" w:sz="0" w:space="0" w:color="auto"/>
          <w:lang w:eastAsia="zh-CN"/>
        </w:rPr>
        <w:t>Cancer</w:t>
      </w:r>
      <w:r w:rsidRPr="001713F3">
        <w:rPr>
          <w:rFonts w:ascii="Book Antiqua" w:eastAsia="宋体" w:hAnsi="Book Antiqua" w:cs="宋体"/>
          <w:color w:val="000000"/>
          <w:bdr w:val="none" w:sz="0" w:space="0" w:color="auto"/>
          <w:lang w:eastAsia="zh-CN"/>
        </w:rPr>
        <w:t> 2002; </w:t>
      </w:r>
      <w:r w:rsidRPr="001713F3">
        <w:rPr>
          <w:rFonts w:ascii="Book Antiqua" w:eastAsia="宋体" w:hAnsi="Book Antiqua" w:cs="宋体"/>
          <w:b/>
          <w:bCs/>
          <w:color w:val="000000"/>
          <w:bdr w:val="none" w:sz="0" w:space="0" w:color="auto"/>
          <w:lang w:eastAsia="zh-CN"/>
        </w:rPr>
        <w:t>95</w:t>
      </w:r>
      <w:r w:rsidRPr="001713F3">
        <w:rPr>
          <w:rFonts w:ascii="Book Antiqua" w:eastAsia="宋体" w:hAnsi="Book Antiqua" w:cs="宋体"/>
          <w:color w:val="000000"/>
          <w:bdr w:val="none" w:sz="0" w:space="0" w:color="auto"/>
          <w:lang w:eastAsia="zh-CN"/>
        </w:rPr>
        <w:t>: 1376-1386 [PMID: 12216107 DOI: 10.1002/cncr.10798]</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37 </w:t>
      </w:r>
      <w:r w:rsidRPr="001713F3">
        <w:rPr>
          <w:rFonts w:ascii="Book Antiqua" w:eastAsia="宋体" w:hAnsi="Book Antiqua" w:cs="宋体"/>
          <w:b/>
          <w:bCs/>
          <w:color w:val="000000"/>
          <w:bdr w:val="none" w:sz="0" w:space="0" w:color="auto"/>
          <w:lang w:eastAsia="zh-CN"/>
        </w:rPr>
        <w:t>Pirotte BJ</w:t>
      </w:r>
      <w:r w:rsidRPr="001713F3">
        <w:rPr>
          <w:rFonts w:ascii="Book Antiqua" w:eastAsia="宋体" w:hAnsi="Book Antiqua" w:cs="宋体"/>
          <w:color w:val="000000"/>
          <w:bdr w:val="none" w:sz="0" w:space="0" w:color="auto"/>
          <w:lang w:eastAsia="zh-CN"/>
        </w:rPr>
        <w:t>, Lubansu A, Massager N, Wikler D, Van Bogaert P, Levivier M, Brotchi J, Goldman S. Clinical impact of integrating positron emission tomography during surgery in 85 children with brain tumors. </w:t>
      </w:r>
      <w:r w:rsidRPr="001713F3">
        <w:rPr>
          <w:rFonts w:ascii="Book Antiqua" w:eastAsia="宋体" w:hAnsi="Book Antiqua" w:cs="宋体"/>
          <w:i/>
          <w:iCs/>
          <w:color w:val="000000"/>
          <w:bdr w:val="none" w:sz="0" w:space="0" w:color="auto"/>
          <w:lang w:eastAsia="zh-CN"/>
        </w:rPr>
        <w:t>J Neurosurg Pediatr</w:t>
      </w:r>
      <w:r w:rsidRPr="001713F3">
        <w:rPr>
          <w:rFonts w:ascii="Book Antiqua" w:eastAsia="宋体" w:hAnsi="Book Antiqua" w:cs="宋体"/>
          <w:color w:val="000000"/>
          <w:bdr w:val="none" w:sz="0" w:space="0" w:color="auto"/>
          <w:lang w:eastAsia="zh-CN"/>
        </w:rPr>
        <w:t> 2010; </w:t>
      </w:r>
      <w:r w:rsidRPr="001713F3">
        <w:rPr>
          <w:rFonts w:ascii="Book Antiqua" w:eastAsia="宋体" w:hAnsi="Book Antiqua" w:cs="宋体"/>
          <w:b/>
          <w:bCs/>
          <w:color w:val="000000"/>
          <w:bdr w:val="none" w:sz="0" w:space="0" w:color="auto"/>
          <w:lang w:eastAsia="zh-CN"/>
        </w:rPr>
        <w:t>5</w:t>
      </w:r>
      <w:r w:rsidRPr="001713F3">
        <w:rPr>
          <w:rFonts w:ascii="Book Antiqua" w:eastAsia="宋体" w:hAnsi="Book Antiqua" w:cs="宋体"/>
          <w:color w:val="000000"/>
          <w:bdr w:val="none" w:sz="0" w:space="0" w:color="auto"/>
          <w:lang w:eastAsia="zh-CN"/>
        </w:rPr>
        <w:t>: 486-499 [PMID: 20433263 DOI: 10.3171/2010.1.PEDS09481]</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38 </w:t>
      </w:r>
      <w:r w:rsidRPr="001713F3">
        <w:rPr>
          <w:rFonts w:ascii="Book Antiqua" w:eastAsia="宋体" w:hAnsi="Book Antiqua" w:cs="宋体"/>
          <w:b/>
          <w:bCs/>
          <w:color w:val="000000"/>
          <w:bdr w:val="none" w:sz="0" w:space="0" w:color="auto"/>
          <w:lang w:eastAsia="zh-CN"/>
        </w:rPr>
        <w:t>De Witte O</w:t>
      </w:r>
      <w:r w:rsidRPr="001713F3">
        <w:rPr>
          <w:rFonts w:ascii="Book Antiqua" w:eastAsia="宋体" w:hAnsi="Book Antiqua" w:cs="宋体"/>
          <w:color w:val="000000"/>
          <w:bdr w:val="none" w:sz="0" w:space="0" w:color="auto"/>
          <w:lang w:eastAsia="zh-CN"/>
        </w:rPr>
        <w:t>, Lefranc F, Levivier M, Salmon I, Brotchi J, Goldman S. FDG-PET as a prognostic factor in high-grade astrocytoma. </w:t>
      </w:r>
      <w:r w:rsidRPr="001713F3">
        <w:rPr>
          <w:rFonts w:ascii="Book Antiqua" w:eastAsia="宋体" w:hAnsi="Book Antiqua" w:cs="宋体"/>
          <w:i/>
          <w:iCs/>
          <w:color w:val="000000"/>
          <w:bdr w:val="none" w:sz="0" w:space="0" w:color="auto"/>
          <w:lang w:eastAsia="zh-CN"/>
        </w:rPr>
        <w:t>J Neurooncol</w:t>
      </w:r>
      <w:r w:rsidRPr="001713F3">
        <w:rPr>
          <w:rFonts w:ascii="Book Antiqua" w:eastAsia="宋体" w:hAnsi="Book Antiqua" w:cs="宋体"/>
          <w:color w:val="000000"/>
          <w:bdr w:val="none" w:sz="0" w:space="0" w:color="auto"/>
          <w:lang w:eastAsia="zh-CN"/>
        </w:rPr>
        <w:t> 2000; </w:t>
      </w:r>
      <w:r w:rsidRPr="001713F3">
        <w:rPr>
          <w:rFonts w:ascii="Book Antiqua" w:eastAsia="宋体" w:hAnsi="Book Antiqua" w:cs="宋体"/>
          <w:b/>
          <w:bCs/>
          <w:color w:val="000000"/>
          <w:bdr w:val="none" w:sz="0" w:space="0" w:color="auto"/>
          <w:lang w:eastAsia="zh-CN"/>
        </w:rPr>
        <w:t>49</w:t>
      </w:r>
      <w:r w:rsidRPr="001713F3">
        <w:rPr>
          <w:rFonts w:ascii="Book Antiqua" w:eastAsia="宋体" w:hAnsi="Book Antiqua" w:cs="宋体"/>
          <w:color w:val="000000"/>
          <w:bdr w:val="none" w:sz="0" w:space="0" w:color="auto"/>
          <w:lang w:eastAsia="zh-CN"/>
        </w:rPr>
        <w:t>: 157-163 [PMID: 11206011 DOI: 10.1023/A: 1026518002800]</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39 </w:t>
      </w:r>
      <w:r w:rsidRPr="001713F3">
        <w:rPr>
          <w:rFonts w:ascii="Book Antiqua" w:eastAsia="宋体" w:hAnsi="Book Antiqua" w:cs="宋体"/>
          <w:b/>
          <w:bCs/>
          <w:color w:val="000000"/>
          <w:bdr w:val="none" w:sz="0" w:space="0" w:color="auto"/>
          <w:lang w:eastAsia="zh-CN"/>
        </w:rPr>
        <w:t>Kruer MC</w:t>
      </w:r>
      <w:r w:rsidRPr="001713F3">
        <w:rPr>
          <w:rFonts w:ascii="Book Antiqua" w:eastAsia="宋体" w:hAnsi="Book Antiqua" w:cs="宋体"/>
          <w:color w:val="000000"/>
          <w:bdr w:val="none" w:sz="0" w:space="0" w:color="auto"/>
          <w:lang w:eastAsia="zh-CN"/>
        </w:rPr>
        <w:t xml:space="preserve">, Kaplan AM, Etzl MM, Carpentieri DF, Dickman PS, Chen K, Mathieson K, Irving A. </w:t>
      </w:r>
      <w:proofErr w:type="gramStart"/>
      <w:r w:rsidRPr="001713F3">
        <w:rPr>
          <w:rFonts w:ascii="Book Antiqua" w:eastAsia="宋体" w:hAnsi="Book Antiqua" w:cs="宋体"/>
          <w:color w:val="000000"/>
          <w:bdr w:val="none" w:sz="0" w:space="0" w:color="auto"/>
          <w:lang w:eastAsia="zh-CN"/>
        </w:rPr>
        <w:t>The value of positron emission tomography and proliferation index in predicting progression in low-grade astrocytomas of childhood.</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J Neurooncol</w:t>
      </w:r>
      <w:r w:rsidRPr="001713F3">
        <w:rPr>
          <w:rFonts w:ascii="Book Antiqua" w:eastAsia="宋体" w:hAnsi="Book Antiqua" w:cs="宋体"/>
          <w:color w:val="000000"/>
          <w:bdr w:val="none" w:sz="0" w:space="0" w:color="auto"/>
          <w:lang w:eastAsia="zh-CN"/>
        </w:rPr>
        <w:t> 2009; </w:t>
      </w:r>
      <w:r w:rsidRPr="001713F3">
        <w:rPr>
          <w:rFonts w:ascii="Book Antiqua" w:eastAsia="宋体" w:hAnsi="Book Antiqua" w:cs="宋体"/>
          <w:b/>
          <w:bCs/>
          <w:color w:val="000000"/>
          <w:bdr w:val="none" w:sz="0" w:space="0" w:color="auto"/>
          <w:lang w:eastAsia="zh-CN"/>
        </w:rPr>
        <w:t>95</w:t>
      </w:r>
      <w:r w:rsidRPr="001713F3">
        <w:rPr>
          <w:rFonts w:ascii="Book Antiqua" w:eastAsia="宋体" w:hAnsi="Book Antiqua" w:cs="宋体"/>
          <w:color w:val="000000"/>
          <w:bdr w:val="none" w:sz="0" w:space="0" w:color="auto"/>
          <w:lang w:eastAsia="zh-CN"/>
        </w:rPr>
        <w:t>: 239-245 [PMID: 19506815 DOI: 10.1007/s11060-009-9922-4]</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40 </w:t>
      </w:r>
      <w:r w:rsidRPr="001713F3">
        <w:rPr>
          <w:rFonts w:ascii="Book Antiqua" w:eastAsia="宋体" w:hAnsi="Book Antiqua" w:cs="宋体"/>
          <w:b/>
          <w:bCs/>
          <w:color w:val="000000"/>
          <w:bdr w:val="none" w:sz="0" w:space="0" w:color="auto"/>
          <w:lang w:eastAsia="zh-CN"/>
        </w:rPr>
        <w:t>Valk PE</w:t>
      </w:r>
      <w:r w:rsidRPr="001713F3">
        <w:rPr>
          <w:rFonts w:ascii="Book Antiqua" w:eastAsia="宋体" w:hAnsi="Book Antiqua" w:cs="宋体"/>
          <w:color w:val="000000"/>
          <w:bdr w:val="none" w:sz="0" w:space="0" w:color="auto"/>
          <w:lang w:eastAsia="zh-CN"/>
        </w:rPr>
        <w:t xml:space="preserve">, Budinger TF, Levin VA, Silver P, Gutin PH, Doyle WK. PET of malignant cerebral tumors after interstitial brachytherapy. </w:t>
      </w:r>
      <w:proofErr w:type="gramStart"/>
      <w:r w:rsidRPr="001713F3">
        <w:rPr>
          <w:rFonts w:ascii="Book Antiqua" w:eastAsia="宋体" w:hAnsi="Book Antiqua" w:cs="宋体"/>
          <w:color w:val="000000"/>
          <w:bdr w:val="none" w:sz="0" w:space="0" w:color="auto"/>
          <w:lang w:eastAsia="zh-CN"/>
        </w:rPr>
        <w:t>Demonstration of metabolic activity and correlation with clinical outcome.</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J Neurosurg</w:t>
      </w:r>
      <w:r w:rsidRPr="001713F3">
        <w:rPr>
          <w:rFonts w:ascii="Book Antiqua" w:eastAsia="宋体" w:hAnsi="Book Antiqua" w:cs="宋体"/>
          <w:color w:val="000000"/>
          <w:bdr w:val="none" w:sz="0" w:space="0" w:color="auto"/>
          <w:lang w:eastAsia="zh-CN"/>
        </w:rPr>
        <w:t> 1988; </w:t>
      </w:r>
      <w:r w:rsidRPr="001713F3">
        <w:rPr>
          <w:rFonts w:ascii="Book Antiqua" w:eastAsia="宋体" w:hAnsi="Book Antiqua" w:cs="宋体"/>
          <w:b/>
          <w:bCs/>
          <w:color w:val="000000"/>
          <w:bdr w:val="none" w:sz="0" w:space="0" w:color="auto"/>
          <w:lang w:eastAsia="zh-CN"/>
        </w:rPr>
        <w:t>69</w:t>
      </w:r>
      <w:r w:rsidRPr="001713F3">
        <w:rPr>
          <w:rFonts w:ascii="Book Antiqua" w:eastAsia="宋体" w:hAnsi="Book Antiqua" w:cs="宋体"/>
          <w:color w:val="000000"/>
          <w:bdr w:val="none" w:sz="0" w:space="0" w:color="auto"/>
          <w:lang w:eastAsia="zh-CN"/>
        </w:rPr>
        <w:t>: 830-838 [PMID: 2848111 DOI: 10.3171/jns.1988.69.6.0830]</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41 </w:t>
      </w:r>
      <w:r w:rsidRPr="001713F3">
        <w:rPr>
          <w:rFonts w:ascii="Book Antiqua" w:eastAsia="宋体" w:hAnsi="Book Antiqua" w:cs="宋体"/>
          <w:b/>
          <w:bCs/>
          <w:color w:val="000000"/>
          <w:bdr w:val="none" w:sz="0" w:space="0" w:color="auto"/>
          <w:lang w:eastAsia="zh-CN"/>
        </w:rPr>
        <w:t>Glantz MJ</w:t>
      </w:r>
      <w:r w:rsidRPr="001713F3">
        <w:rPr>
          <w:rFonts w:ascii="Book Antiqua" w:eastAsia="宋体" w:hAnsi="Book Antiqua" w:cs="宋体"/>
          <w:color w:val="000000"/>
          <w:bdr w:val="none" w:sz="0" w:space="0" w:color="auto"/>
          <w:lang w:eastAsia="zh-CN"/>
        </w:rPr>
        <w:t>, Hoffman JM, Coleman RE, Friedman AH, Hanson MW, Burger PC, Herndon JE, Meisler WJ, Schold SC. Identification of early recurrence of primary central nervous system tumors by [18F]fluorodeoxyglucose positron emission tomography. </w:t>
      </w:r>
      <w:r w:rsidRPr="001713F3">
        <w:rPr>
          <w:rFonts w:ascii="Book Antiqua" w:eastAsia="宋体" w:hAnsi="Book Antiqua" w:cs="宋体"/>
          <w:i/>
          <w:iCs/>
          <w:color w:val="000000"/>
          <w:bdr w:val="none" w:sz="0" w:space="0" w:color="auto"/>
          <w:lang w:eastAsia="zh-CN"/>
        </w:rPr>
        <w:t>Ann Neurol</w:t>
      </w:r>
      <w:r w:rsidRPr="001713F3">
        <w:rPr>
          <w:rFonts w:ascii="Book Antiqua" w:eastAsia="宋体" w:hAnsi="Book Antiqua" w:cs="宋体"/>
          <w:color w:val="000000"/>
          <w:bdr w:val="none" w:sz="0" w:space="0" w:color="auto"/>
          <w:lang w:eastAsia="zh-CN"/>
        </w:rPr>
        <w:t> 1991; </w:t>
      </w:r>
      <w:r w:rsidRPr="001713F3">
        <w:rPr>
          <w:rFonts w:ascii="Book Antiqua" w:eastAsia="宋体" w:hAnsi="Book Antiqua" w:cs="宋体"/>
          <w:b/>
          <w:bCs/>
          <w:color w:val="000000"/>
          <w:bdr w:val="none" w:sz="0" w:space="0" w:color="auto"/>
          <w:lang w:eastAsia="zh-CN"/>
        </w:rPr>
        <w:t>29</w:t>
      </w:r>
      <w:r w:rsidRPr="001713F3">
        <w:rPr>
          <w:rFonts w:ascii="Book Antiqua" w:eastAsia="宋体" w:hAnsi="Book Antiqua" w:cs="宋体"/>
          <w:color w:val="000000"/>
          <w:bdr w:val="none" w:sz="0" w:space="0" w:color="auto"/>
          <w:lang w:eastAsia="zh-CN"/>
        </w:rPr>
        <w:t>: 347-355 [PMID: 1929205 DOI: 10.1002/ana.410290403]</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4</w:t>
      </w:r>
      <w:r w:rsidR="005015F4">
        <w:rPr>
          <w:rFonts w:ascii="Book Antiqua" w:eastAsia="宋体" w:hAnsi="Book Antiqua" w:cs="宋体" w:hint="eastAsia"/>
          <w:color w:val="000000"/>
          <w:bdr w:val="none" w:sz="0" w:space="0" w:color="auto"/>
          <w:lang w:eastAsia="zh-CN"/>
        </w:rPr>
        <w:t>2</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Kaplan AM</w:t>
      </w:r>
      <w:r w:rsidRPr="001713F3">
        <w:rPr>
          <w:rFonts w:ascii="Book Antiqua" w:eastAsia="宋体" w:hAnsi="Book Antiqua" w:cs="宋体"/>
          <w:color w:val="000000"/>
          <w:bdr w:val="none" w:sz="0" w:space="0" w:color="auto"/>
          <w:lang w:eastAsia="zh-CN"/>
        </w:rPr>
        <w:t xml:space="preserve">, Lawson MA, Spataro J, Bandy DJ, Bonstelle CT, Moss SD, Manwaring KH, Reiman EM. </w:t>
      </w:r>
      <w:proofErr w:type="gramStart"/>
      <w:r w:rsidRPr="001713F3">
        <w:rPr>
          <w:rFonts w:ascii="Book Antiqua" w:eastAsia="宋体" w:hAnsi="Book Antiqua" w:cs="宋体"/>
          <w:color w:val="000000"/>
          <w:bdr w:val="none" w:sz="0" w:space="0" w:color="auto"/>
          <w:lang w:eastAsia="zh-CN"/>
        </w:rPr>
        <w:t>Positron emission tomography using [18F] fluorodeoxyglucose and [11C] l-methionine to metabolically characterize dysembryoplastic neuroepithelial tumors.</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J Child Neurol</w:t>
      </w:r>
      <w:r w:rsidRPr="001713F3">
        <w:rPr>
          <w:rFonts w:ascii="Book Antiqua" w:eastAsia="宋体" w:hAnsi="Book Antiqua" w:cs="宋体"/>
          <w:color w:val="000000"/>
          <w:bdr w:val="none" w:sz="0" w:space="0" w:color="auto"/>
          <w:lang w:eastAsia="zh-CN"/>
        </w:rPr>
        <w:t> 1999; </w:t>
      </w:r>
      <w:r w:rsidRPr="001713F3">
        <w:rPr>
          <w:rFonts w:ascii="Book Antiqua" w:eastAsia="宋体" w:hAnsi="Book Antiqua" w:cs="宋体"/>
          <w:b/>
          <w:bCs/>
          <w:color w:val="000000"/>
          <w:bdr w:val="none" w:sz="0" w:space="0" w:color="auto"/>
          <w:lang w:eastAsia="zh-CN"/>
        </w:rPr>
        <w:t>14</w:t>
      </w:r>
      <w:r w:rsidRPr="001713F3">
        <w:rPr>
          <w:rFonts w:ascii="Book Antiqua" w:eastAsia="宋体" w:hAnsi="Book Antiqua" w:cs="宋体"/>
          <w:color w:val="000000"/>
          <w:bdr w:val="none" w:sz="0" w:space="0" w:color="auto"/>
          <w:lang w:eastAsia="zh-CN"/>
        </w:rPr>
        <w:t>: 673-677 [PMID: 10511341 DOI: 10.1177/088307389901401009]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lastRenderedPageBreak/>
        <w:t>4</w:t>
      </w:r>
      <w:r w:rsidR="005015F4">
        <w:rPr>
          <w:rFonts w:ascii="Book Antiqua" w:eastAsia="宋体" w:hAnsi="Book Antiqua" w:cs="宋体" w:hint="eastAsia"/>
          <w:color w:val="000000"/>
          <w:bdr w:val="none" w:sz="0" w:space="0" w:color="auto"/>
          <w:lang w:eastAsia="zh-CN"/>
        </w:rPr>
        <w:t>3</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Chung JK</w:t>
      </w:r>
      <w:r w:rsidRPr="001713F3">
        <w:rPr>
          <w:rFonts w:ascii="Book Antiqua" w:eastAsia="宋体" w:hAnsi="Book Antiqua" w:cs="宋体"/>
          <w:color w:val="000000"/>
          <w:bdr w:val="none" w:sz="0" w:space="0" w:color="auto"/>
          <w:lang w:eastAsia="zh-CN"/>
        </w:rPr>
        <w:t>, Kim YK, Kim SK, Lee YJ, Paek S, Yeo JS, Jeong JM, Lee DS, Jung HW, Lee MC. Usefulness of 11C-methionine PET in the evaluation of brain lesions that are hypo- or isometabolic on 18F-FDG PET.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2002; </w:t>
      </w:r>
      <w:r w:rsidRPr="001713F3">
        <w:rPr>
          <w:rFonts w:ascii="Book Antiqua" w:eastAsia="宋体" w:hAnsi="Book Antiqua" w:cs="宋体"/>
          <w:b/>
          <w:bCs/>
          <w:color w:val="000000"/>
          <w:bdr w:val="none" w:sz="0" w:space="0" w:color="auto"/>
          <w:lang w:eastAsia="zh-CN"/>
        </w:rPr>
        <w:t>29</w:t>
      </w:r>
      <w:r w:rsidRPr="001713F3">
        <w:rPr>
          <w:rFonts w:ascii="Book Antiqua" w:eastAsia="宋体" w:hAnsi="Book Antiqua" w:cs="宋体"/>
          <w:color w:val="000000"/>
          <w:bdr w:val="none" w:sz="0" w:space="0" w:color="auto"/>
          <w:lang w:eastAsia="zh-CN"/>
        </w:rPr>
        <w:t>: 176-182 [PMID: 11926379 DOI: 10.1007/s00259-001-0690-4]</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4</w:t>
      </w:r>
      <w:r w:rsidR="005015F4">
        <w:rPr>
          <w:rFonts w:ascii="Book Antiqua" w:eastAsia="宋体" w:hAnsi="Book Antiqua" w:cs="宋体" w:hint="eastAsia"/>
          <w:color w:val="000000"/>
          <w:bdr w:val="none" w:sz="0" w:space="0" w:color="auto"/>
          <w:lang w:eastAsia="zh-CN"/>
        </w:rPr>
        <w:t>4</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Galldiks N</w:t>
      </w:r>
      <w:r w:rsidRPr="001713F3">
        <w:rPr>
          <w:rFonts w:ascii="Book Antiqua" w:eastAsia="宋体" w:hAnsi="Book Antiqua" w:cs="宋体"/>
          <w:color w:val="000000"/>
          <w:bdr w:val="none" w:sz="0" w:space="0" w:color="auto"/>
          <w:lang w:eastAsia="zh-CN"/>
        </w:rPr>
        <w:t>, Kracht LW, Berthold F, Miletic H, Klein JC, Herholz K, Jacobs AH, Heiss WD. [11C]-L-methionine positron emission tomography in the management of children and young adults with brain tumors. </w:t>
      </w:r>
      <w:r w:rsidRPr="001713F3">
        <w:rPr>
          <w:rFonts w:ascii="Book Antiqua" w:eastAsia="宋体" w:hAnsi="Book Antiqua" w:cs="宋体"/>
          <w:i/>
          <w:iCs/>
          <w:color w:val="000000"/>
          <w:bdr w:val="none" w:sz="0" w:space="0" w:color="auto"/>
          <w:lang w:eastAsia="zh-CN"/>
        </w:rPr>
        <w:t>J Neurooncol</w:t>
      </w:r>
      <w:r w:rsidRPr="001713F3">
        <w:rPr>
          <w:rFonts w:ascii="Book Antiqua" w:eastAsia="宋体" w:hAnsi="Book Antiqua" w:cs="宋体"/>
          <w:color w:val="000000"/>
          <w:bdr w:val="none" w:sz="0" w:space="0" w:color="auto"/>
          <w:lang w:eastAsia="zh-CN"/>
        </w:rPr>
        <w:t> 2010; </w:t>
      </w:r>
      <w:r w:rsidRPr="001713F3">
        <w:rPr>
          <w:rFonts w:ascii="Book Antiqua" w:eastAsia="宋体" w:hAnsi="Book Antiqua" w:cs="宋体"/>
          <w:b/>
          <w:bCs/>
          <w:color w:val="000000"/>
          <w:bdr w:val="none" w:sz="0" w:space="0" w:color="auto"/>
          <w:lang w:eastAsia="zh-CN"/>
        </w:rPr>
        <w:t>96</w:t>
      </w:r>
      <w:r w:rsidRPr="001713F3">
        <w:rPr>
          <w:rFonts w:ascii="Book Antiqua" w:eastAsia="宋体" w:hAnsi="Book Antiqua" w:cs="宋体"/>
          <w:color w:val="000000"/>
          <w:bdr w:val="none" w:sz="0" w:space="0" w:color="auto"/>
          <w:lang w:eastAsia="zh-CN"/>
        </w:rPr>
        <w:t>: 231-239 [PMID: 19575148 DOI: 10.1007/s11060-009-9953-x]</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4</w:t>
      </w:r>
      <w:r w:rsidR="005015F4">
        <w:rPr>
          <w:rFonts w:ascii="Book Antiqua" w:eastAsia="宋体" w:hAnsi="Book Antiqua" w:cs="宋体" w:hint="eastAsia"/>
          <w:color w:val="000000"/>
          <w:bdr w:val="none" w:sz="0" w:space="0" w:color="auto"/>
          <w:lang w:eastAsia="zh-CN"/>
        </w:rPr>
        <w:t>5</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Nariai T</w:t>
      </w:r>
      <w:r w:rsidRPr="001713F3">
        <w:rPr>
          <w:rFonts w:ascii="Book Antiqua" w:eastAsia="宋体" w:hAnsi="Book Antiqua" w:cs="宋体"/>
          <w:color w:val="000000"/>
          <w:bdr w:val="none" w:sz="0" w:space="0" w:color="auto"/>
          <w:lang w:eastAsia="zh-CN"/>
        </w:rPr>
        <w:t>, Tanaka Y, Wakimoto H, Aoyagi M, Tamaki M, Ishiwata K, Senda M, Ishii K, Hirakawa K, Ohno K. Usefulness of L-[methyl-11C] methionine-positron emission tomography as a biological monitoring tool in the treatment of glioma. </w:t>
      </w:r>
      <w:r w:rsidRPr="001713F3">
        <w:rPr>
          <w:rFonts w:ascii="Book Antiqua" w:eastAsia="宋体" w:hAnsi="Book Antiqua" w:cs="宋体"/>
          <w:i/>
          <w:iCs/>
          <w:color w:val="000000"/>
          <w:bdr w:val="none" w:sz="0" w:space="0" w:color="auto"/>
          <w:lang w:eastAsia="zh-CN"/>
        </w:rPr>
        <w:t>J Neurosurg</w:t>
      </w:r>
      <w:r w:rsidRPr="001713F3">
        <w:rPr>
          <w:rFonts w:ascii="Book Antiqua" w:eastAsia="宋体" w:hAnsi="Book Antiqua" w:cs="宋体"/>
          <w:color w:val="000000"/>
          <w:bdr w:val="none" w:sz="0" w:space="0" w:color="auto"/>
          <w:lang w:eastAsia="zh-CN"/>
        </w:rPr>
        <w:t> 2005; </w:t>
      </w:r>
      <w:r w:rsidRPr="001713F3">
        <w:rPr>
          <w:rFonts w:ascii="Book Antiqua" w:eastAsia="宋体" w:hAnsi="Book Antiqua" w:cs="宋体"/>
          <w:b/>
          <w:bCs/>
          <w:color w:val="000000"/>
          <w:bdr w:val="none" w:sz="0" w:space="0" w:color="auto"/>
          <w:lang w:eastAsia="zh-CN"/>
        </w:rPr>
        <w:t>103</w:t>
      </w:r>
      <w:r w:rsidRPr="001713F3">
        <w:rPr>
          <w:rFonts w:ascii="Book Antiqua" w:eastAsia="宋体" w:hAnsi="Book Antiqua" w:cs="宋体"/>
          <w:color w:val="000000"/>
          <w:bdr w:val="none" w:sz="0" w:space="0" w:color="auto"/>
          <w:lang w:eastAsia="zh-CN"/>
        </w:rPr>
        <w:t>: 498-507 [PMID: 16235683 DOI: 10.3171/jns.2005.103.3.0498]</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4</w:t>
      </w:r>
      <w:r w:rsidR="005015F4">
        <w:rPr>
          <w:rFonts w:ascii="Book Antiqua" w:eastAsia="宋体" w:hAnsi="Book Antiqua" w:cs="宋体" w:hint="eastAsia"/>
          <w:color w:val="000000"/>
          <w:bdr w:val="none" w:sz="0" w:space="0" w:color="auto"/>
          <w:lang w:eastAsia="zh-CN"/>
        </w:rPr>
        <w:t>6</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Heare T</w:t>
      </w:r>
      <w:r w:rsidRPr="001713F3">
        <w:rPr>
          <w:rFonts w:ascii="Book Antiqua" w:eastAsia="宋体" w:hAnsi="Book Antiqua" w:cs="宋体"/>
          <w:color w:val="000000"/>
          <w:bdr w:val="none" w:sz="0" w:space="0" w:color="auto"/>
          <w:lang w:eastAsia="zh-CN"/>
        </w:rPr>
        <w:t>, Hensley MA, Dell'Orfano S. Bone tumors: osteosarcoma and Ewing's sarcoma. </w:t>
      </w:r>
      <w:r w:rsidRPr="001713F3">
        <w:rPr>
          <w:rFonts w:ascii="Book Antiqua" w:eastAsia="宋体" w:hAnsi="Book Antiqua" w:cs="宋体"/>
          <w:i/>
          <w:iCs/>
          <w:color w:val="000000"/>
          <w:bdr w:val="none" w:sz="0" w:space="0" w:color="auto"/>
          <w:lang w:eastAsia="zh-CN"/>
        </w:rPr>
        <w:t>Curr Opin Pediatr</w:t>
      </w:r>
      <w:r w:rsidRPr="001713F3">
        <w:rPr>
          <w:rFonts w:ascii="Book Antiqua" w:eastAsia="宋体" w:hAnsi="Book Antiqua" w:cs="宋体"/>
          <w:color w:val="000000"/>
          <w:bdr w:val="none" w:sz="0" w:space="0" w:color="auto"/>
          <w:lang w:eastAsia="zh-CN"/>
        </w:rPr>
        <w:t> 2009; </w:t>
      </w:r>
      <w:r w:rsidRPr="001713F3">
        <w:rPr>
          <w:rFonts w:ascii="Book Antiqua" w:eastAsia="宋体" w:hAnsi="Book Antiqua" w:cs="宋体"/>
          <w:b/>
          <w:bCs/>
          <w:color w:val="000000"/>
          <w:bdr w:val="none" w:sz="0" w:space="0" w:color="auto"/>
          <w:lang w:eastAsia="zh-CN"/>
        </w:rPr>
        <w:t>21</w:t>
      </w:r>
      <w:r w:rsidRPr="001713F3">
        <w:rPr>
          <w:rFonts w:ascii="Book Antiqua" w:eastAsia="宋体" w:hAnsi="Book Antiqua" w:cs="宋体"/>
          <w:color w:val="000000"/>
          <w:bdr w:val="none" w:sz="0" w:space="0" w:color="auto"/>
          <w:lang w:eastAsia="zh-CN"/>
        </w:rPr>
        <w:t>: 365-372 [PMID: 19421061 DOI: 10.1097/MOP.0b013e32832b1111]</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4</w:t>
      </w:r>
      <w:r w:rsidR="005015F4">
        <w:rPr>
          <w:rFonts w:ascii="Book Antiqua" w:eastAsia="宋体" w:hAnsi="Book Antiqua" w:cs="宋体" w:hint="eastAsia"/>
          <w:color w:val="000000"/>
          <w:bdr w:val="none" w:sz="0" w:space="0" w:color="auto"/>
          <w:lang w:eastAsia="zh-CN"/>
        </w:rPr>
        <w:t>7</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Kumar R</w:t>
      </w:r>
      <w:r w:rsidRPr="001713F3">
        <w:rPr>
          <w:rFonts w:ascii="Book Antiqua" w:eastAsia="宋体" w:hAnsi="Book Antiqua" w:cs="宋体"/>
          <w:color w:val="000000"/>
          <w:bdr w:val="none" w:sz="0" w:space="0" w:color="auto"/>
          <w:lang w:eastAsia="zh-CN"/>
        </w:rPr>
        <w:t>, Chauhan A, Vellimana AK, Chawla M. Role of PET/PET-CT in the management of sarcomas. </w:t>
      </w:r>
      <w:r w:rsidRPr="001713F3">
        <w:rPr>
          <w:rFonts w:ascii="Book Antiqua" w:eastAsia="宋体" w:hAnsi="Book Antiqua" w:cs="宋体"/>
          <w:i/>
          <w:iCs/>
          <w:color w:val="000000"/>
          <w:bdr w:val="none" w:sz="0" w:space="0" w:color="auto"/>
          <w:lang w:eastAsia="zh-CN"/>
        </w:rPr>
        <w:t>Expert Rev Anticancer Ther</w:t>
      </w:r>
      <w:r w:rsidRPr="001713F3">
        <w:rPr>
          <w:rFonts w:ascii="Book Antiqua" w:eastAsia="宋体" w:hAnsi="Book Antiqua" w:cs="宋体"/>
          <w:color w:val="000000"/>
          <w:bdr w:val="none" w:sz="0" w:space="0" w:color="auto"/>
          <w:lang w:eastAsia="zh-CN"/>
        </w:rPr>
        <w:t> 2006; </w:t>
      </w:r>
      <w:r w:rsidRPr="001713F3">
        <w:rPr>
          <w:rFonts w:ascii="Book Antiqua" w:eastAsia="宋体" w:hAnsi="Book Antiqua" w:cs="宋体"/>
          <w:b/>
          <w:bCs/>
          <w:color w:val="000000"/>
          <w:bdr w:val="none" w:sz="0" w:space="0" w:color="auto"/>
          <w:lang w:eastAsia="zh-CN"/>
        </w:rPr>
        <w:t>6</w:t>
      </w:r>
      <w:r w:rsidRPr="001713F3">
        <w:rPr>
          <w:rFonts w:ascii="Book Antiqua" w:eastAsia="宋体" w:hAnsi="Book Antiqua" w:cs="宋体"/>
          <w:color w:val="000000"/>
          <w:bdr w:val="none" w:sz="0" w:space="0" w:color="auto"/>
          <w:lang w:eastAsia="zh-CN"/>
        </w:rPr>
        <w:t>: 1241-1250 [PMID: 16925490 DOI: 10.1586/14737140.6.8.1241]</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4</w:t>
      </w:r>
      <w:r w:rsidR="005015F4">
        <w:rPr>
          <w:rFonts w:ascii="Book Antiqua" w:eastAsia="宋体" w:hAnsi="Book Antiqua" w:cs="宋体" w:hint="eastAsia"/>
          <w:color w:val="000000"/>
          <w:bdr w:val="none" w:sz="0" w:space="0" w:color="auto"/>
          <w:lang w:eastAsia="zh-CN"/>
        </w:rPr>
        <w:t>8</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Quartuccio N</w:t>
      </w:r>
      <w:r w:rsidRPr="001713F3">
        <w:rPr>
          <w:rFonts w:ascii="Book Antiqua" w:eastAsia="宋体" w:hAnsi="Book Antiqua" w:cs="宋体"/>
          <w:color w:val="000000"/>
          <w:bdr w:val="none" w:sz="0" w:space="0" w:color="auto"/>
          <w:lang w:eastAsia="zh-CN"/>
        </w:rPr>
        <w:t xml:space="preserve">, Treglia G, Salsano M, Mattoli MV, Muoio B, Piccardo A, Lopci E, Cistaro A. </w:t>
      </w:r>
      <w:proofErr w:type="gramStart"/>
      <w:r w:rsidRPr="001713F3">
        <w:rPr>
          <w:rFonts w:ascii="Book Antiqua" w:eastAsia="宋体" w:hAnsi="Book Antiqua" w:cs="宋体"/>
          <w:color w:val="000000"/>
          <w:bdr w:val="none" w:sz="0" w:space="0" w:color="auto"/>
          <w:lang w:eastAsia="zh-CN"/>
        </w:rPr>
        <w:t>The role of Fluorine-18-Fluorodeoxyglucose positron emission tomography in staging and restaging of patients with osteosarcoma.</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Radiol Oncol</w:t>
      </w:r>
      <w:r w:rsidRPr="001713F3">
        <w:rPr>
          <w:rFonts w:ascii="Book Antiqua" w:eastAsia="宋体" w:hAnsi="Book Antiqua" w:cs="宋体"/>
          <w:color w:val="000000"/>
          <w:bdr w:val="none" w:sz="0" w:space="0" w:color="auto"/>
          <w:lang w:eastAsia="zh-CN"/>
        </w:rPr>
        <w:t> 2013; </w:t>
      </w:r>
      <w:r w:rsidRPr="001713F3">
        <w:rPr>
          <w:rFonts w:ascii="Book Antiqua" w:eastAsia="宋体" w:hAnsi="Book Antiqua" w:cs="宋体"/>
          <w:b/>
          <w:bCs/>
          <w:color w:val="000000"/>
          <w:bdr w:val="none" w:sz="0" w:space="0" w:color="auto"/>
          <w:lang w:eastAsia="zh-CN"/>
        </w:rPr>
        <w:t>47</w:t>
      </w:r>
      <w:r w:rsidRPr="001713F3">
        <w:rPr>
          <w:rFonts w:ascii="Book Antiqua" w:eastAsia="宋体" w:hAnsi="Book Antiqua" w:cs="宋体"/>
          <w:color w:val="000000"/>
          <w:bdr w:val="none" w:sz="0" w:space="0" w:color="auto"/>
          <w:lang w:eastAsia="zh-CN"/>
        </w:rPr>
        <w:t>: 97-102 [PMID: 23801904 DOI: 10.2478/raon-2013-0017]</w:t>
      </w:r>
    </w:p>
    <w:p w:rsidR="001713F3" w:rsidRPr="001713F3" w:rsidRDefault="005015F4"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Pr>
          <w:rFonts w:ascii="Book Antiqua" w:eastAsia="宋体" w:hAnsi="Book Antiqua" w:cs="宋体" w:hint="eastAsia"/>
          <w:color w:val="000000"/>
          <w:bdr w:val="none" w:sz="0" w:space="0" w:color="auto"/>
          <w:lang w:eastAsia="zh-CN"/>
        </w:rPr>
        <w:t>49</w:t>
      </w:r>
      <w:r w:rsidR="001713F3" w:rsidRPr="001713F3">
        <w:rPr>
          <w:rFonts w:ascii="Book Antiqua" w:eastAsia="宋体" w:hAnsi="Book Antiqua" w:cs="宋体"/>
          <w:color w:val="000000"/>
          <w:bdr w:val="none" w:sz="0" w:space="0" w:color="auto"/>
          <w:lang w:eastAsia="zh-CN"/>
        </w:rPr>
        <w:t> </w:t>
      </w:r>
      <w:r w:rsidR="001713F3" w:rsidRPr="001713F3">
        <w:rPr>
          <w:rFonts w:ascii="Book Antiqua" w:eastAsia="宋体" w:hAnsi="Book Antiqua" w:cs="宋体"/>
          <w:b/>
          <w:bCs/>
          <w:color w:val="000000"/>
          <w:bdr w:val="none" w:sz="0" w:space="0" w:color="auto"/>
          <w:lang w:eastAsia="zh-CN"/>
        </w:rPr>
        <w:t>Treglia G</w:t>
      </w:r>
      <w:r w:rsidR="001713F3" w:rsidRPr="001713F3">
        <w:rPr>
          <w:rFonts w:ascii="Book Antiqua" w:eastAsia="宋体" w:hAnsi="Book Antiqua" w:cs="宋体"/>
          <w:color w:val="000000"/>
          <w:bdr w:val="none" w:sz="0" w:space="0" w:color="auto"/>
          <w:lang w:eastAsia="zh-CN"/>
        </w:rPr>
        <w:t>, Salsano M, Stefanelli A, Mattoli MV, Giordano A, Bonomo L. Diagnostic accuracy of ¹</w:t>
      </w:r>
      <w:r w:rsidR="001713F3" w:rsidRPr="001713F3">
        <w:rPr>
          <w:rFonts w:ascii="Cambria Math" w:eastAsia="MS Mincho" w:hAnsi="Cambria Math" w:cs="Cambria Math"/>
          <w:color w:val="000000"/>
          <w:bdr w:val="none" w:sz="0" w:space="0" w:color="auto"/>
          <w:lang w:eastAsia="zh-CN"/>
        </w:rPr>
        <w:t>⁸</w:t>
      </w:r>
      <w:r w:rsidR="001713F3" w:rsidRPr="001713F3">
        <w:rPr>
          <w:rFonts w:ascii="Book Antiqua" w:eastAsia="宋体" w:hAnsi="Book Antiqua" w:cs="宋体"/>
          <w:color w:val="000000"/>
          <w:bdr w:val="none" w:sz="0" w:space="0" w:color="auto"/>
          <w:lang w:eastAsia="zh-CN"/>
        </w:rPr>
        <w:t>F-FDG-PET and PET/CT in patients with Ewing sarcoma family tumours: a systematic review and a meta-analysis. </w:t>
      </w:r>
      <w:r w:rsidR="001713F3" w:rsidRPr="001713F3">
        <w:rPr>
          <w:rFonts w:ascii="Book Antiqua" w:eastAsia="宋体" w:hAnsi="Book Antiqua" w:cs="宋体"/>
          <w:i/>
          <w:iCs/>
          <w:color w:val="000000"/>
          <w:bdr w:val="none" w:sz="0" w:space="0" w:color="auto"/>
          <w:lang w:eastAsia="zh-CN"/>
        </w:rPr>
        <w:t>Skeletal Radiol</w:t>
      </w:r>
      <w:r w:rsidR="001713F3" w:rsidRPr="001713F3">
        <w:rPr>
          <w:rFonts w:ascii="Book Antiqua" w:eastAsia="宋体" w:hAnsi="Book Antiqua" w:cs="宋体"/>
          <w:color w:val="000000"/>
          <w:bdr w:val="none" w:sz="0" w:space="0" w:color="auto"/>
          <w:lang w:eastAsia="zh-CN"/>
        </w:rPr>
        <w:t> 2012; </w:t>
      </w:r>
      <w:r w:rsidR="001713F3" w:rsidRPr="001713F3">
        <w:rPr>
          <w:rFonts w:ascii="Book Antiqua" w:eastAsia="宋体" w:hAnsi="Book Antiqua" w:cs="宋体"/>
          <w:b/>
          <w:bCs/>
          <w:color w:val="000000"/>
          <w:bdr w:val="none" w:sz="0" w:space="0" w:color="auto"/>
          <w:lang w:eastAsia="zh-CN"/>
        </w:rPr>
        <w:t>41</w:t>
      </w:r>
      <w:r w:rsidR="001713F3" w:rsidRPr="001713F3">
        <w:rPr>
          <w:rFonts w:ascii="Book Antiqua" w:eastAsia="宋体" w:hAnsi="Book Antiqua" w:cs="宋体"/>
          <w:color w:val="000000"/>
          <w:bdr w:val="none" w:sz="0" w:space="0" w:color="auto"/>
          <w:lang w:eastAsia="zh-CN"/>
        </w:rPr>
        <w:t>: 249-256 [PMID: 22072239 DOI: 10.1007/s00256-001-1298-9]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5</w:t>
      </w:r>
      <w:r w:rsidR="005015F4">
        <w:rPr>
          <w:rFonts w:ascii="Book Antiqua" w:eastAsia="宋体" w:hAnsi="Book Antiqua" w:cs="宋体" w:hint="eastAsia"/>
          <w:color w:val="000000"/>
          <w:bdr w:val="none" w:sz="0" w:space="0" w:color="auto"/>
          <w:lang w:eastAsia="zh-CN"/>
        </w:rPr>
        <w:t>0</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McCarville MB</w:t>
      </w:r>
      <w:r w:rsidRPr="001713F3">
        <w:rPr>
          <w:rFonts w:ascii="Book Antiqua" w:eastAsia="宋体" w:hAnsi="Book Antiqua" w:cs="宋体"/>
          <w:color w:val="000000"/>
          <w:bdr w:val="none" w:sz="0" w:space="0" w:color="auto"/>
          <w:lang w:eastAsia="zh-CN"/>
        </w:rPr>
        <w:t>.</w:t>
      </w:r>
      <w:proofErr w:type="gramEnd"/>
      <w:r w:rsidRPr="001713F3">
        <w:rPr>
          <w:rFonts w:ascii="Book Antiqua" w:eastAsia="宋体" w:hAnsi="Book Antiqua" w:cs="宋体"/>
          <w:color w:val="000000"/>
          <w:bdr w:val="none" w:sz="0" w:space="0" w:color="auto"/>
          <w:lang w:eastAsia="zh-CN"/>
        </w:rPr>
        <w:t xml:space="preserve"> </w:t>
      </w:r>
      <w:proofErr w:type="gramStart"/>
      <w:r w:rsidRPr="001713F3">
        <w:rPr>
          <w:rFonts w:ascii="Book Antiqua" w:eastAsia="宋体" w:hAnsi="Book Antiqua" w:cs="宋体"/>
          <w:color w:val="000000"/>
          <w:bdr w:val="none" w:sz="0" w:space="0" w:color="auto"/>
          <w:lang w:eastAsia="zh-CN"/>
        </w:rPr>
        <w:t>PET-CT imaging in pediatric oncology.</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Cancer Imaging</w:t>
      </w:r>
      <w:r w:rsidRPr="001713F3">
        <w:rPr>
          <w:rFonts w:ascii="Book Antiqua" w:eastAsia="宋体" w:hAnsi="Book Antiqua" w:cs="宋体"/>
          <w:color w:val="000000"/>
          <w:bdr w:val="none" w:sz="0" w:space="0" w:color="auto"/>
          <w:lang w:eastAsia="zh-CN"/>
        </w:rPr>
        <w:t> 2009; </w:t>
      </w:r>
      <w:r w:rsidRPr="001713F3">
        <w:rPr>
          <w:rFonts w:ascii="Book Antiqua" w:eastAsia="宋体" w:hAnsi="Book Antiqua" w:cs="宋体"/>
          <w:b/>
          <w:bCs/>
          <w:color w:val="000000"/>
          <w:bdr w:val="none" w:sz="0" w:space="0" w:color="auto"/>
          <w:lang w:eastAsia="zh-CN"/>
        </w:rPr>
        <w:t>9</w:t>
      </w:r>
      <w:r w:rsidRPr="001713F3">
        <w:rPr>
          <w:rFonts w:ascii="Book Antiqua" w:eastAsia="宋体" w:hAnsi="Book Antiqua" w:cs="宋体"/>
          <w:color w:val="000000"/>
          <w:bdr w:val="none" w:sz="0" w:space="0" w:color="auto"/>
          <w:lang w:eastAsia="zh-CN"/>
        </w:rPr>
        <w:t>: 35-43 [PMID: 19602470 DOI: 10.1102/1470-7330.2009.0008]</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5</w:t>
      </w:r>
      <w:r w:rsidR="005015F4">
        <w:rPr>
          <w:rFonts w:ascii="Book Antiqua" w:eastAsia="宋体" w:hAnsi="Book Antiqua" w:cs="宋体" w:hint="eastAsia"/>
          <w:color w:val="000000"/>
          <w:bdr w:val="none" w:sz="0" w:space="0" w:color="auto"/>
          <w:lang w:eastAsia="zh-CN"/>
        </w:rPr>
        <w:t>1</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Mody RJ</w:t>
      </w:r>
      <w:r w:rsidRPr="001713F3">
        <w:rPr>
          <w:rFonts w:ascii="Book Antiqua" w:eastAsia="宋体" w:hAnsi="Book Antiqua" w:cs="宋体"/>
          <w:color w:val="000000"/>
          <w:bdr w:val="none" w:sz="0" w:space="0" w:color="auto"/>
          <w:lang w:eastAsia="zh-CN"/>
        </w:rPr>
        <w:t>, Bui C, Hutchinson RJ, Yanik GA, Castle VP, Frey KA, Shulkin BL. FDG PET imaging of childhood sarcomas. </w:t>
      </w:r>
      <w:r w:rsidRPr="001713F3">
        <w:rPr>
          <w:rFonts w:ascii="Book Antiqua" w:eastAsia="宋体" w:hAnsi="Book Antiqua" w:cs="宋体"/>
          <w:i/>
          <w:iCs/>
          <w:color w:val="000000"/>
          <w:bdr w:val="none" w:sz="0" w:space="0" w:color="auto"/>
          <w:lang w:eastAsia="zh-CN"/>
        </w:rPr>
        <w:t>Pediatr Blood Cancer</w:t>
      </w:r>
      <w:r w:rsidRPr="001713F3">
        <w:rPr>
          <w:rFonts w:ascii="Book Antiqua" w:eastAsia="宋体" w:hAnsi="Book Antiqua" w:cs="宋体"/>
          <w:color w:val="000000"/>
          <w:bdr w:val="none" w:sz="0" w:space="0" w:color="auto"/>
          <w:lang w:eastAsia="zh-CN"/>
        </w:rPr>
        <w:t> 2010; </w:t>
      </w:r>
      <w:r w:rsidRPr="001713F3">
        <w:rPr>
          <w:rFonts w:ascii="Book Antiqua" w:eastAsia="宋体" w:hAnsi="Book Antiqua" w:cs="宋体"/>
          <w:b/>
          <w:bCs/>
          <w:color w:val="000000"/>
          <w:bdr w:val="none" w:sz="0" w:space="0" w:color="auto"/>
          <w:lang w:eastAsia="zh-CN"/>
        </w:rPr>
        <w:t>54</w:t>
      </w:r>
      <w:r w:rsidRPr="001713F3">
        <w:rPr>
          <w:rFonts w:ascii="Book Antiqua" w:eastAsia="宋体" w:hAnsi="Book Antiqua" w:cs="宋体"/>
          <w:color w:val="000000"/>
          <w:bdr w:val="none" w:sz="0" w:space="0" w:color="auto"/>
          <w:lang w:eastAsia="zh-CN"/>
        </w:rPr>
        <w:t>: 222-227 [PMID: 19890901 DOI: 10.1002/pbc.22307]</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lastRenderedPageBreak/>
        <w:t>5</w:t>
      </w:r>
      <w:r w:rsidR="005015F4">
        <w:rPr>
          <w:rFonts w:ascii="Book Antiqua" w:eastAsia="宋体" w:hAnsi="Book Antiqua" w:cs="宋体" w:hint="eastAsia"/>
          <w:color w:val="000000"/>
          <w:bdr w:val="none" w:sz="0" w:space="0" w:color="auto"/>
          <w:lang w:eastAsia="zh-CN"/>
        </w:rPr>
        <w:t>2</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Benz MR</w:t>
      </w:r>
      <w:r w:rsidRPr="001713F3">
        <w:rPr>
          <w:rFonts w:ascii="Book Antiqua" w:eastAsia="宋体" w:hAnsi="Book Antiqua" w:cs="宋体"/>
          <w:color w:val="000000"/>
          <w:bdr w:val="none" w:sz="0" w:space="0" w:color="auto"/>
          <w:lang w:eastAsia="zh-CN"/>
        </w:rPr>
        <w:t>, Tchekmedyian N, Eilber FC, Federman N, Czernin J, Tap WD. Utilization of positron emission tomography in the management of patients with sarcoma. </w:t>
      </w:r>
      <w:r w:rsidRPr="001713F3">
        <w:rPr>
          <w:rFonts w:ascii="Book Antiqua" w:eastAsia="宋体" w:hAnsi="Book Antiqua" w:cs="宋体"/>
          <w:i/>
          <w:iCs/>
          <w:color w:val="000000"/>
          <w:bdr w:val="none" w:sz="0" w:space="0" w:color="auto"/>
          <w:lang w:eastAsia="zh-CN"/>
        </w:rPr>
        <w:t>Curr Opin Oncol</w:t>
      </w:r>
      <w:r w:rsidRPr="001713F3">
        <w:rPr>
          <w:rFonts w:ascii="Book Antiqua" w:eastAsia="宋体" w:hAnsi="Book Antiqua" w:cs="宋体"/>
          <w:color w:val="000000"/>
          <w:bdr w:val="none" w:sz="0" w:space="0" w:color="auto"/>
          <w:lang w:eastAsia="zh-CN"/>
        </w:rPr>
        <w:t> 2009; </w:t>
      </w:r>
      <w:r w:rsidRPr="001713F3">
        <w:rPr>
          <w:rFonts w:ascii="Book Antiqua" w:eastAsia="宋体" w:hAnsi="Book Antiqua" w:cs="宋体"/>
          <w:b/>
          <w:bCs/>
          <w:color w:val="000000"/>
          <w:bdr w:val="none" w:sz="0" w:space="0" w:color="auto"/>
          <w:lang w:eastAsia="zh-CN"/>
        </w:rPr>
        <w:t>21</w:t>
      </w:r>
      <w:r w:rsidRPr="001713F3">
        <w:rPr>
          <w:rFonts w:ascii="Book Antiqua" w:eastAsia="宋体" w:hAnsi="Book Antiqua" w:cs="宋体"/>
          <w:color w:val="000000"/>
          <w:bdr w:val="none" w:sz="0" w:space="0" w:color="auto"/>
          <w:lang w:eastAsia="zh-CN"/>
        </w:rPr>
        <w:t>: 345-351 [PMID: 19412096 DOI: 10.1097/CCO.0b013e32832c95e2]</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5</w:t>
      </w:r>
      <w:r w:rsidR="005015F4">
        <w:rPr>
          <w:rFonts w:ascii="Book Antiqua" w:eastAsia="宋体" w:hAnsi="Book Antiqua" w:cs="宋体" w:hint="eastAsia"/>
          <w:color w:val="000000"/>
          <w:bdr w:val="none" w:sz="0" w:space="0" w:color="auto"/>
          <w:lang w:eastAsia="zh-CN"/>
        </w:rPr>
        <w:t>3</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Tateishi U</w:t>
      </w:r>
      <w:r w:rsidRPr="001713F3">
        <w:rPr>
          <w:rFonts w:ascii="Book Antiqua" w:eastAsia="宋体" w:hAnsi="Book Antiqua" w:cs="宋体"/>
          <w:color w:val="000000"/>
          <w:bdr w:val="none" w:sz="0" w:space="0" w:color="auto"/>
          <w:lang w:eastAsia="zh-CN"/>
        </w:rPr>
        <w:t xml:space="preserve">, Hosono A, Makimoto A, Sakurada A, Terauchi T, Arai Y, Imai Y, Kim EE. </w:t>
      </w:r>
      <w:proofErr w:type="gramStart"/>
      <w:r w:rsidRPr="001713F3">
        <w:rPr>
          <w:rFonts w:ascii="Book Antiqua" w:eastAsia="宋体" w:hAnsi="Book Antiqua" w:cs="宋体"/>
          <w:color w:val="000000"/>
          <w:bdr w:val="none" w:sz="0" w:space="0" w:color="auto"/>
          <w:lang w:eastAsia="zh-CN"/>
        </w:rPr>
        <w:t>Accuracy of 18F fluorodeoxyglucose positron emission tomography/computed tomography in staging of pediatric sarcomas.</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J Pediatr Hematol Oncol</w:t>
      </w:r>
      <w:r w:rsidRPr="001713F3">
        <w:rPr>
          <w:rFonts w:ascii="Book Antiqua" w:eastAsia="宋体" w:hAnsi="Book Antiqua" w:cs="宋体"/>
          <w:color w:val="000000"/>
          <w:bdr w:val="none" w:sz="0" w:space="0" w:color="auto"/>
          <w:lang w:eastAsia="zh-CN"/>
        </w:rPr>
        <w:t> 2007; </w:t>
      </w:r>
      <w:r w:rsidRPr="001713F3">
        <w:rPr>
          <w:rFonts w:ascii="Book Antiqua" w:eastAsia="宋体" w:hAnsi="Book Antiqua" w:cs="宋体"/>
          <w:b/>
          <w:bCs/>
          <w:color w:val="000000"/>
          <w:bdr w:val="none" w:sz="0" w:space="0" w:color="auto"/>
          <w:lang w:eastAsia="zh-CN"/>
        </w:rPr>
        <w:t>29</w:t>
      </w:r>
      <w:r w:rsidRPr="001713F3">
        <w:rPr>
          <w:rFonts w:ascii="Book Antiqua" w:eastAsia="宋体" w:hAnsi="Book Antiqua" w:cs="宋体"/>
          <w:color w:val="000000"/>
          <w:bdr w:val="none" w:sz="0" w:space="0" w:color="auto"/>
          <w:lang w:eastAsia="zh-CN"/>
        </w:rPr>
        <w:t>: 608-612 [PMID: 17805034 DOI: 10.1097/MPH.0b013e318142b5ab]</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5</w:t>
      </w:r>
      <w:r w:rsidR="005015F4">
        <w:rPr>
          <w:rFonts w:ascii="Book Antiqua" w:eastAsia="宋体" w:hAnsi="Book Antiqua" w:cs="宋体" w:hint="eastAsia"/>
          <w:color w:val="000000"/>
          <w:bdr w:val="none" w:sz="0" w:space="0" w:color="auto"/>
          <w:lang w:eastAsia="zh-CN"/>
        </w:rPr>
        <w:t>4</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McCarville MB</w:t>
      </w:r>
      <w:r w:rsidRPr="001713F3">
        <w:rPr>
          <w:rFonts w:ascii="Book Antiqua" w:eastAsia="宋体" w:hAnsi="Book Antiqua" w:cs="宋体"/>
          <w:color w:val="000000"/>
          <w:bdr w:val="none" w:sz="0" w:space="0" w:color="auto"/>
          <w:lang w:eastAsia="zh-CN"/>
        </w:rPr>
        <w:t>, Christie R, Daw NC, Spunt SL, Kaste SC. PET/CT in the evaluation of childhood sarcomas. </w:t>
      </w:r>
      <w:r w:rsidRPr="001713F3">
        <w:rPr>
          <w:rFonts w:ascii="Book Antiqua" w:eastAsia="宋体" w:hAnsi="Book Antiqua" w:cs="宋体"/>
          <w:i/>
          <w:iCs/>
          <w:color w:val="000000"/>
          <w:bdr w:val="none" w:sz="0" w:space="0" w:color="auto"/>
          <w:lang w:eastAsia="zh-CN"/>
        </w:rPr>
        <w:t>AJR Am J Roentgenol</w:t>
      </w:r>
      <w:r w:rsidRPr="001713F3">
        <w:rPr>
          <w:rFonts w:ascii="Book Antiqua" w:eastAsia="宋体" w:hAnsi="Book Antiqua" w:cs="宋体"/>
          <w:color w:val="000000"/>
          <w:bdr w:val="none" w:sz="0" w:space="0" w:color="auto"/>
          <w:lang w:eastAsia="zh-CN"/>
        </w:rPr>
        <w:t> 2005; </w:t>
      </w:r>
      <w:r w:rsidRPr="001713F3">
        <w:rPr>
          <w:rFonts w:ascii="Book Antiqua" w:eastAsia="宋体" w:hAnsi="Book Antiqua" w:cs="宋体"/>
          <w:b/>
          <w:bCs/>
          <w:color w:val="000000"/>
          <w:bdr w:val="none" w:sz="0" w:space="0" w:color="auto"/>
          <w:lang w:eastAsia="zh-CN"/>
        </w:rPr>
        <w:t>184</w:t>
      </w:r>
      <w:r w:rsidRPr="001713F3">
        <w:rPr>
          <w:rFonts w:ascii="Book Antiqua" w:eastAsia="宋体" w:hAnsi="Book Antiqua" w:cs="宋体"/>
          <w:color w:val="000000"/>
          <w:bdr w:val="none" w:sz="0" w:space="0" w:color="auto"/>
          <w:lang w:eastAsia="zh-CN"/>
        </w:rPr>
        <w:t>: 1293-1304 [PMID: 15788613 DOI: 10.2214/ajr.184.4.01841293]</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5</w:t>
      </w:r>
      <w:r w:rsidR="005015F4">
        <w:rPr>
          <w:rFonts w:ascii="Book Antiqua" w:eastAsia="宋体" w:hAnsi="Book Antiqua" w:cs="宋体" w:hint="eastAsia"/>
          <w:color w:val="000000"/>
          <w:bdr w:val="none" w:sz="0" w:space="0" w:color="auto"/>
          <w:lang w:eastAsia="zh-CN"/>
        </w:rPr>
        <w:t>5</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Franzius C</w:t>
      </w:r>
      <w:r w:rsidRPr="001713F3">
        <w:rPr>
          <w:rFonts w:ascii="Book Antiqua" w:eastAsia="宋体" w:hAnsi="Book Antiqua" w:cs="宋体"/>
          <w:color w:val="000000"/>
          <w:bdr w:val="none" w:sz="0" w:space="0" w:color="auto"/>
          <w:lang w:eastAsia="zh-CN"/>
        </w:rPr>
        <w:t>, Sciuk J, Daldrup-Link HE, Jürgens H, Schober O. FDG-PET for detection of osseous metastases from malignant primary bone tumours: comparison with bone scintigraphy. </w:t>
      </w:r>
      <w:r w:rsidRPr="001713F3">
        <w:rPr>
          <w:rFonts w:ascii="Book Antiqua" w:eastAsia="宋体" w:hAnsi="Book Antiqua" w:cs="宋体"/>
          <w:i/>
          <w:iCs/>
          <w:color w:val="000000"/>
          <w:bdr w:val="none" w:sz="0" w:space="0" w:color="auto"/>
          <w:lang w:eastAsia="zh-CN"/>
        </w:rPr>
        <w:t>Eur J Nucl Med</w:t>
      </w:r>
      <w:r w:rsidRPr="001713F3">
        <w:rPr>
          <w:rFonts w:ascii="Book Antiqua" w:eastAsia="宋体" w:hAnsi="Book Antiqua" w:cs="宋体"/>
          <w:color w:val="000000"/>
          <w:bdr w:val="none" w:sz="0" w:space="0" w:color="auto"/>
          <w:lang w:eastAsia="zh-CN"/>
        </w:rPr>
        <w:t> 2000; </w:t>
      </w:r>
      <w:r w:rsidRPr="001713F3">
        <w:rPr>
          <w:rFonts w:ascii="Book Antiqua" w:eastAsia="宋体" w:hAnsi="Book Antiqua" w:cs="宋体"/>
          <w:b/>
          <w:bCs/>
          <w:color w:val="000000"/>
          <w:bdr w:val="none" w:sz="0" w:space="0" w:color="auto"/>
          <w:lang w:eastAsia="zh-CN"/>
        </w:rPr>
        <w:t>27</w:t>
      </w:r>
      <w:r w:rsidRPr="001713F3">
        <w:rPr>
          <w:rFonts w:ascii="Book Antiqua" w:eastAsia="宋体" w:hAnsi="Book Antiqua" w:cs="宋体"/>
          <w:color w:val="000000"/>
          <w:bdr w:val="none" w:sz="0" w:space="0" w:color="auto"/>
          <w:lang w:eastAsia="zh-CN"/>
        </w:rPr>
        <w:t>: 1305-1311 [PMID: 11007511 DOI: 10.1007/s002590000301]</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5</w:t>
      </w:r>
      <w:r w:rsidR="005015F4">
        <w:rPr>
          <w:rFonts w:ascii="Book Antiqua" w:eastAsia="宋体" w:hAnsi="Book Antiqua" w:cs="宋体" w:hint="eastAsia"/>
          <w:color w:val="000000"/>
          <w:bdr w:val="none" w:sz="0" w:space="0" w:color="auto"/>
          <w:lang w:eastAsia="zh-CN"/>
        </w:rPr>
        <w:t>6</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Völker T</w:t>
      </w:r>
      <w:r w:rsidRPr="001713F3">
        <w:rPr>
          <w:rFonts w:ascii="Book Antiqua" w:eastAsia="宋体" w:hAnsi="Book Antiqua" w:cs="宋体"/>
          <w:color w:val="000000"/>
          <w:bdr w:val="none" w:sz="0" w:space="0" w:color="auto"/>
          <w:lang w:eastAsia="zh-CN"/>
        </w:rPr>
        <w:t>, Denecke T, Steffen I, Misch D, Schönberger S, Plotkin M, Ruf J, Furth C, Stöver B, Hautzel H, Henze G, Amthauer H. Positron emission tomography for staging of pediatric sarcoma patients: results of a prospective multicenter trial. </w:t>
      </w:r>
      <w:r w:rsidRPr="001713F3">
        <w:rPr>
          <w:rFonts w:ascii="Book Antiqua" w:eastAsia="宋体" w:hAnsi="Book Antiqua" w:cs="宋体"/>
          <w:i/>
          <w:iCs/>
          <w:color w:val="000000"/>
          <w:bdr w:val="none" w:sz="0" w:space="0" w:color="auto"/>
          <w:lang w:eastAsia="zh-CN"/>
        </w:rPr>
        <w:t>J Clin Oncol</w:t>
      </w:r>
      <w:r w:rsidRPr="001713F3">
        <w:rPr>
          <w:rFonts w:ascii="Book Antiqua" w:eastAsia="宋体" w:hAnsi="Book Antiqua" w:cs="宋体"/>
          <w:color w:val="000000"/>
          <w:bdr w:val="none" w:sz="0" w:space="0" w:color="auto"/>
          <w:lang w:eastAsia="zh-CN"/>
        </w:rPr>
        <w:t> 2007; </w:t>
      </w:r>
      <w:r w:rsidRPr="001713F3">
        <w:rPr>
          <w:rFonts w:ascii="Book Antiqua" w:eastAsia="宋体" w:hAnsi="Book Antiqua" w:cs="宋体"/>
          <w:b/>
          <w:bCs/>
          <w:color w:val="000000"/>
          <w:bdr w:val="none" w:sz="0" w:space="0" w:color="auto"/>
          <w:lang w:eastAsia="zh-CN"/>
        </w:rPr>
        <w:t>25</w:t>
      </w:r>
      <w:r w:rsidRPr="001713F3">
        <w:rPr>
          <w:rFonts w:ascii="Book Antiqua" w:eastAsia="宋体" w:hAnsi="Book Antiqua" w:cs="宋体"/>
          <w:color w:val="000000"/>
          <w:bdr w:val="none" w:sz="0" w:space="0" w:color="auto"/>
          <w:lang w:eastAsia="zh-CN"/>
        </w:rPr>
        <w:t>: 5435-5441 [PMID: 18048826 DOI: 10.1200/JCO.2007.12.2473]</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5</w:t>
      </w:r>
      <w:r w:rsidR="005015F4">
        <w:rPr>
          <w:rFonts w:ascii="Book Antiqua" w:eastAsia="宋体" w:hAnsi="Book Antiqua" w:cs="宋体" w:hint="eastAsia"/>
          <w:color w:val="000000"/>
          <w:bdr w:val="none" w:sz="0" w:space="0" w:color="auto"/>
          <w:lang w:eastAsia="zh-CN"/>
        </w:rPr>
        <w:t>7</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Franzius C</w:t>
      </w:r>
      <w:r w:rsidRPr="001713F3">
        <w:rPr>
          <w:rFonts w:ascii="Book Antiqua" w:eastAsia="宋体" w:hAnsi="Book Antiqua" w:cs="宋体"/>
          <w:color w:val="000000"/>
          <w:bdr w:val="none" w:sz="0" w:space="0" w:color="auto"/>
          <w:lang w:eastAsia="zh-CN"/>
        </w:rPr>
        <w:t>, Daldrup-Link HE, Sciuk J, Rummeny EJ, Bielack S, Jürgens H, Schober O. FDG-PET for detection of pulmonary metastases from malignant primary bone tumors: comparison with spiral CT. </w:t>
      </w:r>
      <w:r w:rsidRPr="001713F3">
        <w:rPr>
          <w:rFonts w:ascii="Book Antiqua" w:eastAsia="宋体" w:hAnsi="Book Antiqua" w:cs="宋体"/>
          <w:i/>
          <w:iCs/>
          <w:color w:val="000000"/>
          <w:bdr w:val="none" w:sz="0" w:space="0" w:color="auto"/>
          <w:lang w:eastAsia="zh-CN"/>
        </w:rPr>
        <w:t>Ann Oncol</w:t>
      </w:r>
      <w:r w:rsidRPr="001713F3">
        <w:rPr>
          <w:rFonts w:ascii="Book Antiqua" w:eastAsia="宋体" w:hAnsi="Book Antiqua" w:cs="宋体"/>
          <w:color w:val="000000"/>
          <w:bdr w:val="none" w:sz="0" w:space="0" w:color="auto"/>
          <w:lang w:eastAsia="zh-CN"/>
        </w:rPr>
        <w:t> 2001; </w:t>
      </w:r>
      <w:r w:rsidRPr="001713F3">
        <w:rPr>
          <w:rFonts w:ascii="Book Antiqua" w:eastAsia="宋体" w:hAnsi="Book Antiqua" w:cs="宋体"/>
          <w:b/>
          <w:bCs/>
          <w:color w:val="000000"/>
          <w:bdr w:val="none" w:sz="0" w:space="0" w:color="auto"/>
          <w:lang w:eastAsia="zh-CN"/>
        </w:rPr>
        <w:t>12</w:t>
      </w:r>
      <w:r w:rsidRPr="001713F3">
        <w:rPr>
          <w:rFonts w:ascii="Book Antiqua" w:eastAsia="宋体" w:hAnsi="Book Antiqua" w:cs="宋体"/>
          <w:color w:val="000000"/>
          <w:bdr w:val="none" w:sz="0" w:space="0" w:color="auto"/>
          <w:lang w:eastAsia="zh-CN"/>
        </w:rPr>
        <w:t>: 479-486 [PMID: 11398879 DOI: 10.1023/A: 1011111322376]</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5</w:t>
      </w:r>
      <w:r w:rsidR="005015F4">
        <w:rPr>
          <w:rFonts w:ascii="Book Antiqua" w:eastAsia="宋体" w:hAnsi="Book Antiqua" w:cs="宋体" w:hint="eastAsia"/>
          <w:color w:val="000000"/>
          <w:bdr w:val="none" w:sz="0" w:space="0" w:color="auto"/>
          <w:lang w:eastAsia="zh-CN"/>
        </w:rPr>
        <w:t>8</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Iagaru A</w:t>
      </w:r>
      <w:r w:rsidRPr="001713F3">
        <w:rPr>
          <w:rFonts w:ascii="Book Antiqua" w:eastAsia="宋体" w:hAnsi="Book Antiqua" w:cs="宋体"/>
          <w:color w:val="000000"/>
          <w:bdr w:val="none" w:sz="0" w:space="0" w:color="auto"/>
          <w:lang w:eastAsia="zh-CN"/>
        </w:rPr>
        <w:t>, Chawla S, Menendez L, Conti PS. 18F-FDG PET and PET/CT for detection of pulmonary metastases from musculoskeletal sarcomas. </w:t>
      </w:r>
      <w:r w:rsidRPr="001713F3">
        <w:rPr>
          <w:rFonts w:ascii="Book Antiqua" w:eastAsia="宋体" w:hAnsi="Book Antiqua" w:cs="宋体"/>
          <w:i/>
          <w:iCs/>
          <w:color w:val="000000"/>
          <w:bdr w:val="none" w:sz="0" w:space="0" w:color="auto"/>
          <w:lang w:eastAsia="zh-CN"/>
        </w:rPr>
        <w:t>Nucl Med Commun</w:t>
      </w:r>
      <w:r w:rsidRPr="001713F3">
        <w:rPr>
          <w:rFonts w:ascii="Book Antiqua" w:eastAsia="宋体" w:hAnsi="Book Antiqua" w:cs="宋体"/>
          <w:color w:val="000000"/>
          <w:bdr w:val="none" w:sz="0" w:space="0" w:color="auto"/>
          <w:lang w:eastAsia="zh-CN"/>
        </w:rPr>
        <w:t> 2006; </w:t>
      </w:r>
      <w:r w:rsidRPr="001713F3">
        <w:rPr>
          <w:rFonts w:ascii="Book Antiqua" w:eastAsia="宋体" w:hAnsi="Book Antiqua" w:cs="宋体"/>
          <w:b/>
          <w:bCs/>
          <w:color w:val="000000"/>
          <w:bdr w:val="none" w:sz="0" w:space="0" w:color="auto"/>
          <w:lang w:eastAsia="zh-CN"/>
        </w:rPr>
        <w:t>27</w:t>
      </w:r>
      <w:r w:rsidRPr="001713F3">
        <w:rPr>
          <w:rFonts w:ascii="Book Antiqua" w:eastAsia="宋体" w:hAnsi="Book Antiqua" w:cs="宋体"/>
          <w:color w:val="000000"/>
          <w:bdr w:val="none" w:sz="0" w:space="0" w:color="auto"/>
          <w:lang w:eastAsia="zh-CN"/>
        </w:rPr>
        <w:t>: 795-802 [PMID: 16969262 DOI: 10.1097/01.mnm.0000237986.31597.86]</w:t>
      </w:r>
    </w:p>
    <w:p w:rsidR="001713F3" w:rsidRPr="001713F3" w:rsidRDefault="005015F4"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Pr>
          <w:rFonts w:ascii="Book Antiqua" w:eastAsia="宋体" w:hAnsi="Book Antiqua" w:cs="宋体" w:hint="eastAsia"/>
          <w:color w:val="000000"/>
          <w:bdr w:val="none" w:sz="0" w:space="0" w:color="auto"/>
          <w:lang w:eastAsia="zh-CN"/>
        </w:rPr>
        <w:t>59</w:t>
      </w:r>
      <w:r w:rsidR="001713F3" w:rsidRPr="001713F3">
        <w:rPr>
          <w:rFonts w:ascii="Book Antiqua" w:eastAsia="宋体" w:hAnsi="Book Antiqua" w:cs="宋体"/>
          <w:color w:val="000000"/>
          <w:bdr w:val="none" w:sz="0" w:space="0" w:color="auto"/>
          <w:lang w:eastAsia="zh-CN"/>
        </w:rPr>
        <w:t> </w:t>
      </w:r>
      <w:r w:rsidR="001713F3" w:rsidRPr="001713F3">
        <w:rPr>
          <w:rFonts w:ascii="Book Antiqua" w:eastAsia="宋体" w:hAnsi="Book Antiqua" w:cs="宋体"/>
          <w:b/>
          <w:bCs/>
          <w:color w:val="000000"/>
          <w:bdr w:val="none" w:sz="0" w:space="0" w:color="auto"/>
          <w:lang w:eastAsia="zh-CN"/>
        </w:rPr>
        <w:t>Soret M</w:t>
      </w:r>
      <w:r w:rsidR="001713F3" w:rsidRPr="001713F3">
        <w:rPr>
          <w:rFonts w:ascii="Book Antiqua" w:eastAsia="宋体" w:hAnsi="Book Antiqua" w:cs="宋体"/>
          <w:color w:val="000000"/>
          <w:bdr w:val="none" w:sz="0" w:space="0" w:color="auto"/>
          <w:lang w:eastAsia="zh-CN"/>
        </w:rPr>
        <w:t>, Bacharach SL, Buvat I. Partial-volume effect in PET tumor imaging.</w:t>
      </w:r>
      <w:proofErr w:type="gramEnd"/>
      <w:r w:rsidR="001713F3" w:rsidRPr="001713F3">
        <w:rPr>
          <w:rFonts w:ascii="Book Antiqua" w:eastAsia="宋体" w:hAnsi="Book Antiqua" w:cs="宋体"/>
          <w:color w:val="000000"/>
          <w:bdr w:val="none" w:sz="0" w:space="0" w:color="auto"/>
          <w:lang w:eastAsia="zh-CN"/>
        </w:rPr>
        <w:t> </w:t>
      </w:r>
      <w:r w:rsidR="001713F3" w:rsidRPr="001713F3">
        <w:rPr>
          <w:rFonts w:ascii="Book Antiqua" w:eastAsia="宋体" w:hAnsi="Book Antiqua" w:cs="宋体"/>
          <w:i/>
          <w:iCs/>
          <w:color w:val="000000"/>
          <w:bdr w:val="none" w:sz="0" w:space="0" w:color="auto"/>
          <w:lang w:eastAsia="zh-CN"/>
        </w:rPr>
        <w:t>J Nucl Med</w:t>
      </w:r>
      <w:r w:rsidR="001713F3" w:rsidRPr="001713F3">
        <w:rPr>
          <w:rFonts w:ascii="Book Antiqua" w:eastAsia="宋体" w:hAnsi="Book Antiqua" w:cs="宋体"/>
          <w:color w:val="000000"/>
          <w:bdr w:val="none" w:sz="0" w:space="0" w:color="auto"/>
          <w:lang w:eastAsia="zh-CN"/>
        </w:rPr>
        <w:t> 2007; </w:t>
      </w:r>
      <w:r w:rsidR="001713F3" w:rsidRPr="001713F3">
        <w:rPr>
          <w:rFonts w:ascii="Book Antiqua" w:eastAsia="宋体" w:hAnsi="Book Antiqua" w:cs="宋体"/>
          <w:b/>
          <w:bCs/>
          <w:color w:val="000000"/>
          <w:bdr w:val="none" w:sz="0" w:space="0" w:color="auto"/>
          <w:lang w:eastAsia="zh-CN"/>
        </w:rPr>
        <w:t>48</w:t>
      </w:r>
      <w:r w:rsidR="001713F3" w:rsidRPr="001713F3">
        <w:rPr>
          <w:rFonts w:ascii="Book Antiqua" w:eastAsia="宋体" w:hAnsi="Book Antiqua" w:cs="宋体"/>
          <w:color w:val="000000"/>
          <w:bdr w:val="none" w:sz="0" w:space="0" w:color="auto"/>
          <w:lang w:eastAsia="zh-CN"/>
        </w:rPr>
        <w:t>: 932-945 [PMID: 17504879 DOI: 10.2967/jnumed.106.035774]</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6</w:t>
      </w:r>
      <w:r w:rsidR="005015F4">
        <w:rPr>
          <w:rFonts w:ascii="Book Antiqua" w:eastAsia="宋体" w:hAnsi="Book Antiqua" w:cs="宋体" w:hint="eastAsia"/>
          <w:color w:val="000000"/>
          <w:bdr w:val="none" w:sz="0" w:space="0" w:color="auto"/>
          <w:lang w:eastAsia="zh-CN"/>
        </w:rPr>
        <w:t>0</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Allen-Auerbach M</w:t>
      </w:r>
      <w:r w:rsidRPr="001713F3">
        <w:rPr>
          <w:rFonts w:ascii="Book Antiqua" w:eastAsia="宋体" w:hAnsi="Book Antiqua" w:cs="宋体"/>
          <w:color w:val="000000"/>
          <w:bdr w:val="none" w:sz="0" w:space="0" w:color="auto"/>
          <w:lang w:eastAsia="zh-CN"/>
        </w:rPr>
        <w:t xml:space="preserve">, Yeom K, Park J, Phelps M, </w:t>
      </w:r>
      <w:proofErr w:type="gramStart"/>
      <w:r w:rsidRPr="001713F3">
        <w:rPr>
          <w:rFonts w:ascii="Book Antiqua" w:eastAsia="宋体" w:hAnsi="Book Antiqua" w:cs="宋体"/>
          <w:color w:val="000000"/>
          <w:bdr w:val="none" w:sz="0" w:space="0" w:color="auto"/>
          <w:lang w:eastAsia="zh-CN"/>
        </w:rPr>
        <w:t>Czernin</w:t>
      </w:r>
      <w:proofErr w:type="gramEnd"/>
      <w:r w:rsidRPr="001713F3">
        <w:rPr>
          <w:rFonts w:ascii="Book Antiqua" w:eastAsia="宋体" w:hAnsi="Book Antiqua" w:cs="宋体"/>
          <w:color w:val="000000"/>
          <w:bdr w:val="none" w:sz="0" w:space="0" w:color="auto"/>
          <w:lang w:eastAsia="zh-CN"/>
        </w:rPr>
        <w:t xml:space="preserve"> J. Standard PET/CT of the chest during shallow breathing is inadequate for comprehensive staging of lung cancer. </w:t>
      </w:r>
      <w:r w:rsidRPr="001713F3">
        <w:rPr>
          <w:rFonts w:ascii="Book Antiqua" w:eastAsia="宋体" w:hAnsi="Book Antiqua" w:cs="宋体"/>
          <w:i/>
          <w:iCs/>
          <w:color w:val="000000"/>
          <w:bdr w:val="none" w:sz="0" w:space="0" w:color="auto"/>
          <w:lang w:eastAsia="zh-CN"/>
        </w:rPr>
        <w:t>J Nucl Med</w:t>
      </w:r>
      <w:r w:rsidRPr="001713F3">
        <w:rPr>
          <w:rFonts w:ascii="Book Antiqua" w:eastAsia="宋体" w:hAnsi="Book Antiqua" w:cs="宋体"/>
          <w:color w:val="000000"/>
          <w:bdr w:val="none" w:sz="0" w:space="0" w:color="auto"/>
          <w:lang w:eastAsia="zh-CN"/>
        </w:rPr>
        <w:t> 2006; </w:t>
      </w:r>
      <w:r w:rsidRPr="001713F3">
        <w:rPr>
          <w:rFonts w:ascii="Book Antiqua" w:eastAsia="宋体" w:hAnsi="Book Antiqua" w:cs="宋体"/>
          <w:b/>
          <w:bCs/>
          <w:color w:val="000000"/>
          <w:bdr w:val="none" w:sz="0" w:space="0" w:color="auto"/>
          <w:lang w:eastAsia="zh-CN"/>
        </w:rPr>
        <w:t>47</w:t>
      </w:r>
      <w:r w:rsidRPr="001713F3">
        <w:rPr>
          <w:rFonts w:ascii="Book Antiqua" w:eastAsia="宋体" w:hAnsi="Book Antiqua" w:cs="宋体"/>
          <w:color w:val="000000"/>
          <w:bdr w:val="none" w:sz="0" w:space="0" w:color="auto"/>
          <w:lang w:eastAsia="zh-CN"/>
        </w:rPr>
        <w:t>: 298-301 [PMID: 16455636]</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6</w:t>
      </w:r>
      <w:r w:rsidR="005015F4">
        <w:rPr>
          <w:rFonts w:ascii="Book Antiqua" w:eastAsia="宋体" w:hAnsi="Book Antiqua" w:cs="宋体" w:hint="eastAsia"/>
          <w:color w:val="000000"/>
          <w:bdr w:val="none" w:sz="0" w:space="0" w:color="auto"/>
          <w:lang w:eastAsia="zh-CN"/>
        </w:rPr>
        <w:t>1</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Erdi YE</w:t>
      </w:r>
      <w:r w:rsidRPr="001713F3">
        <w:rPr>
          <w:rFonts w:ascii="Book Antiqua" w:eastAsia="宋体" w:hAnsi="Book Antiqua" w:cs="宋体"/>
          <w:color w:val="000000"/>
          <w:bdr w:val="none" w:sz="0" w:space="0" w:color="auto"/>
          <w:lang w:eastAsia="zh-CN"/>
        </w:rPr>
        <w:t xml:space="preserve">, Nehmeh SA, Pan T, Pevsner A, Rosenzweig KE, Mageras G, Yorke ED, Schoder H, Hsiao W, Squire OD, Vernon P, Ashman JB, Mostafavi H, Larson SM, Humm </w:t>
      </w:r>
      <w:r w:rsidRPr="001713F3">
        <w:rPr>
          <w:rFonts w:ascii="Book Antiqua" w:eastAsia="宋体" w:hAnsi="Book Antiqua" w:cs="宋体"/>
          <w:color w:val="000000"/>
          <w:bdr w:val="none" w:sz="0" w:space="0" w:color="auto"/>
          <w:lang w:eastAsia="zh-CN"/>
        </w:rPr>
        <w:lastRenderedPageBreak/>
        <w:t xml:space="preserve">JL. </w:t>
      </w:r>
      <w:proofErr w:type="gramStart"/>
      <w:r w:rsidRPr="001713F3">
        <w:rPr>
          <w:rFonts w:ascii="Book Antiqua" w:eastAsia="宋体" w:hAnsi="Book Antiqua" w:cs="宋体"/>
          <w:color w:val="000000"/>
          <w:bdr w:val="none" w:sz="0" w:space="0" w:color="auto"/>
          <w:lang w:eastAsia="zh-CN"/>
        </w:rPr>
        <w:t>The CT motion quantitation of lung lesions and its impact on PET-measured SUVs.</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J Nucl Med</w:t>
      </w:r>
      <w:r w:rsidRPr="001713F3">
        <w:rPr>
          <w:rFonts w:ascii="Book Antiqua" w:eastAsia="宋体" w:hAnsi="Book Antiqua" w:cs="宋体"/>
          <w:color w:val="000000"/>
          <w:bdr w:val="none" w:sz="0" w:space="0" w:color="auto"/>
          <w:lang w:eastAsia="zh-CN"/>
        </w:rPr>
        <w:t> 2004; </w:t>
      </w:r>
      <w:r w:rsidRPr="001713F3">
        <w:rPr>
          <w:rFonts w:ascii="Book Antiqua" w:eastAsia="宋体" w:hAnsi="Book Antiqua" w:cs="宋体"/>
          <w:b/>
          <w:bCs/>
          <w:color w:val="000000"/>
          <w:bdr w:val="none" w:sz="0" w:space="0" w:color="auto"/>
          <w:lang w:eastAsia="zh-CN"/>
        </w:rPr>
        <w:t>45</w:t>
      </w:r>
      <w:r w:rsidRPr="001713F3">
        <w:rPr>
          <w:rFonts w:ascii="Book Antiqua" w:eastAsia="宋体" w:hAnsi="Book Antiqua" w:cs="宋体"/>
          <w:color w:val="000000"/>
          <w:bdr w:val="none" w:sz="0" w:space="0" w:color="auto"/>
          <w:lang w:eastAsia="zh-CN"/>
        </w:rPr>
        <w:t>: 1287-1292 [PMID: 15299050]</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6</w:t>
      </w:r>
      <w:r w:rsidR="005015F4">
        <w:rPr>
          <w:rFonts w:ascii="Book Antiqua" w:eastAsia="宋体" w:hAnsi="Book Antiqua" w:cs="宋体" w:hint="eastAsia"/>
          <w:color w:val="000000"/>
          <w:bdr w:val="none" w:sz="0" w:space="0" w:color="auto"/>
          <w:lang w:eastAsia="zh-CN"/>
        </w:rPr>
        <w:t>2</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Werner MK</w:t>
      </w:r>
      <w:r w:rsidRPr="001713F3">
        <w:rPr>
          <w:rFonts w:ascii="Book Antiqua" w:eastAsia="宋体" w:hAnsi="Book Antiqua" w:cs="宋体"/>
          <w:color w:val="000000"/>
          <w:bdr w:val="none" w:sz="0" w:space="0" w:color="auto"/>
          <w:lang w:eastAsia="zh-CN"/>
        </w:rPr>
        <w:t>, Parker JA, Kolodny GM, English JR, Palmer MR. Respiratory gating enhances imaging of pulmonary nodules and measurement of tracer uptake in FDG PET/CT. </w:t>
      </w:r>
      <w:r w:rsidRPr="001713F3">
        <w:rPr>
          <w:rFonts w:ascii="Book Antiqua" w:eastAsia="宋体" w:hAnsi="Book Antiqua" w:cs="宋体"/>
          <w:i/>
          <w:iCs/>
          <w:color w:val="000000"/>
          <w:bdr w:val="none" w:sz="0" w:space="0" w:color="auto"/>
          <w:lang w:eastAsia="zh-CN"/>
        </w:rPr>
        <w:t>AJR Am J Roentgenol</w:t>
      </w:r>
      <w:r w:rsidRPr="001713F3">
        <w:rPr>
          <w:rFonts w:ascii="Book Antiqua" w:eastAsia="宋体" w:hAnsi="Book Antiqua" w:cs="宋体"/>
          <w:color w:val="000000"/>
          <w:bdr w:val="none" w:sz="0" w:space="0" w:color="auto"/>
          <w:lang w:eastAsia="zh-CN"/>
        </w:rPr>
        <w:t> 2009; </w:t>
      </w:r>
      <w:r w:rsidRPr="001713F3">
        <w:rPr>
          <w:rFonts w:ascii="Book Antiqua" w:eastAsia="宋体" w:hAnsi="Book Antiqua" w:cs="宋体"/>
          <w:b/>
          <w:bCs/>
          <w:color w:val="000000"/>
          <w:bdr w:val="none" w:sz="0" w:space="0" w:color="auto"/>
          <w:lang w:eastAsia="zh-CN"/>
        </w:rPr>
        <w:t>193</w:t>
      </w:r>
      <w:r w:rsidRPr="001713F3">
        <w:rPr>
          <w:rFonts w:ascii="Book Antiqua" w:eastAsia="宋体" w:hAnsi="Book Antiqua" w:cs="宋体"/>
          <w:color w:val="000000"/>
          <w:bdr w:val="none" w:sz="0" w:space="0" w:color="auto"/>
          <w:lang w:eastAsia="zh-CN"/>
        </w:rPr>
        <w:t>: 1640-1645 [PMID: 19933659 DOI: 10.2214/AJR.09.2516]</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6</w:t>
      </w:r>
      <w:r w:rsidR="005015F4">
        <w:rPr>
          <w:rFonts w:ascii="Book Antiqua" w:eastAsia="宋体" w:hAnsi="Book Antiqua" w:cs="宋体" w:hint="eastAsia"/>
          <w:color w:val="000000"/>
          <w:bdr w:val="none" w:sz="0" w:space="0" w:color="auto"/>
          <w:lang w:eastAsia="zh-CN"/>
        </w:rPr>
        <w:t>3</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Biehl KJ</w:t>
      </w:r>
      <w:r w:rsidRPr="001713F3">
        <w:rPr>
          <w:rFonts w:ascii="Book Antiqua" w:eastAsia="宋体" w:hAnsi="Book Antiqua" w:cs="宋体"/>
          <w:color w:val="000000"/>
          <w:bdr w:val="none" w:sz="0" w:space="0" w:color="auto"/>
          <w:lang w:eastAsia="zh-CN"/>
        </w:rPr>
        <w:t>, Kong FM, Dehdashti F, Jin JY, Mutic S, El Naqa I, Siegel BA, Bradley JD. 18F-FDG PET definition of gross tumor volume for radiotherapy of non-small cell lung cancer: is a single standardized uptake value threshold approach appropriate? </w:t>
      </w:r>
      <w:r w:rsidRPr="001713F3">
        <w:rPr>
          <w:rFonts w:ascii="Book Antiqua" w:eastAsia="宋体" w:hAnsi="Book Antiqua" w:cs="宋体"/>
          <w:i/>
          <w:iCs/>
          <w:color w:val="000000"/>
          <w:bdr w:val="none" w:sz="0" w:space="0" w:color="auto"/>
          <w:lang w:eastAsia="zh-CN"/>
        </w:rPr>
        <w:t>J Nucl Med</w:t>
      </w:r>
      <w:r w:rsidRPr="001713F3">
        <w:rPr>
          <w:rFonts w:ascii="Book Antiqua" w:eastAsia="宋体" w:hAnsi="Book Antiqua" w:cs="宋体"/>
          <w:color w:val="000000"/>
          <w:bdr w:val="none" w:sz="0" w:space="0" w:color="auto"/>
          <w:lang w:eastAsia="zh-CN"/>
        </w:rPr>
        <w:t> 2006; </w:t>
      </w:r>
      <w:r w:rsidRPr="001713F3">
        <w:rPr>
          <w:rFonts w:ascii="Book Antiqua" w:eastAsia="宋体" w:hAnsi="Book Antiqua" w:cs="宋体"/>
          <w:b/>
          <w:bCs/>
          <w:color w:val="000000"/>
          <w:bdr w:val="none" w:sz="0" w:space="0" w:color="auto"/>
          <w:lang w:eastAsia="zh-CN"/>
        </w:rPr>
        <w:t>47</w:t>
      </w:r>
      <w:r w:rsidRPr="001713F3">
        <w:rPr>
          <w:rFonts w:ascii="Book Antiqua" w:eastAsia="宋体" w:hAnsi="Book Antiqua" w:cs="宋体"/>
          <w:color w:val="000000"/>
          <w:bdr w:val="none" w:sz="0" w:space="0" w:color="auto"/>
          <w:lang w:eastAsia="zh-CN"/>
        </w:rPr>
        <w:t>: 1808-1812 [PMID: 17079814]</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6</w:t>
      </w:r>
      <w:r w:rsidR="005015F4">
        <w:rPr>
          <w:rFonts w:ascii="Book Antiqua" w:eastAsia="宋体" w:hAnsi="Book Antiqua" w:cs="宋体" w:hint="eastAsia"/>
          <w:color w:val="000000"/>
          <w:bdr w:val="none" w:sz="0" w:space="0" w:color="auto"/>
          <w:lang w:eastAsia="zh-CN"/>
        </w:rPr>
        <w:t>4</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Gerth HU</w:t>
      </w:r>
      <w:r w:rsidRPr="001713F3">
        <w:rPr>
          <w:rFonts w:ascii="Book Antiqua" w:eastAsia="宋体" w:hAnsi="Book Antiqua" w:cs="宋体"/>
          <w:color w:val="000000"/>
          <w:bdr w:val="none" w:sz="0" w:space="0" w:color="auto"/>
          <w:lang w:eastAsia="zh-CN"/>
        </w:rPr>
        <w:t xml:space="preserve">, Juergens KU, Dirksen U, Gerss J, </w:t>
      </w:r>
      <w:proofErr w:type="gramStart"/>
      <w:r w:rsidRPr="001713F3">
        <w:rPr>
          <w:rFonts w:ascii="Book Antiqua" w:eastAsia="宋体" w:hAnsi="Book Antiqua" w:cs="宋体"/>
          <w:color w:val="000000"/>
          <w:bdr w:val="none" w:sz="0" w:space="0" w:color="auto"/>
          <w:lang w:eastAsia="zh-CN"/>
        </w:rPr>
        <w:t>Schober</w:t>
      </w:r>
      <w:proofErr w:type="gramEnd"/>
      <w:r w:rsidRPr="001713F3">
        <w:rPr>
          <w:rFonts w:ascii="Book Antiqua" w:eastAsia="宋体" w:hAnsi="Book Antiqua" w:cs="宋体"/>
          <w:color w:val="000000"/>
          <w:bdr w:val="none" w:sz="0" w:space="0" w:color="auto"/>
          <w:lang w:eastAsia="zh-CN"/>
        </w:rPr>
        <w:t xml:space="preserve"> O, Franzius C. Significant benefit of multimodal imaging: PET/CT compared with PET alone in staging and follow-up of patients with Ewing tumors. </w:t>
      </w:r>
      <w:r w:rsidRPr="001713F3">
        <w:rPr>
          <w:rFonts w:ascii="Book Antiqua" w:eastAsia="宋体" w:hAnsi="Book Antiqua" w:cs="宋体"/>
          <w:i/>
          <w:iCs/>
          <w:color w:val="000000"/>
          <w:bdr w:val="none" w:sz="0" w:space="0" w:color="auto"/>
          <w:lang w:eastAsia="zh-CN"/>
        </w:rPr>
        <w:t>J Nucl Med</w:t>
      </w:r>
      <w:r w:rsidRPr="001713F3">
        <w:rPr>
          <w:rFonts w:ascii="Book Antiqua" w:eastAsia="宋体" w:hAnsi="Book Antiqua" w:cs="宋体"/>
          <w:color w:val="000000"/>
          <w:bdr w:val="none" w:sz="0" w:space="0" w:color="auto"/>
          <w:lang w:eastAsia="zh-CN"/>
        </w:rPr>
        <w:t> 2007; </w:t>
      </w:r>
      <w:r w:rsidRPr="001713F3">
        <w:rPr>
          <w:rFonts w:ascii="Book Antiqua" w:eastAsia="宋体" w:hAnsi="Book Antiqua" w:cs="宋体"/>
          <w:b/>
          <w:bCs/>
          <w:color w:val="000000"/>
          <w:bdr w:val="none" w:sz="0" w:space="0" w:color="auto"/>
          <w:lang w:eastAsia="zh-CN"/>
        </w:rPr>
        <w:t>48</w:t>
      </w:r>
      <w:r w:rsidRPr="001713F3">
        <w:rPr>
          <w:rFonts w:ascii="Book Antiqua" w:eastAsia="宋体" w:hAnsi="Book Antiqua" w:cs="宋体"/>
          <w:color w:val="000000"/>
          <w:bdr w:val="none" w:sz="0" w:space="0" w:color="auto"/>
          <w:lang w:eastAsia="zh-CN"/>
        </w:rPr>
        <w:t>: 1932-1939 [PMID: 18006618 DOI: 10.2967/jnumed.107.045286]</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6</w:t>
      </w:r>
      <w:r w:rsidR="005015F4">
        <w:rPr>
          <w:rFonts w:ascii="Book Antiqua" w:eastAsia="宋体" w:hAnsi="Book Antiqua" w:cs="宋体" w:hint="eastAsia"/>
          <w:color w:val="000000"/>
          <w:bdr w:val="none" w:sz="0" w:space="0" w:color="auto"/>
          <w:lang w:eastAsia="zh-CN"/>
        </w:rPr>
        <w:t>5</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McCarville MB</w:t>
      </w:r>
      <w:r w:rsidRPr="001713F3">
        <w:rPr>
          <w:rFonts w:ascii="Book Antiqua" w:eastAsia="宋体" w:hAnsi="Book Antiqua" w:cs="宋体"/>
          <w:color w:val="000000"/>
          <w:bdr w:val="none" w:sz="0" w:space="0" w:color="auto"/>
          <w:lang w:eastAsia="zh-CN"/>
        </w:rPr>
        <w:t xml:space="preserve">, Lederman HM, Santana VM, Daw NC, Shochat SJ, Li CS, Kaufman RA. </w:t>
      </w:r>
      <w:proofErr w:type="gramStart"/>
      <w:r w:rsidRPr="001713F3">
        <w:rPr>
          <w:rFonts w:ascii="Book Antiqua" w:eastAsia="宋体" w:hAnsi="Book Antiqua" w:cs="宋体"/>
          <w:color w:val="000000"/>
          <w:bdr w:val="none" w:sz="0" w:space="0" w:color="auto"/>
          <w:lang w:eastAsia="zh-CN"/>
        </w:rPr>
        <w:t>Distinguishing benign from malignant pulmonary nodules with helical chest CT in children with malignant solid tumors.</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Radiology</w:t>
      </w:r>
      <w:r w:rsidRPr="001713F3">
        <w:rPr>
          <w:rFonts w:ascii="Book Antiqua" w:eastAsia="宋体" w:hAnsi="Book Antiqua" w:cs="宋体"/>
          <w:color w:val="000000"/>
          <w:bdr w:val="none" w:sz="0" w:space="0" w:color="auto"/>
          <w:lang w:eastAsia="zh-CN"/>
        </w:rPr>
        <w:t> 2006; </w:t>
      </w:r>
      <w:r w:rsidRPr="001713F3">
        <w:rPr>
          <w:rFonts w:ascii="Book Antiqua" w:eastAsia="宋体" w:hAnsi="Book Antiqua" w:cs="宋体"/>
          <w:b/>
          <w:bCs/>
          <w:color w:val="000000"/>
          <w:bdr w:val="none" w:sz="0" w:space="0" w:color="auto"/>
          <w:lang w:eastAsia="zh-CN"/>
        </w:rPr>
        <w:t>239</w:t>
      </w:r>
      <w:r w:rsidRPr="001713F3">
        <w:rPr>
          <w:rFonts w:ascii="Book Antiqua" w:eastAsia="宋体" w:hAnsi="Book Antiqua" w:cs="宋体"/>
          <w:color w:val="000000"/>
          <w:bdr w:val="none" w:sz="0" w:space="0" w:color="auto"/>
          <w:lang w:eastAsia="zh-CN"/>
        </w:rPr>
        <w:t>: 514-520 [PMID: 16641356 DOI: 10.1148/radiol.2392050631]</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6</w:t>
      </w:r>
      <w:r w:rsidR="005015F4">
        <w:rPr>
          <w:rFonts w:ascii="Book Antiqua" w:eastAsia="宋体" w:hAnsi="Book Antiqua" w:cs="宋体" w:hint="eastAsia"/>
          <w:color w:val="000000"/>
          <w:bdr w:val="none" w:sz="0" w:space="0" w:color="auto"/>
          <w:lang w:eastAsia="zh-CN"/>
        </w:rPr>
        <w:t>6</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Johnson GR</w:t>
      </w:r>
      <w:r w:rsidRPr="001713F3">
        <w:rPr>
          <w:rFonts w:ascii="Book Antiqua" w:eastAsia="宋体" w:hAnsi="Book Antiqua" w:cs="宋体"/>
          <w:color w:val="000000"/>
          <w:bdr w:val="none" w:sz="0" w:space="0" w:color="auto"/>
          <w:lang w:eastAsia="zh-CN"/>
        </w:rPr>
        <w:t>, Zhuang H, Khan J, Chiang SB, Alavi A. Roles of positron emission tomography with fluorine-18-deoxyglucose in the detection of local recurrent and distant metastatic sarcoma. </w:t>
      </w:r>
      <w:r w:rsidRPr="001713F3">
        <w:rPr>
          <w:rFonts w:ascii="Book Antiqua" w:eastAsia="宋体" w:hAnsi="Book Antiqua" w:cs="宋体"/>
          <w:i/>
          <w:iCs/>
          <w:color w:val="000000"/>
          <w:bdr w:val="none" w:sz="0" w:space="0" w:color="auto"/>
          <w:lang w:eastAsia="zh-CN"/>
        </w:rPr>
        <w:t>Clin Nucl Med</w:t>
      </w:r>
      <w:r w:rsidRPr="001713F3">
        <w:rPr>
          <w:rFonts w:ascii="Book Antiqua" w:eastAsia="宋体" w:hAnsi="Book Antiqua" w:cs="宋体"/>
          <w:color w:val="000000"/>
          <w:bdr w:val="none" w:sz="0" w:space="0" w:color="auto"/>
          <w:lang w:eastAsia="zh-CN"/>
        </w:rPr>
        <w:t> 2003; </w:t>
      </w:r>
      <w:r w:rsidRPr="001713F3">
        <w:rPr>
          <w:rFonts w:ascii="Book Antiqua" w:eastAsia="宋体" w:hAnsi="Book Antiqua" w:cs="宋体"/>
          <w:b/>
          <w:bCs/>
          <w:color w:val="000000"/>
          <w:bdr w:val="none" w:sz="0" w:space="0" w:color="auto"/>
          <w:lang w:eastAsia="zh-CN"/>
        </w:rPr>
        <w:t>28</w:t>
      </w:r>
      <w:r w:rsidRPr="001713F3">
        <w:rPr>
          <w:rFonts w:ascii="Book Antiqua" w:eastAsia="宋体" w:hAnsi="Book Antiqua" w:cs="宋体"/>
          <w:color w:val="000000"/>
          <w:bdr w:val="none" w:sz="0" w:space="0" w:color="auto"/>
          <w:lang w:eastAsia="zh-CN"/>
        </w:rPr>
        <w:t>: 815-820 [PMID: 14508272 DOI: 10.1097/01.rlu.0000089523.00672.2b]</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6</w:t>
      </w:r>
      <w:r w:rsidR="005015F4">
        <w:rPr>
          <w:rFonts w:ascii="Book Antiqua" w:eastAsia="宋体" w:hAnsi="Book Antiqua" w:cs="宋体" w:hint="eastAsia"/>
          <w:color w:val="000000"/>
          <w:bdr w:val="none" w:sz="0" w:space="0" w:color="auto"/>
          <w:lang w:eastAsia="zh-CN"/>
        </w:rPr>
        <w:t>7</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Schwarzbach MH</w:t>
      </w:r>
      <w:r w:rsidRPr="001713F3">
        <w:rPr>
          <w:rFonts w:ascii="Book Antiqua" w:eastAsia="宋体" w:hAnsi="Book Antiqua" w:cs="宋体"/>
          <w:color w:val="000000"/>
          <w:bdr w:val="none" w:sz="0" w:space="0" w:color="auto"/>
          <w:lang w:eastAsia="zh-CN"/>
        </w:rPr>
        <w:t xml:space="preserve">, Hinz U, Dimitrakopoulou-Strauss A, Willeke F, Cardona S, Mechtersheimer G, Lehnert T, Strauss LG, Herfarth C, Büchler MW. </w:t>
      </w:r>
      <w:proofErr w:type="gramStart"/>
      <w:r w:rsidRPr="001713F3">
        <w:rPr>
          <w:rFonts w:ascii="Book Antiqua" w:eastAsia="宋体" w:hAnsi="Book Antiqua" w:cs="宋体"/>
          <w:color w:val="000000"/>
          <w:bdr w:val="none" w:sz="0" w:space="0" w:color="auto"/>
          <w:lang w:eastAsia="zh-CN"/>
        </w:rPr>
        <w:t>Prognostic significance of preoperative [18-F] fluorodeoxyglucose (FDG) positron emission tomography (PET) imaging in patients with resectable soft tissue sarcomas.</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Ann Surg</w:t>
      </w:r>
      <w:r w:rsidRPr="001713F3">
        <w:rPr>
          <w:rFonts w:ascii="Book Antiqua" w:eastAsia="宋体" w:hAnsi="Book Antiqua" w:cs="宋体"/>
          <w:color w:val="000000"/>
          <w:bdr w:val="none" w:sz="0" w:space="0" w:color="auto"/>
          <w:lang w:eastAsia="zh-CN"/>
        </w:rPr>
        <w:t> 2005; </w:t>
      </w:r>
      <w:r w:rsidRPr="001713F3">
        <w:rPr>
          <w:rFonts w:ascii="Book Antiqua" w:eastAsia="宋体" w:hAnsi="Book Antiqua" w:cs="宋体"/>
          <w:b/>
          <w:bCs/>
          <w:color w:val="000000"/>
          <w:bdr w:val="none" w:sz="0" w:space="0" w:color="auto"/>
          <w:lang w:eastAsia="zh-CN"/>
        </w:rPr>
        <w:t>241</w:t>
      </w:r>
      <w:r w:rsidRPr="001713F3">
        <w:rPr>
          <w:rFonts w:ascii="Book Antiqua" w:eastAsia="宋体" w:hAnsi="Book Antiqua" w:cs="宋体"/>
          <w:color w:val="000000"/>
          <w:bdr w:val="none" w:sz="0" w:space="0" w:color="auto"/>
          <w:lang w:eastAsia="zh-CN"/>
        </w:rPr>
        <w:t>: 286-294 [PMID: 15650639 DOI: 10.1097/01.sla.0000152663.61348.6f]</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6</w:t>
      </w:r>
      <w:r w:rsidR="005015F4">
        <w:rPr>
          <w:rFonts w:ascii="Book Antiqua" w:eastAsia="宋体" w:hAnsi="Book Antiqua" w:cs="宋体" w:hint="eastAsia"/>
          <w:color w:val="000000"/>
          <w:bdr w:val="none" w:sz="0" w:space="0" w:color="auto"/>
          <w:lang w:eastAsia="zh-CN"/>
        </w:rPr>
        <w:t>8</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Schuetze SM</w:t>
      </w:r>
      <w:r w:rsidRPr="001713F3">
        <w:rPr>
          <w:rFonts w:ascii="Book Antiqua" w:eastAsia="宋体" w:hAnsi="Book Antiqua" w:cs="宋体"/>
          <w:color w:val="000000"/>
          <w:bdr w:val="none" w:sz="0" w:space="0" w:color="auto"/>
          <w:lang w:eastAsia="zh-CN"/>
        </w:rPr>
        <w:t>, Rubin BP, Vernon C, Hawkins DS, Bruckner JD, Conrad EU, Eary JF.</w:t>
      </w:r>
      <w:proofErr w:type="gramEnd"/>
      <w:r w:rsidRPr="001713F3">
        <w:rPr>
          <w:rFonts w:ascii="Book Antiqua" w:eastAsia="宋体" w:hAnsi="Book Antiqua" w:cs="宋体"/>
          <w:color w:val="000000"/>
          <w:bdr w:val="none" w:sz="0" w:space="0" w:color="auto"/>
          <w:lang w:eastAsia="zh-CN"/>
        </w:rPr>
        <w:t xml:space="preserve"> Use of positron emission tomography in localized extremity soft tissue sarcoma treated with neoadjuvant chemotherapy. </w:t>
      </w:r>
      <w:r w:rsidRPr="001713F3">
        <w:rPr>
          <w:rFonts w:ascii="Book Antiqua" w:eastAsia="宋体" w:hAnsi="Book Antiqua" w:cs="宋体"/>
          <w:i/>
          <w:iCs/>
          <w:color w:val="000000"/>
          <w:bdr w:val="none" w:sz="0" w:space="0" w:color="auto"/>
          <w:lang w:eastAsia="zh-CN"/>
        </w:rPr>
        <w:t>Cancer</w:t>
      </w:r>
      <w:r w:rsidRPr="001713F3">
        <w:rPr>
          <w:rFonts w:ascii="Book Antiqua" w:eastAsia="宋体" w:hAnsi="Book Antiqua" w:cs="宋体"/>
          <w:color w:val="000000"/>
          <w:bdr w:val="none" w:sz="0" w:space="0" w:color="auto"/>
          <w:lang w:eastAsia="zh-CN"/>
        </w:rPr>
        <w:t> 2005; </w:t>
      </w:r>
      <w:r w:rsidRPr="001713F3">
        <w:rPr>
          <w:rFonts w:ascii="Book Antiqua" w:eastAsia="宋体" w:hAnsi="Book Antiqua" w:cs="宋体"/>
          <w:b/>
          <w:bCs/>
          <w:color w:val="000000"/>
          <w:bdr w:val="none" w:sz="0" w:space="0" w:color="auto"/>
          <w:lang w:eastAsia="zh-CN"/>
        </w:rPr>
        <w:t>103</w:t>
      </w:r>
      <w:r w:rsidRPr="001713F3">
        <w:rPr>
          <w:rFonts w:ascii="Book Antiqua" w:eastAsia="宋体" w:hAnsi="Book Antiqua" w:cs="宋体"/>
          <w:color w:val="000000"/>
          <w:bdr w:val="none" w:sz="0" w:space="0" w:color="auto"/>
          <w:lang w:eastAsia="zh-CN"/>
        </w:rPr>
        <w:t>: 339-348 [PMID: 15578712 DOI: 10.1002/cncr.20769]</w:t>
      </w:r>
    </w:p>
    <w:p w:rsidR="001713F3" w:rsidRPr="001713F3" w:rsidRDefault="005015F4"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Pr>
          <w:rFonts w:ascii="Book Antiqua" w:eastAsia="宋体" w:hAnsi="Book Antiqua" w:cs="宋体" w:hint="eastAsia"/>
          <w:color w:val="000000"/>
          <w:bdr w:val="none" w:sz="0" w:space="0" w:color="auto"/>
          <w:lang w:eastAsia="zh-CN"/>
        </w:rPr>
        <w:lastRenderedPageBreak/>
        <w:t>69</w:t>
      </w:r>
      <w:r w:rsidR="001713F3" w:rsidRPr="001713F3">
        <w:rPr>
          <w:rFonts w:ascii="Book Antiqua" w:eastAsia="宋体" w:hAnsi="Book Antiqua" w:cs="宋体"/>
          <w:color w:val="000000"/>
          <w:bdr w:val="none" w:sz="0" w:space="0" w:color="auto"/>
          <w:lang w:eastAsia="zh-CN"/>
        </w:rPr>
        <w:t> </w:t>
      </w:r>
      <w:r w:rsidR="001713F3" w:rsidRPr="001713F3">
        <w:rPr>
          <w:rFonts w:ascii="Book Antiqua" w:eastAsia="宋体" w:hAnsi="Book Antiqua" w:cs="宋体"/>
          <w:b/>
          <w:bCs/>
          <w:color w:val="000000"/>
          <w:bdr w:val="none" w:sz="0" w:space="0" w:color="auto"/>
          <w:lang w:eastAsia="zh-CN"/>
        </w:rPr>
        <w:t>Hawkins DS</w:t>
      </w:r>
      <w:r w:rsidR="001713F3" w:rsidRPr="001713F3">
        <w:rPr>
          <w:rFonts w:ascii="Book Antiqua" w:eastAsia="宋体" w:hAnsi="Book Antiqua" w:cs="宋体"/>
          <w:color w:val="000000"/>
          <w:bdr w:val="none" w:sz="0" w:space="0" w:color="auto"/>
          <w:lang w:eastAsia="zh-CN"/>
        </w:rPr>
        <w:t>, Schuetze SM, Butrynski JE, Rajendran JG, Vernon CB, Conrad EU, Eary JF.</w:t>
      </w:r>
      <w:proofErr w:type="gramEnd"/>
      <w:r w:rsidR="001713F3" w:rsidRPr="001713F3">
        <w:rPr>
          <w:rFonts w:ascii="Book Antiqua" w:eastAsia="宋体" w:hAnsi="Book Antiqua" w:cs="宋体"/>
          <w:color w:val="000000"/>
          <w:bdr w:val="none" w:sz="0" w:space="0" w:color="auto"/>
          <w:lang w:eastAsia="zh-CN"/>
        </w:rPr>
        <w:t xml:space="preserve"> [18F]Fluorodeoxyglucose positron emission tomography predicts outcome for Ewing sarcoma family of tumors. </w:t>
      </w:r>
      <w:r w:rsidR="001713F3" w:rsidRPr="001713F3">
        <w:rPr>
          <w:rFonts w:ascii="Book Antiqua" w:eastAsia="宋体" w:hAnsi="Book Antiqua" w:cs="宋体"/>
          <w:i/>
          <w:iCs/>
          <w:color w:val="000000"/>
          <w:bdr w:val="none" w:sz="0" w:space="0" w:color="auto"/>
          <w:lang w:eastAsia="zh-CN"/>
        </w:rPr>
        <w:t>J Clin Oncol</w:t>
      </w:r>
      <w:r w:rsidR="001713F3" w:rsidRPr="001713F3">
        <w:rPr>
          <w:rFonts w:ascii="Book Antiqua" w:eastAsia="宋体" w:hAnsi="Book Antiqua" w:cs="宋体"/>
          <w:color w:val="000000"/>
          <w:bdr w:val="none" w:sz="0" w:space="0" w:color="auto"/>
          <w:lang w:eastAsia="zh-CN"/>
        </w:rPr>
        <w:t> 2005; </w:t>
      </w:r>
      <w:r w:rsidR="001713F3" w:rsidRPr="001713F3">
        <w:rPr>
          <w:rFonts w:ascii="Book Antiqua" w:eastAsia="宋体" w:hAnsi="Book Antiqua" w:cs="宋体"/>
          <w:b/>
          <w:bCs/>
          <w:color w:val="000000"/>
          <w:bdr w:val="none" w:sz="0" w:space="0" w:color="auto"/>
          <w:lang w:eastAsia="zh-CN"/>
        </w:rPr>
        <w:t>23</w:t>
      </w:r>
      <w:r w:rsidR="001713F3" w:rsidRPr="001713F3">
        <w:rPr>
          <w:rFonts w:ascii="Book Antiqua" w:eastAsia="宋体" w:hAnsi="Book Antiqua" w:cs="宋体"/>
          <w:color w:val="000000"/>
          <w:bdr w:val="none" w:sz="0" w:space="0" w:color="auto"/>
          <w:lang w:eastAsia="zh-CN"/>
        </w:rPr>
        <w:t>: 8828-8834 [PMID: 16314643 DOI: 10.1200/JCO.2005.01.7079]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7</w:t>
      </w:r>
      <w:r w:rsidR="005015F4">
        <w:rPr>
          <w:rFonts w:ascii="Book Antiqua" w:eastAsia="宋体" w:hAnsi="Book Antiqua" w:cs="宋体" w:hint="eastAsia"/>
          <w:color w:val="000000"/>
          <w:bdr w:val="none" w:sz="0" w:space="0" w:color="auto"/>
          <w:lang w:eastAsia="zh-CN"/>
        </w:rPr>
        <w:t>0</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Benz MR</w:t>
      </w:r>
      <w:r w:rsidRPr="001713F3">
        <w:rPr>
          <w:rFonts w:ascii="Book Antiqua" w:eastAsia="宋体" w:hAnsi="Book Antiqua" w:cs="宋体"/>
          <w:color w:val="000000"/>
          <w:bdr w:val="none" w:sz="0" w:space="0" w:color="auto"/>
          <w:lang w:eastAsia="zh-CN"/>
        </w:rPr>
        <w:t>, Czernin J, Allen-Auerbach MS, Tap WD, Dry SM, Elashoff D, Chow K, Evilevitch V, Eckardt JJ, Phelps ME, Weber WA, Eilber FC. FDG-PET/CT imaging predicts histopathologic treatment responses after the initial cycle of neoadjuvant chemotherapy in high-grade soft-tissue sarcomas. </w:t>
      </w:r>
      <w:r w:rsidRPr="001713F3">
        <w:rPr>
          <w:rFonts w:ascii="Book Antiqua" w:eastAsia="宋体" w:hAnsi="Book Antiqua" w:cs="宋体"/>
          <w:i/>
          <w:iCs/>
          <w:color w:val="000000"/>
          <w:bdr w:val="none" w:sz="0" w:space="0" w:color="auto"/>
          <w:lang w:eastAsia="zh-CN"/>
        </w:rPr>
        <w:t>Clin Cancer Res</w:t>
      </w:r>
      <w:r w:rsidRPr="001713F3">
        <w:rPr>
          <w:rFonts w:ascii="Book Antiqua" w:eastAsia="宋体" w:hAnsi="Book Antiqua" w:cs="宋体"/>
          <w:color w:val="000000"/>
          <w:bdr w:val="none" w:sz="0" w:space="0" w:color="auto"/>
          <w:lang w:eastAsia="zh-CN"/>
        </w:rPr>
        <w:t> 2009; </w:t>
      </w:r>
      <w:r w:rsidRPr="001713F3">
        <w:rPr>
          <w:rFonts w:ascii="Book Antiqua" w:eastAsia="宋体" w:hAnsi="Book Antiqua" w:cs="宋体"/>
          <w:b/>
          <w:bCs/>
          <w:color w:val="000000"/>
          <w:bdr w:val="none" w:sz="0" w:space="0" w:color="auto"/>
          <w:lang w:eastAsia="zh-CN"/>
        </w:rPr>
        <w:t>15</w:t>
      </w:r>
      <w:r w:rsidRPr="001713F3">
        <w:rPr>
          <w:rFonts w:ascii="Book Antiqua" w:eastAsia="宋体" w:hAnsi="Book Antiqua" w:cs="宋体"/>
          <w:color w:val="000000"/>
          <w:bdr w:val="none" w:sz="0" w:space="0" w:color="auto"/>
          <w:lang w:eastAsia="zh-CN"/>
        </w:rPr>
        <w:t>: 2856-2863 [PMID: 19351756 DOI: 10.1158/1078-0432.CCR-08-2537]</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7</w:t>
      </w:r>
      <w:r w:rsidR="005015F4">
        <w:rPr>
          <w:rFonts w:ascii="Book Antiqua" w:eastAsia="宋体" w:hAnsi="Book Antiqua" w:cs="宋体" w:hint="eastAsia"/>
          <w:color w:val="000000"/>
          <w:bdr w:val="none" w:sz="0" w:space="0" w:color="auto"/>
          <w:lang w:eastAsia="zh-CN"/>
        </w:rPr>
        <w:t>1</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Portwine C</w:t>
      </w:r>
      <w:r w:rsidRPr="001713F3">
        <w:rPr>
          <w:rFonts w:ascii="Book Antiqua" w:eastAsia="宋体" w:hAnsi="Book Antiqua" w:cs="宋体"/>
          <w:color w:val="000000"/>
          <w:bdr w:val="none" w:sz="0" w:space="0" w:color="auto"/>
          <w:lang w:eastAsia="zh-CN"/>
        </w:rPr>
        <w:t>, Marriott C, Barr RD. PET imaging for pediatric oncology: an assessment of the evidence. </w:t>
      </w:r>
      <w:r w:rsidRPr="001713F3">
        <w:rPr>
          <w:rFonts w:ascii="Book Antiqua" w:eastAsia="宋体" w:hAnsi="Book Antiqua" w:cs="宋体"/>
          <w:i/>
          <w:iCs/>
          <w:color w:val="000000"/>
          <w:bdr w:val="none" w:sz="0" w:space="0" w:color="auto"/>
          <w:lang w:eastAsia="zh-CN"/>
        </w:rPr>
        <w:t>Pediatr Blood Cancer</w:t>
      </w:r>
      <w:r w:rsidRPr="001713F3">
        <w:rPr>
          <w:rFonts w:ascii="Book Antiqua" w:eastAsia="宋体" w:hAnsi="Book Antiqua" w:cs="宋体"/>
          <w:color w:val="000000"/>
          <w:bdr w:val="none" w:sz="0" w:space="0" w:color="auto"/>
          <w:lang w:eastAsia="zh-CN"/>
        </w:rPr>
        <w:t> 2010; </w:t>
      </w:r>
      <w:r w:rsidRPr="001713F3">
        <w:rPr>
          <w:rFonts w:ascii="Book Antiqua" w:eastAsia="宋体" w:hAnsi="Book Antiqua" w:cs="宋体"/>
          <w:b/>
          <w:bCs/>
          <w:color w:val="000000"/>
          <w:bdr w:val="none" w:sz="0" w:space="0" w:color="auto"/>
          <w:lang w:eastAsia="zh-CN"/>
        </w:rPr>
        <w:t>55</w:t>
      </w:r>
      <w:r w:rsidRPr="001713F3">
        <w:rPr>
          <w:rFonts w:ascii="Book Antiqua" w:eastAsia="宋体" w:hAnsi="Book Antiqua" w:cs="宋体"/>
          <w:color w:val="000000"/>
          <w:bdr w:val="none" w:sz="0" w:space="0" w:color="auto"/>
          <w:lang w:eastAsia="zh-CN"/>
        </w:rPr>
        <w:t>: 1048-1061 [PMID: 20979168 DOI: 10.1002/pbc.22747]</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7</w:t>
      </w:r>
      <w:r w:rsidR="005015F4">
        <w:rPr>
          <w:rFonts w:ascii="Book Antiqua" w:eastAsia="宋体" w:hAnsi="Book Antiqua" w:cs="宋体" w:hint="eastAsia"/>
          <w:color w:val="000000"/>
          <w:bdr w:val="none" w:sz="0" w:space="0" w:color="auto"/>
          <w:lang w:eastAsia="zh-CN"/>
        </w:rPr>
        <w:t>2</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Treglia G</w:t>
      </w:r>
      <w:r w:rsidRPr="001713F3">
        <w:rPr>
          <w:rFonts w:ascii="Book Antiqua" w:eastAsia="宋体" w:hAnsi="Book Antiqua" w:cs="宋体"/>
          <w:color w:val="000000"/>
          <w:bdr w:val="none" w:sz="0" w:space="0" w:color="auto"/>
          <w:lang w:eastAsia="zh-CN"/>
        </w:rPr>
        <w:t>, Taralli S, Bertagna F, Salsano M, Muoio B, Novellis P, Vita ML, Maggi F, Giordano A. Usefulness of whole-body fluorine-18-fluorodeoxyglucose positron emission tomography in patients with neurofibromatosis type 1: a systematic review. </w:t>
      </w:r>
      <w:r w:rsidRPr="001713F3">
        <w:rPr>
          <w:rFonts w:ascii="Book Antiqua" w:eastAsia="宋体" w:hAnsi="Book Antiqua" w:cs="宋体"/>
          <w:i/>
          <w:iCs/>
          <w:color w:val="000000"/>
          <w:bdr w:val="none" w:sz="0" w:space="0" w:color="auto"/>
          <w:lang w:eastAsia="zh-CN"/>
        </w:rPr>
        <w:t>Radiol Res Pract</w:t>
      </w:r>
      <w:r w:rsidRPr="001713F3">
        <w:rPr>
          <w:rFonts w:ascii="Book Antiqua" w:eastAsia="宋体" w:hAnsi="Book Antiqua" w:cs="宋体"/>
          <w:color w:val="000000"/>
          <w:bdr w:val="none" w:sz="0" w:space="0" w:color="auto"/>
          <w:lang w:eastAsia="zh-CN"/>
        </w:rPr>
        <w:t> 2012; </w:t>
      </w:r>
      <w:r w:rsidRPr="001713F3">
        <w:rPr>
          <w:rFonts w:ascii="Book Antiqua" w:eastAsia="宋体" w:hAnsi="Book Antiqua" w:cs="宋体"/>
          <w:b/>
          <w:bCs/>
          <w:color w:val="000000"/>
          <w:bdr w:val="none" w:sz="0" w:space="0" w:color="auto"/>
          <w:lang w:eastAsia="zh-CN"/>
        </w:rPr>
        <w:t>2012</w:t>
      </w:r>
      <w:r w:rsidRPr="001713F3">
        <w:rPr>
          <w:rFonts w:ascii="Book Antiqua" w:eastAsia="宋体" w:hAnsi="Book Antiqua" w:cs="宋体"/>
          <w:color w:val="000000"/>
          <w:bdr w:val="none" w:sz="0" w:space="0" w:color="auto"/>
          <w:lang w:eastAsia="zh-CN"/>
        </w:rPr>
        <w:t>: 431029 [PMID: 22991664 DOI: 10.1155/2012/431029]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7</w:t>
      </w:r>
      <w:r w:rsidR="005015F4">
        <w:rPr>
          <w:rFonts w:ascii="Book Antiqua" w:eastAsia="宋体" w:hAnsi="Book Antiqua" w:cs="宋体" w:hint="eastAsia"/>
          <w:color w:val="000000"/>
          <w:bdr w:val="none" w:sz="0" w:space="0" w:color="auto"/>
          <w:lang w:eastAsia="zh-CN"/>
        </w:rPr>
        <w:t xml:space="preserve">3 </w:t>
      </w:r>
      <w:r w:rsidRPr="001713F3">
        <w:rPr>
          <w:rFonts w:ascii="Book Antiqua" w:eastAsia="宋体" w:hAnsi="Book Antiqua" w:cs="宋体"/>
          <w:b/>
          <w:bCs/>
          <w:color w:val="000000"/>
          <w:bdr w:val="none" w:sz="0" w:space="0" w:color="auto"/>
          <w:lang w:eastAsia="zh-CN"/>
        </w:rPr>
        <w:t>Tsai LL</w:t>
      </w:r>
      <w:r w:rsidRPr="001713F3">
        <w:rPr>
          <w:rFonts w:ascii="Book Antiqua" w:eastAsia="宋体" w:hAnsi="Book Antiqua" w:cs="宋体"/>
          <w:color w:val="000000"/>
          <w:bdr w:val="none" w:sz="0" w:space="0" w:color="auto"/>
          <w:lang w:eastAsia="zh-CN"/>
        </w:rPr>
        <w:t>, Drubach L, Fahey F, Irons M, Voss S, Ullrich NJ. [18F]-Fluorodeoxyglucose positron emission tomography in children with neurofibromatosis type 1 and plexiform neurofibromas: correlation with malignant transformation. </w:t>
      </w:r>
      <w:r w:rsidRPr="001713F3">
        <w:rPr>
          <w:rFonts w:ascii="Book Antiqua" w:eastAsia="宋体" w:hAnsi="Book Antiqua" w:cs="宋体"/>
          <w:i/>
          <w:iCs/>
          <w:color w:val="000000"/>
          <w:bdr w:val="none" w:sz="0" w:space="0" w:color="auto"/>
          <w:lang w:eastAsia="zh-CN"/>
        </w:rPr>
        <w:t>J Neurooncol</w:t>
      </w:r>
      <w:r w:rsidRPr="001713F3">
        <w:rPr>
          <w:rFonts w:ascii="Book Antiqua" w:eastAsia="宋体" w:hAnsi="Book Antiqua" w:cs="宋体"/>
          <w:color w:val="000000"/>
          <w:bdr w:val="none" w:sz="0" w:space="0" w:color="auto"/>
          <w:lang w:eastAsia="zh-CN"/>
        </w:rPr>
        <w:t> 2012; </w:t>
      </w:r>
      <w:r w:rsidRPr="001713F3">
        <w:rPr>
          <w:rFonts w:ascii="Book Antiqua" w:eastAsia="宋体" w:hAnsi="Book Antiqua" w:cs="宋体"/>
          <w:b/>
          <w:bCs/>
          <w:color w:val="000000"/>
          <w:bdr w:val="none" w:sz="0" w:space="0" w:color="auto"/>
          <w:lang w:eastAsia="zh-CN"/>
        </w:rPr>
        <w:t>108</w:t>
      </w:r>
      <w:r w:rsidRPr="001713F3">
        <w:rPr>
          <w:rFonts w:ascii="Book Antiqua" w:eastAsia="宋体" w:hAnsi="Book Antiqua" w:cs="宋体"/>
          <w:color w:val="000000"/>
          <w:bdr w:val="none" w:sz="0" w:space="0" w:color="auto"/>
          <w:lang w:eastAsia="zh-CN"/>
        </w:rPr>
        <w:t>: 469-475 [PMID: 22407214 DOI: 10.1007/s11060-012-0840-5]</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7</w:t>
      </w:r>
      <w:r w:rsidR="005015F4">
        <w:rPr>
          <w:rFonts w:ascii="Book Antiqua" w:eastAsia="宋体" w:hAnsi="Book Antiqua" w:cs="宋体" w:hint="eastAsia"/>
          <w:color w:val="000000"/>
          <w:bdr w:val="none" w:sz="0" w:space="0" w:color="auto"/>
          <w:lang w:eastAsia="zh-CN"/>
        </w:rPr>
        <w:t xml:space="preserve">4 </w:t>
      </w:r>
      <w:r w:rsidRPr="001713F3">
        <w:rPr>
          <w:rFonts w:ascii="Book Antiqua" w:eastAsia="宋体" w:hAnsi="Book Antiqua" w:cs="宋体"/>
          <w:b/>
          <w:bCs/>
          <w:color w:val="000000"/>
          <w:bdr w:val="none" w:sz="0" w:space="0" w:color="auto"/>
          <w:lang w:eastAsia="zh-CN"/>
        </w:rPr>
        <w:t>Ferner RE</w:t>
      </w:r>
      <w:r w:rsidRPr="001713F3">
        <w:rPr>
          <w:rFonts w:ascii="Book Antiqua" w:eastAsia="宋体" w:hAnsi="Book Antiqua" w:cs="宋体"/>
          <w:color w:val="000000"/>
          <w:bdr w:val="none" w:sz="0" w:space="0" w:color="auto"/>
          <w:lang w:eastAsia="zh-CN"/>
        </w:rPr>
        <w:t>, Gutmann DH.</w:t>
      </w:r>
      <w:proofErr w:type="gramEnd"/>
      <w:r w:rsidRPr="001713F3">
        <w:rPr>
          <w:rFonts w:ascii="Book Antiqua" w:eastAsia="宋体" w:hAnsi="Book Antiqua" w:cs="宋体"/>
          <w:color w:val="000000"/>
          <w:bdr w:val="none" w:sz="0" w:space="0" w:color="auto"/>
          <w:lang w:eastAsia="zh-CN"/>
        </w:rPr>
        <w:t xml:space="preserve"> </w:t>
      </w:r>
      <w:proofErr w:type="gramStart"/>
      <w:r w:rsidRPr="001713F3">
        <w:rPr>
          <w:rFonts w:ascii="Book Antiqua" w:eastAsia="宋体" w:hAnsi="Book Antiqua" w:cs="宋体"/>
          <w:color w:val="000000"/>
          <w:bdr w:val="none" w:sz="0" w:space="0" w:color="auto"/>
          <w:lang w:eastAsia="zh-CN"/>
        </w:rPr>
        <w:t>International consensus statement on malignant peripheral nerve sheath tumors in neurofibromatosis.</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Cancer Res</w:t>
      </w:r>
      <w:r w:rsidRPr="001713F3">
        <w:rPr>
          <w:rFonts w:ascii="Book Antiqua" w:eastAsia="宋体" w:hAnsi="Book Antiqua" w:cs="宋体"/>
          <w:color w:val="000000"/>
          <w:bdr w:val="none" w:sz="0" w:space="0" w:color="auto"/>
          <w:lang w:eastAsia="zh-CN"/>
        </w:rPr>
        <w:t> 2002; </w:t>
      </w:r>
      <w:r w:rsidRPr="001713F3">
        <w:rPr>
          <w:rFonts w:ascii="Book Antiqua" w:eastAsia="宋体" w:hAnsi="Book Antiqua" w:cs="宋体"/>
          <w:b/>
          <w:bCs/>
          <w:color w:val="000000"/>
          <w:bdr w:val="none" w:sz="0" w:space="0" w:color="auto"/>
          <w:lang w:eastAsia="zh-CN"/>
        </w:rPr>
        <w:t>62</w:t>
      </w:r>
      <w:r w:rsidRPr="001713F3">
        <w:rPr>
          <w:rFonts w:ascii="Book Antiqua" w:eastAsia="宋体" w:hAnsi="Book Antiqua" w:cs="宋体"/>
          <w:color w:val="000000"/>
          <w:bdr w:val="none" w:sz="0" w:space="0" w:color="auto"/>
          <w:lang w:eastAsia="zh-CN"/>
        </w:rPr>
        <w:t>: 1573-1577 [PMID: 11894862]</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7</w:t>
      </w:r>
      <w:r w:rsidR="005015F4">
        <w:rPr>
          <w:rFonts w:ascii="Book Antiqua" w:eastAsia="宋体" w:hAnsi="Book Antiqua" w:cs="宋体" w:hint="eastAsia"/>
          <w:color w:val="000000"/>
          <w:bdr w:val="none" w:sz="0" w:space="0" w:color="auto"/>
          <w:lang w:eastAsia="zh-CN"/>
        </w:rPr>
        <w:t>5</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Evans DG</w:t>
      </w:r>
      <w:r w:rsidRPr="001713F3">
        <w:rPr>
          <w:rFonts w:ascii="Book Antiqua" w:eastAsia="宋体" w:hAnsi="Book Antiqua" w:cs="宋体"/>
          <w:color w:val="000000"/>
          <w:bdr w:val="none" w:sz="0" w:space="0" w:color="auto"/>
          <w:lang w:eastAsia="zh-CN"/>
        </w:rPr>
        <w:t>, Baser ME, McGaughran J, Sharif S, Howard E, Moran A. Malignant peripheral nerve sheath tumours in neurofibromatosis 1.</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J Med Genet</w:t>
      </w:r>
      <w:r w:rsidRPr="001713F3">
        <w:rPr>
          <w:rFonts w:ascii="Book Antiqua" w:eastAsia="宋体" w:hAnsi="Book Antiqua" w:cs="宋体"/>
          <w:color w:val="000000"/>
          <w:bdr w:val="none" w:sz="0" w:space="0" w:color="auto"/>
          <w:lang w:eastAsia="zh-CN"/>
        </w:rPr>
        <w:t> 2002; </w:t>
      </w:r>
      <w:r w:rsidRPr="001713F3">
        <w:rPr>
          <w:rFonts w:ascii="Book Antiqua" w:eastAsia="宋体" w:hAnsi="Book Antiqua" w:cs="宋体"/>
          <w:b/>
          <w:bCs/>
          <w:color w:val="000000"/>
          <w:bdr w:val="none" w:sz="0" w:space="0" w:color="auto"/>
          <w:lang w:eastAsia="zh-CN"/>
        </w:rPr>
        <w:t>39</w:t>
      </w:r>
      <w:r w:rsidRPr="001713F3">
        <w:rPr>
          <w:rFonts w:ascii="Book Antiqua" w:eastAsia="宋体" w:hAnsi="Book Antiqua" w:cs="宋体"/>
          <w:color w:val="000000"/>
          <w:bdr w:val="none" w:sz="0" w:space="0" w:color="auto"/>
          <w:lang w:eastAsia="zh-CN"/>
        </w:rPr>
        <w:t>: 311-314 [PMID: 12011145 DOI: 10.1136/jmg.39.5.311]</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7</w:t>
      </w:r>
      <w:r w:rsidR="005015F4">
        <w:rPr>
          <w:rFonts w:ascii="Book Antiqua" w:eastAsia="宋体" w:hAnsi="Book Antiqua" w:cs="宋体" w:hint="eastAsia"/>
          <w:color w:val="000000"/>
          <w:bdr w:val="none" w:sz="0" w:space="0" w:color="auto"/>
          <w:lang w:eastAsia="zh-CN"/>
        </w:rPr>
        <w:t>6</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Warbey VS</w:t>
      </w:r>
      <w:r w:rsidRPr="001713F3">
        <w:rPr>
          <w:rFonts w:ascii="Book Antiqua" w:eastAsia="宋体" w:hAnsi="Book Antiqua" w:cs="宋体"/>
          <w:color w:val="000000"/>
          <w:bdr w:val="none" w:sz="0" w:space="0" w:color="auto"/>
          <w:lang w:eastAsia="zh-CN"/>
        </w:rPr>
        <w:t>, Ferner RE, Dunn JT, Calonje E, O'Doherty MJ.</w:t>
      </w:r>
      <w:proofErr w:type="gramEnd"/>
      <w:r w:rsidRPr="001713F3">
        <w:rPr>
          <w:rFonts w:ascii="Book Antiqua" w:eastAsia="宋体" w:hAnsi="Book Antiqua" w:cs="宋体"/>
          <w:color w:val="000000"/>
          <w:bdr w:val="none" w:sz="0" w:space="0" w:color="auto"/>
          <w:lang w:eastAsia="zh-CN"/>
        </w:rPr>
        <w:t xml:space="preserve"> [18F]FDG PET/CT in the diagnosis of malignant peripheral nerve sheath tumours in neurofibromatosis type-1.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2009; </w:t>
      </w:r>
      <w:r w:rsidRPr="001713F3">
        <w:rPr>
          <w:rFonts w:ascii="Book Antiqua" w:eastAsia="宋体" w:hAnsi="Book Antiqua" w:cs="宋体"/>
          <w:b/>
          <w:bCs/>
          <w:color w:val="000000"/>
          <w:bdr w:val="none" w:sz="0" w:space="0" w:color="auto"/>
          <w:lang w:eastAsia="zh-CN"/>
        </w:rPr>
        <w:t>36</w:t>
      </w:r>
      <w:r w:rsidRPr="001713F3">
        <w:rPr>
          <w:rFonts w:ascii="Book Antiqua" w:eastAsia="宋体" w:hAnsi="Book Antiqua" w:cs="宋体"/>
          <w:color w:val="000000"/>
          <w:bdr w:val="none" w:sz="0" w:space="0" w:color="auto"/>
          <w:lang w:eastAsia="zh-CN"/>
        </w:rPr>
        <w:t>: 751-757 [PMID: 19142634 DOI: 10.1007/s00259-008-1038-0]</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7</w:t>
      </w:r>
      <w:r w:rsidR="005015F4">
        <w:rPr>
          <w:rFonts w:ascii="Book Antiqua" w:eastAsia="宋体" w:hAnsi="Book Antiqua" w:cs="宋体" w:hint="eastAsia"/>
          <w:color w:val="000000"/>
          <w:bdr w:val="none" w:sz="0" w:space="0" w:color="auto"/>
          <w:lang w:eastAsia="zh-CN"/>
        </w:rPr>
        <w:t>7</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Ferner RE</w:t>
      </w:r>
      <w:r w:rsidRPr="001713F3">
        <w:rPr>
          <w:rFonts w:ascii="Book Antiqua" w:eastAsia="宋体" w:hAnsi="Book Antiqua" w:cs="宋体"/>
          <w:color w:val="000000"/>
          <w:bdr w:val="none" w:sz="0" w:space="0" w:color="auto"/>
          <w:lang w:eastAsia="zh-CN"/>
        </w:rPr>
        <w:t xml:space="preserve">, Golding JF, Smith M, Calonje E, Jan W, Sanjayanathan V, O'Doherty M. [18F]2-fluoro-2-deoxy-D-glucose positron emission tomography (FDG PET) as a diagnostic tool for neurofibromatosis 1 (NF1) associated malignant peripheral nerve sheath tumours </w:t>
      </w:r>
      <w:r w:rsidRPr="001713F3">
        <w:rPr>
          <w:rFonts w:ascii="Book Antiqua" w:eastAsia="宋体" w:hAnsi="Book Antiqua" w:cs="宋体"/>
          <w:color w:val="000000"/>
          <w:bdr w:val="none" w:sz="0" w:space="0" w:color="auto"/>
          <w:lang w:eastAsia="zh-CN"/>
        </w:rPr>
        <w:lastRenderedPageBreak/>
        <w:t>(MPNSTs): a long-term clinical study. </w:t>
      </w:r>
      <w:r w:rsidRPr="001713F3">
        <w:rPr>
          <w:rFonts w:ascii="Book Antiqua" w:eastAsia="宋体" w:hAnsi="Book Antiqua" w:cs="宋体"/>
          <w:i/>
          <w:iCs/>
          <w:color w:val="000000"/>
          <w:bdr w:val="none" w:sz="0" w:space="0" w:color="auto"/>
          <w:lang w:eastAsia="zh-CN"/>
        </w:rPr>
        <w:t>Ann Oncol</w:t>
      </w:r>
      <w:r w:rsidRPr="001713F3">
        <w:rPr>
          <w:rFonts w:ascii="Book Antiqua" w:eastAsia="宋体" w:hAnsi="Book Antiqua" w:cs="宋体"/>
          <w:color w:val="000000"/>
          <w:bdr w:val="none" w:sz="0" w:space="0" w:color="auto"/>
          <w:lang w:eastAsia="zh-CN"/>
        </w:rPr>
        <w:t> 2008; </w:t>
      </w:r>
      <w:r w:rsidRPr="001713F3">
        <w:rPr>
          <w:rFonts w:ascii="Book Antiqua" w:eastAsia="宋体" w:hAnsi="Book Antiqua" w:cs="宋体"/>
          <w:b/>
          <w:bCs/>
          <w:color w:val="000000"/>
          <w:bdr w:val="none" w:sz="0" w:space="0" w:color="auto"/>
          <w:lang w:eastAsia="zh-CN"/>
        </w:rPr>
        <w:t>19</w:t>
      </w:r>
      <w:r w:rsidRPr="001713F3">
        <w:rPr>
          <w:rFonts w:ascii="Book Antiqua" w:eastAsia="宋体" w:hAnsi="Book Antiqua" w:cs="宋体"/>
          <w:color w:val="000000"/>
          <w:bdr w:val="none" w:sz="0" w:space="0" w:color="auto"/>
          <w:lang w:eastAsia="zh-CN"/>
        </w:rPr>
        <w:t>: 390-394 [PMID: 17932395 DOI: 10.1093/annonc/mdm450]</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7</w:t>
      </w:r>
      <w:r w:rsidR="005015F4">
        <w:rPr>
          <w:rFonts w:ascii="Book Antiqua" w:eastAsia="宋体" w:hAnsi="Book Antiqua" w:cs="宋体" w:hint="eastAsia"/>
          <w:color w:val="000000"/>
          <w:bdr w:val="none" w:sz="0" w:space="0" w:color="auto"/>
          <w:lang w:eastAsia="zh-CN"/>
        </w:rPr>
        <w:t>8</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Brenner W</w:t>
      </w:r>
      <w:r w:rsidRPr="001713F3">
        <w:rPr>
          <w:rFonts w:ascii="Book Antiqua" w:eastAsia="宋体" w:hAnsi="Book Antiqua" w:cs="宋体"/>
          <w:color w:val="000000"/>
          <w:bdr w:val="none" w:sz="0" w:space="0" w:color="auto"/>
          <w:lang w:eastAsia="zh-CN"/>
        </w:rPr>
        <w:t>, Friedrich RE, Gawad KA, Hagel C, von Deimling A, de Wit M, Buchert R, Clausen M, Mautner VF. Prognostic relevance of FDG PET in patients with neurofibromatosis type-1 and malignant peripheral nerve sheath tumours.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2006; </w:t>
      </w:r>
      <w:r w:rsidRPr="001713F3">
        <w:rPr>
          <w:rFonts w:ascii="Book Antiqua" w:eastAsia="宋体" w:hAnsi="Book Antiqua" w:cs="宋体"/>
          <w:b/>
          <w:bCs/>
          <w:color w:val="000000"/>
          <w:bdr w:val="none" w:sz="0" w:space="0" w:color="auto"/>
          <w:lang w:eastAsia="zh-CN"/>
        </w:rPr>
        <w:t>33</w:t>
      </w:r>
      <w:r w:rsidRPr="001713F3">
        <w:rPr>
          <w:rFonts w:ascii="Book Antiqua" w:eastAsia="宋体" w:hAnsi="Book Antiqua" w:cs="宋体"/>
          <w:color w:val="000000"/>
          <w:bdr w:val="none" w:sz="0" w:space="0" w:color="auto"/>
          <w:lang w:eastAsia="zh-CN"/>
        </w:rPr>
        <w:t>: 428-432 [PMID: 16404595 DOI: 10.1007/s00259-005-0030-1]</w:t>
      </w:r>
    </w:p>
    <w:p w:rsidR="001713F3" w:rsidRPr="001713F3" w:rsidRDefault="005015F4"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Pr>
          <w:rFonts w:ascii="Book Antiqua" w:eastAsia="宋体" w:hAnsi="Book Antiqua" w:cs="宋体" w:hint="eastAsia"/>
          <w:color w:val="000000"/>
          <w:bdr w:val="none" w:sz="0" w:space="0" w:color="auto"/>
          <w:lang w:eastAsia="zh-CN"/>
        </w:rPr>
        <w:t>79</w:t>
      </w:r>
      <w:r w:rsidR="001713F3" w:rsidRPr="001713F3">
        <w:rPr>
          <w:rFonts w:ascii="Book Antiqua" w:eastAsia="宋体" w:hAnsi="Book Antiqua" w:cs="宋体"/>
          <w:color w:val="000000"/>
          <w:bdr w:val="none" w:sz="0" w:space="0" w:color="auto"/>
          <w:lang w:eastAsia="zh-CN"/>
        </w:rPr>
        <w:t> </w:t>
      </w:r>
      <w:r w:rsidR="001713F3" w:rsidRPr="001713F3">
        <w:rPr>
          <w:rFonts w:ascii="Book Antiqua" w:eastAsia="宋体" w:hAnsi="Book Antiqua" w:cs="宋体"/>
          <w:b/>
          <w:bCs/>
          <w:color w:val="000000"/>
          <w:bdr w:val="none" w:sz="0" w:space="0" w:color="auto"/>
          <w:lang w:eastAsia="zh-CN"/>
        </w:rPr>
        <w:t>Bousvaros A</w:t>
      </w:r>
      <w:r w:rsidR="001713F3" w:rsidRPr="001713F3">
        <w:rPr>
          <w:rFonts w:ascii="Book Antiqua" w:eastAsia="宋体" w:hAnsi="Book Antiqua" w:cs="宋体"/>
          <w:color w:val="000000"/>
          <w:bdr w:val="none" w:sz="0" w:space="0" w:color="auto"/>
          <w:lang w:eastAsia="zh-CN"/>
        </w:rPr>
        <w:t>, Kirks DR, Grossman H. Imaging of neuroblastoma: an overview. </w:t>
      </w:r>
      <w:r w:rsidR="001713F3" w:rsidRPr="001713F3">
        <w:rPr>
          <w:rFonts w:ascii="Book Antiqua" w:eastAsia="宋体" w:hAnsi="Book Antiqua" w:cs="宋体"/>
          <w:i/>
          <w:iCs/>
          <w:color w:val="000000"/>
          <w:bdr w:val="none" w:sz="0" w:space="0" w:color="auto"/>
          <w:lang w:eastAsia="zh-CN"/>
        </w:rPr>
        <w:t>Pediatr Radiol</w:t>
      </w:r>
      <w:r w:rsidR="001713F3" w:rsidRPr="001713F3">
        <w:rPr>
          <w:rFonts w:ascii="Book Antiqua" w:eastAsia="宋体" w:hAnsi="Book Antiqua" w:cs="宋体"/>
          <w:color w:val="000000"/>
          <w:bdr w:val="none" w:sz="0" w:space="0" w:color="auto"/>
          <w:lang w:eastAsia="zh-CN"/>
        </w:rPr>
        <w:t> 1986; </w:t>
      </w:r>
      <w:r w:rsidR="001713F3" w:rsidRPr="001713F3">
        <w:rPr>
          <w:rFonts w:ascii="Book Antiqua" w:eastAsia="宋体" w:hAnsi="Book Antiqua" w:cs="宋体"/>
          <w:b/>
          <w:bCs/>
          <w:color w:val="000000"/>
          <w:bdr w:val="none" w:sz="0" w:space="0" w:color="auto"/>
          <w:lang w:eastAsia="zh-CN"/>
        </w:rPr>
        <w:t>16</w:t>
      </w:r>
      <w:r w:rsidR="001713F3" w:rsidRPr="001713F3">
        <w:rPr>
          <w:rFonts w:ascii="Book Antiqua" w:eastAsia="宋体" w:hAnsi="Book Antiqua" w:cs="宋体"/>
          <w:color w:val="000000"/>
          <w:bdr w:val="none" w:sz="0" w:space="0" w:color="auto"/>
          <w:lang w:eastAsia="zh-CN"/>
        </w:rPr>
        <w:t>: 89-106 [PMID: 3513113 DOI: 10.1007/BF02386629]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8</w:t>
      </w:r>
      <w:r w:rsidR="005015F4">
        <w:rPr>
          <w:rFonts w:ascii="Book Antiqua" w:eastAsia="宋体" w:hAnsi="Book Antiqua" w:cs="宋体" w:hint="eastAsia"/>
          <w:color w:val="000000"/>
          <w:bdr w:val="none" w:sz="0" w:space="0" w:color="auto"/>
          <w:lang w:eastAsia="zh-CN"/>
        </w:rPr>
        <w:t>0</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Spix C</w:t>
      </w:r>
      <w:r w:rsidRPr="001713F3">
        <w:rPr>
          <w:rFonts w:ascii="Book Antiqua" w:eastAsia="宋体" w:hAnsi="Book Antiqua" w:cs="宋体"/>
          <w:color w:val="000000"/>
          <w:bdr w:val="none" w:sz="0" w:space="0" w:color="auto"/>
          <w:lang w:eastAsia="zh-CN"/>
        </w:rPr>
        <w:t xml:space="preserve">, Aareleid T, Stiller C, Magnani C, Kaatsch P, Michaelis J. Survival of children with neuroblastoma. </w:t>
      </w:r>
      <w:proofErr w:type="gramStart"/>
      <w:r w:rsidRPr="001713F3">
        <w:rPr>
          <w:rFonts w:ascii="Book Antiqua" w:eastAsia="宋体" w:hAnsi="Book Antiqua" w:cs="宋体"/>
          <w:color w:val="000000"/>
          <w:bdr w:val="none" w:sz="0" w:space="0" w:color="auto"/>
          <w:lang w:eastAsia="zh-CN"/>
        </w:rPr>
        <w:t>time</w:t>
      </w:r>
      <w:proofErr w:type="gramEnd"/>
      <w:r w:rsidRPr="001713F3">
        <w:rPr>
          <w:rFonts w:ascii="Book Antiqua" w:eastAsia="宋体" w:hAnsi="Book Antiqua" w:cs="宋体"/>
          <w:color w:val="000000"/>
          <w:bdr w:val="none" w:sz="0" w:space="0" w:color="auto"/>
          <w:lang w:eastAsia="zh-CN"/>
        </w:rPr>
        <w:t xml:space="preserve"> trends and regional differences in Europe, 1978--1992. </w:t>
      </w:r>
      <w:r w:rsidRPr="001713F3">
        <w:rPr>
          <w:rFonts w:ascii="Book Antiqua" w:eastAsia="宋体" w:hAnsi="Book Antiqua" w:cs="宋体"/>
          <w:i/>
          <w:iCs/>
          <w:color w:val="000000"/>
          <w:bdr w:val="none" w:sz="0" w:space="0" w:color="auto"/>
          <w:lang w:eastAsia="zh-CN"/>
        </w:rPr>
        <w:t>Eur J Cancer</w:t>
      </w:r>
      <w:r w:rsidRPr="001713F3">
        <w:rPr>
          <w:rFonts w:ascii="Book Antiqua" w:eastAsia="宋体" w:hAnsi="Book Antiqua" w:cs="宋体"/>
          <w:color w:val="000000"/>
          <w:bdr w:val="none" w:sz="0" w:space="0" w:color="auto"/>
          <w:lang w:eastAsia="zh-CN"/>
        </w:rPr>
        <w:t> 2001; </w:t>
      </w:r>
      <w:r w:rsidRPr="001713F3">
        <w:rPr>
          <w:rFonts w:ascii="Book Antiqua" w:eastAsia="宋体" w:hAnsi="Book Antiqua" w:cs="宋体"/>
          <w:b/>
          <w:bCs/>
          <w:color w:val="000000"/>
          <w:bdr w:val="none" w:sz="0" w:space="0" w:color="auto"/>
          <w:lang w:eastAsia="zh-CN"/>
        </w:rPr>
        <w:t>37</w:t>
      </w:r>
      <w:r w:rsidRPr="001713F3">
        <w:rPr>
          <w:rFonts w:ascii="Book Antiqua" w:eastAsia="宋体" w:hAnsi="Book Antiqua" w:cs="宋体"/>
          <w:color w:val="000000"/>
          <w:bdr w:val="none" w:sz="0" w:space="0" w:color="auto"/>
          <w:lang w:eastAsia="zh-CN"/>
        </w:rPr>
        <w:t>: 722-729 [PMID: 11311646 DOI: 10.1016/S0959-8049(01)00003-X]</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8</w:t>
      </w:r>
      <w:r w:rsidR="005015F4">
        <w:rPr>
          <w:rFonts w:ascii="Book Antiqua" w:eastAsia="宋体" w:hAnsi="Book Antiqua" w:cs="宋体" w:hint="eastAsia"/>
          <w:color w:val="000000"/>
          <w:bdr w:val="none" w:sz="0" w:space="0" w:color="auto"/>
          <w:lang w:eastAsia="zh-CN"/>
        </w:rPr>
        <w:t>1</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Taggart D</w:t>
      </w:r>
      <w:r w:rsidRPr="001713F3">
        <w:rPr>
          <w:rFonts w:ascii="Book Antiqua" w:eastAsia="宋体" w:hAnsi="Book Antiqua" w:cs="宋体"/>
          <w:color w:val="000000"/>
          <w:bdr w:val="none" w:sz="0" w:space="0" w:color="auto"/>
          <w:lang w:eastAsia="zh-CN"/>
        </w:rPr>
        <w:t xml:space="preserve">, Dubois S, Matthay KK. </w:t>
      </w:r>
      <w:proofErr w:type="gramStart"/>
      <w:r w:rsidRPr="001713F3">
        <w:rPr>
          <w:rFonts w:ascii="Book Antiqua" w:eastAsia="宋体" w:hAnsi="Book Antiqua" w:cs="宋体"/>
          <w:color w:val="000000"/>
          <w:bdr w:val="none" w:sz="0" w:space="0" w:color="auto"/>
          <w:lang w:eastAsia="zh-CN"/>
        </w:rPr>
        <w:t>Radiolabeled metaiodobenzylguanidine for imaging and therapy of neuroblastoma.</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Q J Nucl Med Mol Imaging</w:t>
      </w:r>
      <w:r w:rsidRPr="001713F3">
        <w:rPr>
          <w:rFonts w:ascii="Book Antiqua" w:eastAsia="宋体" w:hAnsi="Book Antiqua" w:cs="宋体"/>
          <w:color w:val="000000"/>
          <w:bdr w:val="none" w:sz="0" w:space="0" w:color="auto"/>
          <w:lang w:eastAsia="zh-CN"/>
        </w:rPr>
        <w:t> 2008; </w:t>
      </w:r>
      <w:r w:rsidRPr="001713F3">
        <w:rPr>
          <w:rFonts w:ascii="Book Antiqua" w:eastAsia="宋体" w:hAnsi="Book Antiqua" w:cs="宋体"/>
          <w:b/>
          <w:bCs/>
          <w:color w:val="000000"/>
          <w:bdr w:val="none" w:sz="0" w:space="0" w:color="auto"/>
          <w:lang w:eastAsia="zh-CN"/>
        </w:rPr>
        <w:t>52</w:t>
      </w:r>
      <w:r w:rsidRPr="001713F3">
        <w:rPr>
          <w:rFonts w:ascii="Book Antiqua" w:eastAsia="宋体" w:hAnsi="Book Antiqua" w:cs="宋体"/>
          <w:color w:val="000000"/>
          <w:bdr w:val="none" w:sz="0" w:space="0" w:color="auto"/>
          <w:lang w:eastAsia="zh-CN"/>
        </w:rPr>
        <w:t>: 403-418 [PMID: 19088694]</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8</w:t>
      </w:r>
      <w:r w:rsidR="005015F4">
        <w:rPr>
          <w:rFonts w:ascii="Book Antiqua" w:eastAsia="宋体" w:hAnsi="Book Antiqua" w:cs="宋体" w:hint="eastAsia"/>
          <w:color w:val="000000"/>
          <w:bdr w:val="none" w:sz="0" w:space="0" w:color="auto"/>
          <w:lang w:eastAsia="zh-CN"/>
        </w:rPr>
        <w:t>2</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DuBois SG</w:t>
      </w:r>
      <w:r w:rsidRPr="001713F3">
        <w:rPr>
          <w:rFonts w:ascii="Book Antiqua" w:eastAsia="宋体" w:hAnsi="Book Antiqua" w:cs="宋体"/>
          <w:color w:val="000000"/>
          <w:bdr w:val="none" w:sz="0" w:space="0" w:color="auto"/>
          <w:lang w:eastAsia="zh-CN"/>
        </w:rPr>
        <w:t xml:space="preserve">, Matthay KK. </w:t>
      </w:r>
      <w:proofErr w:type="gramStart"/>
      <w:r w:rsidRPr="001713F3">
        <w:rPr>
          <w:rFonts w:ascii="Book Antiqua" w:eastAsia="宋体" w:hAnsi="Book Antiqua" w:cs="宋体"/>
          <w:color w:val="000000"/>
          <w:bdr w:val="none" w:sz="0" w:space="0" w:color="auto"/>
          <w:lang w:eastAsia="zh-CN"/>
        </w:rPr>
        <w:t>Radiolabeled metaiodobenzylguanidine for the treatment of neuroblastoma.</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Nucl Med Biol</w:t>
      </w:r>
      <w:r w:rsidRPr="001713F3">
        <w:rPr>
          <w:rFonts w:ascii="Book Antiqua" w:eastAsia="宋体" w:hAnsi="Book Antiqua" w:cs="宋体"/>
          <w:color w:val="000000"/>
          <w:bdr w:val="none" w:sz="0" w:space="0" w:color="auto"/>
          <w:lang w:eastAsia="zh-CN"/>
        </w:rPr>
        <w:t> 2008; </w:t>
      </w:r>
      <w:r w:rsidRPr="001713F3">
        <w:rPr>
          <w:rFonts w:ascii="Book Antiqua" w:eastAsia="宋体" w:hAnsi="Book Antiqua" w:cs="宋体"/>
          <w:b/>
          <w:bCs/>
          <w:color w:val="000000"/>
          <w:bdr w:val="none" w:sz="0" w:space="0" w:color="auto"/>
          <w:lang w:eastAsia="zh-CN"/>
        </w:rPr>
        <w:t>35 Suppl 1</w:t>
      </w:r>
      <w:r w:rsidRPr="001713F3">
        <w:rPr>
          <w:rFonts w:ascii="Book Antiqua" w:eastAsia="宋体" w:hAnsi="Book Antiqua" w:cs="宋体"/>
          <w:color w:val="000000"/>
          <w:bdr w:val="none" w:sz="0" w:space="0" w:color="auto"/>
          <w:lang w:eastAsia="zh-CN"/>
        </w:rPr>
        <w:t>: S35-S48 [PMID: 18707633 DOI: 10.1016/j.nucmedbio.2008.05.002]</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8</w:t>
      </w:r>
      <w:r w:rsidR="005015F4">
        <w:rPr>
          <w:rFonts w:ascii="Book Antiqua" w:eastAsia="宋体" w:hAnsi="Book Antiqua" w:cs="宋体" w:hint="eastAsia"/>
          <w:color w:val="000000"/>
          <w:bdr w:val="none" w:sz="0" w:space="0" w:color="auto"/>
          <w:lang w:eastAsia="zh-CN"/>
        </w:rPr>
        <w:t>3</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Boubaker A</w:t>
      </w:r>
      <w:r w:rsidRPr="001713F3">
        <w:rPr>
          <w:rFonts w:ascii="Book Antiqua" w:eastAsia="宋体" w:hAnsi="Book Antiqua" w:cs="宋体"/>
          <w:color w:val="000000"/>
          <w:bdr w:val="none" w:sz="0" w:space="0" w:color="auto"/>
          <w:lang w:eastAsia="zh-CN"/>
        </w:rPr>
        <w:t>, Bischof Delaloye A. MIBG scintigraphy for the diagnosis and follow-up of children with neuroblastoma.</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Q J Nucl Med Mol Imaging</w:t>
      </w:r>
      <w:r w:rsidRPr="001713F3">
        <w:rPr>
          <w:rFonts w:ascii="Book Antiqua" w:eastAsia="宋体" w:hAnsi="Book Antiqua" w:cs="宋体"/>
          <w:color w:val="000000"/>
          <w:bdr w:val="none" w:sz="0" w:space="0" w:color="auto"/>
          <w:lang w:eastAsia="zh-CN"/>
        </w:rPr>
        <w:t> 2008; </w:t>
      </w:r>
      <w:r w:rsidRPr="001713F3">
        <w:rPr>
          <w:rFonts w:ascii="Book Antiqua" w:eastAsia="宋体" w:hAnsi="Book Antiqua" w:cs="宋体"/>
          <w:b/>
          <w:bCs/>
          <w:color w:val="000000"/>
          <w:bdr w:val="none" w:sz="0" w:space="0" w:color="auto"/>
          <w:lang w:eastAsia="zh-CN"/>
        </w:rPr>
        <w:t>52</w:t>
      </w:r>
      <w:r w:rsidRPr="001713F3">
        <w:rPr>
          <w:rFonts w:ascii="Book Antiqua" w:eastAsia="宋体" w:hAnsi="Book Antiqua" w:cs="宋体"/>
          <w:color w:val="000000"/>
          <w:bdr w:val="none" w:sz="0" w:space="0" w:color="auto"/>
          <w:lang w:eastAsia="zh-CN"/>
        </w:rPr>
        <w:t>: 388-402 [PMID: 19088693]</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8</w:t>
      </w:r>
      <w:r w:rsidR="005015F4">
        <w:rPr>
          <w:rFonts w:ascii="Book Antiqua" w:eastAsia="宋体" w:hAnsi="Book Antiqua" w:cs="宋体" w:hint="eastAsia"/>
          <w:color w:val="000000"/>
          <w:bdr w:val="none" w:sz="0" w:space="0" w:color="auto"/>
          <w:lang w:eastAsia="zh-CN"/>
        </w:rPr>
        <w:t>4</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Claudiani F</w:t>
      </w:r>
      <w:r w:rsidRPr="001713F3">
        <w:rPr>
          <w:rFonts w:ascii="Book Antiqua" w:eastAsia="宋体" w:hAnsi="Book Antiqua" w:cs="宋体"/>
          <w:color w:val="000000"/>
          <w:bdr w:val="none" w:sz="0" w:space="0" w:color="auto"/>
          <w:lang w:eastAsia="zh-CN"/>
        </w:rPr>
        <w:t>, Stimamiglio P, Bertolazzi L, Cabria M, Conte M, Villavecchia GP, Garaventa A, Lanino E, De Bernardi B, Scopinaro G. Radioiodinated meta-iodobenzylguanidine in the diagnosis of childhood neuroblastoma. </w:t>
      </w:r>
      <w:r w:rsidRPr="001713F3">
        <w:rPr>
          <w:rFonts w:ascii="Book Antiqua" w:eastAsia="宋体" w:hAnsi="Book Antiqua" w:cs="宋体"/>
          <w:i/>
          <w:iCs/>
          <w:color w:val="000000"/>
          <w:bdr w:val="none" w:sz="0" w:space="0" w:color="auto"/>
          <w:lang w:eastAsia="zh-CN"/>
        </w:rPr>
        <w:t>Q J Nucl Med</w:t>
      </w:r>
      <w:r w:rsidRPr="001713F3">
        <w:rPr>
          <w:rFonts w:ascii="Book Antiqua" w:eastAsia="宋体" w:hAnsi="Book Antiqua" w:cs="宋体"/>
          <w:color w:val="000000"/>
          <w:bdr w:val="none" w:sz="0" w:space="0" w:color="auto"/>
          <w:lang w:eastAsia="zh-CN"/>
        </w:rPr>
        <w:t> 1995; </w:t>
      </w:r>
      <w:r w:rsidRPr="001713F3">
        <w:rPr>
          <w:rFonts w:ascii="Book Antiqua" w:eastAsia="宋体" w:hAnsi="Book Antiqua" w:cs="宋体"/>
          <w:b/>
          <w:bCs/>
          <w:color w:val="000000"/>
          <w:bdr w:val="none" w:sz="0" w:space="0" w:color="auto"/>
          <w:lang w:eastAsia="zh-CN"/>
        </w:rPr>
        <w:t>39</w:t>
      </w:r>
      <w:r w:rsidRPr="001713F3">
        <w:rPr>
          <w:rFonts w:ascii="Book Antiqua" w:eastAsia="宋体" w:hAnsi="Book Antiqua" w:cs="宋体"/>
          <w:color w:val="000000"/>
          <w:bdr w:val="none" w:sz="0" w:space="0" w:color="auto"/>
          <w:lang w:eastAsia="zh-CN"/>
        </w:rPr>
        <w:t>: 21-24 [PMID: 9002744]</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8</w:t>
      </w:r>
      <w:r w:rsidR="005015F4">
        <w:rPr>
          <w:rFonts w:ascii="Book Antiqua" w:eastAsia="宋体" w:hAnsi="Book Antiqua" w:cs="宋体" w:hint="eastAsia"/>
          <w:color w:val="000000"/>
          <w:bdr w:val="none" w:sz="0" w:space="0" w:color="auto"/>
          <w:lang w:eastAsia="zh-CN"/>
        </w:rPr>
        <w:t>5</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Gelfand MJ</w:t>
      </w:r>
      <w:r w:rsidRPr="001713F3">
        <w:rPr>
          <w:rFonts w:ascii="Book Antiqua" w:eastAsia="宋体" w:hAnsi="Book Antiqua" w:cs="宋体"/>
          <w:color w:val="000000"/>
          <w:bdr w:val="none" w:sz="0" w:space="0" w:color="auto"/>
          <w:lang w:eastAsia="zh-CN"/>
        </w:rPr>
        <w:t>.</w:t>
      </w:r>
      <w:proofErr w:type="gramEnd"/>
      <w:r w:rsidRPr="001713F3">
        <w:rPr>
          <w:rFonts w:ascii="Book Antiqua" w:eastAsia="宋体" w:hAnsi="Book Antiqua" w:cs="宋体"/>
          <w:color w:val="000000"/>
          <w:bdr w:val="none" w:sz="0" w:space="0" w:color="auto"/>
          <w:lang w:eastAsia="zh-CN"/>
        </w:rPr>
        <w:t xml:space="preserve"> </w:t>
      </w:r>
      <w:proofErr w:type="gramStart"/>
      <w:r w:rsidRPr="001713F3">
        <w:rPr>
          <w:rFonts w:ascii="Book Antiqua" w:eastAsia="宋体" w:hAnsi="Book Antiqua" w:cs="宋体"/>
          <w:color w:val="000000"/>
          <w:bdr w:val="none" w:sz="0" w:space="0" w:color="auto"/>
          <w:lang w:eastAsia="zh-CN"/>
        </w:rPr>
        <w:t>Meta-iodobenzylguanidine in children.</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Semin Nucl Med</w:t>
      </w:r>
      <w:r w:rsidRPr="001713F3">
        <w:rPr>
          <w:rFonts w:ascii="Book Antiqua" w:eastAsia="宋体" w:hAnsi="Book Antiqua" w:cs="宋体"/>
          <w:color w:val="000000"/>
          <w:bdr w:val="none" w:sz="0" w:space="0" w:color="auto"/>
          <w:lang w:eastAsia="zh-CN"/>
        </w:rPr>
        <w:t> 1993; </w:t>
      </w:r>
      <w:r w:rsidRPr="001713F3">
        <w:rPr>
          <w:rFonts w:ascii="Book Antiqua" w:eastAsia="宋体" w:hAnsi="Book Antiqua" w:cs="宋体"/>
          <w:b/>
          <w:bCs/>
          <w:color w:val="000000"/>
          <w:bdr w:val="none" w:sz="0" w:space="0" w:color="auto"/>
          <w:lang w:eastAsia="zh-CN"/>
        </w:rPr>
        <w:t>23</w:t>
      </w:r>
      <w:r w:rsidRPr="001713F3">
        <w:rPr>
          <w:rFonts w:ascii="Book Antiqua" w:eastAsia="宋体" w:hAnsi="Book Antiqua" w:cs="宋体"/>
          <w:color w:val="000000"/>
          <w:bdr w:val="none" w:sz="0" w:space="0" w:color="auto"/>
          <w:lang w:eastAsia="zh-CN"/>
        </w:rPr>
        <w:t>: 231-242 [PMID: 8378796 DOI: 10.1016/S0001-2998(05)80104-7]</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8</w:t>
      </w:r>
      <w:r w:rsidR="005015F4">
        <w:rPr>
          <w:rFonts w:ascii="Book Antiqua" w:eastAsia="宋体" w:hAnsi="Book Antiqua" w:cs="宋体" w:hint="eastAsia"/>
          <w:color w:val="000000"/>
          <w:bdr w:val="none" w:sz="0" w:space="0" w:color="auto"/>
          <w:lang w:eastAsia="zh-CN"/>
        </w:rPr>
        <w:t>6</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Troncone L</w:t>
      </w:r>
      <w:r w:rsidRPr="001713F3">
        <w:rPr>
          <w:rFonts w:ascii="Book Antiqua" w:eastAsia="宋体" w:hAnsi="Book Antiqua" w:cs="宋体"/>
          <w:color w:val="000000"/>
          <w:bdr w:val="none" w:sz="0" w:space="0" w:color="auto"/>
          <w:lang w:eastAsia="zh-CN"/>
        </w:rPr>
        <w:t xml:space="preserve">, Rufini V, Montemaggi P, Danza FM, Lasorella A, Mastrangelo R. </w:t>
      </w:r>
      <w:proofErr w:type="gramStart"/>
      <w:r w:rsidRPr="001713F3">
        <w:rPr>
          <w:rFonts w:ascii="Book Antiqua" w:eastAsia="宋体" w:hAnsi="Book Antiqua" w:cs="宋体"/>
          <w:color w:val="000000"/>
          <w:bdr w:val="none" w:sz="0" w:space="0" w:color="auto"/>
          <w:lang w:eastAsia="zh-CN"/>
        </w:rPr>
        <w:t>The diagnostic and therapeutic utility of radioiodinated metaiodobenzylguanidine (MIBG).</w:t>
      </w:r>
      <w:proofErr w:type="gramEnd"/>
      <w:r w:rsidRPr="001713F3">
        <w:rPr>
          <w:rFonts w:ascii="Book Antiqua" w:eastAsia="宋体" w:hAnsi="Book Antiqua" w:cs="宋体"/>
          <w:color w:val="000000"/>
          <w:bdr w:val="none" w:sz="0" w:space="0" w:color="auto"/>
          <w:lang w:eastAsia="zh-CN"/>
        </w:rPr>
        <w:t xml:space="preserve"> 5 years of experience. </w:t>
      </w:r>
      <w:r w:rsidRPr="001713F3">
        <w:rPr>
          <w:rFonts w:ascii="Book Antiqua" w:eastAsia="宋体" w:hAnsi="Book Antiqua" w:cs="宋体"/>
          <w:i/>
          <w:iCs/>
          <w:color w:val="000000"/>
          <w:bdr w:val="none" w:sz="0" w:space="0" w:color="auto"/>
          <w:lang w:eastAsia="zh-CN"/>
        </w:rPr>
        <w:t>Eur J Nucl Med</w:t>
      </w:r>
      <w:r w:rsidRPr="001713F3">
        <w:rPr>
          <w:rFonts w:ascii="Book Antiqua" w:eastAsia="宋体" w:hAnsi="Book Antiqua" w:cs="宋体"/>
          <w:color w:val="000000"/>
          <w:bdr w:val="none" w:sz="0" w:space="0" w:color="auto"/>
          <w:lang w:eastAsia="zh-CN"/>
        </w:rPr>
        <w:t> 1990; </w:t>
      </w:r>
      <w:r w:rsidRPr="001713F3">
        <w:rPr>
          <w:rFonts w:ascii="Book Antiqua" w:eastAsia="宋体" w:hAnsi="Book Antiqua" w:cs="宋体"/>
          <w:b/>
          <w:bCs/>
          <w:color w:val="000000"/>
          <w:bdr w:val="none" w:sz="0" w:space="0" w:color="auto"/>
          <w:lang w:eastAsia="zh-CN"/>
        </w:rPr>
        <w:t>16</w:t>
      </w:r>
      <w:r w:rsidRPr="001713F3">
        <w:rPr>
          <w:rFonts w:ascii="Book Antiqua" w:eastAsia="宋体" w:hAnsi="Book Antiqua" w:cs="宋体"/>
          <w:color w:val="000000"/>
          <w:bdr w:val="none" w:sz="0" w:space="0" w:color="auto"/>
          <w:lang w:eastAsia="zh-CN"/>
        </w:rPr>
        <w:t>: 325-335 [PMID: 2351179 DOI: 10.1007/BF00842788]</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8</w:t>
      </w:r>
      <w:r w:rsidR="005015F4">
        <w:rPr>
          <w:rFonts w:ascii="Book Antiqua" w:eastAsia="宋体" w:hAnsi="Book Antiqua" w:cs="宋体" w:hint="eastAsia"/>
          <w:color w:val="000000"/>
          <w:bdr w:val="none" w:sz="0" w:space="0" w:color="auto"/>
          <w:lang w:eastAsia="zh-CN"/>
        </w:rPr>
        <w:t>7</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Shulkin BL</w:t>
      </w:r>
      <w:r w:rsidRPr="001713F3">
        <w:rPr>
          <w:rFonts w:ascii="Book Antiqua" w:eastAsia="宋体" w:hAnsi="Book Antiqua" w:cs="宋体"/>
          <w:color w:val="000000"/>
          <w:bdr w:val="none" w:sz="0" w:space="0" w:color="auto"/>
          <w:lang w:eastAsia="zh-CN"/>
        </w:rPr>
        <w:t>, Shapiro B. Current concepts on the diagnostic use of MIBG in children.</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J Nucl Med</w:t>
      </w:r>
      <w:r w:rsidRPr="001713F3">
        <w:rPr>
          <w:rFonts w:ascii="Book Antiqua" w:eastAsia="宋体" w:hAnsi="Book Antiqua" w:cs="宋体"/>
          <w:color w:val="000000"/>
          <w:bdr w:val="none" w:sz="0" w:space="0" w:color="auto"/>
          <w:lang w:eastAsia="zh-CN"/>
        </w:rPr>
        <w:t> 1998; </w:t>
      </w:r>
      <w:r w:rsidRPr="001713F3">
        <w:rPr>
          <w:rFonts w:ascii="Book Antiqua" w:eastAsia="宋体" w:hAnsi="Book Antiqua" w:cs="宋体"/>
          <w:b/>
          <w:bCs/>
          <w:color w:val="000000"/>
          <w:bdr w:val="none" w:sz="0" w:space="0" w:color="auto"/>
          <w:lang w:eastAsia="zh-CN"/>
        </w:rPr>
        <w:t>39</w:t>
      </w:r>
      <w:r w:rsidRPr="001713F3">
        <w:rPr>
          <w:rFonts w:ascii="Book Antiqua" w:eastAsia="宋体" w:hAnsi="Book Antiqua" w:cs="宋体"/>
          <w:color w:val="000000"/>
          <w:bdr w:val="none" w:sz="0" w:space="0" w:color="auto"/>
          <w:lang w:eastAsia="zh-CN"/>
        </w:rPr>
        <w:t>: 679-688 [PMID: 9544682]</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lastRenderedPageBreak/>
        <w:t>8</w:t>
      </w:r>
      <w:r w:rsidR="005015F4">
        <w:rPr>
          <w:rFonts w:ascii="Book Antiqua" w:eastAsia="宋体" w:hAnsi="Book Antiqua" w:cs="宋体" w:hint="eastAsia"/>
          <w:color w:val="000000"/>
          <w:bdr w:val="none" w:sz="0" w:space="0" w:color="auto"/>
          <w:lang w:eastAsia="zh-CN"/>
        </w:rPr>
        <w:t>8</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Biasotti S</w:t>
      </w:r>
      <w:r w:rsidRPr="001713F3">
        <w:rPr>
          <w:rFonts w:ascii="Book Antiqua" w:eastAsia="宋体" w:hAnsi="Book Antiqua" w:cs="宋体"/>
          <w:color w:val="000000"/>
          <w:bdr w:val="none" w:sz="0" w:space="0" w:color="auto"/>
          <w:lang w:eastAsia="zh-CN"/>
        </w:rPr>
        <w:t>, Garaventa A, Villavecchia GP, Cabria M, Nantron M, De Bernardi B. False-negative metaiodobenzylguanidine scintigraphy at diagnosis of neuroblastoma. </w:t>
      </w:r>
      <w:r w:rsidRPr="001713F3">
        <w:rPr>
          <w:rFonts w:ascii="Book Antiqua" w:eastAsia="宋体" w:hAnsi="Book Antiqua" w:cs="宋体"/>
          <w:i/>
          <w:iCs/>
          <w:color w:val="000000"/>
          <w:bdr w:val="none" w:sz="0" w:space="0" w:color="auto"/>
          <w:lang w:eastAsia="zh-CN"/>
        </w:rPr>
        <w:t>Med Pediatr Oncol</w:t>
      </w:r>
      <w:r w:rsidRPr="001713F3">
        <w:rPr>
          <w:rFonts w:ascii="Book Antiqua" w:eastAsia="宋体" w:hAnsi="Book Antiqua" w:cs="宋体"/>
          <w:color w:val="000000"/>
          <w:bdr w:val="none" w:sz="0" w:space="0" w:color="auto"/>
          <w:lang w:eastAsia="zh-CN"/>
        </w:rPr>
        <w:t> 2000; </w:t>
      </w:r>
      <w:r w:rsidRPr="001713F3">
        <w:rPr>
          <w:rFonts w:ascii="Book Antiqua" w:eastAsia="宋体" w:hAnsi="Book Antiqua" w:cs="宋体"/>
          <w:b/>
          <w:bCs/>
          <w:color w:val="000000"/>
          <w:bdr w:val="none" w:sz="0" w:space="0" w:color="auto"/>
          <w:lang w:eastAsia="zh-CN"/>
        </w:rPr>
        <w:t>35</w:t>
      </w:r>
      <w:r w:rsidRPr="001713F3">
        <w:rPr>
          <w:rFonts w:ascii="Book Antiqua" w:eastAsia="宋体" w:hAnsi="Book Antiqua" w:cs="宋体"/>
          <w:color w:val="000000"/>
          <w:bdr w:val="none" w:sz="0" w:space="0" w:color="auto"/>
          <w:lang w:eastAsia="zh-CN"/>
        </w:rPr>
        <w:t>: 153-155 [PMID: 10918246 DOI: 10.1002/1096-</w:t>
      </w:r>
      <w:proofErr w:type="gramStart"/>
      <w:r w:rsidRPr="001713F3">
        <w:rPr>
          <w:rFonts w:ascii="Book Antiqua" w:eastAsia="宋体" w:hAnsi="Book Antiqua" w:cs="宋体"/>
          <w:color w:val="000000"/>
          <w:bdr w:val="none" w:sz="0" w:space="0" w:color="auto"/>
          <w:lang w:eastAsia="zh-CN"/>
        </w:rPr>
        <w:t>911X(</w:t>
      </w:r>
      <w:proofErr w:type="gramEnd"/>
      <w:r w:rsidRPr="001713F3">
        <w:rPr>
          <w:rFonts w:ascii="Book Antiqua" w:eastAsia="宋体" w:hAnsi="Book Antiqua" w:cs="宋体"/>
          <w:color w:val="000000"/>
          <w:bdr w:val="none" w:sz="0" w:space="0" w:color="auto"/>
          <w:lang w:eastAsia="zh-CN"/>
        </w:rPr>
        <w:t>200008)35: 2&lt;153: : AID-MPO18&gt;3.0.CO; 2-7]</w:t>
      </w:r>
    </w:p>
    <w:p w:rsidR="001713F3" w:rsidRPr="001713F3" w:rsidRDefault="005015F4"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Pr>
          <w:rFonts w:ascii="Book Antiqua" w:eastAsia="宋体" w:hAnsi="Book Antiqua" w:cs="宋体" w:hint="eastAsia"/>
          <w:color w:val="000000"/>
          <w:bdr w:val="none" w:sz="0" w:space="0" w:color="auto"/>
          <w:lang w:eastAsia="zh-CN"/>
        </w:rPr>
        <w:t>89</w:t>
      </w:r>
      <w:r w:rsidR="001713F3" w:rsidRPr="001713F3">
        <w:rPr>
          <w:rFonts w:ascii="Book Antiqua" w:eastAsia="宋体" w:hAnsi="Book Antiqua" w:cs="宋体"/>
          <w:color w:val="000000"/>
          <w:bdr w:val="none" w:sz="0" w:space="0" w:color="auto"/>
          <w:lang w:eastAsia="zh-CN"/>
        </w:rPr>
        <w:t> </w:t>
      </w:r>
      <w:r w:rsidR="001713F3" w:rsidRPr="001713F3">
        <w:rPr>
          <w:rFonts w:ascii="Book Antiqua" w:eastAsia="宋体" w:hAnsi="Book Antiqua" w:cs="宋体"/>
          <w:b/>
          <w:bCs/>
          <w:color w:val="000000"/>
          <w:bdr w:val="none" w:sz="0" w:space="0" w:color="auto"/>
          <w:lang w:eastAsia="zh-CN"/>
        </w:rPr>
        <w:t>Mueller WP</w:t>
      </w:r>
      <w:r w:rsidR="001713F3" w:rsidRPr="001713F3">
        <w:rPr>
          <w:rFonts w:ascii="Book Antiqua" w:eastAsia="宋体" w:hAnsi="Book Antiqua" w:cs="宋体"/>
          <w:color w:val="000000"/>
          <w:bdr w:val="none" w:sz="0" w:space="0" w:color="auto"/>
          <w:lang w:eastAsia="zh-CN"/>
        </w:rPr>
        <w:t>, Coppenrath E, Pfluger T. Nuclear medicine and multimodality imaging of pediatric neuroblastoma. </w:t>
      </w:r>
      <w:r w:rsidR="001713F3" w:rsidRPr="001713F3">
        <w:rPr>
          <w:rFonts w:ascii="Book Antiqua" w:eastAsia="宋体" w:hAnsi="Book Antiqua" w:cs="宋体"/>
          <w:i/>
          <w:iCs/>
          <w:color w:val="000000"/>
          <w:bdr w:val="none" w:sz="0" w:space="0" w:color="auto"/>
          <w:lang w:eastAsia="zh-CN"/>
        </w:rPr>
        <w:t>Pediatr Radiol</w:t>
      </w:r>
      <w:r w:rsidR="001713F3" w:rsidRPr="001713F3">
        <w:rPr>
          <w:rFonts w:ascii="Book Antiqua" w:eastAsia="宋体" w:hAnsi="Book Antiqua" w:cs="宋体"/>
          <w:color w:val="000000"/>
          <w:bdr w:val="none" w:sz="0" w:space="0" w:color="auto"/>
          <w:lang w:eastAsia="zh-CN"/>
        </w:rPr>
        <w:t> 2013; </w:t>
      </w:r>
      <w:r w:rsidR="001713F3" w:rsidRPr="001713F3">
        <w:rPr>
          <w:rFonts w:ascii="Book Antiqua" w:eastAsia="宋体" w:hAnsi="Book Antiqua" w:cs="宋体"/>
          <w:b/>
          <w:bCs/>
          <w:color w:val="000000"/>
          <w:bdr w:val="none" w:sz="0" w:space="0" w:color="auto"/>
          <w:lang w:eastAsia="zh-CN"/>
        </w:rPr>
        <w:t>43</w:t>
      </w:r>
      <w:r w:rsidR="001713F3" w:rsidRPr="001713F3">
        <w:rPr>
          <w:rFonts w:ascii="Book Antiqua" w:eastAsia="宋体" w:hAnsi="Book Antiqua" w:cs="宋体"/>
          <w:color w:val="000000"/>
          <w:bdr w:val="none" w:sz="0" w:space="0" w:color="auto"/>
          <w:lang w:eastAsia="zh-CN"/>
        </w:rPr>
        <w:t>: 418-427 [PMID: 23151727 DOI: 10.1007/s00247-012-2512-1]</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9</w:t>
      </w:r>
      <w:r w:rsidR="005015F4">
        <w:rPr>
          <w:rFonts w:ascii="Book Antiqua" w:eastAsia="宋体" w:hAnsi="Book Antiqua" w:cs="宋体" w:hint="eastAsia"/>
          <w:color w:val="000000"/>
          <w:bdr w:val="none" w:sz="0" w:space="0" w:color="auto"/>
          <w:lang w:eastAsia="zh-CN"/>
        </w:rPr>
        <w:t>0</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Shulkin BL</w:t>
      </w:r>
      <w:r w:rsidRPr="001713F3">
        <w:rPr>
          <w:rFonts w:ascii="Book Antiqua" w:eastAsia="宋体" w:hAnsi="Book Antiqua" w:cs="宋体"/>
          <w:color w:val="000000"/>
          <w:bdr w:val="none" w:sz="0" w:space="0" w:color="auto"/>
          <w:lang w:eastAsia="zh-CN"/>
        </w:rPr>
        <w:t>, Hutchinson RJ, Castle VP, Yanik GA, Shapiro B, Sisson JC.</w:t>
      </w:r>
      <w:proofErr w:type="gramEnd"/>
      <w:r w:rsidRPr="001713F3">
        <w:rPr>
          <w:rFonts w:ascii="Book Antiqua" w:eastAsia="宋体" w:hAnsi="Book Antiqua" w:cs="宋体"/>
          <w:color w:val="000000"/>
          <w:bdr w:val="none" w:sz="0" w:space="0" w:color="auto"/>
          <w:lang w:eastAsia="zh-CN"/>
        </w:rPr>
        <w:t xml:space="preserve"> Neuroblastoma: positron emission tomography with 2-[fluorine-18]-fluoro-2-deoxy-D-glucose compared with metaiodobenzylguanidine scintigraphy. </w:t>
      </w:r>
      <w:r w:rsidRPr="001713F3">
        <w:rPr>
          <w:rFonts w:ascii="Book Antiqua" w:eastAsia="宋体" w:hAnsi="Book Antiqua" w:cs="宋体"/>
          <w:i/>
          <w:iCs/>
          <w:color w:val="000000"/>
          <w:bdr w:val="none" w:sz="0" w:space="0" w:color="auto"/>
          <w:lang w:eastAsia="zh-CN"/>
        </w:rPr>
        <w:t>Radiology</w:t>
      </w:r>
      <w:r w:rsidRPr="001713F3">
        <w:rPr>
          <w:rFonts w:ascii="Book Antiqua" w:eastAsia="宋体" w:hAnsi="Book Antiqua" w:cs="宋体"/>
          <w:color w:val="000000"/>
          <w:bdr w:val="none" w:sz="0" w:space="0" w:color="auto"/>
          <w:lang w:eastAsia="zh-CN"/>
        </w:rPr>
        <w:t> 1996; </w:t>
      </w:r>
      <w:r w:rsidRPr="001713F3">
        <w:rPr>
          <w:rFonts w:ascii="Book Antiqua" w:eastAsia="宋体" w:hAnsi="Book Antiqua" w:cs="宋体"/>
          <w:b/>
          <w:bCs/>
          <w:color w:val="000000"/>
          <w:bdr w:val="none" w:sz="0" w:space="0" w:color="auto"/>
          <w:lang w:eastAsia="zh-CN"/>
        </w:rPr>
        <w:t>199</w:t>
      </w:r>
      <w:r w:rsidRPr="001713F3">
        <w:rPr>
          <w:rFonts w:ascii="Book Antiqua" w:eastAsia="宋体" w:hAnsi="Book Antiqua" w:cs="宋体"/>
          <w:color w:val="000000"/>
          <w:bdr w:val="none" w:sz="0" w:space="0" w:color="auto"/>
          <w:lang w:eastAsia="zh-CN"/>
        </w:rPr>
        <w:t>: 743-750 [PMID: 8637999]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9</w:t>
      </w:r>
      <w:r w:rsidR="005015F4">
        <w:rPr>
          <w:rFonts w:ascii="Book Antiqua" w:eastAsia="宋体" w:hAnsi="Book Antiqua" w:cs="宋体" w:hint="eastAsia"/>
          <w:color w:val="000000"/>
          <w:bdr w:val="none" w:sz="0" w:space="0" w:color="auto"/>
          <w:lang w:eastAsia="zh-CN"/>
        </w:rPr>
        <w:t>1</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Kushner BH</w:t>
      </w:r>
      <w:r w:rsidRPr="001713F3">
        <w:rPr>
          <w:rFonts w:ascii="Book Antiqua" w:eastAsia="宋体" w:hAnsi="Book Antiqua" w:cs="宋体"/>
          <w:color w:val="000000"/>
          <w:bdr w:val="none" w:sz="0" w:space="0" w:color="auto"/>
          <w:lang w:eastAsia="zh-CN"/>
        </w:rPr>
        <w:t xml:space="preserve">, Yeung HW, Larson SM, Kramer K, Cheung NK. </w:t>
      </w:r>
      <w:proofErr w:type="gramStart"/>
      <w:r w:rsidRPr="001713F3">
        <w:rPr>
          <w:rFonts w:ascii="Book Antiqua" w:eastAsia="宋体" w:hAnsi="Book Antiqua" w:cs="宋体"/>
          <w:color w:val="000000"/>
          <w:bdr w:val="none" w:sz="0" w:space="0" w:color="auto"/>
          <w:lang w:eastAsia="zh-CN"/>
        </w:rPr>
        <w:t>Extending positron emission tomography scan utility to high-risk neuroblastoma: fluorine-18 fluorodeoxyglucose positron emission tomography as sole imaging modality in follow-up of patients.</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J Clin Oncol</w:t>
      </w:r>
      <w:r w:rsidRPr="001713F3">
        <w:rPr>
          <w:rFonts w:ascii="Book Antiqua" w:eastAsia="宋体" w:hAnsi="Book Antiqua" w:cs="宋体"/>
          <w:color w:val="000000"/>
          <w:bdr w:val="none" w:sz="0" w:space="0" w:color="auto"/>
          <w:lang w:eastAsia="zh-CN"/>
        </w:rPr>
        <w:t> 2001; </w:t>
      </w:r>
      <w:r w:rsidRPr="001713F3">
        <w:rPr>
          <w:rFonts w:ascii="Book Antiqua" w:eastAsia="宋体" w:hAnsi="Book Antiqua" w:cs="宋体"/>
          <w:b/>
          <w:bCs/>
          <w:color w:val="000000"/>
          <w:bdr w:val="none" w:sz="0" w:space="0" w:color="auto"/>
          <w:lang w:eastAsia="zh-CN"/>
        </w:rPr>
        <w:t>19</w:t>
      </w:r>
      <w:r w:rsidRPr="001713F3">
        <w:rPr>
          <w:rFonts w:ascii="Book Antiqua" w:eastAsia="宋体" w:hAnsi="Book Antiqua" w:cs="宋体"/>
          <w:color w:val="000000"/>
          <w:bdr w:val="none" w:sz="0" w:space="0" w:color="auto"/>
          <w:lang w:eastAsia="zh-CN"/>
        </w:rPr>
        <w:t>: 3397-3405 [PMID: 11454888]</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9</w:t>
      </w:r>
      <w:r w:rsidR="005015F4">
        <w:rPr>
          <w:rFonts w:ascii="Book Antiqua" w:eastAsia="宋体" w:hAnsi="Book Antiqua" w:cs="宋体" w:hint="eastAsia"/>
          <w:color w:val="000000"/>
          <w:bdr w:val="none" w:sz="0" w:space="0" w:color="auto"/>
          <w:lang w:eastAsia="zh-CN"/>
        </w:rPr>
        <w:t xml:space="preserve">2 </w:t>
      </w:r>
      <w:r w:rsidRPr="001713F3">
        <w:rPr>
          <w:rFonts w:ascii="Book Antiqua" w:eastAsia="宋体" w:hAnsi="Book Antiqua" w:cs="宋体"/>
          <w:b/>
          <w:bCs/>
          <w:color w:val="000000"/>
          <w:bdr w:val="none" w:sz="0" w:space="0" w:color="auto"/>
          <w:lang w:eastAsia="zh-CN"/>
        </w:rPr>
        <w:t>Sharp SE</w:t>
      </w:r>
      <w:r w:rsidRPr="001713F3">
        <w:rPr>
          <w:rFonts w:ascii="Book Antiqua" w:eastAsia="宋体" w:hAnsi="Book Antiqua" w:cs="宋体"/>
          <w:color w:val="000000"/>
          <w:bdr w:val="none" w:sz="0" w:space="0" w:color="auto"/>
          <w:lang w:eastAsia="zh-CN"/>
        </w:rPr>
        <w:t>, Shulkin BL, Gelfand MJ, Salisbury S, Furman WL. 123I-MIBG scintigraphy and 18F-FDG PET in neuroblastoma. </w:t>
      </w:r>
      <w:r w:rsidRPr="001713F3">
        <w:rPr>
          <w:rFonts w:ascii="Book Antiqua" w:eastAsia="宋体" w:hAnsi="Book Antiqua" w:cs="宋体"/>
          <w:i/>
          <w:iCs/>
          <w:color w:val="000000"/>
          <w:bdr w:val="none" w:sz="0" w:space="0" w:color="auto"/>
          <w:lang w:eastAsia="zh-CN"/>
        </w:rPr>
        <w:t>J Nucl Med</w:t>
      </w:r>
      <w:r w:rsidRPr="001713F3">
        <w:rPr>
          <w:rFonts w:ascii="Book Antiqua" w:eastAsia="宋体" w:hAnsi="Book Antiqua" w:cs="宋体"/>
          <w:color w:val="000000"/>
          <w:bdr w:val="none" w:sz="0" w:space="0" w:color="auto"/>
          <w:lang w:eastAsia="zh-CN"/>
        </w:rPr>
        <w:t> 2009; </w:t>
      </w:r>
      <w:r w:rsidRPr="001713F3">
        <w:rPr>
          <w:rFonts w:ascii="Book Antiqua" w:eastAsia="宋体" w:hAnsi="Book Antiqua" w:cs="宋体"/>
          <w:b/>
          <w:bCs/>
          <w:color w:val="000000"/>
          <w:bdr w:val="none" w:sz="0" w:space="0" w:color="auto"/>
          <w:lang w:eastAsia="zh-CN"/>
        </w:rPr>
        <w:t>50</w:t>
      </w:r>
      <w:r w:rsidRPr="001713F3">
        <w:rPr>
          <w:rFonts w:ascii="Book Antiqua" w:eastAsia="宋体" w:hAnsi="Book Antiqua" w:cs="宋体"/>
          <w:color w:val="000000"/>
          <w:bdr w:val="none" w:sz="0" w:space="0" w:color="auto"/>
          <w:lang w:eastAsia="zh-CN"/>
        </w:rPr>
        <w:t>: 1237-1243 [PMID: 19617326 DOI: 10.2967/jnumed.108.060467]</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9</w:t>
      </w:r>
      <w:r w:rsidR="005015F4">
        <w:rPr>
          <w:rFonts w:ascii="Book Antiqua" w:eastAsia="宋体" w:hAnsi="Book Antiqua" w:cs="宋体" w:hint="eastAsia"/>
          <w:color w:val="000000"/>
          <w:bdr w:val="none" w:sz="0" w:space="0" w:color="auto"/>
          <w:lang w:eastAsia="zh-CN"/>
        </w:rPr>
        <w:t>3</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Melzer HI</w:t>
      </w:r>
      <w:r w:rsidRPr="001713F3">
        <w:rPr>
          <w:rFonts w:ascii="Book Antiqua" w:eastAsia="宋体" w:hAnsi="Book Antiqua" w:cs="宋体"/>
          <w:color w:val="000000"/>
          <w:bdr w:val="none" w:sz="0" w:space="0" w:color="auto"/>
          <w:lang w:eastAsia="zh-CN"/>
        </w:rPr>
        <w:t>, Coppenrath E, Schmid I, Albert MH, von Schweinitz D, Tudball C, Bartenstein P, Pfluger T. ¹²³I-MIBG scintigraphy/SPECT versus ¹</w:t>
      </w:r>
      <w:r w:rsidRPr="001713F3">
        <w:rPr>
          <w:rFonts w:ascii="Cambria Math" w:eastAsia="MS Mincho" w:hAnsi="Cambria Math" w:cs="Cambria Math"/>
          <w:color w:val="000000"/>
          <w:bdr w:val="none" w:sz="0" w:space="0" w:color="auto"/>
          <w:lang w:eastAsia="zh-CN"/>
        </w:rPr>
        <w:t>⁸</w:t>
      </w:r>
      <w:r w:rsidRPr="001713F3">
        <w:rPr>
          <w:rFonts w:ascii="Book Antiqua" w:eastAsia="宋体" w:hAnsi="Book Antiqua" w:cs="宋体"/>
          <w:color w:val="000000"/>
          <w:bdr w:val="none" w:sz="0" w:space="0" w:color="auto"/>
          <w:lang w:eastAsia="zh-CN"/>
        </w:rPr>
        <w:t>F-FDG PET in paediatric neuroblastoma.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2011; </w:t>
      </w:r>
      <w:r w:rsidRPr="001713F3">
        <w:rPr>
          <w:rFonts w:ascii="Book Antiqua" w:eastAsia="宋体" w:hAnsi="Book Antiqua" w:cs="宋体"/>
          <w:b/>
          <w:bCs/>
          <w:color w:val="000000"/>
          <w:bdr w:val="none" w:sz="0" w:space="0" w:color="auto"/>
          <w:lang w:eastAsia="zh-CN"/>
        </w:rPr>
        <w:t>38</w:t>
      </w:r>
      <w:r w:rsidRPr="001713F3">
        <w:rPr>
          <w:rFonts w:ascii="Book Antiqua" w:eastAsia="宋体" w:hAnsi="Book Antiqua" w:cs="宋体"/>
          <w:color w:val="000000"/>
          <w:bdr w:val="none" w:sz="0" w:space="0" w:color="auto"/>
          <w:lang w:eastAsia="zh-CN"/>
        </w:rPr>
        <w:t>: 1648-1658 [PMID: 21617976 DOI: 10.1007/s00259-011-1843-8]</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9</w:t>
      </w:r>
      <w:r w:rsidR="005015F4">
        <w:rPr>
          <w:rFonts w:ascii="Book Antiqua" w:eastAsia="宋体" w:hAnsi="Book Antiqua" w:cs="宋体" w:hint="eastAsia"/>
          <w:color w:val="000000"/>
          <w:bdr w:val="none" w:sz="0" w:space="0" w:color="auto"/>
          <w:lang w:eastAsia="zh-CN"/>
        </w:rPr>
        <w:t>4</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Piccardo A</w:t>
      </w:r>
      <w:r w:rsidRPr="001713F3">
        <w:rPr>
          <w:rFonts w:ascii="Book Antiqua" w:eastAsia="宋体" w:hAnsi="Book Antiqua" w:cs="宋体"/>
          <w:color w:val="000000"/>
          <w:bdr w:val="none" w:sz="0" w:space="0" w:color="auto"/>
          <w:lang w:eastAsia="zh-CN"/>
        </w:rPr>
        <w:t>, Lopci E, Conte M, Garaventa A, Foppiani L, Altrinetti V, Nanni C, Bianchi P, Cistaro A, Sorrentino S, Cabria M, Pession A, Puntoni M, Villavecchia G, Fanti S. Comparison of 18F-dopa PET/CT and 123I-MIBG scintigraphy in stage 3 and 4 neuroblastoma: a pilot study.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2012; </w:t>
      </w:r>
      <w:r w:rsidRPr="001713F3">
        <w:rPr>
          <w:rFonts w:ascii="Book Antiqua" w:eastAsia="宋体" w:hAnsi="Book Antiqua" w:cs="宋体"/>
          <w:b/>
          <w:bCs/>
          <w:color w:val="000000"/>
          <w:bdr w:val="none" w:sz="0" w:space="0" w:color="auto"/>
          <w:lang w:eastAsia="zh-CN"/>
        </w:rPr>
        <w:t>39</w:t>
      </w:r>
      <w:r w:rsidRPr="001713F3">
        <w:rPr>
          <w:rFonts w:ascii="Book Antiqua" w:eastAsia="宋体" w:hAnsi="Book Antiqua" w:cs="宋体"/>
          <w:color w:val="000000"/>
          <w:bdr w:val="none" w:sz="0" w:space="0" w:color="auto"/>
          <w:lang w:eastAsia="zh-CN"/>
        </w:rPr>
        <w:t>: 57-71 [PMID: 21932116 DOI: 10.1007/s00259-011-1938-2]</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9</w:t>
      </w:r>
      <w:r w:rsidR="005015F4">
        <w:rPr>
          <w:rFonts w:ascii="Book Antiqua" w:eastAsia="宋体" w:hAnsi="Book Antiqua" w:cs="宋体" w:hint="eastAsia"/>
          <w:color w:val="000000"/>
          <w:bdr w:val="none" w:sz="0" w:space="0" w:color="auto"/>
          <w:lang w:eastAsia="zh-CN"/>
        </w:rPr>
        <w:t>5</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Gains JE</w:t>
      </w:r>
      <w:r w:rsidRPr="001713F3">
        <w:rPr>
          <w:rFonts w:ascii="Book Antiqua" w:eastAsia="宋体" w:hAnsi="Book Antiqua" w:cs="宋体"/>
          <w:color w:val="000000"/>
          <w:bdr w:val="none" w:sz="0" w:space="0" w:color="auto"/>
          <w:lang w:eastAsia="zh-CN"/>
        </w:rPr>
        <w:t xml:space="preserve">, Bomanji JB, Fersht NL, Sullivan T, D'Souza D, Sullivan KP, Aldridge M, Waddington W, Gaze MN. </w:t>
      </w:r>
      <w:proofErr w:type="gramStart"/>
      <w:r w:rsidRPr="001713F3">
        <w:rPr>
          <w:rFonts w:ascii="Book Antiqua" w:eastAsia="宋体" w:hAnsi="Book Antiqua" w:cs="宋体"/>
          <w:color w:val="000000"/>
          <w:bdr w:val="none" w:sz="0" w:space="0" w:color="auto"/>
          <w:lang w:eastAsia="zh-CN"/>
        </w:rPr>
        <w:t>177Lu-DOTATATE molecular radiotherapy for childhood neuroblastoma.</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J Nucl Med</w:t>
      </w:r>
      <w:r w:rsidRPr="001713F3">
        <w:rPr>
          <w:rFonts w:ascii="Book Antiqua" w:eastAsia="宋体" w:hAnsi="Book Antiqua" w:cs="宋体"/>
          <w:color w:val="000000"/>
          <w:bdr w:val="none" w:sz="0" w:space="0" w:color="auto"/>
          <w:lang w:eastAsia="zh-CN"/>
        </w:rPr>
        <w:t> 2011; </w:t>
      </w:r>
      <w:r w:rsidRPr="001713F3">
        <w:rPr>
          <w:rFonts w:ascii="Book Antiqua" w:eastAsia="宋体" w:hAnsi="Book Antiqua" w:cs="宋体"/>
          <w:b/>
          <w:bCs/>
          <w:color w:val="000000"/>
          <w:bdr w:val="none" w:sz="0" w:space="0" w:color="auto"/>
          <w:lang w:eastAsia="zh-CN"/>
        </w:rPr>
        <w:t>52</w:t>
      </w:r>
      <w:r w:rsidRPr="001713F3">
        <w:rPr>
          <w:rFonts w:ascii="Book Antiqua" w:eastAsia="宋体" w:hAnsi="Book Antiqua" w:cs="宋体"/>
          <w:color w:val="000000"/>
          <w:bdr w:val="none" w:sz="0" w:space="0" w:color="auto"/>
          <w:lang w:eastAsia="zh-CN"/>
        </w:rPr>
        <w:t>: 1041-1047 [PMID: 21680680 DOI: 10.2967/jnumed.110.085100]</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9</w:t>
      </w:r>
      <w:r w:rsidR="005015F4">
        <w:rPr>
          <w:rFonts w:ascii="Book Antiqua" w:eastAsia="宋体" w:hAnsi="Book Antiqua" w:cs="宋体" w:hint="eastAsia"/>
          <w:color w:val="000000"/>
          <w:bdr w:val="none" w:sz="0" w:space="0" w:color="auto"/>
          <w:lang w:eastAsia="zh-CN"/>
        </w:rPr>
        <w:t>6</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Swinson S</w:t>
      </w:r>
      <w:r w:rsidRPr="001713F3">
        <w:rPr>
          <w:rFonts w:ascii="Book Antiqua" w:eastAsia="宋体" w:hAnsi="Book Antiqua" w:cs="宋体"/>
          <w:color w:val="000000"/>
          <w:bdr w:val="none" w:sz="0" w:space="0" w:color="auto"/>
          <w:lang w:eastAsia="zh-CN"/>
        </w:rPr>
        <w:t>, McHugh K. Urogenital tumours in childhood.</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Cancer Imaging</w:t>
      </w:r>
      <w:r w:rsidRPr="001713F3">
        <w:rPr>
          <w:rFonts w:ascii="Book Antiqua" w:eastAsia="宋体" w:hAnsi="Book Antiqua" w:cs="宋体"/>
          <w:color w:val="000000"/>
          <w:bdr w:val="none" w:sz="0" w:space="0" w:color="auto"/>
          <w:lang w:eastAsia="zh-CN"/>
        </w:rPr>
        <w:t> 2011; </w:t>
      </w:r>
      <w:r w:rsidRPr="001713F3">
        <w:rPr>
          <w:rFonts w:ascii="Book Antiqua" w:eastAsia="宋体" w:hAnsi="Book Antiqua" w:cs="宋体"/>
          <w:b/>
          <w:bCs/>
          <w:color w:val="000000"/>
          <w:bdr w:val="none" w:sz="0" w:space="0" w:color="auto"/>
          <w:lang w:eastAsia="zh-CN"/>
        </w:rPr>
        <w:t>11 Spec No A</w:t>
      </w:r>
      <w:r w:rsidRPr="001713F3">
        <w:rPr>
          <w:rFonts w:ascii="Book Antiqua" w:eastAsia="宋体" w:hAnsi="Book Antiqua" w:cs="宋体"/>
          <w:color w:val="000000"/>
          <w:bdr w:val="none" w:sz="0" w:space="0" w:color="auto"/>
          <w:lang w:eastAsia="zh-CN"/>
        </w:rPr>
        <w:t>: S48-S64 [PMID: 22187115 DOI: 10.1102/1470-7330.2011.9009]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lastRenderedPageBreak/>
        <w:t>9</w:t>
      </w:r>
      <w:r w:rsidR="005015F4">
        <w:rPr>
          <w:rFonts w:ascii="Book Antiqua" w:eastAsia="宋体" w:hAnsi="Book Antiqua" w:cs="宋体" w:hint="eastAsia"/>
          <w:color w:val="000000"/>
          <w:bdr w:val="none" w:sz="0" w:space="0" w:color="auto"/>
          <w:lang w:eastAsia="zh-CN"/>
        </w:rPr>
        <w:t>7</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Md Zin R</w:t>
      </w:r>
      <w:r w:rsidRPr="001713F3">
        <w:rPr>
          <w:rFonts w:ascii="Book Antiqua" w:eastAsia="宋体" w:hAnsi="Book Antiqua" w:cs="宋体"/>
          <w:color w:val="000000"/>
          <w:bdr w:val="none" w:sz="0" w:space="0" w:color="auto"/>
          <w:lang w:eastAsia="zh-CN"/>
        </w:rPr>
        <w:t>, Murch A, Charles A. Pathology, genetics and cytogenetics of Wilms' tumour.</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Pathology</w:t>
      </w:r>
      <w:r w:rsidRPr="001713F3">
        <w:rPr>
          <w:rFonts w:ascii="Book Antiqua" w:eastAsia="宋体" w:hAnsi="Book Antiqua" w:cs="宋体"/>
          <w:color w:val="000000"/>
          <w:bdr w:val="none" w:sz="0" w:space="0" w:color="auto"/>
          <w:lang w:eastAsia="zh-CN"/>
        </w:rPr>
        <w:t> 2011; </w:t>
      </w:r>
      <w:r w:rsidRPr="001713F3">
        <w:rPr>
          <w:rFonts w:ascii="Book Antiqua" w:eastAsia="宋体" w:hAnsi="Book Antiqua" w:cs="宋体"/>
          <w:b/>
          <w:bCs/>
          <w:color w:val="000000"/>
          <w:bdr w:val="none" w:sz="0" w:space="0" w:color="auto"/>
          <w:lang w:eastAsia="zh-CN"/>
        </w:rPr>
        <w:t>43</w:t>
      </w:r>
      <w:r w:rsidRPr="001713F3">
        <w:rPr>
          <w:rFonts w:ascii="Book Antiqua" w:eastAsia="宋体" w:hAnsi="Book Antiqua" w:cs="宋体"/>
          <w:color w:val="000000"/>
          <w:bdr w:val="none" w:sz="0" w:space="0" w:color="auto"/>
          <w:lang w:eastAsia="zh-CN"/>
        </w:rPr>
        <w:t>: 302-312 [PMID: 21516053 DOI: 10.1097/PAT.0b013e3283463575]</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9</w:t>
      </w:r>
      <w:r w:rsidR="005015F4">
        <w:rPr>
          <w:rFonts w:ascii="Book Antiqua" w:eastAsia="宋体" w:hAnsi="Book Antiqua" w:cs="宋体" w:hint="eastAsia"/>
          <w:color w:val="000000"/>
          <w:bdr w:val="none" w:sz="0" w:space="0" w:color="auto"/>
          <w:lang w:eastAsia="zh-CN"/>
        </w:rPr>
        <w:t>8</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Geller E</w:t>
      </w:r>
      <w:r w:rsidRPr="001713F3">
        <w:rPr>
          <w:rFonts w:ascii="Book Antiqua" w:eastAsia="宋体" w:hAnsi="Book Antiqua" w:cs="宋体"/>
          <w:color w:val="000000"/>
          <w:bdr w:val="none" w:sz="0" w:space="0" w:color="auto"/>
          <w:lang w:eastAsia="zh-CN"/>
        </w:rPr>
        <w:t>, Kochan PS. Renal neoplasms of childhood.</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Radiol Clin North Am</w:t>
      </w:r>
      <w:r w:rsidRPr="001713F3">
        <w:rPr>
          <w:rFonts w:ascii="Book Antiqua" w:eastAsia="宋体" w:hAnsi="Book Antiqua" w:cs="宋体"/>
          <w:color w:val="000000"/>
          <w:bdr w:val="none" w:sz="0" w:space="0" w:color="auto"/>
          <w:lang w:eastAsia="zh-CN"/>
        </w:rPr>
        <w:t> 2011; </w:t>
      </w:r>
      <w:r w:rsidRPr="001713F3">
        <w:rPr>
          <w:rFonts w:ascii="Book Antiqua" w:eastAsia="宋体" w:hAnsi="Book Antiqua" w:cs="宋体"/>
          <w:b/>
          <w:bCs/>
          <w:color w:val="000000"/>
          <w:bdr w:val="none" w:sz="0" w:space="0" w:color="auto"/>
          <w:lang w:eastAsia="zh-CN"/>
        </w:rPr>
        <w:t>49</w:t>
      </w:r>
      <w:r w:rsidRPr="001713F3">
        <w:rPr>
          <w:rFonts w:ascii="Book Antiqua" w:eastAsia="宋体" w:hAnsi="Book Antiqua" w:cs="宋体"/>
          <w:color w:val="000000"/>
          <w:bdr w:val="none" w:sz="0" w:space="0" w:color="auto"/>
          <w:lang w:eastAsia="zh-CN"/>
        </w:rPr>
        <w:t xml:space="preserve">: 689-709, </w:t>
      </w:r>
      <w:proofErr w:type="gramStart"/>
      <w:r w:rsidRPr="001713F3">
        <w:rPr>
          <w:rFonts w:ascii="Book Antiqua" w:eastAsia="宋体" w:hAnsi="Book Antiqua" w:cs="宋体"/>
          <w:color w:val="000000"/>
          <w:bdr w:val="none" w:sz="0" w:space="0" w:color="auto"/>
          <w:lang w:eastAsia="zh-CN"/>
        </w:rPr>
        <w:t>vi</w:t>
      </w:r>
      <w:proofErr w:type="gramEnd"/>
      <w:r w:rsidRPr="001713F3">
        <w:rPr>
          <w:rFonts w:ascii="Book Antiqua" w:eastAsia="宋体" w:hAnsi="Book Antiqua" w:cs="宋体"/>
          <w:color w:val="000000"/>
          <w:bdr w:val="none" w:sz="0" w:space="0" w:color="auto"/>
          <w:lang w:eastAsia="zh-CN"/>
        </w:rPr>
        <w:t xml:space="preserve"> [PMID: 21807169 DOI: 10.1016/j.rcl.2011.05.003]</w:t>
      </w:r>
    </w:p>
    <w:p w:rsidR="001713F3" w:rsidRPr="001713F3" w:rsidRDefault="005015F4"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Pr>
          <w:rFonts w:ascii="Book Antiqua" w:eastAsia="宋体" w:hAnsi="Book Antiqua" w:cs="宋体" w:hint="eastAsia"/>
          <w:color w:val="000000"/>
          <w:bdr w:val="none" w:sz="0" w:space="0" w:color="auto"/>
          <w:lang w:eastAsia="zh-CN"/>
        </w:rPr>
        <w:t>99</w:t>
      </w:r>
      <w:r w:rsidR="001713F3" w:rsidRPr="001713F3">
        <w:rPr>
          <w:rFonts w:ascii="Book Antiqua" w:eastAsia="宋体" w:hAnsi="Book Antiqua" w:cs="宋体"/>
          <w:color w:val="000000"/>
          <w:bdr w:val="none" w:sz="0" w:space="0" w:color="auto"/>
          <w:lang w:eastAsia="zh-CN"/>
        </w:rPr>
        <w:t> </w:t>
      </w:r>
      <w:r w:rsidR="001713F3" w:rsidRPr="001713F3">
        <w:rPr>
          <w:rFonts w:ascii="Book Antiqua" w:eastAsia="宋体" w:hAnsi="Book Antiqua" w:cs="宋体"/>
          <w:b/>
          <w:bCs/>
          <w:color w:val="000000"/>
          <w:bdr w:val="none" w:sz="0" w:space="0" w:color="auto"/>
          <w:lang w:eastAsia="zh-CN"/>
        </w:rPr>
        <w:t>Buckley KS</w:t>
      </w:r>
      <w:r w:rsidR="001713F3" w:rsidRPr="001713F3">
        <w:rPr>
          <w:rFonts w:ascii="Book Antiqua" w:eastAsia="宋体" w:hAnsi="Book Antiqua" w:cs="宋体"/>
          <w:color w:val="000000"/>
          <w:bdr w:val="none" w:sz="0" w:space="0" w:color="auto"/>
          <w:lang w:eastAsia="zh-CN"/>
        </w:rPr>
        <w:t>.</w:t>
      </w:r>
      <w:proofErr w:type="gramEnd"/>
      <w:r w:rsidR="001713F3" w:rsidRPr="001713F3">
        <w:rPr>
          <w:rFonts w:ascii="Book Antiqua" w:eastAsia="宋体" w:hAnsi="Book Antiqua" w:cs="宋体"/>
          <w:color w:val="000000"/>
          <w:bdr w:val="none" w:sz="0" w:space="0" w:color="auto"/>
          <w:lang w:eastAsia="zh-CN"/>
        </w:rPr>
        <w:t xml:space="preserve"> </w:t>
      </w:r>
      <w:proofErr w:type="gramStart"/>
      <w:r w:rsidR="001713F3" w:rsidRPr="001713F3">
        <w:rPr>
          <w:rFonts w:ascii="Book Antiqua" w:eastAsia="宋体" w:hAnsi="Book Antiqua" w:cs="宋体"/>
          <w:color w:val="000000"/>
          <w:bdr w:val="none" w:sz="0" w:space="0" w:color="auto"/>
          <w:lang w:eastAsia="zh-CN"/>
        </w:rPr>
        <w:t>Pediatric genitourinary tumors.</w:t>
      </w:r>
      <w:proofErr w:type="gramEnd"/>
      <w:r w:rsidR="001713F3" w:rsidRPr="001713F3">
        <w:rPr>
          <w:rFonts w:ascii="Book Antiqua" w:eastAsia="宋体" w:hAnsi="Book Antiqua" w:cs="宋体"/>
          <w:color w:val="000000"/>
          <w:bdr w:val="none" w:sz="0" w:space="0" w:color="auto"/>
          <w:lang w:eastAsia="zh-CN"/>
        </w:rPr>
        <w:t> </w:t>
      </w:r>
      <w:r w:rsidR="001713F3" w:rsidRPr="001713F3">
        <w:rPr>
          <w:rFonts w:ascii="Book Antiqua" w:eastAsia="宋体" w:hAnsi="Book Antiqua" w:cs="宋体"/>
          <w:i/>
          <w:iCs/>
          <w:color w:val="000000"/>
          <w:bdr w:val="none" w:sz="0" w:space="0" w:color="auto"/>
          <w:lang w:eastAsia="zh-CN"/>
        </w:rPr>
        <w:t>Curr Opin Oncol</w:t>
      </w:r>
      <w:r w:rsidR="001713F3" w:rsidRPr="001713F3">
        <w:rPr>
          <w:rFonts w:ascii="Book Antiqua" w:eastAsia="宋体" w:hAnsi="Book Antiqua" w:cs="宋体"/>
          <w:color w:val="000000"/>
          <w:bdr w:val="none" w:sz="0" w:space="0" w:color="auto"/>
          <w:lang w:eastAsia="zh-CN"/>
        </w:rPr>
        <w:t> 2012; </w:t>
      </w:r>
      <w:r w:rsidR="001713F3" w:rsidRPr="001713F3">
        <w:rPr>
          <w:rFonts w:ascii="Book Antiqua" w:eastAsia="宋体" w:hAnsi="Book Antiqua" w:cs="宋体"/>
          <w:b/>
          <w:bCs/>
          <w:color w:val="000000"/>
          <w:bdr w:val="none" w:sz="0" w:space="0" w:color="auto"/>
          <w:lang w:eastAsia="zh-CN"/>
        </w:rPr>
        <w:t>24</w:t>
      </w:r>
      <w:r w:rsidR="001713F3" w:rsidRPr="001713F3">
        <w:rPr>
          <w:rFonts w:ascii="Book Antiqua" w:eastAsia="宋体" w:hAnsi="Book Antiqua" w:cs="宋体"/>
          <w:color w:val="000000"/>
          <w:bdr w:val="none" w:sz="0" w:space="0" w:color="auto"/>
          <w:lang w:eastAsia="zh-CN"/>
        </w:rPr>
        <w:t>: 291-296 [PMID: 22476187 DOI: 10.1097/CCO.0b013e32835265c9]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10</w:t>
      </w:r>
      <w:r w:rsidR="005015F4">
        <w:rPr>
          <w:rFonts w:ascii="Book Antiqua" w:eastAsia="宋体" w:hAnsi="Book Antiqua" w:cs="宋体" w:hint="eastAsia"/>
          <w:color w:val="000000"/>
          <w:bdr w:val="none" w:sz="0" w:space="0" w:color="auto"/>
          <w:lang w:eastAsia="zh-CN"/>
        </w:rPr>
        <w:t>0</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Misch D</w:t>
      </w:r>
      <w:r w:rsidRPr="001713F3">
        <w:rPr>
          <w:rFonts w:ascii="Book Antiqua" w:eastAsia="宋体" w:hAnsi="Book Antiqua" w:cs="宋体"/>
          <w:color w:val="000000"/>
          <w:bdr w:val="none" w:sz="0" w:space="0" w:color="auto"/>
          <w:lang w:eastAsia="zh-CN"/>
        </w:rPr>
        <w:t>, Steffen IG, Schönberger S, Voelker T, Furth C, Stöver B, Hautzel H, Henze G, Amthauer H, Denecke T. Use of positron emission tomography for staging, preoperative response assessment and posttherapeutic evaluation in children with Wilms tumour.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2008; </w:t>
      </w:r>
      <w:r w:rsidRPr="001713F3">
        <w:rPr>
          <w:rFonts w:ascii="Book Antiqua" w:eastAsia="宋体" w:hAnsi="Book Antiqua" w:cs="宋体"/>
          <w:b/>
          <w:bCs/>
          <w:color w:val="000000"/>
          <w:bdr w:val="none" w:sz="0" w:space="0" w:color="auto"/>
          <w:lang w:eastAsia="zh-CN"/>
        </w:rPr>
        <w:t>35</w:t>
      </w:r>
      <w:r w:rsidRPr="001713F3">
        <w:rPr>
          <w:rFonts w:ascii="Book Antiqua" w:eastAsia="宋体" w:hAnsi="Book Antiqua" w:cs="宋体"/>
          <w:color w:val="000000"/>
          <w:bdr w:val="none" w:sz="0" w:space="0" w:color="auto"/>
          <w:lang w:eastAsia="zh-CN"/>
        </w:rPr>
        <w:t>: 1642-1650 [PMID: 18509634 DOI: 10.1007/s00259-008-0819-9]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10</w:t>
      </w:r>
      <w:r w:rsidR="005015F4">
        <w:rPr>
          <w:rFonts w:ascii="Book Antiqua" w:eastAsia="宋体" w:hAnsi="Book Antiqua" w:cs="宋体" w:hint="eastAsia"/>
          <w:color w:val="000000"/>
          <w:bdr w:val="none" w:sz="0" w:space="0" w:color="auto"/>
          <w:lang w:eastAsia="zh-CN"/>
        </w:rPr>
        <w:t>1</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Moinul Hossain AK</w:t>
      </w:r>
      <w:r w:rsidRPr="001713F3">
        <w:rPr>
          <w:rFonts w:ascii="Book Antiqua" w:eastAsia="宋体" w:hAnsi="Book Antiqua" w:cs="宋体"/>
          <w:color w:val="000000"/>
          <w:bdr w:val="none" w:sz="0" w:space="0" w:color="auto"/>
          <w:lang w:eastAsia="zh-CN"/>
        </w:rPr>
        <w:t>, Shulkin BL, Gelfand MJ, Bashir H, Daw NC, Sharp SE, Nadel HR, Dome JS. FDG positron emission tomography/computed tomography studies of Wilms' tumor.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2010; </w:t>
      </w:r>
      <w:r w:rsidRPr="001713F3">
        <w:rPr>
          <w:rFonts w:ascii="Book Antiqua" w:eastAsia="宋体" w:hAnsi="Book Antiqua" w:cs="宋体"/>
          <w:b/>
          <w:bCs/>
          <w:color w:val="000000"/>
          <w:bdr w:val="none" w:sz="0" w:space="0" w:color="auto"/>
          <w:lang w:eastAsia="zh-CN"/>
        </w:rPr>
        <w:t>37</w:t>
      </w:r>
      <w:r w:rsidRPr="001713F3">
        <w:rPr>
          <w:rFonts w:ascii="Book Antiqua" w:eastAsia="宋体" w:hAnsi="Book Antiqua" w:cs="宋体"/>
          <w:color w:val="000000"/>
          <w:bdr w:val="none" w:sz="0" w:space="0" w:color="auto"/>
          <w:lang w:eastAsia="zh-CN"/>
        </w:rPr>
        <w:t>: 1300-1308 [PMID: 20204356 DOI: 10.1007/s00259-010-1396-2]</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10</w:t>
      </w:r>
      <w:r w:rsidR="005015F4">
        <w:rPr>
          <w:rFonts w:ascii="Book Antiqua" w:eastAsia="宋体" w:hAnsi="Book Antiqua" w:cs="宋体" w:hint="eastAsia"/>
          <w:color w:val="000000"/>
          <w:bdr w:val="none" w:sz="0" w:space="0" w:color="auto"/>
          <w:lang w:eastAsia="zh-CN"/>
        </w:rPr>
        <w:t>2</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Begent J</w:t>
      </w:r>
      <w:r w:rsidRPr="001713F3">
        <w:rPr>
          <w:rFonts w:ascii="Book Antiqua" w:eastAsia="宋体" w:hAnsi="Book Antiqua" w:cs="宋体"/>
          <w:color w:val="000000"/>
          <w:bdr w:val="none" w:sz="0" w:space="0" w:color="auto"/>
          <w:lang w:eastAsia="zh-CN"/>
        </w:rPr>
        <w:t>, Sebire NJ, Levitt G, Brock P, Jones KP, Ell P, Gordon I, Anderson J. Pilot study of F(18)-Fluorodeoxyglucose Positron Emission Tomography/computerised tomography in Wilms' tumour: correlation with conventional imaging, pathology and immunohistochemistry. </w:t>
      </w:r>
      <w:r w:rsidRPr="001713F3">
        <w:rPr>
          <w:rFonts w:ascii="Book Antiqua" w:eastAsia="宋体" w:hAnsi="Book Antiqua" w:cs="宋体"/>
          <w:i/>
          <w:iCs/>
          <w:color w:val="000000"/>
          <w:bdr w:val="none" w:sz="0" w:space="0" w:color="auto"/>
          <w:lang w:eastAsia="zh-CN"/>
        </w:rPr>
        <w:t>Eur J Cancer</w:t>
      </w:r>
      <w:r w:rsidRPr="001713F3">
        <w:rPr>
          <w:rFonts w:ascii="Book Antiqua" w:eastAsia="宋体" w:hAnsi="Book Antiqua" w:cs="宋体"/>
          <w:color w:val="000000"/>
          <w:bdr w:val="none" w:sz="0" w:space="0" w:color="auto"/>
          <w:lang w:eastAsia="zh-CN"/>
        </w:rPr>
        <w:t> 2011; </w:t>
      </w:r>
      <w:r w:rsidRPr="001713F3">
        <w:rPr>
          <w:rFonts w:ascii="Book Antiqua" w:eastAsia="宋体" w:hAnsi="Book Antiqua" w:cs="宋体"/>
          <w:b/>
          <w:bCs/>
          <w:color w:val="000000"/>
          <w:bdr w:val="none" w:sz="0" w:space="0" w:color="auto"/>
          <w:lang w:eastAsia="zh-CN"/>
        </w:rPr>
        <w:t>47</w:t>
      </w:r>
      <w:r w:rsidRPr="001713F3">
        <w:rPr>
          <w:rFonts w:ascii="Book Antiqua" w:eastAsia="宋体" w:hAnsi="Book Antiqua" w:cs="宋体"/>
          <w:color w:val="000000"/>
          <w:bdr w:val="none" w:sz="0" w:space="0" w:color="auto"/>
          <w:lang w:eastAsia="zh-CN"/>
        </w:rPr>
        <w:t>: 389-396 [PMID: 21074411 DOI: 10.1019/j.ejca.2010.09.039]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10</w:t>
      </w:r>
      <w:r w:rsidR="005015F4">
        <w:rPr>
          <w:rFonts w:ascii="Book Antiqua" w:eastAsia="宋体" w:hAnsi="Book Antiqua" w:cs="宋体" w:hint="eastAsia"/>
          <w:color w:val="000000"/>
          <w:bdr w:val="none" w:sz="0" w:space="0" w:color="auto"/>
          <w:lang w:eastAsia="zh-CN"/>
        </w:rPr>
        <w:t>3</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Azouz EM</w:t>
      </w:r>
      <w:r w:rsidRPr="001713F3">
        <w:rPr>
          <w:rFonts w:ascii="Book Antiqua" w:eastAsia="宋体" w:hAnsi="Book Antiqua" w:cs="宋体"/>
          <w:color w:val="000000"/>
          <w:bdr w:val="none" w:sz="0" w:space="0" w:color="auto"/>
          <w:lang w:eastAsia="zh-CN"/>
        </w:rPr>
        <w:t>, Saigal G, Rodriguez MM, Podda A. Langerhans' cell histiocytosis: pathology, imaging and treatment of skeletal involvement. </w:t>
      </w:r>
      <w:r w:rsidRPr="001713F3">
        <w:rPr>
          <w:rFonts w:ascii="Book Antiqua" w:eastAsia="宋体" w:hAnsi="Book Antiqua" w:cs="宋体"/>
          <w:i/>
          <w:iCs/>
          <w:color w:val="000000"/>
          <w:bdr w:val="none" w:sz="0" w:space="0" w:color="auto"/>
          <w:lang w:eastAsia="zh-CN"/>
        </w:rPr>
        <w:t>Pediatr Radiol</w:t>
      </w:r>
      <w:r w:rsidRPr="001713F3">
        <w:rPr>
          <w:rFonts w:ascii="Book Antiqua" w:eastAsia="宋体" w:hAnsi="Book Antiqua" w:cs="宋体"/>
          <w:color w:val="000000"/>
          <w:bdr w:val="none" w:sz="0" w:space="0" w:color="auto"/>
          <w:lang w:eastAsia="zh-CN"/>
        </w:rPr>
        <w:t> 2005; </w:t>
      </w:r>
      <w:r w:rsidRPr="001713F3">
        <w:rPr>
          <w:rFonts w:ascii="Book Antiqua" w:eastAsia="宋体" w:hAnsi="Book Antiqua" w:cs="宋体"/>
          <w:b/>
          <w:bCs/>
          <w:color w:val="000000"/>
          <w:bdr w:val="none" w:sz="0" w:space="0" w:color="auto"/>
          <w:lang w:eastAsia="zh-CN"/>
        </w:rPr>
        <w:t>35</w:t>
      </w:r>
      <w:r w:rsidRPr="001713F3">
        <w:rPr>
          <w:rFonts w:ascii="Book Antiqua" w:eastAsia="宋体" w:hAnsi="Book Antiqua" w:cs="宋体"/>
          <w:color w:val="000000"/>
          <w:bdr w:val="none" w:sz="0" w:space="0" w:color="auto"/>
          <w:lang w:eastAsia="zh-CN"/>
        </w:rPr>
        <w:t>: 103-115 [PMID: 15289942 DOI: 10.1007/s00247-004-1262-0]</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10</w:t>
      </w:r>
      <w:r w:rsidR="005015F4">
        <w:rPr>
          <w:rFonts w:ascii="Book Antiqua" w:eastAsia="宋体" w:hAnsi="Book Antiqua" w:cs="宋体" w:hint="eastAsia"/>
          <w:color w:val="000000"/>
          <w:bdr w:val="none" w:sz="0" w:space="0" w:color="auto"/>
          <w:lang w:eastAsia="zh-CN"/>
        </w:rPr>
        <w:t>4</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Abla O</w:t>
      </w:r>
      <w:r w:rsidRPr="001713F3">
        <w:rPr>
          <w:rFonts w:ascii="Book Antiqua" w:eastAsia="宋体" w:hAnsi="Book Antiqua" w:cs="宋体"/>
          <w:color w:val="000000"/>
          <w:bdr w:val="none" w:sz="0" w:space="0" w:color="auto"/>
          <w:lang w:eastAsia="zh-CN"/>
        </w:rPr>
        <w:t>, Egeler RM, Weitzman S. Langerhans cell histiocytosis: Current concepts and treatments. </w:t>
      </w:r>
      <w:r w:rsidRPr="001713F3">
        <w:rPr>
          <w:rFonts w:ascii="Book Antiqua" w:eastAsia="宋体" w:hAnsi="Book Antiqua" w:cs="宋体"/>
          <w:i/>
          <w:iCs/>
          <w:color w:val="000000"/>
          <w:bdr w:val="none" w:sz="0" w:space="0" w:color="auto"/>
          <w:lang w:eastAsia="zh-CN"/>
        </w:rPr>
        <w:t>Cancer Treat Rev</w:t>
      </w:r>
      <w:r w:rsidRPr="001713F3">
        <w:rPr>
          <w:rFonts w:ascii="Book Antiqua" w:eastAsia="宋体" w:hAnsi="Book Antiqua" w:cs="宋体"/>
          <w:color w:val="000000"/>
          <w:bdr w:val="none" w:sz="0" w:space="0" w:color="auto"/>
          <w:lang w:eastAsia="zh-CN"/>
        </w:rPr>
        <w:t> 2010; </w:t>
      </w:r>
      <w:r w:rsidRPr="001713F3">
        <w:rPr>
          <w:rFonts w:ascii="Book Antiqua" w:eastAsia="宋体" w:hAnsi="Book Antiqua" w:cs="宋体"/>
          <w:b/>
          <w:bCs/>
          <w:color w:val="000000"/>
          <w:bdr w:val="none" w:sz="0" w:space="0" w:color="auto"/>
          <w:lang w:eastAsia="zh-CN"/>
        </w:rPr>
        <w:t>36</w:t>
      </w:r>
      <w:r w:rsidRPr="001713F3">
        <w:rPr>
          <w:rFonts w:ascii="Book Antiqua" w:eastAsia="宋体" w:hAnsi="Book Antiqua" w:cs="宋体"/>
          <w:color w:val="000000"/>
          <w:bdr w:val="none" w:sz="0" w:space="0" w:color="auto"/>
          <w:lang w:eastAsia="zh-CN"/>
        </w:rPr>
        <w:t>: 354-359 [PMID: 20188480 DOI: 10.1016/j.ctrv.2010.02.012]</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10</w:t>
      </w:r>
      <w:r w:rsidR="005015F4">
        <w:rPr>
          <w:rFonts w:ascii="Book Antiqua" w:eastAsia="宋体" w:hAnsi="Book Antiqua" w:cs="宋体" w:hint="eastAsia"/>
          <w:color w:val="000000"/>
          <w:bdr w:val="none" w:sz="0" w:space="0" w:color="auto"/>
          <w:lang w:eastAsia="zh-CN"/>
        </w:rPr>
        <w:t>5</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Dogan AS</w:t>
      </w:r>
      <w:r w:rsidRPr="001713F3">
        <w:rPr>
          <w:rFonts w:ascii="Book Antiqua" w:eastAsia="宋体" w:hAnsi="Book Antiqua" w:cs="宋体"/>
          <w:color w:val="000000"/>
          <w:bdr w:val="none" w:sz="0" w:space="0" w:color="auto"/>
          <w:lang w:eastAsia="zh-CN"/>
        </w:rPr>
        <w:t>, Conway JJ, Miller JH, Grier D, Bhattathiry MM, Mitchell CS. Detection of bone lesions in Langerhans cell histiocytosis: complementary roles of scintigraphy and conventional radiography. </w:t>
      </w:r>
      <w:r w:rsidRPr="001713F3">
        <w:rPr>
          <w:rFonts w:ascii="Book Antiqua" w:eastAsia="宋体" w:hAnsi="Book Antiqua" w:cs="宋体"/>
          <w:i/>
          <w:iCs/>
          <w:color w:val="000000"/>
          <w:bdr w:val="none" w:sz="0" w:space="0" w:color="auto"/>
          <w:lang w:eastAsia="zh-CN"/>
        </w:rPr>
        <w:t>J Pediatr Hematol Oncol</w:t>
      </w:r>
      <w:r w:rsidRPr="001713F3">
        <w:rPr>
          <w:rFonts w:ascii="Book Antiqua" w:eastAsia="宋体" w:hAnsi="Book Antiqua" w:cs="宋体"/>
          <w:color w:val="000000"/>
          <w:bdr w:val="none" w:sz="0" w:space="0" w:color="auto"/>
          <w:lang w:eastAsia="zh-CN"/>
        </w:rPr>
        <w:t> 1996; </w:t>
      </w:r>
      <w:r w:rsidRPr="001713F3">
        <w:rPr>
          <w:rFonts w:ascii="Book Antiqua" w:eastAsia="宋体" w:hAnsi="Book Antiqua" w:cs="宋体"/>
          <w:b/>
          <w:bCs/>
          <w:color w:val="000000"/>
          <w:bdr w:val="none" w:sz="0" w:space="0" w:color="auto"/>
          <w:lang w:eastAsia="zh-CN"/>
        </w:rPr>
        <w:t>18</w:t>
      </w:r>
      <w:r w:rsidRPr="001713F3">
        <w:rPr>
          <w:rFonts w:ascii="Book Antiqua" w:eastAsia="宋体" w:hAnsi="Book Antiqua" w:cs="宋体"/>
          <w:color w:val="000000"/>
          <w:bdr w:val="none" w:sz="0" w:space="0" w:color="auto"/>
          <w:lang w:eastAsia="zh-CN"/>
        </w:rPr>
        <w:t>: 51-58 [PMID: 8556371 DOI: 10.1097/00043426-199602000-00010]</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10</w:t>
      </w:r>
      <w:r w:rsidR="005015F4">
        <w:rPr>
          <w:rFonts w:ascii="Book Antiqua" w:eastAsia="宋体" w:hAnsi="Book Antiqua" w:cs="宋体" w:hint="eastAsia"/>
          <w:color w:val="000000"/>
          <w:bdr w:val="none" w:sz="0" w:space="0" w:color="auto"/>
          <w:lang w:eastAsia="zh-CN"/>
        </w:rPr>
        <w:t>6</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Phillips M</w:t>
      </w:r>
      <w:r w:rsidRPr="001713F3">
        <w:rPr>
          <w:rFonts w:ascii="Book Antiqua" w:eastAsia="宋体" w:hAnsi="Book Antiqua" w:cs="宋体"/>
          <w:color w:val="000000"/>
          <w:bdr w:val="none" w:sz="0" w:space="0" w:color="auto"/>
          <w:lang w:eastAsia="zh-CN"/>
        </w:rPr>
        <w:t xml:space="preserve">, Allen C, Gerson P, McClain K. Comparison of FDG-PET scans to conventional radiography and bone scans in management of Langerhans cell </w:t>
      </w:r>
      <w:r w:rsidRPr="001713F3">
        <w:rPr>
          <w:rFonts w:ascii="Book Antiqua" w:eastAsia="宋体" w:hAnsi="Book Antiqua" w:cs="宋体"/>
          <w:color w:val="000000"/>
          <w:bdr w:val="none" w:sz="0" w:space="0" w:color="auto"/>
          <w:lang w:eastAsia="zh-CN"/>
        </w:rPr>
        <w:lastRenderedPageBreak/>
        <w:t>histiocytosis. </w:t>
      </w:r>
      <w:r w:rsidRPr="001713F3">
        <w:rPr>
          <w:rFonts w:ascii="Book Antiqua" w:eastAsia="宋体" w:hAnsi="Book Antiqua" w:cs="宋体"/>
          <w:i/>
          <w:iCs/>
          <w:color w:val="000000"/>
          <w:bdr w:val="none" w:sz="0" w:space="0" w:color="auto"/>
          <w:lang w:eastAsia="zh-CN"/>
        </w:rPr>
        <w:t>Pediatr Blood Cancer</w:t>
      </w:r>
      <w:r w:rsidRPr="001713F3">
        <w:rPr>
          <w:rFonts w:ascii="Book Antiqua" w:eastAsia="宋体" w:hAnsi="Book Antiqua" w:cs="宋体"/>
          <w:color w:val="000000"/>
          <w:bdr w:val="none" w:sz="0" w:space="0" w:color="auto"/>
          <w:lang w:eastAsia="zh-CN"/>
        </w:rPr>
        <w:t> 2009; </w:t>
      </w:r>
      <w:r w:rsidRPr="001713F3">
        <w:rPr>
          <w:rFonts w:ascii="Book Antiqua" w:eastAsia="宋体" w:hAnsi="Book Antiqua" w:cs="宋体"/>
          <w:b/>
          <w:bCs/>
          <w:color w:val="000000"/>
          <w:bdr w:val="none" w:sz="0" w:space="0" w:color="auto"/>
          <w:lang w:eastAsia="zh-CN"/>
        </w:rPr>
        <w:t>52</w:t>
      </w:r>
      <w:r w:rsidRPr="001713F3">
        <w:rPr>
          <w:rFonts w:ascii="Book Antiqua" w:eastAsia="宋体" w:hAnsi="Book Antiqua" w:cs="宋体"/>
          <w:color w:val="000000"/>
          <w:bdr w:val="none" w:sz="0" w:space="0" w:color="auto"/>
          <w:lang w:eastAsia="zh-CN"/>
        </w:rPr>
        <w:t>: 97-101 [PMID: 18951435 DOI: 10.1002/pbc.21782]</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10</w:t>
      </w:r>
      <w:r w:rsidR="005015F4">
        <w:rPr>
          <w:rFonts w:ascii="Book Antiqua" w:eastAsia="宋体" w:hAnsi="Book Antiqua" w:cs="宋体" w:hint="eastAsia"/>
          <w:color w:val="000000"/>
          <w:bdr w:val="none" w:sz="0" w:space="0" w:color="auto"/>
          <w:lang w:eastAsia="zh-CN"/>
        </w:rPr>
        <w:t>7</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Kaste SC</w:t>
      </w:r>
      <w:r w:rsidRPr="001713F3">
        <w:rPr>
          <w:rFonts w:ascii="Book Antiqua" w:eastAsia="宋体" w:hAnsi="Book Antiqua" w:cs="宋体"/>
          <w:color w:val="000000"/>
          <w:bdr w:val="none" w:sz="0" w:space="0" w:color="auto"/>
          <w:lang w:eastAsia="zh-CN"/>
        </w:rPr>
        <w:t>, Rodriguez-Galindo C, McCarville ME, Shulkin BL. PET-CT in pediatric Langerhans cell histiocytosis. </w:t>
      </w:r>
      <w:r w:rsidRPr="001713F3">
        <w:rPr>
          <w:rFonts w:ascii="Book Antiqua" w:eastAsia="宋体" w:hAnsi="Book Antiqua" w:cs="宋体"/>
          <w:i/>
          <w:iCs/>
          <w:color w:val="000000"/>
          <w:bdr w:val="none" w:sz="0" w:space="0" w:color="auto"/>
          <w:lang w:eastAsia="zh-CN"/>
        </w:rPr>
        <w:t>Pediatr Radiol</w:t>
      </w:r>
      <w:r w:rsidRPr="001713F3">
        <w:rPr>
          <w:rFonts w:ascii="Book Antiqua" w:eastAsia="宋体" w:hAnsi="Book Antiqua" w:cs="宋体"/>
          <w:color w:val="000000"/>
          <w:bdr w:val="none" w:sz="0" w:space="0" w:color="auto"/>
          <w:lang w:eastAsia="zh-CN"/>
        </w:rPr>
        <w:t> 2007; </w:t>
      </w:r>
      <w:r w:rsidRPr="001713F3">
        <w:rPr>
          <w:rFonts w:ascii="Book Antiqua" w:eastAsia="宋体" w:hAnsi="Book Antiqua" w:cs="宋体"/>
          <w:b/>
          <w:bCs/>
          <w:color w:val="000000"/>
          <w:bdr w:val="none" w:sz="0" w:space="0" w:color="auto"/>
          <w:lang w:eastAsia="zh-CN"/>
        </w:rPr>
        <w:t>37</w:t>
      </w:r>
      <w:r w:rsidRPr="001713F3">
        <w:rPr>
          <w:rFonts w:ascii="Book Antiqua" w:eastAsia="宋体" w:hAnsi="Book Antiqua" w:cs="宋体"/>
          <w:color w:val="000000"/>
          <w:bdr w:val="none" w:sz="0" w:space="0" w:color="auto"/>
          <w:lang w:eastAsia="zh-CN"/>
        </w:rPr>
        <w:t>: 615-622 [PMID: 17564738 DOI: 10.1007/s00247-007-0467-4]</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10</w:t>
      </w:r>
      <w:r w:rsidR="005015F4">
        <w:rPr>
          <w:rFonts w:ascii="Book Antiqua" w:eastAsia="宋体" w:hAnsi="Book Antiqua" w:cs="宋体" w:hint="eastAsia"/>
          <w:color w:val="000000"/>
          <w:bdr w:val="none" w:sz="0" w:space="0" w:color="auto"/>
          <w:lang w:eastAsia="zh-CN"/>
        </w:rPr>
        <w:t>8</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Blum R</w:t>
      </w:r>
      <w:r w:rsidRPr="001713F3">
        <w:rPr>
          <w:rFonts w:ascii="Book Antiqua" w:eastAsia="宋体" w:hAnsi="Book Antiqua" w:cs="宋体"/>
          <w:color w:val="000000"/>
          <w:bdr w:val="none" w:sz="0" w:space="0" w:color="auto"/>
          <w:lang w:eastAsia="zh-CN"/>
        </w:rPr>
        <w:t>, Seymour JF, Hicks RJ.</w:t>
      </w:r>
      <w:proofErr w:type="gramEnd"/>
      <w:r w:rsidRPr="001713F3">
        <w:rPr>
          <w:rFonts w:ascii="Book Antiqua" w:eastAsia="宋体" w:hAnsi="Book Antiqua" w:cs="宋体"/>
          <w:color w:val="000000"/>
          <w:bdr w:val="none" w:sz="0" w:space="0" w:color="auto"/>
          <w:lang w:eastAsia="zh-CN"/>
        </w:rPr>
        <w:t xml:space="preserve"> </w:t>
      </w:r>
      <w:proofErr w:type="gramStart"/>
      <w:r w:rsidRPr="001713F3">
        <w:rPr>
          <w:rFonts w:ascii="Book Antiqua" w:eastAsia="宋体" w:hAnsi="Book Antiqua" w:cs="宋体"/>
          <w:color w:val="000000"/>
          <w:bdr w:val="none" w:sz="0" w:space="0" w:color="auto"/>
          <w:lang w:eastAsia="zh-CN"/>
        </w:rPr>
        <w:t>Role of 18FDG-positron emission tomography scanning in the management of histiocytosis.</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Leuk Lymphoma</w:t>
      </w:r>
      <w:r w:rsidRPr="001713F3">
        <w:rPr>
          <w:rFonts w:ascii="Book Antiqua" w:eastAsia="宋体" w:hAnsi="Book Antiqua" w:cs="宋体"/>
          <w:color w:val="000000"/>
          <w:bdr w:val="none" w:sz="0" w:space="0" w:color="auto"/>
          <w:lang w:eastAsia="zh-CN"/>
        </w:rPr>
        <w:t> 2002; </w:t>
      </w:r>
      <w:r w:rsidRPr="001713F3">
        <w:rPr>
          <w:rFonts w:ascii="Book Antiqua" w:eastAsia="宋体" w:hAnsi="Book Antiqua" w:cs="宋体"/>
          <w:b/>
          <w:bCs/>
          <w:color w:val="000000"/>
          <w:bdr w:val="none" w:sz="0" w:space="0" w:color="auto"/>
          <w:lang w:eastAsia="zh-CN"/>
        </w:rPr>
        <w:t>43</w:t>
      </w:r>
      <w:r w:rsidRPr="001713F3">
        <w:rPr>
          <w:rFonts w:ascii="Book Antiqua" w:eastAsia="宋体" w:hAnsi="Book Antiqua" w:cs="宋体"/>
          <w:color w:val="000000"/>
          <w:bdr w:val="none" w:sz="0" w:space="0" w:color="auto"/>
          <w:lang w:eastAsia="zh-CN"/>
        </w:rPr>
        <w:t>: 2155-2157 [PMID: 12533041 DOI: 10.1080/1042819021000032908]</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1</w:t>
      </w:r>
      <w:r w:rsidR="005015F4">
        <w:rPr>
          <w:rFonts w:ascii="Book Antiqua" w:eastAsia="宋体" w:hAnsi="Book Antiqua" w:cs="宋体" w:hint="eastAsia"/>
          <w:color w:val="000000"/>
          <w:bdr w:val="none" w:sz="0" w:space="0" w:color="auto"/>
          <w:lang w:eastAsia="zh-CN"/>
        </w:rPr>
        <w:t>09</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Binkovitz LA</w:t>
      </w:r>
      <w:r w:rsidRPr="001713F3">
        <w:rPr>
          <w:rFonts w:ascii="Book Antiqua" w:eastAsia="宋体" w:hAnsi="Book Antiqua" w:cs="宋体"/>
          <w:color w:val="000000"/>
          <w:bdr w:val="none" w:sz="0" w:space="0" w:color="auto"/>
          <w:lang w:eastAsia="zh-CN"/>
        </w:rPr>
        <w:t>, Olshefski RS, Adler BH.</w:t>
      </w:r>
      <w:proofErr w:type="gramEnd"/>
      <w:r w:rsidRPr="001713F3">
        <w:rPr>
          <w:rFonts w:ascii="Book Antiqua" w:eastAsia="宋体" w:hAnsi="Book Antiqua" w:cs="宋体"/>
          <w:color w:val="000000"/>
          <w:bdr w:val="none" w:sz="0" w:space="0" w:color="auto"/>
          <w:lang w:eastAsia="zh-CN"/>
        </w:rPr>
        <w:t xml:space="preserve"> Coincidence FDG-PET in the evaluation of Langerhans' cell histiocytosis: preliminary findings. </w:t>
      </w:r>
      <w:r w:rsidRPr="001713F3">
        <w:rPr>
          <w:rFonts w:ascii="Book Antiqua" w:eastAsia="宋体" w:hAnsi="Book Antiqua" w:cs="宋体"/>
          <w:i/>
          <w:iCs/>
          <w:color w:val="000000"/>
          <w:bdr w:val="none" w:sz="0" w:space="0" w:color="auto"/>
          <w:lang w:eastAsia="zh-CN"/>
        </w:rPr>
        <w:t>Pediatr Radiol</w:t>
      </w:r>
      <w:r w:rsidRPr="001713F3">
        <w:rPr>
          <w:rFonts w:ascii="Book Antiqua" w:eastAsia="宋体" w:hAnsi="Book Antiqua" w:cs="宋体"/>
          <w:color w:val="000000"/>
          <w:bdr w:val="none" w:sz="0" w:space="0" w:color="auto"/>
          <w:lang w:eastAsia="zh-CN"/>
        </w:rPr>
        <w:t> 2003; </w:t>
      </w:r>
      <w:r w:rsidRPr="001713F3">
        <w:rPr>
          <w:rFonts w:ascii="Book Antiqua" w:eastAsia="宋体" w:hAnsi="Book Antiqua" w:cs="宋体"/>
          <w:b/>
          <w:bCs/>
          <w:color w:val="000000"/>
          <w:bdr w:val="none" w:sz="0" w:space="0" w:color="auto"/>
          <w:lang w:eastAsia="zh-CN"/>
        </w:rPr>
        <w:t>33</w:t>
      </w:r>
      <w:r w:rsidRPr="001713F3">
        <w:rPr>
          <w:rFonts w:ascii="Book Antiqua" w:eastAsia="宋体" w:hAnsi="Book Antiqua" w:cs="宋体"/>
          <w:color w:val="000000"/>
          <w:bdr w:val="none" w:sz="0" w:space="0" w:color="auto"/>
          <w:lang w:eastAsia="zh-CN"/>
        </w:rPr>
        <w:t>: 598-602 [PMID: 12879314 DOI: 10.1007/s00247-003-0943-4]</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11</w:t>
      </w:r>
      <w:r w:rsidR="005015F4">
        <w:rPr>
          <w:rFonts w:ascii="Book Antiqua" w:eastAsia="宋体" w:hAnsi="Book Antiqua" w:cs="宋体" w:hint="eastAsia"/>
          <w:color w:val="000000"/>
          <w:bdr w:val="none" w:sz="0" w:space="0" w:color="auto"/>
          <w:lang w:eastAsia="zh-CN"/>
        </w:rPr>
        <w:t>0</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Lee HJ</w:t>
      </w:r>
      <w:r w:rsidRPr="001713F3">
        <w:rPr>
          <w:rFonts w:ascii="Book Antiqua" w:eastAsia="宋体" w:hAnsi="Book Antiqua" w:cs="宋体"/>
          <w:color w:val="000000"/>
          <w:bdr w:val="none" w:sz="0" w:space="0" w:color="auto"/>
          <w:lang w:eastAsia="zh-CN"/>
        </w:rPr>
        <w:t>, Ahn BC, Lee SW, Lee J.</w:t>
      </w:r>
      <w:proofErr w:type="gramEnd"/>
      <w:r w:rsidRPr="001713F3">
        <w:rPr>
          <w:rFonts w:ascii="Book Antiqua" w:eastAsia="宋体" w:hAnsi="Book Antiqua" w:cs="宋体"/>
          <w:color w:val="000000"/>
          <w:bdr w:val="none" w:sz="0" w:space="0" w:color="auto"/>
          <w:lang w:eastAsia="zh-CN"/>
        </w:rPr>
        <w:t xml:space="preserve"> </w:t>
      </w:r>
      <w:proofErr w:type="gramStart"/>
      <w:r w:rsidRPr="001713F3">
        <w:rPr>
          <w:rFonts w:ascii="Book Antiqua" w:eastAsia="宋体" w:hAnsi="Book Antiqua" w:cs="宋体"/>
          <w:color w:val="000000"/>
          <w:bdr w:val="none" w:sz="0" w:space="0" w:color="auto"/>
          <w:lang w:eastAsia="zh-CN"/>
        </w:rPr>
        <w:t>The usefulness of F-18 fluorodeoxyglucose positron emission tomography/computed tomography in patients with Langerhans cell histiocytosis.</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Ann Nucl Med</w:t>
      </w:r>
      <w:r w:rsidRPr="001713F3">
        <w:rPr>
          <w:rFonts w:ascii="Book Antiqua" w:eastAsia="宋体" w:hAnsi="Book Antiqua" w:cs="宋体"/>
          <w:color w:val="000000"/>
          <w:bdr w:val="none" w:sz="0" w:space="0" w:color="auto"/>
          <w:lang w:eastAsia="zh-CN"/>
        </w:rPr>
        <w:t> 2012; </w:t>
      </w:r>
      <w:r w:rsidRPr="001713F3">
        <w:rPr>
          <w:rFonts w:ascii="Book Antiqua" w:eastAsia="宋体" w:hAnsi="Book Antiqua" w:cs="宋体"/>
          <w:b/>
          <w:bCs/>
          <w:color w:val="000000"/>
          <w:bdr w:val="none" w:sz="0" w:space="0" w:color="auto"/>
          <w:lang w:eastAsia="zh-CN"/>
        </w:rPr>
        <w:t>26</w:t>
      </w:r>
      <w:r w:rsidRPr="001713F3">
        <w:rPr>
          <w:rFonts w:ascii="Book Antiqua" w:eastAsia="宋体" w:hAnsi="Book Antiqua" w:cs="宋体"/>
          <w:color w:val="000000"/>
          <w:bdr w:val="none" w:sz="0" w:space="0" w:color="auto"/>
          <w:lang w:eastAsia="zh-CN"/>
        </w:rPr>
        <w:t>: 730-737 [PMID: 22797842 DOI: 10.1007/s12149-012-0635-y]</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11</w:t>
      </w:r>
      <w:r w:rsidR="005015F4">
        <w:rPr>
          <w:rFonts w:ascii="Book Antiqua" w:eastAsia="宋体" w:hAnsi="Book Antiqua" w:cs="宋体" w:hint="eastAsia"/>
          <w:color w:val="000000"/>
          <w:bdr w:val="none" w:sz="0" w:space="0" w:color="auto"/>
          <w:lang w:eastAsia="zh-CN"/>
        </w:rPr>
        <w:t>1</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Mueller WP</w:t>
      </w:r>
      <w:r w:rsidRPr="001713F3">
        <w:rPr>
          <w:rFonts w:ascii="Book Antiqua" w:eastAsia="宋体" w:hAnsi="Book Antiqua" w:cs="宋体"/>
          <w:color w:val="000000"/>
          <w:bdr w:val="none" w:sz="0" w:space="0" w:color="auto"/>
          <w:lang w:eastAsia="zh-CN"/>
        </w:rPr>
        <w:t xml:space="preserve">, Melzer HI, Schmid I, Coppenrath E, Bartenstein P, Pfluger T. </w:t>
      </w:r>
      <w:proofErr w:type="gramStart"/>
      <w:r w:rsidRPr="001713F3">
        <w:rPr>
          <w:rFonts w:ascii="Book Antiqua" w:eastAsia="宋体" w:hAnsi="Book Antiqua" w:cs="宋体"/>
          <w:color w:val="000000"/>
          <w:bdr w:val="none" w:sz="0" w:space="0" w:color="auto"/>
          <w:lang w:eastAsia="zh-CN"/>
        </w:rPr>
        <w:t>The diagnostic value of 18F-FDG PET and MRI in paediatric histiocytosis.</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2013; </w:t>
      </w:r>
      <w:r w:rsidRPr="001713F3">
        <w:rPr>
          <w:rFonts w:ascii="Book Antiqua" w:eastAsia="宋体" w:hAnsi="Book Antiqua" w:cs="宋体"/>
          <w:b/>
          <w:bCs/>
          <w:color w:val="000000"/>
          <w:bdr w:val="none" w:sz="0" w:space="0" w:color="auto"/>
          <w:lang w:eastAsia="zh-CN"/>
        </w:rPr>
        <w:t>40</w:t>
      </w:r>
      <w:r w:rsidRPr="001713F3">
        <w:rPr>
          <w:rFonts w:ascii="Book Antiqua" w:eastAsia="宋体" w:hAnsi="Book Antiqua" w:cs="宋体"/>
          <w:color w:val="000000"/>
          <w:bdr w:val="none" w:sz="0" w:space="0" w:color="auto"/>
          <w:lang w:eastAsia="zh-CN"/>
        </w:rPr>
        <w:t>: 356-363 [PMID: 23096080 DOI: 10.1007/s00259-012-2278-6]</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11</w:t>
      </w:r>
      <w:r w:rsidR="005015F4">
        <w:rPr>
          <w:rFonts w:ascii="Book Antiqua" w:eastAsia="宋体" w:hAnsi="Book Antiqua" w:cs="宋体" w:hint="eastAsia"/>
          <w:color w:val="000000"/>
          <w:bdr w:val="none" w:sz="0" w:space="0" w:color="auto"/>
          <w:lang w:eastAsia="zh-CN"/>
        </w:rPr>
        <w:t xml:space="preserve">2 </w:t>
      </w:r>
      <w:r w:rsidRPr="001713F3">
        <w:rPr>
          <w:rFonts w:ascii="Book Antiqua" w:eastAsia="宋体" w:hAnsi="Book Antiqua" w:cs="宋体"/>
          <w:b/>
          <w:bCs/>
          <w:color w:val="000000"/>
          <w:bdr w:val="none" w:sz="0" w:space="0" w:color="auto"/>
          <w:lang w:eastAsia="zh-CN"/>
        </w:rPr>
        <w:t>Kaste SC</w:t>
      </w:r>
      <w:r w:rsidRPr="001713F3">
        <w:rPr>
          <w:rFonts w:ascii="Book Antiqua" w:eastAsia="宋体" w:hAnsi="Book Antiqua" w:cs="宋体"/>
          <w:color w:val="000000"/>
          <w:bdr w:val="none" w:sz="0" w:space="0" w:color="auto"/>
          <w:lang w:eastAsia="zh-CN"/>
        </w:rPr>
        <w:t>. Issues specific to implementing PET-CT for pediatric oncology: what we have learned along the way. </w:t>
      </w:r>
      <w:r w:rsidRPr="001713F3">
        <w:rPr>
          <w:rFonts w:ascii="Book Antiqua" w:eastAsia="宋体" w:hAnsi="Book Antiqua" w:cs="宋体"/>
          <w:i/>
          <w:iCs/>
          <w:color w:val="000000"/>
          <w:bdr w:val="none" w:sz="0" w:space="0" w:color="auto"/>
          <w:lang w:eastAsia="zh-CN"/>
        </w:rPr>
        <w:t>Pediatr Radiol</w:t>
      </w:r>
      <w:r w:rsidRPr="001713F3">
        <w:rPr>
          <w:rFonts w:ascii="Book Antiqua" w:eastAsia="宋体" w:hAnsi="Book Antiqua" w:cs="宋体"/>
          <w:color w:val="000000"/>
          <w:bdr w:val="none" w:sz="0" w:space="0" w:color="auto"/>
          <w:lang w:eastAsia="zh-CN"/>
        </w:rPr>
        <w:t> 2004; </w:t>
      </w:r>
      <w:r w:rsidRPr="001713F3">
        <w:rPr>
          <w:rFonts w:ascii="Book Antiqua" w:eastAsia="宋体" w:hAnsi="Book Antiqua" w:cs="宋体"/>
          <w:b/>
          <w:bCs/>
          <w:color w:val="000000"/>
          <w:bdr w:val="none" w:sz="0" w:space="0" w:color="auto"/>
          <w:lang w:eastAsia="zh-CN"/>
        </w:rPr>
        <w:t>34</w:t>
      </w:r>
      <w:r w:rsidRPr="001713F3">
        <w:rPr>
          <w:rFonts w:ascii="Book Antiqua" w:eastAsia="宋体" w:hAnsi="Book Antiqua" w:cs="宋体"/>
          <w:color w:val="000000"/>
          <w:bdr w:val="none" w:sz="0" w:space="0" w:color="auto"/>
          <w:lang w:eastAsia="zh-CN"/>
        </w:rPr>
        <w:t>: 205-213 [PMID: 14745525 DOI: 10.1007/s00247-003-1111-6]</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11</w:t>
      </w:r>
      <w:r w:rsidR="005015F4">
        <w:rPr>
          <w:rFonts w:ascii="Book Antiqua" w:eastAsia="宋体" w:hAnsi="Book Antiqua" w:cs="宋体" w:hint="eastAsia"/>
          <w:color w:val="000000"/>
          <w:bdr w:val="none" w:sz="0" w:space="0" w:color="auto"/>
          <w:lang w:eastAsia="zh-CN"/>
        </w:rPr>
        <w:t>3</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Roberts EG</w:t>
      </w:r>
      <w:r w:rsidRPr="001713F3">
        <w:rPr>
          <w:rFonts w:ascii="Book Antiqua" w:eastAsia="宋体" w:hAnsi="Book Antiqua" w:cs="宋体"/>
          <w:color w:val="000000"/>
          <w:bdr w:val="none" w:sz="0" w:space="0" w:color="auto"/>
          <w:lang w:eastAsia="zh-CN"/>
        </w:rPr>
        <w:t>, Shulkin BL. Technical issues in performing PET studies in pediatric patients. </w:t>
      </w:r>
      <w:r w:rsidRPr="001713F3">
        <w:rPr>
          <w:rFonts w:ascii="Book Antiqua" w:eastAsia="宋体" w:hAnsi="Book Antiqua" w:cs="宋体"/>
          <w:i/>
          <w:iCs/>
          <w:color w:val="000000"/>
          <w:bdr w:val="none" w:sz="0" w:space="0" w:color="auto"/>
          <w:lang w:eastAsia="zh-CN"/>
        </w:rPr>
        <w:t>J Nucl Med Technol</w:t>
      </w:r>
      <w:r w:rsidRPr="001713F3">
        <w:rPr>
          <w:rFonts w:ascii="Book Antiqua" w:eastAsia="宋体" w:hAnsi="Book Antiqua" w:cs="宋体"/>
          <w:color w:val="000000"/>
          <w:bdr w:val="none" w:sz="0" w:space="0" w:color="auto"/>
          <w:lang w:eastAsia="zh-CN"/>
        </w:rPr>
        <w:t> 2004; </w:t>
      </w:r>
      <w:r w:rsidRPr="001713F3">
        <w:rPr>
          <w:rFonts w:ascii="Book Antiqua" w:eastAsia="宋体" w:hAnsi="Book Antiqua" w:cs="宋体"/>
          <w:b/>
          <w:bCs/>
          <w:color w:val="000000"/>
          <w:bdr w:val="none" w:sz="0" w:space="0" w:color="auto"/>
          <w:lang w:eastAsia="zh-CN"/>
        </w:rPr>
        <w:t>32</w:t>
      </w:r>
      <w:r w:rsidRPr="001713F3">
        <w:rPr>
          <w:rFonts w:ascii="Book Antiqua" w:eastAsia="宋体" w:hAnsi="Book Antiqua" w:cs="宋体"/>
          <w:color w:val="000000"/>
          <w:bdr w:val="none" w:sz="0" w:space="0" w:color="auto"/>
          <w:lang w:eastAsia="zh-CN"/>
        </w:rPr>
        <w:t>: 5-9; quiz 10-1 [PMID: 14990667]</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11</w:t>
      </w:r>
      <w:r w:rsidR="005015F4">
        <w:rPr>
          <w:rFonts w:ascii="Book Antiqua" w:eastAsia="宋体" w:hAnsi="Book Antiqua" w:cs="宋体" w:hint="eastAsia"/>
          <w:color w:val="000000"/>
          <w:bdr w:val="none" w:sz="0" w:space="0" w:color="auto"/>
          <w:lang w:eastAsia="zh-CN"/>
        </w:rPr>
        <w:t>4</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Franzius C</w:t>
      </w:r>
      <w:r w:rsidRPr="001713F3">
        <w:rPr>
          <w:rFonts w:ascii="Book Antiqua" w:eastAsia="宋体" w:hAnsi="Book Antiqua" w:cs="宋体"/>
          <w:color w:val="000000"/>
          <w:bdr w:val="none" w:sz="0" w:space="0" w:color="auto"/>
          <w:lang w:eastAsia="zh-CN"/>
        </w:rPr>
        <w:t xml:space="preserve">, Juergens KU, Schober O. Is PET/CT necessary in paediatric oncology? </w:t>
      </w:r>
      <w:proofErr w:type="gramStart"/>
      <w:r w:rsidRPr="001713F3">
        <w:rPr>
          <w:rFonts w:ascii="Book Antiqua" w:eastAsia="宋体" w:hAnsi="Book Antiqua" w:cs="宋体"/>
          <w:color w:val="000000"/>
          <w:bdr w:val="none" w:sz="0" w:space="0" w:color="auto"/>
          <w:lang w:eastAsia="zh-CN"/>
        </w:rPr>
        <w:t>For.</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2006; </w:t>
      </w:r>
      <w:r w:rsidRPr="001713F3">
        <w:rPr>
          <w:rFonts w:ascii="Book Antiqua" w:eastAsia="宋体" w:hAnsi="Book Antiqua" w:cs="宋体"/>
          <w:b/>
          <w:bCs/>
          <w:color w:val="000000"/>
          <w:bdr w:val="none" w:sz="0" w:space="0" w:color="auto"/>
          <w:lang w:eastAsia="zh-CN"/>
        </w:rPr>
        <w:t>33</w:t>
      </w:r>
      <w:r w:rsidRPr="001713F3">
        <w:rPr>
          <w:rFonts w:ascii="Book Antiqua" w:eastAsia="宋体" w:hAnsi="Book Antiqua" w:cs="宋体"/>
          <w:color w:val="000000"/>
          <w:bdr w:val="none" w:sz="0" w:space="0" w:color="auto"/>
          <w:lang w:eastAsia="zh-CN"/>
        </w:rPr>
        <w:t>: 960-965 [PMID: 16830120]</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11</w:t>
      </w:r>
      <w:r w:rsidR="005015F4">
        <w:rPr>
          <w:rFonts w:ascii="Book Antiqua" w:eastAsia="宋体" w:hAnsi="Book Antiqua" w:cs="宋体" w:hint="eastAsia"/>
          <w:color w:val="000000"/>
          <w:bdr w:val="none" w:sz="0" w:space="0" w:color="auto"/>
          <w:lang w:eastAsia="zh-CN"/>
        </w:rPr>
        <w:t>5</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Sanborn PA</w:t>
      </w:r>
      <w:r w:rsidRPr="001713F3">
        <w:rPr>
          <w:rFonts w:ascii="Book Antiqua" w:eastAsia="宋体" w:hAnsi="Book Antiqua" w:cs="宋体"/>
          <w:color w:val="000000"/>
          <w:bdr w:val="none" w:sz="0" w:space="0" w:color="auto"/>
          <w:lang w:eastAsia="zh-CN"/>
        </w:rPr>
        <w:t xml:space="preserve">, Michna E, Zurakowski D, Burrows PE, Fontaine PJ, Connor L, Mason KP. </w:t>
      </w:r>
      <w:proofErr w:type="gramStart"/>
      <w:r w:rsidRPr="001713F3">
        <w:rPr>
          <w:rFonts w:ascii="Book Antiqua" w:eastAsia="宋体" w:hAnsi="Book Antiqua" w:cs="宋体"/>
          <w:color w:val="000000"/>
          <w:bdr w:val="none" w:sz="0" w:space="0" w:color="auto"/>
          <w:lang w:eastAsia="zh-CN"/>
        </w:rPr>
        <w:t>Adverse cardiovascular and respiratory events during sedation of pediatric patients for imaging examinations.</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Radiology</w:t>
      </w:r>
      <w:r w:rsidRPr="001713F3">
        <w:rPr>
          <w:rFonts w:ascii="Book Antiqua" w:eastAsia="宋体" w:hAnsi="Book Antiqua" w:cs="宋体"/>
          <w:color w:val="000000"/>
          <w:bdr w:val="none" w:sz="0" w:space="0" w:color="auto"/>
          <w:lang w:eastAsia="zh-CN"/>
        </w:rPr>
        <w:t> 2005; </w:t>
      </w:r>
      <w:r w:rsidRPr="001713F3">
        <w:rPr>
          <w:rFonts w:ascii="Book Antiqua" w:eastAsia="宋体" w:hAnsi="Book Antiqua" w:cs="宋体"/>
          <w:b/>
          <w:bCs/>
          <w:color w:val="000000"/>
          <w:bdr w:val="none" w:sz="0" w:space="0" w:color="auto"/>
          <w:lang w:eastAsia="zh-CN"/>
        </w:rPr>
        <w:t>237</w:t>
      </w:r>
      <w:r w:rsidRPr="001713F3">
        <w:rPr>
          <w:rFonts w:ascii="Book Antiqua" w:eastAsia="宋体" w:hAnsi="Book Antiqua" w:cs="宋体"/>
          <w:color w:val="000000"/>
          <w:bdr w:val="none" w:sz="0" w:space="0" w:color="auto"/>
          <w:lang w:eastAsia="zh-CN"/>
        </w:rPr>
        <w:t>: 288-294 [PMID: 16183936 DOI: 10.1148/radiol.2371041415]</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11</w:t>
      </w:r>
      <w:r w:rsidR="005015F4">
        <w:rPr>
          <w:rFonts w:ascii="Book Antiqua" w:eastAsia="宋体" w:hAnsi="Book Antiqua" w:cs="宋体" w:hint="eastAsia"/>
          <w:color w:val="000000"/>
          <w:bdr w:val="none" w:sz="0" w:space="0" w:color="auto"/>
          <w:lang w:eastAsia="zh-CN"/>
        </w:rPr>
        <w:t>6</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Weiss S</w:t>
      </w:r>
      <w:r w:rsidRPr="001713F3">
        <w:rPr>
          <w:rFonts w:ascii="Book Antiqua" w:eastAsia="宋体" w:hAnsi="Book Antiqua" w:cs="宋体"/>
          <w:color w:val="000000"/>
          <w:bdr w:val="none" w:sz="0" w:space="0" w:color="auto"/>
          <w:lang w:eastAsia="zh-CN"/>
        </w:rPr>
        <w:t>. Sedation of pediatric patients for nuclear medicine procedures.</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Semin Nucl Med</w:t>
      </w:r>
      <w:r w:rsidRPr="001713F3">
        <w:rPr>
          <w:rFonts w:ascii="Book Antiqua" w:eastAsia="宋体" w:hAnsi="Book Antiqua" w:cs="宋体"/>
          <w:color w:val="000000"/>
          <w:bdr w:val="none" w:sz="0" w:space="0" w:color="auto"/>
          <w:lang w:eastAsia="zh-CN"/>
        </w:rPr>
        <w:t> 1993; </w:t>
      </w:r>
      <w:r w:rsidRPr="001713F3">
        <w:rPr>
          <w:rFonts w:ascii="Book Antiqua" w:eastAsia="宋体" w:hAnsi="Book Antiqua" w:cs="宋体"/>
          <w:b/>
          <w:bCs/>
          <w:color w:val="000000"/>
          <w:bdr w:val="none" w:sz="0" w:space="0" w:color="auto"/>
          <w:lang w:eastAsia="zh-CN"/>
        </w:rPr>
        <w:t>23</w:t>
      </w:r>
      <w:r w:rsidRPr="001713F3">
        <w:rPr>
          <w:rFonts w:ascii="Book Antiqua" w:eastAsia="宋体" w:hAnsi="Book Antiqua" w:cs="宋体"/>
          <w:color w:val="000000"/>
          <w:bdr w:val="none" w:sz="0" w:space="0" w:color="auto"/>
          <w:lang w:eastAsia="zh-CN"/>
        </w:rPr>
        <w:t>: 190-198 [PMID: 8378793 DOI: 10.1016/S0001-2998(05)80101-1]</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lastRenderedPageBreak/>
        <w:t>11</w:t>
      </w:r>
      <w:r w:rsidR="005015F4">
        <w:rPr>
          <w:rFonts w:ascii="Book Antiqua" w:eastAsia="宋体" w:hAnsi="Book Antiqua" w:cs="宋体" w:hint="eastAsia"/>
          <w:color w:val="000000"/>
          <w:bdr w:val="none" w:sz="0" w:space="0" w:color="auto"/>
          <w:lang w:eastAsia="zh-CN"/>
        </w:rPr>
        <w:t>7</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Pintelon H</w:t>
      </w:r>
      <w:r w:rsidRPr="001713F3">
        <w:rPr>
          <w:rFonts w:ascii="Book Antiqua" w:eastAsia="宋体" w:hAnsi="Book Antiqua" w:cs="宋体"/>
          <w:color w:val="000000"/>
          <w:bdr w:val="none" w:sz="0" w:space="0" w:color="auto"/>
          <w:lang w:eastAsia="zh-CN"/>
        </w:rPr>
        <w:t>, Dejonckheere M, Piepsz A. Pediatric nuclear medicine: a practical approach. </w:t>
      </w:r>
      <w:r w:rsidRPr="001713F3">
        <w:rPr>
          <w:rFonts w:ascii="Book Antiqua" w:eastAsia="宋体" w:hAnsi="Book Antiqua" w:cs="宋体"/>
          <w:i/>
          <w:iCs/>
          <w:color w:val="000000"/>
          <w:bdr w:val="none" w:sz="0" w:space="0" w:color="auto"/>
          <w:lang w:eastAsia="zh-CN"/>
        </w:rPr>
        <w:t>Q J Nucl Med</w:t>
      </w:r>
      <w:r w:rsidRPr="001713F3">
        <w:rPr>
          <w:rFonts w:ascii="Book Antiqua" w:eastAsia="宋体" w:hAnsi="Book Antiqua" w:cs="宋体"/>
          <w:color w:val="000000"/>
          <w:bdr w:val="none" w:sz="0" w:space="0" w:color="auto"/>
          <w:lang w:eastAsia="zh-CN"/>
        </w:rPr>
        <w:t> 1997; </w:t>
      </w:r>
      <w:r w:rsidRPr="001713F3">
        <w:rPr>
          <w:rFonts w:ascii="Book Antiqua" w:eastAsia="宋体" w:hAnsi="Book Antiqua" w:cs="宋体"/>
          <w:b/>
          <w:bCs/>
          <w:color w:val="000000"/>
          <w:bdr w:val="none" w:sz="0" w:space="0" w:color="auto"/>
          <w:lang w:eastAsia="zh-CN"/>
        </w:rPr>
        <w:t>41</w:t>
      </w:r>
      <w:r w:rsidRPr="001713F3">
        <w:rPr>
          <w:rFonts w:ascii="Book Antiqua" w:eastAsia="宋体" w:hAnsi="Book Antiqua" w:cs="宋体"/>
          <w:color w:val="000000"/>
          <w:bdr w:val="none" w:sz="0" w:space="0" w:color="auto"/>
          <w:lang w:eastAsia="zh-CN"/>
        </w:rPr>
        <w:t>: 263-268 [PMID: 9542417]</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11</w:t>
      </w:r>
      <w:r w:rsidR="005015F4">
        <w:rPr>
          <w:rFonts w:ascii="Book Antiqua" w:eastAsia="宋体" w:hAnsi="Book Antiqua" w:cs="宋体" w:hint="eastAsia"/>
          <w:color w:val="000000"/>
          <w:bdr w:val="none" w:sz="0" w:space="0" w:color="auto"/>
          <w:lang w:eastAsia="zh-CN"/>
        </w:rPr>
        <w:t>8</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Hany TF</w:t>
      </w:r>
      <w:r w:rsidRPr="001713F3">
        <w:rPr>
          <w:rFonts w:ascii="Book Antiqua" w:eastAsia="宋体" w:hAnsi="Book Antiqua" w:cs="宋体"/>
          <w:color w:val="000000"/>
          <w:bdr w:val="none" w:sz="0" w:space="0" w:color="auto"/>
          <w:lang w:eastAsia="zh-CN"/>
        </w:rPr>
        <w:t>, Gharehpapagh E, Kamel EM, Buck A, Himms-Hagen J, von Schulthess GK.</w:t>
      </w:r>
      <w:proofErr w:type="gramEnd"/>
      <w:r w:rsidRPr="001713F3">
        <w:rPr>
          <w:rFonts w:ascii="Book Antiqua" w:eastAsia="宋体" w:hAnsi="Book Antiqua" w:cs="宋体"/>
          <w:color w:val="000000"/>
          <w:bdr w:val="none" w:sz="0" w:space="0" w:color="auto"/>
          <w:lang w:eastAsia="zh-CN"/>
        </w:rPr>
        <w:t xml:space="preserve"> Brown adipose tissue: a factor to consider in symmetrical tracer uptake in the neck and upper chest region.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2002; </w:t>
      </w:r>
      <w:r w:rsidRPr="001713F3">
        <w:rPr>
          <w:rFonts w:ascii="Book Antiqua" w:eastAsia="宋体" w:hAnsi="Book Antiqua" w:cs="宋体"/>
          <w:b/>
          <w:bCs/>
          <w:color w:val="000000"/>
          <w:bdr w:val="none" w:sz="0" w:space="0" w:color="auto"/>
          <w:lang w:eastAsia="zh-CN"/>
        </w:rPr>
        <w:t>29</w:t>
      </w:r>
      <w:r w:rsidRPr="001713F3">
        <w:rPr>
          <w:rFonts w:ascii="Book Antiqua" w:eastAsia="宋体" w:hAnsi="Book Antiqua" w:cs="宋体"/>
          <w:color w:val="000000"/>
          <w:bdr w:val="none" w:sz="0" w:space="0" w:color="auto"/>
          <w:lang w:eastAsia="zh-CN"/>
        </w:rPr>
        <w:t>: 1393-1398 [PMID: 12271425 DOI: 10.1007/s00259-002-0902-6]</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w:t>
      </w:r>
      <w:r w:rsidR="005015F4">
        <w:rPr>
          <w:rFonts w:ascii="Book Antiqua" w:eastAsia="宋体" w:hAnsi="Book Antiqua" w:cs="宋体" w:hint="eastAsia"/>
          <w:color w:val="000000"/>
          <w:bdr w:val="none" w:sz="0" w:space="0" w:color="auto"/>
          <w:lang w:eastAsia="zh-CN"/>
        </w:rPr>
        <w:t>19</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Yeung HW</w:t>
      </w:r>
      <w:r w:rsidRPr="001713F3">
        <w:rPr>
          <w:rFonts w:ascii="Book Antiqua" w:eastAsia="宋体" w:hAnsi="Book Antiqua" w:cs="宋体"/>
          <w:color w:val="000000"/>
          <w:bdr w:val="none" w:sz="0" w:space="0" w:color="auto"/>
          <w:lang w:eastAsia="zh-CN"/>
        </w:rPr>
        <w:t>, Grewal RK, Gonen M, Schöder H, Larson SM. Patterns of (18)F-FDG uptake in adipose tissue and muscle: a potential source of false-positives for PET. </w:t>
      </w:r>
      <w:r w:rsidRPr="001713F3">
        <w:rPr>
          <w:rFonts w:ascii="Book Antiqua" w:eastAsia="宋体" w:hAnsi="Book Antiqua" w:cs="宋体"/>
          <w:i/>
          <w:iCs/>
          <w:color w:val="000000"/>
          <w:bdr w:val="none" w:sz="0" w:space="0" w:color="auto"/>
          <w:lang w:eastAsia="zh-CN"/>
        </w:rPr>
        <w:t>J Nucl Med</w:t>
      </w:r>
      <w:r w:rsidRPr="001713F3">
        <w:rPr>
          <w:rFonts w:ascii="Book Antiqua" w:eastAsia="宋体" w:hAnsi="Book Antiqua" w:cs="宋体"/>
          <w:color w:val="000000"/>
          <w:bdr w:val="none" w:sz="0" w:space="0" w:color="auto"/>
          <w:lang w:eastAsia="zh-CN"/>
        </w:rPr>
        <w:t> 2003; </w:t>
      </w:r>
      <w:r w:rsidRPr="001713F3">
        <w:rPr>
          <w:rFonts w:ascii="Book Antiqua" w:eastAsia="宋体" w:hAnsi="Book Antiqua" w:cs="宋体"/>
          <w:b/>
          <w:bCs/>
          <w:color w:val="000000"/>
          <w:bdr w:val="none" w:sz="0" w:space="0" w:color="auto"/>
          <w:lang w:eastAsia="zh-CN"/>
        </w:rPr>
        <w:t>44</w:t>
      </w:r>
      <w:r w:rsidRPr="001713F3">
        <w:rPr>
          <w:rFonts w:ascii="Book Antiqua" w:eastAsia="宋体" w:hAnsi="Book Antiqua" w:cs="宋体"/>
          <w:color w:val="000000"/>
          <w:bdr w:val="none" w:sz="0" w:space="0" w:color="auto"/>
          <w:lang w:eastAsia="zh-CN"/>
        </w:rPr>
        <w:t>: 1789-1796 [PMID: 14602861]</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12</w:t>
      </w:r>
      <w:r w:rsidR="005015F4">
        <w:rPr>
          <w:rFonts w:ascii="Book Antiqua" w:eastAsia="宋体" w:hAnsi="Book Antiqua" w:cs="宋体" w:hint="eastAsia"/>
          <w:color w:val="000000"/>
          <w:bdr w:val="none" w:sz="0" w:space="0" w:color="auto"/>
          <w:lang w:eastAsia="zh-CN"/>
        </w:rPr>
        <w:t>0</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Brink I</w:t>
      </w:r>
      <w:r w:rsidRPr="001713F3">
        <w:rPr>
          <w:rFonts w:ascii="Book Antiqua" w:eastAsia="宋体" w:hAnsi="Book Antiqua" w:cs="宋体"/>
          <w:color w:val="000000"/>
          <w:bdr w:val="none" w:sz="0" w:space="0" w:color="auto"/>
          <w:lang w:eastAsia="zh-CN"/>
        </w:rPr>
        <w:t>, Reinhardt MJ, Hoegerle S, Altehoefer C, Moser E, Nitzsche EU. Increased metabolic activity in the thymus gland studied with 18F-FDG PET: age dependency and frequency after chemotherapy. </w:t>
      </w:r>
      <w:r w:rsidRPr="001713F3">
        <w:rPr>
          <w:rFonts w:ascii="Book Antiqua" w:eastAsia="宋体" w:hAnsi="Book Antiqua" w:cs="宋体"/>
          <w:i/>
          <w:iCs/>
          <w:color w:val="000000"/>
          <w:bdr w:val="none" w:sz="0" w:space="0" w:color="auto"/>
          <w:lang w:eastAsia="zh-CN"/>
        </w:rPr>
        <w:t>J Nucl Med</w:t>
      </w:r>
      <w:r w:rsidRPr="001713F3">
        <w:rPr>
          <w:rFonts w:ascii="Book Antiqua" w:eastAsia="宋体" w:hAnsi="Book Antiqua" w:cs="宋体"/>
          <w:color w:val="000000"/>
          <w:bdr w:val="none" w:sz="0" w:space="0" w:color="auto"/>
          <w:lang w:eastAsia="zh-CN"/>
        </w:rPr>
        <w:t> 2001; </w:t>
      </w:r>
      <w:r w:rsidRPr="001713F3">
        <w:rPr>
          <w:rFonts w:ascii="Book Antiqua" w:eastAsia="宋体" w:hAnsi="Book Antiqua" w:cs="宋体"/>
          <w:b/>
          <w:bCs/>
          <w:color w:val="000000"/>
          <w:bdr w:val="none" w:sz="0" w:space="0" w:color="auto"/>
          <w:lang w:eastAsia="zh-CN"/>
        </w:rPr>
        <w:t>42</w:t>
      </w:r>
      <w:r w:rsidRPr="001713F3">
        <w:rPr>
          <w:rFonts w:ascii="Book Antiqua" w:eastAsia="宋体" w:hAnsi="Book Antiqua" w:cs="宋体"/>
          <w:color w:val="000000"/>
          <w:bdr w:val="none" w:sz="0" w:space="0" w:color="auto"/>
          <w:lang w:eastAsia="zh-CN"/>
        </w:rPr>
        <w:t>: 591-595 [PMID: 11337547]</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12</w:t>
      </w:r>
      <w:r w:rsidR="005015F4">
        <w:rPr>
          <w:rFonts w:ascii="Book Antiqua" w:eastAsia="宋体" w:hAnsi="Book Antiqua" w:cs="宋体" w:hint="eastAsia"/>
          <w:color w:val="000000"/>
          <w:bdr w:val="none" w:sz="0" w:space="0" w:color="auto"/>
          <w:lang w:eastAsia="zh-CN"/>
        </w:rPr>
        <w:t>1</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London K</w:t>
      </w:r>
      <w:r w:rsidRPr="001713F3">
        <w:rPr>
          <w:rFonts w:ascii="Book Antiqua" w:eastAsia="宋体" w:hAnsi="Book Antiqua" w:cs="宋体"/>
          <w:color w:val="000000"/>
          <w:bdr w:val="none" w:sz="0" w:space="0" w:color="auto"/>
          <w:lang w:eastAsia="zh-CN"/>
        </w:rPr>
        <w:t>, Howman-Giles R. Normal cerebral FDG uptake during childhood.</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2014; </w:t>
      </w:r>
      <w:r w:rsidRPr="001713F3">
        <w:rPr>
          <w:rFonts w:ascii="Book Antiqua" w:eastAsia="宋体" w:hAnsi="Book Antiqua" w:cs="宋体"/>
          <w:b/>
          <w:bCs/>
          <w:color w:val="000000"/>
          <w:bdr w:val="none" w:sz="0" w:space="0" w:color="auto"/>
          <w:lang w:eastAsia="zh-CN"/>
        </w:rPr>
        <w:t>41</w:t>
      </w:r>
      <w:r w:rsidRPr="001713F3">
        <w:rPr>
          <w:rFonts w:ascii="Book Antiqua" w:eastAsia="宋体" w:hAnsi="Book Antiqua" w:cs="宋体"/>
          <w:color w:val="000000"/>
          <w:bdr w:val="none" w:sz="0" w:space="0" w:color="auto"/>
          <w:lang w:eastAsia="zh-CN"/>
        </w:rPr>
        <w:t>: 723-735 [PMID: 24323306 DOI: 10.1007/s00259-013-2639-9]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12</w:t>
      </w:r>
      <w:r w:rsidR="005015F4">
        <w:rPr>
          <w:rFonts w:ascii="Book Antiqua" w:eastAsia="宋体" w:hAnsi="Book Antiqua" w:cs="宋体" w:hint="eastAsia"/>
          <w:color w:val="000000"/>
          <w:bdr w:val="none" w:sz="0" w:space="0" w:color="auto"/>
          <w:lang w:eastAsia="zh-CN"/>
        </w:rPr>
        <w:t>2</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Goodin GS</w:t>
      </w:r>
      <w:r w:rsidRPr="001713F3">
        <w:rPr>
          <w:rFonts w:ascii="Book Antiqua" w:eastAsia="宋体" w:hAnsi="Book Antiqua" w:cs="宋体"/>
          <w:color w:val="000000"/>
          <w:bdr w:val="none" w:sz="0" w:space="0" w:color="auto"/>
          <w:lang w:eastAsia="zh-CN"/>
        </w:rPr>
        <w:t>, Shulkin BL, Kaufman RA, McCarville MB.</w:t>
      </w:r>
      <w:proofErr w:type="gramEnd"/>
      <w:r w:rsidRPr="001713F3">
        <w:rPr>
          <w:rFonts w:ascii="Book Antiqua" w:eastAsia="宋体" w:hAnsi="Book Antiqua" w:cs="宋体"/>
          <w:color w:val="000000"/>
          <w:bdr w:val="none" w:sz="0" w:space="0" w:color="auto"/>
          <w:lang w:eastAsia="zh-CN"/>
        </w:rPr>
        <w:t xml:space="preserve"> PET/CT characterization of fibroosseous defects in children: 18F-FDG uptake can mimic metastatic disease. </w:t>
      </w:r>
      <w:r w:rsidRPr="001713F3">
        <w:rPr>
          <w:rFonts w:ascii="Book Antiqua" w:eastAsia="宋体" w:hAnsi="Book Antiqua" w:cs="宋体"/>
          <w:i/>
          <w:iCs/>
          <w:color w:val="000000"/>
          <w:bdr w:val="none" w:sz="0" w:space="0" w:color="auto"/>
          <w:lang w:eastAsia="zh-CN"/>
        </w:rPr>
        <w:t>AJR Am J Roentgenol</w:t>
      </w:r>
      <w:r w:rsidRPr="001713F3">
        <w:rPr>
          <w:rFonts w:ascii="Book Antiqua" w:eastAsia="宋体" w:hAnsi="Book Antiqua" w:cs="宋体"/>
          <w:color w:val="000000"/>
          <w:bdr w:val="none" w:sz="0" w:space="0" w:color="auto"/>
          <w:lang w:eastAsia="zh-CN"/>
        </w:rPr>
        <w:t> 2006; </w:t>
      </w:r>
      <w:r w:rsidRPr="001713F3">
        <w:rPr>
          <w:rFonts w:ascii="Book Antiqua" w:eastAsia="宋体" w:hAnsi="Book Antiqua" w:cs="宋体"/>
          <w:b/>
          <w:bCs/>
          <w:color w:val="000000"/>
          <w:bdr w:val="none" w:sz="0" w:space="0" w:color="auto"/>
          <w:lang w:eastAsia="zh-CN"/>
        </w:rPr>
        <w:t>187</w:t>
      </w:r>
      <w:r w:rsidRPr="001713F3">
        <w:rPr>
          <w:rFonts w:ascii="Book Antiqua" w:eastAsia="宋体" w:hAnsi="Book Antiqua" w:cs="宋体"/>
          <w:color w:val="000000"/>
          <w:bdr w:val="none" w:sz="0" w:space="0" w:color="auto"/>
          <w:lang w:eastAsia="zh-CN"/>
        </w:rPr>
        <w:t>: 1124-1128 [PMID: 16985165 DOI: 10.2214/AJR.06.0171]</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12</w:t>
      </w:r>
      <w:r w:rsidR="005015F4">
        <w:rPr>
          <w:rFonts w:ascii="Book Antiqua" w:eastAsia="宋体" w:hAnsi="Book Antiqua" w:cs="宋体" w:hint="eastAsia"/>
          <w:color w:val="000000"/>
          <w:bdr w:val="none" w:sz="0" w:space="0" w:color="auto"/>
          <w:lang w:eastAsia="zh-CN"/>
        </w:rPr>
        <w:t>3</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Shammas A</w:t>
      </w:r>
      <w:r w:rsidRPr="001713F3">
        <w:rPr>
          <w:rFonts w:ascii="Book Antiqua" w:eastAsia="宋体" w:hAnsi="Book Antiqua" w:cs="宋体"/>
          <w:color w:val="000000"/>
          <w:bdr w:val="none" w:sz="0" w:space="0" w:color="auto"/>
          <w:lang w:eastAsia="zh-CN"/>
        </w:rPr>
        <w:t>, Lim R, Charron M. Pediatric FDG PET/CT: physiologic uptake, normal variants, and benign conditions. </w:t>
      </w:r>
      <w:proofErr w:type="gramStart"/>
      <w:r w:rsidRPr="001713F3">
        <w:rPr>
          <w:rFonts w:ascii="Book Antiqua" w:eastAsia="宋体" w:hAnsi="Book Antiqua" w:cs="宋体"/>
          <w:i/>
          <w:iCs/>
          <w:color w:val="000000"/>
          <w:bdr w:val="none" w:sz="0" w:space="0" w:color="auto"/>
          <w:lang w:eastAsia="zh-CN"/>
        </w:rPr>
        <w:t>Radiographics</w:t>
      </w:r>
      <w:r w:rsidRPr="001713F3">
        <w:rPr>
          <w:rFonts w:ascii="Book Antiqua" w:eastAsia="宋体" w:hAnsi="Book Antiqua" w:cs="宋体"/>
          <w:color w:val="000000"/>
          <w:bdr w:val="none" w:sz="0" w:space="0" w:color="auto"/>
          <w:lang w:eastAsia="zh-CN"/>
        </w:rPr>
        <w:t> ;</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29</w:t>
      </w:r>
      <w:r w:rsidRPr="001713F3">
        <w:rPr>
          <w:rFonts w:ascii="Book Antiqua" w:eastAsia="宋体" w:hAnsi="Book Antiqua" w:cs="宋体"/>
          <w:color w:val="000000"/>
          <w:bdr w:val="none" w:sz="0" w:space="0" w:color="auto"/>
          <w:lang w:eastAsia="zh-CN"/>
        </w:rPr>
        <w:t>: 1467-1486 [PMID: 19755606 DOI: 10.1148/rg.295085247]</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12</w:t>
      </w:r>
      <w:r w:rsidR="005015F4">
        <w:rPr>
          <w:rFonts w:ascii="Book Antiqua" w:eastAsia="宋体" w:hAnsi="Book Antiqua" w:cs="宋体" w:hint="eastAsia"/>
          <w:color w:val="000000"/>
          <w:bdr w:val="none" w:sz="0" w:space="0" w:color="auto"/>
          <w:lang w:eastAsia="zh-CN"/>
        </w:rPr>
        <w:t>4</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Hong TS</w:t>
      </w:r>
      <w:r w:rsidRPr="001713F3">
        <w:rPr>
          <w:rFonts w:ascii="Book Antiqua" w:eastAsia="宋体" w:hAnsi="Book Antiqua" w:cs="宋体"/>
          <w:color w:val="000000"/>
          <w:bdr w:val="none" w:sz="0" w:space="0" w:color="auto"/>
          <w:lang w:eastAsia="zh-CN"/>
        </w:rPr>
        <w:t>, Shammas A, Charron M, Zukotynski KA, Drubach LA, Lim R. Brown adipose tissue 18F-FDG uptake in pediatric PET/CT imaging. </w:t>
      </w:r>
      <w:r w:rsidRPr="001713F3">
        <w:rPr>
          <w:rFonts w:ascii="Book Antiqua" w:eastAsia="宋体" w:hAnsi="Book Antiqua" w:cs="宋体"/>
          <w:i/>
          <w:iCs/>
          <w:color w:val="000000"/>
          <w:bdr w:val="none" w:sz="0" w:space="0" w:color="auto"/>
          <w:lang w:eastAsia="zh-CN"/>
        </w:rPr>
        <w:t>Pediatr Radiol</w:t>
      </w:r>
      <w:r w:rsidRPr="001713F3">
        <w:rPr>
          <w:rFonts w:ascii="Book Antiqua" w:eastAsia="宋体" w:hAnsi="Book Antiqua" w:cs="宋体"/>
          <w:color w:val="000000"/>
          <w:bdr w:val="none" w:sz="0" w:space="0" w:color="auto"/>
          <w:lang w:eastAsia="zh-CN"/>
        </w:rPr>
        <w:t> 2011; </w:t>
      </w:r>
      <w:r w:rsidRPr="001713F3">
        <w:rPr>
          <w:rFonts w:ascii="Book Antiqua" w:eastAsia="宋体" w:hAnsi="Book Antiqua" w:cs="宋体"/>
          <w:b/>
          <w:bCs/>
          <w:color w:val="000000"/>
          <w:bdr w:val="none" w:sz="0" w:space="0" w:color="auto"/>
          <w:lang w:eastAsia="zh-CN"/>
        </w:rPr>
        <w:t>41</w:t>
      </w:r>
      <w:r w:rsidRPr="001713F3">
        <w:rPr>
          <w:rFonts w:ascii="Book Antiqua" w:eastAsia="宋体" w:hAnsi="Book Antiqua" w:cs="宋体"/>
          <w:color w:val="000000"/>
          <w:bdr w:val="none" w:sz="0" w:space="0" w:color="auto"/>
          <w:lang w:eastAsia="zh-CN"/>
        </w:rPr>
        <w:t>: 759-768 [PMID: 21161205 DOI: 10.1007/s00247-010-1925-y]</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12</w:t>
      </w:r>
      <w:r w:rsidR="005015F4">
        <w:rPr>
          <w:rFonts w:ascii="Book Antiqua" w:eastAsia="宋体" w:hAnsi="Book Antiqua" w:cs="宋体" w:hint="eastAsia"/>
          <w:color w:val="000000"/>
          <w:bdr w:val="none" w:sz="0" w:space="0" w:color="auto"/>
          <w:lang w:eastAsia="zh-CN"/>
        </w:rPr>
        <w:t>5</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Himms-Hagen J</w:t>
      </w:r>
      <w:r w:rsidRPr="001713F3">
        <w:rPr>
          <w:rFonts w:ascii="Book Antiqua" w:eastAsia="宋体" w:hAnsi="Book Antiqua" w:cs="宋体"/>
          <w:color w:val="000000"/>
          <w:bdr w:val="none" w:sz="0" w:space="0" w:color="auto"/>
          <w:lang w:eastAsia="zh-CN"/>
        </w:rPr>
        <w:t>. Brown adipose tissue thermogenesis: interdisciplinary studies.</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FASEB J</w:t>
      </w:r>
      <w:r w:rsidRPr="001713F3">
        <w:rPr>
          <w:rFonts w:ascii="Book Antiqua" w:eastAsia="宋体" w:hAnsi="Book Antiqua" w:cs="宋体"/>
          <w:color w:val="000000"/>
          <w:bdr w:val="none" w:sz="0" w:space="0" w:color="auto"/>
          <w:lang w:eastAsia="zh-CN"/>
        </w:rPr>
        <w:t> 1990; </w:t>
      </w:r>
      <w:r w:rsidRPr="001713F3">
        <w:rPr>
          <w:rFonts w:ascii="Book Antiqua" w:eastAsia="宋体" w:hAnsi="Book Antiqua" w:cs="宋体"/>
          <w:b/>
          <w:bCs/>
          <w:color w:val="000000"/>
          <w:bdr w:val="none" w:sz="0" w:space="0" w:color="auto"/>
          <w:lang w:eastAsia="zh-CN"/>
        </w:rPr>
        <w:t>4</w:t>
      </w:r>
      <w:r w:rsidRPr="001713F3">
        <w:rPr>
          <w:rFonts w:ascii="Book Antiqua" w:eastAsia="宋体" w:hAnsi="Book Antiqua" w:cs="宋体"/>
          <w:color w:val="000000"/>
          <w:bdr w:val="none" w:sz="0" w:space="0" w:color="auto"/>
          <w:lang w:eastAsia="zh-CN"/>
        </w:rPr>
        <w:t>: 2890-2898 [PMID: 2199286]</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12</w:t>
      </w:r>
      <w:r w:rsidR="005015F4">
        <w:rPr>
          <w:rFonts w:ascii="Book Antiqua" w:eastAsia="宋体" w:hAnsi="Book Antiqua" w:cs="宋体" w:hint="eastAsia"/>
          <w:color w:val="000000"/>
          <w:bdr w:val="none" w:sz="0" w:space="0" w:color="auto"/>
          <w:lang w:eastAsia="zh-CN"/>
        </w:rPr>
        <w:t>6</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Del Mar Gonzalez-Barroso M</w:t>
      </w:r>
      <w:r w:rsidRPr="001713F3">
        <w:rPr>
          <w:rFonts w:ascii="Book Antiqua" w:eastAsia="宋体" w:hAnsi="Book Antiqua" w:cs="宋体"/>
          <w:color w:val="000000"/>
          <w:bdr w:val="none" w:sz="0" w:space="0" w:color="auto"/>
          <w:lang w:eastAsia="zh-CN"/>
        </w:rPr>
        <w:t>, Ricquier D, Cassard-Doulcier AM. The human uncoupling protein-1 gene (UCP1): present status and perspectives in obesity research. </w:t>
      </w:r>
      <w:r w:rsidRPr="001713F3">
        <w:rPr>
          <w:rFonts w:ascii="Book Antiqua" w:eastAsia="宋体" w:hAnsi="Book Antiqua" w:cs="宋体"/>
          <w:i/>
          <w:iCs/>
          <w:color w:val="000000"/>
          <w:bdr w:val="none" w:sz="0" w:space="0" w:color="auto"/>
          <w:lang w:eastAsia="zh-CN"/>
        </w:rPr>
        <w:t>Obes Rev</w:t>
      </w:r>
      <w:r w:rsidRPr="001713F3">
        <w:rPr>
          <w:rFonts w:ascii="Book Antiqua" w:eastAsia="宋体" w:hAnsi="Book Antiqua" w:cs="宋体"/>
          <w:color w:val="000000"/>
          <w:bdr w:val="none" w:sz="0" w:space="0" w:color="auto"/>
          <w:lang w:eastAsia="zh-CN"/>
        </w:rPr>
        <w:t> 2000; </w:t>
      </w:r>
      <w:r w:rsidRPr="001713F3">
        <w:rPr>
          <w:rFonts w:ascii="Book Antiqua" w:eastAsia="宋体" w:hAnsi="Book Antiqua" w:cs="宋体"/>
          <w:b/>
          <w:bCs/>
          <w:color w:val="000000"/>
          <w:bdr w:val="none" w:sz="0" w:space="0" w:color="auto"/>
          <w:lang w:eastAsia="zh-CN"/>
        </w:rPr>
        <w:t>1</w:t>
      </w:r>
      <w:r w:rsidRPr="001713F3">
        <w:rPr>
          <w:rFonts w:ascii="Book Antiqua" w:eastAsia="宋体" w:hAnsi="Book Antiqua" w:cs="宋体"/>
          <w:color w:val="000000"/>
          <w:bdr w:val="none" w:sz="0" w:space="0" w:color="auto"/>
          <w:lang w:eastAsia="zh-CN"/>
        </w:rPr>
        <w:t>: 61-72 [PMID: 12119988 DOI: 10.1046/j.1467-789x.2000.00009.x]</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12</w:t>
      </w:r>
      <w:r w:rsidR="005015F4">
        <w:rPr>
          <w:rFonts w:ascii="Book Antiqua" w:eastAsia="宋体" w:hAnsi="Book Antiqua" w:cs="宋体" w:hint="eastAsia"/>
          <w:color w:val="000000"/>
          <w:bdr w:val="none" w:sz="0" w:space="0" w:color="auto"/>
          <w:lang w:eastAsia="zh-CN"/>
        </w:rPr>
        <w:t>7</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Truong MT</w:t>
      </w:r>
      <w:r w:rsidRPr="001713F3">
        <w:rPr>
          <w:rFonts w:ascii="Book Antiqua" w:eastAsia="宋体" w:hAnsi="Book Antiqua" w:cs="宋体"/>
          <w:color w:val="000000"/>
          <w:bdr w:val="none" w:sz="0" w:space="0" w:color="auto"/>
          <w:lang w:eastAsia="zh-CN"/>
        </w:rPr>
        <w:t>, Erasmus JJ, Munden RF, Marom EM, Sabloff BS, Gladish GW, Podoloff DA, Macapinlac HA. Focal FDG uptake in mediastinal brown fat mimicking malignancy: a potential pitfall resolved on PET/CT. </w:t>
      </w:r>
      <w:r w:rsidRPr="001713F3">
        <w:rPr>
          <w:rFonts w:ascii="Book Antiqua" w:eastAsia="宋体" w:hAnsi="Book Antiqua" w:cs="宋体"/>
          <w:i/>
          <w:iCs/>
          <w:color w:val="000000"/>
          <w:bdr w:val="none" w:sz="0" w:space="0" w:color="auto"/>
          <w:lang w:eastAsia="zh-CN"/>
        </w:rPr>
        <w:t>AJR Am J Roentgenol</w:t>
      </w:r>
      <w:r w:rsidRPr="001713F3">
        <w:rPr>
          <w:rFonts w:ascii="Book Antiqua" w:eastAsia="宋体" w:hAnsi="Book Antiqua" w:cs="宋体"/>
          <w:color w:val="000000"/>
          <w:bdr w:val="none" w:sz="0" w:space="0" w:color="auto"/>
          <w:lang w:eastAsia="zh-CN"/>
        </w:rPr>
        <w:t> 2004; </w:t>
      </w:r>
      <w:r w:rsidRPr="001713F3">
        <w:rPr>
          <w:rFonts w:ascii="Book Antiqua" w:eastAsia="宋体" w:hAnsi="Book Antiqua" w:cs="宋体"/>
          <w:b/>
          <w:bCs/>
          <w:color w:val="000000"/>
          <w:bdr w:val="none" w:sz="0" w:space="0" w:color="auto"/>
          <w:lang w:eastAsia="zh-CN"/>
        </w:rPr>
        <w:t>183</w:t>
      </w:r>
      <w:r w:rsidRPr="001713F3">
        <w:rPr>
          <w:rFonts w:ascii="Book Antiqua" w:eastAsia="宋体" w:hAnsi="Book Antiqua" w:cs="宋体"/>
          <w:color w:val="000000"/>
          <w:bdr w:val="none" w:sz="0" w:space="0" w:color="auto"/>
          <w:lang w:eastAsia="zh-CN"/>
        </w:rPr>
        <w:t>: 1127-1132 [PMID: 15385319 DOI: 10.2214/ajr.183.4.1831127]</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lastRenderedPageBreak/>
        <w:t>12</w:t>
      </w:r>
      <w:r w:rsidR="005015F4">
        <w:rPr>
          <w:rFonts w:ascii="Book Antiqua" w:eastAsia="宋体" w:hAnsi="Book Antiqua" w:cs="宋体" w:hint="eastAsia"/>
          <w:color w:val="000000"/>
          <w:bdr w:val="none" w:sz="0" w:space="0" w:color="auto"/>
          <w:lang w:eastAsia="zh-CN"/>
        </w:rPr>
        <w:t>8</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Garcia C</w:t>
      </w:r>
      <w:r w:rsidRPr="001713F3">
        <w:rPr>
          <w:rFonts w:ascii="Book Antiqua" w:eastAsia="宋体" w:hAnsi="Book Antiqua" w:cs="宋体"/>
          <w:color w:val="000000"/>
          <w:bdr w:val="none" w:sz="0" w:space="0" w:color="auto"/>
          <w:lang w:eastAsia="zh-CN"/>
        </w:rPr>
        <w:t>, Bandaru V, Van Nostrand D, Chennupati S, Atkins F, Acio E, Kulkarni K, Majd M. Effective reduction of brown fat FDG uptake by controlling environmental temperature prior to PET scan: an expanded case series. </w:t>
      </w:r>
      <w:r w:rsidRPr="001713F3">
        <w:rPr>
          <w:rFonts w:ascii="Book Antiqua" w:eastAsia="宋体" w:hAnsi="Book Antiqua" w:cs="宋体"/>
          <w:i/>
          <w:iCs/>
          <w:color w:val="000000"/>
          <w:bdr w:val="none" w:sz="0" w:space="0" w:color="auto"/>
          <w:lang w:eastAsia="zh-CN"/>
        </w:rPr>
        <w:t>Mol Imaging Biol</w:t>
      </w:r>
      <w:r w:rsidRPr="001713F3">
        <w:rPr>
          <w:rFonts w:ascii="Book Antiqua" w:eastAsia="宋体" w:hAnsi="Book Antiqua" w:cs="宋体"/>
          <w:color w:val="000000"/>
          <w:bdr w:val="none" w:sz="0" w:space="0" w:color="auto"/>
          <w:lang w:eastAsia="zh-CN"/>
        </w:rPr>
        <w:t> 2010; </w:t>
      </w:r>
      <w:r w:rsidRPr="001713F3">
        <w:rPr>
          <w:rFonts w:ascii="Book Antiqua" w:eastAsia="宋体" w:hAnsi="Book Antiqua" w:cs="宋体"/>
          <w:b/>
          <w:bCs/>
          <w:color w:val="000000"/>
          <w:bdr w:val="none" w:sz="0" w:space="0" w:color="auto"/>
          <w:lang w:eastAsia="zh-CN"/>
        </w:rPr>
        <w:t>12</w:t>
      </w:r>
      <w:r w:rsidRPr="001713F3">
        <w:rPr>
          <w:rFonts w:ascii="Book Antiqua" w:eastAsia="宋体" w:hAnsi="Book Antiqua" w:cs="宋体"/>
          <w:color w:val="000000"/>
          <w:bdr w:val="none" w:sz="0" w:space="0" w:color="auto"/>
          <w:lang w:eastAsia="zh-CN"/>
        </w:rPr>
        <w:t>: 652-656 [PMID: 20237858 DOI: 10.1007/s11307-010-0298-9]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1</w:t>
      </w:r>
      <w:r w:rsidR="005015F4">
        <w:rPr>
          <w:rFonts w:ascii="Book Antiqua" w:eastAsia="宋体" w:hAnsi="Book Antiqua" w:cs="宋体" w:hint="eastAsia"/>
          <w:color w:val="000000"/>
          <w:bdr w:val="none" w:sz="0" w:space="0" w:color="auto"/>
          <w:lang w:eastAsia="zh-CN"/>
        </w:rPr>
        <w:t>29</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Barrington SF</w:t>
      </w:r>
      <w:r w:rsidRPr="001713F3">
        <w:rPr>
          <w:rFonts w:ascii="Book Antiqua" w:eastAsia="宋体" w:hAnsi="Book Antiqua" w:cs="宋体"/>
          <w:color w:val="000000"/>
          <w:bdr w:val="none" w:sz="0" w:space="0" w:color="auto"/>
          <w:lang w:eastAsia="zh-CN"/>
        </w:rPr>
        <w:t>, Maisey MN.</w:t>
      </w:r>
      <w:proofErr w:type="gramEnd"/>
      <w:r w:rsidRPr="001713F3">
        <w:rPr>
          <w:rFonts w:ascii="Book Antiqua" w:eastAsia="宋体" w:hAnsi="Book Antiqua" w:cs="宋体"/>
          <w:color w:val="000000"/>
          <w:bdr w:val="none" w:sz="0" w:space="0" w:color="auto"/>
          <w:lang w:eastAsia="zh-CN"/>
        </w:rPr>
        <w:t xml:space="preserve"> Skeletal muscle uptake of fluorine-18-FDG: effect of oral diazepam. </w:t>
      </w:r>
      <w:r w:rsidRPr="001713F3">
        <w:rPr>
          <w:rFonts w:ascii="Book Antiqua" w:eastAsia="宋体" w:hAnsi="Book Antiqua" w:cs="宋体"/>
          <w:i/>
          <w:iCs/>
          <w:color w:val="000000"/>
          <w:bdr w:val="none" w:sz="0" w:space="0" w:color="auto"/>
          <w:lang w:eastAsia="zh-CN"/>
        </w:rPr>
        <w:t>J Nucl Med</w:t>
      </w:r>
      <w:r w:rsidRPr="001713F3">
        <w:rPr>
          <w:rFonts w:ascii="Book Antiqua" w:eastAsia="宋体" w:hAnsi="Book Antiqua" w:cs="宋体"/>
          <w:color w:val="000000"/>
          <w:bdr w:val="none" w:sz="0" w:space="0" w:color="auto"/>
          <w:lang w:eastAsia="zh-CN"/>
        </w:rPr>
        <w:t> 1996; </w:t>
      </w:r>
      <w:r w:rsidRPr="001713F3">
        <w:rPr>
          <w:rFonts w:ascii="Book Antiqua" w:eastAsia="宋体" w:hAnsi="Book Antiqua" w:cs="宋体"/>
          <w:b/>
          <w:bCs/>
          <w:color w:val="000000"/>
          <w:bdr w:val="none" w:sz="0" w:space="0" w:color="auto"/>
          <w:lang w:eastAsia="zh-CN"/>
        </w:rPr>
        <w:t>37</w:t>
      </w:r>
      <w:r w:rsidRPr="001713F3">
        <w:rPr>
          <w:rFonts w:ascii="Book Antiqua" w:eastAsia="宋体" w:hAnsi="Book Antiqua" w:cs="宋体"/>
          <w:color w:val="000000"/>
          <w:bdr w:val="none" w:sz="0" w:space="0" w:color="auto"/>
          <w:lang w:eastAsia="zh-CN"/>
        </w:rPr>
        <w:t>: 1127-1129 [PMID: 8965182]</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13</w:t>
      </w:r>
      <w:r w:rsidR="005015F4">
        <w:rPr>
          <w:rFonts w:ascii="Book Antiqua" w:eastAsia="宋体" w:hAnsi="Book Antiqua" w:cs="宋体" w:hint="eastAsia"/>
          <w:color w:val="000000"/>
          <w:bdr w:val="none" w:sz="0" w:space="0" w:color="auto"/>
          <w:lang w:eastAsia="zh-CN"/>
        </w:rPr>
        <w:t>0</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Parysow O</w:t>
      </w:r>
      <w:r w:rsidRPr="001713F3">
        <w:rPr>
          <w:rFonts w:ascii="Book Antiqua" w:eastAsia="宋体" w:hAnsi="Book Antiqua" w:cs="宋体"/>
          <w:color w:val="000000"/>
          <w:bdr w:val="none" w:sz="0" w:space="0" w:color="auto"/>
          <w:lang w:eastAsia="zh-CN"/>
        </w:rPr>
        <w:t>, Mollerach AM, Jager V, Racioppi S, San Roman J, Gerbaudo VH. Low-dose oral propranolol could reduce brown adipose tissue F-18 FDG uptake in patients undergoing PET scans. </w:t>
      </w:r>
      <w:r w:rsidRPr="001713F3">
        <w:rPr>
          <w:rFonts w:ascii="Book Antiqua" w:eastAsia="宋体" w:hAnsi="Book Antiqua" w:cs="宋体"/>
          <w:i/>
          <w:iCs/>
          <w:color w:val="000000"/>
          <w:bdr w:val="none" w:sz="0" w:space="0" w:color="auto"/>
          <w:lang w:eastAsia="zh-CN"/>
        </w:rPr>
        <w:t>Clin Nucl Med</w:t>
      </w:r>
      <w:r w:rsidRPr="001713F3">
        <w:rPr>
          <w:rFonts w:ascii="Book Antiqua" w:eastAsia="宋体" w:hAnsi="Book Antiqua" w:cs="宋体"/>
          <w:color w:val="000000"/>
          <w:bdr w:val="none" w:sz="0" w:space="0" w:color="auto"/>
          <w:lang w:eastAsia="zh-CN"/>
        </w:rPr>
        <w:t> 2007; </w:t>
      </w:r>
      <w:r w:rsidRPr="001713F3">
        <w:rPr>
          <w:rFonts w:ascii="Book Antiqua" w:eastAsia="宋体" w:hAnsi="Book Antiqua" w:cs="宋体"/>
          <w:b/>
          <w:bCs/>
          <w:color w:val="000000"/>
          <w:bdr w:val="none" w:sz="0" w:space="0" w:color="auto"/>
          <w:lang w:eastAsia="zh-CN"/>
        </w:rPr>
        <w:t>32</w:t>
      </w:r>
      <w:r w:rsidRPr="001713F3">
        <w:rPr>
          <w:rFonts w:ascii="Book Antiqua" w:eastAsia="宋体" w:hAnsi="Book Antiqua" w:cs="宋体"/>
          <w:color w:val="000000"/>
          <w:bdr w:val="none" w:sz="0" w:space="0" w:color="auto"/>
          <w:lang w:eastAsia="zh-CN"/>
        </w:rPr>
        <w:t>: 351-357 [PMID: 17452860 DOI: 10.1097/01.rlu.0000259570.69163.04]</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13</w:t>
      </w:r>
      <w:r w:rsidR="005015F4">
        <w:rPr>
          <w:rFonts w:ascii="Book Antiqua" w:eastAsia="宋体" w:hAnsi="Book Antiqua" w:cs="宋体" w:hint="eastAsia"/>
          <w:color w:val="000000"/>
          <w:bdr w:val="none" w:sz="0" w:space="0" w:color="auto"/>
          <w:lang w:eastAsia="zh-CN"/>
        </w:rPr>
        <w:t>1</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Gelfand MJ</w:t>
      </w:r>
      <w:r w:rsidRPr="001713F3">
        <w:rPr>
          <w:rFonts w:ascii="Book Antiqua" w:eastAsia="宋体" w:hAnsi="Book Antiqua" w:cs="宋体"/>
          <w:color w:val="000000"/>
          <w:bdr w:val="none" w:sz="0" w:space="0" w:color="auto"/>
          <w:lang w:eastAsia="zh-CN"/>
        </w:rPr>
        <w:t>, O'hara SM, Curtwright LA, Maclean JR. Pre-medication to block [(18)F]FDG uptake in the brown adipose tissue of pediatric and adolescent patients. </w:t>
      </w:r>
      <w:r w:rsidRPr="001713F3">
        <w:rPr>
          <w:rFonts w:ascii="Book Antiqua" w:eastAsia="宋体" w:hAnsi="Book Antiqua" w:cs="宋体"/>
          <w:i/>
          <w:iCs/>
          <w:color w:val="000000"/>
          <w:bdr w:val="none" w:sz="0" w:space="0" w:color="auto"/>
          <w:lang w:eastAsia="zh-CN"/>
        </w:rPr>
        <w:t>Pediatr Radiol</w:t>
      </w:r>
      <w:r w:rsidRPr="001713F3">
        <w:rPr>
          <w:rFonts w:ascii="Book Antiqua" w:eastAsia="宋体" w:hAnsi="Book Antiqua" w:cs="宋体"/>
          <w:color w:val="000000"/>
          <w:bdr w:val="none" w:sz="0" w:space="0" w:color="auto"/>
          <w:lang w:eastAsia="zh-CN"/>
        </w:rPr>
        <w:t> 2005; </w:t>
      </w:r>
      <w:r w:rsidRPr="001713F3">
        <w:rPr>
          <w:rFonts w:ascii="Book Antiqua" w:eastAsia="宋体" w:hAnsi="Book Antiqua" w:cs="宋体"/>
          <w:b/>
          <w:bCs/>
          <w:color w:val="000000"/>
          <w:bdr w:val="none" w:sz="0" w:space="0" w:color="auto"/>
          <w:lang w:eastAsia="zh-CN"/>
        </w:rPr>
        <w:t>35</w:t>
      </w:r>
      <w:r w:rsidRPr="001713F3">
        <w:rPr>
          <w:rFonts w:ascii="Book Antiqua" w:eastAsia="宋体" w:hAnsi="Book Antiqua" w:cs="宋体"/>
          <w:color w:val="000000"/>
          <w:bdr w:val="none" w:sz="0" w:space="0" w:color="auto"/>
          <w:lang w:eastAsia="zh-CN"/>
        </w:rPr>
        <w:t>: 984-990 [PMID: 15988582 DOI: 10.1007/s00247-005-1505-8]</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13</w:t>
      </w:r>
      <w:r w:rsidR="005015F4">
        <w:rPr>
          <w:rFonts w:ascii="Book Antiqua" w:eastAsia="宋体" w:hAnsi="Book Antiqua" w:cs="宋体" w:hint="eastAsia"/>
          <w:color w:val="000000"/>
          <w:bdr w:val="none" w:sz="0" w:space="0" w:color="auto"/>
          <w:lang w:eastAsia="zh-CN"/>
        </w:rPr>
        <w:t>2</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Nakahara T</w:t>
      </w:r>
      <w:r w:rsidRPr="001713F3">
        <w:rPr>
          <w:rFonts w:ascii="Book Antiqua" w:eastAsia="宋体" w:hAnsi="Book Antiqua" w:cs="宋体"/>
          <w:color w:val="000000"/>
          <w:bdr w:val="none" w:sz="0" w:space="0" w:color="auto"/>
          <w:lang w:eastAsia="zh-CN"/>
        </w:rPr>
        <w:t>, Fujii H, Ide M, Nishiumi N, Takahashi W, Yasuda S, Shohtsu A, Kubo A. FDG uptake in the morphologically normal thymus: comparison of FDG positron emission tomography and CT. </w:t>
      </w:r>
      <w:r w:rsidRPr="001713F3">
        <w:rPr>
          <w:rFonts w:ascii="Book Antiqua" w:eastAsia="宋体" w:hAnsi="Book Antiqua" w:cs="宋体"/>
          <w:i/>
          <w:iCs/>
          <w:color w:val="000000"/>
          <w:bdr w:val="none" w:sz="0" w:space="0" w:color="auto"/>
          <w:lang w:eastAsia="zh-CN"/>
        </w:rPr>
        <w:t>Br J Radiol</w:t>
      </w:r>
      <w:r w:rsidRPr="001713F3">
        <w:rPr>
          <w:rFonts w:ascii="Book Antiqua" w:eastAsia="宋体" w:hAnsi="Book Antiqua" w:cs="宋体"/>
          <w:color w:val="000000"/>
          <w:bdr w:val="none" w:sz="0" w:space="0" w:color="auto"/>
          <w:lang w:eastAsia="zh-CN"/>
        </w:rPr>
        <w:t> 2001; </w:t>
      </w:r>
      <w:r w:rsidRPr="001713F3">
        <w:rPr>
          <w:rFonts w:ascii="Book Antiqua" w:eastAsia="宋体" w:hAnsi="Book Antiqua" w:cs="宋体"/>
          <w:b/>
          <w:bCs/>
          <w:color w:val="000000"/>
          <w:bdr w:val="none" w:sz="0" w:space="0" w:color="auto"/>
          <w:lang w:eastAsia="zh-CN"/>
        </w:rPr>
        <w:t>74</w:t>
      </w:r>
      <w:r w:rsidRPr="001713F3">
        <w:rPr>
          <w:rFonts w:ascii="Book Antiqua" w:eastAsia="宋体" w:hAnsi="Book Antiqua" w:cs="宋体"/>
          <w:color w:val="000000"/>
          <w:bdr w:val="none" w:sz="0" w:space="0" w:color="auto"/>
          <w:lang w:eastAsia="zh-CN"/>
        </w:rPr>
        <w:t>: 821-824 [PMID: 11560830]</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13</w:t>
      </w:r>
      <w:r w:rsidR="005015F4">
        <w:rPr>
          <w:rFonts w:ascii="Book Antiqua" w:eastAsia="宋体" w:hAnsi="Book Antiqua" w:cs="宋体" w:hint="eastAsia"/>
          <w:color w:val="000000"/>
          <w:bdr w:val="none" w:sz="0" w:space="0" w:color="auto"/>
          <w:lang w:eastAsia="zh-CN"/>
        </w:rPr>
        <w:t>3</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Gawande RS</w:t>
      </w:r>
      <w:r w:rsidRPr="001713F3">
        <w:rPr>
          <w:rFonts w:ascii="Book Antiqua" w:eastAsia="宋体" w:hAnsi="Book Antiqua" w:cs="宋体"/>
          <w:color w:val="000000"/>
          <w:bdr w:val="none" w:sz="0" w:space="0" w:color="auto"/>
          <w:lang w:eastAsia="zh-CN"/>
        </w:rPr>
        <w:t>, Khurana A, Messing S, Zhang D, Castañeda RT, Goldsby RE, Hawkins RA, Daldrup-Link HE.</w:t>
      </w:r>
      <w:proofErr w:type="gramEnd"/>
      <w:r w:rsidRPr="001713F3">
        <w:rPr>
          <w:rFonts w:ascii="Book Antiqua" w:eastAsia="宋体" w:hAnsi="Book Antiqua" w:cs="宋体"/>
          <w:color w:val="000000"/>
          <w:bdr w:val="none" w:sz="0" w:space="0" w:color="auto"/>
          <w:lang w:eastAsia="zh-CN"/>
        </w:rPr>
        <w:t xml:space="preserve"> Differentiation of normal thymus from anterior mediastinal lymphoma and lymphoma recurrence at pediatric PET/CT. </w:t>
      </w:r>
      <w:r w:rsidRPr="001713F3">
        <w:rPr>
          <w:rFonts w:ascii="Book Antiqua" w:eastAsia="宋体" w:hAnsi="Book Antiqua" w:cs="宋体"/>
          <w:i/>
          <w:iCs/>
          <w:color w:val="000000"/>
          <w:bdr w:val="none" w:sz="0" w:space="0" w:color="auto"/>
          <w:lang w:eastAsia="zh-CN"/>
        </w:rPr>
        <w:t>Radiology</w:t>
      </w:r>
      <w:r w:rsidRPr="001713F3">
        <w:rPr>
          <w:rFonts w:ascii="Book Antiqua" w:eastAsia="宋体" w:hAnsi="Book Antiqua" w:cs="宋体"/>
          <w:color w:val="000000"/>
          <w:bdr w:val="none" w:sz="0" w:space="0" w:color="auto"/>
          <w:lang w:eastAsia="zh-CN"/>
        </w:rPr>
        <w:t> 2012; </w:t>
      </w:r>
      <w:r w:rsidRPr="001713F3">
        <w:rPr>
          <w:rFonts w:ascii="Book Antiqua" w:eastAsia="宋体" w:hAnsi="Book Antiqua" w:cs="宋体"/>
          <w:b/>
          <w:bCs/>
          <w:color w:val="000000"/>
          <w:bdr w:val="none" w:sz="0" w:space="0" w:color="auto"/>
          <w:lang w:eastAsia="zh-CN"/>
        </w:rPr>
        <w:t>262</w:t>
      </w:r>
      <w:r w:rsidRPr="001713F3">
        <w:rPr>
          <w:rFonts w:ascii="Book Antiqua" w:eastAsia="宋体" w:hAnsi="Book Antiqua" w:cs="宋体"/>
          <w:color w:val="000000"/>
          <w:bdr w:val="none" w:sz="0" w:space="0" w:color="auto"/>
          <w:lang w:eastAsia="zh-CN"/>
        </w:rPr>
        <w:t>: 613-622 [PMID: 22157202 DOI: 10.1148/radiol.11110715]</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13</w:t>
      </w:r>
      <w:r w:rsidR="005015F4">
        <w:rPr>
          <w:rFonts w:ascii="Book Antiqua" w:eastAsia="宋体" w:hAnsi="Book Antiqua" w:cs="宋体" w:hint="eastAsia"/>
          <w:color w:val="000000"/>
          <w:bdr w:val="none" w:sz="0" w:space="0" w:color="auto"/>
          <w:lang w:eastAsia="zh-CN"/>
        </w:rPr>
        <w:t>4</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Brenner D</w:t>
      </w:r>
      <w:r w:rsidRPr="001713F3">
        <w:rPr>
          <w:rFonts w:ascii="Book Antiqua" w:eastAsia="宋体" w:hAnsi="Book Antiqua" w:cs="宋体"/>
          <w:color w:val="000000"/>
          <w:bdr w:val="none" w:sz="0" w:space="0" w:color="auto"/>
          <w:lang w:eastAsia="zh-CN"/>
        </w:rPr>
        <w:t>, Elliston C, Hall E, Berdon W. Estimated risks of radiation-induced fatal cancer from pediatric CT. </w:t>
      </w:r>
      <w:r w:rsidRPr="001713F3">
        <w:rPr>
          <w:rFonts w:ascii="Book Antiqua" w:eastAsia="宋体" w:hAnsi="Book Antiqua" w:cs="宋体"/>
          <w:i/>
          <w:iCs/>
          <w:color w:val="000000"/>
          <w:bdr w:val="none" w:sz="0" w:space="0" w:color="auto"/>
          <w:lang w:eastAsia="zh-CN"/>
        </w:rPr>
        <w:t>AJR Am J Roentgenol</w:t>
      </w:r>
      <w:r w:rsidRPr="001713F3">
        <w:rPr>
          <w:rFonts w:ascii="Book Antiqua" w:eastAsia="宋体" w:hAnsi="Book Antiqua" w:cs="宋体"/>
          <w:color w:val="000000"/>
          <w:bdr w:val="none" w:sz="0" w:space="0" w:color="auto"/>
          <w:lang w:eastAsia="zh-CN"/>
        </w:rPr>
        <w:t> 2001; </w:t>
      </w:r>
      <w:r w:rsidRPr="001713F3">
        <w:rPr>
          <w:rFonts w:ascii="Book Antiqua" w:eastAsia="宋体" w:hAnsi="Book Antiqua" w:cs="宋体"/>
          <w:b/>
          <w:bCs/>
          <w:color w:val="000000"/>
          <w:bdr w:val="none" w:sz="0" w:space="0" w:color="auto"/>
          <w:lang w:eastAsia="zh-CN"/>
        </w:rPr>
        <w:t>176</w:t>
      </w:r>
      <w:r w:rsidRPr="001713F3">
        <w:rPr>
          <w:rFonts w:ascii="Book Antiqua" w:eastAsia="宋体" w:hAnsi="Book Antiqua" w:cs="宋体"/>
          <w:color w:val="000000"/>
          <w:bdr w:val="none" w:sz="0" w:space="0" w:color="auto"/>
          <w:lang w:eastAsia="zh-CN"/>
        </w:rPr>
        <w:t>: 289-296 [PMID: 11159059 DOI: 10.2214/ajr.176.2.1760289]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13</w:t>
      </w:r>
      <w:r w:rsidR="005015F4">
        <w:rPr>
          <w:rFonts w:ascii="Book Antiqua" w:eastAsia="宋体" w:hAnsi="Book Antiqua" w:cs="宋体" w:hint="eastAsia"/>
          <w:color w:val="000000"/>
          <w:bdr w:val="none" w:sz="0" w:space="0" w:color="auto"/>
          <w:lang w:eastAsia="zh-CN"/>
        </w:rPr>
        <w:t>5</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Pierce DA</w:t>
      </w:r>
      <w:r w:rsidRPr="001713F3">
        <w:rPr>
          <w:rFonts w:ascii="Book Antiqua" w:eastAsia="宋体" w:hAnsi="Book Antiqua" w:cs="宋体"/>
          <w:color w:val="000000"/>
          <w:bdr w:val="none" w:sz="0" w:space="0" w:color="auto"/>
          <w:lang w:eastAsia="zh-CN"/>
        </w:rPr>
        <w:t>, Shimizu Y, Preston DL, Vaeth M, Mabuchi K. Studies of the mortality of atomic bomb survivors. Report 12, Part I. Cancer: 1950-1990. </w:t>
      </w:r>
      <w:r w:rsidRPr="001713F3">
        <w:rPr>
          <w:rFonts w:ascii="Book Antiqua" w:eastAsia="宋体" w:hAnsi="Book Antiqua" w:cs="宋体"/>
          <w:i/>
          <w:iCs/>
          <w:color w:val="000000"/>
          <w:bdr w:val="none" w:sz="0" w:space="0" w:color="auto"/>
          <w:lang w:eastAsia="zh-CN"/>
        </w:rPr>
        <w:t>Radiat Res</w:t>
      </w:r>
      <w:r w:rsidRPr="001713F3">
        <w:rPr>
          <w:rFonts w:ascii="Book Antiqua" w:eastAsia="宋体" w:hAnsi="Book Antiqua" w:cs="宋体"/>
          <w:color w:val="000000"/>
          <w:bdr w:val="none" w:sz="0" w:space="0" w:color="auto"/>
          <w:lang w:eastAsia="zh-CN"/>
        </w:rPr>
        <w:t> 1996; </w:t>
      </w:r>
      <w:r w:rsidRPr="001713F3">
        <w:rPr>
          <w:rFonts w:ascii="Book Antiqua" w:eastAsia="宋体" w:hAnsi="Book Antiqua" w:cs="宋体"/>
          <w:b/>
          <w:bCs/>
          <w:color w:val="000000"/>
          <w:bdr w:val="none" w:sz="0" w:space="0" w:color="auto"/>
          <w:lang w:eastAsia="zh-CN"/>
        </w:rPr>
        <w:t>146</w:t>
      </w:r>
      <w:r w:rsidRPr="001713F3">
        <w:rPr>
          <w:rFonts w:ascii="Book Antiqua" w:eastAsia="宋体" w:hAnsi="Book Antiqua" w:cs="宋体"/>
          <w:color w:val="000000"/>
          <w:bdr w:val="none" w:sz="0" w:space="0" w:color="auto"/>
          <w:lang w:eastAsia="zh-CN"/>
        </w:rPr>
        <w:t>: 1-27 [PMID: 8677290 DOI: 10.2307/3579391]</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13</w:t>
      </w:r>
      <w:r w:rsidR="005015F4">
        <w:rPr>
          <w:rFonts w:ascii="Book Antiqua" w:eastAsia="宋体" w:hAnsi="Book Antiqua" w:cs="宋体" w:hint="eastAsia"/>
          <w:color w:val="000000"/>
          <w:bdr w:val="none" w:sz="0" w:space="0" w:color="auto"/>
          <w:lang w:eastAsia="zh-CN"/>
        </w:rPr>
        <w:t>6</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Brenner DJ</w:t>
      </w:r>
      <w:r w:rsidRPr="001713F3">
        <w:rPr>
          <w:rFonts w:ascii="Book Antiqua" w:eastAsia="宋体" w:hAnsi="Book Antiqua" w:cs="宋体"/>
          <w:color w:val="000000"/>
          <w:bdr w:val="none" w:sz="0" w:space="0" w:color="auto"/>
          <w:lang w:eastAsia="zh-CN"/>
        </w:rPr>
        <w:t>.</w:t>
      </w:r>
      <w:proofErr w:type="gramEnd"/>
      <w:r w:rsidRPr="001713F3">
        <w:rPr>
          <w:rFonts w:ascii="Book Antiqua" w:eastAsia="宋体" w:hAnsi="Book Antiqua" w:cs="宋体"/>
          <w:color w:val="000000"/>
          <w:bdr w:val="none" w:sz="0" w:space="0" w:color="auto"/>
          <w:lang w:eastAsia="zh-CN"/>
        </w:rPr>
        <w:t xml:space="preserve"> Estimating cancer risks from pediatric CT: going from the qualitative to the quantitative. </w:t>
      </w:r>
      <w:r w:rsidRPr="001713F3">
        <w:rPr>
          <w:rFonts w:ascii="Book Antiqua" w:eastAsia="宋体" w:hAnsi="Book Antiqua" w:cs="宋体"/>
          <w:i/>
          <w:iCs/>
          <w:color w:val="000000"/>
          <w:bdr w:val="none" w:sz="0" w:space="0" w:color="auto"/>
          <w:lang w:eastAsia="zh-CN"/>
        </w:rPr>
        <w:t>Pediatr Radiol</w:t>
      </w:r>
      <w:r w:rsidRPr="001713F3">
        <w:rPr>
          <w:rFonts w:ascii="Book Antiqua" w:eastAsia="宋体" w:hAnsi="Book Antiqua" w:cs="宋体"/>
          <w:color w:val="000000"/>
          <w:bdr w:val="none" w:sz="0" w:space="0" w:color="auto"/>
          <w:lang w:eastAsia="zh-CN"/>
        </w:rPr>
        <w:t> 2002; </w:t>
      </w:r>
      <w:r w:rsidRPr="001713F3">
        <w:rPr>
          <w:rFonts w:ascii="Book Antiqua" w:eastAsia="宋体" w:hAnsi="Book Antiqua" w:cs="宋体"/>
          <w:b/>
          <w:bCs/>
          <w:color w:val="000000"/>
          <w:bdr w:val="none" w:sz="0" w:space="0" w:color="auto"/>
          <w:lang w:eastAsia="zh-CN"/>
        </w:rPr>
        <w:t>32</w:t>
      </w:r>
      <w:r w:rsidRPr="001713F3">
        <w:rPr>
          <w:rFonts w:ascii="Book Antiqua" w:eastAsia="宋体" w:hAnsi="Book Antiqua" w:cs="宋体"/>
          <w:color w:val="000000"/>
          <w:bdr w:val="none" w:sz="0" w:space="0" w:color="auto"/>
          <w:lang w:eastAsia="zh-CN"/>
        </w:rPr>
        <w:t>: 228-21; discussion 228-21; [PMID: 11956700 DOI: 10.1007/s00247-002-0671-1]</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13</w:t>
      </w:r>
      <w:r w:rsidR="005015F4">
        <w:rPr>
          <w:rFonts w:ascii="Book Antiqua" w:eastAsia="宋体" w:hAnsi="Book Antiqua" w:cs="宋体" w:hint="eastAsia"/>
          <w:color w:val="000000"/>
          <w:bdr w:val="none" w:sz="0" w:space="0" w:color="auto"/>
          <w:lang w:eastAsia="zh-CN"/>
        </w:rPr>
        <w:t>7</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Gelfand MJ</w:t>
      </w:r>
      <w:r w:rsidRPr="001713F3">
        <w:rPr>
          <w:rFonts w:ascii="Book Antiqua" w:eastAsia="宋体" w:hAnsi="Book Antiqua" w:cs="宋体"/>
          <w:color w:val="000000"/>
          <w:bdr w:val="none" w:sz="0" w:space="0" w:color="auto"/>
          <w:lang w:eastAsia="zh-CN"/>
        </w:rPr>
        <w:t>.</w:t>
      </w:r>
      <w:proofErr w:type="gramEnd"/>
      <w:r w:rsidRPr="001713F3">
        <w:rPr>
          <w:rFonts w:ascii="Book Antiqua" w:eastAsia="宋体" w:hAnsi="Book Antiqua" w:cs="宋体"/>
          <w:color w:val="000000"/>
          <w:bdr w:val="none" w:sz="0" w:space="0" w:color="auto"/>
          <w:lang w:eastAsia="zh-CN"/>
        </w:rPr>
        <w:t xml:space="preserve"> </w:t>
      </w:r>
      <w:proofErr w:type="gramStart"/>
      <w:r w:rsidRPr="001713F3">
        <w:rPr>
          <w:rFonts w:ascii="Book Antiqua" w:eastAsia="宋体" w:hAnsi="Book Antiqua" w:cs="宋体"/>
          <w:color w:val="000000"/>
          <w:bdr w:val="none" w:sz="0" w:space="0" w:color="auto"/>
          <w:lang w:eastAsia="zh-CN"/>
        </w:rPr>
        <w:t>Dose reduction in pediatric hybrid and planar imaging.</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Q J Nucl Med Mol Imaging</w:t>
      </w:r>
      <w:r w:rsidRPr="001713F3">
        <w:rPr>
          <w:rFonts w:ascii="Book Antiqua" w:eastAsia="宋体" w:hAnsi="Book Antiqua" w:cs="宋体"/>
          <w:color w:val="000000"/>
          <w:bdr w:val="none" w:sz="0" w:space="0" w:color="auto"/>
          <w:lang w:eastAsia="zh-CN"/>
        </w:rPr>
        <w:t> 2010; </w:t>
      </w:r>
      <w:r w:rsidRPr="001713F3">
        <w:rPr>
          <w:rFonts w:ascii="Book Antiqua" w:eastAsia="宋体" w:hAnsi="Book Antiqua" w:cs="宋体"/>
          <w:b/>
          <w:bCs/>
          <w:color w:val="000000"/>
          <w:bdr w:val="none" w:sz="0" w:space="0" w:color="auto"/>
          <w:lang w:eastAsia="zh-CN"/>
        </w:rPr>
        <w:t>54</w:t>
      </w:r>
      <w:r w:rsidRPr="001713F3">
        <w:rPr>
          <w:rFonts w:ascii="Book Antiqua" w:eastAsia="宋体" w:hAnsi="Book Antiqua" w:cs="宋体"/>
          <w:color w:val="000000"/>
          <w:bdr w:val="none" w:sz="0" w:space="0" w:color="auto"/>
          <w:lang w:eastAsia="zh-CN"/>
        </w:rPr>
        <w:t>: 379-388 [PMID: 20823806]</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lastRenderedPageBreak/>
        <w:t>13</w:t>
      </w:r>
      <w:r w:rsidR="005015F4">
        <w:rPr>
          <w:rFonts w:ascii="Book Antiqua" w:eastAsia="宋体" w:hAnsi="Book Antiqua" w:cs="宋体" w:hint="eastAsia"/>
          <w:color w:val="000000"/>
          <w:bdr w:val="none" w:sz="0" w:space="0" w:color="auto"/>
          <w:lang w:eastAsia="zh-CN"/>
        </w:rPr>
        <w:t>8</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Kaste SC</w:t>
      </w:r>
      <w:r w:rsidRPr="001713F3">
        <w:rPr>
          <w:rFonts w:ascii="Book Antiqua" w:eastAsia="宋体" w:hAnsi="Book Antiqua" w:cs="宋体"/>
          <w:color w:val="000000"/>
          <w:bdr w:val="none" w:sz="0" w:space="0" w:color="auto"/>
          <w:lang w:eastAsia="zh-CN"/>
        </w:rPr>
        <w:t>. PET-CT in children: where is it appropriate? </w:t>
      </w:r>
      <w:r w:rsidRPr="001713F3">
        <w:rPr>
          <w:rFonts w:ascii="Book Antiqua" w:eastAsia="宋体" w:hAnsi="Book Antiqua" w:cs="宋体"/>
          <w:i/>
          <w:iCs/>
          <w:color w:val="000000"/>
          <w:bdr w:val="none" w:sz="0" w:space="0" w:color="auto"/>
          <w:lang w:eastAsia="zh-CN"/>
        </w:rPr>
        <w:t>Pediatr Radiol</w:t>
      </w:r>
      <w:r w:rsidRPr="001713F3">
        <w:rPr>
          <w:rFonts w:ascii="Book Antiqua" w:eastAsia="宋体" w:hAnsi="Book Antiqua" w:cs="宋体"/>
          <w:color w:val="000000"/>
          <w:bdr w:val="none" w:sz="0" w:space="0" w:color="auto"/>
          <w:lang w:eastAsia="zh-CN"/>
        </w:rPr>
        <w:t> 2011; </w:t>
      </w:r>
      <w:r w:rsidRPr="001713F3">
        <w:rPr>
          <w:rFonts w:ascii="Book Antiqua" w:eastAsia="宋体" w:hAnsi="Book Antiqua" w:cs="宋体"/>
          <w:b/>
          <w:bCs/>
          <w:color w:val="000000"/>
          <w:bdr w:val="none" w:sz="0" w:space="0" w:color="auto"/>
          <w:lang w:eastAsia="zh-CN"/>
        </w:rPr>
        <w:t>41 Suppl 2</w:t>
      </w:r>
      <w:r w:rsidRPr="001713F3">
        <w:rPr>
          <w:rFonts w:ascii="Book Antiqua" w:eastAsia="宋体" w:hAnsi="Book Antiqua" w:cs="宋体"/>
          <w:color w:val="000000"/>
          <w:bdr w:val="none" w:sz="0" w:space="0" w:color="auto"/>
          <w:lang w:eastAsia="zh-CN"/>
        </w:rPr>
        <w:t>: 509-513 [PMID: 21847731 DOI: 10.1007/s00247-011-2096-1]</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w:t>
      </w:r>
      <w:r w:rsidR="005015F4">
        <w:rPr>
          <w:rFonts w:ascii="Book Antiqua" w:eastAsia="宋体" w:hAnsi="Book Antiqua" w:cs="宋体" w:hint="eastAsia"/>
          <w:color w:val="000000"/>
          <w:bdr w:val="none" w:sz="0" w:space="0" w:color="auto"/>
          <w:lang w:eastAsia="zh-CN"/>
        </w:rPr>
        <w:t>39</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Stabin MG</w:t>
      </w:r>
      <w:r w:rsidRPr="001713F3">
        <w:rPr>
          <w:rFonts w:ascii="Book Antiqua" w:eastAsia="宋体" w:hAnsi="Book Antiqua" w:cs="宋体"/>
          <w:color w:val="000000"/>
          <w:bdr w:val="none" w:sz="0" w:space="0" w:color="auto"/>
          <w:lang w:eastAsia="zh-CN"/>
        </w:rPr>
        <w:t xml:space="preserve">, Gelfand MJ. </w:t>
      </w:r>
      <w:proofErr w:type="gramStart"/>
      <w:r w:rsidRPr="001713F3">
        <w:rPr>
          <w:rFonts w:ascii="Book Antiqua" w:eastAsia="宋体" w:hAnsi="Book Antiqua" w:cs="宋体"/>
          <w:color w:val="000000"/>
          <w:bdr w:val="none" w:sz="0" w:space="0" w:color="auto"/>
          <w:lang w:eastAsia="zh-CN"/>
        </w:rPr>
        <w:t>Dosimetry of pediatric nuclear medicine procedures.</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Q J Nucl Med</w:t>
      </w:r>
      <w:r w:rsidRPr="001713F3">
        <w:rPr>
          <w:rFonts w:ascii="Book Antiqua" w:eastAsia="宋体" w:hAnsi="Book Antiqua" w:cs="宋体"/>
          <w:color w:val="000000"/>
          <w:bdr w:val="none" w:sz="0" w:space="0" w:color="auto"/>
          <w:lang w:eastAsia="zh-CN"/>
        </w:rPr>
        <w:t> 1998; </w:t>
      </w:r>
      <w:r w:rsidRPr="001713F3">
        <w:rPr>
          <w:rFonts w:ascii="Book Antiqua" w:eastAsia="宋体" w:hAnsi="Book Antiqua" w:cs="宋体"/>
          <w:b/>
          <w:bCs/>
          <w:color w:val="000000"/>
          <w:bdr w:val="none" w:sz="0" w:space="0" w:color="auto"/>
          <w:lang w:eastAsia="zh-CN"/>
        </w:rPr>
        <w:t>42</w:t>
      </w:r>
      <w:r w:rsidRPr="001713F3">
        <w:rPr>
          <w:rFonts w:ascii="Book Antiqua" w:eastAsia="宋体" w:hAnsi="Book Antiqua" w:cs="宋体"/>
          <w:color w:val="000000"/>
          <w:bdr w:val="none" w:sz="0" w:space="0" w:color="auto"/>
          <w:lang w:eastAsia="zh-CN"/>
        </w:rPr>
        <w:t>: 93-112 [PMID: 9695662]</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14</w:t>
      </w:r>
      <w:r w:rsidR="005015F4">
        <w:rPr>
          <w:rFonts w:ascii="Book Antiqua" w:eastAsia="宋体" w:hAnsi="Book Antiqua" w:cs="宋体" w:hint="eastAsia"/>
          <w:color w:val="000000"/>
          <w:bdr w:val="none" w:sz="0" w:space="0" w:color="auto"/>
          <w:lang w:eastAsia="zh-CN"/>
        </w:rPr>
        <w:t>0</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Lassmann M</w:t>
      </w:r>
      <w:r w:rsidRPr="001713F3">
        <w:rPr>
          <w:rFonts w:ascii="Book Antiqua" w:eastAsia="宋体" w:hAnsi="Book Antiqua" w:cs="宋体"/>
          <w:color w:val="000000"/>
          <w:bdr w:val="none" w:sz="0" w:space="0" w:color="auto"/>
          <w:lang w:eastAsia="zh-CN"/>
        </w:rPr>
        <w:t>, Biassoni L, Monsieurs M, Franzius C, Jacobs F</w:t>
      </w:r>
      <w:r w:rsidRPr="001B7F6D">
        <w:rPr>
          <w:rFonts w:ascii="Book Antiqua" w:hAnsi="Book Antiqua"/>
          <w:u w:color="000000"/>
        </w:rPr>
        <w:t>, EANM Dosimetry and Paediatrics Committees</w:t>
      </w:r>
      <w:r w:rsidRPr="001713F3">
        <w:rPr>
          <w:rFonts w:ascii="Book Antiqua" w:eastAsia="宋体" w:hAnsi="Book Antiqua" w:cs="宋体"/>
          <w:color w:val="000000"/>
          <w:bdr w:val="none" w:sz="0" w:space="0" w:color="auto"/>
          <w:lang w:eastAsia="zh-CN"/>
        </w:rPr>
        <w:t xml:space="preserve">. </w:t>
      </w:r>
      <w:proofErr w:type="gramStart"/>
      <w:r w:rsidRPr="001713F3">
        <w:rPr>
          <w:rFonts w:ascii="Book Antiqua" w:eastAsia="宋体" w:hAnsi="Book Antiqua" w:cs="宋体"/>
          <w:color w:val="000000"/>
          <w:bdr w:val="none" w:sz="0" w:space="0" w:color="auto"/>
          <w:lang w:eastAsia="zh-CN"/>
        </w:rPr>
        <w:t>The new EANM paediatric dosage card.</w:t>
      </w:r>
      <w:proofErr w:type="gramEnd"/>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2007; </w:t>
      </w:r>
      <w:r w:rsidRPr="001713F3">
        <w:rPr>
          <w:rFonts w:ascii="Book Antiqua" w:eastAsia="宋体" w:hAnsi="Book Antiqua" w:cs="宋体"/>
          <w:b/>
          <w:bCs/>
          <w:color w:val="000000"/>
          <w:bdr w:val="none" w:sz="0" w:space="0" w:color="auto"/>
          <w:lang w:eastAsia="zh-CN"/>
        </w:rPr>
        <w:t>34</w:t>
      </w:r>
      <w:r w:rsidRPr="001713F3">
        <w:rPr>
          <w:rFonts w:ascii="Book Antiqua" w:eastAsia="宋体" w:hAnsi="Book Antiqua" w:cs="宋体"/>
          <w:color w:val="000000"/>
          <w:bdr w:val="none" w:sz="0" w:space="0" w:color="auto"/>
          <w:lang w:eastAsia="zh-CN"/>
        </w:rPr>
        <w:t>: 796-798 [PMID: 17406866 DOI: 10.1007/s00259-007-0370-0]</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14</w:t>
      </w:r>
      <w:r w:rsidR="005015F4">
        <w:rPr>
          <w:rFonts w:ascii="Book Antiqua" w:eastAsia="宋体" w:hAnsi="Book Antiqua" w:cs="宋体" w:hint="eastAsia"/>
          <w:color w:val="000000"/>
          <w:bdr w:val="none" w:sz="0" w:space="0" w:color="auto"/>
          <w:lang w:eastAsia="zh-CN"/>
        </w:rPr>
        <w:t>1</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Lassmann M</w:t>
      </w:r>
      <w:r w:rsidRPr="001713F3">
        <w:rPr>
          <w:rFonts w:ascii="Book Antiqua" w:eastAsia="宋体" w:hAnsi="Book Antiqua" w:cs="宋体"/>
          <w:color w:val="000000"/>
          <w:bdr w:val="none" w:sz="0" w:space="0" w:color="auto"/>
          <w:lang w:eastAsia="zh-CN"/>
        </w:rPr>
        <w:t>, Biassoni L, Monsieurs M, Franzius C</w:t>
      </w:r>
      <w:r w:rsidR="005015F4" w:rsidRPr="001B7F6D">
        <w:rPr>
          <w:rFonts w:ascii="Book Antiqua" w:hAnsi="Book Antiqua"/>
          <w:u w:color="000000"/>
        </w:rPr>
        <w:t>, EANM Dosimetry and Paediatrics Committees</w:t>
      </w:r>
      <w:r w:rsidRPr="001713F3">
        <w:rPr>
          <w:rFonts w:ascii="Book Antiqua" w:eastAsia="宋体" w:hAnsi="Book Antiqua" w:cs="宋体"/>
          <w:color w:val="000000"/>
          <w:bdr w:val="none" w:sz="0" w:space="0" w:color="auto"/>
          <w:lang w:eastAsia="zh-CN"/>
        </w:rPr>
        <w:t>.</w:t>
      </w:r>
      <w:proofErr w:type="gramEnd"/>
      <w:r w:rsidRPr="001713F3">
        <w:rPr>
          <w:rFonts w:ascii="Book Antiqua" w:eastAsia="宋体" w:hAnsi="Book Antiqua" w:cs="宋体"/>
          <w:color w:val="000000"/>
          <w:bdr w:val="none" w:sz="0" w:space="0" w:color="auto"/>
          <w:lang w:eastAsia="zh-CN"/>
        </w:rPr>
        <w:t xml:space="preserve"> The new EANM paediatric dosage card: additional notes with respect to F-18. </w:t>
      </w:r>
      <w:r w:rsidRPr="001713F3">
        <w:rPr>
          <w:rFonts w:ascii="Book Antiqua" w:eastAsia="宋体" w:hAnsi="Book Antiqua" w:cs="宋体"/>
          <w:i/>
          <w:iCs/>
          <w:color w:val="000000"/>
          <w:bdr w:val="none" w:sz="0" w:space="0" w:color="auto"/>
          <w:lang w:eastAsia="zh-CN"/>
        </w:rPr>
        <w:t>Eur J Nucl Med Mol Imaging</w:t>
      </w:r>
      <w:r w:rsidRPr="001713F3">
        <w:rPr>
          <w:rFonts w:ascii="Book Antiqua" w:eastAsia="宋体" w:hAnsi="Book Antiqua" w:cs="宋体"/>
          <w:color w:val="000000"/>
          <w:bdr w:val="none" w:sz="0" w:space="0" w:color="auto"/>
          <w:lang w:eastAsia="zh-CN"/>
        </w:rPr>
        <w:t> 2008; </w:t>
      </w:r>
      <w:r w:rsidRPr="001713F3">
        <w:rPr>
          <w:rFonts w:ascii="Book Antiqua" w:eastAsia="宋体" w:hAnsi="Book Antiqua" w:cs="宋体"/>
          <w:b/>
          <w:bCs/>
          <w:color w:val="000000"/>
          <w:bdr w:val="none" w:sz="0" w:space="0" w:color="auto"/>
          <w:lang w:eastAsia="zh-CN"/>
        </w:rPr>
        <w:t>35</w:t>
      </w:r>
      <w:r w:rsidRPr="001713F3">
        <w:rPr>
          <w:rFonts w:ascii="Book Antiqua" w:eastAsia="宋体" w:hAnsi="Book Antiqua" w:cs="宋体"/>
          <w:color w:val="000000"/>
          <w:bdr w:val="none" w:sz="0" w:space="0" w:color="auto"/>
          <w:lang w:eastAsia="zh-CN"/>
        </w:rPr>
        <w:t>: 1666-1668 [PMID: 18574583 DOI: 10.1007/s00259-008-0799-9]</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proofErr w:type="gramStart"/>
      <w:r w:rsidRPr="001713F3">
        <w:rPr>
          <w:rFonts w:ascii="Book Antiqua" w:eastAsia="宋体" w:hAnsi="Book Antiqua" w:cs="宋体"/>
          <w:color w:val="000000"/>
          <w:bdr w:val="none" w:sz="0" w:space="0" w:color="auto"/>
          <w:lang w:eastAsia="zh-CN"/>
        </w:rPr>
        <w:t>14</w:t>
      </w:r>
      <w:r w:rsidR="005015F4">
        <w:rPr>
          <w:rFonts w:ascii="Book Antiqua" w:eastAsia="宋体" w:hAnsi="Book Antiqua" w:cs="宋体" w:hint="eastAsia"/>
          <w:color w:val="000000"/>
          <w:bdr w:val="none" w:sz="0" w:space="0" w:color="auto"/>
          <w:lang w:eastAsia="zh-CN"/>
        </w:rPr>
        <w:t>2</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Gelfand MJ</w:t>
      </w:r>
      <w:r w:rsidRPr="001713F3">
        <w:rPr>
          <w:rFonts w:ascii="Book Antiqua" w:eastAsia="宋体" w:hAnsi="Book Antiqua" w:cs="宋体"/>
          <w:color w:val="000000"/>
          <w:bdr w:val="none" w:sz="0" w:space="0" w:color="auto"/>
          <w:lang w:eastAsia="zh-CN"/>
        </w:rPr>
        <w:t>, Parisi MT, Treves ST</w:t>
      </w:r>
      <w:r w:rsidR="005015F4">
        <w:rPr>
          <w:rFonts w:ascii="Book Antiqua" w:hAnsi="Book Antiqua" w:hint="eastAsia"/>
          <w:u w:color="000000"/>
          <w:lang w:eastAsia="zh-CN"/>
        </w:rPr>
        <w:t>;</w:t>
      </w:r>
      <w:r w:rsidR="005015F4" w:rsidRPr="001B7F6D">
        <w:rPr>
          <w:rFonts w:ascii="Book Antiqua" w:hAnsi="Book Antiqua"/>
          <w:u w:color="000000"/>
        </w:rPr>
        <w:t xml:space="preserve"> Pediatric Nuclear Medicine Dose Reduction Workgroup</w:t>
      </w:r>
      <w:r w:rsidRPr="001713F3">
        <w:rPr>
          <w:rFonts w:ascii="Book Antiqua" w:eastAsia="宋体" w:hAnsi="Book Antiqua" w:cs="宋体"/>
          <w:color w:val="000000"/>
          <w:bdr w:val="none" w:sz="0" w:space="0" w:color="auto"/>
          <w:lang w:eastAsia="zh-CN"/>
        </w:rPr>
        <w:t>.</w:t>
      </w:r>
      <w:proofErr w:type="gramEnd"/>
      <w:r w:rsidRPr="001713F3">
        <w:rPr>
          <w:rFonts w:ascii="Book Antiqua" w:eastAsia="宋体" w:hAnsi="Book Antiqua" w:cs="宋体"/>
          <w:color w:val="000000"/>
          <w:bdr w:val="none" w:sz="0" w:space="0" w:color="auto"/>
          <w:lang w:eastAsia="zh-CN"/>
        </w:rPr>
        <w:t xml:space="preserve"> Pediatric radiopharmaceutical administered doses: 2010 North American consensus guidelines. </w:t>
      </w:r>
      <w:r w:rsidRPr="001713F3">
        <w:rPr>
          <w:rFonts w:ascii="Book Antiqua" w:eastAsia="宋体" w:hAnsi="Book Antiqua" w:cs="宋体"/>
          <w:i/>
          <w:iCs/>
          <w:color w:val="000000"/>
          <w:bdr w:val="none" w:sz="0" w:space="0" w:color="auto"/>
          <w:lang w:eastAsia="zh-CN"/>
        </w:rPr>
        <w:t>J Nucl Med</w:t>
      </w:r>
      <w:r w:rsidRPr="001713F3">
        <w:rPr>
          <w:rFonts w:ascii="Book Antiqua" w:eastAsia="宋体" w:hAnsi="Book Antiqua" w:cs="宋体"/>
          <w:color w:val="000000"/>
          <w:bdr w:val="none" w:sz="0" w:space="0" w:color="auto"/>
          <w:lang w:eastAsia="zh-CN"/>
        </w:rPr>
        <w:t> 2011; </w:t>
      </w:r>
      <w:r w:rsidRPr="001713F3">
        <w:rPr>
          <w:rFonts w:ascii="Book Antiqua" w:eastAsia="宋体" w:hAnsi="Book Antiqua" w:cs="宋体"/>
          <w:b/>
          <w:bCs/>
          <w:color w:val="000000"/>
          <w:bdr w:val="none" w:sz="0" w:space="0" w:color="auto"/>
          <w:lang w:eastAsia="zh-CN"/>
        </w:rPr>
        <w:t>52</w:t>
      </w:r>
      <w:r w:rsidRPr="001713F3">
        <w:rPr>
          <w:rFonts w:ascii="Book Antiqua" w:eastAsia="宋体" w:hAnsi="Book Antiqua" w:cs="宋体"/>
          <w:color w:val="000000"/>
          <w:bdr w:val="none" w:sz="0" w:space="0" w:color="auto"/>
          <w:lang w:eastAsia="zh-CN"/>
        </w:rPr>
        <w:t>: 318-322 [PMID: 21233182 DOI: 10.2967/jnumed.110.084327]</w:t>
      </w:r>
    </w:p>
    <w:p w:rsidR="001713F3" w:rsidRPr="001713F3" w:rsidRDefault="001713F3" w:rsidP="001713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color w:val="000000"/>
          <w:bdr w:val="none" w:sz="0" w:space="0" w:color="auto"/>
          <w:lang w:eastAsia="zh-CN"/>
        </w:rPr>
      </w:pPr>
      <w:r w:rsidRPr="001713F3">
        <w:rPr>
          <w:rFonts w:ascii="Book Antiqua" w:eastAsia="宋体" w:hAnsi="Book Antiqua" w:cs="宋体"/>
          <w:color w:val="000000"/>
          <w:bdr w:val="none" w:sz="0" w:space="0" w:color="auto"/>
          <w:lang w:eastAsia="zh-CN"/>
        </w:rPr>
        <w:t>14</w:t>
      </w:r>
      <w:r w:rsidR="005015F4">
        <w:rPr>
          <w:rFonts w:ascii="Book Antiqua" w:eastAsia="宋体" w:hAnsi="Book Antiqua" w:cs="宋体" w:hint="eastAsia"/>
          <w:color w:val="000000"/>
          <w:bdr w:val="none" w:sz="0" w:space="0" w:color="auto"/>
          <w:lang w:eastAsia="zh-CN"/>
        </w:rPr>
        <w:t>3</w:t>
      </w:r>
      <w:r w:rsidRPr="001713F3">
        <w:rPr>
          <w:rFonts w:ascii="Book Antiqua" w:eastAsia="宋体" w:hAnsi="Book Antiqua" w:cs="宋体"/>
          <w:color w:val="000000"/>
          <w:bdr w:val="none" w:sz="0" w:space="0" w:color="auto"/>
          <w:lang w:eastAsia="zh-CN"/>
        </w:rPr>
        <w:t> </w:t>
      </w:r>
      <w:r w:rsidRPr="001713F3">
        <w:rPr>
          <w:rFonts w:ascii="Book Antiqua" w:eastAsia="宋体" w:hAnsi="Book Antiqua" w:cs="宋体"/>
          <w:b/>
          <w:bCs/>
          <w:color w:val="000000"/>
          <w:bdr w:val="none" w:sz="0" w:space="0" w:color="auto"/>
          <w:lang w:eastAsia="zh-CN"/>
        </w:rPr>
        <w:t>Gelfand MJ</w:t>
      </w:r>
      <w:r w:rsidRPr="001713F3">
        <w:rPr>
          <w:rFonts w:ascii="Book Antiqua" w:eastAsia="宋体" w:hAnsi="Book Antiqua" w:cs="宋体"/>
          <w:color w:val="000000"/>
          <w:bdr w:val="none" w:sz="0" w:space="0" w:color="auto"/>
          <w:lang w:eastAsia="zh-CN"/>
        </w:rPr>
        <w:t>, Lemen LC. PET/CT and SPECT/CT dosimetry in children: the challenge to the pediatric imager. </w:t>
      </w:r>
      <w:r w:rsidRPr="001713F3">
        <w:rPr>
          <w:rFonts w:ascii="Book Antiqua" w:eastAsia="宋体" w:hAnsi="Book Antiqua" w:cs="宋体"/>
          <w:i/>
          <w:iCs/>
          <w:color w:val="000000"/>
          <w:bdr w:val="none" w:sz="0" w:space="0" w:color="auto"/>
          <w:lang w:eastAsia="zh-CN"/>
        </w:rPr>
        <w:t>Semin Nucl Med</w:t>
      </w:r>
      <w:r w:rsidRPr="001713F3">
        <w:rPr>
          <w:rFonts w:ascii="Book Antiqua" w:eastAsia="宋体" w:hAnsi="Book Antiqua" w:cs="宋体"/>
          <w:color w:val="000000"/>
          <w:bdr w:val="none" w:sz="0" w:space="0" w:color="auto"/>
          <w:lang w:eastAsia="zh-CN"/>
        </w:rPr>
        <w:t> 2007; </w:t>
      </w:r>
      <w:r w:rsidRPr="001713F3">
        <w:rPr>
          <w:rFonts w:ascii="Book Antiqua" w:eastAsia="宋体" w:hAnsi="Book Antiqua" w:cs="宋体"/>
          <w:b/>
          <w:bCs/>
          <w:color w:val="000000"/>
          <w:bdr w:val="none" w:sz="0" w:space="0" w:color="auto"/>
          <w:lang w:eastAsia="zh-CN"/>
        </w:rPr>
        <w:t>37</w:t>
      </w:r>
      <w:r w:rsidRPr="001713F3">
        <w:rPr>
          <w:rFonts w:ascii="Book Antiqua" w:eastAsia="宋体" w:hAnsi="Book Antiqua" w:cs="宋体"/>
          <w:color w:val="000000"/>
          <w:bdr w:val="none" w:sz="0" w:space="0" w:color="auto"/>
          <w:lang w:eastAsia="zh-CN"/>
        </w:rPr>
        <w:t>: 391-398 [PMID: 17707244 DOI: 10.1053/j.semnuclmed.2007.05.002]</w:t>
      </w:r>
    </w:p>
    <w:p w:rsidR="005015F4" w:rsidRDefault="005015F4" w:rsidP="005015F4">
      <w:pPr>
        <w:wordWrap w:val="0"/>
        <w:ind w:left="482" w:hangingChars="200" w:hanging="482"/>
        <w:jc w:val="right"/>
        <w:rPr>
          <w:rFonts w:ascii="Book Antiqua" w:hAnsi="Book Antiqua"/>
          <w:b/>
        </w:rPr>
      </w:pPr>
    </w:p>
    <w:p w:rsidR="00C62363" w:rsidRDefault="005015F4" w:rsidP="00C62363">
      <w:pPr>
        <w:pStyle w:val="Body"/>
        <w:wordWrap w:val="0"/>
        <w:spacing w:line="360" w:lineRule="auto"/>
        <w:jc w:val="right"/>
        <w:rPr>
          <w:rFonts w:ascii="Tahoma" w:hAnsi="Tahoma" w:cs="Tahoma"/>
          <w:sz w:val="18"/>
          <w:szCs w:val="18"/>
          <w:shd w:val="clear" w:color="auto" w:fill="FFFFFF"/>
          <w:lang w:eastAsia="zh-CN"/>
        </w:rPr>
      </w:pPr>
      <w:r w:rsidRPr="005015F4">
        <w:rPr>
          <w:rFonts w:ascii="Book Antiqua" w:hAnsi="Book Antiqua"/>
          <w:b/>
          <w:sz w:val="24"/>
          <w:szCs w:val="24"/>
        </w:rPr>
        <w:t>P-Reviewer</w:t>
      </w:r>
      <w:r w:rsidRPr="005015F4">
        <w:rPr>
          <w:rFonts w:ascii="Book Antiqua" w:hAnsi="Book Antiqua" w:hint="eastAsia"/>
          <w:b/>
          <w:sz w:val="24"/>
          <w:szCs w:val="24"/>
        </w:rPr>
        <w:t>:</w:t>
      </w:r>
      <w:r w:rsidR="005F1053">
        <w:rPr>
          <w:rFonts w:ascii="Book Antiqua" w:hAnsi="Book Antiqua" w:hint="eastAsia"/>
          <w:b/>
          <w:sz w:val="24"/>
          <w:szCs w:val="24"/>
        </w:rPr>
        <w:t xml:space="preserve"> </w:t>
      </w:r>
      <w:r w:rsidR="00C62363" w:rsidRPr="00C62363">
        <w:rPr>
          <w:rFonts w:ascii="Book Antiqua" w:hAnsi="Book Antiqua"/>
          <w:sz w:val="24"/>
          <w:szCs w:val="24"/>
          <w:lang w:eastAsia="zh-CN"/>
        </w:rPr>
        <w:t>Brasic</w:t>
      </w:r>
      <w:r w:rsidR="00C62363" w:rsidRPr="00C62363">
        <w:rPr>
          <w:rFonts w:ascii="Book Antiqua" w:hAnsi="Book Antiqua" w:hint="eastAsia"/>
          <w:sz w:val="24"/>
          <w:szCs w:val="24"/>
          <w:lang w:eastAsia="zh-CN"/>
        </w:rPr>
        <w:t xml:space="preserve"> JR, </w:t>
      </w:r>
      <w:r w:rsidR="00C62363" w:rsidRPr="00C62363">
        <w:rPr>
          <w:rFonts w:ascii="Book Antiqua" w:hAnsi="Book Antiqua"/>
          <w:sz w:val="24"/>
          <w:szCs w:val="24"/>
          <w:lang w:eastAsia="zh-CN"/>
        </w:rPr>
        <w:t>Cheng Z</w:t>
      </w:r>
      <w:r w:rsidR="00C62363" w:rsidRPr="00C62363">
        <w:rPr>
          <w:rFonts w:ascii="Book Antiqua" w:hAnsi="Book Antiqua" w:hint="eastAsia"/>
          <w:sz w:val="24"/>
          <w:szCs w:val="24"/>
          <w:lang w:eastAsia="zh-CN"/>
        </w:rPr>
        <w:t xml:space="preserve">, </w:t>
      </w:r>
      <w:r w:rsidR="00C62363" w:rsidRPr="00C62363">
        <w:rPr>
          <w:rFonts w:ascii="Book Antiqua" w:hAnsi="Book Antiqua"/>
          <w:sz w:val="24"/>
          <w:szCs w:val="24"/>
          <w:lang w:eastAsia="zh-CN"/>
        </w:rPr>
        <w:t>Morbelli</w:t>
      </w:r>
      <w:r w:rsidR="00C62363" w:rsidRPr="00C62363">
        <w:rPr>
          <w:rFonts w:ascii="Book Antiqua" w:hAnsi="Book Antiqua" w:hint="eastAsia"/>
          <w:sz w:val="24"/>
          <w:szCs w:val="24"/>
          <w:lang w:eastAsia="zh-CN"/>
        </w:rPr>
        <w:t xml:space="preserve"> SD, </w:t>
      </w:r>
      <w:r w:rsidR="00C62363" w:rsidRPr="00C62363">
        <w:rPr>
          <w:rFonts w:ascii="Book Antiqua" w:hAnsi="Book Antiqua"/>
          <w:sz w:val="24"/>
          <w:szCs w:val="24"/>
          <w:lang w:eastAsia="zh-CN"/>
        </w:rPr>
        <w:t>Muller</w:t>
      </w:r>
      <w:r w:rsidR="00C62363" w:rsidRPr="00C62363">
        <w:rPr>
          <w:rFonts w:ascii="Book Antiqua" w:hAnsi="Book Antiqua" w:hint="eastAsia"/>
          <w:sz w:val="24"/>
          <w:szCs w:val="24"/>
          <w:lang w:eastAsia="zh-CN"/>
        </w:rPr>
        <w:t xml:space="preserve"> HW, </w:t>
      </w:r>
      <w:r w:rsidR="00C62363" w:rsidRPr="00C62363">
        <w:rPr>
          <w:rFonts w:ascii="Book Antiqua" w:hAnsi="Book Antiqua"/>
          <w:sz w:val="24"/>
          <w:szCs w:val="24"/>
          <w:lang w:eastAsia="zh-CN"/>
        </w:rPr>
        <w:t>Storto</w:t>
      </w:r>
      <w:r w:rsidR="00C62363" w:rsidRPr="00C62363">
        <w:rPr>
          <w:rFonts w:ascii="Book Antiqua" w:hAnsi="Book Antiqua" w:hint="eastAsia"/>
          <w:sz w:val="24"/>
          <w:szCs w:val="24"/>
          <w:lang w:eastAsia="zh-CN"/>
        </w:rPr>
        <w:t xml:space="preserve"> G, </w:t>
      </w:r>
      <w:r w:rsidR="00C62363" w:rsidRPr="00C62363">
        <w:rPr>
          <w:rFonts w:ascii="Book Antiqua" w:hAnsi="Book Antiqua"/>
          <w:sz w:val="24"/>
          <w:szCs w:val="24"/>
          <w:lang w:eastAsia="zh-CN"/>
        </w:rPr>
        <w:t>Treglia G</w:t>
      </w:r>
    </w:p>
    <w:p w:rsidR="001713F3" w:rsidRDefault="005015F4" w:rsidP="00C62363">
      <w:pPr>
        <w:pStyle w:val="Body"/>
        <w:wordWrap w:val="0"/>
        <w:spacing w:line="360" w:lineRule="auto"/>
        <w:jc w:val="right"/>
        <w:rPr>
          <w:rFonts w:ascii="Book Antiqua" w:hAnsi="Book Antiqua"/>
          <w:b/>
          <w:sz w:val="24"/>
          <w:szCs w:val="24"/>
          <w:lang w:eastAsia="zh-CN"/>
        </w:rPr>
      </w:pPr>
      <w:r w:rsidRPr="005015F4">
        <w:rPr>
          <w:rFonts w:ascii="Book Antiqua" w:hAnsi="Book Antiqua"/>
          <w:b/>
          <w:sz w:val="24"/>
          <w:szCs w:val="24"/>
        </w:rPr>
        <w:t>S-Editor</w:t>
      </w:r>
      <w:r w:rsidRPr="005015F4">
        <w:rPr>
          <w:rFonts w:ascii="Book Antiqua" w:hAnsi="Book Antiqua" w:hint="eastAsia"/>
          <w:b/>
          <w:sz w:val="24"/>
          <w:szCs w:val="24"/>
        </w:rPr>
        <w:t>:</w:t>
      </w:r>
      <w:r w:rsidR="00C62363" w:rsidRPr="00C62363">
        <w:rPr>
          <w:rFonts w:ascii="Book Antiqua" w:hAnsi="Book Antiqua" w:hint="eastAsia"/>
          <w:sz w:val="24"/>
          <w:szCs w:val="24"/>
          <w:lang w:eastAsia="zh-CN"/>
        </w:rPr>
        <w:t xml:space="preserve"> Song XX</w:t>
      </w:r>
      <w:r w:rsidRPr="005015F4">
        <w:rPr>
          <w:rFonts w:ascii="Book Antiqua" w:hAnsi="Book Antiqua" w:hint="eastAsia"/>
          <w:sz w:val="24"/>
          <w:szCs w:val="24"/>
        </w:rPr>
        <w:t xml:space="preserve"> </w:t>
      </w:r>
      <w:r w:rsidRPr="005015F4">
        <w:rPr>
          <w:rFonts w:ascii="Book Antiqua" w:hAnsi="Book Antiqua"/>
          <w:b/>
          <w:sz w:val="24"/>
          <w:szCs w:val="24"/>
        </w:rPr>
        <w:t>L</w:t>
      </w:r>
      <w:r w:rsidRPr="005015F4">
        <w:rPr>
          <w:rFonts w:ascii="Book Antiqua" w:hAnsi="Book Antiqua" w:hint="eastAsia"/>
          <w:b/>
          <w:sz w:val="24"/>
          <w:szCs w:val="24"/>
        </w:rPr>
        <w:t>-</w:t>
      </w:r>
      <w:r w:rsidRPr="005015F4">
        <w:rPr>
          <w:rFonts w:ascii="Book Antiqua" w:hAnsi="Book Antiqua"/>
          <w:b/>
          <w:sz w:val="24"/>
          <w:szCs w:val="24"/>
        </w:rPr>
        <w:t>Editor</w:t>
      </w:r>
      <w:r w:rsidRPr="005015F4">
        <w:rPr>
          <w:rFonts w:ascii="Book Antiqua" w:hAnsi="Book Antiqua" w:hint="eastAsia"/>
          <w:b/>
          <w:sz w:val="24"/>
          <w:szCs w:val="24"/>
        </w:rPr>
        <w:t>:</w:t>
      </w:r>
      <w:r w:rsidRPr="005015F4">
        <w:rPr>
          <w:rFonts w:ascii="Book Antiqua" w:hAnsi="Book Antiqua"/>
          <w:sz w:val="24"/>
          <w:szCs w:val="24"/>
        </w:rPr>
        <w:t xml:space="preserve"> </w:t>
      </w:r>
      <w:r w:rsidRPr="005015F4">
        <w:rPr>
          <w:rFonts w:ascii="Book Antiqua" w:hAnsi="Book Antiqua"/>
          <w:b/>
          <w:sz w:val="24"/>
          <w:szCs w:val="24"/>
        </w:rPr>
        <w:t>E</w:t>
      </w:r>
      <w:r w:rsidRPr="005015F4">
        <w:rPr>
          <w:rFonts w:ascii="Book Antiqua" w:hAnsi="Book Antiqua" w:hint="eastAsia"/>
          <w:b/>
          <w:sz w:val="24"/>
          <w:szCs w:val="24"/>
        </w:rPr>
        <w:t>-</w:t>
      </w:r>
      <w:r w:rsidRPr="005015F4">
        <w:rPr>
          <w:rFonts w:ascii="Book Antiqua" w:hAnsi="Book Antiqua"/>
          <w:b/>
          <w:sz w:val="24"/>
          <w:szCs w:val="24"/>
        </w:rPr>
        <w:t>Editor</w:t>
      </w:r>
      <w:r w:rsidRPr="005015F4">
        <w:rPr>
          <w:rFonts w:ascii="Book Antiqua" w:hAnsi="Book Antiqua" w:hint="eastAsia"/>
          <w:b/>
          <w:sz w:val="24"/>
          <w:szCs w:val="24"/>
        </w:rPr>
        <w:t>:</w:t>
      </w:r>
    </w:p>
    <w:p w:rsidR="0019301A" w:rsidRDefault="0019301A" w:rsidP="0019301A">
      <w:pPr>
        <w:pStyle w:val="Body"/>
        <w:spacing w:line="360" w:lineRule="auto"/>
        <w:rPr>
          <w:rFonts w:ascii="Book Antiqua" w:hAnsi="Book Antiqua"/>
          <w:b/>
          <w:sz w:val="24"/>
          <w:szCs w:val="24"/>
          <w:lang w:eastAsia="zh-CN"/>
        </w:rPr>
      </w:pPr>
    </w:p>
    <w:p w:rsidR="0019301A" w:rsidRDefault="00E25C1E" w:rsidP="0019301A">
      <w:pPr>
        <w:pStyle w:val="Body"/>
        <w:spacing w:line="360" w:lineRule="auto"/>
        <w:rPr>
          <w:rFonts w:ascii="Book Antiqua" w:hAnsi="Book Antiqua"/>
          <w:b/>
          <w:sz w:val="24"/>
          <w:szCs w:val="24"/>
          <w:lang w:eastAsia="zh-CN"/>
        </w:rPr>
      </w:pPr>
      <w:r w:rsidRPr="00E25C1E">
        <w:rPr>
          <w:rFonts w:ascii="Book Antiqua" w:hAnsi="Book Antiqua"/>
          <w:b/>
          <w:noProof/>
          <w:sz w:val="24"/>
          <w:szCs w:val="24"/>
          <w:lang w:eastAsia="zh-CN"/>
        </w:rPr>
        <w:drawing>
          <wp:inline distT="0" distB="0" distL="0" distR="0" wp14:anchorId="488CC1FB" wp14:editId="5AFA9944">
            <wp:extent cx="3657917" cy="274343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7917" cy="2743438"/>
                    </a:xfrm>
                    <a:prstGeom prst="rect">
                      <a:avLst/>
                    </a:prstGeom>
                  </pic:spPr>
                </pic:pic>
              </a:graphicData>
            </a:graphic>
          </wp:inline>
        </w:drawing>
      </w:r>
    </w:p>
    <w:p w:rsidR="0019301A" w:rsidRPr="00F11C6E" w:rsidRDefault="00F11C6E" w:rsidP="00F11C6E">
      <w:pPr>
        <w:pStyle w:val="Body"/>
        <w:spacing w:line="360" w:lineRule="auto"/>
        <w:jc w:val="both"/>
        <w:rPr>
          <w:rFonts w:ascii="Book Antiqua" w:hAnsi="Book Antiqua"/>
          <w:b/>
          <w:sz w:val="24"/>
          <w:szCs w:val="24"/>
          <w:lang w:eastAsia="zh-CN"/>
        </w:rPr>
      </w:pPr>
      <w:r>
        <w:rPr>
          <w:rFonts w:ascii="Book Antiqua" w:hAnsi="Book Antiqua"/>
          <w:b/>
          <w:sz w:val="24"/>
          <w:szCs w:val="24"/>
          <w:lang w:val="en-AU" w:eastAsia="zh-CN"/>
        </w:rPr>
        <w:lastRenderedPageBreak/>
        <w:t>Figure 1</w:t>
      </w:r>
      <w:r w:rsidR="0019301A" w:rsidRPr="00F11C6E">
        <w:rPr>
          <w:rFonts w:ascii="Book Antiqua" w:hAnsi="Book Antiqua"/>
          <w:b/>
          <w:sz w:val="24"/>
          <w:szCs w:val="24"/>
          <w:lang w:val="en-AU" w:eastAsia="zh-CN"/>
        </w:rPr>
        <w:t xml:space="preserve"> A 13 year-old male with nodular sclerosing Hodgkin’s disease. </w:t>
      </w:r>
      <w:proofErr w:type="gramStart"/>
      <w:r w:rsidR="0019301A" w:rsidRPr="00F11C6E">
        <w:rPr>
          <w:rFonts w:ascii="Book Antiqua" w:hAnsi="Book Antiqua"/>
          <w:sz w:val="24"/>
          <w:szCs w:val="24"/>
          <w:lang w:val="en-AU" w:eastAsia="zh-CN"/>
        </w:rPr>
        <w:t>PET/CT at staging (</w:t>
      </w:r>
      <w:r w:rsidRPr="00F11C6E">
        <w:rPr>
          <w:rFonts w:ascii="Book Antiqua" w:hAnsi="Book Antiqua"/>
          <w:sz w:val="24"/>
          <w:szCs w:val="24"/>
          <w:lang w:val="en-AU" w:eastAsia="zh-CN"/>
        </w:rPr>
        <w:t>A</w:t>
      </w:r>
      <w:r w:rsidR="0019301A" w:rsidRPr="00F11C6E">
        <w:rPr>
          <w:rFonts w:ascii="Book Antiqua" w:hAnsi="Book Antiqua"/>
          <w:sz w:val="24"/>
          <w:szCs w:val="24"/>
          <w:lang w:val="en-AU" w:eastAsia="zh-CN"/>
        </w:rPr>
        <w:t>) demonstrated disease in the left external iliac region.</w:t>
      </w:r>
      <w:proofErr w:type="gramEnd"/>
      <w:r w:rsidR="0019301A" w:rsidRPr="00F11C6E">
        <w:rPr>
          <w:rFonts w:ascii="Book Antiqua" w:hAnsi="Book Antiqua"/>
          <w:sz w:val="24"/>
          <w:szCs w:val="24"/>
          <w:lang w:val="en-AU" w:eastAsia="zh-CN"/>
        </w:rPr>
        <w:t xml:space="preserve"> After completion of chemotherapy 4 mo later (</w:t>
      </w:r>
      <w:r w:rsidRPr="00F11C6E">
        <w:rPr>
          <w:rFonts w:ascii="Book Antiqua" w:hAnsi="Book Antiqua"/>
          <w:sz w:val="24"/>
          <w:szCs w:val="24"/>
          <w:lang w:val="en-AU" w:eastAsia="zh-CN"/>
        </w:rPr>
        <w:t>B</w:t>
      </w:r>
      <w:r w:rsidR="0019301A" w:rsidRPr="00F11C6E">
        <w:rPr>
          <w:rFonts w:ascii="Book Antiqua" w:hAnsi="Book Antiqua"/>
          <w:sz w:val="24"/>
          <w:szCs w:val="24"/>
          <w:lang w:val="en-AU" w:eastAsia="zh-CN"/>
        </w:rPr>
        <w:t>) there was a complete metabolic response with no activity in the residual lymph node mass. PET/CT performed 6 mo later (</w:t>
      </w:r>
      <w:r w:rsidRPr="00F11C6E">
        <w:rPr>
          <w:rFonts w:ascii="Book Antiqua" w:hAnsi="Book Antiqua"/>
          <w:sz w:val="24"/>
          <w:szCs w:val="24"/>
          <w:lang w:val="en-AU" w:eastAsia="zh-CN"/>
        </w:rPr>
        <w:t>C</w:t>
      </w:r>
      <w:r w:rsidR="0019301A" w:rsidRPr="00F11C6E">
        <w:rPr>
          <w:rFonts w:ascii="Book Antiqua" w:hAnsi="Book Antiqua"/>
          <w:sz w:val="24"/>
          <w:szCs w:val="24"/>
          <w:lang w:val="en-AU" w:eastAsia="zh-CN"/>
        </w:rPr>
        <w:t xml:space="preserve">) for surveillance demonstrated a recurrence at the same site. </w:t>
      </w:r>
      <w:r w:rsidRPr="00F11C6E">
        <w:rPr>
          <w:rFonts w:ascii="Book Antiqua" w:hAnsi="Book Antiqua"/>
          <w:sz w:val="24"/>
          <w:szCs w:val="24"/>
          <w:lang w:val="en-AU" w:eastAsia="zh-CN"/>
        </w:rPr>
        <w:t>PET/CT</w:t>
      </w:r>
      <w:r>
        <w:rPr>
          <w:rFonts w:ascii="Book Antiqua" w:hAnsi="Book Antiqua" w:hint="eastAsia"/>
          <w:sz w:val="24"/>
          <w:szCs w:val="24"/>
          <w:lang w:val="en-AU" w:eastAsia="zh-CN"/>
        </w:rPr>
        <w:t>:</w:t>
      </w:r>
      <w:r w:rsidR="0019301A" w:rsidRPr="00F11C6E">
        <w:rPr>
          <w:rFonts w:ascii="Book Antiqua" w:hAnsi="Book Antiqua"/>
          <w:sz w:val="24"/>
          <w:szCs w:val="24"/>
          <w:lang w:val="en-AU" w:eastAsia="zh-CN"/>
        </w:rPr>
        <w:t xml:space="preserve"> </w:t>
      </w:r>
      <w:r w:rsidRPr="00F11C6E">
        <w:rPr>
          <w:rFonts w:ascii="Book Antiqua" w:hAnsi="Book Antiqua"/>
          <w:sz w:val="24"/>
          <w:szCs w:val="24"/>
          <w:lang w:eastAsia="zh-CN"/>
        </w:rPr>
        <w:t>P</w:t>
      </w:r>
      <w:r w:rsidRPr="00F11C6E">
        <w:rPr>
          <w:rFonts w:ascii="Book Antiqua" w:hAnsi="Book Antiqua"/>
          <w:sz w:val="24"/>
          <w:szCs w:val="24"/>
        </w:rPr>
        <w:t>ositron emission tomography/computed tomography</w:t>
      </w:r>
      <w:r>
        <w:rPr>
          <w:rFonts w:ascii="Book Antiqua" w:hAnsi="Book Antiqua" w:hint="eastAsia"/>
          <w:sz w:val="24"/>
          <w:szCs w:val="24"/>
          <w:lang w:eastAsia="zh-CN"/>
        </w:rPr>
        <w:t>.</w:t>
      </w:r>
    </w:p>
    <w:p w:rsidR="0019301A" w:rsidRPr="00F11C6E" w:rsidRDefault="0019301A" w:rsidP="00F11C6E">
      <w:pPr>
        <w:pStyle w:val="Body"/>
        <w:spacing w:line="360" w:lineRule="auto"/>
        <w:jc w:val="both"/>
        <w:rPr>
          <w:rFonts w:ascii="Book Antiqua" w:hAnsi="Book Antiqua" w:cs="Palatino"/>
          <w:b/>
          <w:sz w:val="24"/>
          <w:szCs w:val="24"/>
          <w:u w:color="000000"/>
          <w:lang w:eastAsia="zh-CN"/>
        </w:rPr>
      </w:pP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r w:rsidRPr="00F11C6E">
        <w:rPr>
          <w:rFonts w:ascii="Book Antiqua" w:hAnsi="Book Antiqua" w:cs="Palatino"/>
          <w:b/>
          <w:noProof/>
          <w:sz w:val="24"/>
          <w:szCs w:val="24"/>
          <w:u w:color="000000"/>
          <w:lang w:eastAsia="zh-CN"/>
        </w:rPr>
        <w:drawing>
          <wp:inline distT="0" distB="0" distL="0" distR="0" wp14:anchorId="5AD6B2CC" wp14:editId="799627EE">
            <wp:extent cx="3657917" cy="27434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57917" cy="2743438"/>
                    </a:xfrm>
                    <a:prstGeom prst="rect">
                      <a:avLst/>
                    </a:prstGeom>
                  </pic:spPr>
                </pic:pic>
              </a:graphicData>
            </a:graphic>
          </wp:inline>
        </w:drawing>
      </w:r>
    </w:p>
    <w:p w:rsidR="00E25C1E" w:rsidRPr="00F11C6E" w:rsidRDefault="00F11C6E" w:rsidP="00F11C6E">
      <w:pPr>
        <w:pStyle w:val="Body"/>
        <w:spacing w:line="360" w:lineRule="auto"/>
        <w:jc w:val="both"/>
        <w:rPr>
          <w:rFonts w:ascii="Book Antiqua" w:hAnsi="Book Antiqua" w:cs="Palatino"/>
          <w:b/>
          <w:sz w:val="24"/>
          <w:szCs w:val="24"/>
          <w:u w:color="000000"/>
          <w:lang w:eastAsia="zh-CN"/>
        </w:rPr>
      </w:pPr>
      <w:r>
        <w:rPr>
          <w:rFonts w:ascii="Book Antiqua" w:hAnsi="Book Antiqua" w:cs="Palatino"/>
          <w:b/>
          <w:sz w:val="24"/>
          <w:szCs w:val="24"/>
          <w:u w:color="000000"/>
          <w:lang w:val="en-AU" w:eastAsia="zh-CN"/>
        </w:rPr>
        <w:t>Figure 2</w:t>
      </w:r>
      <w:r w:rsidR="005F1053">
        <w:rPr>
          <w:rFonts w:ascii="Book Antiqua" w:hAnsi="Book Antiqua" w:cs="Palatino"/>
          <w:b/>
          <w:sz w:val="24"/>
          <w:szCs w:val="24"/>
          <w:u w:color="000000"/>
          <w:lang w:val="en-AU" w:eastAsia="zh-CN"/>
        </w:rPr>
        <w:t xml:space="preserve"> A 5</w:t>
      </w:r>
      <w:r w:rsidR="005F1053">
        <w:rPr>
          <w:rFonts w:ascii="Book Antiqua" w:hAnsi="Book Antiqua" w:cs="Palatino" w:hint="eastAsia"/>
          <w:b/>
          <w:sz w:val="24"/>
          <w:szCs w:val="24"/>
          <w:u w:color="000000"/>
          <w:lang w:val="en-AU" w:eastAsia="zh-CN"/>
        </w:rPr>
        <w:t>-</w:t>
      </w:r>
      <w:r w:rsidR="00E25C1E" w:rsidRPr="00F11C6E">
        <w:rPr>
          <w:rFonts w:ascii="Book Antiqua" w:hAnsi="Book Antiqua" w:cs="Palatino"/>
          <w:b/>
          <w:sz w:val="24"/>
          <w:szCs w:val="24"/>
          <w:u w:color="000000"/>
          <w:lang w:val="en-AU" w:eastAsia="zh-CN"/>
        </w:rPr>
        <w:t xml:space="preserve">year-old male </w:t>
      </w:r>
      <w:proofErr w:type="gramStart"/>
      <w:r w:rsidR="00E25C1E" w:rsidRPr="00F11C6E">
        <w:rPr>
          <w:rFonts w:ascii="Book Antiqua" w:hAnsi="Book Antiqua" w:cs="Palatino"/>
          <w:b/>
          <w:sz w:val="24"/>
          <w:szCs w:val="24"/>
          <w:u w:color="000000"/>
          <w:lang w:val="en-AU" w:eastAsia="zh-CN"/>
        </w:rPr>
        <w:t>patient</w:t>
      </w:r>
      <w:proofErr w:type="gramEnd"/>
      <w:r w:rsidR="00E25C1E" w:rsidRPr="00F11C6E">
        <w:rPr>
          <w:rFonts w:ascii="Book Antiqua" w:hAnsi="Book Antiqua" w:cs="Palatino"/>
          <w:b/>
          <w:sz w:val="24"/>
          <w:szCs w:val="24"/>
          <w:u w:color="000000"/>
          <w:lang w:val="en-AU" w:eastAsia="zh-CN"/>
        </w:rPr>
        <w:t xml:space="preserve"> with relapsed T-cell lymphoblastic lymphoma. </w:t>
      </w:r>
      <w:proofErr w:type="gramStart"/>
      <w:r w:rsidR="00E25C1E" w:rsidRPr="00F11C6E">
        <w:rPr>
          <w:rFonts w:ascii="Book Antiqua" w:hAnsi="Book Antiqua" w:cs="Palatino"/>
          <w:sz w:val="24"/>
          <w:szCs w:val="24"/>
          <w:u w:color="000000"/>
          <w:lang w:val="en-AU" w:eastAsia="zh-CN"/>
        </w:rPr>
        <w:t>Restaging PET at the time of relapse 1 year after initial therapy demonstrated an FDG-avid mediastinal mass (</w:t>
      </w:r>
      <w:r w:rsidRPr="00F11C6E">
        <w:rPr>
          <w:rFonts w:ascii="Book Antiqua" w:hAnsi="Book Antiqua" w:cs="Palatino"/>
          <w:sz w:val="24"/>
          <w:szCs w:val="24"/>
          <w:u w:color="000000"/>
          <w:lang w:val="en-AU" w:eastAsia="zh-CN"/>
        </w:rPr>
        <w:t>A</w:t>
      </w:r>
      <w:r w:rsidR="00E25C1E" w:rsidRPr="00F11C6E">
        <w:rPr>
          <w:rFonts w:ascii="Book Antiqua" w:hAnsi="Book Antiqua" w:cs="Palatino"/>
          <w:sz w:val="24"/>
          <w:szCs w:val="24"/>
          <w:u w:color="000000"/>
          <w:lang w:val="en-AU" w:eastAsia="zh-CN"/>
        </w:rPr>
        <w:t>, arrow).</w:t>
      </w:r>
      <w:proofErr w:type="gramEnd"/>
      <w:r w:rsidR="00E25C1E" w:rsidRPr="00F11C6E">
        <w:rPr>
          <w:rFonts w:ascii="Book Antiqua" w:hAnsi="Book Antiqua" w:cs="Palatino"/>
          <w:sz w:val="24"/>
          <w:szCs w:val="24"/>
          <w:u w:color="000000"/>
          <w:lang w:val="en-AU" w:eastAsia="zh-CN"/>
        </w:rPr>
        <w:t xml:space="preserve"> Repeat PET performed following 1 cycle of FLAG-Ida chemotherapy demonstrated no response to treatment and progression of disease to stage IV with extensive bone marrow involvement (</w:t>
      </w:r>
      <w:r w:rsidRPr="00F11C6E">
        <w:rPr>
          <w:rFonts w:ascii="Book Antiqua" w:hAnsi="Book Antiqua" w:cs="Palatino"/>
          <w:sz w:val="24"/>
          <w:szCs w:val="24"/>
          <w:u w:color="000000"/>
          <w:lang w:val="en-AU" w:eastAsia="zh-CN"/>
        </w:rPr>
        <w:t>B</w:t>
      </w:r>
      <w:r w:rsidR="00E25C1E" w:rsidRPr="00F11C6E">
        <w:rPr>
          <w:rFonts w:ascii="Book Antiqua" w:hAnsi="Book Antiqua" w:cs="Palatino"/>
          <w:sz w:val="24"/>
          <w:szCs w:val="24"/>
          <w:u w:color="000000"/>
          <w:lang w:val="en-AU" w:eastAsia="zh-CN"/>
        </w:rPr>
        <w:t xml:space="preserve">). </w:t>
      </w:r>
      <w:r w:rsidRPr="00F11C6E">
        <w:rPr>
          <w:rFonts w:ascii="Book Antiqua" w:hAnsi="Book Antiqua" w:cs="Palatino"/>
          <w:sz w:val="24"/>
          <w:szCs w:val="24"/>
          <w:u w:color="000000"/>
          <w:lang w:val="en-AU" w:eastAsia="zh-CN"/>
        </w:rPr>
        <w:t>PET</w:t>
      </w:r>
      <w:r>
        <w:rPr>
          <w:rFonts w:ascii="Book Antiqua" w:hAnsi="Book Antiqua" w:cs="Palatino" w:hint="eastAsia"/>
          <w:sz w:val="24"/>
          <w:szCs w:val="24"/>
          <w:u w:color="000000"/>
          <w:lang w:val="en-AU" w:eastAsia="zh-CN"/>
        </w:rPr>
        <w:t xml:space="preserve">: </w:t>
      </w:r>
      <w:r w:rsidRPr="00F11C6E">
        <w:rPr>
          <w:rFonts w:ascii="Book Antiqua" w:hAnsi="Book Antiqua"/>
          <w:sz w:val="24"/>
          <w:szCs w:val="24"/>
          <w:lang w:eastAsia="zh-CN"/>
        </w:rPr>
        <w:t>P</w:t>
      </w:r>
      <w:r w:rsidRPr="00F11C6E">
        <w:rPr>
          <w:rFonts w:ascii="Book Antiqua" w:hAnsi="Book Antiqua"/>
          <w:sz w:val="24"/>
          <w:szCs w:val="24"/>
        </w:rPr>
        <w:t>ositron emission tomography</w:t>
      </w:r>
      <w:r>
        <w:rPr>
          <w:rFonts w:ascii="Book Antiqua" w:hAnsi="Book Antiqua" w:hint="eastAsia"/>
          <w:sz w:val="24"/>
          <w:szCs w:val="24"/>
          <w:lang w:eastAsia="zh-CN"/>
        </w:rPr>
        <w:t xml:space="preserve">; </w:t>
      </w:r>
      <w:r w:rsidRPr="001B7F6D">
        <w:rPr>
          <w:rFonts w:ascii="Book Antiqua" w:hAnsi="Book Antiqua"/>
          <w:sz w:val="24"/>
          <w:szCs w:val="24"/>
        </w:rPr>
        <w:t>FDG</w:t>
      </w:r>
      <w:r>
        <w:rPr>
          <w:rFonts w:ascii="Book Antiqua" w:hAnsi="Book Antiqua" w:hint="eastAsia"/>
          <w:sz w:val="24"/>
          <w:szCs w:val="24"/>
          <w:lang w:eastAsia="zh-CN"/>
        </w:rPr>
        <w:t xml:space="preserve">: </w:t>
      </w:r>
      <w:r>
        <w:rPr>
          <w:rFonts w:ascii="Book Antiqua" w:hAnsi="Book Antiqua"/>
          <w:sz w:val="24"/>
          <w:szCs w:val="24"/>
          <w:lang w:eastAsia="zh-CN"/>
        </w:rPr>
        <w:t>F</w:t>
      </w:r>
      <w:r w:rsidRPr="003A7147">
        <w:rPr>
          <w:rFonts w:ascii="Book Antiqua" w:hAnsi="Book Antiqua"/>
          <w:sz w:val="24"/>
          <w:szCs w:val="24"/>
        </w:rPr>
        <w:t>luoro-D-glucose</w:t>
      </w:r>
      <w:r>
        <w:rPr>
          <w:rFonts w:ascii="Book Antiqua" w:hAnsi="Book Antiqua" w:hint="eastAsia"/>
          <w:sz w:val="24"/>
          <w:szCs w:val="24"/>
          <w:lang w:eastAsia="zh-CN"/>
        </w:rPr>
        <w:t>.</w:t>
      </w: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r w:rsidRPr="00F11C6E">
        <w:rPr>
          <w:rFonts w:ascii="Book Antiqua" w:hAnsi="Book Antiqua" w:cs="Palatino"/>
          <w:b/>
          <w:noProof/>
          <w:sz w:val="24"/>
          <w:szCs w:val="24"/>
          <w:u w:color="000000"/>
          <w:lang w:eastAsia="zh-CN"/>
        </w:rPr>
        <w:lastRenderedPageBreak/>
        <w:drawing>
          <wp:inline distT="0" distB="0" distL="0" distR="0" wp14:anchorId="1086BDEA" wp14:editId="1C30756E">
            <wp:extent cx="3657917" cy="27434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57917" cy="2743438"/>
                    </a:xfrm>
                    <a:prstGeom prst="rect">
                      <a:avLst/>
                    </a:prstGeom>
                  </pic:spPr>
                </pic:pic>
              </a:graphicData>
            </a:graphic>
          </wp:inline>
        </w:drawing>
      </w:r>
    </w:p>
    <w:p w:rsidR="00E25C1E" w:rsidRPr="005F1053" w:rsidRDefault="00F11C6E" w:rsidP="00F11C6E">
      <w:pPr>
        <w:pStyle w:val="Body"/>
        <w:spacing w:line="360" w:lineRule="auto"/>
        <w:jc w:val="both"/>
        <w:rPr>
          <w:rFonts w:ascii="Book Antiqua" w:hAnsi="Book Antiqua"/>
          <w:b/>
          <w:sz w:val="24"/>
          <w:szCs w:val="24"/>
          <w:lang w:val="en-AU" w:eastAsia="zh-CN"/>
        </w:rPr>
      </w:pPr>
      <w:r>
        <w:rPr>
          <w:rFonts w:ascii="Book Antiqua" w:hAnsi="Book Antiqua" w:cs="Palatino"/>
          <w:b/>
          <w:sz w:val="24"/>
          <w:szCs w:val="24"/>
          <w:u w:color="000000"/>
          <w:lang w:val="en-AU" w:eastAsia="zh-CN"/>
        </w:rPr>
        <w:t>Figure 3</w:t>
      </w:r>
      <w:r w:rsidR="005F1053">
        <w:rPr>
          <w:rFonts w:ascii="Book Antiqua" w:hAnsi="Book Antiqua" w:cs="Palatino"/>
          <w:b/>
          <w:sz w:val="24"/>
          <w:szCs w:val="24"/>
          <w:u w:color="000000"/>
          <w:lang w:val="en-AU" w:eastAsia="zh-CN"/>
        </w:rPr>
        <w:t xml:space="preserve"> A 17</w:t>
      </w:r>
      <w:r w:rsidR="005F1053">
        <w:rPr>
          <w:rFonts w:ascii="Book Antiqua" w:hAnsi="Book Antiqua" w:cs="Palatino" w:hint="eastAsia"/>
          <w:b/>
          <w:sz w:val="24"/>
          <w:szCs w:val="24"/>
          <w:u w:color="000000"/>
          <w:lang w:val="en-AU" w:eastAsia="zh-CN"/>
        </w:rPr>
        <w:t>-</w:t>
      </w:r>
      <w:r w:rsidR="00E25C1E" w:rsidRPr="00F11C6E">
        <w:rPr>
          <w:rFonts w:ascii="Book Antiqua" w:hAnsi="Book Antiqua" w:cs="Palatino"/>
          <w:b/>
          <w:sz w:val="24"/>
          <w:szCs w:val="24"/>
          <w:u w:color="000000"/>
          <w:lang w:val="en-AU" w:eastAsia="zh-CN"/>
        </w:rPr>
        <w:t xml:space="preserve">year-old female with Ewing’s sarcoma involving the left superior pubic ramus. </w:t>
      </w:r>
      <w:r w:rsidR="00E25C1E" w:rsidRPr="00F11C6E">
        <w:rPr>
          <w:rFonts w:ascii="Book Antiqua" w:hAnsi="Book Antiqua" w:cs="Palatino"/>
          <w:sz w:val="24"/>
          <w:szCs w:val="24"/>
          <w:u w:color="000000"/>
          <w:lang w:val="en-AU" w:eastAsia="zh-CN"/>
        </w:rPr>
        <w:t>Staging PET/CT showed extensive disease (</w:t>
      </w:r>
      <w:r w:rsidRPr="00F11C6E">
        <w:rPr>
          <w:rFonts w:ascii="Book Antiqua" w:hAnsi="Book Antiqua" w:cs="Palatino"/>
          <w:sz w:val="24"/>
          <w:szCs w:val="24"/>
          <w:u w:color="000000"/>
          <w:lang w:val="en-AU" w:eastAsia="zh-CN"/>
        </w:rPr>
        <w:t>A</w:t>
      </w:r>
      <w:r w:rsidR="00E25C1E" w:rsidRPr="00F11C6E">
        <w:rPr>
          <w:rFonts w:ascii="Book Antiqua" w:hAnsi="Book Antiqua" w:cs="Palatino"/>
          <w:sz w:val="24"/>
          <w:szCs w:val="24"/>
          <w:u w:color="000000"/>
          <w:lang w:val="en-AU" w:eastAsia="zh-CN"/>
        </w:rPr>
        <w:t xml:space="preserve">, arrow) with bone destruction and a large FDG-avid pelvic mass. Following chemotherapy, at 5 </w:t>
      </w:r>
      <w:proofErr w:type="gramStart"/>
      <w:r w:rsidR="00E25C1E" w:rsidRPr="00F11C6E">
        <w:rPr>
          <w:rFonts w:ascii="Book Antiqua" w:hAnsi="Book Antiqua" w:cs="Palatino"/>
          <w:sz w:val="24"/>
          <w:szCs w:val="24"/>
          <w:u w:color="000000"/>
          <w:lang w:val="en-AU" w:eastAsia="zh-CN"/>
        </w:rPr>
        <w:t>mo</w:t>
      </w:r>
      <w:proofErr w:type="gramEnd"/>
      <w:r w:rsidR="00E25C1E" w:rsidRPr="00F11C6E">
        <w:rPr>
          <w:rFonts w:ascii="Book Antiqua" w:hAnsi="Book Antiqua" w:cs="Palatino"/>
          <w:sz w:val="24"/>
          <w:szCs w:val="24"/>
          <w:u w:color="000000"/>
          <w:lang w:val="en-AU" w:eastAsia="zh-CN"/>
        </w:rPr>
        <w:t xml:space="preserve"> after diagnosis, there was an excellent metabolic response with minimal residual FDG uptake (</w:t>
      </w:r>
      <w:r w:rsidRPr="00F11C6E">
        <w:rPr>
          <w:rFonts w:ascii="Book Antiqua" w:hAnsi="Book Antiqua" w:cs="Palatino"/>
          <w:sz w:val="24"/>
          <w:szCs w:val="24"/>
          <w:u w:color="000000"/>
          <w:lang w:val="en-AU" w:eastAsia="zh-CN"/>
        </w:rPr>
        <w:t>B</w:t>
      </w:r>
      <w:r w:rsidR="00E25C1E" w:rsidRPr="00F11C6E">
        <w:rPr>
          <w:rFonts w:ascii="Book Antiqua" w:hAnsi="Book Antiqua" w:cs="Palatino"/>
          <w:sz w:val="24"/>
          <w:szCs w:val="24"/>
          <w:u w:color="000000"/>
          <w:lang w:val="en-AU" w:eastAsia="zh-CN"/>
        </w:rPr>
        <w:t>, arrow).</w:t>
      </w:r>
      <w:r w:rsidR="005F1053">
        <w:rPr>
          <w:rFonts w:ascii="Book Antiqua" w:hAnsi="Book Antiqua" w:cs="Palatino"/>
          <w:sz w:val="24"/>
          <w:szCs w:val="24"/>
          <w:u w:color="000000"/>
          <w:lang w:val="en-AU" w:eastAsia="zh-CN"/>
        </w:rPr>
        <w:t xml:space="preserve"> </w:t>
      </w:r>
      <w:r w:rsidR="00E25C1E" w:rsidRPr="00F11C6E">
        <w:rPr>
          <w:rFonts w:ascii="Book Antiqua" w:hAnsi="Book Antiqua" w:cs="Palatino"/>
          <w:sz w:val="24"/>
          <w:szCs w:val="24"/>
          <w:u w:color="000000"/>
          <w:lang w:val="en-AU" w:eastAsia="zh-CN"/>
        </w:rPr>
        <w:t xml:space="preserve">Patient underwent surgical resection and extracorporeal radiotherapy to the bone. </w:t>
      </w:r>
      <w:r>
        <w:rPr>
          <w:rFonts w:ascii="Book Antiqua" w:hAnsi="Book Antiqua" w:cs="Palatino" w:hint="eastAsia"/>
          <w:sz w:val="24"/>
          <w:szCs w:val="24"/>
          <w:u w:color="000000"/>
          <w:lang w:val="en-AU" w:eastAsia="zh-CN"/>
        </w:rPr>
        <w:t>Sixteen</w:t>
      </w:r>
      <w:r w:rsidR="00E25C1E" w:rsidRPr="00F11C6E">
        <w:rPr>
          <w:rFonts w:ascii="Book Antiqua" w:hAnsi="Book Antiqua" w:cs="Palatino"/>
          <w:sz w:val="24"/>
          <w:szCs w:val="24"/>
          <w:u w:color="000000"/>
          <w:lang w:val="en-AU" w:eastAsia="zh-CN"/>
        </w:rPr>
        <w:t xml:space="preserve"> months after completion of treatment, surveillance PET/CT demonstrated recurrence in a left external iliac lymph node (</w:t>
      </w:r>
      <w:r w:rsidRPr="00F11C6E">
        <w:rPr>
          <w:rFonts w:ascii="Book Antiqua" w:hAnsi="Book Antiqua" w:cs="Palatino"/>
          <w:sz w:val="24"/>
          <w:szCs w:val="24"/>
          <w:u w:color="000000"/>
          <w:lang w:val="en-AU" w:eastAsia="zh-CN"/>
        </w:rPr>
        <w:t>C</w:t>
      </w:r>
      <w:r w:rsidR="00E25C1E" w:rsidRPr="00F11C6E">
        <w:rPr>
          <w:rFonts w:ascii="Book Antiqua" w:hAnsi="Book Antiqua" w:cs="Palatino"/>
          <w:sz w:val="24"/>
          <w:szCs w:val="24"/>
          <w:u w:color="000000"/>
          <w:lang w:val="en-AU" w:eastAsia="zh-CN"/>
        </w:rPr>
        <w:t>) which was not detectable on the CT or MRI due to marked metal artefact.</w:t>
      </w:r>
      <w:r w:rsidRPr="00F11C6E">
        <w:rPr>
          <w:rFonts w:ascii="Book Antiqua" w:hAnsi="Book Antiqua"/>
          <w:sz w:val="24"/>
          <w:szCs w:val="24"/>
          <w:lang w:val="en-AU" w:eastAsia="zh-CN"/>
        </w:rPr>
        <w:t xml:space="preserve"> PET/CT</w:t>
      </w:r>
      <w:r>
        <w:rPr>
          <w:rFonts w:ascii="Book Antiqua" w:hAnsi="Book Antiqua" w:hint="eastAsia"/>
          <w:sz w:val="24"/>
          <w:szCs w:val="24"/>
          <w:lang w:val="en-AU" w:eastAsia="zh-CN"/>
        </w:rPr>
        <w:t>:</w:t>
      </w:r>
      <w:r w:rsidRPr="00F11C6E">
        <w:rPr>
          <w:rFonts w:ascii="Book Antiqua" w:hAnsi="Book Antiqua"/>
          <w:sz w:val="24"/>
          <w:szCs w:val="24"/>
          <w:lang w:val="en-AU" w:eastAsia="zh-CN"/>
        </w:rPr>
        <w:t xml:space="preserve"> </w:t>
      </w:r>
      <w:r w:rsidRPr="00F11C6E">
        <w:rPr>
          <w:rFonts w:ascii="Book Antiqua" w:hAnsi="Book Antiqua"/>
          <w:sz w:val="24"/>
          <w:szCs w:val="24"/>
          <w:lang w:eastAsia="zh-CN"/>
        </w:rPr>
        <w:t>P</w:t>
      </w:r>
      <w:r w:rsidRPr="00F11C6E">
        <w:rPr>
          <w:rFonts w:ascii="Book Antiqua" w:hAnsi="Book Antiqua"/>
          <w:sz w:val="24"/>
          <w:szCs w:val="24"/>
        </w:rPr>
        <w:t>ositron emission tomography/computed tomography</w:t>
      </w:r>
      <w:r w:rsidR="005F1053">
        <w:rPr>
          <w:rFonts w:ascii="Book Antiqua" w:hAnsi="Book Antiqua" w:hint="eastAsia"/>
          <w:sz w:val="24"/>
          <w:szCs w:val="24"/>
          <w:lang w:eastAsia="zh-CN"/>
        </w:rPr>
        <w:t xml:space="preserve">; </w:t>
      </w:r>
      <w:r w:rsidR="005F1053" w:rsidRPr="001B7F6D">
        <w:rPr>
          <w:rFonts w:ascii="Book Antiqua" w:hAnsi="Book Antiqua"/>
          <w:sz w:val="24"/>
          <w:szCs w:val="24"/>
        </w:rPr>
        <w:t>FDG</w:t>
      </w:r>
      <w:r w:rsidR="005F1053">
        <w:rPr>
          <w:rFonts w:ascii="Book Antiqua" w:hAnsi="Book Antiqua" w:hint="eastAsia"/>
          <w:sz w:val="24"/>
          <w:szCs w:val="24"/>
          <w:lang w:eastAsia="zh-CN"/>
        </w:rPr>
        <w:t xml:space="preserve">: </w:t>
      </w:r>
      <w:r w:rsidR="005F1053">
        <w:rPr>
          <w:rFonts w:ascii="Book Antiqua" w:hAnsi="Book Antiqua"/>
          <w:sz w:val="24"/>
          <w:szCs w:val="24"/>
          <w:lang w:eastAsia="zh-CN"/>
        </w:rPr>
        <w:t>F</w:t>
      </w:r>
      <w:r w:rsidR="005F1053" w:rsidRPr="003A7147">
        <w:rPr>
          <w:rFonts w:ascii="Book Antiqua" w:hAnsi="Book Antiqua"/>
          <w:sz w:val="24"/>
          <w:szCs w:val="24"/>
        </w:rPr>
        <w:t>luoro-D</w:t>
      </w:r>
      <w:r w:rsidR="005F1053" w:rsidRPr="005F1053">
        <w:rPr>
          <w:rFonts w:ascii="Book Antiqua" w:hAnsi="Book Antiqua" w:cs="Palatino"/>
          <w:sz w:val="24"/>
          <w:szCs w:val="24"/>
          <w:u w:color="000000"/>
          <w:lang w:val="en-AU" w:eastAsia="zh-CN"/>
        </w:rPr>
        <w:t>-glucose</w:t>
      </w:r>
      <w:r w:rsidR="005F1053" w:rsidRPr="005F1053">
        <w:rPr>
          <w:rFonts w:ascii="Book Antiqua" w:hAnsi="Book Antiqua" w:cs="Palatino" w:hint="eastAsia"/>
          <w:sz w:val="24"/>
          <w:szCs w:val="24"/>
          <w:u w:color="000000"/>
          <w:lang w:val="en-AU" w:eastAsia="zh-CN"/>
        </w:rPr>
        <w:t xml:space="preserve">; MRI: </w:t>
      </w:r>
      <w:r w:rsidR="005F1053" w:rsidRPr="005F1053">
        <w:rPr>
          <w:rFonts w:ascii="Book Antiqua" w:hAnsi="Book Antiqua" w:cs="Palatino"/>
          <w:sz w:val="24"/>
          <w:szCs w:val="24"/>
          <w:u w:color="000000"/>
          <w:lang w:val="en-AU" w:eastAsia="zh-CN"/>
        </w:rPr>
        <w:t>Magnetic resonance imaging</w:t>
      </w:r>
      <w:r w:rsidR="005F1053" w:rsidRPr="005F1053">
        <w:rPr>
          <w:rFonts w:ascii="Book Antiqua" w:hAnsi="Book Antiqua" w:cs="Palatino" w:hint="eastAsia"/>
          <w:sz w:val="24"/>
          <w:szCs w:val="24"/>
          <w:u w:color="000000"/>
          <w:lang w:val="en-AU"/>
        </w:rPr>
        <w:t>.</w:t>
      </w: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r w:rsidRPr="00F11C6E">
        <w:rPr>
          <w:rFonts w:ascii="Book Antiqua" w:hAnsi="Book Antiqua" w:cs="Palatino"/>
          <w:b/>
          <w:noProof/>
          <w:sz w:val="24"/>
          <w:szCs w:val="24"/>
          <w:u w:color="000000"/>
          <w:lang w:eastAsia="zh-CN"/>
        </w:rPr>
        <w:drawing>
          <wp:inline distT="0" distB="0" distL="0" distR="0" wp14:anchorId="5D789A41" wp14:editId="76C2931D">
            <wp:extent cx="3657917" cy="274343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57917" cy="2743438"/>
                    </a:xfrm>
                    <a:prstGeom prst="rect">
                      <a:avLst/>
                    </a:prstGeom>
                  </pic:spPr>
                </pic:pic>
              </a:graphicData>
            </a:graphic>
          </wp:inline>
        </w:drawing>
      </w:r>
    </w:p>
    <w:p w:rsidR="00E25C1E" w:rsidRPr="00F11C6E" w:rsidRDefault="005F1053" w:rsidP="00F11C6E">
      <w:pPr>
        <w:pStyle w:val="Body"/>
        <w:spacing w:line="360" w:lineRule="auto"/>
        <w:jc w:val="both"/>
        <w:rPr>
          <w:rFonts w:ascii="Book Antiqua" w:hAnsi="Book Antiqua" w:cs="Palatino"/>
          <w:b/>
          <w:sz w:val="24"/>
          <w:szCs w:val="24"/>
          <w:u w:color="000000"/>
          <w:lang w:eastAsia="zh-CN"/>
        </w:rPr>
      </w:pPr>
      <w:r>
        <w:rPr>
          <w:rFonts w:ascii="Book Antiqua" w:hAnsi="Book Antiqua" w:cs="Palatino"/>
          <w:b/>
          <w:sz w:val="24"/>
          <w:szCs w:val="24"/>
          <w:u w:color="000000"/>
          <w:lang w:val="en-AU" w:eastAsia="zh-CN"/>
        </w:rPr>
        <w:t>Figure 4</w:t>
      </w:r>
      <w:r w:rsidR="00E25C1E" w:rsidRPr="00F11C6E">
        <w:rPr>
          <w:rFonts w:ascii="Book Antiqua" w:hAnsi="Book Antiqua" w:cs="Palatino"/>
          <w:b/>
          <w:sz w:val="24"/>
          <w:szCs w:val="24"/>
          <w:u w:color="000000"/>
          <w:lang w:val="en-AU" w:eastAsia="zh-CN"/>
        </w:rPr>
        <w:t xml:space="preserve"> Neuroblastoma in a 2</w:t>
      </w:r>
      <w:r>
        <w:rPr>
          <w:rFonts w:ascii="Book Antiqua" w:hAnsi="Book Antiqua" w:cs="Palatino" w:hint="eastAsia"/>
          <w:b/>
          <w:sz w:val="24"/>
          <w:szCs w:val="24"/>
          <w:u w:color="000000"/>
          <w:lang w:val="en-AU" w:eastAsia="zh-CN"/>
        </w:rPr>
        <w:t>-</w:t>
      </w:r>
      <w:r w:rsidR="00E25C1E" w:rsidRPr="00F11C6E">
        <w:rPr>
          <w:rFonts w:ascii="Book Antiqua" w:hAnsi="Book Antiqua" w:cs="Palatino"/>
          <w:b/>
          <w:sz w:val="24"/>
          <w:szCs w:val="24"/>
          <w:u w:color="000000"/>
          <w:lang w:val="en-AU" w:eastAsia="zh-CN"/>
        </w:rPr>
        <w:t xml:space="preserve">year-old female. </w:t>
      </w:r>
      <w:r w:rsidR="00E25C1E" w:rsidRPr="005F1053">
        <w:rPr>
          <w:rFonts w:ascii="Book Antiqua" w:hAnsi="Book Antiqua" w:cs="Palatino"/>
          <w:sz w:val="24"/>
          <w:szCs w:val="24"/>
          <w:u w:color="000000"/>
          <w:lang w:val="en-AU" w:eastAsia="zh-CN"/>
        </w:rPr>
        <w:t>MIBG SPECT/CT images (</w:t>
      </w:r>
      <w:r w:rsidRPr="005F1053">
        <w:rPr>
          <w:rFonts w:ascii="Book Antiqua" w:hAnsi="Book Antiqua" w:cs="Palatino"/>
          <w:sz w:val="24"/>
          <w:szCs w:val="24"/>
          <w:u w:color="000000"/>
          <w:lang w:val="en-AU" w:eastAsia="zh-CN"/>
        </w:rPr>
        <w:t>A</w:t>
      </w:r>
      <w:r w:rsidR="00E25C1E" w:rsidRPr="005F1053">
        <w:rPr>
          <w:rFonts w:ascii="Book Antiqua" w:hAnsi="Book Antiqua" w:cs="Palatino"/>
          <w:sz w:val="24"/>
          <w:szCs w:val="24"/>
          <w:u w:color="000000"/>
          <w:lang w:val="en-AU" w:eastAsia="zh-CN"/>
        </w:rPr>
        <w:t>) demonstrated a large right suprarenal mass displacing the organs which was not MIBG-avid (arrows). FDG PET/CT (</w:t>
      </w:r>
      <w:r w:rsidRPr="005F1053">
        <w:rPr>
          <w:rFonts w:ascii="Book Antiqua" w:hAnsi="Book Antiqua" w:cs="Palatino"/>
          <w:sz w:val="24"/>
          <w:szCs w:val="24"/>
          <w:u w:color="000000"/>
          <w:lang w:val="en-AU" w:eastAsia="zh-CN"/>
        </w:rPr>
        <w:t>B</w:t>
      </w:r>
      <w:r w:rsidR="00E25C1E" w:rsidRPr="005F1053">
        <w:rPr>
          <w:rFonts w:ascii="Book Antiqua" w:hAnsi="Book Antiqua" w:cs="Palatino"/>
          <w:sz w:val="24"/>
          <w:szCs w:val="24"/>
          <w:u w:color="000000"/>
          <w:lang w:val="en-AU" w:eastAsia="zh-CN"/>
        </w:rPr>
        <w:t xml:space="preserve">) showed moderate heterogenous metabolic activity within </w:t>
      </w:r>
      <w:r w:rsidR="00E25C1E" w:rsidRPr="005F1053">
        <w:rPr>
          <w:rFonts w:ascii="Book Antiqua" w:hAnsi="Book Antiqua" w:cs="Palatino"/>
          <w:sz w:val="24"/>
          <w:szCs w:val="24"/>
          <w:u w:color="000000"/>
          <w:lang w:val="en-AU" w:eastAsia="zh-CN"/>
        </w:rPr>
        <w:lastRenderedPageBreak/>
        <w:t>the mass.</w:t>
      </w:r>
      <w:r>
        <w:rPr>
          <w:rFonts w:ascii="Book Antiqua" w:hAnsi="Book Antiqua" w:cs="Palatino" w:hint="eastAsia"/>
          <w:sz w:val="24"/>
          <w:szCs w:val="24"/>
          <w:u w:color="000000"/>
          <w:lang w:val="en-AU" w:eastAsia="zh-CN"/>
        </w:rPr>
        <w:t xml:space="preserve"> </w:t>
      </w:r>
      <w:r w:rsidRPr="00F11C6E">
        <w:rPr>
          <w:rFonts w:ascii="Book Antiqua" w:hAnsi="Book Antiqua"/>
          <w:sz w:val="24"/>
          <w:szCs w:val="24"/>
          <w:lang w:val="en-AU" w:eastAsia="zh-CN"/>
        </w:rPr>
        <w:t>PET/CT</w:t>
      </w:r>
      <w:r>
        <w:rPr>
          <w:rFonts w:ascii="Book Antiqua" w:hAnsi="Book Antiqua" w:hint="eastAsia"/>
          <w:sz w:val="24"/>
          <w:szCs w:val="24"/>
          <w:lang w:val="en-AU" w:eastAsia="zh-CN"/>
        </w:rPr>
        <w:t>:</w:t>
      </w:r>
      <w:r w:rsidRPr="00F11C6E">
        <w:rPr>
          <w:rFonts w:ascii="Book Antiqua" w:hAnsi="Book Antiqua"/>
          <w:sz w:val="24"/>
          <w:szCs w:val="24"/>
          <w:lang w:val="en-AU" w:eastAsia="zh-CN"/>
        </w:rPr>
        <w:t xml:space="preserve"> </w:t>
      </w:r>
      <w:r w:rsidRPr="00F11C6E">
        <w:rPr>
          <w:rFonts w:ascii="Book Antiqua" w:hAnsi="Book Antiqua"/>
          <w:sz w:val="24"/>
          <w:szCs w:val="24"/>
          <w:lang w:eastAsia="zh-CN"/>
        </w:rPr>
        <w:t>P</w:t>
      </w:r>
      <w:r w:rsidRPr="00F11C6E">
        <w:rPr>
          <w:rFonts w:ascii="Book Antiqua" w:hAnsi="Book Antiqua"/>
          <w:sz w:val="24"/>
          <w:szCs w:val="24"/>
        </w:rPr>
        <w:t>ositron emission tomography/computed tomography</w:t>
      </w:r>
      <w:r>
        <w:rPr>
          <w:rFonts w:ascii="Book Antiqua" w:hAnsi="Book Antiqua" w:hint="eastAsia"/>
          <w:sz w:val="24"/>
          <w:szCs w:val="24"/>
          <w:lang w:eastAsia="zh-CN"/>
        </w:rPr>
        <w:t xml:space="preserve">; </w:t>
      </w:r>
      <w:r w:rsidRPr="001B7F6D">
        <w:rPr>
          <w:rFonts w:ascii="Book Antiqua" w:hAnsi="Book Antiqua"/>
          <w:sz w:val="24"/>
          <w:szCs w:val="24"/>
        </w:rPr>
        <w:t>FDG</w:t>
      </w:r>
      <w:r>
        <w:rPr>
          <w:rFonts w:ascii="Book Antiqua" w:hAnsi="Book Antiqua" w:hint="eastAsia"/>
          <w:sz w:val="24"/>
          <w:szCs w:val="24"/>
          <w:lang w:eastAsia="zh-CN"/>
        </w:rPr>
        <w:t xml:space="preserve">: </w:t>
      </w:r>
      <w:r>
        <w:rPr>
          <w:rFonts w:ascii="Book Antiqua" w:hAnsi="Book Antiqua"/>
          <w:sz w:val="24"/>
          <w:szCs w:val="24"/>
          <w:lang w:eastAsia="zh-CN"/>
        </w:rPr>
        <w:t>F</w:t>
      </w:r>
      <w:r w:rsidRPr="003A7147">
        <w:rPr>
          <w:rFonts w:ascii="Book Antiqua" w:hAnsi="Book Antiqua"/>
          <w:sz w:val="24"/>
          <w:szCs w:val="24"/>
        </w:rPr>
        <w:t>luoro-D</w:t>
      </w:r>
      <w:r w:rsidRPr="005F1053">
        <w:rPr>
          <w:rFonts w:ascii="Book Antiqua" w:hAnsi="Book Antiqua" w:cs="Palatino"/>
          <w:sz w:val="24"/>
          <w:szCs w:val="24"/>
          <w:u w:color="000000"/>
          <w:lang w:val="en-AU" w:eastAsia="zh-CN"/>
        </w:rPr>
        <w:t>-glucose</w:t>
      </w:r>
      <w:r>
        <w:rPr>
          <w:rFonts w:ascii="Book Antiqua" w:hAnsi="Book Antiqua" w:cs="Palatino" w:hint="eastAsia"/>
          <w:sz w:val="24"/>
          <w:szCs w:val="24"/>
          <w:u w:color="000000"/>
          <w:lang w:val="en-AU" w:eastAsia="zh-CN"/>
        </w:rPr>
        <w:t>.</w:t>
      </w: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r w:rsidRPr="00F11C6E">
        <w:rPr>
          <w:rFonts w:ascii="Book Antiqua" w:hAnsi="Book Antiqua" w:cs="Palatino"/>
          <w:b/>
          <w:noProof/>
          <w:sz w:val="24"/>
          <w:szCs w:val="24"/>
          <w:u w:color="000000"/>
          <w:lang w:eastAsia="zh-CN"/>
        </w:rPr>
        <w:drawing>
          <wp:inline distT="0" distB="0" distL="0" distR="0" wp14:anchorId="2192C822" wp14:editId="171478ED">
            <wp:extent cx="3657917" cy="274343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57917" cy="2743438"/>
                    </a:xfrm>
                    <a:prstGeom prst="rect">
                      <a:avLst/>
                    </a:prstGeom>
                  </pic:spPr>
                </pic:pic>
              </a:graphicData>
            </a:graphic>
          </wp:inline>
        </w:drawing>
      </w:r>
    </w:p>
    <w:p w:rsidR="00E25C1E" w:rsidRPr="005F1053" w:rsidRDefault="005F1053" w:rsidP="00F11C6E">
      <w:pPr>
        <w:pStyle w:val="Body"/>
        <w:spacing w:line="360" w:lineRule="auto"/>
        <w:jc w:val="both"/>
        <w:rPr>
          <w:rFonts w:ascii="Book Antiqua" w:hAnsi="Book Antiqua" w:cs="Palatino"/>
          <w:sz w:val="24"/>
          <w:szCs w:val="24"/>
          <w:u w:color="000000"/>
          <w:lang w:eastAsia="zh-CN"/>
        </w:rPr>
      </w:pPr>
      <w:r>
        <w:rPr>
          <w:rFonts w:ascii="Book Antiqua" w:hAnsi="Book Antiqua" w:cs="Palatino"/>
          <w:b/>
          <w:sz w:val="24"/>
          <w:szCs w:val="24"/>
          <w:u w:color="000000"/>
          <w:lang w:val="en-AU" w:eastAsia="zh-CN"/>
        </w:rPr>
        <w:t>Figure 5 A 7</w:t>
      </w:r>
      <w:r>
        <w:rPr>
          <w:rFonts w:ascii="Book Antiqua" w:hAnsi="Book Antiqua" w:cs="Palatino" w:hint="eastAsia"/>
          <w:b/>
          <w:sz w:val="24"/>
          <w:szCs w:val="24"/>
          <w:u w:color="000000"/>
          <w:lang w:val="en-AU" w:eastAsia="zh-CN"/>
        </w:rPr>
        <w:t>-</w:t>
      </w:r>
      <w:r w:rsidR="00E25C1E" w:rsidRPr="00F11C6E">
        <w:rPr>
          <w:rFonts w:ascii="Book Antiqua" w:hAnsi="Book Antiqua" w:cs="Palatino"/>
          <w:b/>
          <w:sz w:val="24"/>
          <w:szCs w:val="24"/>
          <w:u w:color="000000"/>
          <w:lang w:val="en-AU" w:eastAsia="zh-CN"/>
        </w:rPr>
        <w:t xml:space="preserve">year-old male with Langerhans cell histiocytosis. </w:t>
      </w:r>
      <w:r w:rsidR="00E25C1E" w:rsidRPr="005F1053">
        <w:rPr>
          <w:rFonts w:ascii="Book Antiqua" w:hAnsi="Book Antiqua" w:cs="Palatino"/>
          <w:sz w:val="24"/>
          <w:szCs w:val="24"/>
          <w:u w:color="000000"/>
          <w:lang w:val="en-AU" w:eastAsia="zh-CN"/>
        </w:rPr>
        <w:t>Skeletal survey demonstrated an isolated left fe</w:t>
      </w:r>
      <w:r>
        <w:rPr>
          <w:rFonts w:ascii="Book Antiqua" w:hAnsi="Book Antiqua" w:cs="Palatino"/>
          <w:sz w:val="24"/>
          <w:szCs w:val="24"/>
          <w:u w:color="000000"/>
          <w:lang w:val="en-AU" w:eastAsia="zh-CN"/>
        </w:rPr>
        <w:t>moral</w:t>
      </w:r>
      <w:r w:rsidR="00E25C1E" w:rsidRPr="005F1053">
        <w:rPr>
          <w:rFonts w:ascii="Book Antiqua" w:hAnsi="Book Antiqua" w:cs="Palatino"/>
          <w:sz w:val="24"/>
          <w:szCs w:val="24"/>
          <w:u w:color="000000"/>
          <w:lang w:val="en-AU" w:eastAsia="zh-CN"/>
        </w:rPr>
        <w:t xml:space="preserve"> lesion, confirmed on PET/CT (</w:t>
      </w:r>
      <w:r w:rsidRPr="005F1053">
        <w:rPr>
          <w:rFonts w:ascii="Book Antiqua" w:hAnsi="Book Antiqua" w:cs="Palatino"/>
          <w:sz w:val="24"/>
          <w:szCs w:val="24"/>
          <w:u w:color="000000"/>
          <w:lang w:val="en-AU" w:eastAsia="zh-CN"/>
        </w:rPr>
        <w:t>A</w:t>
      </w:r>
      <w:r w:rsidR="00E25C1E" w:rsidRPr="005F1053">
        <w:rPr>
          <w:rFonts w:ascii="Book Antiqua" w:hAnsi="Book Antiqua" w:cs="Palatino"/>
          <w:sz w:val="24"/>
          <w:szCs w:val="24"/>
          <w:u w:color="000000"/>
          <w:lang w:val="en-AU" w:eastAsia="zh-CN"/>
        </w:rPr>
        <w:t>, arrow). Additional lesions (arrows) in the right 6</w:t>
      </w:r>
      <w:r w:rsidR="00E25C1E" w:rsidRPr="005F1053">
        <w:rPr>
          <w:rFonts w:ascii="Book Antiqua" w:hAnsi="Book Antiqua" w:cs="Palatino"/>
          <w:sz w:val="24"/>
          <w:szCs w:val="24"/>
          <w:u w:color="000000"/>
          <w:vertAlign w:val="superscript"/>
          <w:lang w:val="en-AU" w:eastAsia="zh-CN"/>
        </w:rPr>
        <w:t>th</w:t>
      </w:r>
      <w:r w:rsidR="00E25C1E" w:rsidRPr="005F1053">
        <w:rPr>
          <w:rFonts w:ascii="Book Antiqua" w:hAnsi="Book Antiqua" w:cs="Palatino"/>
          <w:sz w:val="24"/>
          <w:szCs w:val="24"/>
          <w:u w:color="000000"/>
          <w:lang w:val="en-AU" w:eastAsia="zh-CN"/>
        </w:rPr>
        <w:t xml:space="preserve"> rib posteriorly (</w:t>
      </w:r>
      <w:r w:rsidRPr="005F1053">
        <w:rPr>
          <w:rFonts w:ascii="Book Antiqua" w:hAnsi="Book Antiqua" w:cs="Palatino"/>
          <w:sz w:val="24"/>
          <w:szCs w:val="24"/>
          <w:u w:color="000000"/>
          <w:lang w:val="en-AU" w:eastAsia="zh-CN"/>
        </w:rPr>
        <w:t>B</w:t>
      </w:r>
      <w:r w:rsidR="00E25C1E" w:rsidRPr="005F1053">
        <w:rPr>
          <w:rFonts w:ascii="Book Antiqua" w:hAnsi="Book Antiqua" w:cs="Palatino"/>
          <w:sz w:val="24"/>
          <w:szCs w:val="24"/>
          <w:u w:color="000000"/>
          <w:lang w:val="en-AU" w:eastAsia="zh-CN"/>
        </w:rPr>
        <w:t>) and in the skull (</w:t>
      </w:r>
      <w:r w:rsidRPr="005F1053">
        <w:rPr>
          <w:rFonts w:ascii="Book Antiqua" w:hAnsi="Book Antiqua" w:cs="Palatino"/>
          <w:sz w:val="24"/>
          <w:szCs w:val="24"/>
          <w:u w:color="000000"/>
          <w:lang w:val="en-AU" w:eastAsia="zh-CN"/>
        </w:rPr>
        <w:t>C</w:t>
      </w:r>
      <w:r w:rsidR="00E25C1E" w:rsidRPr="005F1053">
        <w:rPr>
          <w:rFonts w:ascii="Book Antiqua" w:hAnsi="Book Antiqua" w:cs="Palatino"/>
          <w:sz w:val="24"/>
          <w:szCs w:val="24"/>
          <w:u w:color="000000"/>
          <w:lang w:val="en-AU" w:eastAsia="zh-CN"/>
        </w:rPr>
        <w:t>) were also identified on the PET/CT scan. Top panel: fused PET/CT images, bottom panel: low dose CT component of the scan.</w:t>
      </w:r>
      <w:r w:rsidRPr="005F1053">
        <w:rPr>
          <w:rFonts w:ascii="Book Antiqua" w:hAnsi="Book Antiqua"/>
          <w:sz w:val="24"/>
          <w:szCs w:val="24"/>
          <w:lang w:val="en-AU" w:eastAsia="zh-CN"/>
        </w:rPr>
        <w:t xml:space="preserve"> </w:t>
      </w:r>
      <w:r w:rsidRPr="00F11C6E">
        <w:rPr>
          <w:rFonts w:ascii="Book Antiqua" w:hAnsi="Book Antiqua"/>
          <w:sz w:val="24"/>
          <w:szCs w:val="24"/>
          <w:lang w:val="en-AU" w:eastAsia="zh-CN"/>
        </w:rPr>
        <w:t>PET/CT</w:t>
      </w:r>
      <w:r>
        <w:rPr>
          <w:rFonts w:ascii="Book Antiqua" w:hAnsi="Book Antiqua" w:hint="eastAsia"/>
          <w:sz w:val="24"/>
          <w:szCs w:val="24"/>
          <w:lang w:val="en-AU" w:eastAsia="zh-CN"/>
        </w:rPr>
        <w:t>:</w:t>
      </w:r>
      <w:r w:rsidRPr="00F11C6E">
        <w:rPr>
          <w:rFonts w:ascii="Book Antiqua" w:hAnsi="Book Antiqua"/>
          <w:sz w:val="24"/>
          <w:szCs w:val="24"/>
          <w:lang w:val="en-AU" w:eastAsia="zh-CN"/>
        </w:rPr>
        <w:t xml:space="preserve"> </w:t>
      </w:r>
      <w:r w:rsidRPr="00F11C6E">
        <w:rPr>
          <w:rFonts w:ascii="Book Antiqua" w:hAnsi="Book Antiqua"/>
          <w:sz w:val="24"/>
          <w:szCs w:val="24"/>
          <w:lang w:eastAsia="zh-CN"/>
        </w:rPr>
        <w:t>P</w:t>
      </w:r>
      <w:r w:rsidRPr="00F11C6E">
        <w:rPr>
          <w:rFonts w:ascii="Book Antiqua" w:hAnsi="Book Antiqua"/>
          <w:sz w:val="24"/>
          <w:szCs w:val="24"/>
        </w:rPr>
        <w:t>ositron emission tomography/computed tomography</w:t>
      </w:r>
      <w:r>
        <w:rPr>
          <w:rFonts w:ascii="Book Antiqua" w:hAnsi="Book Antiqua" w:hint="eastAsia"/>
          <w:sz w:val="24"/>
          <w:szCs w:val="24"/>
          <w:lang w:eastAsia="zh-CN"/>
        </w:rPr>
        <w:t>.</w:t>
      </w: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r w:rsidRPr="00F11C6E">
        <w:rPr>
          <w:rFonts w:ascii="Book Antiqua" w:hAnsi="Book Antiqua" w:cs="Palatino"/>
          <w:b/>
          <w:noProof/>
          <w:sz w:val="24"/>
          <w:szCs w:val="24"/>
          <w:u w:color="000000"/>
          <w:lang w:eastAsia="zh-CN"/>
        </w:rPr>
        <w:lastRenderedPageBreak/>
        <w:drawing>
          <wp:inline distT="0" distB="0" distL="0" distR="0" wp14:anchorId="076FD4E6" wp14:editId="684722E4">
            <wp:extent cx="2750400" cy="6321600"/>
            <wp:effectExtent l="19050" t="19050" r="12065" b="22225"/>
            <wp:docPr id="6146" name="Picture 2" descr="d:\Documents and Settings\wegnere\Desktop\Paed Onc paper\Figure A - Brown F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d:\Documents and Settings\wegnere\Desktop\Paed Onc paper\Figure A - Brown Fat.tif"/>
                    <pic:cNvPicPr>
                      <a:picLocks noChangeAspect="1" noChangeArrowheads="1"/>
                    </pic:cNvPicPr>
                  </pic:nvPicPr>
                  <pic:blipFill rotWithShape="1">
                    <a:blip r:embed="rId13">
                      <a:extLst>
                        <a:ext uri="{28A0092B-C50C-407E-A947-70E740481C1C}">
                          <a14:useLocalDpi xmlns:a14="http://schemas.microsoft.com/office/drawing/2010/main" val="0"/>
                        </a:ext>
                      </a:extLst>
                    </a:blip>
                    <a:srcRect l="1874" t="2511" r="1874" b="2132"/>
                    <a:stretch/>
                  </pic:blipFill>
                  <pic:spPr bwMode="auto">
                    <a:xfrm>
                      <a:off x="0" y="0"/>
                      <a:ext cx="2750400" cy="6321600"/>
                    </a:xfrm>
                    <a:prstGeom prst="rect">
                      <a:avLst/>
                    </a:prstGeom>
                    <a:noFill/>
                    <a:ln w="6350">
                      <a:solidFill>
                        <a:schemeClr val="tx1"/>
                      </a:solidFill>
                    </a:ln>
                    <a:extLst>
                      <a:ext uri="{909E8E84-426E-40DD-AFC4-6F175D3DCCD1}">
                        <a14:hiddenFill xmlns:a14="http://schemas.microsoft.com/office/drawing/2010/main">
                          <a:solidFill>
                            <a:srgbClr val="FFFFFF"/>
                          </a:solidFill>
                        </a14:hiddenFill>
                      </a:ext>
                    </a:extLst>
                  </pic:spPr>
                </pic:pic>
              </a:graphicData>
            </a:graphic>
          </wp:inline>
        </w:drawing>
      </w:r>
    </w:p>
    <w:p w:rsidR="00E25C1E" w:rsidRPr="00F11C6E" w:rsidRDefault="005F1053" w:rsidP="00F11C6E">
      <w:pPr>
        <w:pStyle w:val="Body"/>
        <w:spacing w:line="360" w:lineRule="auto"/>
        <w:jc w:val="both"/>
        <w:rPr>
          <w:rFonts w:ascii="Book Antiqua" w:hAnsi="Book Antiqua" w:cs="Palatino"/>
          <w:b/>
          <w:sz w:val="24"/>
          <w:szCs w:val="24"/>
          <w:u w:color="000000"/>
          <w:lang w:eastAsia="zh-CN"/>
        </w:rPr>
      </w:pPr>
      <w:r>
        <w:rPr>
          <w:rFonts w:ascii="Book Antiqua" w:hAnsi="Book Antiqua" w:cs="Palatino"/>
          <w:b/>
          <w:sz w:val="24"/>
          <w:szCs w:val="24"/>
          <w:u w:color="000000"/>
          <w:lang w:val="en-AU" w:eastAsia="zh-CN"/>
        </w:rPr>
        <w:t>Figure 6</w:t>
      </w:r>
      <w:r w:rsidR="00E25C1E" w:rsidRPr="00F11C6E">
        <w:rPr>
          <w:rFonts w:ascii="Book Antiqua" w:hAnsi="Book Antiqua" w:cs="Palatino"/>
          <w:b/>
          <w:sz w:val="24"/>
          <w:szCs w:val="24"/>
          <w:u w:color="000000"/>
          <w:lang w:val="en-AU" w:eastAsia="zh-CN"/>
        </w:rPr>
        <w:t xml:space="preserve"> </w:t>
      </w:r>
      <w:proofErr w:type="gramStart"/>
      <w:r w:rsidR="00E25C1E" w:rsidRPr="00F11C6E">
        <w:rPr>
          <w:rFonts w:ascii="Book Antiqua" w:hAnsi="Book Antiqua" w:cs="Palatino"/>
          <w:b/>
          <w:sz w:val="24"/>
          <w:szCs w:val="24"/>
          <w:u w:color="000000"/>
          <w:lang w:val="en-AU" w:eastAsia="zh-CN"/>
        </w:rPr>
        <w:t>An</w:t>
      </w:r>
      <w:proofErr w:type="gramEnd"/>
      <w:r w:rsidR="00E25C1E" w:rsidRPr="00F11C6E">
        <w:rPr>
          <w:rFonts w:ascii="Book Antiqua" w:hAnsi="Book Antiqua" w:cs="Palatino"/>
          <w:b/>
          <w:sz w:val="24"/>
          <w:szCs w:val="24"/>
          <w:u w:color="000000"/>
          <w:lang w:val="en-AU" w:eastAsia="zh-CN"/>
        </w:rPr>
        <w:t xml:space="preserve"> extreme case of widesp</w:t>
      </w:r>
      <w:r>
        <w:rPr>
          <w:rFonts w:ascii="Book Antiqua" w:hAnsi="Book Antiqua" w:cs="Palatino"/>
          <w:b/>
          <w:sz w:val="24"/>
          <w:szCs w:val="24"/>
          <w:u w:color="000000"/>
          <w:lang w:val="en-AU" w:eastAsia="zh-CN"/>
        </w:rPr>
        <w:t>read brown fat activity in a 16</w:t>
      </w:r>
      <w:r>
        <w:rPr>
          <w:rFonts w:ascii="Book Antiqua" w:hAnsi="Book Antiqua" w:cs="Palatino" w:hint="eastAsia"/>
          <w:b/>
          <w:sz w:val="24"/>
          <w:szCs w:val="24"/>
          <w:u w:color="000000"/>
          <w:lang w:val="en-AU" w:eastAsia="zh-CN"/>
        </w:rPr>
        <w:t>-</w:t>
      </w:r>
      <w:r w:rsidR="00E25C1E" w:rsidRPr="00F11C6E">
        <w:rPr>
          <w:rFonts w:ascii="Book Antiqua" w:hAnsi="Book Antiqua" w:cs="Palatino"/>
          <w:b/>
          <w:sz w:val="24"/>
          <w:szCs w:val="24"/>
          <w:u w:color="000000"/>
          <w:lang w:val="en-AU" w:eastAsia="zh-CN"/>
        </w:rPr>
        <w:t>year-old female with treated Hodgkin’s disease.</w:t>
      </w: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r w:rsidRPr="00F11C6E">
        <w:rPr>
          <w:rFonts w:ascii="Book Antiqua" w:hAnsi="Book Antiqua" w:cs="Palatino"/>
          <w:b/>
          <w:noProof/>
          <w:sz w:val="24"/>
          <w:szCs w:val="24"/>
          <w:u w:color="000000"/>
          <w:lang w:eastAsia="zh-CN"/>
        </w:rPr>
        <w:lastRenderedPageBreak/>
        <w:drawing>
          <wp:inline distT="0" distB="0" distL="0" distR="0" wp14:anchorId="0C126C88" wp14:editId="39DA5FDE">
            <wp:extent cx="3657917" cy="274343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57917" cy="2743438"/>
                    </a:xfrm>
                    <a:prstGeom prst="rect">
                      <a:avLst/>
                    </a:prstGeom>
                  </pic:spPr>
                </pic:pic>
              </a:graphicData>
            </a:graphic>
          </wp:inline>
        </w:drawing>
      </w: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r w:rsidRPr="00F11C6E">
        <w:rPr>
          <w:rFonts w:ascii="Book Antiqua" w:hAnsi="Book Antiqua" w:cs="Palatino"/>
          <w:b/>
          <w:sz w:val="24"/>
          <w:szCs w:val="24"/>
          <w:u w:color="000000"/>
          <w:lang w:val="en-AU" w:eastAsia="zh-CN"/>
        </w:rPr>
        <w:t>Figure 7 Normal physiological variants: various patterns of thymic uptake (</w:t>
      </w:r>
      <w:r w:rsidR="005F1053" w:rsidRPr="00F11C6E">
        <w:rPr>
          <w:rFonts w:ascii="Book Antiqua" w:hAnsi="Book Antiqua" w:cs="Palatino"/>
          <w:b/>
          <w:sz w:val="24"/>
          <w:szCs w:val="24"/>
          <w:u w:color="000000"/>
          <w:lang w:val="en-AU" w:eastAsia="zh-CN"/>
        </w:rPr>
        <w:t>A</w:t>
      </w:r>
      <w:r w:rsidRPr="00F11C6E">
        <w:rPr>
          <w:rFonts w:ascii="Book Antiqua" w:hAnsi="Book Antiqua" w:cs="Palatino"/>
          <w:b/>
          <w:sz w:val="24"/>
          <w:szCs w:val="24"/>
          <w:u w:color="000000"/>
          <w:lang w:val="en-AU" w:eastAsia="zh-CN"/>
        </w:rPr>
        <w:t>-</w:t>
      </w:r>
      <w:r w:rsidR="005F1053" w:rsidRPr="00F11C6E">
        <w:rPr>
          <w:rFonts w:ascii="Book Antiqua" w:hAnsi="Book Antiqua" w:cs="Palatino"/>
          <w:b/>
          <w:sz w:val="24"/>
          <w:szCs w:val="24"/>
          <w:u w:color="000000"/>
          <w:lang w:val="en-AU" w:eastAsia="zh-CN"/>
        </w:rPr>
        <w:t>F</w:t>
      </w:r>
      <w:r w:rsidRPr="00F11C6E">
        <w:rPr>
          <w:rFonts w:ascii="Book Antiqua" w:hAnsi="Book Antiqua" w:cs="Palatino"/>
          <w:b/>
          <w:sz w:val="24"/>
          <w:szCs w:val="24"/>
          <w:u w:color="000000"/>
          <w:lang w:val="en-AU" w:eastAsia="zh-CN"/>
        </w:rPr>
        <w:t>, thin arrow), tonsillar uptake (</w:t>
      </w:r>
      <w:r w:rsidR="005F1053" w:rsidRPr="00F11C6E">
        <w:rPr>
          <w:rFonts w:ascii="Book Antiqua" w:hAnsi="Book Antiqua" w:cs="Palatino"/>
          <w:b/>
          <w:sz w:val="24"/>
          <w:szCs w:val="24"/>
          <w:u w:color="000000"/>
          <w:lang w:val="en-AU" w:eastAsia="zh-CN"/>
        </w:rPr>
        <w:t>B</w:t>
      </w:r>
      <w:r w:rsidRPr="00F11C6E">
        <w:rPr>
          <w:rFonts w:ascii="Book Antiqua" w:hAnsi="Book Antiqua" w:cs="Palatino"/>
          <w:b/>
          <w:sz w:val="24"/>
          <w:szCs w:val="24"/>
          <w:u w:color="000000"/>
          <w:lang w:val="en-AU" w:eastAsia="zh-CN"/>
        </w:rPr>
        <w:t>, solid arrow), cardiac uptake (</w:t>
      </w:r>
      <w:r w:rsidR="005F1053" w:rsidRPr="00F11C6E">
        <w:rPr>
          <w:rFonts w:ascii="Book Antiqua" w:hAnsi="Book Antiqua" w:cs="Palatino"/>
          <w:b/>
          <w:sz w:val="24"/>
          <w:szCs w:val="24"/>
          <w:u w:color="000000"/>
          <w:lang w:val="en-AU" w:eastAsia="zh-CN"/>
        </w:rPr>
        <w:t>D</w:t>
      </w:r>
      <w:r w:rsidRPr="00F11C6E">
        <w:rPr>
          <w:rFonts w:ascii="Book Antiqua" w:hAnsi="Book Antiqua" w:cs="Palatino"/>
          <w:b/>
          <w:sz w:val="24"/>
          <w:szCs w:val="24"/>
          <w:u w:color="000000"/>
          <w:lang w:val="en-AU" w:eastAsia="zh-CN"/>
        </w:rPr>
        <w:t>, filled arrowhead) and laryngeal uptake (</w:t>
      </w:r>
      <w:r w:rsidR="005F1053" w:rsidRPr="00F11C6E">
        <w:rPr>
          <w:rFonts w:ascii="Book Antiqua" w:hAnsi="Book Antiqua" w:cs="Palatino"/>
          <w:b/>
          <w:sz w:val="24"/>
          <w:szCs w:val="24"/>
          <w:u w:color="000000"/>
          <w:lang w:val="en-AU" w:eastAsia="zh-CN"/>
        </w:rPr>
        <w:t>F</w:t>
      </w:r>
      <w:r w:rsidRPr="00F11C6E">
        <w:rPr>
          <w:rFonts w:ascii="Book Antiqua" w:hAnsi="Book Antiqua" w:cs="Palatino"/>
          <w:b/>
          <w:sz w:val="24"/>
          <w:szCs w:val="24"/>
          <w:u w:color="000000"/>
          <w:lang w:val="en-AU" w:eastAsia="zh-CN"/>
        </w:rPr>
        <w:t>, open arrowhead).</w:t>
      </w: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r w:rsidRPr="00F11C6E">
        <w:rPr>
          <w:rFonts w:ascii="Book Antiqua" w:hAnsi="Book Antiqua" w:cs="Palatino"/>
          <w:b/>
          <w:noProof/>
          <w:sz w:val="24"/>
          <w:szCs w:val="24"/>
          <w:u w:color="000000"/>
          <w:lang w:eastAsia="zh-CN"/>
        </w:rPr>
        <w:drawing>
          <wp:inline distT="0" distB="0" distL="0" distR="0" wp14:anchorId="099CA5E9" wp14:editId="5995A273">
            <wp:extent cx="3657917" cy="274343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57917" cy="2743438"/>
                    </a:xfrm>
                    <a:prstGeom prst="rect">
                      <a:avLst/>
                    </a:prstGeom>
                  </pic:spPr>
                </pic:pic>
              </a:graphicData>
            </a:graphic>
          </wp:inline>
        </w:drawing>
      </w: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r w:rsidRPr="00F11C6E">
        <w:rPr>
          <w:rFonts w:ascii="Book Antiqua" w:hAnsi="Book Antiqua" w:cs="Palatino"/>
          <w:b/>
          <w:sz w:val="24"/>
          <w:szCs w:val="24"/>
          <w:u w:color="000000"/>
          <w:lang w:val="en-AU" w:eastAsia="zh-CN"/>
        </w:rPr>
        <w:t>Figure 8 Examples of abnormal thymic uptake due to malignant disease (arrows).</w:t>
      </w: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r w:rsidRPr="00F11C6E">
        <w:rPr>
          <w:rFonts w:ascii="Book Antiqua" w:hAnsi="Book Antiqua" w:cs="Palatino"/>
          <w:b/>
          <w:noProof/>
          <w:sz w:val="24"/>
          <w:szCs w:val="24"/>
          <w:u w:color="000000"/>
          <w:lang w:eastAsia="zh-CN"/>
        </w:rPr>
        <w:lastRenderedPageBreak/>
        <w:drawing>
          <wp:inline distT="0" distB="0" distL="0" distR="0" wp14:anchorId="5C860891" wp14:editId="1D038702">
            <wp:extent cx="3657917" cy="274343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57917" cy="2743438"/>
                    </a:xfrm>
                    <a:prstGeom prst="rect">
                      <a:avLst/>
                    </a:prstGeom>
                  </pic:spPr>
                </pic:pic>
              </a:graphicData>
            </a:graphic>
          </wp:inline>
        </w:drawing>
      </w:r>
    </w:p>
    <w:p w:rsidR="00E25C1E" w:rsidRPr="005F1053" w:rsidRDefault="005F1053" w:rsidP="00F11C6E">
      <w:pPr>
        <w:pStyle w:val="Body"/>
        <w:spacing w:line="360" w:lineRule="auto"/>
        <w:jc w:val="both"/>
        <w:rPr>
          <w:rFonts w:ascii="Book Antiqua" w:hAnsi="Book Antiqua" w:cs="Palatino"/>
          <w:b/>
          <w:sz w:val="24"/>
          <w:szCs w:val="24"/>
          <w:u w:color="000000"/>
          <w:lang w:eastAsia="zh-CN"/>
        </w:rPr>
      </w:pPr>
      <w:r w:rsidRPr="005F1053">
        <w:rPr>
          <w:rFonts w:ascii="Book Antiqua" w:hAnsi="Book Antiqua" w:cs="Palatino"/>
          <w:b/>
          <w:sz w:val="24"/>
          <w:szCs w:val="24"/>
          <w:u w:color="000000"/>
          <w:lang w:val="en-AU" w:eastAsia="zh-CN"/>
        </w:rPr>
        <w:t>Figure 9</w:t>
      </w:r>
      <w:r w:rsidR="00E25C1E" w:rsidRPr="005F1053">
        <w:rPr>
          <w:rFonts w:ascii="Book Antiqua" w:hAnsi="Book Antiqua" w:cs="Palatino"/>
          <w:b/>
          <w:sz w:val="24"/>
          <w:szCs w:val="24"/>
          <w:u w:color="000000"/>
          <w:lang w:val="en-AU" w:eastAsia="zh-CN"/>
        </w:rPr>
        <w:t xml:space="preserve"> Normal </w:t>
      </w:r>
      <w:r w:rsidRPr="005F1053">
        <w:rPr>
          <w:rFonts w:ascii="Book Antiqua" w:hAnsi="Book Antiqua" w:hint="eastAsia"/>
          <w:b/>
          <w:sz w:val="24"/>
          <w:szCs w:val="24"/>
          <w:lang w:eastAsia="zh-CN"/>
        </w:rPr>
        <w:t>f</w:t>
      </w:r>
      <w:r w:rsidRPr="005F1053">
        <w:rPr>
          <w:rFonts w:ascii="Book Antiqua" w:hAnsi="Book Antiqua"/>
          <w:b/>
          <w:sz w:val="24"/>
          <w:szCs w:val="24"/>
        </w:rPr>
        <w:t>luoro-D</w:t>
      </w:r>
      <w:r w:rsidRPr="005F1053">
        <w:rPr>
          <w:rFonts w:ascii="Book Antiqua" w:hAnsi="Book Antiqua" w:cs="Palatino"/>
          <w:b/>
          <w:sz w:val="24"/>
          <w:szCs w:val="24"/>
          <w:u w:color="000000"/>
          <w:lang w:val="en-AU" w:eastAsia="zh-CN"/>
        </w:rPr>
        <w:t>-glucose</w:t>
      </w:r>
      <w:r w:rsidR="00E25C1E" w:rsidRPr="005F1053">
        <w:rPr>
          <w:rFonts w:ascii="Book Antiqua" w:hAnsi="Book Antiqua" w:cs="Palatino"/>
          <w:b/>
          <w:sz w:val="24"/>
          <w:szCs w:val="24"/>
          <w:u w:color="000000"/>
          <w:lang w:val="en-AU" w:eastAsia="zh-CN"/>
        </w:rPr>
        <w:t xml:space="preserve"> </w:t>
      </w:r>
      <w:r w:rsidRPr="005F1053">
        <w:rPr>
          <w:rFonts w:ascii="Book Antiqua" w:hAnsi="Book Antiqua" w:hint="eastAsia"/>
          <w:b/>
          <w:sz w:val="24"/>
          <w:szCs w:val="24"/>
          <w:lang w:eastAsia="zh-CN"/>
        </w:rPr>
        <w:t>p</w:t>
      </w:r>
      <w:r w:rsidRPr="005F1053">
        <w:rPr>
          <w:rFonts w:ascii="Book Antiqua" w:hAnsi="Book Antiqua"/>
          <w:b/>
          <w:sz w:val="24"/>
          <w:szCs w:val="24"/>
        </w:rPr>
        <w:t>ositron emission tomography</w:t>
      </w:r>
      <w:r w:rsidR="00E25C1E" w:rsidRPr="005F1053">
        <w:rPr>
          <w:rFonts w:ascii="Book Antiqua" w:hAnsi="Book Antiqua" w:cs="Palatino"/>
          <w:b/>
          <w:sz w:val="24"/>
          <w:szCs w:val="24"/>
          <w:u w:color="000000"/>
          <w:lang w:val="en-AU" w:eastAsia="zh-CN"/>
        </w:rPr>
        <w:t xml:space="preserve"> scan of an 8</w:t>
      </w:r>
      <w:r w:rsidRPr="005F1053">
        <w:rPr>
          <w:rFonts w:ascii="Book Antiqua" w:hAnsi="Book Antiqua" w:cs="Palatino" w:hint="eastAsia"/>
          <w:b/>
          <w:sz w:val="24"/>
          <w:szCs w:val="24"/>
          <w:u w:color="000000"/>
          <w:lang w:val="en-AU" w:eastAsia="zh-CN"/>
        </w:rPr>
        <w:t>-</w:t>
      </w:r>
      <w:r w:rsidR="00E25C1E" w:rsidRPr="005F1053">
        <w:rPr>
          <w:rFonts w:ascii="Book Antiqua" w:hAnsi="Book Antiqua" w:cs="Palatino"/>
          <w:b/>
          <w:sz w:val="24"/>
          <w:szCs w:val="24"/>
          <w:u w:color="000000"/>
          <w:lang w:val="en-AU" w:eastAsia="zh-CN"/>
        </w:rPr>
        <w:t>year-old female showing physiological growth plate uptake (arrow).</w:t>
      </w: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r w:rsidRPr="00F11C6E">
        <w:rPr>
          <w:rFonts w:ascii="Book Antiqua" w:hAnsi="Book Antiqua" w:cs="Palatino"/>
          <w:b/>
          <w:noProof/>
          <w:sz w:val="24"/>
          <w:szCs w:val="24"/>
          <w:u w:color="000000"/>
          <w:lang w:eastAsia="zh-CN"/>
        </w:rPr>
        <w:drawing>
          <wp:inline distT="0" distB="0" distL="0" distR="0" wp14:anchorId="2B5F1385" wp14:editId="797CAD34">
            <wp:extent cx="3657917" cy="274343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57917" cy="2743438"/>
                    </a:xfrm>
                    <a:prstGeom prst="rect">
                      <a:avLst/>
                    </a:prstGeom>
                  </pic:spPr>
                </pic:pic>
              </a:graphicData>
            </a:graphic>
          </wp:inline>
        </w:drawing>
      </w:r>
    </w:p>
    <w:p w:rsidR="005F1053" w:rsidRPr="005F1053" w:rsidRDefault="00E25C1E" w:rsidP="005F1053">
      <w:pPr>
        <w:pStyle w:val="Body"/>
        <w:spacing w:line="360" w:lineRule="auto"/>
        <w:jc w:val="both"/>
        <w:rPr>
          <w:rFonts w:ascii="Book Antiqua" w:hAnsi="Book Antiqua" w:cs="Palatino"/>
          <w:sz w:val="24"/>
          <w:szCs w:val="24"/>
          <w:u w:color="000000"/>
          <w:lang w:eastAsia="zh-CN"/>
        </w:rPr>
      </w:pPr>
      <w:r w:rsidRPr="00F11C6E">
        <w:rPr>
          <w:rFonts w:ascii="Book Antiqua" w:hAnsi="Book Antiqua" w:cs="Palatino"/>
          <w:b/>
          <w:sz w:val="24"/>
          <w:szCs w:val="24"/>
          <w:u w:color="000000"/>
          <w:lang w:val="en-AU" w:eastAsia="zh-CN"/>
        </w:rPr>
        <w:t xml:space="preserve">Figure </w:t>
      </w:r>
      <w:proofErr w:type="gramStart"/>
      <w:r w:rsidRPr="00F11C6E">
        <w:rPr>
          <w:rFonts w:ascii="Book Antiqua" w:hAnsi="Book Antiqua" w:cs="Palatino"/>
          <w:b/>
          <w:sz w:val="24"/>
          <w:szCs w:val="24"/>
          <w:u w:color="000000"/>
          <w:lang w:val="en-AU" w:eastAsia="zh-CN"/>
        </w:rPr>
        <w:t>10 Non–ossifying fibroma (arrow) i</w:t>
      </w:r>
      <w:r w:rsidR="005F1053">
        <w:rPr>
          <w:rFonts w:ascii="Book Antiqua" w:hAnsi="Book Antiqua" w:cs="Palatino"/>
          <w:b/>
          <w:sz w:val="24"/>
          <w:szCs w:val="24"/>
          <w:u w:color="000000"/>
          <w:lang w:val="en-AU" w:eastAsia="zh-CN"/>
        </w:rPr>
        <w:t>n the left distal femur of a 17</w:t>
      </w:r>
      <w:r w:rsidR="005F1053">
        <w:rPr>
          <w:rFonts w:ascii="Book Antiqua" w:hAnsi="Book Antiqua" w:cs="Palatino" w:hint="eastAsia"/>
          <w:b/>
          <w:sz w:val="24"/>
          <w:szCs w:val="24"/>
          <w:u w:color="000000"/>
          <w:lang w:val="en-AU" w:eastAsia="zh-CN"/>
        </w:rPr>
        <w:t>-</w:t>
      </w:r>
      <w:r w:rsidRPr="00F11C6E">
        <w:rPr>
          <w:rFonts w:ascii="Book Antiqua" w:hAnsi="Book Antiqua" w:cs="Palatino"/>
          <w:b/>
          <w:sz w:val="24"/>
          <w:szCs w:val="24"/>
          <w:u w:color="000000"/>
          <w:lang w:val="en-AU" w:eastAsia="zh-CN"/>
        </w:rPr>
        <w:t>year-old male patient with Langerhans cell histiocytosis</w:t>
      </w:r>
      <w:proofErr w:type="gramEnd"/>
      <w:r w:rsidRPr="00F11C6E">
        <w:rPr>
          <w:rFonts w:ascii="Book Antiqua" w:hAnsi="Book Antiqua" w:cs="Palatino"/>
          <w:b/>
          <w:sz w:val="24"/>
          <w:szCs w:val="24"/>
          <w:u w:color="000000"/>
          <w:lang w:val="en-AU" w:eastAsia="zh-CN"/>
        </w:rPr>
        <w:t xml:space="preserve">. </w:t>
      </w:r>
      <w:r w:rsidRPr="005F1053">
        <w:rPr>
          <w:rFonts w:ascii="Book Antiqua" w:hAnsi="Book Antiqua" w:cs="Palatino"/>
          <w:sz w:val="24"/>
          <w:szCs w:val="24"/>
          <w:u w:color="000000"/>
          <w:lang w:val="en-AU" w:eastAsia="zh-CN"/>
        </w:rPr>
        <w:t>FDG PET (</w:t>
      </w:r>
      <w:r w:rsidR="005F1053" w:rsidRPr="005F1053">
        <w:rPr>
          <w:rFonts w:ascii="Book Antiqua" w:hAnsi="Book Antiqua" w:cs="Palatino"/>
          <w:sz w:val="24"/>
          <w:szCs w:val="24"/>
          <w:u w:color="000000"/>
          <w:lang w:val="en-AU" w:eastAsia="zh-CN"/>
        </w:rPr>
        <w:t>A</w:t>
      </w:r>
      <w:r w:rsidRPr="005F1053">
        <w:rPr>
          <w:rFonts w:ascii="Book Antiqua" w:hAnsi="Book Antiqua" w:cs="Palatino"/>
          <w:sz w:val="24"/>
          <w:szCs w:val="24"/>
          <w:u w:color="000000"/>
          <w:lang w:val="en-AU" w:eastAsia="zh-CN"/>
        </w:rPr>
        <w:t>) showing avid uptake, CT (</w:t>
      </w:r>
      <w:r w:rsidR="005F1053" w:rsidRPr="005F1053">
        <w:rPr>
          <w:rFonts w:ascii="Book Antiqua" w:hAnsi="Book Antiqua" w:cs="Palatino"/>
          <w:sz w:val="24"/>
          <w:szCs w:val="24"/>
          <w:u w:color="000000"/>
          <w:lang w:val="en-AU" w:eastAsia="zh-CN"/>
        </w:rPr>
        <w:t>B</w:t>
      </w:r>
      <w:r w:rsidRPr="005F1053">
        <w:rPr>
          <w:rFonts w:ascii="Book Antiqua" w:hAnsi="Book Antiqua" w:cs="Palatino"/>
          <w:sz w:val="24"/>
          <w:szCs w:val="24"/>
          <w:u w:color="000000"/>
          <w:lang w:val="en-AU" w:eastAsia="zh-CN"/>
        </w:rPr>
        <w:t xml:space="preserve">) showing typical benign radiological features. </w:t>
      </w:r>
      <w:r w:rsidR="005F1053" w:rsidRPr="00F11C6E">
        <w:rPr>
          <w:rFonts w:ascii="Book Antiqua" w:hAnsi="Book Antiqua"/>
          <w:sz w:val="24"/>
          <w:szCs w:val="24"/>
          <w:lang w:val="en-AU" w:eastAsia="zh-CN"/>
        </w:rPr>
        <w:t>PET</w:t>
      </w:r>
      <w:r w:rsidR="005F1053">
        <w:rPr>
          <w:rFonts w:ascii="Book Antiqua" w:hAnsi="Book Antiqua" w:hint="eastAsia"/>
          <w:sz w:val="24"/>
          <w:szCs w:val="24"/>
          <w:lang w:val="en-AU" w:eastAsia="zh-CN"/>
        </w:rPr>
        <w:t xml:space="preserve">: </w:t>
      </w:r>
      <w:r w:rsidR="005F1053" w:rsidRPr="00F11C6E">
        <w:rPr>
          <w:rFonts w:ascii="Book Antiqua" w:hAnsi="Book Antiqua"/>
          <w:sz w:val="24"/>
          <w:szCs w:val="24"/>
          <w:lang w:eastAsia="zh-CN"/>
        </w:rPr>
        <w:t>P</w:t>
      </w:r>
      <w:r w:rsidR="005F1053" w:rsidRPr="00F11C6E">
        <w:rPr>
          <w:rFonts w:ascii="Book Antiqua" w:hAnsi="Book Antiqua"/>
          <w:sz w:val="24"/>
          <w:szCs w:val="24"/>
        </w:rPr>
        <w:t>ositron emission tomography</w:t>
      </w:r>
      <w:r w:rsidR="005F1053">
        <w:rPr>
          <w:rFonts w:ascii="Book Antiqua" w:hAnsi="Book Antiqua" w:hint="eastAsia"/>
          <w:sz w:val="24"/>
          <w:szCs w:val="24"/>
          <w:lang w:eastAsia="zh-CN"/>
        </w:rPr>
        <w:t>;</w:t>
      </w:r>
      <w:r w:rsidR="005F1053" w:rsidRPr="005F1053">
        <w:rPr>
          <w:rFonts w:ascii="Book Antiqua" w:hAnsi="Book Antiqua"/>
          <w:sz w:val="24"/>
          <w:szCs w:val="24"/>
          <w:lang w:val="en-AU" w:eastAsia="zh-CN"/>
        </w:rPr>
        <w:t xml:space="preserve"> </w:t>
      </w:r>
      <w:r w:rsidR="005F1053" w:rsidRPr="00F11C6E">
        <w:rPr>
          <w:rFonts w:ascii="Book Antiqua" w:hAnsi="Book Antiqua"/>
          <w:sz w:val="24"/>
          <w:szCs w:val="24"/>
          <w:lang w:val="en-AU" w:eastAsia="zh-CN"/>
        </w:rPr>
        <w:t>CT</w:t>
      </w:r>
      <w:r w:rsidR="005F1053">
        <w:rPr>
          <w:rFonts w:ascii="Book Antiqua" w:hAnsi="Book Antiqua" w:hint="eastAsia"/>
          <w:sz w:val="24"/>
          <w:szCs w:val="24"/>
          <w:lang w:val="en-AU" w:eastAsia="zh-CN"/>
        </w:rPr>
        <w:t xml:space="preserve">: </w:t>
      </w:r>
      <w:r w:rsidR="005F1053" w:rsidRPr="00F11C6E">
        <w:rPr>
          <w:rFonts w:ascii="Book Antiqua" w:hAnsi="Book Antiqua"/>
          <w:sz w:val="24"/>
          <w:szCs w:val="24"/>
        </w:rPr>
        <w:t>Computed tomography</w:t>
      </w:r>
      <w:r w:rsidR="005F1053">
        <w:rPr>
          <w:rFonts w:ascii="Book Antiqua" w:hAnsi="Book Antiqua" w:hint="eastAsia"/>
          <w:sz w:val="24"/>
          <w:szCs w:val="24"/>
          <w:lang w:eastAsia="zh-CN"/>
        </w:rPr>
        <w:t xml:space="preserve">; </w:t>
      </w:r>
      <w:r w:rsidR="005F1053" w:rsidRPr="001B7F6D">
        <w:rPr>
          <w:rFonts w:ascii="Book Antiqua" w:hAnsi="Book Antiqua"/>
          <w:sz w:val="24"/>
          <w:szCs w:val="24"/>
        </w:rPr>
        <w:t>FDG</w:t>
      </w:r>
      <w:r w:rsidR="005F1053">
        <w:rPr>
          <w:rFonts w:ascii="Book Antiqua" w:hAnsi="Book Antiqua" w:hint="eastAsia"/>
          <w:sz w:val="24"/>
          <w:szCs w:val="24"/>
          <w:lang w:eastAsia="zh-CN"/>
        </w:rPr>
        <w:t xml:space="preserve">: </w:t>
      </w:r>
      <w:r w:rsidR="005F1053">
        <w:rPr>
          <w:rFonts w:ascii="Book Antiqua" w:hAnsi="Book Antiqua"/>
          <w:sz w:val="24"/>
          <w:szCs w:val="24"/>
          <w:lang w:eastAsia="zh-CN"/>
        </w:rPr>
        <w:t>F</w:t>
      </w:r>
      <w:r w:rsidR="005F1053" w:rsidRPr="003A7147">
        <w:rPr>
          <w:rFonts w:ascii="Book Antiqua" w:hAnsi="Book Antiqua"/>
          <w:sz w:val="24"/>
          <w:szCs w:val="24"/>
        </w:rPr>
        <w:t>luoro-D</w:t>
      </w:r>
      <w:r w:rsidR="005F1053" w:rsidRPr="005F1053">
        <w:rPr>
          <w:rFonts w:ascii="Book Antiqua" w:hAnsi="Book Antiqua" w:cs="Palatino"/>
          <w:sz w:val="24"/>
          <w:szCs w:val="24"/>
          <w:u w:color="000000"/>
          <w:lang w:val="en-AU" w:eastAsia="zh-CN"/>
        </w:rPr>
        <w:t>-glucose</w:t>
      </w:r>
      <w:r w:rsidR="005F1053">
        <w:rPr>
          <w:rFonts w:ascii="Book Antiqua" w:hAnsi="Book Antiqua" w:cs="Palatino" w:hint="eastAsia"/>
          <w:sz w:val="24"/>
          <w:szCs w:val="24"/>
          <w:u w:color="000000"/>
          <w:lang w:val="en-AU" w:eastAsia="zh-CN"/>
        </w:rPr>
        <w:t>.</w:t>
      </w:r>
    </w:p>
    <w:p w:rsidR="00E25C1E" w:rsidRPr="005F1053" w:rsidRDefault="00E25C1E" w:rsidP="00F11C6E">
      <w:pPr>
        <w:pStyle w:val="Body"/>
        <w:spacing w:line="360" w:lineRule="auto"/>
        <w:jc w:val="both"/>
        <w:rPr>
          <w:rFonts w:ascii="Book Antiqua" w:hAnsi="Book Antiqua" w:cs="Palatino"/>
          <w:sz w:val="24"/>
          <w:szCs w:val="24"/>
          <w:u w:color="000000"/>
          <w:lang w:eastAsia="zh-CN"/>
        </w:rPr>
      </w:pPr>
    </w:p>
    <w:p w:rsidR="00E25C1E" w:rsidRPr="00F11C6E" w:rsidRDefault="00E25C1E" w:rsidP="00F11C6E">
      <w:pPr>
        <w:pStyle w:val="Body"/>
        <w:spacing w:line="360" w:lineRule="auto"/>
        <w:jc w:val="both"/>
        <w:rPr>
          <w:rFonts w:ascii="Book Antiqua" w:hAnsi="Book Antiqua" w:cs="Palatino"/>
          <w:b/>
          <w:sz w:val="24"/>
          <w:szCs w:val="24"/>
          <w:u w:color="000000"/>
          <w:lang w:eastAsia="zh-CN"/>
        </w:rPr>
      </w:pPr>
      <w:r w:rsidRPr="00F11C6E">
        <w:rPr>
          <w:rFonts w:ascii="Book Antiqua" w:hAnsi="Book Antiqua" w:cs="Palatino"/>
          <w:b/>
          <w:noProof/>
          <w:sz w:val="24"/>
          <w:szCs w:val="24"/>
          <w:u w:color="000000"/>
          <w:lang w:eastAsia="zh-CN"/>
        </w:rPr>
        <w:lastRenderedPageBreak/>
        <w:drawing>
          <wp:inline distT="0" distB="0" distL="0" distR="0" wp14:anchorId="3F0DA691" wp14:editId="09BBDA20">
            <wp:extent cx="3657917" cy="274343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57917" cy="2743438"/>
                    </a:xfrm>
                    <a:prstGeom prst="rect">
                      <a:avLst/>
                    </a:prstGeom>
                  </pic:spPr>
                </pic:pic>
              </a:graphicData>
            </a:graphic>
          </wp:inline>
        </w:drawing>
      </w:r>
    </w:p>
    <w:p w:rsidR="00E25C1E" w:rsidRPr="00E25C1E" w:rsidRDefault="005F1053" w:rsidP="005F1053">
      <w:pPr>
        <w:pStyle w:val="Body"/>
        <w:spacing w:line="360" w:lineRule="auto"/>
        <w:jc w:val="both"/>
        <w:rPr>
          <w:rFonts w:ascii="Book Antiqua" w:hAnsi="Book Antiqua" w:cs="Palatino"/>
          <w:b/>
          <w:sz w:val="24"/>
          <w:szCs w:val="24"/>
          <w:u w:color="000000"/>
          <w:lang w:eastAsia="zh-CN"/>
        </w:rPr>
      </w:pPr>
      <w:r>
        <w:rPr>
          <w:rFonts w:ascii="Book Antiqua" w:hAnsi="Book Antiqua" w:cs="Palatino"/>
          <w:b/>
          <w:sz w:val="24"/>
          <w:szCs w:val="24"/>
          <w:u w:color="000000"/>
          <w:lang w:eastAsia="zh-CN"/>
        </w:rPr>
        <w:t>Figure 11</w:t>
      </w:r>
      <w:r w:rsidR="00E25C1E" w:rsidRPr="00F11C6E">
        <w:rPr>
          <w:rFonts w:ascii="Book Antiqua" w:hAnsi="Book Antiqua" w:cs="Palatino"/>
          <w:b/>
          <w:sz w:val="24"/>
          <w:szCs w:val="24"/>
          <w:u w:color="000000"/>
          <w:lang w:eastAsia="zh-CN"/>
        </w:rPr>
        <w:t xml:space="preserve"> Effective </w:t>
      </w:r>
      <w:r>
        <w:rPr>
          <w:rFonts w:ascii="Book Antiqua" w:hAnsi="Book Antiqua" w:cs="Palatino" w:hint="eastAsia"/>
          <w:b/>
          <w:sz w:val="24"/>
          <w:szCs w:val="24"/>
          <w:u w:color="000000"/>
          <w:lang w:eastAsia="zh-CN"/>
        </w:rPr>
        <w:t>d</w:t>
      </w:r>
      <w:r w:rsidR="00E25C1E" w:rsidRPr="00F11C6E">
        <w:rPr>
          <w:rFonts w:ascii="Book Antiqua" w:hAnsi="Book Antiqua" w:cs="Palatino"/>
          <w:b/>
          <w:sz w:val="24"/>
          <w:szCs w:val="24"/>
          <w:u w:color="000000"/>
          <w:lang w:eastAsia="zh-CN"/>
        </w:rPr>
        <w:t xml:space="preserve">ose </w:t>
      </w:r>
      <w:r w:rsidR="00E25C1E" w:rsidRPr="005F1053">
        <w:rPr>
          <w:rFonts w:ascii="Book Antiqua" w:hAnsi="Book Antiqua" w:cs="Palatino"/>
          <w:b/>
          <w:i/>
          <w:sz w:val="24"/>
          <w:szCs w:val="24"/>
          <w:u w:color="000000"/>
          <w:lang w:eastAsia="zh-CN"/>
        </w:rPr>
        <w:t xml:space="preserve">vs </w:t>
      </w:r>
      <w:r w:rsidR="00E25C1E" w:rsidRPr="00F11C6E">
        <w:rPr>
          <w:rFonts w:ascii="Book Antiqua" w:hAnsi="Book Antiqua" w:cs="Palatino"/>
          <w:b/>
          <w:sz w:val="24"/>
          <w:szCs w:val="24"/>
          <w:u w:color="000000"/>
          <w:lang w:eastAsia="zh-CN"/>
        </w:rPr>
        <w:t xml:space="preserve">patient weight for </w:t>
      </w:r>
      <w:r w:rsidRPr="005F1053">
        <w:rPr>
          <w:rFonts w:ascii="Book Antiqua" w:hAnsi="Book Antiqua" w:hint="eastAsia"/>
          <w:b/>
          <w:sz w:val="24"/>
          <w:szCs w:val="24"/>
          <w:lang w:eastAsia="zh-CN"/>
        </w:rPr>
        <w:t>f</w:t>
      </w:r>
      <w:r w:rsidRPr="005F1053">
        <w:rPr>
          <w:rFonts w:ascii="Book Antiqua" w:hAnsi="Book Antiqua"/>
          <w:b/>
          <w:sz w:val="24"/>
          <w:szCs w:val="24"/>
        </w:rPr>
        <w:t>luoro-D</w:t>
      </w:r>
      <w:r w:rsidRPr="005F1053">
        <w:rPr>
          <w:rFonts w:ascii="Book Antiqua" w:hAnsi="Book Antiqua" w:cs="Palatino"/>
          <w:b/>
          <w:sz w:val="24"/>
          <w:szCs w:val="24"/>
          <w:u w:color="000000"/>
          <w:lang w:val="en-AU" w:eastAsia="zh-CN"/>
        </w:rPr>
        <w:t>-glucose</w:t>
      </w:r>
      <w:r w:rsidR="00E25C1E" w:rsidRPr="00F11C6E">
        <w:rPr>
          <w:rFonts w:ascii="Book Antiqua" w:hAnsi="Book Antiqua" w:cs="Palatino"/>
          <w:b/>
          <w:sz w:val="24"/>
          <w:szCs w:val="24"/>
          <w:u w:color="000000"/>
          <w:lang w:eastAsia="zh-CN"/>
        </w:rPr>
        <w:t xml:space="preserve"> (EANM and North American Consensus Guidelines).</w:t>
      </w:r>
      <w:r w:rsidR="00E25C1E" w:rsidRPr="005F1053">
        <w:rPr>
          <w:rFonts w:ascii="Book Antiqua" w:hAnsi="Book Antiqua" w:cs="Palatino"/>
          <w:sz w:val="24"/>
          <w:szCs w:val="24"/>
          <w:u w:color="000000"/>
          <w:lang w:eastAsia="zh-CN"/>
        </w:rPr>
        <w:t xml:space="preserve"> </w:t>
      </w:r>
      <w:proofErr w:type="gramStart"/>
      <w:r w:rsidR="00E25C1E" w:rsidRPr="005F1053">
        <w:rPr>
          <w:rFonts w:ascii="Book Antiqua" w:hAnsi="Book Antiqua" w:cs="Palatino"/>
          <w:sz w:val="24"/>
          <w:szCs w:val="24"/>
          <w:u w:color="000000"/>
          <w:lang w:eastAsia="zh-CN"/>
        </w:rPr>
        <w:t>Image courtesy of Bruce McBride, Chief Physicist, Department of Nuclear Medicine and PET, The Prince of Wales and Sydney Children’s Hospitals.</w:t>
      </w:r>
      <w:proofErr w:type="gramEnd"/>
      <w:r w:rsidRPr="005F1053">
        <w:rPr>
          <w:rFonts w:ascii="Book Antiqua" w:hAnsi="Book Antiqua"/>
          <w:sz w:val="24"/>
          <w:szCs w:val="24"/>
          <w:lang w:val="en-AU" w:eastAsia="zh-CN"/>
        </w:rPr>
        <w:t xml:space="preserve"> </w:t>
      </w:r>
      <w:r w:rsidRPr="00F11C6E">
        <w:rPr>
          <w:rFonts w:ascii="Book Antiqua" w:hAnsi="Book Antiqua"/>
          <w:sz w:val="24"/>
          <w:szCs w:val="24"/>
          <w:lang w:val="en-AU" w:eastAsia="zh-CN"/>
        </w:rPr>
        <w:t>ET</w:t>
      </w:r>
      <w:r>
        <w:rPr>
          <w:rFonts w:ascii="Book Antiqua" w:hAnsi="Book Antiqua" w:hint="eastAsia"/>
          <w:sz w:val="24"/>
          <w:szCs w:val="24"/>
          <w:lang w:val="en-AU" w:eastAsia="zh-CN"/>
        </w:rPr>
        <w:t xml:space="preserve">: </w:t>
      </w:r>
      <w:r w:rsidRPr="00F11C6E">
        <w:rPr>
          <w:rFonts w:ascii="Book Antiqua" w:hAnsi="Book Antiqua"/>
          <w:sz w:val="24"/>
          <w:szCs w:val="24"/>
          <w:lang w:eastAsia="zh-CN"/>
        </w:rPr>
        <w:t>P</w:t>
      </w:r>
      <w:r w:rsidRPr="00F11C6E">
        <w:rPr>
          <w:rFonts w:ascii="Book Antiqua" w:hAnsi="Book Antiqua"/>
          <w:sz w:val="24"/>
          <w:szCs w:val="24"/>
        </w:rPr>
        <w:t>ositron emission tomography</w:t>
      </w:r>
      <w:r>
        <w:rPr>
          <w:rFonts w:ascii="Book Antiqua" w:hAnsi="Book Antiqua" w:hint="eastAsia"/>
          <w:sz w:val="24"/>
          <w:szCs w:val="24"/>
          <w:lang w:eastAsia="zh-CN"/>
        </w:rPr>
        <w:t>.</w:t>
      </w:r>
    </w:p>
    <w:sectPr w:rsidR="00E25C1E" w:rsidRPr="00E25C1E">
      <w:headerReference w:type="default" r:id="rId19"/>
      <w:footerReference w:type="default" r:id="rId2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403" w:rsidRDefault="00A52403">
      <w:r>
        <w:separator/>
      </w:r>
    </w:p>
  </w:endnote>
  <w:endnote w:type="continuationSeparator" w:id="0">
    <w:p w:rsidR="00A52403" w:rsidRDefault="00A52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TwCenMT-Bold">
    <w:altName w:val="Arial"/>
    <w:panose1 w:val="00000000000000000000"/>
    <w:charset w:val="00"/>
    <w:family w:val="swiss"/>
    <w:notTrueType/>
    <w:pitch w:val="default"/>
    <w:sig w:usb0="00000003" w:usb1="00000000" w:usb2="00000000" w:usb3="00000000" w:csb0="00000001"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3F3" w:rsidRDefault="001713F3">
    <w:pPr>
      <w:pStyle w:val="HeaderFooter"/>
      <w:tabs>
        <w:tab w:val="clear" w:pos="9020"/>
        <w:tab w:val="center" w:pos="4819"/>
        <w:tab w:val="right" w:pos="9638"/>
      </w:tabs>
    </w:pPr>
    <w:r>
      <w:tab/>
    </w:r>
    <w:r>
      <w:tab/>
    </w:r>
    <w:r>
      <w:fldChar w:fldCharType="begin"/>
    </w:r>
    <w:r>
      <w:instrText xml:space="preserve"> PAGE </w:instrText>
    </w:r>
    <w:r>
      <w:fldChar w:fldCharType="separate"/>
    </w:r>
    <w:r w:rsidR="00FE5082">
      <w:rPr>
        <w:noProof/>
      </w:rPr>
      <w:t>39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403" w:rsidRDefault="00A52403">
      <w:r>
        <w:separator/>
      </w:r>
    </w:p>
  </w:footnote>
  <w:footnote w:type="continuationSeparator" w:id="0">
    <w:p w:rsidR="00A52403" w:rsidRDefault="00A524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3F3" w:rsidRDefault="001713F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37287"/>
    <w:rsid w:val="000202BB"/>
    <w:rsid w:val="001713F3"/>
    <w:rsid w:val="0019301A"/>
    <w:rsid w:val="001B7F6D"/>
    <w:rsid w:val="003A7147"/>
    <w:rsid w:val="005015F4"/>
    <w:rsid w:val="005923EC"/>
    <w:rsid w:val="005F1053"/>
    <w:rsid w:val="006F60D2"/>
    <w:rsid w:val="00740047"/>
    <w:rsid w:val="00805F76"/>
    <w:rsid w:val="00A52403"/>
    <w:rsid w:val="00A70F17"/>
    <w:rsid w:val="00B2150D"/>
    <w:rsid w:val="00C62363"/>
    <w:rsid w:val="00D13633"/>
    <w:rsid w:val="00D51D05"/>
    <w:rsid w:val="00D5738D"/>
    <w:rsid w:val="00D94B4C"/>
    <w:rsid w:val="00E25C1E"/>
    <w:rsid w:val="00E37287"/>
    <w:rsid w:val="00E57667"/>
    <w:rsid w:val="00F11C6E"/>
    <w:rsid w:val="00F4709A"/>
    <w:rsid w:val="00FE175D"/>
    <w:rsid w:val="00FE50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rPr>
  </w:style>
  <w:style w:type="character" w:customStyle="1" w:styleId="Hyperlink0">
    <w:name w:val="Hyperlink.0"/>
    <w:basedOn w:val="a3"/>
    <w:rPr>
      <w:u w:val="single"/>
    </w:rPr>
  </w:style>
  <w:style w:type="character" w:customStyle="1" w:styleId="CharChar1">
    <w:name w:val="Char Char1"/>
    <w:semiHidden/>
    <w:rPr>
      <w:rFonts w:eastAsia="宋体"/>
      <w:sz w:val="24"/>
      <w:szCs w:val="24"/>
      <w:lang w:val="en-US" w:eastAsia="en-US" w:bidi="ar-SA"/>
    </w:rPr>
  </w:style>
  <w:style w:type="character" w:styleId="a4">
    <w:name w:val="annotation reference"/>
    <w:basedOn w:val="a0"/>
    <w:semiHidden/>
    <w:unhideWhenUsed/>
    <w:rPr>
      <w:sz w:val="21"/>
      <w:szCs w:val="21"/>
    </w:rPr>
  </w:style>
  <w:style w:type="paragraph" w:styleId="a5">
    <w:name w:val="annotation text"/>
    <w:basedOn w:val="a"/>
    <w:link w:val="Char"/>
    <w:unhideWhenUsed/>
  </w:style>
  <w:style w:type="character" w:customStyle="1" w:styleId="Char">
    <w:name w:val="批注文字 Char"/>
    <w:basedOn w:val="a0"/>
    <w:link w:val="a5"/>
    <w:rPr>
      <w:sz w:val="24"/>
      <w:szCs w:val="24"/>
    </w:rPr>
  </w:style>
  <w:style w:type="paragraph" w:styleId="a6">
    <w:name w:val="annotation subject"/>
    <w:basedOn w:val="a5"/>
    <w:next w:val="a5"/>
    <w:link w:val="Char0"/>
    <w:uiPriority w:val="99"/>
    <w:semiHidden/>
    <w:unhideWhenUsed/>
    <w:rPr>
      <w:b/>
      <w:bCs/>
    </w:rPr>
  </w:style>
  <w:style w:type="character" w:customStyle="1" w:styleId="Char0">
    <w:name w:val="批注主题 Char"/>
    <w:basedOn w:val="Char"/>
    <w:link w:val="a6"/>
    <w:uiPriority w:val="99"/>
    <w:semiHidden/>
    <w:rPr>
      <w:b/>
      <w:bCs/>
      <w:sz w:val="24"/>
      <w:szCs w:val="24"/>
    </w:rPr>
  </w:style>
  <w:style w:type="paragraph" w:styleId="a7">
    <w:name w:val="Balloon Text"/>
    <w:basedOn w:val="a"/>
    <w:link w:val="Char1"/>
    <w:uiPriority w:val="99"/>
    <w:semiHidden/>
    <w:unhideWhenUsed/>
    <w:rPr>
      <w:sz w:val="18"/>
      <w:szCs w:val="18"/>
    </w:rPr>
  </w:style>
  <w:style w:type="character" w:customStyle="1" w:styleId="Char1">
    <w:name w:val="批注框文本 Char"/>
    <w:basedOn w:val="a0"/>
    <w:link w:val="a7"/>
    <w:uiPriority w:val="99"/>
    <w:semiHidden/>
    <w:rPr>
      <w:sz w:val="18"/>
      <w:szCs w:val="18"/>
    </w:rPr>
  </w:style>
  <w:style w:type="character" w:customStyle="1" w:styleId="labellist1">
    <w:name w:val="label_list1"/>
  </w:style>
  <w:style w:type="paragraph" w:styleId="a8">
    <w:name w:val="footer"/>
    <w:basedOn w:val="a"/>
    <w:link w:val="Char2"/>
    <w:rsid w:val="003A714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napToGrid w:val="0"/>
    </w:pPr>
    <w:rPr>
      <w:rFonts w:eastAsia="宋体"/>
      <w:kern w:val="2"/>
      <w:sz w:val="18"/>
      <w:szCs w:val="18"/>
      <w:bdr w:val="none" w:sz="0" w:space="0" w:color="auto"/>
      <w:lang w:eastAsia="zh-CN"/>
    </w:rPr>
  </w:style>
  <w:style w:type="character" w:customStyle="1" w:styleId="Char2">
    <w:name w:val="页脚 Char"/>
    <w:basedOn w:val="a0"/>
    <w:link w:val="a8"/>
    <w:rsid w:val="003A7147"/>
    <w:rPr>
      <w:rFonts w:eastAsia="宋体"/>
      <w:kern w:val="2"/>
      <w:sz w:val="18"/>
      <w:szCs w:val="18"/>
      <w:bdr w:val="none" w:sz="0" w:space="0" w:color="auto"/>
      <w:lang w:eastAsia="zh-CN"/>
    </w:rPr>
  </w:style>
  <w:style w:type="character" w:customStyle="1" w:styleId="apple-converted-space">
    <w:name w:val="apple-converted-space"/>
    <w:basedOn w:val="a0"/>
    <w:rsid w:val="00C62363"/>
  </w:style>
  <w:style w:type="character" w:styleId="a9">
    <w:name w:val="Emphasis"/>
    <w:basedOn w:val="a0"/>
    <w:uiPriority w:val="20"/>
    <w:qFormat/>
    <w:rsid w:val="005F105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rPr>
  </w:style>
  <w:style w:type="character" w:customStyle="1" w:styleId="Hyperlink0">
    <w:name w:val="Hyperlink.0"/>
    <w:basedOn w:val="a3"/>
    <w:rPr>
      <w:u w:val="single"/>
    </w:rPr>
  </w:style>
  <w:style w:type="character" w:customStyle="1" w:styleId="CharChar1">
    <w:name w:val="Char Char1"/>
    <w:semiHidden/>
    <w:rPr>
      <w:rFonts w:eastAsia="宋体"/>
      <w:sz w:val="24"/>
      <w:szCs w:val="24"/>
      <w:lang w:val="en-US" w:eastAsia="en-US" w:bidi="ar-SA"/>
    </w:rPr>
  </w:style>
  <w:style w:type="character" w:styleId="a4">
    <w:name w:val="annotation reference"/>
    <w:basedOn w:val="a0"/>
    <w:semiHidden/>
    <w:unhideWhenUsed/>
    <w:rPr>
      <w:sz w:val="21"/>
      <w:szCs w:val="21"/>
    </w:rPr>
  </w:style>
  <w:style w:type="paragraph" w:styleId="a5">
    <w:name w:val="annotation text"/>
    <w:basedOn w:val="a"/>
    <w:link w:val="Char"/>
    <w:unhideWhenUsed/>
  </w:style>
  <w:style w:type="character" w:customStyle="1" w:styleId="Char">
    <w:name w:val="批注文字 Char"/>
    <w:basedOn w:val="a0"/>
    <w:link w:val="a5"/>
    <w:rPr>
      <w:sz w:val="24"/>
      <w:szCs w:val="24"/>
    </w:rPr>
  </w:style>
  <w:style w:type="paragraph" w:styleId="a6">
    <w:name w:val="annotation subject"/>
    <w:basedOn w:val="a5"/>
    <w:next w:val="a5"/>
    <w:link w:val="Char0"/>
    <w:uiPriority w:val="99"/>
    <w:semiHidden/>
    <w:unhideWhenUsed/>
    <w:rPr>
      <w:b/>
      <w:bCs/>
    </w:rPr>
  </w:style>
  <w:style w:type="character" w:customStyle="1" w:styleId="Char0">
    <w:name w:val="批注主题 Char"/>
    <w:basedOn w:val="Char"/>
    <w:link w:val="a6"/>
    <w:uiPriority w:val="99"/>
    <w:semiHidden/>
    <w:rPr>
      <w:b/>
      <w:bCs/>
      <w:sz w:val="24"/>
      <w:szCs w:val="24"/>
    </w:rPr>
  </w:style>
  <w:style w:type="paragraph" w:styleId="a7">
    <w:name w:val="Balloon Text"/>
    <w:basedOn w:val="a"/>
    <w:link w:val="Char1"/>
    <w:uiPriority w:val="99"/>
    <w:semiHidden/>
    <w:unhideWhenUsed/>
    <w:rPr>
      <w:sz w:val="18"/>
      <w:szCs w:val="18"/>
    </w:rPr>
  </w:style>
  <w:style w:type="character" w:customStyle="1" w:styleId="Char1">
    <w:name w:val="批注框文本 Char"/>
    <w:basedOn w:val="a0"/>
    <w:link w:val="a7"/>
    <w:uiPriority w:val="99"/>
    <w:semiHidden/>
    <w:rPr>
      <w:sz w:val="18"/>
      <w:szCs w:val="18"/>
    </w:rPr>
  </w:style>
  <w:style w:type="character" w:customStyle="1" w:styleId="labellist1">
    <w:name w:val="label_list1"/>
  </w:style>
  <w:style w:type="paragraph" w:styleId="a8">
    <w:name w:val="footer"/>
    <w:basedOn w:val="a"/>
    <w:link w:val="Char2"/>
    <w:rsid w:val="003A714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napToGrid w:val="0"/>
    </w:pPr>
    <w:rPr>
      <w:rFonts w:eastAsia="宋体"/>
      <w:kern w:val="2"/>
      <w:sz w:val="18"/>
      <w:szCs w:val="18"/>
      <w:bdr w:val="none" w:sz="0" w:space="0" w:color="auto"/>
      <w:lang w:eastAsia="zh-CN"/>
    </w:rPr>
  </w:style>
  <w:style w:type="character" w:customStyle="1" w:styleId="Char2">
    <w:name w:val="页脚 Char"/>
    <w:basedOn w:val="a0"/>
    <w:link w:val="a8"/>
    <w:rsid w:val="003A7147"/>
    <w:rPr>
      <w:rFonts w:eastAsia="宋体"/>
      <w:kern w:val="2"/>
      <w:sz w:val="18"/>
      <w:szCs w:val="18"/>
      <w:bdr w:val="none" w:sz="0" w:space="0" w:color="auto"/>
      <w:lang w:eastAsia="zh-CN"/>
    </w:rPr>
  </w:style>
  <w:style w:type="character" w:customStyle="1" w:styleId="apple-converted-space">
    <w:name w:val="apple-converted-space"/>
    <w:basedOn w:val="a0"/>
    <w:rsid w:val="00C62363"/>
  </w:style>
  <w:style w:type="character" w:styleId="a9">
    <w:name w:val="Emphasis"/>
    <w:basedOn w:val="a0"/>
    <w:uiPriority w:val="20"/>
    <w:qFormat/>
    <w:rsid w:val="005F10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323368">
      <w:bodyDiv w:val="1"/>
      <w:marLeft w:val="0"/>
      <w:marRight w:val="0"/>
      <w:marTop w:val="0"/>
      <w:marBottom w:val="0"/>
      <w:divBdr>
        <w:top w:val="none" w:sz="0" w:space="0" w:color="auto"/>
        <w:left w:val="none" w:sz="0" w:space="0" w:color="auto"/>
        <w:bottom w:val="none" w:sz="0" w:space="0" w:color="auto"/>
        <w:right w:val="none" w:sz="0" w:space="0" w:color="auto"/>
      </w:divBdr>
    </w:div>
    <w:div w:id="586697829">
      <w:bodyDiv w:val="1"/>
      <w:marLeft w:val="0"/>
      <w:marRight w:val="0"/>
      <w:marTop w:val="0"/>
      <w:marBottom w:val="0"/>
      <w:divBdr>
        <w:top w:val="none" w:sz="0" w:space="0" w:color="auto"/>
        <w:left w:val="none" w:sz="0" w:space="0" w:color="auto"/>
        <w:bottom w:val="none" w:sz="0" w:space="0" w:color="auto"/>
        <w:right w:val="none" w:sz="0" w:space="0" w:color="auto"/>
      </w:divBdr>
    </w:div>
    <w:div w:id="655256556">
      <w:bodyDiv w:val="1"/>
      <w:marLeft w:val="0"/>
      <w:marRight w:val="0"/>
      <w:marTop w:val="0"/>
      <w:marBottom w:val="0"/>
      <w:divBdr>
        <w:top w:val="none" w:sz="0" w:space="0" w:color="auto"/>
        <w:left w:val="none" w:sz="0" w:space="0" w:color="auto"/>
        <w:bottom w:val="none" w:sz="0" w:space="0" w:color="auto"/>
        <w:right w:val="none" w:sz="0" w:space="0" w:color="auto"/>
      </w:divBdr>
    </w:div>
    <w:div w:id="1255481916">
      <w:bodyDiv w:val="1"/>
      <w:marLeft w:val="0"/>
      <w:marRight w:val="0"/>
      <w:marTop w:val="0"/>
      <w:marBottom w:val="0"/>
      <w:divBdr>
        <w:top w:val="none" w:sz="0" w:space="0" w:color="auto"/>
        <w:left w:val="none" w:sz="0" w:space="0" w:color="auto"/>
        <w:bottom w:val="none" w:sz="0" w:space="0" w:color="auto"/>
        <w:right w:val="none" w:sz="0" w:space="0" w:color="auto"/>
      </w:divBdr>
      <w:divsChild>
        <w:div w:id="728578869">
          <w:marLeft w:val="0"/>
          <w:marRight w:val="0"/>
          <w:marTop w:val="0"/>
          <w:marBottom w:val="0"/>
          <w:divBdr>
            <w:top w:val="none" w:sz="0" w:space="0" w:color="auto"/>
            <w:left w:val="none" w:sz="0" w:space="0" w:color="auto"/>
            <w:bottom w:val="none" w:sz="0" w:space="0" w:color="auto"/>
            <w:right w:val="none" w:sz="0" w:space="0" w:color="auto"/>
          </w:divBdr>
        </w:div>
        <w:div w:id="1980303377">
          <w:marLeft w:val="0"/>
          <w:marRight w:val="0"/>
          <w:marTop w:val="0"/>
          <w:marBottom w:val="0"/>
          <w:divBdr>
            <w:top w:val="none" w:sz="0" w:space="0" w:color="auto"/>
            <w:left w:val="none" w:sz="0" w:space="0" w:color="auto"/>
            <w:bottom w:val="none" w:sz="0" w:space="0" w:color="auto"/>
            <w:right w:val="none" w:sz="0" w:space="0" w:color="auto"/>
          </w:divBdr>
        </w:div>
        <w:div w:id="134764097">
          <w:marLeft w:val="0"/>
          <w:marRight w:val="0"/>
          <w:marTop w:val="0"/>
          <w:marBottom w:val="0"/>
          <w:divBdr>
            <w:top w:val="none" w:sz="0" w:space="0" w:color="auto"/>
            <w:left w:val="none" w:sz="0" w:space="0" w:color="auto"/>
            <w:bottom w:val="none" w:sz="0" w:space="0" w:color="auto"/>
            <w:right w:val="none" w:sz="0" w:space="0" w:color="auto"/>
          </w:divBdr>
        </w:div>
        <w:div w:id="665402791">
          <w:marLeft w:val="0"/>
          <w:marRight w:val="0"/>
          <w:marTop w:val="0"/>
          <w:marBottom w:val="0"/>
          <w:divBdr>
            <w:top w:val="none" w:sz="0" w:space="0" w:color="auto"/>
            <w:left w:val="none" w:sz="0" w:space="0" w:color="auto"/>
            <w:bottom w:val="none" w:sz="0" w:space="0" w:color="auto"/>
            <w:right w:val="none" w:sz="0" w:space="0" w:color="auto"/>
          </w:divBdr>
        </w:div>
        <w:div w:id="1207372497">
          <w:marLeft w:val="0"/>
          <w:marRight w:val="0"/>
          <w:marTop w:val="0"/>
          <w:marBottom w:val="0"/>
          <w:divBdr>
            <w:top w:val="none" w:sz="0" w:space="0" w:color="auto"/>
            <w:left w:val="none" w:sz="0" w:space="0" w:color="auto"/>
            <w:bottom w:val="none" w:sz="0" w:space="0" w:color="auto"/>
            <w:right w:val="none" w:sz="0" w:space="0" w:color="auto"/>
          </w:divBdr>
        </w:div>
        <w:div w:id="2046834543">
          <w:marLeft w:val="0"/>
          <w:marRight w:val="0"/>
          <w:marTop w:val="0"/>
          <w:marBottom w:val="0"/>
          <w:divBdr>
            <w:top w:val="none" w:sz="0" w:space="0" w:color="auto"/>
            <w:left w:val="none" w:sz="0" w:space="0" w:color="auto"/>
            <w:bottom w:val="none" w:sz="0" w:space="0" w:color="auto"/>
            <w:right w:val="none" w:sz="0" w:space="0" w:color="auto"/>
          </w:divBdr>
        </w:div>
        <w:div w:id="1017345672">
          <w:marLeft w:val="0"/>
          <w:marRight w:val="0"/>
          <w:marTop w:val="0"/>
          <w:marBottom w:val="0"/>
          <w:divBdr>
            <w:top w:val="none" w:sz="0" w:space="0" w:color="auto"/>
            <w:left w:val="none" w:sz="0" w:space="0" w:color="auto"/>
            <w:bottom w:val="none" w:sz="0" w:space="0" w:color="auto"/>
            <w:right w:val="none" w:sz="0" w:space="0" w:color="auto"/>
          </w:divBdr>
        </w:div>
        <w:div w:id="1524242053">
          <w:marLeft w:val="0"/>
          <w:marRight w:val="0"/>
          <w:marTop w:val="0"/>
          <w:marBottom w:val="0"/>
          <w:divBdr>
            <w:top w:val="none" w:sz="0" w:space="0" w:color="auto"/>
            <w:left w:val="none" w:sz="0" w:space="0" w:color="auto"/>
            <w:bottom w:val="none" w:sz="0" w:space="0" w:color="auto"/>
            <w:right w:val="none" w:sz="0" w:space="0" w:color="auto"/>
          </w:divBdr>
        </w:div>
        <w:div w:id="2062249874">
          <w:marLeft w:val="0"/>
          <w:marRight w:val="0"/>
          <w:marTop w:val="0"/>
          <w:marBottom w:val="0"/>
          <w:divBdr>
            <w:top w:val="none" w:sz="0" w:space="0" w:color="auto"/>
            <w:left w:val="none" w:sz="0" w:space="0" w:color="auto"/>
            <w:bottom w:val="none" w:sz="0" w:space="0" w:color="auto"/>
            <w:right w:val="none" w:sz="0" w:space="0" w:color="auto"/>
          </w:divBdr>
        </w:div>
        <w:div w:id="1876385142">
          <w:marLeft w:val="0"/>
          <w:marRight w:val="0"/>
          <w:marTop w:val="0"/>
          <w:marBottom w:val="0"/>
          <w:divBdr>
            <w:top w:val="none" w:sz="0" w:space="0" w:color="auto"/>
            <w:left w:val="none" w:sz="0" w:space="0" w:color="auto"/>
            <w:bottom w:val="none" w:sz="0" w:space="0" w:color="auto"/>
            <w:right w:val="none" w:sz="0" w:space="0" w:color="auto"/>
          </w:divBdr>
        </w:div>
        <w:div w:id="240330762">
          <w:marLeft w:val="0"/>
          <w:marRight w:val="0"/>
          <w:marTop w:val="0"/>
          <w:marBottom w:val="0"/>
          <w:divBdr>
            <w:top w:val="none" w:sz="0" w:space="0" w:color="auto"/>
            <w:left w:val="none" w:sz="0" w:space="0" w:color="auto"/>
            <w:bottom w:val="none" w:sz="0" w:space="0" w:color="auto"/>
            <w:right w:val="none" w:sz="0" w:space="0" w:color="auto"/>
          </w:divBdr>
        </w:div>
        <w:div w:id="308872888">
          <w:marLeft w:val="0"/>
          <w:marRight w:val="0"/>
          <w:marTop w:val="0"/>
          <w:marBottom w:val="0"/>
          <w:divBdr>
            <w:top w:val="none" w:sz="0" w:space="0" w:color="auto"/>
            <w:left w:val="none" w:sz="0" w:space="0" w:color="auto"/>
            <w:bottom w:val="none" w:sz="0" w:space="0" w:color="auto"/>
            <w:right w:val="none" w:sz="0" w:space="0" w:color="auto"/>
          </w:divBdr>
        </w:div>
        <w:div w:id="1330060735">
          <w:marLeft w:val="0"/>
          <w:marRight w:val="0"/>
          <w:marTop w:val="0"/>
          <w:marBottom w:val="0"/>
          <w:divBdr>
            <w:top w:val="none" w:sz="0" w:space="0" w:color="auto"/>
            <w:left w:val="none" w:sz="0" w:space="0" w:color="auto"/>
            <w:bottom w:val="none" w:sz="0" w:space="0" w:color="auto"/>
            <w:right w:val="none" w:sz="0" w:space="0" w:color="auto"/>
          </w:divBdr>
        </w:div>
        <w:div w:id="875653271">
          <w:marLeft w:val="0"/>
          <w:marRight w:val="0"/>
          <w:marTop w:val="0"/>
          <w:marBottom w:val="0"/>
          <w:divBdr>
            <w:top w:val="none" w:sz="0" w:space="0" w:color="auto"/>
            <w:left w:val="none" w:sz="0" w:space="0" w:color="auto"/>
            <w:bottom w:val="none" w:sz="0" w:space="0" w:color="auto"/>
            <w:right w:val="none" w:sz="0" w:space="0" w:color="auto"/>
          </w:divBdr>
        </w:div>
        <w:div w:id="145636789">
          <w:marLeft w:val="0"/>
          <w:marRight w:val="0"/>
          <w:marTop w:val="0"/>
          <w:marBottom w:val="0"/>
          <w:divBdr>
            <w:top w:val="none" w:sz="0" w:space="0" w:color="auto"/>
            <w:left w:val="none" w:sz="0" w:space="0" w:color="auto"/>
            <w:bottom w:val="none" w:sz="0" w:space="0" w:color="auto"/>
            <w:right w:val="none" w:sz="0" w:space="0" w:color="auto"/>
          </w:divBdr>
        </w:div>
        <w:div w:id="1785033514">
          <w:marLeft w:val="0"/>
          <w:marRight w:val="0"/>
          <w:marTop w:val="0"/>
          <w:marBottom w:val="0"/>
          <w:divBdr>
            <w:top w:val="none" w:sz="0" w:space="0" w:color="auto"/>
            <w:left w:val="none" w:sz="0" w:space="0" w:color="auto"/>
            <w:bottom w:val="none" w:sz="0" w:space="0" w:color="auto"/>
            <w:right w:val="none" w:sz="0" w:space="0" w:color="auto"/>
          </w:divBdr>
        </w:div>
        <w:div w:id="1271859701">
          <w:marLeft w:val="0"/>
          <w:marRight w:val="0"/>
          <w:marTop w:val="0"/>
          <w:marBottom w:val="0"/>
          <w:divBdr>
            <w:top w:val="none" w:sz="0" w:space="0" w:color="auto"/>
            <w:left w:val="none" w:sz="0" w:space="0" w:color="auto"/>
            <w:bottom w:val="none" w:sz="0" w:space="0" w:color="auto"/>
            <w:right w:val="none" w:sz="0" w:space="0" w:color="auto"/>
          </w:divBdr>
        </w:div>
        <w:div w:id="1968121229">
          <w:marLeft w:val="0"/>
          <w:marRight w:val="0"/>
          <w:marTop w:val="0"/>
          <w:marBottom w:val="0"/>
          <w:divBdr>
            <w:top w:val="none" w:sz="0" w:space="0" w:color="auto"/>
            <w:left w:val="none" w:sz="0" w:space="0" w:color="auto"/>
            <w:bottom w:val="none" w:sz="0" w:space="0" w:color="auto"/>
            <w:right w:val="none" w:sz="0" w:space="0" w:color="auto"/>
          </w:divBdr>
        </w:div>
        <w:div w:id="325744155">
          <w:marLeft w:val="0"/>
          <w:marRight w:val="0"/>
          <w:marTop w:val="0"/>
          <w:marBottom w:val="0"/>
          <w:divBdr>
            <w:top w:val="none" w:sz="0" w:space="0" w:color="auto"/>
            <w:left w:val="none" w:sz="0" w:space="0" w:color="auto"/>
            <w:bottom w:val="none" w:sz="0" w:space="0" w:color="auto"/>
            <w:right w:val="none" w:sz="0" w:space="0" w:color="auto"/>
          </w:divBdr>
        </w:div>
        <w:div w:id="507792282">
          <w:marLeft w:val="0"/>
          <w:marRight w:val="0"/>
          <w:marTop w:val="0"/>
          <w:marBottom w:val="0"/>
          <w:divBdr>
            <w:top w:val="none" w:sz="0" w:space="0" w:color="auto"/>
            <w:left w:val="none" w:sz="0" w:space="0" w:color="auto"/>
            <w:bottom w:val="none" w:sz="0" w:space="0" w:color="auto"/>
            <w:right w:val="none" w:sz="0" w:space="0" w:color="auto"/>
          </w:divBdr>
        </w:div>
        <w:div w:id="1894733845">
          <w:marLeft w:val="0"/>
          <w:marRight w:val="0"/>
          <w:marTop w:val="0"/>
          <w:marBottom w:val="0"/>
          <w:divBdr>
            <w:top w:val="none" w:sz="0" w:space="0" w:color="auto"/>
            <w:left w:val="none" w:sz="0" w:space="0" w:color="auto"/>
            <w:bottom w:val="none" w:sz="0" w:space="0" w:color="auto"/>
            <w:right w:val="none" w:sz="0" w:space="0" w:color="auto"/>
          </w:divBdr>
        </w:div>
        <w:div w:id="1324511787">
          <w:marLeft w:val="0"/>
          <w:marRight w:val="0"/>
          <w:marTop w:val="0"/>
          <w:marBottom w:val="0"/>
          <w:divBdr>
            <w:top w:val="none" w:sz="0" w:space="0" w:color="auto"/>
            <w:left w:val="none" w:sz="0" w:space="0" w:color="auto"/>
            <w:bottom w:val="none" w:sz="0" w:space="0" w:color="auto"/>
            <w:right w:val="none" w:sz="0" w:space="0" w:color="auto"/>
          </w:divBdr>
        </w:div>
        <w:div w:id="1949702151">
          <w:marLeft w:val="0"/>
          <w:marRight w:val="0"/>
          <w:marTop w:val="0"/>
          <w:marBottom w:val="0"/>
          <w:divBdr>
            <w:top w:val="none" w:sz="0" w:space="0" w:color="auto"/>
            <w:left w:val="none" w:sz="0" w:space="0" w:color="auto"/>
            <w:bottom w:val="none" w:sz="0" w:space="0" w:color="auto"/>
            <w:right w:val="none" w:sz="0" w:space="0" w:color="auto"/>
          </w:divBdr>
        </w:div>
        <w:div w:id="1635678729">
          <w:marLeft w:val="0"/>
          <w:marRight w:val="0"/>
          <w:marTop w:val="0"/>
          <w:marBottom w:val="0"/>
          <w:divBdr>
            <w:top w:val="none" w:sz="0" w:space="0" w:color="auto"/>
            <w:left w:val="none" w:sz="0" w:space="0" w:color="auto"/>
            <w:bottom w:val="none" w:sz="0" w:space="0" w:color="auto"/>
            <w:right w:val="none" w:sz="0" w:space="0" w:color="auto"/>
          </w:divBdr>
        </w:div>
        <w:div w:id="1752585884">
          <w:marLeft w:val="0"/>
          <w:marRight w:val="0"/>
          <w:marTop w:val="0"/>
          <w:marBottom w:val="0"/>
          <w:divBdr>
            <w:top w:val="none" w:sz="0" w:space="0" w:color="auto"/>
            <w:left w:val="none" w:sz="0" w:space="0" w:color="auto"/>
            <w:bottom w:val="none" w:sz="0" w:space="0" w:color="auto"/>
            <w:right w:val="none" w:sz="0" w:space="0" w:color="auto"/>
          </w:divBdr>
        </w:div>
        <w:div w:id="1015768591">
          <w:marLeft w:val="0"/>
          <w:marRight w:val="0"/>
          <w:marTop w:val="0"/>
          <w:marBottom w:val="0"/>
          <w:divBdr>
            <w:top w:val="none" w:sz="0" w:space="0" w:color="auto"/>
            <w:left w:val="none" w:sz="0" w:space="0" w:color="auto"/>
            <w:bottom w:val="none" w:sz="0" w:space="0" w:color="auto"/>
            <w:right w:val="none" w:sz="0" w:space="0" w:color="auto"/>
          </w:divBdr>
        </w:div>
        <w:div w:id="2014801524">
          <w:marLeft w:val="0"/>
          <w:marRight w:val="0"/>
          <w:marTop w:val="0"/>
          <w:marBottom w:val="0"/>
          <w:divBdr>
            <w:top w:val="none" w:sz="0" w:space="0" w:color="auto"/>
            <w:left w:val="none" w:sz="0" w:space="0" w:color="auto"/>
            <w:bottom w:val="none" w:sz="0" w:space="0" w:color="auto"/>
            <w:right w:val="none" w:sz="0" w:space="0" w:color="auto"/>
          </w:divBdr>
        </w:div>
        <w:div w:id="109515444">
          <w:marLeft w:val="0"/>
          <w:marRight w:val="0"/>
          <w:marTop w:val="0"/>
          <w:marBottom w:val="0"/>
          <w:divBdr>
            <w:top w:val="none" w:sz="0" w:space="0" w:color="auto"/>
            <w:left w:val="none" w:sz="0" w:space="0" w:color="auto"/>
            <w:bottom w:val="none" w:sz="0" w:space="0" w:color="auto"/>
            <w:right w:val="none" w:sz="0" w:space="0" w:color="auto"/>
          </w:divBdr>
        </w:div>
        <w:div w:id="207650429">
          <w:marLeft w:val="0"/>
          <w:marRight w:val="0"/>
          <w:marTop w:val="0"/>
          <w:marBottom w:val="0"/>
          <w:divBdr>
            <w:top w:val="none" w:sz="0" w:space="0" w:color="auto"/>
            <w:left w:val="none" w:sz="0" w:space="0" w:color="auto"/>
            <w:bottom w:val="none" w:sz="0" w:space="0" w:color="auto"/>
            <w:right w:val="none" w:sz="0" w:space="0" w:color="auto"/>
          </w:divBdr>
        </w:div>
        <w:div w:id="523325363">
          <w:marLeft w:val="0"/>
          <w:marRight w:val="0"/>
          <w:marTop w:val="0"/>
          <w:marBottom w:val="0"/>
          <w:divBdr>
            <w:top w:val="none" w:sz="0" w:space="0" w:color="auto"/>
            <w:left w:val="none" w:sz="0" w:space="0" w:color="auto"/>
            <w:bottom w:val="none" w:sz="0" w:space="0" w:color="auto"/>
            <w:right w:val="none" w:sz="0" w:space="0" w:color="auto"/>
          </w:divBdr>
        </w:div>
        <w:div w:id="622002834">
          <w:marLeft w:val="0"/>
          <w:marRight w:val="0"/>
          <w:marTop w:val="0"/>
          <w:marBottom w:val="0"/>
          <w:divBdr>
            <w:top w:val="none" w:sz="0" w:space="0" w:color="auto"/>
            <w:left w:val="none" w:sz="0" w:space="0" w:color="auto"/>
            <w:bottom w:val="none" w:sz="0" w:space="0" w:color="auto"/>
            <w:right w:val="none" w:sz="0" w:space="0" w:color="auto"/>
          </w:divBdr>
        </w:div>
        <w:div w:id="561334432">
          <w:marLeft w:val="0"/>
          <w:marRight w:val="0"/>
          <w:marTop w:val="0"/>
          <w:marBottom w:val="0"/>
          <w:divBdr>
            <w:top w:val="none" w:sz="0" w:space="0" w:color="auto"/>
            <w:left w:val="none" w:sz="0" w:space="0" w:color="auto"/>
            <w:bottom w:val="none" w:sz="0" w:space="0" w:color="auto"/>
            <w:right w:val="none" w:sz="0" w:space="0" w:color="auto"/>
          </w:divBdr>
        </w:div>
        <w:div w:id="1117913149">
          <w:marLeft w:val="0"/>
          <w:marRight w:val="0"/>
          <w:marTop w:val="0"/>
          <w:marBottom w:val="0"/>
          <w:divBdr>
            <w:top w:val="none" w:sz="0" w:space="0" w:color="auto"/>
            <w:left w:val="none" w:sz="0" w:space="0" w:color="auto"/>
            <w:bottom w:val="none" w:sz="0" w:space="0" w:color="auto"/>
            <w:right w:val="none" w:sz="0" w:space="0" w:color="auto"/>
          </w:divBdr>
        </w:div>
        <w:div w:id="907761076">
          <w:marLeft w:val="0"/>
          <w:marRight w:val="0"/>
          <w:marTop w:val="0"/>
          <w:marBottom w:val="0"/>
          <w:divBdr>
            <w:top w:val="none" w:sz="0" w:space="0" w:color="auto"/>
            <w:left w:val="none" w:sz="0" w:space="0" w:color="auto"/>
            <w:bottom w:val="none" w:sz="0" w:space="0" w:color="auto"/>
            <w:right w:val="none" w:sz="0" w:space="0" w:color="auto"/>
          </w:divBdr>
        </w:div>
        <w:div w:id="1905992837">
          <w:marLeft w:val="0"/>
          <w:marRight w:val="0"/>
          <w:marTop w:val="0"/>
          <w:marBottom w:val="0"/>
          <w:divBdr>
            <w:top w:val="none" w:sz="0" w:space="0" w:color="auto"/>
            <w:left w:val="none" w:sz="0" w:space="0" w:color="auto"/>
            <w:bottom w:val="none" w:sz="0" w:space="0" w:color="auto"/>
            <w:right w:val="none" w:sz="0" w:space="0" w:color="auto"/>
          </w:divBdr>
        </w:div>
        <w:div w:id="533689429">
          <w:marLeft w:val="0"/>
          <w:marRight w:val="0"/>
          <w:marTop w:val="0"/>
          <w:marBottom w:val="0"/>
          <w:divBdr>
            <w:top w:val="none" w:sz="0" w:space="0" w:color="auto"/>
            <w:left w:val="none" w:sz="0" w:space="0" w:color="auto"/>
            <w:bottom w:val="none" w:sz="0" w:space="0" w:color="auto"/>
            <w:right w:val="none" w:sz="0" w:space="0" w:color="auto"/>
          </w:divBdr>
        </w:div>
        <w:div w:id="155220879">
          <w:marLeft w:val="0"/>
          <w:marRight w:val="0"/>
          <w:marTop w:val="0"/>
          <w:marBottom w:val="0"/>
          <w:divBdr>
            <w:top w:val="none" w:sz="0" w:space="0" w:color="auto"/>
            <w:left w:val="none" w:sz="0" w:space="0" w:color="auto"/>
            <w:bottom w:val="none" w:sz="0" w:space="0" w:color="auto"/>
            <w:right w:val="none" w:sz="0" w:space="0" w:color="auto"/>
          </w:divBdr>
        </w:div>
        <w:div w:id="1439837039">
          <w:marLeft w:val="0"/>
          <w:marRight w:val="0"/>
          <w:marTop w:val="0"/>
          <w:marBottom w:val="0"/>
          <w:divBdr>
            <w:top w:val="none" w:sz="0" w:space="0" w:color="auto"/>
            <w:left w:val="none" w:sz="0" w:space="0" w:color="auto"/>
            <w:bottom w:val="none" w:sz="0" w:space="0" w:color="auto"/>
            <w:right w:val="none" w:sz="0" w:space="0" w:color="auto"/>
          </w:divBdr>
        </w:div>
        <w:div w:id="1556742753">
          <w:marLeft w:val="0"/>
          <w:marRight w:val="0"/>
          <w:marTop w:val="0"/>
          <w:marBottom w:val="0"/>
          <w:divBdr>
            <w:top w:val="none" w:sz="0" w:space="0" w:color="auto"/>
            <w:left w:val="none" w:sz="0" w:space="0" w:color="auto"/>
            <w:bottom w:val="none" w:sz="0" w:space="0" w:color="auto"/>
            <w:right w:val="none" w:sz="0" w:space="0" w:color="auto"/>
          </w:divBdr>
        </w:div>
        <w:div w:id="1006133428">
          <w:marLeft w:val="0"/>
          <w:marRight w:val="0"/>
          <w:marTop w:val="0"/>
          <w:marBottom w:val="0"/>
          <w:divBdr>
            <w:top w:val="none" w:sz="0" w:space="0" w:color="auto"/>
            <w:left w:val="none" w:sz="0" w:space="0" w:color="auto"/>
            <w:bottom w:val="none" w:sz="0" w:space="0" w:color="auto"/>
            <w:right w:val="none" w:sz="0" w:space="0" w:color="auto"/>
          </w:divBdr>
        </w:div>
        <w:div w:id="1842814678">
          <w:marLeft w:val="0"/>
          <w:marRight w:val="0"/>
          <w:marTop w:val="0"/>
          <w:marBottom w:val="0"/>
          <w:divBdr>
            <w:top w:val="none" w:sz="0" w:space="0" w:color="auto"/>
            <w:left w:val="none" w:sz="0" w:space="0" w:color="auto"/>
            <w:bottom w:val="none" w:sz="0" w:space="0" w:color="auto"/>
            <w:right w:val="none" w:sz="0" w:space="0" w:color="auto"/>
          </w:divBdr>
        </w:div>
        <w:div w:id="1989628230">
          <w:marLeft w:val="0"/>
          <w:marRight w:val="0"/>
          <w:marTop w:val="0"/>
          <w:marBottom w:val="0"/>
          <w:divBdr>
            <w:top w:val="none" w:sz="0" w:space="0" w:color="auto"/>
            <w:left w:val="none" w:sz="0" w:space="0" w:color="auto"/>
            <w:bottom w:val="none" w:sz="0" w:space="0" w:color="auto"/>
            <w:right w:val="none" w:sz="0" w:space="0" w:color="auto"/>
          </w:divBdr>
        </w:div>
        <w:div w:id="451020950">
          <w:marLeft w:val="0"/>
          <w:marRight w:val="0"/>
          <w:marTop w:val="0"/>
          <w:marBottom w:val="0"/>
          <w:divBdr>
            <w:top w:val="none" w:sz="0" w:space="0" w:color="auto"/>
            <w:left w:val="none" w:sz="0" w:space="0" w:color="auto"/>
            <w:bottom w:val="none" w:sz="0" w:space="0" w:color="auto"/>
            <w:right w:val="none" w:sz="0" w:space="0" w:color="auto"/>
          </w:divBdr>
        </w:div>
        <w:div w:id="2144999821">
          <w:marLeft w:val="0"/>
          <w:marRight w:val="0"/>
          <w:marTop w:val="0"/>
          <w:marBottom w:val="0"/>
          <w:divBdr>
            <w:top w:val="none" w:sz="0" w:space="0" w:color="auto"/>
            <w:left w:val="none" w:sz="0" w:space="0" w:color="auto"/>
            <w:bottom w:val="none" w:sz="0" w:space="0" w:color="auto"/>
            <w:right w:val="none" w:sz="0" w:space="0" w:color="auto"/>
          </w:divBdr>
        </w:div>
        <w:div w:id="1123042510">
          <w:marLeft w:val="0"/>
          <w:marRight w:val="0"/>
          <w:marTop w:val="0"/>
          <w:marBottom w:val="0"/>
          <w:divBdr>
            <w:top w:val="none" w:sz="0" w:space="0" w:color="auto"/>
            <w:left w:val="none" w:sz="0" w:space="0" w:color="auto"/>
            <w:bottom w:val="none" w:sz="0" w:space="0" w:color="auto"/>
            <w:right w:val="none" w:sz="0" w:space="0" w:color="auto"/>
          </w:divBdr>
        </w:div>
        <w:div w:id="1072703137">
          <w:marLeft w:val="0"/>
          <w:marRight w:val="0"/>
          <w:marTop w:val="0"/>
          <w:marBottom w:val="0"/>
          <w:divBdr>
            <w:top w:val="none" w:sz="0" w:space="0" w:color="auto"/>
            <w:left w:val="none" w:sz="0" w:space="0" w:color="auto"/>
            <w:bottom w:val="none" w:sz="0" w:space="0" w:color="auto"/>
            <w:right w:val="none" w:sz="0" w:space="0" w:color="auto"/>
          </w:divBdr>
        </w:div>
        <w:div w:id="1867525036">
          <w:marLeft w:val="0"/>
          <w:marRight w:val="0"/>
          <w:marTop w:val="0"/>
          <w:marBottom w:val="0"/>
          <w:divBdr>
            <w:top w:val="none" w:sz="0" w:space="0" w:color="auto"/>
            <w:left w:val="none" w:sz="0" w:space="0" w:color="auto"/>
            <w:bottom w:val="none" w:sz="0" w:space="0" w:color="auto"/>
            <w:right w:val="none" w:sz="0" w:space="0" w:color="auto"/>
          </w:divBdr>
        </w:div>
        <w:div w:id="1860965725">
          <w:marLeft w:val="0"/>
          <w:marRight w:val="0"/>
          <w:marTop w:val="0"/>
          <w:marBottom w:val="0"/>
          <w:divBdr>
            <w:top w:val="none" w:sz="0" w:space="0" w:color="auto"/>
            <w:left w:val="none" w:sz="0" w:space="0" w:color="auto"/>
            <w:bottom w:val="none" w:sz="0" w:space="0" w:color="auto"/>
            <w:right w:val="none" w:sz="0" w:space="0" w:color="auto"/>
          </w:divBdr>
        </w:div>
        <w:div w:id="503790293">
          <w:marLeft w:val="0"/>
          <w:marRight w:val="0"/>
          <w:marTop w:val="0"/>
          <w:marBottom w:val="0"/>
          <w:divBdr>
            <w:top w:val="none" w:sz="0" w:space="0" w:color="auto"/>
            <w:left w:val="none" w:sz="0" w:space="0" w:color="auto"/>
            <w:bottom w:val="none" w:sz="0" w:space="0" w:color="auto"/>
            <w:right w:val="none" w:sz="0" w:space="0" w:color="auto"/>
          </w:divBdr>
        </w:div>
        <w:div w:id="391196171">
          <w:marLeft w:val="0"/>
          <w:marRight w:val="0"/>
          <w:marTop w:val="0"/>
          <w:marBottom w:val="0"/>
          <w:divBdr>
            <w:top w:val="none" w:sz="0" w:space="0" w:color="auto"/>
            <w:left w:val="none" w:sz="0" w:space="0" w:color="auto"/>
            <w:bottom w:val="none" w:sz="0" w:space="0" w:color="auto"/>
            <w:right w:val="none" w:sz="0" w:space="0" w:color="auto"/>
          </w:divBdr>
        </w:div>
        <w:div w:id="72558215">
          <w:marLeft w:val="0"/>
          <w:marRight w:val="0"/>
          <w:marTop w:val="0"/>
          <w:marBottom w:val="0"/>
          <w:divBdr>
            <w:top w:val="none" w:sz="0" w:space="0" w:color="auto"/>
            <w:left w:val="none" w:sz="0" w:space="0" w:color="auto"/>
            <w:bottom w:val="none" w:sz="0" w:space="0" w:color="auto"/>
            <w:right w:val="none" w:sz="0" w:space="0" w:color="auto"/>
          </w:divBdr>
        </w:div>
        <w:div w:id="403185731">
          <w:marLeft w:val="0"/>
          <w:marRight w:val="0"/>
          <w:marTop w:val="0"/>
          <w:marBottom w:val="0"/>
          <w:divBdr>
            <w:top w:val="none" w:sz="0" w:space="0" w:color="auto"/>
            <w:left w:val="none" w:sz="0" w:space="0" w:color="auto"/>
            <w:bottom w:val="none" w:sz="0" w:space="0" w:color="auto"/>
            <w:right w:val="none" w:sz="0" w:space="0" w:color="auto"/>
          </w:divBdr>
        </w:div>
        <w:div w:id="876435759">
          <w:marLeft w:val="0"/>
          <w:marRight w:val="0"/>
          <w:marTop w:val="0"/>
          <w:marBottom w:val="0"/>
          <w:divBdr>
            <w:top w:val="none" w:sz="0" w:space="0" w:color="auto"/>
            <w:left w:val="none" w:sz="0" w:space="0" w:color="auto"/>
            <w:bottom w:val="none" w:sz="0" w:space="0" w:color="auto"/>
            <w:right w:val="none" w:sz="0" w:space="0" w:color="auto"/>
          </w:divBdr>
        </w:div>
        <w:div w:id="2084982532">
          <w:marLeft w:val="0"/>
          <w:marRight w:val="0"/>
          <w:marTop w:val="0"/>
          <w:marBottom w:val="0"/>
          <w:divBdr>
            <w:top w:val="none" w:sz="0" w:space="0" w:color="auto"/>
            <w:left w:val="none" w:sz="0" w:space="0" w:color="auto"/>
            <w:bottom w:val="none" w:sz="0" w:space="0" w:color="auto"/>
            <w:right w:val="none" w:sz="0" w:space="0" w:color="auto"/>
          </w:divBdr>
        </w:div>
        <w:div w:id="1740638644">
          <w:marLeft w:val="0"/>
          <w:marRight w:val="0"/>
          <w:marTop w:val="0"/>
          <w:marBottom w:val="0"/>
          <w:divBdr>
            <w:top w:val="none" w:sz="0" w:space="0" w:color="auto"/>
            <w:left w:val="none" w:sz="0" w:space="0" w:color="auto"/>
            <w:bottom w:val="none" w:sz="0" w:space="0" w:color="auto"/>
            <w:right w:val="none" w:sz="0" w:space="0" w:color="auto"/>
          </w:divBdr>
        </w:div>
        <w:div w:id="1236814288">
          <w:marLeft w:val="0"/>
          <w:marRight w:val="0"/>
          <w:marTop w:val="0"/>
          <w:marBottom w:val="0"/>
          <w:divBdr>
            <w:top w:val="none" w:sz="0" w:space="0" w:color="auto"/>
            <w:left w:val="none" w:sz="0" w:space="0" w:color="auto"/>
            <w:bottom w:val="none" w:sz="0" w:space="0" w:color="auto"/>
            <w:right w:val="none" w:sz="0" w:space="0" w:color="auto"/>
          </w:divBdr>
        </w:div>
        <w:div w:id="1244682782">
          <w:marLeft w:val="0"/>
          <w:marRight w:val="0"/>
          <w:marTop w:val="0"/>
          <w:marBottom w:val="0"/>
          <w:divBdr>
            <w:top w:val="none" w:sz="0" w:space="0" w:color="auto"/>
            <w:left w:val="none" w:sz="0" w:space="0" w:color="auto"/>
            <w:bottom w:val="none" w:sz="0" w:space="0" w:color="auto"/>
            <w:right w:val="none" w:sz="0" w:space="0" w:color="auto"/>
          </w:divBdr>
        </w:div>
        <w:div w:id="1684897277">
          <w:marLeft w:val="0"/>
          <w:marRight w:val="0"/>
          <w:marTop w:val="0"/>
          <w:marBottom w:val="0"/>
          <w:divBdr>
            <w:top w:val="none" w:sz="0" w:space="0" w:color="auto"/>
            <w:left w:val="none" w:sz="0" w:space="0" w:color="auto"/>
            <w:bottom w:val="none" w:sz="0" w:space="0" w:color="auto"/>
            <w:right w:val="none" w:sz="0" w:space="0" w:color="auto"/>
          </w:divBdr>
        </w:div>
        <w:div w:id="145517591">
          <w:marLeft w:val="0"/>
          <w:marRight w:val="0"/>
          <w:marTop w:val="0"/>
          <w:marBottom w:val="0"/>
          <w:divBdr>
            <w:top w:val="none" w:sz="0" w:space="0" w:color="auto"/>
            <w:left w:val="none" w:sz="0" w:space="0" w:color="auto"/>
            <w:bottom w:val="none" w:sz="0" w:space="0" w:color="auto"/>
            <w:right w:val="none" w:sz="0" w:space="0" w:color="auto"/>
          </w:divBdr>
        </w:div>
        <w:div w:id="1361857170">
          <w:marLeft w:val="0"/>
          <w:marRight w:val="0"/>
          <w:marTop w:val="0"/>
          <w:marBottom w:val="0"/>
          <w:divBdr>
            <w:top w:val="none" w:sz="0" w:space="0" w:color="auto"/>
            <w:left w:val="none" w:sz="0" w:space="0" w:color="auto"/>
            <w:bottom w:val="none" w:sz="0" w:space="0" w:color="auto"/>
            <w:right w:val="none" w:sz="0" w:space="0" w:color="auto"/>
          </w:divBdr>
        </w:div>
        <w:div w:id="1607806151">
          <w:marLeft w:val="0"/>
          <w:marRight w:val="0"/>
          <w:marTop w:val="0"/>
          <w:marBottom w:val="0"/>
          <w:divBdr>
            <w:top w:val="none" w:sz="0" w:space="0" w:color="auto"/>
            <w:left w:val="none" w:sz="0" w:space="0" w:color="auto"/>
            <w:bottom w:val="none" w:sz="0" w:space="0" w:color="auto"/>
            <w:right w:val="none" w:sz="0" w:space="0" w:color="auto"/>
          </w:divBdr>
        </w:div>
        <w:div w:id="1512258638">
          <w:marLeft w:val="0"/>
          <w:marRight w:val="0"/>
          <w:marTop w:val="0"/>
          <w:marBottom w:val="0"/>
          <w:divBdr>
            <w:top w:val="none" w:sz="0" w:space="0" w:color="auto"/>
            <w:left w:val="none" w:sz="0" w:space="0" w:color="auto"/>
            <w:bottom w:val="none" w:sz="0" w:space="0" w:color="auto"/>
            <w:right w:val="none" w:sz="0" w:space="0" w:color="auto"/>
          </w:divBdr>
        </w:div>
        <w:div w:id="298269892">
          <w:marLeft w:val="0"/>
          <w:marRight w:val="0"/>
          <w:marTop w:val="0"/>
          <w:marBottom w:val="0"/>
          <w:divBdr>
            <w:top w:val="none" w:sz="0" w:space="0" w:color="auto"/>
            <w:left w:val="none" w:sz="0" w:space="0" w:color="auto"/>
            <w:bottom w:val="none" w:sz="0" w:space="0" w:color="auto"/>
            <w:right w:val="none" w:sz="0" w:space="0" w:color="auto"/>
          </w:divBdr>
        </w:div>
        <w:div w:id="1480075919">
          <w:marLeft w:val="0"/>
          <w:marRight w:val="0"/>
          <w:marTop w:val="0"/>
          <w:marBottom w:val="0"/>
          <w:divBdr>
            <w:top w:val="none" w:sz="0" w:space="0" w:color="auto"/>
            <w:left w:val="none" w:sz="0" w:space="0" w:color="auto"/>
            <w:bottom w:val="none" w:sz="0" w:space="0" w:color="auto"/>
            <w:right w:val="none" w:sz="0" w:space="0" w:color="auto"/>
          </w:divBdr>
        </w:div>
        <w:div w:id="1311981826">
          <w:marLeft w:val="0"/>
          <w:marRight w:val="0"/>
          <w:marTop w:val="0"/>
          <w:marBottom w:val="0"/>
          <w:divBdr>
            <w:top w:val="none" w:sz="0" w:space="0" w:color="auto"/>
            <w:left w:val="none" w:sz="0" w:space="0" w:color="auto"/>
            <w:bottom w:val="none" w:sz="0" w:space="0" w:color="auto"/>
            <w:right w:val="none" w:sz="0" w:space="0" w:color="auto"/>
          </w:divBdr>
        </w:div>
        <w:div w:id="365718069">
          <w:marLeft w:val="0"/>
          <w:marRight w:val="0"/>
          <w:marTop w:val="0"/>
          <w:marBottom w:val="0"/>
          <w:divBdr>
            <w:top w:val="none" w:sz="0" w:space="0" w:color="auto"/>
            <w:left w:val="none" w:sz="0" w:space="0" w:color="auto"/>
            <w:bottom w:val="none" w:sz="0" w:space="0" w:color="auto"/>
            <w:right w:val="none" w:sz="0" w:space="0" w:color="auto"/>
          </w:divBdr>
        </w:div>
        <w:div w:id="442308273">
          <w:marLeft w:val="0"/>
          <w:marRight w:val="0"/>
          <w:marTop w:val="0"/>
          <w:marBottom w:val="0"/>
          <w:divBdr>
            <w:top w:val="none" w:sz="0" w:space="0" w:color="auto"/>
            <w:left w:val="none" w:sz="0" w:space="0" w:color="auto"/>
            <w:bottom w:val="none" w:sz="0" w:space="0" w:color="auto"/>
            <w:right w:val="none" w:sz="0" w:space="0" w:color="auto"/>
          </w:divBdr>
        </w:div>
        <w:div w:id="2143844037">
          <w:marLeft w:val="0"/>
          <w:marRight w:val="0"/>
          <w:marTop w:val="0"/>
          <w:marBottom w:val="0"/>
          <w:divBdr>
            <w:top w:val="none" w:sz="0" w:space="0" w:color="auto"/>
            <w:left w:val="none" w:sz="0" w:space="0" w:color="auto"/>
            <w:bottom w:val="none" w:sz="0" w:space="0" w:color="auto"/>
            <w:right w:val="none" w:sz="0" w:space="0" w:color="auto"/>
          </w:divBdr>
        </w:div>
        <w:div w:id="523635628">
          <w:marLeft w:val="0"/>
          <w:marRight w:val="0"/>
          <w:marTop w:val="0"/>
          <w:marBottom w:val="0"/>
          <w:divBdr>
            <w:top w:val="none" w:sz="0" w:space="0" w:color="auto"/>
            <w:left w:val="none" w:sz="0" w:space="0" w:color="auto"/>
            <w:bottom w:val="none" w:sz="0" w:space="0" w:color="auto"/>
            <w:right w:val="none" w:sz="0" w:space="0" w:color="auto"/>
          </w:divBdr>
        </w:div>
        <w:div w:id="1084304417">
          <w:marLeft w:val="0"/>
          <w:marRight w:val="0"/>
          <w:marTop w:val="0"/>
          <w:marBottom w:val="0"/>
          <w:divBdr>
            <w:top w:val="none" w:sz="0" w:space="0" w:color="auto"/>
            <w:left w:val="none" w:sz="0" w:space="0" w:color="auto"/>
            <w:bottom w:val="none" w:sz="0" w:space="0" w:color="auto"/>
            <w:right w:val="none" w:sz="0" w:space="0" w:color="auto"/>
          </w:divBdr>
        </w:div>
        <w:div w:id="2126272261">
          <w:marLeft w:val="0"/>
          <w:marRight w:val="0"/>
          <w:marTop w:val="0"/>
          <w:marBottom w:val="0"/>
          <w:divBdr>
            <w:top w:val="none" w:sz="0" w:space="0" w:color="auto"/>
            <w:left w:val="none" w:sz="0" w:space="0" w:color="auto"/>
            <w:bottom w:val="none" w:sz="0" w:space="0" w:color="auto"/>
            <w:right w:val="none" w:sz="0" w:space="0" w:color="auto"/>
          </w:divBdr>
        </w:div>
        <w:div w:id="215434383">
          <w:marLeft w:val="0"/>
          <w:marRight w:val="0"/>
          <w:marTop w:val="0"/>
          <w:marBottom w:val="0"/>
          <w:divBdr>
            <w:top w:val="none" w:sz="0" w:space="0" w:color="auto"/>
            <w:left w:val="none" w:sz="0" w:space="0" w:color="auto"/>
            <w:bottom w:val="none" w:sz="0" w:space="0" w:color="auto"/>
            <w:right w:val="none" w:sz="0" w:space="0" w:color="auto"/>
          </w:divBdr>
        </w:div>
        <w:div w:id="908535550">
          <w:marLeft w:val="0"/>
          <w:marRight w:val="0"/>
          <w:marTop w:val="0"/>
          <w:marBottom w:val="0"/>
          <w:divBdr>
            <w:top w:val="none" w:sz="0" w:space="0" w:color="auto"/>
            <w:left w:val="none" w:sz="0" w:space="0" w:color="auto"/>
            <w:bottom w:val="none" w:sz="0" w:space="0" w:color="auto"/>
            <w:right w:val="none" w:sz="0" w:space="0" w:color="auto"/>
          </w:divBdr>
        </w:div>
        <w:div w:id="1908685872">
          <w:marLeft w:val="0"/>
          <w:marRight w:val="0"/>
          <w:marTop w:val="0"/>
          <w:marBottom w:val="0"/>
          <w:divBdr>
            <w:top w:val="none" w:sz="0" w:space="0" w:color="auto"/>
            <w:left w:val="none" w:sz="0" w:space="0" w:color="auto"/>
            <w:bottom w:val="none" w:sz="0" w:space="0" w:color="auto"/>
            <w:right w:val="none" w:sz="0" w:space="0" w:color="auto"/>
          </w:divBdr>
        </w:div>
        <w:div w:id="592475889">
          <w:marLeft w:val="0"/>
          <w:marRight w:val="0"/>
          <w:marTop w:val="0"/>
          <w:marBottom w:val="0"/>
          <w:divBdr>
            <w:top w:val="none" w:sz="0" w:space="0" w:color="auto"/>
            <w:left w:val="none" w:sz="0" w:space="0" w:color="auto"/>
            <w:bottom w:val="none" w:sz="0" w:space="0" w:color="auto"/>
            <w:right w:val="none" w:sz="0" w:space="0" w:color="auto"/>
          </w:divBdr>
        </w:div>
        <w:div w:id="435757223">
          <w:marLeft w:val="0"/>
          <w:marRight w:val="0"/>
          <w:marTop w:val="0"/>
          <w:marBottom w:val="0"/>
          <w:divBdr>
            <w:top w:val="none" w:sz="0" w:space="0" w:color="auto"/>
            <w:left w:val="none" w:sz="0" w:space="0" w:color="auto"/>
            <w:bottom w:val="none" w:sz="0" w:space="0" w:color="auto"/>
            <w:right w:val="none" w:sz="0" w:space="0" w:color="auto"/>
          </w:divBdr>
        </w:div>
        <w:div w:id="705522456">
          <w:marLeft w:val="0"/>
          <w:marRight w:val="0"/>
          <w:marTop w:val="0"/>
          <w:marBottom w:val="0"/>
          <w:divBdr>
            <w:top w:val="none" w:sz="0" w:space="0" w:color="auto"/>
            <w:left w:val="none" w:sz="0" w:space="0" w:color="auto"/>
            <w:bottom w:val="none" w:sz="0" w:space="0" w:color="auto"/>
            <w:right w:val="none" w:sz="0" w:space="0" w:color="auto"/>
          </w:divBdr>
        </w:div>
        <w:div w:id="356277251">
          <w:marLeft w:val="0"/>
          <w:marRight w:val="0"/>
          <w:marTop w:val="0"/>
          <w:marBottom w:val="0"/>
          <w:divBdr>
            <w:top w:val="none" w:sz="0" w:space="0" w:color="auto"/>
            <w:left w:val="none" w:sz="0" w:space="0" w:color="auto"/>
            <w:bottom w:val="none" w:sz="0" w:space="0" w:color="auto"/>
            <w:right w:val="none" w:sz="0" w:space="0" w:color="auto"/>
          </w:divBdr>
        </w:div>
        <w:div w:id="286355969">
          <w:marLeft w:val="0"/>
          <w:marRight w:val="0"/>
          <w:marTop w:val="0"/>
          <w:marBottom w:val="0"/>
          <w:divBdr>
            <w:top w:val="none" w:sz="0" w:space="0" w:color="auto"/>
            <w:left w:val="none" w:sz="0" w:space="0" w:color="auto"/>
            <w:bottom w:val="none" w:sz="0" w:space="0" w:color="auto"/>
            <w:right w:val="none" w:sz="0" w:space="0" w:color="auto"/>
          </w:divBdr>
        </w:div>
        <w:div w:id="1231312381">
          <w:marLeft w:val="0"/>
          <w:marRight w:val="0"/>
          <w:marTop w:val="0"/>
          <w:marBottom w:val="0"/>
          <w:divBdr>
            <w:top w:val="none" w:sz="0" w:space="0" w:color="auto"/>
            <w:left w:val="none" w:sz="0" w:space="0" w:color="auto"/>
            <w:bottom w:val="none" w:sz="0" w:space="0" w:color="auto"/>
            <w:right w:val="none" w:sz="0" w:space="0" w:color="auto"/>
          </w:divBdr>
        </w:div>
        <w:div w:id="1619141016">
          <w:marLeft w:val="0"/>
          <w:marRight w:val="0"/>
          <w:marTop w:val="0"/>
          <w:marBottom w:val="0"/>
          <w:divBdr>
            <w:top w:val="none" w:sz="0" w:space="0" w:color="auto"/>
            <w:left w:val="none" w:sz="0" w:space="0" w:color="auto"/>
            <w:bottom w:val="none" w:sz="0" w:space="0" w:color="auto"/>
            <w:right w:val="none" w:sz="0" w:space="0" w:color="auto"/>
          </w:divBdr>
        </w:div>
        <w:div w:id="1616669414">
          <w:marLeft w:val="0"/>
          <w:marRight w:val="0"/>
          <w:marTop w:val="0"/>
          <w:marBottom w:val="0"/>
          <w:divBdr>
            <w:top w:val="none" w:sz="0" w:space="0" w:color="auto"/>
            <w:left w:val="none" w:sz="0" w:space="0" w:color="auto"/>
            <w:bottom w:val="none" w:sz="0" w:space="0" w:color="auto"/>
            <w:right w:val="none" w:sz="0" w:space="0" w:color="auto"/>
          </w:divBdr>
        </w:div>
        <w:div w:id="317615886">
          <w:marLeft w:val="0"/>
          <w:marRight w:val="0"/>
          <w:marTop w:val="0"/>
          <w:marBottom w:val="0"/>
          <w:divBdr>
            <w:top w:val="none" w:sz="0" w:space="0" w:color="auto"/>
            <w:left w:val="none" w:sz="0" w:space="0" w:color="auto"/>
            <w:bottom w:val="none" w:sz="0" w:space="0" w:color="auto"/>
            <w:right w:val="none" w:sz="0" w:space="0" w:color="auto"/>
          </w:divBdr>
        </w:div>
        <w:div w:id="133065221">
          <w:marLeft w:val="0"/>
          <w:marRight w:val="0"/>
          <w:marTop w:val="0"/>
          <w:marBottom w:val="0"/>
          <w:divBdr>
            <w:top w:val="none" w:sz="0" w:space="0" w:color="auto"/>
            <w:left w:val="none" w:sz="0" w:space="0" w:color="auto"/>
            <w:bottom w:val="none" w:sz="0" w:space="0" w:color="auto"/>
            <w:right w:val="none" w:sz="0" w:space="0" w:color="auto"/>
          </w:divBdr>
        </w:div>
        <w:div w:id="1695157926">
          <w:marLeft w:val="0"/>
          <w:marRight w:val="0"/>
          <w:marTop w:val="0"/>
          <w:marBottom w:val="0"/>
          <w:divBdr>
            <w:top w:val="none" w:sz="0" w:space="0" w:color="auto"/>
            <w:left w:val="none" w:sz="0" w:space="0" w:color="auto"/>
            <w:bottom w:val="none" w:sz="0" w:space="0" w:color="auto"/>
            <w:right w:val="none" w:sz="0" w:space="0" w:color="auto"/>
          </w:divBdr>
        </w:div>
        <w:div w:id="93520640">
          <w:marLeft w:val="0"/>
          <w:marRight w:val="0"/>
          <w:marTop w:val="0"/>
          <w:marBottom w:val="0"/>
          <w:divBdr>
            <w:top w:val="none" w:sz="0" w:space="0" w:color="auto"/>
            <w:left w:val="none" w:sz="0" w:space="0" w:color="auto"/>
            <w:bottom w:val="none" w:sz="0" w:space="0" w:color="auto"/>
            <w:right w:val="none" w:sz="0" w:space="0" w:color="auto"/>
          </w:divBdr>
        </w:div>
        <w:div w:id="286470074">
          <w:marLeft w:val="0"/>
          <w:marRight w:val="0"/>
          <w:marTop w:val="0"/>
          <w:marBottom w:val="0"/>
          <w:divBdr>
            <w:top w:val="none" w:sz="0" w:space="0" w:color="auto"/>
            <w:left w:val="none" w:sz="0" w:space="0" w:color="auto"/>
            <w:bottom w:val="none" w:sz="0" w:space="0" w:color="auto"/>
            <w:right w:val="none" w:sz="0" w:space="0" w:color="auto"/>
          </w:divBdr>
        </w:div>
        <w:div w:id="341585813">
          <w:marLeft w:val="0"/>
          <w:marRight w:val="0"/>
          <w:marTop w:val="0"/>
          <w:marBottom w:val="0"/>
          <w:divBdr>
            <w:top w:val="none" w:sz="0" w:space="0" w:color="auto"/>
            <w:left w:val="none" w:sz="0" w:space="0" w:color="auto"/>
            <w:bottom w:val="none" w:sz="0" w:space="0" w:color="auto"/>
            <w:right w:val="none" w:sz="0" w:space="0" w:color="auto"/>
          </w:divBdr>
        </w:div>
        <w:div w:id="1991666919">
          <w:marLeft w:val="0"/>
          <w:marRight w:val="0"/>
          <w:marTop w:val="0"/>
          <w:marBottom w:val="0"/>
          <w:divBdr>
            <w:top w:val="none" w:sz="0" w:space="0" w:color="auto"/>
            <w:left w:val="none" w:sz="0" w:space="0" w:color="auto"/>
            <w:bottom w:val="none" w:sz="0" w:space="0" w:color="auto"/>
            <w:right w:val="none" w:sz="0" w:space="0" w:color="auto"/>
          </w:divBdr>
        </w:div>
        <w:div w:id="186529583">
          <w:marLeft w:val="0"/>
          <w:marRight w:val="0"/>
          <w:marTop w:val="0"/>
          <w:marBottom w:val="0"/>
          <w:divBdr>
            <w:top w:val="none" w:sz="0" w:space="0" w:color="auto"/>
            <w:left w:val="none" w:sz="0" w:space="0" w:color="auto"/>
            <w:bottom w:val="none" w:sz="0" w:space="0" w:color="auto"/>
            <w:right w:val="none" w:sz="0" w:space="0" w:color="auto"/>
          </w:divBdr>
        </w:div>
        <w:div w:id="626162447">
          <w:marLeft w:val="0"/>
          <w:marRight w:val="0"/>
          <w:marTop w:val="0"/>
          <w:marBottom w:val="0"/>
          <w:divBdr>
            <w:top w:val="none" w:sz="0" w:space="0" w:color="auto"/>
            <w:left w:val="none" w:sz="0" w:space="0" w:color="auto"/>
            <w:bottom w:val="none" w:sz="0" w:space="0" w:color="auto"/>
            <w:right w:val="none" w:sz="0" w:space="0" w:color="auto"/>
          </w:divBdr>
        </w:div>
        <w:div w:id="541867390">
          <w:marLeft w:val="0"/>
          <w:marRight w:val="0"/>
          <w:marTop w:val="0"/>
          <w:marBottom w:val="0"/>
          <w:divBdr>
            <w:top w:val="none" w:sz="0" w:space="0" w:color="auto"/>
            <w:left w:val="none" w:sz="0" w:space="0" w:color="auto"/>
            <w:bottom w:val="none" w:sz="0" w:space="0" w:color="auto"/>
            <w:right w:val="none" w:sz="0" w:space="0" w:color="auto"/>
          </w:divBdr>
        </w:div>
        <w:div w:id="919022275">
          <w:marLeft w:val="0"/>
          <w:marRight w:val="0"/>
          <w:marTop w:val="0"/>
          <w:marBottom w:val="0"/>
          <w:divBdr>
            <w:top w:val="none" w:sz="0" w:space="0" w:color="auto"/>
            <w:left w:val="none" w:sz="0" w:space="0" w:color="auto"/>
            <w:bottom w:val="none" w:sz="0" w:space="0" w:color="auto"/>
            <w:right w:val="none" w:sz="0" w:space="0" w:color="auto"/>
          </w:divBdr>
        </w:div>
        <w:div w:id="531116334">
          <w:marLeft w:val="0"/>
          <w:marRight w:val="0"/>
          <w:marTop w:val="0"/>
          <w:marBottom w:val="0"/>
          <w:divBdr>
            <w:top w:val="none" w:sz="0" w:space="0" w:color="auto"/>
            <w:left w:val="none" w:sz="0" w:space="0" w:color="auto"/>
            <w:bottom w:val="none" w:sz="0" w:space="0" w:color="auto"/>
            <w:right w:val="none" w:sz="0" w:space="0" w:color="auto"/>
          </w:divBdr>
        </w:div>
        <w:div w:id="988939617">
          <w:marLeft w:val="0"/>
          <w:marRight w:val="0"/>
          <w:marTop w:val="0"/>
          <w:marBottom w:val="0"/>
          <w:divBdr>
            <w:top w:val="none" w:sz="0" w:space="0" w:color="auto"/>
            <w:left w:val="none" w:sz="0" w:space="0" w:color="auto"/>
            <w:bottom w:val="none" w:sz="0" w:space="0" w:color="auto"/>
            <w:right w:val="none" w:sz="0" w:space="0" w:color="auto"/>
          </w:divBdr>
        </w:div>
        <w:div w:id="1539199364">
          <w:marLeft w:val="0"/>
          <w:marRight w:val="0"/>
          <w:marTop w:val="0"/>
          <w:marBottom w:val="0"/>
          <w:divBdr>
            <w:top w:val="none" w:sz="0" w:space="0" w:color="auto"/>
            <w:left w:val="none" w:sz="0" w:space="0" w:color="auto"/>
            <w:bottom w:val="none" w:sz="0" w:space="0" w:color="auto"/>
            <w:right w:val="none" w:sz="0" w:space="0" w:color="auto"/>
          </w:divBdr>
        </w:div>
        <w:div w:id="1121996912">
          <w:marLeft w:val="0"/>
          <w:marRight w:val="0"/>
          <w:marTop w:val="0"/>
          <w:marBottom w:val="0"/>
          <w:divBdr>
            <w:top w:val="none" w:sz="0" w:space="0" w:color="auto"/>
            <w:left w:val="none" w:sz="0" w:space="0" w:color="auto"/>
            <w:bottom w:val="none" w:sz="0" w:space="0" w:color="auto"/>
            <w:right w:val="none" w:sz="0" w:space="0" w:color="auto"/>
          </w:divBdr>
        </w:div>
        <w:div w:id="1728065661">
          <w:marLeft w:val="0"/>
          <w:marRight w:val="0"/>
          <w:marTop w:val="0"/>
          <w:marBottom w:val="0"/>
          <w:divBdr>
            <w:top w:val="none" w:sz="0" w:space="0" w:color="auto"/>
            <w:left w:val="none" w:sz="0" w:space="0" w:color="auto"/>
            <w:bottom w:val="none" w:sz="0" w:space="0" w:color="auto"/>
            <w:right w:val="none" w:sz="0" w:space="0" w:color="auto"/>
          </w:divBdr>
        </w:div>
        <w:div w:id="1052994796">
          <w:marLeft w:val="0"/>
          <w:marRight w:val="0"/>
          <w:marTop w:val="0"/>
          <w:marBottom w:val="0"/>
          <w:divBdr>
            <w:top w:val="none" w:sz="0" w:space="0" w:color="auto"/>
            <w:left w:val="none" w:sz="0" w:space="0" w:color="auto"/>
            <w:bottom w:val="none" w:sz="0" w:space="0" w:color="auto"/>
            <w:right w:val="none" w:sz="0" w:space="0" w:color="auto"/>
          </w:divBdr>
        </w:div>
        <w:div w:id="929583132">
          <w:marLeft w:val="0"/>
          <w:marRight w:val="0"/>
          <w:marTop w:val="0"/>
          <w:marBottom w:val="0"/>
          <w:divBdr>
            <w:top w:val="none" w:sz="0" w:space="0" w:color="auto"/>
            <w:left w:val="none" w:sz="0" w:space="0" w:color="auto"/>
            <w:bottom w:val="none" w:sz="0" w:space="0" w:color="auto"/>
            <w:right w:val="none" w:sz="0" w:space="0" w:color="auto"/>
          </w:divBdr>
        </w:div>
        <w:div w:id="1540051840">
          <w:marLeft w:val="0"/>
          <w:marRight w:val="0"/>
          <w:marTop w:val="0"/>
          <w:marBottom w:val="0"/>
          <w:divBdr>
            <w:top w:val="none" w:sz="0" w:space="0" w:color="auto"/>
            <w:left w:val="none" w:sz="0" w:space="0" w:color="auto"/>
            <w:bottom w:val="none" w:sz="0" w:space="0" w:color="auto"/>
            <w:right w:val="none" w:sz="0" w:space="0" w:color="auto"/>
          </w:divBdr>
        </w:div>
        <w:div w:id="15035999">
          <w:marLeft w:val="0"/>
          <w:marRight w:val="0"/>
          <w:marTop w:val="0"/>
          <w:marBottom w:val="0"/>
          <w:divBdr>
            <w:top w:val="none" w:sz="0" w:space="0" w:color="auto"/>
            <w:left w:val="none" w:sz="0" w:space="0" w:color="auto"/>
            <w:bottom w:val="none" w:sz="0" w:space="0" w:color="auto"/>
            <w:right w:val="none" w:sz="0" w:space="0" w:color="auto"/>
          </w:divBdr>
        </w:div>
        <w:div w:id="1672953777">
          <w:marLeft w:val="0"/>
          <w:marRight w:val="0"/>
          <w:marTop w:val="0"/>
          <w:marBottom w:val="0"/>
          <w:divBdr>
            <w:top w:val="none" w:sz="0" w:space="0" w:color="auto"/>
            <w:left w:val="none" w:sz="0" w:space="0" w:color="auto"/>
            <w:bottom w:val="none" w:sz="0" w:space="0" w:color="auto"/>
            <w:right w:val="none" w:sz="0" w:space="0" w:color="auto"/>
          </w:divBdr>
        </w:div>
        <w:div w:id="61371597">
          <w:marLeft w:val="0"/>
          <w:marRight w:val="0"/>
          <w:marTop w:val="0"/>
          <w:marBottom w:val="0"/>
          <w:divBdr>
            <w:top w:val="none" w:sz="0" w:space="0" w:color="auto"/>
            <w:left w:val="none" w:sz="0" w:space="0" w:color="auto"/>
            <w:bottom w:val="none" w:sz="0" w:space="0" w:color="auto"/>
            <w:right w:val="none" w:sz="0" w:space="0" w:color="auto"/>
          </w:divBdr>
        </w:div>
        <w:div w:id="332611483">
          <w:marLeft w:val="0"/>
          <w:marRight w:val="0"/>
          <w:marTop w:val="0"/>
          <w:marBottom w:val="0"/>
          <w:divBdr>
            <w:top w:val="none" w:sz="0" w:space="0" w:color="auto"/>
            <w:left w:val="none" w:sz="0" w:space="0" w:color="auto"/>
            <w:bottom w:val="none" w:sz="0" w:space="0" w:color="auto"/>
            <w:right w:val="none" w:sz="0" w:space="0" w:color="auto"/>
          </w:divBdr>
        </w:div>
        <w:div w:id="952904524">
          <w:marLeft w:val="0"/>
          <w:marRight w:val="0"/>
          <w:marTop w:val="0"/>
          <w:marBottom w:val="0"/>
          <w:divBdr>
            <w:top w:val="none" w:sz="0" w:space="0" w:color="auto"/>
            <w:left w:val="none" w:sz="0" w:space="0" w:color="auto"/>
            <w:bottom w:val="none" w:sz="0" w:space="0" w:color="auto"/>
            <w:right w:val="none" w:sz="0" w:space="0" w:color="auto"/>
          </w:divBdr>
        </w:div>
        <w:div w:id="472253422">
          <w:marLeft w:val="0"/>
          <w:marRight w:val="0"/>
          <w:marTop w:val="0"/>
          <w:marBottom w:val="0"/>
          <w:divBdr>
            <w:top w:val="none" w:sz="0" w:space="0" w:color="auto"/>
            <w:left w:val="none" w:sz="0" w:space="0" w:color="auto"/>
            <w:bottom w:val="none" w:sz="0" w:space="0" w:color="auto"/>
            <w:right w:val="none" w:sz="0" w:space="0" w:color="auto"/>
          </w:divBdr>
        </w:div>
        <w:div w:id="1037123109">
          <w:marLeft w:val="0"/>
          <w:marRight w:val="0"/>
          <w:marTop w:val="0"/>
          <w:marBottom w:val="0"/>
          <w:divBdr>
            <w:top w:val="none" w:sz="0" w:space="0" w:color="auto"/>
            <w:left w:val="none" w:sz="0" w:space="0" w:color="auto"/>
            <w:bottom w:val="none" w:sz="0" w:space="0" w:color="auto"/>
            <w:right w:val="none" w:sz="0" w:space="0" w:color="auto"/>
          </w:divBdr>
        </w:div>
        <w:div w:id="458037627">
          <w:marLeft w:val="0"/>
          <w:marRight w:val="0"/>
          <w:marTop w:val="0"/>
          <w:marBottom w:val="0"/>
          <w:divBdr>
            <w:top w:val="none" w:sz="0" w:space="0" w:color="auto"/>
            <w:left w:val="none" w:sz="0" w:space="0" w:color="auto"/>
            <w:bottom w:val="none" w:sz="0" w:space="0" w:color="auto"/>
            <w:right w:val="none" w:sz="0" w:space="0" w:color="auto"/>
          </w:divBdr>
        </w:div>
        <w:div w:id="295568430">
          <w:marLeft w:val="0"/>
          <w:marRight w:val="0"/>
          <w:marTop w:val="0"/>
          <w:marBottom w:val="0"/>
          <w:divBdr>
            <w:top w:val="none" w:sz="0" w:space="0" w:color="auto"/>
            <w:left w:val="none" w:sz="0" w:space="0" w:color="auto"/>
            <w:bottom w:val="none" w:sz="0" w:space="0" w:color="auto"/>
            <w:right w:val="none" w:sz="0" w:space="0" w:color="auto"/>
          </w:divBdr>
        </w:div>
        <w:div w:id="1438519622">
          <w:marLeft w:val="0"/>
          <w:marRight w:val="0"/>
          <w:marTop w:val="0"/>
          <w:marBottom w:val="0"/>
          <w:divBdr>
            <w:top w:val="none" w:sz="0" w:space="0" w:color="auto"/>
            <w:left w:val="none" w:sz="0" w:space="0" w:color="auto"/>
            <w:bottom w:val="none" w:sz="0" w:space="0" w:color="auto"/>
            <w:right w:val="none" w:sz="0" w:space="0" w:color="auto"/>
          </w:divBdr>
        </w:div>
        <w:div w:id="1000355791">
          <w:marLeft w:val="0"/>
          <w:marRight w:val="0"/>
          <w:marTop w:val="0"/>
          <w:marBottom w:val="0"/>
          <w:divBdr>
            <w:top w:val="none" w:sz="0" w:space="0" w:color="auto"/>
            <w:left w:val="none" w:sz="0" w:space="0" w:color="auto"/>
            <w:bottom w:val="none" w:sz="0" w:space="0" w:color="auto"/>
            <w:right w:val="none" w:sz="0" w:space="0" w:color="auto"/>
          </w:divBdr>
        </w:div>
        <w:div w:id="361323849">
          <w:marLeft w:val="0"/>
          <w:marRight w:val="0"/>
          <w:marTop w:val="0"/>
          <w:marBottom w:val="0"/>
          <w:divBdr>
            <w:top w:val="none" w:sz="0" w:space="0" w:color="auto"/>
            <w:left w:val="none" w:sz="0" w:space="0" w:color="auto"/>
            <w:bottom w:val="none" w:sz="0" w:space="0" w:color="auto"/>
            <w:right w:val="none" w:sz="0" w:space="0" w:color="auto"/>
          </w:divBdr>
        </w:div>
        <w:div w:id="1562520314">
          <w:marLeft w:val="0"/>
          <w:marRight w:val="0"/>
          <w:marTop w:val="0"/>
          <w:marBottom w:val="0"/>
          <w:divBdr>
            <w:top w:val="none" w:sz="0" w:space="0" w:color="auto"/>
            <w:left w:val="none" w:sz="0" w:space="0" w:color="auto"/>
            <w:bottom w:val="none" w:sz="0" w:space="0" w:color="auto"/>
            <w:right w:val="none" w:sz="0" w:space="0" w:color="auto"/>
          </w:divBdr>
        </w:div>
        <w:div w:id="1092239514">
          <w:marLeft w:val="0"/>
          <w:marRight w:val="0"/>
          <w:marTop w:val="0"/>
          <w:marBottom w:val="0"/>
          <w:divBdr>
            <w:top w:val="none" w:sz="0" w:space="0" w:color="auto"/>
            <w:left w:val="none" w:sz="0" w:space="0" w:color="auto"/>
            <w:bottom w:val="none" w:sz="0" w:space="0" w:color="auto"/>
            <w:right w:val="none" w:sz="0" w:space="0" w:color="auto"/>
          </w:divBdr>
        </w:div>
        <w:div w:id="1582832362">
          <w:marLeft w:val="0"/>
          <w:marRight w:val="0"/>
          <w:marTop w:val="0"/>
          <w:marBottom w:val="0"/>
          <w:divBdr>
            <w:top w:val="none" w:sz="0" w:space="0" w:color="auto"/>
            <w:left w:val="none" w:sz="0" w:space="0" w:color="auto"/>
            <w:bottom w:val="none" w:sz="0" w:space="0" w:color="auto"/>
            <w:right w:val="none" w:sz="0" w:space="0" w:color="auto"/>
          </w:divBdr>
        </w:div>
        <w:div w:id="196116312">
          <w:marLeft w:val="0"/>
          <w:marRight w:val="0"/>
          <w:marTop w:val="0"/>
          <w:marBottom w:val="0"/>
          <w:divBdr>
            <w:top w:val="none" w:sz="0" w:space="0" w:color="auto"/>
            <w:left w:val="none" w:sz="0" w:space="0" w:color="auto"/>
            <w:bottom w:val="none" w:sz="0" w:space="0" w:color="auto"/>
            <w:right w:val="none" w:sz="0" w:space="0" w:color="auto"/>
          </w:divBdr>
        </w:div>
        <w:div w:id="2072846728">
          <w:marLeft w:val="0"/>
          <w:marRight w:val="0"/>
          <w:marTop w:val="0"/>
          <w:marBottom w:val="0"/>
          <w:divBdr>
            <w:top w:val="none" w:sz="0" w:space="0" w:color="auto"/>
            <w:left w:val="none" w:sz="0" w:space="0" w:color="auto"/>
            <w:bottom w:val="none" w:sz="0" w:space="0" w:color="auto"/>
            <w:right w:val="none" w:sz="0" w:space="0" w:color="auto"/>
          </w:divBdr>
        </w:div>
        <w:div w:id="1843934231">
          <w:marLeft w:val="0"/>
          <w:marRight w:val="0"/>
          <w:marTop w:val="0"/>
          <w:marBottom w:val="0"/>
          <w:divBdr>
            <w:top w:val="none" w:sz="0" w:space="0" w:color="auto"/>
            <w:left w:val="none" w:sz="0" w:space="0" w:color="auto"/>
            <w:bottom w:val="none" w:sz="0" w:space="0" w:color="auto"/>
            <w:right w:val="none" w:sz="0" w:space="0" w:color="auto"/>
          </w:divBdr>
        </w:div>
        <w:div w:id="1704673179">
          <w:marLeft w:val="0"/>
          <w:marRight w:val="0"/>
          <w:marTop w:val="0"/>
          <w:marBottom w:val="0"/>
          <w:divBdr>
            <w:top w:val="none" w:sz="0" w:space="0" w:color="auto"/>
            <w:left w:val="none" w:sz="0" w:space="0" w:color="auto"/>
            <w:bottom w:val="none" w:sz="0" w:space="0" w:color="auto"/>
            <w:right w:val="none" w:sz="0" w:space="0" w:color="auto"/>
          </w:divBdr>
        </w:div>
        <w:div w:id="957905842">
          <w:marLeft w:val="0"/>
          <w:marRight w:val="0"/>
          <w:marTop w:val="0"/>
          <w:marBottom w:val="0"/>
          <w:divBdr>
            <w:top w:val="none" w:sz="0" w:space="0" w:color="auto"/>
            <w:left w:val="none" w:sz="0" w:space="0" w:color="auto"/>
            <w:bottom w:val="none" w:sz="0" w:space="0" w:color="auto"/>
            <w:right w:val="none" w:sz="0" w:space="0" w:color="auto"/>
          </w:divBdr>
        </w:div>
        <w:div w:id="342441935">
          <w:marLeft w:val="0"/>
          <w:marRight w:val="0"/>
          <w:marTop w:val="0"/>
          <w:marBottom w:val="0"/>
          <w:divBdr>
            <w:top w:val="none" w:sz="0" w:space="0" w:color="auto"/>
            <w:left w:val="none" w:sz="0" w:space="0" w:color="auto"/>
            <w:bottom w:val="none" w:sz="0" w:space="0" w:color="auto"/>
            <w:right w:val="none" w:sz="0" w:space="0" w:color="auto"/>
          </w:divBdr>
        </w:div>
        <w:div w:id="182936861">
          <w:marLeft w:val="0"/>
          <w:marRight w:val="0"/>
          <w:marTop w:val="0"/>
          <w:marBottom w:val="0"/>
          <w:divBdr>
            <w:top w:val="none" w:sz="0" w:space="0" w:color="auto"/>
            <w:left w:val="none" w:sz="0" w:space="0" w:color="auto"/>
            <w:bottom w:val="none" w:sz="0" w:space="0" w:color="auto"/>
            <w:right w:val="none" w:sz="0" w:space="0" w:color="auto"/>
          </w:divBdr>
        </w:div>
        <w:div w:id="811100173">
          <w:marLeft w:val="0"/>
          <w:marRight w:val="0"/>
          <w:marTop w:val="0"/>
          <w:marBottom w:val="0"/>
          <w:divBdr>
            <w:top w:val="none" w:sz="0" w:space="0" w:color="auto"/>
            <w:left w:val="none" w:sz="0" w:space="0" w:color="auto"/>
            <w:bottom w:val="none" w:sz="0" w:space="0" w:color="auto"/>
            <w:right w:val="none" w:sz="0" w:space="0" w:color="auto"/>
          </w:divBdr>
        </w:div>
        <w:div w:id="1738825240">
          <w:marLeft w:val="0"/>
          <w:marRight w:val="0"/>
          <w:marTop w:val="0"/>
          <w:marBottom w:val="0"/>
          <w:divBdr>
            <w:top w:val="none" w:sz="0" w:space="0" w:color="auto"/>
            <w:left w:val="none" w:sz="0" w:space="0" w:color="auto"/>
            <w:bottom w:val="none" w:sz="0" w:space="0" w:color="auto"/>
            <w:right w:val="none" w:sz="0" w:space="0" w:color="auto"/>
          </w:divBdr>
        </w:div>
        <w:div w:id="1959683550">
          <w:marLeft w:val="0"/>
          <w:marRight w:val="0"/>
          <w:marTop w:val="0"/>
          <w:marBottom w:val="0"/>
          <w:divBdr>
            <w:top w:val="none" w:sz="0" w:space="0" w:color="auto"/>
            <w:left w:val="none" w:sz="0" w:space="0" w:color="auto"/>
            <w:bottom w:val="none" w:sz="0" w:space="0" w:color="auto"/>
            <w:right w:val="none" w:sz="0" w:space="0" w:color="auto"/>
          </w:divBdr>
        </w:div>
        <w:div w:id="528417837">
          <w:marLeft w:val="0"/>
          <w:marRight w:val="0"/>
          <w:marTop w:val="0"/>
          <w:marBottom w:val="0"/>
          <w:divBdr>
            <w:top w:val="none" w:sz="0" w:space="0" w:color="auto"/>
            <w:left w:val="none" w:sz="0" w:space="0" w:color="auto"/>
            <w:bottom w:val="none" w:sz="0" w:space="0" w:color="auto"/>
            <w:right w:val="none" w:sz="0" w:space="0" w:color="auto"/>
          </w:divBdr>
        </w:div>
        <w:div w:id="940336408">
          <w:marLeft w:val="0"/>
          <w:marRight w:val="0"/>
          <w:marTop w:val="0"/>
          <w:marBottom w:val="0"/>
          <w:divBdr>
            <w:top w:val="none" w:sz="0" w:space="0" w:color="auto"/>
            <w:left w:val="none" w:sz="0" w:space="0" w:color="auto"/>
            <w:bottom w:val="none" w:sz="0" w:space="0" w:color="auto"/>
            <w:right w:val="none" w:sz="0" w:space="0" w:color="auto"/>
          </w:divBdr>
        </w:div>
        <w:div w:id="1824348118">
          <w:marLeft w:val="0"/>
          <w:marRight w:val="0"/>
          <w:marTop w:val="0"/>
          <w:marBottom w:val="0"/>
          <w:divBdr>
            <w:top w:val="none" w:sz="0" w:space="0" w:color="auto"/>
            <w:left w:val="none" w:sz="0" w:space="0" w:color="auto"/>
            <w:bottom w:val="none" w:sz="0" w:space="0" w:color="auto"/>
            <w:right w:val="none" w:sz="0" w:space="0" w:color="auto"/>
          </w:divBdr>
        </w:div>
        <w:div w:id="1369987868">
          <w:marLeft w:val="0"/>
          <w:marRight w:val="0"/>
          <w:marTop w:val="0"/>
          <w:marBottom w:val="0"/>
          <w:divBdr>
            <w:top w:val="none" w:sz="0" w:space="0" w:color="auto"/>
            <w:left w:val="none" w:sz="0" w:space="0" w:color="auto"/>
            <w:bottom w:val="none" w:sz="0" w:space="0" w:color="auto"/>
            <w:right w:val="none" w:sz="0" w:space="0" w:color="auto"/>
          </w:divBdr>
        </w:div>
        <w:div w:id="1716932149">
          <w:marLeft w:val="0"/>
          <w:marRight w:val="0"/>
          <w:marTop w:val="0"/>
          <w:marBottom w:val="0"/>
          <w:divBdr>
            <w:top w:val="none" w:sz="0" w:space="0" w:color="auto"/>
            <w:left w:val="none" w:sz="0" w:space="0" w:color="auto"/>
            <w:bottom w:val="none" w:sz="0" w:space="0" w:color="auto"/>
            <w:right w:val="none" w:sz="0" w:space="0" w:color="auto"/>
          </w:divBdr>
        </w:div>
        <w:div w:id="1839347127">
          <w:marLeft w:val="0"/>
          <w:marRight w:val="0"/>
          <w:marTop w:val="0"/>
          <w:marBottom w:val="0"/>
          <w:divBdr>
            <w:top w:val="none" w:sz="0" w:space="0" w:color="auto"/>
            <w:left w:val="none" w:sz="0" w:space="0" w:color="auto"/>
            <w:bottom w:val="none" w:sz="0" w:space="0" w:color="auto"/>
            <w:right w:val="none" w:sz="0" w:space="0" w:color="auto"/>
          </w:divBdr>
        </w:div>
        <w:div w:id="946817582">
          <w:marLeft w:val="0"/>
          <w:marRight w:val="0"/>
          <w:marTop w:val="0"/>
          <w:marBottom w:val="0"/>
          <w:divBdr>
            <w:top w:val="none" w:sz="0" w:space="0" w:color="auto"/>
            <w:left w:val="none" w:sz="0" w:space="0" w:color="auto"/>
            <w:bottom w:val="none" w:sz="0" w:space="0" w:color="auto"/>
            <w:right w:val="none" w:sz="0" w:space="0" w:color="auto"/>
          </w:divBdr>
        </w:div>
        <w:div w:id="1520315518">
          <w:marLeft w:val="0"/>
          <w:marRight w:val="0"/>
          <w:marTop w:val="0"/>
          <w:marBottom w:val="0"/>
          <w:divBdr>
            <w:top w:val="none" w:sz="0" w:space="0" w:color="auto"/>
            <w:left w:val="none" w:sz="0" w:space="0" w:color="auto"/>
            <w:bottom w:val="none" w:sz="0" w:space="0" w:color="auto"/>
            <w:right w:val="none" w:sz="0" w:space="0" w:color="auto"/>
          </w:divBdr>
        </w:div>
        <w:div w:id="1838380462">
          <w:marLeft w:val="0"/>
          <w:marRight w:val="0"/>
          <w:marTop w:val="0"/>
          <w:marBottom w:val="0"/>
          <w:divBdr>
            <w:top w:val="none" w:sz="0" w:space="0" w:color="auto"/>
            <w:left w:val="none" w:sz="0" w:space="0" w:color="auto"/>
            <w:bottom w:val="none" w:sz="0" w:space="0" w:color="auto"/>
            <w:right w:val="none" w:sz="0" w:space="0" w:color="auto"/>
          </w:divBdr>
        </w:div>
        <w:div w:id="863515939">
          <w:marLeft w:val="0"/>
          <w:marRight w:val="0"/>
          <w:marTop w:val="0"/>
          <w:marBottom w:val="0"/>
          <w:divBdr>
            <w:top w:val="none" w:sz="0" w:space="0" w:color="auto"/>
            <w:left w:val="none" w:sz="0" w:space="0" w:color="auto"/>
            <w:bottom w:val="none" w:sz="0" w:space="0" w:color="auto"/>
            <w:right w:val="none" w:sz="0" w:space="0" w:color="auto"/>
          </w:divBdr>
        </w:div>
        <w:div w:id="229774948">
          <w:marLeft w:val="0"/>
          <w:marRight w:val="0"/>
          <w:marTop w:val="0"/>
          <w:marBottom w:val="0"/>
          <w:divBdr>
            <w:top w:val="none" w:sz="0" w:space="0" w:color="auto"/>
            <w:left w:val="none" w:sz="0" w:space="0" w:color="auto"/>
            <w:bottom w:val="none" w:sz="0" w:space="0" w:color="auto"/>
            <w:right w:val="none" w:sz="0" w:space="0" w:color="auto"/>
          </w:divBdr>
        </w:div>
        <w:div w:id="322005428">
          <w:marLeft w:val="0"/>
          <w:marRight w:val="0"/>
          <w:marTop w:val="0"/>
          <w:marBottom w:val="0"/>
          <w:divBdr>
            <w:top w:val="none" w:sz="0" w:space="0" w:color="auto"/>
            <w:left w:val="none" w:sz="0" w:space="0" w:color="auto"/>
            <w:bottom w:val="none" w:sz="0" w:space="0" w:color="auto"/>
            <w:right w:val="none" w:sz="0" w:space="0" w:color="auto"/>
          </w:divBdr>
        </w:div>
        <w:div w:id="1177381856">
          <w:marLeft w:val="0"/>
          <w:marRight w:val="0"/>
          <w:marTop w:val="0"/>
          <w:marBottom w:val="0"/>
          <w:divBdr>
            <w:top w:val="none" w:sz="0" w:space="0" w:color="auto"/>
            <w:left w:val="none" w:sz="0" w:space="0" w:color="auto"/>
            <w:bottom w:val="none" w:sz="0" w:space="0" w:color="auto"/>
            <w:right w:val="none" w:sz="0" w:space="0" w:color="auto"/>
          </w:divBdr>
        </w:div>
        <w:div w:id="96484431">
          <w:marLeft w:val="0"/>
          <w:marRight w:val="0"/>
          <w:marTop w:val="0"/>
          <w:marBottom w:val="0"/>
          <w:divBdr>
            <w:top w:val="none" w:sz="0" w:space="0" w:color="auto"/>
            <w:left w:val="none" w:sz="0" w:space="0" w:color="auto"/>
            <w:bottom w:val="none" w:sz="0" w:space="0" w:color="auto"/>
            <w:right w:val="none" w:sz="0" w:space="0" w:color="auto"/>
          </w:divBdr>
        </w:div>
        <w:div w:id="1284507042">
          <w:marLeft w:val="0"/>
          <w:marRight w:val="0"/>
          <w:marTop w:val="0"/>
          <w:marBottom w:val="0"/>
          <w:divBdr>
            <w:top w:val="none" w:sz="0" w:space="0" w:color="auto"/>
            <w:left w:val="none" w:sz="0" w:space="0" w:color="auto"/>
            <w:bottom w:val="none" w:sz="0" w:space="0" w:color="auto"/>
            <w:right w:val="none" w:sz="0" w:space="0" w:color="auto"/>
          </w:divBdr>
        </w:div>
        <w:div w:id="301888019">
          <w:marLeft w:val="0"/>
          <w:marRight w:val="0"/>
          <w:marTop w:val="0"/>
          <w:marBottom w:val="0"/>
          <w:divBdr>
            <w:top w:val="none" w:sz="0" w:space="0" w:color="auto"/>
            <w:left w:val="none" w:sz="0" w:space="0" w:color="auto"/>
            <w:bottom w:val="none" w:sz="0" w:space="0" w:color="auto"/>
            <w:right w:val="none" w:sz="0" w:space="0" w:color="auto"/>
          </w:divBdr>
        </w:div>
        <w:div w:id="2116706843">
          <w:marLeft w:val="0"/>
          <w:marRight w:val="0"/>
          <w:marTop w:val="0"/>
          <w:marBottom w:val="0"/>
          <w:divBdr>
            <w:top w:val="none" w:sz="0" w:space="0" w:color="auto"/>
            <w:left w:val="none" w:sz="0" w:space="0" w:color="auto"/>
            <w:bottom w:val="none" w:sz="0" w:space="0" w:color="auto"/>
            <w:right w:val="none" w:sz="0" w:space="0" w:color="auto"/>
          </w:divBdr>
        </w:div>
      </w:divsChild>
    </w:div>
    <w:div w:id="1348096945">
      <w:bodyDiv w:val="1"/>
      <w:marLeft w:val="0"/>
      <w:marRight w:val="0"/>
      <w:marTop w:val="0"/>
      <w:marBottom w:val="0"/>
      <w:divBdr>
        <w:top w:val="none" w:sz="0" w:space="0" w:color="auto"/>
        <w:left w:val="none" w:sz="0" w:space="0" w:color="auto"/>
        <w:bottom w:val="none" w:sz="0" w:space="0" w:color="auto"/>
        <w:right w:val="none" w:sz="0" w:space="0" w:color="auto"/>
      </w:divBdr>
    </w:div>
    <w:div w:id="1416126057">
      <w:bodyDiv w:val="1"/>
      <w:marLeft w:val="0"/>
      <w:marRight w:val="0"/>
      <w:marTop w:val="0"/>
      <w:marBottom w:val="0"/>
      <w:divBdr>
        <w:top w:val="none" w:sz="0" w:space="0" w:color="auto"/>
        <w:left w:val="none" w:sz="0" w:space="0" w:color="auto"/>
        <w:bottom w:val="none" w:sz="0" w:space="0" w:color="auto"/>
        <w:right w:val="none" w:sz="0" w:space="0" w:color="auto"/>
      </w:divBdr>
    </w:div>
    <w:div w:id="1429541394">
      <w:bodyDiv w:val="1"/>
      <w:marLeft w:val="0"/>
      <w:marRight w:val="0"/>
      <w:marTop w:val="0"/>
      <w:marBottom w:val="0"/>
      <w:divBdr>
        <w:top w:val="none" w:sz="0" w:space="0" w:color="auto"/>
        <w:left w:val="none" w:sz="0" w:space="0" w:color="auto"/>
        <w:bottom w:val="none" w:sz="0" w:space="0" w:color="auto"/>
        <w:right w:val="none" w:sz="0" w:space="0" w:color="auto"/>
      </w:divBdr>
    </w:div>
    <w:div w:id="1447383279">
      <w:bodyDiv w:val="1"/>
      <w:marLeft w:val="0"/>
      <w:marRight w:val="0"/>
      <w:marTop w:val="0"/>
      <w:marBottom w:val="0"/>
      <w:divBdr>
        <w:top w:val="none" w:sz="0" w:space="0" w:color="auto"/>
        <w:left w:val="none" w:sz="0" w:space="0" w:color="auto"/>
        <w:bottom w:val="none" w:sz="0" w:space="0" w:color="auto"/>
        <w:right w:val="none" w:sz="0" w:space="0" w:color="auto"/>
      </w:divBdr>
    </w:div>
    <w:div w:id="1563590555">
      <w:bodyDiv w:val="1"/>
      <w:marLeft w:val="0"/>
      <w:marRight w:val="0"/>
      <w:marTop w:val="0"/>
      <w:marBottom w:val="0"/>
      <w:divBdr>
        <w:top w:val="none" w:sz="0" w:space="0" w:color="auto"/>
        <w:left w:val="none" w:sz="0" w:space="0" w:color="auto"/>
        <w:bottom w:val="none" w:sz="0" w:space="0" w:color="auto"/>
        <w:right w:val="none" w:sz="0" w:space="0" w:color="auto"/>
      </w:divBdr>
    </w:div>
    <w:div w:id="1912766270">
      <w:bodyDiv w:val="1"/>
      <w:marLeft w:val="0"/>
      <w:marRight w:val="0"/>
      <w:marTop w:val="0"/>
      <w:marBottom w:val="0"/>
      <w:divBdr>
        <w:top w:val="none" w:sz="0" w:space="0" w:color="auto"/>
        <w:left w:val="none" w:sz="0" w:space="0" w:color="auto"/>
        <w:bottom w:val="none" w:sz="0" w:space="0" w:color="auto"/>
        <w:right w:val="none" w:sz="0" w:space="0" w:color="auto"/>
      </w:divBdr>
    </w:div>
    <w:div w:id="2047489766">
      <w:bodyDiv w:val="1"/>
      <w:marLeft w:val="0"/>
      <w:marRight w:val="0"/>
      <w:marTop w:val="0"/>
      <w:marBottom w:val="0"/>
      <w:divBdr>
        <w:top w:val="none" w:sz="0" w:space="0" w:color="auto"/>
        <w:left w:val="none" w:sz="0" w:space="0" w:color="auto"/>
        <w:bottom w:val="none" w:sz="0" w:space="0" w:color="auto"/>
        <w:right w:val="none" w:sz="0" w:space="0" w:color="auto"/>
      </w:divBdr>
    </w:div>
    <w:div w:id="2098282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CEE59-7BCA-4F49-B4C5-56C4030BA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11235</Words>
  <Characters>64045</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GE</Company>
  <LinksUpToDate>false</LinksUpToDate>
  <CharactersWithSpaces>75130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zzRisNetInstall</dc:creator>
  <cp:lastModifiedBy>LS Ma</cp:lastModifiedBy>
  <cp:revision>2</cp:revision>
  <cp:lastPrinted>2014-02-23T04:23:00Z</cp:lastPrinted>
  <dcterms:created xsi:type="dcterms:W3CDTF">2014-09-16T14:09:00Z</dcterms:created>
  <dcterms:modified xsi:type="dcterms:W3CDTF">2014-09-16T14:09:00Z</dcterms:modified>
</cp:coreProperties>
</file>