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6A91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Name of Journal: </w:t>
      </w:r>
      <w:r>
        <w:rPr>
          <w:rFonts w:ascii="Book Antiqua" w:eastAsia="Book Antiqua" w:hAnsi="Book Antiqua" w:cs="Book Antiqua"/>
          <w:i/>
        </w:rPr>
        <w:t>World Journal of Clinical Cases</w:t>
      </w:r>
    </w:p>
    <w:p w14:paraId="0B210B81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Manuscript NO: </w:t>
      </w:r>
      <w:r>
        <w:rPr>
          <w:rFonts w:ascii="Book Antiqua" w:eastAsia="Book Antiqua" w:hAnsi="Book Antiqua" w:cs="Book Antiqua"/>
        </w:rPr>
        <w:t>84013</w:t>
      </w:r>
    </w:p>
    <w:p w14:paraId="0DC30AA4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 xml:space="preserve">Manuscript Type: </w:t>
      </w:r>
      <w:r>
        <w:rPr>
          <w:rFonts w:ascii="Book Antiqua" w:eastAsia="Book Antiqua" w:hAnsi="Book Antiqua" w:cs="Book Antiqua"/>
        </w:rPr>
        <w:t>LETTER TO THE EDITOR</w:t>
      </w:r>
    </w:p>
    <w:p w14:paraId="0E7BE097" w14:textId="77777777" w:rsidR="00A77B3E" w:rsidRDefault="00A77B3E">
      <w:pPr>
        <w:spacing w:line="360" w:lineRule="auto"/>
        <w:jc w:val="both"/>
      </w:pPr>
    </w:p>
    <w:p w14:paraId="4163BE5F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Symmetric DWI hyperintensities in CMT1X patients after SARS-CoV-2 vaccination should not be classified as stroke-like lesions</w:t>
      </w:r>
    </w:p>
    <w:p w14:paraId="2A8B2139" w14:textId="77777777" w:rsidR="00A77B3E" w:rsidRDefault="00A77B3E">
      <w:pPr>
        <w:spacing w:line="360" w:lineRule="auto"/>
        <w:jc w:val="both"/>
      </w:pPr>
    </w:p>
    <w:p w14:paraId="368651F6" w14:textId="77777777" w:rsidR="00A77B3E" w:rsidRDefault="00B617E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</w:t>
      </w:r>
      <w:r w:rsidRPr="00B617E3">
        <w:rPr>
          <w:rFonts w:ascii="Book Antiqua" w:eastAsia="Book Antiqua" w:hAnsi="Book Antiqua" w:cs="Book Antiqua"/>
          <w:color w:val="000000"/>
        </w:rPr>
        <w:t>nsterer J</w:t>
      </w:r>
      <w:r w:rsidRPr="00B617E3">
        <w:rPr>
          <w:rFonts w:ascii="Book Antiqua" w:eastAsia="宋体" w:hAnsi="Book Antiqua" w:cs="宋体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CMT1X and stroke-like episode</w:t>
      </w:r>
    </w:p>
    <w:p w14:paraId="5A03246E" w14:textId="77777777" w:rsidR="00A77B3E" w:rsidRDefault="00A77B3E">
      <w:pPr>
        <w:spacing w:line="360" w:lineRule="auto"/>
        <w:jc w:val="both"/>
      </w:pPr>
    </w:p>
    <w:p w14:paraId="4599768A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Josef Finsterer</w:t>
      </w:r>
    </w:p>
    <w:p w14:paraId="2B655929" w14:textId="77777777" w:rsidR="00A77B3E" w:rsidRDefault="00A77B3E">
      <w:pPr>
        <w:spacing w:line="360" w:lineRule="auto"/>
        <w:jc w:val="both"/>
      </w:pPr>
    </w:p>
    <w:p w14:paraId="6A1A493E" w14:textId="201F604D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Josef Finsterer, </w:t>
      </w:r>
      <w:r w:rsidR="00E73E4E" w:rsidRPr="00E73E4E">
        <w:rPr>
          <w:rFonts w:ascii="Book Antiqua" w:eastAsia="Book Antiqua" w:hAnsi="Book Antiqua" w:cs="Book Antiqua"/>
          <w:color w:val="000000"/>
        </w:rPr>
        <w:t>Department of Neurolog</w:t>
      </w:r>
      <w:r w:rsidR="00656B33">
        <w:rPr>
          <w:rFonts w:ascii="Book Antiqua" w:eastAsia="Book Antiqua" w:hAnsi="Book Antiqua" w:cs="Book Antiqua"/>
          <w:color w:val="000000"/>
        </w:rPr>
        <w:t>y</w:t>
      </w:r>
      <w:r w:rsidR="00E73E4E" w:rsidRPr="00E73E4E">
        <w:rPr>
          <w:rFonts w:ascii="Book Antiqua" w:eastAsia="Book Antiqua" w:hAnsi="Book Antiqua" w:cs="Book Antiqua"/>
          <w:color w:val="000000"/>
        </w:rPr>
        <w:t>, Neurology &amp; Neurophysiology Center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5F6CC4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ienna 1180, Austria</w:t>
      </w:r>
    </w:p>
    <w:p w14:paraId="0D78B714" w14:textId="77777777" w:rsidR="00A77B3E" w:rsidRDefault="00A77B3E">
      <w:pPr>
        <w:spacing w:line="360" w:lineRule="auto"/>
        <w:jc w:val="both"/>
      </w:pPr>
    </w:p>
    <w:p w14:paraId="6B142ECA" w14:textId="15EDFB24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293C82">
        <w:rPr>
          <w:rFonts w:ascii="Book Antiqua" w:eastAsia="Book Antiqua" w:hAnsi="Book Antiqua" w:cs="Book Antiqua"/>
          <w:color w:val="000000"/>
        </w:rPr>
        <w:t xml:space="preserve">Finsterer </w:t>
      </w:r>
      <w:r>
        <w:rPr>
          <w:rFonts w:ascii="Book Antiqua" w:eastAsia="Book Antiqua" w:hAnsi="Book Antiqua" w:cs="Book Antiqua"/>
          <w:color w:val="000000"/>
        </w:rPr>
        <w:t>J was responsible for everything</w:t>
      </w:r>
      <w:r w:rsidR="00C82274">
        <w:rPr>
          <w:rFonts w:ascii="Book Antiqua" w:eastAsia="Book Antiqua" w:hAnsi="Book Antiqua" w:cs="Book Antiqua"/>
          <w:color w:val="000000"/>
        </w:rPr>
        <w:t>.</w:t>
      </w:r>
    </w:p>
    <w:p w14:paraId="0053E1E4" w14:textId="77777777" w:rsidR="00A77B3E" w:rsidRDefault="00A77B3E">
      <w:pPr>
        <w:spacing w:line="360" w:lineRule="auto"/>
        <w:jc w:val="both"/>
      </w:pPr>
    </w:p>
    <w:p w14:paraId="2D0D8786" w14:textId="5C8408F9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Josef Finsterer, MD, Adjunct Associate Professor, Medical Assistant, </w:t>
      </w:r>
      <w:r w:rsidR="000E20EA" w:rsidRPr="00E73E4E">
        <w:rPr>
          <w:rFonts w:ascii="Book Antiqua" w:eastAsia="Book Antiqua" w:hAnsi="Book Antiqua" w:cs="Book Antiqua"/>
          <w:color w:val="000000"/>
        </w:rPr>
        <w:t>Department of Neurolog</w:t>
      </w:r>
      <w:r w:rsidR="00656B33">
        <w:rPr>
          <w:rFonts w:ascii="Book Antiqua" w:eastAsia="Book Antiqua" w:hAnsi="Book Antiqua" w:cs="Book Antiqua"/>
          <w:color w:val="000000"/>
        </w:rPr>
        <w:t>y</w:t>
      </w:r>
      <w:r w:rsidR="000E20EA" w:rsidRPr="00E73E4E">
        <w:rPr>
          <w:rFonts w:ascii="Book Antiqua" w:eastAsia="Book Antiqua" w:hAnsi="Book Antiqua" w:cs="Book Antiqua"/>
          <w:color w:val="000000"/>
        </w:rPr>
        <w:t>, Neurology &amp; Neurophysiology Center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0E20EA">
        <w:rPr>
          <w:rFonts w:ascii="Book Antiqua" w:eastAsia="Book Antiqua" w:hAnsi="Book Antiqua" w:cs="Book Antiqua"/>
          <w:color w:val="000000"/>
        </w:rPr>
        <w:t>Postfach</w:t>
      </w:r>
      <w:proofErr w:type="spellEnd"/>
      <w:r w:rsidR="000E20E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20, </w:t>
      </w:r>
      <w:r w:rsidR="00981F9E">
        <w:rPr>
          <w:rFonts w:ascii="Book Antiqua" w:eastAsia="Book Antiqua" w:hAnsi="Book Antiqua" w:cs="Book Antiqua"/>
          <w:color w:val="000000"/>
        </w:rPr>
        <w:t xml:space="preserve">Vienna </w:t>
      </w:r>
      <w:r>
        <w:rPr>
          <w:rFonts w:ascii="Book Antiqua" w:eastAsia="Book Antiqua" w:hAnsi="Book Antiqua" w:cs="Book Antiqua"/>
          <w:color w:val="000000"/>
        </w:rPr>
        <w:t>1180, Austria. fifigs1@yahoo.de</w:t>
      </w:r>
    </w:p>
    <w:p w14:paraId="7B14F326" w14:textId="77777777" w:rsidR="00A77B3E" w:rsidRDefault="00A77B3E">
      <w:pPr>
        <w:spacing w:line="360" w:lineRule="auto"/>
        <w:jc w:val="both"/>
      </w:pPr>
    </w:p>
    <w:p w14:paraId="6DC0EE5D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Received: </w:t>
      </w:r>
      <w:r>
        <w:rPr>
          <w:rFonts w:ascii="Book Antiqua" w:eastAsia="Book Antiqua" w:hAnsi="Book Antiqua" w:cs="Book Antiqua"/>
        </w:rPr>
        <w:t>February 20, 2023</w:t>
      </w:r>
    </w:p>
    <w:p w14:paraId="1D8565D7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Revised: </w:t>
      </w:r>
      <w:r w:rsidR="00C6362A" w:rsidRPr="00C6362A">
        <w:rPr>
          <w:rFonts w:ascii="Book Antiqua" w:eastAsia="Book Antiqua" w:hAnsi="Book Antiqua" w:cs="Book Antiqua"/>
        </w:rPr>
        <w:t>April 12, 2023</w:t>
      </w:r>
    </w:p>
    <w:p w14:paraId="21A0ACEB" w14:textId="49D4273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Accepted: </w:t>
      </w:r>
      <w:r w:rsidR="00930223" w:rsidRPr="00930223">
        <w:rPr>
          <w:rFonts w:ascii="Book Antiqua" w:eastAsia="Book Antiqua" w:hAnsi="Book Antiqua" w:cs="Book Antiqua"/>
        </w:rPr>
        <w:t>April 25, 2023</w:t>
      </w:r>
    </w:p>
    <w:p w14:paraId="2C16759C" w14:textId="438379B8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Published online: </w:t>
      </w:r>
      <w:r w:rsidR="00874477" w:rsidRPr="001E6555">
        <w:rPr>
          <w:rFonts w:ascii="Book Antiqua" w:eastAsia="Book Antiqua" w:hAnsi="Book Antiqua" w:cs="Book Antiqua"/>
          <w:bCs/>
          <w:color w:val="000000" w:themeColor="text1"/>
        </w:rPr>
        <w:t>June 6,</w:t>
      </w:r>
      <w:r w:rsidR="00874477" w:rsidRPr="001E6555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</w:t>
      </w:r>
      <w:r w:rsidR="00874477" w:rsidRPr="001E6555">
        <w:rPr>
          <w:rFonts w:ascii="Book Antiqua" w:eastAsia="Book Antiqua" w:hAnsi="Book Antiqua" w:cs="Book Antiqua"/>
          <w:bCs/>
          <w:color w:val="000000" w:themeColor="text1"/>
        </w:rPr>
        <w:t>2023</w:t>
      </w:r>
    </w:p>
    <w:p w14:paraId="74AAAB06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FFEB6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D8B7DEF" w14:textId="131AA64C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The interesting case report by Zhang </w:t>
      </w:r>
      <w:r>
        <w:rPr>
          <w:rFonts w:ascii="Book Antiqua" w:eastAsia="Book Antiqua" w:hAnsi="Book Antiqua" w:cs="Book Antiqua"/>
          <w:i/>
          <w:iCs/>
        </w:rPr>
        <w:t>et al</w:t>
      </w:r>
      <w:r>
        <w:rPr>
          <w:rFonts w:ascii="Book Antiqua" w:eastAsia="Book Antiqua" w:hAnsi="Book Antiqua" w:cs="Book Antiqua"/>
        </w:rPr>
        <w:t xml:space="preserve"> on a 39 years-old male with </w:t>
      </w:r>
      <w:r w:rsidR="00A7748C">
        <w:rPr>
          <w:rFonts w:ascii="Book Antiqua" w:eastAsia="Book Antiqua" w:hAnsi="Book Antiqua" w:cs="Book Antiqua"/>
        </w:rPr>
        <w:t>Charcot-Marie-Tooth disease type 1X</w:t>
      </w:r>
      <w:r>
        <w:rPr>
          <w:rFonts w:ascii="Book Antiqua" w:eastAsia="Book Antiqua" w:hAnsi="Book Antiqua" w:cs="Book Antiqua"/>
        </w:rPr>
        <w:t xml:space="preserve"> has several limitations. The causal relation between the two episodes of </w:t>
      </w:r>
      <w:proofErr w:type="spellStart"/>
      <w:r w:rsidRPr="00297193">
        <w:rPr>
          <w:rFonts w:ascii="Book Antiqua" w:eastAsia="Book Antiqua" w:hAnsi="Book Antiqua" w:cs="Book Antiqua"/>
        </w:rPr>
        <w:t>asyndesis</w:t>
      </w:r>
      <w:proofErr w:type="spellEnd"/>
      <w:r>
        <w:rPr>
          <w:rFonts w:ascii="Book Antiqua" w:eastAsia="Book Antiqua" w:hAnsi="Book Antiqua" w:cs="Book Antiqua"/>
        </w:rPr>
        <w:t xml:space="preserve">, dysphagia, and dyspnea </w:t>
      </w:r>
      <w:r w:rsidR="00234726">
        <w:rPr>
          <w:rFonts w:ascii="Book Antiqua" w:hAnsi="Book Antiqua" w:cs="Book Antiqua" w:hint="eastAsia"/>
          <w:lang w:eastAsia="zh-CN"/>
        </w:rPr>
        <w:t>3</w:t>
      </w:r>
      <w:r w:rsidR="00234726">
        <w:rPr>
          <w:rFonts w:ascii="Book Antiqua" w:eastAsia="Book Antiqua" w:hAnsi="Book Antiqua" w:cs="Book Antiqua"/>
        </w:rPr>
        <w:t xml:space="preserve">7 </w:t>
      </w:r>
      <w:r>
        <w:rPr>
          <w:rFonts w:ascii="Book Antiqua" w:eastAsia="Book Antiqua" w:hAnsi="Book Antiqua" w:cs="Book Antiqua"/>
        </w:rPr>
        <w:t xml:space="preserve">d </w:t>
      </w:r>
      <w:r w:rsidR="00234726">
        <w:rPr>
          <w:rFonts w:ascii="Book Antiqua" w:hAnsi="Book Antiqua" w:cs="Book Antiqua" w:hint="eastAsia"/>
          <w:lang w:eastAsia="zh-CN"/>
        </w:rPr>
        <w:t>after</w:t>
      </w:r>
      <w:r w:rsidR="0023472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second dose of the inactivated </w:t>
      </w:r>
      <w:r w:rsidR="00A7748C">
        <w:rPr>
          <w:rFonts w:ascii="Book Antiqua" w:eastAsia="Book Antiqua" w:hAnsi="Book Antiqua" w:cs="Book Antiqua"/>
        </w:rPr>
        <w:t>severe ac</w:t>
      </w:r>
      <w:r w:rsidR="00C93D9D">
        <w:rPr>
          <w:rFonts w:ascii="Book Antiqua" w:eastAsia="Book Antiqua" w:hAnsi="Book Antiqua" w:cs="Book Antiqua"/>
        </w:rPr>
        <w:t>ute</w:t>
      </w:r>
      <w:r w:rsidR="00A7748C">
        <w:rPr>
          <w:rFonts w:ascii="Book Antiqua" w:eastAsia="Book Antiqua" w:hAnsi="Book Antiqua" w:cs="Book Antiqua"/>
        </w:rPr>
        <w:t xml:space="preserve"> respiratory syndrome-coronavirus-2 (</w:t>
      </w:r>
      <w:r>
        <w:rPr>
          <w:rFonts w:ascii="Book Antiqua" w:eastAsia="Book Antiqua" w:hAnsi="Book Antiqua" w:cs="Book Antiqua"/>
        </w:rPr>
        <w:t>SARS-CoV-2</w:t>
      </w:r>
      <w:r w:rsidR="00A7748C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 xml:space="preserve"> vaccine (Beijing Institute of Biological Products Co., Ltd., Beijing, China) remains unproven. SARS-CoV-2 vaccination cannot trigger a genetic disorder. It also remains unsupported that the patient had a stroke-like episode (SLE). SLEs occur in mitochondrial disorders but not in hereditary neuropathies. Because of the episodic nature of the neurological symptoms</w:t>
      </w:r>
      <w:r w:rsidR="00656B33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it is critical to rule out seizures. Overall, the causal relation between vaccination and the neurological complications remains unsupported and the interpretation of symmetric </w:t>
      </w:r>
      <w:r w:rsidR="00A7748C">
        <w:rPr>
          <w:rFonts w:ascii="Book Antiqua" w:eastAsia="Book Antiqua" w:hAnsi="Book Antiqua" w:cs="Book Antiqua"/>
        </w:rPr>
        <w:t>diffusion-weighted imaging</w:t>
      </w:r>
      <w:r>
        <w:rPr>
          <w:rFonts w:ascii="Book Antiqua" w:eastAsia="Book Antiqua" w:hAnsi="Book Antiqua" w:cs="Book Antiqua"/>
        </w:rPr>
        <w:t xml:space="preserve"> lesions on cerebral </w:t>
      </w:r>
      <w:r w:rsidR="00A7748C">
        <w:rPr>
          <w:rFonts w:ascii="Book Antiqua" w:eastAsia="Book Antiqua" w:hAnsi="Book Antiqua" w:cs="Book Antiqua"/>
        </w:rPr>
        <w:t>magnetic resonance imaging</w:t>
      </w:r>
      <w:r>
        <w:rPr>
          <w:rFonts w:ascii="Book Antiqua" w:eastAsia="Book Antiqua" w:hAnsi="Book Antiqua" w:cs="Book Antiqua"/>
        </w:rPr>
        <w:t xml:space="preserve"> should be carefully revised.</w:t>
      </w:r>
    </w:p>
    <w:p w14:paraId="5B6B104A" w14:textId="77777777" w:rsidR="00A77B3E" w:rsidRDefault="00A77B3E">
      <w:pPr>
        <w:spacing w:line="360" w:lineRule="auto"/>
        <w:jc w:val="both"/>
      </w:pPr>
    </w:p>
    <w:p w14:paraId="355CD840" w14:textId="189583A6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Key Words: </w:t>
      </w:r>
      <w:r w:rsidR="00317835">
        <w:rPr>
          <w:rFonts w:ascii="Book Antiqua" w:eastAsia="Book Antiqua" w:hAnsi="Book Antiqua" w:cs="Book Antiqua"/>
        </w:rPr>
        <w:t>Stroke</w:t>
      </w:r>
      <w:r>
        <w:rPr>
          <w:rFonts w:ascii="Book Antiqua" w:eastAsia="Book Antiqua" w:hAnsi="Book Antiqua" w:cs="Book Antiqua"/>
        </w:rPr>
        <w:t xml:space="preserve">-like episode; </w:t>
      </w:r>
      <w:r w:rsidR="00317835">
        <w:rPr>
          <w:rFonts w:ascii="Book Antiqua" w:eastAsia="Book Antiqua" w:hAnsi="Book Antiqua" w:cs="Book Antiqua"/>
        </w:rPr>
        <w:t>Stroke</w:t>
      </w:r>
      <w:r>
        <w:rPr>
          <w:rFonts w:ascii="Book Antiqua" w:eastAsia="Book Antiqua" w:hAnsi="Book Antiqua" w:cs="Book Antiqua"/>
        </w:rPr>
        <w:t xml:space="preserve">-like lesion; SARS-CoV-2; </w:t>
      </w:r>
      <w:r w:rsidR="00317835">
        <w:rPr>
          <w:rFonts w:ascii="Book Antiqua" w:eastAsia="Book Antiqua" w:hAnsi="Book Antiqua" w:cs="Book Antiqua"/>
        </w:rPr>
        <w:t>Vaccination</w:t>
      </w:r>
      <w:r>
        <w:rPr>
          <w:rFonts w:ascii="Book Antiqua" w:eastAsia="Book Antiqua" w:hAnsi="Book Antiqua" w:cs="Book Antiqua"/>
        </w:rPr>
        <w:t xml:space="preserve">; </w:t>
      </w:r>
      <w:r w:rsidR="00317835">
        <w:rPr>
          <w:rFonts w:ascii="Book Antiqua" w:eastAsia="Book Antiqua" w:hAnsi="Book Antiqua" w:cs="Book Antiqua"/>
        </w:rPr>
        <w:t xml:space="preserve">Side </w:t>
      </w:r>
      <w:r>
        <w:rPr>
          <w:rFonts w:ascii="Book Antiqua" w:eastAsia="Book Antiqua" w:hAnsi="Book Antiqua" w:cs="Book Antiqua"/>
        </w:rPr>
        <w:t>effect</w:t>
      </w:r>
    </w:p>
    <w:p w14:paraId="579194F9" w14:textId="77777777" w:rsidR="00D54ACB" w:rsidRPr="006D4EDA" w:rsidRDefault="00D54ACB" w:rsidP="00D54ACB">
      <w:pPr>
        <w:spacing w:line="360" w:lineRule="auto"/>
        <w:rPr>
          <w:rFonts w:ascii="Book Antiqua" w:eastAsia="Book Antiqua" w:hAnsi="Book Antiqua" w:cs="Book Antiqua"/>
        </w:rPr>
      </w:pPr>
    </w:p>
    <w:p w14:paraId="070D0AFF" w14:textId="77777777" w:rsidR="00D54ACB" w:rsidRPr="006D4EDA" w:rsidRDefault="00D54ACB" w:rsidP="00D54ACB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1A6B99C1" w14:textId="77777777" w:rsidR="00D54ACB" w:rsidRPr="006D4EDA" w:rsidRDefault="00D54ACB" w:rsidP="00D54ACB">
      <w:pPr>
        <w:spacing w:line="360" w:lineRule="auto"/>
        <w:rPr>
          <w:rFonts w:ascii="Book Antiqua" w:eastAsia="Book Antiqua" w:hAnsi="Book Antiqua" w:cs="Book Antiqua"/>
        </w:rPr>
      </w:pPr>
    </w:p>
    <w:p w14:paraId="7A2DDFC9" w14:textId="3D21ACF2" w:rsidR="00D54ACB" w:rsidRDefault="00D54ACB" w:rsidP="00D54ACB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AB40FC">
        <w:rPr>
          <w:rFonts w:ascii="Book Antiqua" w:eastAsia="Book Antiqua" w:hAnsi="Book Antiqua" w:cs="Book Antiqua"/>
          <w:b/>
          <w:bCs/>
        </w:rPr>
        <w:t>Citation</w:t>
      </w:r>
      <w:r w:rsidRPr="00AB40FC">
        <w:rPr>
          <w:rFonts w:ascii="Book Antiqua" w:eastAsia="Book Antiqua" w:hAnsi="Book Antiqua" w:cs="Book Antiqua"/>
        </w:rPr>
        <w:t xml:space="preserve">: </w:t>
      </w:r>
      <w:r w:rsidR="00D91653">
        <w:rPr>
          <w:rFonts w:ascii="Book Antiqua" w:eastAsia="Book Antiqua" w:hAnsi="Book Antiqua" w:cs="Book Antiqua"/>
        </w:rPr>
        <w:t xml:space="preserve">Finsterer J. Symmetric DWI hyperintensities in CMT1X patients after SARS-CoV-2 vaccination should not be classified as stroke-like lesions. </w:t>
      </w:r>
      <w:r w:rsidR="00D91653">
        <w:rPr>
          <w:rFonts w:ascii="Book Antiqua" w:eastAsia="Book Antiqua" w:hAnsi="Book Antiqua" w:cs="Book Antiqua"/>
          <w:i/>
          <w:iCs/>
        </w:rPr>
        <w:t>World J Clin Cases</w:t>
      </w:r>
      <w:r w:rsidR="00D91653">
        <w:rPr>
          <w:rFonts w:ascii="Book Antiqua" w:eastAsia="Book Antiqua" w:hAnsi="Book Antiqua" w:cs="Book Antiqua"/>
        </w:rPr>
        <w:t xml:space="preserve"> 2023; </w:t>
      </w:r>
      <w:r w:rsidRPr="00AB40FC">
        <w:rPr>
          <w:rFonts w:ascii="Book Antiqua" w:eastAsia="Book Antiqua" w:hAnsi="Book Antiqua" w:cs="Book Antiqua"/>
        </w:rPr>
        <w:t xml:space="preserve">11(16): </w:t>
      </w:r>
      <w:r w:rsidRPr="00D54ACB">
        <w:rPr>
          <w:rFonts w:ascii="Book Antiqua" w:eastAsia="Book Antiqua" w:hAnsi="Book Antiqua" w:cs="Book Antiqua"/>
        </w:rPr>
        <w:t>3929-3931</w:t>
      </w:r>
    </w:p>
    <w:p w14:paraId="4CEF1A6E" w14:textId="4EAB2CF6" w:rsidR="00D54ACB" w:rsidRDefault="00D54ACB" w:rsidP="00D54ACB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33435">
        <w:rPr>
          <w:rFonts w:ascii="Book Antiqua" w:eastAsia="Book Antiqua" w:hAnsi="Book Antiqua" w:cs="Book Antiqua"/>
          <w:b/>
          <w:bCs/>
        </w:rPr>
        <w:t>URL</w:t>
      </w:r>
      <w:r w:rsidRPr="00AB40FC">
        <w:rPr>
          <w:rFonts w:ascii="Book Antiqua" w:eastAsia="Book Antiqua" w:hAnsi="Book Antiqua" w:cs="Book Antiqua"/>
        </w:rPr>
        <w:t xml:space="preserve">: </w:t>
      </w:r>
      <w:r w:rsidRPr="00933435">
        <w:rPr>
          <w:rFonts w:ascii="Book Antiqua" w:eastAsia="Book Antiqua" w:hAnsi="Book Antiqua" w:cs="Book Antiqua"/>
        </w:rPr>
        <w:t>https://www.wjgnet.com/2307-8960/full/v11/i16/</w:t>
      </w:r>
      <w:r w:rsidRPr="00D54ACB">
        <w:rPr>
          <w:rFonts w:ascii="Book Antiqua" w:eastAsia="Book Antiqua" w:hAnsi="Book Antiqua" w:cs="Book Antiqua"/>
        </w:rPr>
        <w:t>3929</w:t>
      </w:r>
      <w:r w:rsidRPr="00933435">
        <w:rPr>
          <w:rFonts w:ascii="Book Antiqua" w:eastAsia="Book Antiqua" w:hAnsi="Book Antiqua" w:cs="Book Antiqua"/>
        </w:rPr>
        <w:t>.htm</w:t>
      </w:r>
    </w:p>
    <w:p w14:paraId="5F5554CB" w14:textId="05268F62" w:rsidR="00A77B3E" w:rsidRDefault="00D54ACB" w:rsidP="00D54ACB">
      <w:pPr>
        <w:spacing w:line="360" w:lineRule="auto"/>
        <w:jc w:val="both"/>
      </w:pPr>
      <w:r w:rsidRPr="00933435">
        <w:rPr>
          <w:rFonts w:ascii="Book Antiqua" w:eastAsia="Book Antiqua" w:hAnsi="Book Antiqua" w:cs="Book Antiqua"/>
          <w:b/>
          <w:bCs/>
        </w:rPr>
        <w:t>DOI</w:t>
      </w:r>
      <w:r w:rsidRPr="00AB40FC">
        <w:rPr>
          <w:rFonts w:ascii="Book Antiqua" w:eastAsia="Book Antiqua" w:hAnsi="Book Antiqua" w:cs="Book Antiqua"/>
        </w:rPr>
        <w:t>: https://dx.doi.org/10.12998/wjcc.v11.i16.</w:t>
      </w:r>
      <w:r w:rsidRPr="00D54ACB">
        <w:rPr>
          <w:rFonts w:ascii="Book Antiqua" w:eastAsia="Book Antiqua" w:hAnsi="Book Antiqua" w:cs="Book Antiqua"/>
        </w:rPr>
        <w:t>3929</w:t>
      </w:r>
    </w:p>
    <w:p w14:paraId="67A2E6E1" w14:textId="77777777" w:rsidR="00A77B3E" w:rsidRDefault="00A77B3E">
      <w:pPr>
        <w:spacing w:line="360" w:lineRule="auto"/>
        <w:jc w:val="both"/>
      </w:pPr>
    </w:p>
    <w:p w14:paraId="6F803E98" w14:textId="71AB76B6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Core Tip: </w:t>
      </w:r>
      <w:r>
        <w:rPr>
          <w:rFonts w:ascii="Book Antiqua" w:eastAsia="Book Antiqua" w:hAnsi="Book Antiqua" w:cs="Book Antiqua"/>
        </w:rPr>
        <w:t xml:space="preserve">Symmetric </w:t>
      </w:r>
      <w:r w:rsidR="00317835" w:rsidRPr="00491892">
        <w:rPr>
          <w:rFonts w:ascii="Book Antiqua" w:hAnsi="Book Antiqua"/>
        </w:rPr>
        <w:t>diffusion-weighted imaging</w:t>
      </w:r>
      <w:r>
        <w:rPr>
          <w:rFonts w:ascii="Book Antiqua" w:eastAsia="Book Antiqua" w:hAnsi="Book Antiqua" w:cs="Book Antiqua"/>
        </w:rPr>
        <w:t xml:space="preserve"> hyperintensities in </w:t>
      </w:r>
      <w:proofErr w:type="spellStart"/>
      <w:r w:rsidR="00293C82" w:rsidRPr="004B30C0">
        <w:rPr>
          <w:rFonts w:ascii="Book Antiqua" w:hAnsi="Book Antiqua"/>
          <w:lang w:eastAsia="en-GB"/>
        </w:rPr>
        <w:t>charcot</w:t>
      </w:r>
      <w:proofErr w:type="spellEnd"/>
      <w:r w:rsidR="00293C82" w:rsidRPr="004B30C0">
        <w:rPr>
          <w:rFonts w:ascii="Book Antiqua" w:hAnsi="Book Antiqua"/>
          <w:lang w:eastAsia="en-GB"/>
        </w:rPr>
        <w:t>-</w:t>
      </w:r>
      <w:proofErr w:type="spellStart"/>
      <w:r w:rsidR="00293C82" w:rsidRPr="004B30C0">
        <w:rPr>
          <w:rFonts w:ascii="Book Antiqua" w:hAnsi="Book Antiqua"/>
          <w:lang w:eastAsia="en-GB"/>
        </w:rPr>
        <w:t>marie</w:t>
      </w:r>
      <w:proofErr w:type="spellEnd"/>
      <w:r w:rsidR="00293C82" w:rsidRPr="004B30C0">
        <w:rPr>
          <w:rFonts w:ascii="Book Antiqua" w:hAnsi="Book Antiqua"/>
          <w:lang w:eastAsia="en-GB"/>
        </w:rPr>
        <w:t xml:space="preserve">-tooth </w:t>
      </w:r>
      <w:r w:rsidR="00293C82">
        <w:rPr>
          <w:rFonts w:ascii="Book Antiqua" w:hAnsi="Book Antiqua"/>
          <w:lang w:eastAsia="en-GB"/>
        </w:rPr>
        <w:t xml:space="preserve">type 1X </w:t>
      </w:r>
      <w:r>
        <w:rPr>
          <w:rFonts w:ascii="Book Antiqua" w:eastAsia="Book Antiqua" w:hAnsi="Book Antiqua" w:cs="Book Antiqua"/>
        </w:rPr>
        <w:t xml:space="preserve">patients after </w:t>
      </w:r>
      <w:r w:rsidR="00293C82">
        <w:rPr>
          <w:rFonts w:ascii="Book Antiqua" w:eastAsia="Book Antiqua" w:hAnsi="Book Antiqua" w:cs="Book Antiqua"/>
        </w:rPr>
        <w:t>severe acute respiratory syndrome-coronavirus-2</w:t>
      </w:r>
      <w:r>
        <w:rPr>
          <w:rFonts w:ascii="Book Antiqua" w:eastAsia="Book Antiqua" w:hAnsi="Book Antiqua" w:cs="Book Antiqua"/>
        </w:rPr>
        <w:t xml:space="preserve"> vaccination should not be classified as </w:t>
      </w:r>
      <w:r w:rsidR="00293C82" w:rsidRPr="00491892">
        <w:rPr>
          <w:rFonts w:ascii="Book Antiqua" w:hAnsi="Book Antiqua"/>
          <w:lang w:eastAsia="en-GB"/>
        </w:rPr>
        <w:t>stroke-like lesion</w:t>
      </w:r>
      <w:r>
        <w:rPr>
          <w:rFonts w:ascii="Book Antiqua" w:eastAsia="Book Antiqua" w:hAnsi="Book Antiqua" w:cs="Book Antiqua"/>
        </w:rPr>
        <w:t>s.</w:t>
      </w:r>
    </w:p>
    <w:p w14:paraId="25EE4CE6" w14:textId="77777777" w:rsidR="00A77B3E" w:rsidRDefault="00A77B3E">
      <w:pPr>
        <w:spacing w:line="360" w:lineRule="auto"/>
        <w:jc w:val="both"/>
      </w:pPr>
    </w:p>
    <w:p w14:paraId="4208DAD0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2D323BC4" w14:textId="2017DFA7" w:rsidR="00C93D9D" w:rsidRPr="00491892" w:rsidRDefault="00C93D9D" w:rsidP="0049189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 xml:space="preserve">We read with interest the article </w:t>
      </w:r>
      <w:r w:rsidRPr="00491892">
        <w:rPr>
          <w:rFonts w:ascii="Book Antiqua" w:hAnsi="Book Antiqua"/>
        </w:rPr>
        <w:t xml:space="preserve">by Zhang </w:t>
      </w:r>
      <w:r w:rsidRPr="009E2678">
        <w:rPr>
          <w:rFonts w:ascii="Book Antiqua" w:hAnsi="Book Antiqua"/>
          <w:i/>
          <w:iCs/>
          <w:lang w:eastAsia="en-GB"/>
        </w:rPr>
        <w:t>et al</w:t>
      </w:r>
      <w:r w:rsidR="009E2678" w:rsidRPr="00977386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 xml:space="preserve"> on a 39 years-old male with two episodes of </w:t>
      </w:r>
      <w:proofErr w:type="spellStart"/>
      <w:r w:rsidRPr="00491892">
        <w:rPr>
          <w:rFonts w:ascii="Book Antiqua" w:hAnsi="Book Antiqua"/>
          <w:lang w:eastAsia="en-GB"/>
        </w:rPr>
        <w:t>asyndesis</w:t>
      </w:r>
      <w:proofErr w:type="spellEnd"/>
      <w:r w:rsidRPr="00491892">
        <w:rPr>
          <w:rFonts w:ascii="Book Antiqua" w:hAnsi="Book Antiqua"/>
          <w:lang w:eastAsia="en-GB"/>
        </w:rPr>
        <w:t xml:space="preserve">, dysphagia, and dyspnea </w:t>
      </w:r>
      <w:r w:rsidR="005932F6">
        <w:rPr>
          <w:rFonts w:ascii="Book Antiqua" w:hAnsi="Book Antiqua" w:hint="eastAsia"/>
          <w:lang w:eastAsia="zh-CN"/>
        </w:rPr>
        <w:t>37</w:t>
      </w:r>
      <w:r w:rsidR="005932F6" w:rsidRPr="00491892">
        <w:rPr>
          <w:rFonts w:ascii="Book Antiqua" w:hAnsi="Book Antiqua"/>
          <w:lang w:eastAsia="en-GB"/>
        </w:rPr>
        <w:t xml:space="preserve"> </w:t>
      </w:r>
      <w:r w:rsidRPr="00491892">
        <w:rPr>
          <w:rFonts w:ascii="Book Antiqua" w:hAnsi="Book Antiqua"/>
          <w:lang w:eastAsia="en-GB"/>
        </w:rPr>
        <w:t xml:space="preserve">d after the second dose of the inactivated </w:t>
      </w:r>
      <w:r>
        <w:rPr>
          <w:rFonts w:ascii="Book Antiqua" w:eastAsia="Book Antiqua" w:hAnsi="Book Antiqua" w:cs="Book Antiqua"/>
        </w:rPr>
        <w:t>severe acute respiratory syndrome-coronavirus-2 (</w:t>
      </w:r>
      <w:r w:rsidRPr="00491892">
        <w:rPr>
          <w:rFonts w:ascii="Book Antiqua" w:hAnsi="Book Antiqua"/>
          <w:lang w:eastAsia="en-GB"/>
        </w:rPr>
        <w:t>SARS-CoV-2</w:t>
      </w:r>
      <w:r>
        <w:rPr>
          <w:rFonts w:ascii="Book Antiqua" w:hAnsi="Book Antiqua"/>
          <w:lang w:eastAsia="en-GB"/>
        </w:rPr>
        <w:t>)</w:t>
      </w:r>
      <w:r w:rsidRPr="00491892">
        <w:rPr>
          <w:rFonts w:ascii="Book Antiqua" w:hAnsi="Book Antiqua"/>
          <w:lang w:eastAsia="en-GB"/>
        </w:rPr>
        <w:t xml:space="preserve"> vaccine (Beijing Institute of Biological Products Co., Ltd., Beijing, China). The individual history was positive for chronic eczema and kidney stones. The family history was positive for pes </w:t>
      </w:r>
      <w:proofErr w:type="spellStart"/>
      <w:r w:rsidRPr="00491892">
        <w:rPr>
          <w:rFonts w:ascii="Book Antiqua" w:hAnsi="Book Antiqua"/>
          <w:lang w:eastAsia="en-GB"/>
        </w:rPr>
        <w:t>cavus</w:t>
      </w:r>
      <w:proofErr w:type="spellEnd"/>
      <w:r w:rsidRPr="00491892">
        <w:rPr>
          <w:rFonts w:ascii="Book Antiqua" w:hAnsi="Book Antiqua"/>
          <w:lang w:eastAsia="en-GB"/>
        </w:rPr>
        <w:t xml:space="preserve"> in two brothers, and Charcot-Marie-Tooth (CMT) disease in one of them</w:t>
      </w:r>
      <w:r w:rsidRPr="0030704B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 xml:space="preserve">. Neurological exam revealed chewing weakness, bulbar weakness, reduced tendon reflexes, discrete muscle wasting, and pes </w:t>
      </w:r>
      <w:proofErr w:type="spellStart"/>
      <w:r w:rsidRPr="00491892">
        <w:rPr>
          <w:rFonts w:ascii="Book Antiqua" w:hAnsi="Book Antiqua"/>
          <w:lang w:eastAsia="en-GB"/>
        </w:rPr>
        <w:t>cavus</w:t>
      </w:r>
      <w:proofErr w:type="spellEnd"/>
      <w:r w:rsidRPr="006F0DEC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 xml:space="preserve">. Genetic work-up revealed the variant c.65G&gt;A in </w:t>
      </w:r>
      <w:r w:rsidRPr="00491892">
        <w:rPr>
          <w:rFonts w:ascii="Book Antiqua" w:hAnsi="Book Antiqua"/>
          <w:i/>
          <w:iCs/>
          <w:lang w:eastAsia="en-GB"/>
        </w:rPr>
        <w:t>GJB1</w:t>
      </w:r>
      <w:r w:rsidRPr="00491892">
        <w:rPr>
          <w:rFonts w:ascii="Book Antiqua" w:hAnsi="Book Antiqua"/>
          <w:lang w:eastAsia="en-GB"/>
        </w:rPr>
        <w:t xml:space="preserve"> which is why </w:t>
      </w:r>
      <w:r w:rsidR="00F05198" w:rsidRPr="00F05198">
        <w:rPr>
          <w:rFonts w:ascii="Book Antiqua" w:hAnsi="Book Antiqua"/>
          <w:lang w:eastAsia="en-GB"/>
        </w:rPr>
        <w:t>Charcot-Marie-Tooth</w:t>
      </w:r>
      <w:r>
        <w:rPr>
          <w:rFonts w:ascii="Book Antiqua" w:hAnsi="Book Antiqua"/>
          <w:lang w:eastAsia="en-GB"/>
        </w:rPr>
        <w:t xml:space="preserve"> 1X (</w:t>
      </w:r>
      <w:r w:rsidRPr="00491892">
        <w:rPr>
          <w:rFonts w:ascii="Book Antiqua" w:hAnsi="Book Antiqua"/>
          <w:lang w:eastAsia="en-GB"/>
        </w:rPr>
        <w:t>CMT1X</w:t>
      </w:r>
      <w:r>
        <w:rPr>
          <w:rFonts w:ascii="Book Antiqua" w:hAnsi="Book Antiqua"/>
          <w:lang w:eastAsia="en-GB"/>
        </w:rPr>
        <w:t>)</w:t>
      </w:r>
      <w:r w:rsidRPr="00491892">
        <w:rPr>
          <w:rFonts w:ascii="Book Antiqua" w:hAnsi="Book Antiqua"/>
          <w:lang w:eastAsia="en-GB"/>
        </w:rPr>
        <w:t xml:space="preserve"> was diagnosed</w:t>
      </w:r>
      <w:r w:rsidRPr="00AD3C8A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>. Despite documentation of the genetic defect, CMT1X was interpreted as side effect of the anti-SARS-CoV-2 vaccination</w:t>
      </w:r>
      <w:r w:rsidRPr="003717D0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 xml:space="preserve">. </w:t>
      </w:r>
      <w:r w:rsidRPr="00491892">
        <w:rPr>
          <w:rFonts w:ascii="Book Antiqua" w:hAnsi="Book Antiqua"/>
        </w:rPr>
        <w:t>T</w:t>
      </w:r>
      <w:r w:rsidRPr="00491892">
        <w:rPr>
          <w:rFonts w:ascii="Book Antiqua" w:hAnsi="Book Antiqua"/>
          <w:lang w:eastAsia="en-GB"/>
        </w:rPr>
        <w:t>he study is excellent but raises concerns.</w:t>
      </w:r>
    </w:p>
    <w:p w14:paraId="5405C93D" w14:textId="08434F20" w:rsidR="00C93D9D" w:rsidRPr="00491892" w:rsidRDefault="00C93D9D" w:rsidP="004918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 xml:space="preserve">The main limitation of the study is the study type (case report). SARS-CoV-2 vaccination cannot be held responsible for the two episodes of </w:t>
      </w:r>
      <w:proofErr w:type="spellStart"/>
      <w:r w:rsidRPr="00491892">
        <w:rPr>
          <w:rFonts w:ascii="Book Antiqua" w:hAnsi="Book Antiqua"/>
          <w:lang w:eastAsia="en-GB"/>
        </w:rPr>
        <w:t>asyndesis</w:t>
      </w:r>
      <w:proofErr w:type="spellEnd"/>
      <w:r w:rsidRPr="00491892">
        <w:rPr>
          <w:rFonts w:ascii="Book Antiqua" w:hAnsi="Book Antiqua"/>
          <w:lang w:eastAsia="en-GB"/>
        </w:rPr>
        <w:t>, dysphagia, and dyspnea from a single case. A case control or cross</w:t>
      </w:r>
      <w:r w:rsidR="0095636B">
        <w:rPr>
          <w:rFonts w:ascii="Book Antiqua" w:hAnsi="Book Antiqua"/>
          <w:lang w:eastAsia="en-GB"/>
        </w:rPr>
        <w:t>-</w:t>
      </w:r>
      <w:r w:rsidRPr="00491892">
        <w:rPr>
          <w:rFonts w:ascii="Book Antiqua" w:hAnsi="Book Antiqua"/>
          <w:lang w:eastAsia="en-GB"/>
        </w:rPr>
        <w:t>sectional study is warranted to confirm a causal relationship between vaccination and the acute neurological symptoms. Therefore, we disagree with the notion that “CMT1X can occur after SARS-CoV-2 vaccination” suggesting that the vaccination caused CMT1X, that SARS-CoV-2 vaccination is a predisposing factor for CMT1X, and that there are predisposing factors for CMT1X, such as fever, high-altitude travel, or excessive physical activity</w:t>
      </w:r>
      <w:r w:rsidRPr="007D16BB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>. CMT1X is a genetic disorder and not an infectious or immunological disease. There is no causal relation between SARS-CoV-2 and CMT1X. However, infectious or immunological disease may occasionally modify the phenotype of CMT1X.</w:t>
      </w:r>
    </w:p>
    <w:p w14:paraId="7D060099" w14:textId="24E538D8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We disagree with the use of the term “stroke-like episode” (SLE)</w:t>
      </w:r>
      <w:r w:rsidRPr="00A47012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>. SLE is a phenomenon predominantly occurring in primary mitochondrial disorders, particularly in mitochondrial encephalopathy, lactic acidosis, and stroke-like episode syndrome, for which SLEs are pathognomonic</w:t>
      </w:r>
      <w:r w:rsidRPr="00BC0EEB">
        <w:rPr>
          <w:rFonts w:ascii="Book Antiqua" w:hAnsi="Book Antiqua"/>
          <w:vertAlign w:val="superscript"/>
          <w:lang w:eastAsia="en-GB"/>
        </w:rPr>
        <w:t>[2]</w:t>
      </w:r>
      <w:r w:rsidRPr="00491892">
        <w:rPr>
          <w:rFonts w:ascii="Book Antiqua" w:hAnsi="Book Antiqua"/>
          <w:lang w:eastAsia="en-GB"/>
        </w:rPr>
        <w:t xml:space="preserve">. SLEs are the clinical correlate of a stroke-like lesion </w:t>
      </w:r>
      <w:r w:rsidRPr="00491892">
        <w:rPr>
          <w:rFonts w:ascii="Book Antiqua" w:hAnsi="Book Antiqua"/>
          <w:lang w:eastAsia="en-GB"/>
        </w:rPr>
        <w:lastRenderedPageBreak/>
        <w:t>(SLL), which are transient, dynamic cerebral lesion</w:t>
      </w:r>
      <w:r w:rsidR="0095636B">
        <w:rPr>
          <w:rFonts w:ascii="Book Antiqua" w:hAnsi="Book Antiqua"/>
          <w:lang w:eastAsia="en-GB"/>
        </w:rPr>
        <w:t>s</w:t>
      </w:r>
      <w:r w:rsidRPr="00491892">
        <w:rPr>
          <w:rFonts w:ascii="Book Antiqua" w:hAnsi="Book Antiqua"/>
          <w:lang w:eastAsia="en-GB"/>
        </w:rPr>
        <w:t xml:space="preserve">, most commonly originating from the cortex, and not consistent with a vascular territory and have a characteristic pattern on imaging. </w:t>
      </w:r>
    </w:p>
    <w:p w14:paraId="6A51ECCF" w14:textId="04C9E2AD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 xml:space="preserve">We </w:t>
      </w:r>
      <w:r>
        <w:rPr>
          <w:rFonts w:ascii="Book Antiqua" w:hAnsi="Book Antiqua"/>
          <w:lang w:eastAsia="en-GB"/>
        </w:rPr>
        <w:t xml:space="preserve">also </w:t>
      </w:r>
      <w:r w:rsidRPr="00491892">
        <w:rPr>
          <w:rFonts w:ascii="Book Antiqua" w:hAnsi="Book Antiqua"/>
          <w:lang w:eastAsia="en-GB"/>
        </w:rPr>
        <w:t>disagree that the diffusion-weighted imaging (DWI) lesions shown in Figure 2</w:t>
      </w:r>
      <w:r w:rsidR="005E0E93">
        <w:rPr>
          <w:rFonts w:ascii="Book Antiqua" w:hAnsi="Book Antiqua"/>
          <w:lang w:eastAsia="en-GB"/>
        </w:rPr>
        <w:t xml:space="preserve"> (</w:t>
      </w:r>
      <w:r w:rsidR="00C063E4" w:rsidRPr="00C063E4">
        <w:rPr>
          <w:rFonts w:ascii="Book Antiqua" w:hAnsi="Book Antiqua"/>
          <w:lang w:eastAsia="en-GB"/>
        </w:rPr>
        <w:t>original</w:t>
      </w:r>
      <w:r w:rsidR="00C063E4">
        <w:rPr>
          <w:rFonts w:ascii="Book Antiqua" w:hAnsi="Book Antiqua"/>
          <w:lang w:eastAsia="en-GB"/>
        </w:rPr>
        <w:t xml:space="preserve"> </w:t>
      </w:r>
      <w:r w:rsidR="00C063E4" w:rsidRPr="00C063E4">
        <w:rPr>
          <w:rFonts w:ascii="Book Antiqua" w:hAnsi="Book Antiqua"/>
          <w:lang w:eastAsia="en-GB"/>
        </w:rPr>
        <w:t>article</w:t>
      </w:r>
      <w:r w:rsidR="005E0E93">
        <w:rPr>
          <w:rFonts w:ascii="Book Antiqua" w:hAnsi="Book Antiqua"/>
          <w:lang w:eastAsia="en-GB"/>
        </w:rPr>
        <w:t>)</w:t>
      </w:r>
      <w:r w:rsidRPr="00491892">
        <w:rPr>
          <w:rFonts w:ascii="Book Antiqua" w:hAnsi="Book Antiqua"/>
          <w:lang w:eastAsia="en-GB"/>
        </w:rPr>
        <w:t xml:space="preserve"> represent SLLs</w:t>
      </w:r>
      <w:r w:rsidRPr="00B434C5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>.</w:t>
      </w:r>
      <w:r w:rsidRPr="00491892">
        <w:rPr>
          <w:rFonts w:ascii="Book Antiqua" w:hAnsi="Book Antiqua"/>
        </w:rPr>
        <w:t xml:space="preserve"> SLL’s have typically a dynamic course with initial expansion of the lesion and regression after a nadir has been reached. SLL’s end up as white matter lesion, focal atrophy, cyst formation, laminar cortical necrosis, or toenail sign</w:t>
      </w:r>
      <w:r w:rsidRPr="00BA1534">
        <w:rPr>
          <w:rFonts w:ascii="Book Antiqua" w:hAnsi="Book Antiqua"/>
          <w:vertAlign w:val="superscript"/>
        </w:rPr>
        <w:t>[3]</w:t>
      </w:r>
      <w:r w:rsidRPr="00491892">
        <w:rPr>
          <w:rFonts w:ascii="Book Antiqua" w:hAnsi="Book Antiqua"/>
        </w:rPr>
        <w:t xml:space="preserve">. Occasionally, SLLs disappear without a residual lesion. SLLs can be identified and delineated from differential abnormalities by multimodal magnetic resonance imaging (MRI), magnetic resonance spectroscopy (MRS), magnetic resonance angiography </w:t>
      </w:r>
      <w:r w:rsidR="00380B09">
        <w:rPr>
          <w:rFonts w:ascii="Book Antiqua" w:hAnsi="Book Antiqua"/>
        </w:rPr>
        <w:t xml:space="preserve">(MRA) </w:t>
      </w:r>
      <w:r w:rsidRPr="00491892">
        <w:rPr>
          <w:rFonts w:ascii="Book Antiqua" w:hAnsi="Book Antiqua"/>
        </w:rPr>
        <w:t>and fluor-deoxy glucose-positron emission tomography (FDG-PET). On multimodal MRI, SLLs typically present as hyperintensity on T2, fluid-attenuated inversion recovery, DWI, and perfusion-weighted imaging</w:t>
      </w:r>
      <w:r w:rsidRPr="006E4DB1">
        <w:rPr>
          <w:rFonts w:ascii="Book Antiqua" w:hAnsi="Book Antiqua"/>
          <w:vertAlign w:val="superscript"/>
        </w:rPr>
        <w:t>[4]</w:t>
      </w:r>
      <w:r w:rsidRPr="00491892">
        <w:rPr>
          <w:rFonts w:ascii="Book Antiqua" w:hAnsi="Book Antiqua"/>
        </w:rPr>
        <w:t>. SLLs are hypointense on T1 and oxygen-extraction fraction MRI. MRS of SLLs typically shows a reduced N-acetyl aspartate peak and a lactate peak. MRA commonly shows dilation of arteries supplying the area of the SLL</w:t>
      </w:r>
      <w:r w:rsidRPr="00E03F57">
        <w:rPr>
          <w:rFonts w:ascii="Book Antiqua" w:hAnsi="Book Antiqua"/>
          <w:vertAlign w:val="superscript"/>
        </w:rPr>
        <w:t>[4]</w:t>
      </w:r>
      <w:r w:rsidRPr="00491892">
        <w:rPr>
          <w:rFonts w:ascii="Book Antiqua" w:hAnsi="Book Antiqua"/>
        </w:rPr>
        <w:t xml:space="preserve">. On FDG-PET, a SLL typically manifests with hypometabolism. </w:t>
      </w:r>
      <w:r w:rsidRPr="00491892">
        <w:rPr>
          <w:rFonts w:ascii="Book Antiqua" w:hAnsi="Book Antiqua"/>
          <w:lang w:eastAsia="en-GB"/>
        </w:rPr>
        <w:t>Another argument against a SLL pretended to be shown in Figure 2</w:t>
      </w:r>
      <w:r w:rsidR="00F05198">
        <w:rPr>
          <w:rFonts w:ascii="Book Antiqua" w:hAnsi="Book Antiqua" w:hint="eastAsia"/>
          <w:lang w:eastAsia="zh-CN"/>
        </w:rPr>
        <w:t>,</w:t>
      </w:r>
      <w:r w:rsidRPr="00491892">
        <w:rPr>
          <w:rFonts w:ascii="Book Antiqua" w:hAnsi="Book Antiqua"/>
          <w:lang w:eastAsia="en-GB"/>
        </w:rPr>
        <w:t xml:space="preserve"> is that the lesions were symmetric. SLLs are almost always </w:t>
      </w:r>
      <w:r w:rsidR="0095636B">
        <w:rPr>
          <w:rFonts w:ascii="Book Antiqua" w:hAnsi="Book Antiqua"/>
          <w:lang w:eastAsia="en-GB"/>
        </w:rPr>
        <w:t>non-</w:t>
      </w:r>
      <w:r w:rsidRPr="00491892">
        <w:rPr>
          <w:rFonts w:ascii="Book Antiqua" w:hAnsi="Book Antiqua"/>
          <w:lang w:eastAsia="en-GB"/>
        </w:rPr>
        <w:t xml:space="preserve">symmetrical. Another argument against SLLs is that these lesions did not show the typical dynamics of SLL. SLL usually expand until a nadir before they regress again and either completely disappear or remain </w:t>
      </w:r>
      <w:r w:rsidR="00380B09">
        <w:rPr>
          <w:rFonts w:ascii="Book Antiqua" w:hAnsi="Book Antiqua"/>
          <w:lang w:eastAsia="en-GB"/>
        </w:rPr>
        <w:t xml:space="preserve">in </w:t>
      </w:r>
      <w:r w:rsidRPr="00491892">
        <w:rPr>
          <w:rFonts w:ascii="Book Antiqua" w:hAnsi="Book Antiqua"/>
          <w:lang w:eastAsia="en-GB"/>
        </w:rPr>
        <w:t xml:space="preserve">a </w:t>
      </w:r>
      <w:proofErr w:type="spellStart"/>
      <w:r w:rsidRPr="00491892">
        <w:rPr>
          <w:rFonts w:ascii="Book Antiqua" w:hAnsi="Book Antiqua"/>
          <w:lang w:eastAsia="en-GB"/>
        </w:rPr>
        <w:t>lesional</w:t>
      </w:r>
      <w:proofErr w:type="spellEnd"/>
      <w:r w:rsidRPr="00491892">
        <w:rPr>
          <w:rFonts w:ascii="Book Antiqua" w:hAnsi="Book Antiqua"/>
          <w:lang w:eastAsia="en-GB"/>
        </w:rPr>
        <w:t xml:space="preserve"> stage</w:t>
      </w:r>
      <w:r w:rsidRPr="00E33E76">
        <w:rPr>
          <w:rFonts w:ascii="Book Antiqua" w:hAnsi="Book Antiqua"/>
          <w:vertAlign w:val="superscript"/>
          <w:lang w:eastAsia="en-GB"/>
        </w:rPr>
        <w:t>[4]</w:t>
      </w:r>
      <w:r w:rsidRPr="00491892">
        <w:rPr>
          <w:rFonts w:ascii="Book Antiqua" w:hAnsi="Book Antiqua"/>
          <w:lang w:eastAsia="en-GB"/>
        </w:rPr>
        <w:t>. Another argument against SLLs is that they usually are associated with seizures or epileptiform discharges on</w:t>
      </w:r>
      <w:r w:rsidR="00380B09" w:rsidRPr="00380B09">
        <w:rPr>
          <w:rFonts w:ascii="Book Antiqua" w:hAnsi="Book Antiqua"/>
          <w:lang w:eastAsia="en-GB"/>
        </w:rPr>
        <w:t xml:space="preserve"> </w:t>
      </w:r>
      <w:r w:rsidR="00380B09" w:rsidRPr="004B30C0">
        <w:rPr>
          <w:rFonts w:ascii="Book Antiqua" w:hAnsi="Book Antiqua"/>
          <w:lang w:eastAsia="en-GB"/>
        </w:rPr>
        <w:t>electroencephalogra</w:t>
      </w:r>
      <w:r w:rsidR="00380B09">
        <w:rPr>
          <w:rFonts w:ascii="Book Antiqua" w:hAnsi="Book Antiqua"/>
          <w:lang w:eastAsia="en-GB"/>
        </w:rPr>
        <w:t>phy (E</w:t>
      </w:r>
      <w:r w:rsidRPr="00491892">
        <w:rPr>
          <w:rFonts w:ascii="Book Antiqua" w:hAnsi="Book Antiqua"/>
          <w:lang w:eastAsia="en-GB"/>
        </w:rPr>
        <w:t>EG</w:t>
      </w:r>
      <w:r w:rsidR="00380B09">
        <w:rPr>
          <w:rFonts w:ascii="Book Antiqua" w:hAnsi="Book Antiqua"/>
          <w:lang w:eastAsia="en-GB"/>
        </w:rPr>
        <w:t>)</w:t>
      </w:r>
      <w:r w:rsidRPr="00491892">
        <w:rPr>
          <w:rFonts w:ascii="Book Antiqua" w:hAnsi="Book Antiqua"/>
          <w:lang w:eastAsia="en-GB"/>
        </w:rPr>
        <w:t xml:space="preserve"> but the patient’s individual history was negative for seizures. Lesions shown in Figure 2 do not meet these criteria. Therefore, they cannot be classified as SLLs and thus the clinical correlate cannot be a SLE.</w:t>
      </w:r>
    </w:p>
    <w:p w14:paraId="63F6AB85" w14:textId="404E9596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A limitation of the study is that no EEG was recorded. SLLs are commonly associated with seizures or even triggered by seizures</w:t>
      </w:r>
      <w:r w:rsidRPr="00E33E76">
        <w:rPr>
          <w:rFonts w:ascii="Book Antiqua" w:hAnsi="Book Antiqua"/>
          <w:vertAlign w:val="superscript"/>
          <w:lang w:eastAsia="en-GB"/>
        </w:rPr>
        <w:t>[5]</w:t>
      </w:r>
      <w:r w:rsidRPr="00491892">
        <w:rPr>
          <w:rFonts w:ascii="Book Antiqua" w:hAnsi="Book Antiqua"/>
          <w:lang w:eastAsia="en-GB"/>
        </w:rPr>
        <w:t xml:space="preserve">. Furthermore, the episodic nature of the clinical manifestations aphasia and dysphagia suggest seizure activity. In </w:t>
      </w:r>
      <w:r w:rsidRPr="00491892">
        <w:rPr>
          <w:rFonts w:ascii="Book Antiqua" w:hAnsi="Book Antiqua"/>
          <w:lang w:eastAsia="en-GB"/>
        </w:rPr>
        <w:lastRenderedPageBreak/>
        <w:t>addition, the transient DWI hyperintensities could be also triggered by seizures. Therefore, it is mandatory to search the history for seizures and to record an EEG.</w:t>
      </w:r>
    </w:p>
    <w:p w14:paraId="091F03DB" w14:textId="1D0FE163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An argument against a causal relation between SARS-CoV-2 vaccination and the cerebral lesions is the long latency of 37 days between vaccination and the MRI. Several other causes should have been ruled out. An argument for a causal relation is that DWI hyperintensities of the corpus callosum have been previously reported as side effects of SARS-CoV-2 vaccinations</w:t>
      </w:r>
      <w:r w:rsidRPr="007A3AC8">
        <w:rPr>
          <w:rFonts w:ascii="Book Antiqua" w:hAnsi="Book Antiqua"/>
          <w:vertAlign w:val="superscript"/>
          <w:lang w:eastAsia="en-GB"/>
        </w:rPr>
        <w:t>[6]</w:t>
      </w:r>
      <w:r w:rsidRPr="00491892">
        <w:rPr>
          <w:rFonts w:ascii="Book Antiqua" w:hAnsi="Book Antiqua"/>
          <w:lang w:eastAsia="en-GB"/>
        </w:rPr>
        <w:t>.</w:t>
      </w:r>
    </w:p>
    <w:p w14:paraId="05E3A9AD" w14:textId="77777777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Because the index patient was diagnosed with a genetic disorder, it is mandatory to investigate all clinically affected and unaffected first-degree relatives for the causative variant. Family screening for the culprit variant is essential for assessing the progression and outcome of the disease and for genetic counselling.</w:t>
      </w:r>
    </w:p>
    <w:p w14:paraId="09F0FF68" w14:textId="54FF0875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 xml:space="preserve">It is not comprehensible why the previous history was not positive for pes </w:t>
      </w:r>
      <w:proofErr w:type="spellStart"/>
      <w:r w:rsidRPr="00491892">
        <w:rPr>
          <w:rFonts w:ascii="Book Antiqua" w:hAnsi="Book Antiqua"/>
          <w:lang w:eastAsia="en-GB"/>
        </w:rPr>
        <w:t>cavus</w:t>
      </w:r>
      <w:proofErr w:type="spellEnd"/>
      <w:r w:rsidRPr="00491892">
        <w:rPr>
          <w:rFonts w:ascii="Book Antiqua" w:hAnsi="Book Antiqua"/>
          <w:lang w:eastAsia="en-GB"/>
        </w:rPr>
        <w:t xml:space="preserve">. Because pes </w:t>
      </w:r>
      <w:proofErr w:type="spellStart"/>
      <w:r w:rsidRPr="00491892">
        <w:rPr>
          <w:rFonts w:ascii="Book Antiqua" w:hAnsi="Book Antiqua"/>
          <w:lang w:eastAsia="en-GB"/>
        </w:rPr>
        <w:t>cavus</w:t>
      </w:r>
      <w:proofErr w:type="spellEnd"/>
      <w:r w:rsidRPr="00491892">
        <w:rPr>
          <w:rFonts w:ascii="Book Antiqua" w:hAnsi="Book Antiqua"/>
          <w:lang w:eastAsia="en-GB"/>
        </w:rPr>
        <w:t xml:space="preserve"> was described on the clinical neurologic exam, the patient should have noticed it already by himself. We should also know whether the patient </w:t>
      </w:r>
      <w:proofErr w:type="spellStart"/>
      <w:r w:rsidRPr="00491892">
        <w:rPr>
          <w:rFonts w:ascii="Book Antiqua" w:hAnsi="Book Antiqua"/>
          <w:lang w:eastAsia="en-GB"/>
        </w:rPr>
        <w:t>recognised</w:t>
      </w:r>
      <w:proofErr w:type="spellEnd"/>
      <w:r w:rsidRPr="00491892">
        <w:rPr>
          <w:rFonts w:ascii="Book Antiqua" w:hAnsi="Book Antiqua"/>
          <w:lang w:eastAsia="en-GB"/>
        </w:rPr>
        <w:t xml:space="preserve"> any phenotypic manifestations of hereditary neuropathy? Did he complain about </w:t>
      </w:r>
      <w:proofErr w:type="spellStart"/>
      <w:r w:rsidRPr="00491892">
        <w:rPr>
          <w:rFonts w:ascii="Book Antiqua" w:hAnsi="Book Antiqua"/>
          <w:lang w:eastAsia="en-GB"/>
        </w:rPr>
        <w:t>paresthesias</w:t>
      </w:r>
      <w:proofErr w:type="spellEnd"/>
      <w:r w:rsidRPr="00491892">
        <w:rPr>
          <w:rFonts w:ascii="Book Antiqua" w:hAnsi="Book Antiqua"/>
          <w:lang w:eastAsia="en-GB"/>
        </w:rPr>
        <w:t xml:space="preserve">, dysesthesias, allodynia, numbness, </w:t>
      </w:r>
      <w:r w:rsidR="00380B09">
        <w:rPr>
          <w:rFonts w:ascii="Book Antiqua" w:hAnsi="Book Antiqua"/>
          <w:lang w:eastAsia="en-GB"/>
        </w:rPr>
        <w:t xml:space="preserve">liability to pressure palsies, </w:t>
      </w:r>
      <w:r w:rsidRPr="00491892">
        <w:rPr>
          <w:rFonts w:ascii="Book Antiqua" w:hAnsi="Book Antiqua"/>
          <w:lang w:eastAsia="en-GB"/>
        </w:rPr>
        <w:t>or pain insensitivity? Surprisingly, clinical exam did not reveal aphasia</w:t>
      </w:r>
      <w:r w:rsidRPr="003F3B26">
        <w:rPr>
          <w:rFonts w:ascii="Book Antiqua" w:hAnsi="Book Antiqua"/>
          <w:vertAlign w:val="superscript"/>
          <w:lang w:eastAsia="en-GB"/>
        </w:rPr>
        <w:t>[1]</w:t>
      </w:r>
      <w:r w:rsidRPr="00491892">
        <w:rPr>
          <w:rFonts w:ascii="Book Antiqua" w:hAnsi="Book Antiqua"/>
          <w:lang w:eastAsia="en-GB"/>
        </w:rPr>
        <w:t>. We should know why?</w:t>
      </w:r>
    </w:p>
    <w:p w14:paraId="7D82FD0A" w14:textId="56DF4779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It is not comprehensible why the index patient received steroids and intravenous immunoglobulins simultaneously. A possible therapeutic effect cannot be attributed to either of the two if they are given in common.</w:t>
      </w:r>
    </w:p>
    <w:p w14:paraId="253254AE" w14:textId="63824C1B" w:rsidR="00C93D9D" w:rsidRPr="00491892" w:rsidRDefault="00C93D9D" w:rsidP="00491892">
      <w:pPr>
        <w:spacing w:line="360" w:lineRule="auto"/>
        <w:jc w:val="both"/>
        <w:rPr>
          <w:rFonts w:ascii="Book Antiqua" w:hAnsi="Book Antiqua"/>
          <w:lang w:eastAsia="en-GB"/>
        </w:rPr>
      </w:pPr>
      <w:r w:rsidRPr="00491892">
        <w:rPr>
          <w:rFonts w:ascii="Book Antiqua" w:hAnsi="Book Antiqua"/>
          <w:lang w:eastAsia="en-GB"/>
        </w:rPr>
        <w:t>Because the cerebral lesions do not explain the bulbar symptoms, CMT1X should be considered as causative.</w:t>
      </w:r>
    </w:p>
    <w:p w14:paraId="16E76E5B" w14:textId="717FC4D2" w:rsidR="00C93D9D" w:rsidRPr="00491892" w:rsidRDefault="00C93D9D" w:rsidP="00491892">
      <w:pPr>
        <w:spacing w:line="360" w:lineRule="auto"/>
        <w:ind w:firstLine="708"/>
        <w:jc w:val="both"/>
        <w:rPr>
          <w:rFonts w:ascii="Book Antiqua" w:hAnsi="Book Antiqua"/>
          <w:color w:val="000000"/>
          <w:lang w:eastAsia="en-GB"/>
        </w:rPr>
      </w:pPr>
      <w:r w:rsidRPr="00491892">
        <w:rPr>
          <w:rFonts w:ascii="Book Antiqua" w:hAnsi="Book Antiqua"/>
        </w:rPr>
        <w:t xml:space="preserve">Overall, the interesting study has limitations that call the results and their interpretation into question. Clarifying these weaknesses would strengthen the conclusions and could improve the study. </w:t>
      </w:r>
      <w:r w:rsidRPr="00491892">
        <w:rPr>
          <w:rFonts w:ascii="Book Antiqua" w:hAnsi="Book Antiqua"/>
          <w:color w:val="000000"/>
          <w:lang w:eastAsia="en-GB"/>
        </w:rPr>
        <w:t>Symmetric DWI hyperintensities in CMT1X patients after SARS-CoV-2 vaccination should not be classified as SLLs.</w:t>
      </w:r>
    </w:p>
    <w:p w14:paraId="68BF2D6F" w14:textId="77777777" w:rsidR="00A77B3E" w:rsidRPr="00491892" w:rsidRDefault="00A77B3E" w:rsidP="00C93D9D">
      <w:pPr>
        <w:spacing w:line="360" w:lineRule="auto"/>
        <w:jc w:val="both"/>
        <w:rPr>
          <w:rFonts w:ascii="Book Antiqua" w:hAnsi="Book Antiqua"/>
        </w:rPr>
      </w:pPr>
    </w:p>
    <w:p w14:paraId="093EED4B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E221449" w14:textId="137A17D9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 xml:space="preserve">1 </w:t>
      </w:r>
      <w:r>
        <w:rPr>
          <w:rFonts w:ascii="Book Antiqua" w:eastAsia="Book Antiqua" w:hAnsi="Book Antiqua" w:cs="Book Antiqua"/>
          <w:b/>
          <w:bCs/>
        </w:rPr>
        <w:t>Zhang Q</w:t>
      </w:r>
      <w:r>
        <w:rPr>
          <w:rFonts w:ascii="Book Antiqua" w:eastAsia="Book Antiqua" w:hAnsi="Book Antiqua" w:cs="Book Antiqua"/>
        </w:rPr>
        <w:t xml:space="preserve">, Wang Y, Bai RT, Lian BR, Zhang Y, Cao LM. X-linked Charcot-Marie-Tooth disease after SARS-CoV-2 vaccination mimicked stroke-like episodes: A case report. </w:t>
      </w:r>
      <w:r>
        <w:rPr>
          <w:rFonts w:ascii="Book Antiqua" w:eastAsia="Book Antiqua" w:hAnsi="Book Antiqua" w:cs="Book Antiqua"/>
          <w:i/>
          <w:iCs/>
        </w:rPr>
        <w:t>World J Clin Cases</w:t>
      </w:r>
      <w:r>
        <w:rPr>
          <w:rFonts w:ascii="Book Antiqua" w:eastAsia="Book Antiqua" w:hAnsi="Book Antiqua" w:cs="Book Antiqua"/>
        </w:rPr>
        <w:t xml:space="preserve"> 2023;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 464-471 [PMID: 36686343 DOI: 10.12998/wjcc.v11.i2.464]</w:t>
      </w:r>
    </w:p>
    <w:p w14:paraId="0C711DA6" w14:textId="3DFDB6D0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 </w:t>
      </w:r>
      <w:r>
        <w:rPr>
          <w:rFonts w:ascii="Book Antiqua" w:eastAsia="Book Antiqua" w:hAnsi="Book Antiqua" w:cs="Book Antiqua"/>
          <w:b/>
          <w:bCs/>
        </w:rPr>
        <w:t>Finsterer J</w:t>
      </w:r>
      <w:r>
        <w:rPr>
          <w:rFonts w:ascii="Book Antiqua" w:eastAsia="Book Antiqua" w:hAnsi="Book Antiqua" w:cs="Book Antiqua"/>
        </w:rPr>
        <w:t xml:space="preserve">. Mitochondrial metabolic </w:t>
      </w:r>
      <w:proofErr w:type="gramStart"/>
      <w:r>
        <w:rPr>
          <w:rFonts w:ascii="Book Antiqua" w:eastAsia="Book Antiqua" w:hAnsi="Book Antiqua" w:cs="Book Antiqua"/>
        </w:rPr>
        <w:t>stroke</w:t>
      </w:r>
      <w:proofErr w:type="gramEnd"/>
      <w:r>
        <w:rPr>
          <w:rFonts w:ascii="Book Antiqua" w:eastAsia="Book Antiqua" w:hAnsi="Book Antiqua" w:cs="Book Antiqua"/>
        </w:rPr>
        <w:t xml:space="preserve">: Phenotype and genetics of stroke-like episodes. </w:t>
      </w:r>
      <w:r>
        <w:rPr>
          <w:rFonts w:ascii="Book Antiqua" w:eastAsia="Book Antiqua" w:hAnsi="Book Antiqua" w:cs="Book Antiqua"/>
          <w:i/>
          <w:iCs/>
        </w:rPr>
        <w:t>J Neurol Sci</w:t>
      </w:r>
      <w:r>
        <w:rPr>
          <w:rFonts w:ascii="Book Antiqua" w:eastAsia="Book Antiqua" w:hAnsi="Book Antiqua" w:cs="Book Antiqua"/>
        </w:rPr>
        <w:t xml:space="preserve"> 2019; </w:t>
      </w:r>
      <w:r>
        <w:rPr>
          <w:rFonts w:ascii="Book Antiqua" w:eastAsia="Book Antiqua" w:hAnsi="Book Antiqua" w:cs="Book Antiqua"/>
          <w:b/>
          <w:bCs/>
        </w:rPr>
        <w:t>400</w:t>
      </w:r>
      <w:r>
        <w:rPr>
          <w:rFonts w:ascii="Book Antiqua" w:eastAsia="Book Antiqua" w:hAnsi="Book Antiqua" w:cs="Book Antiqua"/>
        </w:rPr>
        <w:t>: 135-141 [PMID: 30946993 DOI: 10.1016/j.jns.2019.03.021]</w:t>
      </w:r>
    </w:p>
    <w:p w14:paraId="6A8B16B5" w14:textId="2668D040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 </w:t>
      </w:r>
      <w:r>
        <w:rPr>
          <w:rFonts w:ascii="Book Antiqua" w:eastAsia="Book Antiqua" w:hAnsi="Book Antiqua" w:cs="Book Antiqua"/>
          <w:b/>
          <w:bCs/>
        </w:rPr>
        <w:t>Finsterer J</w:t>
      </w:r>
      <w:r>
        <w:rPr>
          <w:rFonts w:ascii="Book Antiqua" w:eastAsia="Book Antiqua" w:hAnsi="Book Antiqua" w:cs="Book Antiqua"/>
        </w:rPr>
        <w:t xml:space="preserve">, Aliyev R. Metabolic stroke or stroke-like lesion: Peculiarities of a phenomenon. </w:t>
      </w:r>
      <w:r>
        <w:rPr>
          <w:rFonts w:ascii="Book Antiqua" w:eastAsia="Book Antiqua" w:hAnsi="Book Antiqua" w:cs="Book Antiqua"/>
          <w:i/>
          <w:iCs/>
        </w:rPr>
        <w:t>J Neurol Sci</w:t>
      </w:r>
      <w:r>
        <w:rPr>
          <w:rFonts w:ascii="Book Antiqua" w:eastAsia="Book Antiqua" w:hAnsi="Book Antiqua" w:cs="Book Antiqua"/>
        </w:rPr>
        <w:t xml:space="preserve"> 2020; </w:t>
      </w:r>
      <w:r>
        <w:rPr>
          <w:rFonts w:ascii="Book Antiqua" w:eastAsia="Book Antiqua" w:hAnsi="Book Antiqua" w:cs="Book Antiqua"/>
          <w:b/>
          <w:bCs/>
        </w:rPr>
        <w:t>412</w:t>
      </w:r>
      <w:r>
        <w:rPr>
          <w:rFonts w:ascii="Book Antiqua" w:eastAsia="Book Antiqua" w:hAnsi="Book Antiqua" w:cs="Book Antiqua"/>
        </w:rPr>
        <w:t>: 116726 [PMID: 32088469 DOI: 10.1016/j.jns.2020.116726]</w:t>
      </w:r>
    </w:p>
    <w:p w14:paraId="74F320CD" w14:textId="7BCBDE0D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4 </w:t>
      </w:r>
      <w:r>
        <w:rPr>
          <w:rFonts w:ascii="Book Antiqua" w:eastAsia="Book Antiqua" w:hAnsi="Book Antiqua" w:cs="Book Antiqua"/>
          <w:b/>
          <w:bCs/>
        </w:rPr>
        <w:t>Finsterer J</w:t>
      </w:r>
      <w:r>
        <w:rPr>
          <w:rFonts w:ascii="Book Antiqua" w:eastAsia="Book Antiqua" w:hAnsi="Book Antiqua" w:cs="Book Antiqua"/>
        </w:rPr>
        <w:t xml:space="preserve">. Characteristics of stroke-like lesions on cerebral imaging. </w:t>
      </w:r>
      <w:proofErr w:type="spellStart"/>
      <w:r>
        <w:rPr>
          <w:rFonts w:ascii="Book Antiqua" w:eastAsia="Book Antiqua" w:hAnsi="Book Antiqua" w:cs="Book Antiqua"/>
          <w:i/>
          <w:iCs/>
        </w:rPr>
        <w:t>Ideggyogy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Sz</w:t>
      </w:r>
      <w:proofErr w:type="spellEnd"/>
      <w:r>
        <w:rPr>
          <w:rFonts w:ascii="Book Antiqua" w:eastAsia="Book Antiqua" w:hAnsi="Book Antiqua" w:cs="Book Antiqua"/>
        </w:rPr>
        <w:t xml:space="preserve"> 2023;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 5-10 [PMID: 36892301</w:t>
      </w:r>
      <w:r w:rsidR="00A64E11">
        <w:rPr>
          <w:rFonts w:ascii="Book Antiqua" w:eastAsia="Book Antiqua" w:hAnsi="Book Antiqua" w:cs="Book Antiqua"/>
        </w:rPr>
        <w:t xml:space="preserve"> </w:t>
      </w:r>
      <w:r w:rsidR="00A64E11" w:rsidRPr="00A64E11">
        <w:rPr>
          <w:rFonts w:ascii="Book Antiqua" w:eastAsia="Book Antiqua" w:hAnsi="Book Antiqua" w:cs="Book Antiqua"/>
        </w:rPr>
        <w:t>DOI:</w:t>
      </w:r>
      <w:r w:rsidR="00A64E11">
        <w:rPr>
          <w:rFonts w:ascii="Book Antiqua" w:eastAsia="Book Antiqua" w:hAnsi="Book Antiqua" w:cs="Book Antiqua"/>
        </w:rPr>
        <w:t xml:space="preserve"> </w:t>
      </w:r>
      <w:r w:rsidR="00A64E11" w:rsidRPr="00A64E11">
        <w:rPr>
          <w:rFonts w:ascii="Book Antiqua" w:eastAsia="Book Antiqua" w:hAnsi="Book Antiqua" w:cs="Book Antiqua"/>
        </w:rPr>
        <w:t>10.18071/isz.76.0005</w:t>
      </w:r>
      <w:r>
        <w:rPr>
          <w:rFonts w:ascii="Book Antiqua" w:eastAsia="Book Antiqua" w:hAnsi="Book Antiqua" w:cs="Book Antiqua"/>
        </w:rPr>
        <w:t>]</w:t>
      </w:r>
    </w:p>
    <w:p w14:paraId="2E3E4CC3" w14:textId="7435352C" w:rsidR="00A77B3E" w:rsidRPr="00C336C1" w:rsidRDefault="00D91653">
      <w:pPr>
        <w:spacing w:line="360" w:lineRule="auto"/>
        <w:jc w:val="both"/>
      </w:pPr>
      <w:r w:rsidRPr="00C336C1">
        <w:rPr>
          <w:rFonts w:ascii="Book Antiqua" w:eastAsia="Book Antiqua" w:hAnsi="Book Antiqua" w:cs="Book Antiqua"/>
        </w:rPr>
        <w:t xml:space="preserve">5 </w:t>
      </w:r>
      <w:r w:rsidRPr="00C336C1">
        <w:rPr>
          <w:rFonts w:ascii="Book Antiqua" w:eastAsia="Book Antiqua" w:hAnsi="Book Antiqua" w:cs="Book Antiqua"/>
          <w:b/>
          <w:bCs/>
        </w:rPr>
        <w:t>Li J</w:t>
      </w:r>
      <w:r w:rsidRPr="00C336C1">
        <w:rPr>
          <w:rFonts w:ascii="Book Antiqua" w:eastAsia="Book Antiqua" w:hAnsi="Book Antiqua" w:cs="Book Antiqua"/>
        </w:rPr>
        <w:t xml:space="preserve">, Zhang W, Cui Z, Li Z, Jiang T, Meng H. Epilepsy Associated With Mitochondrial </w:t>
      </w:r>
      <w:proofErr w:type="spellStart"/>
      <w:r w:rsidRPr="00C336C1">
        <w:rPr>
          <w:rFonts w:ascii="Book Antiqua" w:eastAsia="Book Antiqua" w:hAnsi="Book Antiqua" w:cs="Book Antiqua"/>
        </w:rPr>
        <w:t>Encephalomyopathy</w:t>
      </w:r>
      <w:proofErr w:type="spellEnd"/>
      <w:r w:rsidRPr="00C336C1">
        <w:rPr>
          <w:rFonts w:ascii="Book Antiqua" w:eastAsia="Book Antiqua" w:hAnsi="Book Antiqua" w:cs="Book Antiqua"/>
        </w:rPr>
        <w:t xml:space="preserve">, Lactic Acidosis, and Stroke-Like Episodes. </w:t>
      </w:r>
      <w:r w:rsidRPr="00C336C1">
        <w:rPr>
          <w:rFonts w:ascii="Book Antiqua" w:eastAsia="Book Antiqua" w:hAnsi="Book Antiqua" w:cs="Book Antiqua"/>
          <w:i/>
          <w:iCs/>
        </w:rPr>
        <w:t>Front Neurol</w:t>
      </w:r>
      <w:r w:rsidRPr="00C336C1">
        <w:rPr>
          <w:rFonts w:ascii="Book Antiqua" w:eastAsia="Book Antiqua" w:hAnsi="Book Antiqua" w:cs="Book Antiqua"/>
        </w:rPr>
        <w:t xml:space="preserve"> 2021; </w:t>
      </w:r>
      <w:r w:rsidRPr="00C336C1">
        <w:rPr>
          <w:rFonts w:ascii="Book Antiqua" w:eastAsia="Book Antiqua" w:hAnsi="Book Antiqua" w:cs="Book Antiqua"/>
          <w:b/>
          <w:bCs/>
        </w:rPr>
        <w:t>12</w:t>
      </w:r>
      <w:r w:rsidRPr="00C336C1">
        <w:rPr>
          <w:rFonts w:ascii="Book Antiqua" w:eastAsia="Book Antiqua" w:hAnsi="Book Antiqua" w:cs="Book Antiqua"/>
        </w:rPr>
        <w:t xml:space="preserve">: 675816 [PMID: 34177782 </w:t>
      </w:r>
      <w:r w:rsidR="00536B31" w:rsidRPr="00C336C1">
        <w:rPr>
          <w:rFonts w:ascii="Book Antiqua" w:eastAsia="Book Antiqua" w:hAnsi="Book Antiqua" w:cs="Book Antiqua"/>
        </w:rPr>
        <w:t>DOI:</w:t>
      </w:r>
      <w:r w:rsidR="00615354" w:rsidRPr="00C336C1">
        <w:rPr>
          <w:rFonts w:ascii="Book Antiqua" w:eastAsia="Book Antiqua" w:hAnsi="Book Antiqua" w:cs="Book Antiqua"/>
        </w:rPr>
        <w:t xml:space="preserve"> </w:t>
      </w:r>
      <w:r w:rsidR="00536B31" w:rsidRPr="00C336C1">
        <w:rPr>
          <w:rFonts w:ascii="Book Antiqua" w:eastAsia="Book Antiqua" w:hAnsi="Book Antiqua" w:cs="Book Antiqua"/>
        </w:rPr>
        <w:t>10.3389/fneur.2021.675816</w:t>
      </w:r>
      <w:r w:rsidRPr="00C336C1">
        <w:rPr>
          <w:rFonts w:ascii="Book Antiqua" w:eastAsia="Book Antiqua" w:hAnsi="Book Antiqua" w:cs="Book Antiqua"/>
        </w:rPr>
        <w:t>]</w:t>
      </w:r>
    </w:p>
    <w:p w14:paraId="03F8E5B4" w14:textId="4A7A90E7" w:rsidR="00304E67" w:rsidRDefault="00D91653">
      <w:pPr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  <w:r w:rsidRPr="00C336C1">
        <w:rPr>
          <w:rFonts w:ascii="Book Antiqua" w:eastAsia="Book Antiqua" w:hAnsi="Book Antiqua" w:cs="Book Antiqua"/>
        </w:rPr>
        <w:t xml:space="preserve">6 </w:t>
      </w:r>
      <w:r w:rsidR="00014506" w:rsidRPr="00014506">
        <w:rPr>
          <w:rFonts w:ascii="Book Antiqua" w:hAnsi="Book Antiqua" w:cs="Segoe UI"/>
          <w:b/>
          <w:bCs/>
          <w:color w:val="212121"/>
          <w:shd w:val="clear" w:color="auto" w:fill="FFFFFF"/>
        </w:rPr>
        <w:t>Ohara H</w:t>
      </w:r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, Shimizu H, </w:t>
      </w:r>
      <w:proofErr w:type="spellStart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>Kasamatsu</w:t>
      </w:r>
      <w:proofErr w:type="spellEnd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 T, </w:t>
      </w:r>
      <w:proofErr w:type="spellStart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>Kajita</w:t>
      </w:r>
      <w:proofErr w:type="spellEnd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 A, Uno K, Lai KW, </w:t>
      </w:r>
      <w:proofErr w:type="spellStart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>Vellingiri</w:t>
      </w:r>
      <w:proofErr w:type="spellEnd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 B, </w:t>
      </w:r>
      <w:proofErr w:type="spellStart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>Sugie</w:t>
      </w:r>
      <w:proofErr w:type="spellEnd"/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 K, Kinoshita M. Cytotoxic lesions of the corpus callosum after COVID-19 vaccination. </w:t>
      </w:r>
      <w:r w:rsidR="00014506" w:rsidRPr="00014506">
        <w:rPr>
          <w:rFonts w:ascii="Book Antiqua" w:hAnsi="Book Antiqua" w:cs="Segoe UI"/>
          <w:i/>
          <w:iCs/>
          <w:color w:val="212121"/>
          <w:shd w:val="clear" w:color="auto" w:fill="FFFFFF"/>
        </w:rPr>
        <w:t>Neuroradiology</w:t>
      </w:r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 xml:space="preserve"> 2022; </w:t>
      </w:r>
      <w:r w:rsidR="00014506" w:rsidRPr="00014506">
        <w:rPr>
          <w:rFonts w:ascii="Book Antiqua" w:hAnsi="Book Antiqua" w:cs="Segoe UI"/>
          <w:b/>
          <w:bCs/>
          <w:color w:val="212121"/>
          <w:shd w:val="clear" w:color="auto" w:fill="FFFFFF"/>
        </w:rPr>
        <w:t>64</w:t>
      </w:r>
      <w:r w:rsidR="00014506" w:rsidRPr="00014506">
        <w:rPr>
          <w:rFonts w:ascii="Book Antiqua" w:hAnsi="Book Antiqua" w:cs="Segoe UI"/>
          <w:color w:val="212121"/>
          <w:shd w:val="clear" w:color="auto" w:fill="FFFFFF"/>
        </w:rPr>
        <w:t>: 2085-2089 [PMID: 35809100 DOI: 10.1007/s00234-022-03010-y]</w:t>
      </w:r>
    </w:p>
    <w:p w14:paraId="5E7E1AA6" w14:textId="77777777" w:rsidR="00A64E11" w:rsidRDefault="00A64E11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18DD4EBE" w14:textId="062898E4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D228B43" w14:textId="65A2F78E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="00973318" w:rsidRPr="00973318">
        <w:rPr>
          <w:rFonts w:ascii="Book Antiqua" w:eastAsia="Book Antiqua" w:hAnsi="Book Antiqua" w:cs="Book Antiqua"/>
        </w:rPr>
        <w:t>There are no conflicts of interest to report.</w:t>
      </w:r>
    </w:p>
    <w:p w14:paraId="31458B0B" w14:textId="77777777" w:rsidR="00A77B3E" w:rsidRDefault="00A77B3E">
      <w:pPr>
        <w:spacing w:line="360" w:lineRule="auto"/>
        <w:jc w:val="both"/>
      </w:pPr>
    </w:p>
    <w:p w14:paraId="53F3E8A8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 xml:space="preserve">Open-Access: </w:t>
      </w:r>
      <w:r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F314FB2" w14:textId="77777777" w:rsidR="00A77B3E" w:rsidRDefault="00A77B3E">
      <w:pPr>
        <w:spacing w:line="360" w:lineRule="auto"/>
        <w:jc w:val="both"/>
      </w:pPr>
    </w:p>
    <w:p w14:paraId="31CB3143" w14:textId="77777777" w:rsidR="00A77B3E" w:rsidRDefault="00D9165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</w:rPr>
        <w:t>Unsolicited article; Externally peer reviewed.</w:t>
      </w:r>
    </w:p>
    <w:p w14:paraId="227B5265" w14:textId="77777777" w:rsidR="00971FC8" w:rsidRPr="00971FC8" w:rsidRDefault="00971FC8">
      <w:pPr>
        <w:spacing w:line="360" w:lineRule="auto"/>
        <w:jc w:val="both"/>
        <w:rPr>
          <w:lang w:eastAsia="zh-CN"/>
        </w:rPr>
      </w:pPr>
    </w:p>
    <w:p w14:paraId="5B2DA9C2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</w:rPr>
        <w:t>Single blind</w:t>
      </w:r>
    </w:p>
    <w:p w14:paraId="01D67031" w14:textId="77777777" w:rsidR="00A77B3E" w:rsidRDefault="00A77B3E">
      <w:pPr>
        <w:spacing w:line="360" w:lineRule="auto"/>
        <w:jc w:val="both"/>
      </w:pPr>
    </w:p>
    <w:p w14:paraId="1A9AACD1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</w:rPr>
        <w:t>February 20, 2023</w:t>
      </w:r>
    </w:p>
    <w:p w14:paraId="3AE49D6D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</w:rPr>
        <w:t>March 14, 2023</w:t>
      </w:r>
    </w:p>
    <w:p w14:paraId="6F7844B9" w14:textId="0A443C3F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9C33D4" w:rsidRPr="00930223">
        <w:rPr>
          <w:rFonts w:ascii="Book Antiqua" w:eastAsia="Book Antiqua" w:hAnsi="Book Antiqua" w:cs="Book Antiqua"/>
        </w:rPr>
        <w:t>April 25, 2023</w:t>
      </w:r>
    </w:p>
    <w:p w14:paraId="73F15D26" w14:textId="77777777" w:rsidR="00A77B3E" w:rsidRDefault="00A77B3E">
      <w:pPr>
        <w:spacing w:line="360" w:lineRule="auto"/>
        <w:jc w:val="both"/>
      </w:pPr>
    </w:p>
    <w:p w14:paraId="0D8F6309" w14:textId="5CF4514C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0" w:name="_Hlk71726650"/>
      <w:bookmarkStart w:id="1" w:name="OLE_LINK1953"/>
      <w:bookmarkStart w:id="2" w:name="OLE_LINK1952"/>
      <w:bookmarkStart w:id="3" w:name="OLE_LINK2066"/>
      <w:r w:rsidR="00555515" w:rsidRPr="006513B3">
        <w:rPr>
          <w:rFonts w:ascii="Book Antiqua" w:eastAsia="微软雅黑" w:hAnsi="Book Antiqua" w:cs="宋体"/>
        </w:rPr>
        <w:t>Medicine, research and experimenta</w:t>
      </w:r>
      <w:bookmarkEnd w:id="0"/>
      <w:r w:rsidR="00555515" w:rsidRPr="006513B3">
        <w:rPr>
          <w:rFonts w:ascii="Book Antiqua" w:eastAsia="微软雅黑" w:hAnsi="Book Antiqua" w:cs="宋体"/>
        </w:rPr>
        <w:t>l</w:t>
      </w:r>
      <w:bookmarkEnd w:id="1"/>
      <w:bookmarkEnd w:id="2"/>
      <w:bookmarkEnd w:id="3"/>
    </w:p>
    <w:p w14:paraId="50D6F6DB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</w:rPr>
        <w:t>Austria</w:t>
      </w:r>
    </w:p>
    <w:p w14:paraId="61C91E4D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B9C5BA4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 A (Excellent): 0</w:t>
      </w:r>
    </w:p>
    <w:p w14:paraId="3874A375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 B (Very good): 0</w:t>
      </w:r>
    </w:p>
    <w:p w14:paraId="6DAF8329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 C (Good): C, C</w:t>
      </w:r>
    </w:p>
    <w:p w14:paraId="0147BCED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 D (Fair): 0</w:t>
      </w:r>
    </w:p>
    <w:p w14:paraId="38277B7B" w14:textId="77777777" w:rsidR="00A77B3E" w:rsidRDefault="00D9165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 E (Poor): 0</w:t>
      </w:r>
    </w:p>
    <w:p w14:paraId="5DB8FE0B" w14:textId="77777777" w:rsidR="00A77B3E" w:rsidRDefault="00A77B3E">
      <w:pPr>
        <w:spacing w:line="360" w:lineRule="auto"/>
        <w:jc w:val="both"/>
      </w:pPr>
    </w:p>
    <w:p w14:paraId="1CF6C191" w14:textId="53C24A78" w:rsidR="00A77B3E" w:rsidRDefault="00D9165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>
        <w:rPr>
          <w:rFonts w:ascii="Book Antiqua" w:eastAsia="Book Antiqua" w:hAnsi="Book Antiqua" w:cs="Book Antiqua"/>
        </w:rPr>
        <w:t>Ata F, Qatar; Wang MK, China</w:t>
      </w:r>
      <w:r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="00A20F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0F5E" w:rsidRPr="00A20F5E">
        <w:rPr>
          <w:rFonts w:ascii="Book Antiqua" w:eastAsia="Book Antiqua" w:hAnsi="Book Antiqua" w:cs="Book Antiqua"/>
          <w:bCs/>
          <w:color w:val="000000"/>
        </w:rPr>
        <w:t>Ma YJ</w:t>
      </w:r>
      <w:r w:rsidR="007E16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E16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0F5E" w:rsidRPr="00A20F5E">
        <w:rPr>
          <w:rFonts w:ascii="Book Antiqua" w:eastAsia="Book Antiqua" w:hAnsi="Book Antiqua" w:cs="Book Antiqua"/>
          <w:bCs/>
          <w:color w:val="000000"/>
        </w:rPr>
        <w:t>A</w:t>
      </w:r>
      <w:r w:rsidR="00A20F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550AAF" w:rsidRPr="00550AAF">
        <w:rPr>
          <w:rFonts w:ascii="Book Antiqua" w:hAnsi="Book Antiqua" w:cs="Book Antiqua" w:hint="eastAsia"/>
          <w:color w:val="000000"/>
          <w:lang w:eastAsia="zh-CN"/>
        </w:rPr>
        <w:t>Fan JR</w:t>
      </w:r>
    </w:p>
    <w:p w14:paraId="64251742" w14:textId="4A97E76B" w:rsidR="00017C0E" w:rsidRDefault="00017C0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095D37B" w14:textId="77777777" w:rsidR="00017C0E" w:rsidRDefault="00017C0E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4EDEFDD5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BCC0A6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378C33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0A6FF2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7574A6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08F14CB" wp14:editId="7C1D714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E70F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9513DF" w14:textId="77777777" w:rsidR="00017C0E" w:rsidRPr="006D4EDA" w:rsidRDefault="00017C0E" w:rsidP="00017C0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B2841BA" w14:textId="77777777" w:rsidR="00017C0E" w:rsidRPr="006D4EDA" w:rsidRDefault="00017C0E" w:rsidP="00017C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6E762E" w14:textId="77777777" w:rsidR="00017C0E" w:rsidRPr="006D4EDA" w:rsidRDefault="00017C0E" w:rsidP="00017C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2B894FB" w14:textId="77777777" w:rsidR="00017C0E" w:rsidRPr="006D4EDA" w:rsidRDefault="00017C0E" w:rsidP="00017C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384BF6" w14:textId="77777777" w:rsidR="00017C0E" w:rsidRPr="006D4EDA" w:rsidRDefault="00017C0E" w:rsidP="00017C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0C6C9A0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531CDE1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B3E08A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BA09FE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1E126A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090BB12" wp14:editId="1B654D3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4EBD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9A8786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4DD183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6B3A0C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9EC5B1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12B6EC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00483E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E02818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6F1C0D" w14:textId="77777777" w:rsidR="00017C0E" w:rsidRPr="006D4EDA" w:rsidRDefault="00017C0E" w:rsidP="00017C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93F7F7" w14:textId="77777777" w:rsidR="00017C0E" w:rsidRPr="006D4EDA" w:rsidRDefault="00017C0E" w:rsidP="00017C0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89C7F05" w14:textId="77777777" w:rsidR="00017C0E" w:rsidRPr="006D4EDA" w:rsidRDefault="00017C0E" w:rsidP="00017C0E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66C1B6CF" w14:textId="77777777" w:rsidR="00017C0E" w:rsidRPr="006D4EDA" w:rsidRDefault="00017C0E" w:rsidP="00017C0E">
      <w:pPr>
        <w:rPr>
          <w:rFonts w:ascii="Book Antiqua" w:hAnsi="Book Antiqua" w:cs="Book Antiqua"/>
          <w:b/>
          <w:bCs/>
          <w:color w:val="000000"/>
        </w:rPr>
      </w:pPr>
    </w:p>
    <w:p w14:paraId="0259D047" w14:textId="77777777" w:rsidR="00017C0E" w:rsidRPr="00017C0E" w:rsidRDefault="00017C0E">
      <w:pPr>
        <w:spacing w:line="360" w:lineRule="auto"/>
        <w:jc w:val="both"/>
        <w:rPr>
          <w:lang w:eastAsia="zh-CN"/>
        </w:rPr>
      </w:pPr>
    </w:p>
    <w:sectPr w:rsidR="00017C0E" w:rsidRPr="0001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89C7" w14:textId="77777777" w:rsidR="00635072" w:rsidRDefault="00635072" w:rsidP="005C3EC6">
      <w:r>
        <w:separator/>
      </w:r>
    </w:p>
  </w:endnote>
  <w:endnote w:type="continuationSeparator" w:id="0">
    <w:p w14:paraId="3F9E3537" w14:textId="77777777" w:rsidR="00635072" w:rsidRDefault="00635072" w:rsidP="005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8A68" w14:textId="77777777" w:rsidR="005C3EC6" w:rsidRPr="005C3EC6" w:rsidRDefault="005C3EC6" w:rsidP="005C3EC6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5C3EC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C3EC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50B4E" w:rsidRPr="00A50B4E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</w: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5C3EC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C3EC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50B4E" w:rsidRPr="00A50B4E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8</w:t>
    </w:r>
    <w:r w:rsidRPr="005C3EC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E537B4B" w14:textId="77777777" w:rsidR="005C3EC6" w:rsidRDefault="005C3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FD8D" w14:textId="77777777" w:rsidR="00635072" w:rsidRDefault="00635072" w:rsidP="005C3EC6">
      <w:r>
        <w:separator/>
      </w:r>
    </w:p>
  </w:footnote>
  <w:footnote w:type="continuationSeparator" w:id="0">
    <w:p w14:paraId="1AF8E03D" w14:textId="77777777" w:rsidR="00635072" w:rsidRDefault="00635072" w:rsidP="005C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4506"/>
    <w:rsid w:val="00017C0E"/>
    <w:rsid w:val="00020745"/>
    <w:rsid w:val="00064D78"/>
    <w:rsid w:val="000E20EA"/>
    <w:rsid w:val="000F5BBD"/>
    <w:rsid w:val="000F7F63"/>
    <w:rsid w:val="00157819"/>
    <w:rsid w:val="0017408A"/>
    <w:rsid w:val="001A0BF6"/>
    <w:rsid w:val="00234726"/>
    <w:rsid w:val="00293C82"/>
    <w:rsid w:val="00297193"/>
    <w:rsid w:val="002D63F5"/>
    <w:rsid w:val="00304E67"/>
    <w:rsid w:val="0030704B"/>
    <w:rsid w:val="00314540"/>
    <w:rsid w:val="00317835"/>
    <w:rsid w:val="00353E4E"/>
    <w:rsid w:val="003717D0"/>
    <w:rsid w:val="00380B09"/>
    <w:rsid w:val="003F3B26"/>
    <w:rsid w:val="00456B34"/>
    <w:rsid w:val="004655FC"/>
    <w:rsid w:val="00471251"/>
    <w:rsid w:val="00491892"/>
    <w:rsid w:val="004C461F"/>
    <w:rsid w:val="004F18C0"/>
    <w:rsid w:val="00536B31"/>
    <w:rsid w:val="00550AAF"/>
    <w:rsid w:val="00555515"/>
    <w:rsid w:val="00571425"/>
    <w:rsid w:val="005932F6"/>
    <w:rsid w:val="005C3EC6"/>
    <w:rsid w:val="005E0E93"/>
    <w:rsid w:val="005F6CC4"/>
    <w:rsid w:val="00615354"/>
    <w:rsid w:val="00635072"/>
    <w:rsid w:val="006452A6"/>
    <w:rsid w:val="00656B33"/>
    <w:rsid w:val="00685321"/>
    <w:rsid w:val="0068630A"/>
    <w:rsid w:val="00696056"/>
    <w:rsid w:val="006E4DB1"/>
    <w:rsid w:val="006E7D64"/>
    <w:rsid w:val="006F0DEC"/>
    <w:rsid w:val="00702961"/>
    <w:rsid w:val="00710167"/>
    <w:rsid w:val="00726CA7"/>
    <w:rsid w:val="00773177"/>
    <w:rsid w:val="00796FFB"/>
    <w:rsid w:val="007A3AC8"/>
    <w:rsid w:val="007C3F2A"/>
    <w:rsid w:val="007D16BB"/>
    <w:rsid w:val="007E1627"/>
    <w:rsid w:val="0082286F"/>
    <w:rsid w:val="0083549D"/>
    <w:rsid w:val="00843774"/>
    <w:rsid w:val="00874477"/>
    <w:rsid w:val="00876BB0"/>
    <w:rsid w:val="008A0CFC"/>
    <w:rsid w:val="008B067F"/>
    <w:rsid w:val="008C30A8"/>
    <w:rsid w:val="008C7783"/>
    <w:rsid w:val="008F3B5A"/>
    <w:rsid w:val="00930223"/>
    <w:rsid w:val="00953A9E"/>
    <w:rsid w:val="0095636B"/>
    <w:rsid w:val="00971FC8"/>
    <w:rsid w:val="00972D29"/>
    <w:rsid w:val="00973318"/>
    <w:rsid w:val="00977386"/>
    <w:rsid w:val="00981F9E"/>
    <w:rsid w:val="009C33D4"/>
    <w:rsid w:val="009D6577"/>
    <w:rsid w:val="009D6785"/>
    <w:rsid w:val="009E2678"/>
    <w:rsid w:val="009E55FB"/>
    <w:rsid w:val="009F42D1"/>
    <w:rsid w:val="009F463A"/>
    <w:rsid w:val="00A20F5E"/>
    <w:rsid w:val="00A33D6E"/>
    <w:rsid w:val="00A35184"/>
    <w:rsid w:val="00A47012"/>
    <w:rsid w:val="00A50B4E"/>
    <w:rsid w:val="00A64E11"/>
    <w:rsid w:val="00A7748C"/>
    <w:rsid w:val="00A77B3E"/>
    <w:rsid w:val="00A94AE4"/>
    <w:rsid w:val="00AA006A"/>
    <w:rsid w:val="00AB47CE"/>
    <w:rsid w:val="00AD3C8A"/>
    <w:rsid w:val="00B434C5"/>
    <w:rsid w:val="00B617E3"/>
    <w:rsid w:val="00BA1534"/>
    <w:rsid w:val="00BC0EEB"/>
    <w:rsid w:val="00BC5CE7"/>
    <w:rsid w:val="00C063E4"/>
    <w:rsid w:val="00C209A1"/>
    <w:rsid w:val="00C336C1"/>
    <w:rsid w:val="00C55D11"/>
    <w:rsid w:val="00C6362A"/>
    <w:rsid w:val="00C82274"/>
    <w:rsid w:val="00C93D9D"/>
    <w:rsid w:val="00CA2A55"/>
    <w:rsid w:val="00D54ACB"/>
    <w:rsid w:val="00D90EE4"/>
    <w:rsid w:val="00D91653"/>
    <w:rsid w:val="00DE5AD5"/>
    <w:rsid w:val="00DF6C5D"/>
    <w:rsid w:val="00E03F57"/>
    <w:rsid w:val="00E33E76"/>
    <w:rsid w:val="00E52502"/>
    <w:rsid w:val="00E73E4E"/>
    <w:rsid w:val="00E77298"/>
    <w:rsid w:val="00EB122F"/>
    <w:rsid w:val="00ED7D6C"/>
    <w:rsid w:val="00F05198"/>
    <w:rsid w:val="00F33F6F"/>
    <w:rsid w:val="00F67CED"/>
    <w:rsid w:val="00FB579E"/>
    <w:rsid w:val="00FE7AC3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A768C"/>
  <w15:docId w15:val="{BD2E8F6F-F14C-4D28-8A27-FB82726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3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E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EC6"/>
    <w:rPr>
      <w:sz w:val="18"/>
      <w:szCs w:val="18"/>
    </w:rPr>
  </w:style>
  <w:style w:type="character" w:styleId="a7">
    <w:name w:val="annotation reference"/>
    <w:basedOn w:val="a0"/>
    <w:semiHidden/>
    <w:unhideWhenUsed/>
    <w:rsid w:val="009D678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D6785"/>
  </w:style>
  <w:style w:type="character" w:customStyle="1" w:styleId="a9">
    <w:name w:val="批注文字 字符"/>
    <w:basedOn w:val="a0"/>
    <w:link w:val="a8"/>
    <w:semiHidden/>
    <w:rsid w:val="009D678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D6785"/>
    <w:rPr>
      <w:b/>
      <w:bCs/>
    </w:rPr>
  </w:style>
  <w:style w:type="character" w:customStyle="1" w:styleId="ab">
    <w:name w:val="批注主题 字符"/>
    <w:basedOn w:val="a9"/>
    <w:link w:val="aa"/>
    <w:semiHidden/>
    <w:rsid w:val="009D6785"/>
    <w:rPr>
      <w:b/>
      <w:bCs/>
      <w:sz w:val="24"/>
      <w:szCs w:val="24"/>
    </w:rPr>
  </w:style>
  <w:style w:type="character" w:customStyle="1" w:styleId="correct">
    <w:name w:val="correct"/>
    <w:basedOn w:val="a0"/>
    <w:rsid w:val="004F18C0"/>
  </w:style>
  <w:style w:type="paragraph" w:styleId="ac">
    <w:name w:val="Revision"/>
    <w:hidden/>
    <w:uiPriority w:val="99"/>
    <w:semiHidden/>
    <w:rsid w:val="00FE7AC3"/>
    <w:rPr>
      <w:sz w:val="24"/>
      <w:szCs w:val="24"/>
    </w:rPr>
  </w:style>
  <w:style w:type="paragraph" w:styleId="ad">
    <w:name w:val="Balloon Text"/>
    <w:basedOn w:val="a"/>
    <w:link w:val="ae"/>
    <w:rsid w:val="009F463A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rsid w:val="009F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1728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Tofana</dc:creator>
  <cp:lastModifiedBy> </cp:lastModifiedBy>
  <cp:revision>31</cp:revision>
  <dcterms:created xsi:type="dcterms:W3CDTF">2023-04-18T05:54:00Z</dcterms:created>
  <dcterms:modified xsi:type="dcterms:W3CDTF">2023-05-24T07:55:00Z</dcterms:modified>
</cp:coreProperties>
</file>