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F9E5A" w14:textId="77777777" w:rsidR="00A77B3E" w:rsidRPr="001913E3" w:rsidRDefault="00982974" w:rsidP="001913E3">
      <w:pPr>
        <w:spacing w:line="360" w:lineRule="auto"/>
        <w:jc w:val="both"/>
        <w:rPr>
          <w:rFonts w:ascii="Book Antiqua" w:hAnsi="Book Antiqua"/>
        </w:rPr>
      </w:pPr>
      <w:bookmarkStart w:id="0" w:name="_GoBack"/>
      <w:bookmarkEnd w:id="0"/>
      <w:r w:rsidRPr="001913E3">
        <w:rPr>
          <w:rFonts w:ascii="Book Antiqua" w:eastAsia="Book Antiqua" w:hAnsi="Book Antiqua" w:cs="Book Antiqua"/>
          <w:b/>
        </w:rPr>
        <w:t xml:space="preserve">Name of Journal: </w:t>
      </w:r>
      <w:r w:rsidRPr="001913E3">
        <w:rPr>
          <w:rFonts w:ascii="Book Antiqua" w:eastAsia="Book Antiqua" w:hAnsi="Book Antiqua" w:cs="Book Antiqua"/>
          <w:i/>
        </w:rPr>
        <w:t>World Journal of Clinical Cases</w:t>
      </w:r>
    </w:p>
    <w:p w14:paraId="553AC886"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rPr>
        <w:t xml:space="preserve">Manuscript NO: </w:t>
      </w:r>
      <w:r w:rsidRPr="001913E3">
        <w:rPr>
          <w:rFonts w:ascii="Book Antiqua" w:eastAsia="Book Antiqua" w:hAnsi="Book Antiqua" w:cs="Book Antiqua"/>
        </w:rPr>
        <w:t>84095</w:t>
      </w:r>
    </w:p>
    <w:p w14:paraId="4B2B90C0"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rPr>
        <w:t xml:space="preserve">Manuscript Type: </w:t>
      </w:r>
      <w:r w:rsidRPr="001913E3">
        <w:rPr>
          <w:rFonts w:ascii="Book Antiqua" w:eastAsia="Book Antiqua" w:hAnsi="Book Antiqua" w:cs="Book Antiqua"/>
        </w:rPr>
        <w:t>CASE REPORT</w:t>
      </w:r>
    </w:p>
    <w:p w14:paraId="615CE7F2" w14:textId="77777777" w:rsidR="00A77B3E" w:rsidRPr="001913E3" w:rsidRDefault="00A77B3E" w:rsidP="001913E3">
      <w:pPr>
        <w:spacing w:line="360" w:lineRule="auto"/>
        <w:jc w:val="both"/>
        <w:rPr>
          <w:rFonts w:ascii="Book Antiqua" w:hAnsi="Book Antiqua"/>
        </w:rPr>
      </w:pPr>
    </w:p>
    <w:p w14:paraId="443B12B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Nivolumab-induced tumour-like gastritis:</w:t>
      </w:r>
      <w:r w:rsidR="00404944" w:rsidRPr="001913E3">
        <w:rPr>
          <w:rFonts w:ascii="Book Antiqua" w:eastAsia="Book Antiqua" w:hAnsi="Book Antiqua" w:cs="Book Antiqua"/>
          <w:b/>
          <w:color w:val="000000"/>
        </w:rPr>
        <w:t xml:space="preserve"> A </w:t>
      </w:r>
      <w:r w:rsidRPr="001913E3">
        <w:rPr>
          <w:rFonts w:ascii="Book Antiqua" w:eastAsia="Book Antiqua" w:hAnsi="Book Antiqua" w:cs="Book Antiqua"/>
          <w:b/>
          <w:color w:val="000000"/>
        </w:rPr>
        <w:t>case report</w:t>
      </w:r>
    </w:p>
    <w:p w14:paraId="2949F496" w14:textId="77777777" w:rsidR="00A77B3E" w:rsidRPr="001913E3" w:rsidRDefault="00A77B3E" w:rsidP="001913E3">
      <w:pPr>
        <w:spacing w:line="360" w:lineRule="auto"/>
        <w:jc w:val="both"/>
        <w:rPr>
          <w:rFonts w:ascii="Book Antiqua" w:hAnsi="Book Antiqua"/>
        </w:rPr>
      </w:pPr>
    </w:p>
    <w:p w14:paraId="1538ECDF" w14:textId="39E66FE8"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Cijauskaite E </w:t>
      </w:r>
      <w:r w:rsidRPr="001913E3">
        <w:rPr>
          <w:rFonts w:ascii="Book Antiqua" w:eastAsia="Book Antiqua" w:hAnsi="Book Antiqua" w:cs="Book Antiqua"/>
          <w:i/>
          <w:iCs/>
          <w:color w:val="000000"/>
        </w:rPr>
        <w:t>et al</w:t>
      </w:r>
      <w:r w:rsidRPr="001913E3">
        <w:rPr>
          <w:rFonts w:ascii="Book Antiqua" w:eastAsia="Book Antiqua" w:hAnsi="Book Antiqua" w:cs="Book Antiqua"/>
          <w:color w:val="000000"/>
        </w:rPr>
        <w:t>. Nivolumab-induced</w:t>
      </w:r>
      <w:r w:rsidR="009803E2" w:rsidRPr="001913E3">
        <w:rPr>
          <w:rFonts w:ascii="Book Antiqua" w:eastAsia="Book Antiqua" w:hAnsi="Book Antiqua" w:cs="Book Antiqua"/>
          <w:color w:val="000000"/>
        </w:rPr>
        <w:t xml:space="preserve"> tumour-like gastritis</w:t>
      </w:r>
    </w:p>
    <w:p w14:paraId="43E3DA56" w14:textId="77777777" w:rsidR="00A77B3E" w:rsidRPr="001913E3" w:rsidRDefault="00A77B3E" w:rsidP="001913E3">
      <w:pPr>
        <w:spacing w:line="360" w:lineRule="auto"/>
        <w:jc w:val="both"/>
        <w:rPr>
          <w:rFonts w:ascii="Book Antiqua" w:hAnsi="Book Antiqua"/>
        </w:rPr>
      </w:pPr>
    </w:p>
    <w:p w14:paraId="173BFF58" w14:textId="2ECF15EE"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Elena Cijauskaite, </w:t>
      </w:r>
      <w:r w:rsidR="005F1EE4" w:rsidRPr="001913E3">
        <w:rPr>
          <w:rFonts w:ascii="Book Antiqua" w:eastAsia="Book Antiqua" w:hAnsi="Book Antiqua" w:cs="Book Antiqua"/>
          <w:color w:val="000000"/>
        </w:rPr>
        <w:t>Edita Kazenaite</w:t>
      </w:r>
      <w:r w:rsidR="005F1EE4">
        <w:rPr>
          <w:rFonts w:ascii="Book Antiqua" w:eastAsia="Book Antiqua" w:hAnsi="Book Antiqua" w:cs="Book Antiqua"/>
          <w:color w:val="000000"/>
        </w:rPr>
        <w:t>,</w:t>
      </w:r>
      <w:r w:rsidR="005F1EE4" w:rsidRPr="001913E3">
        <w:rPr>
          <w:rFonts w:ascii="Book Antiqua" w:eastAsia="Book Antiqua" w:hAnsi="Book Antiqua" w:cs="Book Antiqua"/>
          <w:color w:val="000000"/>
        </w:rPr>
        <w:t xml:space="preserve"> </w:t>
      </w:r>
      <w:r w:rsidRPr="001913E3">
        <w:rPr>
          <w:rFonts w:ascii="Book Antiqua" w:eastAsia="Book Antiqua" w:hAnsi="Book Antiqua" w:cs="Book Antiqua"/>
          <w:color w:val="000000"/>
        </w:rPr>
        <w:t xml:space="preserve">Sandra Strainiene,  Goda Sadauskaite, </w:t>
      </w:r>
      <w:r w:rsidR="006F27CA" w:rsidRPr="001913E3">
        <w:rPr>
          <w:rFonts w:ascii="Book Antiqua" w:eastAsia="Book Antiqua" w:hAnsi="Book Antiqua" w:cs="Book Antiqua"/>
          <w:color w:val="000000"/>
        </w:rPr>
        <w:t>Benediktas Kurlinkus</w:t>
      </w:r>
    </w:p>
    <w:p w14:paraId="73BF8E3C" w14:textId="77777777" w:rsidR="00A77B3E" w:rsidRPr="001913E3" w:rsidRDefault="00A77B3E" w:rsidP="001913E3">
      <w:pPr>
        <w:spacing w:line="360" w:lineRule="auto"/>
        <w:jc w:val="both"/>
        <w:rPr>
          <w:rFonts w:ascii="Book Antiqua" w:hAnsi="Book Antiqua"/>
        </w:rPr>
      </w:pPr>
    </w:p>
    <w:p w14:paraId="73204B28" w14:textId="0E153EE6"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color w:val="000000"/>
        </w:rPr>
        <w:t xml:space="preserve">Elena Cijauskaite, </w:t>
      </w:r>
      <w:r w:rsidRPr="001913E3">
        <w:rPr>
          <w:rFonts w:ascii="Book Antiqua" w:eastAsia="Book Antiqua" w:hAnsi="Book Antiqua" w:cs="Book Antiqua"/>
          <w:color w:val="000000"/>
        </w:rPr>
        <w:t>Faculty of Medicine, Vilnius University, Vilnius 01513, Lithuania</w:t>
      </w:r>
    </w:p>
    <w:p w14:paraId="73ED4212" w14:textId="77777777" w:rsidR="00A77B3E" w:rsidRPr="001913E3" w:rsidRDefault="00A77B3E" w:rsidP="001913E3">
      <w:pPr>
        <w:spacing w:line="360" w:lineRule="auto"/>
        <w:jc w:val="both"/>
        <w:rPr>
          <w:rFonts w:ascii="Book Antiqua" w:hAnsi="Book Antiqua"/>
        </w:rPr>
      </w:pPr>
    </w:p>
    <w:p w14:paraId="700CB2F5" w14:textId="59891005" w:rsidR="00A77B3E" w:rsidRDefault="0042713C" w:rsidP="001913E3">
      <w:pPr>
        <w:spacing w:line="360" w:lineRule="auto"/>
        <w:jc w:val="both"/>
        <w:rPr>
          <w:rFonts w:ascii="Book Antiqua" w:eastAsia="Book Antiqua" w:hAnsi="Book Antiqua" w:cs="Book Antiqua"/>
          <w:color w:val="000000"/>
        </w:rPr>
      </w:pPr>
      <w:r w:rsidRPr="001913E3">
        <w:rPr>
          <w:rFonts w:ascii="Book Antiqua" w:eastAsia="Book Antiqua" w:hAnsi="Book Antiqua" w:cs="Book Antiqua"/>
          <w:b/>
          <w:bCs/>
          <w:color w:val="000000"/>
        </w:rPr>
        <w:t>Edita Kazenaite</w:t>
      </w:r>
      <w:r>
        <w:rPr>
          <w:rFonts w:ascii="Book Antiqua" w:eastAsia="Book Antiqua" w:hAnsi="Book Antiqua" w:cs="Book Antiqua"/>
          <w:b/>
          <w:bCs/>
          <w:color w:val="000000"/>
        </w:rPr>
        <w:t>,</w:t>
      </w:r>
      <w:r w:rsidRPr="001913E3">
        <w:rPr>
          <w:rFonts w:ascii="Book Antiqua" w:eastAsia="Book Antiqua" w:hAnsi="Book Antiqua" w:cs="Book Antiqua"/>
          <w:b/>
          <w:bCs/>
          <w:color w:val="000000"/>
        </w:rPr>
        <w:t xml:space="preserve"> </w:t>
      </w:r>
      <w:r w:rsidR="00982974" w:rsidRPr="001913E3">
        <w:rPr>
          <w:rFonts w:ascii="Book Antiqua" w:eastAsia="Book Antiqua" w:hAnsi="Book Antiqua" w:cs="Book Antiqua"/>
          <w:b/>
          <w:bCs/>
          <w:color w:val="000000"/>
        </w:rPr>
        <w:t xml:space="preserve"> Goda Sadauskaite, </w:t>
      </w:r>
      <w:r w:rsidR="006F27CA" w:rsidRPr="001913E3">
        <w:rPr>
          <w:rFonts w:ascii="Book Antiqua" w:eastAsia="Book Antiqua" w:hAnsi="Book Antiqua" w:cs="Book Antiqua"/>
          <w:b/>
          <w:bCs/>
          <w:color w:val="000000"/>
        </w:rPr>
        <w:t>Benediktas Kurlinkus</w:t>
      </w:r>
      <w:r w:rsidR="006F27CA" w:rsidRPr="001913E3">
        <w:rPr>
          <w:rFonts w:ascii="Book Antiqua" w:eastAsia="Book Antiqua" w:hAnsi="Book Antiqua" w:cs="Book Antiqua"/>
          <w:color w:val="000000"/>
        </w:rPr>
        <w:t xml:space="preserve"> </w:t>
      </w:r>
      <w:r w:rsidR="00982974" w:rsidRPr="001913E3">
        <w:rPr>
          <w:rFonts w:ascii="Book Antiqua" w:eastAsia="Book Antiqua" w:hAnsi="Book Antiqua" w:cs="Book Antiqua"/>
          <w:color w:val="000000"/>
        </w:rPr>
        <w:t>Clinic of Gastroenterology, Nephrourology and Surgery, Institute of Clinical Medicine, Faculty of Medicine, Vilnius University, Vilnius 01513, Lithuania</w:t>
      </w:r>
    </w:p>
    <w:p w14:paraId="1E7321C6" w14:textId="77777777" w:rsidR="00852FF5" w:rsidRPr="00981625" w:rsidRDefault="00852FF5" w:rsidP="00852FF5">
      <w:pPr>
        <w:spacing w:line="360" w:lineRule="auto"/>
        <w:jc w:val="both"/>
        <w:rPr>
          <w:rFonts w:ascii="Book Antiqua" w:eastAsia="Times New Roman" w:hAnsi="Book Antiqua"/>
          <w:lang w:eastAsia="lt-LT"/>
        </w:rPr>
      </w:pPr>
    </w:p>
    <w:p w14:paraId="41E36FAA" w14:textId="62623661" w:rsidR="00852FF5" w:rsidRDefault="0042713C" w:rsidP="00852FF5">
      <w:pPr>
        <w:spacing w:line="360" w:lineRule="auto"/>
        <w:jc w:val="both"/>
        <w:rPr>
          <w:rFonts w:ascii="Book Antiqua" w:eastAsia="Times New Roman" w:hAnsi="Book Antiqua"/>
          <w:lang w:val="lt-LT" w:eastAsia="lt-LT"/>
        </w:rPr>
      </w:pPr>
      <w:r w:rsidRPr="001913E3">
        <w:rPr>
          <w:rFonts w:ascii="Book Antiqua" w:eastAsia="Book Antiqua" w:hAnsi="Book Antiqua" w:cs="Book Antiqua"/>
          <w:b/>
          <w:bCs/>
          <w:color w:val="000000"/>
        </w:rPr>
        <w:t>Edita Kazenaite</w:t>
      </w:r>
      <w:r>
        <w:rPr>
          <w:rFonts w:ascii="Book Antiqua" w:eastAsia="Book Antiqua" w:hAnsi="Book Antiqua" w:cs="Book Antiqua"/>
          <w:b/>
          <w:bCs/>
          <w:color w:val="000000"/>
        </w:rPr>
        <w:t>,</w:t>
      </w:r>
      <w:r w:rsidRPr="001913E3">
        <w:rPr>
          <w:rFonts w:ascii="Book Antiqua" w:eastAsia="Book Antiqua" w:hAnsi="Book Antiqua" w:cs="Book Antiqua"/>
          <w:b/>
          <w:bCs/>
          <w:color w:val="000000"/>
        </w:rPr>
        <w:t xml:space="preserve"> </w:t>
      </w:r>
      <w:r w:rsidR="00852FF5" w:rsidRPr="001913E3">
        <w:rPr>
          <w:rFonts w:ascii="Book Antiqua" w:eastAsia="Book Antiqua" w:hAnsi="Book Antiqua" w:cs="Book Antiqua"/>
          <w:b/>
          <w:bCs/>
          <w:color w:val="000000"/>
        </w:rPr>
        <w:t xml:space="preserve"> Goda Sadauskaite</w:t>
      </w:r>
      <w:r w:rsidR="006F27CA">
        <w:rPr>
          <w:rFonts w:ascii="Book Antiqua" w:eastAsia="Book Antiqua" w:hAnsi="Book Antiqua" w:cs="Book Antiqua"/>
          <w:b/>
          <w:bCs/>
          <w:color w:val="000000"/>
        </w:rPr>
        <w:t>,</w:t>
      </w:r>
      <w:r w:rsidR="006F27CA" w:rsidRPr="006F27CA">
        <w:rPr>
          <w:rFonts w:ascii="Book Antiqua" w:eastAsia="Book Antiqua" w:hAnsi="Book Antiqua" w:cs="Book Antiqua"/>
          <w:b/>
          <w:bCs/>
          <w:color w:val="000000"/>
        </w:rPr>
        <w:t xml:space="preserve"> </w:t>
      </w:r>
      <w:r w:rsidR="006F27CA" w:rsidRPr="001913E3">
        <w:rPr>
          <w:rFonts w:ascii="Book Antiqua" w:eastAsia="Book Antiqua" w:hAnsi="Book Antiqua" w:cs="Book Antiqua"/>
          <w:b/>
          <w:bCs/>
          <w:color w:val="000000"/>
        </w:rPr>
        <w:t>Benediktas Kurlinkus</w:t>
      </w:r>
      <w:r w:rsidR="00852FF5" w:rsidRPr="001913E3">
        <w:rPr>
          <w:rFonts w:ascii="Book Antiqua" w:eastAsia="Book Antiqua" w:hAnsi="Book Antiqua" w:cs="Book Antiqua"/>
          <w:b/>
          <w:bCs/>
          <w:color w:val="000000"/>
        </w:rPr>
        <w:t xml:space="preserve">, </w:t>
      </w:r>
      <w:r w:rsidR="00852FF5">
        <w:rPr>
          <w:rFonts w:ascii="Book Antiqua" w:eastAsia="Times New Roman" w:hAnsi="Book Antiqua"/>
          <w:lang w:val="lt-LT" w:eastAsia="lt-LT"/>
        </w:rPr>
        <w:t>Vilnius University Hospital Santaros Clinics, Center of Hepatology, Gastroenterology and Diet</w:t>
      </w:r>
      <w:r w:rsidR="00CA7B24">
        <w:rPr>
          <w:rFonts w:ascii="Book Antiqua" w:eastAsia="Times New Roman" w:hAnsi="Book Antiqua"/>
          <w:lang w:val="lt-LT" w:eastAsia="lt-LT"/>
        </w:rPr>
        <w:t>ology, Vilnius 08661, Lithuania</w:t>
      </w:r>
    </w:p>
    <w:p w14:paraId="4FD5B683" w14:textId="77777777" w:rsidR="008619D7" w:rsidRDefault="008619D7" w:rsidP="005F1EE4">
      <w:pPr>
        <w:spacing w:line="360" w:lineRule="auto"/>
        <w:jc w:val="both"/>
        <w:rPr>
          <w:rFonts w:ascii="Book Antiqua" w:eastAsia="Times New Roman" w:hAnsi="Book Antiqua"/>
          <w:lang w:val="lt-LT" w:eastAsia="lt-LT"/>
        </w:rPr>
      </w:pPr>
    </w:p>
    <w:p w14:paraId="46657D7B" w14:textId="77777777" w:rsidR="00B83AF4" w:rsidRPr="001913E3" w:rsidRDefault="00B83AF4" w:rsidP="00B83AF4">
      <w:pPr>
        <w:spacing w:line="360" w:lineRule="auto"/>
        <w:jc w:val="both"/>
        <w:rPr>
          <w:rFonts w:ascii="Book Antiqua" w:hAnsi="Book Antiqua"/>
        </w:rPr>
      </w:pPr>
      <w:r w:rsidRPr="001913E3">
        <w:rPr>
          <w:rFonts w:ascii="Book Antiqua" w:eastAsia="Book Antiqua" w:hAnsi="Book Antiqua" w:cs="Book Antiqua"/>
          <w:b/>
          <w:bCs/>
          <w:color w:val="000000"/>
        </w:rPr>
        <w:t xml:space="preserve">Sandra Strainiene, </w:t>
      </w:r>
      <w:r w:rsidRPr="001913E3">
        <w:rPr>
          <w:rFonts w:ascii="Book Antiqua" w:eastAsia="Book Antiqua" w:hAnsi="Book Antiqua" w:cs="Book Antiqua"/>
          <w:color w:val="000000"/>
        </w:rPr>
        <w:t>Department of Internal Medicine and Surgery, Antakalnis Clinic, Vilnius 10207, Lithuania</w:t>
      </w:r>
    </w:p>
    <w:p w14:paraId="323A5C1D" w14:textId="77777777" w:rsidR="00A77B3E" w:rsidRPr="001913E3" w:rsidRDefault="00A77B3E" w:rsidP="001913E3">
      <w:pPr>
        <w:spacing w:line="360" w:lineRule="auto"/>
        <w:jc w:val="both"/>
        <w:rPr>
          <w:rFonts w:ascii="Book Antiqua" w:hAnsi="Book Antiqua"/>
        </w:rPr>
      </w:pPr>
    </w:p>
    <w:p w14:paraId="03EC88CC"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color w:val="000000"/>
        </w:rPr>
        <w:t xml:space="preserve">Author contributions: </w:t>
      </w:r>
      <w:r w:rsidRPr="001913E3">
        <w:rPr>
          <w:rFonts w:ascii="Book Antiqua" w:eastAsia="Book Antiqua" w:hAnsi="Book Antiqua" w:cs="Book Antiqua"/>
          <w:color w:val="000000"/>
        </w:rPr>
        <w:t xml:space="preserve">Cijauskaite E wrote the original manuscript and reviewed the literature; Kurlinkus B was the gastroenterologist who followed-up the patient, obtained the patient’s informed consent and performed data extraction; Kurlinkus B, Strainiene S reviewed and edited the manuscript; Kurlinkus B, Sadauskaite G and </w:t>
      </w:r>
      <w:r w:rsidRPr="001913E3">
        <w:rPr>
          <w:rFonts w:ascii="Book Antiqua" w:eastAsia="Book Antiqua" w:hAnsi="Book Antiqua" w:cs="Book Antiqua"/>
          <w:color w:val="000000"/>
        </w:rPr>
        <w:lastRenderedPageBreak/>
        <w:t>Kazenaite E revised the manuscript for important intellectual content; All authors have read and approved the final manuscript.</w:t>
      </w:r>
    </w:p>
    <w:p w14:paraId="2448BFCB" w14:textId="77777777" w:rsidR="00A77B3E" w:rsidRPr="001913E3" w:rsidRDefault="00A77B3E" w:rsidP="001913E3">
      <w:pPr>
        <w:spacing w:line="360" w:lineRule="auto"/>
        <w:jc w:val="both"/>
        <w:rPr>
          <w:rFonts w:ascii="Book Antiqua" w:hAnsi="Book Antiqua"/>
        </w:rPr>
      </w:pPr>
    </w:p>
    <w:p w14:paraId="15F2A5BE" w14:textId="099DCAEA"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color w:val="000000"/>
        </w:rPr>
        <w:t xml:space="preserve">Corresponding author: Sandra Strainiene, MD, Attending Doctor, </w:t>
      </w:r>
      <w:r w:rsidRPr="001913E3">
        <w:rPr>
          <w:rFonts w:ascii="Book Antiqua" w:eastAsia="Book Antiqua" w:hAnsi="Book Antiqua" w:cs="Book Antiqua"/>
          <w:color w:val="000000"/>
        </w:rPr>
        <w:t>Department of Internal Medicine and Surgery, Antakalnis Clinic, Antakalnis Str</w:t>
      </w:r>
      <w:r w:rsidR="00CE3640">
        <w:rPr>
          <w:rFonts w:ascii="Book Antiqua" w:eastAsia="Book Antiqua" w:hAnsi="Book Antiqua" w:cs="Book Antiqua"/>
          <w:color w:val="000000"/>
        </w:rPr>
        <w:t>eet</w:t>
      </w:r>
      <w:r w:rsidR="00CE3640" w:rsidRPr="001913E3">
        <w:rPr>
          <w:rFonts w:ascii="Book Antiqua" w:eastAsia="Book Antiqua" w:hAnsi="Book Antiqua" w:cs="Book Antiqua"/>
          <w:color w:val="000000"/>
        </w:rPr>
        <w:t xml:space="preserve"> </w:t>
      </w:r>
      <w:r w:rsidRPr="001913E3">
        <w:rPr>
          <w:rFonts w:ascii="Book Antiqua" w:eastAsia="Book Antiqua" w:hAnsi="Book Antiqua" w:cs="Book Antiqua"/>
          <w:color w:val="000000"/>
        </w:rPr>
        <w:t>59, Vilnius 10207, Lithuania. sandra.strainiene@gmail.com</w:t>
      </w:r>
    </w:p>
    <w:p w14:paraId="18CD1915" w14:textId="77777777" w:rsidR="00A77B3E" w:rsidRPr="001913E3" w:rsidRDefault="00A77B3E" w:rsidP="001913E3">
      <w:pPr>
        <w:spacing w:line="360" w:lineRule="auto"/>
        <w:jc w:val="both"/>
        <w:rPr>
          <w:rFonts w:ascii="Book Antiqua" w:hAnsi="Book Antiqua"/>
        </w:rPr>
      </w:pPr>
    </w:p>
    <w:p w14:paraId="0F47F0C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Received: </w:t>
      </w:r>
      <w:r w:rsidRPr="001913E3">
        <w:rPr>
          <w:rFonts w:ascii="Book Antiqua" w:eastAsia="Book Antiqua" w:hAnsi="Book Antiqua" w:cs="Book Antiqua"/>
        </w:rPr>
        <w:t>February 25, 2023</w:t>
      </w:r>
    </w:p>
    <w:p w14:paraId="55EDCED3"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Revised: </w:t>
      </w:r>
      <w:r w:rsidR="00676C00" w:rsidRPr="001913E3">
        <w:rPr>
          <w:rFonts w:ascii="Book Antiqua" w:eastAsia="Book Antiqua" w:hAnsi="Book Antiqua" w:cs="Book Antiqua"/>
          <w:bCs/>
        </w:rPr>
        <w:t>April 23, 2023</w:t>
      </w:r>
    </w:p>
    <w:p w14:paraId="1F245324" w14:textId="01819DB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Accepted: </w:t>
      </w:r>
      <w:r w:rsidR="0091338F" w:rsidRPr="0091338F">
        <w:rPr>
          <w:rFonts w:ascii="Book Antiqua" w:eastAsia="Book Antiqua" w:hAnsi="Book Antiqua" w:cs="Book Antiqua"/>
        </w:rPr>
        <w:t>May 9, 2023</w:t>
      </w:r>
    </w:p>
    <w:p w14:paraId="4F96416D" w14:textId="77777777" w:rsidR="00687813"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Published online: </w:t>
      </w:r>
    </w:p>
    <w:p w14:paraId="5258D906" w14:textId="77777777" w:rsidR="00687813" w:rsidRPr="001913E3" w:rsidRDefault="00687813" w:rsidP="001913E3">
      <w:pPr>
        <w:spacing w:line="360" w:lineRule="auto"/>
        <w:jc w:val="both"/>
        <w:rPr>
          <w:rFonts w:ascii="Book Antiqua" w:hAnsi="Book Antiqua"/>
        </w:rPr>
      </w:pPr>
    </w:p>
    <w:p w14:paraId="358AA0A2"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Abstract</w:t>
      </w:r>
    </w:p>
    <w:p w14:paraId="22413E72"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BACKGROUND</w:t>
      </w:r>
    </w:p>
    <w:p w14:paraId="3C055BDA"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Immune checkpoint inhibitors are one of the modern treatment methods for advanced malignancies. However, this group of medications is also associated with various immune-related adverse events, such as colitis or pneumonitis. Immune checkpoint inhibitor-induced gastritis is a less common adverse event.</w:t>
      </w:r>
    </w:p>
    <w:p w14:paraId="34A19C21" w14:textId="77777777" w:rsidR="00A77B3E" w:rsidRPr="001913E3" w:rsidRDefault="00A77B3E" w:rsidP="001913E3">
      <w:pPr>
        <w:spacing w:line="360" w:lineRule="auto"/>
        <w:jc w:val="both"/>
        <w:rPr>
          <w:rFonts w:ascii="Book Antiqua" w:hAnsi="Book Antiqua"/>
        </w:rPr>
      </w:pPr>
    </w:p>
    <w:p w14:paraId="36EF60FA"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CASE SUMMARY</w:t>
      </w:r>
    </w:p>
    <w:p w14:paraId="18681922" w14:textId="0433C062"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We describe a 64-year-old woman presenting with diarrhea, nausea, and discomfort in the upper abdominal region. The patient had a history of metastatic lung cancer, which was treated with nivolumab. During the first endoscopy</w:t>
      </w:r>
      <w:r w:rsidR="00AB6839">
        <w:rPr>
          <w:rFonts w:ascii="Book Antiqua" w:eastAsia="Book Antiqua" w:hAnsi="Book Antiqua" w:cs="Book Antiqua"/>
        </w:rPr>
        <w:t>, an</w:t>
      </w:r>
      <w:r w:rsidRPr="001913E3">
        <w:rPr>
          <w:rFonts w:ascii="Book Antiqua" w:eastAsia="Book Antiqua" w:hAnsi="Book Antiqua" w:cs="Book Antiqua"/>
        </w:rPr>
        <w:t xml:space="preserve"> infiltrating gastric tumour was suspected. </w:t>
      </w:r>
      <w:r w:rsidRPr="001913E3">
        <w:rPr>
          <w:rFonts w:ascii="Book Antiqua" w:eastAsia="Book Antiqua" w:hAnsi="Book Antiqua" w:cs="Book Antiqua"/>
          <w:color w:val="000000"/>
        </w:rPr>
        <w:t>Later,</w:t>
      </w:r>
      <w:r w:rsidRPr="001913E3">
        <w:rPr>
          <w:rFonts w:ascii="Book Antiqua" w:eastAsia="Book Antiqua" w:hAnsi="Book Antiqua" w:cs="Book Antiqua"/>
        </w:rPr>
        <w:t xml:space="preserve"> based on endoscopic, </w:t>
      </w:r>
      <w:r w:rsidRPr="001913E3">
        <w:rPr>
          <w:rFonts w:ascii="Book Antiqua" w:eastAsia="Book Antiqua" w:hAnsi="Book Antiqua" w:cs="Book Antiqua"/>
          <w:color w:val="000000"/>
        </w:rPr>
        <w:t>histological</w:t>
      </w:r>
      <w:r w:rsidRPr="001913E3">
        <w:rPr>
          <w:rFonts w:ascii="Book Antiqua" w:eastAsia="Book Antiqua" w:hAnsi="Book Antiqua" w:cs="Book Antiqua"/>
        </w:rPr>
        <w:t xml:space="preserve"> and radiological findings, nivolumab-induced gastritis was diagnosed. The patient was successfully treated with three courses of omeprazole.</w:t>
      </w:r>
    </w:p>
    <w:p w14:paraId="6C98FDAC" w14:textId="77777777" w:rsidR="00A77B3E" w:rsidRPr="001913E3" w:rsidRDefault="00A77B3E" w:rsidP="001913E3">
      <w:pPr>
        <w:spacing w:line="360" w:lineRule="auto"/>
        <w:jc w:val="both"/>
        <w:rPr>
          <w:rFonts w:ascii="Book Antiqua" w:hAnsi="Book Antiqua"/>
        </w:rPr>
      </w:pPr>
    </w:p>
    <w:p w14:paraId="4448A4E6"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CONCLUSION</w:t>
      </w:r>
    </w:p>
    <w:p w14:paraId="31EAD74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lastRenderedPageBreak/>
        <w:t xml:space="preserve">As a consequence of the increased use of immune checkpoint inhibitors, a growing number of reported immune-related adverse events </w:t>
      </w:r>
      <w:r w:rsidRPr="001913E3">
        <w:rPr>
          <w:rFonts w:ascii="Book Antiqua" w:eastAsia="Book Antiqua" w:hAnsi="Book Antiqua" w:cs="Book Antiqua"/>
          <w:color w:val="000000"/>
        </w:rPr>
        <w:t>could</w:t>
      </w:r>
      <w:r w:rsidRPr="001913E3">
        <w:rPr>
          <w:rFonts w:ascii="Book Antiqua" w:eastAsia="Book Antiqua" w:hAnsi="Book Antiqua" w:cs="Book Antiqua"/>
        </w:rPr>
        <w:t xml:space="preserve"> be expected. </w:t>
      </w:r>
      <w:r w:rsidRPr="001913E3">
        <w:rPr>
          <w:rFonts w:ascii="Book Antiqua" w:eastAsia="Book Antiqua" w:hAnsi="Book Antiqua" w:cs="Book Antiqua"/>
          <w:color w:val="000000"/>
        </w:rPr>
        <w:t>The diagnosis</w:t>
      </w:r>
      <w:r w:rsidRPr="001913E3">
        <w:rPr>
          <w:rFonts w:ascii="Book Antiqua" w:eastAsia="Book Antiqua" w:hAnsi="Book Antiqua" w:cs="Book Antiqua"/>
        </w:rPr>
        <w:t xml:space="preserve"> of immune checkpoint inhibitor-induced gastritis should be considered when assessing </w:t>
      </w:r>
      <w:r w:rsidRPr="001913E3">
        <w:rPr>
          <w:rFonts w:ascii="Book Antiqua" w:eastAsia="Book Antiqua" w:hAnsi="Book Antiqua" w:cs="Book Antiqua"/>
          <w:color w:val="000000"/>
        </w:rPr>
        <w:t>a</w:t>
      </w:r>
      <w:r w:rsidRPr="001913E3">
        <w:rPr>
          <w:rFonts w:ascii="Book Antiqua" w:eastAsia="Book Antiqua" w:hAnsi="Book Antiqua" w:cs="Book Antiqua"/>
        </w:rPr>
        <w:t xml:space="preserve"> </w:t>
      </w:r>
      <w:r w:rsidRPr="001913E3">
        <w:rPr>
          <w:rFonts w:ascii="Book Antiqua" w:eastAsia="Book Antiqua" w:hAnsi="Book Antiqua" w:cs="Book Antiqua"/>
          <w:color w:val="000000"/>
        </w:rPr>
        <w:t>patient treated with nivolumab</w:t>
      </w:r>
      <w:r w:rsidRPr="001913E3">
        <w:rPr>
          <w:rFonts w:ascii="Book Antiqua" w:eastAsia="Book Antiqua" w:hAnsi="Book Antiqua" w:cs="Book Antiqua"/>
        </w:rPr>
        <w:t xml:space="preserve"> with upper gastrointestinal distress.</w:t>
      </w:r>
    </w:p>
    <w:p w14:paraId="1952BDAE" w14:textId="77777777" w:rsidR="00A77B3E" w:rsidRPr="001913E3" w:rsidRDefault="00A77B3E" w:rsidP="001913E3">
      <w:pPr>
        <w:spacing w:line="360" w:lineRule="auto"/>
        <w:jc w:val="both"/>
        <w:rPr>
          <w:rFonts w:ascii="Book Antiqua" w:hAnsi="Book Antiqua"/>
        </w:rPr>
      </w:pPr>
    </w:p>
    <w:p w14:paraId="164376BC"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Key Words: </w:t>
      </w:r>
      <w:r w:rsidRPr="001913E3">
        <w:rPr>
          <w:rFonts w:ascii="Book Antiqua" w:eastAsia="Book Antiqua" w:hAnsi="Book Antiqua" w:cs="Book Antiqua"/>
        </w:rPr>
        <w:t>Nivolumab; Immune checkpoint inhibitors; Tumour-like gastritis; Proton pump inhibitors</w:t>
      </w:r>
      <w:r w:rsidR="002468BD" w:rsidRPr="001913E3">
        <w:rPr>
          <w:rFonts w:ascii="Book Antiqua" w:eastAsia="Book Antiqua" w:hAnsi="Book Antiqua" w:cs="Book Antiqua"/>
        </w:rPr>
        <w:t>; Case report</w:t>
      </w:r>
    </w:p>
    <w:p w14:paraId="352EB874" w14:textId="77777777" w:rsidR="00A77B3E" w:rsidRPr="001913E3" w:rsidRDefault="00A77B3E" w:rsidP="001913E3">
      <w:pPr>
        <w:spacing w:line="360" w:lineRule="auto"/>
        <w:jc w:val="both"/>
        <w:rPr>
          <w:rFonts w:ascii="Book Antiqua" w:hAnsi="Book Antiqua"/>
        </w:rPr>
      </w:pPr>
    </w:p>
    <w:p w14:paraId="5C670FC8" w14:textId="35BE1898"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Cijauskaite E, </w:t>
      </w:r>
      <w:r w:rsidR="005F1EE4" w:rsidRPr="001913E3">
        <w:rPr>
          <w:rFonts w:ascii="Book Antiqua" w:eastAsia="Book Antiqua" w:hAnsi="Book Antiqua" w:cs="Book Antiqua"/>
        </w:rPr>
        <w:t>Kazenaite E</w:t>
      </w:r>
      <w:r w:rsidR="005F1EE4">
        <w:rPr>
          <w:rFonts w:ascii="Book Antiqua" w:eastAsia="Book Antiqua" w:hAnsi="Book Antiqua" w:cs="Book Antiqua"/>
        </w:rPr>
        <w:t>,</w:t>
      </w:r>
      <w:r w:rsidR="005F1EE4" w:rsidRPr="001913E3">
        <w:rPr>
          <w:rFonts w:ascii="Book Antiqua" w:eastAsia="Book Antiqua" w:hAnsi="Book Antiqua" w:cs="Book Antiqua"/>
        </w:rPr>
        <w:t xml:space="preserve"> </w:t>
      </w:r>
      <w:r w:rsidRPr="001913E3">
        <w:rPr>
          <w:rFonts w:ascii="Book Antiqua" w:eastAsia="Book Antiqua" w:hAnsi="Book Antiqua" w:cs="Book Antiqua"/>
        </w:rPr>
        <w:t xml:space="preserve">Strainiene S, Kurlinkus B, Sadauskaite G. Nivolumab-induced tumour-like gastritis: </w:t>
      </w:r>
      <w:r w:rsidR="00DF2C09" w:rsidRPr="001913E3">
        <w:rPr>
          <w:rFonts w:ascii="Book Antiqua" w:eastAsia="Book Antiqua" w:hAnsi="Book Antiqua" w:cs="Book Antiqua"/>
        </w:rPr>
        <w:t xml:space="preserve">A </w:t>
      </w:r>
      <w:r w:rsidRPr="001913E3">
        <w:rPr>
          <w:rFonts w:ascii="Book Antiqua" w:eastAsia="Book Antiqua" w:hAnsi="Book Antiqua" w:cs="Book Antiqua"/>
        </w:rPr>
        <w:t xml:space="preserve">case report. </w:t>
      </w:r>
      <w:r w:rsidRPr="001913E3">
        <w:rPr>
          <w:rFonts w:ascii="Book Antiqua" w:eastAsia="Book Antiqua" w:hAnsi="Book Antiqua" w:cs="Book Antiqua"/>
          <w:i/>
          <w:iCs/>
        </w:rPr>
        <w:t>World J Clin Cases</w:t>
      </w:r>
      <w:r w:rsidRPr="001913E3">
        <w:rPr>
          <w:rFonts w:ascii="Book Antiqua" w:eastAsia="Book Antiqua" w:hAnsi="Book Antiqua" w:cs="Book Antiqua"/>
        </w:rPr>
        <w:t xml:space="preserve"> 2023; In press</w:t>
      </w:r>
    </w:p>
    <w:p w14:paraId="78D55D18" w14:textId="77777777" w:rsidR="00A77B3E" w:rsidRPr="001913E3" w:rsidRDefault="00A77B3E" w:rsidP="001913E3">
      <w:pPr>
        <w:spacing w:line="360" w:lineRule="auto"/>
        <w:jc w:val="both"/>
        <w:rPr>
          <w:rFonts w:ascii="Book Antiqua" w:hAnsi="Book Antiqua"/>
        </w:rPr>
      </w:pPr>
    </w:p>
    <w:p w14:paraId="2C616213"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Core Tip: </w:t>
      </w:r>
      <w:r w:rsidRPr="001913E3">
        <w:rPr>
          <w:rFonts w:ascii="Book Antiqua" w:eastAsia="Book Antiqua" w:hAnsi="Book Antiqua" w:cs="Book Antiqua"/>
          <w:shd w:val="clear" w:color="auto" w:fill="FFFFFF"/>
        </w:rPr>
        <w:t xml:space="preserve">Nivolumab-induced gastritis is a less common immune-related adverse event of nivolumab. The most common symptoms include nausea, pain, diarrhea, loss of appetite, and weight loss. Esophagogastroduodenoscopy and biopsy are the most important diagnostic tools. In most cases, gastritis is </w:t>
      </w:r>
      <w:r w:rsidRPr="001913E3">
        <w:rPr>
          <w:rFonts w:ascii="Book Antiqua" w:eastAsia="Book Antiqua" w:hAnsi="Book Antiqua" w:cs="Book Antiqua"/>
          <w:color w:val="000000"/>
          <w:shd w:val="clear" w:color="auto" w:fill="FFFFFF"/>
        </w:rPr>
        <w:t>treated</w:t>
      </w:r>
      <w:r w:rsidRPr="001913E3">
        <w:rPr>
          <w:rFonts w:ascii="Book Antiqua" w:eastAsia="Book Antiqua" w:hAnsi="Book Antiqua" w:cs="Book Antiqua"/>
          <w:shd w:val="clear" w:color="auto" w:fill="FFFFFF"/>
        </w:rPr>
        <w:t xml:space="preserve"> with </w:t>
      </w:r>
      <w:r w:rsidRPr="001913E3">
        <w:rPr>
          <w:rFonts w:ascii="Book Antiqua" w:eastAsia="Book Antiqua" w:hAnsi="Book Antiqua" w:cs="Book Antiqua"/>
          <w:color w:val="000000"/>
          <w:shd w:val="clear" w:color="auto" w:fill="FFFFFF"/>
        </w:rPr>
        <w:t>corticosteroids</w:t>
      </w:r>
      <w:r w:rsidRPr="001913E3">
        <w:rPr>
          <w:rFonts w:ascii="Book Antiqua" w:eastAsia="Book Antiqua" w:hAnsi="Book Antiqua" w:cs="Book Antiqua"/>
          <w:shd w:val="clear" w:color="auto" w:fill="FFFFFF"/>
        </w:rPr>
        <w:t xml:space="preserve"> in combination with proton pump inhibitors. In our case, the patient was successfully treated with omeprazole monotherapy.</w:t>
      </w:r>
    </w:p>
    <w:p w14:paraId="2EFC2C39" w14:textId="77777777" w:rsidR="00A77B3E" w:rsidRPr="001913E3" w:rsidRDefault="00A77B3E" w:rsidP="001913E3">
      <w:pPr>
        <w:spacing w:line="360" w:lineRule="auto"/>
        <w:jc w:val="both"/>
        <w:rPr>
          <w:rFonts w:ascii="Book Antiqua" w:hAnsi="Book Antiqua"/>
        </w:rPr>
      </w:pPr>
    </w:p>
    <w:p w14:paraId="1B395ED3"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INTRODUCTION</w:t>
      </w:r>
    </w:p>
    <w:p w14:paraId="02F78F82" w14:textId="7272FD49"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Immune checkpoint inhibitors (ICIs) are a novel treatment option for various types of cancer, </w:t>
      </w:r>
      <w:r w:rsidR="00AB6839">
        <w:rPr>
          <w:rFonts w:ascii="Book Antiqua" w:eastAsia="Book Antiqua" w:hAnsi="Book Antiqua" w:cs="Book Antiqua"/>
          <w:color w:val="000000"/>
        </w:rPr>
        <w:t>including</w:t>
      </w:r>
      <w:r w:rsidRPr="001913E3">
        <w:rPr>
          <w:rFonts w:ascii="Book Antiqua" w:eastAsia="Book Antiqua" w:hAnsi="Book Antiqua" w:cs="Book Antiqua"/>
          <w:color w:val="000000"/>
        </w:rPr>
        <w:t xml:space="preserve"> non-small cell lung carcinoma</w:t>
      </w:r>
      <w:r w:rsidRPr="001913E3">
        <w:rPr>
          <w:rFonts w:ascii="Book Antiqua" w:eastAsia="Book Antiqua" w:hAnsi="Book Antiqua" w:cs="Book Antiqua"/>
          <w:color w:val="000000"/>
          <w:vertAlign w:val="superscript"/>
        </w:rPr>
        <w:t>[1]</w:t>
      </w:r>
      <w:r w:rsidRPr="001913E3">
        <w:rPr>
          <w:rFonts w:ascii="Book Antiqua" w:eastAsia="Book Antiqua" w:hAnsi="Book Antiqua" w:cs="Book Antiqua"/>
          <w:color w:val="000000"/>
        </w:rPr>
        <w:t>. ICIs, such as cytotoxic T-lymphocyte-associated protein 4 (CTLA-4) and programmed cell death protein 1 (PD-1) inhibitors, facilitate cancer cell destruction through either CTLA-4 or PD-1 receptor pathway blockade, thus reversing cancer tolerance of the immune system. However, due to the ICIs mechanism of action, the toxicity of therapy is also immune-mediated</w:t>
      </w:r>
      <w:r w:rsidRPr="001913E3">
        <w:rPr>
          <w:rFonts w:ascii="Book Antiqua" w:eastAsia="Book Antiqua" w:hAnsi="Book Antiqua" w:cs="Book Antiqua"/>
          <w:color w:val="000000"/>
          <w:vertAlign w:val="superscript"/>
        </w:rPr>
        <w:t>[2,3]</w:t>
      </w:r>
      <w:r w:rsidRPr="001913E3">
        <w:rPr>
          <w:rFonts w:ascii="Book Antiqua" w:eastAsia="Book Antiqua" w:hAnsi="Book Antiqua" w:cs="Book Antiqua"/>
          <w:color w:val="000000"/>
        </w:rPr>
        <w:t>.</w:t>
      </w:r>
    </w:p>
    <w:p w14:paraId="6E49334F" w14:textId="77777777" w:rsidR="00A77B3E" w:rsidRPr="001913E3" w:rsidRDefault="00982974" w:rsidP="001913E3">
      <w:pPr>
        <w:spacing w:line="360" w:lineRule="auto"/>
        <w:ind w:firstLineChars="200" w:firstLine="480"/>
        <w:jc w:val="both"/>
        <w:rPr>
          <w:rFonts w:ascii="Book Antiqua" w:hAnsi="Book Antiqua"/>
        </w:rPr>
      </w:pPr>
      <w:r w:rsidRPr="001913E3">
        <w:rPr>
          <w:rFonts w:ascii="Book Antiqua" w:eastAsia="Book Antiqua" w:hAnsi="Book Antiqua" w:cs="Book Antiqua"/>
          <w:color w:val="000000"/>
        </w:rPr>
        <w:t>We present a patient who developed ICI-induced gastritis after nivolumab immunotherapy and was successfully treated with proton pump inhibitor (PPI) monotherapy (</w:t>
      </w:r>
      <w:r w:rsidRPr="001913E3">
        <w:rPr>
          <w:rFonts w:ascii="Book Antiqua" w:eastAsia="Book Antiqua" w:hAnsi="Book Antiqua" w:cs="Book Antiqua"/>
          <w:bCs/>
          <w:iCs/>
          <w:color w:val="000000"/>
        </w:rPr>
        <w:t>Table 1</w:t>
      </w:r>
      <w:r w:rsidRPr="001913E3">
        <w:rPr>
          <w:rFonts w:ascii="Book Antiqua" w:eastAsia="Book Antiqua" w:hAnsi="Book Antiqua" w:cs="Book Antiqua"/>
          <w:color w:val="000000"/>
        </w:rPr>
        <w:t>). We also provide a short review of the literature that is similar to the cases already described by other authors (</w:t>
      </w:r>
      <w:r w:rsidRPr="001913E3">
        <w:rPr>
          <w:rFonts w:ascii="Book Antiqua" w:eastAsia="Book Antiqua" w:hAnsi="Book Antiqua" w:cs="Book Antiqua"/>
          <w:bCs/>
          <w:iCs/>
          <w:color w:val="000000"/>
        </w:rPr>
        <w:t>Table 2</w:t>
      </w:r>
      <w:r w:rsidRPr="001913E3">
        <w:rPr>
          <w:rFonts w:ascii="Book Antiqua" w:eastAsia="Book Antiqua" w:hAnsi="Book Antiqua" w:cs="Book Antiqua"/>
          <w:iCs/>
          <w:color w:val="000000"/>
        </w:rPr>
        <w:t>)</w:t>
      </w:r>
      <w:r w:rsidRPr="001913E3">
        <w:rPr>
          <w:rFonts w:ascii="Book Antiqua" w:eastAsia="Book Antiqua" w:hAnsi="Book Antiqua" w:cs="Book Antiqua"/>
          <w:color w:val="000000"/>
        </w:rPr>
        <w:t>.</w:t>
      </w:r>
    </w:p>
    <w:p w14:paraId="094249AD" w14:textId="77777777" w:rsidR="00A77B3E" w:rsidRPr="001913E3" w:rsidRDefault="00A77B3E" w:rsidP="001913E3">
      <w:pPr>
        <w:spacing w:line="360" w:lineRule="auto"/>
        <w:jc w:val="both"/>
        <w:rPr>
          <w:rFonts w:ascii="Book Antiqua" w:hAnsi="Book Antiqua"/>
        </w:rPr>
      </w:pPr>
    </w:p>
    <w:p w14:paraId="4F113283"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CASE PRESENTATION</w:t>
      </w:r>
    </w:p>
    <w:p w14:paraId="61CB9C10"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i/>
          <w:color w:val="000000"/>
        </w:rPr>
        <w:t>Chief complaints</w:t>
      </w:r>
    </w:p>
    <w:p w14:paraId="5B2EEECC"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A 64-year-old Caucasian woman experiencing diarrhea, nausea, early satiety and discomfort in the upper abdominal region was referred for a gastroenterologist consultation by her pulmonologist.</w:t>
      </w:r>
    </w:p>
    <w:p w14:paraId="328BF1E9" w14:textId="77777777" w:rsidR="00A77B3E" w:rsidRPr="001913E3" w:rsidRDefault="00A77B3E" w:rsidP="001913E3">
      <w:pPr>
        <w:spacing w:line="360" w:lineRule="auto"/>
        <w:jc w:val="both"/>
        <w:rPr>
          <w:rFonts w:ascii="Book Antiqua" w:hAnsi="Book Antiqua"/>
        </w:rPr>
      </w:pPr>
    </w:p>
    <w:p w14:paraId="3DCC3D67"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i/>
          <w:color w:val="000000"/>
        </w:rPr>
        <w:t>History of present illness</w:t>
      </w:r>
    </w:p>
    <w:p w14:paraId="5F5C7660" w14:textId="3D82074E"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The patient was diagnosed with poorly differentiated metastatic non-small cell lung carcinoma (G3) (T2aN1M1a) in 2018. She received chemotherapy with carboplatin, paclitaxel, and bevacizumab. After the initial good response, the oncological disease relapsed in 2019, and treatment with </w:t>
      </w:r>
      <w:r w:rsidR="00AB6839">
        <w:rPr>
          <w:rFonts w:ascii="Book Antiqua" w:eastAsia="Book Antiqua" w:hAnsi="Book Antiqua" w:cs="Book Antiqua"/>
          <w:color w:val="000000"/>
        </w:rPr>
        <w:t>n</w:t>
      </w:r>
      <w:r w:rsidRPr="001913E3">
        <w:rPr>
          <w:rFonts w:ascii="Book Antiqua" w:eastAsia="Book Antiqua" w:hAnsi="Book Antiqua" w:cs="Book Antiqua"/>
          <w:color w:val="000000"/>
        </w:rPr>
        <w:t xml:space="preserve">ivolumab was started. At first, the patient tolerated immunotherapy well, but after the seventh course of </w:t>
      </w:r>
      <w:r w:rsidR="00AB6839">
        <w:rPr>
          <w:rFonts w:ascii="Book Antiqua" w:eastAsia="Book Antiqua" w:hAnsi="Book Antiqua" w:cs="Book Antiqua"/>
          <w:color w:val="000000"/>
        </w:rPr>
        <w:t>n</w:t>
      </w:r>
      <w:r w:rsidRPr="001913E3">
        <w:rPr>
          <w:rFonts w:ascii="Book Antiqua" w:eastAsia="Book Antiqua" w:hAnsi="Book Antiqua" w:cs="Book Antiqua"/>
          <w:color w:val="000000"/>
        </w:rPr>
        <w:t xml:space="preserve">ivolumab, the patient was diagnosed with diabetes possibly caused by immunotherapy-associated beta cell destruction. Diabetes was managed with insulin therapy. In December 2020, after 64 courses of </w:t>
      </w:r>
      <w:r w:rsidR="00AB6839">
        <w:rPr>
          <w:rFonts w:ascii="Book Antiqua" w:eastAsia="Book Antiqua" w:hAnsi="Book Antiqua" w:cs="Book Antiqua"/>
          <w:color w:val="000000"/>
        </w:rPr>
        <w:t>n</w:t>
      </w:r>
      <w:r w:rsidRPr="001913E3">
        <w:rPr>
          <w:rFonts w:ascii="Book Antiqua" w:eastAsia="Book Antiqua" w:hAnsi="Book Antiqua" w:cs="Book Antiqua"/>
          <w:color w:val="000000"/>
        </w:rPr>
        <w:t xml:space="preserve">ivolumab therapy, the patient started experiencing diarrhea, nausea without vomiting, early satiety and upper abdominal discomfort. In February 2021, after performing an esophagogastroduodenoscopy (EGD) with biopsy, the patient was diagnosed with ICI-induced gastritis. Initial omeprazole treatment was effective and well tolerated, and thus continued. During the following years, several EGDs with biopsies and abdominal </w:t>
      </w:r>
      <w:r w:rsidR="00043143" w:rsidRPr="001913E3">
        <w:rPr>
          <w:rFonts w:ascii="Book Antiqua" w:eastAsia="Book Antiqua" w:hAnsi="Book Antiqua" w:cs="Book Antiqua"/>
          <w:color w:val="000000"/>
        </w:rPr>
        <w:t>computed tomography</w:t>
      </w:r>
      <w:r w:rsidRPr="001913E3">
        <w:rPr>
          <w:rFonts w:ascii="Book Antiqua" w:eastAsia="Book Antiqua" w:hAnsi="Book Antiqua" w:cs="Book Antiqua"/>
          <w:color w:val="000000"/>
        </w:rPr>
        <w:t xml:space="preserve"> (CT) scans were performed to evaluate the endoscopic, pathohistological, and radiological response to treatment and the natural course of the disease. The course of the disease and its treatment are presented in </w:t>
      </w:r>
      <w:r w:rsidRPr="001913E3">
        <w:rPr>
          <w:rFonts w:ascii="Book Antiqua" w:eastAsia="Book Antiqua" w:hAnsi="Book Antiqua" w:cs="Book Antiqua"/>
          <w:bCs/>
          <w:iCs/>
          <w:color w:val="000000"/>
        </w:rPr>
        <w:t>Table 1</w:t>
      </w:r>
      <w:r w:rsidRPr="001913E3">
        <w:rPr>
          <w:rFonts w:ascii="Book Antiqua" w:eastAsia="Book Antiqua" w:hAnsi="Book Antiqua" w:cs="Book Antiqua"/>
          <w:color w:val="000000"/>
        </w:rPr>
        <w:t>.</w:t>
      </w:r>
    </w:p>
    <w:p w14:paraId="79363888" w14:textId="77777777" w:rsidR="00A77B3E" w:rsidRPr="001913E3" w:rsidRDefault="00A77B3E" w:rsidP="001913E3">
      <w:pPr>
        <w:spacing w:line="360" w:lineRule="auto"/>
        <w:jc w:val="both"/>
        <w:rPr>
          <w:rFonts w:ascii="Book Antiqua" w:hAnsi="Book Antiqua"/>
        </w:rPr>
      </w:pPr>
    </w:p>
    <w:p w14:paraId="3023BCA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i/>
          <w:color w:val="000000"/>
        </w:rPr>
        <w:t>History of past illness</w:t>
      </w:r>
    </w:p>
    <w:p w14:paraId="660A420A"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The patient denied any other chronic diseases or the concomitant use of other medications. She underwent conization of the cervix and tonsillectomy.</w:t>
      </w:r>
    </w:p>
    <w:p w14:paraId="329469E0" w14:textId="77777777" w:rsidR="00A77B3E" w:rsidRPr="001913E3" w:rsidRDefault="00A77B3E" w:rsidP="001913E3">
      <w:pPr>
        <w:spacing w:line="360" w:lineRule="auto"/>
        <w:jc w:val="both"/>
        <w:rPr>
          <w:rFonts w:ascii="Book Antiqua" w:hAnsi="Book Antiqua"/>
        </w:rPr>
      </w:pPr>
    </w:p>
    <w:p w14:paraId="02AE93F7"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i/>
          <w:color w:val="000000"/>
        </w:rPr>
        <w:lastRenderedPageBreak/>
        <w:t>Personal and family history</w:t>
      </w:r>
    </w:p>
    <w:p w14:paraId="7E6F192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The patient denied allergy to food or drugs. She developed a rash after the first course of chemotherapy. Her family history was insignificant.</w:t>
      </w:r>
    </w:p>
    <w:p w14:paraId="07261199" w14:textId="77777777" w:rsidR="00A77B3E" w:rsidRPr="001913E3" w:rsidRDefault="00A77B3E" w:rsidP="001913E3">
      <w:pPr>
        <w:spacing w:line="360" w:lineRule="auto"/>
        <w:jc w:val="both"/>
        <w:rPr>
          <w:rFonts w:ascii="Book Antiqua" w:hAnsi="Book Antiqua"/>
        </w:rPr>
      </w:pPr>
    </w:p>
    <w:p w14:paraId="5A7DC5D0"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i/>
          <w:color w:val="000000"/>
        </w:rPr>
        <w:t>Physical examination</w:t>
      </w:r>
    </w:p>
    <w:p w14:paraId="261AB559" w14:textId="00C4D5A9"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The patient was slightly underweight (</w:t>
      </w:r>
      <w:r w:rsidR="00C25995" w:rsidRPr="001913E3">
        <w:rPr>
          <w:rFonts w:ascii="Book Antiqua" w:eastAsia="Book Antiqua" w:hAnsi="Book Antiqua" w:cs="Book Antiqua"/>
          <w:color w:val="000000"/>
        </w:rPr>
        <w:t>body mass index</w:t>
      </w:r>
      <w:r w:rsidRPr="001913E3">
        <w:rPr>
          <w:rFonts w:ascii="Book Antiqua" w:eastAsia="Book Antiqua" w:hAnsi="Book Antiqua" w:cs="Book Antiqua"/>
          <w:color w:val="000000"/>
        </w:rPr>
        <w:t xml:space="preserve"> 18.22 kg/m</w:t>
      </w:r>
      <w:r w:rsidRPr="001913E3">
        <w:rPr>
          <w:rFonts w:ascii="Book Antiqua" w:eastAsia="Book Antiqua" w:hAnsi="Book Antiqua" w:cs="Book Antiqua"/>
          <w:color w:val="000000"/>
          <w:vertAlign w:val="superscript"/>
        </w:rPr>
        <w:t>2</w:t>
      </w:r>
      <w:r w:rsidRPr="001913E3">
        <w:rPr>
          <w:rFonts w:ascii="Book Antiqua" w:eastAsia="Book Antiqua" w:hAnsi="Book Antiqua" w:cs="Book Antiqua"/>
          <w:color w:val="000000"/>
        </w:rPr>
        <w:t>). No other significant changes were detected.</w:t>
      </w:r>
    </w:p>
    <w:p w14:paraId="69ABE9AD" w14:textId="77777777" w:rsidR="00A77B3E" w:rsidRPr="001913E3" w:rsidRDefault="00A77B3E" w:rsidP="001913E3">
      <w:pPr>
        <w:spacing w:line="360" w:lineRule="auto"/>
        <w:jc w:val="both"/>
        <w:rPr>
          <w:rFonts w:ascii="Book Antiqua" w:hAnsi="Book Antiqua"/>
        </w:rPr>
      </w:pPr>
    </w:p>
    <w:p w14:paraId="0330839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i/>
          <w:color w:val="000000"/>
        </w:rPr>
        <w:t>Laboratory examinations</w:t>
      </w:r>
    </w:p>
    <w:p w14:paraId="7735075A"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No remarkable abnormalities were observed in the patient’s recent blood laboratory examination results.</w:t>
      </w:r>
    </w:p>
    <w:p w14:paraId="4867FD2F" w14:textId="77777777" w:rsidR="00A77B3E" w:rsidRPr="001913E3" w:rsidRDefault="00A77B3E" w:rsidP="001913E3">
      <w:pPr>
        <w:spacing w:line="360" w:lineRule="auto"/>
        <w:jc w:val="both"/>
        <w:rPr>
          <w:rFonts w:ascii="Book Antiqua" w:hAnsi="Book Antiqua"/>
        </w:rPr>
      </w:pPr>
    </w:p>
    <w:p w14:paraId="5868DDCC"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i/>
          <w:color w:val="000000"/>
        </w:rPr>
        <w:t>Imaging examinations</w:t>
      </w:r>
    </w:p>
    <w:p w14:paraId="4A11C043" w14:textId="60C08F12"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To evaluate the possible origin of symptoms related to upper gastrointestinal tract dysfunction, an EGD with multiple biopsies was performed</w:t>
      </w:r>
      <w:r w:rsidR="000B0272" w:rsidRPr="001913E3">
        <w:rPr>
          <w:rFonts w:ascii="Book Antiqua" w:eastAsia="Book Antiqua" w:hAnsi="Book Antiqua" w:cs="Book Antiqua"/>
          <w:color w:val="000000"/>
          <w:vertAlign w:val="superscript"/>
        </w:rPr>
        <w:t>[1]</w:t>
      </w:r>
      <w:r w:rsidRPr="001913E3">
        <w:rPr>
          <w:rFonts w:ascii="Book Antiqua" w:eastAsia="Book Antiqua" w:hAnsi="Book Antiqua" w:cs="Book Antiqua"/>
          <w:color w:val="000000"/>
        </w:rPr>
        <w:t xml:space="preserve">. Colonoscopy was not performed due to typical upper gastrointestinal symptoms. Tumour-like endoscopic changes in the stomach were found. The stomach mucosa was covered with whitish plaques throughout the entire stomach, affecting the course of the gastric folds in the upper curve. However, </w:t>
      </w:r>
      <w:r w:rsidR="00AB6839">
        <w:rPr>
          <w:rFonts w:ascii="Book Antiqua" w:eastAsia="Book Antiqua" w:hAnsi="Book Antiqua" w:cs="Book Antiqua"/>
          <w:color w:val="000000"/>
        </w:rPr>
        <w:t>following</w:t>
      </w:r>
      <w:r w:rsidRPr="001913E3">
        <w:rPr>
          <w:rFonts w:ascii="Book Antiqua" w:eastAsia="Book Antiqua" w:hAnsi="Book Antiqua" w:cs="Book Antiqua"/>
          <w:color w:val="000000"/>
        </w:rPr>
        <w:t xml:space="preserve"> air insufflat</w:t>
      </w:r>
      <w:r w:rsidR="00AB6839">
        <w:rPr>
          <w:rFonts w:ascii="Book Antiqua" w:eastAsia="Book Antiqua" w:hAnsi="Book Antiqua" w:cs="Book Antiqua"/>
          <w:color w:val="000000"/>
        </w:rPr>
        <w:t>ion</w:t>
      </w:r>
      <w:r w:rsidRPr="001913E3">
        <w:rPr>
          <w:rFonts w:ascii="Book Antiqua" w:eastAsia="Book Antiqua" w:hAnsi="Book Antiqua" w:cs="Book Antiqua"/>
          <w:color w:val="000000"/>
        </w:rPr>
        <w:t>, the folds were almost completely smoothed out. In the pre</w:t>
      </w:r>
      <w:r w:rsidR="00291238">
        <w:rPr>
          <w:rFonts w:ascii="Book Antiqua" w:eastAsia="Book Antiqua" w:hAnsi="Book Antiqua" w:cs="Book Antiqua"/>
          <w:color w:val="000000"/>
        </w:rPr>
        <w:t>-</w:t>
      </w:r>
      <w:r w:rsidRPr="001913E3">
        <w:rPr>
          <w:rFonts w:ascii="Book Antiqua" w:eastAsia="Book Antiqua" w:hAnsi="Book Antiqua" w:cs="Book Antiqua"/>
          <w:color w:val="000000"/>
        </w:rPr>
        <w:t>p</w:t>
      </w:r>
      <w:r w:rsidR="00291238">
        <w:rPr>
          <w:rFonts w:ascii="Book Antiqua" w:eastAsia="Book Antiqua" w:hAnsi="Book Antiqua" w:cs="Book Antiqua"/>
          <w:color w:val="000000"/>
        </w:rPr>
        <w:t>ap</w:t>
      </w:r>
      <w:r w:rsidRPr="001913E3">
        <w:rPr>
          <w:rFonts w:ascii="Book Antiqua" w:eastAsia="Book Antiqua" w:hAnsi="Book Antiqua" w:cs="Book Antiqua"/>
          <w:color w:val="000000"/>
        </w:rPr>
        <w:t>illary region, the mucosa was thicker</w:t>
      </w:r>
      <w:r w:rsidRPr="001913E3">
        <w:rPr>
          <w:rFonts w:ascii="Book Antiqua" w:eastAsia="Book Antiqua" w:hAnsi="Book Antiqua" w:cs="Book Antiqua"/>
          <w:bCs/>
          <w:iCs/>
          <w:color w:val="000000"/>
        </w:rPr>
        <w:t xml:space="preserve"> (Figure 1</w:t>
      </w:r>
      <w:r w:rsidR="00672D1F">
        <w:rPr>
          <w:rFonts w:ascii="Book Antiqua" w:eastAsia="Book Antiqua" w:hAnsi="Book Antiqua" w:cs="Book Antiqua"/>
          <w:bCs/>
          <w:iCs/>
          <w:color w:val="000000"/>
        </w:rPr>
        <w:t>A</w:t>
      </w:r>
      <w:r w:rsidRPr="001913E3">
        <w:rPr>
          <w:rFonts w:ascii="Book Antiqua" w:eastAsia="Book Antiqua" w:hAnsi="Book Antiqua" w:cs="Book Antiqua"/>
          <w:bCs/>
          <w:iCs/>
          <w:color w:val="000000"/>
        </w:rPr>
        <w:t>)</w:t>
      </w:r>
      <w:r w:rsidRPr="001913E3">
        <w:rPr>
          <w:rFonts w:ascii="Book Antiqua" w:eastAsia="Book Antiqua" w:hAnsi="Book Antiqua" w:cs="Book Antiqua"/>
          <w:color w:val="000000"/>
        </w:rPr>
        <w:t xml:space="preserve">. </w:t>
      </w:r>
      <w:r w:rsidR="00291238">
        <w:rPr>
          <w:rFonts w:ascii="Book Antiqua" w:eastAsia="Book Antiqua" w:hAnsi="Book Antiqua" w:cs="Book Antiqua"/>
          <w:color w:val="000000"/>
        </w:rPr>
        <w:t>An i</w:t>
      </w:r>
      <w:r w:rsidRPr="001913E3">
        <w:rPr>
          <w:rFonts w:ascii="Book Antiqua" w:eastAsia="Book Antiqua" w:hAnsi="Book Antiqua" w:cs="Book Antiqua"/>
          <w:color w:val="000000"/>
        </w:rPr>
        <w:t>nfiltrating stomach neoplasm was suspected</w:t>
      </w:r>
      <w:r w:rsidR="00291238">
        <w:rPr>
          <w:rFonts w:ascii="Book Antiqua" w:eastAsia="Book Antiqua" w:hAnsi="Book Antiqua" w:cs="Book Antiqua"/>
          <w:color w:val="000000"/>
        </w:rPr>
        <w:t>;</w:t>
      </w:r>
      <w:r w:rsidRPr="001913E3">
        <w:rPr>
          <w:rFonts w:ascii="Book Antiqua" w:eastAsia="Book Antiqua" w:hAnsi="Book Antiqua" w:cs="Book Antiqua"/>
          <w:color w:val="000000"/>
        </w:rPr>
        <w:t xml:space="preserve"> therefore</w:t>
      </w:r>
      <w:r w:rsidR="00291238">
        <w:rPr>
          <w:rFonts w:ascii="Book Antiqua" w:eastAsia="Book Antiqua" w:hAnsi="Book Antiqua" w:cs="Book Antiqua"/>
          <w:color w:val="000000"/>
        </w:rPr>
        <w:t>,</w:t>
      </w:r>
      <w:r w:rsidRPr="001913E3">
        <w:rPr>
          <w:rFonts w:ascii="Book Antiqua" w:eastAsia="Book Antiqua" w:hAnsi="Book Antiqua" w:cs="Book Antiqua"/>
          <w:color w:val="000000"/>
        </w:rPr>
        <w:t xml:space="preserve"> an abdominal CT scan was performed. </w:t>
      </w:r>
      <w:r w:rsidR="00291238">
        <w:rPr>
          <w:rFonts w:ascii="Book Antiqua" w:eastAsia="Book Antiqua" w:hAnsi="Book Antiqua" w:cs="Book Antiqua"/>
          <w:color w:val="000000"/>
        </w:rPr>
        <w:t>The scan</w:t>
      </w:r>
      <w:r w:rsidRPr="001913E3">
        <w:rPr>
          <w:rFonts w:ascii="Book Antiqua" w:eastAsia="Book Antiqua" w:hAnsi="Book Antiqua" w:cs="Book Antiqua"/>
          <w:color w:val="000000"/>
        </w:rPr>
        <w:t xml:space="preserve"> revealed stomach changes related to chronic gastritis: the wall of the pyloric part of the stomach was evenly thickened, and edematous, the mucosa clearly differentiated, diffusely </w:t>
      </w:r>
      <w:r w:rsidR="00291238">
        <w:rPr>
          <w:rFonts w:ascii="Book Antiqua" w:eastAsia="Book Antiqua" w:hAnsi="Book Antiqua" w:cs="Book Antiqua"/>
          <w:color w:val="000000"/>
        </w:rPr>
        <w:t xml:space="preserve">and </w:t>
      </w:r>
      <w:r w:rsidRPr="001913E3">
        <w:rPr>
          <w:rFonts w:ascii="Book Antiqua" w:eastAsia="Book Antiqua" w:hAnsi="Book Antiqua" w:cs="Book Antiqua"/>
          <w:color w:val="000000"/>
        </w:rPr>
        <w:t xml:space="preserve">more intensively accumulated contrast material, </w:t>
      </w:r>
      <w:r w:rsidR="00291238">
        <w:rPr>
          <w:rFonts w:ascii="Book Antiqua" w:eastAsia="Book Antiqua" w:hAnsi="Book Antiqua" w:cs="Book Antiqua"/>
          <w:color w:val="000000"/>
        </w:rPr>
        <w:t xml:space="preserve">and </w:t>
      </w:r>
      <w:r w:rsidRPr="001913E3">
        <w:rPr>
          <w:rFonts w:ascii="Book Antiqua" w:eastAsia="Book Antiqua" w:hAnsi="Book Antiqua" w:cs="Book Antiqua"/>
          <w:color w:val="000000"/>
        </w:rPr>
        <w:t xml:space="preserve">clear masses were not differentiated. The stomach body wall was evenly stretched, not thickened </w:t>
      </w:r>
      <w:r w:rsidRPr="001913E3">
        <w:rPr>
          <w:rFonts w:ascii="Book Antiqua" w:eastAsia="Book Antiqua" w:hAnsi="Book Antiqua" w:cs="Book Antiqua"/>
          <w:bCs/>
          <w:iCs/>
          <w:color w:val="000000"/>
        </w:rPr>
        <w:t>(Figure 2)</w:t>
      </w:r>
      <w:r w:rsidRPr="001913E3">
        <w:rPr>
          <w:rFonts w:ascii="Book Antiqua" w:eastAsia="Book Antiqua" w:hAnsi="Book Antiqua" w:cs="Book Antiqua"/>
          <w:color w:val="000000"/>
        </w:rPr>
        <w:t>.</w:t>
      </w:r>
    </w:p>
    <w:p w14:paraId="2609AC6C" w14:textId="77777777" w:rsidR="00A77B3E" w:rsidRPr="001913E3" w:rsidRDefault="00A77B3E" w:rsidP="001913E3">
      <w:pPr>
        <w:spacing w:line="360" w:lineRule="auto"/>
        <w:jc w:val="both"/>
        <w:rPr>
          <w:rFonts w:ascii="Book Antiqua" w:hAnsi="Book Antiqua"/>
        </w:rPr>
      </w:pPr>
    </w:p>
    <w:p w14:paraId="5C287C2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caps/>
          <w:color w:val="000000"/>
          <w:u w:val="single"/>
        </w:rPr>
        <w:t>Pathological findings</w:t>
      </w:r>
    </w:p>
    <w:p w14:paraId="182FEAF7" w14:textId="6F413470" w:rsidR="00A77B3E" w:rsidRPr="001913E3" w:rsidRDefault="00291238" w:rsidP="001913E3">
      <w:pPr>
        <w:spacing w:line="360" w:lineRule="auto"/>
        <w:jc w:val="both"/>
        <w:rPr>
          <w:rFonts w:ascii="Book Antiqua" w:hAnsi="Book Antiqua"/>
        </w:rPr>
      </w:pPr>
      <w:r>
        <w:rPr>
          <w:rFonts w:ascii="Book Antiqua" w:eastAsia="Book Antiqua" w:hAnsi="Book Antiqua" w:cs="Book Antiqua"/>
          <w:color w:val="000000"/>
        </w:rPr>
        <w:lastRenderedPageBreak/>
        <w:t>P</w:t>
      </w:r>
      <w:r w:rsidR="00982974" w:rsidRPr="001913E3">
        <w:rPr>
          <w:rFonts w:ascii="Book Antiqua" w:eastAsia="Book Antiqua" w:hAnsi="Book Antiqua" w:cs="Book Antiqua"/>
          <w:color w:val="000000"/>
        </w:rPr>
        <w:t xml:space="preserve">athohistological examination of biopsies from the first upper gastrointestinal endoscopy </w:t>
      </w:r>
      <w:r>
        <w:rPr>
          <w:rFonts w:ascii="Book Antiqua" w:eastAsia="Book Antiqua" w:hAnsi="Book Antiqua" w:cs="Book Antiqua"/>
          <w:color w:val="000000"/>
        </w:rPr>
        <w:t>excluded</w:t>
      </w:r>
      <w:r w:rsidR="00982974" w:rsidRPr="001913E3">
        <w:rPr>
          <w:rFonts w:ascii="Book Antiqua" w:eastAsia="Book Antiqua" w:hAnsi="Book Antiqua" w:cs="Book Antiqua"/>
          <w:color w:val="000000"/>
        </w:rPr>
        <w:t xml:space="preserve"> the suspected gastric tumour. It showed active chronic gastritis with erosions, lymphatic follicles and lymphoepithelial lesions. The possibility of </w:t>
      </w:r>
      <w:r>
        <w:rPr>
          <w:rFonts w:ascii="Book Antiqua" w:eastAsia="Book Antiqua" w:hAnsi="Book Antiqua" w:cs="Book Antiqua"/>
          <w:color w:val="000000"/>
        </w:rPr>
        <w:t>mucosa-associated lymphoid tissue</w:t>
      </w:r>
      <w:r w:rsidR="00982974" w:rsidRPr="001913E3">
        <w:rPr>
          <w:rFonts w:ascii="Book Antiqua" w:eastAsia="Book Antiqua" w:hAnsi="Book Antiqua" w:cs="Book Antiqua"/>
          <w:color w:val="000000"/>
        </w:rPr>
        <w:t xml:space="preserve"> lymphoma was excluded by immunohistochemical analysis. </w:t>
      </w:r>
      <w:r w:rsidR="00982974" w:rsidRPr="00050161">
        <w:rPr>
          <w:rFonts w:ascii="Book Antiqua" w:eastAsia="Book Antiqua" w:hAnsi="Book Antiqua" w:cs="Book Antiqua"/>
          <w:i/>
          <w:color w:val="000000"/>
        </w:rPr>
        <w:t>Helicobacter pylori</w:t>
      </w:r>
      <w:r w:rsidR="00982974" w:rsidRPr="001913E3">
        <w:rPr>
          <w:rFonts w:ascii="Book Antiqua" w:eastAsia="Book Antiqua" w:hAnsi="Book Antiqua" w:cs="Book Antiqua"/>
          <w:color w:val="000000"/>
        </w:rPr>
        <w:t xml:space="preserve"> infection </w:t>
      </w:r>
      <w:r>
        <w:rPr>
          <w:rFonts w:ascii="Book Antiqua" w:eastAsia="Book Antiqua" w:hAnsi="Book Antiqua" w:cs="Book Antiqua"/>
          <w:color w:val="000000"/>
        </w:rPr>
        <w:t xml:space="preserve">was not </w:t>
      </w:r>
      <w:r w:rsidR="00982974" w:rsidRPr="001913E3">
        <w:rPr>
          <w:rFonts w:ascii="Book Antiqua" w:eastAsia="Book Antiqua" w:hAnsi="Book Antiqua" w:cs="Book Antiqua"/>
          <w:color w:val="000000"/>
        </w:rPr>
        <w:t>reported.</w:t>
      </w:r>
    </w:p>
    <w:p w14:paraId="0155D6CF" w14:textId="77777777" w:rsidR="00A77B3E" w:rsidRPr="001913E3" w:rsidRDefault="00A77B3E" w:rsidP="001913E3">
      <w:pPr>
        <w:spacing w:line="360" w:lineRule="auto"/>
        <w:jc w:val="both"/>
        <w:rPr>
          <w:rFonts w:ascii="Book Antiqua" w:hAnsi="Book Antiqua"/>
        </w:rPr>
      </w:pPr>
    </w:p>
    <w:p w14:paraId="551E64D7"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FINAL DIAGNOSIS</w:t>
      </w:r>
    </w:p>
    <w:p w14:paraId="0A0F7B4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After evaluation of EGD, abdominal CT and pathohistological results, the patient was diagnosed with ICI-induced gastritis.</w:t>
      </w:r>
    </w:p>
    <w:p w14:paraId="0EFA0D32" w14:textId="77777777" w:rsidR="00A77B3E" w:rsidRPr="001913E3" w:rsidRDefault="00A77B3E" w:rsidP="001913E3">
      <w:pPr>
        <w:spacing w:line="360" w:lineRule="auto"/>
        <w:jc w:val="both"/>
        <w:rPr>
          <w:rFonts w:ascii="Book Antiqua" w:hAnsi="Book Antiqua"/>
        </w:rPr>
      </w:pPr>
    </w:p>
    <w:p w14:paraId="29D8F0E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TREATMENT</w:t>
      </w:r>
    </w:p>
    <w:p w14:paraId="029FDC64" w14:textId="726A9F6A"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Due to the mild symptoms </w:t>
      </w:r>
      <w:r w:rsidR="00291238">
        <w:rPr>
          <w:rFonts w:ascii="Book Antiqua" w:eastAsia="Book Antiqua" w:hAnsi="Book Antiqua" w:cs="Book Antiqua"/>
          <w:color w:val="000000"/>
        </w:rPr>
        <w:t>experienced by</w:t>
      </w:r>
      <w:r w:rsidRPr="001913E3">
        <w:rPr>
          <w:rFonts w:ascii="Book Antiqua" w:eastAsia="Book Antiqua" w:hAnsi="Book Antiqua" w:cs="Book Antiqua"/>
          <w:color w:val="000000"/>
        </w:rPr>
        <w:t xml:space="preserve"> the patient and the satisfactory results reported by other clinicians, the patient was treated with three courses of omeprazole: first – March-April 2021 (60 d, 20 mg</w:t>
      </w:r>
      <w:r w:rsidR="00E86A4E">
        <w:rPr>
          <w:rFonts w:ascii="Book Antiqua" w:eastAsia="Book Antiqua" w:hAnsi="Book Antiqua" w:cs="Book Antiqua"/>
          <w:color w:val="000000"/>
        </w:rPr>
        <w:t>/</w:t>
      </w:r>
      <w:r w:rsidRPr="001913E3">
        <w:rPr>
          <w:rFonts w:ascii="Book Antiqua" w:eastAsia="Book Antiqua" w:hAnsi="Book Antiqua" w:cs="Book Antiqua"/>
          <w:color w:val="000000"/>
        </w:rPr>
        <w:t>day), second – July-August 2021 (60 d, 20 mg</w:t>
      </w:r>
      <w:r w:rsidR="00E86A4E">
        <w:rPr>
          <w:rFonts w:ascii="Book Antiqua" w:eastAsia="Book Antiqua" w:hAnsi="Book Antiqua" w:cs="Book Antiqua"/>
          <w:color w:val="000000"/>
        </w:rPr>
        <w:t>/</w:t>
      </w:r>
      <w:r w:rsidRPr="001913E3">
        <w:rPr>
          <w:rFonts w:ascii="Book Antiqua" w:eastAsia="Book Antiqua" w:hAnsi="Book Antiqua" w:cs="Book Antiqua"/>
          <w:color w:val="000000"/>
        </w:rPr>
        <w:t>day), third – October 2021 (30 d, 20 mg</w:t>
      </w:r>
      <w:r w:rsidR="00E86A4E">
        <w:rPr>
          <w:rFonts w:ascii="Book Antiqua" w:eastAsia="Book Antiqua" w:hAnsi="Book Antiqua" w:cs="Book Antiqua"/>
          <w:color w:val="000000"/>
        </w:rPr>
        <w:t>/</w:t>
      </w:r>
      <w:r w:rsidRPr="001913E3">
        <w:rPr>
          <w:rFonts w:ascii="Book Antiqua" w:eastAsia="Book Antiqua" w:hAnsi="Book Antiqua" w:cs="Book Antiqua"/>
          <w:color w:val="000000"/>
        </w:rPr>
        <w:t xml:space="preserve">day). The first and second courses were prescribed by the gastroenterologist, and the third course was initiated by the patient herself whenever she felt the recurrence of related symptoms. The patient was also referred to a nutritionist for evaluation of possible malnutrition. </w:t>
      </w:r>
    </w:p>
    <w:p w14:paraId="49D69A74" w14:textId="77777777" w:rsidR="00A77B3E" w:rsidRPr="001913E3" w:rsidRDefault="00A77B3E" w:rsidP="001913E3">
      <w:pPr>
        <w:spacing w:line="360" w:lineRule="auto"/>
        <w:jc w:val="both"/>
        <w:rPr>
          <w:rFonts w:ascii="Book Antiqua" w:hAnsi="Book Antiqua"/>
        </w:rPr>
      </w:pPr>
    </w:p>
    <w:p w14:paraId="48F041D6"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OUTCOME AND FOLLOW-UP</w:t>
      </w:r>
    </w:p>
    <w:p w14:paraId="441A9C96"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Several follow-up EGDs with multiple gastric mucosa biopsies were performed to evaluate the dynamics of stomach changes due to treatment and the general natural course of the disease. </w:t>
      </w:r>
    </w:p>
    <w:p w14:paraId="4BF60B45" w14:textId="7F72A8EE"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t xml:space="preserve">The second EGD (March 2021) revealed negative endoscopic changes in the stomach – a progression of tumour-like changes </w:t>
      </w:r>
      <w:r w:rsidRPr="001913E3">
        <w:rPr>
          <w:rFonts w:ascii="Book Antiqua" w:eastAsia="Book Antiqua" w:hAnsi="Book Antiqua" w:cs="Book Antiqua"/>
          <w:bCs/>
          <w:iCs/>
          <w:color w:val="000000"/>
        </w:rPr>
        <w:t xml:space="preserve">(Figure </w:t>
      </w:r>
      <w:r w:rsidR="00672D1F">
        <w:rPr>
          <w:rFonts w:ascii="Book Antiqua" w:eastAsia="Book Antiqua" w:hAnsi="Book Antiqua" w:cs="Book Antiqua"/>
          <w:bCs/>
          <w:iCs/>
          <w:color w:val="000000"/>
        </w:rPr>
        <w:t>1B</w:t>
      </w:r>
      <w:r w:rsidRPr="001913E3">
        <w:rPr>
          <w:rFonts w:ascii="Book Antiqua" w:eastAsia="Book Antiqua" w:hAnsi="Book Antiqua" w:cs="Book Antiqua"/>
          <w:bCs/>
          <w:iCs/>
          <w:color w:val="000000"/>
        </w:rPr>
        <w:t>)</w:t>
      </w:r>
      <w:r w:rsidRPr="001913E3">
        <w:rPr>
          <w:rFonts w:ascii="Book Antiqua" w:eastAsia="Book Antiqua" w:hAnsi="Book Antiqua" w:cs="Book Antiqua"/>
          <w:color w:val="000000"/>
        </w:rPr>
        <w:t xml:space="preserve">. New endoscopic abnormalities </w:t>
      </w:r>
      <w:r w:rsidR="00E86A4E">
        <w:rPr>
          <w:rFonts w:ascii="Book Antiqua" w:eastAsia="Book Antiqua" w:hAnsi="Book Antiqua" w:cs="Book Antiqua"/>
          <w:color w:val="000000"/>
        </w:rPr>
        <w:t>such as</w:t>
      </w:r>
      <w:r w:rsidRPr="001913E3">
        <w:rPr>
          <w:rFonts w:ascii="Book Antiqua" w:eastAsia="Book Antiqua" w:hAnsi="Book Antiqua" w:cs="Book Antiqua"/>
          <w:color w:val="000000"/>
        </w:rPr>
        <w:t xml:space="preserve"> fragile and prone to bleeding mucosa were observed together with changes described previously. Biopsies showed active chronic gastritis with erosions and intestinal metaplasia, and immunohistochemical analysis rejected cytomegalovirus infection.</w:t>
      </w:r>
    </w:p>
    <w:p w14:paraId="391B3BAB" w14:textId="6CC7A33A"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lastRenderedPageBreak/>
        <w:t xml:space="preserve">The third EGD (July 2021) showed a decrease in diffuse inflammation and infiltration of the stomach wall </w:t>
      </w:r>
      <w:r w:rsidRPr="001913E3">
        <w:rPr>
          <w:rFonts w:ascii="Book Antiqua" w:eastAsia="Book Antiqua" w:hAnsi="Book Antiqua" w:cs="Book Antiqua"/>
          <w:bCs/>
          <w:iCs/>
          <w:color w:val="000000"/>
        </w:rPr>
        <w:t xml:space="preserve">(Figure </w:t>
      </w:r>
      <w:r w:rsidR="00672D1F">
        <w:rPr>
          <w:rFonts w:ascii="Book Antiqua" w:eastAsia="Book Antiqua" w:hAnsi="Book Antiqua" w:cs="Book Antiqua"/>
          <w:bCs/>
          <w:iCs/>
          <w:color w:val="000000"/>
        </w:rPr>
        <w:t>1C</w:t>
      </w:r>
      <w:r w:rsidRPr="001913E3">
        <w:rPr>
          <w:rFonts w:ascii="Book Antiqua" w:eastAsia="Book Antiqua" w:hAnsi="Book Antiqua" w:cs="Book Antiqua"/>
          <w:bCs/>
          <w:iCs/>
          <w:color w:val="000000"/>
        </w:rPr>
        <w:t>)</w:t>
      </w:r>
      <w:r w:rsidRPr="001913E3">
        <w:rPr>
          <w:rFonts w:ascii="Book Antiqua" w:eastAsia="Book Antiqua" w:hAnsi="Book Antiqua" w:cs="Book Antiqua"/>
          <w:color w:val="000000"/>
        </w:rPr>
        <w:t xml:space="preserve">. There was no bleeding at contact, erosions, or white plaques. Additionally, a polyp 0.5 cm </w:t>
      </w:r>
      <w:r w:rsidR="00E86A4E">
        <w:rPr>
          <w:rFonts w:ascii="Book Antiqua" w:eastAsia="Book Antiqua" w:hAnsi="Book Antiqua" w:cs="Book Antiqua"/>
          <w:color w:val="000000"/>
        </w:rPr>
        <w:t xml:space="preserve">in </w:t>
      </w:r>
      <w:r w:rsidRPr="001913E3">
        <w:rPr>
          <w:rFonts w:ascii="Book Antiqua" w:eastAsia="Book Antiqua" w:hAnsi="Book Antiqua" w:cs="Book Antiqua"/>
          <w:color w:val="000000"/>
        </w:rPr>
        <w:t>diameter was discovered. Biopsies revealed active chronic non-erosive gastritis with pyogenic granuloma and a hyperplastic polyp.</w:t>
      </w:r>
    </w:p>
    <w:p w14:paraId="64CCF4A6" w14:textId="32349F01"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t xml:space="preserve">During the fourth EGD (January 2022) gastric mucosal atrophy was observed with some spots of intestinal metaplasia and a 1.0 cm polyp </w:t>
      </w:r>
      <w:r w:rsidRPr="001913E3">
        <w:rPr>
          <w:rFonts w:ascii="Book Antiqua" w:eastAsia="Book Antiqua" w:hAnsi="Book Antiqua" w:cs="Book Antiqua"/>
          <w:bCs/>
          <w:iCs/>
          <w:color w:val="000000"/>
        </w:rPr>
        <w:t xml:space="preserve">(Figure </w:t>
      </w:r>
      <w:r w:rsidR="00672D1F">
        <w:rPr>
          <w:rFonts w:ascii="Book Antiqua" w:eastAsia="Book Antiqua" w:hAnsi="Book Antiqua" w:cs="Book Antiqua"/>
          <w:bCs/>
          <w:iCs/>
          <w:color w:val="000000"/>
        </w:rPr>
        <w:t>1D</w:t>
      </w:r>
      <w:r w:rsidRPr="001913E3">
        <w:rPr>
          <w:rFonts w:ascii="Book Antiqua" w:eastAsia="Book Antiqua" w:hAnsi="Book Antiqua" w:cs="Book Antiqua"/>
          <w:bCs/>
          <w:iCs/>
          <w:color w:val="000000"/>
        </w:rPr>
        <w:t>)</w:t>
      </w:r>
      <w:r w:rsidRPr="001913E3">
        <w:rPr>
          <w:rFonts w:ascii="Book Antiqua" w:eastAsia="Book Antiqua" w:hAnsi="Book Antiqua" w:cs="Book Antiqua"/>
          <w:color w:val="000000"/>
        </w:rPr>
        <w:t>. The histological report was compatible with a hyperplastic gastric polyp.</w:t>
      </w:r>
    </w:p>
    <w:p w14:paraId="25D262DE" w14:textId="0FB700D3"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t xml:space="preserve">Treatment with omeprazole was effective, resulting </w:t>
      </w:r>
      <w:r w:rsidR="00BB44B1" w:rsidRPr="001913E3">
        <w:rPr>
          <w:rFonts w:ascii="Book Antiqua" w:eastAsia="Book Antiqua" w:hAnsi="Book Antiqua" w:cs="Book Antiqua"/>
          <w:color w:val="000000"/>
        </w:rPr>
        <w:t>in symptom relief after several</w:t>
      </w:r>
      <w:r w:rsidRPr="001913E3">
        <w:rPr>
          <w:rFonts w:ascii="Book Antiqua" w:eastAsia="Book Antiqua" w:hAnsi="Book Antiqua" w:cs="Book Antiqua"/>
          <w:color w:val="000000"/>
        </w:rPr>
        <w:t xml:space="preserve"> weeks. The patient received three courses of omeprazole and is now in remission with no significant gastrointestinal symptoms or the need for an additional course of PPI. The complete patient's disease and treatment timeline are </w:t>
      </w:r>
      <w:r w:rsidR="00E86A4E">
        <w:rPr>
          <w:rFonts w:ascii="Book Antiqua" w:eastAsia="Book Antiqua" w:hAnsi="Book Antiqua" w:cs="Book Antiqua"/>
          <w:color w:val="000000"/>
        </w:rPr>
        <w:t>shown</w:t>
      </w:r>
      <w:r w:rsidRPr="001913E3">
        <w:rPr>
          <w:rFonts w:ascii="Book Antiqua" w:eastAsia="Book Antiqua" w:hAnsi="Book Antiqua" w:cs="Book Antiqua"/>
          <w:color w:val="000000"/>
        </w:rPr>
        <w:t xml:space="preserve"> in </w:t>
      </w:r>
      <w:r w:rsidRPr="001913E3">
        <w:rPr>
          <w:rFonts w:ascii="Book Antiqua" w:eastAsia="Book Antiqua" w:hAnsi="Book Antiqua" w:cs="Book Antiqua"/>
          <w:bCs/>
          <w:iCs/>
          <w:color w:val="000000"/>
        </w:rPr>
        <w:t>Table 1</w:t>
      </w:r>
      <w:r w:rsidRPr="001913E3">
        <w:rPr>
          <w:rFonts w:ascii="Book Antiqua" w:eastAsia="Book Antiqua" w:hAnsi="Book Antiqua" w:cs="Book Antiqua"/>
          <w:color w:val="000000"/>
        </w:rPr>
        <w:t>.</w:t>
      </w:r>
    </w:p>
    <w:p w14:paraId="13279AF8" w14:textId="77777777" w:rsidR="00A77B3E" w:rsidRPr="001913E3" w:rsidRDefault="00A77B3E" w:rsidP="001913E3">
      <w:pPr>
        <w:spacing w:line="360" w:lineRule="auto"/>
        <w:ind w:firstLine="566"/>
        <w:jc w:val="both"/>
        <w:rPr>
          <w:rFonts w:ascii="Book Antiqua" w:hAnsi="Book Antiqua"/>
        </w:rPr>
      </w:pPr>
    </w:p>
    <w:p w14:paraId="7170D809"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DISCUSSION</w:t>
      </w:r>
    </w:p>
    <w:p w14:paraId="111CB71A" w14:textId="1AA0854F"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As the use of ICIs rises, an increasing number of immune-related adverse events (irAEs) </w:t>
      </w:r>
      <w:r w:rsidR="00E86A4E">
        <w:rPr>
          <w:rFonts w:ascii="Book Antiqua" w:eastAsia="Book Antiqua" w:hAnsi="Book Antiqua" w:cs="Book Antiqua"/>
          <w:color w:val="000000"/>
        </w:rPr>
        <w:t>have been</w:t>
      </w:r>
      <w:r w:rsidRPr="001913E3">
        <w:rPr>
          <w:rFonts w:ascii="Book Antiqua" w:eastAsia="Book Antiqua" w:hAnsi="Book Antiqua" w:cs="Book Antiqua"/>
          <w:color w:val="000000"/>
        </w:rPr>
        <w:t xml:space="preserve"> reported</w:t>
      </w:r>
      <w:r w:rsidRPr="001913E3">
        <w:rPr>
          <w:rFonts w:ascii="Book Antiqua" w:eastAsia="Book Antiqua" w:hAnsi="Book Antiqua" w:cs="Book Antiqua"/>
          <w:color w:val="000000"/>
          <w:vertAlign w:val="superscript"/>
        </w:rPr>
        <w:t>[1]</w:t>
      </w:r>
      <w:r w:rsidRPr="001913E3">
        <w:rPr>
          <w:rFonts w:ascii="Book Antiqua" w:eastAsia="Book Antiqua" w:hAnsi="Book Antiqua" w:cs="Book Antiqua"/>
          <w:color w:val="000000"/>
        </w:rPr>
        <w:t xml:space="preserve">. ICIs, namely nivolumab, the PD–1 receptor inhibitor, may cause irAEs in various organ systems, for example, the colon, skin, liver, and thyroid gland. The most common side effects of nivolumab are </w:t>
      </w:r>
      <w:commentRangeStart w:id="1"/>
      <w:commentRangeStart w:id="2"/>
      <w:r w:rsidRPr="001913E3">
        <w:rPr>
          <w:rFonts w:ascii="Book Antiqua" w:eastAsia="Book Antiqua" w:hAnsi="Book Antiqua" w:cs="Book Antiqua"/>
          <w:color w:val="000000"/>
        </w:rPr>
        <w:t>diarrhea</w:t>
      </w:r>
      <w:commentRangeEnd w:id="1"/>
      <w:r w:rsidR="00184443">
        <w:rPr>
          <w:rStyle w:val="CommentReference"/>
        </w:rPr>
        <w:commentReference w:id="1"/>
      </w:r>
      <w:commentRangeEnd w:id="2"/>
      <w:r w:rsidR="006F27CA">
        <w:rPr>
          <w:rStyle w:val="CommentReference"/>
        </w:rPr>
        <w:commentReference w:id="2"/>
      </w:r>
      <w:r w:rsidRPr="001913E3">
        <w:rPr>
          <w:rFonts w:ascii="Book Antiqua" w:eastAsia="Book Antiqua" w:hAnsi="Book Antiqua" w:cs="Book Antiqua"/>
          <w:color w:val="000000"/>
        </w:rPr>
        <w:t xml:space="preserve"> (incidence rate </w:t>
      </w:r>
      <w:r w:rsidR="00883158" w:rsidRPr="001913E3">
        <w:rPr>
          <w:rFonts w:ascii="Book Antiqua" w:eastAsia="Book Antiqua" w:hAnsi="Book Antiqua" w:cs="Book Antiqua"/>
          <w:color w:val="000000"/>
        </w:rPr>
        <w:t>approximately</w:t>
      </w:r>
      <w:r w:rsidRPr="001913E3">
        <w:rPr>
          <w:rFonts w:ascii="Book Antiqua" w:eastAsia="Book Antiqua" w:hAnsi="Book Antiqua" w:cs="Book Antiqua"/>
          <w:color w:val="000000"/>
        </w:rPr>
        <w:t xml:space="preserve"> 10</w:t>
      </w:r>
      <w:r w:rsidR="00372186" w:rsidRPr="001913E3">
        <w:rPr>
          <w:rFonts w:ascii="Book Antiqua" w:eastAsia="Book Antiqua" w:hAnsi="Book Antiqua" w:cs="Book Antiqua"/>
          <w:color w:val="000000"/>
        </w:rPr>
        <w:t>%</w:t>
      </w:r>
      <w:r w:rsidRPr="001913E3">
        <w:rPr>
          <w:rFonts w:ascii="Book Antiqua" w:eastAsia="Book Antiqua" w:hAnsi="Book Antiqua" w:cs="Book Antiqua"/>
          <w:color w:val="000000"/>
        </w:rPr>
        <w:t>-13%) that can be associated with ICI-induced colitis</w:t>
      </w:r>
      <w:r w:rsidRPr="001913E3">
        <w:rPr>
          <w:rFonts w:ascii="Book Antiqua" w:eastAsia="Book Antiqua" w:hAnsi="Book Antiqua" w:cs="Book Antiqua"/>
          <w:color w:val="000000"/>
          <w:vertAlign w:val="superscript"/>
        </w:rPr>
        <w:t>[4]</w:t>
      </w:r>
      <w:r w:rsidRPr="001913E3">
        <w:rPr>
          <w:rFonts w:ascii="Book Antiqua" w:eastAsia="Book Antiqua" w:hAnsi="Book Antiqua" w:cs="Book Antiqua"/>
          <w:color w:val="000000"/>
        </w:rPr>
        <w:t>, skin rash and pruritus (</w:t>
      </w:r>
      <w:r w:rsidR="00372186" w:rsidRPr="001913E3">
        <w:rPr>
          <w:rFonts w:ascii="Book Antiqua" w:eastAsia="Book Antiqua" w:hAnsi="Book Antiqua" w:cs="Book Antiqua"/>
          <w:color w:val="000000"/>
        </w:rPr>
        <w:t>approximately</w:t>
      </w:r>
      <w:r w:rsidRPr="001913E3">
        <w:rPr>
          <w:rFonts w:ascii="Book Antiqua" w:eastAsia="Book Antiqua" w:hAnsi="Book Antiqua" w:cs="Book Antiqua"/>
          <w:color w:val="000000"/>
        </w:rPr>
        <w:t xml:space="preserve"> 2%), hypothyroidism (&lt;</w:t>
      </w:r>
      <w:r w:rsidR="00127DD0" w:rsidRPr="001913E3">
        <w:rPr>
          <w:rFonts w:ascii="Book Antiqua" w:eastAsia="Book Antiqua" w:hAnsi="Book Antiqua" w:cs="Book Antiqua"/>
          <w:color w:val="000000"/>
        </w:rPr>
        <w:t xml:space="preserve"> </w:t>
      </w:r>
      <w:r w:rsidRPr="001913E3">
        <w:rPr>
          <w:rFonts w:ascii="Book Antiqua" w:eastAsia="Book Antiqua" w:hAnsi="Book Antiqua" w:cs="Book Antiqua"/>
          <w:color w:val="000000"/>
        </w:rPr>
        <w:t>2%), hepatitis (&lt;</w:t>
      </w:r>
      <w:r w:rsidR="00127DD0" w:rsidRPr="001913E3">
        <w:rPr>
          <w:rFonts w:ascii="Book Antiqua" w:eastAsia="Book Antiqua" w:hAnsi="Book Antiqua" w:cs="Book Antiqua"/>
          <w:color w:val="000000"/>
        </w:rPr>
        <w:t xml:space="preserve"> </w:t>
      </w:r>
      <w:r w:rsidRPr="001913E3">
        <w:rPr>
          <w:rFonts w:ascii="Book Antiqua" w:eastAsia="Book Antiqua" w:hAnsi="Book Antiqua" w:cs="Book Antiqua"/>
          <w:color w:val="000000"/>
        </w:rPr>
        <w:t>2%), pneumonitis (</w:t>
      </w:r>
      <w:r w:rsidR="00372186" w:rsidRPr="001913E3">
        <w:rPr>
          <w:rFonts w:ascii="Book Antiqua" w:eastAsia="Book Antiqua" w:hAnsi="Book Antiqua" w:cs="Book Antiqua"/>
          <w:color w:val="000000"/>
        </w:rPr>
        <w:t>approximately</w:t>
      </w:r>
      <w:r w:rsidRPr="001913E3">
        <w:rPr>
          <w:rFonts w:ascii="Book Antiqua" w:eastAsia="Book Antiqua" w:hAnsi="Book Antiqua" w:cs="Book Antiqua"/>
          <w:color w:val="000000"/>
        </w:rPr>
        <w:t xml:space="preserve"> 3%), </w:t>
      </w:r>
      <w:r w:rsidR="00E86A4E">
        <w:rPr>
          <w:rFonts w:ascii="Book Antiqua" w:eastAsia="Book Antiqua" w:hAnsi="Book Antiqua" w:cs="Book Antiqua"/>
          <w:color w:val="000000"/>
        </w:rPr>
        <w:t xml:space="preserve">and </w:t>
      </w:r>
      <w:r w:rsidRPr="001913E3">
        <w:rPr>
          <w:rFonts w:ascii="Book Antiqua" w:eastAsia="Book Antiqua" w:hAnsi="Book Antiqua" w:cs="Book Antiqua"/>
          <w:color w:val="000000"/>
        </w:rPr>
        <w:t>renal failure (approximately 2%</w:t>
      </w:r>
      <w:r w:rsidRPr="001913E3">
        <w:rPr>
          <w:rFonts w:ascii="Book Antiqua" w:eastAsia="Book Antiqua" w:hAnsi="Book Antiqua" w:cs="Book Antiqua"/>
          <w:color w:val="000000"/>
          <w:vertAlign w:val="superscript"/>
        </w:rPr>
        <w:t>[5]</w:t>
      </w:r>
      <w:r w:rsidRPr="001913E3">
        <w:rPr>
          <w:rFonts w:ascii="Book Antiqua" w:eastAsia="Book Antiqua" w:hAnsi="Book Antiqua" w:cs="Book Antiqua"/>
          <w:color w:val="000000"/>
        </w:rPr>
        <w:t xml:space="preserve">. In contrast, nivolumab-induced gastritis is a less known adverse event. </w:t>
      </w:r>
    </w:p>
    <w:p w14:paraId="15A90E3B" w14:textId="046241D8"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shd w:val="clear" w:color="auto" w:fill="FFFFFF"/>
        </w:rPr>
        <w:t xml:space="preserve">An electronic search of the literature on nivolumab-induced gastritis was performed. Articles available in the PubMed, Medline, Cochrane, and Web of Science databases were reviewed up to December 1, 2022. The search terms used were “ICI-induced gastritis”, “nivolumab-induced gastritis”, “nivolumab and gastritis”. No time restrictions were used for the publications. A total of 30 articles and abstracts met the initial search criteria. The inclusion criteria were: </w:t>
      </w:r>
      <w:r w:rsidR="008C6970" w:rsidRPr="001913E3">
        <w:rPr>
          <w:rFonts w:ascii="Book Antiqua" w:eastAsia="Book Antiqua" w:hAnsi="Book Antiqua" w:cs="Book Antiqua"/>
          <w:color w:val="000000"/>
          <w:shd w:val="clear" w:color="auto" w:fill="FFFFFF"/>
        </w:rPr>
        <w:t>Well</w:t>
      </w:r>
      <w:r w:rsidRPr="001913E3">
        <w:rPr>
          <w:rFonts w:ascii="Book Antiqua" w:eastAsia="Book Antiqua" w:hAnsi="Book Antiqua" w:cs="Book Antiqua"/>
          <w:color w:val="000000"/>
          <w:shd w:val="clear" w:color="auto" w:fill="FFFFFF"/>
        </w:rPr>
        <w:t xml:space="preserve">-documented full-text articles </w:t>
      </w:r>
      <w:r w:rsidRPr="001913E3">
        <w:rPr>
          <w:rFonts w:ascii="Book Antiqua" w:eastAsia="Book Antiqua" w:hAnsi="Book Antiqua" w:cs="Book Antiqua"/>
          <w:color w:val="000000"/>
          <w:shd w:val="clear" w:color="auto" w:fill="FFFFFF"/>
        </w:rPr>
        <w:lastRenderedPageBreak/>
        <w:t xml:space="preserve">written in English. We analysed a total of 19 case reports, which are summarised in </w:t>
      </w:r>
      <w:r w:rsidRPr="001913E3">
        <w:rPr>
          <w:rFonts w:ascii="Book Antiqua" w:eastAsia="Book Antiqua" w:hAnsi="Book Antiqua" w:cs="Book Antiqua"/>
          <w:bCs/>
          <w:iCs/>
          <w:color w:val="000000"/>
          <w:shd w:val="clear" w:color="auto" w:fill="FFFFFF"/>
        </w:rPr>
        <w:t>Table 2</w:t>
      </w:r>
      <w:r w:rsidRPr="001913E3">
        <w:rPr>
          <w:rFonts w:ascii="Book Antiqua" w:eastAsia="Book Antiqua" w:hAnsi="Book Antiqua" w:cs="Book Antiqua"/>
          <w:color w:val="000000"/>
          <w:shd w:val="clear" w:color="auto" w:fill="FFFFFF"/>
        </w:rPr>
        <w:t>.</w:t>
      </w:r>
    </w:p>
    <w:p w14:paraId="1193A03D" w14:textId="073B4DD7"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t>In patients with nivolumab-induced gastritis, the most often reported symptoms include nausea, pain, diarrhea, loss of appetite, and weight loss</w:t>
      </w:r>
      <w:r w:rsidRPr="001913E3">
        <w:rPr>
          <w:rFonts w:ascii="Book Antiqua" w:eastAsia="Book Antiqua" w:hAnsi="Book Antiqua" w:cs="Book Antiqua"/>
          <w:color w:val="000000"/>
          <w:vertAlign w:val="superscript"/>
        </w:rPr>
        <w:t>[2</w:t>
      </w:r>
      <w:r w:rsidR="00223D79" w:rsidRPr="001913E3">
        <w:rPr>
          <w:rFonts w:ascii="Book Antiqua" w:eastAsia="Book Antiqua" w:hAnsi="Book Antiqua" w:cs="Book Antiqua"/>
          <w:color w:val="000000"/>
          <w:vertAlign w:val="superscript"/>
        </w:rPr>
        <w:t>-</w:t>
      </w:r>
      <w:r w:rsidRPr="001913E3">
        <w:rPr>
          <w:rFonts w:ascii="Book Antiqua" w:eastAsia="Book Antiqua" w:hAnsi="Book Antiqua" w:cs="Book Antiqua"/>
          <w:color w:val="000000"/>
          <w:vertAlign w:val="superscript"/>
        </w:rPr>
        <w:t>8]</w:t>
      </w:r>
      <w:r w:rsidRPr="001913E3">
        <w:rPr>
          <w:rFonts w:ascii="Book Antiqua" w:eastAsia="Book Antiqua" w:hAnsi="Book Antiqua" w:cs="Book Antiqua"/>
          <w:color w:val="000000"/>
        </w:rPr>
        <w:t>. Less commonly seen symptoms are hematemesis and dysphagia</w:t>
      </w:r>
      <w:r w:rsidRPr="001913E3">
        <w:rPr>
          <w:rFonts w:ascii="Book Antiqua" w:eastAsia="Book Antiqua" w:hAnsi="Book Antiqua" w:cs="Book Antiqua"/>
          <w:color w:val="000000"/>
          <w:vertAlign w:val="superscript"/>
        </w:rPr>
        <w:t>[9,10]</w:t>
      </w:r>
      <w:r w:rsidRPr="001913E3">
        <w:rPr>
          <w:rFonts w:ascii="Book Antiqua" w:eastAsia="Book Antiqua" w:hAnsi="Book Antiqua" w:cs="Book Antiqua"/>
          <w:color w:val="000000"/>
        </w:rPr>
        <w:t>. The onset of symptoms after the initiation of treatment varies considerably between a few weeks and 32 mo. In our case, the patient had diarrhea, nausea, epigastric discomfort, loss of appetite and mild weight loss – symptoms similar to other reported cases of nivolumab-induced gastritis. However, in our case, the symptoms manifested later than in most other cases – after 64 courses of nivolumab or, approximately, after 21 mo.</w:t>
      </w:r>
    </w:p>
    <w:p w14:paraId="6776FD7A" w14:textId="1B26F541"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t>There are few case reports that provide the radiological findings, but the ones that do</w:t>
      </w:r>
      <w:r w:rsidR="00E86A4E">
        <w:rPr>
          <w:rFonts w:ascii="Book Antiqua" w:eastAsia="Book Antiqua" w:hAnsi="Book Antiqua" w:cs="Book Antiqua"/>
          <w:color w:val="000000"/>
        </w:rPr>
        <w:t>,</w:t>
      </w:r>
      <w:r w:rsidRPr="001913E3">
        <w:rPr>
          <w:rFonts w:ascii="Book Antiqua" w:eastAsia="Book Antiqua" w:hAnsi="Book Antiqua" w:cs="Book Antiqua"/>
          <w:color w:val="000000"/>
        </w:rPr>
        <w:t xml:space="preserve"> show uptake of fluorodeoxyglucose in the stomach wall in positron emission tomography/CT scans</w:t>
      </w:r>
      <w:r w:rsidRPr="001913E3">
        <w:rPr>
          <w:rFonts w:ascii="Book Antiqua" w:eastAsia="Book Antiqua" w:hAnsi="Book Antiqua" w:cs="Book Antiqua"/>
          <w:color w:val="000000"/>
          <w:vertAlign w:val="superscript"/>
        </w:rPr>
        <w:t>[8,10</w:t>
      </w:r>
      <w:r w:rsidR="00223D79" w:rsidRPr="001913E3">
        <w:rPr>
          <w:rFonts w:ascii="Book Antiqua" w:eastAsia="Book Antiqua" w:hAnsi="Book Antiqua" w:cs="Book Antiqua"/>
          <w:color w:val="000000"/>
          <w:vertAlign w:val="superscript"/>
        </w:rPr>
        <w:t>-</w:t>
      </w:r>
      <w:r w:rsidRPr="001913E3">
        <w:rPr>
          <w:rFonts w:ascii="Book Antiqua" w:eastAsia="Book Antiqua" w:hAnsi="Book Antiqua" w:cs="Book Antiqua"/>
          <w:color w:val="000000"/>
          <w:vertAlign w:val="superscript"/>
        </w:rPr>
        <w:t>12]</w:t>
      </w:r>
      <w:r w:rsidRPr="001913E3">
        <w:rPr>
          <w:rFonts w:ascii="Book Antiqua" w:eastAsia="Book Antiqua" w:hAnsi="Book Antiqua" w:cs="Book Antiqua"/>
          <w:color w:val="000000"/>
        </w:rPr>
        <w:t>. Some of the published cases displayed stomach wall thickening seen in CT scans</w:t>
      </w:r>
      <w:r w:rsidRPr="001913E3">
        <w:rPr>
          <w:rFonts w:ascii="Book Antiqua" w:eastAsia="Book Antiqua" w:hAnsi="Book Antiqua" w:cs="Book Antiqua"/>
          <w:color w:val="000000"/>
          <w:vertAlign w:val="superscript"/>
        </w:rPr>
        <w:t>[5,13]</w:t>
      </w:r>
      <w:r w:rsidRPr="001913E3">
        <w:rPr>
          <w:rFonts w:ascii="Book Antiqua" w:eastAsia="Book Antiqua" w:hAnsi="Book Antiqua" w:cs="Book Antiqua"/>
          <w:color w:val="000000"/>
        </w:rPr>
        <w:t xml:space="preserve">, </w:t>
      </w:r>
      <w:r w:rsidR="00E86A4E">
        <w:rPr>
          <w:rFonts w:ascii="Book Antiqua" w:eastAsia="Book Antiqua" w:hAnsi="Book Antiqua" w:cs="Book Antiqua"/>
          <w:color w:val="000000"/>
        </w:rPr>
        <w:t>as seen</w:t>
      </w:r>
      <w:r w:rsidRPr="001913E3">
        <w:rPr>
          <w:rFonts w:ascii="Book Antiqua" w:eastAsia="Book Antiqua" w:hAnsi="Book Antiqua" w:cs="Book Antiqua"/>
          <w:color w:val="000000"/>
        </w:rPr>
        <w:t xml:space="preserve"> in our case, while others reported no significant findings on this investigation</w:t>
      </w:r>
      <w:r w:rsidRPr="001913E3">
        <w:rPr>
          <w:rFonts w:ascii="Book Antiqua" w:eastAsia="Book Antiqua" w:hAnsi="Book Antiqua" w:cs="Book Antiqua"/>
          <w:color w:val="000000"/>
          <w:vertAlign w:val="superscript"/>
        </w:rPr>
        <w:t>[3,14</w:t>
      </w:r>
      <w:r w:rsidR="007E0801" w:rsidRPr="001913E3">
        <w:rPr>
          <w:rFonts w:ascii="Book Antiqua" w:eastAsia="Book Antiqua" w:hAnsi="Book Antiqua" w:cs="Book Antiqua"/>
          <w:color w:val="000000"/>
          <w:vertAlign w:val="superscript"/>
        </w:rPr>
        <w:t>-</w:t>
      </w:r>
      <w:r w:rsidRPr="001913E3">
        <w:rPr>
          <w:rFonts w:ascii="Book Antiqua" w:eastAsia="Book Antiqua" w:hAnsi="Book Antiqua" w:cs="Book Antiqua"/>
          <w:color w:val="000000"/>
          <w:vertAlign w:val="superscript"/>
        </w:rPr>
        <w:t>16]</w:t>
      </w:r>
      <w:r w:rsidRPr="001913E3">
        <w:rPr>
          <w:rFonts w:ascii="Book Antiqua" w:eastAsia="Book Antiqua" w:hAnsi="Book Antiqua" w:cs="Book Antiqua"/>
          <w:color w:val="000000"/>
        </w:rPr>
        <w:t>. Thus, the importance of the CT scan in diagnosing nivolumab-induced gastritis is not yet clear.</w:t>
      </w:r>
    </w:p>
    <w:p w14:paraId="5AE72FCC" w14:textId="1CC50852"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t>EGD and multiple biopsies play one of the most significant roles in the diagnostic process of ICI-induced gastritis. In most instances, EGD findings show erythema</w:t>
      </w:r>
      <w:r w:rsidRPr="001913E3">
        <w:rPr>
          <w:rFonts w:ascii="Book Antiqua" w:eastAsia="Book Antiqua" w:hAnsi="Book Antiqua" w:cs="Book Antiqua"/>
          <w:color w:val="000000"/>
          <w:vertAlign w:val="superscript"/>
        </w:rPr>
        <w:t>[2</w:t>
      </w:r>
      <w:r w:rsidR="00F569F3" w:rsidRPr="001913E3">
        <w:rPr>
          <w:rFonts w:ascii="Book Antiqua" w:eastAsia="Book Antiqua" w:hAnsi="Book Antiqua" w:cs="Book Antiqua"/>
          <w:color w:val="000000"/>
          <w:vertAlign w:val="superscript"/>
        </w:rPr>
        <w:t>-</w:t>
      </w:r>
      <w:r w:rsidRPr="001913E3">
        <w:rPr>
          <w:rFonts w:ascii="Book Antiqua" w:eastAsia="Book Antiqua" w:hAnsi="Book Antiqua" w:cs="Book Antiqua"/>
          <w:color w:val="000000"/>
          <w:vertAlign w:val="superscript"/>
        </w:rPr>
        <w:t>5,7,8,10,13,16,17,</w:t>
      </w:r>
      <w:r w:rsidR="008F0FB6">
        <w:rPr>
          <w:rFonts w:ascii="Book Antiqua" w:eastAsia="Book Antiqua" w:hAnsi="Book Antiqua" w:cs="Book Antiqua"/>
          <w:color w:val="000000"/>
          <w:vertAlign w:val="superscript"/>
        </w:rPr>
        <w:t>18,</w:t>
      </w:r>
      <w:r w:rsidRPr="001913E3">
        <w:rPr>
          <w:rFonts w:ascii="Book Antiqua" w:eastAsia="Book Antiqua" w:hAnsi="Book Antiqua" w:cs="Book Antiqua"/>
          <w:color w:val="000000"/>
          <w:vertAlign w:val="superscript"/>
        </w:rPr>
        <w:t>19]</w:t>
      </w:r>
      <w:r w:rsidRPr="001913E3">
        <w:rPr>
          <w:rFonts w:ascii="Book Antiqua" w:eastAsia="Book Antiqua" w:hAnsi="Book Antiqua" w:cs="Book Antiqua"/>
          <w:color w:val="000000"/>
        </w:rPr>
        <w:t>, friable mucosa</w:t>
      </w:r>
      <w:r w:rsidRPr="001913E3">
        <w:rPr>
          <w:rFonts w:ascii="Book Antiqua" w:eastAsia="Book Antiqua" w:hAnsi="Book Antiqua" w:cs="Book Antiqua"/>
          <w:color w:val="000000"/>
          <w:vertAlign w:val="superscript"/>
        </w:rPr>
        <w:t>[3,5,7,16,19]</w:t>
      </w:r>
      <w:r w:rsidRPr="001913E3">
        <w:rPr>
          <w:rFonts w:ascii="Book Antiqua" w:eastAsia="Book Antiqua" w:hAnsi="Book Antiqua" w:cs="Book Antiqua"/>
          <w:color w:val="000000"/>
        </w:rPr>
        <w:t>, erosions</w:t>
      </w:r>
      <w:r w:rsidRPr="001913E3">
        <w:rPr>
          <w:rFonts w:ascii="Book Antiqua" w:eastAsia="Book Antiqua" w:hAnsi="Book Antiqua" w:cs="Book Antiqua"/>
          <w:color w:val="000000"/>
          <w:vertAlign w:val="superscript"/>
        </w:rPr>
        <w:t>[2,7,8,17</w:t>
      </w:r>
      <w:r w:rsidR="00CA5FF3">
        <w:rPr>
          <w:rFonts w:ascii="Book Antiqua" w:eastAsia="Book Antiqua" w:hAnsi="Book Antiqua" w:cs="Book Antiqua"/>
          <w:color w:val="000000"/>
          <w:vertAlign w:val="superscript"/>
        </w:rPr>
        <w:t>,20</w:t>
      </w:r>
      <w:r w:rsidRPr="001913E3">
        <w:rPr>
          <w:rFonts w:ascii="Book Antiqua" w:eastAsia="Book Antiqua" w:hAnsi="Book Antiqua" w:cs="Book Antiqua"/>
          <w:color w:val="000000"/>
          <w:vertAlign w:val="superscript"/>
        </w:rPr>
        <w:t>]</w:t>
      </w:r>
      <w:r w:rsidRPr="001913E3">
        <w:rPr>
          <w:rFonts w:ascii="Book Antiqua" w:eastAsia="Book Antiqua" w:hAnsi="Book Antiqua" w:cs="Book Antiqua"/>
          <w:color w:val="000000"/>
        </w:rPr>
        <w:t xml:space="preserve">, </w:t>
      </w:r>
      <w:r w:rsidR="00E86A4E">
        <w:rPr>
          <w:rFonts w:ascii="Book Antiqua" w:eastAsia="Book Antiqua" w:hAnsi="Book Antiqua" w:cs="Book Antiqua"/>
          <w:color w:val="000000"/>
        </w:rPr>
        <w:t xml:space="preserve">and </w:t>
      </w:r>
      <w:r w:rsidRPr="001913E3">
        <w:rPr>
          <w:rFonts w:ascii="Book Antiqua" w:eastAsia="Book Antiqua" w:hAnsi="Book Antiqua" w:cs="Book Antiqua"/>
          <w:color w:val="000000"/>
        </w:rPr>
        <w:t>white fibrin-like exudate on the mucosa</w:t>
      </w:r>
      <w:r w:rsidRPr="001913E3">
        <w:rPr>
          <w:rFonts w:ascii="Book Antiqua" w:eastAsia="Book Antiqua" w:hAnsi="Book Antiqua" w:cs="Book Antiqua"/>
          <w:color w:val="000000"/>
          <w:vertAlign w:val="superscript"/>
        </w:rPr>
        <w:t>[7</w:t>
      </w:r>
      <w:r w:rsidR="00F569F3" w:rsidRPr="001913E3">
        <w:rPr>
          <w:rFonts w:ascii="Book Antiqua" w:eastAsia="Book Antiqua" w:hAnsi="Book Antiqua" w:cs="Book Antiqua"/>
          <w:color w:val="000000"/>
          <w:vertAlign w:val="superscript"/>
        </w:rPr>
        <w:t>-</w:t>
      </w:r>
      <w:r w:rsidRPr="001913E3">
        <w:rPr>
          <w:rFonts w:ascii="Book Antiqua" w:eastAsia="Book Antiqua" w:hAnsi="Book Antiqua" w:cs="Book Antiqua"/>
          <w:color w:val="000000"/>
          <w:vertAlign w:val="superscript"/>
        </w:rPr>
        <w:t>10,13</w:t>
      </w:r>
      <w:r w:rsidR="00F569F3" w:rsidRPr="001913E3">
        <w:rPr>
          <w:rFonts w:ascii="Book Antiqua" w:eastAsia="Book Antiqua" w:hAnsi="Book Antiqua" w:cs="Book Antiqua"/>
          <w:color w:val="000000"/>
          <w:vertAlign w:val="superscript"/>
        </w:rPr>
        <w:t>-</w:t>
      </w:r>
      <w:r w:rsidRPr="001913E3">
        <w:rPr>
          <w:rFonts w:ascii="Book Antiqua" w:eastAsia="Book Antiqua" w:hAnsi="Book Antiqua" w:cs="Book Antiqua"/>
          <w:color w:val="000000"/>
          <w:vertAlign w:val="superscript"/>
        </w:rPr>
        <w:t>16]</w:t>
      </w:r>
      <w:r w:rsidRPr="001913E3">
        <w:rPr>
          <w:rFonts w:ascii="Book Antiqua" w:eastAsia="Book Antiqua" w:hAnsi="Book Antiqua" w:cs="Book Antiqua"/>
          <w:color w:val="000000"/>
        </w:rPr>
        <w:t>. These endoscopic changes were also observed in our patient.</w:t>
      </w:r>
    </w:p>
    <w:p w14:paraId="72219653" w14:textId="1956BE55" w:rsidR="00A77B3E" w:rsidRPr="001913E3" w:rsidRDefault="00BC6700" w:rsidP="001913E3">
      <w:pPr>
        <w:spacing w:line="360" w:lineRule="auto"/>
        <w:ind w:firstLine="566"/>
        <w:jc w:val="both"/>
        <w:rPr>
          <w:rFonts w:ascii="Book Antiqua" w:hAnsi="Book Antiqua"/>
        </w:rPr>
      </w:pPr>
      <w:r>
        <w:rPr>
          <w:rFonts w:ascii="Book Antiqua" w:eastAsia="Book Antiqua" w:hAnsi="Book Antiqua" w:cs="Book Antiqua"/>
          <w:color w:val="000000"/>
        </w:rPr>
        <w:t>Due to</w:t>
      </w:r>
      <w:r w:rsidR="00982974" w:rsidRPr="001913E3">
        <w:rPr>
          <w:rFonts w:ascii="Book Antiqua" w:eastAsia="Book Antiqua" w:hAnsi="Book Antiqua" w:cs="Book Antiqua"/>
          <w:color w:val="000000"/>
        </w:rPr>
        <w:t xml:space="preserve"> the rarity of ICI-induced gastritis, there are currently </w:t>
      </w:r>
      <w:r w:rsidRPr="001913E3">
        <w:rPr>
          <w:rFonts w:ascii="Book Antiqua" w:eastAsia="Book Antiqua" w:hAnsi="Book Antiqua" w:cs="Book Antiqua"/>
          <w:color w:val="000000"/>
        </w:rPr>
        <w:t xml:space="preserve">few </w:t>
      </w:r>
      <w:r w:rsidR="00982974" w:rsidRPr="001913E3">
        <w:rPr>
          <w:rFonts w:ascii="Book Antiqua" w:eastAsia="Book Antiqua" w:hAnsi="Book Antiqua" w:cs="Book Antiqua"/>
          <w:color w:val="000000"/>
        </w:rPr>
        <w:t xml:space="preserve"> recommendations on how to treat this irAE. Brahmer </w:t>
      </w:r>
      <w:r w:rsidR="00982974" w:rsidRPr="001913E3">
        <w:rPr>
          <w:rFonts w:ascii="Book Antiqua" w:eastAsia="Book Antiqua" w:hAnsi="Book Antiqua" w:cs="Book Antiqua"/>
          <w:i/>
          <w:color w:val="000000"/>
        </w:rPr>
        <w:t>et al</w:t>
      </w:r>
      <w:r w:rsidR="00982974" w:rsidRPr="001913E3">
        <w:rPr>
          <w:rFonts w:ascii="Book Antiqua" w:eastAsia="Book Antiqua" w:hAnsi="Book Antiqua" w:cs="Book Antiqua"/>
          <w:color w:val="000000"/>
          <w:vertAlign w:val="superscript"/>
        </w:rPr>
        <w:t>[19]</w:t>
      </w:r>
      <w:r w:rsidR="00982974" w:rsidRPr="001913E3">
        <w:rPr>
          <w:rFonts w:ascii="Book Antiqua" w:eastAsia="Book Antiqua" w:hAnsi="Book Antiqua" w:cs="Book Antiqua"/>
          <w:color w:val="000000"/>
        </w:rPr>
        <w:t xml:space="preserve"> advised treat</w:t>
      </w:r>
      <w:r>
        <w:rPr>
          <w:rFonts w:ascii="Book Antiqua" w:eastAsia="Book Antiqua" w:hAnsi="Book Antiqua" w:cs="Book Antiqua"/>
          <w:color w:val="000000"/>
        </w:rPr>
        <w:t>ing</w:t>
      </w:r>
      <w:r w:rsidR="00982974" w:rsidRPr="001913E3">
        <w:rPr>
          <w:rFonts w:ascii="Book Antiqua" w:eastAsia="Book Antiqua" w:hAnsi="Book Antiqua" w:cs="Book Antiqua"/>
          <w:color w:val="000000"/>
        </w:rPr>
        <w:t xml:space="preserve"> this form of gastritis with corticosteroids and </w:t>
      </w:r>
      <w:r>
        <w:rPr>
          <w:rFonts w:ascii="Book Antiqua" w:eastAsia="Book Antiqua" w:hAnsi="Book Antiqua" w:cs="Book Antiqua"/>
          <w:color w:val="000000"/>
        </w:rPr>
        <w:t xml:space="preserve">reserve </w:t>
      </w:r>
      <w:r w:rsidR="00982974" w:rsidRPr="001913E3">
        <w:rPr>
          <w:rFonts w:ascii="Book Antiqua" w:eastAsia="Book Antiqua" w:hAnsi="Book Antiqua" w:cs="Book Antiqua"/>
          <w:color w:val="000000"/>
        </w:rPr>
        <w:t xml:space="preserve">tumour necrosis factor-α blockers for cases resistant to steroids (suggestions based on previous case studies). In most of </w:t>
      </w:r>
      <w:r>
        <w:rPr>
          <w:rFonts w:ascii="Book Antiqua" w:eastAsia="Book Antiqua" w:hAnsi="Book Antiqua" w:cs="Book Antiqua"/>
          <w:color w:val="000000"/>
        </w:rPr>
        <w:t>the</w:t>
      </w:r>
      <w:r w:rsidR="00982974" w:rsidRPr="001913E3">
        <w:rPr>
          <w:rFonts w:ascii="Book Antiqua" w:eastAsia="Book Antiqua" w:hAnsi="Book Antiqua" w:cs="Book Antiqua"/>
          <w:color w:val="000000"/>
        </w:rPr>
        <w:t xml:space="preserve"> reviewed cases, patients received corticosteroids (17 out of 19 cases), most of wh</w:t>
      </w:r>
      <w:r>
        <w:rPr>
          <w:rFonts w:ascii="Book Antiqua" w:eastAsia="Book Antiqua" w:hAnsi="Book Antiqua" w:cs="Book Antiqua"/>
          <w:color w:val="000000"/>
        </w:rPr>
        <w:t xml:space="preserve">ich </w:t>
      </w:r>
      <w:r w:rsidR="00982974" w:rsidRPr="001913E3">
        <w:rPr>
          <w:rFonts w:ascii="Book Antiqua" w:eastAsia="Book Antiqua" w:hAnsi="Book Antiqua" w:cs="Book Antiqua"/>
          <w:color w:val="000000"/>
        </w:rPr>
        <w:t>improve</w:t>
      </w:r>
      <w:r>
        <w:rPr>
          <w:rFonts w:ascii="Book Antiqua" w:eastAsia="Book Antiqua" w:hAnsi="Book Antiqua" w:cs="Book Antiqua"/>
          <w:color w:val="000000"/>
        </w:rPr>
        <w:t>d their</w:t>
      </w:r>
      <w:r w:rsidR="00982974" w:rsidRPr="001913E3">
        <w:rPr>
          <w:rFonts w:ascii="Book Antiqua" w:eastAsia="Book Antiqua" w:hAnsi="Book Antiqua" w:cs="Book Antiqua"/>
          <w:color w:val="000000"/>
        </w:rPr>
        <w:t xml:space="preserve"> symptoms. However, in our case, the nivolumab-induced gastritis was not managed with steroids. Instead, the patient was successfully treated with three courses of omeprazole monotherapy and remains in remission. PPIs were used alone or in combination with other therapies in 9 of the 19 cases we reviewed. One of the more </w:t>
      </w:r>
      <w:r w:rsidR="00982974" w:rsidRPr="001913E3">
        <w:rPr>
          <w:rFonts w:ascii="Book Antiqua" w:eastAsia="Book Antiqua" w:hAnsi="Book Antiqua" w:cs="Book Antiqua"/>
          <w:color w:val="000000"/>
        </w:rPr>
        <w:lastRenderedPageBreak/>
        <w:t>commonly used PPIs was pantoprazole</w:t>
      </w:r>
      <w:r w:rsidR="00982974" w:rsidRPr="001913E3">
        <w:rPr>
          <w:rFonts w:ascii="Book Antiqua" w:eastAsia="Book Antiqua" w:hAnsi="Book Antiqua" w:cs="Book Antiqua"/>
          <w:color w:val="000000"/>
          <w:vertAlign w:val="superscript"/>
        </w:rPr>
        <w:t>[4,5,7,8]</w:t>
      </w:r>
      <w:r w:rsidR="00982974" w:rsidRPr="001913E3">
        <w:rPr>
          <w:rFonts w:ascii="Book Antiqua" w:eastAsia="Book Antiqua" w:hAnsi="Book Antiqua" w:cs="Book Antiqua"/>
          <w:color w:val="000000"/>
        </w:rPr>
        <w:t>. In some of the cases that reported improvement in symptoms, PPIs were used in combination with other medications, namely – prednisone, methylprednisolone</w:t>
      </w:r>
      <w:r w:rsidR="00982974" w:rsidRPr="001913E3">
        <w:rPr>
          <w:rFonts w:ascii="Book Antiqua" w:eastAsia="Book Antiqua" w:hAnsi="Book Antiqua" w:cs="Book Antiqua"/>
          <w:color w:val="000000"/>
          <w:vertAlign w:val="superscript"/>
        </w:rPr>
        <w:t>[4,7,8,10,12</w:t>
      </w:r>
      <w:r w:rsidR="00CA5FF3">
        <w:rPr>
          <w:rFonts w:ascii="Book Antiqua" w:eastAsia="Book Antiqua" w:hAnsi="Book Antiqua" w:cs="Book Antiqua"/>
          <w:color w:val="000000"/>
          <w:vertAlign w:val="superscript"/>
        </w:rPr>
        <w:t>,21</w:t>
      </w:r>
      <w:r w:rsidR="00982974" w:rsidRPr="001913E3">
        <w:rPr>
          <w:rFonts w:ascii="Book Antiqua" w:eastAsia="Book Antiqua" w:hAnsi="Book Antiqua" w:cs="Book Antiqua"/>
          <w:color w:val="000000"/>
          <w:vertAlign w:val="superscript"/>
        </w:rPr>
        <w:t>]</w:t>
      </w:r>
      <w:r w:rsidR="00982974" w:rsidRPr="001913E3">
        <w:rPr>
          <w:rFonts w:ascii="Book Antiqua" w:eastAsia="Book Antiqua" w:hAnsi="Book Antiqua" w:cs="Book Antiqua"/>
          <w:color w:val="000000"/>
        </w:rPr>
        <w:t xml:space="preserve"> or infliximab</w:t>
      </w:r>
      <w:r w:rsidR="00982974" w:rsidRPr="001913E3">
        <w:rPr>
          <w:rFonts w:ascii="Book Antiqua" w:eastAsia="Book Antiqua" w:hAnsi="Book Antiqua" w:cs="Book Antiqua"/>
          <w:color w:val="000000"/>
          <w:vertAlign w:val="superscript"/>
        </w:rPr>
        <w:t>[2,8]</w:t>
      </w:r>
      <w:r w:rsidR="00982974" w:rsidRPr="001913E3">
        <w:rPr>
          <w:rFonts w:ascii="Book Antiqua" w:eastAsia="Book Antiqua" w:hAnsi="Book Antiqua" w:cs="Book Antiqua"/>
          <w:color w:val="000000"/>
        </w:rPr>
        <w:t xml:space="preserve">. </w:t>
      </w:r>
    </w:p>
    <w:p w14:paraId="0D90D99A" w14:textId="15593E3D" w:rsidR="00A77B3E" w:rsidRPr="001913E3" w:rsidRDefault="00982974" w:rsidP="001913E3">
      <w:pPr>
        <w:spacing w:line="360" w:lineRule="auto"/>
        <w:ind w:firstLine="566"/>
        <w:jc w:val="both"/>
        <w:rPr>
          <w:rFonts w:ascii="Book Antiqua" w:hAnsi="Book Antiqua"/>
        </w:rPr>
      </w:pPr>
      <w:r w:rsidRPr="001913E3">
        <w:rPr>
          <w:rFonts w:ascii="Book Antiqua" w:eastAsia="Book Antiqua" w:hAnsi="Book Antiqua" w:cs="Book Antiqua"/>
          <w:color w:val="000000"/>
        </w:rPr>
        <w:t xml:space="preserve">Shi </w:t>
      </w:r>
      <w:r w:rsidRPr="001913E3">
        <w:rPr>
          <w:rFonts w:ascii="Book Antiqua" w:eastAsia="Book Antiqua" w:hAnsi="Book Antiqua" w:cs="Book Antiqua"/>
          <w:i/>
          <w:iCs/>
          <w:color w:val="000000"/>
        </w:rPr>
        <w:t>et al</w:t>
      </w:r>
      <w:r w:rsidR="00A6370D" w:rsidRPr="001913E3">
        <w:rPr>
          <w:rFonts w:ascii="Book Antiqua" w:eastAsia="Book Antiqua" w:hAnsi="Book Antiqua" w:cs="Book Antiqua"/>
          <w:color w:val="000000"/>
          <w:vertAlign w:val="superscript"/>
        </w:rPr>
        <w:t>[3]</w:t>
      </w:r>
      <w:r w:rsidRPr="001913E3">
        <w:rPr>
          <w:rFonts w:ascii="Book Antiqua" w:eastAsia="Book Antiqua" w:hAnsi="Book Antiqua" w:cs="Book Antiqua"/>
          <w:color w:val="000000"/>
        </w:rPr>
        <w:t xml:space="preserve"> reported that treatment with pantoprazole and ranitidine gave desirable results only after cessation of nivolumab. Similar results were observed in a case report by Martínez-Acitores de la Mata </w:t>
      </w:r>
      <w:r w:rsidRPr="001913E3">
        <w:rPr>
          <w:rFonts w:ascii="Book Antiqua" w:eastAsia="Book Antiqua" w:hAnsi="Book Antiqua" w:cs="Book Antiqua"/>
          <w:i/>
          <w:iCs/>
          <w:color w:val="000000"/>
        </w:rPr>
        <w:t>et al</w:t>
      </w:r>
      <w:r w:rsidRPr="001913E3">
        <w:rPr>
          <w:rFonts w:ascii="Book Antiqua" w:eastAsia="Book Antiqua" w:hAnsi="Book Antiqua" w:cs="Book Antiqua"/>
          <w:color w:val="000000"/>
          <w:vertAlign w:val="superscript"/>
        </w:rPr>
        <w:t>[16]</w:t>
      </w:r>
      <w:r w:rsidRPr="001913E3">
        <w:rPr>
          <w:rFonts w:ascii="Book Antiqua" w:eastAsia="Book Antiqua" w:hAnsi="Book Antiqua" w:cs="Book Antiqua"/>
          <w:color w:val="000000"/>
        </w:rPr>
        <w:t xml:space="preserve">; remission was achieved after PPI therapy and cessation of nivolumab. Overall, in 9 of the 19 reviewed cases, ICI-induced gastritis was managed in part by discontinuing nivolumab therapy. In our case, nivolumab was not terminated because the patient did not have significant gastroenterological symptoms after treatment and the benefit of tumour suppression outweighed the risk of associated irAE. </w:t>
      </w:r>
    </w:p>
    <w:p w14:paraId="08F8AEB5" w14:textId="1B1988A7" w:rsidR="00A77B3E" w:rsidRPr="001913E3" w:rsidRDefault="00982974" w:rsidP="001913E3">
      <w:pPr>
        <w:spacing w:line="360" w:lineRule="auto"/>
        <w:ind w:firstLineChars="200" w:firstLine="480"/>
        <w:jc w:val="both"/>
        <w:rPr>
          <w:rFonts w:ascii="Book Antiqua" w:hAnsi="Book Antiqua"/>
        </w:rPr>
      </w:pPr>
      <w:r w:rsidRPr="001913E3">
        <w:rPr>
          <w:rFonts w:ascii="Book Antiqua" w:eastAsia="Book Antiqua" w:hAnsi="Book Antiqua" w:cs="Book Antiqua"/>
          <w:color w:val="000000"/>
        </w:rPr>
        <w:t xml:space="preserve">In recent years, </w:t>
      </w:r>
      <w:r w:rsidR="00BC6700">
        <w:rPr>
          <w:rFonts w:ascii="Book Antiqua" w:eastAsia="Book Antiqua" w:hAnsi="Book Antiqua" w:cs="Book Antiqua"/>
          <w:color w:val="000000"/>
        </w:rPr>
        <w:t>ICI</w:t>
      </w:r>
      <w:r w:rsidRPr="001913E3">
        <w:rPr>
          <w:rFonts w:ascii="Book Antiqua" w:eastAsia="Book Antiqua" w:hAnsi="Book Antiqua" w:cs="Book Antiqua"/>
          <w:color w:val="000000"/>
        </w:rPr>
        <w:t>s have become an option for the treatment of various types of cancer, but not much is known about biomarkers that predict adverse immune reactions. To date, none of the suggested biomarkers ha</w:t>
      </w:r>
      <w:r w:rsidR="00BC6700">
        <w:rPr>
          <w:rFonts w:ascii="Book Antiqua" w:eastAsia="Book Antiqua" w:hAnsi="Book Antiqua" w:cs="Book Antiqua"/>
          <w:color w:val="000000"/>
        </w:rPr>
        <w:t>ve</w:t>
      </w:r>
      <w:r w:rsidRPr="001913E3">
        <w:rPr>
          <w:rFonts w:ascii="Book Antiqua" w:eastAsia="Book Antiqua" w:hAnsi="Book Antiqua" w:cs="Book Antiqua"/>
          <w:color w:val="000000"/>
        </w:rPr>
        <w:t xml:space="preserve"> demonstrated sufficient precision in predicting or signaling irAEs to be useful in clinical practise and more high-quality studies are needed to establish a balance between the antitumour effects of ICI therapy and the irAEs it causes</w:t>
      </w:r>
      <w:r w:rsidR="002943FD">
        <w:rPr>
          <w:rFonts w:ascii="Book Antiqua" w:eastAsia="Book Antiqua" w:hAnsi="Book Antiqua" w:cs="Book Antiqua"/>
          <w:color w:val="000000"/>
          <w:vertAlign w:val="superscript"/>
        </w:rPr>
        <w:t>[22,23]</w:t>
      </w:r>
      <w:r w:rsidRPr="001913E3">
        <w:rPr>
          <w:rFonts w:ascii="Book Antiqua" w:eastAsia="Book Antiqua" w:hAnsi="Book Antiqua" w:cs="Book Antiqua"/>
          <w:color w:val="000000"/>
        </w:rPr>
        <w:t>.</w:t>
      </w:r>
    </w:p>
    <w:p w14:paraId="47530D5A" w14:textId="77777777" w:rsidR="00A77B3E" w:rsidRPr="001913E3" w:rsidRDefault="00A77B3E" w:rsidP="001913E3">
      <w:pPr>
        <w:spacing w:line="360" w:lineRule="auto"/>
        <w:jc w:val="both"/>
        <w:rPr>
          <w:rFonts w:ascii="Book Antiqua" w:hAnsi="Book Antiqua"/>
        </w:rPr>
      </w:pPr>
    </w:p>
    <w:p w14:paraId="583406F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CONCLUSION</w:t>
      </w:r>
    </w:p>
    <w:p w14:paraId="5EFD1B2F" w14:textId="3D9C2EE2"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t xml:space="preserve">ICI-induced gastritis, as a complication of immunotherapy, is much less common among clinicians and, consequently, much less known. As immunotherapy evolves and becomes more widely used, the probability of irAEs, including ICI-induced gastritis, will grow. When assessing a patient on immunotherapy presenting with symptoms of upper gastrointestinal tract distress, this diagnosis should be taken into account to provide </w:t>
      </w:r>
      <w:r w:rsidR="00BC6700">
        <w:rPr>
          <w:rFonts w:ascii="Book Antiqua" w:eastAsia="Book Antiqua" w:hAnsi="Book Antiqua" w:cs="Book Antiqua"/>
          <w:color w:val="000000"/>
        </w:rPr>
        <w:t>the</w:t>
      </w:r>
      <w:r w:rsidRPr="001913E3">
        <w:rPr>
          <w:rFonts w:ascii="Book Antiqua" w:eastAsia="Book Antiqua" w:hAnsi="Book Antiqua" w:cs="Book Antiqua"/>
          <w:color w:val="000000"/>
        </w:rPr>
        <w:t xml:space="preserve"> patient with timely intervention. Controlled clinical trials are needed to establish guidelines for the management of ICI-induced gastritis.</w:t>
      </w:r>
    </w:p>
    <w:p w14:paraId="2F08BCE8" w14:textId="77777777" w:rsidR="00A77B3E" w:rsidRPr="001913E3" w:rsidRDefault="00A77B3E" w:rsidP="001913E3">
      <w:pPr>
        <w:spacing w:line="360" w:lineRule="auto"/>
        <w:jc w:val="both"/>
        <w:rPr>
          <w:rFonts w:ascii="Book Antiqua" w:hAnsi="Book Antiqua"/>
        </w:rPr>
      </w:pPr>
    </w:p>
    <w:p w14:paraId="7D43DA2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aps/>
          <w:color w:val="000000"/>
          <w:u w:val="single"/>
        </w:rPr>
        <w:t>ACKNOWLEDGEMENTS</w:t>
      </w:r>
    </w:p>
    <w:p w14:paraId="2F15347B" w14:textId="2BBF6121"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color w:val="000000"/>
        </w:rPr>
        <w:lastRenderedPageBreak/>
        <w:t>We w</w:t>
      </w:r>
      <w:r w:rsidR="00BC6700">
        <w:rPr>
          <w:rFonts w:ascii="Book Antiqua" w:eastAsia="Book Antiqua" w:hAnsi="Book Antiqua" w:cs="Book Antiqua"/>
          <w:color w:val="000000"/>
        </w:rPr>
        <w:t>ould like</w:t>
      </w:r>
      <w:r w:rsidR="00ED24BE" w:rsidRPr="001913E3">
        <w:rPr>
          <w:rFonts w:ascii="Book Antiqua" w:eastAsia="Book Antiqua" w:hAnsi="Book Antiqua" w:cs="Book Antiqua"/>
          <w:color w:val="000000"/>
        </w:rPr>
        <w:t xml:space="preserve"> </w:t>
      </w:r>
      <w:r w:rsidRPr="001913E3">
        <w:rPr>
          <w:rFonts w:ascii="Book Antiqua" w:eastAsia="Book Antiqua" w:hAnsi="Book Antiqua" w:cs="Book Antiqua"/>
          <w:color w:val="000000"/>
        </w:rPr>
        <w:t>to thank the patient and Vilnius University Hospital Santaros Clinics for giving us consent and providing the data to report this case.</w:t>
      </w:r>
    </w:p>
    <w:p w14:paraId="5B8B2793" w14:textId="77777777" w:rsidR="00A77B3E" w:rsidRPr="001913E3" w:rsidRDefault="00A77B3E" w:rsidP="001913E3">
      <w:pPr>
        <w:spacing w:line="360" w:lineRule="auto"/>
        <w:jc w:val="both"/>
        <w:rPr>
          <w:rFonts w:ascii="Book Antiqua" w:hAnsi="Book Antiqua"/>
        </w:rPr>
      </w:pPr>
    </w:p>
    <w:p w14:paraId="047A2AE4"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REFERENCES</w:t>
      </w:r>
    </w:p>
    <w:p w14:paraId="5DCC234D"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 </w:t>
      </w:r>
      <w:r w:rsidRPr="001913E3">
        <w:rPr>
          <w:rFonts w:ascii="Book Antiqua" w:eastAsia="Book Antiqua" w:hAnsi="Book Antiqua" w:cs="Book Antiqua"/>
          <w:b/>
          <w:bCs/>
        </w:rPr>
        <w:t>Ramos-Casals M</w:t>
      </w:r>
      <w:r w:rsidRPr="001913E3">
        <w:rPr>
          <w:rFonts w:ascii="Book Antiqua" w:eastAsia="Book Antiqua" w:hAnsi="Book Antiqua" w:cs="Book Antiqua"/>
        </w:rPr>
        <w:t xml:space="preserve">, Brahmer JR, Callahan MK, Flores-Chávez A, Keegan N, Khamashta MA, Lambotte O, Mariette X, Prat A, Suárez-Almazor ME. Immune-related adverse events of checkpoint inhibitors. </w:t>
      </w:r>
      <w:r w:rsidRPr="001913E3">
        <w:rPr>
          <w:rFonts w:ascii="Book Antiqua" w:eastAsia="Book Antiqua" w:hAnsi="Book Antiqua" w:cs="Book Antiqua"/>
          <w:i/>
          <w:iCs/>
        </w:rPr>
        <w:t>Nat Rev Dis Primers</w:t>
      </w:r>
      <w:r w:rsidRPr="001913E3">
        <w:rPr>
          <w:rFonts w:ascii="Book Antiqua" w:eastAsia="Book Antiqua" w:hAnsi="Book Antiqua" w:cs="Book Antiqua"/>
        </w:rPr>
        <w:t xml:space="preserve"> 2020; </w:t>
      </w:r>
      <w:r w:rsidRPr="001913E3">
        <w:rPr>
          <w:rFonts w:ascii="Book Antiqua" w:eastAsia="Book Antiqua" w:hAnsi="Book Antiqua" w:cs="Book Antiqua"/>
          <w:b/>
          <w:bCs/>
        </w:rPr>
        <w:t>6</w:t>
      </w:r>
      <w:r w:rsidRPr="001913E3">
        <w:rPr>
          <w:rFonts w:ascii="Book Antiqua" w:eastAsia="Book Antiqua" w:hAnsi="Book Antiqua" w:cs="Book Antiqua"/>
        </w:rPr>
        <w:t>: 38 [PMID: 32382051 DOI: 10.1038/s41572-020-0160-6]</w:t>
      </w:r>
    </w:p>
    <w:p w14:paraId="7B731CD5"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2 </w:t>
      </w:r>
      <w:r w:rsidRPr="001913E3">
        <w:rPr>
          <w:rFonts w:ascii="Book Antiqua" w:eastAsia="Book Antiqua" w:hAnsi="Book Antiqua" w:cs="Book Antiqua"/>
          <w:b/>
          <w:bCs/>
        </w:rPr>
        <w:t>Johncilla M</w:t>
      </w:r>
      <w:r w:rsidRPr="001913E3">
        <w:rPr>
          <w:rFonts w:ascii="Book Antiqua" w:eastAsia="Book Antiqua" w:hAnsi="Book Antiqua" w:cs="Book Antiqua"/>
        </w:rPr>
        <w:t xml:space="preserve">, Grover S, Zhang X, Jain D, Srivastava A. Morphological spectrum of immune check-point inhibitor therapy-associated gastritis. </w:t>
      </w:r>
      <w:r w:rsidRPr="001913E3">
        <w:rPr>
          <w:rFonts w:ascii="Book Antiqua" w:eastAsia="Book Antiqua" w:hAnsi="Book Antiqua" w:cs="Book Antiqua"/>
          <w:i/>
          <w:iCs/>
        </w:rPr>
        <w:t>Histopathology</w:t>
      </w:r>
      <w:r w:rsidRPr="001913E3">
        <w:rPr>
          <w:rFonts w:ascii="Book Antiqua" w:eastAsia="Book Antiqua" w:hAnsi="Book Antiqua" w:cs="Book Antiqua"/>
        </w:rPr>
        <w:t xml:space="preserve"> 2020; </w:t>
      </w:r>
      <w:r w:rsidRPr="001913E3">
        <w:rPr>
          <w:rFonts w:ascii="Book Antiqua" w:eastAsia="Book Antiqua" w:hAnsi="Book Antiqua" w:cs="Book Antiqua"/>
          <w:b/>
          <w:bCs/>
        </w:rPr>
        <w:t>76</w:t>
      </w:r>
      <w:r w:rsidRPr="001913E3">
        <w:rPr>
          <w:rFonts w:ascii="Book Antiqua" w:eastAsia="Book Antiqua" w:hAnsi="Book Antiqua" w:cs="Book Antiqua"/>
        </w:rPr>
        <w:t>: 531-539 [PMID: 31692018 DOI: 10.1111/his.14029]</w:t>
      </w:r>
    </w:p>
    <w:p w14:paraId="0A260BB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3 </w:t>
      </w:r>
      <w:r w:rsidRPr="001913E3">
        <w:rPr>
          <w:rFonts w:ascii="Book Antiqua" w:eastAsia="Book Antiqua" w:hAnsi="Book Antiqua" w:cs="Book Antiqua"/>
          <w:b/>
          <w:bCs/>
        </w:rPr>
        <w:t>Shi Y</w:t>
      </w:r>
      <w:r w:rsidRPr="001913E3">
        <w:rPr>
          <w:rFonts w:ascii="Book Antiqua" w:eastAsia="Book Antiqua" w:hAnsi="Book Antiqua" w:cs="Book Antiqua"/>
        </w:rPr>
        <w:t xml:space="preserve">, Lin P, Ho EY, Nock CJ. Nivolumab-associated nausea and vomiting as an immune adverse event. </w:t>
      </w:r>
      <w:r w:rsidRPr="001913E3">
        <w:rPr>
          <w:rFonts w:ascii="Book Antiqua" w:eastAsia="Book Antiqua" w:hAnsi="Book Antiqua" w:cs="Book Antiqua"/>
          <w:i/>
          <w:iCs/>
        </w:rPr>
        <w:t>Eur J Cancer</w:t>
      </w:r>
      <w:r w:rsidRPr="001913E3">
        <w:rPr>
          <w:rFonts w:ascii="Book Antiqua" w:eastAsia="Book Antiqua" w:hAnsi="Book Antiqua" w:cs="Book Antiqua"/>
        </w:rPr>
        <w:t xml:space="preserve"> 2017; </w:t>
      </w:r>
      <w:r w:rsidRPr="001913E3">
        <w:rPr>
          <w:rFonts w:ascii="Book Antiqua" w:eastAsia="Book Antiqua" w:hAnsi="Book Antiqua" w:cs="Book Antiqua"/>
          <w:b/>
          <w:bCs/>
        </w:rPr>
        <w:t>84</w:t>
      </w:r>
      <w:r w:rsidRPr="001913E3">
        <w:rPr>
          <w:rFonts w:ascii="Book Antiqua" w:eastAsia="Book Antiqua" w:hAnsi="Book Antiqua" w:cs="Book Antiqua"/>
        </w:rPr>
        <w:t>: 367-369 [PMID: 28827043 DOI: 10.1016/j.ejca.2017.07.029]</w:t>
      </w:r>
    </w:p>
    <w:p w14:paraId="709D554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4 </w:t>
      </w:r>
      <w:r w:rsidRPr="001913E3">
        <w:rPr>
          <w:rFonts w:ascii="Book Antiqua" w:eastAsia="Book Antiqua" w:hAnsi="Book Antiqua" w:cs="Book Antiqua"/>
          <w:b/>
          <w:bCs/>
        </w:rPr>
        <w:t>Placke JM</w:t>
      </w:r>
      <w:r w:rsidRPr="001913E3">
        <w:rPr>
          <w:rFonts w:ascii="Book Antiqua" w:eastAsia="Book Antiqua" w:hAnsi="Book Antiqua" w:cs="Book Antiqua"/>
        </w:rPr>
        <w:t xml:space="preserve">, Rawitzer J, Reis H, Rashidi-Alavijeh J, Livingstone E, Ugurel S, Hadaschik E, Griewank K, Schmid KW, Schadendorf D, Roesch A, Zimmer L. Apoptotic Gastritis in Melanoma Patients Treated With PD-1-Based Immune Checkpoint Inhibition - Clinical and Histopathological Findings Including the Diagnostic Value of Anti-Caspase-3 Immunohistochemistry. </w:t>
      </w:r>
      <w:r w:rsidRPr="001913E3">
        <w:rPr>
          <w:rFonts w:ascii="Book Antiqua" w:eastAsia="Book Antiqua" w:hAnsi="Book Antiqua" w:cs="Book Antiqua"/>
          <w:i/>
          <w:iCs/>
        </w:rPr>
        <w:t>Front Oncol</w:t>
      </w:r>
      <w:r w:rsidRPr="001913E3">
        <w:rPr>
          <w:rFonts w:ascii="Book Antiqua" w:eastAsia="Book Antiqua" w:hAnsi="Book Antiqua" w:cs="Book Antiqua"/>
        </w:rPr>
        <w:t xml:space="preserve"> 2021; </w:t>
      </w:r>
      <w:r w:rsidRPr="001913E3">
        <w:rPr>
          <w:rFonts w:ascii="Book Antiqua" w:eastAsia="Book Antiqua" w:hAnsi="Book Antiqua" w:cs="Book Antiqua"/>
          <w:b/>
          <w:bCs/>
        </w:rPr>
        <w:t>11</w:t>
      </w:r>
      <w:r w:rsidRPr="001913E3">
        <w:rPr>
          <w:rFonts w:ascii="Book Antiqua" w:eastAsia="Book Antiqua" w:hAnsi="Book Antiqua" w:cs="Book Antiqua"/>
        </w:rPr>
        <w:t>: 725549 [PMID: 34458154 DOI: 10.3389/fonc.2021.725549]</w:t>
      </w:r>
    </w:p>
    <w:p w14:paraId="5EDE9702"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5 </w:t>
      </w:r>
      <w:r w:rsidRPr="001913E3">
        <w:rPr>
          <w:rFonts w:ascii="Book Antiqua" w:eastAsia="Book Antiqua" w:hAnsi="Book Antiqua" w:cs="Book Antiqua"/>
          <w:b/>
          <w:bCs/>
        </w:rPr>
        <w:t>Woodford R</w:t>
      </w:r>
      <w:r w:rsidRPr="001913E3">
        <w:rPr>
          <w:rFonts w:ascii="Book Antiqua" w:eastAsia="Book Antiqua" w:hAnsi="Book Antiqua" w:cs="Book Antiqua"/>
        </w:rPr>
        <w:t xml:space="preserve">, Briscoe K, Tustin R, Jain A. Immunotherapy-related gastritis: Two case reports and literature review. </w:t>
      </w:r>
      <w:r w:rsidRPr="001913E3">
        <w:rPr>
          <w:rFonts w:ascii="Book Antiqua" w:eastAsia="Book Antiqua" w:hAnsi="Book Antiqua" w:cs="Book Antiqua"/>
          <w:i/>
          <w:iCs/>
        </w:rPr>
        <w:t>Clin Med Insights Oncol</w:t>
      </w:r>
      <w:r w:rsidRPr="001913E3">
        <w:rPr>
          <w:rFonts w:ascii="Book Antiqua" w:eastAsia="Book Antiqua" w:hAnsi="Book Antiqua" w:cs="Book Antiqua"/>
        </w:rPr>
        <w:t xml:space="preserve"> 2021; </w:t>
      </w:r>
      <w:r w:rsidRPr="001913E3">
        <w:rPr>
          <w:rFonts w:ascii="Book Antiqua" w:eastAsia="Book Antiqua" w:hAnsi="Book Antiqua" w:cs="Book Antiqua"/>
          <w:b/>
          <w:bCs/>
        </w:rPr>
        <w:t>15</w:t>
      </w:r>
      <w:r w:rsidRPr="001913E3">
        <w:rPr>
          <w:rFonts w:ascii="Book Antiqua" w:eastAsia="Book Antiqua" w:hAnsi="Book Antiqua" w:cs="Book Antiqua"/>
        </w:rPr>
        <w:t>: 11795549211028570 [PMID: 34290539 DOI: 10.1177/11795549211028570]</w:t>
      </w:r>
    </w:p>
    <w:p w14:paraId="1C54035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6 </w:t>
      </w:r>
      <w:r w:rsidRPr="001913E3">
        <w:rPr>
          <w:rFonts w:ascii="Book Antiqua" w:eastAsia="Book Antiqua" w:hAnsi="Book Antiqua" w:cs="Book Antiqua"/>
          <w:b/>
          <w:bCs/>
        </w:rPr>
        <w:t>Alhatem A</w:t>
      </w:r>
      <w:r w:rsidRPr="001913E3">
        <w:rPr>
          <w:rFonts w:ascii="Book Antiqua" w:eastAsia="Book Antiqua" w:hAnsi="Book Antiqua" w:cs="Book Antiqua"/>
        </w:rPr>
        <w:t xml:space="preserve">, Patel K, Eriksen B, Bukhari S, Liu C. Nivolumab-Induced Concomitant Severe Upper and Lower Gastrointestinal Immune-Related Adverse Effects. </w:t>
      </w:r>
      <w:r w:rsidRPr="001913E3">
        <w:rPr>
          <w:rFonts w:ascii="Book Antiqua" w:eastAsia="Book Antiqua" w:hAnsi="Book Antiqua" w:cs="Book Antiqua"/>
          <w:i/>
          <w:iCs/>
        </w:rPr>
        <w:t>ACG Case Rep J</w:t>
      </w:r>
      <w:r w:rsidRPr="001913E3">
        <w:rPr>
          <w:rFonts w:ascii="Book Antiqua" w:eastAsia="Book Antiqua" w:hAnsi="Book Antiqua" w:cs="Book Antiqua"/>
        </w:rPr>
        <w:t xml:space="preserve"> 2019; </w:t>
      </w:r>
      <w:r w:rsidRPr="001913E3">
        <w:rPr>
          <w:rFonts w:ascii="Book Antiqua" w:eastAsia="Book Antiqua" w:hAnsi="Book Antiqua" w:cs="Book Antiqua"/>
          <w:b/>
          <w:bCs/>
        </w:rPr>
        <w:t>6</w:t>
      </w:r>
      <w:r w:rsidRPr="001913E3">
        <w:rPr>
          <w:rFonts w:ascii="Book Antiqua" w:eastAsia="Book Antiqua" w:hAnsi="Book Antiqua" w:cs="Book Antiqua"/>
        </w:rPr>
        <w:t>: e00249 [PMID: 32309466 DOI: 10.14309/crj.0000000000000249]</w:t>
      </w:r>
    </w:p>
    <w:p w14:paraId="5E11E63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7 </w:t>
      </w:r>
      <w:r w:rsidRPr="001913E3">
        <w:rPr>
          <w:rFonts w:ascii="Book Antiqua" w:eastAsia="Book Antiqua" w:hAnsi="Book Antiqua" w:cs="Book Antiqua"/>
          <w:b/>
          <w:bCs/>
        </w:rPr>
        <w:t>Rovedatti L</w:t>
      </w:r>
      <w:r w:rsidRPr="001913E3">
        <w:rPr>
          <w:rFonts w:ascii="Book Antiqua" w:eastAsia="Book Antiqua" w:hAnsi="Book Antiqua" w:cs="Book Antiqua"/>
        </w:rPr>
        <w:t xml:space="preserve">, Lenti MV, Vanoli A, Feltri M, De Grazia F, Di Sabatino A. Nivolumab-associated active neutrophilic gastritis. </w:t>
      </w:r>
      <w:r w:rsidRPr="001913E3">
        <w:rPr>
          <w:rFonts w:ascii="Book Antiqua" w:eastAsia="Book Antiqua" w:hAnsi="Book Antiqua" w:cs="Book Antiqua"/>
          <w:i/>
          <w:iCs/>
        </w:rPr>
        <w:t>J Clin Pathol</w:t>
      </w:r>
      <w:r w:rsidRPr="001913E3">
        <w:rPr>
          <w:rFonts w:ascii="Book Antiqua" w:eastAsia="Book Antiqua" w:hAnsi="Book Antiqua" w:cs="Book Antiqua"/>
        </w:rPr>
        <w:t xml:space="preserve"> 2020; </w:t>
      </w:r>
      <w:r w:rsidRPr="001913E3">
        <w:rPr>
          <w:rFonts w:ascii="Book Antiqua" w:eastAsia="Book Antiqua" w:hAnsi="Book Antiqua" w:cs="Book Antiqua"/>
          <w:b/>
          <w:bCs/>
        </w:rPr>
        <w:t>73</w:t>
      </w:r>
      <w:r w:rsidRPr="001913E3">
        <w:rPr>
          <w:rFonts w:ascii="Book Antiqua" w:eastAsia="Book Antiqua" w:hAnsi="Book Antiqua" w:cs="Book Antiqua"/>
        </w:rPr>
        <w:t>: 605-606 [PMID: 32161070 DOI: 10.1136/jclinpath-2020-206540]</w:t>
      </w:r>
    </w:p>
    <w:p w14:paraId="6FBAC21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lastRenderedPageBreak/>
        <w:t xml:space="preserve">8 </w:t>
      </w:r>
      <w:r w:rsidRPr="001913E3">
        <w:rPr>
          <w:rFonts w:ascii="Book Antiqua" w:eastAsia="Book Antiqua" w:hAnsi="Book Antiqua" w:cs="Book Antiqua"/>
          <w:b/>
          <w:bCs/>
        </w:rPr>
        <w:t>Vindum HH</w:t>
      </w:r>
      <w:r w:rsidRPr="001913E3">
        <w:rPr>
          <w:rFonts w:ascii="Book Antiqua" w:eastAsia="Book Antiqua" w:hAnsi="Book Antiqua" w:cs="Book Antiqua"/>
        </w:rPr>
        <w:t xml:space="preserve">, Agnholt JS, Nielsen AWM, Nielsen MB, Schmidt H. Severe steroid refractory gastritis induced by Nivolumab: A case report. </w:t>
      </w:r>
      <w:r w:rsidRPr="001913E3">
        <w:rPr>
          <w:rFonts w:ascii="Book Antiqua" w:eastAsia="Book Antiqua" w:hAnsi="Book Antiqua" w:cs="Book Antiqua"/>
          <w:i/>
          <w:iCs/>
        </w:rPr>
        <w:t>World J Gastroenterol</w:t>
      </w:r>
      <w:r w:rsidRPr="001913E3">
        <w:rPr>
          <w:rFonts w:ascii="Book Antiqua" w:eastAsia="Book Antiqua" w:hAnsi="Book Antiqua" w:cs="Book Antiqua"/>
        </w:rPr>
        <w:t xml:space="preserve"> 2020; </w:t>
      </w:r>
      <w:r w:rsidRPr="001913E3">
        <w:rPr>
          <w:rFonts w:ascii="Book Antiqua" w:eastAsia="Book Antiqua" w:hAnsi="Book Antiqua" w:cs="Book Antiqua"/>
          <w:b/>
          <w:bCs/>
        </w:rPr>
        <w:t>26</w:t>
      </w:r>
      <w:r w:rsidRPr="001913E3">
        <w:rPr>
          <w:rFonts w:ascii="Book Antiqua" w:eastAsia="Book Antiqua" w:hAnsi="Book Antiqua" w:cs="Book Antiqua"/>
        </w:rPr>
        <w:t>: 1971-1978 [PMID: 32390707 DOI: 10.3748/wjg.v26.i16.1971]</w:t>
      </w:r>
    </w:p>
    <w:p w14:paraId="6AB5104C"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9 </w:t>
      </w:r>
      <w:r w:rsidRPr="001913E3">
        <w:rPr>
          <w:rFonts w:ascii="Book Antiqua" w:eastAsia="Book Antiqua" w:hAnsi="Book Antiqua" w:cs="Book Antiqua"/>
          <w:b/>
          <w:bCs/>
        </w:rPr>
        <w:t>Kobayashi M</w:t>
      </w:r>
      <w:r w:rsidRPr="001913E3">
        <w:rPr>
          <w:rFonts w:ascii="Book Antiqua" w:eastAsia="Book Antiqua" w:hAnsi="Book Antiqua" w:cs="Book Antiqua"/>
        </w:rPr>
        <w:t xml:space="preserve">, Yamaguchi O, Nagata K, Nonaka K, Ryozawa S. Acute hemorrhagic gastritis after nivolumab treatment. </w:t>
      </w:r>
      <w:r w:rsidRPr="001913E3">
        <w:rPr>
          <w:rFonts w:ascii="Book Antiqua" w:eastAsia="Book Antiqua" w:hAnsi="Book Antiqua" w:cs="Book Antiqua"/>
          <w:i/>
          <w:iCs/>
        </w:rPr>
        <w:t>Gastrointest Endosc</w:t>
      </w:r>
      <w:r w:rsidRPr="001913E3">
        <w:rPr>
          <w:rFonts w:ascii="Book Antiqua" w:eastAsia="Book Antiqua" w:hAnsi="Book Antiqua" w:cs="Book Antiqua"/>
        </w:rPr>
        <w:t xml:space="preserve"> 2017; </w:t>
      </w:r>
      <w:r w:rsidRPr="001913E3">
        <w:rPr>
          <w:rFonts w:ascii="Book Antiqua" w:eastAsia="Book Antiqua" w:hAnsi="Book Antiqua" w:cs="Book Antiqua"/>
          <w:b/>
          <w:bCs/>
        </w:rPr>
        <w:t>86</w:t>
      </w:r>
      <w:r w:rsidRPr="001913E3">
        <w:rPr>
          <w:rFonts w:ascii="Book Antiqua" w:eastAsia="Book Antiqua" w:hAnsi="Book Antiqua" w:cs="Book Antiqua"/>
        </w:rPr>
        <w:t>: 915-916 [PMID: 28478027 DOI: 10.1016/j.gie.2017.04.033]</w:t>
      </w:r>
    </w:p>
    <w:p w14:paraId="3F3F1DE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10 </w:t>
      </w:r>
      <w:r w:rsidRPr="001913E3">
        <w:rPr>
          <w:rFonts w:ascii="Book Antiqua" w:eastAsia="Book Antiqua" w:hAnsi="Book Antiqua" w:cs="Book Antiqua"/>
          <w:b/>
          <w:bCs/>
        </w:rPr>
        <w:t>Boike J</w:t>
      </w:r>
      <w:r w:rsidRPr="001913E3">
        <w:rPr>
          <w:rFonts w:ascii="Book Antiqua" w:eastAsia="Book Antiqua" w:hAnsi="Book Antiqua" w:cs="Book Antiqua"/>
        </w:rPr>
        <w:t xml:space="preserve">, Dejulio T. Severe Esophagitis and Gastritis from Nivolumab Therapy. </w:t>
      </w:r>
      <w:r w:rsidRPr="001913E3">
        <w:rPr>
          <w:rFonts w:ascii="Book Antiqua" w:eastAsia="Book Antiqua" w:hAnsi="Book Antiqua" w:cs="Book Antiqua"/>
          <w:i/>
          <w:iCs/>
        </w:rPr>
        <w:t>ACG Case Rep J</w:t>
      </w:r>
      <w:r w:rsidRPr="001913E3">
        <w:rPr>
          <w:rFonts w:ascii="Book Antiqua" w:eastAsia="Book Antiqua" w:hAnsi="Book Antiqua" w:cs="Book Antiqua"/>
        </w:rPr>
        <w:t xml:space="preserve"> 2017; </w:t>
      </w:r>
      <w:r w:rsidRPr="001913E3">
        <w:rPr>
          <w:rFonts w:ascii="Book Antiqua" w:eastAsia="Book Antiqua" w:hAnsi="Book Antiqua" w:cs="Book Antiqua"/>
          <w:b/>
          <w:bCs/>
        </w:rPr>
        <w:t>4</w:t>
      </w:r>
      <w:r w:rsidRPr="001913E3">
        <w:rPr>
          <w:rFonts w:ascii="Book Antiqua" w:eastAsia="Book Antiqua" w:hAnsi="Book Antiqua" w:cs="Book Antiqua"/>
        </w:rPr>
        <w:t>: e57 [PMID: 28459081 DOI: 10.14309/crj.2017.57]</w:t>
      </w:r>
    </w:p>
    <w:p w14:paraId="736C29F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11 </w:t>
      </w:r>
      <w:r w:rsidRPr="001913E3">
        <w:rPr>
          <w:rFonts w:ascii="Book Antiqua" w:eastAsia="Book Antiqua" w:hAnsi="Book Antiqua" w:cs="Book Antiqua"/>
          <w:b/>
          <w:bCs/>
        </w:rPr>
        <w:t>Tomiyasu H</w:t>
      </w:r>
      <w:r w:rsidRPr="001913E3">
        <w:rPr>
          <w:rFonts w:ascii="Book Antiqua" w:eastAsia="Book Antiqua" w:hAnsi="Book Antiqua" w:cs="Book Antiqua"/>
        </w:rPr>
        <w:t xml:space="preserve">, Komori T, Ishida Y, Otsuka A, Kabashima K. Eosinophilic gastroenteritis in a melanoma patient treated with nivolumab. </w:t>
      </w:r>
      <w:r w:rsidRPr="001913E3">
        <w:rPr>
          <w:rFonts w:ascii="Book Antiqua" w:eastAsia="Book Antiqua" w:hAnsi="Book Antiqua" w:cs="Book Antiqua"/>
          <w:i/>
          <w:iCs/>
        </w:rPr>
        <w:t>J Dermatol</w:t>
      </w:r>
      <w:r w:rsidRPr="001913E3">
        <w:rPr>
          <w:rFonts w:ascii="Book Antiqua" w:eastAsia="Book Antiqua" w:hAnsi="Book Antiqua" w:cs="Book Antiqua"/>
        </w:rPr>
        <w:t xml:space="preserve"> 2021; </w:t>
      </w:r>
      <w:r w:rsidRPr="001913E3">
        <w:rPr>
          <w:rFonts w:ascii="Book Antiqua" w:eastAsia="Book Antiqua" w:hAnsi="Book Antiqua" w:cs="Book Antiqua"/>
          <w:b/>
          <w:bCs/>
        </w:rPr>
        <w:t>48</w:t>
      </w:r>
      <w:r w:rsidRPr="001913E3">
        <w:rPr>
          <w:rFonts w:ascii="Book Antiqua" w:eastAsia="Book Antiqua" w:hAnsi="Book Antiqua" w:cs="Book Antiqua"/>
        </w:rPr>
        <w:t>: E486-E487 [PMID: 34151453 DOI: 10.1111/1346-8138.16036]</w:t>
      </w:r>
    </w:p>
    <w:p w14:paraId="1794031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12 </w:t>
      </w:r>
      <w:r w:rsidRPr="001913E3">
        <w:rPr>
          <w:rFonts w:ascii="Book Antiqua" w:eastAsia="Book Antiqua" w:hAnsi="Book Antiqua" w:cs="Book Antiqua"/>
          <w:b/>
          <w:bCs/>
        </w:rPr>
        <w:t>C</w:t>
      </w:r>
      <w:r w:rsidRPr="001913E3">
        <w:rPr>
          <w:rFonts w:ascii="Cambria" w:eastAsia="Book Antiqua" w:hAnsi="Cambria" w:cs="Cambria"/>
          <w:b/>
          <w:bCs/>
        </w:rPr>
        <w:t>ǎ</w:t>
      </w:r>
      <w:r w:rsidRPr="001913E3">
        <w:rPr>
          <w:rFonts w:ascii="Book Antiqua" w:eastAsia="Book Antiqua" w:hAnsi="Book Antiqua" w:cs="Book Antiqua"/>
          <w:b/>
          <w:bCs/>
        </w:rPr>
        <w:t>lug</w:t>
      </w:r>
      <w:r w:rsidRPr="001913E3">
        <w:rPr>
          <w:rFonts w:ascii="Cambria" w:eastAsia="Book Antiqua" w:hAnsi="Cambria" w:cs="Cambria"/>
          <w:b/>
          <w:bCs/>
        </w:rPr>
        <w:t>ǎ</w:t>
      </w:r>
      <w:r w:rsidRPr="001913E3">
        <w:rPr>
          <w:rFonts w:ascii="Book Antiqua" w:eastAsia="Book Antiqua" w:hAnsi="Book Antiqua" w:cs="Book Antiqua"/>
          <w:b/>
          <w:bCs/>
        </w:rPr>
        <w:t>reanu A</w:t>
      </w:r>
      <w:r w:rsidRPr="001913E3">
        <w:rPr>
          <w:rFonts w:ascii="Book Antiqua" w:eastAsia="Book Antiqua" w:hAnsi="Book Antiqua" w:cs="Book Antiqua"/>
        </w:rPr>
        <w:t xml:space="preserve">, Rompteaux P, Bohelay G, Goldfarb L, Barrau V, Cucherousset N, Heidelberger V, Nault JC, Ziol M, Caux F, Maubec E. Late onset of nivolumab-induced severe gastroduodenitis and cholangitis in a patient with stage IV melanoma. </w:t>
      </w:r>
      <w:r w:rsidRPr="001913E3">
        <w:rPr>
          <w:rFonts w:ascii="Book Antiqua" w:eastAsia="Book Antiqua" w:hAnsi="Book Antiqua" w:cs="Book Antiqua"/>
          <w:i/>
          <w:iCs/>
        </w:rPr>
        <w:t>Immunotherapy</w:t>
      </w:r>
      <w:r w:rsidRPr="001913E3">
        <w:rPr>
          <w:rFonts w:ascii="Book Antiqua" w:eastAsia="Book Antiqua" w:hAnsi="Book Antiqua" w:cs="Book Antiqua"/>
        </w:rPr>
        <w:t xml:space="preserve"> 2019; </w:t>
      </w:r>
      <w:r w:rsidRPr="001913E3">
        <w:rPr>
          <w:rFonts w:ascii="Book Antiqua" w:eastAsia="Book Antiqua" w:hAnsi="Book Antiqua" w:cs="Book Antiqua"/>
          <w:b/>
          <w:bCs/>
        </w:rPr>
        <w:t>11</w:t>
      </w:r>
      <w:r w:rsidRPr="001913E3">
        <w:rPr>
          <w:rFonts w:ascii="Book Antiqua" w:eastAsia="Book Antiqua" w:hAnsi="Book Antiqua" w:cs="Book Antiqua"/>
        </w:rPr>
        <w:t>: 1005-1013 [PMID: 31304833 DOI: 10.2217/imt-2019-0077]</w:t>
      </w:r>
    </w:p>
    <w:p w14:paraId="2448438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13 </w:t>
      </w:r>
      <w:r w:rsidRPr="001913E3">
        <w:rPr>
          <w:rFonts w:ascii="Book Antiqua" w:eastAsia="Book Antiqua" w:hAnsi="Book Antiqua" w:cs="Book Antiqua"/>
          <w:b/>
          <w:bCs/>
        </w:rPr>
        <w:t>Ebisutani N</w:t>
      </w:r>
      <w:r w:rsidRPr="001913E3">
        <w:rPr>
          <w:rFonts w:ascii="Book Antiqua" w:eastAsia="Book Antiqua" w:hAnsi="Book Antiqua" w:cs="Book Antiqua"/>
        </w:rPr>
        <w:t xml:space="preserve">, Tozawa K, Matsuda I, Nakamura K, Tamura A, Hara K, Kondo T, Terada T, Tomita T, Oshima T, Fukui H, Hirota S, Miwa H. A Case of Severe Acute Gastritis as an Immune-Related Adverse Event After Nivolumab Treatment: Endoscopic and Pathological Findings in Nivolumab-Related Gastritis. </w:t>
      </w:r>
      <w:r w:rsidRPr="001913E3">
        <w:rPr>
          <w:rFonts w:ascii="Book Antiqua" w:eastAsia="Book Antiqua" w:hAnsi="Book Antiqua" w:cs="Book Antiqua"/>
          <w:i/>
          <w:iCs/>
        </w:rPr>
        <w:t>Dig Dis Sci</w:t>
      </w:r>
      <w:r w:rsidRPr="001913E3">
        <w:rPr>
          <w:rFonts w:ascii="Book Antiqua" w:eastAsia="Book Antiqua" w:hAnsi="Book Antiqua" w:cs="Book Antiqua"/>
        </w:rPr>
        <w:t xml:space="preserve"> 2021; </w:t>
      </w:r>
      <w:r w:rsidRPr="001913E3">
        <w:rPr>
          <w:rFonts w:ascii="Book Antiqua" w:eastAsia="Book Antiqua" w:hAnsi="Book Antiqua" w:cs="Book Antiqua"/>
          <w:b/>
          <w:bCs/>
        </w:rPr>
        <w:t>66</w:t>
      </w:r>
      <w:r w:rsidRPr="001913E3">
        <w:rPr>
          <w:rFonts w:ascii="Book Antiqua" w:eastAsia="Book Antiqua" w:hAnsi="Book Antiqua" w:cs="Book Antiqua"/>
        </w:rPr>
        <w:t>: 2461-2465 [PMID: 32780186 DOI: 10.1007/s10620-020-06529-3]</w:t>
      </w:r>
    </w:p>
    <w:p w14:paraId="035383A3"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14 </w:t>
      </w:r>
      <w:r w:rsidRPr="001913E3">
        <w:rPr>
          <w:rFonts w:ascii="Book Antiqua" w:eastAsia="Book Antiqua" w:hAnsi="Book Antiqua" w:cs="Book Antiqua"/>
          <w:b/>
          <w:bCs/>
        </w:rPr>
        <w:t>Bazarbashi AN</w:t>
      </w:r>
      <w:r w:rsidRPr="001913E3">
        <w:rPr>
          <w:rFonts w:ascii="Book Antiqua" w:eastAsia="Book Antiqua" w:hAnsi="Book Antiqua" w:cs="Book Antiqua"/>
        </w:rPr>
        <w:t xml:space="preserve">, Dolan RD, Yang J, Perencevich ML. Combination Checkpoint Inhibitor-Induced Hemorrhagic Gastritis. </w:t>
      </w:r>
      <w:r w:rsidRPr="001913E3">
        <w:rPr>
          <w:rFonts w:ascii="Book Antiqua" w:eastAsia="Book Antiqua" w:hAnsi="Book Antiqua" w:cs="Book Antiqua"/>
          <w:i/>
          <w:iCs/>
        </w:rPr>
        <w:t>ACG Case Rep J</w:t>
      </w:r>
      <w:r w:rsidRPr="001913E3">
        <w:rPr>
          <w:rFonts w:ascii="Book Antiqua" w:eastAsia="Book Antiqua" w:hAnsi="Book Antiqua" w:cs="Book Antiqua"/>
        </w:rPr>
        <w:t xml:space="preserve"> 2020; </w:t>
      </w:r>
      <w:r w:rsidRPr="001913E3">
        <w:rPr>
          <w:rFonts w:ascii="Book Antiqua" w:eastAsia="Book Antiqua" w:hAnsi="Book Antiqua" w:cs="Book Antiqua"/>
          <w:b/>
          <w:bCs/>
        </w:rPr>
        <w:t>7</w:t>
      </w:r>
      <w:r w:rsidRPr="001913E3">
        <w:rPr>
          <w:rFonts w:ascii="Book Antiqua" w:eastAsia="Book Antiqua" w:hAnsi="Book Antiqua" w:cs="Book Antiqua"/>
        </w:rPr>
        <w:t>: e00402 [PMID: 33062778 DOI: 10.14309/crj.0000000000000402]</w:t>
      </w:r>
    </w:p>
    <w:p w14:paraId="35EDC5C7"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15 </w:t>
      </w:r>
      <w:r w:rsidRPr="001913E3">
        <w:rPr>
          <w:rFonts w:ascii="Book Antiqua" w:eastAsia="Book Antiqua" w:hAnsi="Book Antiqua" w:cs="Book Antiqua"/>
          <w:b/>
          <w:bCs/>
        </w:rPr>
        <w:t>Mubder M,</w:t>
      </w:r>
      <w:r w:rsidRPr="001913E3">
        <w:rPr>
          <w:rFonts w:ascii="Book Antiqua" w:eastAsia="Book Antiqua" w:hAnsi="Book Antiqua" w:cs="Book Antiqua"/>
        </w:rPr>
        <w:t xml:space="preserve"> Bach L, Varshney N, Banerjee B. Nivolumab Induced Autoimmune Like Gastritis: A case report. </w:t>
      </w:r>
      <w:r w:rsidRPr="001913E3">
        <w:rPr>
          <w:rFonts w:ascii="Book Antiqua" w:eastAsia="Book Antiqua" w:hAnsi="Book Antiqua" w:cs="Book Antiqua"/>
          <w:i/>
        </w:rPr>
        <w:t>Am J Biomed Sci Res</w:t>
      </w:r>
      <w:r w:rsidRPr="001913E3">
        <w:rPr>
          <w:rFonts w:ascii="Book Antiqua" w:eastAsia="Book Antiqua" w:hAnsi="Book Antiqua" w:cs="Book Antiqua"/>
        </w:rPr>
        <w:t xml:space="preserve"> 2020; </w:t>
      </w:r>
      <w:r w:rsidRPr="001913E3">
        <w:rPr>
          <w:rFonts w:ascii="Book Antiqua" w:eastAsia="Book Antiqua" w:hAnsi="Book Antiqua" w:cs="Book Antiqua"/>
          <w:b/>
        </w:rPr>
        <w:t>9</w:t>
      </w:r>
      <w:r w:rsidRPr="001913E3">
        <w:rPr>
          <w:rFonts w:ascii="Book Antiqua" w:eastAsia="Book Antiqua" w:hAnsi="Book Antiqua" w:cs="Book Antiqua"/>
        </w:rPr>
        <w:t xml:space="preserve"> [DOI: 10.34297/AJBSR.2020.09.001358]</w:t>
      </w:r>
    </w:p>
    <w:p w14:paraId="7DC93AA9"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16 </w:t>
      </w:r>
      <w:r w:rsidRPr="001913E3">
        <w:rPr>
          <w:rFonts w:ascii="Book Antiqua" w:eastAsia="Book Antiqua" w:hAnsi="Book Antiqua" w:cs="Book Antiqua"/>
          <w:b/>
          <w:bCs/>
        </w:rPr>
        <w:t>Martínez-Acitores de la Mata D</w:t>
      </w:r>
      <w:r w:rsidRPr="001913E3">
        <w:rPr>
          <w:rFonts w:ascii="Book Antiqua" w:eastAsia="Book Antiqua" w:hAnsi="Book Antiqua" w:cs="Book Antiqua"/>
        </w:rPr>
        <w:t xml:space="preserve">, Busto-Bea V, Cerezo-Aguirre C. Nivolumab-induced gastritis in a patient with metastatic melanoma. </w:t>
      </w:r>
      <w:r w:rsidRPr="001913E3">
        <w:rPr>
          <w:rFonts w:ascii="Book Antiqua" w:eastAsia="Book Antiqua" w:hAnsi="Book Antiqua" w:cs="Book Antiqua"/>
          <w:i/>
          <w:iCs/>
        </w:rPr>
        <w:t>Rev Gastroenterol Mex (Engl Ed)</w:t>
      </w:r>
      <w:r w:rsidRPr="001913E3">
        <w:rPr>
          <w:rFonts w:ascii="Book Antiqua" w:eastAsia="Book Antiqua" w:hAnsi="Book Antiqua" w:cs="Book Antiqua"/>
        </w:rPr>
        <w:t xml:space="preserve"> 2021; </w:t>
      </w:r>
      <w:r w:rsidRPr="001913E3">
        <w:rPr>
          <w:rFonts w:ascii="Book Antiqua" w:eastAsia="Book Antiqua" w:hAnsi="Book Antiqua" w:cs="Book Antiqua"/>
          <w:b/>
          <w:bCs/>
        </w:rPr>
        <w:t>86</w:t>
      </w:r>
      <w:r w:rsidRPr="001913E3">
        <w:rPr>
          <w:rFonts w:ascii="Book Antiqua" w:eastAsia="Book Antiqua" w:hAnsi="Book Antiqua" w:cs="Book Antiqua"/>
        </w:rPr>
        <w:t>: 90-91 [PMID: 33309401 DOI: 10.1016/j.rgmx.2020.07.012]</w:t>
      </w:r>
    </w:p>
    <w:p w14:paraId="2BDC4E4C"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lastRenderedPageBreak/>
        <w:t xml:space="preserve">17 </w:t>
      </w:r>
      <w:r w:rsidRPr="001913E3">
        <w:rPr>
          <w:rFonts w:ascii="Book Antiqua" w:eastAsia="Book Antiqua" w:hAnsi="Book Antiqua" w:cs="Book Antiqua"/>
          <w:b/>
          <w:bCs/>
        </w:rPr>
        <w:t>Zhang ML</w:t>
      </w:r>
      <w:r w:rsidRPr="001913E3">
        <w:rPr>
          <w:rFonts w:ascii="Book Antiqua" w:eastAsia="Book Antiqua" w:hAnsi="Book Antiqua" w:cs="Book Antiqua"/>
        </w:rPr>
        <w:t xml:space="preserve">, Neyaz A, Patil D, Chen J, Dougan M, Deshpande V. Immune-related adverse events in the gastrointestinal tract: diagnostic utility of upper gastrointestinal biopsies. </w:t>
      </w:r>
      <w:r w:rsidRPr="001913E3">
        <w:rPr>
          <w:rFonts w:ascii="Book Antiqua" w:eastAsia="Book Antiqua" w:hAnsi="Book Antiqua" w:cs="Book Antiqua"/>
          <w:i/>
          <w:iCs/>
        </w:rPr>
        <w:t>Histopathology</w:t>
      </w:r>
      <w:r w:rsidRPr="001913E3">
        <w:rPr>
          <w:rFonts w:ascii="Book Antiqua" w:eastAsia="Book Antiqua" w:hAnsi="Book Antiqua" w:cs="Book Antiqua"/>
        </w:rPr>
        <w:t xml:space="preserve"> 2020; </w:t>
      </w:r>
      <w:r w:rsidRPr="001913E3">
        <w:rPr>
          <w:rFonts w:ascii="Book Antiqua" w:eastAsia="Book Antiqua" w:hAnsi="Book Antiqua" w:cs="Book Antiqua"/>
          <w:b/>
          <w:bCs/>
        </w:rPr>
        <w:t>76</w:t>
      </w:r>
      <w:r w:rsidRPr="001913E3">
        <w:rPr>
          <w:rFonts w:ascii="Book Antiqua" w:eastAsia="Book Antiqua" w:hAnsi="Book Antiqua" w:cs="Book Antiqua"/>
        </w:rPr>
        <w:t>: 233-243 [PMID: 31361907 DOI: 10.1111/his.13963]</w:t>
      </w:r>
    </w:p>
    <w:p w14:paraId="3DB4787A"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18 </w:t>
      </w:r>
      <w:r w:rsidRPr="001913E3">
        <w:rPr>
          <w:rFonts w:ascii="Book Antiqua" w:eastAsia="Book Antiqua" w:hAnsi="Book Antiqua" w:cs="Book Antiqua"/>
          <w:b/>
          <w:bCs/>
        </w:rPr>
        <w:t>Ferrian S</w:t>
      </w:r>
      <w:r w:rsidRPr="001913E3">
        <w:rPr>
          <w:rFonts w:ascii="Book Antiqua" w:eastAsia="Book Antiqua" w:hAnsi="Book Antiqua" w:cs="Book Antiqua"/>
        </w:rPr>
        <w:t xml:space="preserve">, Liu CC, McCaffrey EF, Kumar R, Nowicki TS, Dawson DW, Baranski A, Glaspy JA, Ribas A, Bendall SC, Angelo M. Multiplexed imaging reveals an IFN-γ-driven inflammatory state in nivolumab-associated gastritis. </w:t>
      </w:r>
      <w:r w:rsidRPr="001913E3">
        <w:rPr>
          <w:rFonts w:ascii="Book Antiqua" w:eastAsia="Book Antiqua" w:hAnsi="Book Antiqua" w:cs="Book Antiqua"/>
          <w:i/>
          <w:iCs/>
        </w:rPr>
        <w:t>Cell Rep Med</w:t>
      </w:r>
      <w:r w:rsidRPr="001913E3">
        <w:rPr>
          <w:rFonts w:ascii="Book Antiqua" w:eastAsia="Book Antiqua" w:hAnsi="Book Antiqua" w:cs="Book Antiqua"/>
        </w:rPr>
        <w:t xml:space="preserve"> 2021; </w:t>
      </w:r>
      <w:r w:rsidRPr="001913E3">
        <w:rPr>
          <w:rFonts w:ascii="Book Antiqua" w:eastAsia="Book Antiqua" w:hAnsi="Book Antiqua" w:cs="Book Antiqua"/>
          <w:b/>
          <w:bCs/>
        </w:rPr>
        <w:t>2</w:t>
      </w:r>
      <w:r w:rsidRPr="001913E3">
        <w:rPr>
          <w:rFonts w:ascii="Book Antiqua" w:eastAsia="Book Antiqua" w:hAnsi="Book Antiqua" w:cs="Book Antiqua"/>
        </w:rPr>
        <w:t>: 100419 [PMID: 34755133 DOI: 10.1016/j.xcrm.2021.100419]</w:t>
      </w:r>
    </w:p>
    <w:p w14:paraId="4F7EA302" w14:textId="66B16011"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19 </w:t>
      </w:r>
      <w:r w:rsidRPr="001913E3">
        <w:rPr>
          <w:rFonts w:ascii="Book Antiqua" w:eastAsia="Book Antiqua" w:hAnsi="Book Antiqua" w:cs="Book Antiqua"/>
          <w:b/>
          <w:bCs/>
        </w:rPr>
        <w:t>Brahmer JR</w:t>
      </w:r>
      <w:r w:rsidRPr="001913E3">
        <w:rPr>
          <w:rFonts w:ascii="Book Antiqua" w:eastAsia="Book Antiqua" w:hAnsi="Book Antiqua" w:cs="Book Antiqua"/>
        </w:rPr>
        <w:t xml:space="preserve">, Lacchetti C, Schneider BJ, Atkins MB, Brassil KJ, Caterino JM, Chau I, Ernstoff MS, Gardner JM, Ginex P, Hallmeyer S, Holter Chakrabarty J, Leighl NB, Mammen JS, McDermott DF, Naing A, Nastoupil LJ, Phillips T, Porter LD, Puzanov I, Reichner CA, Santomasso BD, Seigel C, Spira A, Suarez-Almazor ME, Wang Y, Weber JS, Wolchok JD, Thompson JA; National Comprehensive Cancer Network. Management of Immune-Related Adverse Events in Patients Treated With Immune Checkpoint Inhibitor Therapy: American Society of Clinical Oncology Clinical Practice Guideline. </w:t>
      </w:r>
      <w:r w:rsidRPr="001913E3">
        <w:rPr>
          <w:rFonts w:ascii="Book Antiqua" w:eastAsia="Book Antiqua" w:hAnsi="Book Antiqua" w:cs="Book Antiqua"/>
          <w:i/>
          <w:iCs/>
        </w:rPr>
        <w:t>J Clin Oncol</w:t>
      </w:r>
      <w:r w:rsidRPr="001913E3">
        <w:rPr>
          <w:rFonts w:ascii="Book Antiqua" w:eastAsia="Book Antiqua" w:hAnsi="Book Antiqua" w:cs="Book Antiqua"/>
        </w:rPr>
        <w:t xml:space="preserve"> 2018; </w:t>
      </w:r>
      <w:r w:rsidRPr="001913E3">
        <w:rPr>
          <w:rFonts w:ascii="Book Antiqua" w:eastAsia="Book Antiqua" w:hAnsi="Book Antiqua" w:cs="Book Antiqua"/>
          <w:b/>
          <w:bCs/>
        </w:rPr>
        <w:t>36</w:t>
      </w:r>
      <w:r w:rsidRPr="001913E3">
        <w:rPr>
          <w:rFonts w:ascii="Book Antiqua" w:eastAsia="Book Antiqua" w:hAnsi="Book Antiqua" w:cs="Book Antiqua"/>
        </w:rPr>
        <w:t xml:space="preserve">: 1714-1768 [PMID: 29442540 DOI: </w:t>
      </w:r>
      <w:r w:rsidR="00C97C87" w:rsidRPr="001913E3">
        <w:rPr>
          <w:rFonts w:ascii="Book Antiqua" w:eastAsia="Book Antiqua" w:hAnsi="Book Antiqua" w:cs="Book Antiqua"/>
        </w:rPr>
        <w:t>DOI: 10.1200/JCO.2017.77.6385</w:t>
      </w:r>
      <w:r w:rsidRPr="001913E3">
        <w:rPr>
          <w:rFonts w:ascii="Book Antiqua" w:eastAsia="Book Antiqua" w:hAnsi="Book Antiqua" w:cs="Book Antiqua"/>
        </w:rPr>
        <w:t>]</w:t>
      </w:r>
    </w:p>
    <w:p w14:paraId="48405087"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20 </w:t>
      </w:r>
      <w:r w:rsidRPr="001913E3">
        <w:rPr>
          <w:rFonts w:ascii="Book Antiqua" w:eastAsia="Book Antiqua" w:hAnsi="Book Antiqua" w:cs="Book Antiqua"/>
          <w:b/>
          <w:bCs/>
        </w:rPr>
        <w:t>Tsuji A</w:t>
      </w:r>
      <w:r w:rsidRPr="001913E3">
        <w:rPr>
          <w:rFonts w:ascii="Book Antiqua" w:eastAsia="Book Antiqua" w:hAnsi="Book Antiqua" w:cs="Book Antiqua"/>
        </w:rPr>
        <w:t xml:space="preserve">, Hiramatsu K, Namikawa S, Yamamoto A, Midori Y, Murata Y, Tanaka T, Nosaka T, Naito T, Takahashi K, Ofuji K, Matsuda H, Ohtani M, Imamura Y, Iino S, Hasegawa M, Nakamoto Y. A rare case of eosinophilic gastritis induced by nivolumab therapy for metastatic melanoma. </w:t>
      </w:r>
      <w:r w:rsidRPr="001913E3">
        <w:rPr>
          <w:rFonts w:ascii="Book Antiqua" w:eastAsia="Book Antiqua" w:hAnsi="Book Antiqua" w:cs="Book Antiqua"/>
          <w:i/>
          <w:iCs/>
        </w:rPr>
        <w:t>Clin J Gastroenterol</w:t>
      </w:r>
      <w:r w:rsidRPr="001913E3">
        <w:rPr>
          <w:rFonts w:ascii="Book Antiqua" w:eastAsia="Book Antiqua" w:hAnsi="Book Antiqua" w:cs="Book Antiqua"/>
        </w:rPr>
        <w:t xml:space="preserve"> 2022; </w:t>
      </w:r>
      <w:r w:rsidRPr="001913E3">
        <w:rPr>
          <w:rFonts w:ascii="Book Antiqua" w:eastAsia="Book Antiqua" w:hAnsi="Book Antiqua" w:cs="Book Antiqua"/>
          <w:b/>
          <w:bCs/>
        </w:rPr>
        <w:t>15</w:t>
      </w:r>
      <w:r w:rsidRPr="001913E3">
        <w:rPr>
          <w:rFonts w:ascii="Book Antiqua" w:eastAsia="Book Antiqua" w:hAnsi="Book Antiqua" w:cs="Book Antiqua"/>
        </w:rPr>
        <w:t>: 876-880 [PMID: 35978213 DOI: 10.1007/s12328-022-01680-y]</w:t>
      </w:r>
    </w:p>
    <w:p w14:paraId="665E2BD9"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 xml:space="preserve">21 </w:t>
      </w:r>
      <w:r w:rsidRPr="001913E3">
        <w:rPr>
          <w:rFonts w:ascii="Book Antiqua" w:eastAsia="Book Antiqua" w:hAnsi="Book Antiqua" w:cs="Book Antiqua"/>
          <w:b/>
          <w:bCs/>
        </w:rPr>
        <w:t>Samonis G</w:t>
      </w:r>
      <w:r w:rsidRPr="001913E3">
        <w:rPr>
          <w:rFonts w:ascii="Book Antiqua" w:eastAsia="Book Antiqua" w:hAnsi="Book Antiqua" w:cs="Book Antiqua"/>
        </w:rPr>
        <w:t xml:space="preserve">, Bousmpoukea A, Molfeta A, Kalkinis AD, Petraki K, Koutserimpas C, Bafaloukos D. Severe Gastritis Due to Nivolumab Treatment of a Metastatic Melanoma Patient. </w:t>
      </w:r>
      <w:r w:rsidRPr="001913E3">
        <w:rPr>
          <w:rFonts w:ascii="Book Antiqua" w:eastAsia="Book Antiqua" w:hAnsi="Book Antiqua" w:cs="Book Antiqua"/>
          <w:i/>
          <w:iCs/>
        </w:rPr>
        <w:t>Diagnostics (Basel)</w:t>
      </w:r>
      <w:r w:rsidRPr="001913E3">
        <w:rPr>
          <w:rFonts w:ascii="Book Antiqua" w:eastAsia="Book Antiqua" w:hAnsi="Book Antiqua" w:cs="Book Antiqua"/>
        </w:rPr>
        <w:t xml:space="preserve"> 2022; </w:t>
      </w:r>
      <w:r w:rsidRPr="001913E3">
        <w:rPr>
          <w:rFonts w:ascii="Book Antiqua" w:eastAsia="Book Antiqua" w:hAnsi="Book Antiqua" w:cs="Book Antiqua"/>
          <w:b/>
          <w:bCs/>
        </w:rPr>
        <w:t>12</w:t>
      </w:r>
      <w:r w:rsidRPr="001913E3">
        <w:rPr>
          <w:rFonts w:ascii="Book Antiqua" w:eastAsia="Book Antiqua" w:hAnsi="Book Antiqua" w:cs="Book Antiqua"/>
        </w:rPr>
        <w:t xml:space="preserve"> [PMID: 36428923 DOI: 10.3390/diagnostics12112864]</w:t>
      </w:r>
    </w:p>
    <w:p w14:paraId="265B4FA2" w14:textId="61394348" w:rsidR="00A77B3E" w:rsidRDefault="00125918" w:rsidP="001913E3">
      <w:pPr>
        <w:spacing w:line="360" w:lineRule="auto"/>
        <w:jc w:val="both"/>
        <w:rPr>
          <w:rFonts w:ascii="Book Antiqua" w:hAnsi="Book Antiqua"/>
          <w:lang w:val="en-GB"/>
        </w:rPr>
      </w:pPr>
      <w:r>
        <w:rPr>
          <w:rFonts w:ascii="Book Antiqua" w:hAnsi="Book Antiqua"/>
        </w:rPr>
        <w:t xml:space="preserve">22 </w:t>
      </w:r>
      <w:r w:rsidR="00076198" w:rsidRPr="00EA16EA">
        <w:rPr>
          <w:rFonts w:ascii="Book Antiqua" w:hAnsi="Book Antiqua"/>
          <w:b/>
          <w:bCs/>
          <w:lang w:val="en-GB"/>
        </w:rPr>
        <w:t>Viscardi G</w:t>
      </w:r>
      <w:r w:rsidR="00076198" w:rsidRPr="00076198">
        <w:rPr>
          <w:rFonts w:ascii="Book Antiqua" w:hAnsi="Book Antiqua"/>
          <w:lang w:val="en-GB"/>
        </w:rPr>
        <w:t>, Tralongo AC, Massari F, Lambertini M, Mollica V, Rizzo A, Comito F, Di Liello R, Alfieri S, Imbimbo M, Della Corte CM, Morgillo F, Simeon V, Lo Russo G, Proto C, Prelaj A, De Toma A, Galli G, Signorelli D, Ciardiello F, Remon J, Chaput N, Besse B, de Braud F, Garassino MC, Torri V, Cinquini M, Ferrara R. Comparative assessment of early mortality risk upon immune checkpoint inhibitors alone or in combination with other agents across solid malignancies: a systematic review and meta-</w:t>
      </w:r>
      <w:r w:rsidR="00076198" w:rsidRPr="00076198">
        <w:rPr>
          <w:rFonts w:ascii="Book Antiqua" w:hAnsi="Book Antiqua"/>
          <w:lang w:val="en-GB"/>
        </w:rPr>
        <w:lastRenderedPageBreak/>
        <w:t xml:space="preserve">analysis. </w:t>
      </w:r>
      <w:r w:rsidR="00076198" w:rsidRPr="00076198">
        <w:rPr>
          <w:rFonts w:ascii="Book Antiqua" w:hAnsi="Book Antiqua"/>
          <w:i/>
          <w:iCs/>
          <w:lang w:val="en-GB"/>
        </w:rPr>
        <w:t>Eur J Cancer</w:t>
      </w:r>
      <w:r w:rsidR="00076198" w:rsidRPr="00076198">
        <w:rPr>
          <w:rFonts w:ascii="Book Antiqua" w:hAnsi="Book Antiqua"/>
          <w:lang w:val="en-GB"/>
        </w:rPr>
        <w:t xml:space="preserve"> 2022; 177: 175-185 [PMID: 36368251 DOI: 10.1016/j.ejca.2022.09.031] </w:t>
      </w:r>
    </w:p>
    <w:p w14:paraId="6CD7070E" w14:textId="261F2AFF" w:rsidR="00076198" w:rsidRPr="00EA16EA" w:rsidRDefault="00076198" w:rsidP="001913E3">
      <w:pPr>
        <w:spacing w:line="360" w:lineRule="auto"/>
        <w:jc w:val="both"/>
        <w:rPr>
          <w:rFonts w:ascii="Book Antiqua" w:hAnsi="Book Antiqua"/>
          <w:lang w:val="en-GB"/>
        </w:rPr>
      </w:pPr>
      <w:r w:rsidRPr="00076198">
        <w:rPr>
          <w:rFonts w:ascii="Book Antiqua" w:hAnsi="Book Antiqua"/>
          <w:lang w:val="en-GB"/>
        </w:rPr>
        <w:t xml:space="preserve">23 </w:t>
      </w:r>
      <w:r w:rsidRPr="00EA16EA">
        <w:rPr>
          <w:rFonts w:ascii="Book Antiqua" w:hAnsi="Book Antiqua" w:cs="Calibri"/>
          <w:b/>
          <w:bCs/>
        </w:rPr>
        <w:t>Hommes JW</w:t>
      </w:r>
      <w:r w:rsidRPr="00EA16EA">
        <w:rPr>
          <w:rFonts w:ascii="Book Antiqua" w:hAnsi="Book Antiqua" w:cs="Calibri"/>
        </w:rPr>
        <w:t xml:space="preserve">, Verheijden RJ, Suijkerbuijk KPM, Hamann D. Biomarkers of Checkpoint Inhibitor Induced Immune-Related Adverse Events-A Comprehensive Review. </w:t>
      </w:r>
      <w:r w:rsidRPr="00EA16EA">
        <w:rPr>
          <w:rFonts w:ascii="Book Antiqua" w:hAnsi="Book Antiqua" w:cs="Calibri"/>
          <w:i/>
          <w:iCs/>
        </w:rPr>
        <w:t>Front Oncol</w:t>
      </w:r>
      <w:r w:rsidRPr="00EA16EA">
        <w:rPr>
          <w:rFonts w:ascii="Book Antiqua" w:hAnsi="Book Antiqua" w:cs="Calibri"/>
        </w:rPr>
        <w:t xml:space="preserve"> 2021; 10: 585311 [PMID: 33643899 DOI: 10.3389/fonc.2020.585311]</w:t>
      </w:r>
    </w:p>
    <w:p w14:paraId="7F535114" w14:textId="77777777" w:rsidR="00313881" w:rsidRDefault="00313881" w:rsidP="001913E3">
      <w:pPr>
        <w:spacing w:line="360" w:lineRule="auto"/>
        <w:jc w:val="both"/>
        <w:rPr>
          <w:rFonts w:ascii="Book Antiqua" w:hAnsi="Book Antiqua"/>
        </w:rPr>
      </w:pPr>
    </w:p>
    <w:p w14:paraId="352CD427"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Footnotes</w:t>
      </w:r>
    </w:p>
    <w:p w14:paraId="13D3A6E0" w14:textId="3E092B5B"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Informed consent statement: </w:t>
      </w:r>
      <w:r w:rsidRPr="001913E3">
        <w:rPr>
          <w:rFonts w:ascii="Book Antiqua" w:eastAsia="Book Antiqua" w:hAnsi="Book Antiqua" w:cs="Book Antiqua"/>
          <w:color w:val="000000"/>
        </w:rPr>
        <w:t xml:space="preserve">The patient signed the institution's standard document for informed consent to use her health data for the purpose of </w:t>
      </w:r>
      <w:r w:rsidRPr="001913E3">
        <w:rPr>
          <w:rFonts w:ascii="Book Antiqua" w:eastAsia="Book Antiqua" w:hAnsi="Book Antiqua" w:cs="Book Antiqua"/>
        </w:rPr>
        <w:t>th</w:t>
      </w:r>
      <w:r w:rsidR="00E7153A">
        <w:rPr>
          <w:rFonts w:ascii="Book Antiqua" w:eastAsia="Book Antiqua" w:hAnsi="Book Antiqua" w:cs="Book Antiqua"/>
        </w:rPr>
        <w:t>is</w:t>
      </w:r>
      <w:r w:rsidRPr="001913E3">
        <w:rPr>
          <w:rFonts w:ascii="Book Antiqua" w:eastAsia="Book Antiqua" w:hAnsi="Book Antiqua" w:cs="Book Antiqua"/>
        </w:rPr>
        <w:t xml:space="preserve"> </w:t>
      </w:r>
      <w:r w:rsidRPr="001913E3">
        <w:rPr>
          <w:rFonts w:ascii="Book Antiqua" w:eastAsia="Book Antiqua" w:hAnsi="Book Antiqua" w:cs="Book Antiqua"/>
          <w:color w:val="000000"/>
        </w:rPr>
        <w:t>clinical case report.</w:t>
      </w:r>
    </w:p>
    <w:p w14:paraId="39B59686" w14:textId="77777777" w:rsidR="00A77B3E" w:rsidRPr="001913E3" w:rsidRDefault="00A77B3E" w:rsidP="001913E3">
      <w:pPr>
        <w:spacing w:line="360" w:lineRule="auto"/>
        <w:jc w:val="both"/>
        <w:rPr>
          <w:rFonts w:ascii="Book Antiqua" w:hAnsi="Book Antiqua"/>
        </w:rPr>
      </w:pPr>
    </w:p>
    <w:p w14:paraId="065C6089" w14:textId="291CD90F"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Conflict-of-interest statement: </w:t>
      </w:r>
      <w:r w:rsidR="000F035C" w:rsidRPr="001913E3">
        <w:rPr>
          <w:rFonts w:ascii="Book Antiqua" w:eastAsia="Book Antiqua" w:hAnsi="Book Antiqua" w:cs="Book Antiqua"/>
          <w:bCs/>
        </w:rPr>
        <w:t xml:space="preserve">All </w:t>
      </w:r>
      <w:r w:rsidR="000F035C" w:rsidRPr="001913E3">
        <w:rPr>
          <w:rFonts w:ascii="Book Antiqua" w:eastAsia="Book Antiqua" w:hAnsi="Book Antiqua" w:cs="Book Antiqua"/>
          <w:color w:val="000000"/>
        </w:rPr>
        <w:t>t</w:t>
      </w:r>
      <w:r w:rsidRPr="001913E3">
        <w:rPr>
          <w:rFonts w:ascii="Book Antiqua" w:eastAsia="Book Antiqua" w:hAnsi="Book Antiqua" w:cs="Book Antiqua"/>
          <w:color w:val="000000"/>
        </w:rPr>
        <w:t>he authors declare that they have no conflict of interest.</w:t>
      </w:r>
    </w:p>
    <w:p w14:paraId="20F010AF" w14:textId="77777777" w:rsidR="00A77B3E" w:rsidRPr="001913E3" w:rsidRDefault="00A77B3E" w:rsidP="001913E3">
      <w:pPr>
        <w:spacing w:line="360" w:lineRule="auto"/>
        <w:jc w:val="both"/>
        <w:rPr>
          <w:rFonts w:ascii="Book Antiqua" w:hAnsi="Book Antiqua"/>
        </w:rPr>
      </w:pPr>
    </w:p>
    <w:p w14:paraId="34BCC3CB"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CARE Checklist (2016) statement: </w:t>
      </w:r>
      <w:r w:rsidRPr="001913E3">
        <w:rPr>
          <w:rFonts w:ascii="Book Antiqua" w:eastAsia="Book Antiqua" w:hAnsi="Book Antiqua" w:cs="Book Antiqua"/>
          <w:color w:val="000000"/>
        </w:rPr>
        <w:t>The authors have read the CARE Checklist (2016), and the manuscript was prepared and revised according to the CARE Checklist (2016).</w:t>
      </w:r>
    </w:p>
    <w:p w14:paraId="48B021C1" w14:textId="77777777" w:rsidR="00A77B3E" w:rsidRPr="001913E3" w:rsidRDefault="00A77B3E" w:rsidP="001913E3">
      <w:pPr>
        <w:spacing w:line="360" w:lineRule="auto"/>
        <w:jc w:val="both"/>
        <w:rPr>
          <w:rFonts w:ascii="Book Antiqua" w:hAnsi="Book Antiqua"/>
        </w:rPr>
      </w:pPr>
    </w:p>
    <w:p w14:paraId="280BCF3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bCs/>
        </w:rPr>
        <w:t xml:space="preserve">Open-Access: </w:t>
      </w:r>
      <w:r w:rsidRPr="001913E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1A471A" w14:textId="77777777" w:rsidR="00A77B3E" w:rsidRPr="001913E3" w:rsidRDefault="00A77B3E" w:rsidP="001913E3">
      <w:pPr>
        <w:spacing w:line="360" w:lineRule="auto"/>
        <w:jc w:val="both"/>
        <w:rPr>
          <w:rFonts w:ascii="Book Antiqua" w:hAnsi="Book Antiqua"/>
        </w:rPr>
      </w:pPr>
    </w:p>
    <w:p w14:paraId="53269885"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 xml:space="preserve">Provenance and peer review: </w:t>
      </w:r>
      <w:r w:rsidRPr="001913E3">
        <w:rPr>
          <w:rFonts w:ascii="Book Antiqua" w:eastAsia="Book Antiqua" w:hAnsi="Book Antiqua" w:cs="Book Antiqua"/>
        </w:rPr>
        <w:t>Unsolicited article; Externally peer reviewed.</w:t>
      </w:r>
    </w:p>
    <w:p w14:paraId="0AB60B9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 xml:space="preserve">Peer-review model: </w:t>
      </w:r>
      <w:r w:rsidRPr="001913E3">
        <w:rPr>
          <w:rFonts w:ascii="Book Antiqua" w:eastAsia="Book Antiqua" w:hAnsi="Book Antiqua" w:cs="Book Antiqua"/>
        </w:rPr>
        <w:t>Single blind</w:t>
      </w:r>
    </w:p>
    <w:p w14:paraId="6AC57D8D" w14:textId="77777777" w:rsidR="00A77B3E" w:rsidRPr="001913E3" w:rsidRDefault="00A77B3E" w:rsidP="001913E3">
      <w:pPr>
        <w:spacing w:line="360" w:lineRule="auto"/>
        <w:jc w:val="both"/>
        <w:rPr>
          <w:rFonts w:ascii="Book Antiqua" w:hAnsi="Book Antiqua"/>
        </w:rPr>
      </w:pPr>
    </w:p>
    <w:p w14:paraId="356E6B6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 xml:space="preserve">Peer-review started: </w:t>
      </w:r>
      <w:r w:rsidRPr="001913E3">
        <w:rPr>
          <w:rFonts w:ascii="Book Antiqua" w:eastAsia="Book Antiqua" w:hAnsi="Book Antiqua" w:cs="Book Antiqua"/>
        </w:rPr>
        <w:t>February 25, 2023</w:t>
      </w:r>
    </w:p>
    <w:p w14:paraId="681B3EE2"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 xml:space="preserve">First decision: </w:t>
      </w:r>
      <w:r w:rsidRPr="001913E3">
        <w:rPr>
          <w:rFonts w:ascii="Book Antiqua" w:eastAsia="Book Antiqua" w:hAnsi="Book Antiqua" w:cs="Book Antiqua"/>
        </w:rPr>
        <w:t>April 11, 2023</w:t>
      </w:r>
    </w:p>
    <w:p w14:paraId="78485697"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lastRenderedPageBreak/>
        <w:t xml:space="preserve">Article in press: </w:t>
      </w:r>
    </w:p>
    <w:p w14:paraId="0A2ECDAE" w14:textId="77777777" w:rsidR="00A77B3E" w:rsidRPr="001913E3" w:rsidRDefault="00A77B3E" w:rsidP="001913E3">
      <w:pPr>
        <w:spacing w:line="360" w:lineRule="auto"/>
        <w:jc w:val="both"/>
        <w:rPr>
          <w:rFonts w:ascii="Book Antiqua" w:hAnsi="Book Antiqua"/>
        </w:rPr>
      </w:pPr>
    </w:p>
    <w:p w14:paraId="40953233" w14:textId="4B810A62"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 xml:space="preserve">Specialty type: </w:t>
      </w:r>
      <w:r w:rsidRPr="001913E3">
        <w:rPr>
          <w:rFonts w:ascii="Book Antiqua" w:eastAsia="Book Antiqua" w:hAnsi="Book Antiqua" w:cs="Book Antiqua"/>
        </w:rPr>
        <w:t xml:space="preserve">Gastroenterology and </w:t>
      </w:r>
      <w:r w:rsidR="00B82DE5" w:rsidRPr="001913E3">
        <w:rPr>
          <w:rFonts w:ascii="Book Antiqua" w:eastAsia="Book Antiqua" w:hAnsi="Book Antiqua" w:cs="Book Antiqua"/>
        </w:rPr>
        <w:t>hepatology</w:t>
      </w:r>
    </w:p>
    <w:p w14:paraId="36B3ABE4"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 xml:space="preserve">Country/Territory of origin: </w:t>
      </w:r>
      <w:r w:rsidRPr="001913E3">
        <w:rPr>
          <w:rFonts w:ascii="Book Antiqua" w:eastAsia="Book Antiqua" w:hAnsi="Book Antiqua" w:cs="Book Antiqua"/>
        </w:rPr>
        <w:t>Lithuania</w:t>
      </w:r>
    </w:p>
    <w:p w14:paraId="25D609BE"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t>Peer-review report’s scientific quality classification</w:t>
      </w:r>
    </w:p>
    <w:p w14:paraId="1F40958B"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Grade A (Excellent): 0</w:t>
      </w:r>
    </w:p>
    <w:p w14:paraId="0BB5AEF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Grade B (Very good): B</w:t>
      </w:r>
    </w:p>
    <w:p w14:paraId="54061FC8"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Grade C (Good): C</w:t>
      </w:r>
    </w:p>
    <w:p w14:paraId="09FE24A2"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Grade D (Fair): 0</w:t>
      </w:r>
    </w:p>
    <w:p w14:paraId="75D020AF"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rPr>
        <w:t>Grade E (Poor): 0</w:t>
      </w:r>
    </w:p>
    <w:p w14:paraId="4C82BE81" w14:textId="77777777" w:rsidR="00A77B3E" w:rsidRPr="001913E3" w:rsidRDefault="00A77B3E" w:rsidP="001913E3">
      <w:pPr>
        <w:spacing w:line="360" w:lineRule="auto"/>
        <w:jc w:val="both"/>
        <w:rPr>
          <w:rFonts w:ascii="Book Antiqua" w:hAnsi="Book Antiqua"/>
        </w:rPr>
      </w:pPr>
    </w:p>
    <w:p w14:paraId="4ED3281D" w14:textId="00D1081F" w:rsidR="00A77B3E" w:rsidRPr="001913E3" w:rsidRDefault="00982974" w:rsidP="001913E3">
      <w:pPr>
        <w:spacing w:line="360" w:lineRule="auto"/>
        <w:jc w:val="both"/>
        <w:rPr>
          <w:rFonts w:ascii="Book Antiqua" w:hAnsi="Book Antiqua"/>
        </w:rPr>
        <w:sectPr w:rsidR="00A77B3E" w:rsidRPr="001913E3">
          <w:footerReference w:type="default" r:id="rId9"/>
          <w:pgSz w:w="12240" w:h="15840"/>
          <w:pgMar w:top="1440" w:right="1440" w:bottom="1440" w:left="1440" w:header="720" w:footer="720" w:gutter="0"/>
          <w:cols w:space="720"/>
          <w:docGrid w:linePitch="360"/>
        </w:sectPr>
      </w:pPr>
      <w:r w:rsidRPr="001913E3">
        <w:rPr>
          <w:rFonts w:ascii="Book Antiqua" w:eastAsia="Book Antiqua" w:hAnsi="Book Antiqua" w:cs="Book Antiqua"/>
          <w:b/>
          <w:color w:val="000000"/>
        </w:rPr>
        <w:t xml:space="preserve">P-Reviewer: </w:t>
      </w:r>
      <w:r w:rsidRPr="001913E3">
        <w:rPr>
          <w:rFonts w:ascii="Book Antiqua" w:eastAsia="Book Antiqua" w:hAnsi="Book Antiqua" w:cs="Book Antiqua"/>
        </w:rPr>
        <w:t>Paparoupa M, Germany; Rizzo A</w:t>
      </w:r>
      <w:r w:rsidR="00D617E4" w:rsidRPr="001913E3">
        <w:rPr>
          <w:rFonts w:ascii="Book Antiqua" w:eastAsia="Book Antiqua" w:hAnsi="Book Antiqua" w:cs="Book Antiqua"/>
        </w:rPr>
        <w:t>, Italy</w:t>
      </w:r>
      <w:r w:rsidRPr="001913E3">
        <w:rPr>
          <w:rFonts w:ascii="Book Antiqua" w:eastAsia="Book Antiqua" w:hAnsi="Book Antiqua" w:cs="Book Antiqua"/>
          <w:b/>
          <w:color w:val="000000"/>
        </w:rPr>
        <w:t xml:space="preserve"> S-Editor: </w:t>
      </w:r>
      <w:r w:rsidR="00C35A11" w:rsidRPr="001913E3">
        <w:rPr>
          <w:rFonts w:ascii="Book Antiqua" w:eastAsia="Book Antiqua" w:hAnsi="Book Antiqua" w:cs="Book Antiqua"/>
          <w:color w:val="000000"/>
        </w:rPr>
        <w:t>Liu JH</w:t>
      </w:r>
      <w:r w:rsidRPr="001913E3">
        <w:rPr>
          <w:rFonts w:ascii="Book Antiqua" w:eastAsia="Book Antiqua" w:hAnsi="Book Antiqua" w:cs="Book Antiqua"/>
          <w:b/>
          <w:color w:val="000000"/>
        </w:rPr>
        <w:t xml:space="preserve"> L-Editor: </w:t>
      </w:r>
      <w:r w:rsidR="00E7153A">
        <w:rPr>
          <w:rFonts w:ascii="Book Antiqua" w:eastAsia="Book Antiqua" w:hAnsi="Book Antiqua" w:cs="Book Antiqua"/>
          <w:color w:val="000000"/>
        </w:rPr>
        <w:t>Webster JR</w:t>
      </w:r>
      <w:r w:rsidRPr="001913E3">
        <w:rPr>
          <w:rFonts w:ascii="Book Antiqua" w:eastAsia="Book Antiqua" w:hAnsi="Book Antiqua" w:cs="Book Antiqua"/>
          <w:b/>
          <w:color w:val="000000"/>
        </w:rPr>
        <w:t xml:space="preserve"> P-Editor: </w:t>
      </w:r>
    </w:p>
    <w:p w14:paraId="15B6C4CB" w14:textId="77777777" w:rsidR="00A77B3E" w:rsidRPr="001913E3" w:rsidRDefault="00982974" w:rsidP="001913E3">
      <w:pPr>
        <w:spacing w:line="360" w:lineRule="auto"/>
        <w:jc w:val="both"/>
        <w:rPr>
          <w:rFonts w:ascii="Book Antiqua" w:hAnsi="Book Antiqua"/>
        </w:rPr>
      </w:pPr>
      <w:r w:rsidRPr="001913E3">
        <w:rPr>
          <w:rFonts w:ascii="Book Antiqua" w:eastAsia="Book Antiqua" w:hAnsi="Book Antiqua" w:cs="Book Antiqua"/>
          <w:b/>
          <w:color w:val="000000"/>
        </w:rPr>
        <w:lastRenderedPageBreak/>
        <w:t>Figure Legends</w:t>
      </w:r>
    </w:p>
    <w:p w14:paraId="17C1410E" w14:textId="25EE999A" w:rsidR="00A77B3E" w:rsidRPr="001913E3" w:rsidRDefault="00D13456" w:rsidP="001913E3">
      <w:pPr>
        <w:spacing w:line="360" w:lineRule="auto"/>
        <w:jc w:val="both"/>
        <w:rPr>
          <w:rFonts w:ascii="Book Antiqua" w:hAnsi="Book Antiqua"/>
          <w:b/>
        </w:rPr>
      </w:pPr>
      <w:r>
        <w:rPr>
          <w:noProof/>
          <w:lang w:val="en-GB" w:eastAsia="zh-CN"/>
        </w:rPr>
        <w:drawing>
          <wp:inline distT="0" distB="0" distL="0" distR="0" wp14:anchorId="4D877453" wp14:editId="5D088139">
            <wp:extent cx="4434663" cy="44126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0042" cy="4418025"/>
                    </a:xfrm>
                    <a:prstGeom prst="rect">
                      <a:avLst/>
                    </a:prstGeom>
                  </pic:spPr>
                </pic:pic>
              </a:graphicData>
            </a:graphic>
          </wp:inline>
        </w:drawing>
      </w:r>
    </w:p>
    <w:p w14:paraId="749E9693" w14:textId="5A2238DE" w:rsidR="00672D1F" w:rsidRDefault="00672D1F" w:rsidP="001913E3">
      <w:pPr>
        <w:spacing w:line="360" w:lineRule="auto"/>
        <w:jc w:val="both"/>
        <w:rPr>
          <w:rFonts w:ascii="Book Antiqua" w:hAnsi="Book Antiqua"/>
          <w:b/>
        </w:rPr>
      </w:pPr>
      <w:r w:rsidRPr="00672D1F">
        <w:rPr>
          <w:rFonts w:ascii="Book Antiqua" w:hAnsi="Book Antiqua"/>
          <w:b/>
        </w:rPr>
        <w:t>Figure 1 Esophagogastroduodenoscopy findings before and after treatment</w:t>
      </w:r>
      <w:r>
        <w:rPr>
          <w:rFonts w:ascii="Book Antiqua" w:hAnsi="Book Antiqua"/>
          <w:b/>
        </w:rPr>
        <w:t>.</w:t>
      </w:r>
      <w:r w:rsidRPr="00672D1F">
        <w:rPr>
          <w:rFonts w:ascii="Book Antiqua" w:hAnsi="Book Antiqua"/>
          <w:b/>
        </w:rPr>
        <w:t xml:space="preserve"> </w:t>
      </w:r>
      <w:r w:rsidRPr="00424BEC">
        <w:rPr>
          <w:rFonts w:ascii="Book Antiqua" w:hAnsi="Book Antiqua"/>
        </w:rPr>
        <w:t>A: First esophagogastroduodenoscopy before treatment (February 2021). Fibrinous debris on the mucosa, suspected infiltrating neoplasm; B: Second esophagogastroduodenoscopy before treatment (March 2021). Gastric mucosa prone to bleeding upon contact with</w:t>
      </w:r>
      <w:r w:rsidR="001C720E" w:rsidRPr="00424BEC">
        <w:rPr>
          <w:rFonts w:ascii="Book Antiqua" w:hAnsi="Book Antiqua"/>
        </w:rPr>
        <w:t xml:space="preserve"> </w:t>
      </w:r>
      <w:r w:rsidRPr="00424BEC">
        <w:rPr>
          <w:rFonts w:ascii="Book Antiqua" w:hAnsi="Book Antiqua"/>
        </w:rPr>
        <w:t>mucous debris; C: Third esophagogastroduodenoscopy after the first course of omeprazole (July 2021). Diffuse erythematous gastropathy; D: Fourth esophagogastroduodenoscopy after the third course of omeprazole (January 2022). Atrophic mucosa with intestinal metaplasia.</w:t>
      </w:r>
    </w:p>
    <w:p w14:paraId="4D6F804F" w14:textId="72BBA74B" w:rsidR="00672D1F" w:rsidRDefault="00672D1F" w:rsidP="001913E3">
      <w:pPr>
        <w:spacing w:line="360" w:lineRule="auto"/>
        <w:jc w:val="both"/>
        <w:rPr>
          <w:rFonts w:ascii="Book Antiqua" w:hAnsi="Book Antiqua"/>
          <w:b/>
        </w:rPr>
      </w:pPr>
    </w:p>
    <w:p w14:paraId="3835B72C" w14:textId="6C2D01CF" w:rsidR="00A77B3E" w:rsidRPr="001913E3" w:rsidRDefault="00573B42" w:rsidP="001913E3">
      <w:pPr>
        <w:spacing w:line="360" w:lineRule="auto"/>
        <w:jc w:val="both"/>
        <w:rPr>
          <w:rFonts w:ascii="Book Antiqua" w:hAnsi="Book Antiqua"/>
        </w:rPr>
      </w:pPr>
      <w:r w:rsidRPr="00573B42">
        <w:rPr>
          <w:rFonts w:ascii="Book Antiqua" w:hAnsi="Book Antiqua"/>
          <w:noProof/>
          <w:lang w:val="en-GB" w:eastAsia="zh-CN"/>
        </w:rPr>
        <w:lastRenderedPageBreak/>
        <w:drawing>
          <wp:inline distT="0" distB="0" distL="0" distR="0" wp14:anchorId="15AB627B" wp14:editId="0F314477">
            <wp:extent cx="5943600" cy="4150995"/>
            <wp:effectExtent l="0" t="0" r="0" b="0"/>
            <wp:docPr id="2050"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9B1377-7427-2A23-478A-DAEF05445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9B1377-7427-2A23-478A-DAEF0544550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0995"/>
                    </a:xfrm>
                    <a:prstGeom prst="rect">
                      <a:avLst/>
                    </a:prstGeom>
                    <a:noFill/>
                  </pic:spPr>
                </pic:pic>
              </a:graphicData>
            </a:graphic>
          </wp:inline>
        </w:drawing>
      </w:r>
    </w:p>
    <w:p w14:paraId="084F2A21" w14:textId="71990F53" w:rsidR="00095F17" w:rsidRPr="001913E3" w:rsidRDefault="00095F17" w:rsidP="00095F17">
      <w:pPr>
        <w:spacing w:line="360" w:lineRule="auto"/>
        <w:jc w:val="both"/>
        <w:rPr>
          <w:rFonts w:ascii="Book Antiqua" w:hAnsi="Book Antiqua"/>
          <w:b/>
        </w:rPr>
      </w:pPr>
      <w:r>
        <w:rPr>
          <w:rFonts w:ascii="Book Antiqua" w:hAnsi="Book Antiqua" w:cs="Calibri"/>
          <w:b/>
          <w:bCs/>
        </w:rPr>
        <w:t>Figure 2 Abdominal computed tomography image (March 2021).</w:t>
      </w:r>
      <w:r w:rsidRPr="00424BEC">
        <w:rPr>
          <w:rFonts w:ascii="Book Antiqua" w:hAnsi="Book Antiqua" w:cs="Calibri"/>
          <w:bCs/>
        </w:rPr>
        <w:t xml:space="preserve"> No signs related to </w:t>
      </w:r>
      <w:r w:rsidR="00E7153A">
        <w:rPr>
          <w:rFonts w:ascii="Book Antiqua" w:hAnsi="Book Antiqua" w:cs="Calibri"/>
          <w:bCs/>
        </w:rPr>
        <w:t>a</w:t>
      </w:r>
      <w:r w:rsidRPr="00424BEC">
        <w:rPr>
          <w:rFonts w:ascii="Book Antiqua" w:hAnsi="Book Antiqua" w:cs="Calibri"/>
          <w:bCs/>
        </w:rPr>
        <w:t xml:space="preserve"> gastric tumour (lymphadenopathy, infiltration of the surrounding tissues) are seen.</w:t>
      </w:r>
    </w:p>
    <w:p w14:paraId="7FC0E57A" w14:textId="54130F78" w:rsidR="00A77B3E" w:rsidRPr="001913E3" w:rsidRDefault="00A77B3E" w:rsidP="001913E3">
      <w:pPr>
        <w:spacing w:line="360" w:lineRule="auto"/>
        <w:jc w:val="both"/>
        <w:rPr>
          <w:rFonts w:ascii="Book Antiqua" w:eastAsia="Book Antiqua" w:hAnsi="Book Antiqua" w:cs="Book Antiqua"/>
          <w:b/>
          <w:bCs/>
        </w:rPr>
      </w:pPr>
    </w:p>
    <w:p w14:paraId="7A4551FC" w14:textId="77777777" w:rsidR="005A30FE" w:rsidRPr="001913E3" w:rsidRDefault="005A30FE" w:rsidP="001913E3">
      <w:pPr>
        <w:spacing w:line="360" w:lineRule="auto"/>
        <w:jc w:val="both"/>
        <w:rPr>
          <w:rFonts w:ascii="Book Antiqua" w:eastAsia="Book Antiqua" w:hAnsi="Book Antiqua" w:cs="Book Antiqua"/>
          <w:b/>
          <w:bCs/>
        </w:rPr>
      </w:pPr>
    </w:p>
    <w:p w14:paraId="50671B8B" w14:textId="77777777" w:rsidR="005A30FE" w:rsidRPr="001913E3" w:rsidRDefault="005A30FE" w:rsidP="001913E3">
      <w:pPr>
        <w:spacing w:line="360" w:lineRule="auto"/>
        <w:jc w:val="both"/>
        <w:rPr>
          <w:rFonts w:ascii="Book Antiqua" w:eastAsia="Book Antiqua" w:hAnsi="Book Antiqua" w:cs="Book Antiqua"/>
          <w:b/>
          <w:bCs/>
        </w:rPr>
      </w:pPr>
    </w:p>
    <w:p w14:paraId="1E988C06" w14:textId="77777777" w:rsidR="005A30FE" w:rsidRPr="001913E3" w:rsidRDefault="005A30FE" w:rsidP="001913E3">
      <w:pPr>
        <w:spacing w:line="360" w:lineRule="auto"/>
        <w:jc w:val="both"/>
        <w:rPr>
          <w:rFonts w:ascii="Book Antiqua" w:eastAsia="Book Antiqua" w:hAnsi="Book Antiqua" w:cs="Book Antiqua"/>
          <w:b/>
          <w:bCs/>
        </w:rPr>
      </w:pPr>
    </w:p>
    <w:p w14:paraId="6D624605" w14:textId="7CBBB618"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bCs/>
        </w:rPr>
        <w:br w:type="page"/>
      </w:r>
      <w:r w:rsidR="00705952" w:rsidRPr="001913E3">
        <w:rPr>
          <w:rFonts w:ascii="Book Antiqua" w:eastAsia="Book Antiqua" w:hAnsi="Book Antiqua" w:cs="Book Antiqua"/>
          <w:b/>
        </w:rPr>
        <w:lastRenderedPageBreak/>
        <w:t>Table 1</w:t>
      </w:r>
      <w:r w:rsidRPr="001913E3">
        <w:rPr>
          <w:rFonts w:ascii="Book Antiqua" w:eastAsia="Book Antiqua" w:hAnsi="Book Antiqua" w:cs="Book Antiqua"/>
          <w:b/>
        </w:rPr>
        <w:t xml:space="preserve"> </w:t>
      </w:r>
      <w:r w:rsidR="00705952" w:rsidRPr="001913E3">
        <w:rPr>
          <w:rFonts w:ascii="Book Antiqua" w:eastAsia="Book Antiqua" w:hAnsi="Book Antiqua" w:cs="Book Antiqua"/>
          <w:b/>
        </w:rPr>
        <w:t>Case report timeline</w:t>
      </w:r>
    </w:p>
    <w:tbl>
      <w:tblPr>
        <w:tblW w:w="9135" w:type="dxa"/>
        <w:tblInd w:w="-60" w:type="dxa"/>
        <w:tblBorders>
          <w:top w:val="single" w:sz="4" w:space="0" w:color="auto"/>
          <w:bottom w:val="single" w:sz="4" w:space="0" w:color="auto"/>
        </w:tblBorders>
        <w:tblLayout w:type="fixed"/>
        <w:tblLook w:val="0400" w:firstRow="0" w:lastRow="0" w:firstColumn="0" w:lastColumn="0" w:noHBand="0" w:noVBand="1"/>
      </w:tblPr>
      <w:tblGrid>
        <w:gridCol w:w="1680"/>
        <w:gridCol w:w="3150"/>
        <w:gridCol w:w="4305"/>
      </w:tblGrid>
      <w:tr w:rsidR="005A30FE" w:rsidRPr="001913E3" w14:paraId="4269AE26" w14:textId="77777777" w:rsidTr="00DF5F00">
        <w:tc>
          <w:tcPr>
            <w:tcW w:w="1680" w:type="dxa"/>
            <w:tcBorders>
              <w:top w:val="single" w:sz="4" w:space="0" w:color="auto"/>
              <w:bottom w:val="single" w:sz="4" w:space="0" w:color="auto"/>
            </w:tcBorders>
            <w:tcMar>
              <w:top w:w="40" w:type="dxa"/>
              <w:left w:w="60" w:type="dxa"/>
              <w:bottom w:w="40" w:type="dxa"/>
              <w:right w:w="60" w:type="dxa"/>
            </w:tcMar>
          </w:tcPr>
          <w:p w14:paraId="6E25203B"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Date</w:t>
            </w:r>
          </w:p>
        </w:tc>
        <w:tc>
          <w:tcPr>
            <w:tcW w:w="3150" w:type="dxa"/>
            <w:tcBorders>
              <w:top w:val="single" w:sz="4" w:space="0" w:color="auto"/>
              <w:bottom w:val="single" w:sz="4" w:space="0" w:color="auto"/>
            </w:tcBorders>
            <w:tcMar>
              <w:top w:w="40" w:type="dxa"/>
              <w:left w:w="60" w:type="dxa"/>
              <w:bottom w:w="40" w:type="dxa"/>
              <w:right w:w="60" w:type="dxa"/>
            </w:tcMar>
          </w:tcPr>
          <w:p w14:paraId="21525F5D"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Event</w:t>
            </w:r>
          </w:p>
        </w:tc>
        <w:tc>
          <w:tcPr>
            <w:tcW w:w="4305" w:type="dxa"/>
            <w:tcBorders>
              <w:top w:val="single" w:sz="4" w:space="0" w:color="auto"/>
              <w:bottom w:val="single" w:sz="4" w:space="0" w:color="auto"/>
            </w:tcBorders>
            <w:tcMar>
              <w:top w:w="40" w:type="dxa"/>
              <w:left w:w="60" w:type="dxa"/>
              <w:bottom w:w="40" w:type="dxa"/>
              <w:right w:w="60" w:type="dxa"/>
            </w:tcMar>
          </w:tcPr>
          <w:p w14:paraId="702123DC"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Findings</w:t>
            </w:r>
          </w:p>
        </w:tc>
      </w:tr>
      <w:tr w:rsidR="005A30FE" w:rsidRPr="001913E3" w14:paraId="0285982D" w14:textId="77777777" w:rsidTr="00DF5F00">
        <w:tc>
          <w:tcPr>
            <w:tcW w:w="1680" w:type="dxa"/>
            <w:tcBorders>
              <w:top w:val="single" w:sz="4" w:space="0" w:color="auto"/>
            </w:tcBorders>
            <w:tcMar>
              <w:top w:w="40" w:type="dxa"/>
              <w:left w:w="60" w:type="dxa"/>
              <w:bottom w:w="40" w:type="dxa"/>
              <w:right w:w="60" w:type="dxa"/>
            </w:tcMar>
          </w:tcPr>
          <w:p w14:paraId="6B4AD220" w14:textId="353CABAE" w:rsidR="005A30FE" w:rsidRPr="001913E3" w:rsidRDefault="000E2838"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December </w:t>
            </w:r>
            <w:r w:rsidR="005A30FE" w:rsidRPr="001913E3">
              <w:rPr>
                <w:rFonts w:ascii="Book Antiqua" w:eastAsia="Book Antiqua" w:hAnsi="Book Antiqua" w:cs="Book Antiqua"/>
              </w:rPr>
              <w:t xml:space="preserve">2017 </w:t>
            </w:r>
          </w:p>
        </w:tc>
        <w:tc>
          <w:tcPr>
            <w:tcW w:w="3150" w:type="dxa"/>
            <w:tcBorders>
              <w:top w:val="single" w:sz="4" w:space="0" w:color="auto"/>
            </w:tcBorders>
            <w:tcMar>
              <w:top w:w="40" w:type="dxa"/>
              <w:left w:w="60" w:type="dxa"/>
              <w:bottom w:w="40" w:type="dxa"/>
              <w:right w:w="60" w:type="dxa"/>
            </w:tcMar>
          </w:tcPr>
          <w:p w14:paraId="306C0C2A"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Chest CT</w:t>
            </w:r>
          </w:p>
        </w:tc>
        <w:tc>
          <w:tcPr>
            <w:tcW w:w="4305" w:type="dxa"/>
            <w:tcBorders>
              <w:top w:val="single" w:sz="4" w:space="0" w:color="auto"/>
            </w:tcBorders>
            <w:tcMar>
              <w:top w:w="40" w:type="dxa"/>
              <w:left w:w="60" w:type="dxa"/>
              <w:bottom w:w="40" w:type="dxa"/>
              <w:right w:w="60" w:type="dxa"/>
            </w:tcMar>
          </w:tcPr>
          <w:p w14:paraId="3C1B688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Tumour in the left lung (S1/2) with pleural metastases</w:t>
            </w:r>
          </w:p>
        </w:tc>
      </w:tr>
      <w:tr w:rsidR="005A30FE" w:rsidRPr="001913E3" w14:paraId="6D3EBD75" w14:textId="77777777" w:rsidTr="00DF5F00">
        <w:tc>
          <w:tcPr>
            <w:tcW w:w="1680" w:type="dxa"/>
            <w:tcMar>
              <w:top w:w="40" w:type="dxa"/>
              <w:left w:w="60" w:type="dxa"/>
              <w:bottom w:w="40" w:type="dxa"/>
              <w:right w:w="60" w:type="dxa"/>
            </w:tcMar>
          </w:tcPr>
          <w:p w14:paraId="59668695" w14:textId="01037830" w:rsidR="005A30FE" w:rsidRPr="001913E3" w:rsidRDefault="000E2838"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January </w:t>
            </w:r>
            <w:r w:rsidR="005A30FE" w:rsidRPr="001913E3">
              <w:rPr>
                <w:rFonts w:ascii="Book Antiqua" w:eastAsia="Book Antiqua" w:hAnsi="Book Antiqua" w:cs="Book Antiqua"/>
              </w:rPr>
              <w:t xml:space="preserve">2018 </w:t>
            </w:r>
          </w:p>
        </w:tc>
        <w:tc>
          <w:tcPr>
            <w:tcW w:w="3150" w:type="dxa"/>
            <w:tcMar>
              <w:top w:w="40" w:type="dxa"/>
              <w:left w:w="60" w:type="dxa"/>
              <w:bottom w:w="40" w:type="dxa"/>
              <w:right w:w="60" w:type="dxa"/>
            </w:tcMar>
          </w:tcPr>
          <w:p w14:paraId="4D45E91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Fibrobronchoscopy with biopsy</w:t>
            </w:r>
          </w:p>
        </w:tc>
        <w:tc>
          <w:tcPr>
            <w:tcW w:w="4305" w:type="dxa"/>
            <w:tcMar>
              <w:top w:w="40" w:type="dxa"/>
              <w:left w:w="60" w:type="dxa"/>
              <w:bottom w:w="40" w:type="dxa"/>
              <w:right w:w="60" w:type="dxa"/>
            </w:tcMar>
          </w:tcPr>
          <w:p w14:paraId="0E0B942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Pathology report: poorly differentiated (G3) non-small lung cell adenocarcinoma, EGFR (-)</w:t>
            </w:r>
          </w:p>
        </w:tc>
      </w:tr>
      <w:tr w:rsidR="005A30FE" w:rsidRPr="001913E3" w14:paraId="73ACC862" w14:textId="77777777" w:rsidTr="00DF5F00">
        <w:tc>
          <w:tcPr>
            <w:tcW w:w="1680" w:type="dxa"/>
            <w:tcMar>
              <w:top w:w="40" w:type="dxa"/>
              <w:left w:w="60" w:type="dxa"/>
              <w:bottom w:w="40" w:type="dxa"/>
              <w:right w:w="60" w:type="dxa"/>
            </w:tcMar>
          </w:tcPr>
          <w:p w14:paraId="1AF71AEE" w14:textId="54B6823C" w:rsidR="005A30FE" w:rsidRPr="001913E3" w:rsidRDefault="005A30FE" w:rsidP="00E7153A">
            <w:pPr>
              <w:spacing w:line="360" w:lineRule="auto"/>
              <w:jc w:val="both"/>
              <w:rPr>
                <w:rFonts w:ascii="Book Antiqua" w:eastAsia="Book Antiqua" w:hAnsi="Book Antiqua" w:cs="Book Antiqua"/>
              </w:rPr>
            </w:pPr>
            <w:r w:rsidRPr="001913E3">
              <w:rPr>
                <w:rFonts w:ascii="Book Antiqua" w:eastAsia="Book Antiqua" w:hAnsi="Book Antiqua" w:cs="Book Antiqua"/>
              </w:rPr>
              <w:t>February - - June</w:t>
            </w:r>
          </w:p>
        </w:tc>
        <w:tc>
          <w:tcPr>
            <w:tcW w:w="3150" w:type="dxa"/>
            <w:tcMar>
              <w:top w:w="40" w:type="dxa"/>
              <w:left w:w="60" w:type="dxa"/>
              <w:bottom w:w="40" w:type="dxa"/>
              <w:right w:w="60" w:type="dxa"/>
            </w:tcMar>
          </w:tcPr>
          <w:p w14:paraId="14D0E5D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Chemotherapy treatment (Carboplatin, Paclitaxel, Bevacizumab), 6 courses</w:t>
            </w:r>
          </w:p>
        </w:tc>
        <w:tc>
          <w:tcPr>
            <w:tcW w:w="4305" w:type="dxa"/>
            <w:tcMar>
              <w:top w:w="40" w:type="dxa"/>
              <w:left w:w="60" w:type="dxa"/>
              <w:bottom w:w="40" w:type="dxa"/>
              <w:right w:w="60" w:type="dxa"/>
            </w:tcMar>
          </w:tcPr>
          <w:p w14:paraId="2D0D5619" w14:textId="018D936F" w:rsidR="005A30FE" w:rsidRPr="001913E3" w:rsidRDefault="005A30FE" w:rsidP="001913E3">
            <w:pPr>
              <w:spacing w:line="360" w:lineRule="auto"/>
              <w:jc w:val="both"/>
              <w:rPr>
                <w:rFonts w:ascii="Book Antiqua" w:eastAsia="Book Antiqua" w:hAnsi="Book Antiqua" w:cs="Book Antiqua"/>
              </w:rPr>
            </w:pPr>
          </w:p>
        </w:tc>
      </w:tr>
      <w:tr w:rsidR="005A30FE" w:rsidRPr="001913E3" w14:paraId="088583CA" w14:textId="77777777" w:rsidTr="00DF5F00">
        <w:tc>
          <w:tcPr>
            <w:tcW w:w="1680" w:type="dxa"/>
            <w:tcMar>
              <w:top w:w="40" w:type="dxa"/>
              <w:left w:w="60" w:type="dxa"/>
              <w:bottom w:w="40" w:type="dxa"/>
              <w:right w:w="60" w:type="dxa"/>
            </w:tcMar>
          </w:tcPr>
          <w:p w14:paraId="4690467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September</w:t>
            </w:r>
          </w:p>
        </w:tc>
        <w:tc>
          <w:tcPr>
            <w:tcW w:w="3150" w:type="dxa"/>
            <w:tcMar>
              <w:top w:w="40" w:type="dxa"/>
              <w:left w:w="60" w:type="dxa"/>
              <w:bottom w:w="40" w:type="dxa"/>
              <w:right w:w="60" w:type="dxa"/>
            </w:tcMar>
          </w:tcPr>
          <w:p w14:paraId="27ED496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Chest CT</w:t>
            </w:r>
          </w:p>
        </w:tc>
        <w:tc>
          <w:tcPr>
            <w:tcW w:w="4305" w:type="dxa"/>
            <w:tcMar>
              <w:top w:w="40" w:type="dxa"/>
              <w:left w:w="60" w:type="dxa"/>
              <w:bottom w:w="40" w:type="dxa"/>
              <w:right w:w="60" w:type="dxa"/>
            </w:tcMar>
          </w:tcPr>
          <w:p w14:paraId="552506DF" w14:textId="3A414F02"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Re</w:t>
            </w:r>
            <w:r w:rsidR="009703FD" w:rsidRPr="001913E3">
              <w:rPr>
                <w:rFonts w:ascii="Book Antiqua" w:eastAsia="Book Antiqua" w:hAnsi="Book Antiqua" w:cs="Book Antiqua"/>
              </w:rPr>
              <w:t>duction of target tumours by 16</w:t>
            </w:r>
            <w:r w:rsidRPr="001913E3">
              <w:rPr>
                <w:rFonts w:ascii="Book Antiqua" w:eastAsia="Book Antiqua" w:hAnsi="Book Antiqua" w:cs="Book Antiqua"/>
              </w:rPr>
              <w:t>%. Stable oncologic disease</w:t>
            </w:r>
          </w:p>
        </w:tc>
      </w:tr>
      <w:tr w:rsidR="005A30FE" w:rsidRPr="001913E3" w14:paraId="15B271AF" w14:textId="77777777" w:rsidTr="00DF5F00">
        <w:tc>
          <w:tcPr>
            <w:tcW w:w="1680" w:type="dxa"/>
            <w:tcMar>
              <w:top w:w="40" w:type="dxa"/>
              <w:left w:w="60" w:type="dxa"/>
              <w:bottom w:w="40" w:type="dxa"/>
              <w:right w:w="60" w:type="dxa"/>
            </w:tcMar>
          </w:tcPr>
          <w:p w14:paraId="59362754" w14:textId="7475C579" w:rsidR="005A30FE" w:rsidRPr="001913E3" w:rsidRDefault="00510763"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January </w:t>
            </w:r>
            <w:r w:rsidR="005A30FE" w:rsidRPr="001913E3">
              <w:rPr>
                <w:rFonts w:ascii="Book Antiqua" w:eastAsia="Book Antiqua" w:hAnsi="Book Antiqua" w:cs="Book Antiqua"/>
              </w:rPr>
              <w:t>2019</w:t>
            </w:r>
          </w:p>
        </w:tc>
        <w:tc>
          <w:tcPr>
            <w:tcW w:w="3150" w:type="dxa"/>
            <w:tcMar>
              <w:top w:w="40" w:type="dxa"/>
              <w:left w:w="60" w:type="dxa"/>
              <w:bottom w:w="40" w:type="dxa"/>
              <w:right w:w="60" w:type="dxa"/>
            </w:tcMar>
          </w:tcPr>
          <w:p w14:paraId="0D8F97B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Chest CT</w:t>
            </w:r>
          </w:p>
        </w:tc>
        <w:tc>
          <w:tcPr>
            <w:tcW w:w="4305" w:type="dxa"/>
            <w:tcMar>
              <w:top w:w="40" w:type="dxa"/>
              <w:left w:w="60" w:type="dxa"/>
              <w:bottom w:w="40" w:type="dxa"/>
              <w:right w:w="60" w:type="dxa"/>
            </w:tcMar>
          </w:tcPr>
          <w:p w14:paraId="58BAEA1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Progression of the disease</w:t>
            </w:r>
          </w:p>
        </w:tc>
      </w:tr>
      <w:tr w:rsidR="005A30FE" w:rsidRPr="001913E3" w14:paraId="58671C4E" w14:textId="77777777" w:rsidTr="00DF5F00">
        <w:tc>
          <w:tcPr>
            <w:tcW w:w="1680" w:type="dxa"/>
            <w:tcMar>
              <w:top w:w="40" w:type="dxa"/>
              <w:left w:w="60" w:type="dxa"/>
              <w:bottom w:w="40" w:type="dxa"/>
              <w:right w:w="60" w:type="dxa"/>
            </w:tcMar>
          </w:tcPr>
          <w:p w14:paraId="79C0027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January</w:t>
            </w:r>
          </w:p>
        </w:tc>
        <w:tc>
          <w:tcPr>
            <w:tcW w:w="3150" w:type="dxa"/>
            <w:tcMar>
              <w:top w:w="40" w:type="dxa"/>
              <w:left w:w="60" w:type="dxa"/>
              <w:bottom w:w="40" w:type="dxa"/>
              <w:right w:w="60" w:type="dxa"/>
            </w:tcMar>
          </w:tcPr>
          <w:p w14:paraId="562A87E9" w14:textId="17EDCD07" w:rsidR="005A30FE" w:rsidRPr="001913E3" w:rsidRDefault="005A30FE" w:rsidP="00E7153A">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Initiation of </w:t>
            </w:r>
            <w:r w:rsidR="00E7153A">
              <w:rPr>
                <w:rFonts w:ascii="Book Antiqua" w:eastAsia="Book Antiqua" w:hAnsi="Book Antiqua" w:cs="Book Antiqua"/>
              </w:rPr>
              <w:t>n</w:t>
            </w:r>
            <w:r w:rsidRPr="001913E3">
              <w:rPr>
                <w:rFonts w:ascii="Book Antiqua" w:eastAsia="Book Antiqua" w:hAnsi="Book Antiqua" w:cs="Book Antiqua"/>
              </w:rPr>
              <w:t>ivolumab treatment</w:t>
            </w:r>
          </w:p>
        </w:tc>
        <w:tc>
          <w:tcPr>
            <w:tcW w:w="4305" w:type="dxa"/>
            <w:tcMar>
              <w:top w:w="40" w:type="dxa"/>
              <w:left w:w="60" w:type="dxa"/>
              <w:bottom w:w="40" w:type="dxa"/>
              <w:right w:w="60" w:type="dxa"/>
            </w:tcMar>
          </w:tcPr>
          <w:p w14:paraId="38ACCDFC" w14:textId="77777777" w:rsidR="005A30FE" w:rsidRPr="001913E3" w:rsidRDefault="005A30FE" w:rsidP="001913E3">
            <w:pPr>
              <w:spacing w:line="360" w:lineRule="auto"/>
              <w:jc w:val="both"/>
              <w:rPr>
                <w:rFonts w:ascii="Book Antiqua" w:eastAsia="Book Antiqua" w:hAnsi="Book Antiqua" w:cs="Book Antiqua"/>
              </w:rPr>
            </w:pPr>
          </w:p>
        </w:tc>
      </w:tr>
      <w:tr w:rsidR="005A30FE" w:rsidRPr="001913E3" w14:paraId="1801E0AD" w14:textId="77777777" w:rsidTr="00DF5F00">
        <w:tc>
          <w:tcPr>
            <w:tcW w:w="1680" w:type="dxa"/>
            <w:tcMar>
              <w:top w:w="40" w:type="dxa"/>
              <w:left w:w="60" w:type="dxa"/>
              <w:bottom w:w="40" w:type="dxa"/>
              <w:right w:w="60" w:type="dxa"/>
            </w:tcMar>
          </w:tcPr>
          <w:p w14:paraId="06B5BB6C" w14:textId="44FDF770" w:rsidR="005A30FE" w:rsidRPr="001913E3" w:rsidRDefault="00510763"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December </w:t>
            </w:r>
            <w:r w:rsidR="005A30FE" w:rsidRPr="001913E3">
              <w:rPr>
                <w:rFonts w:ascii="Book Antiqua" w:eastAsia="Book Antiqua" w:hAnsi="Book Antiqua" w:cs="Book Antiqua"/>
              </w:rPr>
              <w:t xml:space="preserve">2020 </w:t>
            </w:r>
          </w:p>
        </w:tc>
        <w:tc>
          <w:tcPr>
            <w:tcW w:w="3150" w:type="dxa"/>
            <w:tcMar>
              <w:top w:w="40" w:type="dxa"/>
              <w:left w:w="60" w:type="dxa"/>
              <w:bottom w:w="40" w:type="dxa"/>
              <w:right w:w="60" w:type="dxa"/>
            </w:tcMar>
          </w:tcPr>
          <w:p w14:paraId="04E3E4F8"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Beginning of gastrointestinal symptoms</w:t>
            </w:r>
          </w:p>
        </w:tc>
        <w:tc>
          <w:tcPr>
            <w:tcW w:w="4305" w:type="dxa"/>
            <w:tcMar>
              <w:top w:w="40" w:type="dxa"/>
              <w:left w:w="60" w:type="dxa"/>
              <w:bottom w:w="40" w:type="dxa"/>
              <w:right w:w="60" w:type="dxa"/>
            </w:tcMar>
          </w:tcPr>
          <w:p w14:paraId="35D3C38E" w14:textId="4381CB40" w:rsidR="005A30FE" w:rsidRPr="001913E3" w:rsidRDefault="005A30FE" w:rsidP="001913E3">
            <w:pPr>
              <w:spacing w:line="360" w:lineRule="auto"/>
              <w:jc w:val="both"/>
              <w:rPr>
                <w:rFonts w:ascii="Book Antiqua" w:eastAsia="Book Antiqua" w:hAnsi="Book Antiqua" w:cs="Book Antiqua"/>
              </w:rPr>
            </w:pPr>
          </w:p>
        </w:tc>
      </w:tr>
      <w:tr w:rsidR="005A30FE" w:rsidRPr="001913E3" w14:paraId="21CBE9EE" w14:textId="77777777" w:rsidTr="00DF5F00">
        <w:tc>
          <w:tcPr>
            <w:tcW w:w="1680" w:type="dxa"/>
            <w:tcMar>
              <w:top w:w="40" w:type="dxa"/>
              <w:left w:w="60" w:type="dxa"/>
              <w:bottom w:w="40" w:type="dxa"/>
              <w:right w:w="60" w:type="dxa"/>
            </w:tcMar>
          </w:tcPr>
          <w:p w14:paraId="10EAF41E" w14:textId="014C3814" w:rsidR="005A30FE" w:rsidRPr="001913E3" w:rsidRDefault="00510763"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February </w:t>
            </w:r>
            <w:r w:rsidR="005A30FE" w:rsidRPr="001913E3">
              <w:rPr>
                <w:rFonts w:ascii="Book Antiqua" w:eastAsia="Book Antiqua" w:hAnsi="Book Antiqua" w:cs="Book Antiqua"/>
              </w:rPr>
              <w:t>2021</w:t>
            </w:r>
          </w:p>
        </w:tc>
        <w:tc>
          <w:tcPr>
            <w:tcW w:w="3150" w:type="dxa"/>
            <w:tcMar>
              <w:top w:w="40" w:type="dxa"/>
              <w:left w:w="60" w:type="dxa"/>
              <w:bottom w:w="40" w:type="dxa"/>
              <w:right w:w="60" w:type="dxa"/>
            </w:tcMar>
          </w:tcPr>
          <w:p w14:paraId="20A3ED7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EGD with biopsy</w:t>
            </w:r>
          </w:p>
        </w:tc>
        <w:tc>
          <w:tcPr>
            <w:tcW w:w="4305" w:type="dxa"/>
            <w:tcMar>
              <w:top w:w="40" w:type="dxa"/>
              <w:left w:w="60" w:type="dxa"/>
              <w:bottom w:w="40" w:type="dxa"/>
              <w:right w:w="60" w:type="dxa"/>
            </w:tcMar>
          </w:tcPr>
          <w:p w14:paraId="6A142492" w14:textId="22FBA2D0"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EGD: </w:t>
            </w:r>
            <w:r w:rsidR="002F15B0" w:rsidRPr="001913E3">
              <w:rPr>
                <w:rFonts w:ascii="Book Antiqua" w:eastAsia="Book Antiqua" w:hAnsi="Book Antiqua" w:cs="Book Antiqua"/>
              </w:rPr>
              <w:t>Tumour</w:t>
            </w:r>
            <w:r w:rsidRPr="001913E3">
              <w:rPr>
                <w:rFonts w:ascii="Book Antiqua" w:eastAsia="Book Antiqua" w:hAnsi="Book Antiqua" w:cs="Book Antiqua"/>
              </w:rPr>
              <w:t>-like endoscopic changes in the stomach</w:t>
            </w:r>
            <w:r w:rsidR="00514C61" w:rsidRPr="001913E3">
              <w:rPr>
                <w:rFonts w:ascii="Book Antiqua" w:eastAsia="Book Antiqua" w:hAnsi="Book Antiqua" w:cs="Book Antiqua"/>
              </w:rPr>
              <w:t>;</w:t>
            </w:r>
            <w:r w:rsidR="00514C61" w:rsidRPr="001913E3">
              <w:rPr>
                <w:rFonts w:ascii="Book Antiqua" w:hAnsi="Book Antiqua" w:cs="Book Antiqua"/>
                <w:lang w:eastAsia="zh-CN"/>
              </w:rPr>
              <w:t xml:space="preserve"> </w:t>
            </w:r>
            <w:r w:rsidRPr="001913E3">
              <w:rPr>
                <w:rFonts w:ascii="Book Antiqua" w:eastAsia="Book Antiqua" w:hAnsi="Book Antiqua" w:cs="Book Antiqua"/>
              </w:rPr>
              <w:t xml:space="preserve">Histology: </w:t>
            </w:r>
            <w:r w:rsidR="00514C61" w:rsidRPr="001913E3">
              <w:rPr>
                <w:rFonts w:ascii="Book Antiqua" w:eastAsia="Book Antiqua" w:hAnsi="Book Antiqua" w:cs="Book Antiqua"/>
              </w:rPr>
              <w:t xml:space="preserve">Chronic </w:t>
            </w:r>
            <w:r w:rsidRPr="001913E3">
              <w:rPr>
                <w:rFonts w:ascii="Book Antiqua" w:eastAsia="Book Antiqua" w:hAnsi="Book Antiqua" w:cs="Book Antiqua"/>
              </w:rPr>
              <w:t>active (++) erosive gastritis with gland destruction and lymphoepithelial infiltration. Possible immune check-point inhibitor therapy-associated gastritis</w:t>
            </w:r>
          </w:p>
        </w:tc>
      </w:tr>
      <w:tr w:rsidR="005A30FE" w:rsidRPr="001913E3" w14:paraId="75646F98" w14:textId="77777777" w:rsidTr="00DF5F00">
        <w:tc>
          <w:tcPr>
            <w:tcW w:w="1680" w:type="dxa"/>
            <w:tcMar>
              <w:top w:w="40" w:type="dxa"/>
              <w:left w:w="60" w:type="dxa"/>
              <w:bottom w:w="40" w:type="dxa"/>
              <w:right w:w="60" w:type="dxa"/>
            </w:tcMar>
          </w:tcPr>
          <w:p w14:paraId="26DA10BA"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March</w:t>
            </w:r>
          </w:p>
        </w:tc>
        <w:tc>
          <w:tcPr>
            <w:tcW w:w="3150" w:type="dxa"/>
            <w:tcMar>
              <w:top w:w="40" w:type="dxa"/>
              <w:left w:w="60" w:type="dxa"/>
              <w:bottom w:w="40" w:type="dxa"/>
              <w:right w:w="60" w:type="dxa"/>
            </w:tcMar>
          </w:tcPr>
          <w:p w14:paraId="16C06B1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Abdominal CT</w:t>
            </w:r>
          </w:p>
        </w:tc>
        <w:tc>
          <w:tcPr>
            <w:tcW w:w="4305" w:type="dxa"/>
            <w:tcMar>
              <w:top w:w="40" w:type="dxa"/>
              <w:left w:w="60" w:type="dxa"/>
              <w:bottom w:w="40" w:type="dxa"/>
              <w:right w:w="60" w:type="dxa"/>
            </w:tcMar>
          </w:tcPr>
          <w:p w14:paraId="6ED8273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Stomach changes related </w:t>
            </w:r>
            <w:r w:rsidRPr="001913E3">
              <w:rPr>
                <w:rFonts w:ascii="Book Antiqua" w:eastAsia="Book Antiqua" w:hAnsi="Book Antiqua" w:cs="Book Antiqua"/>
                <w:color w:val="000000"/>
              </w:rPr>
              <w:t>to</w:t>
            </w:r>
            <w:r w:rsidRPr="001913E3">
              <w:rPr>
                <w:rFonts w:ascii="Book Antiqua" w:eastAsia="Book Antiqua" w:hAnsi="Book Antiqua" w:cs="Book Antiqua"/>
              </w:rPr>
              <w:t xml:space="preserve"> chronic gastritis</w:t>
            </w:r>
          </w:p>
        </w:tc>
      </w:tr>
      <w:tr w:rsidR="005A30FE" w:rsidRPr="001913E3" w14:paraId="6B22985D" w14:textId="77777777" w:rsidTr="00DF5F00">
        <w:trPr>
          <w:trHeight w:val="1421"/>
        </w:trPr>
        <w:tc>
          <w:tcPr>
            <w:tcW w:w="1680" w:type="dxa"/>
            <w:tcMar>
              <w:top w:w="40" w:type="dxa"/>
              <w:left w:w="60" w:type="dxa"/>
              <w:bottom w:w="40" w:type="dxa"/>
              <w:right w:w="60" w:type="dxa"/>
            </w:tcMar>
          </w:tcPr>
          <w:p w14:paraId="291A1088"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March </w:t>
            </w:r>
          </w:p>
        </w:tc>
        <w:tc>
          <w:tcPr>
            <w:tcW w:w="3150" w:type="dxa"/>
            <w:tcMar>
              <w:top w:w="40" w:type="dxa"/>
              <w:left w:w="60" w:type="dxa"/>
              <w:bottom w:w="40" w:type="dxa"/>
              <w:right w:w="60" w:type="dxa"/>
            </w:tcMar>
          </w:tcPr>
          <w:p w14:paraId="67F9040D"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EGD with biopsy</w:t>
            </w:r>
          </w:p>
        </w:tc>
        <w:tc>
          <w:tcPr>
            <w:tcW w:w="4305" w:type="dxa"/>
            <w:tcMar>
              <w:top w:w="40" w:type="dxa"/>
              <w:left w:w="60" w:type="dxa"/>
              <w:bottom w:w="40" w:type="dxa"/>
              <w:right w:w="60" w:type="dxa"/>
            </w:tcMar>
          </w:tcPr>
          <w:p w14:paraId="1A452ED6" w14:textId="5AA8D082"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EGD: </w:t>
            </w:r>
            <w:r w:rsidR="00E4088A" w:rsidRPr="001913E3">
              <w:rPr>
                <w:rFonts w:ascii="Book Antiqua" w:eastAsia="Book Antiqua" w:hAnsi="Book Antiqua" w:cs="Book Antiqua"/>
              </w:rPr>
              <w:t xml:space="preserve">Progression </w:t>
            </w:r>
            <w:r w:rsidRPr="001913E3">
              <w:rPr>
                <w:rFonts w:ascii="Book Antiqua" w:eastAsia="Book Antiqua" w:hAnsi="Book Antiqua" w:cs="Book Antiqua"/>
              </w:rPr>
              <w:t>of tumour-like endoscopic changes in the stomach</w:t>
            </w:r>
            <w:r w:rsidR="00E4088A" w:rsidRPr="001913E3">
              <w:rPr>
                <w:rFonts w:ascii="Book Antiqua" w:eastAsia="Book Antiqua" w:hAnsi="Book Antiqua" w:cs="Book Antiqua"/>
              </w:rPr>
              <w:t>;</w:t>
            </w:r>
            <w:r w:rsidR="00E4088A" w:rsidRPr="001913E3">
              <w:rPr>
                <w:rFonts w:ascii="Book Antiqua" w:hAnsi="Book Antiqua" w:cs="Book Antiqua"/>
                <w:lang w:eastAsia="zh-CN"/>
              </w:rPr>
              <w:t xml:space="preserve"> </w:t>
            </w:r>
            <w:r w:rsidRPr="001913E3">
              <w:rPr>
                <w:rFonts w:ascii="Book Antiqua" w:eastAsia="Book Antiqua" w:hAnsi="Book Antiqua" w:cs="Book Antiqua"/>
              </w:rPr>
              <w:t xml:space="preserve">Histology: </w:t>
            </w:r>
            <w:r w:rsidR="00E4088A" w:rsidRPr="001913E3">
              <w:rPr>
                <w:rFonts w:ascii="Book Antiqua" w:eastAsia="Book Antiqua" w:hAnsi="Book Antiqua" w:cs="Book Antiqua"/>
              </w:rPr>
              <w:t xml:space="preserve">Chronic </w:t>
            </w:r>
            <w:r w:rsidRPr="001913E3">
              <w:rPr>
                <w:rFonts w:ascii="Book Antiqua" w:eastAsia="Book Antiqua" w:hAnsi="Book Antiqua" w:cs="Book Antiqua"/>
              </w:rPr>
              <w:t>active (++) gastritis with erosions and intestinal metaplasia</w:t>
            </w:r>
          </w:p>
        </w:tc>
      </w:tr>
      <w:tr w:rsidR="005A30FE" w:rsidRPr="001913E3" w14:paraId="3ABC1BD9" w14:textId="77777777" w:rsidTr="00DF5F00">
        <w:tc>
          <w:tcPr>
            <w:tcW w:w="1680" w:type="dxa"/>
            <w:tcMar>
              <w:top w:w="40" w:type="dxa"/>
              <w:left w:w="60" w:type="dxa"/>
              <w:bottom w:w="40" w:type="dxa"/>
              <w:right w:w="60" w:type="dxa"/>
            </w:tcMar>
          </w:tcPr>
          <w:p w14:paraId="293C12B6"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March - April</w:t>
            </w:r>
          </w:p>
        </w:tc>
        <w:tc>
          <w:tcPr>
            <w:tcW w:w="3150" w:type="dxa"/>
            <w:tcMar>
              <w:top w:w="40" w:type="dxa"/>
              <w:left w:w="60" w:type="dxa"/>
              <w:bottom w:w="40" w:type="dxa"/>
              <w:right w:w="60" w:type="dxa"/>
            </w:tcMar>
          </w:tcPr>
          <w:p w14:paraId="00A68B64" w14:textId="54FB0F94"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First course </w:t>
            </w:r>
            <w:r w:rsidR="00451A1A" w:rsidRPr="001913E3">
              <w:rPr>
                <w:rFonts w:ascii="Book Antiqua" w:eastAsia="Book Antiqua" w:hAnsi="Book Antiqua" w:cs="Book Antiqua"/>
                <w:color w:val="000000"/>
              </w:rPr>
              <w:t>of 20 mg/d</w:t>
            </w:r>
            <w:r w:rsidRPr="001913E3">
              <w:rPr>
                <w:rFonts w:ascii="Book Antiqua" w:eastAsia="Book Antiqua" w:hAnsi="Book Antiqua" w:cs="Book Antiqua"/>
                <w:color w:val="000000"/>
              </w:rPr>
              <w:t xml:space="preserve"> of</w:t>
            </w:r>
            <w:r w:rsidRPr="001913E3">
              <w:rPr>
                <w:rFonts w:ascii="Book Antiqua" w:eastAsia="Book Antiqua" w:hAnsi="Book Antiqua" w:cs="Book Antiqua"/>
              </w:rPr>
              <w:t xml:space="preserve"> </w:t>
            </w:r>
            <w:r w:rsidRPr="001913E3">
              <w:rPr>
                <w:rFonts w:ascii="Book Antiqua" w:eastAsia="Book Antiqua" w:hAnsi="Book Antiqua" w:cs="Book Antiqua"/>
                <w:color w:val="000000"/>
              </w:rPr>
              <w:t>omeprazole</w:t>
            </w:r>
          </w:p>
        </w:tc>
        <w:tc>
          <w:tcPr>
            <w:tcW w:w="4305" w:type="dxa"/>
            <w:tcMar>
              <w:top w:w="40" w:type="dxa"/>
              <w:left w:w="60" w:type="dxa"/>
              <w:bottom w:w="40" w:type="dxa"/>
              <w:right w:w="60" w:type="dxa"/>
            </w:tcMar>
          </w:tcPr>
          <w:p w14:paraId="103E2272" w14:textId="77777777" w:rsidR="005A30FE" w:rsidRPr="001913E3" w:rsidRDefault="005A30FE" w:rsidP="001913E3">
            <w:pPr>
              <w:spacing w:line="360" w:lineRule="auto"/>
              <w:jc w:val="both"/>
              <w:rPr>
                <w:rFonts w:ascii="Book Antiqua" w:eastAsia="Book Antiqua" w:hAnsi="Book Antiqua" w:cs="Book Antiqua"/>
              </w:rPr>
            </w:pPr>
          </w:p>
        </w:tc>
      </w:tr>
      <w:tr w:rsidR="005A30FE" w:rsidRPr="001913E3" w14:paraId="245E1BEB" w14:textId="77777777" w:rsidTr="00DF5F00">
        <w:tc>
          <w:tcPr>
            <w:tcW w:w="1680" w:type="dxa"/>
            <w:tcMar>
              <w:top w:w="40" w:type="dxa"/>
              <w:left w:w="60" w:type="dxa"/>
              <w:bottom w:w="40" w:type="dxa"/>
              <w:right w:w="60" w:type="dxa"/>
            </w:tcMar>
          </w:tcPr>
          <w:p w14:paraId="5D852E28" w14:textId="640FFF0D"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July</w:t>
            </w:r>
          </w:p>
        </w:tc>
        <w:tc>
          <w:tcPr>
            <w:tcW w:w="3150" w:type="dxa"/>
            <w:tcMar>
              <w:top w:w="40" w:type="dxa"/>
              <w:left w:w="60" w:type="dxa"/>
              <w:bottom w:w="40" w:type="dxa"/>
              <w:right w:w="60" w:type="dxa"/>
            </w:tcMar>
          </w:tcPr>
          <w:p w14:paraId="5948A04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EGD with biopsy</w:t>
            </w:r>
          </w:p>
        </w:tc>
        <w:tc>
          <w:tcPr>
            <w:tcW w:w="4305" w:type="dxa"/>
            <w:tcMar>
              <w:top w:w="40" w:type="dxa"/>
              <w:left w:w="60" w:type="dxa"/>
              <w:bottom w:w="40" w:type="dxa"/>
              <w:right w:w="60" w:type="dxa"/>
            </w:tcMar>
          </w:tcPr>
          <w:p w14:paraId="08865456" w14:textId="18DF5259" w:rsidR="005A30FE" w:rsidRPr="001913E3" w:rsidRDefault="005A30FE" w:rsidP="00E7153A">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EGD: </w:t>
            </w:r>
            <w:r w:rsidR="00263CF9" w:rsidRPr="001913E3">
              <w:rPr>
                <w:rFonts w:ascii="Book Antiqua" w:eastAsia="Book Antiqua" w:hAnsi="Book Antiqua" w:cs="Book Antiqua"/>
              </w:rPr>
              <w:t xml:space="preserve">Decreased </w:t>
            </w:r>
            <w:r w:rsidRPr="001913E3">
              <w:rPr>
                <w:rFonts w:ascii="Book Antiqua" w:eastAsia="Book Antiqua" w:hAnsi="Book Antiqua" w:cs="Book Antiqua"/>
              </w:rPr>
              <w:t>diffuse inflammatory/infiltrative changes in the stomach wall</w:t>
            </w:r>
            <w:r w:rsidR="00263CF9" w:rsidRPr="001913E3">
              <w:rPr>
                <w:rFonts w:ascii="Book Antiqua" w:eastAsia="Book Antiqua" w:hAnsi="Book Antiqua" w:cs="Book Antiqua"/>
              </w:rPr>
              <w:t>;</w:t>
            </w:r>
            <w:r w:rsidR="00BC0E32" w:rsidRPr="001913E3">
              <w:rPr>
                <w:rFonts w:ascii="Book Antiqua" w:hAnsi="Book Antiqua" w:cs="Book Antiqua"/>
                <w:lang w:eastAsia="zh-CN"/>
              </w:rPr>
              <w:t xml:space="preserve"> </w:t>
            </w:r>
            <w:r w:rsidRPr="001913E3">
              <w:rPr>
                <w:rFonts w:ascii="Book Antiqua" w:eastAsia="Book Antiqua" w:hAnsi="Book Antiqua" w:cs="Book Antiqua"/>
              </w:rPr>
              <w:t xml:space="preserve">Histology: </w:t>
            </w:r>
            <w:r w:rsidR="00FA4BDB" w:rsidRPr="001913E3">
              <w:rPr>
                <w:rFonts w:ascii="Book Antiqua" w:eastAsia="Book Antiqua" w:hAnsi="Book Antiqua" w:cs="Book Antiqua"/>
              </w:rPr>
              <w:t xml:space="preserve">Chronic </w:t>
            </w:r>
            <w:r w:rsidRPr="001913E3">
              <w:rPr>
                <w:rFonts w:ascii="Book Antiqua" w:eastAsia="Book Antiqua" w:hAnsi="Book Antiqua" w:cs="Book Antiqua"/>
                <w:color w:val="000000"/>
              </w:rPr>
              <w:t>active gastritis</w:t>
            </w:r>
            <w:r w:rsidRPr="001913E3">
              <w:rPr>
                <w:rFonts w:ascii="Book Antiqua" w:eastAsia="Book Antiqua" w:hAnsi="Book Antiqua" w:cs="Book Antiqua"/>
              </w:rPr>
              <w:t xml:space="preserve"> (++)</w:t>
            </w:r>
            <w:r w:rsidR="00E7153A">
              <w:rPr>
                <w:rFonts w:ascii="Book Antiqua" w:eastAsia="Book Antiqua" w:hAnsi="Book Antiqua" w:cs="Book Antiqua"/>
              </w:rPr>
              <w:t xml:space="preserve"> </w:t>
            </w:r>
            <w:r w:rsidRPr="001913E3">
              <w:rPr>
                <w:rFonts w:ascii="Book Antiqua" w:eastAsia="Book Antiqua" w:hAnsi="Book Antiqua" w:cs="Book Antiqua"/>
              </w:rPr>
              <w:t>associated with immunotherapy</w:t>
            </w:r>
          </w:p>
        </w:tc>
      </w:tr>
      <w:tr w:rsidR="005A30FE" w:rsidRPr="001913E3" w14:paraId="0AF59CD3" w14:textId="77777777" w:rsidTr="00DF5F00">
        <w:tc>
          <w:tcPr>
            <w:tcW w:w="1680" w:type="dxa"/>
            <w:tcMar>
              <w:top w:w="40" w:type="dxa"/>
              <w:left w:w="60" w:type="dxa"/>
              <w:bottom w:w="40" w:type="dxa"/>
              <w:right w:w="60" w:type="dxa"/>
            </w:tcMar>
          </w:tcPr>
          <w:p w14:paraId="4961D47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July - August</w:t>
            </w:r>
          </w:p>
        </w:tc>
        <w:tc>
          <w:tcPr>
            <w:tcW w:w="3150" w:type="dxa"/>
            <w:tcMar>
              <w:top w:w="40" w:type="dxa"/>
              <w:left w:w="60" w:type="dxa"/>
              <w:bottom w:w="40" w:type="dxa"/>
              <w:right w:w="60" w:type="dxa"/>
            </w:tcMar>
          </w:tcPr>
          <w:p w14:paraId="491FFD98" w14:textId="52050200"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Second course of omeprazole 20 mg/d</w:t>
            </w:r>
          </w:p>
        </w:tc>
        <w:tc>
          <w:tcPr>
            <w:tcW w:w="4305" w:type="dxa"/>
            <w:tcMar>
              <w:top w:w="40" w:type="dxa"/>
              <w:left w:w="60" w:type="dxa"/>
              <w:bottom w:w="40" w:type="dxa"/>
              <w:right w:w="60" w:type="dxa"/>
            </w:tcMar>
          </w:tcPr>
          <w:p w14:paraId="6B508470" w14:textId="77777777" w:rsidR="005A30FE" w:rsidRPr="001913E3" w:rsidRDefault="005A30FE" w:rsidP="001913E3">
            <w:pPr>
              <w:spacing w:line="360" w:lineRule="auto"/>
              <w:jc w:val="both"/>
              <w:rPr>
                <w:rFonts w:ascii="Book Antiqua" w:eastAsia="Book Antiqua" w:hAnsi="Book Antiqua" w:cs="Book Antiqua"/>
              </w:rPr>
            </w:pPr>
          </w:p>
        </w:tc>
      </w:tr>
      <w:tr w:rsidR="005A30FE" w:rsidRPr="001913E3" w14:paraId="3B74BB50" w14:textId="77777777" w:rsidTr="00DF5F00">
        <w:tc>
          <w:tcPr>
            <w:tcW w:w="1680" w:type="dxa"/>
            <w:tcMar>
              <w:top w:w="40" w:type="dxa"/>
              <w:left w:w="60" w:type="dxa"/>
              <w:bottom w:w="40" w:type="dxa"/>
              <w:right w:w="60" w:type="dxa"/>
            </w:tcMar>
          </w:tcPr>
          <w:p w14:paraId="0B8DFFE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September</w:t>
            </w:r>
          </w:p>
        </w:tc>
        <w:tc>
          <w:tcPr>
            <w:tcW w:w="3150" w:type="dxa"/>
            <w:tcMar>
              <w:top w:w="40" w:type="dxa"/>
              <w:left w:w="60" w:type="dxa"/>
              <w:bottom w:w="40" w:type="dxa"/>
              <w:right w:w="60" w:type="dxa"/>
            </w:tcMar>
          </w:tcPr>
          <w:p w14:paraId="4ED77F1C" w14:textId="41A3654D"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COVID-19 infection; </w:t>
            </w:r>
            <w:r w:rsidR="003C11B7" w:rsidRPr="001913E3">
              <w:rPr>
                <w:rFonts w:ascii="Book Antiqua" w:eastAsia="Book Antiqua" w:hAnsi="Book Antiqua" w:cs="Book Antiqua"/>
              </w:rPr>
              <w:t>acute renal failure;</w:t>
            </w:r>
            <w:r w:rsidR="003C11B7" w:rsidRPr="001913E3">
              <w:rPr>
                <w:rFonts w:ascii="Book Antiqua" w:hAnsi="Book Antiqua" w:cs="Book Antiqua"/>
                <w:lang w:eastAsia="zh-CN"/>
              </w:rPr>
              <w:t xml:space="preserve"> </w:t>
            </w:r>
            <w:r w:rsidR="003C11B7" w:rsidRPr="001913E3">
              <w:rPr>
                <w:rFonts w:ascii="Book Antiqua" w:eastAsia="Book Antiqua" w:hAnsi="Book Antiqua" w:cs="Book Antiqua"/>
              </w:rPr>
              <w:t>cessation of nivolumab</w:t>
            </w:r>
          </w:p>
        </w:tc>
        <w:tc>
          <w:tcPr>
            <w:tcW w:w="4305" w:type="dxa"/>
            <w:tcMar>
              <w:top w:w="40" w:type="dxa"/>
              <w:left w:w="60" w:type="dxa"/>
              <w:bottom w:w="40" w:type="dxa"/>
              <w:right w:w="60" w:type="dxa"/>
            </w:tcMar>
          </w:tcPr>
          <w:p w14:paraId="3C343F7F" w14:textId="77777777" w:rsidR="005A30FE" w:rsidRPr="001913E3" w:rsidRDefault="005A30FE" w:rsidP="001913E3">
            <w:pPr>
              <w:spacing w:line="360" w:lineRule="auto"/>
              <w:jc w:val="both"/>
              <w:rPr>
                <w:rFonts w:ascii="Book Antiqua" w:eastAsia="Book Antiqua" w:hAnsi="Book Antiqua" w:cs="Book Antiqua"/>
              </w:rPr>
            </w:pPr>
          </w:p>
        </w:tc>
      </w:tr>
      <w:tr w:rsidR="005A30FE" w:rsidRPr="001913E3" w14:paraId="5B1D2E33" w14:textId="77777777" w:rsidTr="00DF5F00">
        <w:tc>
          <w:tcPr>
            <w:tcW w:w="1680" w:type="dxa"/>
            <w:tcMar>
              <w:top w:w="40" w:type="dxa"/>
              <w:left w:w="60" w:type="dxa"/>
              <w:bottom w:w="40" w:type="dxa"/>
              <w:right w:w="60" w:type="dxa"/>
            </w:tcMar>
          </w:tcPr>
          <w:p w14:paraId="0842AD2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October</w:t>
            </w:r>
          </w:p>
        </w:tc>
        <w:tc>
          <w:tcPr>
            <w:tcW w:w="3150" w:type="dxa"/>
            <w:tcMar>
              <w:top w:w="40" w:type="dxa"/>
              <w:left w:w="60" w:type="dxa"/>
              <w:bottom w:w="40" w:type="dxa"/>
              <w:right w:w="60" w:type="dxa"/>
            </w:tcMar>
          </w:tcPr>
          <w:p w14:paraId="00FA6B46" w14:textId="4CF6253B" w:rsidR="005A30FE" w:rsidRPr="001913E3" w:rsidRDefault="005A30FE" w:rsidP="00E7153A">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Third course </w:t>
            </w:r>
            <w:r w:rsidR="00E47859" w:rsidRPr="001913E3">
              <w:rPr>
                <w:rFonts w:ascii="Book Antiqua" w:eastAsia="Book Antiqua" w:hAnsi="Book Antiqua" w:cs="Book Antiqua"/>
                <w:color w:val="000000"/>
              </w:rPr>
              <w:t xml:space="preserve">of </w:t>
            </w:r>
            <w:r w:rsidR="00E7153A" w:rsidRPr="001913E3">
              <w:rPr>
                <w:rFonts w:ascii="Book Antiqua" w:eastAsia="Book Antiqua" w:hAnsi="Book Antiqua" w:cs="Book Antiqua"/>
                <w:color w:val="000000"/>
              </w:rPr>
              <w:t xml:space="preserve">omeprazole </w:t>
            </w:r>
            <w:r w:rsidR="00E47859" w:rsidRPr="001913E3">
              <w:rPr>
                <w:rFonts w:ascii="Book Antiqua" w:eastAsia="Book Antiqua" w:hAnsi="Book Antiqua" w:cs="Book Antiqua"/>
                <w:color w:val="000000"/>
              </w:rPr>
              <w:t>20 mg/d</w:t>
            </w:r>
            <w:r w:rsidRPr="001913E3">
              <w:rPr>
                <w:rFonts w:ascii="Book Antiqua" w:eastAsia="Book Antiqua" w:hAnsi="Book Antiqua" w:cs="Book Antiqua"/>
                <w:color w:val="000000"/>
              </w:rPr>
              <w:t xml:space="preserve"> </w:t>
            </w:r>
          </w:p>
        </w:tc>
        <w:tc>
          <w:tcPr>
            <w:tcW w:w="4305" w:type="dxa"/>
            <w:tcMar>
              <w:top w:w="40" w:type="dxa"/>
              <w:left w:w="60" w:type="dxa"/>
              <w:bottom w:w="40" w:type="dxa"/>
              <w:right w:w="60" w:type="dxa"/>
            </w:tcMar>
          </w:tcPr>
          <w:p w14:paraId="21F1FA54" w14:textId="77777777" w:rsidR="005A30FE" w:rsidRPr="001913E3" w:rsidRDefault="005A30FE" w:rsidP="001913E3">
            <w:pPr>
              <w:spacing w:line="360" w:lineRule="auto"/>
              <w:jc w:val="both"/>
              <w:rPr>
                <w:rFonts w:ascii="Book Antiqua" w:eastAsia="Book Antiqua" w:hAnsi="Book Antiqua" w:cs="Book Antiqua"/>
              </w:rPr>
            </w:pPr>
          </w:p>
        </w:tc>
      </w:tr>
      <w:tr w:rsidR="005A30FE" w:rsidRPr="001913E3" w14:paraId="442D15CD" w14:textId="77777777" w:rsidTr="00DF5F00">
        <w:tc>
          <w:tcPr>
            <w:tcW w:w="1680" w:type="dxa"/>
            <w:tcMar>
              <w:top w:w="40" w:type="dxa"/>
              <w:left w:w="60" w:type="dxa"/>
              <w:bottom w:w="40" w:type="dxa"/>
              <w:right w:w="60" w:type="dxa"/>
            </w:tcMar>
          </w:tcPr>
          <w:p w14:paraId="09823D06"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December</w:t>
            </w:r>
          </w:p>
        </w:tc>
        <w:tc>
          <w:tcPr>
            <w:tcW w:w="3150" w:type="dxa"/>
            <w:tcMar>
              <w:top w:w="40" w:type="dxa"/>
              <w:left w:w="60" w:type="dxa"/>
              <w:bottom w:w="40" w:type="dxa"/>
              <w:right w:w="60" w:type="dxa"/>
            </w:tcMar>
          </w:tcPr>
          <w:p w14:paraId="646BCCE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Chest CT</w:t>
            </w:r>
          </w:p>
        </w:tc>
        <w:tc>
          <w:tcPr>
            <w:tcW w:w="4305" w:type="dxa"/>
            <w:tcMar>
              <w:top w:w="40" w:type="dxa"/>
              <w:left w:w="60" w:type="dxa"/>
              <w:bottom w:w="40" w:type="dxa"/>
              <w:right w:w="60" w:type="dxa"/>
            </w:tcMar>
          </w:tcPr>
          <w:p w14:paraId="16A146FD"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color w:val="000000"/>
              </w:rPr>
              <w:t>No progression of</w:t>
            </w:r>
            <w:r w:rsidRPr="001913E3">
              <w:rPr>
                <w:rFonts w:ascii="Book Antiqua" w:eastAsia="Book Antiqua" w:hAnsi="Book Antiqua" w:cs="Book Antiqua"/>
              </w:rPr>
              <w:t xml:space="preserve"> pulmonary </w:t>
            </w:r>
            <w:r w:rsidRPr="001913E3">
              <w:rPr>
                <w:rFonts w:ascii="Book Antiqua" w:eastAsia="Book Antiqua" w:hAnsi="Book Antiqua" w:cs="Book Antiqua"/>
                <w:color w:val="000000"/>
              </w:rPr>
              <w:t>disease</w:t>
            </w:r>
          </w:p>
        </w:tc>
      </w:tr>
      <w:tr w:rsidR="005A30FE" w:rsidRPr="001913E3" w14:paraId="67E45FE3" w14:textId="77777777" w:rsidTr="00DF5F00">
        <w:tc>
          <w:tcPr>
            <w:tcW w:w="1680" w:type="dxa"/>
            <w:tcMar>
              <w:top w:w="40" w:type="dxa"/>
              <w:left w:w="60" w:type="dxa"/>
              <w:bottom w:w="40" w:type="dxa"/>
              <w:right w:w="60" w:type="dxa"/>
            </w:tcMar>
          </w:tcPr>
          <w:p w14:paraId="10AA34AA" w14:textId="77777777" w:rsidR="005A30FE" w:rsidRPr="001913E3" w:rsidRDefault="005A30FE" w:rsidP="001913E3">
            <w:pPr>
              <w:spacing w:line="360" w:lineRule="auto"/>
              <w:jc w:val="both"/>
              <w:rPr>
                <w:rFonts w:ascii="Book Antiqua" w:eastAsia="Book Antiqua" w:hAnsi="Book Antiqua" w:cs="Book Antiqua"/>
              </w:rPr>
            </w:pPr>
          </w:p>
        </w:tc>
        <w:tc>
          <w:tcPr>
            <w:tcW w:w="3150" w:type="dxa"/>
            <w:tcMar>
              <w:top w:w="40" w:type="dxa"/>
              <w:left w:w="60" w:type="dxa"/>
              <w:bottom w:w="40" w:type="dxa"/>
              <w:right w:w="60" w:type="dxa"/>
            </w:tcMar>
          </w:tcPr>
          <w:p w14:paraId="6CB3136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Renal function improvement; Reintroduction of nivolumab</w:t>
            </w:r>
          </w:p>
        </w:tc>
        <w:tc>
          <w:tcPr>
            <w:tcW w:w="4305" w:type="dxa"/>
            <w:tcMar>
              <w:top w:w="40" w:type="dxa"/>
              <w:left w:w="60" w:type="dxa"/>
              <w:bottom w:w="40" w:type="dxa"/>
              <w:right w:w="60" w:type="dxa"/>
            </w:tcMar>
          </w:tcPr>
          <w:p w14:paraId="2CFC58B8" w14:textId="77777777" w:rsidR="005A30FE" w:rsidRPr="001913E3" w:rsidRDefault="005A30FE" w:rsidP="001913E3">
            <w:pPr>
              <w:spacing w:line="360" w:lineRule="auto"/>
              <w:jc w:val="both"/>
              <w:rPr>
                <w:rFonts w:ascii="Book Antiqua" w:eastAsia="Book Antiqua" w:hAnsi="Book Antiqua" w:cs="Book Antiqua"/>
              </w:rPr>
            </w:pPr>
          </w:p>
        </w:tc>
      </w:tr>
      <w:tr w:rsidR="005A30FE" w:rsidRPr="001913E3" w14:paraId="0A1EF502" w14:textId="77777777" w:rsidTr="00DF5F00">
        <w:tc>
          <w:tcPr>
            <w:tcW w:w="1680" w:type="dxa"/>
            <w:tcMar>
              <w:top w:w="40" w:type="dxa"/>
              <w:left w:w="60" w:type="dxa"/>
              <w:bottom w:w="40" w:type="dxa"/>
              <w:right w:w="60" w:type="dxa"/>
            </w:tcMar>
          </w:tcPr>
          <w:p w14:paraId="3F3F6786" w14:textId="2D889886" w:rsidR="005A30FE" w:rsidRPr="001913E3" w:rsidRDefault="00510763"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January </w:t>
            </w:r>
            <w:r w:rsidR="005A30FE" w:rsidRPr="001913E3">
              <w:rPr>
                <w:rFonts w:ascii="Book Antiqua" w:eastAsia="Book Antiqua" w:hAnsi="Book Antiqua" w:cs="Book Antiqua"/>
              </w:rPr>
              <w:t xml:space="preserve">2022 </w:t>
            </w:r>
          </w:p>
        </w:tc>
        <w:tc>
          <w:tcPr>
            <w:tcW w:w="3150" w:type="dxa"/>
            <w:tcMar>
              <w:top w:w="40" w:type="dxa"/>
              <w:left w:w="60" w:type="dxa"/>
              <w:bottom w:w="40" w:type="dxa"/>
              <w:right w:w="60" w:type="dxa"/>
            </w:tcMar>
          </w:tcPr>
          <w:p w14:paraId="7E73544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EGD with biopsy</w:t>
            </w:r>
          </w:p>
        </w:tc>
        <w:tc>
          <w:tcPr>
            <w:tcW w:w="4305" w:type="dxa"/>
            <w:tcMar>
              <w:top w:w="40" w:type="dxa"/>
              <w:left w:w="60" w:type="dxa"/>
              <w:bottom w:w="40" w:type="dxa"/>
              <w:right w:w="60" w:type="dxa"/>
            </w:tcMar>
          </w:tcPr>
          <w:p w14:paraId="037712F5" w14:textId="245B6B3C"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EGD: Gastric mucosa atrophy with focal intestinal metaplasia, gastric polyp</w:t>
            </w:r>
            <w:r w:rsidR="00963DA4" w:rsidRPr="001913E3">
              <w:rPr>
                <w:rFonts w:ascii="Book Antiqua" w:eastAsia="Book Antiqua" w:hAnsi="Book Antiqua" w:cs="Book Antiqua"/>
              </w:rPr>
              <w:t>;</w:t>
            </w:r>
            <w:r w:rsidR="00963DA4" w:rsidRPr="001913E3">
              <w:rPr>
                <w:rFonts w:ascii="Book Antiqua" w:hAnsi="Book Antiqua" w:cs="Book Antiqua"/>
                <w:lang w:eastAsia="zh-CN"/>
              </w:rPr>
              <w:t xml:space="preserve"> </w:t>
            </w:r>
            <w:r w:rsidRPr="001913E3">
              <w:rPr>
                <w:rFonts w:ascii="Book Antiqua" w:eastAsia="Book Antiqua" w:hAnsi="Book Antiqua" w:cs="Book Antiqua"/>
              </w:rPr>
              <w:t>Histology: Hyperplastic gastric polyp</w:t>
            </w:r>
          </w:p>
        </w:tc>
      </w:tr>
      <w:tr w:rsidR="005A30FE" w:rsidRPr="001913E3" w14:paraId="233B833B" w14:textId="77777777" w:rsidTr="00DF5F00">
        <w:tc>
          <w:tcPr>
            <w:tcW w:w="1680" w:type="dxa"/>
            <w:tcMar>
              <w:top w:w="40" w:type="dxa"/>
              <w:left w:w="60" w:type="dxa"/>
              <w:bottom w:w="40" w:type="dxa"/>
              <w:right w:w="60" w:type="dxa"/>
            </w:tcMar>
          </w:tcPr>
          <w:p w14:paraId="60AA037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March</w:t>
            </w:r>
          </w:p>
        </w:tc>
        <w:tc>
          <w:tcPr>
            <w:tcW w:w="3150" w:type="dxa"/>
            <w:tcMar>
              <w:top w:w="40" w:type="dxa"/>
              <w:left w:w="60" w:type="dxa"/>
              <w:bottom w:w="40" w:type="dxa"/>
              <w:right w:w="60" w:type="dxa"/>
            </w:tcMar>
          </w:tcPr>
          <w:p w14:paraId="5B3D47C6" w14:textId="483FE30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Acute renal failure;</w:t>
            </w:r>
            <w:r w:rsidR="00123A88" w:rsidRPr="001913E3">
              <w:rPr>
                <w:rFonts w:ascii="Book Antiqua" w:hAnsi="Book Antiqua" w:cs="Book Antiqua"/>
                <w:lang w:eastAsia="zh-CN"/>
              </w:rPr>
              <w:t xml:space="preserve"> </w:t>
            </w:r>
            <w:r w:rsidR="00123A88" w:rsidRPr="001913E3">
              <w:rPr>
                <w:rFonts w:ascii="Book Antiqua" w:eastAsia="Book Antiqua" w:hAnsi="Book Antiqua" w:cs="Book Antiqua"/>
              </w:rPr>
              <w:t>kidney biopsy;</w:t>
            </w:r>
            <w:r w:rsidR="00123A88" w:rsidRPr="001913E3">
              <w:rPr>
                <w:rFonts w:ascii="Book Antiqua" w:hAnsi="Book Antiqua" w:cs="Book Antiqua"/>
                <w:lang w:eastAsia="zh-CN"/>
              </w:rPr>
              <w:t xml:space="preserve"> </w:t>
            </w:r>
            <w:r w:rsidR="00123A88" w:rsidRPr="001913E3">
              <w:rPr>
                <w:rFonts w:ascii="Book Antiqua" w:eastAsia="Book Antiqua" w:hAnsi="Book Antiqua" w:cs="Book Antiqua"/>
              </w:rPr>
              <w:t xml:space="preserve">cessation of nivolumab </w:t>
            </w:r>
          </w:p>
        </w:tc>
        <w:tc>
          <w:tcPr>
            <w:tcW w:w="4305" w:type="dxa"/>
            <w:tcMar>
              <w:top w:w="40" w:type="dxa"/>
              <w:left w:w="60" w:type="dxa"/>
              <w:bottom w:w="40" w:type="dxa"/>
              <w:right w:w="60" w:type="dxa"/>
            </w:tcMar>
          </w:tcPr>
          <w:p w14:paraId="58F75317" w14:textId="66ED7138"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Histology: </w:t>
            </w:r>
            <w:r w:rsidR="00592E25" w:rsidRPr="001913E3">
              <w:rPr>
                <w:rFonts w:ascii="Book Antiqua" w:eastAsia="Book Antiqua" w:hAnsi="Book Antiqua" w:cs="Book Antiqua"/>
              </w:rPr>
              <w:t xml:space="preserve">Insignificant </w:t>
            </w:r>
            <w:r w:rsidRPr="001913E3">
              <w:rPr>
                <w:rFonts w:ascii="Book Antiqua" w:eastAsia="Book Antiqua" w:hAnsi="Book Antiqua" w:cs="Book Antiqua"/>
              </w:rPr>
              <w:t>and non-specific renal changes</w:t>
            </w:r>
          </w:p>
        </w:tc>
      </w:tr>
      <w:tr w:rsidR="005A30FE" w:rsidRPr="001913E3" w14:paraId="08EA81A3" w14:textId="77777777" w:rsidTr="00DF5F00">
        <w:tc>
          <w:tcPr>
            <w:tcW w:w="1680" w:type="dxa"/>
            <w:tcMar>
              <w:top w:w="40" w:type="dxa"/>
              <w:left w:w="60" w:type="dxa"/>
              <w:bottom w:w="40" w:type="dxa"/>
              <w:right w:w="60" w:type="dxa"/>
            </w:tcMar>
          </w:tcPr>
          <w:p w14:paraId="3D263B2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May</w:t>
            </w:r>
          </w:p>
        </w:tc>
        <w:tc>
          <w:tcPr>
            <w:tcW w:w="3150" w:type="dxa"/>
            <w:tcMar>
              <w:top w:w="40" w:type="dxa"/>
              <w:left w:w="60" w:type="dxa"/>
              <w:bottom w:w="40" w:type="dxa"/>
              <w:right w:w="60" w:type="dxa"/>
            </w:tcMar>
          </w:tcPr>
          <w:p w14:paraId="7EB86DB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Renal function improvement; Initiation of Atezolizumab treatment</w:t>
            </w:r>
          </w:p>
        </w:tc>
        <w:tc>
          <w:tcPr>
            <w:tcW w:w="4305" w:type="dxa"/>
            <w:tcMar>
              <w:top w:w="40" w:type="dxa"/>
              <w:left w:w="60" w:type="dxa"/>
              <w:bottom w:w="40" w:type="dxa"/>
              <w:right w:w="60" w:type="dxa"/>
            </w:tcMar>
          </w:tcPr>
          <w:p w14:paraId="045696F9" w14:textId="77777777" w:rsidR="005A30FE" w:rsidRPr="001913E3" w:rsidRDefault="005A30FE" w:rsidP="001913E3">
            <w:pPr>
              <w:spacing w:line="360" w:lineRule="auto"/>
              <w:jc w:val="both"/>
              <w:rPr>
                <w:rFonts w:ascii="Book Antiqua" w:eastAsia="Book Antiqua" w:hAnsi="Book Antiqua" w:cs="Book Antiqua"/>
              </w:rPr>
            </w:pPr>
          </w:p>
        </w:tc>
      </w:tr>
      <w:tr w:rsidR="005A30FE" w:rsidRPr="001913E3" w14:paraId="44EC2E58" w14:textId="77777777" w:rsidTr="00DF5F00">
        <w:tc>
          <w:tcPr>
            <w:tcW w:w="1680" w:type="dxa"/>
            <w:tcMar>
              <w:top w:w="40" w:type="dxa"/>
              <w:left w:w="60" w:type="dxa"/>
              <w:bottom w:w="40" w:type="dxa"/>
              <w:right w:w="60" w:type="dxa"/>
            </w:tcMar>
          </w:tcPr>
          <w:p w14:paraId="277C000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October</w:t>
            </w:r>
          </w:p>
        </w:tc>
        <w:tc>
          <w:tcPr>
            <w:tcW w:w="3150" w:type="dxa"/>
            <w:tcMar>
              <w:top w:w="40" w:type="dxa"/>
              <w:left w:w="60" w:type="dxa"/>
              <w:bottom w:w="40" w:type="dxa"/>
              <w:right w:w="60" w:type="dxa"/>
            </w:tcMar>
          </w:tcPr>
          <w:p w14:paraId="5B195CF6"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Chest CT</w:t>
            </w:r>
          </w:p>
        </w:tc>
        <w:tc>
          <w:tcPr>
            <w:tcW w:w="4305" w:type="dxa"/>
            <w:tcMar>
              <w:top w:w="40" w:type="dxa"/>
              <w:left w:w="60" w:type="dxa"/>
              <w:bottom w:w="40" w:type="dxa"/>
              <w:right w:w="60" w:type="dxa"/>
            </w:tcMar>
          </w:tcPr>
          <w:p w14:paraId="77103C7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color w:val="000000"/>
              </w:rPr>
              <w:t>No progression of</w:t>
            </w:r>
            <w:r w:rsidRPr="001913E3">
              <w:rPr>
                <w:rFonts w:ascii="Book Antiqua" w:eastAsia="Book Antiqua" w:hAnsi="Book Antiqua" w:cs="Book Antiqua"/>
              </w:rPr>
              <w:t xml:space="preserve"> pulmonary </w:t>
            </w:r>
            <w:r w:rsidRPr="001913E3">
              <w:rPr>
                <w:rFonts w:ascii="Book Antiqua" w:eastAsia="Book Antiqua" w:hAnsi="Book Antiqua" w:cs="Book Antiqua"/>
                <w:color w:val="000000"/>
              </w:rPr>
              <w:t>disease</w:t>
            </w:r>
          </w:p>
        </w:tc>
      </w:tr>
    </w:tbl>
    <w:p w14:paraId="33BAB7B7" w14:textId="2708E35A"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CT</w:t>
      </w:r>
      <w:r w:rsidR="00D009E8" w:rsidRPr="001913E3">
        <w:rPr>
          <w:rFonts w:ascii="Book Antiqua" w:eastAsia="Book Antiqua" w:hAnsi="Book Antiqua" w:cs="Book Antiqua"/>
        </w:rPr>
        <w:t>:</w:t>
      </w:r>
      <w:r w:rsidRPr="001913E3">
        <w:rPr>
          <w:rFonts w:ascii="Book Antiqua" w:eastAsia="Book Antiqua" w:hAnsi="Book Antiqua" w:cs="Book Antiqua"/>
        </w:rPr>
        <w:t xml:space="preserve"> </w:t>
      </w:r>
      <w:r w:rsidR="00D009E8" w:rsidRPr="001913E3">
        <w:rPr>
          <w:rFonts w:ascii="Book Antiqua" w:eastAsia="Book Antiqua" w:hAnsi="Book Antiqua" w:cs="Book Antiqua"/>
        </w:rPr>
        <w:t xml:space="preserve">Computed </w:t>
      </w:r>
      <w:r w:rsidRPr="001913E3">
        <w:rPr>
          <w:rFonts w:ascii="Book Antiqua" w:eastAsia="Book Antiqua" w:hAnsi="Book Antiqua" w:cs="Book Antiqua"/>
        </w:rPr>
        <w:t>tomography; EGD</w:t>
      </w:r>
      <w:r w:rsidR="00D009E8" w:rsidRPr="001913E3">
        <w:rPr>
          <w:rFonts w:ascii="Book Antiqua" w:eastAsia="Book Antiqua" w:hAnsi="Book Antiqua" w:cs="Book Antiqua"/>
        </w:rPr>
        <w:t>:</w:t>
      </w:r>
      <w:r w:rsidRPr="001913E3">
        <w:rPr>
          <w:rFonts w:ascii="Book Antiqua" w:eastAsia="Book Antiqua" w:hAnsi="Book Antiqua" w:cs="Book Antiqua"/>
        </w:rPr>
        <w:t xml:space="preserve"> </w:t>
      </w:r>
      <w:r w:rsidR="00D009E8" w:rsidRPr="001913E3">
        <w:rPr>
          <w:rFonts w:ascii="Book Antiqua" w:eastAsia="Book Antiqua" w:hAnsi="Book Antiqua" w:cs="Book Antiqua"/>
        </w:rPr>
        <w:t>Esophagogastroduodenoscopy</w:t>
      </w:r>
      <w:r w:rsidR="000432DC" w:rsidRPr="001913E3">
        <w:rPr>
          <w:rFonts w:ascii="Book Antiqua" w:eastAsia="Book Antiqua" w:hAnsi="Book Antiqua" w:cs="Book Antiqua"/>
        </w:rPr>
        <w:t xml:space="preserve">; EGFR: </w:t>
      </w:r>
      <w:r w:rsidR="006461D9" w:rsidRPr="001913E3">
        <w:rPr>
          <w:rFonts w:ascii="Book Antiqua" w:eastAsia="Book Antiqua" w:hAnsi="Book Antiqua" w:cs="Book Antiqua"/>
        </w:rPr>
        <w:t xml:space="preserve">Epidermal </w:t>
      </w:r>
      <w:r w:rsidR="000432DC" w:rsidRPr="001913E3">
        <w:rPr>
          <w:rFonts w:ascii="Book Antiqua" w:eastAsia="Book Antiqua" w:hAnsi="Book Antiqua" w:cs="Book Antiqua"/>
        </w:rPr>
        <w:t>growth factor receptor</w:t>
      </w:r>
      <w:r w:rsidRPr="001913E3">
        <w:rPr>
          <w:rFonts w:ascii="Book Antiqua" w:eastAsia="Book Antiqua" w:hAnsi="Book Antiqua" w:cs="Book Antiqua"/>
        </w:rPr>
        <w:t>.</w:t>
      </w:r>
    </w:p>
    <w:p w14:paraId="1D26C7D7" w14:textId="77777777" w:rsidR="005A30FE" w:rsidRPr="001913E3" w:rsidRDefault="005A30FE" w:rsidP="001913E3">
      <w:pPr>
        <w:spacing w:line="360" w:lineRule="auto"/>
        <w:jc w:val="both"/>
        <w:rPr>
          <w:rFonts w:ascii="Book Antiqua" w:eastAsia="Book Antiqua" w:hAnsi="Book Antiqua" w:cs="Book Antiqua"/>
        </w:rPr>
      </w:pPr>
    </w:p>
    <w:p w14:paraId="7680CA21" w14:textId="77777777" w:rsidR="009703FD" w:rsidRPr="001913E3" w:rsidRDefault="009703FD" w:rsidP="001913E3">
      <w:pPr>
        <w:widowControl w:val="0"/>
        <w:spacing w:line="360" w:lineRule="auto"/>
        <w:jc w:val="both"/>
        <w:rPr>
          <w:rFonts w:ascii="Book Antiqua" w:eastAsia="Book Antiqua" w:hAnsi="Book Antiqua" w:cs="Book Antiqua"/>
          <w:b/>
        </w:rPr>
      </w:pPr>
    </w:p>
    <w:p w14:paraId="73CD4D35" w14:textId="2FDB3E23" w:rsidR="005A30FE" w:rsidRPr="001913E3" w:rsidRDefault="00E93AB6" w:rsidP="001913E3">
      <w:pPr>
        <w:widowControl w:val="0"/>
        <w:spacing w:line="360" w:lineRule="auto"/>
        <w:jc w:val="both"/>
        <w:rPr>
          <w:rFonts w:ascii="Book Antiqua" w:eastAsia="Book Antiqua" w:hAnsi="Book Antiqua" w:cs="Book Antiqua"/>
          <w:b/>
          <w:bCs/>
        </w:rPr>
      </w:pPr>
      <w:r>
        <w:rPr>
          <w:rFonts w:ascii="Book Antiqua" w:eastAsia="Book Antiqua" w:hAnsi="Book Antiqua" w:cs="Book Antiqua"/>
          <w:b/>
        </w:rPr>
        <w:br w:type="page"/>
      </w:r>
      <w:r w:rsidR="009703FD" w:rsidRPr="001913E3">
        <w:rPr>
          <w:rFonts w:ascii="Book Antiqua" w:eastAsia="Book Antiqua" w:hAnsi="Book Antiqua" w:cs="Book Antiqua"/>
          <w:b/>
        </w:rPr>
        <w:lastRenderedPageBreak/>
        <w:t>Table 2</w:t>
      </w:r>
      <w:r w:rsidR="005A30FE" w:rsidRPr="001913E3">
        <w:rPr>
          <w:rFonts w:ascii="Book Antiqua" w:eastAsia="Book Antiqua" w:hAnsi="Book Antiqua" w:cs="Book Antiqua"/>
          <w:b/>
        </w:rPr>
        <w:t xml:space="preserve"> </w:t>
      </w:r>
      <w:r w:rsidR="005A30FE" w:rsidRPr="001913E3">
        <w:rPr>
          <w:rFonts w:ascii="Book Antiqua" w:eastAsia="Book Antiqua" w:hAnsi="Book Antiqua" w:cs="Book Antiqua"/>
          <w:b/>
          <w:bCs/>
        </w:rPr>
        <w:t>Summary of nivolumab</w:t>
      </w:r>
      <w:r w:rsidR="009703FD" w:rsidRPr="001913E3">
        <w:rPr>
          <w:rFonts w:ascii="Book Antiqua" w:eastAsia="Book Antiqua" w:hAnsi="Book Antiqua" w:cs="Book Antiqua"/>
          <w:b/>
          <w:bCs/>
        </w:rPr>
        <w:t>-induced gastritis case reports</w:t>
      </w:r>
    </w:p>
    <w:tbl>
      <w:tblPr>
        <w:tblW w:w="10290" w:type="dxa"/>
        <w:tblInd w:w="-50" w:type="dxa"/>
        <w:tblBorders>
          <w:top w:val="single" w:sz="4" w:space="0" w:color="auto"/>
          <w:bottom w:val="single" w:sz="4" w:space="0" w:color="auto"/>
        </w:tblBorders>
        <w:tblLayout w:type="fixed"/>
        <w:tblLook w:val="0400" w:firstRow="0" w:lastRow="0" w:firstColumn="0" w:lastColumn="0" w:noHBand="0" w:noVBand="1"/>
      </w:tblPr>
      <w:tblGrid>
        <w:gridCol w:w="1125"/>
        <w:gridCol w:w="1095"/>
        <w:gridCol w:w="1185"/>
        <w:gridCol w:w="1365"/>
        <w:gridCol w:w="1560"/>
        <w:gridCol w:w="1530"/>
        <w:gridCol w:w="1305"/>
        <w:gridCol w:w="1125"/>
      </w:tblGrid>
      <w:tr w:rsidR="005A30FE" w:rsidRPr="001913E3" w14:paraId="64F930D1" w14:textId="77777777" w:rsidTr="008E3D7E">
        <w:trPr>
          <w:trHeight w:val="1830"/>
        </w:trPr>
        <w:tc>
          <w:tcPr>
            <w:tcW w:w="1125" w:type="dxa"/>
            <w:tcBorders>
              <w:top w:val="single" w:sz="4" w:space="0" w:color="auto"/>
              <w:bottom w:val="single" w:sz="4" w:space="0" w:color="auto"/>
            </w:tcBorders>
            <w:tcMar>
              <w:top w:w="40" w:type="dxa"/>
              <w:left w:w="60" w:type="dxa"/>
              <w:bottom w:w="40" w:type="dxa"/>
              <w:right w:w="60" w:type="dxa"/>
            </w:tcMar>
          </w:tcPr>
          <w:p w14:paraId="2617DCBF" w14:textId="55F9A0AD" w:rsidR="005A30FE" w:rsidRPr="001913E3" w:rsidRDefault="00FC3C9E" w:rsidP="001913E3">
            <w:pPr>
              <w:spacing w:line="360" w:lineRule="auto"/>
              <w:jc w:val="both"/>
              <w:rPr>
                <w:rFonts w:ascii="Book Antiqua" w:eastAsia="Book Antiqua" w:hAnsi="Book Antiqua" w:cs="Book Antiqua"/>
              </w:rPr>
            </w:pPr>
            <w:r w:rsidRPr="001913E3">
              <w:rPr>
                <w:rFonts w:ascii="Book Antiqua" w:eastAsia="Book Antiqua" w:hAnsi="Book Antiqua" w:cs="Book Antiqua"/>
                <w:b/>
              </w:rPr>
              <w:t>Ref.</w:t>
            </w:r>
          </w:p>
        </w:tc>
        <w:tc>
          <w:tcPr>
            <w:tcW w:w="1095" w:type="dxa"/>
            <w:tcBorders>
              <w:top w:val="single" w:sz="4" w:space="0" w:color="auto"/>
              <w:bottom w:val="single" w:sz="4" w:space="0" w:color="auto"/>
            </w:tcBorders>
            <w:tcMar>
              <w:top w:w="40" w:type="dxa"/>
              <w:left w:w="60" w:type="dxa"/>
              <w:bottom w:w="40" w:type="dxa"/>
              <w:right w:w="60" w:type="dxa"/>
            </w:tcMar>
          </w:tcPr>
          <w:p w14:paraId="7C7C53D7"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Main symptoms</w:t>
            </w:r>
          </w:p>
        </w:tc>
        <w:tc>
          <w:tcPr>
            <w:tcW w:w="1185" w:type="dxa"/>
            <w:tcBorders>
              <w:top w:val="single" w:sz="4" w:space="0" w:color="auto"/>
              <w:bottom w:val="single" w:sz="4" w:space="0" w:color="auto"/>
            </w:tcBorders>
            <w:tcMar>
              <w:top w:w="40" w:type="dxa"/>
              <w:left w:w="60" w:type="dxa"/>
              <w:bottom w:w="40" w:type="dxa"/>
              <w:right w:w="60" w:type="dxa"/>
            </w:tcMar>
          </w:tcPr>
          <w:p w14:paraId="48A951BF" w14:textId="19FF3981" w:rsidR="005A30FE" w:rsidRPr="001913E3" w:rsidRDefault="005A30FE" w:rsidP="00E7153A">
            <w:pPr>
              <w:spacing w:line="360" w:lineRule="auto"/>
              <w:jc w:val="both"/>
              <w:rPr>
                <w:rFonts w:ascii="Book Antiqua" w:eastAsia="Book Antiqua" w:hAnsi="Book Antiqua" w:cs="Book Antiqua"/>
                <w:b/>
              </w:rPr>
            </w:pPr>
            <w:r w:rsidRPr="001913E3">
              <w:rPr>
                <w:rFonts w:ascii="Book Antiqua" w:eastAsia="Book Antiqua" w:hAnsi="Book Antiqua" w:cs="Book Antiqua"/>
                <w:b/>
              </w:rPr>
              <w:t xml:space="preserve">Time of onset (in relation to </w:t>
            </w:r>
            <w:r w:rsidR="00E7153A">
              <w:rPr>
                <w:rFonts w:ascii="Book Antiqua" w:eastAsia="Book Antiqua" w:hAnsi="Book Antiqua" w:cs="Book Antiqua"/>
                <w:b/>
              </w:rPr>
              <w:t>n</w:t>
            </w:r>
            <w:r w:rsidRPr="001913E3">
              <w:rPr>
                <w:rFonts w:ascii="Book Antiqua" w:eastAsia="Book Antiqua" w:hAnsi="Book Antiqua" w:cs="Book Antiqua"/>
                <w:b/>
              </w:rPr>
              <w:t>ivolumab therapy)</w:t>
            </w:r>
          </w:p>
        </w:tc>
        <w:tc>
          <w:tcPr>
            <w:tcW w:w="1365" w:type="dxa"/>
            <w:tcBorders>
              <w:top w:val="single" w:sz="4" w:space="0" w:color="auto"/>
              <w:bottom w:val="single" w:sz="4" w:space="0" w:color="auto"/>
            </w:tcBorders>
            <w:tcMar>
              <w:top w:w="40" w:type="dxa"/>
              <w:left w:w="60" w:type="dxa"/>
              <w:bottom w:w="40" w:type="dxa"/>
              <w:right w:w="60" w:type="dxa"/>
            </w:tcMar>
          </w:tcPr>
          <w:p w14:paraId="22B1E2EE" w14:textId="1C27F87A"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Radiological</w:t>
            </w:r>
            <w:r w:rsidR="00E7153A">
              <w:rPr>
                <w:rFonts w:ascii="Book Antiqua" w:eastAsia="Book Antiqua" w:hAnsi="Book Antiqua" w:cs="Book Antiqua"/>
                <w:b/>
              </w:rPr>
              <w:t>l</w:t>
            </w:r>
            <w:r w:rsidRPr="001913E3">
              <w:rPr>
                <w:rFonts w:ascii="Book Antiqua" w:eastAsia="Book Antiqua" w:hAnsi="Book Antiqua" w:cs="Book Antiqua"/>
                <w:b/>
              </w:rPr>
              <w:t xml:space="preserve"> findings</w:t>
            </w:r>
          </w:p>
        </w:tc>
        <w:tc>
          <w:tcPr>
            <w:tcW w:w="1560" w:type="dxa"/>
            <w:tcBorders>
              <w:top w:val="single" w:sz="4" w:space="0" w:color="auto"/>
              <w:bottom w:val="single" w:sz="4" w:space="0" w:color="auto"/>
            </w:tcBorders>
            <w:tcMar>
              <w:top w:w="40" w:type="dxa"/>
              <w:left w:w="60" w:type="dxa"/>
              <w:bottom w:w="40" w:type="dxa"/>
              <w:right w:w="60" w:type="dxa"/>
            </w:tcMar>
          </w:tcPr>
          <w:p w14:paraId="1D5B966F"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EGD findings</w:t>
            </w:r>
          </w:p>
        </w:tc>
        <w:tc>
          <w:tcPr>
            <w:tcW w:w="1530" w:type="dxa"/>
            <w:tcBorders>
              <w:top w:val="single" w:sz="4" w:space="0" w:color="auto"/>
              <w:bottom w:val="single" w:sz="4" w:space="0" w:color="auto"/>
            </w:tcBorders>
            <w:tcMar>
              <w:top w:w="40" w:type="dxa"/>
              <w:left w:w="60" w:type="dxa"/>
              <w:bottom w:w="40" w:type="dxa"/>
              <w:right w:w="60" w:type="dxa"/>
            </w:tcMar>
          </w:tcPr>
          <w:p w14:paraId="5DA6EF39"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Pathology findings</w:t>
            </w:r>
          </w:p>
        </w:tc>
        <w:tc>
          <w:tcPr>
            <w:tcW w:w="1305" w:type="dxa"/>
            <w:tcBorders>
              <w:top w:val="single" w:sz="4" w:space="0" w:color="auto"/>
              <w:bottom w:val="single" w:sz="4" w:space="0" w:color="auto"/>
            </w:tcBorders>
            <w:tcMar>
              <w:top w:w="40" w:type="dxa"/>
              <w:left w:w="60" w:type="dxa"/>
              <w:bottom w:w="40" w:type="dxa"/>
              <w:right w:w="60" w:type="dxa"/>
            </w:tcMar>
          </w:tcPr>
          <w:p w14:paraId="683441CF"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 xml:space="preserve">Treatment </w:t>
            </w:r>
          </w:p>
        </w:tc>
        <w:tc>
          <w:tcPr>
            <w:tcW w:w="1125" w:type="dxa"/>
            <w:tcBorders>
              <w:top w:val="single" w:sz="4" w:space="0" w:color="auto"/>
              <w:bottom w:val="single" w:sz="4" w:space="0" w:color="auto"/>
            </w:tcBorders>
            <w:tcMar>
              <w:top w:w="40" w:type="dxa"/>
              <w:left w:w="60" w:type="dxa"/>
              <w:bottom w:w="40" w:type="dxa"/>
              <w:right w:w="60" w:type="dxa"/>
            </w:tcMar>
          </w:tcPr>
          <w:p w14:paraId="37CD95D0" w14:textId="77777777" w:rsidR="005A30FE" w:rsidRPr="001913E3" w:rsidRDefault="005A30FE" w:rsidP="001913E3">
            <w:pPr>
              <w:spacing w:line="360" w:lineRule="auto"/>
              <w:jc w:val="both"/>
              <w:rPr>
                <w:rFonts w:ascii="Book Antiqua" w:eastAsia="Book Antiqua" w:hAnsi="Book Antiqua" w:cs="Book Antiqua"/>
                <w:b/>
              </w:rPr>
            </w:pPr>
            <w:r w:rsidRPr="001913E3">
              <w:rPr>
                <w:rFonts w:ascii="Book Antiqua" w:eastAsia="Book Antiqua" w:hAnsi="Book Antiqua" w:cs="Book Antiqua"/>
                <w:b/>
              </w:rPr>
              <w:t>Outcomes</w:t>
            </w:r>
          </w:p>
        </w:tc>
      </w:tr>
      <w:tr w:rsidR="005A30FE" w:rsidRPr="001913E3" w14:paraId="45984333" w14:textId="77777777" w:rsidTr="008E3D7E">
        <w:tc>
          <w:tcPr>
            <w:tcW w:w="1125" w:type="dxa"/>
            <w:tcBorders>
              <w:top w:val="single" w:sz="4" w:space="0" w:color="auto"/>
            </w:tcBorders>
            <w:tcMar>
              <w:top w:w="40" w:type="dxa"/>
              <w:left w:w="60" w:type="dxa"/>
              <w:bottom w:w="40" w:type="dxa"/>
              <w:right w:w="60" w:type="dxa"/>
            </w:tcMar>
          </w:tcPr>
          <w:p w14:paraId="46D29D1D" w14:textId="282C2877" w:rsidR="005A30FE" w:rsidRPr="001913E3" w:rsidRDefault="00B36DF5" w:rsidP="00B36DF5">
            <w:pPr>
              <w:spacing w:line="360" w:lineRule="auto"/>
              <w:jc w:val="both"/>
              <w:rPr>
                <w:rFonts w:ascii="Book Antiqua" w:eastAsia="Book Antiqua" w:hAnsi="Book Antiqua" w:cs="Book Antiqua"/>
              </w:rPr>
            </w:pPr>
            <w:r>
              <w:rPr>
                <w:rFonts w:ascii="Book Antiqua" w:eastAsia="Book Antiqua" w:hAnsi="Book Antiqua" w:cs="Book Antiqua"/>
              </w:rPr>
              <w:t xml:space="preserve">Johncilla </w:t>
            </w:r>
            <w:r w:rsidRPr="00B36DF5">
              <w:rPr>
                <w:rFonts w:ascii="Book Antiqua" w:eastAsia="Book Antiqua" w:hAnsi="Book Antiqua" w:cs="Book Antiqua"/>
                <w:i/>
              </w:rPr>
              <w:t>et al</w:t>
            </w:r>
            <w:r w:rsidRPr="00B36DF5">
              <w:rPr>
                <w:rFonts w:ascii="Book Antiqua" w:eastAsia="Book Antiqua" w:hAnsi="Book Antiqua" w:cs="Book Antiqua"/>
                <w:vertAlign w:val="superscript"/>
              </w:rPr>
              <w:t>[2]</w:t>
            </w:r>
            <w:r>
              <w:rPr>
                <w:rFonts w:ascii="Book Antiqua" w:eastAsia="Book Antiqua" w:hAnsi="Book Antiqua" w:cs="Book Antiqua"/>
              </w:rPr>
              <w:t>, 2019</w:t>
            </w:r>
          </w:p>
        </w:tc>
        <w:tc>
          <w:tcPr>
            <w:tcW w:w="1095" w:type="dxa"/>
            <w:tcBorders>
              <w:top w:val="single" w:sz="4" w:space="0" w:color="auto"/>
            </w:tcBorders>
            <w:tcMar>
              <w:top w:w="40" w:type="dxa"/>
              <w:left w:w="60" w:type="dxa"/>
              <w:bottom w:w="40" w:type="dxa"/>
              <w:right w:w="60" w:type="dxa"/>
            </w:tcMar>
          </w:tcPr>
          <w:p w14:paraId="18E23D8D" w14:textId="5B2098FD" w:rsidR="005A30FE" w:rsidRPr="001913E3" w:rsidRDefault="005A30FE" w:rsidP="00184443">
            <w:pPr>
              <w:spacing w:line="360" w:lineRule="auto"/>
              <w:jc w:val="both"/>
              <w:rPr>
                <w:rFonts w:ascii="Book Antiqua" w:eastAsia="Book Antiqua" w:hAnsi="Book Antiqua" w:cs="Book Antiqua"/>
              </w:rPr>
            </w:pPr>
            <w:r w:rsidRPr="001913E3">
              <w:rPr>
                <w:rFonts w:ascii="Book Antiqua" w:eastAsia="Book Antiqua" w:hAnsi="Book Antiqua" w:cs="Book Antiqua"/>
              </w:rPr>
              <w:t>Nausea, vomiting, diarrhea</w:t>
            </w:r>
          </w:p>
        </w:tc>
        <w:tc>
          <w:tcPr>
            <w:tcW w:w="1185" w:type="dxa"/>
            <w:tcBorders>
              <w:top w:val="single" w:sz="4" w:space="0" w:color="auto"/>
            </w:tcBorders>
            <w:tcMar>
              <w:top w:w="40" w:type="dxa"/>
              <w:left w:w="60" w:type="dxa"/>
              <w:bottom w:w="40" w:type="dxa"/>
              <w:right w:w="60" w:type="dxa"/>
            </w:tcMar>
          </w:tcPr>
          <w:p w14:paraId="3A5FFFCC"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Two doses</w:t>
            </w:r>
          </w:p>
        </w:tc>
        <w:tc>
          <w:tcPr>
            <w:tcW w:w="1365" w:type="dxa"/>
            <w:tcBorders>
              <w:top w:val="single" w:sz="4" w:space="0" w:color="auto"/>
            </w:tcBorders>
            <w:tcMar>
              <w:top w:w="40" w:type="dxa"/>
              <w:left w:w="60" w:type="dxa"/>
              <w:bottom w:w="40" w:type="dxa"/>
              <w:right w:w="60" w:type="dxa"/>
            </w:tcMar>
          </w:tcPr>
          <w:p w14:paraId="0FE50A1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560" w:type="dxa"/>
            <w:tcBorders>
              <w:top w:val="single" w:sz="4" w:space="0" w:color="auto"/>
            </w:tcBorders>
            <w:tcMar>
              <w:top w:w="40" w:type="dxa"/>
              <w:left w:w="60" w:type="dxa"/>
              <w:bottom w:w="40" w:type="dxa"/>
              <w:right w:w="60" w:type="dxa"/>
            </w:tcMar>
          </w:tcPr>
          <w:p w14:paraId="60C07A5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Gastric erythema and erosions</w:t>
            </w:r>
          </w:p>
        </w:tc>
        <w:tc>
          <w:tcPr>
            <w:tcW w:w="1530" w:type="dxa"/>
            <w:tcBorders>
              <w:top w:val="single" w:sz="4" w:space="0" w:color="auto"/>
            </w:tcBorders>
            <w:tcMar>
              <w:top w:w="40" w:type="dxa"/>
              <w:left w:w="60" w:type="dxa"/>
              <w:bottom w:w="40" w:type="dxa"/>
              <w:right w:w="60" w:type="dxa"/>
            </w:tcMar>
          </w:tcPr>
          <w:p w14:paraId="5322CDC6"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Focal enhancing gastritis (pyloric antrum and body)</w:t>
            </w:r>
          </w:p>
        </w:tc>
        <w:tc>
          <w:tcPr>
            <w:tcW w:w="1305" w:type="dxa"/>
            <w:tcBorders>
              <w:top w:val="single" w:sz="4" w:space="0" w:color="auto"/>
            </w:tcBorders>
            <w:tcMar>
              <w:top w:w="40" w:type="dxa"/>
              <w:left w:w="60" w:type="dxa"/>
              <w:bottom w:w="40" w:type="dxa"/>
              <w:right w:w="60" w:type="dxa"/>
            </w:tcMar>
          </w:tcPr>
          <w:p w14:paraId="793D012A"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Prednisone, infliximab</w:t>
            </w:r>
          </w:p>
        </w:tc>
        <w:tc>
          <w:tcPr>
            <w:tcW w:w="1125" w:type="dxa"/>
            <w:tcBorders>
              <w:top w:val="single" w:sz="4" w:space="0" w:color="auto"/>
            </w:tcBorders>
            <w:tcMar>
              <w:top w:w="40" w:type="dxa"/>
              <w:left w:w="60" w:type="dxa"/>
              <w:bottom w:w="40" w:type="dxa"/>
              <w:right w:w="60" w:type="dxa"/>
            </w:tcMar>
          </w:tcPr>
          <w:p w14:paraId="3462991A"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w:t>
            </w:r>
          </w:p>
        </w:tc>
      </w:tr>
      <w:tr w:rsidR="005A30FE" w:rsidRPr="001913E3" w14:paraId="1A4D4BDD" w14:textId="77777777" w:rsidTr="008E3D7E">
        <w:tc>
          <w:tcPr>
            <w:tcW w:w="1125" w:type="dxa"/>
            <w:tcMar>
              <w:top w:w="40" w:type="dxa"/>
              <w:left w:w="60" w:type="dxa"/>
              <w:bottom w:w="40" w:type="dxa"/>
              <w:right w:w="60" w:type="dxa"/>
            </w:tcMar>
          </w:tcPr>
          <w:p w14:paraId="7D56E3AD" w14:textId="0F7C9810" w:rsidR="005A30FE" w:rsidRPr="001913E3" w:rsidRDefault="005A30FE" w:rsidP="00CF420E">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Zhang </w:t>
            </w:r>
            <w:r w:rsidR="00CF420E" w:rsidRPr="00B36DF5">
              <w:rPr>
                <w:rFonts w:ascii="Book Antiqua" w:eastAsia="Book Antiqua" w:hAnsi="Book Antiqua" w:cs="Book Antiqua"/>
                <w:i/>
              </w:rPr>
              <w:t>et al</w:t>
            </w:r>
            <w:r w:rsidR="00CF420E" w:rsidRPr="00B36DF5">
              <w:rPr>
                <w:rFonts w:ascii="Book Antiqua" w:eastAsia="Book Antiqua" w:hAnsi="Book Antiqua" w:cs="Book Antiqua"/>
                <w:vertAlign w:val="superscript"/>
              </w:rPr>
              <w:t>[</w:t>
            </w:r>
            <w:r w:rsidR="00CF420E">
              <w:rPr>
                <w:rFonts w:ascii="Book Antiqua" w:eastAsia="Book Antiqua" w:hAnsi="Book Antiqua" w:cs="Book Antiqua"/>
                <w:vertAlign w:val="superscript"/>
              </w:rPr>
              <w:t>17</w:t>
            </w:r>
            <w:r w:rsidR="00CF420E" w:rsidRPr="00B36DF5">
              <w:rPr>
                <w:rFonts w:ascii="Book Antiqua" w:eastAsia="Book Antiqua" w:hAnsi="Book Antiqua" w:cs="Book Antiqua"/>
                <w:vertAlign w:val="superscript"/>
              </w:rPr>
              <w:t>]</w:t>
            </w:r>
            <w:r w:rsidR="00CF420E">
              <w:rPr>
                <w:rFonts w:ascii="Book Antiqua" w:eastAsia="Book Antiqua" w:hAnsi="Book Antiqua" w:cs="Book Antiqua"/>
              </w:rPr>
              <w:t>,</w:t>
            </w:r>
            <w:r w:rsidRPr="001913E3">
              <w:rPr>
                <w:rFonts w:ascii="Book Antiqua" w:eastAsia="Book Antiqua" w:hAnsi="Book Antiqua" w:cs="Book Antiqua"/>
              </w:rPr>
              <w:t xml:space="preserve"> 2019</w:t>
            </w:r>
          </w:p>
        </w:tc>
        <w:tc>
          <w:tcPr>
            <w:tcW w:w="1095" w:type="dxa"/>
            <w:tcMar>
              <w:top w:w="40" w:type="dxa"/>
              <w:left w:w="60" w:type="dxa"/>
              <w:bottom w:w="40" w:type="dxa"/>
              <w:right w:w="60" w:type="dxa"/>
            </w:tcMar>
          </w:tcPr>
          <w:p w14:paraId="0969501F" w14:textId="514EE7D4" w:rsidR="005A30FE" w:rsidRPr="001913E3" w:rsidRDefault="005A30FE" w:rsidP="00184443">
            <w:pPr>
              <w:spacing w:line="360" w:lineRule="auto"/>
              <w:jc w:val="both"/>
              <w:rPr>
                <w:rFonts w:ascii="Book Antiqua" w:eastAsia="Book Antiqua" w:hAnsi="Book Antiqua" w:cs="Book Antiqua"/>
              </w:rPr>
            </w:pPr>
            <w:r w:rsidRPr="001913E3">
              <w:rPr>
                <w:rFonts w:ascii="Book Antiqua" w:eastAsia="Book Antiqua" w:hAnsi="Book Antiqua" w:cs="Book Antiqua"/>
              </w:rPr>
              <w:t>Diarrhea, nausea, vomiting</w:t>
            </w:r>
          </w:p>
        </w:tc>
        <w:tc>
          <w:tcPr>
            <w:tcW w:w="1185" w:type="dxa"/>
            <w:tcMar>
              <w:top w:w="40" w:type="dxa"/>
              <w:left w:w="60" w:type="dxa"/>
              <w:bottom w:w="40" w:type="dxa"/>
              <w:right w:w="60" w:type="dxa"/>
            </w:tcMar>
          </w:tcPr>
          <w:p w14:paraId="28337AD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Avg. 8 doses</w:t>
            </w:r>
          </w:p>
        </w:tc>
        <w:tc>
          <w:tcPr>
            <w:tcW w:w="1365" w:type="dxa"/>
            <w:tcMar>
              <w:top w:w="40" w:type="dxa"/>
              <w:left w:w="60" w:type="dxa"/>
              <w:bottom w:w="40" w:type="dxa"/>
              <w:right w:w="60" w:type="dxa"/>
            </w:tcMar>
          </w:tcPr>
          <w:p w14:paraId="59FD8D0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560" w:type="dxa"/>
            <w:tcMar>
              <w:top w:w="40" w:type="dxa"/>
              <w:left w:w="60" w:type="dxa"/>
              <w:bottom w:w="40" w:type="dxa"/>
              <w:right w:w="60" w:type="dxa"/>
            </w:tcMar>
          </w:tcPr>
          <w:p w14:paraId="6F186BC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Erythema (with or without erosions) - 64% of patients, periglandular inflammation -20%, polyps - 2%</w:t>
            </w:r>
          </w:p>
        </w:tc>
        <w:tc>
          <w:tcPr>
            <w:tcW w:w="1530" w:type="dxa"/>
            <w:tcMar>
              <w:top w:w="40" w:type="dxa"/>
              <w:left w:w="60" w:type="dxa"/>
              <w:bottom w:w="40" w:type="dxa"/>
              <w:right w:w="60" w:type="dxa"/>
            </w:tcMar>
          </w:tcPr>
          <w:p w14:paraId="16ECC05D" w14:textId="77777777" w:rsidR="005A30FE" w:rsidRPr="00EA16EA" w:rsidRDefault="005A30FE" w:rsidP="001913E3">
            <w:pPr>
              <w:spacing w:line="360" w:lineRule="auto"/>
              <w:jc w:val="both"/>
              <w:rPr>
                <w:rFonts w:ascii="Book Antiqua" w:eastAsia="Book Antiqua" w:hAnsi="Book Antiqua" w:cs="Book Antiqua"/>
                <w:lang w:val="de-DE"/>
              </w:rPr>
            </w:pPr>
            <w:r w:rsidRPr="00EA16EA">
              <w:rPr>
                <w:rFonts w:ascii="Book Antiqua" w:eastAsia="Book Antiqua" w:hAnsi="Book Antiqua" w:cs="Book Antiqua"/>
                <w:lang w:val="de-DE"/>
              </w:rPr>
              <w:t>Periglandular inflammation, granuloma, diffuse inflammation, neutrophilic abscess</w:t>
            </w:r>
          </w:p>
        </w:tc>
        <w:tc>
          <w:tcPr>
            <w:tcW w:w="1305" w:type="dxa"/>
            <w:tcMar>
              <w:top w:w="40" w:type="dxa"/>
              <w:left w:w="60" w:type="dxa"/>
              <w:bottom w:w="40" w:type="dxa"/>
              <w:right w:w="60" w:type="dxa"/>
            </w:tcMar>
          </w:tcPr>
          <w:p w14:paraId="139C737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Steroids, infliximab</w:t>
            </w:r>
          </w:p>
        </w:tc>
        <w:tc>
          <w:tcPr>
            <w:tcW w:w="1125" w:type="dxa"/>
            <w:tcMar>
              <w:top w:w="40" w:type="dxa"/>
              <w:left w:w="60" w:type="dxa"/>
              <w:bottom w:w="40" w:type="dxa"/>
              <w:right w:w="60" w:type="dxa"/>
            </w:tcMar>
          </w:tcPr>
          <w:p w14:paraId="7405B71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r>
      <w:tr w:rsidR="005A30FE" w:rsidRPr="001913E3" w14:paraId="1169C4B8" w14:textId="77777777" w:rsidTr="008E3D7E">
        <w:tc>
          <w:tcPr>
            <w:tcW w:w="1125" w:type="dxa"/>
            <w:tcMar>
              <w:top w:w="40" w:type="dxa"/>
              <w:left w:w="60" w:type="dxa"/>
              <w:bottom w:w="40" w:type="dxa"/>
              <w:right w:w="60" w:type="dxa"/>
            </w:tcMar>
          </w:tcPr>
          <w:p w14:paraId="22642FC9" w14:textId="1CFD14BD" w:rsidR="005A30FE" w:rsidRPr="001913E3" w:rsidRDefault="005A30FE" w:rsidP="00DD18DA">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Placke </w:t>
            </w:r>
            <w:r w:rsidR="00DD18DA" w:rsidRPr="00B36DF5">
              <w:rPr>
                <w:rFonts w:ascii="Book Antiqua" w:eastAsia="Book Antiqua" w:hAnsi="Book Antiqua" w:cs="Book Antiqua"/>
                <w:i/>
              </w:rPr>
              <w:t>et al</w:t>
            </w:r>
            <w:r w:rsidR="00DD18DA" w:rsidRPr="00B36DF5">
              <w:rPr>
                <w:rFonts w:ascii="Book Antiqua" w:eastAsia="Book Antiqua" w:hAnsi="Book Antiqua" w:cs="Book Antiqua"/>
                <w:vertAlign w:val="superscript"/>
              </w:rPr>
              <w:t>[</w:t>
            </w:r>
            <w:r w:rsidR="00DD18DA">
              <w:rPr>
                <w:rFonts w:ascii="Book Antiqua" w:eastAsia="Book Antiqua" w:hAnsi="Book Antiqua" w:cs="Book Antiqua"/>
                <w:vertAlign w:val="superscript"/>
              </w:rPr>
              <w:t>4</w:t>
            </w:r>
            <w:r w:rsidR="00DD18DA" w:rsidRPr="00B36DF5">
              <w:rPr>
                <w:rFonts w:ascii="Book Antiqua" w:eastAsia="Book Antiqua" w:hAnsi="Book Antiqua" w:cs="Book Antiqua"/>
                <w:vertAlign w:val="superscript"/>
              </w:rPr>
              <w:t>]</w:t>
            </w:r>
            <w:r w:rsidR="00DD18DA">
              <w:rPr>
                <w:rFonts w:ascii="Book Antiqua" w:eastAsia="Book Antiqua" w:hAnsi="Book Antiqua" w:cs="Book Antiqua"/>
              </w:rPr>
              <w:t>,</w:t>
            </w:r>
            <w:r w:rsidRPr="001913E3">
              <w:rPr>
                <w:rFonts w:ascii="Book Antiqua" w:eastAsia="Book Antiqua" w:hAnsi="Book Antiqua" w:cs="Book Antiqua"/>
              </w:rPr>
              <w:t xml:space="preserve"> 2021 </w:t>
            </w:r>
          </w:p>
        </w:tc>
        <w:tc>
          <w:tcPr>
            <w:tcW w:w="1095" w:type="dxa"/>
            <w:tcMar>
              <w:top w:w="40" w:type="dxa"/>
              <w:left w:w="60" w:type="dxa"/>
              <w:bottom w:w="40" w:type="dxa"/>
              <w:right w:w="60" w:type="dxa"/>
            </w:tcMar>
          </w:tcPr>
          <w:p w14:paraId="7889E4F8"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Weight loss, nausea, </w:t>
            </w:r>
            <w:r w:rsidRPr="001913E3">
              <w:rPr>
                <w:rFonts w:ascii="Book Antiqua" w:eastAsia="Book Antiqua" w:hAnsi="Book Antiqua" w:cs="Book Antiqua"/>
              </w:rPr>
              <w:lastRenderedPageBreak/>
              <w:t>heartburn</w:t>
            </w:r>
          </w:p>
        </w:tc>
        <w:tc>
          <w:tcPr>
            <w:tcW w:w="1185" w:type="dxa"/>
            <w:tcMar>
              <w:top w:w="40" w:type="dxa"/>
              <w:left w:w="60" w:type="dxa"/>
              <w:bottom w:w="40" w:type="dxa"/>
              <w:right w:w="60" w:type="dxa"/>
            </w:tcMar>
          </w:tcPr>
          <w:p w14:paraId="5D21EBB6" w14:textId="2EA3E4E4" w:rsidR="005A30FE" w:rsidRPr="001913E3" w:rsidRDefault="005A30FE" w:rsidP="00982974">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118 d</w:t>
            </w:r>
          </w:p>
        </w:tc>
        <w:tc>
          <w:tcPr>
            <w:tcW w:w="1365" w:type="dxa"/>
            <w:tcMar>
              <w:top w:w="40" w:type="dxa"/>
              <w:left w:w="60" w:type="dxa"/>
              <w:bottom w:w="40" w:type="dxa"/>
              <w:right w:w="60" w:type="dxa"/>
            </w:tcMar>
          </w:tcPr>
          <w:p w14:paraId="795C9B6D"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560" w:type="dxa"/>
            <w:tcMar>
              <w:top w:w="40" w:type="dxa"/>
              <w:left w:w="60" w:type="dxa"/>
              <w:bottom w:w="40" w:type="dxa"/>
              <w:right w:w="60" w:type="dxa"/>
            </w:tcMar>
          </w:tcPr>
          <w:p w14:paraId="70C39D8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Severe erythematous gastritis</w:t>
            </w:r>
          </w:p>
        </w:tc>
        <w:tc>
          <w:tcPr>
            <w:tcW w:w="1530" w:type="dxa"/>
            <w:tcMar>
              <w:top w:w="40" w:type="dxa"/>
              <w:left w:w="60" w:type="dxa"/>
              <w:bottom w:w="40" w:type="dxa"/>
              <w:right w:w="60" w:type="dxa"/>
            </w:tcMar>
          </w:tcPr>
          <w:p w14:paraId="1B7F4AD7" w14:textId="1AADDF54"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Lympho</w:t>
            </w:r>
            <w:r w:rsidR="001560A8">
              <w:rPr>
                <w:rFonts w:ascii="Book Antiqua" w:eastAsia="Book Antiqua" w:hAnsi="Book Antiqua" w:cs="Book Antiqua"/>
              </w:rPr>
              <w:t>p</w:t>
            </w:r>
            <w:r w:rsidRPr="001913E3">
              <w:rPr>
                <w:rFonts w:ascii="Book Antiqua" w:eastAsia="Book Antiqua" w:hAnsi="Book Antiqua" w:cs="Book Antiqua"/>
              </w:rPr>
              <w:t xml:space="preserve">lasmocytic cells, </w:t>
            </w:r>
            <w:r w:rsidRPr="001913E3">
              <w:rPr>
                <w:rFonts w:ascii="Book Antiqua" w:eastAsia="Book Antiqua" w:hAnsi="Book Antiqua" w:cs="Book Antiqua"/>
              </w:rPr>
              <w:lastRenderedPageBreak/>
              <w:t>granulocyte infiltration</w:t>
            </w:r>
          </w:p>
        </w:tc>
        <w:tc>
          <w:tcPr>
            <w:tcW w:w="1305" w:type="dxa"/>
            <w:tcMar>
              <w:top w:w="40" w:type="dxa"/>
              <w:left w:w="60" w:type="dxa"/>
              <w:bottom w:w="40" w:type="dxa"/>
              <w:right w:w="60" w:type="dxa"/>
            </w:tcMar>
          </w:tcPr>
          <w:p w14:paraId="7D66EB4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Pantoprazole, prednison</w:t>
            </w:r>
            <w:r w:rsidRPr="001913E3">
              <w:rPr>
                <w:rFonts w:ascii="Book Antiqua" w:eastAsia="Book Antiqua" w:hAnsi="Book Antiqua" w:cs="Book Antiqua"/>
              </w:rPr>
              <w:lastRenderedPageBreak/>
              <w:t>e</w:t>
            </w:r>
          </w:p>
        </w:tc>
        <w:tc>
          <w:tcPr>
            <w:tcW w:w="1125" w:type="dxa"/>
            <w:tcMar>
              <w:top w:w="40" w:type="dxa"/>
              <w:left w:w="60" w:type="dxa"/>
              <w:bottom w:w="40" w:type="dxa"/>
              <w:right w:w="60" w:type="dxa"/>
            </w:tcMar>
          </w:tcPr>
          <w:p w14:paraId="705BEB96" w14:textId="54DC9DF0" w:rsidR="005A30FE" w:rsidRPr="001913E3" w:rsidRDefault="005A30FE" w:rsidP="00982974">
            <w:pPr>
              <w:spacing w:line="360" w:lineRule="auto"/>
              <w:jc w:val="both"/>
              <w:rPr>
                <w:rFonts w:ascii="Book Antiqua" w:eastAsia="Book Antiqua" w:hAnsi="Book Antiqua" w:cs="Book Antiqua"/>
              </w:rPr>
            </w:pPr>
            <w:r w:rsidRPr="001913E3">
              <w:rPr>
                <w:rFonts w:ascii="Book Antiqua" w:eastAsia="Book Antiqua" w:hAnsi="Book Antiqua" w:cs="Book Antiqua"/>
                <w:color w:val="000000"/>
              </w:rPr>
              <w:lastRenderedPageBreak/>
              <w:t>Improvement in</w:t>
            </w:r>
            <w:r w:rsidRPr="001913E3">
              <w:rPr>
                <w:rFonts w:ascii="Book Antiqua" w:eastAsia="Book Antiqua" w:hAnsi="Book Antiqua" w:cs="Book Antiqua"/>
              </w:rPr>
              <w:t xml:space="preserve"> sympto</w:t>
            </w:r>
            <w:r w:rsidRPr="001913E3">
              <w:rPr>
                <w:rFonts w:ascii="Book Antiqua" w:eastAsia="Book Antiqua" w:hAnsi="Book Antiqua" w:cs="Book Antiqua"/>
              </w:rPr>
              <w:lastRenderedPageBreak/>
              <w:t>ms (after circa 6 d)</w:t>
            </w:r>
          </w:p>
        </w:tc>
      </w:tr>
      <w:tr w:rsidR="005A30FE" w:rsidRPr="001913E3" w14:paraId="082FD809" w14:textId="77777777" w:rsidTr="008E3D7E">
        <w:tc>
          <w:tcPr>
            <w:tcW w:w="1125" w:type="dxa"/>
            <w:tcMar>
              <w:top w:w="40" w:type="dxa"/>
              <w:left w:w="60" w:type="dxa"/>
              <w:bottom w:w="40" w:type="dxa"/>
              <w:right w:w="60" w:type="dxa"/>
            </w:tcMar>
          </w:tcPr>
          <w:p w14:paraId="21AC77A0" w14:textId="0E4274DD" w:rsidR="005A30FE" w:rsidRPr="001913E3" w:rsidRDefault="005A30FE" w:rsidP="00DD18DA">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Shi </w:t>
            </w:r>
            <w:r w:rsidR="00DD18DA" w:rsidRPr="00B36DF5">
              <w:rPr>
                <w:rFonts w:ascii="Book Antiqua" w:eastAsia="Book Antiqua" w:hAnsi="Book Antiqua" w:cs="Book Antiqua"/>
                <w:i/>
              </w:rPr>
              <w:t>et al</w:t>
            </w:r>
            <w:r w:rsidR="00DD18DA" w:rsidRPr="00B36DF5">
              <w:rPr>
                <w:rFonts w:ascii="Book Antiqua" w:eastAsia="Book Antiqua" w:hAnsi="Book Antiqua" w:cs="Book Antiqua"/>
                <w:vertAlign w:val="superscript"/>
              </w:rPr>
              <w:t>[</w:t>
            </w:r>
            <w:r w:rsidR="00DD18DA">
              <w:rPr>
                <w:rFonts w:ascii="Book Antiqua" w:eastAsia="Book Antiqua" w:hAnsi="Book Antiqua" w:cs="Book Antiqua"/>
                <w:vertAlign w:val="superscript"/>
              </w:rPr>
              <w:t>3</w:t>
            </w:r>
            <w:r w:rsidR="00DD18DA" w:rsidRPr="00B36DF5">
              <w:rPr>
                <w:rFonts w:ascii="Book Antiqua" w:eastAsia="Book Antiqua" w:hAnsi="Book Antiqua" w:cs="Book Antiqua"/>
                <w:vertAlign w:val="superscript"/>
              </w:rPr>
              <w:t>]</w:t>
            </w:r>
            <w:r w:rsidR="00DD18DA">
              <w:rPr>
                <w:rFonts w:ascii="Book Antiqua" w:eastAsia="Book Antiqua" w:hAnsi="Book Antiqua" w:cs="Book Antiqua"/>
              </w:rPr>
              <w:t>,</w:t>
            </w:r>
            <w:r w:rsidRPr="001913E3">
              <w:rPr>
                <w:rFonts w:ascii="Book Antiqua" w:eastAsia="Book Antiqua" w:hAnsi="Book Antiqua" w:cs="Book Antiqua"/>
              </w:rPr>
              <w:t xml:space="preserve"> 2017 </w:t>
            </w:r>
          </w:p>
        </w:tc>
        <w:tc>
          <w:tcPr>
            <w:tcW w:w="1095" w:type="dxa"/>
            <w:tcMar>
              <w:top w:w="40" w:type="dxa"/>
              <w:left w:w="60" w:type="dxa"/>
              <w:bottom w:w="40" w:type="dxa"/>
              <w:right w:w="60" w:type="dxa"/>
            </w:tcMar>
          </w:tcPr>
          <w:p w14:paraId="7075F21D"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Vomiting, nausea</w:t>
            </w:r>
          </w:p>
        </w:tc>
        <w:tc>
          <w:tcPr>
            <w:tcW w:w="1185" w:type="dxa"/>
            <w:tcMar>
              <w:top w:w="40" w:type="dxa"/>
              <w:left w:w="60" w:type="dxa"/>
              <w:bottom w:w="40" w:type="dxa"/>
              <w:right w:w="60" w:type="dxa"/>
            </w:tcMar>
          </w:tcPr>
          <w:p w14:paraId="77D63D3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17 cycles</w:t>
            </w:r>
          </w:p>
        </w:tc>
        <w:tc>
          <w:tcPr>
            <w:tcW w:w="1365" w:type="dxa"/>
            <w:tcMar>
              <w:top w:w="40" w:type="dxa"/>
              <w:left w:w="60" w:type="dxa"/>
              <w:bottom w:w="40" w:type="dxa"/>
              <w:right w:w="60" w:type="dxa"/>
            </w:tcMar>
          </w:tcPr>
          <w:p w14:paraId="70F667F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PET/CT and MRI - unremarkable</w:t>
            </w:r>
          </w:p>
        </w:tc>
        <w:tc>
          <w:tcPr>
            <w:tcW w:w="1560" w:type="dxa"/>
            <w:tcMar>
              <w:top w:w="40" w:type="dxa"/>
              <w:left w:w="60" w:type="dxa"/>
              <w:bottom w:w="40" w:type="dxa"/>
              <w:right w:w="60" w:type="dxa"/>
            </w:tcMar>
          </w:tcPr>
          <w:p w14:paraId="37FFC04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Diffusely friable, erythematous, denuded gastric mucosa</w:t>
            </w:r>
          </w:p>
        </w:tc>
        <w:tc>
          <w:tcPr>
            <w:tcW w:w="1530" w:type="dxa"/>
            <w:tcMar>
              <w:top w:w="40" w:type="dxa"/>
              <w:left w:w="60" w:type="dxa"/>
              <w:bottom w:w="40" w:type="dxa"/>
              <w:right w:w="60" w:type="dxa"/>
            </w:tcMar>
          </w:tcPr>
          <w:p w14:paraId="69814C1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Neutrophilic abscesses, expansion of the lamina propria with lymphocytes and plasma cells</w:t>
            </w:r>
          </w:p>
        </w:tc>
        <w:tc>
          <w:tcPr>
            <w:tcW w:w="1305" w:type="dxa"/>
            <w:tcMar>
              <w:top w:w="40" w:type="dxa"/>
              <w:left w:w="60" w:type="dxa"/>
              <w:bottom w:w="40" w:type="dxa"/>
              <w:right w:w="60" w:type="dxa"/>
            </w:tcMar>
          </w:tcPr>
          <w:p w14:paraId="20522EA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Pantoprazole and ranitidine;</w:t>
            </w:r>
          </w:p>
          <w:p w14:paraId="0BD4C45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cessation of nivolumab</w:t>
            </w:r>
          </w:p>
        </w:tc>
        <w:tc>
          <w:tcPr>
            <w:tcW w:w="1125" w:type="dxa"/>
            <w:tcMar>
              <w:top w:w="40" w:type="dxa"/>
              <w:left w:w="60" w:type="dxa"/>
              <w:bottom w:w="40" w:type="dxa"/>
              <w:right w:w="60" w:type="dxa"/>
            </w:tcMar>
          </w:tcPr>
          <w:p w14:paraId="7C7DFBB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No improvement after pantoprazole and ranitidine therapy; improvement after nivolumab cessation</w:t>
            </w:r>
          </w:p>
        </w:tc>
      </w:tr>
      <w:tr w:rsidR="005A30FE" w:rsidRPr="001913E3" w14:paraId="761512E6" w14:textId="77777777" w:rsidTr="008E3D7E">
        <w:tc>
          <w:tcPr>
            <w:tcW w:w="1125" w:type="dxa"/>
            <w:tcMar>
              <w:top w:w="40" w:type="dxa"/>
              <w:left w:w="60" w:type="dxa"/>
              <w:bottom w:w="40" w:type="dxa"/>
              <w:right w:w="60" w:type="dxa"/>
            </w:tcMar>
          </w:tcPr>
          <w:p w14:paraId="2E7F784F" w14:textId="02F22ADF" w:rsidR="005A30FE" w:rsidRPr="001913E3" w:rsidRDefault="005A30FE" w:rsidP="00DD18DA">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Boike </w:t>
            </w:r>
            <w:r w:rsidR="00DD18DA" w:rsidRPr="00B36DF5">
              <w:rPr>
                <w:rFonts w:ascii="Book Antiqua" w:eastAsia="Book Antiqua" w:hAnsi="Book Antiqua" w:cs="Book Antiqua"/>
                <w:i/>
              </w:rPr>
              <w:t>et al</w:t>
            </w:r>
            <w:r w:rsidR="00DD18DA" w:rsidRPr="00B36DF5">
              <w:rPr>
                <w:rFonts w:ascii="Book Antiqua" w:eastAsia="Book Antiqua" w:hAnsi="Book Antiqua" w:cs="Book Antiqua"/>
                <w:vertAlign w:val="superscript"/>
              </w:rPr>
              <w:t>[</w:t>
            </w:r>
            <w:r w:rsidR="00DD18DA">
              <w:rPr>
                <w:rFonts w:ascii="Book Antiqua" w:eastAsia="Book Antiqua" w:hAnsi="Book Antiqua" w:cs="Book Antiqua"/>
                <w:vertAlign w:val="superscript"/>
              </w:rPr>
              <w:t>10</w:t>
            </w:r>
            <w:r w:rsidR="00DD18DA" w:rsidRPr="00B36DF5">
              <w:rPr>
                <w:rFonts w:ascii="Book Antiqua" w:eastAsia="Book Antiqua" w:hAnsi="Book Antiqua" w:cs="Book Antiqua"/>
                <w:vertAlign w:val="superscript"/>
              </w:rPr>
              <w:t>]</w:t>
            </w:r>
            <w:r w:rsidR="00DD18DA">
              <w:rPr>
                <w:rFonts w:ascii="Book Antiqua" w:eastAsia="Book Antiqua" w:hAnsi="Book Antiqua" w:cs="Book Antiqua"/>
              </w:rPr>
              <w:t>,</w:t>
            </w:r>
            <w:r w:rsidRPr="001913E3">
              <w:rPr>
                <w:rFonts w:ascii="Book Antiqua" w:eastAsia="Book Antiqua" w:hAnsi="Book Antiqua" w:cs="Book Antiqua"/>
              </w:rPr>
              <w:t xml:space="preserve"> 2017</w:t>
            </w:r>
          </w:p>
        </w:tc>
        <w:tc>
          <w:tcPr>
            <w:tcW w:w="1095" w:type="dxa"/>
            <w:tcMar>
              <w:top w:w="40" w:type="dxa"/>
              <w:left w:w="60" w:type="dxa"/>
              <w:bottom w:w="40" w:type="dxa"/>
              <w:right w:w="60" w:type="dxa"/>
            </w:tcMar>
          </w:tcPr>
          <w:p w14:paraId="6B373A86" w14:textId="798A7F9F" w:rsidR="005A30FE" w:rsidRPr="001913E3" w:rsidRDefault="005A30FE" w:rsidP="00184443">
            <w:pPr>
              <w:spacing w:line="360" w:lineRule="auto"/>
              <w:jc w:val="both"/>
              <w:rPr>
                <w:rFonts w:ascii="Book Antiqua" w:eastAsia="Book Antiqua" w:hAnsi="Book Antiqua" w:cs="Book Antiqua"/>
              </w:rPr>
            </w:pPr>
            <w:r w:rsidRPr="001913E3">
              <w:rPr>
                <w:rFonts w:ascii="Book Antiqua" w:eastAsia="Book Antiqua" w:hAnsi="Book Antiqua" w:cs="Book Antiqua"/>
              </w:rPr>
              <w:t>Dysphagia, diarrhea</w:t>
            </w:r>
          </w:p>
        </w:tc>
        <w:tc>
          <w:tcPr>
            <w:tcW w:w="1185" w:type="dxa"/>
            <w:tcMar>
              <w:top w:w="40" w:type="dxa"/>
              <w:left w:w="60" w:type="dxa"/>
              <w:bottom w:w="40" w:type="dxa"/>
              <w:right w:w="60" w:type="dxa"/>
            </w:tcMar>
          </w:tcPr>
          <w:p w14:paraId="40CD1FFD" w14:textId="68DB3A87" w:rsidR="005A30FE" w:rsidRPr="001913E3" w:rsidRDefault="005A30FE" w:rsidP="00EC1CDD">
            <w:pPr>
              <w:spacing w:line="360" w:lineRule="auto"/>
              <w:jc w:val="both"/>
              <w:rPr>
                <w:rFonts w:ascii="Book Antiqua" w:eastAsia="Book Antiqua" w:hAnsi="Book Antiqua" w:cs="Book Antiqua"/>
              </w:rPr>
            </w:pPr>
            <w:r w:rsidRPr="001913E3">
              <w:rPr>
                <w:rFonts w:ascii="Book Antiqua" w:eastAsia="Book Antiqua" w:hAnsi="Book Antiqua" w:cs="Book Antiqua"/>
              </w:rPr>
              <w:t>6 mo</w:t>
            </w:r>
          </w:p>
        </w:tc>
        <w:tc>
          <w:tcPr>
            <w:tcW w:w="1365" w:type="dxa"/>
            <w:tcMar>
              <w:top w:w="40" w:type="dxa"/>
              <w:left w:w="60" w:type="dxa"/>
              <w:bottom w:w="40" w:type="dxa"/>
              <w:right w:w="60" w:type="dxa"/>
            </w:tcMar>
          </w:tcPr>
          <w:p w14:paraId="185109C0" w14:textId="6F4DC102"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PET/CT - FDG uptake in the </w:t>
            </w:r>
            <w:r w:rsidRPr="001913E3">
              <w:rPr>
                <w:rFonts w:ascii="Book Antiqua" w:eastAsia="Book Antiqua" w:hAnsi="Book Antiqua" w:cs="Book Antiqua"/>
                <w:color w:val="000000"/>
              </w:rPr>
              <w:t>esophagus</w:t>
            </w:r>
            <w:r w:rsidRPr="001913E3">
              <w:rPr>
                <w:rFonts w:ascii="Book Antiqua" w:eastAsia="Book Antiqua" w:hAnsi="Book Antiqua" w:cs="Book Antiqua"/>
              </w:rPr>
              <w:t xml:space="preserve"> and stomach wall</w:t>
            </w:r>
          </w:p>
        </w:tc>
        <w:tc>
          <w:tcPr>
            <w:tcW w:w="1560" w:type="dxa"/>
            <w:tcMar>
              <w:top w:w="40" w:type="dxa"/>
              <w:left w:w="60" w:type="dxa"/>
              <w:bottom w:w="40" w:type="dxa"/>
              <w:right w:w="60" w:type="dxa"/>
            </w:tcMar>
          </w:tcPr>
          <w:p w14:paraId="77EFC03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Gastric erythema, thick mucoid secretions</w:t>
            </w:r>
          </w:p>
        </w:tc>
        <w:tc>
          <w:tcPr>
            <w:tcW w:w="1530" w:type="dxa"/>
            <w:tcMar>
              <w:top w:w="40" w:type="dxa"/>
              <w:left w:w="60" w:type="dxa"/>
              <w:bottom w:w="40" w:type="dxa"/>
              <w:right w:w="60" w:type="dxa"/>
            </w:tcMar>
          </w:tcPr>
          <w:p w14:paraId="43AF254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Lymphoplasmocytic infiltration in lamina propria and epithelium</w:t>
            </w:r>
          </w:p>
        </w:tc>
        <w:tc>
          <w:tcPr>
            <w:tcW w:w="1305" w:type="dxa"/>
            <w:tcMar>
              <w:top w:w="40" w:type="dxa"/>
              <w:left w:w="60" w:type="dxa"/>
              <w:bottom w:w="40" w:type="dxa"/>
              <w:right w:w="60" w:type="dxa"/>
            </w:tcMar>
          </w:tcPr>
          <w:p w14:paraId="3134E58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Prednisone and PPI</w:t>
            </w:r>
          </w:p>
        </w:tc>
        <w:tc>
          <w:tcPr>
            <w:tcW w:w="1125" w:type="dxa"/>
            <w:tcMar>
              <w:top w:w="40" w:type="dxa"/>
              <w:left w:w="60" w:type="dxa"/>
              <w:bottom w:w="40" w:type="dxa"/>
              <w:right w:w="60" w:type="dxa"/>
            </w:tcMar>
          </w:tcPr>
          <w:p w14:paraId="55569814" w14:textId="71152C29" w:rsidR="005A30FE" w:rsidRPr="001913E3" w:rsidRDefault="005A30FE" w:rsidP="00114BC8">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Improved symptoms after 2 d </w:t>
            </w:r>
          </w:p>
        </w:tc>
      </w:tr>
      <w:tr w:rsidR="005A30FE" w:rsidRPr="001913E3" w14:paraId="4CF9A601" w14:textId="77777777" w:rsidTr="008E3D7E">
        <w:tc>
          <w:tcPr>
            <w:tcW w:w="1125" w:type="dxa"/>
            <w:tcMar>
              <w:top w:w="40" w:type="dxa"/>
              <w:left w:w="60" w:type="dxa"/>
              <w:bottom w:w="40" w:type="dxa"/>
              <w:right w:w="60" w:type="dxa"/>
            </w:tcMar>
          </w:tcPr>
          <w:p w14:paraId="21830761" w14:textId="038E4B76" w:rsidR="005A30FE" w:rsidRPr="001913E3" w:rsidRDefault="005A30FE" w:rsidP="00B7443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Alhatem </w:t>
            </w:r>
            <w:r w:rsidR="00B74433" w:rsidRPr="00B36DF5">
              <w:rPr>
                <w:rFonts w:ascii="Book Antiqua" w:eastAsia="Book Antiqua" w:hAnsi="Book Antiqua" w:cs="Book Antiqua"/>
                <w:i/>
              </w:rPr>
              <w:t>et al</w:t>
            </w:r>
            <w:r w:rsidR="00B74433" w:rsidRPr="00B36DF5">
              <w:rPr>
                <w:rFonts w:ascii="Book Antiqua" w:eastAsia="Book Antiqua" w:hAnsi="Book Antiqua" w:cs="Book Antiqua"/>
                <w:vertAlign w:val="superscript"/>
              </w:rPr>
              <w:t>[</w:t>
            </w:r>
            <w:r w:rsidR="00B74433">
              <w:rPr>
                <w:rFonts w:ascii="Book Antiqua" w:eastAsia="Book Antiqua" w:hAnsi="Book Antiqua" w:cs="Book Antiqua"/>
                <w:vertAlign w:val="superscript"/>
              </w:rPr>
              <w:t>6</w:t>
            </w:r>
            <w:r w:rsidR="00B74433" w:rsidRPr="00B36DF5">
              <w:rPr>
                <w:rFonts w:ascii="Book Antiqua" w:eastAsia="Book Antiqua" w:hAnsi="Book Antiqua" w:cs="Book Antiqua"/>
                <w:vertAlign w:val="superscript"/>
              </w:rPr>
              <w:t>]</w:t>
            </w:r>
            <w:r w:rsidR="00B74433">
              <w:rPr>
                <w:rFonts w:ascii="Book Antiqua" w:eastAsia="Book Antiqua" w:hAnsi="Book Antiqua" w:cs="Book Antiqua"/>
              </w:rPr>
              <w:t>,</w:t>
            </w:r>
            <w:r w:rsidRPr="001913E3">
              <w:rPr>
                <w:rFonts w:ascii="Book Antiqua" w:eastAsia="Book Antiqua" w:hAnsi="Book Antiqua" w:cs="Book Antiqua"/>
              </w:rPr>
              <w:t xml:space="preserve"> 2019</w:t>
            </w:r>
          </w:p>
        </w:tc>
        <w:tc>
          <w:tcPr>
            <w:tcW w:w="1095" w:type="dxa"/>
            <w:tcMar>
              <w:top w:w="40" w:type="dxa"/>
              <w:left w:w="60" w:type="dxa"/>
              <w:bottom w:w="40" w:type="dxa"/>
              <w:right w:w="60" w:type="dxa"/>
            </w:tcMar>
          </w:tcPr>
          <w:p w14:paraId="3ABED799" w14:textId="0A01C40C" w:rsidR="005A30FE" w:rsidRPr="001913E3" w:rsidRDefault="005A30FE" w:rsidP="0018444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Loss of appetite, diarrhea, </w:t>
            </w:r>
            <w:r w:rsidRPr="001913E3">
              <w:rPr>
                <w:rFonts w:ascii="Book Antiqua" w:eastAsia="Book Antiqua" w:hAnsi="Book Antiqua" w:cs="Book Antiqua"/>
              </w:rPr>
              <w:lastRenderedPageBreak/>
              <w:t>bloating</w:t>
            </w:r>
          </w:p>
        </w:tc>
        <w:tc>
          <w:tcPr>
            <w:tcW w:w="1185" w:type="dxa"/>
            <w:tcMar>
              <w:top w:w="40" w:type="dxa"/>
              <w:left w:w="60" w:type="dxa"/>
              <w:bottom w:w="40" w:type="dxa"/>
              <w:right w:w="60" w:type="dxa"/>
            </w:tcMar>
          </w:tcPr>
          <w:p w14:paraId="4661EDBC" w14:textId="291648EA" w:rsidR="005A30FE" w:rsidRPr="001913E3" w:rsidRDefault="00FD45A7"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Few </w:t>
            </w:r>
            <w:r w:rsidR="005A30FE" w:rsidRPr="001913E3">
              <w:rPr>
                <w:rFonts w:ascii="Book Antiqua" w:eastAsia="Book Antiqua" w:hAnsi="Book Antiqua" w:cs="Book Antiqua"/>
              </w:rPr>
              <w:t>months</w:t>
            </w:r>
          </w:p>
        </w:tc>
        <w:tc>
          <w:tcPr>
            <w:tcW w:w="1365" w:type="dxa"/>
            <w:tcMar>
              <w:top w:w="40" w:type="dxa"/>
              <w:left w:w="60" w:type="dxa"/>
              <w:bottom w:w="40" w:type="dxa"/>
              <w:right w:w="60" w:type="dxa"/>
            </w:tcMar>
          </w:tcPr>
          <w:p w14:paraId="35EA276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560" w:type="dxa"/>
            <w:tcMar>
              <w:top w:w="40" w:type="dxa"/>
              <w:left w:w="60" w:type="dxa"/>
              <w:bottom w:w="40" w:type="dxa"/>
              <w:right w:w="60" w:type="dxa"/>
            </w:tcMar>
          </w:tcPr>
          <w:p w14:paraId="72F58528" w14:textId="00CAA78D" w:rsidR="005A30FE" w:rsidRPr="001913E3" w:rsidRDefault="005A30FE" w:rsidP="000506E9">
            <w:pPr>
              <w:spacing w:line="360" w:lineRule="auto"/>
              <w:jc w:val="both"/>
              <w:rPr>
                <w:rFonts w:ascii="Book Antiqua" w:eastAsia="Book Antiqua" w:hAnsi="Book Antiqua" w:cs="Book Antiqua"/>
              </w:rPr>
            </w:pPr>
            <w:r w:rsidRPr="00CE3D12">
              <w:rPr>
                <w:rFonts w:ascii="Book Antiqua" w:eastAsia="Book Antiqua" w:hAnsi="Book Antiqua" w:cs="Book Antiqua"/>
              </w:rPr>
              <w:t>Barrett</w:t>
            </w:r>
            <w:r w:rsidR="000506E9" w:rsidRPr="00CE3D12">
              <w:rPr>
                <w:rFonts w:ascii="Book Antiqua" w:eastAsia="Book Antiqua" w:hAnsi="Book Antiqua" w:cs="Book Antiqua"/>
              </w:rPr>
              <w:t>’</w:t>
            </w:r>
            <w:r w:rsidR="00951441" w:rsidRPr="00CE3D12">
              <w:rPr>
                <w:rFonts w:ascii="Book Antiqua" w:eastAsia="Book Antiqua" w:hAnsi="Book Antiqua" w:cs="Book Antiqua"/>
              </w:rPr>
              <w:t xml:space="preserve">s </w:t>
            </w:r>
            <w:r w:rsidRPr="00CE3D12">
              <w:rPr>
                <w:rFonts w:ascii="Book Antiqua" w:eastAsia="Book Antiqua" w:hAnsi="Book Antiqua" w:cs="Book Antiqua"/>
              </w:rPr>
              <w:t>esophagus,</w:t>
            </w:r>
            <w:r w:rsidRPr="001913E3">
              <w:rPr>
                <w:rFonts w:ascii="Book Antiqua" w:eastAsia="Book Antiqua" w:hAnsi="Book Antiqua" w:cs="Book Antiqua"/>
              </w:rPr>
              <w:t xml:space="preserve"> antral </w:t>
            </w:r>
            <w:r w:rsidRPr="001913E3">
              <w:rPr>
                <w:rFonts w:ascii="Book Antiqua" w:eastAsia="Book Antiqua" w:hAnsi="Book Antiqua" w:cs="Book Antiqua"/>
              </w:rPr>
              <w:lastRenderedPageBreak/>
              <w:t>gastritis</w:t>
            </w:r>
          </w:p>
        </w:tc>
        <w:tc>
          <w:tcPr>
            <w:tcW w:w="1530" w:type="dxa"/>
            <w:tcMar>
              <w:top w:w="40" w:type="dxa"/>
              <w:left w:w="60" w:type="dxa"/>
              <w:bottom w:w="40" w:type="dxa"/>
              <w:right w:w="60" w:type="dxa"/>
            </w:tcMar>
          </w:tcPr>
          <w:p w14:paraId="5002565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Transmural inflammation, cryptitis, </w:t>
            </w:r>
            <w:r w:rsidRPr="001913E3">
              <w:rPr>
                <w:rFonts w:ascii="Book Antiqua" w:eastAsia="Book Antiqua" w:hAnsi="Book Antiqua" w:cs="Book Antiqua"/>
              </w:rPr>
              <w:lastRenderedPageBreak/>
              <w:t>dysplasia</w:t>
            </w:r>
          </w:p>
        </w:tc>
        <w:tc>
          <w:tcPr>
            <w:tcW w:w="1305" w:type="dxa"/>
            <w:tcMar>
              <w:top w:w="40" w:type="dxa"/>
              <w:left w:w="60" w:type="dxa"/>
              <w:bottom w:w="40" w:type="dxa"/>
              <w:right w:w="60" w:type="dxa"/>
            </w:tcMar>
          </w:tcPr>
          <w:p w14:paraId="04B6A5AB" w14:textId="02F9AC5F"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Prednisone; </w:t>
            </w:r>
            <w:r w:rsidR="00951441">
              <w:rPr>
                <w:rFonts w:ascii="Book Antiqua" w:eastAsia="Book Antiqua" w:hAnsi="Book Antiqua" w:cs="Book Antiqua"/>
              </w:rPr>
              <w:t xml:space="preserve">cessation </w:t>
            </w:r>
            <w:r w:rsidR="00951441">
              <w:rPr>
                <w:rFonts w:ascii="Book Antiqua" w:eastAsia="Book Antiqua" w:hAnsi="Book Antiqua" w:cs="Book Antiqua"/>
              </w:rPr>
              <w:lastRenderedPageBreak/>
              <w:t>of nivolumab for 6 wk</w:t>
            </w:r>
          </w:p>
        </w:tc>
        <w:tc>
          <w:tcPr>
            <w:tcW w:w="1125" w:type="dxa"/>
            <w:tcMar>
              <w:top w:w="40" w:type="dxa"/>
              <w:left w:w="60" w:type="dxa"/>
              <w:bottom w:w="40" w:type="dxa"/>
              <w:right w:w="60" w:type="dxa"/>
            </w:tcMar>
          </w:tcPr>
          <w:p w14:paraId="6DFE39B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Improved sympto</w:t>
            </w:r>
            <w:r w:rsidRPr="001913E3">
              <w:rPr>
                <w:rFonts w:ascii="Book Antiqua" w:eastAsia="Book Antiqua" w:hAnsi="Book Antiqua" w:cs="Book Antiqua"/>
              </w:rPr>
              <w:lastRenderedPageBreak/>
              <w:t xml:space="preserve">ms; no recurrence after resuming nivolumab therapy </w:t>
            </w:r>
          </w:p>
        </w:tc>
      </w:tr>
      <w:tr w:rsidR="005A30FE" w:rsidRPr="001913E3" w14:paraId="1B906768" w14:textId="77777777" w:rsidTr="008E3D7E">
        <w:tc>
          <w:tcPr>
            <w:tcW w:w="1125" w:type="dxa"/>
            <w:tcMar>
              <w:top w:w="40" w:type="dxa"/>
              <w:left w:w="60" w:type="dxa"/>
              <w:bottom w:w="40" w:type="dxa"/>
              <w:right w:w="60" w:type="dxa"/>
            </w:tcMar>
          </w:tcPr>
          <w:p w14:paraId="206263EF" w14:textId="7F460A8F" w:rsidR="005A30FE" w:rsidRPr="001913E3" w:rsidRDefault="005A30FE" w:rsidP="009E6664">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Woodford </w:t>
            </w:r>
            <w:r w:rsidR="009E6664" w:rsidRPr="00B36DF5">
              <w:rPr>
                <w:rFonts w:ascii="Book Antiqua" w:eastAsia="Book Antiqua" w:hAnsi="Book Antiqua" w:cs="Book Antiqua"/>
                <w:i/>
              </w:rPr>
              <w:t>et al</w:t>
            </w:r>
            <w:r w:rsidR="009E6664" w:rsidRPr="00B36DF5">
              <w:rPr>
                <w:rFonts w:ascii="Book Antiqua" w:eastAsia="Book Antiqua" w:hAnsi="Book Antiqua" w:cs="Book Antiqua"/>
                <w:vertAlign w:val="superscript"/>
              </w:rPr>
              <w:t>[</w:t>
            </w:r>
            <w:r w:rsidR="009E6664">
              <w:rPr>
                <w:rFonts w:ascii="Book Antiqua" w:eastAsia="Book Antiqua" w:hAnsi="Book Antiqua" w:cs="Book Antiqua"/>
                <w:vertAlign w:val="superscript"/>
              </w:rPr>
              <w:t>5</w:t>
            </w:r>
            <w:r w:rsidR="009E6664" w:rsidRPr="00B36DF5">
              <w:rPr>
                <w:rFonts w:ascii="Book Antiqua" w:eastAsia="Book Antiqua" w:hAnsi="Book Antiqua" w:cs="Book Antiqua"/>
                <w:vertAlign w:val="superscript"/>
              </w:rPr>
              <w:t>]</w:t>
            </w:r>
            <w:r w:rsidR="009E6664">
              <w:rPr>
                <w:rFonts w:ascii="Book Antiqua" w:eastAsia="Book Antiqua" w:hAnsi="Book Antiqua" w:cs="Book Antiqua"/>
              </w:rPr>
              <w:t>,</w:t>
            </w:r>
            <w:r w:rsidRPr="001913E3">
              <w:rPr>
                <w:rFonts w:ascii="Book Antiqua" w:eastAsia="Book Antiqua" w:hAnsi="Book Antiqua" w:cs="Book Antiqua"/>
              </w:rPr>
              <w:t xml:space="preserve"> 2021</w:t>
            </w:r>
          </w:p>
        </w:tc>
        <w:tc>
          <w:tcPr>
            <w:tcW w:w="1095" w:type="dxa"/>
            <w:tcMar>
              <w:top w:w="40" w:type="dxa"/>
              <w:left w:w="60" w:type="dxa"/>
              <w:bottom w:w="40" w:type="dxa"/>
              <w:right w:w="60" w:type="dxa"/>
            </w:tcMar>
          </w:tcPr>
          <w:p w14:paraId="79A08D0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Epigastric pain, intermittent anorexia and nausea</w:t>
            </w:r>
          </w:p>
        </w:tc>
        <w:tc>
          <w:tcPr>
            <w:tcW w:w="1185" w:type="dxa"/>
            <w:tcMar>
              <w:top w:w="40" w:type="dxa"/>
              <w:left w:w="60" w:type="dxa"/>
              <w:bottom w:w="40" w:type="dxa"/>
              <w:right w:w="60" w:type="dxa"/>
            </w:tcMar>
          </w:tcPr>
          <w:p w14:paraId="1F504BF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4 cycles (nivolumab and ipilimumab combination)</w:t>
            </w:r>
          </w:p>
        </w:tc>
        <w:tc>
          <w:tcPr>
            <w:tcW w:w="1365" w:type="dxa"/>
            <w:tcMar>
              <w:top w:w="40" w:type="dxa"/>
              <w:left w:w="60" w:type="dxa"/>
              <w:bottom w:w="40" w:type="dxa"/>
              <w:right w:w="60" w:type="dxa"/>
            </w:tcMar>
          </w:tcPr>
          <w:p w14:paraId="66803D7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CT - stomach wall thickening </w:t>
            </w:r>
          </w:p>
        </w:tc>
        <w:tc>
          <w:tcPr>
            <w:tcW w:w="1560" w:type="dxa"/>
            <w:tcMar>
              <w:top w:w="40" w:type="dxa"/>
              <w:left w:w="60" w:type="dxa"/>
              <w:bottom w:w="40" w:type="dxa"/>
              <w:right w:w="60" w:type="dxa"/>
            </w:tcMar>
          </w:tcPr>
          <w:p w14:paraId="60C3EC0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Erythema, friable gastric mucosa</w:t>
            </w:r>
          </w:p>
        </w:tc>
        <w:tc>
          <w:tcPr>
            <w:tcW w:w="1530" w:type="dxa"/>
            <w:tcMar>
              <w:top w:w="40" w:type="dxa"/>
              <w:left w:w="60" w:type="dxa"/>
              <w:bottom w:w="40" w:type="dxa"/>
              <w:right w:w="60" w:type="dxa"/>
            </w:tcMar>
          </w:tcPr>
          <w:p w14:paraId="5742BFE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Active chronic inflammation, distortion of glandular architecture</w:t>
            </w:r>
          </w:p>
        </w:tc>
        <w:tc>
          <w:tcPr>
            <w:tcW w:w="1305" w:type="dxa"/>
            <w:tcMar>
              <w:top w:w="40" w:type="dxa"/>
              <w:left w:w="60" w:type="dxa"/>
              <w:bottom w:w="40" w:type="dxa"/>
              <w:right w:w="60" w:type="dxa"/>
            </w:tcMar>
          </w:tcPr>
          <w:p w14:paraId="36C8E852" w14:textId="3AE2AE2F"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Pantoprazol</w:t>
            </w:r>
            <w:r w:rsidR="001560A8">
              <w:rPr>
                <w:rFonts w:ascii="Book Antiqua" w:eastAsia="Book Antiqua" w:hAnsi="Book Antiqua" w:cs="Book Antiqua"/>
              </w:rPr>
              <w:t>e</w:t>
            </w:r>
            <w:r w:rsidRPr="001913E3">
              <w:rPr>
                <w:rFonts w:ascii="Book Antiqua" w:eastAsia="Book Antiqua" w:hAnsi="Book Antiqua" w:cs="Book Antiqua"/>
              </w:rPr>
              <w:t>; methylprednisone</w:t>
            </w:r>
          </w:p>
        </w:tc>
        <w:tc>
          <w:tcPr>
            <w:tcW w:w="1125" w:type="dxa"/>
            <w:tcMar>
              <w:top w:w="40" w:type="dxa"/>
              <w:left w:w="60" w:type="dxa"/>
              <w:bottom w:w="40" w:type="dxa"/>
              <w:right w:w="60" w:type="dxa"/>
            </w:tcMar>
          </w:tcPr>
          <w:p w14:paraId="54855EBD" w14:textId="773CA5EC" w:rsidR="005A30FE" w:rsidRPr="001913E3" w:rsidRDefault="00AB1173" w:rsidP="00AB1173">
            <w:pPr>
              <w:spacing w:line="360" w:lineRule="auto"/>
              <w:jc w:val="both"/>
              <w:rPr>
                <w:rFonts w:ascii="Book Antiqua" w:eastAsia="Book Antiqua" w:hAnsi="Book Antiqua" w:cs="Book Antiqua"/>
              </w:rPr>
            </w:pPr>
            <w:r>
              <w:rPr>
                <w:rFonts w:ascii="Book Antiqua" w:eastAsia="Book Antiqua" w:hAnsi="Book Antiqua" w:cs="Book Antiqua"/>
              </w:rPr>
              <w:t>Pain aggravation after 2 wk</w:t>
            </w:r>
            <w:r w:rsidR="005A30FE" w:rsidRPr="001913E3">
              <w:rPr>
                <w:rFonts w:ascii="Book Antiqua" w:eastAsia="Book Antiqua" w:hAnsi="Book Antiqua" w:cs="Book Antiqua"/>
              </w:rPr>
              <w:t>. Recurrent gastritis 12 mo later</w:t>
            </w:r>
          </w:p>
        </w:tc>
      </w:tr>
      <w:tr w:rsidR="005A30FE" w:rsidRPr="001913E3" w14:paraId="57EAC604" w14:textId="77777777" w:rsidTr="008E3D7E">
        <w:tc>
          <w:tcPr>
            <w:tcW w:w="1125" w:type="dxa"/>
            <w:tcMar>
              <w:top w:w="40" w:type="dxa"/>
              <w:left w:w="60" w:type="dxa"/>
              <w:bottom w:w="40" w:type="dxa"/>
              <w:right w:w="60" w:type="dxa"/>
            </w:tcMar>
          </w:tcPr>
          <w:p w14:paraId="0DDBC618" w14:textId="43831CC6" w:rsidR="005A30FE" w:rsidRPr="001913E3" w:rsidRDefault="005A30FE" w:rsidP="00585004">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Bazarbashi </w:t>
            </w:r>
            <w:r w:rsidR="00585004" w:rsidRPr="00B36DF5">
              <w:rPr>
                <w:rFonts w:ascii="Book Antiqua" w:eastAsia="Book Antiqua" w:hAnsi="Book Antiqua" w:cs="Book Antiqua"/>
                <w:i/>
              </w:rPr>
              <w:t>et al</w:t>
            </w:r>
            <w:r w:rsidR="00585004" w:rsidRPr="00B36DF5">
              <w:rPr>
                <w:rFonts w:ascii="Book Antiqua" w:eastAsia="Book Antiqua" w:hAnsi="Book Antiqua" w:cs="Book Antiqua"/>
                <w:vertAlign w:val="superscript"/>
              </w:rPr>
              <w:t>[</w:t>
            </w:r>
            <w:r w:rsidR="00585004">
              <w:rPr>
                <w:rFonts w:ascii="Book Antiqua" w:eastAsia="Book Antiqua" w:hAnsi="Book Antiqua" w:cs="Book Antiqua"/>
                <w:vertAlign w:val="superscript"/>
              </w:rPr>
              <w:t>14</w:t>
            </w:r>
            <w:r w:rsidR="00585004" w:rsidRPr="00B36DF5">
              <w:rPr>
                <w:rFonts w:ascii="Book Antiqua" w:eastAsia="Book Antiqua" w:hAnsi="Book Antiqua" w:cs="Book Antiqua"/>
                <w:vertAlign w:val="superscript"/>
              </w:rPr>
              <w:t>]</w:t>
            </w:r>
            <w:r w:rsidR="00585004">
              <w:rPr>
                <w:rFonts w:ascii="Book Antiqua" w:eastAsia="Book Antiqua" w:hAnsi="Book Antiqua" w:cs="Book Antiqua"/>
              </w:rPr>
              <w:t>,</w:t>
            </w:r>
            <w:r w:rsidRPr="001913E3">
              <w:rPr>
                <w:rFonts w:ascii="Book Antiqua" w:eastAsia="Book Antiqua" w:hAnsi="Book Antiqua" w:cs="Book Antiqua"/>
              </w:rPr>
              <w:t xml:space="preserve"> 2020</w:t>
            </w:r>
          </w:p>
        </w:tc>
        <w:tc>
          <w:tcPr>
            <w:tcW w:w="1095" w:type="dxa"/>
            <w:tcMar>
              <w:top w:w="40" w:type="dxa"/>
              <w:left w:w="60" w:type="dxa"/>
              <w:bottom w:w="40" w:type="dxa"/>
              <w:right w:w="60" w:type="dxa"/>
            </w:tcMar>
          </w:tcPr>
          <w:p w14:paraId="434B3AD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Mild epigastric discomfort</w:t>
            </w:r>
          </w:p>
        </w:tc>
        <w:tc>
          <w:tcPr>
            <w:tcW w:w="1185" w:type="dxa"/>
            <w:tcMar>
              <w:top w:w="40" w:type="dxa"/>
              <w:left w:w="60" w:type="dxa"/>
              <w:bottom w:w="40" w:type="dxa"/>
              <w:right w:w="60" w:type="dxa"/>
            </w:tcMar>
          </w:tcPr>
          <w:p w14:paraId="381E40AC" w14:textId="3F75EB62"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4 doses </w:t>
            </w:r>
            <w:r w:rsidR="00255261">
              <w:rPr>
                <w:rFonts w:ascii="Book Antiqua" w:eastAsia="Book Antiqua" w:hAnsi="Book Antiqua" w:cs="Book Antiqua"/>
              </w:rPr>
              <w:t>of nivolumab monotherapy (16 wk</w:t>
            </w:r>
            <w:r w:rsidRPr="001913E3">
              <w:rPr>
                <w:rFonts w:ascii="Book Antiqua" w:eastAsia="Book Antiqua" w:hAnsi="Book Antiqua" w:cs="Book Antiqua"/>
              </w:rPr>
              <w:t>) then switched to nivolumab and + ipilimum</w:t>
            </w:r>
            <w:r w:rsidR="00255261">
              <w:rPr>
                <w:rFonts w:ascii="Book Antiqua" w:eastAsia="Book Antiqua" w:hAnsi="Book Antiqua" w:cs="Book Antiqua"/>
              </w:rPr>
              <w:t xml:space="preserve">ab </w:t>
            </w:r>
            <w:r w:rsidR="00255261">
              <w:rPr>
                <w:rFonts w:ascii="Book Antiqua" w:eastAsia="Book Antiqua" w:hAnsi="Book Antiqua" w:cs="Book Antiqua"/>
              </w:rPr>
              <w:lastRenderedPageBreak/>
              <w:t>combination (2 doses, 4 wk</w:t>
            </w:r>
            <w:r w:rsidRPr="001913E3">
              <w:rPr>
                <w:rFonts w:ascii="Book Antiqua" w:eastAsia="Book Antiqua" w:hAnsi="Book Antiqua" w:cs="Book Antiqua"/>
              </w:rPr>
              <w:t>)</w:t>
            </w:r>
          </w:p>
        </w:tc>
        <w:tc>
          <w:tcPr>
            <w:tcW w:w="1365" w:type="dxa"/>
            <w:tcMar>
              <w:top w:w="40" w:type="dxa"/>
              <w:left w:w="60" w:type="dxa"/>
              <w:bottom w:w="40" w:type="dxa"/>
              <w:right w:w="60" w:type="dxa"/>
            </w:tcMar>
          </w:tcPr>
          <w:p w14:paraId="7BA3E12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Abdominal and pelvic CT - unremarkable</w:t>
            </w:r>
          </w:p>
        </w:tc>
        <w:tc>
          <w:tcPr>
            <w:tcW w:w="1560" w:type="dxa"/>
            <w:tcMar>
              <w:top w:w="40" w:type="dxa"/>
              <w:left w:w="60" w:type="dxa"/>
              <w:bottom w:w="40" w:type="dxa"/>
              <w:right w:w="60" w:type="dxa"/>
            </w:tcMar>
          </w:tcPr>
          <w:p w14:paraId="5901406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Hemorrhagic and inflamed gastric mucosa with exudate </w:t>
            </w:r>
          </w:p>
        </w:tc>
        <w:tc>
          <w:tcPr>
            <w:tcW w:w="1530" w:type="dxa"/>
            <w:tcMar>
              <w:top w:w="40" w:type="dxa"/>
              <w:left w:w="60" w:type="dxa"/>
              <w:bottom w:w="40" w:type="dxa"/>
              <w:right w:w="60" w:type="dxa"/>
            </w:tcMar>
          </w:tcPr>
          <w:p w14:paraId="201081E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Active chronic inflammation, intraepithelial lymphocytosis, increased apoptotic activity</w:t>
            </w:r>
          </w:p>
        </w:tc>
        <w:tc>
          <w:tcPr>
            <w:tcW w:w="1305" w:type="dxa"/>
            <w:tcMar>
              <w:top w:w="40" w:type="dxa"/>
              <w:left w:w="60" w:type="dxa"/>
              <w:bottom w:w="40" w:type="dxa"/>
              <w:right w:w="60" w:type="dxa"/>
            </w:tcMar>
          </w:tcPr>
          <w:p w14:paraId="3454C75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Prednisone </w:t>
            </w:r>
          </w:p>
        </w:tc>
        <w:tc>
          <w:tcPr>
            <w:tcW w:w="1125" w:type="dxa"/>
            <w:tcMar>
              <w:top w:w="40" w:type="dxa"/>
              <w:left w:w="60" w:type="dxa"/>
              <w:bottom w:w="40" w:type="dxa"/>
              <w:right w:w="60" w:type="dxa"/>
            </w:tcMar>
          </w:tcPr>
          <w:p w14:paraId="336F826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 Continual endoscopically observed resolution of inflamm</w:t>
            </w:r>
            <w:r w:rsidRPr="001913E3">
              <w:rPr>
                <w:rFonts w:ascii="Book Antiqua" w:eastAsia="Book Antiqua" w:hAnsi="Book Antiqua" w:cs="Book Antiqua"/>
              </w:rPr>
              <w:lastRenderedPageBreak/>
              <w:t xml:space="preserve">ation </w:t>
            </w:r>
          </w:p>
        </w:tc>
      </w:tr>
      <w:tr w:rsidR="005A30FE" w:rsidRPr="001913E3" w14:paraId="6EE9275C" w14:textId="77777777" w:rsidTr="008E3D7E">
        <w:tc>
          <w:tcPr>
            <w:tcW w:w="1125" w:type="dxa"/>
            <w:tcMar>
              <w:top w:w="40" w:type="dxa"/>
              <w:left w:w="60" w:type="dxa"/>
              <w:bottom w:w="40" w:type="dxa"/>
              <w:right w:w="60" w:type="dxa"/>
            </w:tcMar>
          </w:tcPr>
          <w:p w14:paraId="64BB796B" w14:textId="45B18372" w:rsidR="005A30FE" w:rsidRPr="001913E3" w:rsidRDefault="005A30FE" w:rsidP="00585004">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Rovedatti </w:t>
            </w:r>
            <w:r w:rsidR="00585004" w:rsidRPr="00B36DF5">
              <w:rPr>
                <w:rFonts w:ascii="Book Antiqua" w:eastAsia="Book Antiqua" w:hAnsi="Book Antiqua" w:cs="Book Antiqua"/>
                <w:i/>
              </w:rPr>
              <w:t>et al</w:t>
            </w:r>
            <w:r w:rsidR="00585004" w:rsidRPr="00B36DF5">
              <w:rPr>
                <w:rFonts w:ascii="Book Antiqua" w:eastAsia="Book Antiqua" w:hAnsi="Book Antiqua" w:cs="Book Antiqua"/>
                <w:vertAlign w:val="superscript"/>
              </w:rPr>
              <w:t>[</w:t>
            </w:r>
            <w:r w:rsidR="00585004">
              <w:rPr>
                <w:rFonts w:ascii="Book Antiqua" w:eastAsia="Book Antiqua" w:hAnsi="Book Antiqua" w:cs="Book Antiqua"/>
                <w:vertAlign w:val="superscript"/>
              </w:rPr>
              <w:t>7</w:t>
            </w:r>
            <w:r w:rsidR="00585004" w:rsidRPr="00B36DF5">
              <w:rPr>
                <w:rFonts w:ascii="Book Antiqua" w:eastAsia="Book Antiqua" w:hAnsi="Book Antiqua" w:cs="Book Antiqua"/>
                <w:vertAlign w:val="superscript"/>
              </w:rPr>
              <w:t>]</w:t>
            </w:r>
            <w:r w:rsidR="00585004">
              <w:rPr>
                <w:rFonts w:ascii="Book Antiqua" w:eastAsia="Book Antiqua" w:hAnsi="Book Antiqua" w:cs="Book Antiqua"/>
              </w:rPr>
              <w:t>,</w:t>
            </w:r>
            <w:r w:rsidRPr="001913E3">
              <w:rPr>
                <w:rFonts w:ascii="Book Antiqua" w:eastAsia="Book Antiqua" w:hAnsi="Book Antiqua" w:cs="Book Antiqua"/>
              </w:rPr>
              <w:t xml:space="preserve"> 2020</w:t>
            </w:r>
          </w:p>
        </w:tc>
        <w:tc>
          <w:tcPr>
            <w:tcW w:w="1095" w:type="dxa"/>
            <w:tcMar>
              <w:top w:w="40" w:type="dxa"/>
              <w:left w:w="60" w:type="dxa"/>
              <w:bottom w:w="40" w:type="dxa"/>
              <w:right w:w="60" w:type="dxa"/>
            </w:tcMar>
          </w:tcPr>
          <w:p w14:paraId="072DE24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Epigastric pain, loss of appetite</w:t>
            </w:r>
          </w:p>
        </w:tc>
        <w:tc>
          <w:tcPr>
            <w:tcW w:w="1185" w:type="dxa"/>
            <w:tcMar>
              <w:top w:w="40" w:type="dxa"/>
              <w:left w:w="60" w:type="dxa"/>
              <w:bottom w:w="40" w:type="dxa"/>
              <w:right w:w="60" w:type="dxa"/>
            </w:tcMar>
          </w:tcPr>
          <w:p w14:paraId="064E808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12 cycles</w:t>
            </w:r>
          </w:p>
        </w:tc>
        <w:tc>
          <w:tcPr>
            <w:tcW w:w="1365" w:type="dxa"/>
            <w:tcMar>
              <w:top w:w="40" w:type="dxa"/>
              <w:left w:w="60" w:type="dxa"/>
              <w:bottom w:w="40" w:type="dxa"/>
              <w:right w:w="60" w:type="dxa"/>
            </w:tcMar>
          </w:tcPr>
          <w:p w14:paraId="0CA69B5C" w14:textId="29D3E7C5"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560" w:type="dxa"/>
            <w:tcMar>
              <w:top w:w="40" w:type="dxa"/>
              <w:left w:w="60" w:type="dxa"/>
              <w:bottom w:w="40" w:type="dxa"/>
              <w:right w:w="60" w:type="dxa"/>
            </w:tcMar>
          </w:tcPr>
          <w:p w14:paraId="6EA2CEB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color w:val="000000"/>
              </w:rPr>
              <w:t>Diffuse</w:t>
            </w:r>
            <w:r w:rsidRPr="001913E3">
              <w:rPr>
                <w:rFonts w:ascii="Book Antiqua" w:eastAsia="Book Antiqua" w:hAnsi="Book Antiqua" w:cs="Book Antiqua"/>
              </w:rPr>
              <w:t xml:space="preserve"> ulcerations covered </w:t>
            </w:r>
            <w:r w:rsidRPr="001913E3">
              <w:rPr>
                <w:rFonts w:ascii="Book Antiqua" w:eastAsia="Book Antiqua" w:hAnsi="Book Antiqua" w:cs="Book Antiqua"/>
                <w:color w:val="000000"/>
              </w:rPr>
              <w:t>with</w:t>
            </w:r>
            <w:r w:rsidRPr="001913E3">
              <w:rPr>
                <w:rFonts w:ascii="Book Antiqua" w:eastAsia="Book Antiqua" w:hAnsi="Book Antiqua" w:cs="Book Antiqua"/>
              </w:rPr>
              <w:t xml:space="preserve"> fibrin-like membranes, erythematous friable gastric mucosa</w:t>
            </w:r>
          </w:p>
        </w:tc>
        <w:tc>
          <w:tcPr>
            <w:tcW w:w="1530" w:type="dxa"/>
            <w:tcMar>
              <w:top w:w="40" w:type="dxa"/>
              <w:left w:w="60" w:type="dxa"/>
              <w:bottom w:w="40" w:type="dxa"/>
              <w:right w:w="60" w:type="dxa"/>
            </w:tcMar>
          </w:tcPr>
          <w:p w14:paraId="76E2434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Lymphoplasmocytic and neutrophilic infiltration, microabscesses, apoptotic bodies, reactive epithelial cell atypia</w:t>
            </w:r>
          </w:p>
        </w:tc>
        <w:tc>
          <w:tcPr>
            <w:tcW w:w="1305" w:type="dxa"/>
            <w:tcMar>
              <w:top w:w="40" w:type="dxa"/>
              <w:left w:w="60" w:type="dxa"/>
              <w:bottom w:w="40" w:type="dxa"/>
              <w:right w:w="60" w:type="dxa"/>
            </w:tcMar>
          </w:tcPr>
          <w:p w14:paraId="613D2A4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Prednisone, pantoprazole, cessation of nivolumab</w:t>
            </w:r>
          </w:p>
        </w:tc>
        <w:tc>
          <w:tcPr>
            <w:tcW w:w="1125" w:type="dxa"/>
            <w:tcMar>
              <w:top w:w="40" w:type="dxa"/>
              <w:left w:w="60" w:type="dxa"/>
              <w:bottom w:w="40" w:type="dxa"/>
              <w:right w:w="60" w:type="dxa"/>
            </w:tcMar>
          </w:tcPr>
          <w:p w14:paraId="028CCEE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Improved symptoms. Endoscopic and histologic remission. </w:t>
            </w:r>
          </w:p>
        </w:tc>
      </w:tr>
      <w:tr w:rsidR="005A30FE" w:rsidRPr="001913E3" w14:paraId="3F7F7795" w14:textId="77777777" w:rsidTr="008E3D7E">
        <w:tc>
          <w:tcPr>
            <w:tcW w:w="1125" w:type="dxa"/>
            <w:tcMar>
              <w:top w:w="40" w:type="dxa"/>
              <w:left w:w="60" w:type="dxa"/>
              <w:bottom w:w="40" w:type="dxa"/>
              <w:right w:w="60" w:type="dxa"/>
            </w:tcMar>
          </w:tcPr>
          <w:p w14:paraId="0197F947" w14:textId="06358E28" w:rsidR="005A30FE" w:rsidRPr="001913E3" w:rsidRDefault="005A30FE" w:rsidP="00585004">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Vindum </w:t>
            </w:r>
            <w:r w:rsidR="00585004" w:rsidRPr="00B36DF5">
              <w:rPr>
                <w:rFonts w:ascii="Book Antiqua" w:eastAsia="Book Antiqua" w:hAnsi="Book Antiqua" w:cs="Book Antiqua"/>
                <w:i/>
              </w:rPr>
              <w:t>et al</w:t>
            </w:r>
            <w:r w:rsidR="00585004" w:rsidRPr="00B36DF5">
              <w:rPr>
                <w:rFonts w:ascii="Book Antiqua" w:eastAsia="Book Antiqua" w:hAnsi="Book Antiqua" w:cs="Book Antiqua"/>
                <w:vertAlign w:val="superscript"/>
              </w:rPr>
              <w:t>[</w:t>
            </w:r>
            <w:r w:rsidR="00585004">
              <w:rPr>
                <w:rFonts w:ascii="Book Antiqua" w:eastAsia="Book Antiqua" w:hAnsi="Book Antiqua" w:cs="Book Antiqua"/>
                <w:vertAlign w:val="superscript"/>
              </w:rPr>
              <w:t>8</w:t>
            </w:r>
            <w:r w:rsidR="00585004" w:rsidRPr="00B36DF5">
              <w:rPr>
                <w:rFonts w:ascii="Book Antiqua" w:eastAsia="Book Antiqua" w:hAnsi="Book Antiqua" w:cs="Book Antiqua"/>
                <w:vertAlign w:val="superscript"/>
              </w:rPr>
              <w:t>]</w:t>
            </w:r>
            <w:r w:rsidR="00585004">
              <w:rPr>
                <w:rFonts w:ascii="Book Antiqua" w:eastAsia="Book Antiqua" w:hAnsi="Book Antiqua" w:cs="Book Antiqua"/>
              </w:rPr>
              <w:t>,</w:t>
            </w:r>
            <w:r w:rsidRPr="001913E3">
              <w:rPr>
                <w:rFonts w:ascii="Book Antiqua" w:eastAsia="Book Antiqua" w:hAnsi="Book Antiqua" w:cs="Book Antiqua"/>
              </w:rPr>
              <w:t xml:space="preserve"> 2020 </w:t>
            </w:r>
          </w:p>
        </w:tc>
        <w:tc>
          <w:tcPr>
            <w:tcW w:w="1095" w:type="dxa"/>
            <w:tcMar>
              <w:top w:w="40" w:type="dxa"/>
              <w:left w:w="60" w:type="dxa"/>
              <w:bottom w:w="40" w:type="dxa"/>
              <w:right w:w="60" w:type="dxa"/>
            </w:tcMar>
          </w:tcPr>
          <w:p w14:paraId="3E42BEC8"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Anorexia, vomiting, nausea, epigastric pain, weight loss </w:t>
            </w:r>
          </w:p>
        </w:tc>
        <w:tc>
          <w:tcPr>
            <w:tcW w:w="1185" w:type="dxa"/>
            <w:tcMar>
              <w:top w:w="40" w:type="dxa"/>
              <w:left w:w="60" w:type="dxa"/>
              <w:bottom w:w="40" w:type="dxa"/>
              <w:right w:w="60" w:type="dxa"/>
            </w:tcMar>
          </w:tcPr>
          <w:p w14:paraId="219DDC0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6 doses</w:t>
            </w:r>
          </w:p>
        </w:tc>
        <w:tc>
          <w:tcPr>
            <w:tcW w:w="1365" w:type="dxa"/>
            <w:tcMar>
              <w:top w:w="40" w:type="dxa"/>
              <w:left w:w="60" w:type="dxa"/>
              <w:bottom w:w="40" w:type="dxa"/>
              <w:right w:w="60" w:type="dxa"/>
            </w:tcMar>
          </w:tcPr>
          <w:p w14:paraId="05FF88AB" w14:textId="0DF062C4"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PET/CT - FDG-uptake in the gastric wall</w:t>
            </w:r>
          </w:p>
        </w:tc>
        <w:tc>
          <w:tcPr>
            <w:tcW w:w="1560" w:type="dxa"/>
            <w:tcMar>
              <w:top w:w="40" w:type="dxa"/>
              <w:left w:w="60" w:type="dxa"/>
              <w:bottom w:w="40" w:type="dxa"/>
              <w:right w:w="60" w:type="dxa"/>
            </w:tcMar>
          </w:tcPr>
          <w:p w14:paraId="372AB0E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Erythematous gastric mucosa with fibrinous erosions</w:t>
            </w:r>
          </w:p>
        </w:tc>
        <w:tc>
          <w:tcPr>
            <w:tcW w:w="1530" w:type="dxa"/>
            <w:tcMar>
              <w:top w:w="40" w:type="dxa"/>
              <w:left w:w="60" w:type="dxa"/>
              <w:bottom w:w="40" w:type="dxa"/>
              <w:right w:w="60" w:type="dxa"/>
            </w:tcMar>
          </w:tcPr>
          <w:p w14:paraId="7BD0A0B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Chronic active pangastritis. Neutrophilic and lymphocytic epithelial infiltration, crypt abscesses, lymphoplasmacytic infiltration in lamina </w:t>
            </w:r>
            <w:r w:rsidRPr="001913E3">
              <w:rPr>
                <w:rFonts w:ascii="Book Antiqua" w:eastAsia="Book Antiqua" w:hAnsi="Book Antiqua" w:cs="Book Antiqua"/>
              </w:rPr>
              <w:lastRenderedPageBreak/>
              <w:t xml:space="preserve">propria </w:t>
            </w:r>
          </w:p>
        </w:tc>
        <w:tc>
          <w:tcPr>
            <w:tcW w:w="1305" w:type="dxa"/>
            <w:tcMar>
              <w:top w:w="40" w:type="dxa"/>
              <w:left w:w="60" w:type="dxa"/>
              <w:bottom w:w="40" w:type="dxa"/>
              <w:right w:w="60" w:type="dxa"/>
            </w:tcMar>
          </w:tcPr>
          <w:p w14:paraId="0DB3A6A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1</w:t>
            </w:r>
            <w:r w:rsidRPr="00255261">
              <w:rPr>
                <w:rFonts w:ascii="Book Antiqua" w:eastAsia="Book Antiqua" w:hAnsi="Book Antiqua" w:cs="Book Antiqua"/>
                <w:vertAlign w:val="superscript"/>
              </w:rPr>
              <w:t>st</w:t>
            </w:r>
            <w:r w:rsidRPr="001913E3">
              <w:rPr>
                <w:rFonts w:ascii="Book Antiqua" w:eastAsia="Book Antiqua" w:hAnsi="Book Antiqua" w:cs="Book Antiqua"/>
              </w:rPr>
              <w:t xml:space="preserve"> admission – low dose prednisone; 2</w:t>
            </w:r>
            <w:r w:rsidRPr="009E0AC5">
              <w:rPr>
                <w:rFonts w:ascii="Book Antiqua" w:eastAsia="Book Antiqua" w:hAnsi="Book Antiqua" w:cs="Book Antiqua"/>
                <w:vertAlign w:val="superscript"/>
              </w:rPr>
              <w:t>nd</w:t>
            </w:r>
            <w:r w:rsidRPr="001913E3">
              <w:rPr>
                <w:rFonts w:ascii="Book Antiqua" w:eastAsia="Book Antiqua" w:hAnsi="Book Antiqua" w:cs="Book Antiqua"/>
              </w:rPr>
              <w:t xml:space="preserve"> admission - high dose methylprednisone (80 mg), pantoprazole </w:t>
            </w:r>
          </w:p>
        </w:tc>
        <w:tc>
          <w:tcPr>
            <w:tcW w:w="1125" w:type="dxa"/>
            <w:tcMar>
              <w:top w:w="40" w:type="dxa"/>
              <w:left w:w="60" w:type="dxa"/>
              <w:bottom w:w="40" w:type="dxa"/>
              <w:right w:w="60" w:type="dxa"/>
            </w:tcMar>
          </w:tcPr>
          <w:p w14:paraId="400CA0BE" w14:textId="0CD35F4D" w:rsidR="005A30FE" w:rsidRPr="001913E3" w:rsidRDefault="005A30FE" w:rsidP="00B06AC7">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 after 3 mo of treatment. Radiological and clinical remission</w:t>
            </w:r>
          </w:p>
        </w:tc>
      </w:tr>
      <w:tr w:rsidR="005A30FE" w:rsidRPr="001913E3" w14:paraId="47ECEEAF" w14:textId="77777777" w:rsidTr="008E3D7E">
        <w:tc>
          <w:tcPr>
            <w:tcW w:w="1125" w:type="dxa"/>
            <w:tcMar>
              <w:top w:w="40" w:type="dxa"/>
              <w:left w:w="60" w:type="dxa"/>
              <w:bottom w:w="40" w:type="dxa"/>
              <w:right w:w="60" w:type="dxa"/>
            </w:tcMar>
          </w:tcPr>
          <w:p w14:paraId="181B71D0" w14:textId="5840A6C1" w:rsidR="005A30FE" w:rsidRPr="001913E3" w:rsidRDefault="005A30FE" w:rsidP="00D91D4D">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Mubder </w:t>
            </w:r>
            <w:r w:rsidR="00D91D4D" w:rsidRPr="00B36DF5">
              <w:rPr>
                <w:rFonts w:ascii="Book Antiqua" w:eastAsia="Book Antiqua" w:hAnsi="Book Antiqua" w:cs="Book Antiqua"/>
                <w:i/>
              </w:rPr>
              <w:t>et al</w:t>
            </w:r>
            <w:r w:rsidR="00D91D4D" w:rsidRPr="00B36DF5">
              <w:rPr>
                <w:rFonts w:ascii="Book Antiqua" w:eastAsia="Book Antiqua" w:hAnsi="Book Antiqua" w:cs="Book Antiqua"/>
                <w:vertAlign w:val="superscript"/>
              </w:rPr>
              <w:t>[</w:t>
            </w:r>
            <w:r w:rsidR="00D91D4D">
              <w:rPr>
                <w:rFonts w:ascii="Book Antiqua" w:eastAsia="Book Antiqua" w:hAnsi="Book Antiqua" w:cs="Book Antiqua"/>
                <w:vertAlign w:val="superscript"/>
              </w:rPr>
              <w:t>15</w:t>
            </w:r>
            <w:r w:rsidR="00D91D4D" w:rsidRPr="00B36DF5">
              <w:rPr>
                <w:rFonts w:ascii="Book Antiqua" w:eastAsia="Book Antiqua" w:hAnsi="Book Antiqua" w:cs="Book Antiqua"/>
                <w:vertAlign w:val="superscript"/>
              </w:rPr>
              <w:t>]</w:t>
            </w:r>
            <w:r w:rsidR="00D91D4D">
              <w:rPr>
                <w:rFonts w:ascii="Book Antiqua" w:eastAsia="Book Antiqua" w:hAnsi="Book Antiqua" w:cs="Book Antiqua"/>
              </w:rPr>
              <w:t>,</w:t>
            </w:r>
            <w:r w:rsidRPr="001913E3">
              <w:rPr>
                <w:rFonts w:ascii="Book Antiqua" w:eastAsia="Book Antiqua" w:hAnsi="Book Antiqua" w:cs="Book Antiqua"/>
              </w:rPr>
              <w:t xml:space="preserve"> 2020</w:t>
            </w:r>
          </w:p>
        </w:tc>
        <w:tc>
          <w:tcPr>
            <w:tcW w:w="1095" w:type="dxa"/>
            <w:tcMar>
              <w:top w:w="40" w:type="dxa"/>
              <w:left w:w="60" w:type="dxa"/>
              <w:bottom w:w="40" w:type="dxa"/>
              <w:right w:w="60" w:type="dxa"/>
            </w:tcMar>
          </w:tcPr>
          <w:p w14:paraId="6FE9F48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Anorexia, nausea, vomiting, abdominal pain</w:t>
            </w:r>
          </w:p>
        </w:tc>
        <w:tc>
          <w:tcPr>
            <w:tcW w:w="1185" w:type="dxa"/>
            <w:tcMar>
              <w:top w:w="40" w:type="dxa"/>
              <w:left w:w="60" w:type="dxa"/>
              <w:bottom w:w="40" w:type="dxa"/>
              <w:right w:w="60" w:type="dxa"/>
            </w:tcMar>
          </w:tcPr>
          <w:p w14:paraId="7D55DEB0" w14:textId="23FBD428" w:rsidR="005A30FE" w:rsidRPr="001913E3" w:rsidRDefault="005A30FE" w:rsidP="00B06AC7">
            <w:pPr>
              <w:spacing w:line="360" w:lineRule="auto"/>
              <w:jc w:val="both"/>
              <w:rPr>
                <w:rFonts w:ascii="Book Antiqua" w:eastAsia="Book Antiqua" w:hAnsi="Book Antiqua" w:cs="Book Antiqua"/>
              </w:rPr>
            </w:pPr>
            <w:r w:rsidRPr="001913E3">
              <w:rPr>
                <w:rFonts w:ascii="Book Antiqua" w:eastAsia="Book Antiqua" w:hAnsi="Book Antiqua" w:cs="Book Antiqua"/>
              </w:rPr>
              <w:t>3 mo</w:t>
            </w:r>
          </w:p>
        </w:tc>
        <w:tc>
          <w:tcPr>
            <w:tcW w:w="1365" w:type="dxa"/>
            <w:tcMar>
              <w:top w:w="40" w:type="dxa"/>
              <w:left w:w="60" w:type="dxa"/>
              <w:bottom w:w="40" w:type="dxa"/>
              <w:right w:w="60" w:type="dxa"/>
            </w:tcMar>
          </w:tcPr>
          <w:p w14:paraId="624D007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Abdominal and pelvic CT - unremarkable </w:t>
            </w:r>
          </w:p>
        </w:tc>
        <w:tc>
          <w:tcPr>
            <w:tcW w:w="1560" w:type="dxa"/>
            <w:tcMar>
              <w:top w:w="40" w:type="dxa"/>
              <w:left w:w="60" w:type="dxa"/>
              <w:bottom w:w="40" w:type="dxa"/>
              <w:right w:w="60" w:type="dxa"/>
            </w:tcMar>
          </w:tcPr>
          <w:p w14:paraId="3F16EEA7" w14:textId="1EA13B2D" w:rsidR="005A30FE" w:rsidRPr="001913E3" w:rsidRDefault="00B06AC7" w:rsidP="001913E3">
            <w:pPr>
              <w:spacing w:line="360" w:lineRule="auto"/>
              <w:jc w:val="both"/>
              <w:rPr>
                <w:rFonts w:ascii="Book Antiqua" w:eastAsia="Book Antiqua" w:hAnsi="Book Antiqua" w:cs="Book Antiqua"/>
              </w:rPr>
            </w:pPr>
            <w:r>
              <w:rPr>
                <w:rFonts w:ascii="Book Antiqua" w:eastAsia="Book Antiqua" w:hAnsi="Book Antiqua" w:cs="Book Antiqua"/>
              </w:rPr>
              <w:t>Active gastritis</w:t>
            </w:r>
          </w:p>
        </w:tc>
        <w:tc>
          <w:tcPr>
            <w:tcW w:w="1530" w:type="dxa"/>
            <w:tcMar>
              <w:top w:w="40" w:type="dxa"/>
              <w:left w:w="60" w:type="dxa"/>
              <w:bottom w:w="40" w:type="dxa"/>
              <w:right w:w="60" w:type="dxa"/>
            </w:tcMar>
          </w:tcPr>
          <w:p w14:paraId="6DCE635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Severe acute gastritis with necro-inflammatory debris. Glandular destruction, lymphoplasmacytic infiltration</w:t>
            </w:r>
          </w:p>
        </w:tc>
        <w:tc>
          <w:tcPr>
            <w:tcW w:w="1305" w:type="dxa"/>
            <w:tcMar>
              <w:top w:w="40" w:type="dxa"/>
              <w:left w:w="60" w:type="dxa"/>
              <w:bottom w:w="40" w:type="dxa"/>
              <w:right w:w="60" w:type="dxa"/>
            </w:tcMar>
          </w:tcPr>
          <w:p w14:paraId="21C514C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125" w:type="dxa"/>
            <w:tcMar>
              <w:top w:w="40" w:type="dxa"/>
              <w:left w:w="60" w:type="dxa"/>
              <w:bottom w:w="40" w:type="dxa"/>
              <w:right w:w="60" w:type="dxa"/>
            </w:tcMar>
          </w:tcPr>
          <w:p w14:paraId="20BB2E5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r>
      <w:tr w:rsidR="005A30FE" w:rsidRPr="001913E3" w14:paraId="35EAA1E1" w14:textId="77777777" w:rsidTr="008E3D7E">
        <w:tc>
          <w:tcPr>
            <w:tcW w:w="1125" w:type="dxa"/>
            <w:tcMar>
              <w:top w:w="40" w:type="dxa"/>
              <w:left w:w="60" w:type="dxa"/>
              <w:bottom w:w="40" w:type="dxa"/>
              <w:right w:w="60" w:type="dxa"/>
            </w:tcMar>
          </w:tcPr>
          <w:p w14:paraId="678D82D1" w14:textId="5F53428A" w:rsidR="005A30FE" w:rsidRPr="001913E3" w:rsidRDefault="005A30FE" w:rsidP="000C6211">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Martínez-Acitores de la Mata </w:t>
            </w:r>
            <w:r w:rsidR="000C6211" w:rsidRPr="00B36DF5">
              <w:rPr>
                <w:rFonts w:ascii="Book Antiqua" w:eastAsia="Book Antiqua" w:hAnsi="Book Antiqua" w:cs="Book Antiqua"/>
                <w:i/>
              </w:rPr>
              <w:t>et al</w:t>
            </w:r>
            <w:r w:rsidR="000C6211" w:rsidRPr="00B36DF5">
              <w:rPr>
                <w:rFonts w:ascii="Book Antiqua" w:eastAsia="Book Antiqua" w:hAnsi="Book Antiqua" w:cs="Book Antiqua"/>
                <w:vertAlign w:val="superscript"/>
              </w:rPr>
              <w:t>[</w:t>
            </w:r>
            <w:r w:rsidR="000C6211">
              <w:rPr>
                <w:rFonts w:ascii="Book Antiqua" w:eastAsia="Book Antiqua" w:hAnsi="Book Antiqua" w:cs="Book Antiqua"/>
                <w:vertAlign w:val="superscript"/>
              </w:rPr>
              <w:t>16</w:t>
            </w:r>
            <w:r w:rsidR="000C6211" w:rsidRPr="00B36DF5">
              <w:rPr>
                <w:rFonts w:ascii="Book Antiqua" w:eastAsia="Book Antiqua" w:hAnsi="Book Antiqua" w:cs="Book Antiqua"/>
                <w:vertAlign w:val="superscript"/>
              </w:rPr>
              <w:t>]</w:t>
            </w:r>
            <w:r w:rsidR="000C6211">
              <w:rPr>
                <w:rFonts w:ascii="Book Antiqua" w:eastAsia="Book Antiqua" w:hAnsi="Book Antiqua" w:cs="Book Antiqua"/>
              </w:rPr>
              <w:t>,</w:t>
            </w:r>
            <w:r w:rsidRPr="001913E3">
              <w:rPr>
                <w:rFonts w:ascii="Book Antiqua" w:eastAsia="Book Antiqua" w:hAnsi="Book Antiqua" w:cs="Book Antiqua"/>
              </w:rPr>
              <w:t xml:space="preserve"> 2020</w:t>
            </w:r>
          </w:p>
        </w:tc>
        <w:tc>
          <w:tcPr>
            <w:tcW w:w="1095" w:type="dxa"/>
            <w:tcMar>
              <w:top w:w="40" w:type="dxa"/>
              <w:left w:w="60" w:type="dxa"/>
              <w:bottom w:w="40" w:type="dxa"/>
              <w:right w:w="60" w:type="dxa"/>
            </w:tcMar>
          </w:tcPr>
          <w:p w14:paraId="3AE0849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Epigastric pain, hyporexia, vomiting</w:t>
            </w:r>
          </w:p>
        </w:tc>
        <w:tc>
          <w:tcPr>
            <w:tcW w:w="1185" w:type="dxa"/>
            <w:tcMar>
              <w:top w:w="40" w:type="dxa"/>
              <w:left w:w="60" w:type="dxa"/>
              <w:bottom w:w="40" w:type="dxa"/>
              <w:right w:w="60" w:type="dxa"/>
            </w:tcMar>
          </w:tcPr>
          <w:p w14:paraId="524A4CB9" w14:textId="49D6BCB1" w:rsidR="005A30FE" w:rsidRPr="001913E3" w:rsidRDefault="005A30FE" w:rsidP="00B06AC7">
            <w:pPr>
              <w:spacing w:line="360" w:lineRule="auto"/>
              <w:jc w:val="both"/>
              <w:rPr>
                <w:rFonts w:ascii="Book Antiqua" w:eastAsia="Book Antiqua" w:hAnsi="Book Antiqua" w:cs="Book Antiqua"/>
              </w:rPr>
            </w:pPr>
            <w:r w:rsidRPr="00CE3D12">
              <w:rPr>
                <w:rFonts w:ascii="Book Antiqua" w:eastAsia="Book Antiqua" w:hAnsi="Book Antiqua" w:cs="Book Antiqua"/>
              </w:rPr>
              <w:t>2</w:t>
            </w:r>
            <w:r w:rsidR="00B06AC7" w:rsidRPr="00CE3D12">
              <w:rPr>
                <w:rFonts w:ascii="Book Antiqua" w:eastAsia="Book Antiqua" w:hAnsi="Book Antiqua" w:cs="Book Antiqua"/>
              </w:rPr>
              <w:t>.</w:t>
            </w:r>
            <w:r w:rsidRPr="00CE3D12">
              <w:rPr>
                <w:rFonts w:ascii="Book Antiqua" w:eastAsia="Book Antiqua" w:hAnsi="Book Antiqua" w:cs="Book Antiqua"/>
              </w:rPr>
              <w:t>5</w:t>
            </w:r>
            <w:r w:rsidRPr="001913E3">
              <w:rPr>
                <w:rFonts w:ascii="Book Antiqua" w:eastAsia="Book Antiqua" w:hAnsi="Book Antiqua" w:cs="Book Antiqua"/>
              </w:rPr>
              <w:t xml:space="preserve"> yr</w:t>
            </w:r>
          </w:p>
        </w:tc>
        <w:tc>
          <w:tcPr>
            <w:tcW w:w="1365" w:type="dxa"/>
            <w:tcMar>
              <w:top w:w="40" w:type="dxa"/>
              <w:left w:w="60" w:type="dxa"/>
              <w:bottom w:w="40" w:type="dxa"/>
              <w:right w:w="60" w:type="dxa"/>
            </w:tcMar>
          </w:tcPr>
          <w:p w14:paraId="076E28D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Abdominal CT - unremarkable </w:t>
            </w:r>
          </w:p>
        </w:tc>
        <w:tc>
          <w:tcPr>
            <w:tcW w:w="1560" w:type="dxa"/>
            <w:tcMar>
              <w:top w:w="40" w:type="dxa"/>
              <w:left w:w="60" w:type="dxa"/>
              <w:bottom w:w="40" w:type="dxa"/>
              <w:right w:w="60" w:type="dxa"/>
            </w:tcMar>
          </w:tcPr>
          <w:p w14:paraId="28211BC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Exudate, diffuse congestion, edema, erythema, friable mucosa in the stomach</w:t>
            </w:r>
          </w:p>
        </w:tc>
        <w:tc>
          <w:tcPr>
            <w:tcW w:w="1530" w:type="dxa"/>
            <w:tcMar>
              <w:top w:w="40" w:type="dxa"/>
              <w:left w:w="60" w:type="dxa"/>
              <w:bottom w:w="40" w:type="dxa"/>
              <w:right w:w="60" w:type="dxa"/>
            </w:tcMar>
          </w:tcPr>
          <w:p w14:paraId="1933046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Glandular destruction, crypt abscesses, inflammatory cell infiltration.</w:t>
            </w:r>
          </w:p>
        </w:tc>
        <w:tc>
          <w:tcPr>
            <w:tcW w:w="1305" w:type="dxa"/>
            <w:tcMar>
              <w:top w:w="40" w:type="dxa"/>
              <w:left w:w="60" w:type="dxa"/>
              <w:bottom w:w="40" w:type="dxa"/>
              <w:right w:w="60" w:type="dxa"/>
            </w:tcMar>
          </w:tcPr>
          <w:p w14:paraId="553B860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PPI, cessation of nivolumab</w:t>
            </w:r>
          </w:p>
        </w:tc>
        <w:tc>
          <w:tcPr>
            <w:tcW w:w="1125" w:type="dxa"/>
            <w:tcMar>
              <w:top w:w="40" w:type="dxa"/>
              <w:left w:w="60" w:type="dxa"/>
              <w:bottom w:w="40" w:type="dxa"/>
              <w:right w:w="60" w:type="dxa"/>
            </w:tcMar>
          </w:tcPr>
          <w:p w14:paraId="6790B7D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w:t>
            </w:r>
          </w:p>
        </w:tc>
      </w:tr>
      <w:tr w:rsidR="005A30FE" w:rsidRPr="001913E3" w14:paraId="0EB6CB54" w14:textId="77777777" w:rsidTr="008E3D7E">
        <w:tc>
          <w:tcPr>
            <w:tcW w:w="1125" w:type="dxa"/>
            <w:tcMar>
              <w:top w:w="40" w:type="dxa"/>
              <w:left w:w="60" w:type="dxa"/>
              <w:bottom w:w="40" w:type="dxa"/>
              <w:right w:w="60" w:type="dxa"/>
            </w:tcMar>
          </w:tcPr>
          <w:p w14:paraId="0551139A" w14:textId="3660C6B9" w:rsidR="005A30FE" w:rsidRPr="001913E3" w:rsidRDefault="005A30FE" w:rsidP="000C6211">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Ferrian </w:t>
            </w:r>
            <w:r w:rsidR="000C6211" w:rsidRPr="00B36DF5">
              <w:rPr>
                <w:rFonts w:ascii="Book Antiqua" w:eastAsia="Book Antiqua" w:hAnsi="Book Antiqua" w:cs="Book Antiqua"/>
                <w:i/>
              </w:rPr>
              <w:t>et al</w:t>
            </w:r>
            <w:r w:rsidR="000C6211" w:rsidRPr="00B36DF5">
              <w:rPr>
                <w:rFonts w:ascii="Book Antiqua" w:eastAsia="Book Antiqua" w:hAnsi="Book Antiqua" w:cs="Book Antiqua"/>
                <w:vertAlign w:val="superscript"/>
              </w:rPr>
              <w:t>[</w:t>
            </w:r>
            <w:r w:rsidR="000C6211">
              <w:rPr>
                <w:rFonts w:ascii="Book Antiqua" w:eastAsia="Book Antiqua" w:hAnsi="Book Antiqua" w:cs="Book Antiqua"/>
                <w:vertAlign w:val="superscript"/>
              </w:rPr>
              <w:t>18</w:t>
            </w:r>
            <w:r w:rsidR="000C6211" w:rsidRPr="00B36DF5">
              <w:rPr>
                <w:rFonts w:ascii="Book Antiqua" w:eastAsia="Book Antiqua" w:hAnsi="Book Antiqua" w:cs="Book Antiqua"/>
                <w:vertAlign w:val="superscript"/>
              </w:rPr>
              <w:t>]</w:t>
            </w:r>
            <w:r w:rsidR="000C6211">
              <w:rPr>
                <w:rFonts w:ascii="Book Antiqua" w:eastAsia="Book Antiqua" w:hAnsi="Book Antiqua" w:cs="Book Antiqua"/>
              </w:rPr>
              <w:t>,</w:t>
            </w:r>
            <w:r w:rsidRPr="001913E3">
              <w:rPr>
                <w:rFonts w:ascii="Book Antiqua" w:eastAsia="Book Antiqua" w:hAnsi="Book Antiqua" w:cs="Book Antiqua"/>
              </w:rPr>
              <w:t xml:space="preserve"> 2021</w:t>
            </w:r>
          </w:p>
        </w:tc>
        <w:tc>
          <w:tcPr>
            <w:tcW w:w="1095" w:type="dxa"/>
            <w:tcMar>
              <w:top w:w="40" w:type="dxa"/>
              <w:left w:w="60" w:type="dxa"/>
              <w:bottom w:w="40" w:type="dxa"/>
              <w:right w:w="60" w:type="dxa"/>
            </w:tcMar>
          </w:tcPr>
          <w:p w14:paraId="1269ACC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Epigastric pain, nausea, anorexia</w:t>
            </w:r>
          </w:p>
        </w:tc>
        <w:tc>
          <w:tcPr>
            <w:tcW w:w="1185" w:type="dxa"/>
            <w:tcMar>
              <w:top w:w="40" w:type="dxa"/>
              <w:left w:w="60" w:type="dxa"/>
              <w:bottom w:w="40" w:type="dxa"/>
              <w:right w:w="60" w:type="dxa"/>
            </w:tcMar>
          </w:tcPr>
          <w:p w14:paraId="7B15F9C0" w14:textId="5B6DF3C5" w:rsidR="005A30FE" w:rsidRPr="001913E3" w:rsidRDefault="005A30FE" w:rsidP="00E46B73">
            <w:pPr>
              <w:spacing w:line="360" w:lineRule="auto"/>
              <w:jc w:val="both"/>
              <w:rPr>
                <w:rFonts w:ascii="Book Antiqua" w:eastAsia="Book Antiqua" w:hAnsi="Book Antiqua" w:cs="Book Antiqua"/>
              </w:rPr>
            </w:pPr>
            <w:r w:rsidRPr="001913E3">
              <w:rPr>
                <w:rFonts w:ascii="Book Antiqua" w:eastAsia="Book Antiqua" w:hAnsi="Book Antiqua" w:cs="Book Antiqua"/>
              </w:rPr>
              <w:t>32 mo</w:t>
            </w:r>
          </w:p>
        </w:tc>
        <w:tc>
          <w:tcPr>
            <w:tcW w:w="1365" w:type="dxa"/>
            <w:tcMar>
              <w:top w:w="40" w:type="dxa"/>
              <w:left w:w="60" w:type="dxa"/>
              <w:bottom w:w="40" w:type="dxa"/>
              <w:right w:w="60" w:type="dxa"/>
            </w:tcMar>
          </w:tcPr>
          <w:p w14:paraId="151B221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560" w:type="dxa"/>
            <w:tcMar>
              <w:top w:w="40" w:type="dxa"/>
              <w:left w:w="60" w:type="dxa"/>
              <w:bottom w:w="40" w:type="dxa"/>
              <w:right w:w="60" w:type="dxa"/>
            </w:tcMar>
          </w:tcPr>
          <w:p w14:paraId="4CF71F5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Erythema, friable gastric mucosa</w:t>
            </w:r>
          </w:p>
        </w:tc>
        <w:tc>
          <w:tcPr>
            <w:tcW w:w="1530" w:type="dxa"/>
            <w:tcMar>
              <w:top w:w="40" w:type="dxa"/>
              <w:left w:w="60" w:type="dxa"/>
              <w:bottom w:w="40" w:type="dxa"/>
              <w:right w:w="60" w:type="dxa"/>
            </w:tcMar>
          </w:tcPr>
          <w:p w14:paraId="3F79869F" w14:textId="1F381878"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Crypt destruction, erosions, neutrophilic, </w:t>
            </w:r>
            <w:r w:rsidRPr="001913E3">
              <w:rPr>
                <w:rFonts w:ascii="Book Antiqua" w:eastAsia="Book Antiqua" w:hAnsi="Book Antiqua" w:cs="Book Antiqua"/>
                <w:color w:val="000000"/>
              </w:rPr>
              <w:t>lymphoplasmacytic,</w:t>
            </w:r>
            <w:r w:rsidRPr="001913E3">
              <w:rPr>
                <w:rFonts w:ascii="Book Antiqua" w:eastAsia="Book Antiqua" w:hAnsi="Book Antiqua" w:cs="Book Antiqua"/>
              </w:rPr>
              <w:t xml:space="preserve"> and eosinophilic infiltration </w:t>
            </w:r>
            <w:r w:rsidRPr="001913E3">
              <w:rPr>
                <w:rFonts w:ascii="Book Antiqua" w:eastAsia="Book Antiqua" w:hAnsi="Book Antiqua" w:cs="Book Antiqua"/>
                <w:color w:val="000000"/>
              </w:rPr>
              <w:t>in the</w:t>
            </w:r>
            <w:r w:rsidR="00E46B73">
              <w:rPr>
                <w:rFonts w:ascii="Book Antiqua" w:eastAsia="Book Antiqua" w:hAnsi="Book Antiqua" w:cs="Book Antiqua"/>
              </w:rPr>
              <w:t xml:space="preserve"> lamina </w:t>
            </w:r>
            <w:r w:rsidR="00E46B73">
              <w:rPr>
                <w:rFonts w:ascii="Book Antiqua" w:eastAsia="Book Antiqua" w:hAnsi="Book Antiqua" w:cs="Book Antiqua"/>
              </w:rPr>
              <w:lastRenderedPageBreak/>
              <w:t>propria</w:t>
            </w:r>
          </w:p>
        </w:tc>
        <w:tc>
          <w:tcPr>
            <w:tcW w:w="1305" w:type="dxa"/>
            <w:tcMar>
              <w:top w:w="40" w:type="dxa"/>
              <w:left w:w="60" w:type="dxa"/>
              <w:bottom w:w="40" w:type="dxa"/>
              <w:right w:w="60" w:type="dxa"/>
            </w:tcMar>
          </w:tcPr>
          <w:p w14:paraId="342E68F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Prednisone, cessation of nivolumab</w:t>
            </w:r>
          </w:p>
        </w:tc>
        <w:tc>
          <w:tcPr>
            <w:tcW w:w="1125" w:type="dxa"/>
            <w:tcMar>
              <w:top w:w="40" w:type="dxa"/>
              <w:left w:w="60" w:type="dxa"/>
              <w:bottom w:w="40" w:type="dxa"/>
              <w:right w:w="60" w:type="dxa"/>
            </w:tcMar>
          </w:tcPr>
          <w:p w14:paraId="737C9D98" w14:textId="59EEB852"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 Radi</w:t>
            </w:r>
            <w:r w:rsidR="00E46B73">
              <w:rPr>
                <w:rFonts w:ascii="Book Antiqua" w:eastAsia="Book Antiqua" w:hAnsi="Book Antiqua" w:cs="Book Antiqua"/>
              </w:rPr>
              <w:t>ological and clinical remission</w:t>
            </w:r>
          </w:p>
        </w:tc>
      </w:tr>
      <w:tr w:rsidR="005A30FE" w:rsidRPr="001913E3" w14:paraId="4CC0CEE1" w14:textId="77777777" w:rsidTr="008E3D7E">
        <w:tc>
          <w:tcPr>
            <w:tcW w:w="1125" w:type="dxa"/>
            <w:tcMar>
              <w:top w:w="40" w:type="dxa"/>
              <w:left w:w="60" w:type="dxa"/>
              <w:bottom w:w="40" w:type="dxa"/>
              <w:right w:w="60" w:type="dxa"/>
            </w:tcMar>
          </w:tcPr>
          <w:p w14:paraId="15A319C7" w14:textId="70C96315" w:rsidR="005A30FE" w:rsidRPr="001913E3" w:rsidRDefault="005A30FE" w:rsidP="00E03FEC">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 xml:space="preserve">Ebisutani </w:t>
            </w:r>
            <w:r w:rsidR="00E03FEC" w:rsidRPr="00B36DF5">
              <w:rPr>
                <w:rFonts w:ascii="Book Antiqua" w:eastAsia="Book Antiqua" w:hAnsi="Book Antiqua" w:cs="Book Antiqua"/>
                <w:i/>
              </w:rPr>
              <w:t>et al</w:t>
            </w:r>
            <w:r w:rsidR="00E03FEC" w:rsidRPr="00B36DF5">
              <w:rPr>
                <w:rFonts w:ascii="Book Antiqua" w:eastAsia="Book Antiqua" w:hAnsi="Book Antiqua" w:cs="Book Antiqua"/>
                <w:vertAlign w:val="superscript"/>
              </w:rPr>
              <w:t>[</w:t>
            </w:r>
            <w:r w:rsidR="00E03FEC">
              <w:rPr>
                <w:rFonts w:ascii="Book Antiqua" w:eastAsia="Book Antiqua" w:hAnsi="Book Antiqua" w:cs="Book Antiqua"/>
                <w:vertAlign w:val="superscript"/>
              </w:rPr>
              <w:t>13</w:t>
            </w:r>
            <w:r w:rsidR="00E03FEC" w:rsidRPr="00B36DF5">
              <w:rPr>
                <w:rFonts w:ascii="Book Antiqua" w:eastAsia="Book Antiqua" w:hAnsi="Book Antiqua" w:cs="Book Antiqua"/>
                <w:vertAlign w:val="superscript"/>
              </w:rPr>
              <w:t>]</w:t>
            </w:r>
            <w:r w:rsidR="00E03FEC">
              <w:rPr>
                <w:rFonts w:ascii="Book Antiqua" w:eastAsia="Book Antiqua" w:hAnsi="Book Antiqua" w:cs="Book Antiqua"/>
              </w:rPr>
              <w:t>,</w:t>
            </w:r>
            <w:r w:rsidRPr="001913E3">
              <w:rPr>
                <w:rFonts w:ascii="Book Antiqua" w:eastAsia="Book Antiqua" w:hAnsi="Book Antiqua" w:cs="Book Antiqua"/>
              </w:rPr>
              <w:t xml:space="preserve"> 2020</w:t>
            </w:r>
          </w:p>
        </w:tc>
        <w:tc>
          <w:tcPr>
            <w:tcW w:w="1095" w:type="dxa"/>
            <w:tcMar>
              <w:top w:w="40" w:type="dxa"/>
              <w:left w:w="60" w:type="dxa"/>
              <w:bottom w:w="40" w:type="dxa"/>
              <w:right w:w="60" w:type="dxa"/>
            </w:tcMar>
          </w:tcPr>
          <w:p w14:paraId="2D20ACFA"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Left-sided epigastric pain, nausea, anorexia</w:t>
            </w:r>
          </w:p>
        </w:tc>
        <w:tc>
          <w:tcPr>
            <w:tcW w:w="1185" w:type="dxa"/>
            <w:tcMar>
              <w:top w:w="40" w:type="dxa"/>
              <w:left w:w="60" w:type="dxa"/>
              <w:bottom w:w="40" w:type="dxa"/>
              <w:right w:w="60" w:type="dxa"/>
            </w:tcMar>
          </w:tcPr>
          <w:p w14:paraId="5998C9D0" w14:textId="3621FAA8" w:rsidR="005A30FE" w:rsidRPr="001913E3" w:rsidRDefault="005A30FE" w:rsidP="00E46B73">
            <w:pPr>
              <w:spacing w:line="360" w:lineRule="auto"/>
              <w:jc w:val="both"/>
              <w:rPr>
                <w:rFonts w:ascii="Book Antiqua" w:eastAsia="Book Antiqua" w:hAnsi="Book Antiqua" w:cs="Book Antiqua"/>
              </w:rPr>
            </w:pPr>
            <w:r w:rsidRPr="001913E3">
              <w:rPr>
                <w:rFonts w:ascii="Book Antiqua" w:eastAsia="Book Antiqua" w:hAnsi="Book Antiqua" w:cs="Book Antiqua"/>
              </w:rPr>
              <w:t>7 mo</w:t>
            </w:r>
          </w:p>
        </w:tc>
        <w:tc>
          <w:tcPr>
            <w:tcW w:w="1365" w:type="dxa"/>
            <w:tcMar>
              <w:top w:w="40" w:type="dxa"/>
              <w:left w:w="60" w:type="dxa"/>
              <w:bottom w:w="40" w:type="dxa"/>
              <w:right w:w="60" w:type="dxa"/>
            </w:tcMar>
          </w:tcPr>
          <w:p w14:paraId="558305F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CT </w:t>
            </w:r>
            <w:r w:rsidRPr="001913E3">
              <w:rPr>
                <w:rFonts w:ascii="Book Antiqua" w:eastAsia="Book Antiqua" w:hAnsi="Book Antiqua" w:cs="Book Antiqua"/>
                <w:color w:val="000000"/>
              </w:rPr>
              <w:t>- thickening of the</w:t>
            </w:r>
            <w:r w:rsidRPr="001913E3">
              <w:rPr>
                <w:rFonts w:ascii="Book Antiqua" w:eastAsia="Book Antiqua" w:hAnsi="Book Antiqua" w:cs="Book Antiqua"/>
              </w:rPr>
              <w:t xml:space="preserve"> gastric </w:t>
            </w:r>
            <w:r w:rsidRPr="001913E3">
              <w:rPr>
                <w:rFonts w:ascii="Book Antiqua" w:eastAsia="Book Antiqua" w:hAnsi="Book Antiqua" w:cs="Book Antiqua"/>
                <w:color w:val="000000"/>
              </w:rPr>
              <w:t>wall</w:t>
            </w:r>
          </w:p>
        </w:tc>
        <w:tc>
          <w:tcPr>
            <w:tcW w:w="1560" w:type="dxa"/>
            <w:tcMar>
              <w:top w:w="40" w:type="dxa"/>
              <w:left w:w="60" w:type="dxa"/>
              <w:bottom w:w="40" w:type="dxa"/>
              <w:right w:w="60" w:type="dxa"/>
            </w:tcMar>
          </w:tcPr>
          <w:p w14:paraId="1E894AB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Erythema, edema, white membrane </w:t>
            </w:r>
            <w:r w:rsidRPr="001913E3">
              <w:rPr>
                <w:rFonts w:ascii="Book Antiqua" w:eastAsia="Book Antiqua" w:hAnsi="Book Antiqua" w:cs="Book Antiqua"/>
                <w:color w:val="000000"/>
              </w:rPr>
              <w:t>in</w:t>
            </w:r>
            <w:r w:rsidRPr="001913E3">
              <w:rPr>
                <w:rFonts w:ascii="Book Antiqua" w:eastAsia="Book Antiqua" w:hAnsi="Book Antiqua" w:cs="Book Antiqua"/>
              </w:rPr>
              <w:t xml:space="preserve"> the gastric mucosa </w:t>
            </w:r>
          </w:p>
        </w:tc>
        <w:tc>
          <w:tcPr>
            <w:tcW w:w="1530" w:type="dxa"/>
            <w:tcMar>
              <w:top w:w="40" w:type="dxa"/>
              <w:left w:w="60" w:type="dxa"/>
              <w:bottom w:w="40" w:type="dxa"/>
              <w:right w:w="60" w:type="dxa"/>
            </w:tcMar>
          </w:tcPr>
          <w:p w14:paraId="14045B3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Lymphocytic and neutrophilic infiltration </w:t>
            </w:r>
            <w:r w:rsidRPr="001913E3">
              <w:rPr>
                <w:rFonts w:ascii="Book Antiqua" w:eastAsia="Book Antiqua" w:hAnsi="Book Antiqua" w:cs="Book Antiqua"/>
                <w:color w:val="000000"/>
              </w:rPr>
              <w:t>of the</w:t>
            </w:r>
            <w:r w:rsidRPr="001913E3">
              <w:rPr>
                <w:rFonts w:ascii="Book Antiqua" w:eastAsia="Book Antiqua" w:hAnsi="Book Antiqua" w:cs="Book Antiqua"/>
              </w:rPr>
              <w:t xml:space="preserve"> lamina propria and epithelium</w:t>
            </w:r>
          </w:p>
        </w:tc>
        <w:tc>
          <w:tcPr>
            <w:tcW w:w="1305" w:type="dxa"/>
            <w:tcMar>
              <w:top w:w="40" w:type="dxa"/>
              <w:left w:w="60" w:type="dxa"/>
              <w:bottom w:w="40" w:type="dxa"/>
              <w:right w:w="60" w:type="dxa"/>
            </w:tcMar>
          </w:tcPr>
          <w:p w14:paraId="062B6BA7"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Prednisone, cessation of nivolumab</w:t>
            </w:r>
          </w:p>
        </w:tc>
        <w:tc>
          <w:tcPr>
            <w:tcW w:w="1125" w:type="dxa"/>
            <w:tcMar>
              <w:top w:w="40" w:type="dxa"/>
              <w:left w:w="60" w:type="dxa"/>
              <w:bottom w:w="40" w:type="dxa"/>
              <w:right w:w="60" w:type="dxa"/>
            </w:tcMar>
          </w:tcPr>
          <w:p w14:paraId="4ACD9B04" w14:textId="35D49AB5"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 En</w:t>
            </w:r>
            <w:r w:rsidR="00E46B73">
              <w:rPr>
                <w:rFonts w:ascii="Book Antiqua" w:eastAsia="Book Antiqua" w:hAnsi="Book Antiqua" w:cs="Book Antiqua"/>
              </w:rPr>
              <w:t>doscopic and clinical remission</w:t>
            </w:r>
          </w:p>
        </w:tc>
      </w:tr>
      <w:tr w:rsidR="005A30FE" w:rsidRPr="001913E3" w14:paraId="6850EB2A" w14:textId="77777777" w:rsidTr="008E3D7E">
        <w:tc>
          <w:tcPr>
            <w:tcW w:w="1125" w:type="dxa"/>
            <w:tcMar>
              <w:top w:w="40" w:type="dxa"/>
              <w:left w:w="60" w:type="dxa"/>
              <w:bottom w:w="40" w:type="dxa"/>
              <w:right w:w="60" w:type="dxa"/>
            </w:tcMar>
          </w:tcPr>
          <w:p w14:paraId="1BCD7332" w14:textId="41FA5866" w:rsidR="005A30FE" w:rsidRPr="001913E3" w:rsidRDefault="005A30FE" w:rsidP="00E03FEC">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Kobayashi </w:t>
            </w:r>
            <w:r w:rsidR="00E03FEC" w:rsidRPr="00B36DF5">
              <w:rPr>
                <w:rFonts w:ascii="Book Antiqua" w:eastAsia="Book Antiqua" w:hAnsi="Book Antiqua" w:cs="Book Antiqua"/>
                <w:i/>
              </w:rPr>
              <w:t>et al</w:t>
            </w:r>
            <w:r w:rsidR="00E03FEC" w:rsidRPr="00B36DF5">
              <w:rPr>
                <w:rFonts w:ascii="Book Antiqua" w:eastAsia="Book Antiqua" w:hAnsi="Book Antiqua" w:cs="Book Antiqua"/>
                <w:vertAlign w:val="superscript"/>
              </w:rPr>
              <w:t>[</w:t>
            </w:r>
            <w:r w:rsidR="00E03FEC">
              <w:rPr>
                <w:rFonts w:ascii="Book Antiqua" w:eastAsia="Book Antiqua" w:hAnsi="Book Antiqua" w:cs="Book Antiqua"/>
                <w:vertAlign w:val="superscript"/>
              </w:rPr>
              <w:t>9</w:t>
            </w:r>
            <w:r w:rsidR="00E03FEC" w:rsidRPr="00B36DF5">
              <w:rPr>
                <w:rFonts w:ascii="Book Antiqua" w:eastAsia="Book Antiqua" w:hAnsi="Book Antiqua" w:cs="Book Antiqua"/>
                <w:vertAlign w:val="superscript"/>
              </w:rPr>
              <w:t>]</w:t>
            </w:r>
            <w:r w:rsidR="00E03FEC">
              <w:rPr>
                <w:rFonts w:ascii="Book Antiqua" w:eastAsia="Book Antiqua" w:hAnsi="Book Antiqua" w:cs="Book Antiqua"/>
              </w:rPr>
              <w:t>,</w:t>
            </w:r>
            <w:r w:rsidRPr="001913E3">
              <w:rPr>
                <w:rFonts w:ascii="Book Antiqua" w:eastAsia="Book Antiqua" w:hAnsi="Book Antiqua" w:cs="Book Antiqua"/>
              </w:rPr>
              <w:t xml:space="preserve"> 2017</w:t>
            </w:r>
          </w:p>
        </w:tc>
        <w:tc>
          <w:tcPr>
            <w:tcW w:w="1095" w:type="dxa"/>
            <w:tcMar>
              <w:top w:w="40" w:type="dxa"/>
              <w:left w:w="60" w:type="dxa"/>
              <w:bottom w:w="40" w:type="dxa"/>
              <w:right w:w="60" w:type="dxa"/>
            </w:tcMar>
          </w:tcPr>
          <w:p w14:paraId="33C8F66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Epigastric pain, hematemesis</w:t>
            </w:r>
          </w:p>
        </w:tc>
        <w:tc>
          <w:tcPr>
            <w:tcW w:w="1185" w:type="dxa"/>
            <w:tcMar>
              <w:top w:w="40" w:type="dxa"/>
              <w:left w:w="60" w:type="dxa"/>
              <w:bottom w:w="40" w:type="dxa"/>
              <w:right w:w="60" w:type="dxa"/>
            </w:tcMar>
          </w:tcPr>
          <w:p w14:paraId="3FA14121" w14:textId="383FDB1C" w:rsidR="005A30FE" w:rsidRPr="001913E3" w:rsidRDefault="005A30FE" w:rsidP="00E46B73">
            <w:pPr>
              <w:spacing w:line="360" w:lineRule="auto"/>
              <w:jc w:val="both"/>
              <w:rPr>
                <w:rFonts w:ascii="Book Antiqua" w:eastAsia="Book Antiqua" w:hAnsi="Book Antiqua" w:cs="Book Antiqua"/>
              </w:rPr>
            </w:pPr>
            <w:r w:rsidRPr="001913E3">
              <w:rPr>
                <w:rFonts w:ascii="Book Antiqua" w:eastAsia="Book Antiqua" w:hAnsi="Book Antiqua" w:cs="Book Antiqua"/>
              </w:rPr>
              <w:t>10 cycles, 4 mo</w:t>
            </w:r>
          </w:p>
        </w:tc>
        <w:tc>
          <w:tcPr>
            <w:tcW w:w="1365" w:type="dxa"/>
            <w:tcMar>
              <w:top w:w="40" w:type="dxa"/>
              <w:left w:w="60" w:type="dxa"/>
              <w:bottom w:w="40" w:type="dxa"/>
              <w:right w:w="60" w:type="dxa"/>
            </w:tcMar>
          </w:tcPr>
          <w:p w14:paraId="284C70EC"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w:t>
            </w:r>
          </w:p>
        </w:tc>
        <w:tc>
          <w:tcPr>
            <w:tcW w:w="1560" w:type="dxa"/>
            <w:tcMar>
              <w:top w:w="40" w:type="dxa"/>
              <w:left w:w="60" w:type="dxa"/>
              <w:bottom w:w="40" w:type="dxa"/>
              <w:right w:w="60" w:type="dxa"/>
            </w:tcMar>
          </w:tcPr>
          <w:p w14:paraId="1794D0B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Hemorrhagic gastritis, white membrane on mucosa</w:t>
            </w:r>
          </w:p>
        </w:tc>
        <w:tc>
          <w:tcPr>
            <w:tcW w:w="1530" w:type="dxa"/>
            <w:tcMar>
              <w:top w:w="40" w:type="dxa"/>
              <w:left w:w="60" w:type="dxa"/>
              <w:bottom w:w="40" w:type="dxa"/>
              <w:right w:w="60" w:type="dxa"/>
            </w:tcMar>
          </w:tcPr>
          <w:p w14:paraId="43180B8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Lymphoplasmacytic and neutrophilic infiltration</w:t>
            </w:r>
          </w:p>
        </w:tc>
        <w:tc>
          <w:tcPr>
            <w:tcW w:w="1305" w:type="dxa"/>
            <w:tcMar>
              <w:top w:w="40" w:type="dxa"/>
              <w:left w:w="60" w:type="dxa"/>
              <w:bottom w:w="40" w:type="dxa"/>
              <w:right w:w="60" w:type="dxa"/>
            </w:tcMar>
          </w:tcPr>
          <w:p w14:paraId="0C7EBDA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Prednisone</w:t>
            </w:r>
          </w:p>
        </w:tc>
        <w:tc>
          <w:tcPr>
            <w:tcW w:w="1125" w:type="dxa"/>
            <w:tcMar>
              <w:top w:w="40" w:type="dxa"/>
              <w:left w:w="60" w:type="dxa"/>
              <w:bottom w:w="40" w:type="dxa"/>
              <w:right w:w="60" w:type="dxa"/>
            </w:tcMar>
          </w:tcPr>
          <w:p w14:paraId="753E0BA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 after few days. Clinical and endoscopic remission</w:t>
            </w:r>
          </w:p>
        </w:tc>
      </w:tr>
      <w:tr w:rsidR="005A30FE" w:rsidRPr="001913E3" w14:paraId="52C1C86F" w14:textId="77777777" w:rsidTr="008E3D7E">
        <w:tc>
          <w:tcPr>
            <w:tcW w:w="1125" w:type="dxa"/>
            <w:tcMar>
              <w:top w:w="40" w:type="dxa"/>
              <w:left w:w="60" w:type="dxa"/>
              <w:bottom w:w="40" w:type="dxa"/>
              <w:right w:w="60" w:type="dxa"/>
            </w:tcMar>
          </w:tcPr>
          <w:p w14:paraId="035A95C9" w14:textId="70692A42" w:rsidR="005A30FE" w:rsidRPr="001913E3" w:rsidRDefault="005A30FE" w:rsidP="00E03FEC">
            <w:pPr>
              <w:spacing w:line="360" w:lineRule="auto"/>
              <w:jc w:val="both"/>
              <w:rPr>
                <w:rFonts w:ascii="Book Antiqua" w:eastAsia="Book Antiqua" w:hAnsi="Book Antiqua" w:cs="Book Antiqua"/>
              </w:rPr>
            </w:pPr>
            <w:r w:rsidRPr="001913E3">
              <w:rPr>
                <w:rFonts w:ascii="Book Antiqua" w:eastAsia="Book Antiqua" w:hAnsi="Book Antiqua" w:cs="Book Antiqua"/>
              </w:rPr>
              <w:t>Tomiyasu</w:t>
            </w:r>
            <w:r w:rsidR="00E03FEC" w:rsidRPr="00B36DF5">
              <w:rPr>
                <w:rFonts w:ascii="Book Antiqua" w:eastAsia="Book Antiqua" w:hAnsi="Book Antiqua" w:cs="Book Antiqua"/>
                <w:i/>
              </w:rPr>
              <w:t xml:space="preserve"> et al</w:t>
            </w:r>
            <w:r w:rsidR="00E03FEC" w:rsidRPr="00B36DF5">
              <w:rPr>
                <w:rFonts w:ascii="Book Antiqua" w:eastAsia="Book Antiqua" w:hAnsi="Book Antiqua" w:cs="Book Antiqua"/>
                <w:vertAlign w:val="superscript"/>
              </w:rPr>
              <w:t>[</w:t>
            </w:r>
            <w:r w:rsidR="00E03FEC">
              <w:rPr>
                <w:rFonts w:ascii="Book Antiqua" w:eastAsia="Book Antiqua" w:hAnsi="Book Antiqua" w:cs="Book Antiqua"/>
                <w:vertAlign w:val="superscript"/>
              </w:rPr>
              <w:t>11</w:t>
            </w:r>
            <w:r w:rsidR="00E03FEC" w:rsidRPr="00B36DF5">
              <w:rPr>
                <w:rFonts w:ascii="Book Antiqua" w:eastAsia="Book Antiqua" w:hAnsi="Book Antiqua" w:cs="Book Antiqua"/>
                <w:vertAlign w:val="superscript"/>
              </w:rPr>
              <w:t>]</w:t>
            </w:r>
            <w:r w:rsidR="00E03FEC">
              <w:rPr>
                <w:rFonts w:ascii="Book Antiqua" w:eastAsia="Book Antiqua" w:hAnsi="Book Antiqua" w:cs="Book Antiqua"/>
              </w:rPr>
              <w:t>,</w:t>
            </w:r>
            <w:r w:rsidRPr="001913E3">
              <w:rPr>
                <w:rFonts w:ascii="Book Antiqua" w:eastAsia="Book Antiqua" w:hAnsi="Book Antiqua" w:cs="Book Antiqua"/>
              </w:rPr>
              <w:t xml:space="preserve"> 2021</w:t>
            </w:r>
          </w:p>
        </w:tc>
        <w:tc>
          <w:tcPr>
            <w:tcW w:w="1095" w:type="dxa"/>
            <w:tcMar>
              <w:top w:w="40" w:type="dxa"/>
              <w:left w:w="60" w:type="dxa"/>
              <w:bottom w:w="40" w:type="dxa"/>
              <w:right w:w="60" w:type="dxa"/>
            </w:tcMar>
          </w:tcPr>
          <w:p w14:paraId="4530E63C"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Diarrhea, nausea, anorexia, weight loss</w:t>
            </w:r>
          </w:p>
        </w:tc>
        <w:tc>
          <w:tcPr>
            <w:tcW w:w="1185" w:type="dxa"/>
            <w:tcMar>
              <w:top w:w="40" w:type="dxa"/>
              <w:left w:w="60" w:type="dxa"/>
              <w:bottom w:w="40" w:type="dxa"/>
              <w:right w:w="60" w:type="dxa"/>
            </w:tcMar>
          </w:tcPr>
          <w:p w14:paraId="7FFD57B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11 courses</w:t>
            </w:r>
          </w:p>
        </w:tc>
        <w:tc>
          <w:tcPr>
            <w:tcW w:w="1365" w:type="dxa"/>
            <w:tcMar>
              <w:top w:w="40" w:type="dxa"/>
              <w:left w:w="60" w:type="dxa"/>
              <w:bottom w:w="40" w:type="dxa"/>
              <w:right w:w="60" w:type="dxa"/>
            </w:tcMar>
          </w:tcPr>
          <w:p w14:paraId="351A47F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PET/CT - diffuse FDG accumulation in stomach </w:t>
            </w:r>
            <w:r w:rsidRPr="001913E3">
              <w:rPr>
                <w:rFonts w:ascii="Book Antiqua" w:eastAsia="Book Antiqua" w:hAnsi="Book Antiqua" w:cs="Book Antiqua"/>
              </w:rPr>
              <w:lastRenderedPageBreak/>
              <w:t>wall and duodenum</w:t>
            </w:r>
          </w:p>
        </w:tc>
        <w:tc>
          <w:tcPr>
            <w:tcW w:w="1560" w:type="dxa"/>
            <w:tcMar>
              <w:top w:w="40" w:type="dxa"/>
              <w:left w:w="60" w:type="dxa"/>
              <w:bottom w:w="40" w:type="dxa"/>
              <w:right w:w="60" w:type="dxa"/>
            </w:tcMar>
          </w:tcPr>
          <w:p w14:paraId="4C46C131"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lastRenderedPageBreak/>
              <w:t>Multiple white granular elevations in the stomach</w:t>
            </w:r>
          </w:p>
        </w:tc>
        <w:tc>
          <w:tcPr>
            <w:tcW w:w="1530" w:type="dxa"/>
            <w:tcMar>
              <w:top w:w="40" w:type="dxa"/>
              <w:left w:w="60" w:type="dxa"/>
              <w:bottom w:w="40" w:type="dxa"/>
              <w:right w:w="60" w:type="dxa"/>
            </w:tcMar>
          </w:tcPr>
          <w:p w14:paraId="516E4A1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Eosinophilic infiltration of mucosa</w:t>
            </w:r>
          </w:p>
        </w:tc>
        <w:tc>
          <w:tcPr>
            <w:tcW w:w="1305" w:type="dxa"/>
            <w:tcMar>
              <w:top w:w="40" w:type="dxa"/>
              <w:left w:w="60" w:type="dxa"/>
              <w:bottom w:w="40" w:type="dxa"/>
              <w:right w:w="60" w:type="dxa"/>
            </w:tcMar>
          </w:tcPr>
          <w:p w14:paraId="0F1C6324"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Prednisone, cessation of nivolumab</w:t>
            </w:r>
          </w:p>
        </w:tc>
        <w:tc>
          <w:tcPr>
            <w:tcW w:w="1125" w:type="dxa"/>
            <w:tcMar>
              <w:top w:w="40" w:type="dxa"/>
              <w:left w:w="60" w:type="dxa"/>
              <w:bottom w:w="40" w:type="dxa"/>
              <w:right w:w="60" w:type="dxa"/>
            </w:tcMar>
          </w:tcPr>
          <w:p w14:paraId="4F14244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w:t>
            </w:r>
          </w:p>
        </w:tc>
      </w:tr>
      <w:tr w:rsidR="005A30FE" w:rsidRPr="001913E3" w14:paraId="7A9584EE" w14:textId="77777777" w:rsidTr="008E3D7E">
        <w:tc>
          <w:tcPr>
            <w:tcW w:w="1125" w:type="dxa"/>
            <w:tcMar>
              <w:top w:w="40" w:type="dxa"/>
              <w:left w:w="60" w:type="dxa"/>
              <w:bottom w:w="40" w:type="dxa"/>
              <w:right w:w="60" w:type="dxa"/>
            </w:tcMar>
          </w:tcPr>
          <w:p w14:paraId="6F332D14" w14:textId="7FEAA7B8" w:rsidR="005A30FE" w:rsidRPr="001913E3" w:rsidRDefault="00E03FEC" w:rsidP="00E03FEC">
            <w:pPr>
              <w:spacing w:line="360" w:lineRule="auto"/>
              <w:jc w:val="both"/>
              <w:rPr>
                <w:rFonts w:ascii="Book Antiqua" w:eastAsia="Book Antiqua" w:hAnsi="Book Antiqua" w:cs="Book Antiqua"/>
              </w:rPr>
            </w:pPr>
            <w:r w:rsidRPr="00E03FEC">
              <w:rPr>
                <w:rFonts w:ascii="Book Antiqua" w:eastAsia="Book Antiqua" w:hAnsi="Book Antiqua" w:cs="Book Antiqua" w:hint="eastAsia"/>
              </w:rPr>
              <w:lastRenderedPageBreak/>
              <w:t>C</w:t>
            </w:r>
            <w:r w:rsidRPr="00E03FEC">
              <w:rPr>
                <w:rFonts w:ascii="Cambria" w:eastAsia="Book Antiqua" w:hAnsi="Cambria" w:cs="Cambria"/>
              </w:rPr>
              <w:t>ǎ</w:t>
            </w:r>
            <w:r w:rsidRPr="00E03FEC">
              <w:rPr>
                <w:rFonts w:ascii="Book Antiqua" w:eastAsia="Book Antiqua" w:hAnsi="Book Antiqua" w:cs="Book Antiqua" w:hint="eastAsia"/>
              </w:rPr>
              <w:t>lug</w:t>
            </w:r>
            <w:r w:rsidRPr="00E03FEC">
              <w:rPr>
                <w:rFonts w:ascii="Cambria" w:eastAsia="Book Antiqua" w:hAnsi="Cambria" w:cs="Cambria"/>
              </w:rPr>
              <w:t>ǎ</w:t>
            </w:r>
            <w:r w:rsidRPr="00E03FEC">
              <w:rPr>
                <w:rFonts w:ascii="Book Antiqua" w:eastAsia="Book Antiqua" w:hAnsi="Book Antiqua" w:cs="Book Antiqua" w:hint="eastAsia"/>
              </w:rPr>
              <w:t>reanu</w:t>
            </w:r>
            <w:r w:rsidRPr="00B36DF5">
              <w:rPr>
                <w:rFonts w:ascii="Book Antiqua" w:eastAsia="Book Antiqua" w:hAnsi="Book Antiqua" w:cs="Book Antiqua"/>
                <w:i/>
              </w:rPr>
              <w:t xml:space="preserve"> et al</w:t>
            </w:r>
            <w:r w:rsidRPr="00B36DF5">
              <w:rPr>
                <w:rFonts w:ascii="Book Antiqua" w:eastAsia="Book Antiqua" w:hAnsi="Book Antiqua" w:cs="Book Antiqua"/>
                <w:vertAlign w:val="superscript"/>
              </w:rPr>
              <w:t>[</w:t>
            </w:r>
            <w:r>
              <w:rPr>
                <w:rFonts w:ascii="Book Antiqua" w:eastAsia="Book Antiqua" w:hAnsi="Book Antiqua" w:cs="Book Antiqua"/>
                <w:vertAlign w:val="superscript"/>
              </w:rPr>
              <w:t>12</w:t>
            </w:r>
            <w:r w:rsidRPr="00B36DF5">
              <w:rPr>
                <w:rFonts w:ascii="Book Antiqua" w:eastAsia="Book Antiqua" w:hAnsi="Book Antiqua" w:cs="Book Antiqua"/>
                <w:vertAlign w:val="superscript"/>
              </w:rPr>
              <w:t>]</w:t>
            </w:r>
            <w:r>
              <w:rPr>
                <w:rFonts w:ascii="Book Antiqua" w:eastAsia="Book Antiqua" w:hAnsi="Book Antiqua" w:cs="Book Antiqua"/>
              </w:rPr>
              <w:t>,</w:t>
            </w:r>
            <w:r w:rsidR="005A30FE" w:rsidRPr="001913E3">
              <w:rPr>
                <w:rFonts w:ascii="Book Antiqua" w:eastAsia="Book Antiqua" w:hAnsi="Book Antiqua" w:cs="Book Antiqua"/>
              </w:rPr>
              <w:t xml:space="preserve"> 2019</w:t>
            </w:r>
          </w:p>
        </w:tc>
        <w:tc>
          <w:tcPr>
            <w:tcW w:w="1095" w:type="dxa"/>
            <w:tcMar>
              <w:top w:w="40" w:type="dxa"/>
              <w:left w:w="60" w:type="dxa"/>
              <w:bottom w:w="40" w:type="dxa"/>
              <w:right w:w="60" w:type="dxa"/>
            </w:tcMar>
          </w:tcPr>
          <w:p w14:paraId="1955418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Vomiting, epigastric pain, weight loss</w:t>
            </w:r>
          </w:p>
        </w:tc>
        <w:tc>
          <w:tcPr>
            <w:tcW w:w="1185" w:type="dxa"/>
            <w:tcMar>
              <w:top w:w="40" w:type="dxa"/>
              <w:left w:w="60" w:type="dxa"/>
              <w:bottom w:w="40" w:type="dxa"/>
              <w:right w:w="60" w:type="dxa"/>
            </w:tcMar>
          </w:tcPr>
          <w:p w14:paraId="76C02CE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26 courses</w:t>
            </w:r>
          </w:p>
        </w:tc>
        <w:tc>
          <w:tcPr>
            <w:tcW w:w="1365" w:type="dxa"/>
            <w:tcMar>
              <w:top w:w="40" w:type="dxa"/>
              <w:left w:w="60" w:type="dxa"/>
              <w:bottom w:w="40" w:type="dxa"/>
              <w:right w:w="60" w:type="dxa"/>
            </w:tcMar>
          </w:tcPr>
          <w:p w14:paraId="4587E86C"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PET/CT – diffuse FDG uptake in the stomach wall</w:t>
            </w:r>
          </w:p>
        </w:tc>
        <w:tc>
          <w:tcPr>
            <w:tcW w:w="1560" w:type="dxa"/>
            <w:tcMar>
              <w:top w:w="40" w:type="dxa"/>
              <w:left w:w="60" w:type="dxa"/>
              <w:bottom w:w="40" w:type="dxa"/>
              <w:right w:w="60" w:type="dxa"/>
            </w:tcMar>
          </w:tcPr>
          <w:p w14:paraId="09EC41C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Ulcerative and hemorrhagic gastritis</w:t>
            </w:r>
          </w:p>
        </w:tc>
        <w:tc>
          <w:tcPr>
            <w:tcW w:w="1530" w:type="dxa"/>
            <w:tcMar>
              <w:top w:w="40" w:type="dxa"/>
              <w:left w:w="60" w:type="dxa"/>
              <w:bottom w:w="40" w:type="dxa"/>
              <w:right w:w="60" w:type="dxa"/>
            </w:tcMar>
          </w:tcPr>
          <w:p w14:paraId="47A4B1F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Lymphoplasmacytic infiltration with scattered neutrophils and eosinophils</w:t>
            </w:r>
          </w:p>
        </w:tc>
        <w:tc>
          <w:tcPr>
            <w:tcW w:w="1305" w:type="dxa"/>
            <w:tcMar>
              <w:top w:w="40" w:type="dxa"/>
              <w:left w:w="60" w:type="dxa"/>
              <w:bottom w:w="40" w:type="dxa"/>
              <w:right w:w="60" w:type="dxa"/>
            </w:tcMar>
          </w:tcPr>
          <w:p w14:paraId="144BDA19"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Methylprednisone and PPI, cessation of nivolumab</w:t>
            </w:r>
          </w:p>
        </w:tc>
        <w:tc>
          <w:tcPr>
            <w:tcW w:w="1125" w:type="dxa"/>
            <w:tcMar>
              <w:top w:w="40" w:type="dxa"/>
              <w:left w:w="60" w:type="dxa"/>
              <w:bottom w:w="40" w:type="dxa"/>
              <w:right w:w="60" w:type="dxa"/>
            </w:tcMar>
          </w:tcPr>
          <w:p w14:paraId="3CFABF9B" w14:textId="1D08B380" w:rsidR="005A30FE" w:rsidRPr="001913E3" w:rsidRDefault="00E46B73" w:rsidP="001913E3">
            <w:pPr>
              <w:spacing w:line="360" w:lineRule="auto"/>
              <w:jc w:val="both"/>
              <w:rPr>
                <w:rFonts w:ascii="Book Antiqua" w:eastAsia="Book Antiqua" w:hAnsi="Book Antiqua" w:cs="Book Antiqua"/>
              </w:rPr>
            </w:pPr>
            <w:r>
              <w:rPr>
                <w:rFonts w:ascii="Book Antiqua" w:eastAsia="Book Antiqua" w:hAnsi="Book Antiqua" w:cs="Book Antiqua"/>
              </w:rPr>
              <w:t>Resolved after 8 wk</w:t>
            </w:r>
            <w:r w:rsidR="005A30FE" w:rsidRPr="001913E3">
              <w:rPr>
                <w:rFonts w:ascii="Book Antiqua" w:eastAsia="Book Antiqua" w:hAnsi="Book Antiqua" w:cs="Book Antiqua"/>
              </w:rPr>
              <w:t xml:space="preserve"> </w:t>
            </w:r>
          </w:p>
        </w:tc>
      </w:tr>
      <w:tr w:rsidR="005A30FE" w:rsidRPr="001913E3" w14:paraId="1514638E" w14:textId="77777777" w:rsidTr="008E3D7E">
        <w:tc>
          <w:tcPr>
            <w:tcW w:w="1125" w:type="dxa"/>
            <w:tcMar>
              <w:top w:w="40" w:type="dxa"/>
              <w:left w:w="60" w:type="dxa"/>
              <w:bottom w:w="40" w:type="dxa"/>
              <w:right w:w="60" w:type="dxa"/>
            </w:tcMar>
          </w:tcPr>
          <w:p w14:paraId="5519A6AE" w14:textId="391DB2F8" w:rsidR="005A30FE" w:rsidRPr="001913E3" w:rsidRDefault="005A30FE" w:rsidP="00982974">
            <w:pPr>
              <w:spacing w:line="360" w:lineRule="auto"/>
              <w:jc w:val="both"/>
              <w:rPr>
                <w:rFonts w:ascii="Book Antiqua" w:eastAsia="Book Antiqua" w:hAnsi="Book Antiqua" w:cs="Book Antiqua"/>
              </w:rPr>
            </w:pPr>
            <w:r w:rsidRPr="001913E3">
              <w:rPr>
                <w:rFonts w:ascii="Book Antiqua" w:eastAsia="Book Antiqua" w:hAnsi="Book Antiqua" w:cs="Book Antiqua"/>
              </w:rPr>
              <w:t>Tsuji</w:t>
            </w:r>
            <w:r w:rsidR="00CC3FE3" w:rsidRPr="00B36DF5">
              <w:rPr>
                <w:rFonts w:ascii="Book Antiqua" w:eastAsia="Book Antiqua" w:hAnsi="Book Antiqua" w:cs="Book Antiqua"/>
                <w:i/>
              </w:rPr>
              <w:t xml:space="preserve"> et al</w:t>
            </w:r>
            <w:r w:rsidR="00CC3FE3" w:rsidRPr="00B36DF5">
              <w:rPr>
                <w:rFonts w:ascii="Book Antiqua" w:eastAsia="Book Antiqua" w:hAnsi="Book Antiqua" w:cs="Book Antiqua"/>
                <w:vertAlign w:val="superscript"/>
              </w:rPr>
              <w:t>[</w:t>
            </w:r>
            <w:r w:rsidR="00982974">
              <w:rPr>
                <w:rFonts w:ascii="Book Antiqua" w:eastAsia="Book Antiqua" w:hAnsi="Book Antiqua" w:cs="Book Antiqua"/>
                <w:vertAlign w:val="superscript"/>
              </w:rPr>
              <w:t>20</w:t>
            </w:r>
            <w:r w:rsidR="00CC3FE3" w:rsidRPr="00B36DF5">
              <w:rPr>
                <w:rFonts w:ascii="Book Antiqua" w:eastAsia="Book Antiqua" w:hAnsi="Book Antiqua" w:cs="Book Antiqua"/>
                <w:vertAlign w:val="superscript"/>
              </w:rPr>
              <w:t>]</w:t>
            </w:r>
            <w:r w:rsidR="00CC3FE3">
              <w:rPr>
                <w:rFonts w:ascii="Book Antiqua" w:eastAsia="Book Antiqua" w:hAnsi="Book Antiqua" w:cs="Book Antiqua"/>
              </w:rPr>
              <w:t>,</w:t>
            </w:r>
            <w:r w:rsidRPr="001913E3">
              <w:rPr>
                <w:rFonts w:ascii="Book Antiqua" w:eastAsia="Book Antiqua" w:hAnsi="Book Antiqua" w:cs="Book Antiqua"/>
              </w:rPr>
              <w:t xml:space="preserve"> 2022</w:t>
            </w:r>
          </w:p>
        </w:tc>
        <w:tc>
          <w:tcPr>
            <w:tcW w:w="1095" w:type="dxa"/>
            <w:tcMar>
              <w:top w:w="40" w:type="dxa"/>
              <w:left w:w="60" w:type="dxa"/>
              <w:bottom w:w="40" w:type="dxa"/>
              <w:right w:w="60" w:type="dxa"/>
            </w:tcMar>
          </w:tcPr>
          <w:p w14:paraId="541C43B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shd w:val="clear" w:color="auto" w:fill="FCFCFC"/>
              </w:rPr>
              <w:t>Anorexia, epigastric discomfort, vomiting</w:t>
            </w:r>
          </w:p>
        </w:tc>
        <w:tc>
          <w:tcPr>
            <w:tcW w:w="1185" w:type="dxa"/>
            <w:tcMar>
              <w:top w:w="40" w:type="dxa"/>
              <w:left w:w="60" w:type="dxa"/>
              <w:bottom w:w="40" w:type="dxa"/>
              <w:right w:w="60" w:type="dxa"/>
            </w:tcMar>
          </w:tcPr>
          <w:p w14:paraId="5B5FA464" w14:textId="71DAE54D" w:rsidR="005A30FE" w:rsidRPr="001913E3" w:rsidRDefault="005A30FE" w:rsidP="00E46B73">
            <w:pPr>
              <w:spacing w:line="360" w:lineRule="auto"/>
              <w:jc w:val="both"/>
              <w:rPr>
                <w:rFonts w:ascii="Book Antiqua" w:eastAsia="Book Antiqua" w:hAnsi="Book Antiqua" w:cs="Book Antiqua"/>
              </w:rPr>
            </w:pPr>
            <w:r w:rsidRPr="001913E3">
              <w:rPr>
                <w:rFonts w:ascii="Book Antiqua" w:eastAsia="Book Antiqua" w:hAnsi="Book Antiqua" w:cs="Book Antiqua"/>
              </w:rPr>
              <w:t>10 mo</w:t>
            </w:r>
          </w:p>
        </w:tc>
        <w:tc>
          <w:tcPr>
            <w:tcW w:w="1365" w:type="dxa"/>
            <w:tcMar>
              <w:top w:w="40" w:type="dxa"/>
              <w:left w:w="60" w:type="dxa"/>
              <w:bottom w:w="40" w:type="dxa"/>
              <w:right w:w="60" w:type="dxa"/>
            </w:tcMar>
          </w:tcPr>
          <w:p w14:paraId="7F327E65"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CT - diffuse thickening of the stomach wall; EUS - mucosal thickening</w:t>
            </w:r>
          </w:p>
        </w:tc>
        <w:tc>
          <w:tcPr>
            <w:tcW w:w="1560" w:type="dxa"/>
            <w:tcMar>
              <w:top w:w="40" w:type="dxa"/>
              <w:left w:w="60" w:type="dxa"/>
              <w:bottom w:w="40" w:type="dxa"/>
              <w:right w:w="60" w:type="dxa"/>
            </w:tcMar>
          </w:tcPr>
          <w:p w14:paraId="4F27E26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Mucosal edema, erosions</w:t>
            </w:r>
          </w:p>
        </w:tc>
        <w:tc>
          <w:tcPr>
            <w:tcW w:w="1530" w:type="dxa"/>
            <w:tcMar>
              <w:top w:w="40" w:type="dxa"/>
              <w:left w:w="60" w:type="dxa"/>
              <w:bottom w:w="40" w:type="dxa"/>
              <w:right w:w="60" w:type="dxa"/>
            </w:tcMar>
          </w:tcPr>
          <w:p w14:paraId="4824561D"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shd w:val="clear" w:color="auto" w:fill="FCFCFC"/>
              </w:rPr>
              <w:t>Inflammatory cell infiltration of the lamina propria</w:t>
            </w:r>
          </w:p>
        </w:tc>
        <w:tc>
          <w:tcPr>
            <w:tcW w:w="1305" w:type="dxa"/>
            <w:tcMar>
              <w:top w:w="40" w:type="dxa"/>
              <w:left w:w="60" w:type="dxa"/>
              <w:bottom w:w="40" w:type="dxa"/>
              <w:right w:w="60" w:type="dxa"/>
            </w:tcMar>
          </w:tcPr>
          <w:p w14:paraId="35087D30"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Prednisone, cessation of nivolumab </w:t>
            </w:r>
          </w:p>
        </w:tc>
        <w:tc>
          <w:tcPr>
            <w:tcW w:w="1125" w:type="dxa"/>
            <w:tcMar>
              <w:top w:w="40" w:type="dxa"/>
              <w:left w:w="60" w:type="dxa"/>
              <w:bottom w:w="40" w:type="dxa"/>
              <w:right w:w="60" w:type="dxa"/>
            </w:tcMar>
          </w:tcPr>
          <w:p w14:paraId="21B76E6F"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 Radiological and endoscopic remission</w:t>
            </w:r>
          </w:p>
        </w:tc>
      </w:tr>
      <w:tr w:rsidR="005A30FE" w:rsidRPr="001913E3" w14:paraId="799CFDAE" w14:textId="77777777" w:rsidTr="008E3D7E">
        <w:tc>
          <w:tcPr>
            <w:tcW w:w="1125" w:type="dxa"/>
            <w:tcMar>
              <w:top w:w="40" w:type="dxa"/>
              <w:left w:w="60" w:type="dxa"/>
              <w:bottom w:w="40" w:type="dxa"/>
              <w:right w:w="60" w:type="dxa"/>
            </w:tcMar>
          </w:tcPr>
          <w:p w14:paraId="4A3C0026" w14:textId="3D7D6BEA" w:rsidR="005A30FE" w:rsidRPr="001913E3" w:rsidRDefault="005A30FE" w:rsidP="00982974">
            <w:pPr>
              <w:spacing w:line="360" w:lineRule="auto"/>
              <w:jc w:val="both"/>
              <w:rPr>
                <w:rFonts w:ascii="Book Antiqua" w:eastAsia="Book Antiqua" w:hAnsi="Book Antiqua" w:cs="Book Antiqua"/>
              </w:rPr>
            </w:pPr>
            <w:r w:rsidRPr="001913E3">
              <w:rPr>
                <w:rFonts w:ascii="Book Antiqua" w:eastAsia="Book Antiqua" w:hAnsi="Book Antiqua" w:cs="Book Antiqua"/>
              </w:rPr>
              <w:t>Samonis</w:t>
            </w:r>
            <w:r w:rsidR="00982974" w:rsidRPr="00B36DF5">
              <w:rPr>
                <w:rFonts w:ascii="Book Antiqua" w:eastAsia="Book Antiqua" w:hAnsi="Book Antiqua" w:cs="Book Antiqua"/>
                <w:i/>
              </w:rPr>
              <w:t xml:space="preserve"> et al</w:t>
            </w:r>
            <w:r w:rsidR="00982974" w:rsidRPr="00B36DF5">
              <w:rPr>
                <w:rFonts w:ascii="Book Antiqua" w:eastAsia="Book Antiqua" w:hAnsi="Book Antiqua" w:cs="Book Antiqua"/>
                <w:vertAlign w:val="superscript"/>
              </w:rPr>
              <w:t>[</w:t>
            </w:r>
            <w:r w:rsidR="00982974">
              <w:rPr>
                <w:rFonts w:ascii="Book Antiqua" w:eastAsia="Book Antiqua" w:hAnsi="Book Antiqua" w:cs="Book Antiqua"/>
                <w:vertAlign w:val="superscript"/>
              </w:rPr>
              <w:t>21</w:t>
            </w:r>
            <w:r w:rsidR="00982974" w:rsidRPr="00B36DF5">
              <w:rPr>
                <w:rFonts w:ascii="Book Antiqua" w:eastAsia="Book Antiqua" w:hAnsi="Book Antiqua" w:cs="Book Antiqua"/>
                <w:vertAlign w:val="superscript"/>
              </w:rPr>
              <w:t>]</w:t>
            </w:r>
            <w:r w:rsidR="00982974">
              <w:rPr>
                <w:rFonts w:ascii="Book Antiqua" w:eastAsia="Book Antiqua" w:hAnsi="Book Antiqua" w:cs="Book Antiqua"/>
              </w:rPr>
              <w:t>,</w:t>
            </w:r>
            <w:r w:rsidR="00982974" w:rsidRPr="001913E3">
              <w:rPr>
                <w:rFonts w:ascii="Book Antiqua" w:eastAsia="Book Antiqua" w:hAnsi="Book Antiqua" w:cs="Book Antiqua"/>
              </w:rPr>
              <w:t xml:space="preserve"> </w:t>
            </w:r>
            <w:r w:rsidRPr="001913E3">
              <w:rPr>
                <w:rFonts w:ascii="Book Antiqua" w:eastAsia="Book Antiqua" w:hAnsi="Book Antiqua" w:cs="Book Antiqua"/>
              </w:rPr>
              <w:t xml:space="preserve"> 2022</w:t>
            </w:r>
          </w:p>
        </w:tc>
        <w:tc>
          <w:tcPr>
            <w:tcW w:w="1095" w:type="dxa"/>
            <w:tcMar>
              <w:top w:w="40" w:type="dxa"/>
              <w:left w:w="60" w:type="dxa"/>
              <w:bottom w:w="40" w:type="dxa"/>
              <w:right w:w="60" w:type="dxa"/>
            </w:tcMar>
          </w:tcPr>
          <w:p w14:paraId="7ADE892B" w14:textId="77777777" w:rsidR="005A30FE" w:rsidRPr="001913E3" w:rsidRDefault="005A30FE" w:rsidP="001913E3">
            <w:pPr>
              <w:spacing w:line="360" w:lineRule="auto"/>
              <w:jc w:val="both"/>
              <w:rPr>
                <w:rFonts w:ascii="Book Antiqua" w:eastAsia="Book Antiqua" w:hAnsi="Book Antiqua" w:cs="Book Antiqua"/>
                <w:shd w:val="clear" w:color="auto" w:fill="FCFCFC"/>
              </w:rPr>
            </w:pPr>
            <w:r w:rsidRPr="001913E3">
              <w:rPr>
                <w:rFonts w:ascii="Book Antiqua" w:eastAsia="Book Antiqua" w:hAnsi="Book Antiqua" w:cs="Book Antiqua"/>
                <w:highlight w:val="white"/>
              </w:rPr>
              <w:t>Anorexia, gastric discomfort and pain, vomiting</w:t>
            </w:r>
          </w:p>
        </w:tc>
        <w:tc>
          <w:tcPr>
            <w:tcW w:w="1185" w:type="dxa"/>
            <w:tcMar>
              <w:top w:w="40" w:type="dxa"/>
              <w:left w:w="60" w:type="dxa"/>
              <w:bottom w:w="40" w:type="dxa"/>
              <w:right w:w="60" w:type="dxa"/>
            </w:tcMar>
          </w:tcPr>
          <w:p w14:paraId="46412EE2" w14:textId="42FB808D" w:rsidR="005A30FE" w:rsidRPr="001913E3" w:rsidRDefault="005A30FE" w:rsidP="0064493F">
            <w:pPr>
              <w:spacing w:line="360" w:lineRule="auto"/>
              <w:jc w:val="both"/>
              <w:rPr>
                <w:rFonts w:ascii="Book Antiqua" w:eastAsia="Book Antiqua" w:hAnsi="Book Antiqua" w:cs="Book Antiqua"/>
              </w:rPr>
            </w:pPr>
            <w:r w:rsidRPr="001913E3">
              <w:rPr>
                <w:rFonts w:ascii="Book Antiqua" w:eastAsia="Book Antiqua" w:hAnsi="Book Antiqua" w:cs="Book Antiqua"/>
              </w:rPr>
              <w:t>6 mo</w:t>
            </w:r>
          </w:p>
        </w:tc>
        <w:tc>
          <w:tcPr>
            <w:tcW w:w="1365" w:type="dxa"/>
            <w:tcMar>
              <w:top w:w="40" w:type="dxa"/>
              <w:left w:w="60" w:type="dxa"/>
              <w:bottom w:w="40" w:type="dxa"/>
              <w:right w:w="60" w:type="dxa"/>
            </w:tcMar>
          </w:tcPr>
          <w:p w14:paraId="4DB05C1B"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 xml:space="preserve">PET/CT - </w:t>
            </w:r>
            <w:r w:rsidRPr="001913E3">
              <w:rPr>
                <w:rFonts w:ascii="Book Antiqua" w:eastAsia="Book Antiqua" w:hAnsi="Book Antiqua" w:cs="Book Antiqua"/>
                <w:highlight w:val="white"/>
              </w:rPr>
              <w:t>intense metabolic uptake in the stomach</w:t>
            </w:r>
          </w:p>
        </w:tc>
        <w:tc>
          <w:tcPr>
            <w:tcW w:w="1560" w:type="dxa"/>
            <w:tcMar>
              <w:top w:w="40" w:type="dxa"/>
              <w:left w:w="60" w:type="dxa"/>
              <w:bottom w:w="40" w:type="dxa"/>
              <w:right w:w="60" w:type="dxa"/>
            </w:tcMar>
          </w:tcPr>
          <w:p w14:paraId="01CA6702"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highlight w:val="white"/>
              </w:rPr>
              <w:t>Erythematous gastritis, friable mucosa, edema, mucous exudate</w:t>
            </w:r>
          </w:p>
        </w:tc>
        <w:tc>
          <w:tcPr>
            <w:tcW w:w="1530" w:type="dxa"/>
            <w:tcMar>
              <w:top w:w="40" w:type="dxa"/>
              <w:left w:w="60" w:type="dxa"/>
              <w:bottom w:w="40" w:type="dxa"/>
              <w:right w:w="60" w:type="dxa"/>
            </w:tcMar>
          </w:tcPr>
          <w:p w14:paraId="4CDE5A1E" w14:textId="77777777" w:rsidR="005A30FE" w:rsidRPr="001913E3" w:rsidRDefault="005A30FE" w:rsidP="001913E3">
            <w:pPr>
              <w:spacing w:line="360" w:lineRule="auto"/>
              <w:jc w:val="both"/>
              <w:rPr>
                <w:rFonts w:ascii="Book Antiqua" w:eastAsia="Book Antiqua" w:hAnsi="Book Antiqua" w:cs="Book Antiqua"/>
                <w:shd w:val="clear" w:color="auto" w:fill="FCFCFC"/>
              </w:rPr>
            </w:pPr>
            <w:r w:rsidRPr="001913E3">
              <w:rPr>
                <w:rFonts w:ascii="Book Antiqua" w:eastAsia="Book Antiqua" w:hAnsi="Book Antiqua" w:cs="Book Antiqua"/>
                <w:shd w:val="clear" w:color="auto" w:fill="FCFCFC"/>
              </w:rPr>
              <w:t>Inflammatory cell infiltration of the lamina propria</w:t>
            </w:r>
          </w:p>
        </w:tc>
        <w:tc>
          <w:tcPr>
            <w:tcW w:w="1305" w:type="dxa"/>
            <w:tcMar>
              <w:top w:w="40" w:type="dxa"/>
              <w:left w:w="60" w:type="dxa"/>
              <w:bottom w:w="40" w:type="dxa"/>
              <w:right w:w="60" w:type="dxa"/>
            </w:tcMar>
          </w:tcPr>
          <w:p w14:paraId="0934190E"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Prednisone and PPI</w:t>
            </w:r>
          </w:p>
        </w:tc>
        <w:tc>
          <w:tcPr>
            <w:tcW w:w="1125" w:type="dxa"/>
            <w:tcMar>
              <w:top w:w="40" w:type="dxa"/>
              <w:left w:w="60" w:type="dxa"/>
              <w:bottom w:w="40" w:type="dxa"/>
              <w:right w:w="60" w:type="dxa"/>
            </w:tcMar>
          </w:tcPr>
          <w:p w14:paraId="2EB1E4A3" w14:textId="77777777" w:rsidR="005A30FE" w:rsidRPr="001913E3" w:rsidRDefault="005A30FE" w:rsidP="001913E3">
            <w:pPr>
              <w:spacing w:line="360" w:lineRule="auto"/>
              <w:jc w:val="both"/>
              <w:rPr>
                <w:rFonts w:ascii="Book Antiqua" w:eastAsia="Book Antiqua" w:hAnsi="Book Antiqua" w:cs="Book Antiqua"/>
              </w:rPr>
            </w:pPr>
            <w:r w:rsidRPr="001913E3">
              <w:rPr>
                <w:rFonts w:ascii="Book Antiqua" w:eastAsia="Book Antiqua" w:hAnsi="Book Antiqua" w:cs="Book Antiqua"/>
              </w:rPr>
              <w:t>Improved symptoms. Endoscopic remission</w:t>
            </w:r>
          </w:p>
        </w:tc>
      </w:tr>
    </w:tbl>
    <w:p w14:paraId="27B46324" w14:textId="5E239CD4" w:rsidR="0090308C" w:rsidRPr="00CB756C" w:rsidRDefault="0090308C" w:rsidP="0090308C">
      <w:pPr>
        <w:spacing w:line="360" w:lineRule="auto"/>
        <w:jc w:val="both"/>
        <w:rPr>
          <w:rFonts w:ascii="Book Antiqua" w:hAnsi="Book Antiqua"/>
        </w:rPr>
      </w:pPr>
      <w:r w:rsidRPr="001913E3">
        <w:rPr>
          <w:rFonts w:ascii="Book Antiqua" w:eastAsia="Book Antiqua" w:hAnsi="Book Antiqua" w:cs="Book Antiqua"/>
        </w:rPr>
        <w:lastRenderedPageBreak/>
        <w:t>CT: Compute</w:t>
      </w:r>
      <w:r w:rsidRPr="00CE3D12">
        <w:rPr>
          <w:rFonts w:ascii="Book Antiqua" w:eastAsia="Book Antiqua" w:hAnsi="Book Antiqua" w:cs="Book Antiqua"/>
        </w:rPr>
        <w:t>d tomography; EGD: Esophagogastroduodenoscopy; EGFR: Epidermal growth factor receptor</w:t>
      </w:r>
      <w:r w:rsidR="00CB756C" w:rsidRPr="00CE3D12">
        <w:rPr>
          <w:rFonts w:ascii="Book Antiqua" w:eastAsia="Book Antiqua" w:hAnsi="Book Antiqua" w:cs="Book Antiqua"/>
        </w:rPr>
        <w:t xml:space="preserve">; </w:t>
      </w:r>
      <w:r w:rsidR="00CB756C" w:rsidRPr="00CE3D12">
        <w:rPr>
          <w:rFonts w:ascii="Book Antiqua" w:hAnsi="Book Antiqua"/>
        </w:rPr>
        <w:t>EUS:</w:t>
      </w:r>
      <w:r w:rsidR="00CB756C" w:rsidRPr="00CE3D12">
        <w:rPr>
          <w:rFonts w:ascii="Book Antiqua" w:hAnsi="Book Antiqua" w:hint="eastAsia"/>
          <w:lang w:eastAsia="zh-CN"/>
        </w:rPr>
        <w:t xml:space="preserve"> </w:t>
      </w:r>
      <w:r w:rsidR="00586ABB" w:rsidRPr="00CE3D12">
        <w:rPr>
          <w:rFonts w:ascii="Book Antiqua" w:hAnsi="Book Antiqua"/>
          <w:lang w:eastAsia="zh-CN"/>
        </w:rPr>
        <w:t>Endoscopic ultrasound</w:t>
      </w:r>
      <w:r w:rsidR="00CB756C" w:rsidRPr="00CE3D12">
        <w:rPr>
          <w:rFonts w:ascii="Book Antiqua" w:hAnsi="Book Antiqua"/>
          <w:lang w:eastAsia="zh-CN"/>
        </w:rPr>
        <w:t xml:space="preserve">; </w:t>
      </w:r>
      <w:bookmarkStart w:id="3" w:name="OLE_LINK1"/>
      <w:bookmarkStart w:id="4" w:name="OLE_LINK2"/>
      <w:r w:rsidR="00CB756C" w:rsidRPr="00CE3D12">
        <w:rPr>
          <w:rFonts w:ascii="Book Antiqua" w:hAnsi="Book Antiqua"/>
        </w:rPr>
        <w:t>FDG</w:t>
      </w:r>
      <w:bookmarkEnd w:id="3"/>
      <w:bookmarkEnd w:id="4"/>
      <w:r w:rsidR="00CB756C" w:rsidRPr="00CE3D12">
        <w:rPr>
          <w:rFonts w:ascii="Book Antiqua" w:hAnsi="Book Antiqua" w:hint="eastAsia"/>
          <w:lang w:eastAsia="zh-CN"/>
        </w:rPr>
        <w:t>:</w:t>
      </w:r>
      <w:r w:rsidR="00CB756C" w:rsidRPr="00CE3D12">
        <w:rPr>
          <w:rFonts w:ascii="Book Antiqua" w:hAnsi="Book Antiqua"/>
          <w:lang w:eastAsia="zh-CN"/>
        </w:rPr>
        <w:t xml:space="preserve"> </w:t>
      </w:r>
      <w:r w:rsidR="00C04C4D" w:rsidRPr="00CE3D12">
        <w:rPr>
          <w:rFonts w:ascii="Book Antiqua" w:hAnsi="Book Antiqua"/>
          <w:lang w:eastAsia="zh-CN"/>
        </w:rPr>
        <w:t>Fluorodeoxyglucose</w:t>
      </w:r>
      <w:r w:rsidR="00CB756C" w:rsidRPr="00CE3D12">
        <w:rPr>
          <w:rFonts w:ascii="Book Antiqua" w:hAnsi="Book Antiqua"/>
          <w:lang w:eastAsia="zh-CN"/>
        </w:rPr>
        <w:t xml:space="preserve">; </w:t>
      </w:r>
      <w:r w:rsidR="00CB756C" w:rsidRPr="00CE3D12">
        <w:rPr>
          <w:rFonts w:ascii="Book Antiqua" w:hAnsi="Book Antiqua"/>
        </w:rPr>
        <w:t xml:space="preserve">MRI: </w:t>
      </w:r>
      <w:r w:rsidR="003551D0" w:rsidRPr="00CE3D12">
        <w:rPr>
          <w:rFonts w:ascii="Book Antiqua" w:hAnsi="Book Antiqua"/>
        </w:rPr>
        <w:t>Magnetic resonance imaging</w:t>
      </w:r>
      <w:r w:rsidR="00CB756C" w:rsidRPr="00CE3D12">
        <w:rPr>
          <w:rFonts w:ascii="Book Antiqua" w:hAnsi="Book Antiqua"/>
        </w:rPr>
        <w:t xml:space="preserve">; PET: </w:t>
      </w:r>
      <w:r w:rsidR="00F81CD4" w:rsidRPr="00CE3D12">
        <w:rPr>
          <w:rFonts w:ascii="Book Antiqua" w:hAnsi="Book Antiqua"/>
        </w:rPr>
        <w:t xml:space="preserve">Positron </w:t>
      </w:r>
      <w:r w:rsidR="00DD7CDE" w:rsidRPr="00CE3D12">
        <w:rPr>
          <w:rFonts w:ascii="Book Antiqua" w:hAnsi="Book Antiqua"/>
        </w:rPr>
        <w:t>emission tomography</w:t>
      </w:r>
      <w:r w:rsidR="00CB756C" w:rsidRPr="00CE3D12">
        <w:rPr>
          <w:rFonts w:ascii="Book Antiqua" w:hAnsi="Book Antiqua"/>
        </w:rPr>
        <w:t>; PPI</w:t>
      </w:r>
      <w:r w:rsidR="00CB756C" w:rsidRPr="00CE3D12">
        <w:rPr>
          <w:rFonts w:ascii="Book Antiqua" w:hAnsi="Book Antiqua" w:hint="eastAsia"/>
          <w:lang w:eastAsia="zh-CN"/>
        </w:rPr>
        <w:t>:</w:t>
      </w:r>
      <w:r w:rsidR="00CB756C" w:rsidRPr="00CE3D12">
        <w:rPr>
          <w:rFonts w:ascii="Book Antiqua" w:hAnsi="Book Antiqua"/>
          <w:lang w:eastAsia="zh-CN"/>
        </w:rPr>
        <w:t xml:space="preserve"> </w:t>
      </w:r>
      <w:r w:rsidR="002C5413" w:rsidRPr="00CE3D12">
        <w:rPr>
          <w:rFonts w:ascii="Book Antiqua" w:eastAsia="Book Antiqua" w:hAnsi="Book Antiqua" w:cs="Book Antiqua"/>
          <w:color w:val="000000"/>
        </w:rPr>
        <w:t>Proton pump inhibitor</w:t>
      </w:r>
      <w:r w:rsidRPr="00CE3D12">
        <w:rPr>
          <w:rFonts w:ascii="Book Antiqua" w:eastAsia="Book Antiqua" w:hAnsi="Book Antiqua" w:cs="Book Antiqua"/>
        </w:rPr>
        <w:t>.</w:t>
      </w:r>
    </w:p>
    <w:p w14:paraId="5D408491" w14:textId="0F2A85F8" w:rsidR="005A30FE" w:rsidRPr="001913E3" w:rsidRDefault="005A30FE" w:rsidP="001913E3">
      <w:pPr>
        <w:spacing w:line="360" w:lineRule="auto"/>
        <w:jc w:val="both"/>
        <w:rPr>
          <w:rFonts w:ascii="Book Antiqua" w:hAnsi="Book Antiqua"/>
        </w:rPr>
      </w:pPr>
    </w:p>
    <w:sectPr w:rsidR="005A30FE" w:rsidRPr="001913E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rw" w:date="2023-05-11T11:52:00Z" w:initials="j">
    <w:p w14:paraId="0E4333DB" w14:textId="70FD998B" w:rsidR="00184443" w:rsidRDefault="00184443">
      <w:pPr>
        <w:pStyle w:val="CommentText"/>
      </w:pPr>
      <w:r>
        <w:rPr>
          <w:rStyle w:val="CommentReference"/>
        </w:rPr>
        <w:annotationRef/>
      </w:r>
      <w:r>
        <w:t>You have previously used the US spelling of diarrhoea. Oesophagus is also used in Table 2. Please use either UK or US spelling throughout.</w:t>
      </w:r>
    </w:p>
  </w:comment>
  <w:comment w:id="2" w:author="Sandra Strainiene" w:date="2023-05-12T05:55:00Z" w:initials="SS">
    <w:p w14:paraId="482C1516" w14:textId="403758B1" w:rsidR="006F27CA" w:rsidRDefault="006F27CA">
      <w:pPr>
        <w:pStyle w:val="CommentText"/>
      </w:pPr>
      <w:r>
        <w:rPr>
          <w:rStyle w:val="CommentReference"/>
        </w:rPr>
        <w:annotationRef/>
      </w:r>
      <w:r>
        <w:t>Corrections were made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4333DB" w15:done="0"/>
  <w15:commentEx w15:paraId="482C1516" w15:paraIdParent="0E4333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8536C" w16cex:dateUtc="2023-05-12T0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4333DB" w16cid:durableId="280852A6"/>
  <w16cid:commentId w16cid:paraId="482C1516" w16cid:durableId="280853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FC11C" w14:textId="77777777" w:rsidR="002E28F9" w:rsidRDefault="002E28F9" w:rsidP="00404944">
      <w:r>
        <w:separator/>
      </w:r>
    </w:p>
  </w:endnote>
  <w:endnote w:type="continuationSeparator" w:id="0">
    <w:p w14:paraId="71935247" w14:textId="77777777" w:rsidR="002E28F9" w:rsidRDefault="002E28F9" w:rsidP="00404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642512"/>
      <w:docPartObj>
        <w:docPartGallery w:val="Page Numbers (Bottom of Page)"/>
        <w:docPartUnique/>
      </w:docPartObj>
    </w:sdtPr>
    <w:sdtEndPr>
      <w:rPr>
        <w:rFonts w:ascii="Book Antiqua" w:hAnsi="Book Antiqua"/>
        <w:sz w:val="24"/>
        <w:szCs w:val="24"/>
      </w:rPr>
    </w:sdtEndPr>
    <w:sdtContent>
      <w:sdt>
        <w:sdtPr>
          <w:id w:val="502705326"/>
          <w:docPartObj>
            <w:docPartGallery w:val="Page Numbers (Top of Page)"/>
            <w:docPartUnique/>
          </w:docPartObj>
        </w:sdtPr>
        <w:sdtEndPr>
          <w:rPr>
            <w:rFonts w:ascii="Book Antiqua" w:hAnsi="Book Antiqua"/>
            <w:sz w:val="24"/>
            <w:szCs w:val="24"/>
          </w:rPr>
        </w:sdtEndPr>
        <w:sdtContent>
          <w:p w14:paraId="00B9B1DF" w14:textId="77777777" w:rsidR="00BC6700" w:rsidRPr="00687813" w:rsidRDefault="00BC6700">
            <w:pPr>
              <w:pStyle w:val="Footer"/>
              <w:jc w:val="right"/>
              <w:rPr>
                <w:rFonts w:ascii="Book Antiqua" w:hAnsi="Book Antiqua"/>
                <w:sz w:val="24"/>
                <w:szCs w:val="24"/>
              </w:rPr>
            </w:pPr>
            <w:r w:rsidRPr="00687813">
              <w:rPr>
                <w:rFonts w:ascii="Book Antiqua" w:hAnsi="Book Antiqua"/>
                <w:sz w:val="24"/>
                <w:szCs w:val="24"/>
                <w:lang w:val="zh-CN" w:eastAsia="zh-CN"/>
              </w:rPr>
              <w:t xml:space="preserve"> </w:t>
            </w:r>
            <w:r w:rsidRPr="00687813">
              <w:rPr>
                <w:rFonts w:ascii="Book Antiqua" w:hAnsi="Book Antiqua"/>
                <w:b/>
                <w:bCs/>
                <w:sz w:val="24"/>
                <w:szCs w:val="24"/>
              </w:rPr>
              <w:fldChar w:fldCharType="begin"/>
            </w:r>
            <w:r w:rsidRPr="00687813">
              <w:rPr>
                <w:rFonts w:ascii="Book Antiqua" w:hAnsi="Book Antiqua"/>
                <w:b/>
                <w:bCs/>
                <w:sz w:val="24"/>
                <w:szCs w:val="24"/>
              </w:rPr>
              <w:instrText>PAGE</w:instrText>
            </w:r>
            <w:r w:rsidRPr="00687813">
              <w:rPr>
                <w:rFonts w:ascii="Book Antiqua" w:hAnsi="Book Antiqua"/>
                <w:b/>
                <w:bCs/>
                <w:sz w:val="24"/>
                <w:szCs w:val="24"/>
              </w:rPr>
              <w:fldChar w:fldCharType="separate"/>
            </w:r>
            <w:r w:rsidR="00BE68E5">
              <w:rPr>
                <w:rFonts w:ascii="Book Antiqua" w:hAnsi="Book Antiqua"/>
                <w:b/>
                <w:bCs/>
                <w:noProof/>
                <w:sz w:val="24"/>
                <w:szCs w:val="24"/>
              </w:rPr>
              <w:t>1</w:t>
            </w:r>
            <w:r w:rsidRPr="00687813">
              <w:rPr>
                <w:rFonts w:ascii="Book Antiqua" w:hAnsi="Book Antiqua"/>
                <w:b/>
                <w:bCs/>
                <w:sz w:val="24"/>
                <w:szCs w:val="24"/>
              </w:rPr>
              <w:fldChar w:fldCharType="end"/>
            </w:r>
            <w:r w:rsidRPr="00687813">
              <w:rPr>
                <w:rFonts w:ascii="Book Antiqua" w:hAnsi="Book Antiqua"/>
                <w:sz w:val="24"/>
                <w:szCs w:val="24"/>
                <w:lang w:val="zh-CN" w:eastAsia="zh-CN"/>
              </w:rPr>
              <w:t xml:space="preserve"> / </w:t>
            </w:r>
            <w:r w:rsidRPr="00687813">
              <w:rPr>
                <w:rFonts w:ascii="Book Antiqua" w:hAnsi="Book Antiqua"/>
                <w:b/>
                <w:bCs/>
                <w:sz w:val="24"/>
                <w:szCs w:val="24"/>
              </w:rPr>
              <w:fldChar w:fldCharType="begin"/>
            </w:r>
            <w:r w:rsidRPr="00687813">
              <w:rPr>
                <w:rFonts w:ascii="Book Antiqua" w:hAnsi="Book Antiqua"/>
                <w:b/>
                <w:bCs/>
                <w:sz w:val="24"/>
                <w:szCs w:val="24"/>
              </w:rPr>
              <w:instrText>NUMPAGES</w:instrText>
            </w:r>
            <w:r w:rsidRPr="00687813">
              <w:rPr>
                <w:rFonts w:ascii="Book Antiqua" w:hAnsi="Book Antiqua"/>
                <w:b/>
                <w:bCs/>
                <w:sz w:val="24"/>
                <w:szCs w:val="24"/>
              </w:rPr>
              <w:fldChar w:fldCharType="separate"/>
            </w:r>
            <w:r w:rsidR="00BE68E5">
              <w:rPr>
                <w:rFonts w:ascii="Book Antiqua" w:hAnsi="Book Antiqua"/>
                <w:b/>
                <w:bCs/>
                <w:noProof/>
                <w:sz w:val="24"/>
                <w:szCs w:val="24"/>
              </w:rPr>
              <w:t>27</w:t>
            </w:r>
            <w:r w:rsidRPr="00687813">
              <w:rPr>
                <w:rFonts w:ascii="Book Antiqua" w:hAnsi="Book Antiqua"/>
                <w:b/>
                <w:bCs/>
                <w:sz w:val="24"/>
                <w:szCs w:val="24"/>
              </w:rPr>
              <w:fldChar w:fldCharType="end"/>
            </w:r>
          </w:p>
        </w:sdtContent>
      </w:sdt>
    </w:sdtContent>
  </w:sdt>
  <w:p w14:paraId="6EE96D82" w14:textId="77777777" w:rsidR="00BC6700" w:rsidRDefault="00BC67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61977" w14:textId="77777777" w:rsidR="002E28F9" w:rsidRDefault="002E28F9" w:rsidP="00404944">
      <w:r>
        <w:separator/>
      </w:r>
    </w:p>
  </w:footnote>
  <w:footnote w:type="continuationSeparator" w:id="0">
    <w:p w14:paraId="4135B616" w14:textId="77777777" w:rsidR="002E28F9" w:rsidRDefault="002E28F9" w:rsidP="0040494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ra Strainiene">
    <w15:presenceInfo w15:providerId="Windows Live" w15:userId="7aa28c7f56869c23"/>
  </w15:person>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96"/>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143"/>
    <w:rsid w:val="000432DC"/>
    <w:rsid w:val="00050161"/>
    <w:rsid w:val="000506E9"/>
    <w:rsid w:val="000637F4"/>
    <w:rsid w:val="00076198"/>
    <w:rsid w:val="00095F17"/>
    <w:rsid w:val="000A3ECE"/>
    <w:rsid w:val="000B0272"/>
    <w:rsid w:val="000B3CBB"/>
    <w:rsid w:val="000C6211"/>
    <w:rsid w:val="000E2838"/>
    <w:rsid w:val="000F035C"/>
    <w:rsid w:val="00114BC8"/>
    <w:rsid w:val="00123A88"/>
    <w:rsid w:val="00125918"/>
    <w:rsid w:val="00127DD0"/>
    <w:rsid w:val="001560A8"/>
    <w:rsid w:val="00163A11"/>
    <w:rsid w:val="00184443"/>
    <w:rsid w:val="00184474"/>
    <w:rsid w:val="001913E3"/>
    <w:rsid w:val="001B343E"/>
    <w:rsid w:val="001C720E"/>
    <w:rsid w:val="00204D89"/>
    <w:rsid w:val="00214A95"/>
    <w:rsid w:val="00223D79"/>
    <w:rsid w:val="00224EF0"/>
    <w:rsid w:val="002349EC"/>
    <w:rsid w:val="002468BD"/>
    <w:rsid w:val="00255261"/>
    <w:rsid w:val="00263CF9"/>
    <w:rsid w:val="0027331A"/>
    <w:rsid w:val="00291238"/>
    <w:rsid w:val="002943FD"/>
    <w:rsid w:val="002A687F"/>
    <w:rsid w:val="002B7993"/>
    <w:rsid w:val="002C5413"/>
    <w:rsid w:val="002D5FCF"/>
    <w:rsid w:val="002E0248"/>
    <w:rsid w:val="002E28F9"/>
    <w:rsid w:val="002F15B0"/>
    <w:rsid w:val="003030A3"/>
    <w:rsid w:val="00310C78"/>
    <w:rsid w:val="00313881"/>
    <w:rsid w:val="00327CFD"/>
    <w:rsid w:val="0034168D"/>
    <w:rsid w:val="003551D0"/>
    <w:rsid w:val="0036661E"/>
    <w:rsid w:val="00372186"/>
    <w:rsid w:val="003C11B7"/>
    <w:rsid w:val="003D01F9"/>
    <w:rsid w:val="003E53D7"/>
    <w:rsid w:val="00404944"/>
    <w:rsid w:val="00424BEC"/>
    <w:rsid w:val="00426EB3"/>
    <w:rsid w:val="0042713C"/>
    <w:rsid w:val="0044261C"/>
    <w:rsid w:val="00451A1A"/>
    <w:rsid w:val="00471CA7"/>
    <w:rsid w:val="004F1AD6"/>
    <w:rsid w:val="00510763"/>
    <w:rsid w:val="00514C61"/>
    <w:rsid w:val="0056769D"/>
    <w:rsid w:val="00573B42"/>
    <w:rsid w:val="00585004"/>
    <w:rsid w:val="00586ABB"/>
    <w:rsid w:val="00592E25"/>
    <w:rsid w:val="005A2E8B"/>
    <w:rsid w:val="005A30FE"/>
    <w:rsid w:val="005B6DEE"/>
    <w:rsid w:val="005C1843"/>
    <w:rsid w:val="005D5202"/>
    <w:rsid w:val="005F1EE4"/>
    <w:rsid w:val="005F3645"/>
    <w:rsid w:val="00604FD2"/>
    <w:rsid w:val="006152DD"/>
    <w:rsid w:val="00632E2B"/>
    <w:rsid w:val="0064493F"/>
    <w:rsid w:val="006461D9"/>
    <w:rsid w:val="00672D1F"/>
    <w:rsid w:val="00676C00"/>
    <w:rsid w:val="00684031"/>
    <w:rsid w:val="00687813"/>
    <w:rsid w:val="00692022"/>
    <w:rsid w:val="006A51E0"/>
    <w:rsid w:val="006D548F"/>
    <w:rsid w:val="006E13AA"/>
    <w:rsid w:val="006E532D"/>
    <w:rsid w:val="006F00E6"/>
    <w:rsid w:val="006F27CA"/>
    <w:rsid w:val="0070158C"/>
    <w:rsid w:val="00705952"/>
    <w:rsid w:val="00741C2C"/>
    <w:rsid w:val="007E0801"/>
    <w:rsid w:val="007E7FA1"/>
    <w:rsid w:val="00816F99"/>
    <w:rsid w:val="00832F68"/>
    <w:rsid w:val="00852FF5"/>
    <w:rsid w:val="008619D7"/>
    <w:rsid w:val="00883158"/>
    <w:rsid w:val="008B5C5E"/>
    <w:rsid w:val="008C6970"/>
    <w:rsid w:val="008E1316"/>
    <w:rsid w:val="008E3D7E"/>
    <w:rsid w:val="008F0FB6"/>
    <w:rsid w:val="0090308C"/>
    <w:rsid w:val="0091338F"/>
    <w:rsid w:val="009142B5"/>
    <w:rsid w:val="009174B0"/>
    <w:rsid w:val="009267CB"/>
    <w:rsid w:val="0092790D"/>
    <w:rsid w:val="00951441"/>
    <w:rsid w:val="00963DA4"/>
    <w:rsid w:val="009703FD"/>
    <w:rsid w:val="009803E2"/>
    <w:rsid w:val="00982974"/>
    <w:rsid w:val="00990F82"/>
    <w:rsid w:val="009E0AC5"/>
    <w:rsid w:val="009E2388"/>
    <w:rsid w:val="009E6664"/>
    <w:rsid w:val="009F3AAD"/>
    <w:rsid w:val="00A204FA"/>
    <w:rsid w:val="00A303EB"/>
    <w:rsid w:val="00A4189A"/>
    <w:rsid w:val="00A5327D"/>
    <w:rsid w:val="00A6370D"/>
    <w:rsid w:val="00A76046"/>
    <w:rsid w:val="00A77B3E"/>
    <w:rsid w:val="00AB09FE"/>
    <w:rsid w:val="00AB1173"/>
    <w:rsid w:val="00AB6839"/>
    <w:rsid w:val="00B06AC7"/>
    <w:rsid w:val="00B16BD1"/>
    <w:rsid w:val="00B3562C"/>
    <w:rsid w:val="00B36DF5"/>
    <w:rsid w:val="00B50CDA"/>
    <w:rsid w:val="00B74433"/>
    <w:rsid w:val="00B8235B"/>
    <w:rsid w:val="00B82DE5"/>
    <w:rsid w:val="00B83AF4"/>
    <w:rsid w:val="00B8540A"/>
    <w:rsid w:val="00BB1DE8"/>
    <w:rsid w:val="00BB2373"/>
    <w:rsid w:val="00BB44B1"/>
    <w:rsid w:val="00BC0E32"/>
    <w:rsid w:val="00BC6700"/>
    <w:rsid w:val="00BE68E5"/>
    <w:rsid w:val="00BF3CCB"/>
    <w:rsid w:val="00C04C4D"/>
    <w:rsid w:val="00C129D8"/>
    <w:rsid w:val="00C13CB5"/>
    <w:rsid w:val="00C14269"/>
    <w:rsid w:val="00C25995"/>
    <w:rsid w:val="00C30ABC"/>
    <w:rsid w:val="00C35A11"/>
    <w:rsid w:val="00C3703D"/>
    <w:rsid w:val="00C84552"/>
    <w:rsid w:val="00C97C87"/>
    <w:rsid w:val="00CA2A55"/>
    <w:rsid w:val="00CA5FF3"/>
    <w:rsid w:val="00CA7B24"/>
    <w:rsid w:val="00CB756C"/>
    <w:rsid w:val="00CC3FE3"/>
    <w:rsid w:val="00CD1757"/>
    <w:rsid w:val="00CE3640"/>
    <w:rsid w:val="00CE3D12"/>
    <w:rsid w:val="00CF420E"/>
    <w:rsid w:val="00D009E8"/>
    <w:rsid w:val="00D11BFE"/>
    <w:rsid w:val="00D131A6"/>
    <w:rsid w:val="00D13456"/>
    <w:rsid w:val="00D23AE8"/>
    <w:rsid w:val="00D617E4"/>
    <w:rsid w:val="00D7307F"/>
    <w:rsid w:val="00D91D4D"/>
    <w:rsid w:val="00DD18DA"/>
    <w:rsid w:val="00DD7CDE"/>
    <w:rsid w:val="00DF2C09"/>
    <w:rsid w:val="00DF5F00"/>
    <w:rsid w:val="00E03FEC"/>
    <w:rsid w:val="00E06FF4"/>
    <w:rsid w:val="00E4088A"/>
    <w:rsid w:val="00E441DB"/>
    <w:rsid w:val="00E46B73"/>
    <w:rsid w:val="00E47859"/>
    <w:rsid w:val="00E7153A"/>
    <w:rsid w:val="00E81214"/>
    <w:rsid w:val="00E86A4E"/>
    <w:rsid w:val="00E93AB6"/>
    <w:rsid w:val="00EA01AE"/>
    <w:rsid w:val="00EA16EA"/>
    <w:rsid w:val="00EA7AAA"/>
    <w:rsid w:val="00EA7D7F"/>
    <w:rsid w:val="00EC1CDD"/>
    <w:rsid w:val="00ED24BE"/>
    <w:rsid w:val="00ED7FC0"/>
    <w:rsid w:val="00EF2C46"/>
    <w:rsid w:val="00F24031"/>
    <w:rsid w:val="00F25FA9"/>
    <w:rsid w:val="00F47811"/>
    <w:rsid w:val="00F569F3"/>
    <w:rsid w:val="00F60400"/>
    <w:rsid w:val="00F7548A"/>
    <w:rsid w:val="00F77859"/>
    <w:rsid w:val="00F80422"/>
    <w:rsid w:val="00F81CD4"/>
    <w:rsid w:val="00FA4BDB"/>
    <w:rsid w:val="00FC3C9E"/>
    <w:rsid w:val="00FC5B9B"/>
    <w:rsid w:val="00FD0DB4"/>
    <w:rsid w:val="00FD45A7"/>
    <w:rsid w:val="00FE5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32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49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04944"/>
    <w:rPr>
      <w:sz w:val="18"/>
      <w:szCs w:val="18"/>
    </w:rPr>
  </w:style>
  <w:style w:type="paragraph" w:styleId="Footer">
    <w:name w:val="footer"/>
    <w:basedOn w:val="Normal"/>
    <w:link w:val="FooterChar"/>
    <w:uiPriority w:val="99"/>
    <w:unhideWhenUsed/>
    <w:rsid w:val="0040494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04944"/>
    <w:rPr>
      <w:sz w:val="18"/>
      <w:szCs w:val="18"/>
    </w:rPr>
  </w:style>
  <w:style w:type="character" w:styleId="CommentReference">
    <w:name w:val="annotation reference"/>
    <w:basedOn w:val="DefaultParagraphFont"/>
    <w:semiHidden/>
    <w:unhideWhenUsed/>
    <w:rsid w:val="00EA7D7F"/>
    <w:rPr>
      <w:sz w:val="21"/>
      <w:szCs w:val="21"/>
    </w:rPr>
  </w:style>
  <w:style w:type="paragraph" w:styleId="CommentText">
    <w:name w:val="annotation text"/>
    <w:basedOn w:val="Normal"/>
    <w:link w:val="CommentTextChar"/>
    <w:semiHidden/>
    <w:unhideWhenUsed/>
    <w:rsid w:val="00EA7D7F"/>
  </w:style>
  <w:style w:type="character" w:customStyle="1" w:styleId="CommentTextChar">
    <w:name w:val="Comment Text Char"/>
    <w:basedOn w:val="DefaultParagraphFont"/>
    <w:link w:val="CommentText"/>
    <w:semiHidden/>
    <w:rsid w:val="00EA7D7F"/>
    <w:rPr>
      <w:sz w:val="24"/>
      <w:szCs w:val="24"/>
    </w:rPr>
  </w:style>
  <w:style w:type="paragraph" w:styleId="CommentSubject">
    <w:name w:val="annotation subject"/>
    <w:basedOn w:val="CommentText"/>
    <w:next w:val="CommentText"/>
    <w:link w:val="CommentSubjectChar"/>
    <w:semiHidden/>
    <w:unhideWhenUsed/>
    <w:rsid w:val="00EA7D7F"/>
    <w:rPr>
      <w:b/>
      <w:bCs/>
    </w:rPr>
  </w:style>
  <w:style w:type="character" w:customStyle="1" w:styleId="CommentSubjectChar">
    <w:name w:val="Comment Subject Char"/>
    <w:basedOn w:val="CommentTextChar"/>
    <w:link w:val="CommentSubject"/>
    <w:semiHidden/>
    <w:rsid w:val="00EA7D7F"/>
    <w:rPr>
      <w:b/>
      <w:bCs/>
      <w:sz w:val="24"/>
      <w:szCs w:val="24"/>
    </w:rPr>
  </w:style>
  <w:style w:type="paragraph" w:styleId="BalloonText">
    <w:name w:val="Balloon Text"/>
    <w:basedOn w:val="Normal"/>
    <w:link w:val="BalloonTextChar"/>
    <w:semiHidden/>
    <w:unhideWhenUsed/>
    <w:rsid w:val="00EA7D7F"/>
    <w:rPr>
      <w:sz w:val="18"/>
      <w:szCs w:val="18"/>
    </w:rPr>
  </w:style>
  <w:style w:type="character" w:customStyle="1" w:styleId="BalloonTextChar">
    <w:name w:val="Balloon Text Char"/>
    <w:basedOn w:val="DefaultParagraphFont"/>
    <w:link w:val="BalloonText"/>
    <w:semiHidden/>
    <w:rsid w:val="00EA7D7F"/>
    <w:rPr>
      <w:sz w:val="18"/>
      <w:szCs w:val="18"/>
    </w:rPr>
  </w:style>
  <w:style w:type="paragraph" w:styleId="Revision">
    <w:name w:val="Revision"/>
    <w:hidden/>
    <w:uiPriority w:val="99"/>
    <w:semiHidden/>
    <w:rsid w:val="00D11BFE"/>
    <w:rPr>
      <w:sz w:val="24"/>
      <w:szCs w:val="24"/>
    </w:rPr>
  </w:style>
  <w:style w:type="paragraph" w:styleId="NormalWeb">
    <w:name w:val="Normal (Web)"/>
    <w:basedOn w:val="Normal"/>
    <w:semiHidden/>
    <w:unhideWhenUsed/>
    <w:rsid w:val="00076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49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04944"/>
    <w:rPr>
      <w:sz w:val="18"/>
      <w:szCs w:val="18"/>
    </w:rPr>
  </w:style>
  <w:style w:type="paragraph" w:styleId="Footer">
    <w:name w:val="footer"/>
    <w:basedOn w:val="Normal"/>
    <w:link w:val="FooterChar"/>
    <w:uiPriority w:val="99"/>
    <w:unhideWhenUsed/>
    <w:rsid w:val="0040494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04944"/>
    <w:rPr>
      <w:sz w:val="18"/>
      <w:szCs w:val="18"/>
    </w:rPr>
  </w:style>
  <w:style w:type="character" w:styleId="CommentReference">
    <w:name w:val="annotation reference"/>
    <w:basedOn w:val="DefaultParagraphFont"/>
    <w:semiHidden/>
    <w:unhideWhenUsed/>
    <w:rsid w:val="00EA7D7F"/>
    <w:rPr>
      <w:sz w:val="21"/>
      <w:szCs w:val="21"/>
    </w:rPr>
  </w:style>
  <w:style w:type="paragraph" w:styleId="CommentText">
    <w:name w:val="annotation text"/>
    <w:basedOn w:val="Normal"/>
    <w:link w:val="CommentTextChar"/>
    <w:semiHidden/>
    <w:unhideWhenUsed/>
    <w:rsid w:val="00EA7D7F"/>
  </w:style>
  <w:style w:type="character" w:customStyle="1" w:styleId="CommentTextChar">
    <w:name w:val="Comment Text Char"/>
    <w:basedOn w:val="DefaultParagraphFont"/>
    <w:link w:val="CommentText"/>
    <w:semiHidden/>
    <w:rsid w:val="00EA7D7F"/>
    <w:rPr>
      <w:sz w:val="24"/>
      <w:szCs w:val="24"/>
    </w:rPr>
  </w:style>
  <w:style w:type="paragraph" w:styleId="CommentSubject">
    <w:name w:val="annotation subject"/>
    <w:basedOn w:val="CommentText"/>
    <w:next w:val="CommentText"/>
    <w:link w:val="CommentSubjectChar"/>
    <w:semiHidden/>
    <w:unhideWhenUsed/>
    <w:rsid w:val="00EA7D7F"/>
    <w:rPr>
      <w:b/>
      <w:bCs/>
    </w:rPr>
  </w:style>
  <w:style w:type="character" w:customStyle="1" w:styleId="CommentSubjectChar">
    <w:name w:val="Comment Subject Char"/>
    <w:basedOn w:val="CommentTextChar"/>
    <w:link w:val="CommentSubject"/>
    <w:semiHidden/>
    <w:rsid w:val="00EA7D7F"/>
    <w:rPr>
      <w:b/>
      <w:bCs/>
      <w:sz w:val="24"/>
      <w:szCs w:val="24"/>
    </w:rPr>
  </w:style>
  <w:style w:type="paragraph" w:styleId="BalloonText">
    <w:name w:val="Balloon Text"/>
    <w:basedOn w:val="Normal"/>
    <w:link w:val="BalloonTextChar"/>
    <w:semiHidden/>
    <w:unhideWhenUsed/>
    <w:rsid w:val="00EA7D7F"/>
    <w:rPr>
      <w:sz w:val="18"/>
      <w:szCs w:val="18"/>
    </w:rPr>
  </w:style>
  <w:style w:type="character" w:customStyle="1" w:styleId="BalloonTextChar">
    <w:name w:val="Balloon Text Char"/>
    <w:basedOn w:val="DefaultParagraphFont"/>
    <w:link w:val="BalloonText"/>
    <w:semiHidden/>
    <w:rsid w:val="00EA7D7F"/>
    <w:rPr>
      <w:sz w:val="18"/>
      <w:szCs w:val="18"/>
    </w:rPr>
  </w:style>
  <w:style w:type="paragraph" w:styleId="Revision">
    <w:name w:val="Revision"/>
    <w:hidden/>
    <w:uiPriority w:val="99"/>
    <w:semiHidden/>
    <w:rsid w:val="00D11BFE"/>
    <w:rPr>
      <w:sz w:val="24"/>
      <w:szCs w:val="24"/>
    </w:rPr>
  </w:style>
  <w:style w:type="paragraph" w:styleId="NormalWeb">
    <w:name w:val="Normal (Web)"/>
    <w:basedOn w:val="Normal"/>
    <w:semiHidden/>
    <w:unhideWhenUsed/>
    <w:rsid w:val="00076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379021">
      <w:bodyDiv w:val="1"/>
      <w:marLeft w:val="0"/>
      <w:marRight w:val="0"/>
      <w:marTop w:val="0"/>
      <w:marBottom w:val="0"/>
      <w:divBdr>
        <w:top w:val="none" w:sz="0" w:space="0" w:color="auto"/>
        <w:left w:val="none" w:sz="0" w:space="0" w:color="auto"/>
        <w:bottom w:val="none" w:sz="0" w:space="0" w:color="auto"/>
        <w:right w:val="none" w:sz="0" w:space="0" w:color="auto"/>
      </w:divBdr>
    </w:div>
    <w:div w:id="1555698162">
      <w:bodyDiv w:val="1"/>
      <w:marLeft w:val="0"/>
      <w:marRight w:val="0"/>
      <w:marTop w:val="0"/>
      <w:marBottom w:val="0"/>
      <w:divBdr>
        <w:top w:val="none" w:sz="0" w:space="0" w:color="auto"/>
        <w:left w:val="none" w:sz="0" w:space="0" w:color="auto"/>
        <w:bottom w:val="none" w:sz="0" w:space="0" w:color="auto"/>
        <w:right w:val="none" w:sz="0" w:space="0" w:color="auto"/>
      </w:divBdr>
    </w:div>
    <w:div w:id="1703626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94EB3-F08D-45E0-BCC2-6941D553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4910</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dc:creator>
  <cp:lastModifiedBy>jrw</cp:lastModifiedBy>
  <cp:revision>2</cp:revision>
  <dcterms:created xsi:type="dcterms:W3CDTF">2023-05-12T09:39:00Z</dcterms:created>
  <dcterms:modified xsi:type="dcterms:W3CDTF">2023-05-12T09:39:00Z</dcterms:modified>
</cp:coreProperties>
</file>