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029" w:rsidRPr="0086525B" w:rsidRDefault="00D53029" w:rsidP="0016537A">
      <w:pPr>
        <w:pStyle w:val="p0"/>
        <w:adjustRightInd w:val="0"/>
        <w:snapToGrid w:val="0"/>
        <w:spacing w:line="360" w:lineRule="auto"/>
        <w:rPr>
          <w:rFonts w:ascii="Book Antiqua" w:hAnsi="Book Antiqua"/>
          <w:color w:val="000000"/>
          <w:sz w:val="24"/>
          <w:szCs w:val="24"/>
        </w:rPr>
      </w:pPr>
      <w:r w:rsidRPr="0086525B">
        <w:rPr>
          <w:rFonts w:ascii="Book Antiqua" w:eastAsia="Times New Roman" w:hAnsi="Book Antiqua"/>
          <w:b/>
          <w:color w:val="0033CC"/>
          <w:sz w:val="24"/>
          <w:szCs w:val="24"/>
        </w:rPr>
        <w:t>Name of journal:</w:t>
      </w:r>
      <w:r w:rsidRPr="0086525B">
        <w:rPr>
          <w:rFonts w:ascii="Book Antiqua" w:eastAsia="Times New Roman" w:hAnsi="Book Antiqua"/>
          <w:b/>
          <w:color w:val="000000"/>
          <w:sz w:val="24"/>
          <w:szCs w:val="24"/>
        </w:rPr>
        <w:t xml:space="preserve"> </w:t>
      </w:r>
      <w:bookmarkStart w:id="0" w:name="OLE_LINK718"/>
      <w:bookmarkStart w:id="1" w:name="OLE_LINK719"/>
      <w:r w:rsidRPr="0086525B">
        <w:rPr>
          <w:rFonts w:ascii="Book Antiqua" w:eastAsia="Times New Roman" w:hAnsi="Book Antiqua"/>
          <w:i/>
          <w:color w:val="000000"/>
          <w:sz w:val="24"/>
          <w:szCs w:val="24"/>
        </w:rPr>
        <w:t>World Journal of Gastroenterology</w:t>
      </w:r>
      <w:bookmarkEnd w:id="0"/>
      <w:bookmarkEnd w:id="1"/>
    </w:p>
    <w:p w:rsidR="00D53029" w:rsidRPr="0086525B" w:rsidRDefault="00D53029" w:rsidP="0016537A">
      <w:pPr>
        <w:adjustRightInd w:val="0"/>
        <w:snapToGrid w:val="0"/>
        <w:spacing w:after="0" w:line="360" w:lineRule="auto"/>
        <w:rPr>
          <w:rFonts w:ascii="Book Antiqua" w:eastAsia="Times New Roman" w:hAnsi="Book Antiqua" w:cs="宋体"/>
          <w:b/>
          <w:i/>
          <w:color w:val="000000"/>
          <w:sz w:val="24"/>
          <w:szCs w:val="24"/>
          <w:lang w:eastAsia="zh-CN"/>
        </w:rPr>
      </w:pPr>
      <w:r w:rsidRPr="0086525B">
        <w:rPr>
          <w:rFonts w:ascii="Book Antiqua" w:hAnsi="Book Antiqua" w:cs="Arial"/>
          <w:b/>
          <w:color w:val="0033CC"/>
          <w:sz w:val="24"/>
          <w:szCs w:val="24"/>
        </w:rPr>
        <w:t>ESPS Manuscript NO:</w:t>
      </w:r>
      <w:r w:rsidRPr="0086525B">
        <w:rPr>
          <w:rFonts w:ascii="Book Antiqua" w:hAnsi="Book Antiqua" w:cs="Arial"/>
          <w:b/>
          <w:color w:val="222222"/>
          <w:sz w:val="24"/>
          <w:szCs w:val="24"/>
        </w:rPr>
        <w:t xml:space="preserve"> </w:t>
      </w:r>
      <w:r w:rsidR="00657A26" w:rsidRPr="0086525B">
        <w:rPr>
          <w:rFonts w:ascii="Book Antiqua" w:hAnsi="Book Antiqua" w:cs="Arial"/>
          <w:b/>
          <w:color w:val="222222"/>
          <w:sz w:val="24"/>
          <w:szCs w:val="24"/>
          <w:lang w:eastAsia="zh-CN"/>
        </w:rPr>
        <w:t>8416</w:t>
      </w:r>
    </w:p>
    <w:p w:rsidR="00D53029" w:rsidRPr="0086525B" w:rsidRDefault="00D53029" w:rsidP="0016537A">
      <w:pPr>
        <w:suppressAutoHyphens/>
        <w:autoSpaceDE w:val="0"/>
        <w:autoSpaceDN w:val="0"/>
        <w:adjustRightInd w:val="0"/>
        <w:snapToGrid w:val="0"/>
        <w:spacing w:after="0" w:line="360" w:lineRule="auto"/>
        <w:rPr>
          <w:rFonts w:ascii="Book Antiqua" w:hAnsi="Book Antiqua"/>
          <w:b/>
          <w:color w:val="000000"/>
          <w:sz w:val="24"/>
          <w:szCs w:val="24"/>
          <w:lang w:eastAsia="zh-CN"/>
        </w:rPr>
      </w:pPr>
      <w:r w:rsidRPr="0086525B">
        <w:rPr>
          <w:rFonts w:ascii="Book Antiqua" w:hAnsi="Book Antiqua"/>
          <w:b/>
          <w:color w:val="0033CC"/>
          <w:sz w:val="24"/>
          <w:szCs w:val="24"/>
        </w:rPr>
        <w:t>Columns:</w:t>
      </w:r>
      <w:r w:rsidRPr="0086525B">
        <w:rPr>
          <w:rFonts w:ascii="Book Antiqua" w:hAnsi="Book Antiqua"/>
          <w:b/>
          <w:color w:val="000000"/>
          <w:sz w:val="24"/>
          <w:szCs w:val="24"/>
        </w:rPr>
        <w:t xml:space="preserve"> </w:t>
      </w:r>
      <w:r w:rsidR="00F105E5" w:rsidRPr="00F105E5">
        <w:rPr>
          <w:rFonts w:ascii="Book Antiqua" w:hAnsi="Book Antiqua"/>
          <w:b/>
          <w:szCs w:val="21"/>
        </w:rPr>
        <w:t>RETROSPECTIVE STUDY</w:t>
      </w:r>
    </w:p>
    <w:p w:rsidR="00D53029" w:rsidRPr="0086525B" w:rsidRDefault="00D53029" w:rsidP="0016537A">
      <w:pPr>
        <w:snapToGrid w:val="0"/>
        <w:spacing w:after="0" w:line="360" w:lineRule="auto"/>
        <w:jc w:val="both"/>
        <w:rPr>
          <w:rFonts w:ascii="Book Antiqua" w:hAnsi="Book Antiqua"/>
          <w:b/>
          <w:sz w:val="24"/>
          <w:szCs w:val="24"/>
          <w:lang w:eastAsia="zh-CN"/>
        </w:rPr>
      </w:pPr>
    </w:p>
    <w:p w:rsidR="00201A92" w:rsidRPr="0086525B" w:rsidRDefault="00201A92" w:rsidP="0016537A">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 xml:space="preserve">Epithelioid </w:t>
      </w:r>
      <w:r w:rsidR="00EB5665" w:rsidRPr="0086525B">
        <w:rPr>
          <w:rFonts w:ascii="Book Antiqua" w:hAnsi="Book Antiqua"/>
          <w:b/>
          <w:sz w:val="24"/>
          <w:szCs w:val="24"/>
          <w:lang w:val="en-US"/>
        </w:rPr>
        <w:t>hemangioendothelioma</w:t>
      </w:r>
      <w:r w:rsidRPr="0086525B">
        <w:rPr>
          <w:rFonts w:ascii="Book Antiqua" w:hAnsi="Book Antiqua"/>
          <w:b/>
          <w:sz w:val="24"/>
          <w:szCs w:val="24"/>
          <w:lang w:val="en-US"/>
        </w:rPr>
        <w:t xml:space="preserve"> of the liver as a rare indication for liver transplantation</w:t>
      </w:r>
    </w:p>
    <w:p w:rsidR="0048034E" w:rsidRPr="0086525B" w:rsidRDefault="0048034E" w:rsidP="0016537A">
      <w:pPr>
        <w:snapToGrid w:val="0"/>
        <w:spacing w:after="0" w:line="360" w:lineRule="auto"/>
        <w:jc w:val="both"/>
        <w:rPr>
          <w:rFonts w:ascii="Book Antiqua" w:hAnsi="Book Antiqua"/>
          <w:sz w:val="24"/>
          <w:szCs w:val="24"/>
          <w:lang w:val="en-US"/>
        </w:rPr>
      </w:pPr>
    </w:p>
    <w:p w:rsidR="0048034E" w:rsidRPr="0086525B" w:rsidRDefault="00657A26" w:rsidP="0016537A">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pl-PL"/>
        </w:rPr>
        <w:t>Piotr</w:t>
      </w:r>
      <w:r w:rsidRPr="0086525B">
        <w:rPr>
          <w:rFonts w:ascii="Book Antiqua" w:hAnsi="Book Antiqua"/>
          <w:sz w:val="24"/>
          <w:szCs w:val="24"/>
          <w:lang w:val="en-US"/>
        </w:rPr>
        <w:t xml:space="preserve"> </w:t>
      </w:r>
      <w:r w:rsidRPr="0086525B">
        <w:rPr>
          <w:rFonts w:ascii="Book Antiqua" w:hAnsi="Book Antiqua"/>
          <w:sz w:val="24"/>
          <w:szCs w:val="24"/>
          <w:lang w:val="en-US" w:eastAsia="zh-CN"/>
        </w:rPr>
        <w:t xml:space="preserve">R </w:t>
      </w:r>
      <w:r w:rsidR="00A421B3" w:rsidRPr="0086525B">
        <w:rPr>
          <w:rFonts w:ascii="Book Antiqua" w:hAnsi="Book Antiqua"/>
          <w:i/>
          <w:sz w:val="24"/>
          <w:szCs w:val="24"/>
          <w:lang w:val="en-US" w:eastAsia="zh-CN"/>
        </w:rPr>
        <w:t>et al</w:t>
      </w:r>
      <w:r w:rsidRPr="0086525B">
        <w:rPr>
          <w:rFonts w:ascii="Book Antiqua" w:hAnsi="Book Antiqua"/>
          <w:sz w:val="24"/>
          <w:szCs w:val="24"/>
          <w:lang w:val="en-US" w:eastAsia="zh-CN"/>
        </w:rPr>
        <w:t xml:space="preserve">. </w:t>
      </w:r>
      <w:r w:rsidR="00201A92" w:rsidRPr="0086525B">
        <w:rPr>
          <w:rFonts w:ascii="Book Antiqua" w:hAnsi="Book Antiqua"/>
          <w:sz w:val="24"/>
          <w:szCs w:val="24"/>
          <w:lang w:val="en-US"/>
        </w:rPr>
        <w:t>HEHE as an indication for OLTx</w:t>
      </w:r>
    </w:p>
    <w:p w:rsidR="0048034E" w:rsidRPr="0086525B" w:rsidRDefault="0048034E" w:rsidP="0016537A">
      <w:pPr>
        <w:snapToGrid w:val="0"/>
        <w:spacing w:after="0" w:line="360" w:lineRule="auto"/>
        <w:jc w:val="both"/>
        <w:rPr>
          <w:rFonts w:ascii="Book Antiqua" w:hAnsi="Book Antiqua"/>
          <w:sz w:val="24"/>
          <w:szCs w:val="24"/>
          <w:lang w:val="en-US"/>
        </w:rPr>
      </w:pPr>
    </w:p>
    <w:p w:rsidR="00201A92" w:rsidRPr="0086525B" w:rsidRDefault="00201A92" w:rsidP="0016537A">
      <w:pPr>
        <w:snapToGrid w:val="0"/>
        <w:spacing w:after="0" w:line="360" w:lineRule="auto"/>
        <w:jc w:val="both"/>
        <w:rPr>
          <w:rFonts w:ascii="Book Antiqua" w:hAnsi="Book Antiqua"/>
          <w:sz w:val="24"/>
          <w:szCs w:val="24"/>
          <w:lang w:val="pl-PL"/>
        </w:rPr>
      </w:pPr>
      <w:r w:rsidRPr="0086525B">
        <w:rPr>
          <w:rFonts w:ascii="Book Antiqua" w:hAnsi="Book Antiqua"/>
          <w:sz w:val="24"/>
          <w:szCs w:val="24"/>
          <w:lang w:val="pl-PL"/>
        </w:rPr>
        <w:t>Piotr</w:t>
      </w:r>
      <w:r w:rsidR="009E2BC4" w:rsidRPr="0086525B">
        <w:rPr>
          <w:rFonts w:ascii="Book Antiqua" w:hAnsi="Book Antiqua"/>
          <w:sz w:val="24"/>
          <w:szCs w:val="24"/>
          <w:lang w:val="pl-PL" w:eastAsia="zh-CN"/>
        </w:rPr>
        <w:t xml:space="preserve"> </w:t>
      </w:r>
      <w:r w:rsidR="009E2BC4" w:rsidRPr="0086525B">
        <w:rPr>
          <w:rFonts w:ascii="Book Antiqua" w:hAnsi="Book Antiqua"/>
          <w:sz w:val="24"/>
          <w:szCs w:val="24"/>
          <w:lang w:val="pl-PL"/>
        </w:rPr>
        <w:t>Remiszewski</w:t>
      </w:r>
      <w:r w:rsidRPr="0086525B">
        <w:rPr>
          <w:rFonts w:ascii="Book Antiqua" w:hAnsi="Book Antiqua"/>
          <w:sz w:val="24"/>
          <w:szCs w:val="24"/>
          <w:lang w:val="pl-PL"/>
        </w:rPr>
        <w:t>, Ewa</w:t>
      </w:r>
      <w:r w:rsidR="009E2BC4" w:rsidRPr="0086525B">
        <w:rPr>
          <w:rFonts w:ascii="Book Antiqua" w:hAnsi="Book Antiqua"/>
          <w:sz w:val="24"/>
          <w:szCs w:val="24"/>
          <w:lang w:val="pl-PL"/>
        </w:rPr>
        <w:t xml:space="preserve"> Szczerba</w:t>
      </w:r>
      <w:r w:rsidRPr="0086525B">
        <w:rPr>
          <w:rFonts w:ascii="Book Antiqua" w:hAnsi="Book Antiqua"/>
          <w:sz w:val="24"/>
          <w:szCs w:val="24"/>
          <w:lang w:val="pl-PL"/>
        </w:rPr>
        <w:t>,</w:t>
      </w:r>
      <w:r w:rsidR="00657A26" w:rsidRPr="0086525B">
        <w:rPr>
          <w:rFonts w:ascii="Book Antiqua" w:hAnsi="Book Antiqua"/>
          <w:sz w:val="24"/>
          <w:szCs w:val="24"/>
          <w:lang w:val="pl-PL"/>
        </w:rPr>
        <w:t xml:space="preserve"> Piotr</w:t>
      </w:r>
      <w:r w:rsidR="009E2BC4" w:rsidRPr="0086525B">
        <w:rPr>
          <w:rFonts w:ascii="Book Antiqua" w:hAnsi="Book Antiqua"/>
          <w:sz w:val="24"/>
          <w:szCs w:val="24"/>
          <w:lang w:val="pl-PL"/>
        </w:rPr>
        <w:t xml:space="preserve"> Kalinowski</w:t>
      </w:r>
      <w:r w:rsidR="00657A26" w:rsidRPr="0086525B">
        <w:rPr>
          <w:rFonts w:ascii="Book Antiqua" w:hAnsi="Book Antiqua"/>
          <w:sz w:val="24"/>
          <w:szCs w:val="24"/>
          <w:lang w:val="pl-PL"/>
        </w:rPr>
        <w:t>, Beata</w:t>
      </w:r>
      <w:r w:rsidR="009E2BC4" w:rsidRPr="0086525B">
        <w:rPr>
          <w:rFonts w:ascii="Book Antiqua" w:hAnsi="Book Antiqua"/>
          <w:sz w:val="24"/>
          <w:szCs w:val="24"/>
          <w:lang w:val="pl-PL"/>
        </w:rPr>
        <w:t xml:space="preserve"> Gierej</w:t>
      </w:r>
      <w:r w:rsidRPr="0086525B">
        <w:rPr>
          <w:rFonts w:ascii="Book Antiqua" w:hAnsi="Book Antiqua"/>
          <w:sz w:val="24"/>
          <w:szCs w:val="24"/>
          <w:lang w:val="pl-PL"/>
        </w:rPr>
        <w:t>, Krzysztof</w:t>
      </w:r>
      <w:r w:rsidR="009E2BC4" w:rsidRPr="0086525B">
        <w:rPr>
          <w:rFonts w:ascii="Book Antiqua" w:hAnsi="Book Antiqua"/>
          <w:sz w:val="24"/>
          <w:szCs w:val="24"/>
          <w:lang w:val="pl-PL" w:eastAsia="zh-CN"/>
        </w:rPr>
        <w:t xml:space="preserve"> </w:t>
      </w:r>
      <w:r w:rsidR="009E2BC4" w:rsidRPr="0086525B">
        <w:rPr>
          <w:rFonts w:ascii="Book Antiqua" w:hAnsi="Book Antiqua"/>
          <w:sz w:val="24"/>
          <w:szCs w:val="24"/>
          <w:lang w:val="pl-PL"/>
        </w:rPr>
        <w:t>Dudek</w:t>
      </w:r>
      <w:r w:rsidRPr="0086525B">
        <w:rPr>
          <w:rFonts w:ascii="Book Antiqua" w:hAnsi="Book Antiqua"/>
          <w:sz w:val="24"/>
          <w:szCs w:val="24"/>
          <w:lang w:val="pl-PL"/>
        </w:rPr>
        <w:t>, Mariusz</w:t>
      </w:r>
      <w:r w:rsidR="009E2BC4" w:rsidRPr="0086525B">
        <w:rPr>
          <w:rFonts w:ascii="Book Antiqua" w:hAnsi="Book Antiqua"/>
          <w:sz w:val="24"/>
          <w:szCs w:val="24"/>
          <w:lang w:val="pl-PL"/>
        </w:rPr>
        <w:t xml:space="preserve"> Grodzicki</w:t>
      </w:r>
      <w:r w:rsidRPr="0086525B">
        <w:rPr>
          <w:rFonts w:ascii="Book Antiqua" w:hAnsi="Book Antiqua"/>
          <w:sz w:val="24"/>
          <w:szCs w:val="24"/>
          <w:lang w:val="pl-PL"/>
        </w:rPr>
        <w:t>, Marcin</w:t>
      </w:r>
      <w:r w:rsidR="009E2BC4" w:rsidRPr="0086525B">
        <w:rPr>
          <w:rFonts w:ascii="Book Antiqua" w:hAnsi="Book Antiqua"/>
          <w:sz w:val="24"/>
          <w:szCs w:val="24"/>
          <w:lang w:val="pl-PL"/>
        </w:rPr>
        <w:t xml:space="preserve"> Kotulski</w:t>
      </w:r>
      <w:r w:rsidRPr="0086525B">
        <w:rPr>
          <w:rFonts w:ascii="Book Antiqua" w:hAnsi="Book Antiqua"/>
          <w:sz w:val="24"/>
          <w:szCs w:val="24"/>
          <w:lang w:val="pl-PL"/>
        </w:rPr>
        <w:t>, Rafał</w:t>
      </w:r>
      <w:r w:rsidR="009E2BC4" w:rsidRPr="0086525B">
        <w:rPr>
          <w:rFonts w:ascii="Book Antiqua" w:hAnsi="Book Antiqua"/>
          <w:sz w:val="24"/>
          <w:szCs w:val="24"/>
          <w:lang w:val="pl-PL"/>
        </w:rPr>
        <w:t xml:space="preserve"> Paluszkiewicz</w:t>
      </w:r>
      <w:r w:rsidRPr="0086525B">
        <w:rPr>
          <w:rFonts w:ascii="Book Antiqua" w:hAnsi="Book Antiqua"/>
          <w:sz w:val="24"/>
          <w:szCs w:val="24"/>
          <w:lang w:val="pl-PL"/>
        </w:rPr>
        <w:t>, Waldemar</w:t>
      </w:r>
      <w:r w:rsidR="009E2BC4" w:rsidRPr="0086525B">
        <w:rPr>
          <w:rFonts w:ascii="Book Antiqua" w:hAnsi="Book Antiqua"/>
          <w:sz w:val="24"/>
          <w:szCs w:val="24"/>
          <w:lang w:val="pl-PL"/>
        </w:rPr>
        <w:t xml:space="preserve"> Patkowski</w:t>
      </w:r>
      <w:r w:rsidRPr="0086525B">
        <w:rPr>
          <w:rFonts w:ascii="Book Antiqua" w:hAnsi="Book Antiqua"/>
          <w:sz w:val="24"/>
          <w:szCs w:val="24"/>
          <w:lang w:val="pl-PL"/>
        </w:rPr>
        <w:t>, Krzysztof</w:t>
      </w:r>
      <w:r w:rsidR="009E2BC4" w:rsidRPr="0086525B">
        <w:rPr>
          <w:rFonts w:ascii="Book Antiqua" w:hAnsi="Book Antiqua"/>
          <w:sz w:val="24"/>
          <w:szCs w:val="24"/>
          <w:lang w:val="pl-PL"/>
        </w:rPr>
        <w:t xml:space="preserve"> Zieniewicz</w:t>
      </w:r>
      <w:r w:rsidRPr="0086525B">
        <w:rPr>
          <w:rFonts w:ascii="Book Antiqua" w:hAnsi="Book Antiqua"/>
          <w:sz w:val="24"/>
          <w:szCs w:val="24"/>
          <w:lang w:val="pl-PL"/>
        </w:rPr>
        <w:t>, Marek</w:t>
      </w:r>
      <w:r w:rsidR="009E2BC4" w:rsidRPr="0086525B">
        <w:rPr>
          <w:rFonts w:ascii="Book Antiqua" w:hAnsi="Book Antiqua"/>
          <w:sz w:val="24"/>
          <w:szCs w:val="24"/>
          <w:lang w:val="pl-PL"/>
        </w:rPr>
        <w:t xml:space="preserve"> Krawczyk</w:t>
      </w:r>
    </w:p>
    <w:p w:rsidR="0048034E" w:rsidRPr="0086525B" w:rsidRDefault="0048034E" w:rsidP="0016537A">
      <w:pPr>
        <w:snapToGrid w:val="0"/>
        <w:spacing w:after="0" w:line="360" w:lineRule="auto"/>
        <w:jc w:val="both"/>
        <w:rPr>
          <w:rFonts w:ascii="Book Antiqua" w:hAnsi="Book Antiqua"/>
          <w:sz w:val="24"/>
          <w:szCs w:val="24"/>
          <w:lang w:val="pl-PL"/>
        </w:rPr>
      </w:pPr>
    </w:p>
    <w:p w:rsidR="00201A92" w:rsidRPr="0086525B" w:rsidRDefault="009E2BC4" w:rsidP="0016537A">
      <w:pPr>
        <w:snapToGrid w:val="0"/>
        <w:spacing w:after="0" w:line="360" w:lineRule="auto"/>
        <w:jc w:val="both"/>
        <w:rPr>
          <w:rFonts w:ascii="Book Antiqua" w:hAnsi="Book Antiqua"/>
          <w:sz w:val="24"/>
          <w:szCs w:val="24"/>
          <w:lang w:val="pl-PL"/>
        </w:rPr>
      </w:pPr>
      <w:r w:rsidRPr="0086525B">
        <w:rPr>
          <w:rFonts w:ascii="Book Antiqua" w:hAnsi="Book Antiqua"/>
          <w:b/>
          <w:sz w:val="24"/>
          <w:szCs w:val="24"/>
          <w:lang w:val="pl-PL"/>
        </w:rPr>
        <w:t>Piotr</w:t>
      </w:r>
      <w:r w:rsidRPr="0086525B">
        <w:rPr>
          <w:rFonts w:ascii="Book Antiqua" w:hAnsi="Book Antiqua"/>
          <w:b/>
          <w:sz w:val="24"/>
          <w:szCs w:val="24"/>
          <w:lang w:val="pl-PL" w:eastAsia="zh-CN"/>
        </w:rPr>
        <w:t xml:space="preserve"> </w:t>
      </w:r>
      <w:r w:rsidRPr="0086525B">
        <w:rPr>
          <w:rFonts w:ascii="Book Antiqua" w:hAnsi="Book Antiqua"/>
          <w:b/>
          <w:sz w:val="24"/>
          <w:szCs w:val="24"/>
          <w:lang w:val="pl-PL"/>
        </w:rPr>
        <w:t>Remiszewski, Ewa Szczerba, Piotr Kalinowski, Krzysztof</w:t>
      </w:r>
      <w:r w:rsidRPr="0086525B">
        <w:rPr>
          <w:rFonts w:ascii="Book Antiqua" w:hAnsi="Book Antiqua"/>
          <w:b/>
          <w:sz w:val="24"/>
          <w:szCs w:val="24"/>
          <w:lang w:val="pl-PL" w:eastAsia="zh-CN"/>
        </w:rPr>
        <w:t xml:space="preserve"> </w:t>
      </w:r>
      <w:r w:rsidRPr="0086525B">
        <w:rPr>
          <w:rFonts w:ascii="Book Antiqua" w:hAnsi="Book Antiqua"/>
          <w:b/>
          <w:sz w:val="24"/>
          <w:szCs w:val="24"/>
          <w:lang w:val="pl-PL"/>
        </w:rPr>
        <w:t>Dudek, Mariusz Grodzicki, Marcin Kotulski, Rafał Paluszkiewicz, Waldemar Patkowski, Krzysztof Zieniewicz, Marek Krawczyk</w:t>
      </w:r>
      <w:r w:rsidR="00657A26" w:rsidRPr="0086525B">
        <w:rPr>
          <w:rFonts w:ascii="Book Antiqua" w:hAnsi="Book Antiqua"/>
          <w:b/>
          <w:sz w:val="24"/>
          <w:szCs w:val="24"/>
          <w:lang w:val="pl-PL" w:eastAsia="zh-CN"/>
        </w:rPr>
        <w:t>,</w:t>
      </w:r>
      <w:r w:rsidR="00657A26" w:rsidRPr="0086525B">
        <w:rPr>
          <w:rFonts w:ascii="Book Antiqua" w:hAnsi="Book Antiqua"/>
          <w:sz w:val="24"/>
          <w:szCs w:val="24"/>
          <w:lang w:val="pl-PL" w:eastAsia="zh-CN"/>
        </w:rPr>
        <w:t xml:space="preserve"> </w:t>
      </w:r>
      <w:r w:rsidR="00201A92" w:rsidRPr="0086525B">
        <w:rPr>
          <w:rFonts w:ascii="Book Antiqua" w:hAnsi="Book Antiqua"/>
          <w:sz w:val="24"/>
          <w:szCs w:val="24"/>
          <w:lang w:val="pl-PL"/>
        </w:rPr>
        <w:t xml:space="preserve">Department of General, Transplant and Liver Surgery, Medical University of Warsaw, </w:t>
      </w:r>
      <w:r w:rsidR="00F773C1" w:rsidRPr="0086525B">
        <w:rPr>
          <w:rFonts w:ascii="Book Antiqua" w:hAnsi="Book Antiqua"/>
          <w:sz w:val="24"/>
          <w:szCs w:val="24"/>
          <w:lang w:val="pl-PL"/>
        </w:rPr>
        <w:t>00-097 Warsaw</w:t>
      </w:r>
      <w:r w:rsidR="00F773C1" w:rsidRPr="0086525B">
        <w:rPr>
          <w:rFonts w:ascii="Book Antiqua" w:hAnsi="Book Antiqua"/>
          <w:sz w:val="24"/>
          <w:szCs w:val="24"/>
          <w:lang w:val="pl-PL" w:eastAsia="zh-CN"/>
        </w:rPr>
        <w:t>,</w:t>
      </w:r>
      <w:r w:rsidR="00F773C1" w:rsidRPr="0086525B">
        <w:rPr>
          <w:rFonts w:ascii="Book Antiqua" w:hAnsi="Book Antiqua"/>
          <w:sz w:val="24"/>
          <w:szCs w:val="24"/>
          <w:lang w:val="pl-PL"/>
        </w:rPr>
        <w:t xml:space="preserve"> </w:t>
      </w:r>
      <w:r w:rsidR="00201A92" w:rsidRPr="0086525B">
        <w:rPr>
          <w:rFonts w:ascii="Book Antiqua" w:hAnsi="Book Antiqua"/>
          <w:sz w:val="24"/>
          <w:szCs w:val="24"/>
          <w:lang w:val="pl-PL"/>
        </w:rPr>
        <w:t>Poland</w:t>
      </w:r>
    </w:p>
    <w:p w:rsidR="00657A26" w:rsidRPr="0086525B" w:rsidRDefault="00657A26" w:rsidP="0016537A">
      <w:pPr>
        <w:snapToGrid w:val="0"/>
        <w:spacing w:after="0" w:line="360" w:lineRule="auto"/>
        <w:jc w:val="both"/>
        <w:rPr>
          <w:rFonts w:ascii="Book Antiqua" w:hAnsi="Book Antiqua"/>
          <w:sz w:val="24"/>
          <w:szCs w:val="24"/>
          <w:lang w:val="pl-PL" w:eastAsia="zh-CN"/>
        </w:rPr>
      </w:pPr>
    </w:p>
    <w:p w:rsidR="00201A92" w:rsidRPr="0086525B" w:rsidRDefault="009E2BC4"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pl-PL"/>
        </w:rPr>
        <w:t xml:space="preserve">Beata Gierej, </w:t>
      </w:r>
      <w:r w:rsidR="00201A92" w:rsidRPr="0086525B">
        <w:rPr>
          <w:rFonts w:ascii="Book Antiqua" w:hAnsi="Book Antiqua"/>
          <w:sz w:val="24"/>
          <w:szCs w:val="24"/>
          <w:lang w:val="en-US"/>
        </w:rPr>
        <w:t xml:space="preserve">Department of Anatomopathology, Medical University of Warsaw, </w:t>
      </w:r>
      <w:r w:rsidR="00F773C1" w:rsidRPr="0086525B">
        <w:rPr>
          <w:rFonts w:ascii="Book Antiqua" w:hAnsi="Book Antiqua"/>
          <w:sz w:val="24"/>
          <w:szCs w:val="24"/>
          <w:lang w:val="pl-PL"/>
        </w:rPr>
        <w:t>00-097 Warsaw</w:t>
      </w:r>
      <w:r w:rsidR="00F773C1" w:rsidRPr="0086525B">
        <w:rPr>
          <w:rFonts w:ascii="Book Antiqua" w:hAnsi="Book Antiqua"/>
          <w:sz w:val="24"/>
          <w:szCs w:val="24"/>
          <w:lang w:val="pl-PL" w:eastAsia="zh-CN"/>
        </w:rPr>
        <w:t>,</w:t>
      </w:r>
      <w:r w:rsidR="00F773C1" w:rsidRPr="0086525B">
        <w:rPr>
          <w:rFonts w:ascii="Book Antiqua" w:hAnsi="Book Antiqua"/>
          <w:sz w:val="24"/>
          <w:szCs w:val="24"/>
          <w:lang w:val="pl-PL"/>
        </w:rPr>
        <w:t xml:space="preserve"> </w:t>
      </w:r>
      <w:r w:rsidR="00201A92" w:rsidRPr="0086525B">
        <w:rPr>
          <w:rFonts w:ascii="Book Antiqua" w:hAnsi="Book Antiqua"/>
          <w:sz w:val="24"/>
          <w:szCs w:val="24"/>
          <w:lang w:val="en-US"/>
        </w:rPr>
        <w:t>Poland</w:t>
      </w:r>
    </w:p>
    <w:p w:rsidR="0048034E" w:rsidRPr="0086525B" w:rsidRDefault="0048034E" w:rsidP="0016537A">
      <w:pPr>
        <w:snapToGrid w:val="0"/>
        <w:spacing w:after="0" w:line="360" w:lineRule="auto"/>
        <w:jc w:val="both"/>
        <w:rPr>
          <w:rFonts w:ascii="Book Antiqua" w:hAnsi="Book Antiqua"/>
          <w:sz w:val="24"/>
          <w:szCs w:val="24"/>
          <w:lang w:val="en-US"/>
        </w:rPr>
      </w:pPr>
    </w:p>
    <w:p w:rsidR="00201A92" w:rsidRPr="00A901C4" w:rsidRDefault="00F773C1" w:rsidP="0016537A">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Author</w:t>
      </w:r>
      <w:r w:rsidR="00201A92" w:rsidRPr="0086525B">
        <w:rPr>
          <w:rFonts w:ascii="Book Antiqua" w:hAnsi="Book Antiqua"/>
          <w:b/>
          <w:sz w:val="24"/>
          <w:szCs w:val="24"/>
          <w:lang w:val="en-US"/>
        </w:rPr>
        <w:t xml:space="preserve"> contributions: </w:t>
      </w:r>
      <w:r w:rsidR="00201A92" w:rsidRPr="0086525B">
        <w:rPr>
          <w:rFonts w:ascii="Book Antiqua" w:hAnsi="Book Antiqua"/>
          <w:sz w:val="24"/>
          <w:szCs w:val="24"/>
          <w:lang w:val="en-US"/>
        </w:rPr>
        <w:t>Remiszewski P, Szczerba E, Dudek K, Grodzicki M, Kotulski M, Paluszkiewicz R, Patkowski W, Zieniewicz K, Krawczyk M designed the research;</w:t>
      </w:r>
      <w:r w:rsidR="00A901C4">
        <w:rPr>
          <w:rFonts w:ascii="Book Antiqua" w:hAnsi="Book Antiqua" w:hint="eastAsia"/>
          <w:b/>
          <w:sz w:val="24"/>
          <w:szCs w:val="24"/>
          <w:lang w:val="en-US" w:eastAsia="zh-CN"/>
        </w:rPr>
        <w:t xml:space="preserve"> </w:t>
      </w:r>
      <w:r w:rsidR="00201A92" w:rsidRPr="0086525B">
        <w:rPr>
          <w:rFonts w:ascii="Book Antiqua" w:hAnsi="Book Antiqua"/>
          <w:sz w:val="24"/>
          <w:szCs w:val="24"/>
          <w:lang w:val="pl-PL"/>
        </w:rPr>
        <w:t>Remiszewski P, Szczerba E, Gierej B analyzed the data;</w:t>
      </w:r>
      <w:r w:rsidRPr="0086525B">
        <w:rPr>
          <w:rFonts w:ascii="Book Antiqua" w:hAnsi="Book Antiqua"/>
          <w:sz w:val="24"/>
          <w:szCs w:val="24"/>
          <w:lang w:val="pl-PL" w:eastAsia="zh-CN"/>
        </w:rPr>
        <w:t xml:space="preserve"> </w:t>
      </w:r>
      <w:r w:rsidR="00201A92" w:rsidRPr="0086525B">
        <w:rPr>
          <w:rFonts w:ascii="Book Antiqua" w:hAnsi="Book Antiqua"/>
          <w:sz w:val="24"/>
          <w:szCs w:val="24"/>
          <w:lang w:val="pl-PL"/>
        </w:rPr>
        <w:t>Remiszewski P, Szczerba E , Kalinowski P, Gierej B wrote the paper.</w:t>
      </w:r>
    </w:p>
    <w:p w:rsidR="00201A92" w:rsidRPr="0086525B" w:rsidRDefault="00201A92" w:rsidP="0016537A">
      <w:pPr>
        <w:snapToGrid w:val="0"/>
        <w:spacing w:after="0" w:line="360" w:lineRule="auto"/>
        <w:jc w:val="both"/>
        <w:rPr>
          <w:rFonts w:ascii="Book Antiqua" w:hAnsi="Book Antiqua"/>
          <w:sz w:val="24"/>
          <w:szCs w:val="24"/>
          <w:lang w:val="pl-PL"/>
        </w:rPr>
      </w:pPr>
    </w:p>
    <w:p w:rsidR="00201A92" w:rsidRPr="0086525B" w:rsidRDefault="00F773C1" w:rsidP="0016537A">
      <w:pPr>
        <w:snapToGrid w:val="0"/>
        <w:spacing w:after="0" w:line="360" w:lineRule="auto"/>
        <w:jc w:val="both"/>
        <w:rPr>
          <w:rFonts w:ascii="Book Antiqua" w:hAnsi="Book Antiqua"/>
          <w:sz w:val="24"/>
          <w:szCs w:val="24"/>
          <w:lang w:val="pl-PL" w:eastAsia="zh-CN"/>
        </w:rPr>
      </w:pPr>
      <w:bookmarkStart w:id="2" w:name="OLE_LINK703"/>
      <w:bookmarkStart w:id="3" w:name="OLE_LINK704"/>
      <w:bookmarkStart w:id="4" w:name="OLE_LINK706"/>
      <w:bookmarkStart w:id="5" w:name="OLE_LINK1358"/>
      <w:bookmarkStart w:id="6" w:name="OLE_LINK1625"/>
      <w:bookmarkStart w:id="7" w:name="OLE_LINK1626"/>
      <w:bookmarkStart w:id="8" w:name="OLE_LINK1528"/>
      <w:bookmarkStart w:id="9" w:name="OLE_LINK1529"/>
      <w:bookmarkStart w:id="10" w:name="OLE_LINK1521"/>
      <w:bookmarkStart w:id="11" w:name="OLE_LINK1522"/>
      <w:bookmarkStart w:id="12" w:name="OLE_LINK1898"/>
      <w:bookmarkStart w:id="13" w:name="OLE_LINK1900"/>
      <w:bookmarkStart w:id="14" w:name="OLE_LINK1981"/>
      <w:bookmarkStart w:id="15" w:name="OLE_LINK2645"/>
      <w:bookmarkStart w:id="16" w:name="OLE_LINK2646"/>
      <w:bookmarkStart w:id="17" w:name="OLE_LINK830"/>
      <w:bookmarkStart w:id="18" w:name="OLE_LINK908"/>
      <w:bookmarkStart w:id="19" w:name="OLE_LINK1351"/>
      <w:bookmarkStart w:id="20" w:name="OLE_LINK1355"/>
      <w:bookmarkStart w:id="21" w:name="OLE_LINK1420"/>
      <w:bookmarkStart w:id="22" w:name="OLE_LINK1566"/>
      <w:bookmarkStart w:id="23" w:name="OLE_LINK1794"/>
      <w:bookmarkStart w:id="24" w:name="OLE_LINK1930"/>
      <w:bookmarkStart w:id="25" w:name="OLE_LINK1960"/>
      <w:bookmarkStart w:id="26" w:name="OLE_LINK2183"/>
      <w:bookmarkStart w:id="27" w:name="OLE_LINK2184"/>
      <w:bookmarkStart w:id="28" w:name="OLE_LINK2295"/>
      <w:bookmarkStart w:id="29" w:name="OLE_LINK2419"/>
      <w:bookmarkStart w:id="30" w:name="OLE_LINK2420"/>
      <w:bookmarkStart w:id="31" w:name="OLE_LINK3135"/>
      <w:bookmarkStart w:id="32" w:name="OLE_LINK3136"/>
      <w:bookmarkStart w:id="33" w:name="OLE_LINK2632"/>
      <w:bookmarkStart w:id="34" w:name="OLE_LINK3007"/>
      <w:r w:rsidRPr="0086525B">
        <w:rPr>
          <w:rFonts w:ascii="Book Antiqua" w:eastAsia="Times New Roman" w:hAnsi="Book Antiqua" w:cs="Gulim"/>
          <w:b/>
          <w:sz w:val="24"/>
          <w:szCs w:val="24"/>
        </w:rPr>
        <w:t>Correspondence to</w:t>
      </w:r>
      <w:r w:rsidRPr="0086525B">
        <w:rPr>
          <w:rFonts w:ascii="Book Antiqua" w:eastAsia="Times New Roman" w:hAnsi="Book Antiqua" w:cs="Gulim"/>
          <w:b/>
          <w:bCs/>
          <w:sz w:val="24"/>
          <w:szCs w:val="24"/>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86525B">
        <w:rPr>
          <w:rFonts w:ascii="Book Antiqua" w:hAnsi="Book Antiqua" w:cs="Gulim"/>
          <w:b/>
          <w:bCs/>
          <w:sz w:val="24"/>
          <w:szCs w:val="24"/>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201A92" w:rsidRPr="0086525B">
        <w:rPr>
          <w:rFonts w:ascii="Book Antiqua" w:hAnsi="Book Antiqua"/>
          <w:b/>
          <w:sz w:val="24"/>
          <w:szCs w:val="24"/>
          <w:lang w:val="en-US"/>
        </w:rPr>
        <w:t>Piotr Remiszewski, MD</w:t>
      </w:r>
      <w:r w:rsidRPr="0086525B">
        <w:rPr>
          <w:rFonts w:ascii="Book Antiqua" w:hAnsi="Book Antiqua"/>
          <w:b/>
          <w:sz w:val="24"/>
          <w:szCs w:val="24"/>
          <w:lang w:val="en-US" w:eastAsia="zh-CN"/>
        </w:rPr>
        <w:t xml:space="preserve">, </w:t>
      </w:r>
      <w:r w:rsidR="00201A92" w:rsidRPr="0086525B">
        <w:rPr>
          <w:rFonts w:ascii="Book Antiqua" w:hAnsi="Book Antiqua"/>
          <w:b/>
          <w:sz w:val="24"/>
          <w:szCs w:val="24"/>
          <w:lang w:val="en-US"/>
        </w:rPr>
        <w:t>PhD</w:t>
      </w:r>
      <w:r w:rsidRPr="0086525B">
        <w:rPr>
          <w:rFonts w:ascii="Book Antiqua" w:hAnsi="Book Antiqua"/>
          <w:b/>
          <w:sz w:val="24"/>
          <w:szCs w:val="24"/>
          <w:lang w:val="en-US" w:eastAsia="zh-CN"/>
        </w:rPr>
        <w:t xml:space="preserve">, </w:t>
      </w:r>
      <w:r w:rsidR="00201A92" w:rsidRPr="0086525B">
        <w:rPr>
          <w:rFonts w:ascii="Book Antiqua" w:hAnsi="Book Antiqua"/>
          <w:sz w:val="24"/>
          <w:szCs w:val="24"/>
          <w:lang w:val="en-US"/>
        </w:rPr>
        <w:t xml:space="preserve">Department of General, Transplant and Liver Surgery, Medical University of Warsaw, </w:t>
      </w:r>
      <w:r w:rsidRPr="0086525B">
        <w:rPr>
          <w:rFonts w:ascii="Book Antiqua" w:hAnsi="Book Antiqua"/>
          <w:sz w:val="24"/>
          <w:szCs w:val="24"/>
          <w:lang w:val="pl-PL"/>
        </w:rPr>
        <w:t>ul. Banacha 1a</w:t>
      </w:r>
      <w:r w:rsidRPr="0086525B">
        <w:rPr>
          <w:rFonts w:ascii="Book Antiqua" w:hAnsi="Book Antiqua"/>
          <w:sz w:val="24"/>
          <w:szCs w:val="24"/>
          <w:lang w:val="pl-PL" w:eastAsia="zh-CN"/>
        </w:rPr>
        <w:t>,</w:t>
      </w:r>
      <w:r w:rsidRPr="0086525B">
        <w:rPr>
          <w:rFonts w:ascii="Book Antiqua" w:hAnsi="Book Antiqua"/>
          <w:sz w:val="24"/>
          <w:szCs w:val="24"/>
          <w:lang w:val="pl-PL"/>
        </w:rPr>
        <w:t xml:space="preserve"> 00-097 Warsaw</w:t>
      </w:r>
      <w:r w:rsidRPr="0086525B">
        <w:rPr>
          <w:rFonts w:ascii="Book Antiqua" w:hAnsi="Book Antiqua"/>
          <w:sz w:val="24"/>
          <w:szCs w:val="24"/>
          <w:lang w:val="pl-PL" w:eastAsia="zh-CN"/>
        </w:rPr>
        <w:t xml:space="preserve">, </w:t>
      </w:r>
      <w:r w:rsidR="00201A92" w:rsidRPr="0086525B">
        <w:rPr>
          <w:rFonts w:ascii="Book Antiqua" w:hAnsi="Book Antiqua"/>
          <w:sz w:val="24"/>
          <w:szCs w:val="24"/>
          <w:lang w:val="en-US"/>
        </w:rPr>
        <w:t>Poland</w:t>
      </w:r>
      <w:r w:rsidRPr="0086525B">
        <w:rPr>
          <w:rFonts w:ascii="Book Antiqua" w:hAnsi="Book Antiqua"/>
          <w:sz w:val="24"/>
          <w:szCs w:val="24"/>
          <w:lang w:val="en-US" w:eastAsia="zh-CN"/>
        </w:rPr>
        <w:t>.</w:t>
      </w:r>
      <w:r w:rsidRPr="0086525B">
        <w:rPr>
          <w:rFonts w:ascii="Book Antiqua" w:hAnsi="Book Antiqua"/>
          <w:sz w:val="24"/>
          <w:szCs w:val="24"/>
          <w:lang w:val="pl-PL" w:eastAsia="zh-CN"/>
        </w:rPr>
        <w:t xml:space="preserve"> </w:t>
      </w:r>
      <w:hyperlink r:id="rId9" w:history="1">
        <w:r w:rsidRPr="0086525B">
          <w:rPr>
            <w:rStyle w:val="a7"/>
            <w:rFonts w:ascii="Book Antiqua" w:hAnsi="Book Antiqua"/>
            <w:sz w:val="24"/>
            <w:szCs w:val="24"/>
            <w:lang w:val="pl-PL"/>
          </w:rPr>
          <w:t>remi@mp.pl</w:t>
        </w:r>
      </w:hyperlink>
    </w:p>
    <w:p w:rsidR="00F773C1" w:rsidRPr="0086525B" w:rsidRDefault="00F773C1" w:rsidP="0016537A">
      <w:pPr>
        <w:snapToGrid w:val="0"/>
        <w:spacing w:after="0" w:line="360" w:lineRule="auto"/>
        <w:jc w:val="both"/>
        <w:rPr>
          <w:rFonts w:ascii="Book Antiqua" w:hAnsi="Book Antiqua"/>
          <w:sz w:val="24"/>
          <w:szCs w:val="24"/>
          <w:lang w:val="pl-PL" w:eastAsia="zh-CN"/>
        </w:rPr>
      </w:pPr>
    </w:p>
    <w:p w:rsidR="00F773C1" w:rsidRPr="0086525B" w:rsidRDefault="00F773C1" w:rsidP="0016537A">
      <w:pPr>
        <w:autoSpaceDE w:val="0"/>
        <w:autoSpaceDN w:val="0"/>
        <w:adjustRightInd w:val="0"/>
        <w:snapToGrid w:val="0"/>
        <w:spacing w:after="0" w:line="360" w:lineRule="auto"/>
        <w:rPr>
          <w:rFonts w:ascii="Book Antiqua" w:hAnsi="Book Antiqua"/>
          <w:color w:val="000000"/>
          <w:sz w:val="24"/>
          <w:szCs w:val="24"/>
        </w:rPr>
      </w:pPr>
      <w:r w:rsidRPr="0086525B">
        <w:rPr>
          <w:rFonts w:ascii="Book Antiqua" w:hAnsi="Book Antiqua"/>
          <w:b/>
          <w:bCs/>
          <w:color w:val="000000"/>
          <w:sz w:val="24"/>
          <w:szCs w:val="24"/>
        </w:rPr>
        <w:lastRenderedPageBreak/>
        <w:t xml:space="preserve">Telephone: </w:t>
      </w:r>
      <w:bookmarkStart w:id="35" w:name="OLE_LINK1415"/>
      <w:bookmarkStart w:id="36" w:name="OLE_LINK1416"/>
      <w:bookmarkStart w:id="37" w:name="OLE_LINK1417"/>
      <w:r w:rsidRPr="0086525B">
        <w:rPr>
          <w:rFonts w:ascii="Book Antiqua" w:hAnsi="Book Antiqua"/>
          <w:color w:val="000000"/>
          <w:sz w:val="24"/>
          <w:szCs w:val="24"/>
        </w:rPr>
        <w:t>+</w:t>
      </w:r>
      <w:bookmarkStart w:id="38" w:name="OLE_LINK42"/>
      <w:bookmarkStart w:id="39" w:name="OLE_LINK128"/>
      <w:bookmarkStart w:id="40" w:name="OLE_LINK440"/>
      <w:bookmarkStart w:id="41" w:name="OLE_LINK951"/>
      <w:bookmarkStart w:id="42" w:name="OLE_LINK955"/>
      <w:bookmarkEnd w:id="35"/>
      <w:bookmarkEnd w:id="36"/>
      <w:bookmarkEnd w:id="37"/>
      <w:r w:rsidRPr="0086525B">
        <w:rPr>
          <w:rFonts w:ascii="Book Antiqua" w:hAnsi="Book Antiqua"/>
          <w:sz w:val="24"/>
          <w:szCs w:val="24"/>
          <w:lang w:val="en-US"/>
        </w:rPr>
        <w:t>48</w:t>
      </w:r>
      <w:r w:rsidRPr="0086525B">
        <w:rPr>
          <w:rFonts w:ascii="Book Antiqua" w:hAnsi="Book Antiqua"/>
          <w:sz w:val="24"/>
          <w:szCs w:val="24"/>
          <w:lang w:val="en-US" w:eastAsia="zh-CN"/>
        </w:rPr>
        <w:t>-</w:t>
      </w:r>
      <w:r w:rsidRPr="0086525B">
        <w:rPr>
          <w:rFonts w:ascii="Book Antiqua" w:hAnsi="Book Antiqua"/>
          <w:sz w:val="24"/>
          <w:szCs w:val="24"/>
          <w:lang w:val="en-US"/>
        </w:rPr>
        <w:t>22</w:t>
      </w:r>
      <w:r w:rsidRPr="0086525B">
        <w:rPr>
          <w:rFonts w:ascii="Book Antiqua" w:hAnsi="Book Antiqua"/>
          <w:sz w:val="24"/>
          <w:szCs w:val="24"/>
          <w:lang w:val="en-US" w:eastAsia="zh-CN"/>
        </w:rPr>
        <w:t>-</w:t>
      </w:r>
      <w:r w:rsidRPr="0086525B">
        <w:rPr>
          <w:rFonts w:ascii="Book Antiqua" w:hAnsi="Book Antiqua"/>
          <w:sz w:val="24"/>
          <w:szCs w:val="24"/>
          <w:lang w:val="en-US"/>
        </w:rPr>
        <w:t>5991545</w:t>
      </w:r>
      <w:r w:rsidR="000B1EBD" w:rsidRPr="0086525B">
        <w:rPr>
          <w:rFonts w:ascii="Book Antiqua" w:hAnsi="Book Antiqua"/>
          <w:sz w:val="24"/>
          <w:szCs w:val="24"/>
          <w:lang w:val="en-US"/>
        </w:rPr>
        <w:t xml:space="preserve"> </w:t>
      </w:r>
      <w:r w:rsidR="000B1EBD" w:rsidRPr="0086525B">
        <w:rPr>
          <w:rFonts w:ascii="Book Antiqua" w:hAnsi="Book Antiqua"/>
          <w:sz w:val="24"/>
          <w:szCs w:val="24"/>
          <w:lang w:val="en-US" w:eastAsia="zh-CN"/>
        </w:rPr>
        <w:t xml:space="preserve"> </w:t>
      </w:r>
      <w:r w:rsidR="009E2BC4" w:rsidRPr="0086525B">
        <w:rPr>
          <w:rFonts w:ascii="Book Antiqua" w:hAnsi="Book Antiqua"/>
          <w:sz w:val="24"/>
          <w:szCs w:val="24"/>
          <w:lang w:val="en-US" w:eastAsia="zh-CN"/>
        </w:rPr>
        <w:t xml:space="preserve">  </w:t>
      </w:r>
      <w:r w:rsidR="00A901C4">
        <w:rPr>
          <w:rFonts w:ascii="Book Antiqua" w:hAnsi="Book Antiqua" w:hint="eastAsia"/>
          <w:sz w:val="24"/>
          <w:szCs w:val="24"/>
          <w:lang w:val="en-US" w:eastAsia="zh-CN"/>
        </w:rPr>
        <w:t xml:space="preserve"> </w:t>
      </w:r>
      <w:r w:rsidRPr="0086525B">
        <w:rPr>
          <w:rFonts w:ascii="Book Antiqua" w:hAnsi="Book Antiqua"/>
          <w:b/>
          <w:bCs/>
          <w:color w:val="000000"/>
          <w:sz w:val="24"/>
          <w:szCs w:val="24"/>
        </w:rPr>
        <w:t>Fax:</w:t>
      </w:r>
      <w:r w:rsidRPr="0086525B">
        <w:rPr>
          <w:rFonts w:ascii="Book Antiqua" w:hAnsi="Book Antiqua"/>
          <w:color w:val="000000"/>
          <w:sz w:val="24"/>
          <w:szCs w:val="24"/>
        </w:rPr>
        <w:t xml:space="preserve"> +</w:t>
      </w:r>
      <w:bookmarkEnd w:id="38"/>
      <w:bookmarkEnd w:id="39"/>
      <w:bookmarkEnd w:id="40"/>
      <w:r w:rsidRPr="0086525B">
        <w:rPr>
          <w:rFonts w:ascii="Book Antiqua" w:hAnsi="Book Antiqua"/>
          <w:sz w:val="24"/>
          <w:szCs w:val="24"/>
          <w:lang w:val="en-US"/>
        </w:rPr>
        <w:t>48</w:t>
      </w:r>
      <w:r w:rsidRPr="0086525B">
        <w:rPr>
          <w:rFonts w:ascii="Book Antiqua" w:hAnsi="Book Antiqua"/>
          <w:sz w:val="24"/>
          <w:szCs w:val="24"/>
          <w:lang w:val="en-US" w:eastAsia="zh-CN"/>
        </w:rPr>
        <w:t>-</w:t>
      </w:r>
      <w:r w:rsidRPr="0086525B">
        <w:rPr>
          <w:rFonts w:ascii="Book Antiqua" w:hAnsi="Book Antiqua"/>
          <w:sz w:val="24"/>
          <w:szCs w:val="24"/>
          <w:lang w:val="en-US"/>
        </w:rPr>
        <w:t>22</w:t>
      </w:r>
      <w:r w:rsidRPr="0086525B">
        <w:rPr>
          <w:rFonts w:ascii="Book Antiqua" w:hAnsi="Book Antiqua"/>
          <w:sz w:val="24"/>
          <w:szCs w:val="24"/>
          <w:lang w:val="en-US" w:eastAsia="zh-CN"/>
        </w:rPr>
        <w:t>-</w:t>
      </w:r>
      <w:r w:rsidRPr="0086525B">
        <w:rPr>
          <w:rFonts w:ascii="Book Antiqua" w:hAnsi="Book Antiqua"/>
          <w:sz w:val="24"/>
          <w:szCs w:val="24"/>
          <w:lang w:val="en-US"/>
        </w:rPr>
        <w:t>5992359</w:t>
      </w:r>
    </w:p>
    <w:p w:rsidR="00F773C1" w:rsidRPr="0086525B" w:rsidRDefault="00F773C1" w:rsidP="0016537A">
      <w:pPr>
        <w:adjustRightInd w:val="0"/>
        <w:snapToGrid w:val="0"/>
        <w:spacing w:after="0" w:line="360" w:lineRule="auto"/>
        <w:rPr>
          <w:rFonts w:ascii="Book Antiqua" w:hAnsi="Book Antiqua"/>
          <w:sz w:val="24"/>
          <w:szCs w:val="24"/>
        </w:rPr>
      </w:pPr>
      <w:bookmarkStart w:id="43" w:name="OLE_LINK25"/>
      <w:bookmarkStart w:id="44" w:name="OLE_LINK26"/>
      <w:bookmarkStart w:id="45" w:name="OLE_LINK145"/>
      <w:bookmarkStart w:id="46" w:name="OLE_LINK215"/>
      <w:bookmarkStart w:id="47" w:name="OLE_LINK352"/>
      <w:bookmarkStart w:id="48" w:name="OLE_LINK364"/>
      <w:bookmarkStart w:id="49" w:name="OLE_LINK383"/>
      <w:bookmarkStart w:id="50" w:name="OLE_LINK361"/>
      <w:bookmarkStart w:id="51" w:name="OLE_LINK444"/>
      <w:bookmarkStart w:id="52" w:name="OLE_LINK501"/>
      <w:bookmarkStart w:id="53" w:name="OLE_LINK572"/>
      <w:bookmarkStart w:id="54" w:name="OLE_LINK573"/>
      <w:bookmarkStart w:id="55" w:name="OLE_LINK756"/>
      <w:bookmarkStart w:id="56" w:name="OLE_LINK757"/>
      <w:bookmarkStart w:id="57" w:name="OLE_LINK805"/>
      <w:bookmarkStart w:id="58" w:name="OLE_LINK806"/>
      <w:bookmarkStart w:id="59" w:name="OLE_LINK958"/>
      <w:bookmarkStart w:id="60" w:name="OLE_LINK1018"/>
      <w:bookmarkStart w:id="61" w:name="OLE_LINK1059"/>
      <w:bookmarkStart w:id="62" w:name="OLE_LINK1122"/>
      <w:bookmarkStart w:id="63" w:name="OLE_LINK1123"/>
      <w:bookmarkStart w:id="64" w:name="OLE_LINK1402"/>
      <w:bookmarkStart w:id="65" w:name="OLE_LINK1750"/>
      <w:bookmarkStart w:id="66" w:name="OLE_LINK1751"/>
      <w:bookmarkStart w:id="67" w:name="OLE_LINK1832"/>
      <w:bookmarkStart w:id="68" w:name="OLE_LINK1878"/>
      <w:bookmarkStart w:id="69" w:name="OLE_LINK1917"/>
      <w:bookmarkStart w:id="70" w:name="OLE_LINK1918"/>
      <w:bookmarkStart w:id="71" w:name="OLE_LINK1985"/>
      <w:bookmarkStart w:id="72" w:name="OLE_LINK1986"/>
      <w:bookmarkStart w:id="73" w:name="OLE_LINK1927"/>
      <w:bookmarkStart w:id="74" w:name="OLE_LINK1928"/>
      <w:bookmarkStart w:id="75" w:name="OLE_LINK2044"/>
      <w:bookmarkStart w:id="76" w:name="OLE_LINK2352"/>
      <w:bookmarkStart w:id="77" w:name="OLE_LINK2220"/>
      <w:bookmarkStart w:id="78" w:name="OLE_LINK2344"/>
      <w:bookmarkStart w:id="79" w:name="OLE_LINK2347"/>
      <w:bookmarkStart w:id="80" w:name="OLE_LINK2626"/>
      <w:bookmarkStart w:id="81" w:name="OLE_LINK2390"/>
      <w:bookmarkStart w:id="82" w:name="OLE_LINK2752"/>
      <w:bookmarkStart w:id="83" w:name="OLE_LINK2753"/>
      <w:bookmarkStart w:id="84" w:name="OLE_LINK2855"/>
      <w:bookmarkStart w:id="85" w:name="OLE_LINK2992"/>
      <w:bookmarkStart w:id="86" w:name="OLE_LINK3241"/>
      <w:bookmarkStart w:id="87" w:name="OLE_LINK2682"/>
      <w:r w:rsidRPr="0086525B">
        <w:rPr>
          <w:rFonts w:ascii="Book Antiqua" w:hAnsi="Book Antiqua"/>
          <w:b/>
          <w:sz w:val="24"/>
          <w:szCs w:val="24"/>
        </w:rPr>
        <w:t xml:space="preserve">Received: </w:t>
      </w:r>
      <w:r w:rsidRPr="0086525B">
        <w:rPr>
          <w:rFonts w:ascii="Book Antiqua" w:hAnsi="Book Antiqua"/>
          <w:sz w:val="24"/>
          <w:szCs w:val="24"/>
          <w:lang w:eastAsia="zh-CN"/>
        </w:rPr>
        <w:t>December 27, 2013</w:t>
      </w:r>
      <w:r w:rsidR="003A4F5C" w:rsidRPr="0086525B">
        <w:rPr>
          <w:rFonts w:ascii="Book Antiqua" w:hAnsi="Book Antiqua"/>
          <w:b/>
          <w:sz w:val="24"/>
          <w:szCs w:val="24"/>
          <w:lang w:eastAsia="zh-CN"/>
        </w:rPr>
        <w:t xml:space="preserve"> </w:t>
      </w:r>
      <w:r w:rsidR="009E2BC4" w:rsidRPr="0086525B">
        <w:rPr>
          <w:rFonts w:ascii="Book Antiqua" w:hAnsi="Book Antiqua"/>
          <w:b/>
          <w:sz w:val="24"/>
          <w:szCs w:val="24"/>
          <w:lang w:eastAsia="zh-CN"/>
        </w:rPr>
        <w:t xml:space="preserve"> </w:t>
      </w:r>
      <w:r w:rsidR="000B1EBD" w:rsidRPr="0086525B">
        <w:rPr>
          <w:rFonts w:ascii="Book Antiqua" w:hAnsi="Book Antiqua"/>
          <w:b/>
          <w:sz w:val="24"/>
          <w:szCs w:val="24"/>
          <w:lang w:eastAsia="zh-CN"/>
        </w:rPr>
        <w:t xml:space="preserve"> </w:t>
      </w:r>
      <w:r w:rsidRPr="0086525B">
        <w:rPr>
          <w:rFonts w:ascii="Book Antiqua" w:hAnsi="Book Antiqua"/>
          <w:b/>
          <w:sz w:val="24"/>
          <w:szCs w:val="24"/>
        </w:rPr>
        <w:t xml:space="preserve">Revised: </w:t>
      </w:r>
      <w:bookmarkEnd w:id="43"/>
      <w:bookmarkEnd w:id="44"/>
      <w:r w:rsidRPr="0086525B">
        <w:rPr>
          <w:rFonts w:ascii="Book Antiqua" w:hAnsi="Book Antiqua"/>
          <w:sz w:val="24"/>
          <w:szCs w:val="24"/>
          <w:lang w:eastAsia="zh-CN"/>
        </w:rPr>
        <w:t>February 25, 2014</w:t>
      </w:r>
      <w:r w:rsidRPr="0086525B">
        <w:rPr>
          <w:rFonts w:ascii="Book Antiqua" w:hAnsi="Book Antiqua"/>
          <w:sz w:val="24"/>
          <w:szCs w:val="24"/>
        </w:rPr>
        <w:t xml:space="preserve"> </w:t>
      </w:r>
      <w:bookmarkStart w:id="88" w:name="OLE_LINK103"/>
      <w:bookmarkStart w:id="89" w:name="OLE_LINK104"/>
      <w:bookmarkStart w:id="90" w:name="OLE_LINK69"/>
      <w:bookmarkStart w:id="91" w:name="OLE_LINK70"/>
    </w:p>
    <w:p w:rsidR="000E3E4A" w:rsidRPr="00912A91" w:rsidRDefault="00F773C1" w:rsidP="000E3E4A">
      <w:pPr>
        <w:rPr>
          <w:rFonts w:ascii="Book Antiqua" w:hAnsi="Book Antiqua"/>
          <w:color w:val="000000" w:themeColor="text1"/>
          <w:sz w:val="24"/>
          <w:szCs w:val="24"/>
        </w:rPr>
      </w:pPr>
      <w:bookmarkStart w:id="92" w:name="OLE_LINK303"/>
      <w:bookmarkStart w:id="93" w:name="OLE_LINK304"/>
      <w:bookmarkStart w:id="94" w:name="OLE_LINK1382"/>
      <w:bookmarkStart w:id="95" w:name="OLE_LINK2188"/>
      <w:bookmarkStart w:id="96" w:name="OLE_LINK2189"/>
      <w:bookmarkStart w:id="97" w:name="OLE_LINK2615"/>
      <w:r w:rsidRPr="0086525B">
        <w:rPr>
          <w:rFonts w:ascii="Book Antiqua" w:hAnsi="Book Antiqua"/>
          <w:b/>
          <w:sz w:val="24"/>
          <w:szCs w:val="24"/>
        </w:rPr>
        <w:t>Accepted:</w:t>
      </w:r>
      <w:r w:rsidR="003A4F5C" w:rsidRPr="0086525B">
        <w:rPr>
          <w:rFonts w:ascii="Book Antiqua" w:hAnsi="Book Antiqua"/>
          <w:b/>
          <w:sz w:val="24"/>
          <w:szCs w:val="24"/>
        </w:rPr>
        <w:t xml:space="preserve"> </w:t>
      </w:r>
      <w:r w:rsidR="000E3E4A">
        <w:rPr>
          <w:rFonts w:ascii="Book Antiqua" w:hAnsi="Book Antiqua"/>
          <w:color w:val="000000" w:themeColor="text1"/>
          <w:sz w:val="24"/>
          <w:szCs w:val="24"/>
        </w:rPr>
        <w:t>May 29</w:t>
      </w:r>
      <w:r w:rsidR="000E3E4A" w:rsidRPr="00912A91">
        <w:rPr>
          <w:rFonts w:ascii="Book Antiqua" w:hAnsi="Book Antiqua"/>
          <w:color w:val="000000" w:themeColor="text1"/>
          <w:sz w:val="24"/>
          <w:szCs w:val="24"/>
        </w:rPr>
        <w:t>, 2014</w:t>
      </w:r>
    </w:p>
    <w:p w:rsidR="00F773C1" w:rsidRPr="0086525B" w:rsidRDefault="00F773C1" w:rsidP="0016537A">
      <w:pPr>
        <w:adjustRightInd w:val="0"/>
        <w:snapToGrid w:val="0"/>
        <w:spacing w:after="0" w:line="360" w:lineRule="auto"/>
        <w:rPr>
          <w:rFonts w:ascii="Book Antiqua" w:hAnsi="Book Antiqua"/>
          <w:b/>
          <w:sz w:val="24"/>
          <w:szCs w:val="24"/>
        </w:rPr>
      </w:pPr>
      <w:bookmarkStart w:id="98" w:name="_GoBack"/>
      <w:bookmarkEnd w:id="98"/>
    </w:p>
    <w:p w:rsidR="00F773C1" w:rsidRPr="0086525B" w:rsidRDefault="00F773C1" w:rsidP="0016537A">
      <w:pPr>
        <w:adjustRightInd w:val="0"/>
        <w:snapToGrid w:val="0"/>
        <w:spacing w:after="0" w:line="360" w:lineRule="auto"/>
        <w:rPr>
          <w:rFonts w:ascii="Book Antiqua" w:hAnsi="Book Antiqua"/>
          <w:b/>
          <w:sz w:val="24"/>
          <w:szCs w:val="24"/>
        </w:rPr>
      </w:pPr>
      <w:r w:rsidRPr="0086525B">
        <w:rPr>
          <w:rFonts w:ascii="Book Antiqua" w:hAnsi="Book Antiqua"/>
          <w:b/>
          <w:sz w:val="24"/>
          <w:szCs w:val="24"/>
        </w:rPr>
        <w:t xml:space="preserve">Published online: </w:t>
      </w:r>
      <w:bookmarkEnd w:id="88"/>
      <w:bookmarkEnd w:id="89"/>
    </w:p>
    <w:bookmarkEnd w:id="41"/>
    <w:bookmarkEnd w:id="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bookmarkEnd w:id="91"/>
    <w:bookmarkEnd w:id="92"/>
    <w:bookmarkEnd w:id="93"/>
    <w:bookmarkEnd w:id="94"/>
    <w:bookmarkEnd w:id="95"/>
    <w:bookmarkEnd w:id="96"/>
    <w:bookmarkEnd w:id="97"/>
    <w:p w:rsidR="00F773C1" w:rsidRPr="0086525B" w:rsidRDefault="00F773C1" w:rsidP="0016537A">
      <w:pPr>
        <w:snapToGrid w:val="0"/>
        <w:spacing w:after="0" w:line="360" w:lineRule="auto"/>
        <w:jc w:val="both"/>
        <w:rPr>
          <w:rFonts w:ascii="Book Antiqua" w:hAnsi="Book Antiqua"/>
          <w:sz w:val="24"/>
          <w:szCs w:val="24"/>
          <w:lang w:eastAsia="zh-CN"/>
        </w:rPr>
      </w:pP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br w:type="page"/>
      </w:r>
      <w:r w:rsidRPr="0086525B">
        <w:rPr>
          <w:rFonts w:ascii="Book Antiqua" w:hAnsi="Book Antiqua"/>
          <w:b/>
          <w:sz w:val="24"/>
          <w:szCs w:val="24"/>
          <w:lang w:val="en-US"/>
        </w:rPr>
        <w:lastRenderedPageBreak/>
        <w:t>Abstract</w:t>
      </w: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AIM:</w:t>
      </w:r>
      <w:r w:rsidRPr="0086525B">
        <w:rPr>
          <w:rFonts w:ascii="Book Antiqua" w:hAnsi="Book Antiqua"/>
          <w:sz w:val="24"/>
          <w:szCs w:val="24"/>
          <w:lang w:val="en-US"/>
        </w:rPr>
        <w:t xml:space="preserve"> To investigate the indications and results of liver transplantation for </w:t>
      </w:r>
      <w:r w:rsidR="00EB5665" w:rsidRPr="0086525B">
        <w:rPr>
          <w:rFonts w:ascii="Book Antiqua" w:hAnsi="Book Antiqua"/>
          <w:sz w:val="24"/>
          <w:szCs w:val="24"/>
          <w:lang w:val="en-US"/>
        </w:rPr>
        <w:t>hepatic epithelioid hemangioendothelioma</w:t>
      </w:r>
      <w:r w:rsidRPr="0086525B">
        <w:rPr>
          <w:rFonts w:ascii="Book Antiqua" w:hAnsi="Book Antiqua"/>
          <w:sz w:val="24"/>
          <w:szCs w:val="24"/>
          <w:lang w:val="en-US"/>
        </w:rPr>
        <w:t xml:space="preserve">. </w:t>
      </w:r>
    </w:p>
    <w:p w:rsidR="00201A92" w:rsidRPr="0086525B" w:rsidRDefault="00201A92" w:rsidP="0016537A">
      <w:pPr>
        <w:snapToGrid w:val="0"/>
        <w:spacing w:after="0" w:line="360" w:lineRule="auto"/>
        <w:jc w:val="both"/>
        <w:rPr>
          <w:rFonts w:ascii="Book Antiqua" w:hAnsi="Book Antiqua"/>
          <w:sz w:val="24"/>
          <w:szCs w:val="24"/>
          <w:lang w:val="en-US"/>
        </w:rPr>
      </w:pP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METHODS:</w:t>
      </w:r>
      <w:r w:rsidRPr="0086525B">
        <w:rPr>
          <w:rFonts w:ascii="Book Antiqua" w:hAnsi="Book Antiqua"/>
          <w:sz w:val="24"/>
          <w:szCs w:val="24"/>
          <w:lang w:val="en-US"/>
        </w:rPr>
        <w:t xml:space="preserve"> Between 1989 and August 2013, in the Department of General, Transplant</w:t>
      </w:r>
      <w:r w:rsidR="00EB5665" w:rsidRPr="0086525B">
        <w:rPr>
          <w:rFonts w:ascii="Book Antiqua" w:hAnsi="Book Antiqua"/>
          <w:sz w:val="24"/>
          <w:szCs w:val="24"/>
          <w:lang w:val="en-US"/>
        </w:rPr>
        <w:t>,</w:t>
      </w:r>
      <w:r w:rsidRPr="0086525B">
        <w:rPr>
          <w:rFonts w:ascii="Book Antiqua" w:hAnsi="Book Antiqua"/>
          <w:sz w:val="24"/>
          <w:szCs w:val="24"/>
          <w:lang w:val="en-US"/>
        </w:rPr>
        <w:t xml:space="preserve"> and Liver Surgery, Medical University of Warsaw, 1306 orthotopic liver transplantations (OLTx) were performed, including 72 retransplantations.</w:t>
      </w:r>
      <w:r w:rsidR="00235708" w:rsidRPr="0086525B">
        <w:rPr>
          <w:rFonts w:ascii="Book Antiqua" w:hAnsi="Book Antiqua"/>
          <w:sz w:val="24"/>
          <w:szCs w:val="24"/>
          <w:lang w:val="en-US" w:eastAsia="zh-CN"/>
        </w:rPr>
        <w:t xml:space="preserve"> </w:t>
      </w:r>
      <w:r w:rsidRPr="0086525B">
        <w:rPr>
          <w:rFonts w:ascii="Book Antiqua" w:hAnsi="Book Antiqua"/>
          <w:sz w:val="24"/>
          <w:szCs w:val="24"/>
          <w:lang w:val="en-US"/>
        </w:rPr>
        <w:t xml:space="preserve">Unresectable </w:t>
      </w:r>
      <w:r w:rsidR="00EB5665" w:rsidRPr="0086525B">
        <w:rPr>
          <w:rFonts w:ascii="Book Antiqua" w:hAnsi="Book Antiqua"/>
          <w:sz w:val="24"/>
          <w:szCs w:val="24"/>
          <w:lang w:val="en-US"/>
        </w:rPr>
        <w:t xml:space="preserve">hepatic epithelioid hemangioendothelioma </w:t>
      </w:r>
      <w:r w:rsidRPr="0086525B">
        <w:rPr>
          <w:rFonts w:ascii="Book Antiqua" w:hAnsi="Book Antiqua"/>
          <w:sz w:val="24"/>
          <w:szCs w:val="24"/>
          <w:lang w:val="en-US"/>
        </w:rPr>
        <w:t>(HEHE) was an indication for OLTx in 10 patients (0.8% of primary OLTx), average age of patients was 40.5</w:t>
      </w:r>
      <w:r w:rsidR="00D220BB" w:rsidRPr="0086525B">
        <w:rPr>
          <w:rFonts w:ascii="Book Antiqua" w:hAnsi="Book Antiqua"/>
          <w:sz w:val="24"/>
          <w:szCs w:val="24"/>
          <w:lang w:val="en-US"/>
        </w:rPr>
        <w:t xml:space="preserve"> ± </w:t>
      </w:r>
      <w:r w:rsidRPr="0086525B">
        <w:rPr>
          <w:rFonts w:ascii="Book Antiqua" w:hAnsi="Book Antiqua"/>
          <w:sz w:val="24"/>
          <w:szCs w:val="24"/>
          <w:lang w:val="en-US"/>
        </w:rPr>
        <w:t>13.3 years (range 23-65 years), male-to-female ratio 2:8.</w:t>
      </w:r>
      <w:r w:rsidR="00D220BB" w:rsidRPr="0086525B">
        <w:rPr>
          <w:rFonts w:ascii="Book Antiqua" w:hAnsi="Book Antiqua"/>
          <w:sz w:val="24"/>
          <w:szCs w:val="24"/>
          <w:lang w:val="en-US" w:eastAsia="zh-CN"/>
        </w:rPr>
        <w:t xml:space="preserve"> </w:t>
      </w:r>
      <w:r w:rsidRPr="0086525B">
        <w:rPr>
          <w:rFonts w:ascii="Book Antiqua" w:hAnsi="Book Antiqua"/>
          <w:sz w:val="24"/>
          <w:szCs w:val="24"/>
          <w:lang w:val="en-US"/>
        </w:rPr>
        <w:t>Kaplan-Meier survival analysis in HEHE, hepatocellular carcinoma (HCC)</w:t>
      </w:r>
      <w:r w:rsidR="00EB5665" w:rsidRPr="0086525B">
        <w:rPr>
          <w:rFonts w:ascii="Book Antiqua" w:hAnsi="Book Antiqua"/>
          <w:sz w:val="24"/>
          <w:szCs w:val="24"/>
          <w:lang w:val="en-US"/>
        </w:rPr>
        <w:t>,</w:t>
      </w:r>
      <w:r w:rsidRPr="0086525B">
        <w:rPr>
          <w:rFonts w:ascii="Book Antiqua" w:hAnsi="Book Antiqua"/>
          <w:sz w:val="24"/>
          <w:szCs w:val="24"/>
          <w:lang w:val="en-US"/>
        </w:rPr>
        <w:t xml:space="preserve"> and other OLTx recipients groups was performed. The differences in mortality were compared with the chi-squared test for significance. The differences were considered statistically significant when the </w:t>
      </w:r>
      <w:r w:rsidR="00D220BB" w:rsidRPr="0086525B">
        <w:rPr>
          <w:rFonts w:ascii="Book Antiqua" w:hAnsi="Book Antiqua"/>
          <w:i/>
          <w:sz w:val="24"/>
          <w:szCs w:val="24"/>
          <w:lang w:val="en-US"/>
        </w:rPr>
        <w:t>P</w:t>
      </w:r>
      <w:r w:rsidRPr="0086525B">
        <w:rPr>
          <w:rFonts w:ascii="Book Antiqua" w:hAnsi="Book Antiqua"/>
          <w:sz w:val="24"/>
          <w:szCs w:val="24"/>
          <w:lang w:val="en-US"/>
        </w:rPr>
        <w:t>-value was &lt;</w:t>
      </w:r>
      <w:r w:rsidR="00A901C4">
        <w:rPr>
          <w:rFonts w:ascii="Book Antiqua" w:hAnsi="Book Antiqua" w:hint="eastAsia"/>
          <w:sz w:val="24"/>
          <w:szCs w:val="24"/>
          <w:lang w:val="en-US" w:eastAsia="zh-CN"/>
        </w:rPr>
        <w:t xml:space="preserve"> </w:t>
      </w:r>
      <w:r w:rsidRPr="0086525B">
        <w:rPr>
          <w:rFonts w:ascii="Book Antiqua" w:hAnsi="Book Antiqua"/>
          <w:sz w:val="24"/>
          <w:szCs w:val="24"/>
          <w:lang w:val="en-US"/>
        </w:rPr>
        <w:t>0.05.</w:t>
      </w:r>
    </w:p>
    <w:p w:rsidR="00201A92" w:rsidRPr="0086525B" w:rsidRDefault="00201A92" w:rsidP="0016537A">
      <w:pPr>
        <w:snapToGrid w:val="0"/>
        <w:spacing w:after="0" w:line="360" w:lineRule="auto"/>
        <w:jc w:val="both"/>
        <w:rPr>
          <w:rFonts w:ascii="Book Antiqua" w:hAnsi="Book Antiqua"/>
          <w:sz w:val="24"/>
          <w:szCs w:val="24"/>
          <w:lang w:val="en-US"/>
        </w:rPr>
      </w:pP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RESULTS:</w:t>
      </w:r>
      <w:r w:rsidRPr="0086525B">
        <w:rPr>
          <w:rFonts w:ascii="Book Antiqua" w:hAnsi="Book Antiqua"/>
          <w:sz w:val="24"/>
          <w:szCs w:val="24"/>
          <w:lang w:val="en-US"/>
        </w:rPr>
        <w:t xml:space="preserve"> No concomitant liver disease was found in </w:t>
      </w:r>
      <w:r w:rsidR="009771A3" w:rsidRPr="0086525B">
        <w:rPr>
          <w:rFonts w:ascii="Book Antiqua" w:hAnsi="Book Antiqua"/>
          <w:sz w:val="24"/>
          <w:szCs w:val="24"/>
          <w:lang w:val="en-US"/>
        </w:rPr>
        <w:t>any</w:t>
      </w:r>
      <w:r w:rsidRPr="0086525B">
        <w:rPr>
          <w:rFonts w:ascii="Book Antiqua" w:hAnsi="Book Antiqua"/>
          <w:sz w:val="24"/>
          <w:szCs w:val="24"/>
          <w:lang w:val="en-US"/>
        </w:rPr>
        <w:t xml:space="preserve"> patients. There was no neoadjuvant chemotherapy or radiotherapy. Liver function </w:t>
      </w:r>
      <w:r w:rsidR="009771A3" w:rsidRPr="0086525B">
        <w:rPr>
          <w:rFonts w:ascii="Book Antiqua" w:hAnsi="Book Antiqua"/>
          <w:sz w:val="24"/>
          <w:szCs w:val="24"/>
          <w:lang w:val="en-US"/>
        </w:rPr>
        <w:t xml:space="preserve">test results </w:t>
      </w:r>
      <w:r w:rsidRPr="0086525B">
        <w:rPr>
          <w:rFonts w:ascii="Book Antiqua" w:hAnsi="Book Antiqua"/>
          <w:sz w:val="24"/>
          <w:szCs w:val="24"/>
          <w:lang w:val="en-US"/>
        </w:rPr>
        <w:t>were normal in most of the patients. The l</w:t>
      </w:r>
      <w:r w:rsidR="00370F00" w:rsidRPr="0086525B">
        <w:rPr>
          <w:rFonts w:ascii="Book Antiqua" w:hAnsi="Book Antiqua"/>
          <w:sz w:val="24"/>
          <w:szCs w:val="24"/>
          <w:lang w:val="en-US"/>
        </w:rPr>
        <w:t>evels of alpha-fetoprotein, carcinoembryonic antigen</w:t>
      </w:r>
      <w:r w:rsidR="009771A3" w:rsidRPr="0086525B">
        <w:rPr>
          <w:rFonts w:ascii="Book Antiqua" w:hAnsi="Book Antiqua"/>
          <w:sz w:val="24"/>
          <w:szCs w:val="24"/>
          <w:lang w:val="en-US"/>
        </w:rPr>
        <w:t>,</w:t>
      </w:r>
      <w:r w:rsidRPr="0086525B">
        <w:rPr>
          <w:rFonts w:ascii="Book Antiqua" w:hAnsi="Book Antiqua"/>
          <w:sz w:val="24"/>
          <w:szCs w:val="24"/>
          <w:lang w:val="en-US"/>
        </w:rPr>
        <w:t xml:space="preserve"> and carbohydrate antigen 19-9 were normal. In immunohistochemical staining, the neoplastic cells were positive for factor VIII-related antigen, CD31, and CD34, which are the endothelial cell markers</w:t>
      </w:r>
      <w:r w:rsidR="009771A3" w:rsidRPr="0086525B">
        <w:rPr>
          <w:rFonts w:ascii="Book Antiqua" w:hAnsi="Book Antiqua"/>
          <w:sz w:val="24"/>
          <w:szCs w:val="24"/>
          <w:lang w:val="en-US"/>
        </w:rPr>
        <w:t>,</w:t>
      </w:r>
      <w:r w:rsidRPr="0086525B">
        <w:rPr>
          <w:rFonts w:ascii="Book Antiqua" w:hAnsi="Book Antiqua"/>
          <w:sz w:val="24"/>
          <w:szCs w:val="24"/>
          <w:lang w:val="en-US"/>
        </w:rPr>
        <w:t xml:space="preserve"> and negative for cytokeratin 19, cytokeratin 7</w:t>
      </w:r>
      <w:r w:rsidR="009771A3" w:rsidRPr="0086525B">
        <w:rPr>
          <w:rFonts w:ascii="Book Antiqua" w:hAnsi="Book Antiqua"/>
          <w:sz w:val="24"/>
          <w:szCs w:val="24"/>
          <w:lang w:val="en-US"/>
        </w:rPr>
        <w:t>,</w:t>
      </w:r>
      <w:r w:rsidRPr="0086525B">
        <w:rPr>
          <w:rFonts w:ascii="Book Antiqua" w:hAnsi="Book Antiqua"/>
          <w:sz w:val="24"/>
          <w:szCs w:val="24"/>
          <w:lang w:val="en-US"/>
        </w:rPr>
        <w:t xml:space="preserve"> and HepPar-1.</w:t>
      </w:r>
      <w:r w:rsidR="00D220BB" w:rsidRPr="0086525B">
        <w:rPr>
          <w:rFonts w:ascii="Book Antiqua" w:hAnsi="Book Antiqua"/>
          <w:sz w:val="24"/>
          <w:szCs w:val="24"/>
          <w:lang w:val="en-US" w:eastAsia="zh-CN"/>
        </w:rPr>
        <w:t xml:space="preserve"> </w:t>
      </w:r>
      <w:r w:rsidRPr="0086525B">
        <w:rPr>
          <w:rFonts w:ascii="Book Antiqua" w:hAnsi="Book Antiqua"/>
          <w:sz w:val="24"/>
          <w:szCs w:val="24"/>
          <w:lang w:val="en-US"/>
        </w:rPr>
        <w:t xml:space="preserve">Nine patients are alive without tumor recurrence. One patient died </w:t>
      </w:r>
      <w:r w:rsidR="009771A3" w:rsidRPr="0086525B">
        <w:rPr>
          <w:rFonts w:ascii="Book Antiqua" w:hAnsi="Book Antiqua"/>
          <w:sz w:val="24"/>
          <w:szCs w:val="24"/>
          <w:lang w:val="en-US"/>
        </w:rPr>
        <w:t xml:space="preserve">2 </w:t>
      </w:r>
      <w:r w:rsidR="0016537A" w:rsidRPr="0086525B">
        <w:rPr>
          <w:rFonts w:ascii="Book Antiqua" w:hAnsi="Book Antiqua"/>
          <w:sz w:val="24"/>
          <w:szCs w:val="24"/>
          <w:lang w:val="en-US"/>
        </w:rPr>
        <w:t>mo</w:t>
      </w:r>
      <w:r w:rsidRPr="0086525B">
        <w:rPr>
          <w:rFonts w:ascii="Book Antiqua" w:hAnsi="Book Antiqua"/>
          <w:sz w:val="24"/>
          <w:szCs w:val="24"/>
          <w:lang w:val="en-US"/>
        </w:rPr>
        <w:t xml:space="preserve"> after OLTx due to septic complications. No morbidity was observed. Maximum follow-up was 11.4 years, minimum 1 </w:t>
      </w:r>
      <w:r w:rsidR="00D220BB" w:rsidRPr="0086525B">
        <w:rPr>
          <w:rFonts w:ascii="Book Antiqua" w:hAnsi="Book Antiqua"/>
          <w:sz w:val="24"/>
          <w:szCs w:val="24"/>
          <w:lang w:val="en-US"/>
        </w:rPr>
        <w:t>mo</w:t>
      </w:r>
      <w:r w:rsidRPr="0086525B">
        <w:rPr>
          <w:rFonts w:ascii="Book Antiqua" w:hAnsi="Book Antiqua"/>
          <w:sz w:val="24"/>
          <w:szCs w:val="24"/>
          <w:lang w:val="en-US"/>
        </w:rPr>
        <w:t>.</w:t>
      </w:r>
      <w:r w:rsidR="00D220BB" w:rsidRPr="0086525B">
        <w:rPr>
          <w:rFonts w:ascii="Book Antiqua" w:hAnsi="Book Antiqua"/>
          <w:sz w:val="24"/>
          <w:szCs w:val="24"/>
          <w:lang w:val="en-US" w:eastAsia="zh-CN"/>
        </w:rPr>
        <w:t xml:space="preserve"> </w:t>
      </w:r>
      <w:r w:rsidRPr="0086525B">
        <w:rPr>
          <w:rFonts w:ascii="Book Antiqua" w:hAnsi="Book Antiqua"/>
          <w:sz w:val="24"/>
          <w:szCs w:val="24"/>
          <w:lang w:val="en-US"/>
        </w:rPr>
        <w:t>Cumulative survival rate at the end of the follow-up in HEHE patients was 87.5% compared to 54.3% in the HCC group and 76.3% in other OLTx recipients group (</w:t>
      </w:r>
      <w:r w:rsidR="00370F00" w:rsidRPr="0086525B">
        <w:rPr>
          <w:rFonts w:ascii="Book Antiqua" w:hAnsi="Book Antiqua"/>
          <w:i/>
          <w:sz w:val="24"/>
          <w:szCs w:val="24"/>
          <w:lang w:val="en-US"/>
        </w:rPr>
        <w:t>χ</w:t>
      </w:r>
      <w:r w:rsidR="00370F00" w:rsidRPr="0086525B">
        <w:rPr>
          <w:rFonts w:ascii="Book Antiqua" w:hAnsi="Book Antiqua"/>
          <w:sz w:val="24"/>
          <w:szCs w:val="24"/>
          <w:vertAlign w:val="superscript"/>
          <w:lang w:val="en-US" w:eastAsia="zh-CN"/>
        </w:rPr>
        <w:t>2</w:t>
      </w:r>
      <w:r w:rsidR="00370F00" w:rsidRPr="0086525B">
        <w:rPr>
          <w:rFonts w:ascii="Book Antiqua" w:hAnsi="Book Antiqua"/>
          <w:sz w:val="24"/>
          <w:szCs w:val="24"/>
          <w:lang w:val="en-US" w:eastAsia="zh-CN"/>
        </w:rPr>
        <w:t xml:space="preserve"> </w:t>
      </w:r>
      <w:r w:rsidRPr="0086525B">
        <w:rPr>
          <w:rFonts w:ascii="Book Antiqua" w:hAnsi="Book Antiqua"/>
          <w:sz w:val="24"/>
          <w:szCs w:val="24"/>
          <w:lang w:val="en-US"/>
        </w:rPr>
        <w:t>test</w:t>
      </w:r>
      <w:r w:rsidR="00A901C4">
        <w:rPr>
          <w:rFonts w:ascii="Book Antiqua" w:hAnsi="Book Antiqua" w:hint="eastAsia"/>
          <w:sz w:val="24"/>
          <w:szCs w:val="24"/>
          <w:lang w:val="en-US" w:eastAsia="zh-CN"/>
        </w:rPr>
        <w:t xml:space="preserve"> </w:t>
      </w:r>
      <w:r w:rsidRPr="0086525B">
        <w:rPr>
          <w:rFonts w:ascii="Book Antiqua" w:hAnsi="Book Antiqua"/>
          <w:sz w:val="24"/>
          <w:szCs w:val="24"/>
          <w:lang w:val="en-US"/>
        </w:rPr>
        <w:t>= 1.784; d</w:t>
      </w:r>
      <w:r w:rsidRPr="00A901C4">
        <w:rPr>
          <w:rFonts w:ascii="Book Antiqua" w:hAnsi="Book Antiqua"/>
          <w:i/>
          <w:sz w:val="24"/>
          <w:szCs w:val="24"/>
          <w:lang w:val="en-US"/>
        </w:rPr>
        <w:t>f</w:t>
      </w:r>
      <w:r w:rsidRPr="0086525B">
        <w:rPr>
          <w:rFonts w:ascii="Book Antiqua" w:hAnsi="Book Antiqua"/>
          <w:sz w:val="24"/>
          <w:szCs w:val="24"/>
          <w:lang w:val="en-US"/>
        </w:rPr>
        <w:t xml:space="preserve"> =</w:t>
      </w:r>
      <w:r w:rsidR="003A4F5C" w:rsidRPr="0086525B">
        <w:rPr>
          <w:rFonts w:ascii="Book Antiqua" w:hAnsi="Book Antiqua"/>
          <w:sz w:val="24"/>
          <w:szCs w:val="24"/>
          <w:lang w:val="en-US"/>
        </w:rPr>
        <w:t xml:space="preserve"> </w:t>
      </w:r>
      <w:r w:rsidRPr="0086525B">
        <w:rPr>
          <w:rFonts w:ascii="Book Antiqua" w:hAnsi="Book Antiqua"/>
          <w:sz w:val="24"/>
          <w:szCs w:val="24"/>
          <w:lang w:val="en-US"/>
        </w:rPr>
        <w:t xml:space="preserve">2; </w:t>
      </w:r>
      <w:r w:rsidR="00D220BB" w:rsidRPr="0086525B">
        <w:rPr>
          <w:rFonts w:ascii="Book Antiqua" w:hAnsi="Book Antiqua"/>
          <w:i/>
          <w:sz w:val="24"/>
          <w:szCs w:val="24"/>
          <w:lang w:val="en-US"/>
        </w:rPr>
        <w:t>P</w:t>
      </w:r>
      <w:r w:rsidRPr="0086525B">
        <w:rPr>
          <w:rFonts w:ascii="Book Antiqua" w:hAnsi="Book Antiqua"/>
          <w:sz w:val="24"/>
          <w:szCs w:val="24"/>
          <w:lang w:val="en-US"/>
        </w:rPr>
        <w:t xml:space="preserve"> =</w:t>
      </w:r>
      <w:r w:rsidR="003A4F5C" w:rsidRPr="0086525B">
        <w:rPr>
          <w:rFonts w:ascii="Book Antiqua" w:hAnsi="Book Antiqua"/>
          <w:sz w:val="24"/>
          <w:szCs w:val="24"/>
          <w:lang w:val="en-US"/>
        </w:rPr>
        <w:t xml:space="preserve"> </w:t>
      </w:r>
      <w:r w:rsidRPr="0086525B">
        <w:rPr>
          <w:rFonts w:ascii="Book Antiqua" w:hAnsi="Book Antiqua"/>
          <w:sz w:val="24"/>
          <w:szCs w:val="24"/>
          <w:lang w:val="en-US"/>
        </w:rPr>
        <w:t>0.409).</w:t>
      </w:r>
    </w:p>
    <w:p w:rsidR="00201A92" w:rsidRPr="0086525B" w:rsidRDefault="00201A92" w:rsidP="0016537A">
      <w:pPr>
        <w:snapToGrid w:val="0"/>
        <w:spacing w:after="0" w:line="360" w:lineRule="auto"/>
        <w:jc w:val="both"/>
        <w:rPr>
          <w:rFonts w:ascii="Book Antiqua" w:hAnsi="Book Antiqua"/>
          <w:sz w:val="24"/>
          <w:szCs w:val="24"/>
          <w:lang w:val="en-US"/>
        </w:rPr>
      </w:pP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lastRenderedPageBreak/>
        <w:t>CONCLUSION:</w:t>
      </w:r>
      <w:r w:rsidRPr="0086525B">
        <w:rPr>
          <w:rFonts w:ascii="Book Antiqua" w:hAnsi="Book Antiqua"/>
          <w:sz w:val="24"/>
          <w:szCs w:val="24"/>
          <w:lang w:val="en-US"/>
        </w:rPr>
        <w:t xml:space="preserve"> Unresectable HEHE, without extrahepatic metastases is an excellent indication for liver transplantation. Long</w:t>
      </w:r>
      <w:r w:rsidR="009771A3" w:rsidRPr="0086525B">
        <w:rPr>
          <w:rFonts w:ascii="Book Antiqua" w:hAnsi="Book Antiqua"/>
          <w:sz w:val="24"/>
          <w:szCs w:val="24"/>
          <w:lang w:val="en-US"/>
        </w:rPr>
        <w:t>-</w:t>
      </w:r>
      <w:r w:rsidRPr="0086525B">
        <w:rPr>
          <w:rFonts w:ascii="Book Antiqua" w:hAnsi="Book Antiqua"/>
          <w:sz w:val="24"/>
          <w:szCs w:val="24"/>
          <w:lang w:val="en-US"/>
        </w:rPr>
        <w:t>term survival is very good</w:t>
      </w:r>
      <w:r w:rsidR="00370F00" w:rsidRPr="0086525B">
        <w:rPr>
          <w:rFonts w:ascii="Book Antiqua" w:hAnsi="Book Antiqua"/>
          <w:sz w:val="24"/>
          <w:szCs w:val="24"/>
          <w:lang w:val="en-US" w:eastAsia="zh-CN"/>
        </w:rPr>
        <w:t xml:space="preserve"> – </w:t>
      </w:r>
      <w:r w:rsidRPr="0086525B">
        <w:rPr>
          <w:rFonts w:ascii="Book Antiqua" w:hAnsi="Book Antiqua"/>
          <w:sz w:val="24"/>
          <w:szCs w:val="24"/>
          <w:lang w:val="en-US"/>
        </w:rPr>
        <w:t>much better than in HCC patients and the entire group of OLTx patients.</w:t>
      </w:r>
    </w:p>
    <w:p w:rsidR="00370F00" w:rsidRPr="0086525B" w:rsidRDefault="00370F00" w:rsidP="0016537A">
      <w:pPr>
        <w:snapToGrid w:val="0"/>
        <w:spacing w:after="0" w:line="360" w:lineRule="auto"/>
        <w:jc w:val="both"/>
        <w:rPr>
          <w:rFonts w:ascii="Book Antiqua" w:hAnsi="Book Antiqua"/>
          <w:sz w:val="24"/>
          <w:szCs w:val="24"/>
          <w:lang w:val="en-US" w:eastAsia="zh-CN"/>
        </w:rPr>
      </w:pPr>
    </w:p>
    <w:p w:rsidR="00370F00" w:rsidRDefault="00370F00" w:rsidP="0016537A">
      <w:pPr>
        <w:adjustRightInd w:val="0"/>
        <w:snapToGrid w:val="0"/>
        <w:spacing w:after="0" w:line="360" w:lineRule="auto"/>
        <w:rPr>
          <w:rFonts w:ascii="Book Antiqua" w:hAnsi="Book Antiqua"/>
          <w:sz w:val="24"/>
          <w:szCs w:val="24"/>
          <w:lang w:eastAsia="zh-CN"/>
        </w:rPr>
      </w:pPr>
      <w:bookmarkStart w:id="99" w:name="OLE_LINK98"/>
      <w:bookmarkStart w:id="100" w:name="OLE_LINK156"/>
      <w:bookmarkStart w:id="101" w:name="OLE_LINK196"/>
      <w:bookmarkStart w:id="102" w:name="OLE_LINK217"/>
      <w:bookmarkStart w:id="103" w:name="OLE_LINK242"/>
      <w:bookmarkStart w:id="104" w:name="OLE_LINK247"/>
      <w:bookmarkStart w:id="105" w:name="OLE_LINK311"/>
      <w:bookmarkStart w:id="106" w:name="OLE_LINK312"/>
      <w:bookmarkStart w:id="107" w:name="OLE_LINK325"/>
      <w:bookmarkStart w:id="108" w:name="OLE_LINK330"/>
      <w:bookmarkStart w:id="109" w:name="OLE_LINK513"/>
      <w:bookmarkStart w:id="110" w:name="OLE_LINK514"/>
      <w:bookmarkStart w:id="111" w:name="OLE_LINK464"/>
      <w:bookmarkStart w:id="112" w:name="OLE_LINK465"/>
      <w:bookmarkStart w:id="113" w:name="OLE_LINK466"/>
      <w:bookmarkStart w:id="114" w:name="OLE_LINK470"/>
      <w:bookmarkStart w:id="115" w:name="OLE_LINK471"/>
      <w:bookmarkStart w:id="116" w:name="OLE_LINK472"/>
      <w:bookmarkStart w:id="117" w:name="OLE_LINK474"/>
      <w:bookmarkStart w:id="118" w:name="OLE_LINK512"/>
      <w:bookmarkStart w:id="119" w:name="OLE_LINK800"/>
      <w:bookmarkStart w:id="120" w:name="OLE_LINK982"/>
      <w:bookmarkStart w:id="121" w:name="OLE_LINK1027"/>
      <w:bookmarkStart w:id="122" w:name="OLE_LINK504"/>
      <w:bookmarkStart w:id="123" w:name="OLE_LINK546"/>
      <w:bookmarkStart w:id="124" w:name="OLE_LINK547"/>
      <w:bookmarkStart w:id="125" w:name="OLE_LINK575"/>
      <w:bookmarkStart w:id="126" w:name="OLE_LINK640"/>
      <w:bookmarkStart w:id="127" w:name="OLE_LINK672"/>
      <w:bookmarkStart w:id="128" w:name="OLE_LINK714"/>
      <w:bookmarkStart w:id="129" w:name="OLE_LINK651"/>
      <w:bookmarkStart w:id="130" w:name="OLE_LINK652"/>
      <w:bookmarkStart w:id="131" w:name="OLE_LINK744"/>
      <w:bookmarkStart w:id="132" w:name="OLE_LINK758"/>
      <w:bookmarkStart w:id="133" w:name="OLE_LINK787"/>
      <w:bookmarkStart w:id="134" w:name="OLE_LINK807"/>
      <w:bookmarkStart w:id="135" w:name="OLE_LINK820"/>
      <w:bookmarkStart w:id="136" w:name="OLE_LINK862"/>
      <w:bookmarkStart w:id="137" w:name="OLE_LINK879"/>
      <w:bookmarkStart w:id="138" w:name="OLE_LINK906"/>
      <w:bookmarkStart w:id="139" w:name="OLE_LINK928"/>
      <w:bookmarkStart w:id="140" w:name="OLE_LINK960"/>
      <w:bookmarkStart w:id="141" w:name="OLE_LINK861"/>
      <w:bookmarkStart w:id="142" w:name="OLE_LINK983"/>
      <w:bookmarkStart w:id="143" w:name="OLE_LINK1334"/>
      <w:bookmarkStart w:id="144" w:name="OLE_LINK1029"/>
      <w:bookmarkStart w:id="145" w:name="OLE_LINK1060"/>
      <w:bookmarkStart w:id="146" w:name="OLE_LINK1061"/>
      <w:bookmarkStart w:id="147" w:name="OLE_LINK1348"/>
      <w:bookmarkStart w:id="148" w:name="OLE_LINK1086"/>
      <w:bookmarkStart w:id="149" w:name="OLE_LINK1100"/>
      <w:bookmarkStart w:id="150" w:name="OLE_LINK1125"/>
      <w:bookmarkStart w:id="151" w:name="OLE_LINK1163"/>
      <w:bookmarkStart w:id="152" w:name="OLE_LINK1193"/>
      <w:bookmarkStart w:id="153" w:name="OLE_LINK1219"/>
      <w:bookmarkStart w:id="154" w:name="OLE_LINK1247"/>
      <w:bookmarkStart w:id="155" w:name="OLE_LINK1284"/>
      <w:bookmarkStart w:id="156" w:name="OLE_LINK1313"/>
      <w:bookmarkStart w:id="157" w:name="OLE_LINK1361"/>
      <w:bookmarkStart w:id="158" w:name="OLE_LINK1384"/>
      <w:bookmarkStart w:id="159" w:name="OLE_LINK1403"/>
      <w:bookmarkStart w:id="160" w:name="OLE_LINK1437"/>
      <w:bookmarkStart w:id="161" w:name="OLE_LINK1454"/>
      <w:bookmarkStart w:id="162" w:name="OLE_LINK1480"/>
      <w:bookmarkStart w:id="163" w:name="OLE_LINK1504"/>
      <w:bookmarkStart w:id="164" w:name="OLE_LINK1516"/>
      <w:bookmarkStart w:id="165" w:name="OLE_LINK135"/>
      <w:bookmarkStart w:id="166" w:name="OLE_LINK216"/>
      <w:bookmarkStart w:id="167" w:name="OLE_LINK259"/>
      <w:bookmarkStart w:id="168" w:name="OLE_LINK1186"/>
      <w:bookmarkStart w:id="169" w:name="OLE_LINK1265"/>
      <w:bookmarkStart w:id="170" w:name="OLE_LINK1373"/>
      <w:bookmarkStart w:id="171" w:name="OLE_LINK1478"/>
      <w:bookmarkStart w:id="172" w:name="OLE_LINK1644"/>
      <w:bookmarkStart w:id="173" w:name="OLE_LINK1884"/>
      <w:bookmarkStart w:id="174" w:name="OLE_LINK1885"/>
      <w:bookmarkStart w:id="175" w:name="OLE_LINK1538"/>
      <w:bookmarkStart w:id="176" w:name="OLE_LINK1539"/>
      <w:bookmarkStart w:id="177" w:name="OLE_LINK1543"/>
      <w:bookmarkStart w:id="178" w:name="OLE_LINK1549"/>
      <w:bookmarkStart w:id="179" w:name="OLE_LINK1778"/>
      <w:bookmarkStart w:id="180" w:name="OLE_LINK1756"/>
      <w:bookmarkStart w:id="181" w:name="OLE_LINK1776"/>
      <w:bookmarkStart w:id="182" w:name="OLE_LINK1777"/>
      <w:bookmarkStart w:id="183" w:name="OLE_LINK1868"/>
      <w:bookmarkStart w:id="184" w:name="OLE_LINK1744"/>
      <w:bookmarkStart w:id="185" w:name="OLE_LINK1817"/>
      <w:bookmarkStart w:id="186" w:name="OLE_LINK1835"/>
      <w:bookmarkStart w:id="187" w:name="OLE_LINK1866"/>
      <w:bookmarkStart w:id="188" w:name="OLE_LINK1882"/>
      <w:bookmarkStart w:id="189" w:name="OLE_LINK1901"/>
      <w:bookmarkStart w:id="190" w:name="OLE_LINK1902"/>
      <w:bookmarkStart w:id="191" w:name="OLE_LINK2013"/>
      <w:bookmarkStart w:id="192" w:name="OLE_LINK1894"/>
      <w:bookmarkStart w:id="193" w:name="OLE_LINK1929"/>
      <w:bookmarkStart w:id="194" w:name="OLE_LINK1941"/>
      <w:bookmarkStart w:id="195" w:name="OLE_LINK1995"/>
      <w:bookmarkStart w:id="196" w:name="OLE_LINK1938"/>
      <w:bookmarkStart w:id="197" w:name="OLE_LINK2081"/>
      <w:bookmarkStart w:id="198" w:name="OLE_LINK2082"/>
      <w:bookmarkStart w:id="199" w:name="OLE_LINK2292"/>
      <w:bookmarkStart w:id="200" w:name="OLE_LINK1931"/>
      <w:bookmarkStart w:id="201" w:name="OLE_LINK1964"/>
      <w:bookmarkStart w:id="202" w:name="OLE_LINK2020"/>
      <w:bookmarkStart w:id="203" w:name="OLE_LINK2071"/>
      <w:bookmarkStart w:id="204" w:name="OLE_LINK2134"/>
      <w:bookmarkStart w:id="205" w:name="OLE_LINK2265"/>
      <w:bookmarkStart w:id="206" w:name="OLE_LINK2562"/>
      <w:bookmarkStart w:id="207" w:name="OLE_LINK1923"/>
      <w:bookmarkStart w:id="208" w:name="OLE_LINK2192"/>
      <w:bookmarkStart w:id="209" w:name="OLE_LINK2110"/>
      <w:bookmarkStart w:id="210" w:name="OLE_LINK2445"/>
      <w:bookmarkStart w:id="211" w:name="OLE_LINK2446"/>
      <w:bookmarkStart w:id="212" w:name="OLE_LINK2169"/>
      <w:bookmarkStart w:id="213" w:name="OLE_LINK2190"/>
      <w:bookmarkStart w:id="214" w:name="OLE_LINK2331"/>
      <w:bookmarkStart w:id="215" w:name="OLE_LINK2345"/>
      <w:bookmarkStart w:id="216" w:name="OLE_LINK2467"/>
      <w:bookmarkStart w:id="217" w:name="OLE_LINK2484"/>
      <w:bookmarkStart w:id="218" w:name="OLE_LINK2157"/>
      <w:bookmarkStart w:id="219" w:name="OLE_LINK2221"/>
      <w:bookmarkStart w:id="220" w:name="OLE_LINK2252"/>
      <w:bookmarkStart w:id="221" w:name="OLE_LINK2348"/>
      <w:bookmarkStart w:id="222" w:name="OLE_LINK2451"/>
      <w:bookmarkStart w:id="223" w:name="OLE_LINK2627"/>
      <w:bookmarkStart w:id="224" w:name="OLE_LINK2482"/>
      <w:bookmarkStart w:id="225" w:name="OLE_LINK2663"/>
      <w:bookmarkStart w:id="226" w:name="OLE_LINK2761"/>
      <w:bookmarkStart w:id="227" w:name="OLE_LINK2856"/>
      <w:bookmarkStart w:id="228" w:name="OLE_LINK2993"/>
      <w:bookmarkStart w:id="229" w:name="OLE_LINK2643"/>
      <w:bookmarkStart w:id="230" w:name="OLE_LINK2583"/>
      <w:bookmarkStart w:id="231" w:name="OLE_LINK2762"/>
      <w:bookmarkStart w:id="232" w:name="OLE_LINK2962"/>
      <w:bookmarkStart w:id="233" w:name="OLE_LINK2582"/>
      <w:r w:rsidRPr="0086525B">
        <w:rPr>
          <w:rFonts w:ascii="Book Antiqua" w:hAnsi="Book Antiqua"/>
          <w:sz w:val="24"/>
          <w:szCs w:val="24"/>
        </w:rPr>
        <w:t>© 2014 Baishideng Publishing Group Inc. All rights reserved.</w:t>
      </w:r>
      <w:r w:rsidR="003A4F5C" w:rsidRPr="0086525B">
        <w:rPr>
          <w:rFonts w:ascii="Book Antiqua" w:hAnsi="Book Antiqua"/>
          <w:sz w:val="24"/>
          <w:szCs w:val="24"/>
        </w:rPr>
        <w:t xml:space="preserve"> </w:t>
      </w:r>
    </w:p>
    <w:p w:rsidR="00A901C4" w:rsidRPr="0086525B" w:rsidRDefault="00A901C4" w:rsidP="0016537A">
      <w:pPr>
        <w:adjustRightInd w:val="0"/>
        <w:snapToGrid w:val="0"/>
        <w:spacing w:after="0" w:line="360" w:lineRule="auto"/>
        <w:rPr>
          <w:rFonts w:ascii="Book Antiqua" w:hAnsi="Book Antiqua"/>
          <w:sz w:val="24"/>
          <w:szCs w:val="24"/>
          <w:lang w:eastAsia="zh-CN"/>
        </w:rPr>
      </w:pP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rsidR="00201A92" w:rsidRPr="0086525B" w:rsidRDefault="00201A92" w:rsidP="0016537A">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K</w:t>
      </w:r>
      <w:r w:rsidR="00370F00" w:rsidRPr="0086525B">
        <w:rPr>
          <w:rFonts w:ascii="Book Antiqua" w:hAnsi="Book Antiqua"/>
          <w:b/>
          <w:sz w:val="24"/>
          <w:szCs w:val="24"/>
          <w:lang w:val="en-US"/>
        </w:rPr>
        <w:t xml:space="preserve">ey words: </w:t>
      </w:r>
      <w:r w:rsidR="00370F00" w:rsidRPr="0086525B">
        <w:rPr>
          <w:rFonts w:ascii="Book Antiqua" w:hAnsi="Book Antiqua"/>
          <w:sz w:val="24"/>
          <w:szCs w:val="24"/>
          <w:lang w:val="en-US"/>
        </w:rPr>
        <w:t>H</w:t>
      </w:r>
      <w:r w:rsidRPr="0086525B">
        <w:rPr>
          <w:rFonts w:ascii="Book Antiqua" w:hAnsi="Book Antiqua"/>
          <w:sz w:val="24"/>
          <w:szCs w:val="24"/>
          <w:lang w:val="en-US"/>
        </w:rPr>
        <w:t xml:space="preserve">emangioendothelioma; </w:t>
      </w:r>
      <w:r w:rsidR="00370F00" w:rsidRPr="0086525B">
        <w:rPr>
          <w:rFonts w:ascii="Book Antiqua" w:hAnsi="Book Antiqua"/>
          <w:sz w:val="24"/>
          <w:szCs w:val="24"/>
          <w:lang w:val="en-US"/>
        </w:rPr>
        <w:t>L</w:t>
      </w:r>
      <w:r w:rsidRPr="0086525B">
        <w:rPr>
          <w:rFonts w:ascii="Book Antiqua" w:hAnsi="Book Antiqua"/>
          <w:sz w:val="24"/>
          <w:szCs w:val="24"/>
          <w:lang w:val="en-US"/>
        </w:rPr>
        <w:t xml:space="preserve">iver transplantation; </w:t>
      </w:r>
      <w:r w:rsidR="00370F00" w:rsidRPr="0086525B">
        <w:rPr>
          <w:rFonts w:ascii="Book Antiqua" w:hAnsi="Book Antiqua"/>
          <w:sz w:val="24"/>
          <w:szCs w:val="24"/>
          <w:lang w:val="en-US"/>
        </w:rPr>
        <w:t>L</w:t>
      </w:r>
      <w:r w:rsidRPr="0086525B">
        <w:rPr>
          <w:rFonts w:ascii="Book Antiqua" w:hAnsi="Book Antiqua"/>
          <w:sz w:val="24"/>
          <w:szCs w:val="24"/>
          <w:lang w:val="en-US"/>
        </w:rPr>
        <w:t xml:space="preserve">iver malignancies; </w:t>
      </w:r>
      <w:r w:rsidR="00370F00" w:rsidRPr="0086525B">
        <w:rPr>
          <w:rFonts w:ascii="Book Antiqua" w:hAnsi="Book Antiqua"/>
          <w:sz w:val="24"/>
          <w:szCs w:val="24"/>
          <w:lang w:val="en-US"/>
        </w:rPr>
        <w:t>T</w:t>
      </w:r>
      <w:r w:rsidRPr="0086525B">
        <w:rPr>
          <w:rFonts w:ascii="Book Antiqua" w:hAnsi="Book Antiqua"/>
          <w:sz w:val="24"/>
          <w:szCs w:val="24"/>
          <w:lang w:val="en-US"/>
        </w:rPr>
        <w:t xml:space="preserve">ransplantation results; </w:t>
      </w:r>
      <w:r w:rsidR="00370F00" w:rsidRPr="0086525B">
        <w:rPr>
          <w:rFonts w:ascii="Book Antiqua" w:hAnsi="Book Antiqua"/>
          <w:sz w:val="24"/>
          <w:szCs w:val="24"/>
          <w:lang w:val="en-US"/>
        </w:rPr>
        <w:t>T</w:t>
      </w:r>
      <w:r w:rsidRPr="0086525B">
        <w:rPr>
          <w:rFonts w:ascii="Book Antiqua" w:hAnsi="Book Antiqua"/>
          <w:sz w:val="24"/>
          <w:szCs w:val="24"/>
          <w:lang w:val="en-US"/>
        </w:rPr>
        <w:t>ransplantation indications</w:t>
      </w:r>
    </w:p>
    <w:p w:rsidR="00201A92" w:rsidRPr="0086525B" w:rsidRDefault="00201A92" w:rsidP="0016537A">
      <w:pPr>
        <w:snapToGrid w:val="0"/>
        <w:spacing w:after="0" w:line="360" w:lineRule="auto"/>
        <w:jc w:val="both"/>
        <w:rPr>
          <w:rFonts w:ascii="Book Antiqua" w:hAnsi="Book Antiqua"/>
          <w:sz w:val="24"/>
          <w:szCs w:val="24"/>
          <w:lang w:val="en-US"/>
        </w:rPr>
      </w:pPr>
    </w:p>
    <w:p w:rsidR="00896913"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C</w:t>
      </w:r>
      <w:r w:rsidR="00370F00" w:rsidRPr="0086525B">
        <w:rPr>
          <w:rFonts w:ascii="Book Antiqua" w:hAnsi="Book Antiqua"/>
          <w:b/>
          <w:sz w:val="24"/>
          <w:szCs w:val="24"/>
          <w:lang w:val="en-US"/>
        </w:rPr>
        <w:t>ore tip:</w:t>
      </w:r>
      <w:r w:rsidR="00370F00" w:rsidRPr="0086525B">
        <w:rPr>
          <w:rFonts w:ascii="Book Antiqua" w:hAnsi="Book Antiqua"/>
          <w:sz w:val="24"/>
          <w:szCs w:val="24"/>
          <w:lang w:val="en-US"/>
        </w:rPr>
        <w:t xml:space="preserve"> </w:t>
      </w:r>
      <w:r w:rsidRPr="0086525B">
        <w:rPr>
          <w:rFonts w:ascii="Book Antiqua" w:hAnsi="Book Antiqua"/>
          <w:sz w:val="24"/>
          <w:szCs w:val="24"/>
          <w:lang w:val="en-US"/>
        </w:rPr>
        <w:t>Epithelioid hemangioendothelioma of the liver (</w:t>
      </w:r>
      <w:r w:rsidR="009771A3" w:rsidRPr="0086525B">
        <w:rPr>
          <w:rFonts w:ascii="Book Antiqua" w:hAnsi="Book Antiqua"/>
          <w:sz w:val="24"/>
          <w:szCs w:val="24"/>
          <w:lang w:val="en-US"/>
        </w:rPr>
        <w:t>hepatic epithelioid hemangioendothelioma</w:t>
      </w:r>
      <w:r w:rsidRPr="0086525B">
        <w:rPr>
          <w:rFonts w:ascii="Book Antiqua" w:hAnsi="Book Antiqua"/>
          <w:sz w:val="24"/>
          <w:szCs w:val="24"/>
          <w:lang w:val="en-US"/>
        </w:rPr>
        <w:t>, HEHE) is a very rare tumor of mesenchymal origin. It typically occurs in female patients aged 20</w:t>
      </w:r>
      <w:r w:rsidR="009771A3" w:rsidRPr="0086525B">
        <w:rPr>
          <w:rFonts w:ascii="Book Antiqua" w:hAnsi="Book Antiqua"/>
          <w:sz w:val="24"/>
          <w:szCs w:val="24"/>
          <w:lang w:val="en-US"/>
        </w:rPr>
        <w:t>–</w:t>
      </w:r>
      <w:r w:rsidRPr="0086525B">
        <w:rPr>
          <w:rFonts w:ascii="Book Antiqua" w:hAnsi="Book Antiqua"/>
          <w:sz w:val="24"/>
          <w:szCs w:val="24"/>
          <w:lang w:val="en-US"/>
        </w:rPr>
        <w:t>40 years. HEHE is resistant to chemotherapy. Unresectable tumor, limited to the liver</w:t>
      </w:r>
      <w:r w:rsidR="009771A3" w:rsidRPr="0086525B">
        <w:rPr>
          <w:rFonts w:ascii="Book Antiqua" w:hAnsi="Book Antiqua"/>
          <w:sz w:val="24"/>
          <w:szCs w:val="24"/>
          <w:lang w:val="en-US"/>
        </w:rPr>
        <w:t>,</w:t>
      </w:r>
      <w:r w:rsidRPr="0086525B">
        <w:rPr>
          <w:rFonts w:ascii="Book Antiqua" w:hAnsi="Book Antiqua"/>
          <w:sz w:val="24"/>
          <w:szCs w:val="24"/>
          <w:lang w:val="en-US"/>
        </w:rPr>
        <w:t xml:space="preserve"> may be a good indication for liver transplantation. The aim of this paper </w:t>
      </w:r>
      <w:r w:rsidR="009771A3" w:rsidRPr="0086525B">
        <w:rPr>
          <w:rFonts w:ascii="Book Antiqua" w:hAnsi="Book Antiqua"/>
          <w:sz w:val="24"/>
          <w:szCs w:val="24"/>
          <w:lang w:val="en-US"/>
        </w:rPr>
        <w:t xml:space="preserve">was to </w:t>
      </w:r>
      <w:r w:rsidRPr="0086525B">
        <w:rPr>
          <w:rFonts w:ascii="Book Antiqua" w:hAnsi="Book Antiqua"/>
          <w:sz w:val="24"/>
          <w:szCs w:val="24"/>
          <w:lang w:val="en-US"/>
        </w:rPr>
        <w:t>analy</w:t>
      </w:r>
      <w:r w:rsidR="009771A3" w:rsidRPr="0086525B">
        <w:rPr>
          <w:rFonts w:ascii="Book Antiqua" w:hAnsi="Book Antiqua"/>
          <w:sz w:val="24"/>
          <w:szCs w:val="24"/>
          <w:lang w:val="en-US"/>
        </w:rPr>
        <w:t>ze</w:t>
      </w:r>
      <w:r w:rsidRPr="0086525B">
        <w:rPr>
          <w:rFonts w:ascii="Book Antiqua" w:hAnsi="Book Antiqua"/>
          <w:sz w:val="24"/>
          <w:szCs w:val="24"/>
          <w:lang w:val="en-US"/>
        </w:rPr>
        <w:t xml:space="preserve"> the indications and results of liver transplantation for HEHE.</w:t>
      </w:r>
    </w:p>
    <w:p w:rsidR="00C43DF9" w:rsidRPr="0086525B" w:rsidRDefault="00C43DF9" w:rsidP="0016537A">
      <w:pPr>
        <w:snapToGrid w:val="0"/>
        <w:spacing w:after="0" w:line="360" w:lineRule="auto"/>
        <w:jc w:val="both"/>
        <w:rPr>
          <w:rFonts w:ascii="Book Antiqua" w:hAnsi="Book Antiqua"/>
          <w:sz w:val="24"/>
          <w:szCs w:val="24"/>
          <w:lang w:val="en-US" w:eastAsia="zh-CN"/>
        </w:rPr>
      </w:pPr>
    </w:p>
    <w:p w:rsidR="003A4F5C" w:rsidRPr="0086525B" w:rsidRDefault="00EC3FFB" w:rsidP="0016537A">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pl-PL"/>
        </w:rPr>
        <w:t>Remiszewski P, Szczerba E, Kalinowski P, Gierej B</w:t>
      </w:r>
      <w:r w:rsidRPr="0086525B">
        <w:rPr>
          <w:rFonts w:ascii="Book Antiqua" w:hAnsi="Book Antiqua"/>
          <w:sz w:val="24"/>
          <w:szCs w:val="24"/>
          <w:lang w:val="pl-PL" w:eastAsia="zh-CN"/>
        </w:rPr>
        <w:t xml:space="preserve">, </w:t>
      </w:r>
      <w:r w:rsidRPr="0086525B">
        <w:rPr>
          <w:rFonts w:ascii="Book Antiqua" w:hAnsi="Book Antiqua"/>
          <w:sz w:val="24"/>
          <w:szCs w:val="24"/>
          <w:lang w:val="pl-PL"/>
        </w:rPr>
        <w:t>Dudek K, Grodzicki M, Kotulski M, Paluszkiewicz R, Patkowski W, Zieniewicz K, Krawczyk M</w:t>
      </w:r>
      <w:r w:rsidR="00C43DF9" w:rsidRPr="0086525B">
        <w:rPr>
          <w:rFonts w:ascii="Book Antiqua" w:hAnsi="Book Antiqua"/>
          <w:sz w:val="24"/>
          <w:szCs w:val="24"/>
          <w:lang w:val="pl-PL" w:eastAsia="zh-CN"/>
        </w:rPr>
        <w:t xml:space="preserve">. </w:t>
      </w:r>
      <w:r w:rsidR="00C43DF9" w:rsidRPr="0086525B">
        <w:rPr>
          <w:rFonts w:ascii="Book Antiqua" w:hAnsi="Book Antiqua"/>
          <w:sz w:val="24"/>
          <w:szCs w:val="24"/>
          <w:lang w:val="en-US"/>
        </w:rPr>
        <w:t>Epithelioid hemangioendothelioma of the liver as a rare indication for liver transplantation</w:t>
      </w:r>
      <w:r w:rsidR="00C43DF9" w:rsidRPr="0086525B">
        <w:rPr>
          <w:rFonts w:ascii="Book Antiqua" w:hAnsi="Book Antiqua"/>
          <w:sz w:val="24"/>
          <w:szCs w:val="24"/>
          <w:lang w:val="en-US" w:eastAsia="zh-CN"/>
        </w:rPr>
        <w:t>.</w:t>
      </w:r>
      <w:r w:rsidR="003A4F5C" w:rsidRPr="0086525B">
        <w:rPr>
          <w:rFonts w:ascii="Book Antiqua" w:hAnsi="Book Antiqua"/>
          <w:sz w:val="24"/>
          <w:szCs w:val="24"/>
          <w:lang w:val="en-US" w:eastAsia="zh-CN"/>
        </w:rPr>
        <w:t xml:space="preserve"> </w:t>
      </w:r>
      <w:bookmarkStart w:id="234" w:name="OLE_LINK335"/>
      <w:bookmarkStart w:id="235" w:name="OLE_LINK336"/>
      <w:bookmarkStart w:id="236" w:name="OLE_LINK87"/>
      <w:bookmarkStart w:id="237" w:name="OLE_LINK97"/>
      <w:bookmarkStart w:id="238" w:name="OLE_LINK1297"/>
      <w:bookmarkStart w:id="239" w:name="OLE_LINK1298"/>
      <w:bookmarkStart w:id="240" w:name="OLE_LINK1689"/>
      <w:bookmarkStart w:id="241" w:name="OLE_LINK144"/>
      <w:bookmarkStart w:id="242" w:name="OLE_LINK152"/>
      <w:bookmarkStart w:id="243" w:name="OLE_LINK163"/>
      <w:bookmarkStart w:id="244" w:name="OLE_LINK1895"/>
      <w:bookmarkStart w:id="245" w:name="OLE_LINK1897"/>
      <w:bookmarkStart w:id="246" w:name="OLE_LINK1937"/>
      <w:bookmarkStart w:id="247" w:name="OLE_LINK2087"/>
      <w:bookmarkStart w:id="248" w:name="OLE_LINK2088"/>
      <w:bookmarkStart w:id="249" w:name="OLE_LINK2569"/>
      <w:bookmarkStart w:id="250" w:name="OLE_LINK2570"/>
      <w:bookmarkStart w:id="251" w:name="OLE_LINK2127"/>
      <w:bookmarkStart w:id="252" w:name="OLE_LINK2128"/>
      <w:bookmarkStart w:id="253" w:name="OLE_LINK2200"/>
      <w:bookmarkStart w:id="254" w:name="OLE_LINK2113"/>
      <w:bookmarkStart w:id="255" w:name="OLE_LINK2391"/>
      <w:bookmarkStart w:id="256" w:name="OLE_LINK2392"/>
      <w:bookmarkStart w:id="257" w:name="OLE_LINK2499"/>
      <w:bookmarkStart w:id="258" w:name="OLE_LINK2782"/>
      <w:bookmarkStart w:id="259" w:name="OLE_LINK2783"/>
      <w:bookmarkStart w:id="260" w:name="OLE_LINK2667"/>
      <w:bookmarkStart w:id="261" w:name="OLE_LINK2668"/>
      <w:bookmarkStart w:id="262" w:name="OLE_LINK2766"/>
      <w:bookmarkStart w:id="263" w:name="OLE_LINK3008"/>
      <w:bookmarkStart w:id="264" w:name="OLE_LINK3156"/>
      <w:bookmarkStart w:id="265" w:name="OLE_LINK3303"/>
      <w:bookmarkStart w:id="266" w:name="OLE_LINK3304"/>
      <w:bookmarkStart w:id="267" w:name="OLE_LINK2689"/>
      <w:bookmarkStart w:id="268" w:name="OLE_LINK2588"/>
      <w:bookmarkStart w:id="269" w:name="OLE_LINK2769"/>
      <w:bookmarkStart w:id="270" w:name="OLE_LINK3019"/>
      <w:bookmarkStart w:id="271" w:name="OLE_LINK3020"/>
      <w:r w:rsidR="003A4F5C" w:rsidRPr="0086525B">
        <w:rPr>
          <w:rFonts w:ascii="Book Antiqua" w:hAnsi="Book Antiqua"/>
          <w:i/>
          <w:sz w:val="24"/>
          <w:szCs w:val="24"/>
        </w:rPr>
        <w:t>World J Gastroenterol</w:t>
      </w:r>
      <w:r w:rsidR="003A4F5C" w:rsidRPr="0086525B">
        <w:rPr>
          <w:rFonts w:ascii="Book Antiqua" w:hAnsi="Book Antiqua"/>
          <w:sz w:val="24"/>
          <w:szCs w:val="24"/>
        </w:rPr>
        <w:t xml:space="preserve"> </w:t>
      </w:r>
      <w:bookmarkEnd w:id="234"/>
      <w:bookmarkEnd w:id="235"/>
      <w:r w:rsidR="003A4F5C" w:rsidRPr="0086525B">
        <w:rPr>
          <w:rFonts w:ascii="Book Antiqua" w:hAnsi="Book Antiqua"/>
          <w:sz w:val="24"/>
          <w:szCs w:val="24"/>
        </w:rPr>
        <w:t xml:space="preserve">2014; </w:t>
      </w:r>
      <w:r w:rsidR="00ED124C">
        <w:rPr>
          <w:rFonts w:ascii="Book Antiqua" w:hAnsi="Book Antiqua" w:hint="eastAsia"/>
          <w:sz w:val="24"/>
          <w:szCs w:val="24"/>
          <w:lang w:eastAsia="zh-CN"/>
        </w:rPr>
        <w:t>In press</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br w:type="page"/>
      </w:r>
    </w:p>
    <w:p w:rsidR="00201A92" w:rsidRPr="0086525B" w:rsidRDefault="003A4F5C" w:rsidP="0016537A">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lastRenderedPageBreak/>
        <w:t xml:space="preserve">INTRODUCTION </w:t>
      </w: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Hemangioendothelioma (</w:t>
      </w:r>
      <w:r w:rsidR="002A4858" w:rsidRPr="0086525B">
        <w:rPr>
          <w:rFonts w:ascii="Book Antiqua" w:hAnsi="Book Antiqua"/>
          <w:sz w:val="24"/>
          <w:szCs w:val="24"/>
          <w:lang w:val="en-US"/>
        </w:rPr>
        <w:t>epithelioid hemangioendothelioma</w:t>
      </w:r>
      <w:r w:rsidRPr="0086525B">
        <w:rPr>
          <w:rFonts w:ascii="Book Antiqua" w:hAnsi="Book Antiqua"/>
          <w:sz w:val="24"/>
          <w:szCs w:val="24"/>
          <w:lang w:val="en-US"/>
        </w:rPr>
        <w:t>, EHE) is a rare tumor of endothelial and connective tissue origin</w:t>
      </w:r>
      <w:r w:rsidR="002A4858" w:rsidRPr="0086525B">
        <w:rPr>
          <w:rFonts w:ascii="Book Antiqua" w:hAnsi="Book Antiqua"/>
          <w:sz w:val="24"/>
          <w:szCs w:val="24"/>
          <w:lang w:val="en-US"/>
        </w:rPr>
        <w:t>,</w:t>
      </w:r>
      <w:r w:rsidRPr="0086525B">
        <w:rPr>
          <w:rFonts w:ascii="Book Antiqua" w:hAnsi="Book Antiqua"/>
          <w:sz w:val="24"/>
          <w:szCs w:val="24"/>
          <w:lang w:val="en-US"/>
        </w:rPr>
        <w:t xml:space="preserve"> resembling </w:t>
      </w:r>
      <w:r w:rsidR="002A4858" w:rsidRPr="0086525B">
        <w:rPr>
          <w:rFonts w:ascii="Book Antiqua" w:hAnsi="Book Antiqua"/>
          <w:sz w:val="24"/>
          <w:szCs w:val="24"/>
          <w:lang w:val="en-US"/>
        </w:rPr>
        <w:t>hemangioma</w:t>
      </w:r>
      <w:r w:rsidRPr="0086525B">
        <w:rPr>
          <w:rFonts w:ascii="Book Antiqua" w:hAnsi="Book Antiqua"/>
          <w:sz w:val="24"/>
          <w:szCs w:val="24"/>
          <w:lang w:val="en-US"/>
        </w:rPr>
        <w:t xml:space="preserve">. This type of </w:t>
      </w:r>
      <w:r w:rsidR="00896913" w:rsidRPr="0086525B">
        <w:rPr>
          <w:rFonts w:ascii="Book Antiqua" w:hAnsi="Book Antiqua"/>
          <w:sz w:val="24"/>
          <w:szCs w:val="24"/>
          <w:lang w:val="en-US"/>
        </w:rPr>
        <w:t>tumor</w:t>
      </w:r>
      <w:r w:rsidRPr="0086525B">
        <w:rPr>
          <w:rFonts w:ascii="Book Antiqua" w:hAnsi="Book Antiqua"/>
          <w:sz w:val="24"/>
          <w:szCs w:val="24"/>
          <w:lang w:val="en-US"/>
        </w:rPr>
        <w:t xml:space="preserve"> was first described by Weiss and Enzinger</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w:t>
      </w:r>
      <w:r w:rsidRPr="0086525B">
        <w:rPr>
          <w:rFonts w:ascii="Book Antiqua" w:hAnsi="Book Antiqua"/>
          <w:sz w:val="24"/>
          <w:szCs w:val="24"/>
          <w:lang w:val="en-US"/>
        </w:rPr>
        <w:t>. Its incidence does not exceed 1 case per million</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2]</w:t>
      </w:r>
      <w:r w:rsidRPr="0086525B">
        <w:rPr>
          <w:rFonts w:ascii="Book Antiqua" w:hAnsi="Book Antiqua"/>
          <w:sz w:val="24"/>
          <w:szCs w:val="24"/>
          <w:lang w:val="en-US"/>
        </w:rPr>
        <w:t>. EHEs are found in soft tissue and internal organs. The most commonly affected organ is the liver (</w:t>
      </w:r>
      <w:r w:rsidR="002A4858" w:rsidRPr="0086525B">
        <w:rPr>
          <w:rFonts w:ascii="Book Antiqua" w:hAnsi="Book Antiqua"/>
          <w:sz w:val="24"/>
          <w:szCs w:val="24"/>
          <w:lang w:val="en-US"/>
        </w:rPr>
        <w:t>hepatic epithelioid hemangioendothelioma</w:t>
      </w:r>
      <w:r w:rsidRPr="0086525B">
        <w:rPr>
          <w:rFonts w:ascii="Book Antiqua" w:hAnsi="Book Antiqua"/>
          <w:sz w:val="24"/>
          <w:szCs w:val="24"/>
          <w:lang w:val="en-US"/>
        </w:rPr>
        <w:t>, HEHE). Other localizations such as the lungs, peritoneum, spleen, bones, brain, meninges, breast, heart, head</w:t>
      </w:r>
      <w:r w:rsidR="002A4858" w:rsidRPr="0086525B">
        <w:rPr>
          <w:rFonts w:ascii="Book Antiqua" w:hAnsi="Book Antiqua"/>
          <w:sz w:val="24"/>
          <w:szCs w:val="24"/>
          <w:lang w:val="en-US"/>
        </w:rPr>
        <w:t>,</w:t>
      </w:r>
      <w:r w:rsidRPr="0086525B">
        <w:rPr>
          <w:rFonts w:ascii="Book Antiqua" w:hAnsi="Book Antiqua"/>
          <w:sz w:val="24"/>
          <w:szCs w:val="24"/>
          <w:lang w:val="en-US"/>
        </w:rPr>
        <w:t xml:space="preserve"> and stomach </w:t>
      </w:r>
      <w:r w:rsidR="002A4858" w:rsidRPr="0086525B">
        <w:rPr>
          <w:rFonts w:ascii="Book Antiqua" w:hAnsi="Book Antiqua"/>
          <w:sz w:val="24"/>
          <w:szCs w:val="24"/>
          <w:lang w:val="en-US"/>
        </w:rPr>
        <w:t>have</w:t>
      </w:r>
      <w:r w:rsidR="003A4F5C" w:rsidRPr="0086525B">
        <w:rPr>
          <w:rFonts w:ascii="Book Antiqua" w:hAnsi="Book Antiqua"/>
          <w:sz w:val="24"/>
          <w:szCs w:val="24"/>
          <w:lang w:val="en-US"/>
        </w:rPr>
        <w:t xml:space="preserve"> </w:t>
      </w:r>
      <w:r w:rsidR="002A4858" w:rsidRPr="0086525B">
        <w:rPr>
          <w:rFonts w:ascii="Book Antiqua" w:hAnsi="Book Antiqua"/>
          <w:sz w:val="24"/>
          <w:szCs w:val="24"/>
          <w:lang w:val="en-US"/>
        </w:rPr>
        <w:t xml:space="preserve">been </w:t>
      </w:r>
      <w:r w:rsidRPr="0086525B">
        <w:rPr>
          <w:rFonts w:ascii="Book Antiqua" w:hAnsi="Book Antiqua"/>
          <w:sz w:val="24"/>
          <w:szCs w:val="24"/>
          <w:lang w:val="en-US"/>
        </w:rPr>
        <w:t>described in the literature</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3</w:t>
      </w:r>
      <w:r w:rsidR="003A4F5C" w:rsidRPr="0086525B">
        <w:rPr>
          <w:rFonts w:ascii="Book Antiqua" w:hAnsi="Book Antiqua"/>
          <w:sz w:val="24"/>
          <w:szCs w:val="24"/>
          <w:vertAlign w:val="superscript"/>
          <w:lang w:val="en-US" w:eastAsia="zh-CN"/>
        </w:rPr>
        <w:t>-</w:t>
      </w:r>
      <w:r w:rsidR="003B74C7" w:rsidRPr="0086525B">
        <w:rPr>
          <w:rFonts w:ascii="Book Antiqua" w:hAnsi="Book Antiqua"/>
          <w:sz w:val="24"/>
          <w:szCs w:val="24"/>
          <w:vertAlign w:val="superscript"/>
          <w:lang w:val="en-US"/>
        </w:rPr>
        <w:t>7]</w:t>
      </w:r>
      <w:r w:rsidR="00966C09" w:rsidRPr="0086525B">
        <w:rPr>
          <w:rFonts w:ascii="Book Antiqua" w:hAnsi="Book Antiqua"/>
          <w:sz w:val="24"/>
          <w:szCs w:val="24"/>
          <w:lang w:val="en-US"/>
        </w:rPr>
        <w:t>.</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The mechanisms underlying the development of HEHE are not known. Possible risk factors include oral contraception, toxicity associated with vinyl chloride or </w:t>
      </w:r>
      <w:r w:rsidR="00896913" w:rsidRPr="0086525B">
        <w:rPr>
          <w:rFonts w:ascii="Book Antiqua" w:hAnsi="Book Antiqua"/>
          <w:sz w:val="24"/>
          <w:szCs w:val="24"/>
          <w:lang w:val="en-US"/>
        </w:rPr>
        <w:t>asbestos</w:t>
      </w:r>
      <w:r w:rsidRPr="0086525B">
        <w:rPr>
          <w:rFonts w:ascii="Book Antiqua" w:hAnsi="Book Antiqua"/>
          <w:sz w:val="24"/>
          <w:szCs w:val="24"/>
          <w:lang w:val="en-US"/>
        </w:rPr>
        <w:t xml:space="preserve"> exposure, excessive alcohol consumption, liver injuries, viral hepatitis</w:t>
      </w:r>
      <w:r w:rsidR="002A4858" w:rsidRPr="0086525B">
        <w:rPr>
          <w:rFonts w:ascii="Book Antiqua" w:hAnsi="Book Antiqua"/>
          <w:sz w:val="24"/>
          <w:szCs w:val="24"/>
          <w:lang w:val="en-US"/>
        </w:rPr>
        <w:t>,</w:t>
      </w:r>
      <w:r w:rsidRPr="0086525B">
        <w:rPr>
          <w:rFonts w:ascii="Book Antiqua" w:hAnsi="Book Antiqua"/>
          <w:sz w:val="24"/>
          <w:szCs w:val="24"/>
          <w:lang w:val="en-US"/>
        </w:rPr>
        <w:t xml:space="preserve"> and other chronic liver diseases</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8]</w:t>
      </w:r>
      <w:r w:rsidR="00896913" w:rsidRPr="0086525B">
        <w:rPr>
          <w:rFonts w:ascii="Book Antiqua" w:hAnsi="Book Antiqua"/>
          <w:sz w:val="24"/>
          <w:szCs w:val="24"/>
          <w:lang w:val="en-US"/>
        </w:rPr>
        <w:t>.</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Numerous recent studies also suggest genetic mechanisms underlying the development of EHE. Specific chromosomal translocation t(1;3)(p36.3;q25) is typical for this type of tumor</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9</w:t>
      </w:r>
      <w:r w:rsidR="0016537A" w:rsidRPr="0086525B">
        <w:rPr>
          <w:rFonts w:ascii="Book Antiqua" w:hAnsi="Book Antiqua"/>
          <w:sz w:val="24"/>
          <w:szCs w:val="24"/>
          <w:vertAlign w:val="superscript"/>
          <w:lang w:val="en-US" w:eastAsia="zh-CN"/>
        </w:rPr>
        <w:t>-</w:t>
      </w:r>
      <w:r w:rsidR="003B74C7" w:rsidRPr="0086525B">
        <w:rPr>
          <w:rFonts w:ascii="Book Antiqua" w:hAnsi="Book Antiqua"/>
          <w:sz w:val="24"/>
          <w:szCs w:val="24"/>
          <w:vertAlign w:val="superscript"/>
          <w:lang w:val="en-US"/>
        </w:rPr>
        <w:t>11]</w:t>
      </w:r>
      <w:r w:rsidR="00896913" w:rsidRPr="0086525B">
        <w:rPr>
          <w:rFonts w:ascii="Book Antiqua" w:hAnsi="Book Antiqua"/>
          <w:sz w:val="24"/>
          <w:szCs w:val="24"/>
          <w:lang w:val="en-US"/>
        </w:rPr>
        <w:t>.</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HEHE is typically diagnosed in young females </w:t>
      </w:r>
      <w:r w:rsidR="002A4858" w:rsidRPr="0086525B">
        <w:rPr>
          <w:rFonts w:ascii="Book Antiqua" w:hAnsi="Book Antiqua"/>
          <w:sz w:val="24"/>
          <w:szCs w:val="24"/>
          <w:lang w:val="en-US"/>
        </w:rPr>
        <w:t>ages</w:t>
      </w:r>
      <w:r w:rsidRPr="0086525B">
        <w:rPr>
          <w:rFonts w:ascii="Book Antiqua" w:hAnsi="Book Antiqua"/>
          <w:sz w:val="24"/>
          <w:szCs w:val="24"/>
          <w:lang w:val="en-US"/>
        </w:rPr>
        <w:t xml:space="preserve"> 20</w:t>
      </w:r>
      <w:r w:rsidR="002A4858" w:rsidRPr="0086525B">
        <w:rPr>
          <w:rFonts w:ascii="Book Antiqua" w:hAnsi="Book Antiqua"/>
          <w:sz w:val="24"/>
          <w:szCs w:val="24"/>
          <w:lang w:val="en-US"/>
        </w:rPr>
        <w:t>–</w:t>
      </w:r>
      <w:r w:rsidRPr="0086525B">
        <w:rPr>
          <w:rFonts w:ascii="Book Antiqua" w:hAnsi="Book Antiqua"/>
          <w:sz w:val="24"/>
          <w:szCs w:val="24"/>
          <w:lang w:val="en-US"/>
        </w:rPr>
        <w:t>40</w:t>
      </w:r>
      <w:r w:rsidR="002A4858" w:rsidRPr="0086525B">
        <w:rPr>
          <w:rFonts w:ascii="Book Antiqua" w:hAnsi="Book Antiqua"/>
          <w:sz w:val="24"/>
          <w:szCs w:val="24"/>
          <w:lang w:val="en-US"/>
        </w:rPr>
        <w:t xml:space="preserve"> years</w:t>
      </w:r>
      <w:r w:rsidRPr="0086525B">
        <w:rPr>
          <w:rFonts w:ascii="Book Antiqua" w:hAnsi="Book Antiqua"/>
          <w:sz w:val="24"/>
          <w:szCs w:val="24"/>
          <w:lang w:val="en-US"/>
        </w:rPr>
        <w:t>. The prognosis without treatment is poor. Most patients present with disseminated disease</w:t>
      </w:r>
      <w:r w:rsidR="002A4858" w:rsidRPr="0086525B">
        <w:rPr>
          <w:rFonts w:ascii="Book Antiqua" w:hAnsi="Book Antiqua"/>
          <w:sz w:val="24"/>
          <w:szCs w:val="24"/>
          <w:lang w:val="en-US"/>
        </w:rPr>
        <w:t>,</w:t>
      </w:r>
      <w:r w:rsidRPr="0086525B">
        <w:rPr>
          <w:rFonts w:ascii="Book Antiqua" w:hAnsi="Book Antiqua"/>
          <w:sz w:val="24"/>
          <w:szCs w:val="24"/>
          <w:lang w:val="en-US"/>
        </w:rPr>
        <w:t xml:space="preserve"> which usually involves both lobes of the liver. </w:t>
      </w:r>
      <w:r w:rsidR="002A4858" w:rsidRPr="0086525B">
        <w:rPr>
          <w:rFonts w:ascii="Book Antiqua" w:hAnsi="Book Antiqua"/>
          <w:sz w:val="24"/>
          <w:szCs w:val="24"/>
          <w:lang w:val="en-US"/>
        </w:rPr>
        <w:t xml:space="preserve">Currently </w:t>
      </w:r>
      <w:r w:rsidRPr="0086525B">
        <w:rPr>
          <w:rFonts w:ascii="Book Antiqua" w:hAnsi="Book Antiqua"/>
          <w:sz w:val="24"/>
          <w:szCs w:val="24"/>
          <w:lang w:val="en-US"/>
        </w:rPr>
        <w:t>there are several methods of treatment available in clinical settings</w:t>
      </w:r>
      <w:r w:rsidR="002A4858" w:rsidRPr="0086525B">
        <w:rPr>
          <w:rFonts w:ascii="Book Antiqua" w:hAnsi="Book Antiqua"/>
          <w:sz w:val="24"/>
          <w:szCs w:val="24"/>
          <w:lang w:val="en-US"/>
        </w:rPr>
        <w:t>,</w:t>
      </w:r>
      <w:r w:rsidRPr="0086525B">
        <w:rPr>
          <w:rFonts w:ascii="Book Antiqua" w:hAnsi="Book Antiqua"/>
          <w:sz w:val="24"/>
          <w:szCs w:val="24"/>
          <w:lang w:val="en-US"/>
        </w:rPr>
        <w:t xml:space="preserve"> including surgery (liver resection and transplantation), chemotherapy, transarterial </w:t>
      </w:r>
      <w:r w:rsidR="00BC071C" w:rsidRPr="0086525B">
        <w:rPr>
          <w:rFonts w:ascii="Book Antiqua" w:hAnsi="Book Antiqua"/>
          <w:sz w:val="24"/>
          <w:szCs w:val="24"/>
          <w:lang w:val="en-US"/>
        </w:rPr>
        <w:t>chemoembolization</w:t>
      </w:r>
      <w:r w:rsidRPr="0086525B">
        <w:rPr>
          <w:rFonts w:ascii="Book Antiqua" w:hAnsi="Book Antiqua"/>
          <w:sz w:val="24"/>
          <w:szCs w:val="24"/>
          <w:lang w:val="en-US"/>
        </w:rPr>
        <w:t xml:space="preserve"> (TACE), radiotherapy</w:t>
      </w:r>
      <w:r w:rsidR="002A4858" w:rsidRPr="0086525B">
        <w:rPr>
          <w:rFonts w:ascii="Book Antiqua" w:hAnsi="Book Antiqua"/>
          <w:sz w:val="24"/>
          <w:szCs w:val="24"/>
          <w:lang w:val="en-US"/>
        </w:rPr>
        <w:t>,</w:t>
      </w:r>
      <w:r w:rsidRPr="0086525B">
        <w:rPr>
          <w:rFonts w:ascii="Book Antiqua" w:hAnsi="Book Antiqua"/>
          <w:sz w:val="24"/>
          <w:szCs w:val="24"/>
          <w:lang w:val="en-US"/>
        </w:rPr>
        <w:t xml:space="preserve"> and radiofrequency ablation (RFA). Multifocal unresectable HEHE may be an indication for OLTx</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12]</w:t>
      </w:r>
      <w:r w:rsidR="00966C09" w:rsidRPr="0086525B">
        <w:rPr>
          <w:rFonts w:ascii="Book Antiqua" w:hAnsi="Book Antiqua"/>
          <w:sz w:val="24"/>
          <w:szCs w:val="24"/>
          <w:lang w:val="en-US"/>
        </w:rPr>
        <w:t>.</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The aim of </w:t>
      </w:r>
      <w:r w:rsidR="002A4858" w:rsidRPr="0086525B">
        <w:rPr>
          <w:rFonts w:ascii="Book Antiqua" w:hAnsi="Book Antiqua"/>
          <w:sz w:val="24"/>
          <w:szCs w:val="24"/>
          <w:lang w:val="en-US"/>
        </w:rPr>
        <w:t xml:space="preserve">this </w:t>
      </w:r>
      <w:r w:rsidRPr="0086525B">
        <w:rPr>
          <w:rFonts w:ascii="Book Antiqua" w:hAnsi="Book Antiqua"/>
          <w:sz w:val="24"/>
          <w:szCs w:val="24"/>
          <w:lang w:val="en-US"/>
        </w:rPr>
        <w:t>study was to assess the results of OLTx in patients with HEHE.</w:t>
      </w:r>
    </w:p>
    <w:p w:rsidR="00201A92" w:rsidRPr="0086525B" w:rsidRDefault="00201A92" w:rsidP="0016537A">
      <w:pPr>
        <w:snapToGrid w:val="0"/>
        <w:spacing w:after="0" w:line="360" w:lineRule="auto"/>
        <w:jc w:val="both"/>
        <w:rPr>
          <w:rFonts w:ascii="Book Antiqua" w:hAnsi="Book Antiqua"/>
          <w:sz w:val="24"/>
          <w:szCs w:val="24"/>
          <w:lang w:val="en-US"/>
        </w:rPr>
      </w:pPr>
    </w:p>
    <w:p w:rsidR="0016537A" w:rsidRPr="0086525B" w:rsidRDefault="0016537A" w:rsidP="0016537A">
      <w:pPr>
        <w:adjustRightInd w:val="0"/>
        <w:snapToGrid w:val="0"/>
        <w:spacing w:after="0" w:line="360" w:lineRule="auto"/>
        <w:rPr>
          <w:rFonts w:ascii="Book Antiqua" w:hAnsi="Book Antiqua"/>
          <w:b/>
          <w:sz w:val="24"/>
          <w:szCs w:val="24"/>
        </w:rPr>
      </w:pPr>
      <w:bookmarkStart w:id="272" w:name="OLE_LINK113"/>
      <w:bookmarkStart w:id="273" w:name="OLE_LINK126"/>
      <w:bookmarkStart w:id="274" w:name="OLE_LINK133"/>
      <w:bookmarkStart w:id="275" w:name="OLE_LINK170"/>
      <w:bookmarkStart w:id="276" w:name="OLE_LINK315"/>
      <w:bookmarkStart w:id="277" w:name="OLE_LINK812"/>
      <w:bookmarkStart w:id="278" w:name="OLE_LINK675"/>
      <w:bookmarkStart w:id="279" w:name="OLE_LINK717"/>
      <w:bookmarkStart w:id="280" w:name="OLE_LINK821"/>
      <w:bookmarkStart w:id="281" w:name="OLE_LINK932"/>
      <w:bookmarkStart w:id="282" w:name="OLE_LINK776"/>
      <w:bookmarkStart w:id="283" w:name="OLE_LINK998"/>
      <w:bookmarkStart w:id="284" w:name="OLE_LINK1230"/>
      <w:bookmarkStart w:id="285" w:name="OLE_LINK1248"/>
      <w:bookmarkStart w:id="286" w:name="OLE_LINK1019"/>
      <w:bookmarkStart w:id="287" w:name="OLE_LINK1552"/>
      <w:bookmarkStart w:id="288" w:name="OLE_LINK1614"/>
      <w:bookmarkStart w:id="289" w:name="OLE_LINK1671"/>
      <w:bookmarkStart w:id="290" w:name="OLE_LINK1685"/>
      <w:bookmarkStart w:id="291" w:name="OLE_LINK1779"/>
      <w:bookmarkStart w:id="292" w:name="OLE_LINK1801"/>
      <w:bookmarkStart w:id="293" w:name="OLE_LINK1839"/>
      <w:bookmarkStart w:id="294" w:name="OLE_LINK1840"/>
      <w:bookmarkStart w:id="295" w:name="OLE_LINK2098"/>
      <w:bookmarkStart w:id="296" w:name="OLE_LINK2099"/>
      <w:bookmarkStart w:id="297" w:name="OLE_LINK2100"/>
      <w:bookmarkStart w:id="298" w:name="OLE_LINK2045"/>
      <w:bookmarkStart w:id="299" w:name="OLE_LINK2170"/>
      <w:bookmarkStart w:id="300" w:name="OLE_LINK2469"/>
      <w:bookmarkStart w:id="301" w:name="OLE_LINK2254"/>
      <w:bookmarkStart w:id="302" w:name="OLE_LINK2377"/>
      <w:bookmarkStart w:id="303" w:name="OLE_LINK2533"/>
      <w:bookmarkStart w:id="304" w:name="OLE_LINK2423"/>
      <w:bookmarkStart w:id="305" w:name="OLE_LINK2479"/>
      <w:bookmarkStart w:id="306" w:name="OLE_LINK2671"/>
      <w:bookmarkStart w:id="307" w:name="OLE_LINK2672"/>
      <w:bookmarkStart w:id="308" w:name="OLE_LINK2673"/>
      <w:bookmarkStart w:id="309" w:name="OLE_LINK2599"/>
      <w:bookmarkStart w:id="310" w:name="OLE_LINK269"/>
      <w:bookmarkStart w:id="311" w:name="OLE_LINK526"/>
      <w:r w:rsidRPr="0086525B">
        <w:rPr>
          <w:rFonts w:ascii="Book Antiqua" w:hAnsi="Book Antiqua"/>
          <w:b/>
          <w:sz w:val="24"/>
          <w:szCs w:val="24"/>
        </w:rPr>
        <w:t>MATERIALS AND METHODS</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Between 1989 and August 2013</w:t>
      </w:r>
      <w:r w:rsidR="00CA35E5" w:rsidRPr="0086525B">
        <w:rPr>
          <w:rFonts w:ascii="Book Antiqua" w:hAnsi="Book Antiqua"/>
          <w:sz w:val="24"/>
          <w:szCs w:val="24"/>
          <w:lang w:val="en-US"/>
        </w:rPr>
        <w:t>,</w:t>
      </w:r>
      <w:r w:rsidRPr="0086525B">
        <w:rPr>
          <w:rFonts w:ascii="Book Antiqua" w:hAnsi="Book Antiqua"/>
          <w:sz w:val="24"/>
          <w:szCs w:val="24"/>
          <w:lang w:val="en-US"/>
        </w:rPr>
        <w:t xml:space="preserve"> 1306 orthotopic liver transplantations (OLTx) in adults including 72 retransplantations (re-OLTx) were performed in the Department of General, Transplant</w:t>
      </w:r>
      <w:r w:rsidR="0016537A" w:rsidRPr="0086525B">
        <w:rPr>
          <w:rFonts w:ascii="Book Antiqua" w:hAnsi="Book Antiqua"/>
          <w:sz w:val="24"/>
          <w:szCs w:val="24"/>
          <w:lang w:val="en-US"/>
        </w:rPr>
        <w:t>,</w:t>
      </w:r>
      <w:r w:rsidR="0016537A" w:rsidRPr="0086525B">
        <w:rPr>
          <w:rFonts w:ascii="Book Antiqua" w:hAnsi="Book Antiqua"/>
          <w:sz w:val="24"/>
          <w:szCs w:val="24"/>
          <w:lang w:val="en-US" w:eastAsia="zh-CN"/>
        </w:rPr>
        <w:t xml:space="preserve"> </w:t>
      </w:r>
      <w:r w:rsidRPr="0086525B">
        <w:rPr>
          <w:rFonts w:ascii="Book Antiqua" w:hAnsi="Book Antiqua"/>
          <w:sz w:val="24"/>
          <w:szCs w:val="24"/>
          <w:lang w:val="en-US"/>
        </w:rPr>
        <w:t xml:space="preserve">and Liver Surgery, Medical University of Warsaw. Unresectable HEHE was an indication for OLTx in 10 patients. The </w:t>
      </w:r>
      <w:r w:rsidRPr="0086525B">
        <w:rPr>
          <w:rFonts w:ascii="Book Antiqua" w:hAnsi="Book Antiqua"/>
          <w:sz w:val="24"/>
          <w:szCs w:val="24"/>
          <w:lang w:val="en-US"/>
        </w:rPr>
        <w:lastRenderedPageBreak/>
        <w:t>average age of patients was 40.5</w:t>
      </w:r>
      <w:r w:rsidR="00D220BB" w:rsidRPr="0086525B">
        <w:rPr>
          <w:rFonts w:ascii="Book Antiqua" w:hAnsi="Book Antiqua"/>
          <w:sz w:val="24"/>
          <w:szCs w:val="24"/>
          <w:lang w:val="en-US"/>
        </w:rPr>
        <w:t xml:space="preserve"> ± </w:t>
      </w:r>
      <w:r w:rsidRPr="0086525B">
        <w:rPr>
          <w:rFonts w:ascii="Book Antiqua" w:hAnsi="Book Antiqua"/>
          <w:sz w:val="24"/>
          <w:szCs w:val="24"/>
          <w:lang w:val="en-US"/>
        </w:rPr>
        <w:t>13.3 years (range 23</w:t>
      </w:r>
      <w:r w:rsidR="00CA35E5" w:rsidRPr="0086525B">
        <w:rPr>
          <w:rFonts w:ascii="Book Antiqua" w:hAnsi="Book Antiqua"/>
          <w:sz w:val="24"/>
          <w:szCs w:val="24"/>
          <w:lang w:val="en-US"/>
        </w:rPr>
        <w:t>–</w:t>
      </w:r>
      <w:r w:rsidRPr="0086525B">
        <w:rPr>
          <w:rFonts w:ascii="Book Antiqua" w:hAnsi="Book Antiqua"/>
          <w:sz w:val="24"/>
          <w:szCs w:val="24"/>
          <w:lang w:val="en-US"/>
        </w:rPr>
        <w:t>65 years), male-to-female ratio 2:8.</w:t>
      </w:r>
    </w:p>
    <w:p w:rsidR="0016537A" w:rsidRPr="0086525B" w:rsidRDefault="0016537A" w:rsidP="0016537A">
      <w:pPr>
        <w:snapToGrid w:val="0"/>
        <w:spacing w:after="0" w:line="360" w:lineRule="auto"/>
        <w:jc w:val="both"/>
        <w:rPr>
          <w:rFonts w:ascii="Book Antiqua" w:hAnsi="Book Antiqua"/>
          <w:sz w:val="24"/>
          <w:szCs w:val="24"/>
          <w:lang w:val="en-US" w:eastAsia="zh-CN"/>
        </w:rPr>
      </w:pPr>
    </w:p>
    <w:p w:rsidR="0016537A" w:rsidRPr="0086525B" w:rsidRDefault="0016537A" w:rsidP="0016537A">
      <w:pPr>
        <w:adjustRightInd w:val="0"/>
        <w:snapToGrid w:val="0"/>
        <w:spacing w:after="0" w:line="360" w:lineRule="auto"/>
        <w:rPr>
          <w:rFonts w:ascii="Book Antiqua" w:hAnsi="Book Antiqua"/>
          <w:b/>
          <w:i/>
          <w:sz w:val="24"/>
          <w:szCs w:val="24"/>
        </w:rPr>
      </w:pPr>
      <w:bookmarkStart w:id="312" w:name="OLE_LINK107"/>
      <w:bookmarkStart w:id="313" w:name="OLE_LINK130"/>
      <w:bookmarkStart w:id="314" w:name="OLE_LINK284"/>
      <w:bookmarkStart w:id="315" w:name="OLE_LINK728"/>
      <w:bookmarkStart w:id="316" w:name="OLE_LINK729"/>
      <w:bookmarkStart w:id="317" w:name="OLE_LINK865"/>
      <w:bookmarkStart w:id="318" w:name="OLE_LINK933"/>
      <w:bookmarkStart w:id="319" w:name="OLE_LINK997"/>
      <w:bookmarkStart w:id="320" w:name="OLE_LINK999"/>
      <w:bookmarkStart w:id="321" w:name="OLE_LINK1000"/>
      <w:bookmarkStart w:id="322" w:name="OLE_LINK1142"/>
      <w:bookmarkStart w:id="323" w:name="OLE_LINK1143"/>
      <w:bookmarkStart w:id="324" w:name="OLE_LINK1197"/>
      <w:bookmarkStart w:id="325" w:name="OLE_LINK1187"/>
      <w:bookmarkStart w:id="326" w:name="OLE_LINK1307"/>
      <w:bookmarkStart w:id="327" w:name="OLE_LINK1691"/>
      <w:bookmarkStart w:id="328" w:name="OLE_LINK1654"/>
      <w:bookmarkStart w:id="329" w:name="OLE_LINK2086"/>
      <w:bookmarkStart w:id="330" w:name="OLE_LINK2164"/>
      <w:bookmarkStart w:id="331" w:name="OLE_LINK2578"/>
      <w:bookmarkStart w:id="332" w:name="OLE_LINK2539"/>
      <w:bookmarkStart w:id="333" w:name="OLE_LINK2540"/>
      <w:bookmarkStart w:id="334" w:name="OLE_LINK2624"/>
      <w:r w:rsidRPr="0086525B">
        <w:rPr>
          <w:rFonts w:ascii="Book Antiqua" w:hAnsi="Book Antiqua"/>
          <w:b/>
          <w:i/>
          <w:sz w:val="24"/>
          <w:szCs w:val="24"/>
        </w:rPr>
        <w:t>Statistical analysis</w:t>
      </w:r>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rsidR="00201A92" w:rsidRPr="0086525B" w:rsidRDefault="00CA35E5" w:rsidP="0016537A">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We</w:t>
      </w:r>
      <w:r w:rsidR="00201A92" w:rsidRPr="0086525B">
        <w:rPr>
          <w:rFonts w:ascii="Book Antiqua" w:hAnsi="Book Antiqua"/>
          <w:sz w:val="24"/>
          <w:szCs w:val="24"/>
          <w:lang w:val="en-US"/>
        </w:rPr>
        <w:t xml:space="preserve"> compared Kaplan-Meier distributions of the time to mortality between HEHE and hepatocellular carcinoma (HCC) groups and with </w:t>
      </w:r>
      <w:r w:rsidRPr="0086525B">
        <w:rPr>
          <w:rFonts w:ascii="Book Antiqua" w:hAnsi="Book Antiqua"/>
          <w:sz w:val="24"/>
          <w:szCs w:val="24"/>
          <w:lang w:val="en-US"/>
        </w:rPr>
        <w:t xml:space="preserve">the </w:t>
      </w:r>
      <w:r w:rsidR="00201A92" w:rsidRPr="0086525B">
        <w:rPr>
          <w:rFonts w:ascii="Book Antiqua" w:hAnsi="Book Antiqua"/>
          <w:sz w:val="24"/>
          <w:szCs w:val="24"/>
          <w:lang w:val="en-US"/>
        </w:rPr>
        <w:t>general liver transplant population</w:t>
      </w:r>
      <w:r w:rsidRPr="0086525B">
        <w:rPr>
          <w:rFonts w:ascii="Book Antiqua" w:hAnsi="Book Antiqua"/>
          <w:sz w:val="24"/>
          <w:szCs w:val="24"/>
          <w:lang w:val="en-US"/>
        </w:rPr>
        <w:t>,</w:t>
      </w:r>
      <w:r w:rsidR="00201A92" w:rsidRPr="0086525B">
        <w:rPr>
          <w:rFonts w:ascii="Book Antiqua" w:hAnsi="Book Antiqua"/>
          <w:sz w:val="24"/>
          <w:szCs w:val="24"/>
          <w:lang w:val="en-US"/>
        </w:rPr>
        <w:t xml:space="preserve"> </w:t>
      </w:r>
      <w:r w:rsidR="00A84130" w:rsidRPr="0086525B">
        <w:rPr>
          <w:rFonts w:ascii="Book Antiqua" w:hAnsi="Book Antiqua"/>
          <w:sz w:val="24"/>
          <w:szCs w:val="24"/>
          <w:lang w:val="en-US"/>
        </w:rPr>
        <w:t xml:space="preserve">using </w:t>
      </w:r>
      <w:r w:rsidR="00201A92" w:rsidRPr="0086525B">
        <w:rPr>
          <w:rFonts w:ascii="Book Antiqua" w:hAnsi="Book Antiqua"/>
          <w:sz w:val="24"/>
          <w:szCs w:val="24"/>
          <w:lang w:val="en-US"/>
        </w:rPr>
        <w:t xml:space="preserve">the chi-squared test for significance. The differences were considered statistically significant when the </w:t>
      </w:r>
      <w:r w:rsidR="00D220BB" w:rsidRPr="0086525B">
        <w:rPr>
          <w:rFonts w:ascii="Book Antiqua" w:hAnsi="Book Antiqua"/>
          <w:i/>
          <w:sz w:val="24"/>
          <w:szCs w:val="24"/>
          <w:lang w:val="en-US"/>
        </w:rPr>
        <w:t>P</w:t>
      </w:r>
      <w:r w:rsidR="00201A92" w:rsidRPr="0086525B">
        <w:rPr>
          <w:rFonts w:ascii="Book Antiqua" w:hAnsi="Book Antiqua"/>
          <w:sz w:val="24"/>
          <w:szCs w:val="24"/>
          <w:lang w:val="en-US"/>
        </w:rPr>
        <w:t>-value was &lt;</w:t>
      </w:r>
      <w:r w:rsidR="0016537A" w:rsidRPr="0086525B">
        <w:rPr>
          <w:rFonts w:ascii="Book Antiqua" w:hAnsi="Book Antiqua"/>
          <w:sz w:val="24"/>
          <w:szCs w:val="24"/>
          <w:lang w:val="en-US" w:eastAsia="zh-CN"/>
        </w:rPr>
        <w:t xml:space="preserve"> </w:t>
      </w:r>
      <w:r w:rsidR="00201A92" w:rsidRPr="0086525B">
        <w:rPr>
          <w:rFonts w:ascii="Book Antiqua" w:hAnsi="Book Antiqua"/>
          <w:sz w:val="24"/>
          <w:szCs w:val="24"/>
          <w:lang w:val="en-US"/>
        </w:rPr>
        <w:t>0.05.</w:t>
      </w:r>
    </w:p>
    <w:p w:rsidR="0016537A" w:rsidRPr="0086525B" w:rsidRDefault="0016537A" w:rsidP="0016537A">
      <w:pPr>
        <w:snapToGrid w:val="0"/>
        <w:spacing w:after="0" w:line="360" w:lineRule="auto"/>
        <w:jc w:val="both"/>
        <w:rPr>
          <w:rFonts w:ascii="Book Antiqua" w:hAnsi="Book Antiqua"/>
          <w:sz w:val="24"/>
          <w:szCs w:val="24"/>
          <w:lang w:val="en-US" w:eastAsia="zh-CN"/>
        </w:rPr>
      </w:pPr>
    </w:p>
    <w:p w:rsidR="00201A92" w:rsidRPr="0086525B" w:rsidRDefault="0016537A" w:rsidP="0016537A">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RESULTS</w:t>
      </w:r>
    </w:p>
    <w:p w:rsidR="00201A92" w:rsidRPr="0086525B" w:rsidRDefault="00201A92" w:rsidP="0016537A">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The initial referral diagnosis was usually different from the final diagnosis of HEHE. Most commonly the lesions were described as hemangioma, metastases of unknown origin</w:t>
      </w:r>
      <w:r w:rsidR="00A84130" w:rsidRPr="0086525B">
        <w:rPr>
          <w:rFonts w:ascii="Book Antiqua" w:hAnsi="Book Antiqua"/>
          <w:sz w:val="24"/>
          <w:szCs w:val="24"/>
          <w:lang w:val="en-US"/>
        </w:rPr>
        <w:t>,</w:t>
      </w:r>
      <w:r w:rsidRPr="0086525B">
        <w:rPr>
          <w:rFonts w:ascii="Book Antiqua" w:hAnsi="Book Antiqua"/>
          <w:sz w:val="24"/>
          <w:szCs w:val="24"/>
          <w:lang w:val="en-US"/>
        </w:rPr>
        <w:t xml:space="preserve"> or parasitic abscesses. In the Department the diagnosis was based on a wedge liver biopsy obtained during diagnostic laparoscopy. In </w:t>
      </w:r>
      <w:r w:rsidR="00A84130" w:rsidRPr="0086525B">
        <w:rPr>
          <w:rFonts w:ascii="Book Antiqua" w:hAnsi="Book Antiqua"/>
          <w:sz w:val="24"/>
          <w:szCs w:val="24"/>
          <w:lang w:val="en-US"/>
        </w:rPr>
        <w:t xml:space="preserve">2 </w:t>
      </w:r>
      <w:r w:rsidRPr="0086525B">
        <w:rPr>
          <w:rFonts w:ascii="Book Antiqua" w:hAnsi="Book Antiqua"/>
          <w:sz w:val="24"/>
          <w:szCs w:val="24"/>
          <w:lang w:val="en-US"/>
        </w:rPr>
        <w:t>patients the diagnosis was based on radiologic assessment of the lesions in the liver (in computed tomography or magnetic resonance imaging). There was no neoadjuvant chemotherapy or radiotherapy. Liver function test</w:t>
      </w:r>
      <w:r w:rsidR="00A84130" w:rsidRPr="0086525B">
        <w:rPr>
          <w:rFonts w:ascii="Book Antiqua" w:hAnsi="Book Antiqua"/>
          <w:sz w:val="24"/>
          <w:szCs w:val="24"/>
          <w:lang w:val="en-US"/>
        </w:rPr>
        <w:t xml:space="preserve"> result</w:t>
      </w:r>
      <w:r w:rsidRPr="0086525B">
        <w:rPr>
          <w:rFonts w:ascii="Book Antiqua" w:hAnsi="Book Antiqua"/>
          <w:sz w:val="24"/>
          <w:szCs w:val="24"/>
          <w:lang w:val="en-US"/>
        </w:rPr>
        <w:t xml:space="preserve">s were normal in most of the patients. In </w:t>
      </w:r>
      <w:r w:rsidR="00A84130" w:rsidRPr="0086525B">
        <w:rPr>
          <w:rFonts w:ascii="Book Antiqua" w:hAnsi="Book Antiqua"/>
          <w:sz w:val="24"/>
          <w:szCs w:val="24"/>
          <w:lang w:val="en-US"/>
        </w:rPr>
        <w:t xml:space="preserve">4 </w:t>
      </w:r>
      <w:r w:rsidRPr="0086525B">
        <w:rPr>
          <w:rFonts w:ascii="Book Antiqua" w:hAnsi="Book Antiqua"/>
          <w:sz w:val="24"/>
          <w:szCs w:val="24"/>
          <w:lang w:val="en-US"/>
        </w:rPr>
        <w:t>more advanced cases mild elevation of markers of cholestasis such as alkaline phosphatase (ALP) and gamma-glutamyl transpeptidase (GGTP) was observed. In all the patients with HEHE the levels of alpha-fetoprotein (AFP), carcinoembryonic antigen (CEA)</w:t>
      </w:r>
      <w:r w:rsidR="00A84130" w:rsidRPr="0086525B">
        <w:rPr>
          <w:rFonts w:ascii="Book Antiqua" w:hAnsi="Book Antiqua"/>
          <w:sz w:val="24"/>
          <w:szCs w:val="24"/>
          <w:lang w:val="en-US"/>
        </w:rPr>
        <w:t>,</w:t>
      </w:r>
      <w:r w:rsidRPr="0086525B">
        <w:rPr>
          <w:rFonts w:ascii="Book Antiqua" w:hAnsi="Book Antiqua"/>
          <w:sz w:val="24"/>
          <w:szCs w:val="24"/>
          <w:lang w:val="en-US"/>
        </w:rPr>
        <w:t xml:space="preserve"> and carbohydrate antigen 19-9 (CA19-9) were normal (Table 1). </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No concomitant liver disease was found in a</w:t>
      </w:r>
      <w:r w:rsidR="00A84130" w:rsidRPr="0086525B">
        <w:rPr>
          <w:rFonts w:ascii="Book Antiqua" w:hAnsi="Book Antiqua"/>
          <w:sz w:val="24"/>
          <w:szCs w:val="24"/>
          <w:lang w:val="en-US"/>
        </w:rPr>
        <w:t>ny</w:t>
      </w:r>
      <w:r w:rsidRPr="0086525B">
        <w:rPr>
          <w:rFonts w:ascii="Book Antiqua" w:hAnsi="Book Antiqua"/>
          <w:sz w:val="24"/>
          <w:szCs w:val="24"/>
          <w:lang w:val="en-US"/>
        </w:rPr>
        <w:t xml:space="preserve"> patients. The symptoms were usually nonspecific with mild epigastric or right upper quadrant pain or discomfort. Sometimes fatigue or weight loss </w:t>
      </w:r>
      <w:r w:rsidR="00A84130" w:rsidRPr="0086525B">
        <w:rPr>
          <w:rFonts w:ascii="Book Antiqua" w:hAnsi="Book Antiqua"/>
          <w:sz w:val="24"/>
          <w:szCs w:val="24"/>
          <w:lang w:val="en-US"/>
        </w:rPr>
        <w:t xml:space="preserve">was </w:t>
      </w:r>
      <w:r w:rsidRPr="0086525B">
        <w:rPr>
          <w:rFonts w:ascii="Book Antiqua" w:hAnsi="Book Antiqua"/>
          <w:sz w:val="24"/>
          <w:szCs w:val="24"/>
          <w:lang w:val="en-US"/>
        </w:rPr>
        <w:t>reported (Table 2). The severity of the disease symptoms increase as the disease progresses</w:t>
      </w:r>
      <w:r w:rsidR="00A84130" w:rsidRPr="0086525B">
        <w:rPr>
          <w:rFonts w:ascii="Book Antiqua" w:hAnsi="Book Antiqua"/>
          <w:sz w:val="24"/>
          <w:szCs w:val="24"/>
          <w:lang w:val="en-US"/>
        </w:rPr>
        <w:t>,</w:t>
      </w:r>
      <w:r w:rsidRPr="0086525B">
        <w:rPr>
          <w:rFonts w:ascii="Book Antiqua" w:hAnsi="Book Antiqua"/>
          <w:sz w:val="24"/>
          <w:szCs w:val="24"/>
          <w:lang w:val="en-US"/>
        </w:rPr>
        <w:t xml:space="preserve"> with increasing number and size of the lesions. </w:t>
      </w:r>
    </w:p>
    <w:p w:rsidR="0016537A" w:rsidRPr="0086525B" w:rsidRDefault="00201A92" w:rsidP="0016537A">
      <w:pPr>
        <w:snapToGrid w:val="0"/>
        <w:spacing w:after="0" w:line="360" w:lineRule="auto"/>
        <w:ind w:firstLineChars="50" w:firstLine="120"/>
        <w:jc w:val="both"/>
        <w:rPr>
          <w:rFonts w:ascii="Book Antiqua" w:hAnsi="Book Antiqua"/>
          <w:sz w:val="24"/>
          <w:szCs w:val="24"/>
          <w:lang w:val="en-US" w:eastAsia="zh-CN"/>
        </w:rPr>
      </w:pPr>
      <w:r w:rsidRPr="0086525B">
        <w:rPr>
          <w:rFonts w:ascii="Book Antiqua" w:hAnsi="Book Antiqua"/>
          <w:sz w:val="24"/>
          <w:szCs w:val="24"/>
          <w:lang w:val="en-US"/>
        </w:rPr>
        <w:t>Macroscopically</w:t>
      </w:r>
      <w:r w:rsidR="00A84130" w:rsidRPr="0086525B">
        <w:rPr>
          <w:rFonts w:ascii="Book Antiqua" w:hAnsi="Book Antiqua"/>
          <w:sz w:val="24"/>
          <w:szCs w:val="24"/>
          <w:lang w:val="en-US"/>
        </w:rPr>
        <w:t>,</w:t>
      </w:r>
      <w:r w:rsidRPr="0086525B">
        <w:rPr>
          <w:rFonts w:ascii="Book Antiqua" w:hAnsi="Book Antiqua"/>
          <w:sz w:val="24"/>
          <w:szCs w:val="24"/>
          <w:lang w:val="en-US"/>
        </w:rPr>
        <w:t xml:space="preserve"> cross-sections of the resected liver showed multifocal non-encapsulated, yellowish-white </w:t>
      </w:r>
      <w:r w:rsidR="00A84130" w:rsidRPr="0086525B">
        <w:rPr>
          <w:rFonts w:ascii="Book Antiqua" w:hAnsi="Book Antiqua"/>
          <w:sz w:val="24"/>
          <w:szCs w:val="24"/>
          <w:lang w:val="en-US"/>
        </w:rPr>
        <w:t>tumors</w:t>
      </w:r>
      <w:r w:rsidRPr="0086525B">
        <w:rPr>
          <w:rFonts w:ascii="Book Antiqua" w:hAnsi="Book Antiqua"/>
          <w:sz w:val="24"/>
          <w:szCs w:val="24"/>
          <w:lang w:val="en-US"/>
        </w:rPr>
        <w:t xml:space="preserve"> that involved both lobes, ranging in </w:t>
      </w:r>
      <w:r w:rsidRPr="0086525B">
        <w:rPr>
          <w:rFonts w:ascii="Book Antiqua" w:hAnsi="Book Antiqua"/>
          <w:sz w:val="24"/>
          <w:szCs w:val="24"/>
          <w:lang w:val="en-US"/>
        </w:rPr>
        <w:lastRenderedPageBreak/>
        <w:t xml:space="preserve">greatest diameter from 0.2 to 18 cm. Subcapsular </w:t>
      </w:r>
      <w:r w:rsidR="00A84130" w:rsidRPr="0086525B">
        <w:rPr>
          <w:rFonts w:ascii="Book Antiqua" w:hAnsi="Book Antiqua"/>
          <w:sz w:val="24"/>
          <w:szCs w:val="24"/>
          <w:lang w:val="en-US"/>
        </w:rPr>
        <w:t>tumors</w:t>
      </w:r>
      <w:r w:rsidRPr="0086525B">
        <w:rPr>
          <w:rFonts w:ascii="Book Antiqua" w:hAnsi="Book Antiqua"/>
          <w:sz w:val="24"/>
          <w:szCs w:val="24"/>
          <w:lang w:val="en-US"/>
        </w:rPr>
        <w:t xml:space="preserve"> showed typical umbilication.</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Microscopically</w:t>
      </w:r>
      <w:r w:rsidR="00A84130" w:rsidRPr="0086525B">
        <w:rPr>
          <w:rFonts w:ascii="Book Antiqua" w:hAnsi="Book Antiqua"/>
          <w:sz w:val="24"/>
          <w:szCs w:val="24"/>
          <w:lang w:val="en-US"/>
        </w:rPr>
        <w:t>,</w:t>
      </w:r>
      <w:r w:rsidRPr="0086525B">
        <w:rPr>
          <w:rFonts w:ascii="Book Antiqua" w:hAnsi="Book Antiqua"/>
          <w:sz w:val="24"/>
          <w:szCs w:val="24"/>
          <w:lang w:val="en-US"/>
        </w:rPr>
        <w:t xml:space="preserve"> the </w:t>
      </w:r>
      <w:r w:rsidR="00A84130" w:rsidRPr="0086525B">
        <w:rPr>
          <w:rFonts w:ascii="Book Antiqua" w:hAnsi="Book Antiqua"/>
          <w:sz w:val="24"/>
          <w:szCs w:val="24"/>
          <w:lang w:val="en-US"/>
        </w:rPr>
        <w:t>tumors</w:t>
      </w:r>
      <w:r w:rsidRPr="0086525B">
        <w:rPr>
          <w:rFonts w:ascii="Book Antiqua" w:hAnsi="Book Antiqua"/>
          <w:sz w:val="24"/>
          <w:szCs w:val="24"/>
          <w:lang w:val="en-US"/>
        </w:rPr>
        <w:t xml:space="preserve"> had a high cellular growth pattern with infiltrative margins. Histopathological examination demonstrated a variable cellularity</w:t>
      </w:r>
      <w:r w:rsidR="0016537A" w:rsidRPr="0086525B">
        <w:rPr>
          <w:rFonts w:ascii="Book Antiqua" w:hAnsi="Book Antiqua"/>
          <w:sz w:val="24"/>
          <w:szCs w:val="24"/>
          <w:lang w:val="en-US" w:eastAsia="zh-CN"/>
        </w:rPr>
        <w:t xml:space="preserve"> – </w:t>
      </w:r>
      <w:r w:rsidRPr="0086525B">
        <w:rPr>
          <w:rFonts w:ascii="Book Antiqua" w:hAnsi="Book Antiqua"/>
          <w:sz w:val="24"/>
          <w:szCs w:val="24"/>
          <w:lang w:val="en-US"/>
        </w:rPr>
        <w:t>the cellular components were dominant in the peripheral region, while central areas of the nodules showed both necrosis and sclerosis and some were calcified. In the more cellular areas, tumor cells were arranged in solid cords and nests</w:t>
      </w:r>
      <w:r w:rsidR="00A84130" w:rsidRPr="0086525B">
        <w:rPr>
          <w:rFonts w:ascii="Book Antiqua" w:hAnsi="Book Antiqua"/>
          <w:sz w:val="24"/>
          <w:szCs w:val="24"/>
          <w:lang w:val="en-US"/>
        </w:rPr>
        <w:t>,</w:t>
      </w:r>
      <w:r w:rsidRPr="0086525B">
        <w:rPr>
          <w:rFonts w:ascii="Book Antiqua" w:hAnsi="Book Antiqua"/>
          <w:sz w:val="24"/>
          <w:szCs w:val="24"/>
          <w:lang w:val="en-US"/>
        </w:rPr>
        <w:t xml:space="preserve"> mimicking epithelioid or histiocytoid cells</w:t>
      </w:r>
      <w:r w:rsidR="00A84130" w:rsidRPr="0086525B">
        <w:rPr>
          <w:rFonts w:ascii="Book Antiqua" w:hAnsi="Book Antiqua"/>
          <w:sz w:val="24"/>
          <w:szCs w:val="24"/>
          <w:lang w:val="en-US"/>
        </w:rPr>
        <w:t>. I</w:t>
      </w:r>
      <w:r w:rsidRPr="0086525B">
        <w:rPr>
          <w:rFonts w:ascii="Book Antiqua" w:hAnsi="Book Antiqua"/>
          <w:sz w:val="24"/>
          <w:szCs w:val="24"/>
          <w:lang w:val="en-US"/>
        </w:rPr>
        <w:t>n other</w:t>
      </w:r>
      <w:r w:rsidR="00A84130" w:rsidRPr="0086525B">
        <w:rPr>
          <w:rFonts w:ascii="Book Antiqua" w:hAnsi="Book Antiqua"/>
          <w:sz w:val="24"/>
          <w:szCs w:val="24"/>
          <w:lang w:val="en-US"/>
        </w:rPr>
        <w:t>,</w:t>
      </w:r>
      <w:r w:rsidRPr="0086525B">
        <w:rPr>
          <w:rFonts w:ascii="Book Antiqua" w:hAnsi="Book Antiqua"/>
          <w:sz w:val="24"/>
          <w:szCs w:val="24"/>
          <w:lang w:val="en-US"/>
        </w:rPr>
        <w:t xml:space="preserve"> less cellular</w:t>
      </w:r>
      <w:r w:rsidR="00A84130" w:rsidRPr="0086525B">
        <w:rPr>
          <w:rFonts w:ascii="Book Antiqua" w:hAnsi="Book Antiqua"/>
          <w:sz w:val="24"/>
          <w:szCs w:val="24"/>
          <w:lang w:val="en-US"/>
        </w:rPr>
        <w:t>,</w:t>
      </w:r>
      <w:r w:rsidRPr="0086525B">
        <w:rPr>
          <w:rFonts w:ascii="Book Antiqua" w:hAnsi="Book Antiqua"/>
          <w:sz w:val="24"/>
          <w:szCs w:val="24"/>
          <w:lang w:val="en-US"/>
        </w:rPr>
        <w:t xml:space="preserve"> areas having a sclerotic matrix, single neoplastic cells had irregular cytoplasmic processes. Epithelioid cells were round in shape and had an eosinophilic abundant cytoplasm and vesicular nuclei. Dendritic cells displayed</w:t>
      </w:r>
      <w:r w:rsidR="003A4F5C" w:rsidRPr="0086525B">
        <w:rPr>
          <w:rFonts w:ascii="Book Antiqua" w:hAnsi="Book Antiqua"/>
          <w:sz w:val="24"/>
          <w:szCs w:val="24"/>
          <w:lang w:val="en-US"/>
        </w:rPr>
        <w:t xml:space="preserve"> </w:t>
      </w:r>
      <w:r w:rsidRPr="0086525B">
        <w:rPr>
          <w:rFonts w:ascii="Book Antiqua" w:hAnsi="Book Antiqua"/>
          <w:sz w:val="24"/>
          <w:szCs w:val="24"/>
          <w:lang w:val="en-US"/>
        </w:rPr>
        <w:t>spindle morphology with interdigitating processes.</w:t>
      </w:r>
      <w:r w:rsidR="003A4F5C" w:rsidRPr="0086525B">
        <w:rPr>
          <w:rFonts w:ascii="Book Antiqua" w:hAnsi="Book Antiqua"/>
          <w:sz w:val="24"/>
          <w:szCs w:val="24"/>
          <w:lang w:val="en-US"/>
        </w:rPr>
        <w:t xml:space="preserve"> </w:t>
      </w:r>
      <w:r w:rsidRPr="0086525B">
        <w:rPr>
          <w:rFonts w:ascii="Book Antiqua" w:hAnsi="Book Antiqua"/>
          <w:sz w:val="24"/>
          <w:szCs w:val="24"/>
          <w:lang w:val="en-US"/>
        </w:rPr>
        <w:t>Characteristically</w:t>
      </w:r>
      <w:r w:rsidR="00A84130" w:rsidRPr="0086525B">
        <w:rPr>
          <w:rFonts w:ascii="Book Antiqua" w:hAnsi="Book Antiqua"/>
          <w:sz w:val="24"/>
          <w:szCs w:val="24"/>
          <w:lang w:val="en-US"/>
        </w:rPr>
        <w:t>,</w:t>
      </w:r>
      <w:r w:rsidRPr="0086525B">
        <w:rPr>
          <w:rFonts w:ascii="Book Antiqua" w:hAnsi="Book Antiqua"/>
          <w:sz w:val="24"/>
          <w:szCs w:val="24"/>
          <w:lang w:val="en-US"/>
        </w:rPr>
        <w:t xml:space="preserve"> </w:t>
      </w:r>
      <w:r w:rsidR="00A84130" w:rsidRPr="0086525B">
        <w:rPr>
          <w:rFonts w:ascii="Book Antiqua" w:hAnsi="Book Antiqua"/>
          <w:sz w:val="24"/>
          <w:szCs w:val="24"/>
          <w:lang w:val="en-US"/>
        </w:rPr>
        <w:t>tumors</w:t>
      </w:r>
      <w:r w:rsidRPr="0086525B">
        <w:rPr>
          <w:rFonts w:ascii="Book Antiqua" w:hAnsi="Book Antiqua"/>
          <w:sz w:val="24"/>
          <w:szCs w:val="24"/>
          <w:lang w:val="en-US"/>
        </w:rPr>
        <w:t xml:space="preserve"> consisted of spindle-shaped cells and signet-ring-cell-like structures with intracytoplasmic lumina that contained erythrocytes. The architectural features such as the intravascular or intrasinusoidal growth pattern characteristic of the neoplasm were observed. Microvascular invasion was found in 2 cases. The parenchymal architecture of the liver was preserved. In immunohistochemical staining, the neoplastic cells were positive for factor VIII-related antigen, endothelial cell markers CD31 and CD34, and negative for cytokeratin 19, cytokeratin 7</w:t>
      </w:r>
      <w:r w:rsidR="00A84130" w:rsidRPr="0086525B">
        <w:rPr>
          <w:rFonts w:ascii="Book Antiqua" w:hAnsi="Book Antiqua"/>
          <w:sz w:val="24"/>
          <w:szCs w:val="24"/>
          <w:lang w:val="en-US"/>
        </w:rPr>
        <w:t>,</w:t>
      </w:r>
      <w:r w:rsidRPr="0086525B">
        <w:rPr>
          <w:rFonts w:ascii="Book Antiqua" w:hAnsi="Book Antiqua"/>
          <w:sz w:val="24"/>
          <w:szCs w:val="24"/>
          <w:lang w:val="en-US"/>
        </w:rPr>
        <w:t xml:space="preserve"> and HepPar-1 (</w:t>
      </w:r>
      <w:r w:rsidR="00A84130" w:rsidRPr="0086525B">
        <w:rPr>
          <w:rFonts w:ascii="Book Antiqua" w:hAnsi="Book Antiqua"/>
          <w:sz w:val="24"/>
          <w:szCs w:val="24"/>
          <w:lang w:val="en-US"/>
        </w:rPr>
        <w:t xml:space="preserve">Figure </w:t>
      </w:r>
      <w:r w:rsidRPr="0086525B">
        <w:rPr>
          <w:rFonts w:ascii="Book Antiqua" w:hAnsi="Book Antiqua"/>
          <w:sz w:val="24"/>
          <w:szCs w:val="24"/>
          <w:lang w:val="en-US"/>
        </w:rPr>
        <w:t xml:space="preserve">1 and </w:t>
      </w:r>
      <w:r w:rsidR="00A84130" w:rsidRPr="0086525B">
        <w:rPr>
          <w:rFonts w:ascii="Book Antiqua" w:hAnsi="Book Antiqua"/>
          <w:sz w:val="24"/>
          <w:szCs w:val="24"/>
          <w:lang w:val="en-US"/>
        </w:rPr>
        <w:t xml:space="preserve">Table </w:t>
      </w:r>
      <w:r w:rsidRPr="0086525B">
        <w:rPr>
          <w:rFonts w:ascii="Book Antiqua" w:hAnsi="Book Antiqua"/>
          <w:sz w:val="24"/>
          <w:szCs w:val="24"/>
          <w:lang w:val="en-US"/>
        </w:rPr>
        <w:t>3).</w:t>
      </w:r>
    </w:p>
    <w:p w:rsidR="00201A92" w:rsidRPr="0086525B" w:rsidRDefault="00201A92" w:rsidP="0016537A">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The follow-up for </w:t>
      </w:r>
      <w:r w:rsidR="00A84130" w:rsidRPr="0086525B">
        <w:rPr>
          <w:rFonts w:ascii="Book Antiqua" w:hAnsi="Book Antiqua"/>
          <w:sz w:val="24"/>
          <w:szCs w:val="24"/>
          <w:lang w:val="en-US"/>
        </w:rPr>
        <w:t xml:space="preserve">the </w:t>
      </w:r>
      <w:r w:rsidRPr="0086525B">
        <w:rPr>
          <w:rFonts w:ascii="Book Antiqua" w:hAnsi="Book Antiqua"/>
          <w:sz w:val="24"/>
          <w:szCs w:val="24"/>
          <w:lang w:val="en-US"/>
        </w:rPr>
        <w:t xml:space="preserve">HEHE group ranged from 1 </w:t>
      </w:r>
      <w:r w:rsidR="00D220BB" w:rsidRPr="0086525B">
        <w:rPr>
          <w:rFonts w:ascii="Book Antiqua" w:hAnsi="Book Antiqua"/>
          <w:sz w:val="24"/>
          <w:szCs w:val="24"/>
          <w:lang w:val="en-US"/>
        </w:rPr>
        <w:t>mo</w:t>
      </w:r>
      <w:r w:rsidRPr="0086525B">
        <w:rPr>
          <w:rFonts w:ascii="Book Antiqua" w:hAnsi="Book Antiqua"/>
          <w:sz w:val="24"/>
          <w:szCs w:val="24"/>
          <w:lang w:val="en-US"/>
        </w:rPr>
        <w:t xml:space="preserve"> to 11.4 years. There </w:t>
      </w:r>
      <w:r w:rsidR="00536791" w:rsidRPr="0086525B">
        <w:rPr>
          <w:rFonts w:ascii="Book Antiqua" w:hAnsi="Book Antiqua"/>
          <w:sz w:val="24"/>
          <w:szCs w:val="24"/>
          <w:lang w:val="en-US"/>
        </w:rPr>
        <w:t>was</w:t>
      </w:r>
      <w:r w:rsidRPr="0086525B">
        <w:rPr>
          <w:rFonts w:ascii="Book Antiqua" w:hAnsi="Book Antiqua"/>
          <w:sz w:val="24"/>
          <w:szCs w:val="24"/>
          <w:lang w:val="en-US"/>
        </w:rPr>
        <w:t xml:space="preserve"> no tumor-related mortality. One patient died </w:t>
      </w:r>
      <w:r w:rsidR="00A84130" w:rsidRPr="0086525B">
        <w:rPr>
          <w:rFonts w:ascii="Book Antiqua" w:hAnsi="Book Antiqua"/>
          <w:sz w:val="24"/>
          <w:szCs w:val="24"/>
          <w:lang w:val="en-US"/>
        </w:rPr>
        <w:t xml:space="preserve">2 </w:t>
      </w:r>
      <w:r w:rsidR="0016537A" w:rsidRPr="0086525B">
        <w:rPr>
          <w:rFonts w:ascii="Book Antiqua" w:hAnsi="Book Antiqua"/>
          <w:sz w:val="24"/>
          <w:szCs w:val="24"/>
          <w:lang w:val="en-US"/>
        </w:rPr>
        <w:t>mo</w:t>
      </w:r>
      <w:r w:rsidRPr="0086525B">
        <w:rPr>
          <w:rFonts w:ascii="Book Antiqua" w:hAnsi="Book Antiqua"/>
          <w:sz w:val="24"/>
          <w:szCs w:val="24"/>
          <w:lang w:val="en-US"/>
        </w:rPr>
        <w:t xml:space="preserve"> after OLTx due to septic complications not related to the nature of the HEHE. When this case of tumor</w:t>
      </w:r>
      <w:r w:rsidR="00A84130" w:rsidRPr="0086525B">
        <w:rPr>
          <w:rFonts w:ascii="Book Antiqua" w:hAnsi="Book Antiqua"/>
          <w:sz w:val="24"/>
          <w:szCs w:val="24"/>
          <w:lang w:val="en-US"/>
        </w:rPr>
        <w:t>-</w:t>
      </w:r>
      <w:r w:rsidRPr="0086525B">
        <w:rPr>
          <w:rFonts w:ascii="Book Antiqua" w:hAnsi="Book Antiqua"/>
          <w:sz w:val="24"/>
          <w:szCs w:val="24"/>
          <w:lang w:val="en-US"/>
        </w:rPr>
        <w:t xml:space="preserve">unrelated death was excluded from the analysis, the </w:t>
      </w:r>
      <w:r w:rsidR="00BC071C" w:rsidRPr="0086525B">
        <w:rPr>
          <w:rFonts w:ascii="Book Antiqua" w:hAnsi="Book Antiqua"/>
          <w:sz w:val="24"/>
          <w:szCs w:val="24"/>
          <w:lang w:val="en-US"/>
        </w:rPr>
        <w:t>long</w:t>
      </w:r>
      <w:r w:rsidR="00D7751C" w:rsidRPr="0086525B">
        <w:rPr>
          <w:rFonts w:ascii="Book Antiqua" w:hAnsi="Book Antiqua"/>
          <w:sz w:val="24"/>
          <w:szCs w:val="24"/>
          <w:lang w:val="en-US"/>
        </w:rPr>
        <w:t>-</w:t>
      </w:r>
      <w:r w:rsidR="00BC071C" w:rsidRPr="0086525B">
        <w:rPr>
          <w:rFonts w:ascii="Book Antiqua" w:hAnsi="Book Antiqua"/>
          <w:sz w:val="24"/>
          <w:szCs w:val="24"/>
          <w:lang w:val="en-US"/>
        </w:rPr>
        <w:t>term</w:t>
      </w:r>
      <w:r w:rsidRPr="0086525B">
        <w:rPr>
          <w:rFonts w:ascii="Book Antiqua" w:hAnsi="Book Antiqua"/>
          <w:sz w:val="24"/>
          <w:szCs w:val="24"/>
          <w:lang w:val="en-US"/>
        </w:rPr>
        <w:t xml:space="preserve"> survival in HEHE patients </w:t>
      </w:r>
      <w:r w:rsidR="00D7751C" w:rsidRPr="0086525B">
        <w:rPr>
          <w:rFonts w:ascii="Book Antiqua" w:hAnsi="Book Antiqua"/>
          <w:sz w:val="24"/>
          <w:szCs w:val="24"/>
          <w:lang w:val="en-US"/>
        </w:rPr>
        <w:t>is</w:t>
      </w:r>
      <w:r w:rsidRPr="0086525B">
        <w:rPr>
          <w:rFonts w:ascii="Book Antiqua" w:hAnsi="Book Antiqua"/>
          <w:sz w:val="24"/>
          <w:szCs w:val="24"/>
          <w:lang w:val="en-US"/>
        </w:rPr>
        <w:t xml:space="preserve"> 100%. No morbidity was observed. The remaining 9 patients are alive without any tumor recurrence symptoms.</w:t>
      </w:r>
    </w:p>
    <w:p w:rsidR="00201A92" w:rsidRPr="0086525B" w:rsidRDefault="00201A92" w:rsidP="00A421B3">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Among all the patients after OLTx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1234)</w:t>
      </w:r>
      <w:r w:rsidR="00D7751C" w:rsidRPr="0086525B">
        <w:rPr>
          <w:rFonts w:ascii="Book Antiqua" w:hAnsi="Book Antiqua"/>
          <w:sz w:val="24"/>
          <w:szCs w:val="24"/>
          <w:lang w:val="en-US"/>
        </w:rPr>
        <w:t>, 3</w:t>
      </w:r>
      <w:r w:rsidRPr="0086525B">
        <w:rPr>
          <w:rFonts w:ascii="Book Antiqua" w:hAnsi="Book Antiqua"/>
          <w:sz w:val="24"/>
          <w:szCs w:val="24"/>
          <w:lang w:val="en-US"/>
        </w:rPr>
        <w:t xml:space="preserve"> groups were defined for the purpose of survival analysis</w:t>
      </w:r>
      <w:r w:rsidR="00D7751C" w:rsidRPr="0086525B">
        <w:rPr>
          <w:rFonts w:ascii="Book Antiqua" w:hAnsi="Book Antiqua"/>
          <w:sz w:val="24"/>
          <w:szCs w:val="24"/>
          <w:lang w:val="en-US"/>
        </w:rPr>
        <w:t>:</w:t>
      </w:r>
      <w:r w:rsidRPr="0086525B">
        <w:rPr>
          <w:rFonts w:ascii="Book Antiqua" w:hAnsi="Book Antiqua"/>
          <w:sz w:val="24"/>
          <w:szCs w:val="24"/>
          <w:lang w:val="en-US"/>
        </w:rPr>
        <w:t xml:space="preserve"> patients with HEHE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10</w:t>
      </w:r>
      <w:r w:rsidR="00D7751C" w:rsidRPr="0086525B">
        <w:rPr>
          <w:rFonts w:ascii="Book Antiqua" w:hAnsi="Book Antiqua"/>
          <w:sz w:val="24"/>
          <w:szCs w:val="24"/>
          <w:lang w:val="en-US"/>
        </w:rPr>
        <w:t xml:space="preserve">); </w:t>
      </w:r>
      <w:r w:rsidRPr="0086525B">
        <w:rPr>
          <w:rFonts w:ascii="Book Antiqua" w:hAnsi="Book Antiqua"/>
          <w:sz w:val="24"/>
          <w:szCs w:val="24"/>
          <w:lang w:val="en-US"/>
        </w:rPr>
        <w:t>patients with HCC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155)</w:t>
      </w:r>
      <w:r w:rsidR="00D7751C" w:rsidRPr="0086525B">
        <w:rPr>
          <w:rFonts w:ascii="Book Antiqua" w:hAnsi="Book Antiqua"/>
          <w:sz w:val="24"/>
          <w:szCs w:val="24"/>
          <w:lang w:val="en-US"/>
        </w:rPr>
        <w:t>,</w:t>
      </w:r>
      <w:r w:rsidRPr="0086525B">
        <w:rPr>
          <w:rFonts w:ascii="Book Antiqua" w:hAnsi="Book Antiqua"/>
          <w:sz w:val="24"/>
          <w:szCs w:val="24"/>
          <w:lang w:val="en-US"/>
        </w:rPr>
        <w:t xml:space="preserve"> which is the most common tumor considered an indication for OLTx</w:t>
      </w:r>
      <w:r w:rsidR="00D7751C" w:rsidRPr="0086525B">
        <w:rPr>
          <w:rFonts w:ascii="Book Antiqua" w:hAnsi="Book Antiqua"/>
          <w:sz w:val="24"/>
          <w:szCs w:val="24"/>
          <w:lang w:val="en-US"/>
        </w:rPr>
        <w:t>;</w:t>
      </w:r>
      <w:r w:rsidRPr="0086525B">
        <w:rPr>
          <w:rFonts w:ascii="Book Antiqua" w:hAnsi="Book Antiqua"/>
          <w:sz w:val="24"/>
          <w:szCs w:val="24"/>
          <w:lang w:val="en-US"/>
        </w:rPr>
        <w:t xml:space="preserve"> and the remaining group of liver transplant recipients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1069).</w:t>
      </w:r>
      <w:r w:rsidR="003A4F5C" w:rsidRPr="0086525B">
        <w:rPr>
          <w:rFonts w:ascii="Book Antiqua" w:hAnsi="Book Antiqua"/>
          <w:sz w:val="24"/>
          <w:szCs w:val="24"/>
          <w:lang w:val="en-US"/>
        </w:rPr>
        <w:t xml:space="preserve"> </w:t>
      </w:r>
    </w:p>
    <w:p w:rsidR="00201A92" w:rsidRPr="0086525B" w:rsidRDefault="00201A92" w:rsidP="00A421B3">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lastRenderedPageBreak/>
        <w:t xml:space="preserve">Kaplan-Meier analysis showed </w:t>
      </w:r>
      <w:r w:rsidR="00D7751C" w:rsidRPr="0086525B">
        <w:rPr>
          <w:rFonts w:ascii="Book Antiqua" w:hAnsi="Book Antiqua"/>
          <w:sz w:val="24"/>
          <w:szCs w:val="24"/>
          <w:lang w:val="en-US"/>
        </w:rPr>
        <w:t>a 3-</w:t>
      </w:r>
      <w:r w:rsidRPr="0086525B">
        <w:rPr>
          <w:rFonts w:ascii="Book Antiqua" w:hAnsi="Book Antiqua"/>
          <w:sz w:val="24"/>
          <w:szCs w:val="24"/>
          <w:lang w:val="en-US"/>
        </w:rPr>
        <w:t>year cumulative survival rate of 87.5% for the HEHE group, 80.1% for the HCC group</w:t>
      </w:r>
      <w:r w:rsidR="00D7751C" w:rsidRPr="0086525B">
        <w:rPr>
          <w:rFonts w:ascii="Book Antiqua" w:hAnsi="Book Antiqua"/>
          <w:sz w:val="24"/>
          <w:szCs w:val="24"/>
          <w:lang w:val="en-US"/>
        </w:rPr>
        <w:t>,</w:t>
      </w:r>
      <w:r w:rsidRPr="0086525B">
        <w:rPr>
          <w:rFonts w:ascii="Book Antiqua" w:hAnsi="Book Antiqua"/>
          <w:sz w:val="24"/>
          <w:szCs w:val="24"/>
          <w:lang w:val="en-US"/>
        </w:rPr>
        <w:t xml:space="preserve"> and 83.5% in the remaining OLTx recipients group.</w:t>
      </w:r>
    </w:p>
    <w:p w:rsidR="00201A92" w:rsidRPr="0086525B" w:rsidRDefault="00D7751C" w:rsidP="00A421B3">
      <w:pPr>
        <w:snapToGrid w:val="0"/>
        <w:spacing w:after="0" w:line="360" w:lineRule="auto"/>
        <w:ind w:firstLineChars="50" w:firstLine="120"/>
        <w:jc w:val="both"/>
        <w:rPr>
          <w:rFonts w:ascii="Book Antiqua" w:hAnsi="Book Antiqua"/>
          <w:sz w:val="24"/>
          <w:szCs w:val="24"/>
          <w:lang w:val="en-US" w:eastAsia="zh-CN"/>
        </w:rPr>
      </w:pPr>
      <w:r w:rsidRPr="0086525B">
        <w:rPr>
          <w:rFonts w:ascii="Book Antiqua" w:hAnsi="Book Antiqua"/>
          <w:sz w:val="24"/>
          <w:szCs w:val="24"/>
          <w:lang w:val="en-US"/>
        </w:rPr>
        <w:t xml:space="preserve">The cumulative </w:t>
      </w:r>
      <w:r w:rsidR="00201A92" w:rsidRPr="0086525B">
        <w:rPr>
          <w:rFonts w:ascii="Book Antiqua" w:hAnsi="Book Antiqua"/>
          <w:sz w:val="24"/>
          <w:szCs w:val="24"/>
          <w:lang w:val="en-US"/>
        </w:rPr>
        <w:t>survival rate at the end of the follow-up was 87.5% in the HEHE patients</w:t>
      </w:r>
      <w:r w:rsidRPr="0086525B">
        <w:rPr>
          <w:rFonts w:ascii="Book Antiqua" w:hAnsi="Book Antiqua"/>
          <w:sz w:val="24"/>
          <w:szCs w:val="24"/>
          <w:lang w:val="en-US"/>
        </w:rPr>
        <w:t>,</w:t>
      </w:r>
      <w:r w:rsidR="00201A92" w:rsidRPr="0086525B">
        <w:rPr>
          <w:rFonts w:ascii="Book Antiqua" w:hAnsi="Book Antiqua"/>
          <w:sz w:val="24"/>
          <w:szCs w:val="24"/>
          <w:lang w:val="en-US"/>
        </w:rPr>
        <w:t xml:space="preserve"> compared to 54.3% in the HCC group and 76.3% in the other OLTx recipients group (</w:t>
      </w:r>
      <w:r w:rsidRPr="0086525B">
        <w:rPr>
          <w:rFonts w:ascii="Book Antiqua" w:hAnsi="Book Antiqua"/>
          <w:sz w:val="24"/>
          <w:szCs w:val="24"/>
          <w:lang w:val="en-US"/>
        </w:rPr>
        <w:t>c</w:t>
      </w:r>
      <w:r w:rsidR="00201A92" w:rsidRPr="0086525B">
        <w:rPr>
          <w:rFonts w:ascii="Book Antiqua" w:hAnsi="Book Antiqua"/>
          <w:sz w:val="24"/>
          <w:szCs w:val="24"/>
          <w:lang w:val="en-US"/>
        </w:rPr>
        <w:t>hi</w:t>
      </w:r>
      <w:r w:rsidRPr="0086525B">
        <w:rPr>
          <w:rFonts w:ascii="Book Antiqua" w:hAnsi="Book Antiqua"/>
          <w:sz w:val="24"/>
          <w:szCs w:val="24"/>
          <w:lang w:val="en-US"/>
        </w:rPr>
        <w:t>-</w:t>
      </w:r>
      <w:r w:rsidR="00201A92" w:rsidRPr="0086525B">
        <w:rPr>
          <w:rFonts w:ascii="Book Antiqua" w:hAnsi="Book Antiqua"/>
          <w:sz w:val="24"/>
          <w:szCs w:val="24"/>
          <w:lang w:val="en-US"/>
        </w:rPr>
        <w:t>square test</w:t>
      </w:r>
      <w:r w:rsidR="00A421B3" w:rsidRPr="0086525B">
        <w:rPr>
          <w:rFonts w:ascii="Book Antiqua" w:hAnsi="Book Antiqua"/>
          <w:sz w:val="24"/>
          <w:szCs w:val="24"/>
          <w:lang w:val="en-US"/>
        </w:rPr>
        <w:t xml:space="preserve"> = </w:t>
      </w:r>
      <w:r w:rsidR="00201A92" w:rsidRPr="0086525B">
        <w:rPr>
          <w:rFonts w:ascii="Book Antiqua" w:hAnsi="Book Antiqua"/>
          <w:sz w:val="24"/>
          <w:szCs w:val="24"/>
          <w:lang w:val="en-US"/>
        </w:rPr>
        <w:t>1.784; d</w:t>
      </w:r>
      <w:r w:rsidR="00201A92" w:rsidRPr="00ED124C">
        <w:rPr>
          <w:rFonts w:ascii="Book Antiqua" w:hAnsi="Book Antiqua"/>
          <w:i/>
          <w:sz w:val="24"/>
          <w:szCs w:val="24"/>
          <w:lang w:val="en-US"/>
        </w:rPr>
        <w:t>f</w:t>
      </w:r>
      <w:r w:rsidR="000B1EBD" w:rsidRPr="00ED124C">
        <w:rPr>
          <w:rFonts w:ascii="Book Antiqua" w:hAnsi="Book Antiqua"/>
          <w:i/>
          <w:sz w:val="24"/>
          <w:szCs w:val="24"/>
          <w:lang w:val="en-US"/>
        </w:rPr>
        <w:t xml:space="preserve"> </w:t>
      </w:r>
      <w:r w:rsidR="00A421B3" w:rsidRPr="0086525B">
        <w:rPr>
          <w:rFonts w:ascii="Book Antiqua" w:hAnsi="Book Antiqua"/>
          <w:sz w:val="24"/>
          <w:szCs w:val="24"/>
          <w:lang w:val="en-US"/>
        </w:rPr>
        <w:t>=</w:t>
      </w:r>
      <w:r w:rsidR="000B1EBD" w:rsidRPr="0086525B">
        <w:rPr>
          <w:rFonts w:ascii="Book Antiqua" w:hAnsi="Book Antiqua"/>
          <w:sz w:val="24"/>
          <w:szCs w:val="24"/>
          <w:lang w:val="en-US"/>
        </w:rPr>
        <w:t xml:space="preserve"> </w:t>
      </w:r>
      <w:r w:rsidR="00201A92" w:rsidRPr="0086525B">
        <w:rPr>
          <w:rFonts w:ascii="Book Antiqua" w:hAnsi="Book Antiqua"/>
          <w:sz w:val="24"/>
          <w:szCs w:val="24"/>
          <w:lang w:val="en-US"/>
        </w:rPr>
        <w:t xml:space="preserve">2; </w:t>
      </w:r>
      <w:r w:rsidR="00D220BB" w:rsidRPr="0086525B">
        <w:rPr>
          <w:rFonts w:ascii="Book Antiqua" w:hAnsi="Book Antiqua"/>
          <w:i/>
          <w:sz w:val="24"/>
          <w:szCs w:val="24"/>
          <w:lang w:val="en-US"/>
        </w:rPr>
        <w:t>P</w:t>
      </w:r>
      <w:r w:rsidR="000B1EBD" w:rsidRPr="0086525B">
        <w:rPr>
          <w:rFonts w:ascii="Book Antiqua" w:hAnsi="Book Antiqua"/>
          <w:sz w:val="24"/>
          <w:szCs w:val="24"/>
          <w:lang w:val="en-US"/>
        </w:rPr>
        <w:t xml:space="preserve"> </w:t>
      </w:r>
      <w:r w:rsidR="00A421B3" w:rsidRPr="0086525B">
        <w:rPr>
          <w:rFonts w:ascii="Book Antiqua" w:hAnsi="Book Antiqua"/>
          <w:sz w:val="24"/>
          <w:szCs w:val="24"/>
          <w:lang w:val="en-US"/>
        </w:rPr>
        <w:t>=</w:t>
      </w:r>
      <w:r w:rsidR="000B1EBD" w:rsidRPr="0086525B">
        <w:rPr>
          <w:rFonts w:ascii="Book Antiqua" w:hAnsi="Book Antiqua"/>
          <w:sz w:val="24"/>
          <w:szCs w:val="24"/>
          <w:lang w:val="en-US"/>
        </w:rPr>
        <w:t xml:space="preserve"> </w:t>
      </w:r>
      <w:r w:rsidR="00201A92" w:rsidRPr="0086525B">
        <w:rPr>
          <w:rFonts w:ascii="Book Antiqua" w:hAnsi="Book Antiqua"/>
          <w:sz w:val="24"/>
          <w:szCs w:val="24"/>
          <w:lang w:val="en-US"/>
        </w:rPr>
        <w:t>0.409) (Fig</w:t>
      </w:r>
      <w:r w:rsidR="00A421B3" w:rsidRPr="0086525B">
        <w:rPr>
          <w:rFonts w:ascii="Book Antiqua" w:hAnsi="Book Antiqua"/>
          <w:sz w:val="24"/>
          <w:szCs w:val="24"/>
          <w:lang w:val="en-US" w:eastAsia="zh-CN"/>
        </w:rPr>
        <w:t>ure</w:t>
      </w:r>
      <w:r w:rsidR="00201A92" w:rsidRPr="0086525B">
        <w:rPr>
          <w:rFonts w:ascii="Book Antiqua" w:hAnsi="Book Antiqua"/>
          <w:sz w:val="24"/>
          <w:szCs w:val="24"/>
          <w:lang w:val="en-US"/>
        </w:rPr>
        <w:t xml:space="preserve"> 2).</w:t>
      </w:r>
    </w:p>
    <w:p w:rsidR="00A421B3" w:rsidRPr="0086525B" w:rsidRDefault="00A421B3" w:rsidP="00A421B3">
      <w:pPr>
        <w:snapToGrid w:val="0"/>
        <w:spacing w:after="0" w:line="360" w:lineRule="auto"/>
        <w:ind w:firstLineChars="50" w:firstLine="120"/>
        <w:jc w:val="both"/>
        <w:rPr>
          <w:rFonts w:ascii="Book Antiqua" w:hAnsi="Book Antiqua"/>
          <w:sz w:val="24"/>
          <w:szCs w:val="24"/>
          <w:lang w:val="en-US" w:eastAsia="zh-CN"/>
        </w:rPr>
      </w:pPr>
    </w:p>
    <w:p w:rsidR="00201A92" w:rsidRPr="0086525B" w:rsidRDefault="00A421B3" w:rsidP="0016537A">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 xml:space="preserve">DISCUSSION </w:t>
      </w:r>
    </w:p>
    <w:p w:rsidR="00201A92" w:rsidRPr="0086525B" w:rsidRDefault="00201A92" w:rsidP="00A421B3">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Epithelioid hemangioendothelioma is a very rare tumor. The </w:t>
      </w:r>
      <w:r w:rsidR="007D580F" w:rsidRPr="0086525B">
        <w:rPr>
          <w:rFonts w:ascii="Book Antiqua" w:hAnsi="Book Antiqua"/>
          <w:sz w:val="24"/>
          <w:szCs w:val="24"/>
          <w:lang w:val="en-US"/>
        </w:rPr>
        <w:t xml:space="preserve">low </w:t>
      </w:r>
      <w:r w:rsidRPr="0086525B">
        <w:rPr>
          <w:rFonts w:ascii="Book Antiqua" w:hAnsi="Book Antiqua"/>
          <w:sz w:val="24"/>
          <w:szCs w:val="24"/>
          <w:lang w:val="en-US"/>
        </w:rPr>
        <w:t>incidence precludes any randomized clinical study for the assessment of the best means of treatment. The available publications usually present retrospective assessment</w:t>
      </w:r>
      <w:r w:rsidRPr="0086525B">
        <w:rPr>
          <w:rFonts w:ascii="Book Antiqua" w:hAnsi="Book Antiqua"/>
          <w:color w:val="0070C0"/>
          <w:sz w:val="24"/>
          <w:szCs w:val="24"/>
          <w:lang w:val="en-US"/>
        </w:rPr>
        <w:t xml:space="preserve"> </w:t>
      </w:r>
      <w:r w:rsidRPr="0086525B">
        <w:rPr>
          <w:rFonts w:ascii="Book Antiqua" w:hAnsi="Book Antiqua"/>
          <w:sz w:val="24"/>
          <w:szCs w:val="24"/>
          <w:lang w:val="en-US"/>
        </w:rPr>
        <w:t>of a single</w:t>
      </w:r>
      <w:r w:rsidR="0089404B" w:rsidRPr="0086525B">
        <w:rPr>
          <w:rFonts w:ascii="Book Antiqua" w:hAnsi="Book Antiqua"/>
          <w:sz w:val="24"/>
          <w:szCs w:val="24"/>
          <w:lang w:val="en-US"/>
        </w:rPr>
        <w:t>-</w:t>
      </w:r>
      <w:r w:rsidRPr="0086525B">
        <w:rPr>
          <w:rFonts w:ascii="Book Antiqua" w:hAnsi="Book Antiqua"/>
          <w:sz w:val="24"/>
          <w:szCs w:val="24"/>
          <w:lang w:val="en-US"/>
        </w:rPr>
        <w:t>center experience and most of the papers are single case reports. The prognosis depends on the organ involved and in hepatic localization the overall outcome is bad. The disease follows an unpredictable course</w:t>
      </w:r>
      <w:r w:rsidR="0089404B" w:rsidRPr="0086525B">
        <w:rPr>
          <w:rFonts w:ascii="Book Antiqua" w:hAnsi="Book Antiqua"/>
          <w:sz w:val="24"/>
          <w:szCs w:val="24"/>
          <w:lang w:val="en-US"/>
        </w:rPr>
        <w:t>,</w:t>
      </w:r>
      <w:r w:rsidRPr="0086525B">
        <w:rPr>
          <w:rFonts w:ascii="Book Antiqua" w:hAnsi="Book Antiqua"/>
          <w:sz w:val="24"/>
          <w:szCs w:val="24"/>
          <w:lang w:val="en-US"/>
        </w:rPr>
        <w:t xml:space="preserve"> which is another confounding factor in the development of a treatment strategy. The disease progression may vary widely from mild with long</w:t>
      </w:r>
      <w:r w:rsidR="0089404B" w:rsidRPr="0086525B">
        <w:rPr>
          <w:rFonts w:ascii="Book Antiqua" w:hAnsi="Book Antiqua"/>
          <w:sz w:val="24"/>
          <w:szCs w:val="24"/>
          <w:lang w:val="en-US"/>
        </w:rPr>
        <w:t>-</w:t>
      </w:r>
      <w:r w:rsidRPr="0086525B">
        <w:rPr>
          <w:rFonts w:ascii="Book Antiqua" w:hAnsi="Book Antiqua"/>
          <w:sz w:val="24"/>
          <w:szCs w:val="24"/>
          <w:lang w:val="en-US"/>
        </w:rPr>
        <w:t>term survival</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13,14]</w:t>
      </w:r>
      <w:r w:rsidRPr="0086525B">
        <w:rPr>
          <w:rFonts w:ascii="Book Antiqua" w:hAnsi="Book Antiqua"/>
          <w:sz w:val="24"/>
          <w:szCs w:val="24"/>
          <w:lang w:val="en-US"/>
        </w:rPr>
        <w:t xml:space="preserve"> to severe with rapid deterioration</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15,16]</w:t>
      </w:r>
      <w:r w:rsidRPr="0086525B">
        <w:rPr>
          <w:rFonts w:ascii="Book Antiqua" w:hAnsi="Book Antiqua"/>
          <w:sz w:val="24"/>
          <w:szCs w:val="24"/>
          <w:lang w:val="en-US"/>
        </w:rPr>
        <w:t xml:space="preserve">. </w:t>
      </w:r>
      <w:r w:rsidR="0089404B" w:rsidRPr="0086525B">
        <w:rPr>
          <w:rFonts w:ascii="Book Antiqua" w:hAnsi="Book Antiqua"/>
          <w:sz w:val="24"/>
          <w:szCs w:val="24"/>
          <w:lang w:val="en-US"/>
        </w:rPr>
        <w:t>C</w:t>
      </w:r>
      <w:r w:rsidRPr="0086525B">
        <w:rPr>
          <w:rFonts w:ascii="Book Antiqua" w:hAnsi="Book Antiqua"/>
          <w:sz w:val="24"/>
          <w:szCs w:val="24"/>
          <w:lang w:val="en-US"/>
        </w:rPr>
        <w:t xml:space="preserve">ases of spontaneous complete remission of HEHE </w:t>
      </w:r>
      <w:r w:rsidR="0089404B" w:rsidRPr="0086525B">
        <w:rPr>
          <w:rFonts w:ascii="Book Antiqua" w:hAnsi="Book Antiqua"/>
          <w:sz w:val="24"/>
          <w:szCs w:val="24"/>
          <w:lang w:val="en-US"/>
        </w:rPr>
        <w:t xml:space="preserve">have </w:t>
      </w:r>
      <w:r w:rsidRPr="0086525B">
        <w:rPr>
          <w:rFonts w:ascii="Book Antiqua" w:hAnsi="Book Antiqua"/>
          <w:sz w:val="24"/>
          <w:szCs w:val="24"/>
          <w:lang w:val="en-US"/>
        </w:rPr>
        <w:t xml:space="preserve">also </w:t>
      </w:r>
      <w:r w:rsidR="0089404B" w:rsidRPr="0086525B">
        <w:rPr>
          <w:rFonts w:ascii="Book Antiqua" w:hAnsi="Book Antiqua"/>
          <w:sz w:val="24"/>
          <w:szCs w:val="24"/>
          <w:lang w:val="en-US"/>
        </w:rPr>
        <w:t xml:space="preserve">been </w:t>
      </w:r>
      <w:r w:rsidRPr="0086525B">
        <w:rPr>
          <w:rFonts w:ascii="Book Antiqua" w:hAnsi="Book Antiqua"/>
          <w:sz w:val="24"/>
          <w:szCs w:val="24"/>
          <w:lang w:val="en-US"/>
        </w:rPr>
        <w:t>published</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17]</w:t>
      </w:r>
      <w:r w:rsidRPr="0086525B">
        <w:rPr>
          <w:rFonts w:ascii="Book Antiqua" w:hAnsi="Book Antiqua"/>
          <w:sz w:val="24"/>
          <w:szCs w:val="24"/>
          <w:lang w:val="en-US"/>
        </w:rPr>
        <w:t>. There are no reliable predictive factors allowing for the assessment of prognosis. Well known tumor</w:t>
      </w:r>
      <w:r w:rsidR="0089404B" w:rsidRPr="0086525B">
        <w:rPr>
          <w:rFonts w:ascii="Book Antiqua" w:hAnsi="Book Antiqua"/>
          <w:sz w:val="24"/>
          <w:szCs w:val="24"/>
          <w:lang w:val="en-US"/>
        </w:rPr>
        <w:t>-</w:t>
      </w:r>
      <w:r w:rsidRPr="0086525B">
        <w:rPr>
          <w:rFonts w:ascii="Book Antiqua" w:hAnsi="Book Antiqua"/>
          <w:sz w:val="24"/>
          <w:szCs w:val="24"/>
          <w:lang w:val="en-US"/>
        </w:rPr>
        <w:t>related factors such as mitotic index</w:t>
      </w:r>
      <w:r w:rsidR="0089404B" w:rsidRPr="0086525B">
        <w:rPr>
          <w:rFonts w:ascii="Book Antiqua" w:hAnsi="Book Antiqua"/>
          <w:sz w:val="24"/>
          <w:szCs w:val="24"/>
          <w:lang w:val="en-US"/>
        </w:rPr>
        <w:t>,</w:t>
      </w:r>
      <w:r w:rsidRPr="0086525B">
        <w:rPr>
          <w:rFonts w:ascii="Book Antiqua" w:hAnsi="Book Antiqua"/>
          <w:sz w:val="24"/>
          <w:szCs w:val="24"/>
          <w:lang w:val="en-US"/>
        </w:rPr>
        <w:t xml:space="preserve"> allowing for prediction of malignant potential</w:t>
      </w:r>
      <w:r w:rsidR="0089404B" w:rsidRPr="0086525B">
        <w:rPr>
          <w:rFonts w:ascii="Book Antiqua" w:hAnsi="Book Antiqua"/>
          <w:sz w:val="24"/>
          <w:szCs w:val="24"/>
          <w:lang w:val="en-US"/>
        </w:rPr>
        <w:t>,</w:t>
      </w:r>
      <w:r w:rsidRPr="0086525B">
        <w:rPr>
          <w:rFonts w:ascii="Book Antiqua" w:hAnsi="Book Antiqua"/>
          <w:sz w:val="24"/>
          <w:szCs w:val="24"/>
          <w:lang w:val="en-US"/>
        </w:rPr>
        <w:t xml:space="preserve"> did not show any predictive value in case</w:t>
      </w:r>
      <w:r w:rsidR="0089404B" w:rsidRPr="0086525B">
        <w:rPr>
          <w:rFonts w:ascii="Book Antiqua" w:hAnsi="Book Antiqua"/>
          <w:sz w:val="24"/>
          <w:szCs w:val="24"/>
          <w:lang w:val="en-US"/>
        </w:rPr>
        <w:t>s</w:t>
      </w:r>
      <w:r w:rsidRPr="0086525B">
        <w:rPr>
          <w:rFonts w:ascii="Book Antiqua" w:hAnsi="Book Antiqua"/>
          <w:sz w:val="24"/>
          <w:szCs w:val="24"/>
          <w:lang w:val="en-US"/>
        </w:rPr>
        <w:t xml:space="preserve"> of HEHE and are considered of low value in clinical practice.</w:t>
      </w:r>
    </w:p>
    <w:p w:rsidR="00201A92" w:rsidRPr="0086525B" w:rsidRDefault="00201A92" w:rsidP="00A421B3">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In most of the cases the disease is asymptomatic or the symptoms are only mild. </w:t>
      </w:r>
      <w:r w:rsidR="0089404B" w:rsidRPr="0086525B">
        <w:rPr>
          <w:rFonts w:ascii="Book Antiqua" w:hAnsi="Book Antiqua"/>
          <w:sz w:val="24"/>
          <w:szCs w:val="24"/>
          <w:lang w:val="en-US"/>
        </w:rPr>
        <w:t xml:space="preserve">The most </w:t>
      </w:r>
      <w:r w:rsidRPr="0086525B">
        <w:rPr>
          <w:rFonts w:ascii="Book Antiqua" w:hAnsi="Book Antiqua"/>
          <w:sz w:val="24"/>
          <w:szCs w:val="24"/>
          <w:lang w:val="en-US"/>
        </w:rPr>
        <w:t>commonly reported symptoms include abdominal pain or right subcostal discomfort related to hepatomegaly. Generalized cachexia or jaundice is less commonly present</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18]</w:t>
      </w:r>
      <w:r w:rsidRPr="0086525B">
        <w:rPr>
          <w:rFonts w:ascii="Book Antiqua" w:hAnsi="Book Antiqua"/>
          <w:sz w:val="24"/>
          <w:szCs w:val="24"/>
          <w:lang w:val="en-US"/>
        </w:rPr>
        <w:t>. Similar symptoms were also observed in the study patients. Most of the patients presented with normal blood tests. There were increased ALP and GGTP levels present in some cases but the levels of tumor markers such as CEA, CA19-9</w:t>
      </w:r>
      <w:r w:rsidR="0089404B" w:rsidRPr="0086525B">
        <w:rPr>
          <w:rFonts w:ascii="Book Antiqua" w:hAnsi="Book Antiqua"/>
          <w:sz w:val="24"/>
          <w:szCs w:val="24"/>
          <w:lang w:val="en-US"/>
        </w:rPr>
        <w:t>,</w:t>
      </w:r>
      <w:r w:rsidRPr="0086525B">
        <w:rPr>
          <w:rFonts w:ascii="Book Antiqua" w:hAnsi="Book Antiqua"/>
          <w:sz w:val="24"/>
          <w:szCs w:val="24"/>
          <w:lang w:val="en-US"/>
        </w:rPr>
        <w:t xml:space="preserve"> and AFP were normal. </w:t>
      </w:r>
      <w:r w:rsidR="0089404B" w:rsidRPr="0086525B">
        <w:rPr>
          <w:rFonts w:ascii="Book Antiqua" w:hAnsi="Book Antiqua"/>
          <w:sz w:val="24"/>
          <w:szCs w:val="24"/>
          <w:lang w:val="en-US"/>
        </w:rPr>
        <w:t xml:space="preserve">These </w:t>
      </w:r>
      <w:r w:rsidRPr="0086525B">
        <w:rPr>
          <w:rFonts w:ascii="Book Antiqua" w:hAnsi="Book Antiqua"/>
          <w:sz w:val="24"/>
          <w:szCs w:val="24"/>
          <w:lang w:val="en-US"/>
        </w:rPr>
        <w:t>results are typical for HEHE</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19]</w:t>
      </w:r>
      <w:r w:rsidRPr="0086525B">
        <w:rPr>
          <w:rFonts w:ascii="Book Antiqua" w:hAnsi="Book Antiqua"/>
          <w:sz w:val="24"/>
          <w:szCs w:val="24"/>
          <w:lang w:val="en-US"/>
        </w:rPr>
        <w:t>.</w:t>
      </w:r>
    </w:p>
    <w:p w:rsidR="00201A92" w:rsidRPr="0086525B" w:rsidRDefault="00201A92" w:rsidP="00A421B3">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lastRenderedPageBreak/>
        <w:t>All the studied HEHE tumors had typical pathology and immunohistochemical pattern with positive factor VIII staining and positive endothelial markers CD31 (platelet endothelial cell adhesion molecular 1) and CD34 (human hematopoietic progenitor cell antigen)</w:t>
      </w:r>
      <w:r w:rsidR="003B74C7" w:rsidRPr="0086525B">
        <w:rPr>
          <w:rFonts w:ascii="Book Antiqua" w:hAnsi="Book Antiqua"/>
          <w:sz w:val="24"/>
          <w:szCs w:val="24"/>
          <w:vertAlign w:val="superscript"/>
          <w:lang w:val="en-US"/>
        </w:rPr>
        <w:t>[20,21]</w:t>
      </w:r>
      <w:r w:rsidRPr="0086525B">
        <w:rPr>
          <w:rFonts w:ascii="Book Antiqua" w:hAnsi="Book Antiqua"/>
          <w:sz w:val="24"/>
          <w:szCs w:val="24"/>
          <w:lang w:val="en-US"/>
        </w:rPr>
        <w:t>.</w:t>
      </w:r>
    </w:p>
    <w:p w:rsidR="00201A92" w:rsidRPr="0086525B" w:rsidRDefault="00201A92" w:rsidP="00A421B3">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In 2006</w:t>
      </w:r>
      <w:r w:rsidR="0089404B" w:rsidRPr="0086525B">
        <w:rPr>
          <w:rFonts w:ascii="Book Antiqua" w:hAnsi="Book Antiqua"/>
          <w:sz w:val="24"/>
          <w:szCs w:val="24"/>
          <w:lang w:val="en-US"/>
        </w:rPr>
        <w:t>,</w:t>
      </w:r>
      <w:r w:rsidRPr="0086525B">
        <w:rPr>
          <w:rFonts w:ascii="Book Antiqua" w:hAnsi="Book Antiqua"/>
          <w:sz w:val="24"/>
          <w:szCs w:val="24"/>
          <w:lang w:val="en-US"/>
        </w:rPr>
        <w:t xml:space="preserve"> Mehrabi </w:t>
      </w:r>
      <w:r w:rsidR="00A421B3" w:rsidRPr="0086525B">
        <w:rPr>
          <w:rFonts w:ascii="Book Antiqua" w:hAnsi="Book Antiqua"/>
          <w:i/>
          <w:sz w:val="24"/>
          <w:szCs w:val="24"/>
          <w:lang w:val="en-US"/>
        </w:rPr>
        <w:t>et al</w:t>
      </w:r>
      <w:r w:rsidR="00A421B3" w:rsidRPr="0086525B">
        <w:rPr>
          <w:rFonts w:ascii="Book Antiqua" w:hAnsi="Book Antiqua"/>
          <w:sz w:val="24"/>
          <w:szCs w:val="24"/>
          <w:vertAlign w:val="superscript"/>
          <w:lang w:val="en-US"/>
        </w:rPr>
        <w:t>[22]</w:t>
      </w:r>
      <w:r w:rsidR="0089404B" w:rsidRPr="0086525B">
        <w:rPr>
          <w:rFonts w:ascii="Book Antiqua" w:hAnsi="Book Antiqua"/>
          <w:sz w:val="24"/>
          <w:szCs w:val="24"/>
          <w:lang w:val="en-US"/>
        </w:rPr>
        <w:t xml:space="preserve"> p</w:t>
      </w:r>
      <w:r w:rsidRPr="0086525B">
        <w:rPr>
          <w:rFonts w:ascii="Book Antiqua" w:hAnsi="Book Antiqua"/>
          <w:sz w:val="24"/>
          <w:szCs w:val="24"/>
          <w:lang w:val="en-US"/>
        </w:rPr>
        <w:t>ublished a meta</w:t>
      </w:r>
      <w:r w:rsidR="0089404B" w:rsidRPr="0086525B">
        <w:rPr>
          <w:rFonts w:ascii="Book Antiqua" w:hAnsi="Book Antiqua"/>
          <w:sz w:val="24"/>
          <w:szCs w:val="24"/>
          <w:lang w:val="en-US"/>
        </w:rPr>
        <w:t>-</w:t>
      </w:r>
      <w:r w:rsidRPr="0086525B">
        <w:rPr>
          <w:rFonts w:ascii="Book Antiqua" w:hAnsi="Book Antiqua"/>
          <w:sz w:val="24"/>
          <w:szCs w:val="24"/>
          <w:lang w:val="en-US"/>
        </w:rPr>
        <w:t>analysis of studies published between 1984 and 2005 that included 402 cases of HEHE. Treatment details and outcomes were available for 286 cases. It is the largest metaanalysis of HEHE studies. At the time of diagnosis</w:t>
      </w:r>
      <w:r w:rsidR="0089404B" w:rsidRPr="0086525B">
        <w:rPr>
          <w:rFonts w:ascii="Book Antiqua" w:hAnsi="Book Antiqua"/>
          <w:sz w:val="24"/>
          <w:szCs w:val="24"/>
          <w:lang w:val="en-US"/>
        </w:rPr>
        <w:t>,</w:t>
      </w:r>
      <w:r w:rsidRPr="0086525B">
        <w:rPr>
          <w:rFonts w:ascii="Book Antiqua" w:hAnsi="Book Antiqua"/>
          <w:sz w:val="24"/>
          <w:szCs w:val="24"/>
          <w:lang w:val="en-US"/>
        </w:rPr>
        <w:t xml:space="preserve"> most patients presented with symptoms of the disease</w:t>
      </w:r>
      <w:r w:rsidR="0089404B" w:rsidRPr="0086525B">
        <w:rPr>
          <w:rFonts w:ascii="Book Antiqua" w:hAnsi="Book Antiqua"/>
          <w:sz w:val="24"/>
          <w:szCs w:val="24"/>
          <w:lang w:val="en-US"/>
        </w:rPr>
        <w:t>,</w:t>
      </w:r>
      <w:r w:rsidRPr="0086525B">
        <w:rPr>
          <w:rFonts w:ascii="Book Antiqua" w:hAnsi="Book Antiqua"/>
          <w:sz w:val="24"/>
          <w:szCs w:val="24"/>
          <w:lang w:val="en-US"/>
        </w:rPr>
        <w:t xml:space="preserve"> including</w:t>
      </w:r>
      <w:r w:rsidR="0089404B" w:rsidRPr="0086525B">
        <w:rPr>
          <w:rFonts w:ascii="Book Antiqua" w:hAnsi="Book Antiqua"/>
          <w:sz w:val="24"/>
          <w:szCs w:val="24"/>
          <w:lang w:val="en-US"/>
        </w:rPr>
        <w:t>,</w:t>
      </w:r>
      <w:r w:rsidRPr="0086525B">
        <w:rPr>
          <w:rFonts w:ascii="Book Antiqua" w:hAnsi="Book Antiqua"/>
          <w:sz w:val="24"/>
          <w:szCs w:val="24"/>
          <w:lang w:val="en-US"/>
        </w:rPr>
        <w:t xml:space="preserve"> most commonly</w:t>
      </w:r>
      <w:r w:rsidR="0089404B" w:rsidRPr="0086525B">
        <w:rPr>
          <w:rFonts w:ascii="Book Antiqua" w:hAnsi="Book Antiqua"/>
          <w:sz w:val="24"/>
          <w:szCs w:val="24"/>
          <w:lang w:val="en-US"/>
        </w:rPr>
        <w:t>,</w:t>
      </w:r>
      <w:r w:rsidRPr="0086525B">
        <w:rPr>
          <w:rFonts w:ascii="Book Antiqua" w:hAnsi="Book Antiqua"/>
          <w:sz w:val="24"/>
          <w:szCs w:val="24"/>
          <w:lang w:val="en-US"/>
        </w:rPr>
        <w:t xml:space="preserve"> right epigastric pain, hepatomegaly</w:t>
      </w:r>
      <w:r w:rsidR="0089404B" w:rsidRPr="0086525B">
        <w:rPr>
          <w:rFonts w:ascii="Book Antiqua" w:hAnsi="Book Antiqua"/>
          <w:sz w:val="24"/>
          <w:szCs w:val="24"/>
          <w:lang w:val="en-US"/>
        </w:rPr>
        <w:t>,</w:t>
      </w:r>
      <w:r w:rsidRPr="0086525B">
        <w:rPr>
          <w:rFonts w:ascii="Book Antiqua" w:hAnsi="Book Antiqua"/>
          <w:sz w:val="24"/>
          <w:szCs w:val="24"/>
          <w:lang w:val="en-US"/>
        </w:rPr>
        <w:t xml:space="preserve"> and weight loss. Most of the patients had a multifocal involvement of both lobes of the liver. Extrahepatic disease was present in 36.6% of the patients. The most commonly encountered extrahepatic localizations were the lungs (8</w:t>
      </w:r>
      <w:r w:rsidR="0089404B" w:rsidRPr="0086525B">
        <w:rPr>
          <w:rFonts w:ascii="Book Antiqua" w:hAnsi="Book Antiqua"/>
          <w:sz w:val="24"/>
          <w:szCs w:val="24"/>
          <w:lang w:val="en-US"/>
        </w:rPr>
        <w:t>.</w:t>
      </w:r>
      <w:r w:rsidRPr="0086525B">
        <w:rPr>
          <w:rFonts w:ascii="Book Antiqua" w:hAnsi="Book Antiqua"/>
          <w:sz w:val="24"/>
          <w:szCs w:val="24"/>
          <w:lang w:val="en-US"/>
        </w:rPr>
        <w:t>5%), lymph nodes (7.7%), peritoneum (6.1%), bones (4.9%), spleen (3.2%)</w:t>
      </w:r>
      <w:r w:rsidR="0089404B" w:rsidRPr="0086525B">
        <w:rPr>
          <w:rFonts w:ascii="Book Antiqua" w:hAnsi="Book Antiqua"/>
          <w:sz w:val="24"/>
          <w:szCs w:val="24"/>
          <w:lang w:val="en-US"/>
        </w:rPr>
        <w:t>,</w:t>
      </w:r>
      <w:r w:rsidRPr="0086525B">
        <w:rPr>
          <w:rFonts w:ascii="Book Antiqua" w:hAnsi="Book Antiqua"/>
          <w:sz w:val="24"/>
          <w:szCs w:val="24"/>
          <w:lang w:val="en-US"/>
        </w:rPr>
        <w:t xml:space="preserve"> and diaphragm (1.6%). The most common method of treatment according to the meta</w:t>
      </w:r>
      <w:r w:rsidR="0089404B" w:rsidRPr="0086525B">
        <w:rPr>
          <w:rFonts w:ascii="Book Antiqua" w:hAnsi="Book Antiqua"/>
          <w:sz w:val="24"/>
          <w:szCs w:val="24"/>
          <w:lang w:val="en-US"/>
        </w:rPr>
        <w:t>-</w:t>
      </w:r>
      <w:r w:rsidRPr="0086525B">
        <w:rPr>
          <w:rFonts w:ascii="Book Antiqua" w:hAnsi="Book Antiqua"/>
          <w:sz w:val="24"/>
          <w:szCs w:val="24"/>
          <w:lang w:val="en-US"/>
        </w:rPr>
        <w:t xml:space="preserve">analysis was OLTx (44.8% of cases). Limited extrahepatic focal lesions were not considered an absolute contraindication to OLTx. The outcomes of OLTx are shown in </w:t>
      </w:r>
      <w:r w:rsidR="0089404B" w:rsidRPr="0086525B">
        <w:rPr>
          <w:rFonts w:ascii="Book Antiqua" w:hAnsi="Book Antiqua"/>
          <w:sz w:val="24"/>
          <w:szCs w:val="24"/>
          <w:lang w:val="en-US"/>
        </w:rPr>
        <w:t xml:space="preserve">Table </w:t>
      </w:r>
      <w:r w:rsidRPr="0086525B">
        <w:rPr>
          <w:rFonts w:ascii="Book Antiqua" w:hAnsi="Book Antiqua"/>
          <w:sz w:val="24"/>
          <w:szCs w:val="24"/>
          <w:lang w:val="en-US"/>
        </w:rPr>
        <w:t>3. In the meta</w:t>
      </w:r>
      <w:r w:rsidR="0089404B" w:rsidRPr="0086525B">
        <w:rPr>
          <w:rFonts w:ascii="Book Antiqua" w:hAnsi="Book Antiqua"/>
          <w:sz w:val="24"/>
          <w:szCs w:val="24"/>
          <w:lang w:val="en-US"/>
        </w:rPr>
        <w:t>-</w:t>
      </w:r>
      <w:r w:rsidRPr="0086525B">
        <w:rPr>
          <w:rFonts w:ascii="Book Antiqua" w:hAnsi="Book Antiqua"/>
          <w:sz w:val="24"/>
          <w:szCs w:val="24"/>
          <w:lang w:val="en-US"/>
        </w:rPr>
        <w:t>analysis</w:t>
      </w:r>
      <w:r w:rsidR="0089404B" w:rsidRPr="0086525B">
        <w:rPr>
          <w:rFonts w:ascii="Book Antiqua" w:hAnsi="Book Antiqua"/>
          <w:sz w:val="24"/>
          <w:szCs w:val="24"/>
          <w:lang w:val="en-US"/>
        </w:rPr>
        <w:t>, 1-</w:t>
      </w:r>
      <w:r w:rsidRPr="0086525B">
        <w:rPr>
          <w:rFonts w:ascii="Book Antiqua" w:hAnsi="Book Antiqua"/>
          <w:sz w:val="24"/>
          <w:szCs w:val="24"/>
          <w:lang w:val="en-US"/>
        </w:rPr>
        <w:t>year disease-free survival was 81.3% (</w:t>
      </w:r>
      <w:r w:rsidR="0089404B" w:rsidRPr="0086525B">
        <w:rPr>
          <w:rFonts w:ascii="Book Antiqua" w:hAnsi="Book Antiqua"/>
          <w:sz w:val="24"/>
          <w:szCs w:val="24"/>
          <w:lang w:val="en-US"/>
        </w:rPr>
        <w:t xml:space="preserve">Table </w:t>
      </w:r>
      <w:r w:rsidRPr="0086525B">
        <w:rPr>
          <w:rFonts w:ascii="Book Antiqua" w:hAnsi="Book Antiqua"/>
          <w:sz w:val="24"/>
          <w:szCs w:val="24"/>
          <w:lang w:val="en-US"/>
        </w:rPr>
        <w:t xml:space="preserve">4). The disease recurrence rate was 27% regardless of the treatment method used. Most of the HEHE liver recurrence was observed more than 2 years after the transplantation. There was no recurrence in the study group. In the meta-analysis of Mehrabi </w:t>
      </w:r>
      <w:r w:rsidR="00A421B3" w:rsidRPr="0086525B">
        <w:rPr>
          <w:rFonts w:ascii="Book Antiqua" w:hAnsi="Book Antiqua"/>
          <w:i/>
          <w:sz w:val="24"/>
          <w:szCs w:val="24"/>
          <w:lang w:val="en-US"/>
        </w:rPr>
        <w:t>et al</w:t>
      </w:r>
      <w:r w:rsidR="00A421B3" w:rsidRPr="0086525B">
        <w:rPr>
          <w:rFonts w:ascii="Book Antiqua" w:hAnsi="Book Antiqua"/>
          <w:sz w:val="24"/>
          <w:szCs w:val="24"/>
          <w:vertAlign w:val="superscript"/>
          <w:lang w:val="en-US"/>
        </w:rPr>
        <w:t>[22]</w:t>
      </w:r>
      <w:r w:rsidR="0089404B" w:rsidRPr="0086525B">
        <w:rPr>
          <w:rFonts w:ascii="Book Antiqua" w:hAnsi="Book Antiqua"/>
          <w:sz w:val="24"/>
          <w:szCs w:val="24"/>
          <w:lang w:val="en-US"/>
        </w:rPr>
        <w:t>,</w:t>
      </w:r>
      <w:r w:rsidRPr="0086525B">
        <w:rPr>
          <w:rFonts w:ascii="Book Antiqua" w:hAnsi="Book Antiqua"/>
          <w:sz w:val="24"/>
          <w:szCs w:val="24"/>
          <w:lang w:val="en-US"/>
        </w:rPr>
        <w:t xml:space="preserve"> 21% of patients received radiotherapy or systemic chemotherapy or TACE. There is no consensus on preferable treatment, no criteria for introducing specific medications into a treatment plan</w:t>
      </w:r>
      <w:r w:rsidR="0089404B" w:rsidRPr="0086525B">
        <w:rPr>
          <w:rFonts w:ascii="Book Antiqua" w:hAnsi="Book Antiqua"/>
          <w:sz w:val="24"/>
          <w:szCs w:val="24"/>
          <w:lang w:val="en-US"/>
        </w:rPr>
        <w:t>, and no</w:t>
      </w:r>
      <w:r w:rsidRPr="0086525B">
        <w:rPr>
          <w:rFonts w:ascii="Book Antiqua" w:hAnsi="Book Antiqua"/>
          <w:sz w:val="24"/>
          <w:szCs w:val="24"/>
          <w:lang w:val="en-US"/>
        </w:rPr>
        <w:t xml:space="preserve"> prospective studies evaluating their efficacy. In non-randomized observational studies</w:t>
      </w:r>
      <w:r w:rsidR="0089404B" w:rsidRPr="0086525B">
        <w:rPr>
          <w:rFonts w:ascii="Book Antiqua" w:hAnsi="Book Antiqua"/>
          <w:sz w:val="24"/>
          <w:szCs w:val="24"/>
          <w:lang w:val="en-US"/>
        </w:rPr>
        <w:t>,</w:t>
      </w:r>
      <w:r w:rsidRPr="0086525B">
        <w:rPr>
          <w:rFonts w:ascii="Book Antiqua" w:hAnsi="Book Antiqua"/>
          <w:sz w:val="24"/>
          <w:szCs w:val="24"/>
          <w:lang w:val="en-US"/>
        </w:rPr>
        <w:t xml:space="preserve"> several drugs such as </w:t>
      </w:r>
      <w:r w:rsidR="0089404B" w:rsidRPr="0086525B">
        <w:rPr>
          <w:rFonts w:ascii="Book Antiqua" w:hAnsi="Book Antiqua"/>
          <w:sz w:val="24"/>
          <w:szCs w:val="24"/>
          <w:lang w:val="en-US"/>
        </w:rPr>
        <w:t>thalidomide</w:t>
      </w:r>
      <w:r w:rsidRPr="0086525B">
        <w:rPr>
          <w:rFonts w:ascii="Book Antiqua" w:hAnsi="Book Antiqua"/>
          <w:sz w:val="24"/>
          <w:szCs w:val="24"/>
          <w:lang w:val="en-US"/>
        </w:rPr>
        <w:t>, doxorubicin, 5-fluorouracil</w:t>
      </w:r>
      <w:r w:rsidR="0089404B" w:rsidRPr="0086525B">
        <w:rPr>
          <w:rFonts w:ascii="Book Antiqua" w:hAnsi="Book Antiqua"/>
          <w:sz w:val="24"/>
          <w:szCs w:val="24"/>
          <w:lang w:val="en-US"/>
        </w:rPr>
        <w:t>,</w:t>
      </w:r>
      <w:r w:rsidRPr="0086525B">
        <w:rPr>
          <w:rFonts w:ascii="Book Antiqua" w:hAnsi="Book Antiqua"/>
          <w:sz w:val="24"/>
          <w:szCs w:val="24"/>
          <w:lang w:val="en-US"/>
        </w:rPr>
        <w:t xml:space="preserve"> and vincristine led to reduction of lesion size or improvement in general status. TACE seems to be an acceptable bridge treatment in patients awaiting liver transplantation</w:t>
      </w:r>
      <w:r w:rsidR="0089404B" w:rsidRPr="0086525B">
        <w:rPr>
          <w:rFonts w:ascii="Book Antiqua" w:hAnsi="Book Antiqua"/>
          <w:sz w:val="24"/>
          <w:szCs w:val="24"/>
          <w:lang w:val="en-US"/>
        </w:rPr>
        <w:t>,</w:t>
      </w:r>
      <w:r w:rsidRPr="0086525B">
        <w:rPr>
          <w:rFonts w:ascii="Book Antiqua" w:hAnsi="Book Antiqua"/>
          <w:sz w:val="24"/>
          <w:szCs w:val="24"/>
          <w:lang w:val="en-US"/>
        </w:rPr>
        <w:t xml:space="preserve"> similarly to patients with HCC. There are single reports </w:t>
      </w:r>
      <w:r w:rsidR="0089404B" w:rsidRPr="0086525B">
        <w:rPr>
          <w:rFonts w:ascii="Book Antiqua" w:hAnsi="Book Antiqua"/>
          <w:sz w:val="24"/>
          <w:szCs w:val="24"/>
          <w:lang w:val="en-US"/>
        </w:rPr>
        <w:t xml:space="preserve">of </w:t>
      </w:r>
      <w:r w:rsidRPr="0086525B">
        <w:rPr>
          <w:rFonts w:ascii="Book Antiqua" w:hAnsi="Book Antiqua"/>
          <w:sz w:val="24"/>
          <w:szCs w:val="24"/>
          <w:lang w:val="en-US"/>
        </w:rPr>
        <w:t xml:space="preserve">successful use of interferon alpha 2b in the treatment of extrahepatic disease. Limited experience with radiotherapy does not provide </w:t>
      </w:r>
      <w:r w:rsidRPr="0086525B">
        <w:rPr>
          <w:rFonts w:ascii="Book Antiqua" w:hAnsi="Book Antiqua"/>
          <w:sz w:val="24"/>
          <w:szCs w:val="24"/>
          <w:lang w:val="en-US"/>
        </w:rPr>
        <w:lastRenderedPageBreak/>
        <w:t>enough data to assess its clinical significance. Moreover</w:t>
      </w:r>
      <w:r w:rsidR="0089404B" w:rsidRPr="0086525B">
        <w:rPr>
          <w:rFonts w:ascii="Book Antiqua" w:hAnsi="Book Antiqua"/>
          <w:sz w:val="24"/>
          <w:szCs w:val="24"/>
          <w:lang w:val="en-US"/>
        </w:rPr>
        <w:t>,</w:t>
      </w:r>
      <w:r w:rsidRPr="0086525B">
        <w:rPr>
          <w:rFonts w:ascii="Book Antiqua" w:hAnsi="Book Antiqua"/>
          <w:sz w:val="24"/>
          <w:szCs w:val="24"/>
          <w:lang w:val="en-US"/>
        </w:rPr>
        <w:t xml:space="preserve"> in most of the radiotherapy cases</w:t>
      </w:r>
      <w:r w:rsidR="0089404B" w:rsidRPr="0086525B">
        <w:rPr>
          <w:rFonts w:ascii="Book Antiqua" w:hAnsi="Book Antiqua"/>
          <w:sz w:val="24"/>
          <w:szCs w:val="24"/>
          <w:lang w:val="en-US"/>
        </w:rPr>
        <w:t>,</w:t>
      </w:r>
      <w:r w:rsidRPr="0086525B">
        <w:rPr>
          <w:rFonts w:ascii="Book Antiqua" w:hAnsi="Book Antiqua"/>
          <w:sz w:val="24"/>
          <w:szCs w:val="24"/>
          <w:lang w:val="en-US"/>
        </w:rPr>
        <w:t xml:space="preserve"> this method was used in combination with chemotherapy. In patients receiving chemotherapy or radiotherapy</w:t>
      </w:r>
      <w:r w:rsidR="0089404B" w:rsidRPr="0086525B">
        <w:rPr>
          <w:rFonts w:ascii="Book Antiqua" w:hAnsi="Book Antiqua"/>
          <w:sz w:val="24"/>
          <w:szCs w:val="24"/>
          <w:lang w:val="en-US"/>
        </w:rPr>
        <w:t>,</w:t>
      </w:r>
      <w:r w:rsidRPr="0086525B">
        <w:rPr>
          <w:rFonts w:ascii="Book Antiqua" w:hAnsi="Book Antiqua"/>
          <w:sz w:val="24"/>
          <w:szCs w:val="24"/>
          <w:lang w:val="en-US"/>
        </w:rPr>
        <w:t xml:space="preserve"> </w:t>
      </w:r>
      <w:r w:rsidR="0089404B" w:rsidRPr="0086525B">
        <w:rPr>
          <w:rFonts w:ascii="Book Antiqua" w:hAnsi="Book Antiqua"/>
          <w:sz w:val="24"/>
          <w:szCs w:val="24"/>
          <w:lang w:val="en-US"/>
        </w:rPr>
        <w:t>5-</w:t>
      </w:r>
      <w:r w:rsidRPr="0086525B">
        <w:rPr>
          <w:rFonts w:ascii="Book Antiqua" w:hAnsi="Book Antiqua"/>
          <w:sz w:val="24"/>
          <w:szCs w:val="24"/>
          <w:lang w:val="en-US"/>
        </w:rPr>
        <w:t xml:space="preserve">year survival was 30%. Liver resection was performed in 9.4% of the patients in </w:t>
      </w:r>
      <w:r w:rsidR="0089404B" w:rsidRPr="0086525B">
        <w:rPr>
          <w:rFonts w:ascii="Book Antiqua" w:hAnsi="Book Antiqua"/>
          <w:sz w:val="24"/>
          <w:szCs w:val="24"/>
          <w:lang w:val="en-US"/>
        </w:rPr>
        <w:t xml:space="preserve">the </w:t>
      </w:r>
      <w:r w:rsidRPr="0086525B">
        <w:rPr>
          <w:rFonts w:ascii="Book Antiqua" w:hAnsi="Book Antiqua"/>
          <w:sz w:val="24"/>
          <w:szCs w:val="24"/>
          <w:lang w:val="en-US"/>
        </w:rPr>
        <w:t xml:space="preserve">meta-analysis of Mehrabi </w:t>
      </w:r>
      <w:r w:rsidR="00A421B3" w:rsidRPr="0086525B">
        <w:rPr>
          <w:rFonts w:ascii="Book Antiqua" w:hAnsi="Book Antiqua"/>
          <w:i/>
          <w:sz w:val="24"/>
          <w:szCs w:val="24"/>
          <w:lang w:val="en-US"/>
        </w:rPr>
        <w:t>et al</w:t>
      </w:r>
      <w:r w:rsidR="00A421B3" w:rsidRPr="0086525B">
        <w:rPr>
          <w:rFonts w:ascii="Book Antiqua" w:hAnsi="Book Antiqua"/>
          <w:sz w:val="24"/>
          <w:szCs w:val="24"/>
          <w:vertAlign w:val="superscript"/>
          <w:lang w:val="en-US"/>
        </w:rPr>
        <w:t>[23]</w:t>
      </w:r>
      <w:r w:rsidR="000B1EBD" w:rsidRPr="0086525B">
        <w:rPr>
          <w:rFonts w:ascii="Book Antiqua" w:hAnsi="Book Antiqua"/>
          <w:sz w:val="24"/>
          <w:szCs w:val="24"/>
          <w:lang w:val="en-US" w:eastAsia="zh-CN"/>
        </w:rPr>
        <w:t xml:space="preserve">. </w:t>
      </w:r>
      <w:r w:rsidRPr="0086525B">
        <w:rPr>
          <w:rFonts w:ascii="Book Antiqua" w:hAnsi="Book Antiqua"/>
          <w:sz w:val="24"/>
          <w:szCs w:val="24"/>
          <w:lang w:val="en-US"/>
        </w:rPr>
        <w:t>Radical liver resection might be a treatment of choice</w:t>
      </w:r>
      <w:r w:rsidR="0089404B" w:rsidRPr="0086525B">
        <w:rPr>
          <w:rFonts w:ascii="Book Antiqua" w:hAnsi="Book Antiqua"/>
          <w:sz w:val="24"/>
          <w:szCs w:val="24"/>
          <w:lang w:val="en-US"/>
        </w:rPr>
        <w:t>,</w:t>
      </w:r>
      <w:r w:rsidRPr="0086525B">
        <w:rPr>
          <w:rFonts w:ascii="Book Antiqua" w:hAnsi="Book Antiqua"/>
          <w:sz w:val="24"/>
          <w:szCs w:val="24"/>
          <w:lang w:val="en-US"/>
        </w:rPr>
        <w:t xml:space="preserve"> but usually the disease is locally advanced at the time of diagnosis and the patients do not qualify for surgery. Palliative resection is not recommended for this type of tumor due to a high risk of progression and recurrence after surgery. The prognosis after liver resection is independent of the presence of extrahepatic lesions</w:t>
      </w:r>
      <w:r w:rsidR="0089404B" w:rsidRPr="0086525B">
        <w:rPr>
          <w:rFonts w:ascii="Book Antiqua" w:hAnsi="Book Antiqua"/>
          <w:sz w:val="24"/>
          <w:szCs w:val="24"/>
          <w:lang w:val="en-US"/>
        </w:rPr>
        <w:t>;</w:t>
      </w:r>
      <w:r w:rsidRPr="0086525B">
        <w:rPr>
          <w:rFonts w:ascii="Book Antiqua" w:hAnsi="Book Antiqua"/>
          <w:sz w:val="24"/>
          <w:szCs w:val="24"/>
          <w:lang w:val="en-US"/>
        </w:rPr>
        <w:t xml:space="preserve"> therefore</w:t>
      </w:r>
      <w:r w:rsidR="0089404B" w:rsidRPr="0086525B">
        <w:rPr>
          <w:rFonts w:ascii="Book Antiqua" w:hAnsi="Book Antiqua"/>
          <w:sz w:val="24"/>
          <w:szCs w:val="24"/>
          <w:lang w:val="en-US"/>
        </w:rPr>
        <w:t>,</w:t>
      </w:r>
      <w:r w:rsidRPr="0086525B">
        <w:rPr>
          <w:rFonts w:ascii="Book Antiqua" w:hAnsi="Book Antiqua"/>
          <w:sz w:val="24"/>
          <w:szCs w:val="24"/>
          <w:lang w:val="en-US"/>
        </w:rPr>
        <w:t xml:space="preserve"> extrahepatic disease should not be considered a contraindication to surgical intervention. Mehrabi </w:t>
      </w:r>
      <w:r w:rsidR="00A421B3" w:rsidRPr="0086525B">
        <w:rPr>
          <w:rFonts w:ascii="Book Antiqua" w:hAnsi="Book Antiqua"/>
          <w:i/>
          <w:sz w:val="24"/>
          <w:szCs w:val="24"/>
          <w:lang w:val="en-US"/>
        </w:rPr>
        <w:t>et al</w:t>
      </w:r>
      <w:r w:rsidR="000B1EBD" w:rsidRPr="0086525B">
        <w:rPr>
          <w:rFonts w:ascii="Book Antiqua" w:hAnsi="Book Antiqua"/>
          <w:sz w:val="24"/>
          <w:szCs w:val="24"/>
          <w:vertAlign w:val="superscript"/>
          <w:lang w:val="en-US"/>
        </w:rPr>
        <w:t>[23]</w:t>
      </w:r>
      <w:r w:rsidRPr="0086525B">
        <w:rPr>
          <w:rFonts w:ascii="Book Antiqua" w:hAnsi="Book Antiqua"/>
          <w:sz w:val="24"/>
          <w:szCs w:val="24"/>
          <w:lang w:val="en-US"/>
        </w:rPr>
        <w:t xml:space="preserve"> reported that 25% of patients with HEHE did not receive any treatment at all. In most of these cases</w:t>
      </w:r>
      <w:r w:rsidR="00B633D8" w:rsidRPr="0086525B">
        <w:rPr>
          <w:rFonts w:ascii="Book Antiqua" w:hAnsi="Book Antiqua"/>
          <w:sz w:val="24"/>
          <w:szCs w:val="24"/>
          <w:lang w:val="en-US"/>
        </w:rPr>
        <w:t>,</w:t>
      </w:r>
      <w:r w:rsidRPr="0086525B">
        <w:rPr>
          <w:rFonts w:ascii="Book Antiqua" w:hAnsi="Book Antiqua"/>
          <w:sz w:val="24"/>
          <w:szCs w:val="24"/>
          <w:lang w:val="en-US"/>
        </w:rPr>
        <w:t xml:space="preserve"> 1-year survival </w:t>
      </w:r>
      <w:r w:rsidR="00B633D8" w:rsidRPr="0086525B">
        <w:rPr>
          <w:rFonts w:ascii="Book Antiqua" w:hAnsi="Book Antiqua"/>
          <w:sz w:val="24"/>
          <w:szCs w:val="24"/>
          <w:lang w:val="en-US"/>
        </w:rPr>
        <w:t>was</w:t>
      </w:r>
      <w:r w:rsidRPr="0086525B">
        <w:rPr>
          <w:rFonts w:ascii="Book Antiqua" w:hAnsi="Book Antiqua"/>
          <w:sz w:val="24"/>
          <w:szCs w:val="24"/>
          <w:lang w:val="en-US"/>
        </w:rPr>
        <w:t xml:space="preserve"> less than 50%. However</w:t>
      </w:r>
      <w:r w:rsidR="00B633D8" w:rsidRPr="0086525B">
        <w:rPr>
          <w:rFonts w:ascii="Book Antiqua" w:hAnsi="Book Antiqua"/>
          <w:sz w:val="24"/>
          <w:szCs w:val="24"/>
          <w:lang w:val="en-US"/>
        </w:rPr>
        <w:t>,</w:t>
      </w:r>
      <w:r w:rsidRPr="0086525B">
        <w:rPr>
          <w:rFonts w:ascii="Book Antiqua" w:hAnsi="Book Antiqua"/>
          <w:sz w:val="24"/>
          <w:szCs w:val="24"/>
          <w:lang w:val="en-US"/>
        </w:rPr>
        <w:t xml:space="preserve"> there are cases of spontaneous regression. </w:t>
      </w:r>
      <w:r w:rsidR="00B633D8" w:rsidRPr="0086525B">
        <w:rPr>
          <w:rFonts w:ascii="Book Antiqua" w:hAnsi="Book Antiqua"/>
          <w:sz w:val="24"/>
          <w:szCs w:val="24"/>
          <w:lang w:val="en-US"/>
        </w:rPr>
        <w:t>The 5-</w:t>
      </w:r>
      <w:r w:rsidRPr="0086525B">
        <w:rPr>
          <w:rFonts w:ascii="Book Antiqua" w:hAnsi="Book Antiqua"/>
          <w:sz w:val="24"/>
          <w:szCs w:val="24"/>
          <w:lang w:val="en-US"/>
        </w:rPr>
        <w:t xml:space="preserve">year survival rate was less than 5%. The longest reported survival exceeded 27 years </w:t>
      </w:r>
      <w:r w:rsidR="00B633D8" w:rsidRPr="0086525B">
        <w:rPr>
          <w:rFonts w:ascii="Book Antiqua" w:hAnsi="Book Antiqua"/>
          <w:sz w:val="24"/>
          <w:szCs w:val="24"/>
          <w:lang w:val="en-US"/>
        </w:rPr>
        <w:t xml:space="preserve">after </w:t>
      </w:r>
      <w:r w:rsidRPr="0086525B">
        <w:rPr>
          <w:rFonts w:ascii="Book Antiqua" w:hAnsi="Book Antiqua"/>
          <w:sz w:val="24"/>
          <w:szCs w:val="24"/>
          <w:lang w:val="en-US"/>
        </w:rPr>
        <w:t xml:space="preserve">the diagnosis of HEHE. Mehrabi </w:t>
      </w:r>
      <w:r w:rsidR="00A421B3" w:rsidRPr="0086525B">
        <w:rPr>
          <w:rFonts w:ascii="Book Antiqua" w:hAnsi="Book Antiqua"/>
          <w:i/>
          <w:sz w:val="24"/>
          <w:szCs w:val="24"/>
          <w:lang w:val="en-US"/>
        </w:rPr>
        <w:t>et al</w:t>
      </w:r>
      <w:r w:rsidR="000B1EBD" w:rsidRPr="0086525B">
        <w:rPr>
          <w:rFonts w:ascii="Book Antiqua" w:hAnsi="Book Antiqua"/>
          <w:sz w:val="24"/>
          <w:szCs w:val="24"/>
          <w:vertAlign w:val="superscript"/>
          <w:lang w:val="en-US"/>
        </w:rPr>
        <w:t>[23]</w:t>
      </w:r>
      <w:r w:rsidRPr="0086525B">
        <w:rPr>
          <w:rFonts w:ascii="Book Antiqua" w:hAnsi="Book Antiqua"/>
          <w:sz w:val="24"/>
          <w:szCs w:val="24"/>
          <w:lang w:val="en-US"/>
        </w:rPr>
        <w:t xml:space="preserve"> suggested an algorithm to guide</w:t>
      </w:r>
      <w:r w:rsidR="003A4F5C" w:rsidRPr="0086525B">
        <w:rPr>
          <w:rFonts w:ascii="Book Antiqua" w:hAnsi="Book Antiqua"/>
          <w:sz w:val="24"/>
          <w:szCs w:val="24"/>
          <w:lang w:val="en-US"/>
        </w:rPr>
        <w:t xml:space="preserve"> </w:t>
      </w:r>
      <w:r w:rsidRPr="0086525B">
        <w:rPr>
          <w:rFonts w:ascii="Book Antiqua" w:hAnsi="Book Antiqua"/>
          <w:sz w:val="24"/>
          <w:szCs w:val="24"/>
          <w:lang w:val="en-US"/>
        </w:rPr>
        <w:t>selection of the best treatment for patients with HEHE. Histopathological confirmation of the tumor is followed by the assessment of surgical resectability and the presence of extrahepatic disease. Liver resection should be considered an option</w:t>
      </w:r>
      <w:r w:rsidR="00B633D8" w:rsidRPr="0086525B">
        <w:rPr>
          <w:rFonts w:ascii="Book Antiqua" w:hAnsi="Book Antiqua"/>
          <w:sz w:val="24"/>
          <w:szCs w:val="24"/>
          <w:lang w:val="en-US"/>
        </w:rPr>
        <w:t>,</w:t>
      </w:r>
      <w:r w:rsidRPr="0086525B">
        <w:rPr>
          <w:rFonts w:ascii="Book Antiqua" w:hAnsi="Book Antiqua"/>
          <w:sz w:val="24"/>
          <w:szCs w:val="24"/>
          <w:lang w:val="en-US"/>
        </w:rPr>
        <w:t xml:space="preserve"> if possible. In patients with bilobar intrahepatic tumor spread without an involvement of other viscera</w:t>
      </w:r>
      <w:r w:rsidR="00B633D8" w:rsidRPr="0086525B">
        <w:rPr>
          <w:rFonts w:ascii="Book Antiqua" w:hAnsi="Book Antiqua"/>
          <w:sz w:val="24"/>
          <w:szCs w:val="24"/>
          <w:lang w:val="en-US"/>
        </w:rPr>
        <w:t>,</w:t>
      </w:r>
      <w:r w:rsidRPr="0086525B">
        <w:rPr>
          <w:rFonts w:ascii="Book Antiqua" w:hAnsi="Book Antiqua"/>
          <w:sz w:val="24"/>
          <w:szCs w:val="24"/>
          <w:lang w:val="en-US"/>
        </w:rPr>
        <w:t xml:space="preserve"> liver transplantation is the treatment of choice. </w:t>
      </w:r>
      <w:r w:rsidR="00B633D8" w:rsidRPr="0086525B">
        <w:rPr>
          <w:rFonts w:ascii="Book Antiqua" w:hAnsi="Book Antiqua"/>
          <w:sz w:val="24"/>
          <w:szCs w:val="24"/>
          <w:lang w:val="en-US"/>
        </w:rPr>
        <w:t xml:space="preserve">Adjuvant chemotherapy, neoadjuvant TACE, chemotherapy, </w:t>
      </w:r>
      <w:r w:rsidR="00536791" w:rsidRPr="0086525B">
        <w:rPr>
          <w:rFonts w:ascii="Book Antiqua" w:hAnsi="Book Antiqua"/>
          <w:sz w:val="24"/>
          <w:szCs w:val="24"/>
          <w:lang w:val="en-US"/>
        </w:rPr>
        <w:t>and</w:t>
      </w:r>
      <w:r w:rsidR="00B633D8" w:rsidRPr="0086525B">
        <w:rPr>
          <w:rFonts w:ascii="Book Antiqua" w:hAnsi="Book Antiqua"/>
          <w:sz w:val="24"/>
          <w:szCs w:val="24"/>
          <w:lang w:val="en-US"/>
        </w:rPr>
        <w:t xml:space="preserve"> radiotherapy are all available treatment options for</w:t>
      </w:r>
      <w:r w:rsidRPr="0086525B">
        <w:rPr>
          <w:rFonts w:ascii="Book Antiqua" w:hAnsi="Book Antiqua"/>
          <w:sz w:val="24"/>
          <w:szCs w:val="24"/>
          <w:lang w:val="en-US"/>
        </w:rPr>
        <w:t xml:space="preserve"> case</w:t>
      </w:r>
      <w:r w:rsidR="00B633D8" w:rsidRPr="0086525B">
        <w:rPr>
          <w:rFonts w:ascii="Book Antiqua" w:hAnsi="Book Antiqua"/>
          <w:sz w:val="24"/>
          <w:szCs w:val="24"/>
          <w:lang w:val="en-US"/>
        </w:rPr>
        <w:t>s</w:t>
      </w:r>
      <w:r w:rsidRPr="0086525B">
        <w:rPr>
          <w:rFonts w:ascii="Book Antiqua" w:hAnsi="Book Antiqua"/>
          <w:sz w:val="24"/>
          <w:szCs w:val="24"/>
          <w:lang w:val="en-US"/>
        </w:rPr>
        <w:t xml:space="preserve"> of extrahepatic lesions</w:t>
      </w:r>
      <w:r w:rsidRPr="0086525B">
        <w:rPr>
          <w:rFonts w:ascii="Book Antiqua" w:hAnsi="Book Antiqua"/>
          <w:color w:val="0070C0"/>
          <w:sz w:val="24"/>
          <w:szCs w:val="24"/>
          <w:lang w:val="en-US"/>
        </w:rPr>
        <w:t>.</w:t>
      </w:r>
    </w:p>
    <w:p w:rsidR="00201A92" w:rsidRPr="0086525B" w:rsidRDefault="00201A92" w:rsidP="000B1EBD">
      <w:pPr>
        <w:snapToGrid w:val="0"/>
        <w:spacing w:after="0" w:line="360" w:lineRule="auto"/>
        <w:ind w:firstLineChars="50" w:firstLine="120"/>
        <w:jc w:val="both"/>
        <w:rPr>
          <w:rFonts w:ascii="Book Antiqua" w:hAnsi="Book Antiqua"/>
          <w:color w:val="0070C0"/>
          <w:sz w:val="24"/>
          <w:szCs w:val="24"/>
          <w:lang w:val="en-US"/>
        </w:rPr>
      </w:pPr>
      <w:r w:rsidRPr="0086525B">
        <w:rPr>
          <w:rFonts w:ascii="Book Antiqua" w:hAnsi="Book Antiqua"/>
          <w:sz w:val="24"/>
          <w:szCs w:val="24"/>
          <w:lang w:val="en-US"/>
        </w:rPr>
        <w:t xml:space="preserve">Lerut </w:t>
      </w:r>
      <w:r w:rsidR="00A421B3" w:rsidRPr="0086525B">
        <w:rPr>
          <w:rFonts w:ascii="Book Antiqua" w:hAnsi="Book Antiqua"/>
          <w:i/>
          <w:sz w:val="24"/>
          <w:szCs w:val="24"/>
          <w:lang w:val="en-US"/>
        </w:rPr>
        <w:t>et al</w:t>
      </w:r>
      <w:r w:rsidR="000B1EBD" w:rsidRPr="0086525B">
        <w:rPr>
          <w:rFonts w:ascii="Book Antiqua" w:hAnsi="Book Antiqua"/>
          <w:sz w:val="24"/>
          <w:szCs w:val="24"/>
          <w:vertAlign w:val="superscript"/>
          <w:lang w:val="en-US"/>
        </w:rPr>
        <w:t>[24]</w:t>
      </w:r>
      <w:r w:rsidR="0027305A" w:rsidRPr="0086525B">
        <w:rPr>
          <w:rFonts w:ascii="Book Antiqua" w:hAnsi="Book Antiqua"/>
          <w:sz w:val="24"/>
          <w:szCs w:val="24"/>
          <w:lang w:val="en-US"/>
        </w:rPr>
        <w:t>,</w:t>
      </w:r>
      <w:r w:rsidRPr="0086525B">
        <w:rPr>
          <w:rFonts w:ascii="Book Antiqua" w:hAnsi="Book Antiqua"/>
          <w:sz w:val="24"/>
          <w:szCs w:val="24"/>
          <w:lang w:val="en-US"/>
        </w:rPr>
        <w:t xml:space="preserve"> published data from the European Liver Transplant Registry (ELTR) presenting outcomes of liver transplantation in 59 patients with HEHE and the average follow-up of 78.5 </w:t>
      </w:r>
      <w:r w:rsidR="0016537A" w:rsidRPr="0086525B">
        <w:rPr>
          <w:rFonts w:ascii="Book Antiqua" w:hAnsi="Book Antiqua"/>
          <w:sz w:val="24"/>
          <w:szCs w:val="24"/>
          <w:lang w:val="en-US"/>
        </w:rPr>
        <w:t>mo</w:t>
      </w:r>
      <w:r w:rsidRPr="0086525B">
        <w:rPr>
          <w:rFonts w:ascii="Book Antiqua" w:hAnsi="Book Antiqua"/>
          <w:sz w:val="24"/>
          <w:szCs w:val="24"/>
          <w:lang w:val="en-US"/>
        </w:rPr>
        <w:t>. One</w:t>
      </w:r>
      <w:r w:rsidR="0027305A" w:rsidRPr="0086525B">
        <w:rPr>
          <w:rFonts w:ascii="Book Antiqua" w:hAnsi="Book Antiqua"/>
          <w:sz w:val="24"/>
          <w:szCs w:val="24"/>
          <w:lang w:val="en-US"/>
        </w:rPr>
        <w:t>-</w:t>
      </w:r>
      <w:r w:rsidRPr="0086525B">
        <w:rPr>
          <w:rFonts w:ascii="Book Antiqua" w:hAnsi="Book Antiqua"/>
          <w:sz w:val="24"/>
          <w:szCs w:val="24"/>
          <w:lang w:val="en-US"/>
        </w:rPr>
        <w:t>third of patients underwent some type of intervention before the OLTx. In 17% of patients</w:t>
      </w:r>
      <w:r w:rsidR="0027305A" w:rsidRPr="0086525B">
        <w:rPr>
          <w:rFonts w:ascii="Book Antiqua" w:hAnsi="Book Antiqua"/>
          <w:sz w:val="24"/>
          <w:szCs w:val="24"/>
          <w:lang w:val="en-US"/>
        </w:rPr>
        <w:t>,</w:t>
      </w:r>
      <w:r w:rsidRPr="0086525B">
        <w:rPr>
          <w:rFonts w:ascii="Book Antiqua" w:hAnsi="Book Antiqua"/>
          <w:sz w:val="24"/>
          <w:szCs w:val="24"/>
          <w:lang w:val="en-US"/>
        </w:rPr>
        <w:t xml:space="preserve"> extrahepatic lesions were found before OLTx or during the transplantation. Intrahepatic dissemination was present in 96% of the patients. Survival data is shown in </w:t>
      </w:r>
      <w:r w:rsidR="0027305A" w:rsidRPr="0086525B">
        <w:rPr>
          <w:rFonts w:ascii="Book Antiqua" w:hAnsi="Book Antiqua"/>
          <w:sz w:val="24"/>
          <w:szCs w:val="24"/>
          <w:lang w:val="en-US"/>
        </w:rPr>
        <w:t xml:space="preserve">Table </w:t>
      </w:r>
      <w:r w:rsidRPr="0086525B">
        <w:rPr>
          <w:rFonts w:ascii="Book Antiqua" w:hAnsi="Book Antiqua"/>
          <w:sz w:val="24"/>
          <w:szCs w:val="24"/>
          <w:lang w:val="en-US"/>
        </w:rPr>
        <w:t>3. Recurrence</w:t>
      </w:r>
      <w:r w:rsidR="0027305A" w:rsidRPr="0086525B">
        <w:rPr>
          <w:rFonts w:ascii="Book Antiqua" w:hAnsi="Book Antiqua"/>
          <w:sz w:val="24"/>
          <w:szCs w:val="24"/>
          <w:lang w:val="en-US"/>
        </w:rPr>
        <w:t>-</w:t>
      </w:r>
      <w:r w:rsidRPr="0086525B">
        <w:rPr>
          <w:rFonts w:ascii="Book Antiqua" w:hAnsi="Book Antiqua"/>
          <w:sz w:val="24"/>
          <w:szCs w:val="24"/>
          <w:lang w:val="en-US"/>
        </w:rPr>
        <w:t>free survival was observed at 1 year, 5 years</w:t>
      </w:r>
      <w:r w:rsidR="0027305A" w:rsidRPr="0086525B">
        <w:rPr>
          <w:rFonts w:ascii="Book Antiqua" w:hAnsi="Book Antiqua"/>
          <w:sz w:val="24"/>
          <w:szCs w:val="24"/>
          <w:lang w:val="en-US"/>
        </w:rPr>
        <w:t>,</w:t>
      </w:r>
      <w:r w:rsidRPr="0086525B">
        <w:rPr>
          <w:rFonts w:ascii="Book Antiqua" w:hAnsi="Book Antiqua"/>
          <w:sz w:val="24"/>
          <w:szCs w:val="24"/>
          <w:lang w:val="en-US"/>
        </w:rPr>
        <w:t xml:space="preserve"> and 10 years </w:t>
      </w:r>
      <w:r w:rsidRPr="0086525B">
        <w:rPr>
          <w:rFonts w:ascii="Book Antiqua" w:hAnsi="Book Antiqua"/>
          <w:sz w:val="24"/>
          <w:szCs w:val="24"/>
          <w:lang w:val="en-US"/>
        </w:rPr>
        <w:lastRenderedPageBreak/>
        <w:t>of follow</w:t>
      </w:r>
      <w:r w:rsidR="0027305A" w:rsidRPr="0086525B">
        <w:rPr>
          <w:rFonts w:ascii="Book Antiqua" w:hAnsi="Book Antiqua"/>
          <w:sz w:val="24"/>
          <w:szCs w:val="24"/>
          <w:lang w:val="en-US"/>
        </w:rPr>
        <w:t>-</w:t>
      </w:r>
      <w:r w:rsidRPr="0086525B">
        <w:rPr>
          <w:rFonts w:ascii="Book Antiqua" w:hAnsi="Book Antiqua"/>
          <w:sz w:val="24"/>
          <w:szCs w:val="24"/>
          <w:lang w:val="en-US"/>
        </w:rPr>
        <w:t>up in 90%, 82%</w:t>
      </w:r>
      <w:r w:rsidR="0027305A" w:rsidRPr="0086525B">
        <w:rPr>
          <w:rFonts w:ascii="Book Antiqua" w:hAnsi="Book Antiqua"/>
          <w:sz w:val="24"/>
          <w:szCs w:val="24"/>
          <w:lang w:val="en-US"/>
        </w:rPr>
        <w:t>,</w:t>
      </w:r>
      <w:r w:rsidRPr="0086525B">
        <w:rPr>
          <w:rFonts w:ascii="Book Antiqua" w:hAnsi="Book Antiqua"/>
          <w:sz w:val="24"/>
          <w:szCs w:val="24"/>
          <w:lang w:val="en-US"/>
        </w:rPr>
        <w:t xml:space="preserve"> and 64%</w:t>
      </w:r>
      <w:r w:rsidR="0027305A" w:rsidRPr="0086525B">
        <w:rPr>
          <w:rFonts w:ascii="Book Antiqua" w:hAnsi="Book Antiqua"/>
          <w:sz w:val="24"/>
          <w:szCs w:val="24"/>
          <w:lang w:val="en-US"/>
        </w:rPr>
        <w:t>,</w:t>
      </w:r>
      <w:r w:rsidRPr="0086525B">
        <w:rPr>
          <w:rFonts w:ascii="Book Antiqua" w:hAnsi="Book Antiqua"/>
          <w:sz w:val="24"/>
          <w:szCs w:val="24"/>
          <w:lang w:val="en-US"/>
        </w:rPr>
        <w:t xml:space="preserve"> respectively. Tumor recurrence was found in 23.7% of patients at </w:t>
      </w:r>
      <w:r w:rsidR="0027305A" w:rsidRPr="0086525B">
        <w:rPr>
          <w:rFonts w:ascii="Book Antiqua" w:hAnsi="Book Antiqua"/>
          <w:sz w:val="24"/>
          <w:szCs w:val="24"/>
          <w:lang w:val="en-US"/>
        </w:rPr>
        <w:t xml:space="preserve">an </w:t>
      </w:r>
      <w:r w:rsidRPr="0086525B">
        <w:rPr>
          <w:rFonts w:ascii="Book Antiqua" w:hAnsi="Book Antiqua"/>
          <w:sz w:val="24"/>
          <w:szCs w:val="24"/>
          <w:lang w:val="en-US"/>
        </w:rPr>
        <w:t xml:space="preserve">average of 49 </w:t>
      </w:r>
      <w:r w:rsidR="0016537A" w:rsidRPr="0086525B">
        <w:rPr>
          <w:rFonts w:ascii="Book Antiqua" w:hAnsi="Book Antiqua"/>
          <w:sz w:val="24"/>
          <w:szCs w:val="24"/>
          <w:lang w:val="en-US"/>
        </w:rPr>
        <w:t>mo</w:t>
      </w:r>
      <w:r w:rsidRPr="0086525B">
        <w:rPr>
          <w:rFonts w:ascii="Book Antiqua" w:hAnsi="Book Antiqua"/>
          <w:sz w:val="24"/>
          <w:szCs w:val="24"/>
          <w:lang w:val="en-US"/>
        </w:rPr>
        <w:t xml:space="preserve"> after the OLTx. Recurrence</w:t>
      </w:r>
      <w:r w:rsidR="0027305A" w:rsidRPr="0086525B">
        <w:rPr>
          <w:rFonts w:ascii="Book Antiqua" w:hAnsi="Book Antiqua"/>
          <w:sz w:val="24"/>
          <w:szCs w:val="24"/>
          <w:lang w:val="en-US"/>
        </w:rPr>
        <w:t>-</w:t>
      </w:r>
      <w:r w:rsidRPr="0086525B">
        <w:rPr>
          <w:rFonts w:ascii="Book Antiqua" w:hAnsi="Book Antiqua"/>
          <w:sz w:val="24"/>
          <w:szCs w:val="24"/>
          <w:lang w:val="en-US"/>
        </w:rPr>
        <w:t>related mortality was 15.3%. Vascular involvement had a significant influence on the long-term prognosis. The survival was not affected by lymph node metastases, prior treatment</w:t>
      </w:r>
      <w:r w:rsidR="0027305A" w:rsidRPr="0086525B">
        <w:rPr>
          <w:rFonts w:ascii="Book Antiqua" w:hAnsi="Book Antiqua"/>
          <w:sz w:val="24"/>
          <w:szCs w:val="24"/>
          <w:lang w:val="en-US"/>
        </w:rPr>
        <w:t>, or</w:t>
      </w:r>
      <w:r w:rsidRPr="0086525B">
        <w:rPr>
          <w:rFonts w:ascii="Book Antiqua" w:hAnsi="Book Antiqua"/>
          <w:sz w:val="24"/>
          <w:szCs w:val="24"/>
          <w:lang w:val="en-US"/>
        </w:rPr>
        <w:t xml:space="preserve"> the presence of extrahepatic disease</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24]</w:t>
      </w:r>
      <w:r w:rsidRPr="0086525B">
        <w:rPr>
          <w:rFonts w:ascii="Book Antiqua" w:hAnsi="Book Antiqua"/>
          <w:color w:val="0070C0"/>
          <w:sz w:val="24"/>
          <w:szCs w:val="24"/>
          <w:lang w:val="en-US"/>
        </w:rPr>
        <w:t>.</w:t>
      </w:r>
    </w:p>
    <w:p w:rsidR="00201A92" w:rsidRPr="0086525B" w:rsidRDefault="00201A92" w:rsidP="000B1EBD">
      <w:pPr>
        <w:snapToGrid w:val="0"/>
        <w:spacing w:after="0" w:line="360" w:lineRule="auto"/>
        <w:ind w:firstLineChars="50" w:firstLine="120"/>
        <w:jc w:val="both"/>
        <w:rPr>
          <w:rFonts w:ascii="Book Antiqua" w:hAnsi="Book Antiqua"/>
          <w:color w:val="0070C0"/>
          <w:sz w:val="24"/>
          <w:szCs w:val="24"/>
          <w:lang w:val="en-US"/>
        </w:rPr>
      </w:pPr>
      <w:r w:rsidRPr="0086525B">
        <w:rPr>
          <w:rFonts w:ascii="Book Antiqua" w:hAnsi="Book Antiqua"/>
          <w:sz w:val="24"/>
          <w:szCs w:val="24"/>
          <w:lang w:val="en-US"/>
        </w:rPr>
        <w:t xml:space="preserve">Rodriquez </w:t>
      </w:r>
      <w:r w:rsidR="00A421B3" w:rsidRPr="0086525B">
        <w:rPr>
          <w:rFonts w:ascii="Book Antiqua" w:hAnsi="Book Antiqua"/>
          <w:i/>
          <w:sz w:val="24"/>
          <w:szCs w:val="24"/>
          <w:lang w:val="en-US"/>
        </w:rPr>
        <w:t>et al</w:t>
      </w:r>
      <w:r w:rsidR="000B1EBD" w:rsidRPr="0086525B">
        <w:rPr>
          <w:rFonts w:ascii="Book Antiqua" w:hAnsi="Book Antiqua"/>
          <w:sz w:val="24"/>
          <w:szCs w:val="24"/>
          <w:vertAlign w:val="superscript"/>
          <w:lang w:val="en-US" w:eastAsia="zh-CN"/>
        </w:rPr>
        <w:t>[</w:t>
      </w:r>
      <w:r w:rsidR="000B1EBD" w:rsidRPr="0086525B">
        <w:rPr>
          <w:rFonts w:ascii="Book Antiqua" w:hAnsi="Book Antiqua"/>
          <w:sz w:val="24"/>
          <w:szCs w:val="24"/>
          <w:vertAlign w:val="superscript"/>
          <w:lang w:val="en-US"/>
        </w:rPr>
        <w:t>25]</w:t>
      </w:r>
      <w:r w:rsidR="00324A55" w:rsidRPr="0086525B">
        <w:rPr>
          <w:rFonts w:ascii="Book Antiqua" w:hAnsi="Book Antiqua"/>
          <w:sz w:val="24"/>
          <w:szCs w:val="24"/>
          <w:lang w:val="en-US"/>
        </w:rPr>
        <w:t>,</w:t>
      </w:r>
      <w:r w:rsidRPr="0086525B">
        <w:rPr>
          <w:rFonts w:ascii="Book Antiqua" w:hAnsi="Book Antiqua"/>
          <w:sz w:val="24"/>
          <w:szCs w:val="24"/>
          <w:lang w:val="en-US"/>
        </w:rPr>
        <w:t xml:space="preserve"> in </w:t>
      </w:r>
      <w:r w:rsidR="00324A55" w:rsidRPr="0086525B">
        <w:rPr>
          <w:rFonts w:ascii="Book Antiqua" w:hAnsi="Book Antiqua"/>
          <w:sz w:val="24"/>
          <w:szCs w:val="24"/>
          <w:lang w:val="en-US"/>
        </w:rPr>
        <w:t xml:space="preserve">a </w:t>
      </w:r>
      <w:r w:rsidRPr="0086525B">
        <w:rPr>
          <w:rFonts w:ascii="Book Antiqua" w:hAnsi="Book Antiqua"/>
          <w:sz w:val="24"/>
          <w:szCs w:val="24"/>
          <w:lang w:val="en-US"/>
        </w:rPr>
        <w:t>publication based on the United Nations for Organ Sharing (UNOS) database</w:t>
      </w:r>
      <w:r w:rsidR="00324A55" w:rsidRPr="0086525B">
        <w:rPr>
          <w:rFonts w:ascii="Book Antiqua" w:hAnsi="Book Antiqua"/>
          <w:sz w:val="24"/>
          <w:szCs w:val="24"/>
          <w:lang w:val="en-US"/>
        </w:rPr>
        <w:t>,</w:t>
      </w:r>
      <w:r w:rsidRPr="0086525B">
        <w:rPr>
          <w:rFonts w:ascii="Book Antiqua" w:hAnsi="Book Antiqua"/>
          <w:sz w:val="24"/>
          <w:szCs w:val="24"/>
          <w:lang w:val="en-US"/>
        </w:rPr>
        <w:t xml:space="preserve"> presented data of 110 patients after OLTx performed between 1987 and 2005. The authors reported survival only slightly inferior to the results from </w:t>
      </w:r>
      <w:r w:rsidR="00324A55" w:rsidRPr="0086525B">
        <w:rPr>
          <w:rFonts w:ascii="Book Antiqua" w:hAnsi="Book Antiqua"/>
          <w:sz w:val="24"/>
          <w:szCs w:val="24"/>
          <w:lang w:val="en-US"/>
        </w:rPr>
        <w:t xml:space="preserve">the </w:t>
      </w:r>
      <w:r w:rsidRPr="0086525B">
        <w:rPr>
          <w:rFonts w:ascii="Book Antiqua" w:hAnsi="Book Antiqua"/>
          <w:sz w:val="24"/>
          <w:szCs w:val="24"/>
          <w:lang w:val="en-US"/>
        </w:rPr>
        <w:t>ELTR database (Table 4)</w:t>
      </w:r>
      <w:r w:rsidR="003A4F5C" w:rsidRPr="0086525B">
        <w:rPr>
          <w:rFonts w:ascii="Book Antiqua" w:hAnsi="Book Antiqua"/>
          <w:sz w:val="24"/>
          <w:szCs w:val="24"/>
          <w:vertAlign w:val="superscript"/>
          <w:lang w:val="en-US"/>
        </w:rPr>
        <w:t>[</w:t>
      </w:r>
      <w:r w:rsidR="003B74C7" w:rsidRPr="0086525B">
        <w:rPr>
          <w:rFonts w:ascii="Book Antiqua" w:hAnsi="Book Antiqua"/>
          <w:sz w:val="24"/>
          <w:szCs w:val="24"/>
          <w:vertAlign w:val="superscript"/>
          <w:lang w:val="en-US"/>
        </w:rPr>
        <w:t>25]</w:t>
      </w:r>
      <w:r w:rsidRPr="0086525B">
        <w:rPr>
          <w:rFonts w:ascii="Book Antiqua" w:hAnsi="Book Antiqua"/>
          <w:color w:val="0070C0"/>
          <w:sz w:val="24"/>
          <w:szCs w:val="24"/>
          <w:lang w:val="en-US"/>
        </w:rPr>
        <w:t>.</w:t>
      </w:r>
    </w:p>
    <w:p w:rsidR="00201A92" w:rsidRPr="0086525B" w:rsidRDefault="00201A92" w:rsidP="000B1EBD">
      <w:pPr>
        <w:snapToGrid w:val="0"/>
        <w:spacing w:after="0" w:line="360" w:lineRule="auto"/>
        <w:ind w:firstLineChars="50" w:firstLine="120"/>
        <w:jc w:val="both"/>
        <w:rPr>
          <w:rFonts w:ascii="Book Antiqua" w:hAnsi="Book Antiqua"/>
          <w:color w:val="0070C0"/>
          <w:sz w:val="24"/>
          <w:szCs w:val="24"/>
          <w:lang w:val="en-US"/>
        </w:rPr>
      </w:pPr>
      <w:r w:rsidRPr="0086525B">
        <w:rPr>
          <w:rFonts w:ascii="Book Antiqua" w:hAnsi="Book Antiqua"/>
          <w:sz w:val="24"/>
          <w:szCs w:val="24"/>
          <w:lang w:val="en-US" w:eastAsia="pl-PL"/>
        </w:rPr>
        <w:t xml:space="preserve">Wang </w:t>
      </w:r>
      <w:r w:rsidR="00A421B3" w:rsidRPr="0086525B">
        <w:rPr>
          <w:rFonts w:ascii="Book Antiqua" w:hAnsi="Book Antiqua"/>
          <w:i/>
          <w:sz w:val="24"/>
          <w:szCs w:val="24"/>
          <w:lang w:val="en-US" w:eastAsia="pl-PL"/>
        </w:rPr>
        <w:t>et al</w:t>
      </w:r>
      <w:r w:rsidR="000B1EBD" w:rsidRPr="0086525B">
        <w:rPr>
          <w:rFonts w:ascii="Book Antiqua" w:hAnsi="Book Antiqua"/>
          <w:sz w:val="24"/>
          <w:szCs w:val="24"/>
          <w:vertAlign w:val="superscript"/>
          <w:lang w:val="en-US" w:eastAsia="pl-PL"/>
        </w:rPr>
        <w:t>[26]</w:t>
      </w:r>
      <w:r w:rsidR="00324A55"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 xml:space="preserve">reported the outcomes of 33 patients with HEHE who underwent various interventions alternative to OLTx. Liver resection was performed in 17 patients, TACE in 12 patients, </w:t>
      </w:r>
      <w:r w:rsidR="00324A55" w:rsidRPr="0086525B">
        <w:rPr>
          <w:rFonts w:ascii="Book Antiqua" w:hAnsi="Book Antiqua"/>
          <w:sz w:val="24"/>
          <w:szCs w:val="24"/>
          <w:lang w:val="en-US" w:eastAsia="pl-PL"/>
        </w:rPr>
        <w:t xml:space="preserve">and </w:t>
      </w:r>
      <w:r w:rsidRPr="0086525B">
        <w:rPr>
          <w:rFonts w:ascii="Book Antiqua" w:hAnsi="Book Antiqua"/>
          <w:sz w:val="24"/>
          <w:szCs w:val="24"/>
          <w:lang w:val="en-US" w:eastAsia="pl-PL"/>
        </w:rPr>
        <w:t xml:space="preserve">liver resection followed by TACE in 3 patients. Only 1 patient had OLTx performed in this group. There was no significant difference in 3-year survival between treatment groups (Table 4). The authors selected several factors influencing treatment outcome. </w:t>
      </w:r>
      <w:r w:rsidR="00324A55" w:rsidRPr="0086525B">
        <w:rPr>
          <w:rFonts w:ascii="Book Antiqua" w:hAnsi="Book Antiqua"/>
          <w:sz w:val="24"/>
          <w:szCs w:val="24"/>
          <w:lang w:val="en-US" w:eastAsia="pl-PL"/>
        </w:rPr>
        <w:t>O</w:t>
      </w:r>
      <w:r w:rsidRPr="0086525B">
        <w:rPr>
          <w:rFonts w:ascii="Book Antiqua" w:hAnsi="Book Antiqua"/>
          <w:sz w:val="24"/>
          <w:szCs w:val="24"/>
          <w:lang w:val="en-US" w:eastAsia="pl-PL"/>
        </w:rPr>
        <w:t>lder age, clinical symptoms</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and elevated CA 19-9 were associated with worse survival rates. The patients with symptoms (</w:t>
      </w:r>
      <w:r w:rsidR="000B1EBD" w:rsidRPr="0086525B">
        <w:rPr>
          <w:rFonts w:ascii="Book Antiqua" w:hAnsi="Book Antiqua"/>
          <w:i/>
          <w:sz w:val="24"/>
          <w:szCs w:val="24"/>
          <w:lang w:val="en-US" w:eastAsia="pl-PL"/>
        </w:rPr>
        <w:t>n</w:t>
      </w:r>
      <w:r w:rsidR="000B1EBD" w:rsidRPr="0086525B">
        <w:rPr>
          <w:rFonts w:ascii="Book Antiqua" w:hAnsi="Book Antiqua"/>
          <w:sz w:val="24"/>
          <w:szCs w:val="24"/>
          <w:lang w:val="en-US" w:eastAsia="pl-PL"/>
        </w:rPr>
        <w:t xml:space="preserve"> </w:t>
      </w:r>
      <w:r w:rsidR="00A421B3" w:rsidRPr="0086525B">
        <w:rPr>
          <w:rFonts w:ascii="Book Antiqua" w:hAnsi="Book Antiqua"/>
          <w:sz w:val="24"/>
          <w:szCs w:val="24"/>
          <w:lang w:val="en-US" w:eastAsia="pl-PL"/>
        </w:rPr>
        <w:t>=</w:t>
      </w:r>
      <w:r w:rsidR="000B1EBD"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 xml:space="preserve">17; </w:t>
      </w:r>
      <w:r w:rsidR="00D220BB" w:rsidRPr="0086525B">
        <w:rPr>
          <w:rFonts w:ascii="Book Antiqua" w:hAnsi="Book Antiqua"/>
          <w:i/>
          <w:sz w:val="24"/>
          <w:szCs w:val="24"/>
          <w:lang w:val="en-US" w:eastAsia="pl-PL"/>
        </w:rPr>
        <w:t>P</w:t>
      </w:r>
      <w:r w:rsidR="000B1EBD" w:rsidRPr="0086525B">
        <w:rPr>
          <w:rFonts w:ascii="Book Antiqua" w:hAnsi="Book Antiqua"/>
          <w:sz w:val="24"/>
          <w:szCs w:val="24"/>
          <w:lang w:val="en-US" w:eastAsia="pl-PL"/>
        </w:rPr>
        <w:t xml:space="preserve"> </w:t>
      </w:r>
      <w:r w:rsidR="00A421B3" w:rsidRPr="0086525B">
        <w:rPr>
          <w:rFonts w:ascii="Book Antiqua" w:hAnsi="Book Antiqua"/>
          <w:sz w:val="24"/>
          <w:szCs w:val="24"/>
          <w:lang w:val="en-US" w:eastAsia="pl-PL"/>
        </w:rPr>
        <w:t>=</w:t>
      </w:r>
      <w:r w:rsidR="000B1EBD"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0.001, HR</w:t>
      </w:r>
      <w:r w:rsidR="000B1EBD" w:rsidRPr="0086525B">
        <w:rPr>
          <w:rFonts w:ascii="Book Antiqua" w:hAnsi="Book Antiqua"/>
          <w:sz w:val="24"/>
          <w:szCs w:val="24"/>
          <w:lang w:val="en-US" w:eastAsia="pl-PL"/>
        </w:rPr>
        <w:t xml:space="preserve"> </w:t>
      </w:r>
      <w:r w:rsidR="00A421B3" w:rsidRPr="0086525B">
        <w:rPr>
          <w:rFonts w:ascii="Book Antiqua" w:hAnsi="Book Antiqua"/>
          <w:sz w:val="24"/>
          <w:szCs w:val="24"/>
          <w:lang w:val="en-US" w:eastAsia="pl-PL"/>
        </w:rPr>
        <w:t>=</w:t>
      </w:r>
      <w:r w:rsidR="000B1EBD"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86.5) (12 with abdominal pain or discomfort, 3 with chest pain, 1 with weight loss</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and 1 with jaundice)</w:t>
      </w:r>
      <w:r w:rsidRPr="0086525B">
        <w:rPr>
          <w:rFonts w:ascii="Book Antiqua" w:hAnsi="Book Antiqua"/>
          <w:sz w:val="24"/>
          <w:szCs w:val="24"/>
          <w:lang w:val="en-US"/>
        </w:rPr>
        <w:t xml:space="preserve"> </w:t>
      </w:r>
      <w:r w:rsidRPr="0086525B">
        <w:rPr>
          <w:rFonts w:ascii="Book Antiqua" w:hAnsi="Book Antiqua"/>
          <w:sz w:val="24"/>
          <w:szCs w:val="24"/>
          <w:lang w:val="en-US" w:eastAsia="pl-PL"/>
        </w:rPr>
        <w:t>had poorer overall survival. The presence of symptoms was validated as the only significant independent prognostic factor (</w:t>
      </w:r>
      <w:r w:rsidR="00D220BB" w:rsidRPr="0086525B">
        <w:rPr>
          <w:rFonts w:ascii="Book Antiqua" w:hAnsi="Book Antiqua"/>
          <w:i/>
          <w:sz w:val="24"/>
          <w:szCs w:val="24"/>
          <w:lang w:val="en-US" w:eastAsia="pl-PL"/>
        </w:rPr>
        <w:t>P</w:t>
      </w:r>
      <w:r w:rsidR="000B1EBD" w:rsidRPr="0086525B">
        <w:rPr>
          <w:rFonts w:ascii="Book Antiqua" w:hAnsi="Book Antiqua"/>
          <w:sz w:val="24"/>
          <w:szCs w:val="24"/>
          <w:lang w:val="en-US" w:eastAsia="pl-PL"/>
        </w:rPr>
        <w:t xml:space="preserve"> </w:t>
      </w:r>
      <w:r w:rsidR="00A421B3" w:rsidRPr="0086525B">
        <w:rPr>
          <w:rFonts w:ascii="Book Antiqua" w:hAnsi="Book Antiqua"/>
          <w:sz w:val="24"/>
          <w:szCs w:val="24"/>
          <w:lang w:val="en-US" w:eastAsia="pl-PL"/>
        </w:rPr>
        <w:t>=</w:t>
      </w:r>
      <w:r w:rsidR="000B1EBD"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0.012) by multivariate analysis</w:t>
      </w:r>
      <w:r w:rsidR="003A4F5C" w:rsidRPr="0086525B">
        <w:rPr>
          <w:rFonts w:ascii="Book Antiqua" w:hAnsi="Book Antiqua"/>
          <w:sz w:val="24"/>
          <w:szCs w:val="24"/>
          <w:vertAlign w:val="superscript"/>
          <w:lang w:val="en-US" w:eastAsia="pl-PL"/>
        </w:rPr>
        <w:t>[</w:t>
      </w:r>
      <w:r w:rsidR="003B74C7" w:rsidRPr="0086525B">
        <w:rPr>
          <w:rFonts w:ascii="Book Antiqua" w:hAnsi="Book Antiqua"/>
          <w:sz w:val="24"/>
          <w:szCs w:val="24"/>
          <w:vertAlign w:val="superscript"/>
          <w:lang w:val="en-US" w:eastAsia="pl-PL"/>
        </w:rPr>
        <w:t>26]</w:t>
      </w:r>
      <w:r w:rsidRPr="0086525B">
        <w:rPr>
          <w:rFonts w:ascii="Book Antiqua" w:hAnsi="Book Antiqua"/>
          <w:color w:val="0070C0"/>
          <w:sz w:val="24"/>
          <w:szCs w:val="24"/>
          <w:lang w:val="en-US"/>
        </w:rPr>
        <w:t>.</w:t>
      </w:r>
    </w:p>
    <w:p w:rsidR="00201A92" w:rsidRPr="0086525B" w:rsidRDefault="00201A92" w:rsidP="000B1EBD">
      <w:pPr>
        <w:snapToGrid w:val="0"/>
        <w:spacing w:after="0" w:line="360" w:lineRule="auto"/>
        <w:ind w:firstLineChars="50" w:firstLine="120"/>
        <w:jc w:val="both"/>
        <w:rPr>
          <w:rFonts w:ascii="Book Antiqua" w:hAnsi="Book Antiqua"/>
          <w:sz w:val="24"/>
          <w:szCs w:val="24"/>
          <w:lang w:val="en-US" w:eastAsia="pl-PL"/>
        </w:rPr>
      </w:pPr>
      <w:r w:rsidRPr="0086525B">
        <w:rPr>
          <w:rFonts w:ascii="Book Antiqua" w:hAnsi="Book Antiqua"/>
          <w:sz w:val="24"/>
          <w:szCs w:val="24"/>
          <w:lang w:val="en-US" w:eastAsia="pl-PL"/>
        </w:rPr>
        <w:t xml:space="preserve">Grotz </w:t>
      </w:r>
      <w:r w:rsidR="00A421B3" w:rsidRPr="0086525B">
        <w:rPr>
          <w:rFonts w:ascii="Book Antiqua" w:hAnsi="Book Antiqua"/>
          <w:i/>
          <w:sz w:val="24"/>
          <w:szCs w:val="24"/>
          <w:lang w:val="en-US" w:eastAsia="pl-PL"/>
        </w:rPr>
        <w:t>et al</w:t>
      </w:r>
      <w:r w:rsidR="00960B0D" w:rsidRPr="0086525B">
        <w:rPr>
          <w:rFonts w:ascii="Book Antiqua" w:hAnsi="Book Antiqua"/>
          <w:sz w:val="24"/>
          <w:szCs w:val="24"/>
          <w:vertAlign w:val="superscript"/>
          <w:lang w:val="en-US" w:eastAsia="pl-PL"/>
        </w:rPr>
        <w:t>[27]</w:t>
      </w:r>
      <w:r w:rsidRPr="0086525B">
        <w:rPr>
          <w:rFonts w:ascii="Book Antiqua" w:hAnsi="Book Antiqua"/>
          <w:sz w:val="24"/>
          <w:szCs w:val="24"/>
          <w:lang w:val="en-US" w:eastAsia="pl-PL"/>
        </w:rPr>
        <w:t xml:space="preserve"> presented outcomes of 30 patients with HEHE who received treatment at </w:t>
      </w:r>
      <w:r w:rsidR="00324A55" w:rsidRPr="0086525B">
        <w:rPr>
          <w:rFonts w:ascii="Book Antiqua" w:hAnsi="Book Antiqua"/>
          <w:sz w:val="24"/>
          <w:szCs w:val="24"/>
          <w:lang w:val="en-US" w:eastAsia="pl-PL"/>
        </w:rPr>
        <w:t xml:space="preserve">the </w:t>
      </w:r>
      <w:r w:rsidRPr="0086525B">
        <w:rPr>
          <w:rFonts w:ascii="Book Antiqua" w:hAnsi="Book Antiqua"/>
          <w:sz w:val="24"/>
          <w:szCs w:val="24"/>
          <w:lang w:val="en-US" w:eastAsia="pl-PL"/>
        </w:rPr>
        <w:t>Mayo Clinic between 1984 and 2007. Liver resection was performed in 11 patients, OLTx in 11 patients, chemotherapy in 5 patients</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and the remaining 3 patients received no intervention at all. The survival rates were similar to the publications reported previously (Table 4). The authors suggested that liver resection may be a suitable solution in patients with a solitary lesion limited to the liver</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and OLTx may be offered to patients with multiple lesions in the liver (&gt;</w:t>
      </w:r>
      <w:r w:rsidR="000B1EBD" w:rsidRPr="0086525B">
        <w:rPr>
          <w:rFonts w:ascii="Book Antiqua" w:hAnsi="Book Antiqua"/>
          <w:sz w:val="24"/>
          <w:szCs w:val="24"/>
          <w:lang w:val="en-US" w:eastAsia="zh-CN"/>
        </w:rPr>
        <w:t xml:space="preserve"> </w:t>
      </w:r>
      <w:r w:rsidRPr="0086525B">
        <w:rPr>
          <w:rFonts w:ascii="Book Antiqua" w:hAnsi="Book Antiqua"/>
          <w:sz w:val="24"/>
          <w:szCs w:val="24"/>
          <w:lang w:val="en-US" w:eastAsia="pl-PL"/>
        </w:rPr>
        <w:t>10 lesions and involvement of &gt;</w:t>
      </w:r>
      <w:r w:rsidR="000B1EBD" w:rsidRPr="0086525B">
        <w:rPr>
          <w:rFonts w:ascii="Book Antiqua" w:hAnsi="Book Antiqua"/>
          <w:sz w:val="24"/>
          <w:szCs w:val="24"/>
          <w:lang w:val="en-US" w:eastAsia="zh-CN"/>
        </w:rPr>
        <w:t xml:space="preserve"> </w:t>
      </w:r>
      <w:r w:rsidRPr="0086525B">
        <w:rPr>
          <w:rFonts w:ascii="Book Antiqua" w:hAnsi="Book Antiqua"/>
          <w:sz w:val="24"/>
          <w:szCs w:val="24"/>
          <w:lang w:val="en-US" w:eastAsia="pl-PL"/>
        </w:rPr>
        <w:t xml:space="preserve">4 segments). Both methods result in comparable outcomes regarding survival and recurrence rate. According to the authors from </w:t>
      </w:r>
      <w:r w:rsidR="00324A55" w:rsidRPr="0086525B">
        <w:rPr>
          <w:rFonts w:ascii="Book Antiqua" w:hAnsi="Book Antiqua"/>
          <w:sz w:val="24"/>
          <w:szCs w:val="24"/>
          <w:lang w:val="en-US" w:eastAsia="pl-PL"/>
        </w:rPr>
        <w:t xml:space="preserve">the </w:t>
      </w:r>
      <w:r w:rsidRPr="0086525B">
        <w:rPr>
          <w:rFonts w:ascii="Book Antiqua" w:hAnsi="Book Antiqua"/>
          <w:sz w:val="24"/>
          <w:szCs w:val="24"/>
          <w:lang w:val="en-US" w:eastAsia="pl-PL"/>
        </w:rPr>
        <w:t>Mayo Clinic</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the </w:t>
      </w:r>
      <w:r w:rsidRPr="0086525B">
        <w:rPr>
          <w:rFonts w:ascii="Book Antiqua" w:hAnsi="Book Antiqua"/>
          <w:sz w:val="24"/>
          <w:szCs w:val="24"/>
          <w:lang w:val="en-US" w:eastAsia="pl-PL"/>
        </w:rPr>
        <w:lastRenderedPageBreak/>
        <w:t>extrahepatic lesions (present in 37% of the patients) should not be considered a contraindication to surgery</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because they did not influence the outcomes in the study group. Chemotherapy was not effective in this group of patients. Grotz </w:t>
      </w:r>
      <w:r w:rsidR="00A421B3" w:rsidRPr="0086525B">
        <w:rPr>
          <w:rFonts w:ascii="Book Antiqua" w:hAnsi="Book Antiqua"/>
          <w:i/>
          <w:sz w:val="24"/>
          <w:szCs w:val="24"/>
          <w:lang w:val="en-US" w:eastAsia="pl-PL"/>
        </w:rPr>
        <w:t>et al</w:t>
      </w:r>
      <w:r w:rsidR="00960B0D" w:rsidRPr="0086525B">
        <w:rPr>
          <w:rFonts w:ascii="Book Antiqua" w:hAnsi="Book Antiqua"/>
          <w:sz w:val="24"/>
          <w:szCs w:val="24"/>
          <w:vertAlign w:val="superscript"/>
          <w:lang w:val="en-US" w:eastAsia="pl-PL"/>
        </w:rPr>
        <w:t>[27]</w:t>
      </w:r>
      <w:r w:rsidRPr="0086525B">
        <w:rPr>
          <w:rFonts w:ascii="Book Antiqua" w:hAnsi="Book Antiqua"/>
          <w:sz w:val="24"/>
          <w:szCs w:val="24"/>
          <w:lang w:val="en-US" w:eastAsia="pl-PL"/>
        </w:rPr>
        <w:t xml:space="preserve"> presented a treatment protocol based on selected risk factors. The authors focus</w:t>
      </w:r>
      <w:r w:rsidR="00324A55" w:rsidRPr="0086525B">
        <w:rPr>
          <w:rFonts w:ascii="Book Antiqua" w:hAnsi="Book Antiqua"/>
          <w:sz w:val="24"/>
          <w:szCs w:val="24"/>
          <w:lang w:val="en-US" w:eastAsia="pl-PL"/>
        </w:rPr>
        <w:t>ed</w:t>
      </w:r>
      <w:r w:rsidRPr="0086525B">
        <w:rPr>
          <w:rFonts w:ascii="Book Antiqua" w:hAnsi="Book Antiqua"/>
          <w:sz w:val="24"/>
          <w:szCs w:val="24"/>
          <w:lang w:val="en-US" w:eastAsia="pl-PL"/>
        </w:rPr>
        <w:t xml:space="preserve"> on the type of intrahepatic dissemination of the tumor, the number of segments involved, the number and size of the lesions</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and the presence of extrahepatic disease. Liver resection or RFA of the tumors was suggested in case of a maximum of 10 lesions measuring not more than 10</w:t>
      </w:r>
      <w:r w:rsidR="00324A55" w:rsidRPr="0086525B">
        <w:rPr>
          <w:rFonts w:ascii="Book Antiqua" w:hAnsi="Book Antiqua"/>
          <w:sz w:val="24"/>
          <w:szCs w:val="24"/>
          <w:lang w:val="en-US" w:eastAsia="pl-PL"/>
        </w:rPr>
        <w:t xml:space="preserve"> </w:t>
      </w:r>
      <w:r w:rsidRPr="0086525B">
        <w:rPr>
          <w:rFonts w:ascii="Book Antiqua" w:hAnsi="Book Antiqua"/>
          <w:sz w:val="24"/>
          <w:szCs w:val="24"/>
          <w:lang w:val="en-US" w:eastAsia="pl-PL"/>
        </w:rPr>
        <w:t>cm in diameter and involving not more than 4 segments of the liver. In the other cases</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OLTx is recommended. Extrahepatic lesions are not considered </w:t>
      </w:r>
      <w:r w:rsidR="00324A55" w:rsidRPr="0086525B">
        <w:rPr>
          <w:rFonts w:ascii="Book Antiqua" w:hAnsi="Book Antiqua"/>
          <w:sz w:val="24"/>
          <w:szCs w:val="24"/>
          <w:lang w:val="en-US" w:eastAsia="pl-PL"/>
        </w:rPr>
        <w:t xml:space="preserve">a </w:t>
      </w:r>
      <w:r w:rsidRPr="0086525B">
        <w:rPr>
          <w:rFonts w:ascii="Book Antiqua" w:hAnsi="Book Antiqua"/>
          <w:sz w:val="24"/>
          <w:szCs w:val="24"/>
          <w:lang w:val="en-US" w:eastAsia="pl-PL"/>
        </w:rPr>
        <w:t>contraindication to any form of surgical intervention</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but chemotherapy and metastasectomy is strongly suggested. The authors also recommend</w:t>
      </w:r>
      <w:r w:rsidR="00324A55" w:rsidRPr="0086525B">
        <w:rPr>
          <w:rFonts w:ascii="Book Antiqua" w:hAnsi="Book Antiqua"/>
          <w:sz w:val="24"/>
          <w:szCs w:val="24"/>
          <w:lang w:val="en-US" w:eastAsia="pl-PL"/>
        </w:rPr>
        <w:t>ed</w:t>
      </w:r>
      <w:r w:rsidRPr="0086525B">
        <w:rPr>
          <w:rFonts w:ascii="Book Antiqua" w:hAnsi="Book Antiqua"/>
          <w:sz w:val="24"/>
          <w:szCs w:val="24"/>
          <w:lang w:val="en-US" w:eastAsia="pl-PL"/>
        </w:rPr>
        <w:t xml:space="preserve"> liver resection or RFA in case of local recurrence in the liver</w:t>
      </w:r>
      <w:r w:rsidR="003A4F5C" w:rsidRPr="0086525B">
        <w:rPr>
          <w:rFonts w:ascii="Book Antiqua" w:hAnsi="Book Antiqua"/>
          <w:sz w:val="24"/>
          <w:szCs w:val="24"/>
          <w:vertAlign w:val="superscript"/>
          <w:lang w:val="en-US" w:eastAsia="pl-PL"/>
        </w:rPr>
        <w:t>[</w:t>
      </w:r>
      <w:r w:rsidR="003B74C7" w:rsidRPr="0086525B">
        <w:rPr>
          <w:rFonts w:ascii="Book Antiqua" w:hAnsi="Book Antiqua"/>
          <w:sz w:val="24"/>
          <w:szCs w:val="24"/>
          <w:vertAlign w:val="superscript"/>
          <w:lang w:val="en-US" w:eastAsia="pl-PL"/>
        </w:rPr>
        <w:t>27]</w:t>
      </w:r>
      <w:r w:rsidRPr="0086525B">
        <w:rPr>
          <w:rFonts w:ascii="Book Antiqua" w:hAnsi="Book Antiqua"/>
          <w:sz w:val="24"/>
          <w:szCs w:val="24"/>
          <w:lang w:val="en-US" w:eastAsia="pl-PL"/>
        </w:rPr>
        <w:t>.</w:t>
      </w:r>
    </w:p>
    <w:p w:rsidR="001B40DD" w:rsidRPr="0086525B" w:rsidRDefault="001B40DD" w:rsidP="00960B0D">
      <w:pPr>
        <w:snapToGrid w:val="0"/>
        <w:spacing w:after="0" w:line="360" w:lineRule="auto"/>
        <w:ind w:firstLineChars="50" w:firstLine="120"/>
        <w:jc w:val="both"/>
        <w:rPr>
          <w:rFonts w:ascii="Book Antiqua" w:hAnsi="Book Antiqua"/>
          <w:color w:val="0070C0"/>
          <w:sz w:val="24"/>
          <w:szCs w:val="24"/>
          <w:lang w:val="en-US"/>
        </w:rPr>
      </w:pPr>
      <w:r w:rsidRPr="0086525B">
        <w:rPr>
          <w:rFonts w:ascii="Book Antiqua" w:hAnsi="Book Antiqua"/>
          <w:sz w:val="24"/>
          <w:szCs w:val="24"/>
          <w:lang w:val="en-US" w:eastAsia="pl-PL"/>
        </w:rPr>
        <w:t xml:space="preserve">Nudo </w:t>
      </w:r>
      <w:r w:rsidR="00A421B3" w:rsidRPr="0086525B">
        <w:rPr>
          <w:rFonts w:ascii="Book Antiqua" w:hAnsi="Book Antiqua"/>
          <w:i/>
          <w:sz w:val="24"/>
          <w:szCs w:val="24"/>
          <w:lang w:val="en-US" w:eastAsia="pl-PL"/>
        </w:rPr>
        <w:t>et al</w:t>
      </w:r>
      <w:r w:rsidR="00960B0D" w:rsidRPr="0086525B">
        <w:rPr>
          <w:rFonts w:ascii="Book Antiqua" w:hAnsi="Book Antiqua"/>
          <w:sz w:val="24"/>
          <w:szCs w:val="24"/>
          <w:vertAlign w:val="superscript"/>
          <w:lang w:val="en-US" w:eastAsia="pl-PL"/>
        </w:rPr>
        <w:t>[28]</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in a Canadian multicenter study</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presented treatment outcomes of 11 patients. Four patients </w:t>
      </w:r>
      <w:r w:rsidRPr="0086525B">
        <w:rPr>
          <w:rFonts w:ascii="Book Antiqua" w:hAnsi="Book Antiqua"/>
          <w:sz w:val="24"/>
          <w:szCs w:val="24"/>
          <w:lang w:val="en-US"/>
        </w:rPr>
        <w:t xml:space="preserve">received adjuvant therapy for HEHE before OLTx </w:t>
      </w:r>
      <w:r w:rsidR="00960B0D" w:rsidRPr="0086525B">
        <w:rPr>
          <w:rFonts w:ascii="Book Antiqua" w:hAnsi="Book Antiqua"/>
          <w:sz w:val="24"/>
          <w:szCs w:val="24"/>
          <w:lang w:val="en-US" w:eastAsia="zh-CN"/>
        </w:rPr>
        <w:t>[</w:t>
      </w:r>
      <w:r w:rsidRPr="0086525B">
        <w:rPr>
          <w:rFonts w:ascii="Book Antiqua" w:hAnsi="Book Antiqua"/>
          <w:sz w:val="24"/>
          <w:szCs w:val="24"/>
          <w:lang w:val="en-US"/>
        </w:rPr>
        <w:t>interferon therapy</w:t>
      </w:r>
      <w:r w:rsidR="00960B0D" w:rsidRPr="0086525B">
        <w:rPr>
          <w:rFonts w:ascii="Book Antiqua" w:hAnsi="Book Antiqua"/>
          <w:sz w:val="24"/>
          <w:szCs w:val="24"/>
          <w:lang w:val="en-US" w:eastAsia="zh-CN"/>
        </w:rPr>
        <w:t xml:space="preserve">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w:t>
      </w:r>
      <w:r w:rsidR="00960B0D" w:rsidRPr="0086525B">
        <w:rPr>
          <w:rFonts w:ascii="Book Antiqua" w:hAnsi="Book Antiqua"/>
          <w:sz w:val="24"/>
          <w:szCs w:val="24"/>
          <w:lang w:val="en-US" w:eastAsia="zh-CN"/>
        </w:rPr>
        <w:t>)</w:t>
      </w:r>
      <w:r w:rsidRPr="0086525B">
        <w:rPr>
          <w:rFonts w:ascii="Book Antiqua" w:hAnsi="Book Antiqua"/>
          <w:sz w:val="24"/>
          <w:szCs w:val="24"/>
          <w:lang w:val="en-US"/>
        </w:rPr>
        <w:t>, splenectomy</w:t>
      </w:r>
      <w:r w:rsidR="00960B0D" w:rsidRPr="0086525B">
        <w:rPr>
          <w:rFonts w:ascii="Book Antiqua" w:hAnsi="Book Antiqua"/>
          <w:sz w:val="24"/>
          <w:szCs w:val="24"/>
          <w:lang w:val="en-US" w:eastAsia="zh-CN"/>
        </w:rPr>
        <w:t xml:space="preserve">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w:t>
      </w:r>
      <w:r w:rsidR="00960B0D" w:rsidRPr="0086525B">
        <w:rPr>
          <w:rFonts w:ascii="Book Antiqua" w:hAnsi="Book Antiqua"/>
          <w:sz w:val="24"/>
          <w:szCs w:val="24"/>
          <w:lang w:val="en-US" w:eastAsia="zh-CN"/>
        </w:rPr>
        <w:t>)</w:t>
      </w:r>
      <w:r w:rsidRPr="0086525B">
        <w:rPr>
          <w:rFonts w:ascii="Book Antiqua" w:hAnsi="Book Antiqua"/>
          <w:sz w:val="24"/>
          <w:szCs w:val="24"/>
          <w:lang w:val="en-US"/>
        </w:rPr>
        <w:t xml:space="preserve">, </w:t>
      </w:r>
      <w:r w:rsidR="00324A55" w:rsidRPr="0086525B">
        <w:rPr>
          <w:rFonts w:ascii="Book Antiqua" w:hAnsi="Book Antiqua"/>
          <w:sz w:val="24"/>
          <w:szCs w:val="24"/>
          <w:lang w:val="en-US"/>
        </w:rPr>
        <w:t>Adriamycin</w:t>
      </w:r>
      <w:r w:rsidRPr="0086525B">
        <w:rPr>
          <w:rFonts w:ascii="Book Antiqua" w:hAnsi="Book Antiqua"/>
          <w:sz w:val="24"/>
          <w:szCs w:val="24"/>
          <w:lang w:val="en-US"/>
        </w:rPr>
        <w:t xml:space="preserve"> therapy</w:t>
      </w:r>
      <w:r w:rsidR="00960B0D" w:rsidRPr="0086525B">
        <w:rPr>
          <w:rFonts w:ascii="Book Antiqua" w:hAnsi="Book Antiqua"/>
          <w:sz w:val="24"/>
          <w:szCs w:val="24"/>
          <w:lang w:val="en-US" w:eastAsia="zh-CN"/>
        </w:rPr>
        <w:t xml:space="preserve">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w:t>
      </w:r>
      <w:r w:rsidR="00960B0D" w:rsidRPr="0086525B">
        <w:rPr>
          <w:rFonts w:ascii="Book Antiqua" w:hAnsi="Book Antiqua"/>
          <w:sz w:val="24"/>
          <w:szCs w:val="24"/>
          <w:lang w:val="en-US" w:eastAsia="zh-CN"/>
        </w:rPr>
        <w:t>)</w:t>
      </w:r>
      <w:r w:rsidR="00324A55" w:rsidRPr="0086525B">
        <w:rPr>
          <w:rFonts w:ascii="Book Antiqua" w:hAnsi="Book Antiqua"/>
          <w:sz w:val="24"/>
          <w:szCs w:val="24"/>
          <w:lang w:val="en-US"/>
        </w:rPr>
        <w:t>,</w:t>
      </w:r>
      <w:r w:rsidRPr="0086525B">
        <w:rPr>
          <w:rFonts w:ascii="Book Antiqua" w:hAnsi="Book Antiqua"/>
          <w:sz w:val="24"/>
          <w:szCs w:val="24"/>
          <w:lang w:val="en-US"/>
        </w:rPr>
        <w:t xml:space="preserve"> and surgical resection</w:t>
      </w:r>
      <w:r w:rsidR="00960B0D" w:rsidRPr="0086525B">
        <w:rPr>
          <w:rFonts w:ascii="Book Antiqua" w:hAnsi="Book Antiqua"/>
          <w:sz w:val="24"/>
          <w:szCs w:val="24"/>
          <w:lang w:val="en-US" w:eastAsia="zh-CN"/>
        </w:rPr>
        <w:t xml:space="preserve"> (</w:t>
      </w:r>
      <w:r w:rsidR="000B1EBD" w:rsidRPr="0086525B">
        <w:rPr>
          <w:rFonts w:ascii="Book Antiqua" w:hAnsi="Book Antiqua"/>
          <w:i/>
          <w:sz w:val="24"/>
          <w:szCs w:val="24"/>
          <w:lang w:val="en-US"/>
        </w:rPr>
        <w:t>n</w:t>
      </w:r>
      <w:r w:rsidR="00A421B3" w:rsidRPr="0086525B">
        <w:rPr>
          <w:rFonts w:ascii="Book Antiqua" w:hAnsi="Book Antiqua"/>
          <w:sz w:val="24"/>
          <w:szCs w:val="24"/>
          <w:lang w:val="en-US"/>
        </w:rPr>
        <w:t xml:space="preserve"> = </w:t>
      </w:r>
      <w:r w:rsidRPr="0086525B">
        <w:rPr>
          <w:rFonts w:ascii="Book Antiqua" w:hAnsi="Book Antiqua"/>
          <w:sz w:val="24"/>
          <w:szCs w:val="24"/>
          <w:lang w:val="en-US"/>
        </w:rPr>
        <w:t>1</w:t>
      </w:r>
      <w:r w:rsidR="00960B0D" w:rsidRPr="0086525B">
        <w:rPr>
          <w:rFonts w:ascii="Book Antiqua" w:hAnsi="Book Antiqua"/>
          <w:sz w:val="24"/>
          <w:szCs w:val="24"/>
          <w:lang w:val="en-US" w:eastAsia="zh-CN"/>
        </w:rPr>
        <w:t>)]</w:t>
      </w:r>
      <w:r w:rsidRPr="0086525B">
        <w:rPr>
          <w:rFonts w:ascii="Book Antiqua" w:hAnsi="Book Antiqua"/>
          <w:sz w:val="24"/>
          <w:szCs w:val="24"/>
          <w:lang w:val="en-US"/>
        </w:rPr>
        <w:t>.</w:t>
      </w:r>
      <w:r w:rsidRPr="0086525B">
        <w:rPr>
          <w:rFonts w:ascii="Book Antiqua" w:hAnsi="Book Antiqua"/>
          <w:sz w:val="24"/>
          <w:szCs w:val="24"/>
          <w:lang w:val="en-US" w:eastAsia="pl-PL"/>
        </w:rPr>
        <w:t xml:space="preserve"> There was a 36.4% recurrence rate of HEHE during the follow-up (on average</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25 </w:t>
      </w:r>
      <w:r w:rsidR="0016537A" w:rsidRPr="0086525B">
        <w:rPr>
          <w:rFonts w:ascii="Book Antiqua" w:hAnsi="Book Antiqua"/>
          <w:sz w:val="24"/>
          <w:szCs w:val="24"/>
          <w:lang w:val="en-US" w:eastAsia="pl-PL"/>
        </w:rPr>
        <w:t>mo</w:t>
      </w:r>
      <w:r w:rsidRPr="0086525B">
        <w:rPr>
          <w:rFonts w:ascii="Book Antiqua" w:hAnsi="Book Antiqua"/>
          <w:sz w:val="24"/>
          <w:szCs w:val="24"/>
          <w:lang w:val="en-US" w:eastAsia="pl-PL"/>
        </w:rPr>
        <w:t xml:space="preserve"> from OLTx). Two patients with local recurrence underwent liver resection. In the </w:t>
      </w:r>
      <w:r w:rsidR="00324A55" w:rsidRPr="0086525B">
        <w:rPr>
          <w:rFonts w:ascii="Book Antiqua" w:hAnsi="Book Antiqua"/>
          <w:sz w:val="24"/>
          <w:szCs w:val="24"/>
          <w:lang w:val="en-US" w:eastAsia="pl-PL"/>
        </w:rPr>
        <w:t xml:space="preserve">2 </w:t>
      </w:r>
      <w:r w:rsidRPr="0086525B">
        <w:rPr>
          <w:rFonts w:ascii="Book Antiqua" w:hAnsi="Book Antiqua"/>
          <w:sz w:val="24"/>
          <w:szCs w:val="24"/>
          <w:lang w:val="en-US" w:eastAsia="pl-PL"/>
        </w:rPr>
        <w:t>remaining cases of recurrence</w:t>
      </w:r>
      <w:r w:rsidR="00324A55" w:rsidRPr="0086525B">
        <w:rPr>
          <w:rFonts w:ascii="Book Antiqua" w:hAnsi="Book Antiqua"/>
          <w:sz w:val="24"/>
          <w:szCs w:val="24"/>
          <w:lang w:val="en-US" w:eastAsia="pl-PL"/>
        </w:rPr>
        <w:t>,</w:t>
      </w:r>
      <w:r w:rsidRPr="0086525B">
        <w:rPr>
          <w:rFonts w:ascii="Book Antiqua" w:hAnsi="Book Antiqua"/>
          <w:sz w:val="24"/>
          <w:szCs w:val="24"/>
          <w:lang w:val="en-US" w:eastAsia="pl-PL"/>
        </w:rPr>
        <w:t xml:space="preserve"> radiotherapy or pegylated </w:t>
      </w:r>
      <w:r w:rsidR="00536791" w:rsidRPr="0086525B">
        <w:rPr>
          <w:rFonts w:ascii="Book Antiqua" w:hAnsi="Book Antiqua"/>
          <w:sz w:val="24"/>
          <w:szCs w:val="24"/>
          <w:lang w:val="en-US" w:eastAsia="pl-PL"/>
        </w:rPr>
        <w:t>interferon was</w:t>
      </w:r>
      <w:r w:rsidRPr="0086525B">
        <w:rPr>
          <w:rFonts w:ascii="Book Antiqua" w:hAnsi="Book Antiqua"/>
          <w:sz w:val="24"/>
          <w:szCs w:val="24"/>
          <w:lang w:val="en-US" w:eastAsia="pl-PL"/>
        </w:rPr>
        <w:t xml:space="preserve"> administered</w:t>
      </w:r>
      <w:r w:rsidR="003A4F5C" w:rsidRPr="0086525B">
        <w:rPr>
          <w:rFonts w:ascii="Book Antiqua" w:hAnsi="Book Antiqua"/>
          <w:sz w:val="24"/>
          <w:szCs w:val="24"/>
          <w:vertAlign w:val="superscript"/>
          <w:lang w:val="en-US" w:eastAsia="pl-PL"/>
        </w:rPr>
        <w:t>[</w:t>
      </w:r>
      <w:r w:rsidRPr="0086525B">
        <w:rPr>
          <w:rFonts w:ascii="Book Antiqua" w:hAnsi="Book Antiqua"/>
          <w:sz w:val="24"/>
          <w:szCs w:val="24"/>
          <w:vertAlign w:val="superscript"/>
          <w:lang w:val="en-US" w:eastAsia="pl-PL"/>
        </w:rPr>
        <w:t>28]</w:t>
      </w:r>
      <w:r w:rsidRPr="0086525B">
        <w:rPr>
          <w:rFonts w:ascii="Book Antiqua" w:hAnsi="Book Antiqua"/>
          <w:sz w:val="24"/>
          <w:szCs w:val="24"/>
          <w:lang w:val="en-US"/>
        </w:rPr>
        <w:t>.</w:t>
      </w:r>
    </w:p>
    <w:p w:rsidR="001B40DD" w:rsidRPr="0086525B" w:rsidRDefault="001B40DD" w:rsidP="002C7380">
      <w:pPr>
        <w:snapToGrid w:val="0"/>
        <w:spacing w:after="0" w:line="360" w:lineRule="auto"/>
        <w:ind w:firstLineChars="50" w:firstLine="120"/>
        <w:jc w:val="both"/>
        <w:rPr>
          <w:rFonts w:ascii="Book Antiqua" w:hAnsi="Book Antiqua"/>
          <w:sz w:val="24"/>
          <w:szCs w:val="24"/>
          <w:lang w:val="en-US"/>
        </w:rPr>
      </w:pPr>
      <w:r w:rsidRPr="0086525B">
        <w:rPr>
          <w:rFonts w:ascii="Book Antiqua" w:hAnsi="Book Antiqua"/>
          <w:sz w:val="24"/>
          <w:szCs w:val="24"/>
          <w:lang w:val="en-US"/>
        </w:rPr>
        <w:t xml:space="preserve">Cardinal </w:t>
      </w:r>
      <w:r w:rsidR="00A421B3" w:rsidRPr="0086525B">
        <w:rPr>
          <w:rFonts w:ascii="Book Antiqua" w:hAnsi="Book Antiqua"/>
          <w:i/>
          <w:sz w:val="24"/>
          <w:szCs w:val="24"/>
          <w:lang w:val="en-US"/>
        </w:rPr>
        <w:t>et al</w:t>
      </w:r>
      <w:r w:rsidR="002C7380" w:rsidRPr="0086525B">
        <w:rPr>
          <w:rFonts w:ascii="Book Antiqua" w:hAnsi="Book Antiqua"/>
          <w:sz w:val="24"/>
          <w:szCs w:val="24"/>
          <w:vertAlign w:val="superscript"/>
          <w:lang w:val="en-US"/>
        </w:rPr>
        <w:t>[29]</w:t>
      </w:r>
      <w:r w:rsidRPr="0086525B">
        <w:rPr>
          <w:rFonts w:ascii="Book Antiqua" w:hAnsi="Book Antiqua"/>
          <w:sz w:val="24"/>
          <w:szCs w:val="24"/>
          <w:lang w:val="en-US"/>
        </w:rPr>
        <w:t xml:space="preserve"> analyzed results of 25 patients who received treatment during 1976</w:t>
      </w:r>
      <w:r w:rsidR="00324A55" w:rsidRPr="0086525B">
        <w:rPr>
          <w:rFonts w:ascii="Book Antiqua" w:hAnsi="Book Antiqua"/>
          <w:sz w:val="24"/>
          <w:szCs w:val="24"/>
          <w:lang w:val="en-US"/>
        </w:rPr>
        <w:t>–</w:t>
      </w:r>
      <w:r w:rsidRPr="0086525B">
        <w:rPr>
          <w:rFonts w:ascii="Book Antiqua" w:hAnsi="Book Antiqua"/>
          <w:sz w:val="24"/>
          <w:szCs w:val="24"/>
          <w:lang w:val="en-US"/>
        </w:rPr>
        <w:t xml:space="preserve">2007 and found that average survival time was longer in the OLTx group (172 </w:t>
      </w:r>
      <w:r w:rsidR="0016537A" w:rsidRPr="0086525B">
        <w:rPr>
          <w:rFonts w:ascii="Book Antiqua" w:hAnsi="Book Antiqua"/>
          <w:sz w:val="24"/>
          <w:szCs w:val="24"/>
          <w:lang w:val="en-US"/>
        </w:rPr>
        <w:t>mo</w:t>
      </w:r>
      <w:r w:rsidRPr="0086525B">
        <w:rPr>
          <w:rFonts w:ascii="Book Antiqua" w:hAnsi="Book Antiqua"/>
          <w:sz w:val="24"/>
          <w:szCs w:val="24"/>
          <w:lang w:val="en-US"/>
        </w:rPr>
        <w:t xml:space="preserve">) compared to the TACE group (83 </w:t>
      </w:r>
      <w:r w:rsidR="0016537A" w:rsidRPr="0086525B">
        <w:rPr>
          <w:rFonts w:ascii="Book Antiqua" w:hAnsi="Book Antiqua"/>
          <w:sz w:val="24"/>
          <w:szCs w:val="24"/>
          <w:lang w:val="en-US"/>
        </w:rPr>
        <w:t>mo</w:t>
      </w:r>
      <w:r w:rsidRPr="0086525B">
        <w:rPr>
          <w:rFonts w:ascii="Book Antiqua" w:hAnsi="Book Antiqua"/>
          <w:sz w:val="24"/>
          <w:szCs w:val="24"/>
          <w:lang w:val="en-US"/>
        </w:rPr>
        <w:t>)</w:t>
      </w:r>
      <w:r w:rsidR="00324A55" w:rsidRPr="0086525B">
        <w:rPr>
          <w:rFonts w:ascii="Book Antiqua" w:hAnsi="Book Antiqua"/>
          <w:sz w:val="24"/>
          <w:szCs w:val="24"/>
          <w:lang w:val="en-US"/>
        </w:rPr>
        <w:t>,</w:t>
      </w:r>
      <w:r w:rsidRPr="0086525B">
        <w:rPr>
          <w:rFonts w:ascii="Book Antiqua" w:hAnsi="Book Antiqua"/>
          <w:sz w:val="24"/>
          <w:szCs w:val="24"/>
          <w:lang w:val="en-US"/>
        </w:rPr>
        <w:t xml:space="preserve"> but this difference did not reach statistical significance.</w:t>
      </w:r>
    </w:p>
    <w:p w:rsidR="002C7380" w:rsidRPr="0086525B" w:rsidRDefault="001B40DD" w:rsidP="002C7380">
      <w:pPr>
        <w:snapToGrid w:val="0"/>
        <w:spacing w:after="0" w:line="360" w:lineRule="auto"/>
        <w:ind w:firstLineChars="50" w:firstLine="120"/>
        <w:jc w:val="both"/>
        <w:rPr>
          <w:rFonts w:ascii="Book Antiqua" w:hAnsi="Book Antiqua"/>
          <w:sz w:val="24"/>
          <w:szCs w:val="24"/>
          <w:lang w:val="en-US" w:eastAsia="zh-CN"/>
        </w:rPr>
      </w:pPr>
      <w:r w:rsidRPr="0086525B">
        <w:rPr>
          <w:rFonts w:ascii="Book Antiqua" w:hAnsi="Book Antiqua"/>
          <w:sz w:val="24"/>
          <w:szCs w:val="24"/>
          <w:lang w:val="en-US"/>
        </w:rPr>
        <w:t>Liver resection should be considered the treatment of choice in patients with resectable HEHE. However</w:t>
      </w:r>
      <w:r w:rsidR="00324A55" w:rsidRPr="0086525B">
        <w:rPr>
          <w:rFonts w:ascii="Book Antiqua" w:hAnsi="Book Antiqua"/>
          <w:sz w:val="24"/>
          <w:szCs w:val="24"/>
          <w:lang w:val="en-US"/>
        </w:rPr>
        <w:t>,</w:t>
      </w:r>
      <w:r w:rsidRPr="0086525B">
        <w:rPr>
          <w:rFonts w:ascii="Book Antiqua" w:hAnsi="Book Antiqua"/>
          <w:sz w:val="24"/>
          <w:szCs w:val="24"/>
          <w:lang w:val="en-US"/>
        </w:rPr>
        <w:t xml:space="preserve"> a </w:t>
      </w:r>
      <w:r w:rsidR="00324A55" w:rsidRPr="0086525B">
        <w:rPr>
          <w:rFonts w:ascii="Book Antiqua" w:hAnsi="Book Antiqua"/>
          <w:sz w:val="24"/>
          <w:szCs w:val="24"/>
          <w:lang w:val="en-US"/>
        </w:rPr>
        <w:t xml:space="preserve">substantial </w:t>
      </w:r>
      <w:r w:rsidRPr="0086525B">
        <w:rPr>
          <w:rFonts w:ascii="Book Antiqua" w:hAnsi="Book Antiqua"/>
          <w:sz w:val="24"/>
          <w:szCs w:val="24"/>
          <w:lang w:val="en-US"/>
        </w:rPr>
        <w:t>group of patients present with locally advanced disease that is initially unresectable. The results of the present study show that OLTx is a valid and effective method of treatment in patients with unresectable HEHE.</w:t>
      </w:r>
      <w:r w:rsidR="003A4F5C" w:rsidRPr="0086525B">
        <w:rPr>
          <w:rFonts w:ascii="Book Antiqua" w:hAnsi="Book Antiqua"/>
          <w:sz w:val="24"/>
          <w:szCs w:val="24"/>
          <w:lang w:val="en-US"/>
        </w:rPr>
        <w:t xml:space="preserve"> </w:t>
      </w:r>
      <w:r w:rsidRPr="0086525B">
        <w:rPr>
          <w:rFonts w:ascii="Book Antiqua" w:hAnsi="Book Antiqua"/>
          <w:sz w:val="24"/>
          <w:szCs w:val="24"/>
          <w:lang w:val="en-US"/>
        </w:rPr>
        <w:t>The survival rates of patients after OLTx for HEHE are superior to survival rates of patients with HCC who underwent OLTx. Moreover</w:t>
      </w:r>
      <w:r w:rsidR="00324A55" w:rsidRPr="0086525B">
        <w:rPr>
          <w:rFonts w:ascii="Book Antiqua" w:hAnsi="Book Antiqua"/>
          <w:sz w:val="24"/>
          <w:szCs w:val="24"/>
          <w:lang w:val="en-US"/>
        </w:rPr>
        <w:t>,</w:t>
      </w:r>
      <w:r w:rsidRPr="0086525B">
        <w:rPr>
          <w:rFonts w:ascii="Book Antiqua" w:hAnsi="Book Antiqua"/>
          <w:sz w:val="24"/>
          <w:szCs w:val="24"/>
          <w:lang w:val="en-US"/>
        </w:rPr>
        <w:t xml:space="preserve"> the survival of HEHE patients was better than the survival </w:t>
      </w:r>
      <w:r w:rsidRPr="0086525B">
        <w:rPr>
          <w:rFonts w:ascii="Book Antiqua" w:hAnsi="Book Antiqua"/>
          <w:sz w:val="24"/>
          <w:szCs w:val="24"/>
          <w:lang w:val="en-US"/>
        </w:rPr>
        <w:lastRenderedPageBreak/>
        <w:t xml:space="preserve">of patients transplanted for other indications. The </w:t>
      </w:r>
      <w:r w:rsidR="00324A55" w:rsidRPr="0086525B">
        <w:rPr>
          <w:rFonts w:ascii="Book Antiqua" w:hAnsi="Book Antiqua"/>
          <w:sz w:val="24"/>
          <w:szCs w:val="24"/>
          <w:lang w:val="en-US"/>
        </w:rPr>
        <w:t xml:space="preserve">small </w:t>
      </w:r>
      <w:r w:rsidRPr="0086525B">
        <w:rPr>
          <w:rFonts w:ascii="Book Antiqua" w:hAnsi="Book Antiqua"/>
          <w:sz w:val="24"/>
          <w:szCs w:val="24"/>
          <w:lang w:val="en-US"/>
        </w:rPr>
        <w:t>number of patients in the HEHE group compared to the other groups of patients has to be considered</w:t>
      </w:r>
      <w:r w:rsidR="00324A55" w:rsidRPr="0086525B">
        <w:rPr>
          <w:rFonts w:ascii="Book Antiqua" w:hAnsi="Book Antiqua"/>
          <w:sz w:val="24"/>
          <w:szCs w:val="24"/>
          <w:lang w:val="en-US"/>
        </w:rPr>
        <w:t>,</w:t>
      </w:r>
      <w:r w:rsidRPr="0086525B">
        <w:rPr>
          <w:rFonts w:ascii="Book Antiqua" w:hAnsi="Book Antiqua"/>
          <w:sz w:val="24"/>
          <w:szCs w:val="24"/>
          <w:lang w:val="en-US"/>
        </w:rPr>
        <w:t xml:space="preserve"> since it may lead to a significant statistical bias. The outcomes presented in the present study are comparable to the best outcomes published in the current literature. The authors of the current study suggest following a reasonable qualification protocol that enables selection of an appropriate treatment for a specific patient. In the study group</w:t>
      </w:r>
      <w:r w:rsidR="00324A55" w:rsidRPr="0086525B">
        <w:rPr>
          <w:rFonts w:ascii="Book Antiqua" w:hAnsi="Book Antiqua"/>
          <w:sz w:val="24"/>
          <w:szCs w:val="24"/>
          <w:lang w:val="en-US"/>
        </w:rPr>
        <w:t>,</w:t>
      </w:r>
      <w:r w:rsidRPr="0086525B">
        <w:rPr>
          <w:rFonts w:ascii="Book Antiqua" w:hAnsi="Book Antiqua"/>
          <w:sz w:val="24"/>
          <w:szCs w:val="24"/>
          <w:lang w:val="en-US"/>
        </w:rPr>
        <w:t xml:space="preserve"> all of the patients presented with the disease limited to the liver</w:t>
      </w:r>
      <w:r w:rsidR="00324A55" w:rsidRPr="0086525B">
        <w:rPr>
          <w:rFonts w:ascii="Book Antiqua" w:hAnsi="Book Antiqua"/>
          <w:sz w:val="24"/>
          <w:szCs w:val="24"/>
          <w:lang w:val="en-US"/>
        </w:rPr>
        <w:t>,</w:t>
      </w:r>
      <w:r w:rsidRPr="0086525B">
        <w:rPr>
          <w:rFonts w:ascii="Book Antiqua" w:hAnsi="Book Antiqua"/>
          <w:sz w:val="24"/>
          <w:szCs w:val="24"/>
          <w:lang w:val="en-US"/>
        </w:rPr>
        <w:t xml:space="preserve"> which might positively influence the outcomes</w:t>
      </w:r>
      <w:r w:rsidR="00324A55" w:rsidRPr="0086525B">
        <w:rPr>
          <w:rFonts w:ascii="Book Antiqua" w:hAnsi="Book Antiqua"/>
          <w:sz w:val="24"/>
          <w:szCs w:val="24"/>
          <w:lang w:val="en-US"/>
        </w:rPr>
        <w:t>,</w:t>
      </w:r>
      <w:r w:rsidRPr="0086525B">
        <w:rPr>
          <w:rFonts w:ascii="Book Antiqua" w:hAnsi="Book Antiqua"/>
          <w:sz w:val="24"/>
          <w:szCs w:val="24"/>
          <w:lang w:val="en-US"/>
        </w:rPr>
        <w:t xml:space="preserve"> but most of the authors do not consider extrahepatic lesions a contraindication to OLTx. The use of multiple methods of treatment may result in some benefits for survival related to </w:t>
      </w:r>
      <w:r w:rsidR="00324A55" w:rsidRPr="0086525B">
        <w:rPr>
          <w:rFonts w:ascii="Book Antiqua" w:hAnsi="Book Antiqua"/>
          <w:sz w:val="24"/>
          <w:szCs w:val="24"/>
          <w:lang w:val="en-US"/>
        </w:rPr>
        <w:t xml:space="preserve">the </w:t>
      </w:r>
      <w:r w:rsidRPr="0086525B">
        <w:rPr>
          <w:rFonts w:ascii="Book Antiqua" w:hAnsi="Book Antiqua"/>
          <w:sz w:val="24"/>
          <w:szCs w:val="24"/>
          <w:lang w:val="en-US"/>
        </w:rPr>
        <w:t>presumed synergistic effect of combined surgery and chemotherapy, radiotherapy</w:t>
      </w:r>
      <w:r w:rsidR="00324A55" w:rsidRPr="0086525B">
        <w:rPr>
          <w:rFonts w:ascii="Book Antiqua" w:hAnsi="Book Antiqua"/>
          <w:sz w:val="24"/>
          <w:szCs w:val="24"/>
          <w:lang w:val="en-US"/>
        </w:rPr>
        <w:t>,</w:t>
      </w:r>
      <w:r w:rsidRPr="0086525B">
        <w:rPr>
          <w:rFonts w:ascii="Book Antiqua" w:hAnsi="Book Antiqua"/>
          <w:sz w:val="24"/>
          <w:szCs w:val="24"/>
          <w:lang w:val="en-US"/>
        </w:rPr>
        <w:t xml:space="preserve"> or TACE. Further studies are necessary to refine treatment protocols in HEHE</w:t>
      </w:r>
      <w:r w:rsidR="00324A55" w:rsidRPr="0086525B">
        <w:rPr>
          <w:rFonts w:ascii="Book Antiqua" w:hAnsi="Book Antiqua"/>
          <w:sz w:val="24"/>
          <w:szCs w:val="24"/>
          <w:lang w:val="en-US"/>
        </w:rPr>
        <w:t>,</w:t>
      </w:r>
      <w:r w:rsidRPr="0086525B">
        <w:rPr>
          <w:rFonts w:ascii="Book Antiqua" w:hAnsi="Book Antiqua"/>
          <w:sz w:val="24"/>
          <w:szCs w:val="24"/>
          <w:lang w:val="en-US"/>
        </w:rPr>
        <w:t xml:space="preserve"> but it may be impossible to </w:t>
      </w:r>
      <w:r w:rsidR="00324A55" w:rsidRPr="0086525B">
        <w:rPr>
          <w:rFonts w:ascii="Book Antiqua" w:hAnsi="Book Antiqua"/>
          <w:sz w:val="24"/>
          <w:szCs w:val="24"/>
          <w:lang w:val="en-US"/>
        </w:rPr>
        <w:t>produce</w:t>
      </w:r>
      <w:r w:rsidRPr="0086525B">
        <w:rPr>
          <w:rFonts w:ascii="Book Antiqua" w:hAnsi="Book Antiqua"/>
          <w:sz w:val="24"/>
          <w:szCs w:val="24"/>
          <w:lang w:val="en-US"/>
        </w:rPr>
        <w:t xml:space="preserve"> good</w:t>
      </w:r>
      <w:r w:rsidR="00324A55" w:rsidRPr="0086525B">
        <w:rPr>
          <w:rFonts w:ascii="Book Antiqua" w:hAnsi="Book Antiqua"/>
          <w:sz w:val="24"/>
          <w:szCs w:val="24"/>
          <w:lang w:val="en-US"/>
        </w:rPr>
        <w:t>-</w:t>
      </w:r>
      <w:r w:rsidRPr="0086525B">
        <w:rPr>
          <w:rFonts w:ascii="Book Antiqua" w:hAnsi="Book Antiqua"/>
          <w:sz w:val="24"/>
          <w:szCs w:val="24"/>
          <w:lang w:val="en-US"/>
        </w:rPr>
        <w:t xml:space="preserve">quality </w:t>
      </w:r>
      <w:r w:rsidR="00324A55" w:rsidRPr="0086525B">
        <w:rPr>
          <w:rFonts w:ascii="Book Antiqua" w:hAnsi="Book Antiqua"/>
          <w:sz w:val="24"/>
          <w:szCs w:val="24"/>
          <w:lang w:val="en-US"/>
        </w:rPr>
        <w:t>e</w:t>
      </w:r>
      <w:r w:rsidRPr="0086525B">
        <w:rPr>
          <w:rFonts w:ascii="Book Antiqua" w:hAnsi="Book Antiqua"/>
          <w:sz w:val="24"/>
          <w:szCs w:val="24"/>
          <w:lang w:val="en-US"/>
        </w:rPr>
        <w:t>vidence due to the very low incidence of the tumor.</w:t>
      </w:r>
    </w:p>
    <w:p w:rsidR="002C7380" w:rsidRPr="0086525B" w:rsidRDefault="002C7380" w:rsidP="002C7380">
      <w:pPr>
        <w:autoSpaceDE w:val="0"/>
        <w:autoSpaceDN w:val="0"/>
        <w:adjustRightInd w:val="0"/>
        <w:snapToGrid w:val="0"/>
        <w:spacing w:after="0" w:line="360" w:lineRule="auto"/>
        <w:jc w:val="both"/>
        <w:rPr>
          <w:rFonts w:ascii="Book Antiqua" w:hAnsi="Book Antiqua"/>
          <w:sz w:val="24"/>
          <w:szCs w:val="24"/>
          <w:lang w:val="en-US" w:eastAsia="zh-CN"/>
        </w:rPr>
      </w:pPr>
      <w:bookmarkStart w:id="335" w:name="OLE_LINK685"/>
      <w:bookmarkStart w:id="336" w:name="OLE_LINK849"/>
      <w:bookmarkStart w:id="337" w:name="OLE_LINK936"/>
      <w:bookmarkStart w:id="338" w:name="OLE_LINK937"/>
      <w:bookmarkStart w:id="339" w:name="OLE_LINK938"/>
      <w:bookmarkStart w:id="340" w:name="OLE_LINK939"/>
      <w:bookmarkStart w:id="341" w:name="OLE_LINK940"/>
      <w:bookmarkStart w:id="342" w:name="OLE_LINK941"/>
      <w:bookmarkStart w:id="343" w:name="OLE_LINK1153"/>
      <w:bookmarkStart w:id="344" w:name="OLE_LINK1001"/>
      <w:bookmarkStart w:id="345" w:name="OLE_LINK1166"/>
      <w:bookmarkStart w:id="346" w:name="OLE_LINK1167"/>
      <w:bookmarkStart w:id="347" w:name="OLE_LINK1233"/>
      <w:bookmarkStart w:id="348" w:name="OLE_LINK1234"/>
      <w:bookmarkStart w:id="349" w:name="OLE_LINK1253"/>
      <w:bookmarkStart w:id="350" w:name="OLE_LINK1275"/>
      <w:bookmarkStart w:id="351" w:name="OLE_LINK1345"/>
      <w:bookmarkStart w:id="352" w:name="OLE_LINK1067"/>
      <w:bookmarkStart w:id="353" w:name="OLE_LINK1069"/>
      <w:bookmarkStart w:id="354" w:name="OLE_LINK1557"/>
      <w:bookmarkStart w:id="355" w:name="OLE_LINK1591"/>
      <w:bookmarkStart w:id="356" w:name="OLE_LINK1592"/>
      <w:bookmarkStart w:id="357" w:name="OLE_LINK1605"/>
      <w:bookmarkStart w:id="358" w:name="OLE_LINK1645"/>
      <w:bookmarkStart w:id="359" w:name="OLE_LINK1659"/>
      <w:bookmarkStart w:id="360" w:name="OLE_LINK1692"/>
      <w:bookmarkStart w:id="361" w:name="OLE_LINK1693"/>
      <w:bookmarkStart w:id="362" w:name="OLE_LINK1702"/>
      <w:bookmarkStart w:id="363" w:name="OLE_LINK1703"/>
      <w:bookmarkStart w:id="364" w:name="OLE_LINK1785"/>
      <w:bookmarkStart w:id="365" w:name="OLE_LINK1806"/>
      <w:bookmarkStart w:id="366" w:name="OLE_LINK1932"/>
      <w:bookmarkStart w:id="367" w:name="OLE_LINK1934"/>
      <w:bookmarkStart w:id="368" w:name="OLE_LINK2037"/>
      <w:bookmarkStart w:id="369" w:name="OLE_LINK2073"/>
      <w:bookmarkStart w:id="370" w:name="OLE_LINK2089"/>
      <w:bookmarkStart w:id="371" w:name="OLE_LINK2172"/>
      <w:bookmarkStart w:id="372" w:name="OLE_LINK2173"/>
      <w:bookmarkStart w:id="373" w:name="OLE_LINK2257"/>
      <w:bookmarkStart w:id="374" w:name="OLE_LINK2534"/>
      <w:bookmarkStart w:id="375" w:name="OLE_LINK2480"/>
      <w:bookmarkStart w:id="376" w:name="OLE_LINK2498"/>
      <w:bookmarkStart w:id="377" w:name="OLE_LINK2500"/>
      <w:bookmarkStart w:id="378" w:name="OLE_LINK2501"/>
      <w:bookmarkStart w:id="379" w:name="OLE_LINK2561"/>
      <w:bookmarkStart w:id="380" w:name="OLE_LINK902"/>
      <w:bookmarkStart w:id="381" w:name="OLE_LINK903"/>
      <w:bookmarkStart w:id="382" w:name="OLE_LINK904"/>
      <w:bookmarkStart w:id="383" w:name="OLE_LINK905"/>
      <w:bookmarkStart w:id="384" w:name="OLE_LINK1827"/>
      <w:bookmarkStart w:id="385" w:name="OLE_LINK1828"/>
      <w:bookmarkStart w:id="386" w:name="OLE_LINK1829"/>
      <w:bookmarkStart w:id="387" w:name="OLE_LINK2351"/>
      <w:bookmarkStart w:id="388" w:name="OLE_LINK2353"/>
      <w:bookmarkStart w:id="389" w:name="OLE_LINK2354"/>
      <w:bookmarkStart w:id="390" w:name="OLE_LINK2355"/>
    </w:p>
    <w:p w:rsidR="002C7380" w:rsidRPr="0086525B" w:rsidRDefault="002C7380" w:rsidP="002C7380">
      <w:pPr>
        <w:autoSpaceDE w:val="0"/>
        <w:autoSpaceDN w:val="0"/>
        <w:adjustRightInd w:val="0"/>
        <w:snapToGrid w:val="0"/>
        <w:spacing w:after="0" w:line="360" w:lineRule="auto"/>
        <w:jc w:val="both"/>
        <w:rPr>
          <w:rFonts w:ascii="Book Antiqua" w:hAnsi="Book Antiqua"/>
          <w:b/>
          <w:bCs/>
          <w:color w:val="000000"/>
          <w:sz w:val="24"/>
          <w:szCs w:val="24"/>
          <w:lang w:val="en-US"/>
        </w:rPr>
      </w:pPr>
      <w:r w:rsidRPr="0086525B">
        <w:rPr>
          <w:rFonts w:ascii="Book Antiqua" w:hAnsi="Book Antiqua"/>
          <w:b/>
          <w:bCs/>
          <w:color w:val="000000"/>
          <w:sz w:val="24"/>
          <w:szCs w:val="24"/>
          <w:lang w:val="en-US"/>
        </w:rPr>
        <w:t>COMMENTS</w:t>
      </w:r>
    </w:p>
    <w:p w:rsidR="002C7380" w:rsidRPr="0086525B" w:rsidRDefault="002C7380" w:rsidP="002C7380">
      <w:pPr>
        <w:adjustRightInd w:val="0"/>
        <w:snapToGrid w:val="0"/>
        <w:spacing w:after="0" w:line="360" w:lineRule="auto"/>
        <w:jc w:val="both"/>
        <w:rPr>
          <w:rFonts w:ascii="Book Antiqua" w:hAnsi="Book Antiqua"/>
          <w:b/>
          <w:bCs/>
          <w:i/>
          <w:sz w:val="24"/>
          <w:szCs w:val="24"/>
          <w:lang w:val="en-US"/>
        </w:rPr>
      </w:pPr>
      <w:bookmarkStart w:id="391" w:name="OLE_LINK614"/>
      <w:bookmarkStart w:id="392" w:name="OLE_LINK615"/>
      <w:bookmarkStart w:id="393" w:name="OLE_LINK843"/>
      <w:bookmarkStart w:id="394" w:name="OLE_LINK844"/>
      <w:r w:rsidRPr="0086525B">
        <w:rPr>
          <w:rFonts w:ascii="Book Antiqua" w:hAnsi="Book Antiqua"/>
          <w:b/>
          <w:bCs/>
          <w:i/>
          <w:sz w:val="24"/>
          <w:szCs w:val="24"/>
          <w:lang w:val="en-US"/>
        </w:rPr>
        <w:t>Background</w:t>
      </w:r>
    </w:p>
    <w:bookmarkEnd w:id="391"/>
    <w:bookmarkEnd w:id="392"/>
    <w:p w:rsidR="002C7380" w:rsidRPr="0086525B" w:rsidRDefault="002C7380" w:rsidP="002C7380">
      <w:pPr>
        <w:adjustRightInd w:val="0"/>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Epithelioid hemangioendothelioma (EHE) is a rare tumor of endothelial and connective tissue origin. EHEs are found in soft tissue and internal organs. The most commonly affected organ is the liver. Hepatic EHE (HEHE) is typically diagnosed in young females 20–40 years. Most patients present with disseminated disease, which usually involves both lobes of the liver. The treatment options include surgery (liver resection and transplantation), chemotherapy, transarterial chemoembolization (TACE), radiotherapy, a</w:t>
      </w:r>
      <w:r w:rsidR="006A67CC" w:rsidRPr="0086525B">
        <w:rPr>
          <w:rFonts w:ascii="Book Antiqua" w:hAnsi="Book Antiqua"/>
          <w:sz w:val="24"/>
          <w:szCs w:val="24"/>
          <w:lang w:val="en-US"/>
        </w:rPr>
        <w:t>nd radiofrequency ablation</w:t>
      </w:r>
      <w:r w:rsidRPr="0086525B">
        <w:rPr>
          <w:rFonts w:ascii="Book Antiqua" w:hAnsi="Book Antiqua"/>
          <w:sz w:val="24"/>
          <w:szCs w:val="24"/>
          <w:lang w:val="en-US"/>
        </w:rPr>
        <w:t>. Multifocal unresectable HEHE may be an indication for liver transplantation (OLTx).</w:t>
      </w:r>
    </w:p>
    <w:p w:rsidR="002C7380" w:rsidRPr="0086525B" w:rsidRDefault="002C7380" w:rsidP="002C7380">
      <w:pPr>
        <w:adjustRightInd w:val="0"/>
        <w:snapToGrid w:val="0"/>
        <w:spacing w:after="0" w:line="360" w:lineRule="auto"/>
        <w:jc w:val="both"/>
        <w:rPr>
          <w:rFonts w:ascii="Book Antiqua" w:hAnsi="Book Antiqua"/>
          <w:sz w:val="24"/>
          <w:szCs w:val="24"/>
          <w:lang w:val="en-US" w:eastAsia="zh-CN"/>
        </w:rPr>
      </w:pPr>
    </w:p>
    <w:p w:rsidR="002C7380" w:rsidRPr="0086525B" w:rsidRDefault="002C7380" w:rsidP="002C7380">
      <w:pPr>
        <w:adjustRightInd w:val="0"/>
        <w:snapToGrid w:val="0"/>
        <w:spacing w:after="0" w:line="360" w:lineRule="auto"/>
        <w:jc w:val="both"/>
        <w:rPr>
          <w:rFonts w:ascii="Book Antiqua" w:hAnsi="Book Antiqua"/>
          <w:b/>
          <w:bCs/>
          <w:i/>
          <w:sz w:val="24"/>
          <w:szCs w:val="24"/>
          <w:lang w:val="en-US"/>
        </w:rPr>
      </w:pPr>
      <w:r w:rsidRPr="0086525B">
        <w:rPr>
          <w:rFonts w:ascii="Book Antiqua" w:hAnsi="Book Antiqua"/>
          <w:b/>
          <w:bCs/>
          <w:i/>
          <w:sz w:val="24"/>
          <w:szCs w:val="24"/>
          <w:lang w:val="en-US"/>
        </w:rPr>
        <w:t>Research frontiers</w:t>
      </w:r>
    </w:p>
    <w:p w:rsidR="002C7380" w:rsidRPr="0086525B" w:rsidRDefault="002C7380" w:rsidP="002C7380">
      <w:pPr>
        <w:adjustRightInd w:val="0"/>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 xml:space="preserve">Adequate selection for liver is of utmost importance among patients with liver tumors. The comparison of outcomes in liver transplantation for HEHE </w:t>
      </w:r>
      <w:r w:rsidRPr="0086525B">
        <w:rPr>
          <w:rFonts w:ascii="Book Antiqua" w:hAnsi="Book Antiqua"/>
          <w:sz w:val="24"/>
          <w:szCs w:val="24"/>
          <w:lang w:val="en-US"/>
        </w:rPr>
        <w:lastRenderedPageBreak/>
        <w:t>with outcomes in patients with other tumors, especially hepatocellular carcinoma (HCC), provides a good basis for decision-making in this type of indication for transplantation.</w:t>
      </w:r>
    </w:p>
    <w:p w:rsidR="002C7380" w:rsidRPr="0086525B" w:rsidRDefault="002C7380" w:rsidP="002C7380">
      <w:pPr>
        <w:adjustRightInd w:val="0"/>
        <w:snapToGrid w:val="0"/>
        <w:spacing w:after="0" w:line="360" w:lineRule="auto"/>
        <w:jc w:val="both"/>
        <w:rPr>
          <w:rFonts w:ascii="Book Antiqua" w:hAnsi="Book Antiqua"/>
          <w:sz w:val="24"/>
          <w:szCs w:val="24"/>
          <w:lang w:val="en-US" w:eastAsia="zh-CN"/>
        </w:rPr>
      </w:pPr>
    </w:p>
    <w:p w:rsidR="002C7380" w:rsidRPr="0086525B" w:rsidRDefault="002C7380" w:rsidP="002C7380">
      <w:pPr>
        <w:adjustRightInd w:val="0"/>
        <w:snapToGrid w:val="0"/>
        <w:spacing w:after="0" w:line="360" w:lineRule="auto"/>
        <w:jc w:val="both"/>
        <w:rPr>
          <w:rFonts w:ascii="Book Antiqua" w:hAnsi="Book Antiqua"/>
          <w:b/>
          <w:bCs/>
          <w:i/>
          <w:sz w:val="24"/>
          <w:szCs w:val="24"/>
          <w:lang w:val="en-US"/>
        </w:rPr>
      </w:pPr>
      <w:bookmarkStart w:id="395" w:name="OLE_LINK1860"/>
      <w:bookmarkStart w:id="396" w:name="OLE_LINK1861"/>
      <w:r w:rsidRPr="0086525B">
        <w:rPr>
          <w:rFonts w:ascii="Book Antiqua" w:hAnsi="Book Antiqua"/>
          <w:b/>
          <w:bCs/>
          <w:i/>
          <w:sz w:val="24"/>
          <w:szCs w:val="24"/>
          <w:lang w:val="en-US"/>
        </w:rPr>
        <w:t xml:space="preserve">Applications </w:t>
      </w:r>
    </w:p>
    <w:p w:rsidR="002C7380" w:rsidRPr="0086525B" w:rsidRDefault="002C7380" w:rsidP="002C7380">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The results of the present study show that OLTx is a valid and effective method of treatment in patients with unresectable HEHE. A reasonable qualification protocol that enables selection of an appropriate treatment for a specific patient is needed. The use of multiple methods of treatment may result in some benefits for survival related to the presumed synergistic effect of combined surgery and chemotherapy, radiotherapy, or TACE. Further studies are necessary to refine treatment protocols in HEHE but it may be impossible to produce good-quality evidence due to the very low incidence of the tumor.</w:t>
      </w:r>
    </w:p>
    <w:p w:rsidR="002C7380" w:rsidRPr="0086525B" w:rsidRDefault="002C7380" w:rsidP="002C7380">
      <w:pPr>
        <w:adjustRightInd w:val="0"/>
        <w:snapToGrid w:val="0"/>
        <w:spacing w:after="0" w:line="360" w:lineRule="auto"/>
        <w:jc w:val="both"/>
        <w:rPr>
          <w:rFonts w:ascii="Book Antiqua" w:hAnsi="Book Antiqua"/>
          <w:sz w:val="24"/>
          <w:szCs w:val="24"/>
          <w:lang w:val="en-US" w:eastAsia="zh-CN"/>
        </w:rPr>
      </w:pPr>
      <w:bookmarkStart w:id="397" w:name="OLE_LINK2204"/>
      <w:bookmarkStart w:id="398" w:name="OLE_LINK2135"/>
      <w:bookmarkStart w:id="399" w:name="OLE_LINK2585"/>
      <w:bookmarkStart w:id="400" w:name="OLE_LINK2586"/>
      <w:bookmarkStart w:id="401" w:name="OLE_LINK2709"/>
      <w:bookmarkStart w:id="402" w:name="OLE_LINK2926"/>
      <w:bookmarkEnd w:id="395"/>
      <w:bookmarkEnd w:id="396"/>
    </w:p>
    <w:p w:rsidR="002C7380" w:rsidRPr="0086525B" w:rsidRDefault="002C7380" w:rsidP="002C7380">
      <w:pPr>
        <w:adjustRightInd w:val="0"/>
        <w:snapToGrid w:val="0"/>
        <w:spacing w:after="0" w:line="360" w:lineRule="auto"/>
        <w:jc w:val="both"/>
        <w:rPr>
          <w:rFonts w:ascii="Book Antiqua" w:hAnsi="Book Antiqua"/>
          <w:b/>
          <w:bCs/>
          <w:i/>
          <w:sz w:val="24"/>
          <w:szCs w:val="24"/>
          <w:lang w:val="en-US"/>
        </w:rPr>
      </w:pPr>
      <w:r w:rsidRPr="0086525B">
        <w:rPr>
          <w:rFonts w:ascii="Book Antiqua" w:hAnsi="Book Antiqua"/>
          <w:b/>
          <w:bCs/>
          <w:i/>
          <w:sz w:val="24"/>
          <w:szCs w:val="24"/>
          <w:lang w:val="en-US"/>
        </w:rPr>
        <w:t>Peer review</w:t>
      </w:r>
    </w:p>
    <w:p w:rsidR="002C7380" w:rsidRPr="0086525B" w:rsidRDefault="002C7380" w:rsidP="002C7380">
      <w:pPr>
        <w:snapToGrid w:val="0"/>
        <w:spacing w:after="0" w:line="360" w:lineRule="auto"/>
        <w:jc w:val="both"/>
        <w:rPr>
          <w:rFonts w:ascii="Book Antiqua" w:eastAsia="Calibri" w:hAnsi="Book Antiqua"/>
          <w:sz w:val="24"/>
          <w:szCs w:val="24"/>
          <w:lang w:val="en-US"/>
        </w:rPr>
      </w:pPr>
      <w:r w:rsidRPr="0086525B">
        <w:rPr>
          <w:rFonts w:ascii="Book Antiqua" w:eastAsia="Calibri" w:hAnsi="Book Antiqua"/>
          <w:sz w:val="24"/>
          <w:szCs w:val="24"/>
          <w:lang w:val="en-US"/>
        </w:rPr>
        <w:t>The authors described a series of 10 HEHE cases that were candidates for liver transplantation. As reported by the authors, the outcome was very good compared to HCC and other liver diseases as a whole.</w:t>
      </w:r>
      <w:r w:rsidRPr="0086525B">
        <w:rPr>
          <w:rFonts w:ascii="Book Antiqua" w:hAnsi="Book Antiqua"/>
          <w:sz w:val="24"/>
          <w:szCs w:val="24"/>
          <w:lang w:val="en-US" w:eastAsia="zh-CN"/>
        </w:rPr>
        <w:t xml:space="preserve"> </w:t>
      </w:r>
      <w:r w:rsidRPr="0086525B">
        <w:rPr>
          <w:rFonts w:ascii="Book Antiqua" w:eastAsia="Calibri" w:hAnsi="Book Antiqua"/>
          <w:sz w:val="24"/>
          <w:szCs w:val="24"/>
          <w:lang w:val="en-US"/>
        </w:rPr>
        <w:t>In general, the article is interesting and represent the experience of a single center, adding a new experience to other published reports, which were well-discussed by the authors.</w:t>
      </w:r>
    </w:p>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3"/>
    <w:bookmarkEnd w:id="394"/>
    <w:bookmarkEnd w:id="397"/>
    <w:bookmarkEnd w:id="398"/>
    <w:bookmarkEnd w:id="399"/>
    <w:bookmarkEnd w:id="400"/>
    <w:bookmarkEnd w:id="401"/>
    <w:bookmarkEnd w:id="402"/>
    <w:p w:rsidR="00201A92" w:rsidRPr="0086525B" w:rsidRDefault="00201A92" w:rsidP="002C7380">
      <w:pPr>
        <w:snapToGrid w:val="0"/>
        <w:spacing w:after="0" w:line="360" w:lineRule="auto"/>
        <w:ind w:firstLineChars="50" w:firstLine="120"/>
        <w:jc w:val="both"/>
        <w:rPr>
          <w:rFonts w:ascii="Book Antiqua" w:hAnsi="Book Antiqua"/>
          <w:sz w:val="24"/>
          <w:szCs w:val="24"/>
          <w:lang w:val="en-US" w:eastAsia="pl-PL"/>
        </w:rPr>
      </w:pPr>
    </w:p>
    <w:p w:rsidR="00523788" w:rsidRPr="0086525B" w:rsidRDefault="002C7380" w:rsidP="006A67CC">
      <w:pPr>
        <w:adjustRightInd w:val="0"/>
        <w:snapToGrid w:val="0"/>
        <w:spacing w:after="0" w:line="360" w:lineRule="auto"/>
        <w:jc w:val="both"/>
        <w:rPr>
          <w:rFonts w:ascii="Book Antiqua" w:hAnsi="Book Antiqua"/>
          <w:b/>
          <w:sz w:val="24"/>
          <w:szCs w:val="24"/>
          <w:lang w:val="en-US" w:eastAsia="zh-CN"/>
        </w:rPr>
      </w:pPr>
      <w:bookmarkStart w:id="403" w:name="OLE_LINK1290"/>
      <w:bookmarkStart w:id="404" w:name="OLE_LINK1291"/>
      <w:bookmarkStart w:id="405" w:name="OLE_LINK534"/>
      <w:r w:rsidRPr="0086525B">
        <w:rPr>
          <w:rFonts w:ascii="Book Antiqua" w:hAnsi="Book Antiqua"/>
          <w:b/>
          <w:sz w:val="24"/>
          <w:szCs w:val="24"/>
          <w:lang w:val="en-US"/>
        </w:rPr>
        <w:t>REFERENCES</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1 </w:t>
      </w:r>
      <w:r w:rsidRPr="0086525B">
        <w:rPr>
          <w:rFonts w:ascii="Book Antiqua" w:hAnsi="Book Antiqua" w:cs="宋体"/>
          <w:b/>
          <w:bCs/>
          <w:sz w:val="24"/>
          <w:szCs w:val="24"/>
          <w:lang w:val="en-US" w:eastAsia="zh-CN"/>
        </w:rPr>
        <w:t>Weiss SW</w:t>
      </w:r>
      <w:r w:rsidRPr="0086525B">
        <w:rPr>
          <w:rFonts w:ascii="Book Antiqua" w:hAnsi="Book Antiqua" w:cs="宋体"/>
          <w:sz w:val="24"/>
          <w:szCs w:val="24"/>
          <w:lang w:val="en-US" w:eastAsia="zh-CN"/>
        </w:rPr>
        <w:t>, Enzinger FM. Epithelioid hemangioendothelioma: a vascular tumor often mistaken for a carcinoma. </w:t>
      </w:r>
      <w:r w:rsidRPr="0086525B">
        <w:rPr>
          <w:rFonts w:ascii="Book Antiqua" w:hAnsi="Book Antiqua" w:cs="宋体"/>
          <w:i/>
          <w:iCs/>
          <w:sz w:val="24"/>
          <w:szCs w:val="24"/>
          <w:lang w:val="en-US" w:eastAsia="zh-CN"/>
        </w:rPr>
        <w:t>Cancer</w:t>
      </w:r>
      <w:r w:rsidRPr="0086525B">
        <w:rPr>
          <w:rFonts w:ascii="Book Antiqua" w:hAnsi="Book Antiqua" w:cs="宋体"/>
          <w:sz w:val="24"/>
          <w:szCs w:val="24"/>
          <w:lang w:val="en-US" w:eastAsia="zh-CN"/>
        </w:rPr>
        <w:t> 1982; </w:t>
      </w:r>
      <w:r w:rsidRPr="0086525B">
        <w:rPr>
          <w:rFonts w:ascii="Book Antiqua" w:hAnsi="Book Antiqua" w:cs="宋体"/>
          <w:b/>
          <w:bCs/>
          <w:sz w:val="24"/>
          <w:szCs w:val="24"/>
          <w:lang w:val="en-US" w:eastAsia="zh-CN"/>
        </w:rPr>
        <w:t>50</w:t>
      </w:r>
      <w:r w:rsidRPr="0086525B">
        <w:rPr>
          <w:rFonts w:ascii="Book Antiqua" w:hAnsi="Book Antiqua" w:cs="宋体"/>
          <w:sz w:val="24"/>
          <w:szCs w:val="24"/>
          <w:lang w:val="en-US" w:eastAsia="zh-CN"/>
        </w:rPr>
        <w:t>: 970-981 [PMID: 7093931 DOI: 10.1002/1097-0142(19820901)50: 5&lt;970: : AID-CNCR2820500527&gt;3.0.CO; 2-Z]</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2 </w:t>
      </w:r>
      <w:r w:rsidRPr="0086525B">
        <w:rPr>
          <w:rFonts w:ascii="Book Antiqua" w:hAnsi="Book Antiqua" w:cs="宋体"/>
          <w:b/>
          <w:bCs/>
          <w:sz w:val="24"/>
          <w:szCs w:val="24"/>
          <w:lang w:val="en-US" w:eastAsia="zh-CN"/>
        </w:rPr>
        <w:t>Hertl M</w:t>
      </w:r>
      <w:r w:rsidRPr="0086525B">
        <w:rPr>
          <w:rFonts w:ascii="Book Antiqua" w:hAnsi="Book Antiqua" w:cs="宋体"/>
          <w:sz w:val="24"/>
          <w:szCs w:val="24"/>
          <w:lang w:val="en-US" w:eastAsia="zh-CN"/>
        </w:rPr>
        <w:t>, Cosimi AB. Liver transplantation for malignancy. </w:t>
      </w:r>
      <w:r w:rsidRPr="0086525B">
        <w:rPr>
          <w:rFonts w:ascii="Book Antiqua" w:hAnsi="Book Antiqua" w:cs="宋体"/>
          <w:i/>
          <w:iCs/>
          <w:sz w:val="24"/>
          <w:szCs w:val="24"/>
          <w:lang w:val="en-US" w:eastAsia="zh-CN"/>
        </w:rPr>
        <w:t>Oncologist</w:t>
      </w:r>
      <w:r w:rsidRPr="0086525B">
        <w:rPr>
          <w:rFonts w:ascii="Book Antiqua" w:hAnsi="Book Antiqua" w:cs="宋体"/>
          <w:sz w:val="24"/>
          <w:szCs w:val="24"/>
          <w:lang w:val="en-US" w:eastAsia="zh-CN"/>
        </w:rPr>
        <w:t> 2005; </w:t>
      </w:r>
      <w:r w:rsidRPr="0086525B">
        <w:rPr>
          <w:rFonts w:ascii="Book Antiqua" w:hAnsi="Book Antiqua" w:cs="宋体"/>
          <w:b/>
          <w:bCs/>
          <w:sz w:val="24"/>
          <w:szCs w:val="24"/>
          <w:lang w:val="en-US" w:eastAsia="zh-CN"/>
        </w:rPr>
        <w:t>10</w:t>
      </w:r>
      <w:r w:rsidRPr="0086525B">
        <w:rPr>
          <w:rFonts w:ascii="Book Antiqua" w:hAnsi="Book Antiqua" w:cs="宋体"/>
          <w:sz w:val="24"/>
          <w:szCs w:val="24"/>
          <w:lang w:val="en-US" w:eastAsia="zh-CN"/>
        </w:rPr>
        <w:t>: 269-281 [PMID: 15821247 DOI: 10.1634/theoncologist.10-4-269]</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3 </w:t>
      </w:r>
      <w:r w:rsidRPr="0086525B">
        <w:rPr>
          <w:rFonts w:ascii="Book Antiqua" w:hAnsi="Book Antiqua" w:cs="宋体"/>
          <w:b/>
          <w:bCs/>
          <w:sz w:val="24"/>
          <w:szCs w:val="24"/>
          <w:lang w:val="en-US" w:eastAsia="zh-CN"/>
        </w:rPr>
        <w:t>Tiu CM</w:t>
      </w:r>
      <w:r w:rsidRPr="0086525B">
        <w:rPr>
          <w:rFonts w:ascii="Book Antiqua" w:hAnsi="Book Antiqua" w:cs="宋体"/>
          <w:sz w:val="24"/>
          <w:szCs w:val="24"/>
          <w:lang w:val="en-US" w:eastAsia="zh-CN"/>
        </w:rPr>
        <w:t xml:space="preserve">, Chou YH, Wang HT, Chang T. Epithelioid hemangioendothelioma of spleen with intrasplenic metastasis: ultrasound and computed-tomography </w:t>
      </w:r>
      <w:r w:rsidRPr="0086525B">
        <w:rPr>
          <w:rFonts w:ascii="Book Antiqua" w:hAnsi="Book Antiqua" w:cs="宋体"/>
          <w:sz w:val="24"/>
          <w:szCs w:val="24"/>
          <w:lang w:val="en-US" w:eastAsia="zh-CN"/>
        </w:rPr>
        <w:lastRenderedPageBreak/>
        <w:t>appearance. </w:t>
      </w:r>
      <w:r w:rsidRPr="0086525B">
        <w:rPr>
          <w:rFonts w:ascii="Book Antiqua" w:hAnsi="Book Antiqua" w:cs="宋体"/>
          <w:i/>
          <w:iCs/>
          <w:sz w:val="24"/>
          <w:szCs w:val="24"/>
          <w:lang w:val="en-US" w:eastAsia="zh-CN"/>
        </w:rPr>
        <w:t>Comput Med Imaging Graph</w:t>
      </w:r>
      <w:r w:rsidRPr="0086525B">
        <w:rPr>
          <w:rFonts w:ascii="Book Antiqua" w:hAnsi="Book Antiqua" w:cs="宋体"/>
          <w:sz w:val="24"/>
          <w:szCs w:val="24"/>
          <w:lang w:val="en-US" w:eastAsia="zh-CN"/>
        </w:rPr>
        <w:t> </w:t>
      </w:r>
      <w:r>
        <w:rPr>
          <w:rFonts w:ascii="Book Antiqua" w:hAnsi="Book Antiqua" w:cs="宋体" w:hint="eastAsia"/>
          <w:sz w:val="24"/>
          <w:szCs w:val="24"/>
          <w:lang w:val="en-US" w:eastAsia="zh-CN"/>
        </w:rPr>
        <w:t>1992</w:t>
      </w:r>
      <w:r w:rsidRPr="0086525B">
        <w:rPr>
          <w:rFonts w:ascii="Book Antiqua" w:hAnsi="Book Antiqua" w:cs="宋体"/>
          <w:sz w:val="24"/>
          <w:szCs w:val="24"/>
          <w:lang w:val="en-US" w:eastAsia="zh-CN"/>
        </w:rPr>
        <w:t>; </w:t>
      </w:r>
      <w:r w:rsidRPr="0086525B">
        <w:rPr>
          <w:rFonts w:ascii="Book Antiqua" w:hAnsi="Book Antiqua" w:cs="宋体"/>
          <w:b/>
          <w:bCs/>
          <w:sz w:val="24"/>
          <w:szCs w:val="24"/>
          <w:lang w:val="en-US" w:eastAsia="zh-CN"/>
        </w:rPr>
        <w:t>16</w:t>
      </w:r>
      <w:r w:rsidRPr="0086525B">
        <w:rPr>
          <w:rFonts w:ascii="Book Antiqua" w:hAnsi="Book Antiqua" w:cs="宋体"/>
          <w:sz w:val="24"/>
          <w:szCs w:val="24"/>
          <w:lang w:val="en-US" w:eastAsia="zh-CN"/>
        </w:rPr>
        <w:t>: 287-290 [PMID: 1511402 DOI: 10.1016/0895-6111(92)90032-5]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4 </w:t>
      </w:r>
      <w:r w:rsidRPr="0086525B">
        <w:rPr>
          <w:rFonts w:ascii="Book Antiqua" w:hAnsi="Book Antiqua" w:cs="宋体"/>
          <w:b/>
          <w:bCs/>
          <w:sz w:val="24"/>
          <w:szCs w:val="24"/>
          <w:lang w:val="en-US" w:eastAsia="zh-CN"/>
        </w:rPr>
        <w:t>Lee KC</w:t>
      </w:r>
      <w:r w:rsidRPr="0086525B">
        <w:rPr>
          <w:rFonts w:ascii="Book Antiqua" w:hAnsi="Book Antiqua" w:cs="宋体"/>
          <w:sz w:val="24"/>
          <w:szCs w:val="24"/>
          <w:lang w:val="en-US" w:eastAsia="zh-CN"/>
        </w:rPr>
        <w:t>, Ng WF, Chan JK. Epithelioid haemangioendothelioma presenting as a gastric polyp. </w:t>
      </w:r>
      <w:r w:rsidRPr="0086525B">
        <w:rPr>
          <w:rFonts w:ascii="Book Antiqua" w:hAnsi="Book Antiqua" w:cs="宋体"/>
          <w:i/>
          <w:iCs/>
          <w:sz w:val="24"/>
          <w:szCs w:val="24"/>
          <w:lang w:val="en-US" w:eastAsia="zh-CN"/>
        </w:rPr>
        <w:t>Histopathology</w:t>
      </w:r>
      <w:r w:rsidRPr="0086525B">
        <w:rPr>
          <w:rFonts w:ascii="Book Antiqua" w:hAnsi="Book Antiqua" w:cs="宋体"/>
          <w:sz w:val="24"/>
          <w:szCs w:val="24"/>
          <w:lang w:val="en-US" w:eastAsia="zh-CN"/>
        </w:rPr>
        <w:t> 1988; </w:t>
      </w:r>
      <w:r w:rsidRPr="0086525B">
        <w:rPr>
          <w:rFonts w:ascii="Book Antiqua" w:hAnsi="Book Antiqua" w:cs="宋体"/>
          <w:b/>
          <w:bCs/>
          <w:sz w:val="24"/>
          <w:szCs w:val="24"/>
          <w:lang w:val="en-US" w:eastAsia="zh-CN"/>
        </w:rPr>
        <w:t>12</w:t>
      </w:r>
      <w:r w:rsidRPr="0086525B">
        <w:rPr>
          <w:rFonts w:ascii="Book Antiqua" w:hAnsi="Book Antiqua" w:cs="宋体"/>
          <w:sz w:val="24"/>
          <w:szCs w:val="24"/>
          <w:lang w:val="en-US" w:eastAsia="zh-CN"/>
        </w:rPr>
        <w:t>: 335-337 [PMID: 3366449]</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5 </w:t>
      </w:r>
      <w:r w:rsidRPr="0086525B">
        <w:rPr>
          <w:rFonts w:ascii="Book Antiqua" w:hAnsi="Book Antiqua" w:cs="宋体"/>
          <w:b/>
          <w:bCs/>
          <w:sz w:val="24"/>
          <w:szCs w:val="24"/>
          <w:lang w:val="en-US" w:eastAsia="zh-CN"/>
        </w:rPr>
        <w:t>Ellis GL</w:t>
      </w:r>
      <w:r w:rsidRPr="0086525B">
        <w:rPr>
          <w:rFonts w:ascii="Book Antiqua" w:hAnsi="Book Antiqua" w:cs="宋体"/>
          <w:sz w:val="24"/>
          <w:szCs w:val="24"/>
          <w:lang w:val="en-US" w:eastAsia="zh-CN"/>
        </w:rPr>
        <w:t>, Kratochvil FJ. Epithelioid hemangioendothelioma of the head and neck: a clinicopathologic report of twelve cases. </w:t>
      </w:r>
      <w:r w:rsidRPr="0086525B">
        <w:rPr>
          <w:rFonts w:ascii="Book Antiqua" w:hAnsi="Book Antiqua" w:cs="宋体"/>
          <w:i/>
          <w:iCs/>
          <w:sz w:val="24"/>
          <w:szCs w:val="24"/>
          <w:lang w:val="en-US" w:eastAsia="zh-CN"/>
        </w:rPr>
        <w:t>Oral Surg Oral Med Oral Pathol</w:t>
      </w:r>
      <w:r w:rsidRPr="0086525B">
        <w:rPr>
          <w:rFonts w:ascii="Book Antiqua" w:hAnsi="Book Antiqua" w:cs="宋体"/>
          <w:sz w:val="24"/>
          <w:szCs w:val="24"/>
          <w:lang w:val="en-US" w:eastAsia="zh-CN"/>
        </w:rPr>
        <w:t> 1986; </w:t>
      </w:r>
      <w:r w:rsidRPr="0086525B">
        <w:rPr>
          <w:rFonts w:ascii="Book Antiqua" w:hAnsi="Book Antiqua" w:cs="宋体"/>
          <w:b/>
          <w:bCs/>
          <w:sz w:val="24"/>
          <w:szCs w:val="24"/>
          <w:lang w:val="en-US" w:eastAsia="zh-CN"/>
        </w:rPr>
        <w:t>61</w:t>
      </w:r>
      <w:r w:rsidRPr="0086525B">
        <w:rPr>
          <w:rFonts w:ascii="Book Antiqua" w:hAnsi="Book Antiqua" w:cs="宋体"/>
          <w:sz w:val="24"/>
          <w:szCs w:val="24"/>
          <w:lang w:val="en-US" w:eastAsia="zh-CN"/>
        </w:rPr>
        <w:t>: 61-68 [PMID: 3456142 DOI: 10.1016/0030-4220(86)90204-5]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6 </w:t>
      </w:r>
      <w:r w:rsidRPr="0086525B">
        <w:rPr>
          <w:rFonts w:ascii="Book Antiqua" w:hAnsi="Book Antiqua" w:cs="宋体"/>
          <w:b/>
          <w:bCs/>
          <w:sz w:val="24"/>
          <w:szCs w:val="24"/>
          <w:lang w:val="en-US" w:eastAsia="zh-CN"/>
        </w:rPr>
        <w:t>Marchiano D</w:t>
      </w:r>
      <w:r w:rsidRPr="0086525B">
        <w:rPr>
          <w:rFonts w:ascii="Book Antiqua" w:hAnsi="Book Antiqua" w:cs="宋体"/>
          <w:sz w:val="24"/>
          <w:szCs w:val="24"/>
          <w:lang w:val="en-US" w:eastAsia="zh-CN"/>
        </w:rPr>
        <w:t>, Fisher F, Hofstetter S. Epithelioid hemangioendothelioma of the heart with distant metastases. A case report and literature review. </w:t>
      </w:r>
      <w:r w:rsidRPr="0086525B">
        <w:rPr>
          <w:rFonts w:ascii="Book Antiqua" w:hAnsi="Book Antiqua" w:cs="宋体"/>
          <w:i/>
          <w:iCs/>
          <w:sz w:val="24"/>
          <w:szCs w:val="24"/>
          <w:lang w:val="en-US" w:eastAsia="zh-CN"/>
        </w:rPr>
        <w:t>J Cardiovasc Surg (Torino)</w:t>
      </w:r>
      <w:r w:rsidRPr="0086525B">
        <w:rPr>
          <w:rFonts w:ascii="Book Antiqua" w:hAnsi="Book Antiqua" w:cs="宋体"/>
          <w:sz w:val="24"/>
          <w:szCs w:val="24"/>
          <w:lang w:val="en-US" w:eastAsia="zh-CN"/>
        </w:rPr>
        <w:t> 1993; </w:t>
      </w:r>
      <w:r w:rsidRPr="0086525B">
        <w:rPr>
          <w:rFonts w:ascii="Book Antiqua" w:hAnsi="Book Antiqua" w:cs="宋体"/>
          <w:b/>
          <w:bCs/>
          <w:sz w:val="24"/>
          <w:szCs w:val="24"/>
          <w:lang w:val="en-US" w:eastAsia="zh-CN"/>
        </w:rPr>
        <w:t>34</w:t>
      </w:r>
      <w:r w:rsidRPr="0086525B">
        <w:rPr>
          <w:rFonts w:ascii="Book Antiqua" w:hAnsi="Book Antiqua" w:cs="宋体"/>
          <w:sz w:val="24"/>
          <w:szCs w:val="24"/>
          <w:lang w:val="en-US" w:eastAsia="zh-CN"/>
        </w:rPr>
        <w:t>: 529-533 [PMID: 8300722]</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7 </w:t>
      </w:r>
      <w:r w:rsidRPr="0086525B">
        <w:rPr>
          <w:rFonts w:ascii="Book Antiqua" w:hAnsi="Book Antiqua" w:cs="宋体"/>
          <w:b/>
          <w:bCs/>
          <w:sz w:val="24"/>
          <w:szCs w:val="24"/>
          <w:lang w:val="en-US" w:eastAsia="zh-CN"/>
        </w:rPr>
        <w:t>Kamath SM</w:t>
      </w:r>
      <w:r w:rsidRPr="0086525B">
        <w:rPr>
          <w:rFonts w:ascii="Book Antiqua" w:hAnsi="Book Antiqua" w:cs="宋体"/>
          <w:sz w:val="24"/>
          <w:szCs w:val="24"/>
          <w:lang w:val="en-US" w:eastAsia="zh-CN"/>
        </w:rPr>
        <w:t>, Nagaraj HK, Mysorekar VV. Hepatic and adrenal hemangioendothelioma-a case report. </w:t>
      </w:r>
      <w:r w:rsidRPr="0086525B">
        <w:rPr>
          <w:rFonts w:ascii="Book Antiqua" w:hAnsi="Book Antiqua" w:cs="宋体"/>
          <w:i/>
          <w:iCs/>
          <w:sz w:val="24"/>
          <w:szCs w:val="24"/>
          <w:lang w:val="en-US" w:eastAsia="zh-CN"/>
        </w:rPr>
        <w:t>J Clin Diagn Res</w:t>
      </w:r>
      <w:r w:rsidRPr="0086525B">
        <w:rPr>
          <w:rFonts w:ascii="Book Antiqua" w:hAnsi="Book Antiqua" w:cs="宋体"/>
          <w:sz w:val="24"/>
          <w:szCs w:val="24"/>
          <w:lang w:val="en-US" w:eastAsia="zh-CN"/>
        </w:rPr>
        <w:t> 2013; </w:t>
      </w:r>
      <w:r w:rsidRPr="0086525B">
        <w:rPr>
          <w:rFonts w:ascii="Book Antiqua" w:hAnsi="Book Antiqua" w:cs="宋体"/>
          <w:b/>
          <w:bCs/>
          <w:sz w:val="24"/>
          <w:szCs w:val="24"/>
          <w:lang w:val="en-US" w:eastAsia="zh-CN"/>
        </w:rPr>
        <w:t>7</w:t>
      </w:r>
      <w:r w:rsidRPr="0086525B">
        <w:rPr>
          <w:rFonts w:ascii="Book Antiqua" w:hAnsi="Book Antiqua" w:cs="宋体"/>
          <w:sz w:val="24"/>
          <w:szCs w:val="24"/>
          <w:lang w:val="en-US" w:eastAsia="zh-CN"/>
        </w:rPr>
        <w:t>: 2583-2584 [PMID: 24392409 DOI: 10.7860/JCDR/2013/6808.3620]</w:t>
      </w:r>
    </w:p>
    <w:p w:rsidR="0086525B" w:rsidRPr="0086525B" w:rsidRDefault="0086525B" w:rsidP="0086525B">
      <w:pPr>
        <w:spacing w:after="0" w:line="240" w:lineRule="auto"/>
        <w:rPr>
          <w:rFonts w:ascii="Book Antiqua" w:hAnsi="Book Antiqua" w:cs="宋体"/>
          <w:sz w:val="24"/>
          <w:szCs w:val="24"/>
          <w:lang w:val="en-US" w:eastAsia="zh-CN"/>
        </w:rPr>
      </w:pPr>
      <w:r>
        <w:rPr>
          <w:rFonts w:ascii="Book Antiqua" w:hAnsi="Book Antiqua" w:cs="宋体"/>
          <w:sz w:val="24"/>
          <w:szCs w:val="24"/>
          <w:lang w:val="en-US" w:eastAsia="zh-CN"/>
        </w:rPr>
        <w:t xml:space="preserve">8 </w:t>
      </w:r>
      <w:r w:rsidRPr="0086525B">
        <w:rPr>
          <w:rFonts w:ascii="Book Antiqua" w:hAnsi="Book Antiqua" w:cs="宋体"/>
          <w:b/>
          <w:sz w:val="24"/>
          <w:szCs w:val="24"/>
          <w:lang w:val="en-US" w:eastAsia="zh-CN"/>
        </w:rPr>
        <w:t>Ishak KG</w:t>
      </w:r>
      <w:r w:rsidRPr="0086525B">
        <w:rPr>
          <w:rFonts w:ascii="Book Antiqua" w:hAnsi="Book Antiqua" w:cs="宋体"/>
          <w:sz w:val="24"/>
          <w:szCs w:val="24"/>
          <w:lang w:val="en-US" w:eastAsia="zh-CN"/>
        </w:rPr>
        <w:t>, Goodman ZD, Stocker JT. Epithelioid haemangioendothelioma. In: Ishak KG, Goodman ZD, Stocker JT, editors. Tumors of the liver and intrahepatic bile ducts. Washington, DC: Armed Forces Institute of Pathology</w:t>
      </w:r>
      <w:r w:rsidR="00111554">
        <w:rPr>
          <w:rFonts w:ascii="Book Antiqua" w:hAnsi="Book Antiqua" w:cs="宋体" w:hint="eastAsia"/>
          <w:sz w:val="24"/>
          <w:szCs w:val="24"/>
          <w:lang w:val="en-US" w:eastAsia="zh-CN"/>
        </w:rPr>
        <w:t xml:space="preserve">, </w:t>
      </w:r>
      <w:r w:rsidRPr="0086525B">
        <w:rPr>
          <w:rFonts w:ascii="Book Antiqua" w:hAnsi="Book Antiqua" w:cs="宋体"/>
          <w:sz w:val="24"/>
          <w:szCs w:val="24"/>
          <w:lang w:val="en-US" w:eastAsia="zh-CN"/>
        </w:rPr>
        <w:t>2001</w:t>
      </w:r>
      <w:r w:rsidR="00111554">
        <w:rPr>
          <w:rFonts w:ascii="Book Antiqua" w:hAnsi="Book Antiqua" w:cs="宋体" w:hint="eastAsia"/>
          <w:sz w:val="24"/>
          <w:szCs w:val="24"/>
          <w:lang w:val="en-US" w:eastAsia="zh-CN"/>
        </w:rPr>
        <w:t>:</w:t>
      </w:r>
      <w:r w:rsidRPr="0086525B">
        <w:rPr>
          <w:rFonts w:ascii="Book Antiqua" w:hAnsi="Book Antiqua" w:cs="宋体"/>
          <w:sz w:val="24"/>
          <w:szCs w:val="24"/>
          <w:lang w:val="en-US" w:eastAsia="zh-CN"/>
        </w:rPr>
        <w:t xml:space="preserve"> 282–</w:t>
      </w:r>
      <w:r w:rsidR="00111554">
        <w:rPr>
          <w:rFonts w:ascii="Book Antiqua" w:hAnsi="Book Antiqua" w:cs="宋体" w:hint="eastAsia"/>
          <w:sz w:val="24"/>
          <w:szCs w:val="24"/>
          <w:lang w:val="en-US" w:eastAsia="zh-CN"/>
        </w:rPr>
        <w:t>2</w:t>
      </w:r>
      <w:r w:rsidRPr="0086525B">
        <w:rPr>
          <w:rFonts w:ascii="Book Antiqua" w:hAnsi="Book Antiqua" w:cs="宋体"/>
          <w:sz w:val="24"/>
          <w:szCs w:val="24"/>
          <w:lang w:val="en-US" w:eastAsia="zh-CN"/>
        </w:rPr>
        <w:t>93[DOI: 10.1046/j.1365-2559.2002.01344.x]</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9 </w:t>
      </w:r>
      <w:r w:rsidRPr="0086525B">
        <w:rPr>
          <w:rFonts w:ascii="Book Antiqua" w:hAnsi="Book Antiqua" w:cs="宋体"/>
          <w:b/>
          <w:bCs/>
          <w:sz w:val="24"/>
          <w:szCs w:val="24"/>
          <w:lang w:val="en-US" w:eastAsia="zh-CN"/>
        </w:rPr>
        <w:t>Mendlick MR</w:t>
      </w:r>
      <w:r w:rsidRPr="0086525B">
        <w:rPr>
          <w:rFonts w:ascii="Book Antiqua" w:hAnsi="Book Antiqua" w:cs="宋体"/>
          <w:sz w:val="24"/>
          <w:szCs w:val="24"/>
          <w:lang w:val="en-US" w:eastAsia="zh-CN"/>
        </w:rPr>
        <w:t>, Nelson M, Pickering D, Johansson SL, Seemayer TA, Neff JR, Vergara G, Rosenthal H, Bridge JA. Translocation t(1; 3)(p36.3; q25) is a nonrandom aberration in epithelioid hemangioendothelioma. </w:t>
      </w:r>
      <w:r w:rsidRPr="0086525B">
        <w:rPr>
          <w:rFonts w:ascii="Book Antiqua" w:hAnsi="Book Antiqua" w:cs="宋体"/>
          <w:i/>
          <w:iCs/>
          <w:sz w:val="24"/>
          <w:szCs w:val="24"/>
          <w:lang w:val="en-US" w:eastAsia="zh-CN"/>
        </w:rPr>
        <w:t>Am J Surg Pathol</w:t>
      </w:r>
      <w:r w:rsidRPr="0086525B">
        <w:rPr>
          <w:rFonts w:ascii="Book Antiqua" w:hAnsi="Book Antiqua" w:cs="宋体"/>
          <w:sz w:val="24"/>
          <w:szCs w:val="24"/>
          <w:lang w:val="en-US" w:eastAsia="zh-CN"/>
        </w:rPr>
        <w:t> 2001; </w:t>
      </w:r>
      <w:r w:rsidRPr="0086525B">
        <w:rPr>
          <w:rFonts w:ascii="Book Antiqua" w:hAnsi="Book Antiqua" w:cs="宋体"/>
          <w:b/>
          <w:bCs/>
          <w:sz w:val="24"/>
          <w:szCs w:val="24"/>
          <w:lang w:val="en-US" w:eastAsia="zh-CN"/>
        </w:rPr>
        <w:t>25</w:t>
      </w:r>
      <w:r w:rsidRPr="0086525B">
        <w:rPr>
          <w:rFonts w:ascii="Book Antiqua" w:hAnsi="Book Antiqua" w:cs="宋体"/>
          <w:sz w:val="24"/>
          <w:szCs w:val="24"/>
          <w:lang w:val="en-US" w:eastAsia="zh-CN"/>
        </w:rPr>
        <w:t>: 684-687 [PMID: 11342784 DOI: 10.1097/00000478-200105000-00019]</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10 </w:t>
      </w:r>
      <w:r w:rsidRPr="0086525B">
        <w:rPr>
          <w:rFonts w:ascii="Book Antiqua" w:hAnsi="Book Antiqua" w:cs="宋体"/>
          <w:b/>
          <w:bCs/>
          <w:sz w:val="24"/>
          <w:szCs w:val="24"/>
          <w:lang w:val="en-US" w:eastAsia="zh-CN"/>
        </w:rPr>
        <w:t>Errani C</w:t>
      </w:r>
      <w:r w:rsidRPr="0086525B">
        <w:rPr>
          <w:rFonts w:ascii="Book Antiqua" w:hAnsi="Book Antiqua" w:cs="宋体"/>
          <w:sz w:val="24"/>
          <w:szCs w:val="24"/>
          <w:lang w:val="en-US" w:eastAsia="zh-CN"/>
        </w:rPr>
        <w:t>, Zhang L, Sung YS, Hajdu M, Singer S, Maki RG, Healey JH, Antonescu CR. A novel WWTR1-CAMTA1 gene fusion is a consistent abnormality in epithelioid hemangioendothelioma of different anatomic sites. </w:t>
      </w:r>
      <w:r w:rsidRPr="0086525B">
        <w:rPr>
          <w:rFonts w:ascii="Book Antiqua" w:hAnsi="Book Antiqua" w:cs="宋体"/>
          <w:i/>
          <w:iCs/>
          <w:sz w:val="24"/>
          <w:szCs w:val="24"/>
          <w:lang w:val="en-US" w:eastAsia="zh-CN"/>
        </w:rPr>
        <w:t>Genes Chromosomes Cancer</w:t>
      </w:r>
      <w:r w:rsidRPr="0086525B">
        <w:rPr>
          <w:rFonts w:ascii="Book Antiqua" w:hAnsi="Book Antiqua" w:cs="宋体"/>
          <w:sz w:val="24"/>
          <w:szCs w:val="24"/>
          <w:lang w:val="en-US" w:eastAsia="zh-CN"/>
        </w:rPr>
        <w:t> 2011; </w:t>
      </w:r>
      <w:r w:rsidRPr="0086525B">
        <w:rPr>
          <w:rFonts w:ascii="Book Antiqua" w:hAnsi="Book Antiqua" w:cs="宋体"/>
          <w:b/>
          <w:bCs/>
          <w:sz w:val="24"/>
          <w:szCs w:val="24"/>
          <w:lang w:val="en-US" w:eastAsia="zh-CN"/>
        </w:rPr>
        <w:t>50</w:t>
      </w:r>
      <w:r w:rsidRPr="0086525B">
        <w:rPr>
          <w:rFonts w:ascii="Book Antiqua" w:hAnsi="Book Antiqua" w:cs="宋体"/>
          <w:sz w:val="24"/>
          <w:szCs w:val="24"/>
          <w:lang w:val="en-US" w:eastAsia="zh-CN"/>
        </w:rPr>
        <w:t>: 644-653 [PMID: 21584898 DOI: 10.1002/gcc.20886]</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11 </w:t>
      </w:r>
      <w:r w:rsidRPr="0086525B">
        <w:rPr>
          <w:rFonts w:ascii="Book Antiqua" w:hAnsi="Book Antiqua" w:cs="宋体"/>
          <w:b/>
          <w:bCs/>
          <w:sz w:val="24"/>
          <w:szCs w:val="24"/>
          <w:lang w:val="en-US" w:eastAsia="zh-CN"/>
        </w:rPr>
        <w:t>Woelfel C</w:t>
      </w:r>
      <w:r w:rsidRPr="0086525B">
        <w:rPr>
          <w:rFonts w:ascii="Book Antiqua" w:hAnsi="Book Antiqua" w:cs="宋体"/>
          <w:sz w:val="24"/>
          <w:szCs w:val="24"/>
          <w:lang w:val="en-US" w:eastAsia="zh-CN"/>
        </w:rPr>
        <w:t>, Liehr T, Weise A, Langrehr J, Kotb WA, Pacyna-Gengelbach M, Katenkamp D, Petersen I. Molecular cytogenetic characterization of epithelioid hemangioendothelioma. </w:t>
      </w:r>
      <w:r w:rsidRPr="0086525B">
        <w:rPr>
          <w:rFonts w:ascii="Book Antiqua" w:hAnsi="Book Antiqua" w:cs="宋体"/>
          <w:i/>
          <w:iCs/>
          <w:sz w:val="24"/>
          <w:szCs w:val="24"/>
          <w:lang w:val="en-US" w:eastAsia="zh-CN"/>
        </w:rPr>
        <w:t>Cancer Genet</w:t>
      </w:r>
      <w:r w:rsidRPr="0086525B">
        <w:rPr>
          <w:rFonts w:ascii="Book Antiqua" w:hAnsi="Book Antiqua" w:cs="宋体"/>
          <w:sz w:val="24"/>
          <w:szCs w:val="24"/>
          <w:lang w:val="en-US" w:eastAsia="zh-CN"/>
        </w:rPr>
        <w:t> 2011; </w:t>
      </w:r>
      <w:r w:rsidRPr="0086525B">
        <w:rPr>
          <w:rFonts w:ascii="Book Antiqua" w:hAnsi="Book Antiqua" w:cs="宋体"/>
          <w:b/>
          <w:bCs/>
          <w:sz w:val="24"/>
          <w:szCs w:val="24"/>
          <w:lang w:val="en-US" w:eastAsia="zh-CN"/>
        </w:rPr>
        <w:t>204</w:t>
      </w:r>
      <w:r w:rsidRPr="0086525B">
        <w:rPr>
          <w:rFonts w:ascii="Book Antiqua" w:hAnsi="Book Antiqua" w:cs="宋体"/>
          <w:sz w:val="24"/>
          <w:szCs w:val="24"/>
          <w:lang w:val="en-US" w:eastAsia="zh-CN"/>
        </w:rPr>
        <w:t>: 671-676 [PMID: 22285019 DOI: 10.1016/j.cancergen.2011.11.007]</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12 </w:t>
      </w:r>
      <w:r w:rsidRPr="0086525B">
        <w:rPr>
          <w:rFonts w:ascii="Book Antiqua" w:hAnsi="Book Antiqua" w:cs="宋体"/>
          <w:b/>
          <w:bCs/>
          <w:sz w:val="24"/>
          <w:szCs w:val="24"/>
          <w:lang w:val="en-US" w:eastAsia="zh-CN"/>
        </w:rPr>
        <w:t>Marino IR</w:t>
      </w:r>
      <w:r w:rsidRPr="0086525B">
        <w:rPr>
          <w:rFonts w:ascii="Book Antiqua" w:hAnsi="Book Antiqua" w:cs="宋体"/>
          <w:sz w:val="24"/>
          <w:szCs w:val="24"/>
          <w:lang w:val="en-US" w:eastAsia="zh-CN"/>
        </w:rPr>
        <w:t>, Todo S, Tzakis AG, Klintmalm G, Kelleher M, Iwatsuki S, Starzl TE, Esquivel CO. Treatment of hepatic epithelioid hemangioendothelioma with liver transplantation. </w:t>
      </w:r>
      <w:r w:rsidRPr="0086525B">
        <w:rPr>
          <w:rFonts w:ascii="Book Antiqua" w:hAnsi="Book Antiqua" w:cs="宋体"/>
          <w:i/>
          <w:iCs/>
          <w:sz w:val="24"/>
          <w:szCs w:val="24"/>
          <w:lang w:val="en-US" w:eastAsia="zh-CN"/>
        </w:rPr>
        <w:t>Cancer</w:t>
      </w:r>
      <w:r w:rsidRPr="0086525B">
        <w:rPr>
          <w:rFonts w:ascii="Book Antiqua" w:hAnsi="Book Antiqua" w:cs="宋体"/>
          <w:sz w:val="24"/>
          <w:szCs w:val="24"/>
          <w:lang w:val="en-US" w:eastAsia="zh-CN"/>
        </w:rPr>
        <w:t> 1988; </w:t>
      </w:r>
      <w:r w:rsidRPr="0086525B">
        <w:rPr>
          <w:rFonts w:ascii="Book Antiqua" w:hAnsi="Book Antiqua" w:cs="宋体"/>
          <w:b/>
          <w:bCs/>
          <w:sz w:val="24"/>
          <w:szCs w:val="24"/>
          <w:lang w:val="en-US" w:eastAsia="zh-CN"/>
        </w:rPr>
        <w:t>62</w:t>
      </w:r>
      <w:r w:rsidRPr="0086525B">
        <w:rPr>
          <w:rFonts w:ascii="Book Antiqua" w:hAnsi="Book Antiqua" w:cs="宋体"/>
          <w:sz w:val="24"/>
          <w:szCs w:val="24"/>
          <w:lang w:val="en-US" w:eastAsia="zh-CN"/>
        </w:rPr>
        <w:t>: 2079-2084 [PMID: 3052779 DOI: 10.1002/1097-0142]</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13 </w:t>
      </w:r>
      <w:r w:rsidRPr="0086525B">
        <w:rPr>
          <w:rFonts w:ascii="Book Antiqua" w:hAnsi="Book Antiqua" w:cs="宋体"/>
          <w:b/>
          <w:bCs/>
          <w:sz w:val="24"/>
          <w:szCs w:val="24"/>
          <w:lang w:val="en-US" w:eastAsia="zh-CN"/>
        </w:rPr>
        <w:t>Ishak KG</w:t>
      </w:r>
      <w:r w:rsidRPr="0086525B">
        <w:rPr>
          <w:rFonts w:ascii="Book Antiqua" w:hAnsi="Book Antiqua" w:cs="宋体"/>
          <w:sz w:val="24"/>
          <w:szCs w:val="24"/>
          <w:lang w:val="en-US" w:eastAsia="zh-CN"/>
        </w:rPr>
        <w:t>, Sesterhenn IA, Goodman ZD, Rabin L, Stromeyer FW. Epithelioid hemangioendothelioma of the liver: a clinicopathologic and follow-up study of 32 cases. </w:t>
      </w:r>
      <w:r w:rsidRPr="0086525B">
        <w:rPr>
          <w:rFonts w:ascii="Book Antiqua" w:hAnsi="Book Antiqua" w:cs="宋体"/>
          <w:i/>
          <w:iCs/>
          <w:sz w:val="24"/>
          <w:szCs w:val="24"/>
          <w:lang w:val="en-US" w:eastAsia="zh-CN"/>
        </w:rPr>
        <w:t>Hum Pathol</w:t>
      </w:r>
      <w:r w:rsidRPr="0086525B">
        <w:rPr>
          <w:rFonts w:ascii="Book Antiqua" w:hAnsi="Book Antiqua" w:cs="宋体"/>
          <w:sz w:val="24"/>
          <w:szCs w:val="24"/>
          <w:lang w:val="en-US" w:eastAsia="zh-CN"/>
        </w:rPr>
        <w:t> 1984; </w:t>
      </w:r>
      <w:r w:rsidRPr="0086525B">
        <w:rPr>
          <w:rFonts w:ascii="Book Antiqua" w:hAnsi="Book Antiqua" w:cs="宋体"/>
          <w:b/>
          <w:bCs/>
          <w:sz w:val="24"/>
          <w:szCs w:val="24"/>
          <w:lang w:val="en-US" w:eastAsia="zh-CN"/>
        </w:rPr>
        <w:t>15</w:t>
      </w:r>
      <w:r w:rsidRPr="0086525B">
        <w:rPr>
          <w:rFonts w:ascii="Book Antiqua" w:hAnsi="Book Antiqua" w:cs="宋体"/>
          <w:sz w:val="24"/>
          <w:szCs w:val="24"/>
          <w:lang w:val="en-US" w:eastAsia="zh-CN"/>
        </w:rPr>
        <w:t>: 839-852 [PMID: 6088383]</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14 </w:t>
      </w:r>
      <w:r w:rsidRPr="0086525B">
        <w:rPr>
          <w:rFonts w:ascii="Book Antiqua" w:hAnsi="Book Antiqua" w:cs="宋体"/>
          <w:b/>
          <w:bCs/>
          <w:sz w:val="24"/>
          <w:szCs w:val="24"/>
          <w:lang w:val="en-US" w:eastAsia="zh-CN"/>
        </w:rPr>
        <w:t>Makhlouf HR</w:t>
      </w:r>
      <w:r w:rsidRPr="0086525B">
        <w:rPr>
          <w:rFonts w:ascii="Book Antiqua" w:hAnsi="Book Antiqua" w:cs="宋体"/>
          <w:sz w:val="24"/>
          <w:szCs w:val="24"/>
          <w:lang w:val="en-US" w:eastAsia="zh-CN"/>
        </w:rPr>
        <w:t>, Ishak KG, Goodman ZD. Epithelioid hemangioendothelioma of the liver: a clinicopathologic study of 137 cases. </w:t>
      </w:r>
      <w:r w:rsidRPr="0086525B">
        <w:rPr>
          <w:rFonts w:ascii="Book Antiqua" w:hAnsi="Book Antiqua" w:cs="宋体"/>
          <w:i/>
          <w:iCs/>
          <w:sz w:val="24"/>
          <w:szCs w:val="24"/>
          <w:lang w:val="en-US" w:eastAsia="zh-CN"/>
        </w:rPr>
        <w:t>Cancer</w:t>
      </w:r>
      <w:r w:rsidRPr="0086525B">
        <w:rPr>
          <w:rFonts w:ascii="Book Antiqua" w:hAnsi="Book Antiqua" w:cs="宋体"/>
          <w:sz w:val="24"/>
          <w:szCs w:val="24"/>
          <w:lang w:val="en-US" w:eastAsia="zh-CN"/>
        </w:rPr>
        <w:t> 1999; </w:t>
      </w:r>
      <w:r w:rsidRPr="0086525B">
        <w:rPr>
          <w:rFonts w:ascii="Book Antiqua" w:hAnsi="Book Antiqua" w:cs="宋体"/>
          <w:b/>
          <w:bCs/>
          <w:sz w:val="24"/>
          <w:szCs w:val="24"/>
          <w:lang w:val="en-US" w:eastAsia="zh-CN"/>
        </w:rPr>
        <w:t>85</w:t>
      </w:r>
      <w:r w:rsidRPr="0086525B">
        <w:rPr>
          <w:rFonts w:ascii="Book Antiqua" w:hAnsi="Book Antiqua" w:cs="宋体"/>
          <w:sz w:val="24"/>
          <w:szCs w:val="24"/>
          <w:lang w:val="en-US" w:eastAsia="zh-CN"/>
        </w:rPr>
        <w:t>: 562-582 [PMID: 10091730 DOI: 10.1002/(sici)1097-0142(19990201)85: 3&lt;562: : aid-cncr7&gt;3.0.co; 2-t]</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15 </w:t>
      </w:r>
      <w:r w:rsidRPr="0086525B">
        <w:rPr>
          <w:rFonts w:ascii="Book Antiqua" w:hAnsi="Book Antiqua" w:cs="宋体"/>
          <w:b/>
          <w:bCs/>
          <w:sz w:val="24"/>
          <w:szCs w:val="24"/>
          <w:lang w:val="en-US" w:eastAsia="zh-CN"/>
        </w:rPr>
        <w:t>Hayashi Y</w:t>
      </w:r>
      <w:r w:rsidRPr="0086525B">
        <w:rPr>
          <w:rFonts w:ascii="Book Antiqua" w:hAnsi="Book Antiqua" w:cs="宋体"/>
          <w:sz w:val="24"/>
          <w:szCs w:val="24"/>
          <w:lang w:val="en-US" w:eastAsia="zh-CN"/>
        </w:rPr>
        <w:t>, Inagaki K, Hirota S, Yoshikawa T, Ikawa H. Epithelioid hemangioendothelioma with marked liver deformity and secondary Budd-Chiari syndrome: pathological and radiological correlation. </w:t>
      </w:r>
      <w:r w:rsidRPr="0086525B">
        <w:rPr>
          <w:rFonts w:ascii="Book Antiqua" w:hAnsi="Book Antiqua" w:cs="宋体"/>
          <w:i/>
          <w:iCs/>
          <w:sz w:val="24"/>
          <w:szCs w:val="24"/>
          <w:lang w:val="en-US" w:eastAsia="zh-CN"/>
        </w:rPr>
        <w:t>Pathol Int</w:t>
      </w:r>
      <w:r w:rsidRPr="0086525B">
        <w:rPr>
          <w:rFonts w:ascii="Book Antiqua" w:hAnsi="Book Antiqua" w:cs="宋体"/>
          <w:sz w:val="24"/>
          <w:szCs w:val="24"/>
          <w:lang w:val="en-US" w:eastAsia="zh-CN"/>
        </w:rPr>
        <w:t> 1999; </w:t>
      </w:r>
      <w:r w:rsidRPr="0086525B">
        <w:rPr>
          <w:rFonts w:ascii="Book Antiqua" w:hAnsi="Book Antiqua" w:cs="宋体"/>
          <w:b/>
          <w:bCs/>
          <w:sz w:val="24"/>
          <w:szCs w:val="24"/>
          <w:lang w:val="en-US" w:eastAsia="zh-CN"/>
        </w:rPr>
        <w:t>49</w:t>
      </w:r>
      <w:r w:rsidRPr="0086525B">
        <w:rPr>
          <w:rFonts w:ascii="Book Antiqua" w:hAnsi="Book Antiqua" w:cs="宋体"/>
          <w:sz w:val="24"/>
          <w:szCs w:val="24"/>
          <w:lang w:val="en-US" w:eastAsia="zh-CN"/>
        </w:rPr>
        <w:t>: 547-552 [PMID: 10469398 DOI: 10.1046/j.1440-1827.1999.00906.x]</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lastRenderedPageBreak/>
        <w:t>16 </w:t>
      </w:r>
      <w:r w:rsidRPr="0086525B">
        <w:rPr>
          <w:rFonts w:ascii="Book Antiqua" w:hAnsi="Book Antiqua" w:cs="宋体"/>
          <w:b/>
          <w:bCs/>
          <w:sz w:val="24"/>
          <w:szCs w:val="24"/>
          <w:lang w:val="en-US" w:eastAsia="zh-CN"/>
        </w:rPr>
        <w:t>Clements D</w:t>
      </w:r>
      <w:r w:rsidRPr="0086525B">
        <w:rPr>
          <w:rFonts w:ascii="Book Antiqua" w:hAnsi="Book Antiqua" w:cs="宋体"/>
          <w:sz w:val="24"/>
          <w:szCs w:val="24"/>
          <w:lang w:val="en-US" w:eastAsia="zh-CN"/>
        </w:rPr>
        <w:t>, Hubscher S, West R, Elias E, McMaster P. Epithelioid haemangioendothelioma. A case report. </w:t>
      </w:r>
      <w:r w:rsidRPr="0086525B">
        <w:rPr>
          <w:rFonts w:ascii="Book Antiqua" w:hAnsi="Book Antiqua" w:cs="宋体"/>
          <w:i/>
          <w:iCs/>
          <w:sz w:val="24"/>
          <w:szCs w:val="24"/>
          <w:lang w:val="en-US" w:eastAsia="zh-CN"/>
        </w:rPr>
        <w:t>J Hepatol</w:t>
      </w:r>
      <w:r w:rsidRPr="0086525B">
        <w:rPr>
          <w:rFonts w:ascii="Book Antiqua" w:hAnsi="Book Antiqua" w:cs="宋体"/>
          <w:sz w:val="24"/>
          <w:szCs w:val="24"/>
          <w:lang w:val="en-US" w:eastAsia="zh-CN"/>
        </w:rPr>
        <w:t> 1986; </w:t>
      </w:r>
      <w:r w:rsidRPr="0086525B">
        <w:rPr>
          <w:rFonts w:ascii="Book Antiqua" w:hAnsi="Book Antiqua" w:cs="宋体"/>
          <w:b/>
          <w:bCs/>
          <w:sz w:val="24"/>
          <w:szCs w:val="24"/>
          <w:lang w:val="en-US" w:eastAsia="zh-CN"/>
        </w:rPr>
        <w:t>2</w:t>
      </w:r>
      <w:r w:rsidRPr="0086525B">
        <w:rPr>
          <w:rFonts w:ascii="Book Antiqua" w:hAnsi="Book Antiqua" w:cs="宋体"/>
          <w:sz w:val="24"/>
          <w:szCs w:val="24"/>
          <w:lang w:val="en-US" w:eastAsia="zh-CN"/>
        </w:rPr>
        <w:t>: 441-449 [PMID: 3522725]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17 </w:t>
      </w:r>
      <w:r w:rsidRPr="0086525B">
        <w:rPr>
          <w:rFonts w:ascii="Book Antiqua" w:hAnsi="Book Antiqua" w:cs="宋体"/>
          <w:b/>
          <w:bCs/>
          <w:sz w:val="24"/>
          <w:szCs w:val="24"/>
          <w:lang w:val="en-US" w:eastAsia="zh-CN"/>
        </w:rPr>
        <w:t>Otrock ZK</w:t>
      </w:r>
      <w:r w:rsidRPr="0086525B">
        <w:rPr>
          <w:rFonts w:ascii="Book Antiqua" w:hAnsi="Book Antiqua" w:cs="宋体"/>
          <w:sz w:val="24"/>
          <w:szCs w:val="24"/>
          <w:lang w:val="en-US" w:eastAsia="zh-CN"/>
        </w:rPr>
        <w:t>, Al-Kutoubi A, Kattar MM, Zaatari G, Soweid A. Spontaneous complete regression of hepatic epithelioid haemangioendothelioma. </w:t>
      </w:r>
      <w:r w:rsidRPr="0086525B">
        <w:rPr>
          <w:rFonts w:ascii="Book Antiqua" w:hAnsi="Book Antiqua" w:cs="宋体"/>
          <w:i/>
          <w:iCs/>
          <w:sz w:val="24"/>
          <w:szCs w:val="24"/>
          <w:lang w:val="en-US" w:eastAsia="zh-CN"/>
        </w:rPr>
        <w:t>Lancet Oncol</w:t>
      </w:r>
      <w:r w:rsidRPr="0086525B">
        <w:rPr>
          <w:rFonts w:ascii="Book Antiqua" w:hAnsi="Book Antiqua" w:cs="宋体"/>
          <w:sz w:val="24"/>
          <w:szCs w:val="24"/>
          <w:lang w:val="en-US" w:eastAsia="zh-CN"/>
        </w:rPr>
        <w:t> 2006; </w:t>
      </w:r>
      <w:r w:rsidRPr="0086525B">
        <w:rPr>
          <w:rFonts w:ascii="Book Antiqua" w:hAnsi="Book Antiqua" w:cs="宋体"/>
          <w:b/>
          <w:bCs/>
          <w:sz w:val="24"/>
          <w:szCs w:val="24"/>
          <w:lang w:val="en-US" w:eastAsia="zh-CN"/>
        </w:rPr>
        <w:t>7</w:t>
      </w:r>
      <w:r w:rsidRPr="0086525B">
        <w:rPr>
          <w:rFonts w:ascii="Book Antiqua" w:hAnsi="Book Antiqua" w:cs="宋体"/>
          <w:sz w:val="24"/>
          <w:szCs w:val="24"/>
          <w:lang w:val="en-US" w:eastAsia="zh-CN"/>
        </w:rPr>
        <w:t>: 439-441 [PMID: 16648050 DOI: 10.1016/S1470-2045(06)70697-0]</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18 </w:t>
      </w:r>
      <w:r w:rsidRPr="0086525B">
        <w:rPr>
          <w:rFonts w:ascii="Book Antiqua" w:hAnsi="Book Antiqua" w:cs="宋体"/>
          <w:b/>
          <w:bCs/>
          <w:sz w:val="24"/>
          <w:szCs w:val="24"/>
          <w:lang w:val="en-US" w:eastAsia="zh-CN"/>
        </w:rPr>
        <w:t>Läuffer JM</w:t>
      </w:r>
      <w:r w:rsidRPr="0086525B">
        <w:rPr>
          <w:rFonts w:ascii="Book Antiqua" w:hAnsi="Book Antiqua" w:cs="宋体"/>
          <w:sz w:val="24"/>
          <w:szCs w:val="24"/>
          <w:lang w:val="en-US" w:eastAsia="zh-CN"/>
        </w:rPr>
        <w:t>, Zimmermann A, Krähenbühl L, Triller J, Baer HU. Epithelioid hemangioendothelioma of the liver. A rare hepatic tumor. </w:t>
      </w:r>
      <w:r w:rsidRPr="0086525B">
        <w:rPr>
          <w:rFonts w:ascii="Book Antiqua" w:hAnsi="Book Antiqua" w:cs="宋体"/>
          <w:i/>
          <w:iCs/>
          <w:sz w:val="24"/>
          <w:szCs w:val="24"/>
          <w:lang w:val="en-US" w:eastAsia="zh-CN"/>
        </w:rPr>
        <w:t>Cancer</w:t>
      </w:r>
      <w:r w:rsidRPr="0086525B">
        <w:rPr>
          <w:rFonts w:ascii="Book Antiqua" w:hAnsi="Book Antiqua" w:cs="宋体"/>
          <w:sz w:val="24"/>
          <w:szCs w:val="24"/>
          <w:lang w:val="en-US" w:eastAsia="zh-CN"/>
        </w:rPr>
        <w:t> 1996; </w:t>
      </w:r>
      <w:r w:rsidRPr="0086525B">
        <w:rPr>
          <w:rFonts w:ascii="Book Antiqua" w:hAnsi="Book Antiqua" w:cs="宋体"/>
          <w:b/>
          <w:bCs/>
          <w:sz w:val="24"/>
          <w:szCs w:val="24"/>
          <w:lang w:val="en-US" w:eastAsia="zh-CN"/>
        </w:rPr>
        <w:t>78</w:t>
      </w:r>
      <w:r w:rsidRPr="0086525B">
        <w:rPr>
          <w:rFonts w:ascii="Book Antiqua" w:hAnsi="Book Antiqua" w:cs="宋体"/>
          <w:sz w:val="24"/>
          <w:szCs w:val="24"/>
          <w:lang w:val="en-US" w:eastAsia="zh-CN"/>
        </w:rPr>
        <w:t>: 2318-2327 [PMID: 8941001 DOI: 10.1002/(sici)1097-0142(19961201)78: 11&lt;2318: : aid-cncr8&gt;3.0.co; 2-i]</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19 </w:t>
      </w:r>
      <w:r w:rsidRPr="0086525B">
        <w:rPr>
          <w:rFonts w:ascii="Book Antiqua" w:hAnsi="Book Antiqua" w:cs="宋体"/>
          <w:b/>
          <w:bCs/>
          <w:sz w:val="24"/>
          <w:szCs w:val="24"/>
          <w:lang w:val="en-US" w:eastAsia="zh-CN"/>
        </w:rPr>
        <w:t>Mistry AM</w:t>
      </w:r>
      <w:r w:rsidRPr="0086525B">
        <w:rPr>
          <w:rFonts w:ascii="Book Antiqua" w:hAnsi="Book Antiqua" w:cs="宋体"/>
          <w:sz w:val="24"/>
          <w:szCs w:val="24"/>
          <w:lang w:val="en-US" w:eastAsia="zh-CN"/>
        </w:rPr>
        <w:t>, Gorden DL, Busler JF, Coogan AC, Kelly BS. Diagnostic and therapeutic challenges in hepatic epithelioid hemangioendothelioma. </w:t>
      </w:r>
      <w:r w:rsidRPr="0086525B">
        <w:rPr>
          <w:rFonts w:ascii="Book Antiqua" w:hAnsi="Book Antiqua" w:cs="宋体"/>
          <w:i/>
          <w:iCs/>
          <w:sz w:val="24"/>
          <w:szCs w:val="24"/>
          <w:lang w:val="en-US" w:eastAsia="zh-CN"/>
        </w:rPr>
        <w:t>J Gastrointest Cancer</w:t>
      </w:r>
      <w:r w:rsidRPr="0086525B">
        <w:rPr>
          <w:rFonts w:ascii="Book Antiqua" w:hAnsi="Book Antiqua" w:cs="宋体"/>
          <w:sz w:val="24"/>
          <w:szCs w:val="24"/>
          <w:lang w:val="en-US" w:eastAsia="zh-CN"/>
        </w:rPr>
        <w:t> 2012; </w:t>
      </w:r>
      <w:r w:rsidRPr="0086525B">
        <w:rPr>
          <w:rFonts w:ascii="Book Antiqua" w:hAnsi="Book Antiqua" w:cs="宋体"/>
          <w:b/>
          <w:bCs/>
          <w:sz w:val="24"/>
          <w:szCs w:val="24"/>
          <w:lang w:val="en-US" w:eastAsia="zh-CN"/>
        </w:rPr>
        <w:t>43</w:t>
      </w:r>
      <w:r w:rsidRPr="0086525B">
        <w:rPr>
          <w:rFonts w:ascii="Book Antiqua" w:hAnsi="Book Antiqua" w:cs="宋体"/>
          <w:sz w:val="24"/>
          <w:szCs w:val="24"/>
          <w:lang w:val="en-US" w:eastAsia="zh-CN"/>
        </w:rPr>
        <w:t>: 521-525 [PMID: 22544493 DOI: 10.1007/s12029-012-9389-y.Review]</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20 </w:t>
      </w:r>
      <w:r w:rsidRPr="0086525B">
        <w:rPr>
          <w:rFonts w:ascii="Book Antiqua" w:hAnsi="Book Antiqua" w:cs="宋体"/>
          <w:b/>
          <w:bCs/>
          <w:sz w:val="24"/>
          <w:szCs w:val="24"/>
          <w:lang w:val="en-US" w:eastAsia="zh-CN"/>
        </w:rPr>
        <w:t>Choi KH</w:t>
      </w:r>
      <w:r w:rsidRPr="0086525B">
        <w:rPr>
          <w:rFonts w:ascii="Book Antiqua" w:hAnsi="Book Antiqua" w:cs="宋体"/>
          <w:sz w:val="24"/>
          <w:szCs w:val="24"/>
          <w:lang w:val="en-US" w:eastAsia="zh-CN"/>
        </w:rPr>
        <w:t>, Moon WS. Epithelioid hemangioendothelioma of the liver. </w:t>
      </w:r>
      <w:r w:rsidRPr="0086525B">
        <w:rPr>
          <w:rFonts w:ascii="Book Antiqua" w:hAnsi="Book Antiqua" w:cs="宋体"/>
          <w:i/>
          <w:iCs/>
          <w:sz w:val="24"/>
          <w:szCs w:val="24"/>
          <w:lang w:val="en-US" w:eastAsia="zh-CN"/>
        </w:rPr>
        <w:t>Clin Mol Hepatol</w:t>
      </w:r>
      <w:r w:rsidRPr="0086525B">
        <w:rPr>
          <w:rFonts w:ascii="Book Antiqua" w:hAnsi="Book Antiqua" w:cs="宋体"/>
          <w:sz w:val="24"/>
          <w:szCs w:val="24"/>
          <w:lang w:val="en-US" w:eastAsia="zh-CN"/>
        </w:rPr>
        <w:t> 2013; </w:t>
      </w:r>
      <w:r w:rsidRPr="0086525B">
        <w:rPr>
          <w:rFonts w:ascii="Book Antiqua" w:hAnsi="Book Antiqua" w:cs="宋体"/>
          <w:b/>
          <w:bCs/>
          <w:sz w:val="24"/>
          <w:szCs w:val="24"/>
          <w:lang w:val="en-US" w:eastAsia="zh-CN"/>
        </w:rPr>
        <w:t>19</w:t>
      </w:r>
      <w:r w:rsidRPr="0086525B">
        <w:rPr>
          <w:rFonts w:ascii="Book Antiqua" w:hAnsi="Book Antiqua" w:cs="宋体"/>
          <w:sz w:val="24"/>
          <w:szCs w:val="24"/>
          <w:lang w:val="en-US" w:eastAsia="zh-CN"/>
        </w:rPr>
        <w:t>: 315-319 [PMID: 24133671 DOI: 10.3350/cmh.2013.19.3.315]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21 </w:t>
      </w:r>
      <w:r w:rsidRPr="0086525B">
        <w:rPr>
          <w:rFonts w:ascii="Book Antiqua" w:hAnsi="Book Antiqua" w:cs="宋体"/>
          <w:b/>
          <w:bCs/>
          <w:sz w:val="24"/>
          <w:szCs w:val="24"/>
          <w:lang w:val="en-US" w:eastAsia="zh-CN"/>
        </w:rPr>
        <w:t>Gill R</w:t>
      </w:r>
      <w:r w:rsidRPr="0086525B">
        <w:rPr>
          <w:rFonts w:ascii="Book Antiqua" w:hAnsi="Book Antiqua" w:cs="宋体"/>
          <w:sz w:val="24"/>
          <w:szCs w:val="24"/>
          <w:lang w:val="en-US" w:eastAsia="zh-CN"/>
        </w:rPr>
        <w:t>, O'Donnell RJ, Horvai A. Utility of immunohistochemistry for endothelial markers in distinguishing epithelioid hemangioendothelioma from carcinoma metastatic to bone. </w:t>
      </w:r>
      <w:r w:rsidRPr="0086525B">
        <w:rPr>
          <w:rFonts w:ascii="Book Antiqua" w:hAnsi="Book Antiqua" w:cs="宋体"/>
          <w:i/>
          <w:iCs/>
          <w:sz w:val="24"/>
          <w:szCs w:val="24"/>
          <w:lang w:val="en-US" w:eastAsia="zh-CN"/>
        </w:rPr>
        <w:t>Arch Pathol Lab Med</w:t>
      </w:r>
      <w:r w:rsidRPr="0086525B">
        <w:rPr>
          <w:rFonts w:ascii="Book Antiqua" w:hAnsi="Book Antiqua" w:cs="宋体"/>
          <w:sz w:val="24"/>
          <w:szCs w:val="24"/>
          <w:lang w:val="en-US" w:eastAsia="zh-CN"/>
        </w:rPr>
        <w:t> 2009; </w:t>
      </w:r>
      <w:r w:rsidRPr="0086525B">
        <w:rPr>
          <w:rFonts w:ascii="Book Antiqua" w:hAnsi="Book Antiqua" w:cs="宋体"/>
          <w:b/>
          <w:bCs/>
          <w:sz w:val="24"/>
          <w:szCs w:val="24"/>
          <w:lang w:val="en-US" w:eastAsia="zh-CN"/>
        </w:rPr>
        <w:t>133</w:t>
      </w:r>
      <w:r w:rsidRPr="0086525B">
        <w:rPr>
          <w:rFonts w:ascii="Book Antiqua" w:hAnsi="Book Antiqua" w:cs="宋体"/>
          <w:sz w:val="24"/>
          <w:szCs w:val="24"/>
          <w:lang w:val="en-US" w:eastAsia="zh-CN"/>
        </w:rPr>
        <w:t>: 967-972 [PMID: 19492891 DOI: 10.1043/1543-2165-133.6.967]</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22 </w:t>
      </w:r>
      <w:r w:rsidRPr="0086525B">
        <w:rPr>
          <w:rFonts w:ascii="Book Antiqua" w:hAnsi="Book Antiqua" w:cs="宋体"/>
          <w:b/>
          <w:bCs/>
          <w:sz w:val="24"/>
          <w:szCs w:val="24"/>
          <w:lang w:val="en-US" w:eastAsia="zh-CN"/>
        </w:rPr>
        <w:t>Mehrabi A</w:t>
      </w:r>
      <w:r w:rsidRPr="0086525B">
        <w:rPr>
          <w:rFonts w:ascii="Book Antiqua" w:hAnsi="Book Antiqua" w:cs="宋体"/>
          <w:sz w:val="24"/>
          <w:szCs w:val="24"/>
          <w:lang w:val="en-US" w:eastAsia="zh-CN"/>
        </w:rPr>
        <w:t>, Kashfi A, Fonouni H, Schemmer P, Schmied BM, Hallscheidt P, Schirmacher P, Weitz J, Friess H, Buchler MW, Schmidt J. Primary malignant hepatic epithelioid hemangioendothelioma: a comprehensive review of the literature with emphasis on the surgical therapy. </w:t>
      </w:r>
      <w:r w:rsidRPr="0086525B">
        <w:rPr>
          <w:rFonts w:ascii="Book Antiqua" w:hAnsi="Book Antiqua" w:cs="宋体"/>
          <w:i/>
          <w:iCs/>
          <w:sz w:val="24"/>
          <w:szCs w:val="24"/>
          <w:lang w:val="en-US" w:eastAsia="zh-CN"/>
        </w:rPr>
        <w:t>Cancer</w:t>
      </w:r>
      <w:r w:rsidRPr="0086525B">
        <w:rPr>
          <w:rFonts w:ascii="Book Antiqua" w:hAnsi="Book Antiqua" w:cs="宋体"/>
          <w:sz w:val="24"/>
          <w:szCs w:val="24"/>
          <w:lang w:val="en-US" w:eastAsia="zh-CN"/>
        </w:rPr>
        <w:t> 2006; </w:t>
      </w:r>
      <w:r w:rsidRPr="0086525B">
        <w:rPr>
          <w:rFonts w:ascii="Book Antiqua" w:hAnsi="Book Antiqua" w:cs="宋体"/>
          <w:b/>
          <w:bCs/>
          <w:sz w:val="24"/>
          <w:szCs w:val="24"/>
          <w:lang w:val="en-US" w:eastAsia="zh-CN"/>
        </w:rPr>
        <w:t>107</w:t>
      </w:r>
      <w:r w:rsidRPr="0086525B">
        <w:rPr>
          <w:rFonts w:ascii="Book Antiqua" w:hAnsi="Book Antiqua" w:cs="宋体"/>
          <w:sz w:val="24"/>
          <w:szCs w:val="24"/>
          <w:lang w:val="en-US" w:eastAsia="zh-CN"/>
        </w:rPr>
        <w:t>: 2108-2121 [PMID: 17019735 DOI: 10.1002/cncr.22225]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23 </w:t>
      </w:r>
      <w:r w:rsidRPr="0086525B">
        <w:rPr>
          <w:rFonts w:ascii="Book Antiqua" w:hAnsi="Book Antiqua" w:cs="宋体"/>
          <w:b/>
          <w:bCs/>
          <w:sz w:val="24"/>
          <w:szCs w:val="24"/>
          <w:lang w:val="en-US" w:eastAsia="zh-CN"/>
        </w:rPr>
        <w:t>Ben-Haim M</w:t>
      </w:r>
      <w:r w:rsidRPr="0086525B">
        <w:rPr>
          <w:rFonts w:ascii="Book Antiqua" w:hAnsi="Book Antiqua" w:cs="宋体"/>
          <w:sz w:val="24"/>
          <w:szCs w:val="24"/>
          <w:lang w:val="en-US" w:eastAsia="zh-CN"/>
        </w:rPr>
        <w:t>, Roayaie S, Ye MQ, Thung SN, Emre S, Fishbein TA, Sheiner PM, Miller CM, Schwartz ME. Hepatic epithelioid hemangioendothelioma: resection or transplantation, which and when? </w:t>
      </w:r>
      <w:r w:rsidRPr="0086525B">
        <w:rPr>
          <w:rFonts w:ascii="Book Antiqua" w:hAnsi="Book Antiqua" w:cs="宋体"/>
          <w:i/>
          <w:iCs/>
          <w:sz w:val="24"/>
          <w:szCs w:val="24"/>
          <w:lang w:val="en-US" w:eastAsia="zh-CN"/>
        </w:rPr>
        <w:t>Liver Transpl Surg</w:t>
      </w:r>
      <w:r w:rsidRPr="0086525B">
        <w:rPr>
          <w:rFonts w:ascii="Book Antiqua" w:hAnsi="Book Antiqua" w:cs="宋体"/>
          <w:sz w:val="24"/>
          <w:szCs w:val="24"/>
          <w:lang w:val="en-US" w:eastAsia="zh-CN"/>
        </w:rPr>
        <w:t> 1999; </w:t>
      </w:r>
      <w:r w:rsidRPr="0086525B">
        <w:rPr>
          <w:rFonts w:ascii="Book Antiqua" w:hAnsi="Book Antiqua" w:cs="宋体"/>
          <w:b/>
          <w:bCs/>
          <w:sz w:val="24"/>
          <w:szCs w:val="24"/>
          <w:lang w:val="en-US" w:eastAsia="zh-CN"/>
        </w:rPr>
        <w:t>5</w:t>
      </w:r>
      <w:r w:rsidRPr="0086525B">
        <w:rPr>
          <w:rFonts w:ascii="Book Antiqua" w:hAnsi="Book Antiqua" w:cs="宋体"/>
          <w:sz w:val="24"/>
          <w:szCs w:val="24"/>
          <w:lang w:val="en-US" w:eastAsia="zh-CN"/>
        </w:rPr>
        <w:t>: 526-531 [PMID: 10545542 DOI: 10.1002/lt.500050612]</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24 </w:t>
      </w:r>
      <w:r w:rsidRPr="0086525B">
        <w:rPr>
          <w:rFonts w:ascii="Book Antiqua" w:hAnsi="Book Antiqua" w:cs="宋体"/>
          <w:b/>
          <w:bCs/>
          <w:sz w:val="24"/>
          <w:szCs w:val="24"/>
          <w:lang w:val="en-US" w:eastAsia="zh-CN"/>
        </w:rPr>
        <w:t>Lerut JP</w:t>
      </w:r>
      <w:r w:rsidRPr="0086525B">
        <w:rPr>
          <w:rFonts w:ascii="Book Antiqua" w:hAnsi="Book Antiqua" w:cs="宋体"/>
          <w:sz w:val="24"/>
          <w:szCs w:val="24"/>
          <w:lang w:val="en-US" w:eastAsia="zh-CN"/>
        </w:rPr>
        <w:t>, Orlando G, Adam R, Schiavo M, Klempnauer J, Mirza D, Boleslawski E, Burroughs A, Sellés CF, Jaeck D, Pfitzmann R, Salizzoni M, Söderdahl G, Steininger R, Wettergren A, Mazzaferro V, Le Treut YP, Karam V. The place of liver transplantation in the treatment of hepatic epitheloid hemangioendothelioma: report of the European liver transplant registry. </w:t>
      </w:r>
      <w:r w:rsidRPr="0086525B">
        <w:rPr>
          <w:rFonts w:ascii="Book Antiqua" w:hAnsi="Book Antiqua" w:cs="宋体"/>
          <w:i/>
          <w:iCs/>
          <w:sz w:val="24"/>
          <w:szCs w:val="24"/>
          <w:lang w:val="en-US" w:eastAsia="zh-CN"/>
        </w:rPr>
        <w:t>Ann Surg</w:t>
      </w:r>
      <w:r w:rsidRPr="0086525B">
        <w:rPr>
          <w:rFonts w:ascii="Book Antiqua" w:hAnsi="Book Antiqua" w:cs="宋体"/>
          <w:sz w:val="24"/>
          <w:szCs w:val="24"/>
          <w:lang w:val="en-US" w:eastAsia="zh-CN"/>
        </w:rPr>
        <w:t> 2007; </w:t>
      </w:r>
      <w:r w:rsidRPr="0086525B">
        <w:rPr>
          <w:rFonts w:ascii="Book Antiqua" w:hAnsi="Book Antiqua" w:cs="宋体"/>
          <w:b/>
          <w:bCs/>
          <w:sz w:val="24"/>
          <w:szCs w:val="24"/>
          <w:lang w:val="en-US" w:eastAsia="zh-CN"/>
        </w:rPr>
        <w:t>246</w:t>
      </w:r>
      <w:r w:rsidRPr="0086525B">
        <w:rPr>
          <w:rFonts w:ascii="Book Antiqua" w:hAnsi="Book Antiqua" w:cs="宋体"/>
          <w:sz w:val="24"/>
          <w:szCs w:val="24"/>
          <w:lang w:val="en-US" w:eastAsia="zh-CN"/>
        </w:rPr>
        <w:t>: 949-57; discussion 957 [PMID: 18043096 DOI: 10.1097/SLA.0b013e31815c2a70]</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25 </w:t>
      </w:r>
      <w:r w:rsidRPr="0086525B">
        <w:rPr>
          <w:rFonts w:ascii="Book Antiqua" w:hAnsi="Book Antiqua" w:cs="宋体"/>
          <w:b/>
          <w:bCs/>
          <w:sz w:val="24"/>
          <w:szCs w:val="24"/>
          <w:lang w:val="en-US" w:eastAsia="zh-CN"/>
        </w:rPr>
        <w:t>Rodriguez JA</w:t>
      </w:r>
      <w:r w:rsidRPr="0086525B">
        <w:rPr>
          <w:rFonts w:ascii="Book Antiqua" w:hAnsi="Book Antiqua" w:cs="宋体"/>
          <w:sz w:val="24"/>
          <w:szCs w:val="24"/>
          <w:lang w:val="en-US" w:eastAsia="zh-CN"/>
        </w:rPr>
        <w:t>, Becker NS, O'Mahony CA, Goss JA, Aloia TA. Long-term outcomes following liver transplantation for hepatic hemangioendothelioma: the UNOS experience from 1987 to 2005. </w:t>
      </w:r>
      <w:r w:rsidRPr="0086525B">
        <w:rPr>
          <w:rFonts w:ascii="Book Antiqua" w:hAnsi="Book Antiqua" w:cs="宋体"/>
          <w:i/>
          <w:iCs/>
          <w:sz w:val="24"/>
          <w:szCs w:val="24"/>
          <w:lang w:val="en-US" w:eastAsia="zh-CN"/>
        </w:rPr>
        <w:t>J Gastrointest Surg</w:t>
      </w:r>
      <w:r w:rsidRPr="0086525B">
        <w:rPr>
          <w:rFonts w:ascii="Book Antiqua" w:hAnsi="Book Antiqua" w:cs="宋体"/>
          <w:sz w:val="24"/>
          <w:szCs w:val="24"/>
          <w:lang w:val="en-US" w:eastAsia="zh-CN"/>
        </w:rPr>
        <w:t> 2008; </w:t>
      </w:r>
      <w:r w:rsidRPr="0086525B">
        <w:rPr>
          <w:rFonts w:ascii="Book Antiqua" w:hAnsi="Book Antiqua" w:cs="宋体"/>
          <w:b/>
          <w:bCs/>
          <w:sz w:val="24"/>
          <w:szCs w:val="24"/>
          <w:lang w:val="en-US" w:eastAsia="zh-CN"/>
        </w:rPr>
        <w:t>12</w:t>
      </w:r>
      <w:r w:rsidRPr="0086525B">
        <w:rPr>
          <w:rFonts w:ascii="Book Antiqua" w:hAnsi="Book Antiqua" w:cs="宋体"/>
          <w:sz w:val="24"/>
          <w:szCs w:val="24"/>
          <w:lang w:val="en-US" w:eastAsia="zh-CN"/>
        </w:rPr>
        <w:t>: 110-116 [PMID: 17710508 DOI: 10.1007/s11605-007-0247-3]</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26 </w:t>
      </w:r>
      <w:r w:rsidRPr="0086525B">
        <w:rPr>
          <w:rFonts w:ascii="Book Antiqua" w:hAnsi="Book Antiqua" w:cs="宋体"/>
          <w:b/>
          <w:bCs/>
          <w:sz w:val="24"/>
          <w:szCs w:val="24"/>
          <w:lang w:val="en-US" w:eastAsia="zh-CN"/>
        </w:rPr>
        <w:t>Wang LR</w:t>
      </w:r>
      <w:r w:rsidRPr="0086525B">
        <w:rPr>
          <w:rFonts w:ascii="Book Antiqua" w:hAnsi="Book Antiqua" w:cs="宋体"/>
          <w:sz w:val="24"/>
          <w:szCs w:val="24"/>
          <w:lang w:val="en-US" w:eastAsia="zh-CN"/>
        </w:rPr>
        <w:t>, Zhou JM, Zhao YM, He HW, Chai ZT, Wang M, Ji Y, Chen Y, Liu C, Sun HC, Wu WZ, Ye QH, Zhou J, Fan J, Tang ZY, Wang L. Clinical experience with primary hepatic epithelioid hemangioendothelioma: retrospective study of 33 patients. </w:t>
      </w:r>
      <w:r w:rsidRPr="0086525B">
        <w:rPr>
          <w:rFonts w:ascii="Book Antiqua" w:hAnsi="Book Antiqua" w:cs="宋体"/>
          <w:i/>
          <w:iCs/>
          <w:sz w:val="24"/>
          <w:szCs w:val="24"/>
          <w:lang w:val="en-US" w:eastAsia="zh-CN"/>
        </w:rPr>
        <w:t>World J Surg</w:t>
      </w:r>
      <w:r w:rsidRPr="0086525B">
        <w:rPr>
          <w:rFonts w:ascii="Book Antiqua" w:hAnsi="Book Antiqua" w:cs="宋体"/>
          <w:sz w:val="24"/>
          <w:szCs w:val="24"/>
          <w:lang w:val="en-US" w:eastAsia="zh-CN"/>
        </w:rPr>
        <w:t> 2012; </w:t>
      </w:r>
      <w:r w:rsidRPr="0086525B">
        <w:rPr>
          <w:rFonts w:ascii="Book Antiqua" w:hAnsi="Book Antiqua" w:cs="宋体"/>
          <w:b/>
          <w:bCs/>
          <w:sz w:val="24"/>
          <w:szCs w:val="24"/>
          <w:lang w:val="en-US" w:eastAsia="zh-CN"/>
        </w:rPr>
        <w:t>36</w:t>
      </w:r>
      <w:r w:rsidRPr="0086525B">
        <w:rPr>
          <w:rFonts w:ascii="Book Antiqua" w:hAnsi="Book Antiqua" w:cs="宋体"/>
          <w:sz w:val="24"/>
          <w:szCs w:val="24"/>
          <w:lang w:val="en-US" w:eastAsia="zh-CN"/>
        </w:rPr>
        <w:t>: 2677-2683 [PMID: 22890877 DOI: 10.1007/s00268-012-1714-x]</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lastRenderedPageBreak/>
        <w:t>27 </w:t>
      </w:r>
      <w:r w:rsidRPr="0086525B">
        <w:rPr>
          <w:rFonts w:ascii="Book Antiqua" w:hAnsi="Book Antiqua" w:cs="宋体"/>
          <w:b/>
          <w:bCs/>
          <w:sz w:val="24"/>
          <w:szCs w:val="24"/>
          <w:lang w:val="en-US" w:eastAsia="zh-CN"/>
        </w:rPr>
        <w:t>Grotz TE</w:t>
      </w:r>
      <w:r w:rsidRPr="0086525B">
        <w:rPr>
          <w:rFonts w:ascii="Book Antiqua" w:hAnsi="Book Antiqua" w:cs="宋体"/>
          <w:sz w:val="24"/>
          <w:szCs w:val="24"/>
          <w:lang w:val="en-US" w:eastAsia="zh-CN"/>
        </w:rPr>
        <w:t>, Nagorney D, Donohue J, Que F, Kendrick M, Farnell M, Harmsen S, Mulligan D, Nguyen J, Rosen C, Reid-Lombardo KM. Hepatic epithelioid haemangioendothelioma: is transplantation the only treatment option? </w:t>
      </w:r>
      <w:r w:rsidRPr="0086525B">
        <w:rPr>
          <w:rFonts w:ascii="Book Antiqua" w:hAnsi="Book Antiqua" w:cs="宋体"/>
          <w:i/>
          <w:iCs/>
          <w:sz w:val="24"/>
          <w:szCs w:val="24"/>
          <w:lang w:val="en-US" w:eastAsia="zh-CN"/>
        </w:rPr>
        <w:t>HPB (Oxford)</w:t>
      </w:r>
      <w:r w:rsidRPr="0086525B">
        <w:rPr>
          <w:rFonts w:ascii="Book Antiqua" w:hAnsi="Book Antiqua" w:cs="宋体"/>
          <w:sz w:val="24"/>
          <w:szCs w:val="24"/>
          <w:lang w:val="en-US" w:eastAsia="zh-CN"/>
        </w:rPr>
        <w:t> 2010; </w:t>
      </w:r>
      <w:r w:rsidRPr="0086525B">
        <w:rPr>
          <w:rFonts w:ascii="Book Antiqua" w:hAnsi="Book Antiqua" w:cs="宋体"/>
          <w:b/>
          <w:bCs/>
          <w:sz w:val="24"/>
          <w:szCs w:val="24"/>
          <w:lang w:val="en-US" w:eastAsia="zh-CN"/>
        </w:rPr>
        <w:t>12</w:t>
      </w:r>
      <w:r w:rsidRPr="0086525B">
        <w:rPr>
          <w:rFonts w:ascii="Book Antiqua" w:hAnsi="Book Antiqua" w:cs="宋体"/>
          <w:sz w:val="24"/>
          <w:szCs w:val="24"/>
          <w:lang w:val="en-US" w:eastAsia="zh-CN"/>
        </w:rPr>
        <w:t>: 546-553 [PMID: 20887322 DOI: 10.1111/j.1477-2574.2010.00213.x]</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28 </w:t>
      </w:r>
      <w:r w:rsidRPr="0086525B">
        <w:rPr>
          <w:rFonts w:ascii="Book Antiqua" w:hAnsi="Book Antiqua" w:cs="宋体"/>
          <w:b/>
          <w:bCs/>
          <w:sz w:val="24"/>
          <w:szCs w:val="24"/>
          <w:lang w:val="en-US" w:eastAsia="zh-CN"/>
        </w:rPr>
        <w:t>Nudo CG</w:t>
      </w:r>
      <w:r w:rsidRPr="0086525B">
        <w:rPr>
          <w:rFonts w:ascii="Book Antiqua" w:hAnsi="Book Antiqua" w:cs="宋体"/>
          <w:sz w:val="24"/>
          <w:szCs w:val="24"/>
          <w:lang w:val="en-US" w:eastAsia="zh-CN"/>
        </w:rPr>
        <w:t>, Yoshida EM, Bain VG, Marleau D, Wong P, Marotta PJ, Renner E, Watt KD, Deschênes M. Liver transplantation for hepatic epithelioid hemangioendothelioma: the Canadian multicentre experience. </w:t>
      </w:r>
      <w:r w:rsidRPr="0086525B">
        <w:rPr>
          <w:rFonts w:ascii="Book Antiqua" w:hAnsi="Book Antiqua" w:cs="宋体"/>
          <w:i/>
          <w:iCs/>
          <w:sz w:val="24"/>
          <w:szCs w:val="24"/>
          <w:lang w:val="en-US" w:eastAsia="zh-CN"/>
        </w:rPr>
        <w:t>Can J Gastroenterol</w:t>
      </w:r>
      <w:r w:rsidRPr="0086525B">
        <w:rPr>
          <w:rFonts w:ascii="Book Antiqua" w:hAnsi="Book Antiqua" w:cs="宋体"/>
          <w:sz w:val="24"/>
          <w:szCs w:val="24"/>
          <w:lang w:val="en-US" w:eastAsia="zh-CN"/>
        </w:rPr>
        <w:t> 2008; </w:t>
      </w:r>
      <w:r w:rsidRPr="0086525B">
        <w:rPr>
          <w:rFonts w:ascii="Book Antiqua" w:hAnsi="Book Antiqua" w:cs="宋体"/>
          <w:b/>
          <w:bCs/>
          <w:sz w:val="24"/>
          <w:szCs w:val="24"/>
          <w:lang w:val="en-US" w:eastAsia="zh-CN"/>
        </w:rPr>
        <w:t>22</w:t>
      </w:r>
      <w:r w:rsidRPr="0086525B">
        <w:rPr>
          <w:rFonts w:ascii="Book Antiqua" w:hAnsi="Book Antiqua" w:cs="宋体"/>
          <w:sz w:val="24"/>
          <w:szCs w:val="24"/>
          <w:lang w:val="en-US" w:eastAsia="zh-CN"/>
        </w:rPr>
        <w:t>: 821-824 [PMID: 18925305]</w:t>
      </w:r>
    </w:p>
    <w:p w:rsidR="0086525B" w:rsidRPr="0086525B" w:rsidRDefault="0086525B" w:rsidP="0086525B">
      <w:pPr>
        <w:spacing w:after="0" w:line="240" w:lineRule="auto"/>
        <w:rPr>
          <w:rFonts w:ascii="Book Antiqua" w:hAnsi="Book Antiqua" w:cs="宋体"/>
          <w:sz w:val="24"/>
          <w:szCs w:val="24"/>
          <w:lang w:val="en-US" w:eastAsia="zh-CN"/>
        </w:rPr>
      </w:pPr>
      <w:r w:rsidRPr="0086525B">
        <w:rPr>
          <w:rFonts w:ascii="Book Antiqua" w:hAnsi="Book Antiqua" w:cs="宋体"/>
          <w:sz w:val="24"/>
          <w:szCs w:val="24"/>
          <w:lang w:val="en-US" w:eastAsia="zh-CN"/>
        </w:rPr>
        <w:t>29 </w:t>
      </w:r>
      <w:r w:rsidRPr="0086525B">
        <w:rPr>
          <w:rFonts w:ascii="Book Antiqua" w:hAnsi="Book Antiqua" w:cs="宋体"/>
          <w:b/>
          <w:bCs/>
          <w:sz w:val="24"/>
          <w:szCs w:val="24"/>
          <w:lang w:val="en-US" w:eastAsia="zh-CN"/>
        </w:rPr>
        <w:t>Cardinal J</w:t>
      </w:r>
      <w:r w:rsidRPr="0086525B">
        <w:rPr>
          <w:rFonts w:ascii="Book Antiqua" w:hAnsi="Book Antiqua" w:cs="宋体"/>
          <w:sz w:val="24"/>
          <w:szCs w:val="24"/>
          <w:lang w:val="en-US" w:eastAsia="zh-CN"/>
        </w:rPr>
        <w:t>, de Vera ME, Marsh JW, Steel JL, Geller DA, Fontes P, Nalesnik M, Gamblin TC. Treatment of hepatic epithelioid hemangioendothelioma: a single-institution experience with 25 cases. </w:t>
      </w:r>
      <w:r w:rsidRPr="0086525B">
        <w:rPr>
          <w:rFonts w:ascii="Book Antiqua" w:hAnsi="Book Antiqua" w:cs="宋体"/>
          <w:i/>
          <w:iCs/>
          <w:sz w:val="24"/>
          <w:szCs w:val="24"/>
          <w:lang w:val="en-US" w:eastAsia="zh-CN"/>
        </w:rPr>
        <w:t>Arch Surg</w:t>
      </w:r>
      <w:r w:rsidRPr="0086525B">
        <w:rPr>
          <w:rFonts w:ascii="Book Antiqua" w:hAnsi="Book Antiqua" w:cs="宋体"/>
          <w:sz w:val="24"/>
          <w:szCs w:val="24"/>
          <w:lang w:val="en-US" w:eastAsia="zh-CN"/>
        </w:rPr>
        <w:t> 2009; </w:t>
      </w:r>
      <w:r w:rsidRPr="0086525B">
        <w:rPr>
          <w:rFonts w:ascii="Book Antiqua" w:hAnsi="Book Antiqua" w:cs="宋体"/>
          <w:b/>
          <w:bCs/>
          <w:sz w:val="24"/>
          <w:szCs w:val="24"/>
          <w:lang w:val="en-US" w:eastAsia="zh-CN"/>
        </w:rPr>
        <w:t>144</w:t>
      </w:r>
      <w:r w:rsidRPr="0086525B">
        <w:rPr>
          <w:rFonts w:ascii="Book Antiqua" w:hAnsi="Book Antiqua" w:cs="宋体"/>
          <w:sz w:val="24"/>
          <w:szCs w:val="24"/>
          <w:lang w:val="en-US" w:eastAsia="zh-CN"/>
        </w:rPr>
        <w:t>: 1035-1039 [PMID: 19917940 DOI: 10.1001/]</w:t>
      </w:r>
    </w:p>
    <w:p w:rsidR="00EC3FFB" w:rsidRDefault="00EC3FFB" w:rsidP="006A67CC">
      <w:pPr>
        <w:adjustRightInd w:val="0"/>
        <w:snapToGrid w:val="0"/>
        <w:spacing w:after="0" w:line="360" w:lineRule="auto"/>
        <w:jc w:val="both"/>
        <w:rPr>
          <w:rFonts w:ascii="Book Antiqua" w:hAnsi="Book Antiqua"/>
          <w:b/>
          <w:sz w:val="24"/>
          <w:szCs w:val="24"/>
          <w:lang w:val="en-US" w:eastAsia="zh-CN"/>
        </w:rPr>
      </w:pPr>
    </w:p>
    <w:p w:rsidR="00111554" w:rsidRDefault="00111554" w:rsidP="00111554">
      <w:pPr>
        <w:tabs>
          <w:tab w:val="left" w:pos="180"/>
          <w:tab w:val="left" w:pos="360"/>
        </w:tabs>
        <w:adjustRightInd w:val="0"/>
        <w:snapToGrid w:val="0"/>
        <w:spacing w:line="360" w:lineRule="auto"/>
        <w:jc w:val="right"/>
        <w:rPr>
          <w:rFonts w:ascii="Book Antiqua" w:hAnsi="Book Antiqua" w:cs="Tahoma"/>
          <w:b/>
          <w:color w:val="000000"/>
          <w:sz w:val="24"/>
          <w:lang w:eastAsia="zh-CN"/>
        </w:rPr>
      </w:pPr>
      <w:bookmarkStart w:id="406" w:name="OLE_LINK874"/>
      <w:bookmarkStart w:id="407" w:name="OLE_LINK875"/>
      <w:bookmarkStart w:id="408" w:name="OLE_LINK347"/>
      <w:bookmarkStart w:id="409" w:name="OLE_LINK384"/>
      <w:bookmarkStart w:id="410" w:name="OLE_LINK557"/>
      <w:bookmarkStart w:id="411" w:name="OLE_LINK558"/>
      <w:bookmarkStart w:id="412" w:name="OLE_LINK631"/>
      <w:bookmarkStart w:id="413" w:name="OLE_LINK632"/>
      <w:bookmarkStart w:id="414" w:name="OLE_LINK386"/>
      <w:bookmarkStart w:id="415" w:name="OLE_LINK431"/>
      <w:bookmarkStart w:id="416" w:name="OLE_LINK564"/>
      <w:bookmarkStart w:id="417" w:name="OLE_LINK493"/>
      <w:bookmarkStart w:id="418" w:name="OLE_LINK442"/>
      <w:bookmarkStart w:id="419" w:name="OLE_LINK551"/>
      <w:bookmarkStart w:id="420" w:name="OLE_LINK668"/>
      <w:bookmarkStart w:id="421" w:name="OLE_LINK669"/>
      <w:bookmarkStart w:id="422" w:name="OLE_LINK725"/>
      <w:bookmarkStart w:id="423" w:name="OLE_LINK489"/>
      <w:bookmarkStart w:id="424" w:name="OLE_LINK602"/>
      <w:bookmarkStart w:id="425" w:name="OLE_LINK658"/>
      <w:bookmarkStart w:id="426" w:name="OLE_LINK747"/>
      <w:bookmarkStart w:id="427" w:name="OLE_LINK897"/>
      <w:bookmarkStart w:id="428" w:name="OLE_LINK1138"/>
      <w:bookmarkStart w:id="429" w:name="OLE_LINK1139"/>
      <w:bookmarkStart w:id="430" w:name="OLE_LINK882"/>
      <w:bookmarkStart w:id="431" w:name="OLE_LINK1095"/>
      <w:bookmarkStart w:id="432" w:name="OLE_LINK1305"/>
      <w:bookmarkStart w:id="433" w:name="OLE_LINK1390"/>
      <w:bookmarkStart w:id="434" w:name="OLE_LINK964"/>
      <w:bookmarkStart w:id="435" w:name="OLE_LINK1190"/>
      <w:bookmarkStart w:id="436" w:name="OLE_LINK1314"/>
      <w:bookmarkStart w:id="437" w:name="OLE_LINK1031"/>
      <w:bookmarkStart w:id="438" w:name="OLE_LINK1092"/>
      <w:bookmarkStart w:id="439" w:name="OLE_LINK1258"/>
      <w:bookmarkStart w:id="440" w:name="OLE_LINK1259"/>
      <w:bookmarkStart w:id="441" w:name="OLE_LINK1337"/>
      <w:bookmarkStart w:id="442" w:name="OLE_LINK1338"/>
      <w:bookmarkStart w:id="443" w:name="OLE_LINK1363"/>
      <w:bookmarkStart w:id="444" w:name="OLE_LINK1364"/>
      <w:bookmarkStart w:id="445" w:name="OLE_LINK86"/>
      <w:bookmarkStart w:id="446" w:name="OLE_LINK1595"/>
      <w:bookmarkStart w:id="447" w:name="OLE_LINK1613"/>
      <w:bookmarkStart w:id="448" w:name="OLE_LINK1708"/>
      <w:bookmarkStart w:id="449" w:name="OLE_LINK1774"/>
      <w:bookmarkStart w:id="450" w:name="OLE_LINK1872"/>
      <w:bookmarkStart w:id="451" w:name="OLE_LINK1899"/>
      <w:bookmarkStart w:id="452" w:name="OLE_LINK1492"/>
      <w:bookmarkStart w:id="453" w:name="OLE_LINK1497"/>
      <w:bookmarkStart w:id="454" w:name="OLE_LINK1498"/>
      <w:bookmarkStart w:id="455" w:name="OLE_LINK1589"/>
      <w:bookmarkStart w:id="456" w:name="OLE_LINK1666"/>
      <w:bookmarkStart w:id="457" w:name="OLE_LINK1752"/>
      <w:bookmarkStart w:id="458" w:name="OLE_LINK1616"/>
      <w:bookmarkStart w:id="459" w:name="OLE_LINK1696"/>
      <w:bookmarkStart w:id="460" w:name="OLE_LINK1855"/>
      <w:bookmarkStart w:id="461" w:name="OLE_LINK1942"/>
      <w:bookmarkStart w:id="462" w:name="OLE_LINK1943"/>
      <w:bookmarkStart w:id="463" w:name="OLE_LINK1573"/>
      <w:bookmarkStart w:id="464" w:name="OLE_LINK1574"/>
      <w:bookmarkStart w:id="465" w:name="OLE_LINK1575"/>
      <w:bookmarkStart w:id="466" w:name="OLE_LINK1739"/>
      <w:bookmarkStart w:id="467" w:name="OLE_LINK1761"/>
      <w:bookmarkStart w:id="468" w:name="OLE_LINK1743"/>
      <w:bookmarkStart w:id="469" w:name="OLE_LINK1841"/>
      <w:bookmarkStart w:id="470" w:name="OLE_LINK1858"/>
      <w:bookmarkStart w:id="471" w:name="OLE_LINK1890"/>
      <w:bookmarkStart w:id="472" w:name="OLE_LINK1915"/>
      <w:bookmarkStart w:id="473" w:name="OLE_LINK1980"/>
      <w:bookmarkStart w:id="474" w:name="OLE_LINK1883"/>
      <w:bookmarkStart w:id="475" w:name="OLE_LINK1935"/>
      <w:bookmarkStart w:id="476" w:name="OLE_LINK1936"/>
      <w:bookmarkStart w:id="477" w:name="OLE_LINK1952"/>
      <w:bookmarkStart w:id="478" w:name="OLE_LINK1953"/>
      <w:bookmarkStart w:id="479" w:name="OLE_LINK1999"/>
      <w:bookmarkStart w:id="480" w:name="OLE_LINK2050"/>
      <w:bookmarkStart w:id="481" w:name="OLE_LINK1862"/>
      <w:bookmarkStart w:id="482" w:name="OLE_LINK1963"/>
      <w:bookmarkStart w:id="483" w:name="OLE_LINK2052"/>
      <w:bookmarkStart w:id="484" w:name="OLE_LINK1906"/>
      <w:bookmarkStart w:id="485" w:name="OLE_LINK2031"/>
      <w:bookmarkStart w:id="486" w:name="OLE_LINK2032"/>
      <w:bookmarkStart w:id="487" w:name="OLE_LINK1907"/>
      <w:bookmarkStart w:id="488" w:name="OLE_LINK2004"/>
      <w:bookmarkStart w:id="489" w:name="OLE_LINK2238"/>
      <w:bookmarkStart w:id="490" w:name="OLE_LINK2239"/>
      <w:bookmarkStart w:id="491" w:name="OLE_LINK2163"/>
      <w:bookmarkStart w:id="492" w:name="OLE_LINK2207"/>
      <w:bookmarkStart w:id="493" w:name="OLE_LINK2341"/>
      <w:bookmarkStart w:id="494" w:name="OLE_LINK2417"/>
      <w:bookmarkStart w:id="495" w:name="OLE_LINK2509"/>
      <w:bookmarkStart w:id="496" w:name="OLE_LINK2510"/>
      <w:bookmarkStart w:id="497" w:name="OLE_LINK2511"/>
      <w:bookmarkStart w:id="498" w:name="OLE_LINK2512"/>
      <w:bookmarkStart w:id="499" w:name="OLE_LINK2513"/>
      <w:bookmarkStart w:id="500" w:name="OLE_LINK2514"/>
      <w:bookmarkStart w:id="501" w:name="OLE_LINK2515"/>
      <w:bookmarkStart w:id="502" w:name="OLE_LINK2516"/>
      <w:bookmarkStart w:id="503" w:name="OLE_LINK2517"/>
      <w:bookmarkStart w:id="504" w:name="OLE_LINK2518"/>
      <w:bookmarkStart w:id="505" w:name="OLE_LINK2519"/>
      <w:bookmarkStart w:id="506" w:name="OLE_LINK2520"/>
      <w:bookmarkStart w:id="507" w:name="OLE_LINK2521"/>
      <w:bookmarkStart w:id="508" w:name="OLE_LINK2522"/>
      <w:bookmarkStart w:id="509" w:name="OLE_LINK2523"/>
      <w:bookmarkStart w:id="510" w:name="OLE_LINK2524"/>
      <w:bookmarkStart w:id="511" w:name="OLE_LINK2051"/>
      <w:bookmarkStart w:id="512" w:name="OLE_LINK2109"/>
      <w:bookmarkStart w:id="513" w:name="OLE_LINK2165"/>
      <w:bookmarkStart w:id="514" w:name="OLE_LINK2385"/>
      <w:bookmarkStart w:id="515" w:name="OLE_LINK2593"/>
      <w:bookmarkStart w:id="516" w:name="OLE_LINK2332"/>
      <w:bookmarkStart w:id="517" w:name="OLE_LINK2448"/>
      <w:bookmarkStart w:id="518" w:name="OLE_LINK2525"/>
      <w:bookmarkStart w:id="519" w:name="OLE_LINK2506"/>
      <w:bookmarkStart w:id="520" w:name="OLE_LINK2507"/>
      <w:bookmarkStart w:id="521" w:name="OLE_LINK2291"/>
      <w:bookmarkStart w:id="522" w:name="OLE_LINK2294"/>
      <w:bookmarkStart w:id="523" w:name="OLE_LINK2298"/>
      <w:bookmarkStart w:id="524" w:name="OLE_LINK2300"/>
      <w:bookmarkStart w:id="525" w:name="OLE_LINK2301"/>
      <w:bookmarkStart w:id="526" w:name="OLE_LINK2546"/>
      <w:bookmarkStart w:id="527" w:name="OLE_LINK2756"/>
      <w:bookmarkStart w:id="528" w:name="OLE_LINK2757"/>
      <w:bookmarkStart w:id="529" w:name="OLE_LINK2736"/>
      <w:bookmarkStart w:id="530" w:name="OLE_LINK2923"/>
      <w:bookmarkStart w:id="531" w:name="OLE_LINK2974"/>
      <w:bookmarkStart w:id="532" w:name="OLE_LINK3125"/>
      <w:bookmarkStart w:id="533" w:name="OLE_LINK3218"/>
      <w:bookmarkStart w:id="534" w:name="OLE_LINK2575"/>
      <w:bookmarkStart w:id="535" w:name="OLE_LINK2687"/>
      <w:bookmarkStart w:id="536" w:name="OLE_LINK2688"/>
      <w:bookmarkStart w:id="537" w:name="OLE_LINK2700"/>
      <w:bookmarkStart w:id="538" w:name="OLE_LINK2576"/>
      <w:bookmarkStart w:id="539" w:name="OLE_LINK2674"/>
      <w:bookmarkStart w:id="540" w:name="OLE_LINK2738"/>
      <w:bookmarkStart w:id="541" w:name="OLE_LINK2983"/>
      <w:bookmarkStart w:id="542" w:name="OLE_LINK76"/>
      <w:bookmarkStart w:id="543" w:name="OLE_LINK115"/>
      <w:bookmarkStart w:id="544" w:name="OLE_LINK155"/>
      <w:r w:rsidRPr="00C56046">
        <w:rPr>
          <w:rFonts w:ascii="Book Antiqua" w:hAnsi="Book Antiqua" w:cs="Tahoma"/>
          <w:b/>
          <w:color w:val="000000"/>
          <w:sz w:val="24"/>
        </w:rPr>
        <w:t>P-Reviewer</w:t>
      </w:r>
      <w:r>
        <w:rPr>
          <w:rFonts w:ascii="Book Antiqua" w:hAnsi="Book Antiqua" w:cs="Tahoma" w:hint="eastAsia"/>
          <w:b/>
          <w:color w:val="000000"/>
          <w:sz w:val="24"/>
        </w:rPr>
        <w:t>s:</w:t>
      </w:r>
      <w:r w:rsidRPr="00C56046">
        <w:rPr>
          <w:rFonts w:ascii="Book Antiqua" w:hAnsi="Book Antiqua" w:cs="Tahoma"/>
          <w:b/>
          <w:color w:val="000000"/>
          <w:sz w:val="24"/>
        </w:rPr>
        <w:t xml:space="preserve"> </w:t>
      </w:r>
      <w:r w:rsidRPr="00111554">
        <w:rPr>
          <w:rFonts w:ascii="Book Antiqua" w:hAnsi="Book Antiqua" w:cs="Tahoma"/>
          <w:color w:val="000000"/>
          <w:sz w:val="24"/>
        </w:rPr>
        <w:t>Akarsu</w:t>
      </w:r>
      <w:r w:rsidRPr="00111554">
        <w:rPr>
          <w:rFonts w:ascii="Book Antiqua" w:hAnsi="Book Antiqua" w:cs="Tahoma"/>
          <w:b/>
          <w:color w:val="000000"/>
          <w:sz w:val="24"/>
        </w:rPr>
        <w:t xml:space="preserve"> </w:t>
      </w:r>
      <w:r w:rsidRPr="00111554">
        <w:rPr>
          <w:rFonts w:ascii="Book Antiqua" w:hAnsi="Book Antiqua" w:cs="Tahoma"/>
          <w:color w:val="000000"/>
          <w:sz w:val="24"/>
        </w:rPr>
        <w:t>M, Galvao FHF, Sira MM, Rodriguez-Peralvarez M</w:t>
      </w:r>
    </w:p>
    <w:p w:rsidR="00111554" w:rsidRPr="00C56046" w:rsidRDefault="00111554" w:rsidP="00111554">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406"/>
      <w:bookmarkEnd w:id="407"/>
      <w:r w:rsidRPr="00C56046">
        <w:rPr>
          <w:rFonts w:ascii="Book Antiqua" w:hAnsi="Book Antiqua" w:cs="Tahoma"/>
          <w:b/>
          <w:color w:val="000000"/>
          <w:sz w:val="24"/>
        </w:rPr>
        <w:t>r</w:t>
      </w:r>
      <w:r>
        <w:rPr>
          <w:rFonts w:ascii="Book Antiqua" w:hAnsi="Book Antiqua" w:cs="Tahoma" w:hint="eastAsia"/>
          <w:b/>
          <w:color w:val="000000"/>
          <w:sz w:val="24"/>
        </w:rPr>
        <w:t>:</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rsidR="00111554" w:rsidRPr="00111554" w:rsidRDefault="00111554" w:rsidP="006A67CC">
      <w:pPr>
        <w:adjustRightInd w:val="0"/>
        <w:snapToGrid w:val="0"/>
        <w:spacing w:after="0" w:line="360" w:lineRule="auto"/>
        <w:jc w:val="both"/>
        <w:rPr>
          <w:rFonts w:ascii="Book Antiqua" w:hAnsi="Book Antiqua"/>
          <w:b/>
          <w:sz w:val="24"/>
          <w:szCs w:val="24"/>
          <w:lang w:eastAsia="zh-CN"/>
        </w:rPr>
      </w:pPr>
    </w:p>
    <w:p w:rsidR="00EC3FFB" w:rsidRPr="0086525B" w:rsidRDefault="00EC3FFB">
      <w:pPr>
        <w:spacing w:after="0" w:line="240" w:lineRule="auto"/>
        <w:rPr>
          <w:rFonts w:ascii="Book Antiqua" w:hAnsi="Book Antiqua"/>
          <w:sz w:val="24"/>
          <w:szCs w:val="24"/>
          <w:lang w:eastAsia="zh-CN"/>
        </w:rPr>
      </w:pPr>
      <w:r w:rsidRPr="0086525B">
        <w:rPr>
          <w:rFonts w:ascii="Book Antiqua" w:hAnsi="Book Antiqua"/>
          <w:sz w:val="24"/>
          <w:szCs w:val="24"/>
          <w:lang w:eastAsia="zh-CN"/>
        </w:rPr>
        <w:br w:type="page"/>
      </w:r>
    </w:p>
    <w:p w:rsidR="007F3DA0" w:rsidRPr="0086525B" w:rsidRDefault="00742103" w:rsidP="00EC3FFB">
      <w:pPr>
        <w:snapToGrid w:val="0"/>
        <w:spacing w:after="0" w:line="360" w:lineRule="auto"/>
        <w:jc w:val="both"/>
        <w:rPr>
          <w:rFonts w:ascii="Book Antiqua" w:hAnsi="Book Antiqua"/>
          <w:b/>
          <w:noProof/>
          <w:sz w:val="24"/>
          <w:szCs w:val="24"/>
          <w:lang w:val="en-US" w:eastAsia="zh-CN"/>
        </w:rPr>
      </w:pPr>
      <w:r>
        <w:rPr>
          <w:rFonts w:ascii="Book Antiqua" w:hAnsi="Book Antiqua"/>
          <w:b/>
          <w:noProof/>
          <w:sz w:val="24"/>
          <w:szCs w:val="24"/>
          <w:lang w:val="en-US"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1533525</wp:posOffset>
                </wp:positionH>
                <wp:positionV relativeFrom="paragraph">
                  <wp:posOffset>1219200</wp:posOffset>
                </wp:positionV>
                <wp:extent cx="619125" cy="67627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1C4" w:rsidRDefault="00A901C4">
                            <w:pPr>
                              <w:rPr>
                                <w:lang w:eastAsia="zh-CN"/>
                              </w:rPr>
                            </w:pPr>
                            <w:r>
                              <w:rPr>
                                <w:rFonts w:hint="eastAsia"/>
                                <w:lang w:eastAsia="zh-CN"/>
                              </w:rPr>
                              <w:t>A     B</w:t>
                            </w:r>
                          </w:p>
                          <w:p w:rsidR="00A901C4" w:rsidRDefault="00A901C4">
                            <w:pPr>
                              <w:rPr>
                                <w:lang w:eastAsia="zh-CN"/>
                              </w:rPr>
                            </w:pPr>
                            <w:r>
                              <w:rPr>
                                <w:rFonts w:hint="eastAsia"/>
                                <w:lang w:eastAsia="zh-CN"/>
                              </w:rPr>
                              <w:t>C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0.75pt;margin-top:96pt;width:48.7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BLtAIAAL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" filled="f" stroked="f">
                <v:textbox>
                  <w:txbxContent>
                    <w:p w:rsidR="00A901C4" w:rsidRDefault="00A901C4">
                      <w:pPr>
                        <w:rPr>
                          <w:lang w:eastAsia="zh-CN"/>
                        </w:rPr>
                      </w:pPr>
                      <w:r>
                        <w:rPr>
                          <w:rFonts w:hint="eastAsia"/>
                          <w:lang w:eastAsia="zh-CN"/>
                        </w:rPr>
                        <w:t>A     B</w:t>
                      </w:r>
                    </w:p>
                    <w:p w:rsidR="00A901C4" w:rsidRDefault="00A901C4">
                      <w:pPr>
                        <w:rPr>
                          <w:lang w:eastAsia="zh-CN"/>
                        </w:rPr>
                      </w:pPr>
                      <w:r>
                        <w:rPr>
                          <w:rFonts w:hint="eastAsia"/>
                          <w:lang w:eastAsia="zh-CN"/>
                        </w:rPr>
                        <w:t>C     D</w:t>
                      </w:r>
                    </w:p>
                  </w:txbxContent>
                </v:textbox>
              </v:shape>
            </w:pict>
          </mc:Fallback>
        </mc:AlternateContent>
      </w:r>
      <w:r w:rsidR="007F3DA0" w:rsidRPr="0086525B">
        <w:rPr>
          <w:rFonts w:ascii="Book Antiqua" w:hAnsi="Book Antiqua"/>
          <w:b/>
          <w:noProof/>
          <w:sz w:val="24"/>
          <w:szCs w:val="24"/>
          <w:lang w:val="en-US" w:eastAsia="zh-CN"/>
        </w:rPr>
        <w:drawing>
          <wp:inline distT="0" distB="0" distL="0" distR="0">
            <wp:extent cx="1800000" cy="1440421"/>
            <wp:effectExtent l="19050" t="0" r="0" b="0"/>
            <wp:docPr id="22" name="图片 22" descr="E:\2013-10-10\待整理\8416\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3-10-10\待整理\8416\Figure 1a.jpg"/>
                    <pic:cNvPicPr>
                      <a:picLocks noChangeAspect="1" noChangeArrowheads="1"/>
                    </pic:cNvPicPr>
                  </pic:nvPicPr>
                  <pic:blipFill>
                    <a:blip r:embed="rId10"/>
                    <a:srcRect/>
                    <a:stretch>
                      <a:fillRect/>
                    </a:stretch>
                  </pic:blipFill>
                  <pic:spPr bwMode="auto">
                    <a:xfrm>
                      <a:off x="0" y="0"/>
                      <a:ext cx="1800000" cy="1440421"/>
                    </a:xfrm>
                    <a:prstGeom prst="rect">
                      <a:avLst/>
                    </a:prstGeom>
                    <a:noFill/>
                    <a:ln w="9525">
                      <a:noFill/>
                      <a:miter lim="800000"/>
                      <a:headEnd/>
                      <a:tailEnd/>
                    </a:ln>
                  </pic:spPr>
                </pic:pic>
              </a:graphicData>
            </a:graphic>
          </wp:inline>
        </w:drawing>
      </w:r>
      <w:r w:rsidR="007F3DA0" w:rsidRPr="0086525B">
        <w:rPr>
          <w:rFonts w:ascii="Book Antiqua" w:hAnsi="Book Antiqua"/>
          <w:b/>
          <w:noProof/>
          <w:sz w:val="24"/>
          <w:szCs w:val="24"/>
          <w:lang w:val="en-US" w:eastAsia="zh-CN"/>
        </w:rPr>
        <w:t xml:space="preserve"> </w:t>
      </w:r>
      <w:r w:rsidR="007F3DA0" w:rsidRPr="0086525B">
        <w:rPr>
          <w:rFonts w:ascii="Book Antiqua" w:hAnsi="Book Antiqua"/>
          <w:b/>
          <w:noProof/>
          <w:sz w:val="24"/>
          <w:szCs w:val="24"/>
          <w:lang w:val="en-US" w:eastAsia="zh-CN"/>
        </w:rPr>
        <w:drawing>
          <wp:inline distT="0" distB="0" distL="0" distR="0">
            <wp:extent cx="1800000" cy="1440421"/>
            <wp:effectExtent l="19050" t="0" r="0" b="0"/>
            <wp:docPr id="1" name="图片 23" descr="E:\2013-10-10\待整理\8416\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3-10-10\待整理\8416\Figure 1b.jpg"/>
                    <pic:cNvPicPr>
                      <a:picLocks noChangeAspect="1" noChangeArrowheads="1"/>
                    </pic:cNvPicPr>
                  </pic:nvPicPr>
                  <pic:blipFill>
                    <a:blip r:embed="rId11"/>
                    <a:srcRect/>
                    <a:stretch>
                      <a:fillRect/>
                    </a:stretch>
                  </pic:blipFill>
                  <pic:spPr bwMode="auto">
                    <a:xfrm>
                      <a:off x="0" y="0"/>
                      <a:ext cx="1800000" cy="1440421"/>
                    </a:xfrm>
                    <a:prstGeom prst="rect">
                      <a:avLst/>
                    </a:prstGeom>
                    <a:noFill/>
                    <a:ln w="9525">
                      <a:noFill/>
                      <a:miter lim="800000"/>
                      <a:headEnd/>
                      <a:tailEnd/>
                    </a:ln>
                  </pic:spPr>
                </pic:pic>
              </a:graphicData>
            </a:graphic>
          </wp:inline>
        </w:drawing>
      </w:r>
    </w:p>
    <w:p w:rsidR="007F3DA0" w:rsidRPr="0086525B" w:rsidRDefault="007F3DA0" w:rsidP="00EC3FFB">
      <w:pPr>
        <w:snapToGrid w:val="0"/>
        <w:spacing w:after="0" w:line="360" w:lineRule="auto"/>
        <w:jc w:val="both"/>
        <w:rPr>
          <w:rFonts w:ascii="Book Antiqua" w:hAnsi="Book Antiqua"/>
          <w:b/>
          <w:sz w:val="24"/>
          <w:szCs w:val="24"/>
          <w:lang w:val="en-US" w:eastAsia="zh-CN"/>
        </w:rPr>
      </w:pPr>
      <w:r w:rsidRPr="0086525B">
        <w:rPr>
          <w:rFonts w:ascii="Book Antiqua" w:hAnsi="Book Antiqua"/>
          <w:b/>
          <w:noProof/>
          <w:sz w:val="24"/>
          <w:szCs w:val="24"/>
          <w:lang w:val="en-US" w:eastAsia="zh-CN"/>
        </w:rPr>
        <w:drawing>
          <wp:inline distT="0" distB="0" distL="0" distR="0">
            <wp:extent cx="1800000" cy="1440421"/>
            <wp:effectExtent l="19050" t="0" r="0" b="0"/>
            <wp:docPr id="24" name="图片 24" descr="E:\2013-10-10\待整理\8416\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13-10-10\待整理\8416\Figure 1c.jpg"/>
                    <pic:cNvPicPr>
                      <a:picLocks noChangeAspect="1" noChangeArrowheads="1"/>
                    </pic:cNvPicPr>
                  </pic:nvPicPr>
                  <pic:blipFill>
                    <a:blip r:embed="rId12"/>
                    <a:srcRect/>
                    <a:stretch>
                      <a:fillRect/>
                    </a:stretch>
                  </pic:blipFill>
                  <pic:spPr bwMode="auto">
                    <a:xfrm>
                      <a:off x="0" y="0"/>
                      <a:ext cx="1800000" cy="1440421"/>
                    </a:xfrm>
                    <a:prstGeom prst="rect">
                      <a:avLst/>
                    </a:prstGeom>
                    <a:noFill/>
                    <a:ln w="9525">
                      <a:noFill/>
                      <a:miter lim="800000"/>
                      <a:headEnd/>
                      <a:tailEnd/>
                    </a:ln>
                  </pic:spPr>
                </pic:pic>
              </a:graphicData>
            </a:graphic>
          </wp:inline>
        </w:drawing>
      </w:r>
      <w:r w:rsidRPr="0086525B">
        <w:rPr>
          <w:rFonts w:ascii="Book Antiqua" w:hAnsi="Book Antiqua"/>
          <w:b/>
          <w:noProof/>
          <w:sz w:val="24"/>
          <w:szCs w:val="24"/>
          <w:lang w:val="en-US" w:eastAsia="zh-CN"/>
        </w:rPr>
        <w:t xml:space="preserve"> </w:t>
      </w:r>
      <w:r w:rsidRPr="0086525B">
        <w:rPr>
          <w:rFonts w:ascii="Book Antiqua" w:hAnsi="Book Antiqua"/>
          <w:b/>
          <w:noProof/>
          <w:sz w:val="24"/>
          <w:szCs w:val="24"/>
          <w:lang w:val="en-US" w:eastAsia="zh-CN"/>
        </w:rPr>
        <w:drawing>
          <wp:inline distT="0" distB="0" distL="0" distR="0">
            <wp:extent cx="1800000" cy="1440421"/>
            <wp:effectExtent l="19050" t="0" r="0" b="0"/>
            <wp:docPr id="2" name="图片 25" descr="E:\2013-10-10\待整理\8416\Fig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13-10-10\待整理\8416\Figure 1d.jpg"/>
                    <pic:cNvPicPr>
                      <a:picLocks noChangeAspect="1" noChangeArrowheads="1"/>
                    </pic:cNvPicPr>
                  </pic:nvPicPr>
                  <pic:blipFill>
                    <a:blip r:embed="rId13"/>
                    <a:srcRect/>
                    <a:stretch>
                      <a:fillRect/>
                    </a:stretch>
                  </pic:blipFill>
                  <pic:spPr bwMode="auto">
                    <a:xfrm>
                      <a:off x="0" y="0"/>
                      <a:ext cx="1800000" cy="1440421"/>
                    </a:xfrm>
                    <a:prstGeom prst="rect">
                      <a:avLst/>
                    </a:prstGeom>
                    <a:noFill/>
                    <a:ln w="9525">
                      <a:noFill/>
                      <a:miter lim="800000"/>
                      <a:headEnd/>
                      <a:tailEnd/>
                    </a:ln>
                  </pic:spPr>
                </pic:pic>
              </a:graphicData>
            </a:graphic>
          </wp:inline>
        </w:drawing>
      </w:r>
    </w:p>
    <w:p w:rsidR="007F3DA0" w:rsidRPr="0086525B" w:rsidRDefault="007F3DA0" w:rsidP="00EC3FFB">
      <w:pPr>
        <w:snapToGrid w:val="0"/>
        <w:spacing w:after="0" w:line="360" w:lineRule="auto"/>
        <w:jc w:val="both"/>
        <w:rPr>
          <w:rFonts w:ascii="Book Antiqua" w:hAnsi="Book Antiqua"/>
          <w:b/>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b/>
          <w:sz w:val="24"/>
          <w:szCs w:val="24"/>
          <w:lang w:val="en-US"/>
        </w:rPr>
        <w:t>Figure 1</w:t>
      </w:r>
      <w:r w:rsidRPr="0086525B">
        <w:rPr>
          <w:rFonts w:ascii="Book Antiqua" w:hAnsi="Book Antiqua"/>
          <w:b/>
          <w:sz w:val="24"/>
          <w:szCs w:val="24"/>
          <w:lang w:val="en-US" w:eastAsia="zh-CN"/>
        </w:rPr>
        <w:t xml:space="preserve"> </w:t>
      </w:r>
      <w:r w:rsidRPr="0086525B">
        <w:rPr>
          <w:rFonts w:ascii="Book Antiqua" w:hAnsi="Book Antiqua"/>
          <w:b/>
          <w:sz w:val="24"/>
          <w:szCs w:val="24"/>
          <w:lang w:val="en-US"/>
        </w:rPr>
        <w:t>Hepatic epithelioid hemangioendothelioma microscopic staining</w:t>
      </w:r>
      <w:r w:rsidRPr="0086525B">
        <w:rPr>
          <w:rFonts w:ascii="Book Antiqua" w:hAnsi="Book Antiqua"/>
          <w:b/>
          <w:sz w:val="24"/>
          <w:szCs w:val="24"/>
          <w:lang w:val="en-US" w:eastAsia="zh-CN"/>
        </w:rPr>
        <w:t>.</w:t>
      </w:r>
      <w:r w:rsidRPr="0086525B">
        <w:rPr>
          <w:rFonts w:ascii="Book Antiqua" w:hAnsi="Book Antiqua"/>
          <w:sz w:val="24"/>
          <w:szCs w:val="24"/>
          <w:lang w:val="en-US" w:eastAsia="zh-CN"/>
        </w:rPr>
        <w:t xml:space="preserve"> A:</w:t>
      </w:r>
      <w:r w:rsidRPr="0086525B">
        <w:rPr>
          <w:rFonts w:ascii="Book Antiqua" w:hAnsi="Book Antiqua"/>
          <w:sz w:val="24"/>
          <w:szCs w:val="24"/>
          <w:lang w:val="en-US"/>
        </w:rPr>
        <w:t xml:space="preserve"> Hematoxylin and eosin staining ×20</w:t>
      </w:r>
      <w:r w:rsidRPr="0086525B">
        <w:rPr>
          <w:rFonts w:ascii="Book Antiqua" w:hAnsi="Book Antiqua"/>
          <w:sz w:val="24"/>
          <w:szCs w:val="24"/>
          <w:lang w:val="en-US" w:eastAsia="zh-CN"/>
        </w:rPr>
        <w:t>;</w:t>
      </w:r>
      <w:r w:rsidRPr="0086525B">
        <w:rPr>
          <w:rFonts w:ascii="Book Antiqua" w:hAnsi="Book Antiqua"/>
          <w:sz w:val="24"/>
          <w:szCs w:val="24"/>
          <w:lang w:val="en-US"/>
        </w:rPr>
        <w:t xml:space="preserve"> </w:t>
      </w:r>
      <w:r w:rsidRPr="0086525B">
        <w:rPr>
          <w:rFonts w:ascii="Book Antiqua" w:hAnsi="Book Antiqua"/>
          <w:sz w:val="24"/>
          <w:szCs w:val="24"/>
          <w:lang w:val="en-US" w:eastAsia="zh-CN"/>
        </w:rPr>
        <w:t xml:space="preserve">B: </w:t>
      </w:r>
      <w:r w:rsidRPr="0086525B">
        <w:rPr>
          <w:rFonts w:ascii="Book Antiqua" w:hAnsi="Book Antiqua"/>
          <w:sz w:val="24"/>
          <w:szCs w:val="24"/>
          <w:lang w:val="en-US"/>
        </w:rPr>
        <w:t>CD34 staining ×20</w:t>
      </w:r>
      <w:r w:rsidRPr="0086525B">
        <w:rPr>
          <w:rFonts w:ascii="Book Antiqua" w:hAnsi="Book Antiqua"/>
          <w:sz w:val="24"/>
          <w:szCs w:val="24"/>
          <w:lang w:val="en-US" w:eastAsia="zh-CN"/>
        </w:rPr>
        <w:t>;</w:t>
      </w:r>
      <w:r w:rsidRPr="0086525B">
        <w:rPr>
          <w:rFonts w:ascii="Book Antiqua" w:hAnsi="Book Antiqua"/>
          <w:sz w:val="24"/>
          <w:szCs w:val="24"/>
          <w:lang w:val="en-US"/>
        </w:rPr>
        <w:t xml:space="preserve"> </w:t>
      </w:r>
      <w:r w:rsidRPr="0086525B">
        <w:rPr>
          <w:rFonts w:ascii="Book Antiqua" w:hAnsi="Book Antiqua"/>
          <w:sz w:val="24"/>
          <w:szCs w:val="24"/>
          <w:lang w:val="en-US" w:eastAsia="zh-CN"/>
        </w:rPr>
        <w:t xml:space="preserve">C: </w:t>
      </w:r>
      <w:r w:rsidRPr="0086525B">
        <w:rPr>
          <w:rFonts w:ascii="Book Antiqua" w:hAnsi="Book Antiqua"/>
          <w:sz w:val="24"/>
          <w:szCs w:val="24"/>
          <w:lang w:val="en-US"/>
        </w:rPr>
        <w:t>Factor VIII staining ×10</w:t>
      </w:r>
      <w:r w:rsidRPr="0086525B">
        <w:rPr>
          <w:rFonts w:ascii="Book Antiqua" w:hAnsi="Book Antiqua"/>
          <w:sz w:val="24"/>
          <w:szCs w:val="24"/>
          <w:lang w:val="en-US" w:eastAsia="zh-CN"/>
        </w:rPr>
        <w:t>;</w:t>
      </w:r>
      <w:r w:rsidRPr="0086525B">
        <w:rPr>
          <w:rFonts w:ascii="Book Antiqua" w:hAnsi="Book Antiqua"/>
          <w:sz w:val="24"/>
          <w:szCs w:val="24"/>
          <w:lang w:val="en-US"/>
        </w:rPr>
        <w:t xml:space="preserve"> </w:t>
      </w:r>
      <w:r w:rsidRPr="0086525B">
        <w:rPr>
          <w:rFonts w:ascii="Book Antiqua" w:hAnsi="Book Antiqua"/>
          <w:sz w:val="24"/>
          <w:szCs w:val="24"/>
          <w:lang w:val="en-US" w:eastAsia="zh-CN"/>
        </w:rPr>
        <w:t xml:space="preserve">D: </w:t>
      </w:r>
      <w:r w:rsidRPr="0086525B">
        <w:rPr>
          <w:rFonts w:ascii="Book Antiqua" w:hAnsi="Book Antiqua"/>
          <w:sz w:val="24"/>
          <w:szCs w:val="24"/>
          <w:lang w:val="en-US"/>
        </w:rPr>
        <w:t>HepPar1 staining ×20</w:t>
      </w:r>
      <w:r w:rsidRPr="0086525B">
        <w:rPr>
          <w:rFonts w:ascii="Book Antiqua" w:hAnsi="Book Antiqua"/>
          <w:sz w:val="24"/>
          <w:szCs w:val="24"/>
          <w:lang w:val="en-US" w:eastAsia="zh-CN"/>
        </w:rPr>
        <w:t>.</w:t>
      </w: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object w:dxaOrig="7016" w:dyaOrig="5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pt;height:260.95pt" o:ole="">
            <v:imagedata r:id="rId14" o:title=""/>
          </v:shape>
          <o:OLEObject Type="Embed" ProgID="STATISTICA.Graph" ShapeID="_x0000_i1025" DrawAspect="Content" ObjectID="_1462841066" r:id="rId15">
            <o:FieldCodes>\s</o:FieldCodes>
          </o:OLEObject>
        </w:object>
      </w:r>
    </w:p>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b/>
          <w:sz w:val="24"/>
          <w:szCs w:val="24"/>
          <w:lang w:val="en-US"/>
        </w:rPr>
        <w:t>Figure 2 Kaplan-Meier survival analysis</w:t>
      </w:r>
      <w:r w:rsidRPr="0086525B">
        <w:rPr>
          <w:rFonts w:ascii="Book Antiqua" w:hAnsi="Book Antiqua"/>
          <w:b/>
          <w:sz w:val="24"/>
          <w:szCs w:val="24"/>
          <w:lang w:val="en-US" w:eastAsia="zh-CN"/>
        </w:rPr>
        <w:t xml:space="preserve">. </w:t>
      </w:r>
      <w:r w:rsidRPr="0086525B">
        <w:rPr>
          <w:rFonts w:ascii="Book Antiqua" w:hAnsi="Book Antiqua"/>
          <w:sz w:val="24"/>
          <w:szCs w:val="24"/>
          <w:lang w:val="en-US"/>
        </w:rPr>
        <w:t>Kaplan-Meier survival analysis in the hepatic epithelioid hemangioendothelioma</w:t>
      </w:r>
      <w:r w:rsidRPr="0086525B">
        <w:rPr>
          <w:rFonts w:ascii="Book Antiqua" w:hAnsi="Book Antiqua"/>
          <w:b/>
          <w:sz w:val="24"/>
          <w:szCs w:val="24"/>
          <w:lang w:val="en-US"/>
        </w:rPr>
        <w:t xml:space="preserve"> </w:t>
      </w:r>
      <w:r w:rsidRPr="0086525B">
        <w:rPr>
          <w:rFonts w:ascii="Book Antiqua" w:hAnsi="Book Antiqua"/>
          <w:sz w:val="24"/>
          <w:szCs w:val="24"/>
          <w:lang w:val="en-US" w:eastAsia="zh-CN"/>
        </w:rPr>
        <w:t>(</w:t>
      </w:r>
      <w:r w:rsidRPr="0086525B">
        <w:rPr>
          <w:rFonts w:ascii="Book Antiqua" w:hAnsi="Book Antiqua"/>
          <w:sz w:val="24"/>
          <w:szCs w:val="24"/>
          <w:lang w:val="en-US"/>
        </w:rPr>
        <w:t>HEHE</w:t>
      </w:r>
      <w:r w:rsidRPr="0086525B">
        <w:rPr>
          <w:rFonts w:ascii="Book Antiqua" w:hAnsi="Book Antiqua"/>
          <w:sz w:val="24"/>
          <w:szCs w:val="24"/>
          <w:lang w:val="en-US" w:eastAsia="zh-CN"/>
        </w:rPr>
        <w:t>)</w:t>
      </w:r>
      <w:r w:rsidRPr="0086525B">
        <w:rPr>
          <w:rFonts w:ascii="Book Antiqua" w:hAnsi="Book Antiqua"/>
          <w:sz w:val="24"/>
          <w:szCs w:val="24"/>
          <w:lang w:val="en-US"/>
        </w:rPr>
        <w:t xml:space="preserve">, hepatocellular </w:t>
      </w:r>
      <w:r w:rsidRPr="0086525B">
        <w:rPr>
          <w:rFonts w:ascii="Book Antiqua" w:hAnsi="Book Antiqua"/>
          <w:sz w:val="24"/>
          <w:szCs w:val="24"/>
          <w:lang w:val="en-US"/>
        </w:rPr>
        <w:lastRenderedPageBreak/>
        <w:t>carcinoma (HCC), and other orthotopic liver transplantations recipients groups.</w:t>
      </w: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sectPr w:rsidR="00EC3FFB" w:rsidRPr="0086525B" w:rsidSect="0086525B">
          <w:pgSz w:w="11907" w:h="16840" w:code="9"/>
          <w:pgMar w:top="1440" w:right="1797" w:bottom="1440" w:left="1797" w:header="720" w:footer="720" w:gutter="0"/>
          <w:cols w:space="425"/>
          <w:docGrid w:linePitch="312"/>
        </w:sect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Table 1 Patient data before orthotopic liver transplantations</w:t>
      </w:r>
    </w:p>
    <w:tbl>
      <w:tblPr>
        <w:tblpPr w:leftFromText="181" w:rightFromText="181" w:vertAnchor="text" w:horzAnchor="margin" w:tblpY="528"/>
        <w:tblOverlap w:val="never"/>
        <w:tblW w:w="0" w:type="auto"/>
        <w:tblBorders>
          <w:top w:val="single" w:sz="4" w:space="0" w:color="auto"/>
          <w:bottom w:val="single" w:sz="4" w:space="0" w:color="auto"/>
        </w:tblBorders>
        <w:tblLook w:val="00A0" w:firstRow="1" w:lastRow="0" w:firstColumn="1" w:lastColumn="0" w:noHBand="0" w:noVBand="0"/>
      </w:tblPr>
      <w:tblGrid>
        <w:gridCol w:w="989"/>
        <w:gridCol w:w="1233"/>
        <w:gridCol w:w="1233"/>
        <w:gridCol w:w="1991"/>
        <w:gridCol w:w="1804"/>
        <w:gridCol w:w="1434"/>
        <w:gridCol w:w="1223"/>
        <w:gridCol w:w="2138"/>
        <w:gridCol w:w="1562"/>
        <w:gridCol w:w="2192"/>
        <w:gridCol w:w="1521"/>
        <w:gridCol w:w="683"/>
        <w:gridCol w:w="1551"/>
        <w:gridCol w:w="1823"/>
        <w:gridCol w:w="1518"/>
      </w:tblGrid>
      <w:tr w:rsidR="00EC3FFB" w:rsidRPr="0086525B" w:rsidTr="00EC3FFB">
        <w:trPr>
          <w:trHeight w:val="2065"/>
        </w:trPr>
        <w:tc>
          <w:tcPr>
            <w:tcW w:w="0" w:type="auto"/>
            <w:tcBorders>
              <w:bottom w:val="single" w:sz="4" w:space="0" w:color="auto"/>
            </w:tcBorders>
          </w:tcPr>
          <w:p w:rsidR="00EC3FFB" w:rsidRPr="0086525B" w:rsidRDefault="00EC3FFB" w:rsidP="00EC3FFB">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Patient</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AST (U/L)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ALT (U/L)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Bilirubin (mg/dL)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Albumin (g/dL)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GGTP (U/L)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ALP (U/L)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Creatinine (mg/dL)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Urea (mg/dL)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Fibrinogen (mg/dL)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PLT (103/</w:t>
            </w:r>
            <w:bookmarkStart w:id="545" w:name="OLE_LINK190"/>
            <w:bookmarkStart w:id="546" w:name="OLE_LINK191"/>
            <w:bookmarkStart w:id="547" w:name="OLE_LINK236"/>
            <w:bookmarkStart w:id="548" w:name="OLE_LINK238"/>
            <w:bookmarkStart w:id="549" w:name="OLE_LINK262"/>
            <w:bookmarkStart w:id="550" w:name="OLE_LINK488"/>
            <w:bookmarkStart w:id="551" w:name="OLE_LINK507"/>
            <w:bookmarkStart w:id="552" w:name="OLE_LINK577"/>
            <w:bookmarkStart w:id="553" w:name="OLE_LINK578"/>
            <w:bookmarkStart w:id="554" w:name="OLE_LINK462"/>
            <w:bookmarkStart w:id="555" w:name="OLE_LINK463"/>
            <w:bookmarkStart w:id="556" w:name="OLE_LINK443"/>
            <w:bookmarkStart w:id="557" w:name="OLE_LINK460"/>
            <w:bookmarkStart w:id="558" w:name="OLE_LINK461"/>
            <w:bookmarkStart w:id="559" w:name="OLE_LINK510"/>
            <w:bookmarkStart w:id="560" w:name="OLE_LINK519"/>
            <w:bookmarkStart w:id="561" w:name="OLE_LINK530"/>
            <w:bookmarkStart w:id="562" w:name="OLE_LINK531"/>
            <w:bookmarkStart w:id="563" w:name="OLE_LINK537"/>
            <w:bookmarkStart w:id="564" w:name="OLE_LINK538"/>
            <w:bookmarkStart w:id="565" w:name="OLE_LINK910"/>
            <w:bookmarkStart w:id="566" w:name="OLE_LINK1028"/>
            <w:bookmarkStart w:id="567" w:name="OLE_LINK1065"/>
            <w:bookmarkStart w:id="568" w:name="OLE_LINK883"/>
            <w:bookmarkStart w:id="569" w:name="OLE_LINK963"/>
            <w:bookmarkStart w:id="570" w:name="OLE_LINK984"/>
            <w:bookmarkStart w:id="571" w:name="OLE_LINK996"/>
            <w:bookmarkStart w:id="572" w:name="OLE_LINK1057"/>
            <w:bookmarkStart w:id="573" w:name="OLE_LINK965"/>
            <w:bookmarkStart w:id="574" w:name="OLE_LINK966"/>
            <w:bookmarkStart w:id="575" w:name="OLE_LINK969"/>
            <w:bookmarkStart w:id="576" w:name="OLE_LINK1011"/>
            <w:bookmarkStart w:id="577" w:name="OLE_LINK1317"/>
            <w:bookmarkStart w:id="578" w:name="OLE_LINK1318"/>
            <w:bookmarkStart w:id="579" w:name="OLE_LINK37"/>
            <w:bookmarkStart w:id="580" w:name="OLE_LINK47"/>
            <w:bookmarkStart w:id="581" w:name="OLE_LINK1726"/>
            <w:bookmarkStart w:id="582" w:name="OLE_LINK1748"/>
            <w:bookmarkStart w:id="583" w:name="OLE_LINK1780"/>
            <w:bookmarkStart w:id="584" w:name="OLE_LINK1781"/>
            <w:bookmarkStart w:id="585" w:name="OLE_LINK1796"/>
            <w:bookmarkStart w:id="586" w:name="OLE_LINK1797"/>
            <w:bookmarkStart w:id="587" w:name="OLE_LINK1956"/>
            <w:bookmarkStart w:id="588" w:name="OLE_LINK1957"/>
            <w:bookmarkStart w:id="589" w:name="OLE_LINK1823"/>
            <w:bookmarkStart w:id="590" w:name="OLE_LINK1830"/>
            <w:bookmarkStart w:id="591" w:name="OLE_LINK1831"/>
            <w:bookmarkStart w:id="592" w:name="OLE_LINK1836"/>
            <w:bookmarkStart w:id="593" w:name="OLE_LINK1838"/>
            <w:bookmarkStart w:id="594" w:name="OLE_LINK1859"/>
            <w:bookmarkStart w:id="595" w:name="OLE_LINK1996"/>
            <w:bookmarkStart w:id="596" w:name="OLE_LINK1997"/>
            <w:bookmarkStart w:id="597" w:name="OLE_LINK2213"/>
            <w:bookmarkStart w:id="598" w:name="OLE_LINK2214"/>
            <w:bookmarkStart w:id="599" w:name="OLE_LINK2293"/>
            <w:bookmarkStart w:id="600" w:name="OLE_LINK2558"/>
            <w:bookmarkStart w:id="601" w:name="OLE_LINK2579"/>
            <w:bookmarkStart w:id="602" w:name="OLE_LINK2580"/>
            <w:bookmarkStart w:id="603" w:name="OLE_LINK2564"/>
            <w:bookmarkStart w:id="604" w:name="OLE_LINK2565"/>
            <w:bookmarkStart w:id="605" w:name="OLE_LINK2574"/>
            <w:bookmarkStart w:id="606" w:name="OLE_LINK2790"/>
            <w:bookmarkStart w:id="607" w:name="OLE_LINK2817"/>
            <w:bookmarkStart w:id="608" w:name="OLE_LINK2818"/>
            <w:bookmarkStart w:id="609" w:name="OLE_LINK2798"/>
            <w:bookmarkStart w:id="610" w:name="OLE_LINK2592"/>
            <w:bookmarkStart w:id="611" w:name="OLE_LINK2594"/>
            <w:r w:rsidRPr="0086525B">
              <w:rPr>
                <w:rFonts w:ascii="Book Antiqua" w:hAnsi="Book Antiqua"/>
                <w:b/>
                <w:color w:val="000000"/>
                <w:sz w:val="24"/>
                <w:szCs w:val="24"/>
              </w:rPr>
              <w:t>μ</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86525B">
              <w:rPr>
                <w:rFonts w:ascii="Book Antiqua" w:hAnsi="Book Antiqua"/>
                <w:b/>
                <w:sz w:val="24"/>
                <w:szCs w:val="24"/>
                <w:lang w:val="en-US"/>
              </w:rPr>
              <w:t>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INR</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CEA (ng/mL)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CA 19.9 (IU/mL)</w:t>
            </w:r>
          </w:p>
        </w:tc>
        <w:tc>
          <w:tcPr>
            <w:tcW w:w="0" w:type="auto"/>
            <w:tcBorders>
              <w:bottom w:val="single" w:sz="4" w:space="0" w:color="auto"/>
            </w:tcBorders>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AFP (ng/mL)</w:t>
            </w:r>
          </w:p>
        </w:tc>
      </w:tr>
      <w:tr w:rsidR="00EC3FFB" w:rsidRPr="0086525B" w:rsidTr="00EC3FFB">
        <w:trPr>
          <w:trHeight w:val="552"/>
        </w:trPr>
        <w:tc>
          <w:tcPr>
            <w:tcW w:w="0" w:type="auto"/>
            <w:tcBorders>
              <w:top w:val="single" w:sz="4" w:space="0" w:color="auto"/>
              <w:bottom w:val="nil"/>
            </w:tcBorders>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36</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112</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1.36</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4.2</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606</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0.88</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48</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314</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tcBorders>
              <w:top w:val="single" w:sz="4" w:space="0" w:color="auto"/>
              <w:bottom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0" w:type="auto"/>
            <w:tcBorders>
              <w:top w:val="nil"/>
            </w:tcBorders>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2</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27</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36</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0.64</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3.9</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178</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206</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17.8</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539</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291</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1.11</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0.98</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2.73</w:t>
            </w:r>
          </w:p>
        </w:tc>
        <w:tc>
          <w:tcPr>
            <w:tcW w:w="0" w:type="auto"/>
            <w:tcBorders>
              <w:top w:val="nil"/>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4.48</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155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141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439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185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35.8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368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249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1.49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2.01</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236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150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0.96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1.6</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0.99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250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1.3</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96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121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1.33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412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22.9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1.5</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3.29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297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331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332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18.8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4.03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468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0.85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4.14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87</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0.89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356</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12.3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3.1</w:t>
            </w:r>
          </w:p>
        </w:tc>
      </w:tr>
      <w:tr w:rsidR="00EC3FFB" w:rsidRPr="0086525B" w:rsidTr="00EC3FFB">
        <w:trPr>
          <w:trHeight w:val="552"/>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32</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0.61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3.5</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321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329</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0.98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37.4</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593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290</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0.93</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0.71</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25.8</w:t>
            </w:r>
          </w:p>
        </w:tc>
        <w:tc>
          <w:tcPr>
            <w:tcW w:w="0" w:type="auto"/>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2.2</w:t>
            </w:r>
          </w:p>
        </w:tc>
      </w:tr>
    </w:tbl>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ALT: Alanine aminotransferase; AST: Aspartate aminotransferase;</w:t>
      </w:r>
      <w:r w:rsidRPr="0086525B">
        <w:rPr>
          <w:rFonts w:ascii="Book Antiqua" w:hAnsi="Book Antiqua"/>
          <w:sz w:val="24"/>
          <w:szCs w:val="24"/>
          <w:lang w:val="en-US"/>
        </w:rPr>
        <w:t xml:space="preserve"> </w:t>
      </w:r>
      <w:r w:rsidRPr="0086525B">
        <w:rPr>
          <w:rFonts w:ascii="Book Antiqua" w:hAnsi="Book Antiqua"/>
          <w:sz w:val="24"/>
          <w:szCs w:val="24"/>
          <w:lang w:val="en-US" w:eastAsia="zh-CN"/>
        </w:rPr>
        <w:t xml:space="preserve">GGTP: </w:t>
      </w:r>
      <w:r w:rsidRPr="0086525B">
        <w:rPr>
          <w:rFonts w:ascii="Book Antiqua" w:hAnsi="Book Antiqua"/>
          <w:sz w:val="24"/>
          <w:szCs w:val="24"/>
          <w:lang w:val="en-US"/>
        </w:rPr>
        <w:t>Gamma-glutamyl transpeptidase</w:t>
      </w:r>
      <w:r w:rsidRPr="0086525B">
        <w:rPr>
          <w:rFonts w:ascii="Book Antiqua" w:hAnsi="Book Antiqua"/>
          <w:sz w:val="24"/>
          <w:szCs w:val="24"/>
          <w:lang w:val="en-US" w:eastAsia="zh-CN"/>
        </w:rPr>
        <w:t>;</w:t>
      </w:r>
      <w:r w:rsidRPr="0086525B">
        <w:rPr>
          <w:rFonts w:ascii="Book Antiqua" w:hAnsi="Book Antiqua"/>
          <w:sz w:val="24"/>
          <w:szCs w:val="24"/>
          <w:lang w:val="en-US"/>
        </w:rPr>
        <w:t xml:space="preserve"> ALP</w:t>
      </w:r>
      <w:r w:rsidRPr="0086525B">
        <w:rPr>
          <w:rFonts w:ascii="Book Antiqua" w:hAnsi="Book Antiqua"/>
          <w:sz w:val="24"/>
          <w:szCs w:val="24"/>
          <w:lang w:val="en-US" w:eastAsia="zh-CN"/>
        </w:rPr>
        <w:t xml:space="preserve">: </w:t>
      </w:r>
      <w:r w:rsidRPr="0086525B">
        <w:rPr>
          <w:rFonts w:ascii="Book Antiqua" w:hAnsi="Book Antiqua"/>
          <w:sz w:val="24"/>
          <w:szCs w:val="24"/>
          <w:lang w:val="en-US"/>
        </w:rPr>
        <w:t>Alkaline phosphatase</w:t>
      </w:r>
      <w:r w:rsidRPr="0086525B">
        <w:rPr>
          <w:rFonts w:ascii="Book Antiqua" w:hAnsi="Book Antiqua"/>
          <w:sz w:val="24"/>
          <w:szCs w:val="24"/>
          <w:lang w:val="en-US" w:eastAsia="zh-CN"/>
        </w:rPr>
        <w:t xml:space="preserve">; </w:t>
      </w:r>
      <w:r w:rsidRPr="0086525B">
        <w:rPr>
          <w:rFonts w:ascii="Book Antiqua" w:hAnsi="Book Antiqua"/>
          <w:sz w:val="24"/>
          <w:szCs w:val="24"/>
          <w:lang w:val="en-US"/>
        </w:rPr>
        <w:t>AFP</w:t>
      </w:r>
      <w:r w:rsidRPr="0086525B">
        <w:rPr>
          <w:rFonts w:ascii="Book Antiqua" w:hAnsi="Book Antiqua"/>
          <w:sz w:val="24"/>
          <w:szCs w:val="24"/>
          <w:lang w:val="en-US" w:eastAsia="zh-CN"/>
        </w:rPr>
        <w:t xml:space="preserve">: </w:t>
      </w:r>
      <w:r w:rsidRPr="0086525B">
        <w:rPr>
          <w:rFonts w:ascii="Book Antiqua" w:hAnsi="Book Antiqua"/>
          <w:sz w:val="24"/>
          <w:szCs w:val="24"/>
          <w:lang w:val="en-US"/>
        </w:rPr>
        <w:t>Alpha-fetoprotein</w:t>
      </w:r>
      <w:r w:rsidRPr="0086525B">
        <w:rPr>
          <w:rFonts w:ascii="Book Antiqua" w:hAnsi="Book Antiqua"/>
          <w:sz w:val="24"/>
          <w:szCs w:val="24"/>
          <w:lang w:val="en-US" w:eastAsia="zh-CN"/>
        </w:rPr>
        <w:t xml:space="preserve">; </w:t>
      </w:r>
      <w:r w:rsidRPr="0086525B">
        <w:rPr>
          <w:rFonts w:ascii="Book Antiqua" w:hAnsi="Book Antiqua"/>
          <w:sz w:val="24"/>
          <w:szCs w:val="24"/>
          <w:lang w:val="en-US"/>
        </w:rPr>
        <w:t>CEA</w:t>
      </w:r>
      <w:r w:rsidRPr="0086525B">
        <w:rPr>
          <w:rFonts w:ascii="Book Antiqua" w:hAnsi="Book Antiqua"/>
          <w:sz w:val="24"/>
          <w:szCs w:val="24"/>
          <w:lang w:val="en-US" w:eastAsia="zh-CN"/>
        </w:rPr>
        <w:t xml:space="preserve">: </w:t>
      </w:r>
      <w:r w:rsidRPr="0086525B">
        <w:rPr>
          <w:rFonts w:ascii="Book Antiqua" w:hAnsi="Book Antiqua"/>
          <w:sz w:val="24"/>
          <w:szCs w:val="24"/>
          <w:lang w:val="en-US"/>
        </w:rPr>
        <w:t>Carcinoembryonic antigen</w:t>
      </w:r>
      <w:r w:rsidRPr="0086525B">
        <w:rPr>
          <w:rFonts w:ascii="Book Antiqua" w:hAnsi="Book Antiqua"/>
          <w:sz w:val="24"/>
          <w:szCs w:val="24"/>
          <w:lang w:val="en-US" w:eastAsia="zh-CN"/>
        </w:rPr>
        <w:t xml:space="preserve">; </w:t>
      </w:r>
      <w:r w:rsidRPr="0086525B">
        <w:rPr>
          <w:rFonts w:ascii="Book Antiqua" w:hAnsi="Book Antiqua"/>
          <w:sz w:val="24"/>
          <w:szCs w:val="24"/>
          <w:lang w:val="en-US"/>
        </w:rPr>
        <w:t>CA19-9</w:t>
      </w:r>
      <w:r w:rsidRPr="0086525B">
        <w:rPr>
          <w:rFonts w:ascii="Book Antiqua" w:hAnsi="Book Antiqua"/>
          <w:sz w:val="24"/>
          <w:szCs w:val="24"/>
          <w:lang w:val="en-US" w:eastAsia="zh-CN"/>
        </w:rPr>
        <w:t xml:space="preserve">: </w:t>
      </w:r>
      <w:r w:rsidRPr="0086525B">
        <w:rPr>
          <w:rFonts w:ascii="Book Antiqua" w:hAnsi="Book Antiqua"/>
          <w:sz w:val="24"/>
          <w:szCs w:val="24"/>
          <w:lang w:val="en-US"/>
        </w:rPr>
        <w:t>Carbohydrate antigen 19-9</w:t>
      </w:r>
      <w:r w:rsidRPr="0086525B">
        <w:rPr>
          <w:rFonts w:ascii="Book Antiqua" w:hAnsi="Book Antiqua"/>
          <w:sz w:val="24"/>
          <w:szCs w:val="24"/>
          <w:lang w:val="en-US" w:eastAsia="zh-CN"/>
        </w:rPr>
        <w:t xml:space="preserve">; </w:t>
      </w:r>
      <w:r w:rsidRPr="0086525B">
        <w:rPr>
          <w:rFonts w:ascii="Book Antiqua" w:hAnsi="Book Antiqua"/>
          <w:sz w:val="24"/>
          <w:szCs w:val="24"/>
          <w:lang w:val="en-US"/>
        </w:rPr>
        <w:t>PLT</w:t>
      </w:r>
      <w:r w:rsidRPr="0086525B">
        <w:rPr>
          <w:rFonts w:ascii="Book Antiqua" w:hAnsi="Book Antiqua"/>
          <w:sz w:val="24"/>
          <w:szCs w:val="24"/>
          <w:lang w:val="en-US" w:eastAsia="zh-CN"/>
        </w:rPr>
        <w:t>: Platelets;</w:t>
      </w:r>
      <w:r w:rsidRPr="0086525B">
        <w:rPr>
          <w:rFonts w:ascii="Book Antiqua" w:hAnsi="Book Antiqua"/>
          <w:sz w:val="24"/>
          <w:szCs w:val="24"/>
          <w:lang w:val="en-US"/>
        </w:rPr>
        <w:t xml:space="preserve"> INR</w:t>
      </w:r>
      <w:r w:rsidRPr="0086525B">
        <w:rPr>
          <w:rFonts w:ascii="Book Antiqua" w:hAnsi="Book Antiqua"/>
          <w:sz w:val="24"/>
          <w:szCs w:val="24"/>
          <w:lang w:val="en-US" w:eastAsia="zh-CN"/>
        </w:rPr>
        <w:t>:</w:t>
      </w:r>
      <w:r w:rsidRPr="0086525B">
        <w:rPr>
          <w:rFonts w:ascii="Book Antiqua" w:hAnsi="Book Antiqua"/>
          <w:sz w:val="24"/>
          <w:szCs w:val="24"/>
        </w:rPr>
        <w:t xml:space="preserve"> </w:t>
      </w:r>
      <w:r w:rsidRPr="0086525B">
        <w:rPr>
          <w:rFonts w:ascii="Book Antiqua" w:hAnsi="Book Antiqua"/>
          <w:sz w:val="24"/>
          <w:szCs w:val="24"/>
          <w:lang w:val="en-US" w:eastAsia="zh-CN"/>
        </w:rPr>
        <w:t xml:space="preserve">International normalized ratio; </w:t>
      </w:r>
      <w:r w:rsidRPr="0086525B">
        <w:rPr>
          <w:rFonts w:ascii="Book Antiqua" w:hAnsi="Book Antiqua"/>
          <w:sz w:val="24"/>
          <w:szCs w:val="24"/>
          <w:lang w:val="en-US"/>
        </w:rPr>
        <w:t>NA</w:t>
      </w:r>
      <w:r w:rsidRPr="0086525B">
        <w:rPr>
          <w:rFonts w:ascii="Book Antiqua" w:hAnsi="Book Antiqua"/>
          <w:sz w:val="24"/>
          <w:szCs w:val="24"/>
          <w:lang w:val="en-US" w:eastAsia="zh-CN"/>
        </w:rPr>
        <w:t>: Not avaible.</w:t>
      </w:r>
    </w:p>
    <w:p w:rsidR="00EC3FFB" w:rsidRPr="0086525B" w:rsidRDefault="00EC3FFB" w:rsidP="00EC3FFB">
      <w:pPr>
        <w:snapToGrid w:val="0"/>
        <w:spacing w:after="0" w:line="360" w:lineRule="auto"/>
        <w:ind w:firstLine="708"/>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b/>
          <w:sz w:val="24"/>
          <w:szCs w:val="24"/>
          <w:lang w:val="en-US" w:eastAsia="zh-CN"/>
        </w:rPr>
      </w:pPr>
      <w:r w:rsidRPr="0086525B">
        <w:rPr>
          <w:rFonts w:ascii="Book Antiqua" w:hAnsi="Book Antiqua"/>
          <w:b/>
          <w:sz w:val="24"/>
          <w:szCs w:val="24"/>
          <w:lang w:val="en-US"/>
        </w:rPr>
        <w:lastRenderedPageBreak/>
        <w:t>Table 2</w:t>
      </w:r>
      <w:r w:rsidRPr="0086525B">
        <w:rPr>
          <w:rFonts w:ascii="Book Antiqua" w:hAnsi="Book Antiqua"/>
          <w:b/>
          <w:sz w:val="24"/>
          <w:szCs w:val="24"/>
          <w:lang w:val="en-US" w:eastAsia="zh-CN"/>
        </w:rPr>
        <w:t xml:space="preserve"> </w:t>
      </w:r>
      <w:r w:rsidRPr="0086525B">
        <w:rPr>
          <w:rFonts w:ascii="Book Antiqua" w:hAnsi="Book Antiqua"/>
          <w:b/>
          <w:sz w:val="24"/>
          <w:szCs w:val="24"/>
          <w:lang w:val="en-US"/>
        </w:rPr>
        <w:t>Patient symptoms</w:t>
      </w:r>
    </w:p>
    <w:tbl>
      <w:tblPr>
        <w:tblpPr w:leftFromText="181" w:rightFromText="181" w:vertAnchor="text" w:horzAnchor="margin" w:tblpY="392"/>
        <w:tblOverlap w:val="never"/>
        <w:tblW w:w="6912" w:type="dxa"/>
        <w:tblBorders>
          <w:top w:val="single" w:sz="4" w:space="0" w:color="auto"/>
          <w:bottom w:val="single" w:sz="4" w:space="0" w:color="auto"/>
        </w:tblBorders>
        <w:tblLayout w:type="fixed"/>
        <w:tblLook w:val="00A0" w:firstRow="1" w:lastRow="0" w:firstColumn="1" w:lastColumn="0" w:noHBand="0" w:noVBand="0"/>
      </w:tblPr>
      <w:tblGrid>
        <w:gridCol w:w="1951"/>
        <w:gridCol w:w="4961"/>
      </w:tblGrid>
      <w:tr w:rsidR="00EC3FFB" w:rsidRPr="0086525B" w:rsidTr="00EC3FFB">
        <w:trPr>
          <w:trHeight w:val="514"/>
        </w:trPr>
        <w:tc>
          <w:tcPr>
            <w:tcW w:w="1951" w:type="dxa"/>
            <w:tcBorders>
              <w:top w:val="single" w:sz="4" w:space="0" w:color="auto"/>
              <w:bottom w:val="single" w:sz="4" w:space="0" w:color="auto"/>
            </w:tcBorders>
            <w:vAlign w:val="center"/>
          </w:tcPr>
          <w:p w:rsidR="00EC3FFB" w:rsidRPr="0086525B" w:rsidRDefault="00EC3FFB" w:rsidP="00EC3FFB">
            <w:pPr>
              <w:snapToGrid w:val="0"/>
              <w:spacing w:after="0" w:line="360" w:lineRule="auto"/>
              <w:rPr>
                <w:rFonts w:ascii="Book Antiqua" w:hAnsi="Book Antiqua"/>
                <w:b/>
                <w:sz w:val="24"/>
                <w:szCs w:val="24"/>
                <w:lang w:val="en-US"/>
              </w:rPr>
            </w:pPr>
            <w:r w:rsidRPr="0086525B">
              <w:rPr>
                <w:rFonts w:ascii="Book Antiqua" w:hAnsi="Book Antiqua"/>
                <w:b/>
                <w:sz w:val="24"/>
                <w:szCs w:val="24"/>
                <w:lang w:val="en-US"/>
              </w:rPr>
              <w:t>Patient</w:t>
            </w:r>
          </w:p>
        </w:tc>
        <w:tc>
          <w:tcPr>
            <w:tcW w:w="4961" w:type="dxa"/>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Symptoms</w:t>
            </w:r>
          </w:p>
        </w:tc>
      </w:tr>
      <w:tr w:rsidR="00EC3FFB" w:rsidRPr="0086525B" w:rsidTr="00EC3FFB">
        <w:trPr>
          <w:trHeight w:val="552"/>
        </w:trPr>
        <w:tc>
          <w:tcPr>
            <w:tcW w:w="1951" w:type="dxa"/>
            <w:tcBorders>
              <w:top w:val="single" w:sz="4" w:space="0" w:color="auto"/>
            </w:tcBorders>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w:t>
            </w:r>
          </w:p>
        </w:tc>
        <w:tc>
          <w:tcPr>
            <w:tcW w:w="4961" w:type="dxa"/>
            <w:tcBorders>
              <w:top w:val="single" w:sz="4" w:space="0" w:color="auto"/>
            </w:tcBorders>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2</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3</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4</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Abdominal pain or discomfort; fatigue</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5</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None</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6</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7</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Abdominal pain or discomfort</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8</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9</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Abdominal pain or discomfort; fatigue; weight loss; hepatomegaly; dyspnea</w:t>
            </w:r>
          </w:p>
        </w:tc>
      </w:tr>
      <w:tr w:rsidR="00EC3FFB" w:rsidRPr="0086525B" w:rsidTr="00EC3FFB">
        <w:trPr>
          <w:trHeight w:val="552"/>
        </w:trPr>
        <w:tc>
          <w:tcPr>
            <w:tcW w:w="1951" w:type="dxa"/>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10</w:t>
            </w:r>
          </w:p>
        </w:tc>
        <w:tc>
          <w:tcPr>
            <w:tcW w:w="4961" w:type="dxa"/>
            <w:vAlign w:val="bottom"/>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Abdominal pain or discomfort</w:t>
            </w:r>
          </w:p>
        </w:tc>
      </w:tr>
    </w:tbl>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ind w:firstLine="708"/>
        <w:jc w:val="both"/>
        <w:rPr>
          <w:rFonts w:ascii="Book Antiqua" w:hAnsi="Book Antiqua"/>
          <w:sz w:val="24"/>
          <w:szCs w:val="24"/>
          <w:lang w:val="en-US"/>
        </w:rPr>
      </w:pPr>
    </w:p>
    <w:p w:rsidR="00EC3FFB" w:rsidRPr="0086525B" w:rsidRDefault="00EC3FFB" w:rsidP="00EC3FFB">
      <w:pPr>
        <w:snapToGrid w:val="0"/>
        <w:spacing w:after="0" w:line="360" w:lineRule="auto"/>
        <w:ind w:firstLineChars="50" w:firstLine="120"/>
        <w:jc w:val="both"/>
        <w:rPr>
          <w:rFonts w:ascii="Book Antiqua" w:hAnsi="Book Antiqua"/>
          <w:sz w:val="24"/>
          <w:szCs w:val="24"/>
          <w:lang w:val="en-US"/>
        </w:rPr>
      </w:pPr>
    </w:p>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 xml:space="preserve"> </w:t>
      </w: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7F3DA0" w:rsidRPr="0086525B" w:rsidRDefault="007F3DA0"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NA</w:t>
      </w:r>
      <w:r w:rsidRPr="0086525B">
        <w:rPr>
          <w:rFonts w:ascii="Book Antiqua" w:hAnsi="Book Antiqua"/>
          <w:sz w:val="24"/>
          <w:szCs w:val="24"/>
          <w:lang w:val="en-US" w:eastAsia="zh-CN"/>
        </w:rPr>
        <w:t>: Not avaible.</w:t>
      </w:r>
    </w:p>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br w:type="page"/>
      </w:r>
    </w:p>
    <w:p w:rsidR="00EC3FFB" w:rsidRPr="0086525B" w:rsidRDefault="00EC3FFB" w:rsidP="00EC3FFB">
      <w:pPr>
        <w:snapToGrid w:val="0"/>
        <w:spacing w:after="0" w:line="360" w:lineRule="auto"/>
        <w:jc w:val="both"/>
        <w:rPr>
          <w:rFonts w:ascii="Book Antiqua" w:hAnsi="Book Antiqua"/>
          <w:b/>
          <w:sz w:val="24"/>
          <w:szCs w:val="24"/>
          <w:lang w:val="en-US" w:eastAsia="zh-CN"/>
        </w:rPr>
      </w:pPr>
      <w:r w:rsidRPr="0086525B">
        <w:rPr>
          <w:rFonts w:ascii="Book Antiqua" w:hAnsi="Book Antiqua"/>
          <w:b/>
          <w:sz w:val="24"/>
          <w:szCs w:val="24"/>
          <w:lang w:val="en-US"/>
        </w:rPr>
        <w:lastRenderedPageBreak/>
        <w:t>Table 3 Histopathological and immunological characteristics of the tumors</w:t>
      </w:r>
    </w:p>
    <w:tbl>
      <w:tblPr>
        <w:tblpPr w:leftFromText="181" w:rightFromText="181" w:vertAnchor="text" w:horzAnchor="margin" w:tblpY="1"/>
        <w:tblOverlap w:val="never"/>
        <w:tblW w:w="0" w:type="auto"/>
        <w:tblBorders>
          <w:top w:val="single" w:sz="4" w:space="0" w:color="auto"/>
          <w:bottom w:val="single" w:sz="4" w:space="0" w:color="auto"/>
        </w:tblBorders>
        <w:tblLook w:val="00A0" w:firstRow="1" w:lastRow="0" w:firstColumn="1" w:lastColumn="0" w:noHBand="0" w:noVBand="0"/>
      </w:tblPr>
      <w:tblGrid>
        <w:gridCol w:w="989"/>
        <w:gridCol w:w="2843"/>
        <w:gridCol w:w="2277"/>
        <w:gridCol w:w="3843"/>
        <w:gridCol w:w="830"/>
        <w:gridCol w:w="830"/>
        <w:gridCol w:w="1410"/>
        <w:gridCol w:w="696"/>
        <w:gridCol w:w="696"/>
        <w:gridCol w:w="923"/>
        <w:gridCol w:w="683"/>
        <w:gridCol w:w="816"/>
      </w:tblGrid>
      <w:tr w:rsidR="00EC3FFB" w:rsidRPr="0086525B" w:rsidTr="00EC3FFB">
        <w:trPr>
          <w:trHeight w:val="2267"/>
        </w:trPr>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Patient</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Lymph node metastases</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eastAsia="zh-CN"/>
              </w:rPr>
            </w:pPr>
            <w:r w:rsidRPr="0086525B">
              <w:rPr>
                <w:rFonts w:ascii="Book Antiqua" w:hAnsi="Book Antiqua"/>
                <w:b/>
                <w:sz w:val="24"/>
                <w:szCs w:val="24"/>
                <w:lang w:val="en-US" w:eastAsia="zh-CN"/>
              </w:rPr>
              <w:t>L</w:t>
            </w:r>
            <w:r w:rsidRPr="0086525B">
              <w:rPr>
                <w:rFonts w:ascii="Book Antiqua" w:hAnsi="Book Antiqua"/>
                <w:b/>
                <w:sz w:val="24"/>
                <w:szCs w:val="24"/>
                <w:lang w:val="en-US"/>
              </w:rPr>
              <w:t>esions</w:t>
            </w:r>
            <w:r w:rsidRPr="0086525B">
              <w:rPr>
                <w:rFonts w:ascii="Book Antiqua" w:hAnsi="Book Antiqua"/>
                <w:b/>
                <w:sz w:val="24"/>
                <w:szCs w:val="24"/>
                <w:lang w:val="en-US" w:eastAsia="zh-CN"/>
              </w:rPr>
              <w:t xml:space="preserve"> (</w:t>
            </w:r>
            <w:r w:rsidRPr="0086525B">
              <w:rPr>
                <w:rFonts w:ascii="Book Antiqua" w:hAnsi="Book Antiqua"/>
                <w:b/>
                <w:i/>
                <w:sz w:val="24"/>
                <w:szCs w:val="24"/>
                <w:lang w:val="en-US" w:eastAsia="zh-CN"/>
              </w:rPr>
              <w:t>n</w:t>
            </w:r>
            <w:r w:rsidRPr="0086525B">
              <w:rPr>
                <w:rFonts w:ascii="Book Antiqua" w:hAnsi="Book Antiqua"/>
                <w:b/>
                <w:sz w:val="24"/>
                <w:szCs w:val="24"/>
                <w:lang w:val="en-US" w:eastAsia="zh-CN"/>
              </w:rPr>
              <w:t>)</w:t>
            </w:r>
          </w:p>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max diameter</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Carcinoma cells microembolisms</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CD31</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CD34</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Factor VIII</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CK7</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MiB</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PCNA</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Hep</w:t>
            </w:r>
          </w:p>
        </w:tc>
        <w:tc>
          <w:tcPr>
            <w:tcW w:w="0" w:type="auto"/>
            <w:tcBorders>
              <w:top w:val="single" w:sz="4" w:space="0" w:color="auto"/>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CK19</w:t>
            </w:r>
          </w:p>
        </w:tc>
      </w:tr>
      <w:tr w:rsidR="00EC3FFB" w:rsidRPr="0086525B" w:rsidTr="00EC3FFB">
        <w:trPr>
          <w:trHeight w:val="828"/>
        </w:trPr>
        <w:tc>
          <w:tcPr>
            <w:tcW w:w="0" w:type="auto"/>
            <w:tcBorders>
              <w:top w:val="single" w:sz="4" w:space="0" w:color="auto"/>
            </w:tcBorders>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60 mm</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2</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180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3</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55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4</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eastAsia="zh-CN"/>
              </w:rPr>
            </w:pPr>
            <w:r w:rsidRPr="0086525B">
              <w:rPr>
                <w:rFonts w:ascii="Book Antiqua" w:hAnsi="Book Antiqua"/>
                <w:sz w:val="24"/>
                <w:szCs w:val="24"/>
                <w:lang w:val="en-US"/>
              </w:rPr>
              <w:t>6 tumors</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27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9 tumors 30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6</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 tumors</w:t>
            </w:r>
            <w:r w:rsidRPr="0086525B">
              <w:rPr>
                <w:rFonts w:ascii="Book Antiqua" w:hAnsi="Book Antiqua"/>
                <w:sz w:val="24"/>
                <w:szCs w:val="24"/>
                <w:lang w:val="en-US" w:eastAsia="zh-CN"/>
              </w:rPr>
              <w:t xml:space="preserve"> </w:t>
            </w:r>
            <w:r w:rsidRPr="0086525B">
              <w:rPr>
                <w:rFonts w:ascii="Book Antiqua" w:hAnsi="Book Antiqua"/>
                <w:sz w:val="24"/>
                <w:szCs w:val="24"/>
                <w:lang w:val="en-US"/>
              </w:rPr>
              <w:t>30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7</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w:t>
            </w:r>
            <w:r w:rsidRPr="0086525B">
              <w:rPr>
                <w:rFonts w:ascii="Book Antiqua" w:hAnsi="Book Antiqua"/>
                <w:sz w:val="24"/>
                <w:szCs w:val="24"/>
                <w:lang w:val="en-US" w:eastAsia="zh-CN"/>
              </w:rPr>
              <w:t xml:space="preserve"> </w:t>
            </w:r>
            <w:r w:rsidRPr="0086525B">
              <w:rPr>
                <w:rFonts w:ascii="Book Antiqua" w:hAnsi="Book Antiqua"/>
                <w:sz w:val="24"/>
                <w:szCs w:val="24"/>
                <w:lang w:val="en-US"/>
              </w:rPr>
              <w:t>70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blPrEx>
          <w:tblCellMar>
            <w:left w:w="70" w:type="dxa"/>
            <w:right w:w="70" w:type="dxa"/>
          </w:tblCellMar>
          <w:tblLook w:val="0000" w:firstRow="0" w:lastRow="0" w:firstColumn="0" w:lastColumn="0" w:noHBand="0" w:noVBand="0"/>
        </w:tblPrEx>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8</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30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r>
      <w:tr w:rsidR="00EC3FFB" w:rsidRPr="0086525B" w:rsidTr="00EC3FFB">
        <w:tblPrEx>
          <w:tblCellMar>
            <w:left w:w="70" w:type="dxa"/>
            <w:right w:w="70" w:type="dxa"/>
          </w:tblCellMar>
          <w:tblLook w:val="0000" w:firstRow="0" w:lastRow="0" w:firstColumn="0" w:lastColumn="0" w:noHBand="0" w:noVBand="0"/>
        </w:tblPrEx>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9</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40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blPrEx>
          <w:tblCellMar>
            <w:left w:w="70" w:type="dxa"/>
            <w:right w:w="70" w:type="dxa"/>
          </w:tblCellMar>
          <w:tblLook w:val="0000" w:firstRow="0" w:lastRow="0" w:firstColumn="0" w:lastColumn="0" w:noHBand="0" w:noVBand="0"/>
        </w:tblPrEx>
        <w:trPr>
          <w:trHeight w:val="828"/>
        </w:trPr>
        <w:tc>
          <w:tcPr>
            <w:tcW w:w="0" w:type="auto"/>
            <w:vAlign w:val="bottom"/>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10</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 focal 20 mm</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NA</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bl>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rPr>
        <w:t>NA</w:t>
      </w:r>
      <w:r w:rsidRPr="0086525B">
        <w:rPr>
          <w:rFonts w:ascii="Book Antiqua" w:hAnsi="Book Antiqua"/>
          <w:sz w:val="24"/>
          <w:szCs w:val="24"/>
          <w:lang w:val="en-US" w:eastAsia="zh-CN"/>
        </w:rPr>
        <w:t>: Not avaible.</w:t>
      </w: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sz w:val="24"/>
          <w:szCs w:val="24"/>
          <w:lang w:val="en-US" w:eastAsia="zh-CN"/>
        </w:rPr>
      </w:pPr>
    </w:p>
    <w:p w:rsidR="00EC3FFB" w:rsidRPr="0086525B" w:rsidRDefault="00EC3FFB" w:rsidP="00EC3FFB">
      <w:pPr>
        <w:snapToGrid w:val="0"/>
        <w:spacing w:after="0" w:line="360" w:lineRule="auto"/>
        <w:jc w:val="both"/>
        <w:rPr>
          <w:rFonts w:ascii="Book Antiqua" w:hAnsi="Book Antiqua"/>
          <w:b/>
          <w:sz w:val="24"/>
          <w:szCs w:val="24"/>
          <w:lang w:val="en-US" w:eastAsia="zh-CN"/>
        </w:rPr>
      </w:pPr>
      <w:r w:rsidRPr="0086525B">
        <w:rPr>
          <w:rFonts w:ascii="Book Antiqua" w:hAnsi="Book Antiqua"/>
          <w:b/>
          <w:sz w:val="24"/>
          <w:szCs w:val="24"/>
          <w:lang w:val="en-US"/>
        </w:rPr>
        <w:lastRenderedPageBreak/>
        <w:t>Table 4 Hepatic epithelioid hemangioendothelioma treatments results summary</w:t>
      </w:r>
    </w:p>
    <w:tbl>
      <w:tblPr>
        <w:tblpPr w:leftFromText="181" w:rightFromText="181" w:vertAnchor="text" w:horzAnchor="margin" w:tblpY="25"/>
        <w:tblOverlap w:val="never"/>
        <w:tblW w:w="0" w:type="auto"/>
        <w:tblBorders>
          <w:top w:val="single" w:sz="4" w:space="0" w:color="auto"/>
          <w:bottom w:val="single" w:sz="4" w:space="0" w:color="auto"/>
        </w:tblBorders>
        <w:tblLook w:val="00A0" w:firstRow="1" w:lastRow="0" w:firstColumn="1" w:lastColumn="0" w:noHBand="0" w:noVBand="0"/>
      </w:tblPr>
      <w:tblGrid>
        <w:gridCol w:w="1945"/>
        <w:gridCol w:w="2696"/>
        <w:gridCol w:w="1693"/>
        <w:gridCol w:w="1096"/>
        <w:gridCol w:w="765"/>
        <w:gridCol w:w="843"/>
        <w:gridCol w:w="1836"/>
        <w:gridCol w:w="1083"/>
        <w:gridCol w:w="883"/>
        <w:gridCol w:w="1663"/>
        <w:gridCol w:w="838"/>
      </w:tblGrid>
      <w:tr w:rsidR="00EC3FFB" w:rsidRPr="0086525B" w:rsidTr="00EC3FFB">
        <w:trPr>
          <w:trHeight w:val="598"/>
        </w:trPr>
        <w:tc>
          <w:tcPr>
            <w:tcW w:w="0" w:type="auto"/>
            <w:gridSpan w:val="5"/>
            <w:vAlign w:val="center"/>
          </w:tcPr>
          <w:p w:rsidR="00EC3FFB" w:rsidRPr="0086525B" w:rsidRDefault="00EC3FFB" w:rsidP="00EC3FFB">
            <w:pPr>
              <w:snapToGrid w:val="0"/>
              <w:spacing w:after="0" w:line="360" w:lineRule="auto"/>
              <w:jc w:val="both"/>
              <w:rPr>
                <w:rFonts w:ascii="Book Antiqua" w:hAnsi="Book Antiqua"/>
                <w:sz w:val="24"/>
                <w:szCs w:val="24"/>
                <w:lang w:val="en-US"/>
              </w:rPr>
            </w:pPr>
          </w:p>
        </w:tc>
        <w:tc>
          <w:tcPr>
            <w:tcW w:w="0" w:type="auto"/>
            <w:gridSpan w:val="6"/>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 xml:space="preserve">Survival percentage </w:t>
            </w:r>
          </w:p>
        </w:tc>
      </w:tr>
      <w:tr w:rsidR="00EC3FFB" w:rsidRPr="0086525B" w:rsidTr="00EC3FFB">
        <w:trPr>
          <w:trHeight w:val="1134"/>
        </w:trPr>
        <w:tc>
          <w:tcPr>
            <w:tcW w:w="0" w:type="auto"/>
            <w:tcBorders>
              <w:bottom w:val="single" w:sz="4" w:space="0" w:color="auto"/>
            </w:tcBorders>
            <w:vAlign w:val="center"/>
          </w:tcPr>
          <w:p w:rsidR="00EC3FFB" w:rsidRPr="0086525B" w:rsidRDefault="00EC3FFB" w:rsidP="00EC3FFB">
            <w:pPr>
              <w:snapToGrid w:val="0"/>
              <w:spacing w:after="0" w:line="360" w:lineRule="auto"/>
              <w:jc w:val="both"/>
              <w:rPr>
                <w:rFonts w:ascii="Book Antiqua" w:hAnsi="Book Antiqua"/>
                <w:b/>
                <w:sz w:val="24"/>
                <w:szCs w:val="24"/>
                <w:lang w:val="en-US"/>
              </w:rPr>
            </w:pPr>
            <w:r w:rsidRPr="0086525B">
              <w:rPr>
                <w:rFonts w:ascii="Book Antiqua" w:hAnsi="Book Antiqua"/>
                <w:b/>
                <w:sz w:val="24"/>
                <w:szCs w:val="24"/>
                <w:lang w:val="en-US"/>
              </w:rPr>
              <w:t>Author</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Year (analyzed period)</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Source</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Patients</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OLTx</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Liver resection</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Chemio</w:t>
            </w:r>
          </w:p>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radio</w:t>
            </w:r>
            <w:r w:rsidRPr="0086525B">
              <w:rPr>
                <w:rFonts w:ascii="Book Antiqua" w:hAnsi="Book Antiqua"/>
                <w:b/>
                <w:sz w:val="24"/>
                <w:szCs w:val="24"/>
                <w:lang w:val="en-US"/>
              </w:rPr>
              <w:br/>
              <w:t>therapy</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TACE</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No treatment</w:t>
            </w:r>
          </w:p>
        </w:tc>
        <w:tc>
          <w:tcPr>
            <w:tcW w:w="0" w:type="auto"/>
            <w:tcBorders>
              <w:bottom w:val="single" w:sz="4" w:space="0" w:color="auto"/>
            </w:tcBorders>
            <w:vAlign w:val="center"/>
          </w:tcPr>
          <w:p w:rsidR="00EC3FFB" w:rsidRPr="0086525B" w:rsidRDefault="00EC3FFB" w:rsidP="00EC3FFB">
            <w:pPr>
              <w:snapToGrid w:val="0"/>
              <w:spacing w:after="0" w:line="360" w:lineRule="auto"/>
              <w:jc w:val="center"/>
              <w:rPr>
                <w:rFonts w:ascii="Book Antiqua" w:hAnsi="Book Antiqua"/>
                <w:b/>
                <w:sz w:val="24"/>
                <w:szCs w:val="24"/>
                <w:lang w:val="en-US"/>
              </w:rPr>
            </w:pPr>
            <w:r w:rsidRPr="0086525B">
              <w:rPr>
                <w:rFonts w:ascii="Book Antiqua" w:hAnsi="Book Antiqua"/>
                <w:b/>
                <w:sz w:val="24"/>
                <w:szCs w:val="24"/>
                <w:lang w:val="en-US"/>
              </w:rPr>
              <w:t>All</w:t>
            </w:r>
          </w:p>
        </w:tc>
      </w:tr>
      <w:tr w:rsidR="00EC3FFB" w:rsidRPr="0086525B" w:rsidTr="00EC3FFB">
        <w:trPr>
          <w:trHeight w:val="1104"/>
        </w:trPr>
        <w:tc>
          <w:tcPr>
            <w:tcW w:w="0" w:type="auto"/>
            <w:tcBorders>
              <w:top w:val="single" w:sz="4" w:space="0" w:color="auto"/>
              <w:bottom w:val="nil"/>
            </w:tcBorders>
            <w:vAlign w:val="center"/>
          </w:tcPr>
          <w:p w:rsidR="00EC3FFB" w:rsidRPr="0086525B" w:rsidRDefault="00EC3FFB" w:rsidP="00EC3FFB">
            <w:pPr>
              <w:snapToGrid w:val="0"/>
              <w:spacing w:after="0" w:line="360" w:lineRule="auto"/>
              <w:jc w:val="both"/>
              <w:rPr>
                <w:rFonts w:ascii="Book Antiqua" w:hAnsi="Book Antiqua"/>
                <w:sz w:val="24"/>
                <w:szCs w:val="24"/>
                <w:lang w:val="en-US" w:eastAsia="zh-CN"/>
              </w:rPr>
            </w:pPr>
            <w:r w:rsidRPr="0086525B">
              <w:rPr>
                <w:rFonts w:ascii="Book Antiqua" w:hAnsi="Book Antiqua"/>
                <w:sz w:val="24"/>
                <w:szCs w:val="24"/>
                <w:lang w:val="en-US" w:eastAsia="zh-CN"/>
              </w:rPr>
              <w:t>Recent report</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2013</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(1989-2013)</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Single center</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3-yr</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87.5%</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single" w:sz="4" w:space="0" w:color="auto"/>
              <w:bottom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rPr>
          <w:trHeight w:val="1104"/>
        </w:trPr>
        <w:tc>
          <w:tcPr>
            <w:tcW w:w="0" w:type="auto"/>
            <w:tcBorders>
              <w:top w:val="nil"/>
            </w:tcBorders>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Rodrigue </w:t>
            </w:r>
            <w:r w:rsidRPr="0086525B">
              <w:rPr>
                <w:rFonts w:ascii="Book Antiqua" w:hAnsi="Book Antiqua"/>
                <w:i/>
                <w:sz w:val="24"/>
                <w:szCs w:val="24"/>
                <w:lang w:val="en-US"/>
              </w:rPr>
              <w:t>et al</w:t>
            </w:r>
            <w:r w:rsidRPr="0086525B">
              <w:rPr>
                <w:rFonts w:ascii="Book Antiqua" w:hAnsi="Book Antiqua"/>
                <w:sz w:val="24"/>
                <w:szCs w:val="24"/>
                <w:vertAlign w:val="superscript"/>
                <w:lang w:val="en-US" w:eastAsia="zh-CN"/>
              </w:rPr>
              <w:t>[</w:t>
            </w:r>
            <w:r w:rsidRPr="0086525B">
              <w:rPr>
                <w:rFonts w:ascii="Book Antiqua" w:hAnsi="Book Antiqua"/>
                <w:sz w:val="24"/>
                <w:szCs w:val="24"/>
                <w:vertAlign w:val="superscript"/>
                <w:lang w:val="en-US"/>
              </w:rPr>
              <w:t>25]</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2008</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UNOS</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110</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1-yr</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3-yr</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5-yr</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80%</w:t>
            </w:r>
            <w:r w:rsidRPr="0086525B">
              <w:rPr>
                <w:rFonts w:ascii="Book Antiqua" w:hAnsi="Book Antiqua"/>
                <w:sz w:val="24"/>
                <w:szCs w:val="24"/>
                <w:lang w:val="en-US"/>
              </w:rPr>
              <w:br/>
              <w:t>68%</w:t>
            </w:r>
            <w:r w:rsidRPr="0086525B">
              <w:rPr>
                <w:rFonts w:ascii="Book Antiqua" w:hAnsi="Book Antiqua"/>
                <w:sz w:val="24"/>
                <w:szCs w:val="24"/>
                <w:lang w:val="en-US"/>
              </w:rPr>
              <w:br/>
              <w:t>64%</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tcBorders>
              <w:top w:val="nil"/>
            </w:tcBorders>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rPr>
          <w:trHeight w:val="1104"/>
        </w:trPr>
        <w:tc>
          <w:tcPr>
            <w:tcW w:w="0" w:type="auto"/>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Lerut </w:t>
            </w:r>
            <w:r w:rsidRPr="0086525B">
              <w:rPr>
                <w:rFonts w:ascii="Book Antiqua" w:hAnsi="Book Antiqua"/>
                <w:i/>
                <w:sz w:val="24"/>
                <w:szCs w:val="24"/>
                <w:lang w:val="en-US"/>
              </w:rPr>
              <w:t>et al</w:t>
            </w:r>
            <w:r w:rsidRPr="0086525B">
              <w:rPr>
                <w:rFonts w:ascii="Book Antiqua" w:hAnsi="Book Antiqua"/>
                <w:sz w:val="24"/>
                <w:szCs w:val="24"/>
                <w:vertAlign w:val="superscript"/>
                <w:lang w:val="en-US"/>
              </w:rPr>
              <w:t>[24]</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2007</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ELTR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59</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1-yr</w:t>
            </w:r>
            <w:r w:rsidRPr="0086525B">
              <w:rPr>
                <w:rFonts w:ascii="Book Antiqua" w:hAnsi="Book Antiqua"/>
                <w:sz w:val="24"/>
                <w:szCs w:val="24"/>
                <w:lang w:val="en-US"/>
              </w:rPr>
              <w:br/>
              <w:t>5-yr</w:t>
            </w:r>
            <w:r w:rsidRPr="0086525B">
              <w:rPr>
                <w:rFonts w:ascii="Book Antiqua" w:hAnsi="Book Antiqua"/>
                <w:sz w:val="24"/>
                <w:szCs w:val="24"/>
                <w:lang w:val="en-US"/>
              </w:rPr>
              <w:br/>
              <w:t>10-yr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93%</w:t>
            </w:r>
            <w:r w:rsidRPr="0086525B">
              <w:rPr>
                <w:rFonts w:ascii="Book Antiqua" w:hAnsi="Book Antiqua"/>
                <w:sz w:val="24"/>
                <w:szCs w:val="24"/>
                <w:lang w:val="en-US"/>
              </w:rPr>
              <w:br/>
              <w:t>83%</w:t>
            </w:r>
            <w:r w:rsidRPr="0086525B">
              <w:rPr>
                <w:rFonts w:ascii="Book Antiqua" w:hAnsi="Book Antiqua"/>
                <w:sz w:val="24"/>
                <w:szCs w:val="24"/>
                <w:lang w:val="en-US"/>
              </w:rPr>
              <w:br/>
              <w:t>72%</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rPr>
          <w:trHeight w:val="1104"/>
        </w:trPr>
        <w:tc>
          <w:tcPr>
            <w:tcW w:w="0" w:type="auto"/>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Mehrabi </w:t>
            </w:r>
            <w:r w:rsidRPr="0086525B">
              <w:rPr>
                <w:rFonts w:ascii="Book Antiqua" w:hAnsi="Book Antiqua"/>
                <w:i/>
                <w:sz w:val="24"/>
                <w:szCs w:val="24"/>
                <w:lang w:val="en-US"/>
              </w:rPr>
              <w:t>et al</w:t>
            </w:r>
            <w:r w:rsidRPr="0086525B">
              <w:rPr>
                <w:rFonts w:ascii="Book Antiqua" w:hAnsi="Book Antiqua"/>
                <w:sz w:val="24"/>
                <w:szCs w:val="24"/>
                <w:vertAlign w:val="superscript"/>
                <w:lang w:val="en-US"/>
              </w:rPr>
              <w:t>[22]</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2006</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(1984-2005)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Meta-analysis</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286</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1-yr</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3-yr</w:t>
            </w:r>
            <w:r w:rsidRPr="0086525B">
              <w:rPr>
                <w:rFonts w:ascii="Book Antiqua" w:hAnsi="Book Antiqua"/>
                <w:sz w:val="24"/>
                <w:szCs w:val="24"/>
                <w:lang w:val="en-US"/>
              </w:rPr>
              <w:br/>
              <w:t>5-yr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96%</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80%</w:t>
            </w:r>
            <w:r w:rsidRPr="0086525B">
              <w:rPr>
                <w:rFonts w:ascii="Book Antiqua" w:hAnsi="Book Antiqua"/>
                <w:sz w:val="24"/>
                <w:szCs w:val="24"/>
                <w:lang w:val="en-US"/>
              </w:rPr>
              <w:br/>
              <w:t>54.5%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100%</w:t>
            </w:r>
            <w:r w:rsidRPr="0086525B">
              <w:rPr>
                <w:rFonts w:ascii="Book Antiqua" w:hAnsi="Book Antiqua"/>
                <w:sz w:val="24"/>
                <w:szCs w:val="24"/>
                <w:lang w:val="en-US"/>
              </w:rPr>
              <w:br/>
              <w:t>87%</w:t>
            </w:r>
            <w:r w:rsidRPr="0086525B">
              <w:rPr>
                <w:rFonts w:ascii="Book Antiqua" w:hAnsi="Book Antiqua"/>
                <w:sz w:val="24"/>
                <w:szCs w:val="24"/>
                <w:lang w:val="en-US"/>
              </w:rPr>
              <w:br/>
              <w:t>75%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72%</w:t>
            </w:r>
            <w:r w:rsidRPr="0086525B">
              <w:rPr>
                <w:rFonts w:ascii="Book Antiqua" w:hAnsi="Book Antiqua"/>
                <w:sz w:val="24"/>
                <w:szCs w:val="24"/>
                <w:lang w:val="en-US"/>
              </w:rPr>
              <w:br/>
              <w:t>49%</w:t>
            </w:r>
            <w:r w:rsidRPr="0086525B">
              <w:rPr>
                <w:rFonts w:ascii="Book Antiqua" w:hAnsi="Book Antiqua"/>
                <w:sz w:val="24"/>
                <w:szCs w:val="24"/>
                <w:lang w:val="en-US"/>
              </w:rPr>
              <w:br/>
              <w:t>30%</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40%</w:t>
            </w:r>
            <w:r w:rsidRPr="0086525B">
              <w:rPr>
                <w:rFonts w:ascii="Book Antiqua" w:hAnsi="Book Antiqua"/>
                <w:sz w:val="24"/>
                <w:szCs w:val="24"/>
                <w:lang w:val="en-US"/>
              </w:rPr>
              <w:br/>
              <w:t>12%</w:t>
            </w:r>
            <w:r w:rsidRPr="0086525B">
              <w:rPr>
                <w:rFonts w:ascii="Book Antiqua" w:hAnsi="Book Antiqua"/>
                <w:sz w:val="24"/>
                <w:szCs w:val="24"/>
                <w:lang w:val="en-US"/>
              </w:rPr>
              <w:br/>
              <w:t>4.5%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83.4%</w:t>
            </w:r>
            <w:r w:rsidRPr="0086525B">
              <w:rPr>
                <w:rFonts w:ascii="Book Antiqua" w:hAnsi="Book Antiqua"/>
                <w:sz w:val="24"/>
                <w:szCs w:val="24"/>
                <w:lang w:val="en-US"/>
              </w:rPr>
              <w:br/>
              <w:t>55.8%</w:t>
            </w:r>
            <w:r w:rsidRPr="0086525B">
              <w:rPr>
                <w:rFonts w:ascii="Book Antiqua" w:hAnsi="Book Antiqua"/>
                <w:sz w:val="24"/>
                <w:szCs w:val="24"/>
                <w:lang w:val="en-US"/>
              </w:rPr>
              <w:br/>
              <w:t>41.1%</w:t>
            </w:r>
          </w:p>
        </w:tc>
      </w:tr>
      <w:tr w:rsidR="00EC3FFB" w:rsidRPr="0086525B" w:rsidTr="00EC3FFB">
        <w:trPr>
          <w:trHeight w:val="1104"/>
        </w:trPr>
        <w:tc>
          <w:tcPr>
            <w:tcW w:w="0" w:type="auto"/>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Wang </w:t>
            </w:r>
            <w:r w:rsidRPr="0086525B">
              <w:rPr>
                <w:rFonts w:ascii="Book Antiqua" w:hAnsi="Book Antiqua"/>
                <w:i/>
                <w:sz w:val="24"/>
                <w:szCs w:val="24"/>
                <w:lang w:val="en-US"/>
              </w:rPr>
              <w:t>et al</w:t>
            </w:r>
            <w:r w:rsidRPr="0086525B">
              <w:rPr>
                <w:rFonts w:ascii="Book Antiqua" w:hAnsi="Book Antiqua"/>
                <w:sz w:val="24"/>
                <w:szCs w:val="24"/>
                <w:vertAlign w:val="superscript"/>
                <w:lang w:val="en-US"/>
              </w:rPr>
              <w:t>[26]</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2012</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(2004-2011)</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Single center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33</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3-yr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74.1</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81.6%</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73.3%</w:t>
            </w:r>
          </w:p>
        </w:tc>
      </w:tr>
      <w:tr w:rsidR="00EC3FFB" w:rsidRPr="0086525B" w:rsidTr="00EC3FFB">
        <w:trPr>
          <w:trHeight w:val="1104"/>
        </w:trPr>
        <w:tc>
          <w:tcPr>
            <w:tcW w:w="0" w:type="auto"/>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Grotz </w:t>
            </w:r>
            <w:r w:rsidRPr="0086525B">
              <w:rPr>
                <w:rFonts w:ascii="Book Antiqua" w:hAnsi="Book Antiqua"/>
                <w:i/>
                <w:sz w:val="24"/>
                <w:szCs w:val="24"/>
                <w:lang w:val="en-US"/>
              </w:rPr>
              <w:t>et al</w:t>
            </w:r>
            <w:r w:rsidRPr="0086525B">
              <w:rPr>
                <w:rFonts w:ascii="Book Antiqua" w:hAnsi="Book Antiqua"/>
                <w:sz w:val="24"/>
                <w:szCs w:val="24"/>
                <w:vertAlign w:val="superscript"/>
                <w:lang w:val="en-US"/>
              </w:rPr>
              <w:t>[27]</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2010</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(1984-2007)</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Single center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30</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1-yr</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3-yr</w:t>
            </w:r>
            <w:r w:rsidRPr="0086525B">
              <w:rPr>
                <w:rFonts w:ascii="Book Antiqua" w:hAnsi="Book Antiqua"/>
                <w:sz w:val="24"/>
                <w:szCs w:val="24"/>
                <w:lang w:val="en-US"/>
              </w:rPr>
              <w:br/>
              <w:t>5-yr</w:t>
            </w:r>
            <w:r w:rsidRPr="0086525B">
              <w:rPr>
                <w:rFonts w:ascii="Book Antiqua" w:hAnsi="Book Antiqua"/>
                <w:sz w:val="24"/>
                <w:szCs w:val="24"/>
                <w:lang w:val="en-US"/>
              </w:rPr>
              <w:br/>
              <w:t>10-yr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91%</w:t>
            </w:r>
            <w:r w:rsidRPr="0086525B">
              <w:rPr>
                <w:rFonts w:ascii="Book Antiqua" w:hAnsi="Book Antiqua"/>
                <w:sz w:val="24"/>
                <w:szCs w:val="24"/>
                <w:lang w:val="en-US"/>
              </w:rPr>
              <w:br/>
              <w:t>73%</w:t>
            </w:r>
            <w:r w:rsidRPr="0086525B">
              <w:rPr>
                <w:rFonts w:ascii="Book Antiqua" w:hAnsi="Book Antiqua"/>
                <w:sz w:val="24"/>
                <w:szCs w:val="24"/>
                <w:lang w:val="en-US"/>
              </w:rPr>
              <w:br/>
              <w:t>73%</w:t>
            </w:r>
            <w:r w:rsidRPr="0086525B">
              <w:rPr>
                <w:rFonts w:ascii="Book Antiqua" w:hAnsi="Book Antiqua"/>
                <w:sz w:val="24"/>
                <w:szCs w:val="24"/>
                <w:lang w:val="en-US"/>
              </w:rPr>
              <w:br/>
              <w:t>42.2%</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100%</w:t>
            </w:r>
            <w:r w:rsidRPr="0086525B">
              <w:rPr>
                <w:rFonts w:ascii="Book Antiqua" w:hAnsi="Book Antiqua"/>
                <w:sz w:val="24"/>
                <w:szCs w:val="24"/>
                <w:lang w:val="en-US"/>
              </w:rPr>
              <w:br/>
              <w:t>86%</w:t>
            </w:r>
            <w:r w:rsidRPr="0086525B">
              <w:rPr>
                <w:rFonts w:ascii="Book Antiqua" w:hAnsi="Book Antiqua"/>
                <w:sz w:val="24"/>
                <w:szCs w:val="24"/>
                <w:lang w:val="en-US"/>
              </w:rPr>
              <w:br/>
              <w:t>86%</w:t>
            </w:r>
            <w:r w:rsidRPr="0086525B">
              <w:rPr>
                <w:rFonts w:ascii="Book Antiqua" w:hAnsi="Book Antiqua"/>
                <w:sz w:val="24"/>
                <w:szCs w:val="24"/>
                <w:lang w:val="en-US"/>
              </w:rPr>
              <w:br/>
              <w:t>86%</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57%</w:t>
            </w:r>
            <w:r w:rsidRPr="0086525B">
              <w:rPr>
                <w:rFonts w:ascii="Book Antiqua" w:hAnsi="Book Antiqua"/>
                <w:sz w:val="24"/>
                <w:szCs w:val="24"/>
                <w:lang w:val="en-US"/>
              </w:rPr>
              <w:br/>
              <w:t>43%</w:t>
            </w:r>
            <w:r w:rsidRPr="0086525B">
              <w:rPr>
                <w:rFonts w:ascii="Book Antiqua" w:hAnsi="Book Antiqua"/>
                <w:sz w:val="24"/>
                <w:szCs w:val="24"/>
                <w:lang w:val="en-US"/>
              </w:rPr>
              <w:br/>
              <w:t>29%</w:t>
            </w:r>
            <w:r w:rsidRPr="0086525B">
              <w:rPr>
                <w:rFonts w:ascii="Book Antiqua" w:hAnsi="Book Antiqua"/>
                <w:sz w:val="24"/>
                <w:szCs w:val="24"/>
                <w:lang w:val="en-US"/>
              </w:rPr>
              <w:b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57%</w:t>
            </w:r>
            <w:r w:rsidRPr="0086525B">
              <w:rPr>
                <w:rFonts w:ascii="Book Antiqua" w:hAnsi="Book Antiqua"/>
                <w:sz w:val="24"/>
                <w:szCs w:val="24"/>
                <w:lang w:val="en-US"/>
              </w:rPr>
              <w:br/>
              <w:t>43%</w:t>
            </w:r>
            <w:r w:rsidRPr="0086525B">
              <w:rPr>
                <w:rFonts w:ascii="Book Antiqua" w:hAnsi="Book Antiqua"/>
                <w:sz w:val="24"/>
                <w:szCs w:val="24"/>
                <w:lang w:val="en-US"/>
              </w:rPr>
              <w:br/>
              <w:t>29%</w:t>
            </w:r>
            <w:r w:rsidRPr="0086525B">
              <w:rPr>
                <w:rFonts w:ascii="Book Antiqua" w:hAnsi="Book Antiqua"/>
                <w:sz w:val="24"/>
                <w:szCs w:val="24"/>
                <w:lang w:val="en-US"/>
              </w:rPr>
              <w:b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r w:rsidR="00EC3FFB" w:rsidRPr="0086525B" w:rsidTr="00EC3FFB">
        <w:trPr>
          <w:trHeight w:val="1104"/>
        </w:trPr>
        <w:tc>
          <w:tcPr>
            <w:tcW w:w="0" w:type="auto"/>
            <w:vAlign w:val="center"/>
          </w:tcPr>
          <w:p w:rsidR="00EC3FFB" w:rsidRPr="0086525B" w:rsidRDefault="00EC3FFB" w:rsidP="00EC3FFB">
            <w:pPr>
              <w:snapToGrid w:val="0"/>
              <w:spacing w:after="0" w:line="360" w:lineRule="auto"/>
              <w:jc w:val="both"/>
              <w:rPr>
                <w:rFonts w:ascii="Book Antiqua" w:hAnsi="Book Antiqua"/>
                <w:sz w:val="24"/>
                <w:szCs w:val="24"/>
                <w:lang w:val="en-US"/>
              </w:rPr>
            </w:pPr>
            <w:r w:rsidRPr="0086525B">
              <w:rPr>
                <w:rFonts w:ascii="Book Antiqua" w:hAnsi="Book Antiqua"/>
                <w:sz w:val="24"/>
                <w:szCs w:val="24"/>
                <w:lang w:val="en-US"/>
              </w:rPr>
              <w:t xml:space="preserve">Nudo </w:t>
            </w:r>
            <w:r w:rsidRPr="0086525B">
              <w:rPr>
                <w:rFonts w:ascii="Book Antiqua" w:hAnsi="Book Antiqua"/>
                <w:i/>
                <w:sz w:val="24"/>
                <w:szCs w:val="24"/>
                <w:lang w:val="en-US"/>
              </w:rPr>
              <w:t>et al</w:t>
            </w:r>
            <w:r w:rsidRPr="0086525B">
              <w:rPr>
                <w:rFonts w:ascii="Book Antiqua" w:hAnsi="Book Antiqua"/>
                <w:sz w:val="24"/>
                <w:szCs w:val="24"/>
                <w:vertAlign w:val="superscript"/>
                <w:lang w:val="en-US"/>
              </w:rPr>
              <w:t>[28]</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2008</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(1991-2005)</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Multi</w:t>
            </w:r>
          </w:p>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center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11</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5-yr</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82%</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c>
          <w:tcPr>
            <w:tcW w:w="0" w:type="auto"/>
            <w:vAlign w:val="center"/>
          </w:tcPr>
          <w:p w:rsidR="00EC3FFB" w:rsidRPr="0086525B" w:rsidRDefault="00EC3FFB" w:rsidP="00EC3FFB">
            <w:pPr>
              <w:snapToGrid w:val="0"/>
              <w:spacing w:after="0" w:line="360" w:lineRule="auto"/>
              <w:jc w:val="center"/>
              <w:rPr>
                <w:rFonts w:ascii="Book Antiqua" w:hAnsi="Book Antiqua"/>
                <w:sz w:val="24"/>
                <w:szCs w:val="24"/>
                <w:lang w:val="en-US"/>
              </w:rPr>
            </w:pPr>
            <w:r w:rsidRPr="0086525B">
              <w:rPr>
                <w:rFonts w:ascii="Book Antiqua" w:hAnsi="Book Antiqua"/>
                <w:sz w:val="24"/>
                <w:szCs w:val="24"/>
                <w:lang w:val="en-US"/>
              </w:rPr>
              <w:t>-</w:t>
            </w:r>
          </w:p>
        </w:tc>
      </w:tr>
    </w:tbl>
    <w:p w:rsidR="00EC3FFB" w:rsidRPr="0086525B" w:rsidRDefault="00EC3FFB" w:rsidP="00EC3FFB">
      <w:pPr>
        <w:snapToGrid w:val="0"/>
        <w:spacing w:after="0" w:line="360" w:lineRule="auto"/>
        <w:jc w:val="both"/>
        <w:rPr>
          <w:rFonts w:ascii="Book Antiqua" w:hAnsi="Book Antiqua"/>
          <w:b/>
          <w:sz w:val="24"/>
          <w:szCs w:val="24"/>
          <w:lang w:val="en-US" w:eastAsia="zh-CN"/>
        </w:rPr>
      </w:pPr>
    </w:p>
    <w:p w:rsidR="00EC3FFB" w:rsidRPr="0086525B" w:rsidRDefault="00EC3FFB" w:rsidP="00EC3FFB">
      <w:pPr>
        <w:snapToGrid w:val="0"/>
        <w:spacing w:after="0" w:line="360" w:lineRule="auto"/>
        <w:ind w:firstLine="709"/>
        <w:jc w:val="both"/>
        <w:rPr>
          <w:rFonts w:ascii="Book Antiqua" w:hAnsi="Book Antiqua"/>
          <w:sz w:val="24"/>
          <w:szCs w:val="24"/>
          <w:lang w:val="en-US" w:eastAsia="pl-PL"/>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p>
    <w:p w:rsidR="00EC3FFB" w:rsidRPr="0086525B" w:rsidRDefault="00EC3FFB" w:rsidP="00EC3FFB">
      <w:pPr>
        <w:rPr>
          <w:rFonts w:ascii="Book Antiqua" w:hAnsi="Book Antiqua"/>
          <w:sz w:val="24"/>
          <w:szCs w:val="24"/>
          <w:lang w:eastAsia="zh-CN"/>
        </w:rPr>
      </w:pPr>
      <w:r w:rsidRPr="0086525B">
        <w:rPr>
          <w:rFonts w:ascii="Book Antiqua" w:hAnsi="Book Antiqua"/>
          <w:sz w:val="24"/>
          <w:szCs w:val="24"/>
          <w:lang w:val="en-US"/>
        </w:rPr>
        <w:t>OLTx</w:t>
      </w:r>
      <w:r w:rsidRPr="0086525B">
        <w:rPr>
          <w:rFonts w:ascii="Book Antiqua" w:hAnsi="Book Antiqua"/>
          <w:sz w:val="24"/>
          <w:szCs w:val="24"/>
          <w:lang w:val="en-US" w:eastAsia="zh-CN"/>
        </w:rPr>
        <w:t xml:space="preserve">: </w:t>
      </w:r>
      <w:r w:rsidRPr="0086525B">
        <w:rPr>
          <w:rFonts w:ascii="Book Antiqua" w:hAnsi="Book Antiqua"/>
          <w:sz w:val="24"/>
          <w:szCs w:val="24"/>
          <w:lang w:val="en-US"/>
        </w:rPr>
        <w:t>Orthotopic liver transplantations</w:t>
      </w:r>
      <w:r w:rsidRPr="0086525B">
        <w:rPr>
          <w:rFonts w:ascii="Book Antiqua" w:hAnsi="Book Antiqua"/>
          <w:sz w:val="24"/>
          <w:szCs w:val="24"/>
          <w:lang w:val="en-US" w:eastAsia="zh-CN"/>
        </w:rPr>
        <w:t>;</w:t>
      </w:r>
      <w:r w:rsidRPr="0086525B">
        <w:rPr>
          <w:rFonts w:ascii="Book Antiqua" w:hAnsi="Book Antiqua"/>
          <w:b/>
          <w:sz w:val="24"/>
          <w:szCs w:val="24"/>
          <w:lang w:val="en-US"/>
        </w:rPr>
        <w:t xml:space="preserve"> </w:t>
      </w:r>
      <w:r w:rsidRPr="0086525B">
        <w:rPr>
          <w:rFonts w:ascii="Book Antiqua" w:hAnsi="Book Antiqua"/>
          <w:sz w:val="24"/>
          <w:szCs w:val="24"/>
          <w:lang w:val="en-US"/>
        </w:rPr>
        <w:t>TACE</w:t>
      </w:r>
      <w:r w:rsidRPr="0086525B">
        <w:rPr>
          <w:rFonts w:ascii="Book Antiqua" w:hAnsi="Book Antiqua"/>
          <w:sz w:val="24"/>
          <w:szCs w:val="24"/>
          <w:lang w:val="en-US" w:eastAsia="zh-CN"/>
        </w:rPr>
        <w:t>:</w:t>
      </w:r>
      <w:r w:rsidRPr="0086525B">
        <w:rPr>
          <w:rFonts w:ascii="Book Antiqua" w:hAnsi="Book Antiqua"/>
          <w:sz w:val="24"/>
          <w:szCs w:val="24"/>
          <w:lang w:val="en-US"/>
        </w:rPr>
        <w:t xml:space="preserve"> </w:t>
      </w:r>
      <w:r w:rsidR="00575795" w:rsidRPr="0086525B">
        <w:rPr>
          <w:rFonts w:ascii="Book Antiqua" w:hAnsi="Book Antiqua"/>
          <w:sz w:val="24"/>
          <w:szCs w:val="24"/>
          <w:lang w:val="en-US"/>
        </w:rPr>
        <w:t>T</w:t>
      </w:r>
      <w:r w:rsidRPr="0086525B">
        <w:rPr>
          <w:rFonts w:ascii="Book Antiqua" w:hAnsi="Book Antiqua"/>
          <w:sz w:val="24"/>
          <w:szCs w:val="24"/>
          <w:lang w:val="en-US"/>
        </w:rPr>
        <w:t>ransarterial chemoembolization</w:t>
      </w:r>
      <w:r w:rsidRPr="0086525B">
        <w:rPr>
          <w:rFonts w:ascii="Book Antiqua" w:hAnsi="Book Antiqua"/>
          <w:sz w:val="24"/>
          <w:szCs w:val="24"/>
          <w:lang w:val="en-US" w:eastAsia="zh-CN"/>
        </w:rPr>
        <w:t>; UNOS: United Network for Organ Sharing; ELTR: European Liver Transplant Registry.</w:t>
      </w:r>
    </w:p>
    <w:p w:rsidR="00EC3FFB" w:rsidRPr="0086525B" w:rsidRDefault="00EC3FFB" w:rsidP="006A67CC">
      <w:pPr>
        <w:adjustRightInd w:val="0"/>
        <w:snapToGrid w:val="0"/>
        <w:spacing w:after="0" w:line="360" w:lineRule="auto"/>
        <w:jc w:val="both"/>
        <w:rPr>
          <w:rFonts w:ascii="Book Antiqua" w:hAnsi="Book Antiqua"/>
          <w:sz w:val="24"/>
          <w:szCs w:val="24"/>
          <w:lang w:eastAsia="zh-CN"/>
        </w:rPr>
      </w:pPr>
    </w:p>
    <w:bookmarkEnd w:id="403"/>
    <w:bookmarkEnd w:id="404"/>
    <w:bookmarkEnd w:id="405"/>
    <w:p w:rsidR="00201A92" w:rsidRPr="0086525B" w:rsidRDefault="00201A92" w:rsidP="0016537A">
      <w:pPr>
        <w:snapToGrid w:val="0"/>
        <w:spacing w:after="0" w:line="360" w:lineRule="auto"/>
        <w:ind w:firstLine="708"/>
        <w:jc w:val="both"/>
        <w:rPr>
          <w:rFonts w:ascii="Book Antiqua" w:hAnsi="Book Antiqua"/>
          <w:b/>
          <w:sz w:val="24"/>
          <w:szCs w:val="24"/>
          <w:lang w:val="en-US"/>
        </w:rPr>
      </w:pPr>
    </w:p>
    <w:sectPr w:rsidR="00201A92" w:rsidRPr="0086525B" w:rsidSect="00EC3FFB">
      <w:footerReference w:type="default" r:id="rId16"/>
      <w:endnotePr>
        <w:numFmt w:val="decimal"/>
      </w:endnotePr>
      <w:pgSz w:w="25515"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B64" w:rsidRDefault="00B37B64" w:rsidP="00FF59FD">
      <w:pPr>
        <w:spacing w:after="0" w:line="240" w:lineRule="auto"/>
      </w:pPr>
    </w:p>
  </w:endnote>
  <w:endnote w:type="continuationSeparator" w:id="0">
    <w:p w:rsidR="00B37B64" w:rsidRDefault="00B37B64" w:rsidP="00FF59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1C4" w:rsidRDefault="00A901C4">
    <w:pPr>
      <w:pStyle w:val="a4"/>
      <w:jc w:val="center"/>
    </w:pPr>
    <w:r>
      <w:fldChar w:fldCharType="begin"/>
    </w:r>
    <w:r>
      <w:instrText>PAGE   \* MERGEFORMAT</w:instrText>
    </w:r>
    <w:r>
      <w:fldChar w:fldCharType="separate"/>
    </w:r>
    <w:r w:rsidR="000E3E4A" w:rsidRPr="000E3E4A">
      <w:rPr>
        <w:noProof/>
        <w:lang w:val="pl-PL"/>
      </w:rPr>
      <w:t>23</w:t>
    </w:r>
    <w:r>
      <w:rPr>
        <w:noProof/>
        <w:lang w:val="pl-PL"/>
      </w:rPr>
      <w:fldChar w:fldCharType="end"/>
    </w:r>
  </w:p>
  <w:p w:rsidR="00A901C4" w:rsidRDefault="00A901C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B64" w:rsidRDefault="00B37B64" w:rsidP="00FF59FD">
      <w:pPr>
        <w:spacing w:after="0" w:line="240" w:lineRule="auto"/>
      </w:pPr>
      <w:r>
        <w:separator/>
      </w:r>
    </w:p>
  </w:footnote>
  <w:footnote w:type="continuationSeparator" w:id="0">
    <w:p w:rsidR="00B37B64" w:rsidRDefault="00B37B64" w:rsidP="00FF59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65E8F"/>
    <w:multiLevelType w:val="hybridMultilevel"/>
    <w:tmpl w:val="7128A0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6BD8162A"/>
    <w:multiLevelType w:val="hybridMultilevel"/>
    <w:tmpl w:val="FCD03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5DD"/>
    <w:rsid w:val="00015CF6"/>
    <w:rsid w:val="00017DFD"/>
    <w:rsid w:val="00021FC1"/>
    <w:rsid w:val="0002344F"/>
    <w:rsid w:val="000323EF"/>
    <w:rsid w:val="00034C3A"/>
    <w:rsid w:val="00047F4B"/>
    <w:rsid w:val="00055C11"/>
    <w:rsid w:val="0006053E"/>
    <w:rsid w:val="00077301"/>
    <w:rsid w:val="00082EA2"/>
    <w:rsid w:val="00082EE3"/>
    <w:rsid w:val="00087C30"/>
    <w:rsid w:val="00095763"/>
    <w:rsid w:val="000A5B8B"/>
    <w:rsid w:val="000A664C"/>
    <w:rsid w:val="000B0621"/>
    <w:rsid w:val="000B1EBD"/>
    <w:rsid w:val="000D1791"/>
    <w:rsid w:val="000E3E09"/>
    <w:rsid w:val="000E3E4A"/>
    <w:rsid w:val="000F4286"/>
    <w:rsid w:val="00111554"/>
    <w:rsid w:val="00120388"/>
    <w:rsid w:val="00124B9E"/>
    <w:rsid w:val="0013438D"/>
    <w:rsid w:val="00145BF8"/>
    <w:rsid w:val="00150E24"/>
    <w:rsid w:val="00150E43"/>
    <w:rsid w:val="001615DD"/>
    <w:rsid w:val="0016537A"/>
    <w:rsid w:val="001771A1"/>
    <w:rsid w:val="00180B8B"/>
    <w:rsid w:val="001A3B64"/>
    <w:rsid w:val="001B0F23"/>
    <w:rsid w:val="001B40DD"/>
    <w:rsid w:val="001C5B85"/>
    <w:rsid w:val="001E0F2A"/>
    <w:rsid w:val="001E6F72"/>
    <w:rsid w:val="001F120C"/>
    <w:rsid w:val="00201245"/>
    <w:rsid w:val="00201A92"/>
    <w:rsid w:val="002029FA"/>
    <w:rsid w:val="00211E97"/>
    <w:rsid w:val="002137FC"/>
    <w:rsid w:val="00226454"/>
    <w:rsid w:val="00226AD5"/>
    <w:rsid w:val="00235708"/>
    <w:rsid w:val="00240F93"/>
    <w:rsid w:val="00250757"/>
    <w:rsid w:val="00255E70"/>
    <w:rsid w:val="002648DC"/>
    <w:rsid w:val="0027305A"/>
    <w:rsid w:val="00284097"/>
    <w:rsid w:val="002975FF"/>
    <w:rsid w:val="002A4858"/>
    <w:rsid w:val="002C7380"/>
    <w:rsid w:val="002F4AA9"/>
    <w:rsid w:val="002F5BBE"/>
    <w:rsid w:val="002F663B"/>
    <w:rsid w:val="00301897"/>
    <w:rsid w:val="00302016"/>
    <w:rsid w:val="0030265E"/>
    <w:rsid w:val="00305401"/>
    <w:rsid w:val="0032308E"/>
    <w:rsid w:val="00324A55"/>
    <w:rsid w:val="003315E8"/>
    <w:rsid w:val="00351393"/>
    <w:rsid w:val="00356C5E"/>
    <w:rsid w:val="00370F00"/>
    <w:rsid w:val="00380E19"/>
    <w:rsid w:val="003832F2"/>
    <w:rsid w:val="0039377A"/>
    <w:rsid w:val="003946D2"/>
    <w:rsid w:val="00394EE5"/>
    <w:rsid w:val="003A4F5C"/>
    <w:rsid w:val="003B74C7"/>
    <w:rsid w:val="003D2F89"/>
    <w:rsid w:val="003E0332"/>
    <w:rsid w:val="00406165"/>
    <w:rsid w:val="00423EE9"/>
    <w:rsid w:val="00430298"/>
    <w:rsid w:val="0043657B"/>
    <w:rsid w:val="004368BB"/>
    <w:rsid w:val="00452019"/>
    <w:rsid w:val="004529C9"/>
    <w:rsid w:val="00454630"/>
    <w:rsid w:val="00456358"/>
    <w:rsid w:val="00461799"/>
    <w:rsid w:val="004622CB"/>
    <w:rsid w:val="00465C89"/>
    <w:rsid w:val="0047307B"/>
    <w:rsid w:val="004733F2"/>
    <w:rsid w:val="004744A8"/>
    <w:rsid w:val="0048034E"/>
    <w:rsid w:val="00485943"/>
    <w:rsid w:val="00491109"/>
    <w:rsid w:val="004B7AD7"/>
    <w:rsid w:val="004E5AA5"/>
    <w:rsid w:val="004F12C5"/>
    <w:rsid w:val="00503AFA"/>
    <w:rsid w:val="00505EB5"/>
    <w:rsid w:val="0051751A"/>
    <w:rsid w:val="005211C8"/>
    <w:rsid w:val="00523788"/>
    <w:rsid w:val="00524D4A"/>
    <w:rsid w:val="00525BCF"/>
    <w:rsid w:val="00531D13"/>
    <w:rsid w:val="00536791"/>
    <w:rsid w:val="005368D7"/>
    <w:rsid w:val="0054433F"/>
    <w:rsid w:val="00550AB8"/>
    <w:rsid w:val="00566D07"/>
    <w:rsid w:val="00570AC4"/>
    <w:rsid w:val="00575795"/>
    <w:rsid w:val="00581D31"/>
    <w:rsid w:val="00581FAA"/>
    <w:rsid w:val="00584C66"/>
    <w:rsid w:val="00584E9E"/>
    <w:rsid w:val="00585ACC"/>
    <w:rsid w:val="00585AF9"/>
    <w:rsid w:val="00586D84"/>
    <w:rsid w:val="005C7936"/>
    <w:rsid w:val="005F2ED6"/>
    <w:rsid w:val="0061015A"/>
    <w:rsid w:val="0061049B"/>
    <w:rsid w:val="00612C57"/>
    <w:rsid w:val="006255D2"/>
    <w:rsid w:val="00627CB6"/>
    <w:rsid w:val="00631843"/>
    <w:rsid w:val="0063344E"/>
    <w:rsid w:val="00644652"/>
    <w:rsid w:val="006548A9"/>
    <w:rsid w:val="00656371"/>
    <w:rsid w:val="00657A26"/>
    <w:rsid w:val="00662AD5"/>
    <w:rsid w:val="00681019"/>
    <w:rsid w:val="006914A3"/>
    <w:rsid w:val="00692BDF"/>
    <w:rsid w:val="006A4BDD"/>
    <w:rsid w:val="006A67CC"/>
    <w:rsid w:val="006A6C6B"/>
    <w:rsid w:val="006B0C1B"/>
    <w:rsid w:val="006B1B6C"/>
    <w:rsid w:val="006B415E"/>
    <w:rsid w:val="006C7877"/>
    <w:rsid w:val="006E093E"/>
    <w:rsid w:val="006E3916"/>
    <w:rsid w:val="006F4426"/>
    <w:rsid w:val="00704EFF"/>
    <w:rsid w:val="007235C0"/>
    <w:rsid w:val="00724859"/>
    <w:rsid w:val="00742103"/>
    <w:rsid w:val="00772F1D"/>
    <w:rsid w:val="00782A97"/>
    <w:rsid w:val="00785A55"/>
    <w:rsid w:val="00786571"/>
    <w:rsid w:val="00793363"/>
    <w:rsid w:val="00797B7E"/>
    <w:rsid w:val="007A00CE"/>
    <w:rsid w:val="007A210C"/>
    <w:rsid w:val="007B0B7A"/>
    <w:rsid w:val="007D580F"/>
    <w:rsid w:val="007D79B5"/>
    <w:rsid w:val="007E4636"/>
    <w:rsid w:val="007F1104"/>
    <w:rsid w:val="007F224A"/>
    <w:rsid w:val="007F3903"/>
    <w:rsid w:val="007F3DA0"/>
    <w:rsid w:val="00803EAA"/>
    <w:rsid w:val="0080783C"/>
    <w:rsid w:val="00825DF5"/>
    <w:rsid w:val="008262CB"/>
    <w:rsid w:val="00831ADF"/>
    <w:rsid w:val="00832951"/>
    <w:rsid w:val="00834DA0"/>
    <w:rsid w:val="00842F91"/>
    <w:rsid w:val="008430D5"/>
    <w:rsid w:val="00844CDE"/>
    <w:rsid w:val="00846B09"/>
    <w:rsid w:val="00846F92"/>
    <w:rsid w:val="008501D6"/>
    <w:rsid w:val="00857B71"/>
    <w:rsid w:val="00860C8F"/>
    <w:rsid w:val="0086525B"/>
    <w:rsid w:val="00871677"/>
    <w:rsid w:val="008768A2"/>
    <w:rsid w:val="00880E87"/>
    <w:rsid w:val="008868DC"/>
    <w:rsid w:val="00887FAF"/>
    <w:rsid w:val="00892A73"/>
    <w:rsid w:val="0089404B"/>
    <w:rsid w:val="008946B4"/>
    <w:rsid w:val="00896913"/>
    <w:rsid w:val="00896993"/>
    <w:rsid w:val="008A0345"/>
    <w:rsid w:val="008A3AB6"/>
    <w:rsid w:val="008B5D8F"/>
    <w:rsid w:val="008B5E40"/>
    <w:rsid w:val="008D637A"/>
    <w:rsid w:val="008E48D1"/>
    <w:rsid w:val="008E6A92"/>
    <w:rsid w:val="008E6AF5"/>
    <w:rsid w:val="008F1E7B"/>
    <w:rsid w:val="008F4506"/>
    <w:rsid w:val="008F686D"/>
    <w:rsid w:val="00907D20"/>
    <w:rsid w:val="009262E3"/>
    <w:rsid w:val="00940223"/>
    <w:rsid w:val="00941CD8"/>
    <w:rsid w:val="00953A3B"/>
    <w:rsid w:val="00960B0D"/>
    <w:rsid w:val="00966C09"/>
    <w:rsid w:val="009771A3"/>
    <w:rsid w:val="00987D18"/>
    <w:rsid w:val="009936A2"/>
    <w:rsid w:val="009A63D4"/>
    <w:rsid w:val="009B4A59"/>
    <w:rsid w:val="009C05F3"/>
    <w:rsid w:val="009C32B1"/>
    <w:rsid w:val="009C650A"/>
    <w:rsid w:val="009C72A4"/>
    <w:rsid w:val="009D67C4"/>
    <w:rsid w:val="009E2BC4"/>
    <w:rsid w:val="009E2DA1"/>
    <w:rsid w:val="009E6651"/>
    <w:rsid w:val="009F32CA"/>
    <w:rsid w:val="009F460A"/>
    <w:rsid w:val="009F6558"/>
    <w:rsid w:val="00A159E2"/>
    <w:rsid w:val="00A421B3"/>
    <w:rsid w:val="00A52618"/>
    <w:rsid w:val="00A556F2"/>
    <w:rsid w:val="00A667AB"/>
    <w:rsid w:val="00A74E35"/>
    <w:rsid w:val="00A75722"/>
    <w:rsid w:val="00A82D1D"/>
    <w:rsid w:val="00A84130"/>
    <w:rsid w:val="00A850D2"/>
    <w:rsid w:val="00A877F7"/>
    <w:rsid w:val="00A87B6F"/>
    <w:rsid w:val="00A901C4"/>
    <w:rsid w:val="00A91F00"/>
    <w:rsid w:val="00A93327"/>
    <w:rsid w:val="00AA0F0E"/>
    <w:rsid w:val="00AA289D"/>
    <w:rsid w:val="00AB1832"/>
    <w:rsid w:val="00AB4AD8"/>
    <w:rsid w:val="00AC10CC"/>
    <w:rsid w:val="00AC4420"/>
    <w:rsid w:val="00AF61F1"/>
    <w:rsid w:val="00B06AA9"/>
    <w:rsid w:val="00B1781F"/>
    <w:rsid w:val="00B21535"/>
    <w:rsid w:val="00B2666D"/>
    <w:rsid w:val="00B36AA4"/>
    <w:rsid w:val="00B37B64"/>
    <w:rsid w:val="00B5106C"/>
    <w:rsid w:val="00B522DA"/>
    <w:rsid w:val="00B60CCA"/>
    <w:rsid w:val="00B60FAE"/>
    <w:rsid w:val="00B633D8"/>
    <w:rsid w:val="00B80E04"/>
    <w:rsid w:val="00B81D22"/>
    <w:rsid w:val="00B916F8"/>
    <w:rsid w:val="00B95A55"/>
    <w:rsid w:val="00B97D60"/>
    <w:rsid w:val="00B97E01"/>
    <w:rsid w:val="00BA17A9"/>
    <w:rsid w:val="00BA34D1"/>
    <w:rsid w:val="00BA750F"/>
    <w:rsid w:val="00BC071C"/>
    <w:rsid w:val="00BC5684"/>
    <w:rsid w:val="00BE04C4"/>
    <w:rsid w:val="00BE4F63"/>
    <w:rsid w:val="00C00407"/>
    <w:rsid w:val="00C07AB8"/>
    <w:rsid w:val="00C17C2A"/>
    <w:rsid w:val="00C20DE7"/>
    <w:rsid w:val="00C35D31"/>
    <w:rsid w:val="00C3667F"/>
    <w:rsid w:val="00C370D4"/>
    <w:rsid w:val="00C41C50"/>
    <w:rsid w:val="00C43DF9"/>
    <w:rsid w:val="00C54AD7"/>
    <w:rsid w:val="00C56046"/>
    <w:rsid w:val="00C702F6"/>
    <w:rsid w:val="00C71CBF"/>
    <w:rsid w:val="00C72443"/>
    <w:rsid w:val="00C74559"/>
    <w:rsid w:val="00C91687"/>
    <w:rsid w:val="00C9607D"/>
    <w:rsid w:val="00CA35E5"/>
    <w:rsid w:val="00CC79A2"/>
    <w:rsid w:val="00CD26C3"/>
    <w:rsid w:val="00CD6CF5"/>
    <w:rsid w:val="00D04608"/>
    <w:rsid w:val="00D046E3"/>
    <w:rsid w:val="00D11761"/>
    <w:rsid w:val="00D12051"/>
    <w:rsid w:val="00D220BB"/>
    <w:rsid w:val="00D23327"/>
    <w:rsid w:val="00D32E43"/>
    <w:rsid w:val="00D33B07"/>
    <w:rsid w:val="00D35E13"/>
    <w:rsid w:val="00D372B7"/>
    <w:rsid w:val="00D404FD"/>
    <w:rsid w:val="00D446FD"/>
    <w:rsid w:val="00D53029"/>
    <w:rsid w:val="00D626EC"/>
    <w:rsid w:val="00D66986"/>
    <w:rsid w:val="00D74C2C"/>
    <w:rsid w:val="00D7751C"/>
    <w:rsid w:val="00D77D3B"/>
    <w:rsid w:val="00D90788"/>
    <w:rsid w:val="00D90ABC"/>
    <w:rsid w:val="00D92BE5"/>
    <w:rsid w:val="00D93C3F"/>
    <w:rsid w:val="00DA2E52"/>
    <w:rsid w:val="00DA71B5"/>
    <w:rsid w:val="00DB70E6"/>
    <w:rsid w:val="00DC3E42"/>
    <w:rsid w:val="00DD7B8C"/>
    <w:rsid w:val="00DE26F0"/>
    <w:rsid w:val="00E05A40"/>
    <w:rsid w:val="00E06549"/>
    <w:rsid w:val="00E10EB0"/>
    <w:rsid w:val="00E51A1E"/>
    <w:rsid w:val="00E5429F"/>
    <w:rsid w:val="00E54E8B"/>
    <w:rsid w:val="00E625A1"/>
    <w:rsid w:val="00E62CAE"/>
    <w:rsid w:val="00E67300"/>
    <w:rsid w:val="00E81D44"/>
    <w:rsid w:val="00EA1688"/>
    <w:rsid w:val="00EA3E2A"/>
    <w:rsid w:val="00EB1DFB"/>
    <w:rsid w:val="00EB5665"/>
    <w:rsid w:val="00EB5FB2"/>
    <w:rsid w:val="00EC3FFB"/>
    <w:rsid w:val="00EC6150"/>
    <w:rsid w:val="00ED124C"/>
    <w:rsid w:val="00ED2D5C"/>
    <w:rsid w:val="00ED3A86"/>
    <w:rsid w:val="00EE58F3"/>
    <w:rsid w:val="00EF30CA"/>
    <w:rsid w:val="00F028EB"/>
    <w:rsid w:val="00F105E5"/>
    <w:rsid w:val="00F15C4F"/>
    <w:rsid w:val="00F2018E"/>
    <w:rsid w:val="00F22FBC"/>
    <w:rsid w:val="00F510B0"/>
    <w:rsid w:val="00F571B6"/>
    <w:rsid w:val="00F677AC"/>
    <w:rsid w:val="00F70BD9"/>
    <w:rsid w:val="00F73FB8"/>
    <w:rsid w:val="00F773C1"/>
    <w:rsid w:val="00F81B87"/>
    <w:rsid w:val="00F849BD"/>
    <w:rsid w:val="00F93AF5"/>
    <w:rsid w:val="00F970BD"/>
    <w:rsid w:val="00FA1E7F"/>
    <w:rsid w:val="00FE453E"/>
    <w:rsid w:val="00FE69C3"/>
    <w:rsid w:val="00FF59FD"/>
    <w:rsid w:val="00FF6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FC1"/>
    <w:pPr>
      <w:spacing w:after="200" w:line="276" w:lineRule="auto"/>
    </w:pPr>
    <w:rPr>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rsid w:val="00FF59FD"/>
    <w:pPr>
      <w:tabs>
        <w:tab w:val="center" w:pos="4536"/>
        <w:tab w:val="right" w:pos="9072"/>
      </w:tabs>
      <w:spacing w:after="0" w:line="240" w:lineRule="auto"/>
    </w:pPr>
  </w:style>
  <w:style w:type="character" w:customStyle="1" w:styleId="HeaderChar">
    <w:name w:val="Header Char"/>
    <w:basedOn w:val="a0"/>
    <w:link w:val="a3"/>
    <w:uiPriority w:val="99"/>
    <w:locked/>
    <w:rsid w:val="00FF59FD"/>
    <w:rPr>
      <w:rFonts w:cs="Times New Roman"/>
      <w:lang w:val="en-GB"/>
    </w:rPr>
  </w:style>
  <w:style w:type="paragraph" w:styleId="a4">
    <w:name w:val="footer"/>
    <w:basedOn w:val="a"/>
    <w:link w:val="FooterChar"/>
    <w:uiPriority w:val="99"/>
    <w:rsid w:val="00FF59FD"/>
    <w:pPr>
      <w:tabs>
        <w:tab w:val="center" w:pos="4536"/>
        <w:tab w:val="right" w:pos="9072"/>
      </w:tabs>
      <w:spacing w:after="0" w:line="240" w:lineRule="auto"/>
    </w:pPr>
  </w:style>
  <w:style w:type="character" w:customStyle="1" w:styleId="FooterChar">
    <w:name w:val="Footer Char"/>
    <w:basedOn w:val="a0"/>
    <w:link w:val="a4"/>
    <w:uiPriority w:val="99"/>
    <w:locked/>
    <w:rsid w:val="00FF59FD"/>
    <w:rPr>
      <w:rFonts w:cs="Times New Roman"/>
      <w:lang w:val="en-GB"/>
    </w:rPr>
  </w:style>
  <w:style w:type="table" w:styleId="a5">
    <w:name w:val="Table Grid"/>
    <w:basedOn w:val="a1"/>
    <w:uiPriority w:val="99"/>
    <w:rsid w:val="009F32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782A97"/>
    <w:pPr>
      <w:ind w:left="720"/>
      <w:contextualSpacing/>
    </w:pPr>
    <w:rPr>
      <w:lang w:val="pl-PL"/>
    </w:rPr>
  </w:style>
  <w:style w:type="character" w:styleId="a7">
    <w:name w:val="Hyperlink"/>
    <w:basedOn w:val="a0"/>
    <w:uiPriority w:val="99"/>
    <w:rsid w:val="00782A97"/>
    <w:rPr>
      <w:rFonts w:cs="Times New Roman"/>
      <w:color w:val="0000FF"/>
      <w:u w:val="single"/>
    </w:rPr>
  </w:style>
  <w:style w:type="paragraph" w:styleId="a8">
    <w:name w:val="endnote text"/>
    <w:basedOn w:val="a"/>
    <w:link w:val="EndnoteTextChar"/>
    <w:uiPriority w:val="99"/>
    <w:semiHidden/>
    <w:rsid w:val="009C05F3"/>
    <w:pPr>
      <w:spacing w:after="0" w:line="240" w:lineRule="auto"/>
    </w:pPr>
    <w:rPr>
      <w:sz w:val="20"/>
      <w:szCs w:val="20"/>
    </w:rPr>
  </w:style>
  <w:style w:type="character" w:customStyle="1" w:styleId="EndnoteTextChar">
    <w:name w:val="Endnote Text Char"/>
    <w:basedOn w:val="a0"/>
    <w:link w:val="a8"/>
    <w:uiPriority w:val="99"/>
    <w:semiHidden/>
    <w:locked/>
    <w:rsid w:val="009C05F3"/>
    <w:rPr>
      <w:rFonts w:cs="Times New Roman"/>
      <w:sz w:val="20"/>
      <w:szCs w:val="20"/>
      <w:lang w:val="en-GB"/>
    </w:rPr>
  </w:style>
  <w:style w:type="character" w:styleId="a9">
    <w:name w:val="endnote reference"/>
    <w:basedOn w:val="a0"/>
    <w:uiPriority w:val="99"/>
    <w:semiHidden/>
    <w:rsid w:val="009C05F3"/>
    <w:rPr>
      <w:rFonts w:cs="Times New Roman"/>
      <w:vertAlign w:val="superscript"/>
    </w:rPr>
  </w:style>
  <w:style w:type="character" w:customStyle="1" w:styleId="element-citation">
    <w:name w:val="element-citation"/>
    <w:basedOn w:val="a0"/>
    <w:uiPriority w:val="99"/>
    <w:rsid w:val="003946D2"/>
    <w:rPr>
      <w:rFonts w:cs="Times New Roman"/>
    </w:rPr>
  </w:style>
  <w:style w:type="character" w:customStyle="1" w:styleId="fm-citation-ids-label">
    <w:name w:val="fm-citation-ids-label"/>
    <w:basedOn w:val="a0"/>
    <w:uiPriority w:val="99"/>
    <w:rsid w:val="00566D07"/>
    <w:rPr>
      <w:rFonts w:cs="Times New Roman"/>
    </w:rPr>
  </w:style>
  <w:style w:type="paragraph" w:styleId="aa">
    <w:name w:val="Balloon Text"/>
    <w:basedOn w:val="a"/>
    <w:link w:val="BalloonTextChar"/>
    <w:uiPriority w:val="99"/>
    <w:semiHidden/>
    <w:rsid w:val="0032308E"/>
    <w:rPr>
      <w:rFonts w:ascii="Tahoma" w:hAnsi="Tahoma" w:cs="Tahoma"/>
      <w:sz w:val="16"/>
      <w:szCs w:val="16"/>
    </w:rPr>
  </w:style>
  <w:style w:type="character" w:customStyle="1" w:styleId="BalloonTextChar">
    <w:name w:val="Balloon Text Char"/>
    <w:basedOn w:val="a0"/>
    <w:link w:val="aa"/>
    <w:uiPriority w:val="99"/>
    <w:semiHidden/>
    <w:locked/>
    <w:rsid w:val="00C35D31"/>
    <w:rPr>
      <w:rFonts w:ascii="Times New Roman" w:hAnsi="Times New Roman" w:cs="Times New Roman"/>
      <w:sz w:val="2"/>
      <w:lang w:val="en-GB" w:eastAsia="en-US"/>
    </w:rPr>
  </w:style>
  <w:style w:type="paragraph" w:styleId="ab">
    <w:name w:val="Normal (Web)"/>
    <w:basedOn w:val="a"/>
    <w:uiPriority w:val="99"/>
    <w:rsid w:val="00150E24"/>
    <w:pPr>
      <w:spacing w:before="100" w:beforeAutospacing="1" w:after="100" w:afterAutospacing="1" w:line="240" w:lineRule="auto"/>
    </w:pPr>
    <w:rPr>
      <w:rFonts w:ascii="Times New Roman" w:hAnsi="Times New Roman"/>
      <w:sz w:val="24"/>
      <w:szCs w:val="24"/>
      <w:lang w:val="pl-PL" w:eastAsia="pl-PL"/>
    </w:rPr>
  </w:style>
  <w:style w:type="character" w:styleId="ac">
    <w:name w:val="annotation reference"/>
    <w:basedOn w:val="a0"/>
    <w:uiPriority w:val="99"/>
    <w:semiHidden/>
    <w:rsid w:val="008501D6"/>
    <w:rPr>
      <w:rFonts w:cs="Times New Roman"/>
      <w:sz w:val="21"/>
      <w:szCs w:val="21"/>
    </w:rPr>
  </w:style>
  <w:style w:type="paragraph" w:styleId="ad">
    <w:name w:val="annotation text"/>
    <w:basedOn w:val="a"/>
    <w:link w:val="CommentTextChar"/>
    <w:uiPriority w:val="99"/>
    <w:rsid w:val="008501D6"/>
  </w:style>
  <w:style w:type="character" w:customStyle="1" w:styleId="CommentTextChar">
    <w:name w:val="Comment Text Char"/>
    <w:basedOn w:val="a0"/>
    <w:link w:val="ad"/>
    <w:uiPriority w:val="99"/>
    <w:locked/>
    <w:rsid w:val="008501D6"/>
    <w:rPr>
      <w:rFonts w:cs="Times New Roman"/>
      <w:lang w:val="en-GB" w:eastAsia="en-US"/>
    </w:rPr>
  </w:style>
  <w:style w:type="paragraph" w:styleId="ae">
    <w:name w:val="annotation subject"/>
    <w:basedOn w:val="ad"/>
    <w:next w:val="ad"/>
    <w:link w:val="CommentSubjectChar"/>
    <w:uiPriority w:val="99"/>
    <w:semiHidden/>
    <w:rsid w:val="008501D6"/>
    <w:rPr>
      <w:b/>
      <w:bCs/>
    </w:rPr>
  </w:style>
  <w:style w:type="character" w:customStyle="1" w:styleId="CommentSubjectChar">
    <w:name w:val="Comment Subject Char"/>
    <w:basedOn w:val="CommentTextChar"/>
    <w:link w:val="ae"/>
    <w:uiPriority w:val="99"/>
    <w:semiHidden/>
    <w:locked/>
    <w:rsid w:val="008501D6"/>
    <w:rPr>
      <w:rFonts w:cs="Times New Roman"/>
      <w:b/>
      <w:bCs/>
      <w:lang w:val="en-GB" w:eastAsia="en-US"/>
    </w:rPr>
  </w:style>
  <w:style w:type="character" w:customStyle="1" w:styleId="Char1">
    <w:name w:val="批注文字 Char1"/>
    <w:basedOn w:val="a0"/>
    <w:uiPriority w:val="99"/>
    <w:semiHidden/>
    <w:rsid w:val="008501D6"/>
    <w:rPr>
      <w:rFonts w:eastAsia="宋体" w:cs="Times New Roman"/>
      <w:kern w:val="2"/>
      <w:sz w:val="24"/>
      <w:szCs w:val="24"/>
      <w:lang w:val="en-US" w:eastAsia="zh-CN" w:bidi="ar-SA"/>
    </w:rPr>
  </w:style>
  <w:style w:type="paragraph" w:customStyle="1" w:styleId="p0">
    <w:name w:val="p0"/>
    <w:basedOn w:val="a"/>
    <w:rsid w:val="00D53029"/>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rsid w:val="008652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FC1"/>
    <w:pPr>
      <w:spacing w:after="200" w:line="276" w:lineRule="auto"/>
    </w:pPr>
    <w:rPr>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rsid w:val="00FF59FD"/>
    <w:pPr>
      <w:tabs>
        <w:tab w:val="center" w:pos="4536"/>
        <w:tab w:val="right" w:pos="9072"/>
      </w:tabs>
      <w:spacing w:after="0" w:line="240" w:lineRule="auto"/>
    </w:pPr>
  </w:style>
  <w:style w:type="character" w:customStyle="1" w:styleId="HeaderChar">
    <w:name w:val="Header Char"/>
    <w:basedOn w:val="a0"/>
    <w:link w:val="a3"/>
    <w:uiPriority w:val="99"/>
    <w:locked/>
    <w:rsid w:val="00FF59FD"/>
    <w:rPr>
      <w:rFonts w:cs="Times New Roman"/>
      <w:lang w:val="en-GB"/>
    </w:rPr>
  </w:style>
  <w:style w:type="paragraph" w:styleId="a4">
    <w:name w:val="footer"/>
    <w:basedOn w:val="a"/>
    <w:link w:val="FooterChar"/>
    <w:uiPriority w:val="99"/>
    <w:rsid w:val="00FF59FD"/>
    <w:pPr>
      <w:tabs>
        <w:tab w:val="center" w:pos="4536"/>
        <w:tab w:val="right" w:pos="9072"/>
      </w:tabs>
      <w:spacing w:after="0" w:line="240" w:lineRule="auto"/>
    </w:pPr>
  </w:style>
  <w:style w:type="character" w:customStyle="1" w:styleId="FooterChar">
    <w:name w:val="Footer Char"/>
    <w:basedOn w:val="a0"/>
    <w:link w:val="a4"/>
    <w:uiPriority w:val="99"/>
    <w:locked/>
    <w:rsid w:val="00FF59FD"/>
    <w:rPr>
      <w:rFonts w:cs="Times New Roman"/>
      <w:lang w:val="en-GB"/>
    </w:rPr>
  </w:style>
  <w:style w:type="table" w:styleId="a5">
    <w:name w:val="Table Grid"/>
    <w:basedOn w:val="a1"/>
    <w:uiPriority w:val="99"/>
    <w:rsid w:val="009F32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782A97"/>
    <w:pPr>
      <w:ind w:left="720"/>
      <w:contextualSpacing/>
    </w:pPr>
    <w:rPr>
      <w:lang w:val="pl-PL"/>
    </w:rPr>
  </w:style>
  <w:style w:type="character" w:styleId="a7">
    <w:name w:val="Hyperlink"/>
    <w:basedOn w:val="a0"/>
    <w:uiPriority w:val="99"/>
    <w:rsid w:val="00782A97"/>
    <w:rPr>
      <w:rFonts w:cs="Times New Roman"/>
      <w:color w:val="0000FF"/>
      <w:u w:val="single"/>
    </w:rPr>
  </w:style>
  <w:style w:type="paragraph" w:styleId="a8">
    <w:name w:val="endnote text"/>
    <w:basedOn w:val="a"/>
    <w:link w:val="EndnoteTextChar"/>
    <w:uiPriority w:val="99"/>
    <w:semiHidden/>
    <w:rsid w:val="009C05F3"/>
    <w:pPr>
      <w:spacing w:after="0" w:line="240" w:lineRule="auto"/>
    </w:pPr>
    <w:rPr>
      <w:sz w:val="20"/>
      <w:szCs w:val="20"/>
    </w:rPr>
  </w:style>
  <w:style w:type="character" w:customStyle="1" w:styleId="EndnoteTextChar">
    <w:name w:val="Endnote Text Char"/>
    <w:basedOn w:val="a0"/>
    <w:link w:val="a8"/>
    <w:uiPriority w:val="99"/>
    <w:semiHidden/>
    <w:locked/>
    <w:rsid w:val="009C05F3"/>
    <w:rPr>
      <w:rFonts w:cs="Times New Roman"/>
      <w:sz w:val="20"/>
      <w:szCs w:val="20"/>
      <w:lang w:val="en-GB"/>
    </w:rPr>
  </w:style>
  <w:style w:type="character" w:styleId="a9">
    <w:name w:val="endnote reference"/>
    <w:basedOn w:val="a0"/>
    <w:uiPriority w:val="99"/>
    <w:semiHidden/>
    <w:rsid w:val="009C05F3"/>
    <w:rPr>
      <w:rFonts w:cs="Times New Roman"/>
      <w:vertAlign w:val="superscript"/>
    </w:rPr>
  </w:style>
  <w:style w:type="character" w:customStyle="1" w:styleId="element-citation">
    <w:name w:val="element-citation"/>
    <w:basedOn w:val="a0"/>
    <w:uiPriority w:val="99"/>
    <w:rsid w:val="003946D2"/>
    <w:rPr>
      <w:rFonts w:cs="Times New Roman"/>
    </w:rPr>
  </w:style>
  <w:style w:type="character" w:customStyle="1" w:styleId="fm-citation-ids-label">
    <w:name w:val="fm-citation-ids-label"/>
    <w:basedOn w:val="a0"/>
    <w:uiPriority w:val="99"/>
    <w:rsid w:val="00566D07"/>
    <w:rPr>
      <w:rFonts w:cs="Times New Roman"/>
    </w:rPr>
  </w:style>
  <w:style w:type="paragraph" w:styleId="aa">
    <w:name w:val="Balloon Text"/>
    <w:basedOn w:val="a"/>
    <w:link w:val="BalloonTextChar"/>
    <w:uiPriority w:val="99"/>
    <w:semiHidden/>
    <w:rsid w:val="0032308E"/>
    <w:rPr>
      <w:rFonts w:ascii="Tahoma" w:hAnsi="Tahoma" w:cs="Tahoma"/>
      <w:sz w:val="16"/>
      <w:szCs w:val="16"/>
    </w:rPr>
  </w:style>
  <w:style w:type="character" w:customStyle="1" w:styleId="BalloonTextChar">
    <w:name w:val="Balloon Text Char"/>
    <w:basedOn w:val="a0"/>
    <w:link w:val="aa"/>
    <w:uiPriority w:val="99"/>
    <w:semiHidden/>
    <w:locked/>
    <w:rsid w:val="00C35D31"/>
    <w:rPr>
      <w:rFonts w:ascii="Times New Roman" w:hAnsi="Times New Roman" w:cs="Times New Roman"/>
      <w:sz w:val="2"/>
      <w:lang w:val="en-GB" w:eastAsia="en-US"/>
    </w:rPr>
  </w:style>
  <w:style w:type="paragraph" w:styleId="ab">
    <w:name w:val="Normal (Web)"/>
    <w:basedOn w:val="a"/>
    <w:uiPriority w:val="99"/>
    <w:rsid w:val="00150E24"/>
    <w:pPr>
      <w:spacing w:before="100" w:beforeAutospacing="1" w:after="100" w:afterAutospacing="1" w:line="240" w:lineRule="auto"/>
    </w:pPr>
    <w:rPr>
      <w:rFonts w:ascii="Times New Roman" w:hAnsi="Times New Roman"/>
      <w:sz w:val="24"/>
      <w:szCs w:val="24"/>
      <w:lang w:val="pl-PL" w:eastAsia="pl-PL"/>
    </w:rPr>
  </w:style>
  <w:style w:type="character" w:styleId="ac">
    <w:name w:val="annotation reference"/>
    <w:basedOn w:val="a0"/>
    <w:uiPriority w:val="99"/>
    <w:semiHidden/>
    <w:rsid w:val="008501D6"/>
    <w:rPr>
      <w:rFonts w:cs="Times New Roman"/>
      <w:sz w:val="21"/>
      <w:szCs w:val="21"/>
    </w:rPr>
  </w:style>
  <w:style w:type="paragraph" w:styleId="ad">
    <w:name w:val="annotation text"/>
    <w:basedOn w:val="a"/>
    <w:link w:val="CommentTextChar"/>
    <w:uiPriority w:val="99"/>
    <w:rsid w:val="008501D6"/>
  </w:style>
  <w:style w:type="character" w:customStyle="1" w:styleId="CommentTextChar">
    <w:name w:val="Comment Text Char"/>
    <w:basedOn w:val="a0"/>
    <w:link w:val="ad"/>
    <w:uiPriority w:val="99"/>
    <w:locked/>
    <w:rsid w:val="008501D6"/>
    <w:rPr>
      <w:rFonts w:cs="Times New Roman"/>
      <w:lang w:val="en-GB" w:eastAsia="en-US"/>
    </w:rPr>
  </w:style>
  <w:style w:type="paragraph" w:styleId="ae">
    <w:name w:val="annotation subject"/>
    <w:basedOn w:val="ad"/>
    <w:next w:val="ad"/>
    <w:link w:val="CommentSubjectChar"/>
    <w:uiPriority w:val="99"/>
    <w:semiHidden/>
    <w:rsid w:val="008501D6"/>
    <w:rPr>
      <w:b/>
      <w:bCs/>
    </w:rPr>
  </w:style>
  <w:style w:type="character" w:customStyle="1" w:styleId="CommentSubjectChar">
    <w:name w:val="Comment Subject Char"/>
    <w:basedOn w:val="CommentTextChar"/>
    <w:link w:val="ae"/>
    <w:uiPriority w:val="99"/>
    <w:semiHidden/>
    <w:locked/>
    <w:rsid w:val="008501D6"/>
    <w:rPr>
      <w:rFonts w:cs="Times New Roman"/>
      <w:b/>
      <w:bCs/>
      <w:lang w:val="en-GB" w:eastAsia="en-US"/>
    </w:rPr>
  </w:style>
  <w:style w:type="character" w:customStyle="1" w:styleId="Char1">
    <w:name w:val="批注文字 Char1"/>
    <w:basedOn w:val="a0"/>
    <w:uiPriority w:val="99"/>
    <w:semiHidden/>
    <w:rsid w:val="008501D6"/>
    <w:rPr>
      <w:rFonts w:eastAsia="宋体" w:cs="Times New Roman"/>
      <w:kern w:val="2"/>
      <w:sz w:val="24"/>
      <w:szCs w:val="24"/>
      <w:lang w:val="en-US" w:eastAsia="zh-CN" w:bidi="ar-SA"/>
    </w:rPr>
  </w:style>
  <w:style w:type="paragraph" w:customStyle="1" w:styleId="p0">
    <w:name w:val="p0"/>
    <w:basedOn w:val="a"/>
    <w:rsid w:val="00D53029"/>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rsid w:val="00865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2567">
      <w:bodyDiv w:val="1"/>
      <w:marLeft w:val="0"/>
      <w:marRight w:val="0"/>
      <w:marTop w:val="0"/>
      <w:marBottom w:val="0"/>
      <w:divBdr>
        <w:top w:val="none" w:sz="0" w:space="0" w:color="auto"/>
        <w:left w:val="none" w:sz="0" w:space="0" w:color="auto"/>
        <w:bottom w:val="none" w:sz="0" w:space="0" w:color="auto"/>
        <w:right w:val="none" w:sz="0" w:space="0" w:color="auto"/>
      </w:divBdr>
      <w:divsChild>
        <w:div w:id="1533109195">
          <w:marLeft w:val="0"/>
          <w:marRight w:val="0"/>
          <w:marTop w:val="0"/>
          <w:marBottom w:val="0"/>
          <w:divBdr>
            <w:top w:val="none" w:sz="0" w:space="0" w:color="auto"/>
            <w:left w:val="none" w:sz="0" w:space="0" w:color="auto"/>
            <w:bottom w:val="none" w:sz="0" w:space="0" w:color="auto"/>
            <w:right w:val="none" w:sz="0" w:space="0" w:color="auto"/>
          </w:divBdr>
          <w:divsChild>
            <w:div w:id="1023559136">
              <w:marLeft w:val="0"/>
              <w:marRight w:val="0"/>
              <w:marTop w:val="0"/>
              <w:marBottom w:val="0"/>
              <w:divBdr>
                <w:top w:val="none" w:sz="0" w:space="0" w:color="auto"/>
                <w:left w:val="none" w:sz="0" w:space="0" w:color="auto"/>
                <w:bottom w:val="none" w:sz="0" w:space="0" w:color="auto"/>
                <w:right w:val="none" w:sz="0" w:space="0" w:color="auto"/>
              </w:divBdr>
            </w:div>
            <w:div w:id="901870453">
              <w:marLeft w:val="0"/>
              <w:marRight w:val="0"/>
              <w:marTop w:val="0"/>
              <w:marBottom w:val="0"/>
              <w:divBdr>
                <w:top w:val="none" w:sz="0" w:space="0" w:color="auto"/>
                <w:left w:val="none" w:sz="0" w:space="0" w:color="auto"/>
                <w:bottom w:val="none" w:sz="0" w:space="0" w:color="auto"/>
                <w:right w:val="none" w:sz="0" w:space="0" w:color="auto"/>
              </w:divBdr>
            </w:div>
            <w:div w:id="1961299829">
              <w:marLeft w:val="0"/>
              <w:marRight w:val="0"/>
              <w:marTop w:val="0"/>
              <w:marBottom w:val="0"/>
              <w:divBdr>
                <w:top w:val="none" w:sz="0" w:space="0" w:color="auto"/>
                <w:left w:val="none" w:sz="0" w:space="0" w:color="auto"/>
                <w:bottom w:val="none" w:sz="0" w:space="0" w:color="auto"/>
                <w:right w:val="none" w:sz="0" w:space="0" w:color="auto"/>
              </w:divBdr>
            </w:div>
            <w:div w:id="172499234">
              <w:marLeft w:val="0"/>
              <w:marRight w:val="0"/>
              <w:marTop w:val="0"/>
              <w:marBottom w:val="0"/>
              <w:divBdr>
                <w:top w:val="none" w:sz="0" w:space="0" w:color="auto"/>
                <w:left w:val="none" w:sz="0" w:space="0" w:color="auto"/>
                <w:bottom w:val="none" w:sz="0" w:space="0" w:color="auto"/>
                <w:right w:val="none" w:sz="0" w:space="0" w:color="auto"/>
              </w:divBdr>
            </w:div>
            <w:div w:id="827289425">
              <w:marLeft w:val="0"/>
              <w:marRight w:val="0"/>
              <w:marTop w:val="0"/>
              <w:marBottom w:val="0"/>
              <w:divBdr>
                <w:top w:val="none" w:sz="0" w:space="0" w:color="auto"/>
                <w:left w:val="none" w:sz="0" w:space="0" w:color="auto"/>
                <w:bottom w:val="none" w:sz="0" w:space="0" w:color="auto"/>
                <w:right w:val="none" w:sz="0" w:space="0" w:color="auto"/>
              </w:divBdr>
            </w:div>
            <w:div w:id="452095538">
              <w:marLeft w:val="0"/>
              <w:marRight w:val="0"/>
              <w:marTop w:val="0"/>
              <w:marBottom w:val="0"/>
              <w:divBdr>
                <w:top w:val="none" w:sz="0" w:space="0" w:color="auto"/>
                <w:left w:val="none" w:sz="0" w:space="0" w:color="auto"/>
                <w:bottom w:val="none" w:sz="0" w:space="0" w:color="auto"/>
                <w:right w:val="none" w:sz="0" w:space="0" w:color="auto"/>
              </w:divBdr>
            </w:div>
            <w:div w:id="567614580">
              <w:marLeft w:val="0"/>
              <w:marRight w:val="0"/>
              <w:marTop w:val="0"/>
              <w:marBottom w:val="0"/>
              <w:divBdr>
                <w:top w:val="none" w:sz="0" w:space="0" w:color="auto"/>
                <w:left w:val="none" w:sz="0" w:space="0" w:color="auto"/>
                <w:bottom w:val="none" w:sz="0" w:space="0" w:color="auto"/>
                <w:right w:val="none" w:sz="0" w:space="0" w:color="auto"/>
              </w:divBdr>
            </w:div>
            <w:div w:id="381486904">
              <w:marLeft w:val="0"/>
              <w:marRight w:val="0"/>
              <w:marTop w:val="0"/>
              <w:marBottom w:val="0"/>
              <w:divBdr>
                <w:top w:val="none" w:sz="0" w:space="0" w:color="auto"/>
                <w:left w:val="none" w:sz="0" w:space="0" w:color="auto"/>
                <w:bottom w:val="none" w:sz="0" w:space="0" w:color="auto"/>
                <w:right w:val="none" w:sz="0" w:space="0" w:color="auto"/>
              </w:divBdr>
            </w:div>
            <w:div w:id="2065791245">
              <w:marLeft w:val="0"/>
              <w:marRight w:val="0"/>
              <w:marTop w:val="0"/>
              <w:marBottom w:val="0"/>
              <w:divBdr>
                <w:top w:val="none" w:sz="0" w:space="0" w:color="auto"/>
                <w:left w:val="none" w:sz="0" w:space="0" w:color="auto"/>
                <w:bottom w:val="none" w:sz="0" w:space="0" w:color="auto"/>
                <w:right w:val="none" w:sz="0" w:space="0" w:color="auto"/>
              </w:divBdr>
            </w:div>
            <w:div w:id="324868597">
              <w:marLeft w:val="0"/>
              <w:marRight w:val="0"/>
              <w:marTop w:val="0"/>
              <w:marBottom w:val="0"/>
              <w:divBdr>
                <w:top w:val="none" w:sz="0" w:space="0" w:color="auto"/>
                <w:left w:val="none" w:sz="0" w:space="0" w:color="auto"/>
                <w:bottom w:val="none" w:sz="0" w:space="0" w:color="auto"/>
                <w:right w:val="none" w:sz="0" w:space="0" w:color="auto"/>
              </w:divBdr>
            </w:div>
            <w:div w:id="1411003679">
              <w:marLeft w:val="0"/>
              <w:marRight w:val="0"/>
              <w:marTop w:val="0"/>
              <w:marBottom w:val="0"/>
              <w:divBdr>
                <w:top w:val="none" w:sz="0" w:space="0" w:color="auto"/>
                <w:left w:val="none" w:sz="0" w:space="0" w:color="auto"/>
                <w:bottom w:val="none" w:sz="0" w:space="0" w:color="auto"/>
                <w:right w:val="none" w:sz="0" w:space="0" w:color="auto"/>
              </w:divBdr>
            </w:div>
            <w:div w:id="73166089">
              <w:marLeft w:val="0"/>
              <w:marRight w:val="0"/>
              <w:marTop w:val="0"/>
              <w:marBottom w:val="0"/>
              <w:divBdr>
                <w:top w:val="none" w:sz="0" w:space="0" w:color="auto"/>
                <w:left w:val="none" w:sz="0" w:space="0" w:color="auto"/>
                <w:bottom w:val="none" w:sz="0" w:space="0" w:color="auto"/>
                <w:right w:val="none" w:sz="0" w:space="0" w:color="auto"/>
              </w:divBdr>
            </w:div>
            <w:div w:id="407770566">
              <w:marLeft w:val="0"/>
              <w:marRight w:val="0"/>
              <w:marTop w:val="0"/>
              <w:marBottom w:val="0"/>
              <w:divBdr>
                <w:top w:val="none" w:sz="0" w:space="0" w:color="auto"/>
                <w:left w:val="none" w:sz="0" w:space="0" w:color="auto"/>
                <w:bottom w:val="none" w:sz="0" w:space="0" w:color="auto"/>
                <w:right w:val="none" w:sz="0" w:space="0" w:color="auto"/>
              </w:divBdr>
            </w:div>
            <w:div w:id="1688093432">
              <w:marLeft w:val="0"/>
              <w:marRight w:val="0"/>
              <w:marTop w:val="0"/>
              <w:marBottom w:val="0"/>
              <w:divBdr>
                <w:top w:val="none" w:sz="0" w:space="0" w:color="auto"/>
                <w:left w:val="none" w:sz="0" w:space="0" w:color="auto"/>
                <w:bottom w:val="none" w:sz="0" w:space="0" w:color="auto"/>
                <w:right w:val="none" w:sz="0" w:space="0" w:color="auto"/>
              </w:divBdr>
            </w:div>
            <w:div w:id="1115246806">
              <w:marLeft w:val="0"/>
              <w:marRight w:val="0"/>
              <w:marTop w:val="0"/>
              <w:marBottom w:val="0"/>
              <w:divBdr>
                <w:top w:val="none" w:sz="0" w:space="0" w:color="auto"/>
                <w:left w:val="none" w:sz="0" w:space="0" w:color="auto"/>
                <w:bottom w:val="none" w:sz="0" w:space="0" w:color="auto"/>
                <w:right w:val="none" w:sz="0" w:space="0" w:color="auto"/>
              </w:divBdr>
            </w:div>
            <w:div w:id="876966286">
              <w:marLeft w:val="0"/>
              <w:marRight w:val="0"/>
              <w:marTop w:val="0"/>
              <w:marBottom w:val="0"/>
              <w:divBdr>
                <w:top w:val="none" w:sz="0" w:space="0" w:color="auto"/>
                <w:left w:val="none" w:sz="0" w:space="0" w:color="auto"/>
                <w:bottom w:val="none" w:sz="0" w:space="0" w:color="auto"/>
                <w:right w:val="none" w:sz="0" w:space="0" w:color="auto"/>
              </w:divBdr>
            </w:div>
            <w:div w:id="1953440955">
              <w:marLeft w:val="0"/>
              <w:marRight w:val="0"/>
              <w:marTop w:val="0"/>
              <w:marBottom w:val="0"/>
              <w:divBdr>
                <w:top w:val="none" w:sz="0" w:space="0" w:color="auto"/>
                <w:left w:val="none" w:sz="0" w:space="0" w:color="auto"/>
                <w:bottom w:val="none" w:sz="0" w:space="0" w:color="auto"/>
                <w:right w:val="none" w:sz="0" w:space="0" w:color="auto"/>
              </w:divBdr>
            </w:div>
            <w:div w:id="525485218">
              <w:marLeft w:val="0"/>
              <w:marRight w:val="0"/>
              <w:marTop w:val="0"/>
              <w:marBottom w:val="0"/>
              <w:divBdr>
                <w:top w:val="none" w:sz="0" w:space="0" w:color="auto"/>
                <w:left w:val="none" w:sz="0" w:space="0" w:color="auto"/>
                <w:bottom w:val="none" w:sz="0" w:space="0" w:color="auto"/>
                <w:right w:val="none" w:sz="0" w:space="0" w:color="auto"/>
              </w:divBdr>
            </w:div>
            <w:div w:id="166331117">
              <w:marLeft w:val="0"/>
              <w:marRight w:val="0"/>
              <w:marTop w:val="0"/>
              <w:marBottom w:val="0"/>
              <w:divBdr>
                <w:top w:val="none" w:sz="0" w:space="0" w:color="auto"/>
                <w:left w:val="none" w:sz="0" w:space="0" w:color="auto"/>
                <w:bottom w:val="none" w:sz="0" w:space="0" w:color="auto"/>
                <w:right w:val="none" w:sz="0" w:space="0" w:color="auto"/>
              </w:divBdr>
            </w:div>
            <w:div w:id="1263103344">
              <w:marLeft w:val="0"/>
              <w:marRight w:val="0"/>
              <w:marTop w:val="0"/>
              <w:marBottom w:val="0"/>
              <w:divBdr>
                <w:top w:val="none" w:sz="0" w:space="0" w:color="auto"/>
                <w:left w:val="none" w:sz="0" w:space="0" w:color="auto"/>
                <w:bottom w:val="none" w:sz="0" w:space="0" w:color="auto"/>
                <w:right w:val="none" w:sz="0" w:space="0" w:color="auto"/>
              </w:divBdr>
            </w:div>
            <w:div w:id="10646003">
              <w:marLeft w:val="0"/>
              <w:marRight w:val="0"/>
              <w:marTop w:val="0"/>
              <w:marBottom w:val="0"/>
              <w:divBdr>
                <w:top w:val="none" w:sz="0" w:space="0" w:color="auto"/>
                <w:left w:val="none" w:sz="0" w:space="0" w:color="auto"/>
                <w:bottom w:val="none" w:sz="0" w:space="0" w:color="auto"/>
                <w:right w:val="none" w:sz="0" w:space="0" w:color="auto"/>
              </w:divBdr>
            </w:div>
            <w:div w:id="274405917">
              <w:marLeft w:val="0"/>
              <w:marRight w:val="0"/>
              <w:marTop w:val="0"/>
              <w:marBottom w:val="0"/>
              <w:divBdr>
                <w:top w:val="none" w:sz="0" w:space="0" w:color="auto"/>
                <w:left w:val="none" w:sz="0" w:space="0" w:color="auto"/>
                <w:bottom w:val="none" w:sz="0" w:space="0" w:color="auto"/>
                <w:right w:val="none" w:sz="0" w:space="0" w:color="auto"/>
              </w:divBdr>
            </w:div>
            <w:div w:id="1299188575">
              <w:marLeft w:val="0"/>
              <w:marRight w:val="0"/>
              <w:marTop w:val="0"/>
              <w:marBottom w:val="0"/>
              <w:divBdr>
                <w:top w:val="none" w:sz="0" w:space="0" w:color="auto"/>
                <w:left w:val="none" w:sz="0" w:space="0" w:color="auto"/>
                <w:bottom w:val="none" w:sz="0" w:space="0" w:color="auto"/>
                <w:right w:val="none" w:sz="0" w:space="0" w:color="auto"/>
              </w:divBdr>
            </w:div>
            <w:div w:id="1286740082">
              <w:marLeft w:val="0"/>
              <w:marRight w:val="0"/>
              <w:marTop w:val="0"/>
              <w:marBottom w:val="0"/>
              <w:divBdr>
                <w:top w:val="none" w:sz="0" w:space="0" w:color="auto"/>
                <w:left w:val="none" w:sz="0" w:space="0" w:color="auto"/>
                <w:bottom w:val="none" w:sz="0" w:space="0" w:color="auto"/>
                <w:right w:val="none" w:sz="0" w:space="0" w:color="auto"/>
              </w:divBdr>
            </w:div>
            <w:div w:id="1739477094">
              <w:marLeft w:val="0"/>
              <w:marRight w:val="0"/>
              <w:marTop w:val="0"/>
              <w:marBottom w:val="0"/>
              <w:divBdr>
                <w:top w:val="none" w:sz="0" w:space="0" w:color="auto"/>
                <w:left w:val="none" w:sz="0" w:space="0" w:color="auto"/>
                <w:bottom w:val="none" w:sz="0" w:space="0" w:color="auto"/>
                <w:right w:val="none" w:sz="0" w:space="0" w:color="auto"/>
              </w:divBdr>
            </w:div>
            <w:div w:id="1743409181">
              <w:marLeft w:val="0"/>
              <w:marRight w:val="0"/>
              <w:marTop w:val="0"/>
              <w:marBottom w:val="0"/>
              <w:divBdr>
                <w:top w:val="none" w:sz="0" w:space="0" w:color="auto"/>
                <w:left w:val="none" w:sz="0" w:space="0" w:color="auto"/>
                <w:bottom w:val="none" w:sz="0" w:space="0" w:color="auto"/>
                <w:right w:val="none" w:sz="0" w:space="0" w:color="auto"/>
              </w:divBdr>
            </w:div>
            <w:div w:id="222526641">
              <w:marLeft w:val="0"/>
              <w:marRight w:val="0"/>
              <w:marTop w:val="0"/>
              <w:marBottom w:val="0"/>
              <w:divBdr>
                <w:top w:val="none" w:sz="0" w:space="0" w:color="auto"/>
                <w:left w:val="none" w:sz="0" w:space="0" w:color="auto"/>
                <w:bottom w:val="none" w:sz="0" w:space="0" w:color="auto"/>
                <w:right w:val="none" w:sz="0" w:space="0" w:color="auto"/>
              </w:divBdr>
            </w:div>
            <w:div w:id="815031749">
              <w:marLeft w:val="0"/>
              <w:marRight w:val="0"/>
              <w:marTop w:val="0"/>
              <w:marBottom w:val="0"/>
              <w:divBdr>
                <w:top w:val="none" w:sz="0" w:space="0" w:color="auto"/>
                <w:left w:val="none" w:sz="0" w:space="0" w:color="auto"/>
                <w:bottom w:val="none" w:sz="0" w:space="0" w:color="auto"/>
                <w:right w:val="none" w:sz="0" w:space="0" w:color="auto"/>
              </w:divBdr>
            </w:div>
            <w:div w:id="18797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555">
      <w:marLeft w:val="0"/>
      <w:marRight w:val="0"/>
      <w:marTop w:val="0"/>
      <w:marBottom w:val="0"/>
      <w:divBdr>
        <w:top w:val="none" w:sz="0" w:space="0" w:color="auto"/>
        <w:left w:val="none" w:sz="0" w:space="0" w:color="auto"/>
        <w:bottom w:val="none" w:sz="0" w:space="0" w:color="auto"/>
        <w:right w:val="none" w:sz="0" w:space="0" w:color="auto"/>
      </w:divBdr>
    </w:div>
    <w:div w:id="82529557">
      <w:marLeft w:val="0"/>
      <w:marRight w:val="0"/>
      <w:marTop w:val="0"/>
      <w:marBottom w:val="0"/>
      <w:divBdr>
        <w:top w:val="none" w:sz="0" w:space="0" w:color="auto"/>
        <w:left w:val="none" w:sz="0" w:space="0" w:color="auto"/>
        <w:bottom w:val="none" w:sz="0" w:space="0" w:color="auto"/>
        <w:right w:val="none" w:sz="0" w:space="0" w:color="auto"/>
      </w:divBdr>
      <w:divsChild>
        <w:div w:id="82529562">
          <w:marLeft w:val="0"/>
          <w:marRight w:val="0"/>
          <w:marTop w:val="0"/>
          <w:marBottom w:val="0"/>
          <w:divBdr>
            <w:top w:val="none" w:sz="0" w:space="0" w:color="auto"/>
            <w:left w:val="none" w:sz="0" w:space="0" w:color="auto"/>
            <w:bottom w:val="none" w:sz="0" w:space="0" w:color="auto"/>
            <w:right w:val="none" w:sz="0" w:space="0" w:color="auto"/>
          </w:divBdr>
          <w:divsChild>
            <w:div w:id="82529556">
              <w:marLeft w:val="0"/>
              <w:marRight w:val="0"/>
              <w:marTop w:val="0"/>
              <w:marBottom w:val="0"/>
              <w:divBdr>
                <w:top w:val="none" w:sz="0" w:space="0" w:color="auto"/>
                <w:left w:val="none" w:sz="0" w:space="0" w:color="auto"/>
                <w:bottom w:val="none" w:sz="0" w:space="0" w:color="auto"/>
                <w:right w:val="none" w:sz="0" w:space="0" w:color="auto"/>
              </w:divBdr>
              <w:divsChild>
                <w:div w:id="82529560">
                  <w:marLeft w:val="0"/>
                  <w:marRight w:val="0"/>
                  <w:marTop w:val="0"/>
                  <w:marBottom w:val="0"/>
                  <w:divBdr>
                    <w:top w:val="none" w:sz="0" w:space="0" w:color="auto"/>
                    <w:left w:val="none" w:sz="0" w:space="0" w:color="auto"/>
                    <w:bottom w:val="none" w:sz="0" w:space="0" w:color="auto"/>
                    <w:right w:val="none" w:sz="0" w:space="0" w:color="auto"/>
                  </w:divBdr>
                  <w:divsChild>
                    <w:div w:id="82529558">
                      <w:marLeft w:val="0"/>
                      <w:marRight w:val="0"/>
                      <w:marTop w:val="0"/>
                      <w:marBottom w:val="0"/>
                      <w:divBdr>
                        <w:top w:val="none" w:sz="0" w:space="0" w:color="auto"/>
                        <w:left w:val="none" w:sz="0" w:space="0" w:color="auto"/>
                        <w:bottom w:val="none" w:sz="0" w:space="0" w:color="auto"/>
                        <w:right w:val="none" w:sz="0" w:space="0" w:color="auto"/>
                      </w:divBdr>
                      <w:divsChild>
                        <w:div w:id="825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9563">
          <w:marLeft w:val="0"/>
          <w:marRight w:val="0"/>
          <w:marTop w:val="0"/>
          <w:marBottom w:val="0"/>
          <w:divBdr>
            <w:top w:val="none" w:sz="0" w:space="0" w:color="auto"/>
            <w:left w:val="none" w:sz="0" w:space="0" w:color="auto"/>
            <w:bottom w:val="none" w:sz="0" w:space="0" w:color="auto"/>
            <w:right w:val="none" w:sz="0" w:space="0" w:color="auto"/>
          </w:divBdr>
          <w:divsChild>
            <w:div w:id="825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564">
      <w:marLeft w:val="0"/>
      <w:marRight w:val="0"/>
      <w:marTop w:val="0"/>
      <w:marBottom w:val="0"/>
      <w:divBdr>
        <w:top w:val="none" w:sz="0" w:space="0" w:color="auto"/>
        <w:left w:val="none" w:sz="0" w:space="0" w:color="auto"/>
        <w:bottom w:val="none" w:sz="0" w:space="0" w:color="auto"/>
        <w:right w:val="none" w:sz="0" w:space="0" w:color="auto"/>
      </w:divBdr>
    </w:div>
    <w:div w:id="82529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remi@mp.pl"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E90C5-1BBD-4137-84E7-CC4BDF01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5281</Words>
  <Characters>30105</Characters>
  <Application>Microsoft Office Word</Application>
  <DocSecurity>0</DocSecurity>
  <Lines>250</Lines>
  <Paragraphs>70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Epithelioid haemangioendothelioma of the liver as a rare indication for liver transplantation</vt:lpstr>
      <vt:lpstr>Epithelioid haemangioendothelioma of the liver as a rare indication for liver transplantation</vt:lpstr>
    </vt:vector>
  </TitlesOfParts>
  <Company>Toshiba</Company>
  <LinksUpToDate>false</LinksUpToDate>
  <CharactersWithSpaces>35316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Epithelioid haemangioendothelioma of the liver as a rare indication for liver transplantation</dc:title>
  <dc:creator>remi</dc:creator>
  <cp:lastModifiedBy>LS Ma</cp:lastModifiedBy>
  <cp:revision>2</cp:revision>
  <dcterms:created xsi:type="dcterms:W3CDTF">2014-05-28T19:57:00Z</dcterms:created>
  <dcterms:modified xsi:type="dcterms:W3CDTF">2014-05-28T19:57:00Z</dcterms:modified>
</cp:coreProperties>
</file>