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0A2D" w14:textId="77777777" w:rsidR="00381465"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6FD03BC2" w14:textId="77777777" w:rsidR="00381465"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84597</w:t>
      </w:r>
    </w:p>
    <w:p w14:paraId="22917265" w14:textId="77777777" w:rsidR="00381465"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40DE5C57" w14:textId="77777777" w:rsidR="00381465" w:rsidRDefault="00381465">
      <w:pPr>
        <w:spacing w:line="360" w:lineRule="auto"/>
        <w:jc w:val="both"/>
      </w:pPr>
    </w:p>
    <w:p w14:paraId="2D8952AB" w14:textId="77777777" w:rsidR="00381465" w:rsidRDefault="00000000">
      <w:pPr>
        <w:spacing w:line="360" w:lineRule="auto"/>
        <w:jc w:val="both"/>
      </w:pPr>
      <w:r>
        <w:rPr>
          <w:rFonts w:ascii="Book Antiqua" w:eastAsia="Book Antiqua" w:hAnsi="Book Antiqua" w:cs="Book Antiqua"/>
          <w:b/>
          <w:color w:val="000000"/>
        </w:rPr>
        <w:t>Dental trauma in endoscopy: A systematic review and experience of a tertiary endoscopy centre</w:t>
      </w:r>
    </w:p>
    <w:p w14:paraId="08353487" w14:textId="77777777" w:rsidR="00381465" w:rsidRDefault="00381465">
      <w:pPr>
        <w:spacing w:line="360" w:lineRule="auto"/>
        <w:jc w:val="both"/>
      </w:pPr>
    </w:p>
    <w:p w14:paraId="7C2CE0AD" w14:textId="77777777" w:rsidR="00381465" w:rsidRDefault="00000000">
      <w:pPr>
        <w:spacing w:line="360" w:lineRule="auto"/>
        <w:jc w:val="both"/>
        <w:rPr>
          <w:lang w:val="nl-BE"/>
        </w:rPr>
      </w:pPr>
      <w:r>
        <w:rPr>
          <w:rFonts w:ascii="Book Antiqua" w:eastAsia="Book Antiqua" w:hAnsi="Book Antiqua" w:cs="Book Antiqua"/>
          <w:color w:val="000000"/>
          <w:lang w:val="nl-BE"/>
        </w:rPr>
        <w:t xml:space="preserve">Tan CQL </w:t>
      </w:r>
      <w:r>
        <w:rPr>
          <w:rFonts w:ascii="Book Antiqua" w:eastAsia="Book Antiqua" w:hAnsi="Book Antiqua" w:cs="Book Antiqua"/>
          <w:i/>
          <w:iCs/>
          <w:color w:val="000000"/>
          <w:lang w:val="nl-BE"/>
        </w:rPr>
        <w:t>et al</w:t>
      </w:r>
      <w:r>
        <w:rPr>
          <w:rFonts w:ascii="Book Antiqua" w:eastAsia="Book Antiqua" w:hAnsi="Book Antiqua" w:cs="Book Antiqua"/>
          <w:color w:val="000000"/>
          <w:lang w:val="nl-BE"/>
        </w:rPr>
        <w:t>. Dental trauma in endoscopy</w:t>
      </w:r>
    </w:p>
    <w:p w14:paraId="60B4518B" w14:textId="77777777" w:rsidR="00381465" w:rsidRDefault="00381465">
      <w:pPr>
        <w:spacing w:line="360" w:lineRule="auto"/>
        <w:jc w:val="both"/>
        <w:rPr>
          <w:lang w:val="nl-BE"/>
        </w:rPr>
      </w:pPr>
    </w:p>
    <w:p w14:paraId="00A935B7" w14:textId="77777777" w:rsidR="00381465" w:rsidRDefault="00000000">
      <w:pPr>
        <w:spacing w:line="360" w:lineRule="auto"/>
        <w:jc w:val="both"/>
        <w:rPr>
          <w:lang w:val="nl-BE"/>
        </w:rPr>
      </w:pPr>
      <w:r>
        <w:rPr>
          <w:rFonts w:ascii="Book Antiqua" w:eastAsia="Book Antiqua" w:hAnsi="Book Antiqua" w:cs="Book Antiqua"/>
          <w:color w:val="000000"/>
          <w:lang w:val="nl-BE"/>
        </w:rPr>
        <w:t xml:space="preserve">Chelsea Qiu Lin Tan, Gabrielle Yi Wen Loh, Tay Wei Rong Benjamin, Calvin Jianyi Koh, John Shao Rong Mok, Juanda Leo Hartono, </w:t>
      </w:r>
      <w:r>
        <w:rPr>
          <w:rFonts w:ascii="Book Antiqua" w:eastAsia="Times New Roman" w:hAnsi="Book Antiqua"/>
          <w:lang w:val="nl-BE"/>
        </w:rPr>
        <w:t>Kai Ting Cheryl Chua,</w:t>
      </w:r>
      <w:r>
        <w:rPr>
          <w:rFonts w:eastAsia="Times New Roman"/>
          <w:lang w:val="nl-BE"/>
        </w:rPr>
        <w:t xml:space="preserve"> </w:t>
      </w:r>
      <w:r>
        <w:rPr>
          <w:rFonts w:ascii="Book Antiqua" w:eastAsia="Book Antiqua" w:hAnsi="Book Antiqua" w:cs="Book Antiqua"/>
          <w:color w:val="000000"/>
          <w:lang w:val="nl-BE"/>
        </w:rPr>
        <w:t>Hee Hon Tan, Kewin Tien Ho Siah</w:t>
      </w:r>
    </w:p>
    <w:p w14:paraId="767E5663" w14:textId="77777777" w:rsidR="00381465" w:rsidRDefault="00381465">
      <w:pPr>
        <w:spacing w:line="360" w:lineRule="auto"/>
        <w:jc w:val="both"/>
        <w:rPr>
          <w:lang w:val="nl-BE"/>
        </w:rPr>
      </w:pPr>
    </w:p>
    <w:p w14:paraId="67C51AE9" w14:textId="77777777" w:rsidR="00381465" w:rsidRDefault="00000000">
      <w:pPr>
        <w:spacing w:line="360" w:lineRule="auto"/>
        <w:jc w:val="both"/>
      </w:pPr>
      <w:r>
        <w:rPr>
          <w:rFonts w:ascii="Book Antiqua" w:eastAsia="Book Antiqua" w:hAnsi="Book Antiqua" w:cs="Book Antiqua"/>
          <w:b/>
          <w:bCs/>
          <w:color w:val="000000"/>
        </w:rPr>
        <w:t xml:space="preserve">Chelsea Qiu Lin Tan, Gabrielle Yi Wen Loh, </w:t>
      </w:r>
      <w:r>
        <w:rPr>
          <w:rFonts w:ascii="Book Antiqua" w:eastAsia="Book Antiqua" w:hAnsi="Book Antiqua" w:cs="Book Antiqua"/>
          <w:color w:val="000000"/>
        </w:rPr>
        <w:t>Yong Loo Lin School of Medicine, National University of Singapore, Singapore 117594, Singapore</w:t>
      </w:r>
    </w:p>
    <w:p w14:paraId="0FA64745" w14:textId="77777777" w:rsidR="00381465" w:rsidRDefault="00381465">
      <w:pPr>
        <w:spacing w:line="360" w:lineRule="auto"/>
        <w:jc w:val="both"/>
      </w:pPr>
    </w:p>
    <w:p w14:paraId="7908E7BF" w14:textId="77777777" w:rsidR="00381465" w:rsidRDefault="00000000">
      <w:pPr>
        <w:spacing w:line="360" w:lineRule="auto"/>
        <w:jc w:val="both"/>
        <w:rPr>
          <w:color w:val="000000" w:themeColor="text1"/>
        </w:rPr>
      </w:pPr>
      <w:r>
        <w:rPr>
          <w:rFonts w:ascii="Book Antiqua" w:eastAsia="Book Antiqua" w:hAnsi="Book Antiqua" w:cs="Book Antiqua"/>
          <w:b/>
          <w:bCs/>
          <w:color w:val="000000" w:themeColor="text1"/>
        </w:rPr>
        <w:t>Tay Wei Rong Benjamin, Calvin Jianyi Koh, John Shao Rong Mok, Juanda Leo Hartono, Kewin Tien Ho Siah,</w:t>
      </w:r>
      <w:r>
        <w:rPr>
          <w:rFonts w:ascii="Book Antiqua" w:eastAsia="Book Antiqua" w:hAnsi="Book Antiqua" w:cs="Book Antiqua"/>
          <w:color w:val="000000" w:themeColor="text1"/>
        </w:rPr>
        <w:t xml:space="preserve"> Division of Gastroenterology and Hepatology, National University Health System, Singapore 119074, Singapore</w:t>
      </w:r>
    </w:p>
    <w:p w14:paraId="65AF87BD" w14:textId="77777777" w:rsidR="00381465" w:rsidRDefault="00381465">
      <w:pPr>
        <w:spacing w:line="360" w:lineRule="auto"/>
        <w:jc w:val="both"/>
      </w:pPr>
    </w:p>
    <w:p w14:paraId="19F75985" w14:textId="77777777" w:rsidR="00381465" w:rsidRDefault="00000000">
      <w:pPr>
        <w:spacing w:line="360" w:lineRule="auto"/>
        <w:jc w:val="both"/>
        <w:rPr>
          <w:rFonts w:ascii="Book Antiqua" w:eastAsia="Times New Roman" w:hAnsi="Book Antiqua"/>
          <w:color w:val="000000" w:themeColor="text1"/>
        </w:rPr>
      </w:pPr>
      <w:r>
        <w:rPr>
          <w:rFonts w:ascii="Book Antiqua" w:eastAsia="Times New Roman" w:hAnsi="Book Antiqua"/>
          <w:b/>
          <w:bCs/>
          <w:color w:val="000000" w:themeColor="text1"/>
        </w:rPr>
        <w:t xml:space="preserve">Kai Ting Cheryl Chua, </w:t>
      </w:r>
      <w:r>
        <w:rPr>
          <w:rFonts w:ascii="Book Antiqua" w:eastAsia="Times New Roman" w:hAnsi="Book Antiqua"/>
          <w:color w:val="000000" w:themeColor="text1"/>
        </w:rPr>
        <w:t>Department of Medicine, Ng Teng Fong General Hospital, Singapore</w:t>
      </w:r>
    </w:p>
    <w:p w14:paraId="41320075" w14:textId="77777777" w:rsidR="00381465" w:rsidRDefault="00381465">
      <w:pPr>
        <w:spacing w:line="360" w:lineRule="auto"/>
        <w:jc w:val="both"/>
        <w:rPr>
          <w:rFonts w:ascii="Book Antiqua" w:eastAsia="Times New Roman" w:hAnsi="Book Antiqua"/>
        </w:rPr>
      </w:pPr>
    </w:p>
    <w:p w14:paraId="36486ABC" w14:textId="77777777" w:rsidR="00381465" w:rsidRDefault="00000000">
      <w:pPr>
        <w:spacing w:line="360" w:lineRule="auto"/>
        <w:jc w:val="both"/>
      </w:pPr>
      <w:r>
        <w:rPr>
          <w:rFonts w:ascii="Book Antiqua" w:eastAsia="Book Antiqua" w:hAnsi="Book Antiqua" w:cs="Book Antiqua"/>
          <w:b/>
          <w:bCs/>
          <w:color w:val="000000"/>
        </w:rPr>
        <w:t xml:space="preserve">Hee Hon Tan, </w:t>
      </w:r>
      <w:r>
        <w:rPr>
          <w:rFonts w:ascii="Book Antiqua" w:eastAsia="Book Antiqua" w:hAnsi="Book Antiqua" w:cs="Book Antiqua"/>
          <w:color w:val="000000"/>
        </w:rPr>
        <w:t>Division of Prosthodontics, National University Centre for Oral Health, Singapore 119074, Singapore</w:t>
      </w:r>
    </w:p>
    <w:p w14:paraId="13338D29" w14:textId="77777777" w:rsidR="00381465" w:rsidRDefault="00381465">
      <w:pPr>
        <w:spacing w:line="360" w:lineRule="auto"/>
        <w:jc w:val="both"/>
      </w:pPr>
    </w:p>
    <w:p w14:paraId="3BBB0FB9" w14:textId="77777777" w:rsidR="00381465" w:rsidRDefault="00000000">
      <w:pPr>
        <w:spacing w:line="360" w:lineRule="auto"/>
        <w:jc w:val="both"/>
        <w:rPr>
          <w:rFonts w:ascii="Book Antiqua" w:hAnsi="Book Antiqua" w:cs="Helvetica Neue"/>
          <w:color w:val="FF0000"/>
          <w:lang w:val="en-GB"/>
        </w:rPr>
      </w:pPr>
      <w:r>
        <w:rPr>
          <w:rFonts w:ascii="Book Antiqua" w:eastAsia="Book Antiqua" w:hAnsi="Book Antiqua" w:cs="Book Antiqua"/>
          <w:b/>
          <w:bCs/>
          <w:color w:val="000000" w:themeColor="text1"/>
        </w:rPr>
        <w:t xml:space="preserve">Author contributions: </w:t>
      </w:r>
      <w:r>
        <w:rPr>
          <w:rFonts w:ascii="Book Antiqua" w:hAnsi="Book Antiqua" w:cs="Helvetica Neue"/>
          <w:color w:val="000000" w:themeColor="text1"/>
          <w:lang w:val="en-GB"/>
        </w:rPr>
        <w:t xml:space="preserve">Tan CQL and Loh GYW contributed equally to this work; Tan CQL, Loh GYW, Tay WRB, Koh CJY, Mok JSR, Hartono JL, </w:t>
      </w:r>
      <w:r>
        <w:rPr>
          <w:rFonts w:ascii="Book Antiqua" w:hAnsi="Book Antiqua" w:cs="Helvetica Neue"/>
          <w:color w:val="000000" w:themeColor="text1"/>
          <w:lang w:val="en-GB" w:eastAsia="zh-CN"/>
        </w:rPr>
        <w:t>Chua KTC</w:t>
      </w:r>
      <w:r>
        <w:rPr>
          <w:rFonts w:ascii="Book Antiqua" w:hAnsi="Book Antiqua" w:cs="Helvetica Neue"/>
          <w:color w:val="000000" w:themeColor="text1"/>
          <w:lang w:val="en-GB"/>
        </w:rPr>
        <w:t xml:space="preserve">, Tan HH, Siah KTH conceived and designed the study; Tan CQL, Loh GYW, Tay WRB Chua KTC </w:t>
      </w:r>
      <w:r>
        <w:rPr>
          <w:rFonts w:ascii="Book Antiqua" w:hAnsi="Book Antiqua" w:cs="Helvetica Neue"/>
          <w:color w:val="000000" w:themeColor="text1"/>
          <w:lang w:val="en-GB"/>
        </w:rPr>
        <w:lastRenderedPageBreak/>
        <w:t xml:space="preserve">performed research and analyzed data; and Tan CQL, Loh GYW, Tay WRB, Koh CJY, Mok JSR, Hartono JL, Chua KTC, Tan HH, Siah KTH wrote the paper; all authors reviewed and approved the final manuscript. </w:t>
      </w:r>
    </w:p>
    <w:p w14:paraId="1256FE08" w14:textId="77777777" w:rsidR="00381465" w:rsidRDefault="00381465">
      <w:pPr>
        <w:spacing w:line="360" w:lineRule="auto"/>
        <w:jc w:val="both"/>
      </w:pPr>
    </w:p>
    <w:p w14:paraId="2E5C39DF" w14:textId="77777777" w:rsidR="00381465" w:rsidRDefault="00000000">
      <w:pPr>
        <w:spacing w:line="360" w:lineRule="auto"/>
        <w:jc w:val="both"/>
      </w:pPr>
      <w:r>
        <w:rPr>
          <w:rFonts w:ascii="Book Antiqua" w:eastAsia="Book Antiqua" w:hAnsi="Book Antiqua" w:cs="Book Antiqua"/>
          <w:b/>
          <w:bCs/>
          <w:color w:val="000000"/>
        </w:rPr>
        <w:t xml:space="preserve">Corresponding author: Tay Wei Rong Benjamin, MBBS, MMed, MRCP, Doctor, </w:t>
      </w:r>
      <w:r>
        <w:rPr>
          <w:rFonts w:ascii="Book Antiqua" w:eastAsia="Book Antiqua" w:hAnsi="Book Antiqua" w:cs="Book Antiqua"/>
          <w:color w:val="000000"/>
        </w:rPr>
        <w:t>Division of Gastroenterology and Hepatology, National University Health System, 1E Kent Ridge Rd, Singapore 119074, Singapore. benjamin_tay@nuhs.edu.sg</w:t>
      </w:r>
    </w:p>
    <w:p w14:paraId="2324E5FF" w14:textId="77777777" w:rsidR="00381465" w:rsidRDefault="00381465">
      <w:pPr>
        <w:spacing w:line="360" w:lineRule="auto"/>
        <w:jc w:val="both"/>
      </w:pPr>
    </w:p>
    <w:p w14:paraId="59983423" w14:textId="77777777" w:rsidR="00381465"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21, 2023</w:t>
      </w:r>
    </w:p>
    <w:p w14:paraId="3F150E03" w14:textId="77777777" w:rsidR="00381465"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22, 2023</w:t>
      </w:r>
    </w:p>
    <w:p w14:paraId="25C76720" w14:textId="77777777" w:rsidR="00381465" w:rsidRDefault="00000000">
      <w:pPr>
        <w:spacing w:line="360" w:lineRule="auto"/>
        <w:jc w:val="both"/>
      </w:pPr>
      <w:r>
        <w:rPr>
          <w:rFonts w:ascii="Book Antiqua" w:eastAsia="Book Antiqua" w:hAnsi="Book Antiqua" w:cs="Book Antiqua"/>
          <w:b/>
          <w:bCs/>
        </w:rPr>
        <w:t xml:space="preserve">Accepted: </w:t>
      </w:r>
      <w:bookmarkStart w:id="0" w:name="OLE_LINK1"/>
      <w:r>
        <w:rPr>
          <w:rFonts w:ascii="Book Antiqua" w:eastAsia="Book Antiqua" w:hAnsi="Book Antiqua" w:cs="Book Antiqua"/>
        </w:rPr>
        <w:t>July 6, 2023</w:t>
      </w:r>
      <w:bookmarkEnd w:id="0"/>
    </w:p>
    <w:p w14:paraId="6DCC0EE3" w14:textId="77777777" w:rsidR="00381465" w:rsidRDefault="00000000">
      <w:pPr>
        <w:spacing w:line="360" w:lineRule="auto"/>
        <w:jc w:val="both"/>
      </w:pPr>
      <w:r>
        <w:rPr>
          <w:rFonts w:ascii="Book Antiqua" w:eastAsia="Book Antiqua" w:hAnsi="Book Antiqua" w:cs="Book Antiqua"/>
          <w:b/>
          <w:bCs/>
        </w:rPr>
        <w:t xml:space="preserve">Published online: </w:t>
      </w:r>
      <w:r>
        <w:rPr>
          <w:rFonts w:ascii="Book Antiqua" w:eastAsia="Book Antiqua" w:hAnsi="Book Antiqua" w:cs="Book Antiqua" w:hint="eastAsia"/>
        </w:rPr>
        <w:t>August</w:t>
      </w:r>
      <w:r>
        <w:rPr>
          <w:rFonts w:ascii="Book Antiqua" w:eastAsia="Book Antiqua" w:hAnsi="Book Antiqua" w:cs="Book Antiqua"/>
        </w:rPr>
        <w:t xml:space="preserve"> 16,</w:t>
      </w:r>
      <w:r>
        <w:rPr>
          <w:rFonts w:ascii="Book Antiqua" w:eastAsia="宋体" w:hAnsi="Book Antiqua" w:cs="Book Antiqua" w:hint="eastAsia"/>
          <w:lang w:eastAsia="zh-CN"/>
        </w:rPr>
        <w:t xml:space="preserve"> </w:t>
      </w:r>
      <w:r>
        <w:rPr>
          <w:rFonts w:ascii="Book Antiqua" w:eastAsia="Book Antiqua" w:hAnsi="Book Antiqua" w:cs="Book Antiqua"/>
        </w:rPr>
        <w:t>2023</w:t>
      </w:r>
    </w:p>
    <w:p w14:paraId="4864199E" w14:textId="77777777" w:rsidR="00381465" w:rsidRDefault="00381465">
      <w:pPr>
        <w:spacing w:line="360" w:lineRule="auto"/>
        <w:jc w:val="both"/>
        <w:sectPr w:rsidR="00381465">
          <w:footerReference w:type="default" r:id="rId6"/>
          <w:pgSz w:w="12240" w:h="15840"/>
          <w:pgMar w:top="1440" w:right="1440" w:bottom="1440" w:left="1440" w:header="720" w:footer="720" w:gutter="0"/>
          <w:cols w:space="720"/>
          <w:docGrid w:linePitch="360"/>
        </w:sectPr>
      </w:pPr>
    </w:p>
    <w:p w14:paraId="4337A5AE" w14:textId="77777777" w:rsidR="00381465" w:rsidRDefault="00000000">
      <w:pPr>
        <w:spacing w:line="360" w:lineRule="auto"/>
        <w:jc w:val="both"/>
      </w:pPr>
      <w:r>
        <w:rPr>
          <w:rFonts w:ascii="Book Antiqua" w:eastAsia="Book Antiqua" w:hAnsi="Book Antiqua" w:cs="Book Antiqua"/>
          <w:b/>
          <w:color w:val="000000"/>
        </w:rPr>
        <w:lastRenderedPageBreak/>
        <w:t>Abstract</w:t>
      </w:r>
    </w:p>
    <w:p w14:paraId="48DBD189" w14:textId="77777777" w:rsidR="00381465" w:rsidRDefault="00000000">
      <w:pPr>
        <w:spacing w:line="360" w:lineRule="auto"/>
        <w:jc w:val="both"/>
      </w:pPr>
      <w:r>
        <w:rPr>
          <w:rFonts w:ascii="Book Antiqua" w:eastAsia="Book Antiqua" w:hAnsi="Book Antiqua" w:cs="Book Antiqua"/>
          <w:color w:val="000000"/>
        </w:rPr>
        <w:t>BACKGROUND</w:t>
      </w:r>
    </w:p>
    <w:p w14:paraId="34025FFE" w14:textId="77777777" w:rsidR="00381465" w:rsidRDefault="00000000">
      <w:pPr>
        <w:spacing w:line="360" w:lineRule="auto"/>
        <w:jc w:val="both"/>
      </w:pPr>
      <w:r>
        <w:rPr>
          <w:rFonts w:ascii="Book Antiqua" w:eastAsia="Book Antiqua" w:hAnsi="Book Antiqua" w:cs="Book Antiqua"/>
        </w:rPr>
        <w:t>Dental injury is the</w:t>
      </w:r>
      <w:r>
        <w:rPr>
          <w:rFonts w:ascii="Book Antiqua" w:eastAsia="Book Antiqua" w:hAnsi="Book Antiqua" w:cs="Book Antiqua"/>
          <w:shd w:val="clear" w:color="auto" w:fill="FFFFFF"/>
        </w:rPr>
        <w:t xml:space="preserve"> leading cause of litigation in anaesthesia</w:t>
      </w:r>
      <w:r>
        <w:rPr>
          <w:rFonts w:ascii="Book Antiqua" w:eastAsia="Book Antiqua" w:hAnsi="Book Antiqua" w:cs="Book Antiqua"/>
        </w:rPr>
        <w:t xml:space="preserve"> but an underrecognized preventable complication of endoscopy.</w:t>
      </w:r>
    </w:p>
    <w:p w14:paraId="5A296A57" w14:textId="77777777" w:rsidR="00381465" w:rsidRDefault="00381465">
      <w:pPr>
        <w:spacing w:line="360" w:lineRule="auto"/>
        <w:jc w:val="both"/>
      </w:pPr>
    </w:p>
    <w:p w14:paraId="01E167FF" w14:textId="77777777" w:rsidR="00381465" w:rsidRDefault="00000000">
      <w:pPr>
        <w:spacing w:line="360" w:lineRule="auto"/>
        <w:jc w:val="both"/>
      </w:pPr>
      <w:r>
        <w:rPr>
          <w:rFonts w:ascii="Book Antiqua" w:eastAsia="Book Antiqua" w:hAnsi="Book Antiqua" w:cs="Book Antiqua"/>
          <w:color w:val="000000"/>
        </w:rPr>
        <w:t>AIM</w:t>
      </w:r>
    </w:p>
    <w:p w14:paraId="3F5F53B0" w14:textId="77777777" w:rsidR="00381465" w:rsidRDefault="00000000">
      <w:pPr>
        <w:spacing w:line="360" w:lineRule="auto"/>
        <w:jc w:val="both"/>
        <w:rPr>
          <w:color w:val="000000" w:themeColor="text1"/>
        </w:rPr>
      </w:pPr>
      <w:r>
        <w:rPr>
          <w:rFonts w:ascii="Book Antiqua" w:eastAsia="Book Antiqua" w:hAnsi="Book Antiqua" w:cs="Book Antiqua"/>
          <w:color w:val="000000" w:themeColor="text1"/>
        </w:rPr>
        <w:t xml:space="preserve">To determine frequency and effects of dental injury in endoscopy, we present findings from </w:t>
      </w:r>
      <w:r>
        <w:rPr>
          <w:rFonts w:ascii="Book Antiqua" w:eastAsia="宋体" w:hAnsi="Book Antiqua" w:cs="Book Antiqua" w:hint="eastAsia"/>
          <w:color w:val="000000" w:themeColor="text1"/>
          <w:lang w:eastAsia="zh-CN"/>
        </w:rPr>
        <w:t xml:space="preserve">an </w:t>
      </w:r>
      <w:r>
        <w:rPr>
          <w:rFonts w:ascii="Book Antiqua" w:eastAsia="Book Antiqua" w:hAnsi="Book Antiqua" w:cs="Book Antiqua"/>
          <w:color w:val="000000" w:themeColor="text1"/>
        </w:rPr>
        <w:t>audit of outpatient endoscopy procedures conducted at a tertiary university hospital and a systematic review of literature.</w:t>
      </w:r>
    </w:p>
    <w:p w14:paraId="471A6DAB" w14:textId="77777777" w:rsidR="00381465" w:rsidRDefault="00381465">
      <w:pPr>
        <w:spacing w:line="360" w:lineRule="auto"/>
        <w:jc w:val="both"/>
      </w:pPr>
    </w:p>
    <w:p w14:paraId="5BEE04B9" w14:textId="77777777" w:rsidR="00381465" w:rsidRDefault="00000000">
      <w:pPr>
        <w:spacing w:line="360" w:lineRule="auto"/>
        <w:jc w:val="both"/>
      </w:pPr>
      <w:r>
        <w:rPr>
          <w:rFonts w:ascii="Book Antiqua" w:eastAsia="Book Antiqua" w:hAnsi="Book Antiqua" w:cs="Book Antiqua"/>
          <w:color w:val="000000"/>
        </w:rPr>
        <w:t>METHODS</w:t>
      </w:r>
    </w:p>
    <w:p w14:paraId="5538119C" w14:textId="77777777" w:rsidR="00381465" w:rsidRDefault="00000000">
      <w:pPr>
        <w:spacing w:line="360" w:lineRule="auto"/>
        <w:jc w:val="both"/>
      </w:pPr>
      <w:r>
        <w:rPr>
          <w:rFonts w:ascii="Book Antiqua" w:eastAsia="Book Antiqua" w:hAnsi="Book Antiqua" w:cs="Book Antiqua"/>
        </w:rPr>
        <w:t>Retrospective review of 11265 outpatient upper endoscopy procedures over the period of 1 June 2019 to 31 May 2021 identified dental related complications in 0.284% of procedures. Review of literature identified a similar rate of 0.33%.</w:t>
      </w:r>
    </w:p>
    <w:p w14:paraId="630876CB" w14:textId="77777777" w:rsidR="00381465" w:rsidRDefault="00381465">
      <w:pPr>
        <w:spacing w:line="360" w:lineRule="auto"/>
        <w:jc w:val="both"/>
      </w:pPr>
    </w:p>
    <w:p w14:paraId="56C243E1" w14:textId="77777777" w:rsidR="00381465" w:rsidRDefault="00000000">
      <w:pPr>
        <w:spacing w:line="360" w:lineRule="auto"/>
        <w:jc w:val="both"/>
      </w:pPr>
      <w:r>
        <w:rPr>
          <w:rFonts w:ascii="Book Antiqua" w:eastAsia="Book Antiqua" w:hAnsi="Book Antiqua" w:cs="Book Antiqua"/>
          <w:color w:val="000000"/>
        </w:rPr>
        <w:t>RESULTS</w:t>
      </w:r>
    </w:p>
    <w:p w14:paraId="75B2EB6C" w14:textId="77777777" w:rsidR="00381465" w:rsidRDefault="00000000">
      <w:pPr>
        <w:spacing w:line="360" w:lineRule="auto"/>
        <w:jc w:val="both"/>
      </w:pPr>
      <w:r>
        <w:rPr>
          <w:rFonts w:ascii="Book Antiqua" w:eastAsia="Book Antiqua" w:hAnsi="Book Antiqua" w:cs="Book Antiqua"/>
        </w:rPr>
        <w:t xml:space="preserve">Pre-existing dental pathology or the presence of prostheses makes damage more likely but sound teeth may be affected. Pre-endoscopic history and tooth examination are key for risk stratification and may be conducted succinctly with limited time outlay. Tooth retrieval should be prioritized in the event of dental injury to minimize aspiration and </w:t>
      </w:r>
      <w:r>
        <w:rPr>
          <w:rFonts w:ascii="Book Antiqua" w:eastAsia="宋体" w:hAnsi="Book Antiqua" w:cs="Book Antiqua" w:hint="eastAsia"/>
          <w:lang w:eastAsia="zh-CN"/>
        </w:rPr>
        <w:t xml:space="preserve">be </w:t>
      </w:r>
      <w:r>
        <w:rPr>
          <w:rFonts w:ascii="Book Antiqua" w:eastAsia="Book Antiqua" w:hAnsi="Book Antiqua" w:cs="Book Antiqua"/>
        </w:rPr>
        <w:t>followed by prompt dental consultation for specific management.</w:t>
      </w:r>
    </w:p>
    <w:p w14:paraId="6BFE8285" w14:textId="77777777" w:rsidR="00381465" w:rsidRDefault="00381465">
      <w:pPr>
        <w:spacing w:line="360" w:lineRule="auto"/>
        <w:jc w:val="both"/>
      </w:pPr>
    </w:p>
    <w:p w14:paraId="1DE224ED" w14:textId="77777777" w:rsidR="00381465" w:rsidRDefault="00000000">
      <w:pPr>
        <w:spacing w:line="360" w:lineRule="auto"/>
        <w:jc w:val="both"/>
      </w:pPr>
      <w:r>
        <w:rPr>
          <w:rFonts w:ascii="Book Antiqua" w:eastAsia="Book Antiqua" w:hAnsi="Book Antiqua" w:cs="Book Antiqua"/>
          <w:color w:val="000000"/>
        </w:rPr>
        <w:t>CONCLUSION</w:t>
      </w:r>
    </w:p>
    <w:p w14:paraId="07AF4E46" w14:textId="77777777" w:rsidR="00381465" w:rsidRDefault="00000000">
      <w:pPr>
        <w:spacing w:line="360" w:lineRule="auto"/>
        <w:jc w:val="both"/>
      </w:pPr>
      <w:r>
        <w:rPr>
          <w:rFonts w:ascii="Book Antiqua" w:eastAsia="Book Antiqua" w:hAnsi="Book Antiqua" w:cs="Book Antiqua"/>
        </w:rPr>
        <w:t>Dental complications occur in approximately 1 in 300 of upper endoscopy cases. These are easily preventable by pre-endoscopy screening. Protocols to mitigate dental injury are also suggested.</w:t>
      </w:r>
    </w:p>
    <w:p w14:paraId="6B5A936B" w14:textId="77777777" w:rsidR="00381465" w:rsidRDefault="00381465">
      <w:pPr>
        <w:spacing w:line="360" w:lineRule="auto"/>
        <w:jc w:val="both"/>
      </w:pPr>
    </w:p>
    <w:p w14:paraId="0CD64E5C" w14:textId="77777777" w:rsidR="00381465"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Teeth; Dental trauma; Endoscopy; Digestive system</w:t>
      </w:r>
    </w:p>
    <w:p w14:paraId="1488D4D9" w14:textId="77777777" w:rsidR="00381465" w:rsidRDefault="00381465">
      <w:pPr>
        <w:spacing w:line="360" w:lineRule="auto"/>
        <w:jc w:val="both"/>
      </w:pPr>
    </w:p>
    <w:p w14:paraId="34252916" w14:textId="77777777" w:rsidR="00F90D5E" w:rsidRDefault="00F90D5E" w:rsidP="00F90D5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84B8473" w14:textId="77777777" w:rsidR="00F90D5E" w:rsidRDefault="00F90D5E">
      <w:pPr>
        <w:spacing w:line="360" w:lineRule="auto"/>
        <w:jc w:val="both"/>
      </w:pPr>
    </w:p>
    <w:p w14:paraId="378ACCE5" w14:textId="56802780" w:rsidR="00F90D5E" w:rsidRDefault="00F90D5E">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Tan CQL, Loh GYW, Benjamin TWR, Koh CJ, Mok JSR, Hartono JL, </w:t>
      </w:r>
      <w:r>
        <w:rPr>
          <w:rFonts w:ascii="Book Antiqua" w:eastAsia="Book Antiqua" w:hAnsi="Book Antiqua" w:cs="Book Antiqua"/>
          <w:lang w:eastAsia="zh-CN"/>
        </w:rPr>
        <w:t>Chua KTC,</w:t>
      </w:r>
      <w:r>
        <w:rPr>
          <w:rFonts w:ascii="Book Antiqua" w:eastAsia="Book Antiqua" w:hAnsi="Book Antiqua" w:cs="Book Antiqua" w:hint="eastAsia"/>
          <w:lang w:eastAsia="zh-CN"/>
        </w:rPr>
        <w:t xml:space="preserve"> </w:t>
      </w:r>
      <w:r>
        <w:rPr>
          <w:rFonts w:ascii="Book Antiqua" w:eastAsia="Book Antiqua" w:hAnsi="Book Antiqua" w:cs="Book Antiqua"/>
        </w:rPr>
        <w:t xml:space="preserve">Tan HH, Siah KTH. Dental trauma in endoscopy: A systematic review and experience of a tertiary endoscopy centre. </w:t>
      </w:r>
      <w:r>
        <w:rPr>
          <w:rFonts w:ascii="Book Antiqua" w:eastAsia="Book Antiqua" w:hAnsi="Book Antiqua" w:cs="Book Antiqua"/>
          <w:i/>
          <w:iCs/>
        </w:rPr>
        <w:t>World J Gastrointest Endosc</w:t>
      </w:r>
      <w:r>
        <w:rPr>
          <w:rFonts w:ascii="Book Antiqua" w:eastAsia="Book Antiqua" w:hAnsi="Book Antiqua" w:cs="Book Antiqua"/>
        </w:rPr>
        <w:t xml:space="preserve"> 2023; </w:t>
      </w:r>
      <w:r>
        <w:rPr>
          <w:rFonts w:ascii="Book Antiqua" w:eastAsia="Book Antiqua" w:hAnsi="Book Antiqua" w:cs="Book Antiqua" w:hint="eastAsia"/>
        </w:rPr>
        <w:t>15(</w:t>
      </w:r>
      <w:r>
        <w:rPr>
          <w:rFonts w:ascii="Book Antiqua" w:eastAsia="宋体" w:hAnsi="Book Antiqua" w:cs="Book Antiqua" w:hint="eastAsia"/>
          <w:lang w:eastAsia="zh-CN"/>
        </w:rPr>
        <w:t>8</w:t>
      </w:r>
      <w:r>
        <w:rPr>
          <w:rFonts w:ascii="Book Antiqua" w:eastAsia="Book Antiqua" w:hAnsi="Book Antiqua" w:cs="Book Antiqua" w:hint="eastAsia"/>
        </w:rPr>
        <w:t xml:space="preserve">): </w:t>
      </w:r>
      <w:r>
        <w:rPr>
          <w:rFonts w:ascii="Book Antiqua" w:eastAsia="Book Antiqua" w:hAnsi="Book Antiqua" w:cs="Book Antiqua"/>
        </w:rPr>
        <w:t>518</w:t>
      </w:r>
      <w:r>
        <w:rPr>
          <w:rFonts w:ascii="Book Antiqua" w:eastAsia="Book Antiqua" w:hAnsi="Book Antiqua" w:cs="Book Antiqua" w:hint="eastAsia"/>
        </w:rPr>
        <w:t>-</w:t>
      </w:r>
      <w:r>
        <w:rPr>
          <w:rFonts w:ascii="Book Antiqua" w:eastAsia="Book Antiqua" w:hAnsi="Book Antiqua" w:cs="Book Antiqua"/>
        </w:rPr>
        <w:t>527</w:t>
      </w:r>
    </w:p>
    <w:p w14:paraId="44316F31" w14:textId="4834D88F" w:rsidR="00F90D5E" w:rsidRPr="00F90D5E" w:rsidRDefault="00000000">
      <w:pPr>
        <w:spacing w:line="360" w:lineRule="auto"/>
        <w:jc w:val="both"/>
        <w:rPr>
          <w:rFonts w:ascii="Book Antiqua" w:eastAsia="Book Antiqua" w:hAnsi="Book Antiqua" w:cs="Book Antiqua"/>
          <w:color w:val="000000" w:themeColor="text1"/>
        </w:rPr>
      </w:pPr>
      <w:r w:rsidRPr="00F90D5E">
        <w:rPr>
          <w:rFonts w:ascii="Book Antiqua" w:eastAsia="Book Antiqua" w:hAnsi="Book Antiqua" w:cs="Book Antiqua" w:hint="eastAsia"/>
          <w:b/>
          <w:bCs/>
        </w:rPr>
        <w:t>URL:</w:t>
      </w:r>
      <w:r>
        <w:rPr>
          <w:rFonts w:ascii="Book Antiqua" w:eastAsia="Book Antiqua" w:hAnsi="Book Antiqua" w:cs="Book Antiqua" w:hint="eastAsia"/>
        </w:rPr>
        <w:t xml:space="preserve"> </w:t>
      </w:r>
      <w:hyperlink r:id="rId7" w:history="1">
        <w:r w:rsidR="00F90D5E" w:rsidRPr="00F90D5E">
          <w:rPr>
            <w:rStyle w:val="af"/>
            <w:rFonts w:ascii="Book Antiqua" w:eastAsia="Book Antiqua" w:hAnsi="Book Antiqua" w:cs="Book Antiqua" w:hint="eastAsia"/>
            <w:color w:val="000000" w:themeColor="text1"/>
            <w:u w:val="none"/>
          </w:rPr>
          <w:t>https://www.wjgnet.com/1948-5190/full/v15/i</w:t>
        </w:r>
        <w:r w:rsidR="00F90D5E" w:rsidRPr="00F90D5E">
          <w:rPr>
            <w:rStyle w:val="af"/>
            <w:rFonts w:ascii="Book Antiqua" w:eastAsia="宋体" w:hAnsi="Book Antiqua" w:cs="Book Antiqua" w:hint="eastAsia"/>
            <w:color w:val="000000" w:themeColor="text1"/>
            <w:u w:val="none"/>
            <w:lang w:eastAsia="zh-CN"/>
          </w:rPr>
          <w:t>8</w:t>
        </w:r>
        <w:r w:rsidR="00F90D5E" w:rsidRPr="00F90D5E">
          <w:rPr>
            <w:rStyle w:val="af"/>
            <w:rFonts w:ascii="Book Antiqua" w:eastAsia="Book Antiqua" w:hAnsi="Book Antiqua" w:cs="Book Antiqua" w:hint="eastAsia"/>
            <w:color w:val="000000" w:themeColor="text1"/>
            <w:u w:val="none"/>
          </w:rPr>
          <w:t>/</w:t>
        </w:r>
        <w:r w:rsidR="00F90D5E" w:rsidRPr="00F90D5E">
          <w:rPr>
            <w:rStyle w:val="af"/>
            <w:rFonts w:ascii="Book Antiqua" w:eastAsia="Book Antiqua" w:hAnsi="Book Antiqua" w:cs="Book Antiqua"/>
            <w:color w:val="000000" w:themeColor="text1"/>
            <w:u w:val="none"/>
          </w:rPr>
          <w:t>518</w:t>
        </w:r>
        <w:r w:rsidR="00F90D5E" w:rsidRPr="00F90D5E">
          <w:rPr>
            <w:rStyle w:val="af"/>
            <w:rFonts w:ascii="Book Antiqua" w:eastAsia="Book Antiqua" w:hAnsi="Book Antiqua" w:cs="Book Antiqua" w:hint="eastAsia"/>
            <w:color w:val="000000" w:themeColor="text1"/>
            <w:u w:val="none"/>
          </w:rPr>
          <w:t>.htm</w:t>
        </w:r>
      </w:hyperlink>
    </w:p>
    <w:p w14:paraId="605A4FDD" w14:textId="73296D8B" w:rsidR="00381465" w:rsidRDefault="00000000">
      <w:pPr>
        <w:spacing w:line="360" w:lineRule="auto"/>
        <w:jc w:val="both"/>
      </w:pPr>
      <w:r w:rsidRPr="00F90D5E">
        <w:rPr>
          <w:rFonts w:ascii="Book Antiqua" w:eastAsia="Book Antiqua" w:hAnsi="Book Antiqua" w:cs="Book Antiqua" w:hint="eastAsia"/>
          <w:b/>
          <w:bCs/>
        </w:rPr>
        <w:t xml:space="preserve">DOI: </w:t>
      </w:r>
      <w:r>
        <w:rPr>
          <w:rFonts w:ascii="Book Antiqua" w:eastAsia="Book Antiqua" w:hAnsi="Book Antiqua" w:cs="Book Antiqua" w:hint="eastAsia"/>
        </w:rPr>
        <w:t>https://dx.doi.org/</w:t>
      </w:r>
      <w:bookmarkStart w:id="1" w:name="OLE_LINK2"/>
      <w:r>
        <w:rPr>
          <w:rFonts w:ascii="Book Antiqua" w:eastAsia="Book Antiqua" w:hAnsi="Book Antiqua" w:cs="Book Antiqua" w:hint="eastAsia"/>
        </w:rPr>
        <w:t>10.4253/wjge.v15.i</w:t>
      </w:r>
      <w:r>
        <w:rPr>
          <w:rFonts w:ascii="Book Antiqua" w:eastAsia="宋体" w:hAnsi="Book Antiqua" w:cs="Book Antiqua" w:hint="eastAsia"/>
          <w:lang w:eastAsia="zh-CN"/>
        </w:rPr>
        <w:t>8</w:t>
      </w:r>
      <w:r>
        <w:rPr>
          <w:rFonts w:ascii="Book Antiqua" w:eastAsia="Book Antiqua" w:hAnsi="Book Antiqua" w:cs="Book Antiqua" w:hint="eastAsia"/>
        </w:rPr>
        <w:t>.</w:t>
      </w:r>
      <w:bookmarkEnd w:id="1"/>
      <w:r w:rsidR="00F90D5E">
        <w:rPr>
          <w:rFonts w:ascii="Book Antiqua" w:eastAsia="Book Antiqua" w:hAnsi="Book Antiqua" w:cs="Book Antiqua"/>
        </w:rPr>
        <w:t>518</w:t>
      </w:r>
    </w:p>
    <w:p w14:paraId="03B6B29F" w14:textId="77777777" w:rsidR="00381465" w:rsidRDefault="00381465">
      <w:pPr>
        <w:spacing w:line="360" w:lineRule="auto"/>
        <w:jc w:val="both"/>
      </w:pPr>
    </w:p>
    <w:p w14:paraId="12EF2F5E" w14:textId="77777777" w:rsidR="00381465"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Peri-intubation dental injury is a leading cause of litigation in endoscopy, and its complications are largely prevented with sufficient foreknowledge and counselling. We summarize findings from an audit of dental injury on endoscopy as well as review relevant literature to guide identification, mitigation and management of peri-endoscopic dental trauma.</w:t>
      </w:r>
    </w:p>
    <w:p w14:paraId="7CF8E610" w14:textId="77777777" w:rsidR="00381465" w:rsidRDefault="00381465">
      <w:pPr>
        <w:spacing w:line="360" w:lineRule="auto"/>
        <w:jc w:val="both"/>
      </w:pPr>
    </w:p>
    <w:p w14:paraId="739EE780" w14:textId="77777777" w:rsidR="00381465" w:rsidRDefault="00000000">
      <w:pPr>
        <w:spacing w:line="360" w:lineRule="auto"/>
        <w:jc w:val="both"/>
      </w:pPr>
      <w:r>
        <w:rPr>
          <w:rFonts w:ascii="Book Antiqua" w:eastAsia="Book Antiqua" w:hAnsi="Book Antiqua" w:cs="Book Antiqua"/>
          <w:b/>
          <w:caps/>
          <w:color w:val="000000"/>
          <w:u w:val="single"/>
        </w:rPr>
        <w:t>INTRODUCTION</w:t>
      </w:r>
    </w:p>
    <w:p w14:paraId="322404B9" w14:textId="77777777" w:rsidR="00381465" w:rsidRDefault="00000000">
      <w:pPr>
        <w:spacing w:line="360" w:lineRule="auto"/>
        <w:jc w:val="both"/>
      </w:pPr>
      <w:r>
        <w:rPr>
          <w:rFonts w:ascii="Book Antiqua" w:eastAsia="Book Antiqua" w:hAnsi="Book Antiqua" w:cs="Book Antiqua"/>
          <w:color w:val="000000"/>
          <w:shd w:val="clear" w:color="auto" w:fill="FFFFFF"/>
        </w:rPr>
        <w:t>Peri-intubation dental injury is a leading cause of litigation in anaesthesia</w:t>
      </w:r>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 xml:space="preserve"> with incidence of between 0.02%-0.07%</w:t>
      </w:r>
      <w:r>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Endoscopic procedures such as Oesophagogastroduodenoscopy (OGD), Endoscopic ultrasound (EUS), endoscopic retrograde cholangiopancreatography (ERCP) and Bronchoscopy likewise involve per-oral intubation and face similar complications. This subject has been under-represented in the field of endoscopy</w:t>
      </w:r>
      <w:r>
        <w:rPr>
          <w:rFonts w:ascii="Book Antiqua" w:eastAsia="Book Antiqua" w:hAnsi="Book Antiqua" w:cs="Book Antiqua"/>
          <w:color w:val="000000"/>
        </w:rPr>
        <w:t xml:space="preserve"> and is a cause for concern</w:t>
      </w:r>
      <w:r>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shd w:val="clear" w:color="auto" w:fill="FFFFFF"/>
        </w:rPr>
        <w:t>. Dental complications are largely prevented with sufficient foreknowledge and counselling. We hence aim to study the impact of dental injury on endoscopy in our centre as well as review relevant literature to guide identification, mitigation and management of peri-endoscopic dental trauma.</w:t>
      </w:r>
    </w:p>
    <w:p w14:paraId="2AD6045A" w14:textId="77777777" w:rsidR="00381465" w:rsidRDefault="00381465">
      <w:pPr>
        <w:spacing w:line="360" w:lineRule="auto"/>
        <w:jc w:val="both"/>
      </w:pPr>
    </w:p>
    <w:p w14:paraId="6F71ADAF" w14:textId="77777777" w:rsidR="00381465" w:rsidRDefault="00000000">
      <w:pPr>
        <w:spacing w:line="360" w:lineRule="auto"/>
        <w:jc w:val="both"/>
      </w:pPr>
      <w:r>
        <w:rPr>
          <w:rFonts w:ascii="Book Antiqua" w:eastAsia="Book Antiqua" w:hAnsi="Book Antiqua" w:cs="Book Antiqua"/>
          <w:b/>
          <w:caps/>
          <w:color w:val="000000"/>
          <w:u w:val="single"/>
        </w:rPr>
        <w:t>MATERIALS AND METHODS</w:t>
      </w:r>
    </w:p>
    <w:p w14:paraId="77210D3B" w14:textId="77777777" w:rsidR="00381465" w:rsidRDefault="00000000">
      <w:pPr>
        <w:spacing w:line="360" w:lineRule="auto"/>
        <w:jc w:val="both"/>
        <w:rPr>
          <w:b/>
          <w:bCs/>
        </w:rPr>
      </w:pPr>
      <w:r>
        <w:rPr>
          <w:rFonts w:ascii="Book Antiqua" w:eastAsia="Book Antiqua" w:hAnsi="Book Antiqua" w:cs="Book Antiqua"/>
          <w:b/>
          <w:bCs/>
          <w:i/>
          <w:iCs/>
          <w:color w:val="000000"/>
        </w:rPr>
        <w:t>Dental audit</w:t>
      </w:r>
    </w:p>
    <w:p w14:paraId="4A05779C" w14:textId="77777777" w:rsidR="00381465" w:rsidRDefault="00000000">
      <w:pPr>
        <w:spacing w:line="360" w:lineRule="auto"/>
        <w:jc w:val="both"/>
      </w:pPr>
      <w:r>
        <w:rPr>
          <w:rFonts w:ascii="Book Antiqua" w:eastAsia="Book Antiqua" w:hAnsi="Book Antiqua" w:cs="Book Antiqua"/>
          <w:color w:val="000000"/>
        </w:rPr>
        <w:lastRenderedPageBreak/>
        <w:t xml:space="preserve">We reviewed outpatient endoscopy records over a two-year period at the National University Hospital, Singapore. This was a large university hospital system that included community referrals and tertiary care centres across multiple specialties. According to centre protocol, dentition is reviewed once by the nursing team at triage and subsequently by the procedural team prior to endoscopy. Upper endoscopy </w:t>
      </w:r>
      <w:r>
        <w:rPr>
          <w:rFonts w:ascii="Book Antiqua" w:eastAsia="宋体" w:hAnsi="Book Antiqua" w:cs="Book Antiqua" w:hint="eastAsia"/>
          <w:color w:val="000000"/>
          <w:lang w:eastAsia="zh-CN"/>
        </w:rPr>
        <w:t>i</w:t>
      </w:r>
      <w:r>
        <w:rPr>
          <w:rFonts w:ascii="Book Antiqua" w:eastAsia="Book Antiqua" w:hAnsi="Book Antiqua" w:cs="Book Antiqua"/>
          <w:color w:val="000000"/>
        </w:rPr>
        <w:t>s cancelled should dental concerns be identified. Cancelled endoscopies and serious reportable events due to dental reasons were compiled into a database for analysis.</w:t>
      </w:r>
    </w:p>
    <w:p w14:paraId="4ECA7A28" w14:textId="77777777" w:rsidR="00381465" w:rsidRDefault="00381465">
      <w:pPr>
        <w:spacing w:line="360" w:lineRule="auto"/>
        <w:jc w:val="both"/>
      </w:pPr>
    </w:p>
    <w:p w14:paraId="48BD2C3E" w14:textId="77777777" w:rsidR="00381465" w:rsidRDefault="00000000">
      <w:pPr>
        <w:spacing w:line="360" w:lineRule="auto"/>
        <w:jc w:val="both"/>
        <w:rPr>
          <w:b/>
          <w:bCs/>
        </w:rPr>
      </w:pPr>
      <w:r>
        <w:rPr>
          <w:rFonts w:ascii="Book Antiqua" w:eastAsia="Book Antiqua" w:hAnsi="Book Antiqua" w:cs="Book Antiqua"/>
          <w:b/>
          <w:bCs/>
          <w:i/>
          <w:iCs/>
          <w:color w:val="000000"/>
        </w:rPr>
        <w:t>Systematic review</w:t>
      </w:r>
    </w:p>
    <w:p w14:paraId="1C572CF4" w14:textId="77777777" w:rsidR="00381465" w:rsidRDefault="00000000">
      <w:pPr>
        <w:spacing w:line="360" w:lineRule="auto"/>
        <w:jc w:val="both"/>
      </w:pPr>
      <w:r>
        <w:rPr>
          <w:rFonts w:ascii="Book Antiqua" w:eastAsia="Book Antiqua" w:hAnsi="Book Antiqua" w:cs="Book Antiqua"/>
          <w:color w:val="000000"/>
        </w:rPr>
        <w:t>The review was conducted with reference to the Preferred Reporting Items for Systematic Reviews and Meta-analyses</w:t>
      </w:r>
      <w:r>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w:t>
      </w:r>
      <w:r>
        <w:rPr>
          <w:rFonts w:ascii="Book Antiqua" w:eastAsia="Times New Roman" w:hAnsi="Book Antiqua"/>
          <w:color w:val="000000" w:themeColor="text1"/>
        </w:rPr>
        <w:t>The PRISMA flowchart demonstrating the study selection process is presented in Figure 1.</w:t>
      </w:r>
      <w:r>
        <w:rPr>
          <w:rFonts w:eastAsia="Times New Roman"/>
        </w:rPr>
        <w:t xml:space="preserve"> </w:t>
      </w:r>
      <w:r>
        <w:rPr>
          <w:rFonts w:ascii="Book Antiqua" w:eastAsia="Book Antiqua" w:hAnsi="Book Antiqua" w:cs="Book Antiqua"/>
          <w:color w:val="000000"/>
        </w:rPr>
        <w:t>A systematic search was conducted on Medline using the following Medical Subject Headings (MeSH) terms: (("Tooth Injuries"[Mesh]) OR ("Mouth Protectors"[Mesh])) AND ((("Bronchoscopy"[Mesh]) OR "Endoscopy, Digestive System"[Mesh])) and EMBASE using the following EMTREE subject headings: ('digestive tract endoscopy'/exp OR 'bronchoscopy'/exp) AND ('tooth injury'/exp OR 'mouth protector'/exp). We additionally searched websites and conference abstracts for unpublished, updated reports on dental trauma in endoscopy and mitigation measures. Only English articles involving human subjects published prior to 1 November 2021 were considered for inclusion. Two independent reviewers (BT, CTQL) performed a systematic search, evaluated the titles and abstracts, and selected relevant studies with any discrepancies resolved by a third independent reviewer (LYWG). 46 articles were retrieved from the initial search strategy with 42 remaining after duplicate removal. A total of four publications involving dental trauma in relation to gastrointestinal and bronchial endoscopy were identified using this methodology (see Table 1). Major adverse events were characterized as cases of tooth fracture, tooth avulsion, tooth subluxation while minor adverse events encompassed all other complications including gum discomfort, masticatory pain, toothache, and cancellations due to dental reasons.</w:t>
      </w:r>
    </w:p>
    <w:p w14:paraId="57644BBB" w14:textId="77777777" w:rsidR="00381465" w:rsidRDefault="00381465">
      <w:pPr>
        <w:spacing w:line="360" w:lineRule="auto"/>
        <w:jc w:val="both"/>
        <w:rPr>
          <w:rFonts w:ascii="Book Antiqua" w:eastAsia="Book Antiqua" w:hAnsi="Book Antiqua" w:cs="Book Antiqua"/>
          <w:b/>
          <w:caps/>
          <w:color w:val="000000"/>
          <w:u w:val="single"/>
        </w:rPr>
      </w:pPr>
    </w:p>
    <w:p w14:paraId="3DBA1C86" w14:textId="77777777" w:rsidR="00381465" w:rsidRDefault="00000000">
      <w:pPr>
        <w:spacing w:line="360" w:lineRule="auto"/>
        <w:jc w:val="both"/>
      </w:pPr>
      <w:r>
        <w:rPr>
          <w:rFonts w:ascii="Book Antiqua" w:eastAsia="Book Antiqua" w:hAnsi="Book Antiqua" w:cs="Book Antiqua"/>
          <w:b/>
          <w:caps/>
          <w:color w:val="000000"/>
          <w:u w:val="single"/>
        </w:rPr>
        <w:lastRenderedPageBreak/>
        <w:t>RESULTS</w:t>
      </w:r>
    </w:p>
    <w:p w14:paraId="27E5277C" w14:textId="77777777" w:rsidR="00381465" w:rsidRDefault="00000000">
      <w:pPr>
        <w:spacing w:line="360" w:lineRule="auto"/>
        <w:jc w:val="both"/>
      </w:pPr>
      <w:r>
        <w:rPr>
          <w:rFonts w:ascii="Book Antiqua" w:eastAsia="Book Antiqua" w:hAnsi="Book Antiqua" w:cs="Book Antiqua"/>
          <w:color w:val="000000"/>
        </w:rPr>
        <w:t>From 1 June 2019 to 31 May 2021 a total of 16961 outpatients registered for endoscopy with 4643 patients undergoing multiple procedures in one setting for a total of 21539 procedures. Of which, 11265 involved upper endoscopies which was defined by any procedure involving insertion of a scope per-orally (see Table 2).</w:t>
      </w:r>
    </w:p>
    <w:p w14:paraId="1D287B9E" w14:textId="77777777" w:rsidR="00381465" w:rsidRDefault="00000000">
      <w:pPr>
        <w:spacing w:line="360" w:lineRule="auto"/>
        <w:ind w:firstLineChars="200" w:firstLine="480"/>
        <w:jc w:val="both"/>
      </w:pPr>
      <w:r>
        <w:rPr>
          <w:rFonts w:ascii="Book Antiqua" w:eastAsia="Book Antiqua" w:hAnsi="Book Antiqua" w:cs="Book Antiqua"/>
          <w:color w:val="000000"/>
        </w:rPr>
        <w:t>There was a total of 32 cancellations over the study period, 30 for Oesophagogastroduodenoscopy/antegrade enteroscopy and 2 for EUS (see Table 3). Of these cases, there were 6 patients requiring tooth extraction and the other 26 required dental specialist review. There was one major adverse event involving dislodgement of a glued incisor tooth chip lost during gastroscopy where judicial proceedings were avoided following prompt dental review and waiver of treatment fees. A photograph of a dislodged tooth extracted by endoscopy can be found below in Figure 2.</w:t>
      </w:r>
    </w:p>
    <w:p w14:paraId="351B1F63" w14:textId="77777777" w:rsidR="00381465" w:rsidRDefault="00381465">
      <w:pPr>
        <w:spacing w:line="360" w:lineRule="auto"/>
        <w:jc w:val="both"/>
      </w:pPr>
    </w:p>
    <w:p w14:paraId="6C8FDB46" w14:textId="77777777" w:rsidR="00381465" w:rsidRDefault="00000000">
      <w:pPr>
        <w:spacing w:line="360" w:lineRule="auto"/>
        <w:jc w:val="both"/>
      </w:pPr>
      <w:r>
        <w:rPr>
          <w:rFonts w:ascii="Book Antiqua" w:eastAsia="Book Antiqua" w:hAnsi="Book Antiqua" w:cs="Book Antiqua"/>
          <w:b/>
          <w:caps/>
          <w:color w:val="000000"/>
          <w:u w:val="single"/>
        </w:rPr>
        <w:t>DISCUSSION</w:t>
      </w:r>
    </w:p>
    <w:p w14:paraId="65DC031D" w14:textId="77777777" w:rsidR="00381465" w:rsidRDefault="00000000">
      <w:pPr>
        <w:spacing w:line="360" w:lineRule="auto"/>
        <w:jc w:val="both"/>
        <w:rPr>
          <w:i/>
          <w:iCs/>
        </w:rPr>
      </w:pPr>
      <w:r>
        <w:rPr>
          <w:rFonts w:ascii="Book Antiqua" w:eastAsia="Book Antiqua" w:hAnsi="Book Antiqua" w:cs="Book Antiqua"/>
          <w:b/>
          <w:bCs/>
          <w:i/>
          <w:iCs/>
          <w:color w:val="000000"/>
        </w:rPr>
        <w:t>Study findings</w:t>
      </w:r>
    </w:p>
    <w:p w14:paraId="447064F3" w14:textId="77777777" w:rsidR="0038146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Our study reported a total of 32 cancellations out of the 11265 upper endoscopy cases, giving an overall of 0.284% or 1 out of 352 patients. 1 to 2 cases had to be cancelled and rearranged per month resulting in substantial logistical burden over time. Of these cancellations, at least 6 may have resulted in tooth avulsion if allowed to proceed. Pooling our findings with results obtained from the systematic review, this identified an overall adverse event rate of 0.33% with major adverse events occurring in 0.03% of upper endoscopies (see Table 4). These figures are comparable to anaesthesia data and suggest need for greater awareness of dental trauma as a complication of upper endoscopy and consequent steps for mitigation and management</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6DD89F5" w14:textId="77777777" w:rsidR="00381465" w:rsidRDefault="00381465">
      <w:pPr>
        <w:spacing w:line="360" w:lineRule="auto"/>
        <w:jc w:val="both"/>
        <w:rPr>
          <w:rFonts w:ascii="Book Antiqua" w:eastAsia="Book Antiqua" w:hAnsi="Book Antiqua" w:cs="Book Antiqua"/>
          <w:b/>
          <w:bCs/>
          <w:color w:val="000000"/>
        </w:rPr>
      </w:pPr>
    </w:p>
    <w:p w14:paraId="1C024104" w14:textId="77777777" w:rsidR="00381465" w:rsidRDefault="00000000">
      <w:pPr>
        <w:spacing w:line="360" w:lineRule="auto"/>
        <w:jc w:val="both"/>
        <w:rPr>
          <w:i/>
          <w:iCs/>
        </w:rPr>
      </w:pPr>
      <w:r>
        <w:rPr>
          <w:rFonts w:ascii="Book Antiqua" w:eastAsia="Book Antiqua" w:hAnsi="Book Antiqua" w:cs="Book Antiqua"/>
          <w:b/>
          <w:bCs/>
          <w:i/>
          <w:iCs/>
          <w:color w:val="000000"/>
        </w:rPr>
        <w:t>Overview of dental injury</w:t>
      </w:r>
    </w:p>
    <w:p w14:paraId="1D84F518" w14:textId="77777777" w:rsidR="00381465" w:rsidRDefault="00000000">
      <w:pPr>
        <w:spacing w:line="360" w:lineRule="auto"/>
        <w:jc w:val="both"/>
      </w:pPr>
      <w:r>
        <w:rPr>
          <w:rFonts w:ascii="Book Antiqua" w:eastAsia="Book Antiqua" w:hAnsi="Book Antiqua" w:cs="Book Antiqua"/>
          <w:color w:val="000000"/>
          <w:shd w:val="clear" w:color="auto" w:fill="FFFFFF"/>
        </w:rPr>
        <w:t>Teeth are subjected to immense loads generated during mastication with forces exerted exceeding 800N during strenuous clenching</w:t>
      </w:r>
      <w:r>
        <w:rPr>
          <w:rFonts w:ascii="Book Antiqua" w:eastAsia="Book Antiqua" w:hAnsi="Book Antiqua" w:cs="Book Antiqua"/>
          <w:color w:val="000000"/>
          <w:vertAlign w:val="superscript"/>
        </w:rPr>
        <w:t>[13]</w:t>
      </w:r>
      <w:r>
        <w:rPr>
          <w:rFonts w:ascii="Book Antiqua" w:eastAsia="Book Antiqua" w:hAnsi="Book Antiqua" w:cs="Book Antiqua"/>
          <w:color w:val="000000"/>
          <w:shd w:val="clear" w:color="auto" w:fill="FFFFFF"/>
        </w:rPr>
        <w:t xml:space="preserve">. Dental damage may occur during instrumentation, insertion of bite-block, due to inadequate pressure distribution or </w:t>
      </w:r>
      <w:r>
        <w:rPr>
          <w:rFonts w:ascii="Book Antiqua" w:eastAsia="Book Antiqua" w:hAnsi="Book Antiqua" w:cs="Book Antiqua"/>
          <w:color w:val="000000"/>
          <w:shd w:val="clear" w:color="auto" w:fill="FFFFFF"/>
        </w:rPr>
        <w:lastRenderedPageBreak/>
        <w:t>slippage of the bite-block during upper endoscopy</w:t>
      </w:r>
      <w:r>
        <w:rPr>
          <w:rFonts w:ascii="Book Antiqua" w:eastAsia="Book Antiqua" w:hAnsi="Book Antiqua" w:cs="Book Antiqua"/>
          <w:color w:val="000000"/>
          <w:vertAlign w:val="superscript"/>
        </w:rPr>
        <w:t>[8</w:t>
      </w:r>
      <w:r>
        <w:rPr>
          <w:rFonts w:ascii="Book Antiqua" w:eastAsia="宋体" w:hAnsi="Book Antiqua" w:cs="宋体"/>
          <w:color w:val="000000"/>
          <w:vertAlign w:val="superscript"/>
          <w:lang w:eastAsia="zh-CN"/>
        </w:rPr>
        <w:t>,14</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There has been a report of dental implant dislodgement from reflexive jaw clenching upon retroflexion during colonoscopy</w:t>
      </w:r>
      <w:r>
        <w:rPr>
          <w:rFonts w:ascii="Book Antiqua" w:eastAsia="Book Antiqua" w:hAnsi="Book Antiqua" w:cs="Book Antiqua"/>
          <w:color w:val="000000"/>
          <w:vertAlign w:val="superscript"/>
        </w:rPr>
        <w:t>[15]</w:t>
      </w:r>
      <w:r>
        <w:rPr>
          <w:rFonts w:ascii="Book Antiqua" w:eastAsia="Book Antiqua" w:hAnsi="Book Antiqua" w:cs="Book Antiqua"/>
          <w:color w:val="000000"/>
          <w:shd w:val="clear" w:color="auto" w:fill="FFFFFF"/>
        </w:rPr>
        <w:t xml:space="preserve">. Dental injury may further be contributed by involuntary grinding of teeth during sedation which </w:t>
      </w:r>
      <w:r>
        <w:rPr>
          <w:rFonts w:ascii="Book Antiqua" w:eastAsia="Book Antiqua" w:hAnsi="Book Antiqua" w:cs="Book Antiqua"/>
          <w:color w:val="000000"/>
        </w:rPr>
        <w:t>exert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significant pressures. </w:t>
      </w:r>
      <w:r>
        <w:rPr>
          <w:rFonts w:ascii="Book Antiqua" w:eastAsia="Book Antiqua" w:hAnsi="Book Antiqua" w:cs="Book Antiqua"/>
          <w:color w:val="000000"/>
          <w:shd w:val="clear" w:color="auto" w:fill="FFFFFF"/>
        </w:rPr>
        <w:t>These factors may chip, break or avulse a tooth as well as damage brittle prosthetic devices.</w:t>
      </w:r>
    </w:p>
    <w:p w14:paraId="10BB6DDE" w14:textId="77777777" w:rsidR="00381465" w:rsidRDefault="00000000">
      <w:pPr>
        <w:spacing w:line="360" w:lineRule="auto"/>
        <w:ind w:firstLineChars="200" w:firstLine="480"/>
        <w:jc w:val="both"/>
      </w:pPr>
      <w:r>
        <w:rPr>
          <w:rFonts w:ascii="Book Antiqua" w:eastAsia="Book Antiqua" w:hAnsi="Book Antiqua" w:cs="Book Antiqua"/>
          <w:color w:val="000000"/>
        </w:rPr>
        <w:t>To our knowledge, there have been no studies identifying teeth most likely to be injured during endoscopy. Extrapolating from anaesthesia procedures which similarly require instrumentation within the oral cavity, the incisors are the most commonly injured representing 50% of cases</w:t>
      </w:r>
      <w:r>
        <w:rPr>
          <w:rFonts w:ascii="Book Antiqua" w:eastAsia="Book Antiqua" w:hAnsi="Book Antiqua" w:cs="Book Antiqua"/>
          <w:color w:val="000000"/>
          <w:vertAlign w:val="superscript"/>
        </w:rPr>
        <w:t>[16]</w:t>
      </w:r>
      <w:r>
        <w:rPr>
          <w:rFonts w:ascii="Book Antiqua" w:eastAsia="Book Antiqua" w:hAnsi="Book Antiqua" w:cs="Book Antiqua"/>
          <w:color w:val="000000"/>
        </w:rPr>
        <w:t>. They are particularly prone to fracture due to their anatomical position as well as being small-rooted and having a narrow cross-sectional area with a slight anterior axis. The most commonly reported dental injuries included enamel fractures, loosened or subluxated teeth, tooth avulsion and crown or root fractures</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01729074" w14:textId="77777777" w:rsidR="00381465" w:rsidRDefault="00000000">
      <w:pPr>
        <w:spacing w:line="360" w:lineRule="auto"/>
        <w:ind w:firstLineChars="200" w:firstLine="480"/>
        <w:jc w:val="both"/>
      </w:pPr>
      <w:r>
        <w:rPr>
          <w:rFonts w:ascii="Book Antiqua" w:eastAsia="Book Antiqua" w:hAnsi="Book Antiqua" w:cs="Book Antiqua"/>
          <w:color w:val="000000"/>
        </w:rPr>
        <w:t>The most significant risk factor for dental injury is pre-existing pathology such as caries, periodontitis and tooth restorations, the presence of which conveys a 3 to 12-fold increased risk</w:t>
      </w:r>
      <w:r>
        <w:rPr>
          <w:rFonts w:ascii="Book Antiqua" w:eastAsia="Book Antiqua" w:hAnsi="Book Antiqua" w:cs="Book Antiqua"/>
          <w:color w:val="000000"/>
          <w:vertAlign w:val="superscript"/>
        </w:rPr>
        <w:t>[4</w:t>
      </w:r>
      <w:r>
        <w:rPr>
          <w:rFonts w:ascii="Book Antiqua" w:eastAsia="宋体" w:hAnsi="Book Antiqua" w:cs="宋体"/>
          <w:color w:val="000000"/>
          <w:vertAlign w:val="superscript"/>
          <w:lang w:eastAsia="zh-CN"/>
        </w:rPr>
        <w:t>,17,18</w:t>
      </w:r>
      <w:r>
        <w:rPr>
          <w:rFonts w:ascii="Book Antiqua" w:eastAsia="Book Antiqua" w:hAnsi="Book Antiqua" w:cs="Book Antiqua"/>
          <w:color w:val="000000"/>
          <w:vertAlign w:val="superscript"/>
        </w:rPr>
        <w:t>]</w:t>
      </w:r>
      <w:r>
        <w:rPr>
          <w:rFonts w:ascii="Book Antiqua" w:eastAsia="Book Antiqua" w:hAnsi="Book Antiqua" w:cs="Book Antiqua"/>
          <w:color w:val="000000"/>
        </w:rPr>
        <w:t>. Injury is most common</w:t>
      </w:r>
      <w:r>
        <w:rPr>
          <w:rFonts w:ascii="Book Antiqua" w:eastAsia="Book Antiqua" w:hAnsi="Book Antiqua" w:cs="Book Antiqua"/>
          <w:color w:val="000000"/>
          <w:shd w:val="clear" w:color="auto" w:fill="FFFFFF"/>
        </w:rPr>
        <w:t xml:space="preserve"> in patients aged between 50 and 70 years who are more likely to have teeth weakened by periodontal disease while remaining dentulous</w:t>
      </w:r>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 Presence of restorative treatments raises the potential of damaged prosthesis and underlying periodontal disease. Removal of tooth matter during the process of restoration unavoidably weakens tooth structure and renders restored teeth prone to injury</w:t>
      </w:r>
      <w:r>
        <w:rPr>
          <w:rFonts w:ascii="Book Antiqua" w:eastAsia="Book Antiqua" w:hAnsi="Book Antiqua" w:cs="Book Antiqua"/>
          <w:color w:val="000000"/>
          <w:vertAlign w:val="superscript"/>
        </w:rPr>
        <w:t>[19-21]</w:t>
      </w:r>
      <w:r>
        <w:rPr>
          <w:rFonts w:ascii="Book Antiqua" w:eastAsia="Book Antiqua" w:hAnsi="Book Antiqua" w:cs="Book Antiqua"/>
          <w:color w:val="000000"/>
          <w:shd w:val="clear" w:color="auto" w:fill="FFFFFF"/>
        </w:rPr>
        <w:t>. A non-exhaustive list of restorative and reconstructive dental treatments is included below in Table 5.</w:t>
      </w:r>
    </w:p>
    <w:p w14:paraId="231C6B76" w14:textId="77777777" w:rsidR="00381465" w:rsidRDefault="00381465">
      <w:pPr>
        <w:spacing w:line="360" w:lineRule="auto"/>
        <w:jc w:val="both"/>
        <w:rPr>
          <w:rFonts w:ascii="Book Antiqua" w:eastAsia="Book Antiqua" w:hAnsi="Book Antiqua" w:cs="Book Antiqua"/>
          <w:b/>
          <w:bCs/>
          <w:color w:val="000000"/>
        </w:rPr>
      </w:pPr>
    </w:p>
    <w:p w14:paraId="145365FD" w14:textId="77777777" w:rsidR="00381465" w:rsidRDefault="00000000">
      <w:pPr>
        <w:spacing w:line="360" w:lineRule="auto"/>
        <w:jc w:val="both"/>
        <w:rPr>
          <w:i/>
          <w:iCs/>
        </w:rPr>
      </w:pPr>
      <w:r>
        <w:rPr>
          <w:rFonts w:ascii="Book Antiqua" w:eastAsia="Book Antiqua" w:hAnsi="Book Antiqua" w:cs="Book Antiqua"/>
          <w:b/>
          <w:bCs/>
          <w:i/>
          <w:iCs/>
          <w:color w:val="000000"/>
        </w:rPr>
        <w:t>Pre-procedural evaluation</w:t>
      </w:r>
    </w:p>
    <w:p w14:paraId="5E7C4AE6" w14:textId="77777777" w:rsidR="00381465" w:rsidRDefault="00000000">
      <w:pPr>
        <w:spacing w:line="360" w:lineRule="auto"/>
        <w:jc w:val="both"/>
      </w:pPr>
      <w:r>
        <w:rPr>
          <w:rFonts w:ascii="Book Antiqua" w:eastAsia="Book Antiqua" w:hAnsi="Book Antiqua" w:cs="Book Antiqua"/>
          <w:color w:val="000000"/>
          <w:shd w:val="clear" w:color="auto" w:fill="FFFFFF"/>
        </w:rPr>
        <w:t xml:space="preserve">Preventing dental trauma begins with recognizing risk factors. </w:t>
      </w:r>
      <w:r>
        <w:rPr>
          <w:rFonts w:ascii="Book Antiqua" w:eastAsia="Book Antiqua" w:hAnsi="Book Antiqua" w:cs="Book Antiqua"/>
          <w:color w:val="000000"/>
        </w:rPr>
        <w:t>Patients with identified concerns should be advised for dental optimization prior to endoscopy which can minimize procedural trauma by restoring caries, replacing damaged restorations, and splinting or extraction of loose teeth</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History and examination are paramount in this regard, and should be routinely included prior to all upper endoscopies</w:t>
      </w:r>
      <w:r>
        <w:rPr>
          <w:rFonts w:ascii="Book Antiqua" w:eastAsia="Book Antiqua" w:hAnsi="Book Antiqua" w:cs="Book Antiqua"/>
          <w:color w:val="000000"/>
          <w:vertAlign w:val="superscript"/>
        </w:rPr>
        <w:t>[16,23]</w:t>
      </w:r>
      <w:r>
        <w:rPr>
          <w:rFonts w:ascii="Book Antiqua" w:eastAsia="Book Antiqua" w:hAnsi="Book Antiqua" w:cs="Book Antiqua"/>
          <w:color w:val="000000"/>
          <w:shd w:val="clear" w:color="auto" w:fill="FFFFFF"/>
        </w:rPr>
        <w:t xml:space="preserve">. Assessment </w:t>
      </w:r>
      <w:r>
        <w:rPr>
          <w:rFonts w:ascii="Book Antiqua" w:eastAsia="Book Antiqua" w:hAnsi="Book Antiqua" w:cs="Book Antiqua"/>
          <w:color w:val="000000"/>
          <w:shd w:val="clear" w:color="auto" w:fill="FFFFFF"/>
        </w:rPr>
        <w:lastRenderedPageBreak/>
        <w:t xml:space="preserve">should include asking patients about loose or damaged teeth and history of past restorative dental treatments. </w:t>
      </w:r>
      <w:r>
        <w:rPr>
          <w:rFonts w:ascii="Book Antiqua" w:eastAsia="Book Antiqua" w:hAnsi="Book Antiqua" w:cs="Book Antiqua"/>
          <w:color w:val="000000"/>
        </w:rPr>
        <w:t>Examination of dentition involves inspection for diseased dentition and palpation for loose teeth. Tooth mobility may be evaluated clinically by applying firm pressure with a gloved finger and is reliably graded according to the Millers Index (see Table 6)</w:t>
      </w:r>
      <w:r>
        <w:rPr>
          <w:rFonts w:ascii="Book Antiqua" w:eastAsia="Book Antiqua" w:hAnsi="Book Antiqua" w:cs="Book Antiqua"/>
          <w:color w:val="000000"/>
          <w:vertAlign w:val="superscript"/>
        </w:rPr>
        <w:t>[24]</w:t>
      </w:r>
      <w:r>
        <w:rPr>
          <w:rFonts w:ascii="Book Antiqua" w:eastAsia="Book Antiqua" w:hAnsi="Book Antiqua" w:cs="Book Antiqua"/>
          <w:color w:val="000000"/>
        </w:rPr>
        <w:t>. A Miller’s grade of two and above suggests need for tooth extraction and warrants dental consultation</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15253A6" w14:textId="77777777" w:rsidR="00381465" w:rsidRDefault="00000000">
      <w:pPr>
        <w:spacing w:line="360" w:lineRule="auto"/>
        <w:ind w:firstLineChars="200" w:firstLine="480"/>
        <w:jc w:val="both"/>
      </w:pPr>
      <w:r>
        <w:rPr>
          <w:rFonts w:ascii="Book Antiqua" w:eastAsia="Book Antiqua" w:hAnsi="Book Antiqua" w:cs="Book Antiqua"/>
          <w:color w:val="000000"/>
          <w:shd w:val="clear" w:color="auto" w:fill="FFFFFF"/>
        </w:rPr>
        <w:t>Documentation of findings improves pre-procedural provision of information to patients and may reduce liability in the event of injury. Notation systems such as the Palmer and World Health Organization ISO system</w:t>
      </w:r>
      <w:r>
        <w:rPr>
          <w:rFonts w:ascii="Book Antiqua" w:eastAsia="Book Antiqua" w:hAnsi="Book Antiqua" w:cs="Book Antiqua"/>
          <w:color w:val="000000"/>
          <w:vertAlign w:val="superscript"/>
        </w:rPr>
        <w:t>[26,27]</w:t>
      </w:r>
      <w:r>
        <w:rPr>
          <w:rFonts w:ascii="Book Antiqua" w:eastAsia="Book Antiqua" w:hAnsi="Book Antiqua" w:cs="Book Antiqua"/>
          <w:color w:val="000000"/>
          <w:shd w:val="clear" w:color="auto" w:fill="FFFFFF"/>
        </w:rPr>
        <w:t xml:space="preserve"> may increase precision in documentation but may require more time and training for completion. Photo documentation is increasingly valuable for records of preprocedural tooth condition and may be considered with appropriate consent.</w:t>
      </w:r>
    </w:p>
    <w:p w14:paraId="2E5FF3A7" w14:textId="77777777" w:rsidR="00381465" w:rsidRDefault="00000000">
      <w:pPr>
        <w:spacing w:line="360" w:lineRule="auto"/>
        <w:ind w:firstLineChars="200" w:firstLine="480"/>
        <w:jc w:val="both"/>
      </w:pPr>
      <w:r>
        <w:rPr>
          <w:rFonts w:ascii="Book Antiqua" w:eastAsia="Book Antiqua" w:hAnsi="Book Antiqua" w:cs="Book Antiqua"/>
          <w:color w:val="000000"/>
          <w:shd w:val="clear" w:color="auto" w:fill="FFFFFF"/>
        </w:rPr>
        <w:t>We propose the following framework for pre-endoscopy screening involving two questions followed by a physical examination. A screening form (Figures 3 and 4) may be conducted within five minutes and does not require specialist training.</w:t>
      </w:r>
    </w:p>
    <w:p w14:paraId="32131A2C" w14:textId="77777777" w:rsidR="00381465" w:rsidRDefault="00381465">
      <w:pPr>
        <w:spacing w:line="360" w:lineRule="auto"/>
        <w:jc w:val="both"/>
      </w:pPr>
    </w:p>
    <w:p w14:paraId="21DFCEEC" w14:textId="77777777" w:rsidR="00381465" w:rsidRDefault="00000000">
      <w:pPr>
        <w:spacing w:line="360" w:lineRule="auto"/>
        <w:jc w:val="both"/>
        <w:rPr>
          <w:i/>
          <w:iCs/>
        </w:rPr>
      </w:pPr>
      <w:r>
        <w:rPr>
          <w:rFonts w:ascii="Book Antiqua" w:eastAsia="Book Antiqua" w:hAnsi="Book Antiqua" w:cs="Book Antiqua"/>
          <w:b/>
          <w:bCs/>
          <w:i/>
          <w:iCs/>
          <w:color w:val="000000"/>
        </w:rPr>
        <w:t>Management of dental injury</w:t>
      </w:r>
    </w:p>
    <w:p w14:paraId="2211EB69" w14:textId="77777777" w:rsidR="00381465" w:rsidRDefault="00000000">
      <w:pPr>
        <w:spacing w:line="360" w:lineRule="auto"/>
        <w:jc w:val="both"/>
      </w:pPr>
      <w:r>
        <w:rPr>
          <w:rFonts w:ascii="Book Antiqua" w:eastAsia="Book Antiqua" w:hAnsi="Book Antiqua" w:cs="Book Antiqua"/>
          <w:color w:val="000000"/>
        </w:rPr>
        <w:t>Dental injuries often require time-sensitive management to minimize irreversible dentition loss. In all cases, the nature of the injury and the circumstances in which it occurred must be clearly documented in the patient record and full disclosure should be provided to the patient</w:t>
      </w:r>
      <w:r>
        <w:rPr>
          <w:rFonts w:ascii="Book Antiqua" w:eastAsia="Book Antiqua" w:hAnsi="Book Antiqua" w:cs="Book Antiqua"/>
          <w:color w:val="000000"/>
          <w:vertAlign w:val="superscript"/>
        </w:rPr>
        <w:t>[28,29]</w:t>
      </w:r>
      <w:r>
        <w:rPr>
          <w:rFonts w:ascii="Book Antiqua" w:eastAsia="Book Antiqua" w:hAnsi="Book Antiqua" w:cs="Book Antiqua"/>
          <w:color w:val="000000"/>
        </w:rPr>
        <w:t>.</w:t>
      </w:r>
    </w:p>
    <w:p w14:paraId="2480CD0C" w14:textId="77777777" w:rsidR="00381465" w:rsidRDefault="00000000">
      <w:pPr>
        <w:spacing w:line="360" w:lineRule="auto"/>
        <w:ind w:firstLineChars="200" w:firstLine="480"/>
        <w:jc w:val="both"/>
      </w:pPr>
      <w:r>
        <w:rPr>
          <w:rFonts w:ascii="Book Antiqua" w:eastAsia="Book Antiqua" w:hAnsi="Book Antiqua" w:cs="Book Antiqua"/>
          <w:color w:val="000000"/>
        </w:rPr>
        <w:t>When dental trauma is suspected, the first step would be review of preprocedural dental records to ensure the injury was not present to begin with</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Once iatrogenic trauma is confirmed, it is essential to localize avulsed and broken teeth, or prostheses to minimise risk of aspiration and obstruction of airway. Retrieval of avulsed teeth, prostheses, or teeth fragments using Magill’s forceps may be attempted. If these measures are not successful, imaging in the form of cervical and thoracic radiography should be performed to identify aspiration into the lungs or oesophagus. Not all dental prostheses are radiopaque, and thus are difficult to visualize on a chest radiograph and may require </w:t>
      </w:r>
      <w:r>
        <w:rPr>
          <w:rFonts w:ascii="Book Antiqua" w:eastAsia="Book Antiqua" w:hAnsi="Book Antiqua" w:cs="Book Antiqua"/>
          <w:color w:val="000000"/>
        </w:rPr>
        <w:lastRenderedPageBreak/>
        <w:t>direct visualisation in the form of urgent bronchoscopy or OGD</w:t>
      </w:r>
      <w:r>
        <w:rPr>
          <w:rFonts w:ascii="Book Antiqua" w:eastAsia="Book Antiqua" w:hAnsi="Book Antiqua" w:cs="Book Antiqua"/>
          <w:color w:val="000000"/>
          <w:vertAlign w:val="superscript"/>
        </w:rPr>
        <w:t>[18]</w:t>
      </w:r>
      <w:r>
        <w:rPr>
          <w:rFonts w:ascii="Book Antiqua" w:eastAsia="Book Antiqua" w:hAnsi="Book Antiqua" w:cs="Book Antiqua"/>
          <w:color w:val="000000"/>
        </w:rPr>
        <w:t>. Early consultation with thoracic surgical services is suggested in this event.</w:t>
      </w:r>
      <w:r>
        <w:rPr>
          <w:rFonts w:ascii="Book Antiqua" w:eastAsia="Book Antiqua" w:hAnsi="Book Antiqua" w:cs="Book Antiqua"/>
          <w:color w:val="000000" w:themeColor="text1"/>
        </w:rPr>
        <w:t xml:space="preserve"> A stepwise workflow to manage dental injury has been illustrated in Figure 5. </w:t>
      </w:r>
    </w:p>
    <w:p w14:paraId="7C471E25" w14:textId="77777777" w:rsidR="00381465" w:rsidRDefault="00000000">
      <w:pPr>
        <w:spacing w:line="360" w:lineRule="auto"/>
        <w:ind w:firstLineChars="200" w:firstLine="480"/>
        <w:jc w:val="both"/>
      </w:pPr>
      <w:r>
        <w:rPr>
          <w:rFonts w:ascii="Book Antiqua" w:eastAsia="Book Antiqua" w:hAnsi="Book Antiqua" w:cs="Book Antiqua"/>
          <w:color w:val="000000"/>
        </w:rPr>
        <w:t>In most situations, replantation by pushing the tooth into its socket followed by firm pressure for several minutes is the immediate treatment of choice. This may not be appropriate in immunocompromised patients or those with severe periodontal disease due to the risk of bacterial seeding. If replantation is not possible, recovered teeth and teeth fragments should be placed in a suitable storage medium such as cold saline or milk and urgent dental review within 30 minutes should be arranged</w:t>
      </w:r>
      <w:r>
        <w:rPr>
          <w:rFonts w:ascii="Book Antiqua" w:eastAsia="Book Antiqua" w:hAnsi="Book Antiqua" w:cs="Book Antiqua"/>
          <w:color w:val="000000"/>
          <w:vertAlign w:val="superscript"/>
        </w:rPr>
        <w:t>[18</w:t>
      </w:r>
      <w:r>
        <w:rPr>
          <w:rFonts w:ascii="Book Antiqua" w:eastAsia="宋体" w:hAnsi="Book Antiqua" w:cs="宋体"/>
          <w:color w:val="000000"/>
          <w:vertAlign w:val="superscript"/>
          <w:lang w:eastAsia="zh-CN"/>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5C7B02" w14:textId="77777777" w:rsidR="00381465" w:rsidRDefault="00381465">
      <w:pPr>
        <w:spacing w:line="360" w:lineRule="auto"/>
        <w:jc w:val="both"/>
      </w:pPr>
    </w:p>
    <w:p w14:paraId="29E7E873" w14:textId="77777777" w:rsidR="00381465" w:rsidRDefault="00000000">
      <w:pPr>
        <w:spacing w:line="360" w:lineRule="auto"/>
        <w:jc w:val="both"/>
        <w:rPr>
          <w:i/>
          <w:iCs/>
        </w:rPr>
      </w:pPr>
      <w:r>
        <w:rPr>
          <w:rFonts w:ascii="Book Antiqua" w:eastAsia="Book Antiqua" w:hAnsi="Book Antiqua" w:cs="Book Antiqua"/>
          <w:b/>
          <w:bCs/>
          <w:i/>
          <w:iCs/>
          <w:color w:val="000000"/>
        </w:rPr>
        <w:t>Measures to minimize dental injury</w:t>
      </w:r>
    </w:p>
    <w:p w14:paraId="40CD4CC2" w14:textId="77777777" w:rsidR="00381465" w:rsidRDefault="00000000">
      <w:pPr>
        <w:spacing w:line="360" w:lineRule="auto"/>
        <w:jc w:val="both"/>
      </w:pPr>
      <w:r>
        <w:rPr>
          <w:rFonts w:ascii="Book Antiqua" w:eastAsia="Book Antiqua" w:hAnsi="Book Antiqua" w:cs="Book Antiqua"/>
          <w:color w:val="000000"/>
        </w:rPr>
        <w:t>Use of tooth protectors and mouth guards have been proposed to minimize dental injuries</w:t>
      </w:r>
      <w:r>
        <w:rPr>
          <w:rFonts w:ascii="Book Antiqua" w:eastAsia="Book Antiqua" w:hAnsi="Book Antiqua" w:cs="Book Antiqua"/>
          <w:color w:val="000000"/>
          <w:vertAlign w:val="superscript"/>
        </w:rPr>
        <w:t>[15,30-32]</w:t>
      </w:r>
      <w:r>
        <w:rPr>
          <w:rFonts w:ascii="Book Antiqua" w:eastAsia="Book Antiqua" w:hAnsi="Book Antiqua" w:cs="Book Antiqua"/>
          <w:color w:val="000000"/>
        </w:rPr>
        <w:t>. These function by dispersing force applied among the teeth to minimize overloading a damaged tooth. Teeth protectors also serve to stabilise loose teeth and secure avulsed or broken dental fragments during trauma, thus minimising aspiration and facilitating retrieval. However, such guards often limit the amount of space for insertion of bite-blocks and instrumentation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One randomized controlled trial suggested that a novel teeth-protecting mouth piece showed advantage over traditional devices in preventing endoscopy related complications of the teeth and temporomandibular joint, though this is not widely available</w:t>
      </w:r>
      <w:r>
        <w:rPr>
          <w:rFonts w:ascii="Book Antiqua" w:eastAsia="Book Antiqua" w:hAnsi="Book Antiqua" w:cs="Book Antiqua"/>
          <w:color w:val="000000"/>
          <w:vertAlign w:val="superscript"/>
        </w:rPr>
        <w:t>[10]</w:t>
      </w:r>
      <w:r>
        <w:rPr>
          <w:rFonts w:ascii="Book Antiqua" w:eastAsia="Book Antiqua" w:hAnsi="Book Antiqua" w:cs="Book Antiqua"/>
          <w:color w:val="000000"/>
        </w:rPr>
        <w:t>. More prospective well-designed trials supporting routine usage of dental protective devices are required prior to utilization.</w:t>
      </w:r>
    </w:p>
    <w:p w14:paraId="1F06852C" w14:textId="77777777" w:rsidR="00381465" w:rsidRDefault="00000000">
      <w:pPr>
        <w:spacing w:line="360" w:lineRule="auto"/>
        <w:ind w:firstLineChars="200" w:firstLine="480"/>
        <w:jc w:val="both"/>
      </w:pPr>
      <w:r>
        <w:rPr>
          <w:rFonts w:ascii="Book Antiqua" w:eastAsia="Book Antiqua" w:hAnsi="Book Antiqua" w:cs="Book Antiqua"/>
          <w:color w:val="000000"/>
        </w:rPr>
        <w:t>In the event emergent endoscopy is required before dental consultation may be obtained, temporizing measures such as splinting loose teeth to adjacent healthy dentition or securing them</w:t>
      </w:r>
      <w:r>
        <w:rPr>
          <w:rFonts w:ascii="Book Antiqua" w:eastAsia="Book Antiqua" w:hAnsi="Book Antiqua" w:cs="Book Antiqua"/>
          <w:i/>
          <w:iCs/>
          <w:color w:val="000000"/>
        </w:rPr>
        <w:t xml:space="preserve"> </w:t>
      </w:r>
      <w:r>
        <w:rPr>
          <w:rFonts w:ascii="Book Antiqua" w:eastAsia="Book Antiqua" w:hAnsi="Book Antiqua" w:cs="Book Antiqua"/>
          <w:color w:val="000000"/>
        </w:rPr>
        <w:t>via a chord affixed outside the oral cavity may be considered. All these measures should be accompanied by informed consent.</w:t>
      </w:r>
    </w:p>
    <w:p w14:paraId="582FA287" w14:textId="77777777" w:rsidR="00381465" w:rsidRDefault="00381465">
      <w:pPr>
        <w:spacing w:line="360" w:lineRule="auto"/>
        <w:jc w:val="both"/>
      </w:pPr>
    </w:p>
    <w:p w14:paraId="367B0211" w14:textId="77777777" w:rsidR="00381465" w:rsidRDefault="00000000">
      <w:pPr>
        <w:spacing w:line="360" w:lineRule="auto"/>
        <w:jc w:val="both"/>
        <w:rPr>
          <w:u w:val="single"/>
        </w:rPr>
      </w:pPr>
      <w:r>
        <w:rPr>
          <w:rFonts w:ascii="Book Antiqua" w:eastAsia="Book Antiqua" w:hAnsi="Book Antiqua" w:cs="Book Antiqua"/>
          <w:b/>
          <w:bCs/>
          <w:color w:val="000000"/>
          <w:u w:val="single"/>
        </w:rPr>
        <w:t>LIMITATIONS</w:t>
      </w:r>
    </w:p>
    <w:p w14:paraId="280B04AB" w14:textId="77777777" w:rsidR="00381465" w:rsidRDefault="00000000">
      <w:pPr>
        <w:spacing w:line="360" w:lineRule="auto"/>
        <w:jc w:val="both"/>
      </w:pPr>
      <w:r>
        <w:rPr>
          <w:rFonts w:ascii="Book Antiqua" w:eastAsia="Book Antiqua" w:hAnsi="Book Antiqua" w:cs="Book Antiqua"/>
          <w:color w:val="000000"/>
        </w:rPr>
        <w:lastRenderedPageBreak/>
        <w:t xml:space="preserve">Nevertheless, several limitations need to be considered in the interpretation of our findings. Firstly, this was a retrospective audit with heterogeneity across study subjects, in terms of examination methods and baseline dental health of each patient. Secondly, there was limited availability of data with regards to pre-existing trismus which may potentially be a risk factor for dental trauma. Lastly, the adverse event rate was small, with only one instance of dental injury, suggesting need for further studies with larger sample size. </w:t>
      </w:r>
    </w:p>
    <w:p w14:paraId="49BEDA54" w14:textId="77777777" w:rsidR="00381465" w:rsidRDefault="00381465">
      <w:pPr>
        <w:spacing w:line="360" w:lineRule="auto"/>
        <w:jc w:val="both"/>
      </w:pPr>
    </w:p>
    <w:p w14:paraId="39CAA9EC" w14:textId="77777777" w:rsidR="00381465" w:rsidRDefault="00000000">
      <w:pPr>
        <w:spacing w:line="360" w:lineRule="auto"/>
        <w:jc w:val="both"/>
      </w:pPr>
      <w:r>
        <w:rPr>
          <w:rFonts w:ascii="Book Antiqua" w:eastAsia="Book Antiqua" w:hAnsi="Book Antiqua" w:cs="Book Antiqua"/>
          <w:b/>
          <w:caps/>
          <w:color w:val="000000"/>
          <w:u w:val="single"/>
        </w:rPr>
        <w:t>CONCLUSION</w:t>
      </w:r>
    </w:p>
    <w:p w14:paraId="2EE5A1AB" w14:textId="77777777" w:rsidR="00381465" w:rsidRDefault="00000000">
      <w:pPr>
        <w:spacing w:line="360" w:lineRule="auto"/>
        <w:jc w:val="both"/>
      </w:pPr>
      <w:r>
        <w:rPr>
          <w:rFonts w:ascii="Book Antiqua" w:eastAsia="Book Antiqua" w:hAnsi="Book Antiqua" w:cs="Book Antiqua"/>
          <w:color w:val="000000"/>
        </w:rPr>
        <w:t>Dental injury during endoscopy is an underreported complication with potential for significant litigious consequences. It is a preventable complication with adequate foreknowledge and precautionary measures. Prompt recognition and treatment in the event of trauma can potentially minimize irreversible loss of dentition.</w:t>
      </w:r>
    </w:p>
    <w:p w14:paraId="3A77FC48" w14:textId="77777777" w:rsidR="00381465" w:rsidRDefault="00381465">
      <w:pPr>
        <w:spacing w:line="360" w:lineRule="auto"/>
        <w:jc w:val="both"/>
      </w:pPr>
    </w:p>
    <w:p w14:paraId="281623DC" w14:textId="77777777" w:rsidR="00381465" w:rsidRDefault="00000000">
      <w:pPr>
        <w:spacing w:line="360" w:lineRule="auto"/>
        <w:jc w:val="both"/>
      </w:pPr>
      <w:r>
        <w:rPr>
          <w:rFonts w:ascii="Book Antiqua" w:eastAsia="Book Antiqua" w:hAnsi="Book Antiqua" w:cs="Book Antiqua"/>
          <w:b/>
          <w:caps/>
          <w:color w:val="000000"/>
          <w:u w:val="single"/>
        </w:rPr>
        <w:t>ARTICLE HIGHLIGHTS</w:t>
      </w:r>
    </w:p>
    <w:p w14:paraId="746A7042" w14:textId="77777777" w:rsidR="00381465" w:rsidRDefault="00000000">
      <w:pPr>
        <w:spacing w:line="360" w:lineRule="auto"/>
        <w:jc w:val="both"/>
      </w:pPr>
      <w:r>
        <w:rPr>
          <w:rFonts w:ascii="Book Antiqua" w:eastAsia="Book Antiqua" w:hAnsi="Book Antiqua" w:cs="Book Antiqua"/>
          <w:b/>
          <w:i/>
          <w:color w:val="000000"/>
        </w:rPr>
        <w:t>Research background</w:t>
      </w:r>
    </w:p>
    <w:p w14:paraId="32617CCD" w14:textId="77777777" w:rsidR="00381465" w:rsidRDefault="00000000">
      <w:pPr>
        <w:spacing w:line="360" w:lineRule="auto"/>
        <w:jc w:val="both"/>
      </w:pPr>
      <w:r>
        <w:rPr>
          <w:rFonts w:ascii="Book Antiqua" w:eastAsia="Book Antiqua" w:hAnsi="Book Antiqua" w:cs="Book Antiqua"/>
          <w:color w:val="000000"/>
        </w:rPr>
        <w:t>We present findings from an audit of outpatient endoscopy procedures conducted at a tertiary university hospital and a systematic review of literature.</w:t>
      </w:r>
    </w:p>
    <w:p w14:paraId="60FDA2CE" w14:textId="77777777" w:rsidR="00381465" w:rsidRDefault="00381465">
      <w:pPr>
        <w:spacing w:line="360" w:lineRule="auto"/>
        <w:jc w:val="both"/>
      </w:pPr>
    </w:p>
    <w:p w14:paraId="7D5BACF9" w14:textId="77777777" w:rsidR="00381465" w:rsidRDefault="00000000">
      <w:pPr>
        <w:spacing w:line="360" w:lineRule="auto"/>
        <w:jc w:val="both"/>
      </w:pPr>
      <w:r>
        <w:rPr>
          <w:rFonts w:ascii="Book Antiqua" w:eastAsia="Book Antiqua" w:hAnsi="Book Antiqua" w:cs="Book Antiqua"/>
          <w:b/>
          <w:i/>
          <w:color w:val="000000"/>
        </w:rPr>
        <w:t>Research motivation</w:t>
      </w:r>
    </w:p>
    <w:p w14:paraId="4107BB20" w14:textId="77777777" w:rsidR="00381465" w:rsidRDefault="00000000">
      <w:pPr>
        <w:spacing w:line="360" w:lineRule="auto"/>
        <w:jc w:val="both"/>
      </w:pPr>
      <w:r>
        <w:rPr>
          <w:rFonts w:ascii="Book Antiqua" w:eastAsia="Book Antiqua" w:hAnsi="Book Antiqua" w:cs="Book Antiqua"/>
          <w:color w:val="000000"/>
        </w:rPr>
        <w:t>Dental injury is the</w:t>
      </w:r>
      <w:r>
        <w:rPr>
          <w:rFonts w:ascii="Book Antiqua" w:eastAsia="Book Antiqua" w:hAnsi="Book Antiqua" w:cs="Book Antiqua"/>
          <w:color w:val="000000"/>
          <w:shd w:val="clear" w:color="auto" w:fill="FFFFFF"/>
        </w:rPr>
        <w:t xml:space="preserve"> leading cause of litigation in anaesthesia</w:t>
      </w:r>
      <w:r>
        <w:rPr>
          <w:rFonts w:ascii="Book Antiqua" w:eastAsia="Book Antiqua" w:hAnsi="Book Antiqua" w:cs="Book Antiqua"/>
          <w:color w:val="000000"/>
        </w:rPr>
        <w:t xml:space="preserve"> but an underrecognized preventable complication of endoscopy.</w:t>
      </w:r>
    </w:p>
    <w:p w14:paraId="60A29F67" w14:textId="77777777" w:rsidR="00381465" w:rsidRDefault="00381465">
      <w:pPr>
        <w:spacing w:line="360" w:lineRule="auto"/>
        <w:jc w:val="both"/>
      </w:pPr>
    </w:p>
    <w:p w14:paraId="59CA1805" w14:textId="77777777" w:rsidR="00381465" w:rsidRDefault="00000000">
      <w:pPr>
        <w:spacing w:line="360" w:lineRule="auto"/>
        <w:jc w:val="both"/>
      </w:pPr>
      <w:r>
        <w:rPr>
          <w:rFonts w:ascii="Book Antiqua" w:eastAsia="Book Antiqua" w:hAnsi="Book Antiqua" w:cs="Book Antiqua"/>
          <w:b/>
          <w:i/>
          <w:color w:val="000000"/>
        </w:rPr>
        <w:t>Research objectives</w:t>
      </w:r>
    </w:p>
    <w:p w14:paraId="39085D58" w14:textId="77777777" w:rsidR="00381465" w:rsidRDefault="00000000">
      <w:pPr>
        <w:spacing w:line="360" w:lineRule="auto"/>
        <w:jc w:val="both"/>
      </w:pPr>
      <w:r>
        <w:rPr>
          <w:rFonts w:ascii="Book Antiqua" w:eastAsia="Book Antiqua" w:hAnsi="Book Antiqua" w:cs="Book Antiqua"/>
          <w:color w:val="000000"/>
          <w:shd w:val="clear" w:color="auto" w:fill="FFFFFF"/>
        </w:rPr>
        <w:t xml:space="preserve">We aim to study the impact of dental injury on endoscopy in our centre as well as review relevant literature to guide identification, mitigation and management of peri-endoscopic dental trauma. </w:t>
      </w:r>
    </w:p>
    <w:p w14:paraId="10F1D788" w14:textId="77777777" w:rsidR="00381465" w:rsidRDefault="00381465">
      <w:pPr>
        <w:spacing w:line="360" w:lineRule="auto"/>
        <w:jc w:val="both"/>
      </w:pPr>
    </w:p>
    <w:p w14:paraId="28E638BA" w14:textId="77777777" w:rsidR="00381465" w:rsidRDefault="00000000">
      <w:pPr>
        <w:spacing w:line="360" w:lineRule="auto"/>
        <w:jc w:val="both"/>
      </w:pPr>
      <w:r>
        <w:rPr>
          <w:rFonts w:ascii="Book Antiqua" w:eastAsia="Book Antiqua" w:hAnsi="Book Antiqua" w:cs="Book Antiqua"/>
          <w:b/>
          <w:i/>
          <w:color w:val="000000"/>
        </w:rPr>
        <w:t>Research methods</w:t>
      </w:r>
    </w:p>
    <w:p w14:paraId="231AF384" w14:textId="77777777" w:rsidR="00381465" w:rsidRDefault="00000000">
      <w:pPr>
        <w:spacing w:line="360" w:lineRule="auto"/>
        <w:jc w:val="both"/>
      </w:pPr>
      <w:r>
        <w:rPr>
          <w:rFonts w:ascii="Book Antiqua" w:eastAsia="Book Antiqua" w:hAnsi="Book Antiqua" w:cs="Book Antiqua"/>
          <w:color w:val="000000"/>
        </w:rPr>
        <w:lastRenderedPageBreak/>
        <w:t>We reviewed outpatient endoscopy records over a two-year period at the National University Hospital, Singapore. We also conducted a review with reference to the Preferred Reporting Items for Systematic Reviews and Meta-analyses.</w:t>
      </w:r>
    </w:p>
    <w:p w14:paraId="5BFCCE6A" w14:textId="77777777" w:rsidR="00381465" w:rsidRDefault="00381465">
      <w:pPr>
        <w:spacing w:line="360" w:lineRule="auto"/>
        <w:jc w:val="both"/>
      </w:pPr>
    </w:p>
    <w:p w14:paraId="0C87B2F2" w14:textId="77777777" w:rsidR="00381465" w:rsidRDefault="00000000">
      <w:pPr>
        <w:spacing w:line="360" w:lineRule="auto"/>
        <w:jc w:val="both"/>
      </w:pPr>
      <w:r>
        <w:rPr>
          <w:rFonts w:ascii="Book Antiqua" w:eastAsia="Book Antiqua" w:hAnsi="Book Antiqua" w:cs="Book Antiqua"/>
          <w:b/>
          <w:i/>
          <w:color w:val="000000"/>
        </w:rPr>
        <w:t>Research results</w:t>
      </w:r>
    </w:p>
    <w:p w14:paraId="4CE899BF" w14:textId="77777777" w:rsidR="00381465" w:rsidRDefault="00000000">
      <w:pPr>
        <w:spacing w:line="360" w:lineRule="auto"/>
        <w:jc w:val="both"/>
      </w:pPr>
      <w:r>
        <w:rPr>
          <w:rFonts w:ascii="Book Antiqua" w:eastAsia="Book Antiqua" w:hAnsi="Book Antiqua" w:cs="Book Antiqua"/>
          <w:color w:val="000000"/>
        </w:rPr>
        <w:t>We identified overall adverse event rate of 0.33% with major adverse events occurring in 0.03% of upper endoscopies. These figures are comparable to anaesthesia data and suggest need for greater awareness of dental trauma as a complication of upper endoscopy and consequent steps for mitigation and management. We identified different risk factors for dental injury and proposed a framework for pre-endoscopy screening to prevent dental injury. We also discuss measures to manage and minimise dental injury.</w:t>
      </w:r>
    </w:p>
    <w:p w14:paraId="125F1832" w14:textId="77777777" w:rsidR="00381465" w:rsidRDefault="00381465">
      <w:pPr>
        <w:spacing w:line="360" w:lineRule="auto"/>
        <w:jc w:val="both"/>
      </w:pPr>
    </w:p>
    <w:p w14:paraId="652FE78A" w14:textId="77777777" w:rsidR="00381465" w:rsidRDefault="00000000">
      <w:pPr>
        <w:spacing w:line="360" w:lineRule="auto"/>
        <w:jc w:val="both"/>
      </w:pPr>
      <w:r>
        <w:rPr>
          <w:rFonts w:ascii="Book Antiqua" w:eastAsia="Book Antiqua" w:hAnsi="Book Antiqua" w:cs="Book Antiqua"/>
          <w:b/>
          <w:i/>
          <w:color w:val="000000"/>
        </w:rPr>
        <w:t>Research conclusions</w:t>
      </w:r>
    </w:p>
    <w:p w14:paraId="79D28DDE" w14:textId="77777777" w:rsidR="00381465" w:rsidRDefault="00000000">
      <w:pPr>
        <w:spacing w:line="360" w:lineRule="auto"/>
        <w:jc w:val="both"/>
      </w:pPr>
      <w:r>
        <w:rPr>
          <w:rFonts w:ascii="Book Antiqua" w:eastAsia="Book Antiqua" w:hAnsi="Book Antiqua" w:cs="Book Antiqua"/>
          <w:color w:val="000000"/>
        </w:rPr>
        <w:t>Dental injury during endoscopy is an underreported complication with potential for significant litigious consequences. It is a preventable complication with adequate foreknowledge and precautionary measures. Prompt recognition and treatment in the event of trauma can potentially minimize irreversible loss of dentition.</w:t>
      </w:r>
    </w:p>
    <w:p w14:paraId="1D997DB4" w14:textId="77777777" w:rsidR="00381465" w:rsidRDefault="00381465">
      <w:pPr>
        <w:spacing w:line="360" w:lineRule="auto"/>
        <w:jc w:val="both"/>
      </w:pPr>
    </w:p>
    <w:p w14:paraId="24782634" w14:textId="77777777" w:rsidR="00381465" w:rsidRDefault="00000000">
      <w:pPr>
        <w:spacing w:line="360" w:lineRule="auto"/>
        <w:jc w:val="both"/>
      </w:pPr>
      <w:r>
        <w:rPr>
          <w:rFonts w:ascii="Book Antiqua" w:eastAsia="Book Antiqua" w:hAnsi="Book Antiqua" w:cs="Book Antiqua"/>
          <w:b/>
          <w:i/>
          <w:color w:val="000000"/>
        </w:rPr>
        <w:t>Research perspectives</w:t>
      </w:r>
    </w:p>
    <w:p w14:paraId="305E5B21" w14:textId="77777777" w:rsidR="00381465" w:rsidRDefault="00000000">
      <w:pPr>
        <w:spacing w:line="360" w:lineRule="auto"/>
        <w:jc w:val="both"/>
      </w:pPr>
      <w:r>
        <w:rPr>
          <w:rFonts w:ascii="Book Antiqua" w:eastAsia="Book Antiqua" w:hAnsi="Book Antiqua" w:cs="Book Antiqua"/>
          <w:color w:val="000000"/>
        </w:rPr>
        <w:t>Further research can be done with larger sample sizes, to compare different risk factors for dental trauma</w:t>
      </w:r>
      <w:r>
        <w:rPr>
          <w:rFonts w:ascii="Book Antiqua" w:eastAsia="Book Antiqua" w:hAnsi="Book Antiqua" w:cs="Book Antiqua"/>
          <w:color w:val="000000"/>
          <w:shd w:val="clear" w:color="auto" w:fill="FFFFFF"/>
        </w:rPr>
        <w:t xml:space="preserve">. </w:t>
      </w:r>
    </w:p>
    <w:p w14:paraId="2EDACA58" w14:textId="77777777" w:rsidR="00381465" w:rsidRDefault="00381465">
      <w:pPr>
        <w:spacing w:line="360" w:lineRule="auto"/>
        <w:jc w:val="both"/>
      </w:pPr>
    </w:p>
    <w:p w14:paraId="1A916524" w14:textId="77777777" w:rsidR="00381465" w:rsidRDefault="00000000">
      <w:pPr>
        <w:rPr>
          <w:rFonts w:ascii="Book Antiqua" w:eastAsia="Book Antiqua" w:hAnsi="Book Antiqua" w:cs="Book Antiqua"/>
          <w:b/>
          <w:color w:val="000000"/>
        </w:rPr>
      </w:pPr>
      <w:r>
        <w:rPr>
          <w:rFonts w:ascii="Book Antiqua" w:eastAsia="Book Antiqua" w:hAnsi="Book Antiqua" w:cs="Book Antiqua"/>
          <w:b/>
          <w:color w:val="000000"/>
        </w:rPr>
        <w:br w:type="page"/>
      </w:r>
    </w:p>
    <w:p w14:paraId="56E1E161" w14:textId="77777777" w:rsidR="00381465" w:rsidRDefault="00000000">
      <w:pPr>
        <w:spacing w:line="360" w:lineRule="auto"/>
        <w:jc w:val="both"/>
      </w:pPr>
      <w:r>
        <w:rPr>
          <w:rFonts w:ascii="Book Antiqua" w:eastAsia="Book Antiqua" w:hAnsi="Book Antiqua" w:cs="Book Antiqua"/>
          <w:b/>
          <w:color w:val="000000"/>
        </w:rPr>
        <w:lastRenderedPageBreak/>
        <w:t>REFERENCES</w:t>
      </w:r>
    </w:p>
    <w:p w14:paraId="32903522"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Givol N</w:t>
      </w:r>
      <w:r>
        <w:rPr>
          <w:rFonts w:ascii="Book Antiqua" w:hAnsi="Book Antiqua"/>
        </w:rPr>
        <w:t xml:space="preserve">, Gershtansky Y, Halamish-Shani T, Taicher S, Perel A, Segal E. Perianesthetic dental injuries: analysis of incident reports. </w:t>
      </w:r>
      <w:r>
        <w:rPr>
          <w:rFonts w:ascii="Book Antiqua" w:hAnsi="Book Antiqua"/>
          <w:i/>
          <w:iCs/>
        </w:rPr>
        <w:t>J Clin Anesth</w:t>
      </w:r>
      <w:r>
        <w:rPr>
          <w:rFonts w:ascii="Book Antiqua" w:hAnsi="Book Antiqua"/>
        </w:rPr>
        <w:t xml:space="preserve"> 2004; </w:t>
      </w:r>
      <w:r>
        <w:rPr>
          <w:rFonts w:ascii="Book Antiqua" w:hAnsi="Book Antiqua"/>
          <w:b/>
          <w:bCs/>
        </w:rPr>
        <w:t>16</w:t>
      </w:r>
      <w:r>
        <w:rPr>
          <w:rFonts w:ascii="Book Antiqua" w:hAnsi="Book Antiqua"/>
        </w:rPr>
        <w:t>: 173-176 [PMID: 15217655 DOI: 10.1016/j.jclinane.2003.06.004]</w:t>
      </w:r>
    </w:p>
    <w:p w14:paraId="61532C98"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Wang LP</w:t>
      </w:r>
      <w:r>
        <w:rPr>
          <w:rFonts w:ascii="Book Antiqua" w:hAnsi="Book Antiqua"/>
        </w:rPr>
        <w:t xml:space="preserve">, Hägerdal M. Reported anaesthetic complications during an 11-year period. A retrospective study. </w:t>
      </w:r>
      <w:r>
        <w:rPr>
          <w:rFonts w:ascii="Book Antiqua" w:hAnsi="Book Antiqua"/>
          <w:i/>
          <w:iCs/>
        </w:rPr>
        <w:t>Acta Anaesthesiol Scand</w:t>
      </w:r>
      <w:r>
        <w:rPr>
          <w:rFonts w:ascii="Book Antiqua" w:hAnsi="Book Antiqua"/>
        </w:rPr>
        <w:t xml:space="preserve"> 1992; </w:t>
      </w:r>
      <w:r>
        <w:rPr>
          <w:rFonts w:ascii="Book Antiqua" w:hAnsi="Book Antiqua"/>
          <w:b/>
          <w:bCs/>
        </w:rPr>
        <w:t>36</w:t>
      </w:r>
      <w:r>
        <w:rPr>
          <w:rFonts w:ascii="Book Antiqua" w:hAnsi="Book Antiqua"/>
        </w:rPr>
        <w:t>: 234-240 [PMID: 1574971 DOI: 10.1111/j.1399-6576.1992.tb03456.x]</w:t>
      </w:r>
    </w:p>
    <w:p w14:paraId="4EE2BBDA"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Newland MC</w:t>
      </w:r>
      <w:r>
        <w:rPr>
          <w:rFonts w:ascii="Book Antiqua" w:hAnsi="Book Antiqua"/>
        </w:rPr>
        <w:t xml:space="preserve">, Ellis SJ, Peters KR, Simonson JA, Durham TM, Ullrich FA, Tinker JH. Dental injury associated with anesthesia: a report of 161,687 anesthetics given over 14 years. </w:t>
      </w:r>
      <w:r>
        <w:rPr>
          <w:rFonts w:ascii="Book Antiqua" w:hAnsi="Book Antiqua"/>
          <w:i/>
          <w:iCs/>
        </w:rPr>
        <w:t>J Clin Anesth</w:t>
      </w:r>
      <w:r>
        <w:rPr>
          <w:rFonts w:ascii="Book Antiqua" w:hAnsi="Book Antiqua"/>
        </w:rPr>
        <w:t xml:space="preserve"> 2007; </w:t>
      </w:r>
      <w:r>
        <w:rPr>
          <w:rFonts w:ascii="Book Antiqua" w:hAnsi="Book Antiqua"/>
          <w:b/>
          <w:bCs/>
        </w:rPr>
        <w:t>19</w:t>
      </w:r>
      <w:r>
        <w:rPr>
          <w:rFonts w:ascii="Book Antiqua" w:hAnsi="Book Antiqua"/>
        </w:rPr>
        <w:t>: 339-345 [PMID: 17869983 DOI: 10.1016/j.jclinane.2007.02.007]</w:t>
      </w:r>
    </w:p>
    <w:p w14:paraId="6B4D84F7"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Tan Y</w:t>
      </w:r>
      <w:r>
        <w:rPr>
          <w:rFonts w:ascii="Book Antiqua" w:hAnsi="Book Antiqua"/>
        </w:rPr>
        <w:t xml:space="preserve">, Loganathan N, Thinn KK, Liu EHC, Loh NW. Dental injury in anaesthesia: a tertiary hospital's experience. </w:t>
      </w:r>
      <w:r>
        <w:rPr>
          <w:rFonts w:ascii="Book Antiqua" w:hAnsi="Book Antiqua"/>
          <w:i/>
          <w:iCs/>
        </w:rPr>
        <w:t>BMC Anesthesiol</w:t>
      </w:r>
      <w:r>
        <w:rPr>
          <w:rFonts w:ascii="Book Antiqua" w:hAnsi="Book Antiqua"/>
        </w:rPr>
        <w:t xml:space="preserve"> 2018; </w:t>
      </w:r>
      <w:r>
        <w:rPr>
          <w:rFonts w:ascii="Book Antiqua" w:hAnsi="Book Antiqua"/>
          <w:b/>
          <w:bCs/>
        </w:rPr>
        <w:t>18</w:t>
      </w:r>
      <w:r>
        <w:rPr>
          <w:rFonts w:ascii="Book Antiqua" w:hAnsi="Book Antiqua"/>
        </w:rPr>
        <w:t>: 108 [PMID: 30111288 DOI: 10.1186/s12871-018-0569-6]</w:t>
      </w:r>
    </w:p>
    <w:p w14:paraId="17F2F1B7"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Chadwick RG</w:t>
      </w:r>
      <w:r>
        <w:rPr>
          <w:rFonts w:ascii="Book Antiqua" w:hAnsi="Book Antiqua"/>
        </w:rPr>
        <w:t xml:space="preserve">, Lindsay SM. Dental injuries during general anaesthesia. </w:t>
      </w:r>
      <w:r>
        <w:rPr>
          <w:rFonts w:ascii="Book Antiqua" w:hAnsi="Book Antiqua"/>
          <w:i/>
          <w:iCs/>
        </w:rPr>
        <w:t>Br Dent J</w:t>
      </w:r>
      <w:r>
        <w:rPr>
          <w:rFonts w:ascii="Book Antiqua" w:hAnsi="Book Antiqua"/>
        </w:rPr>
        <w:t xml:space="preserve"> 1996; </w:t>
      </w:r>
      <w:r>
        <w:rPr>
          <w:rFonts w:ascii="Book Antiqua" w:hAnsi="Book Antiqua"/>
          <w:b/>
          <w:bCs/>
        </w:rPr>
        <w:t>180</w:t>
      </w:r>
      <w:r>
        <w:rPr>
          <w:rFonts w:ascii="Book Antiqua" w:hAnsi="Book Antiqua"/>
        </w:rPr>
        <w:t>: 255-258 [PMID: 8935289 DOI: 10.1038/sj.bdj.4809045]</w:t>
      </w:r>
    </w:p>
    <w:p w14:paraId="5E2FC83B"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ASGE Standards of Practice Committee</w:t>
      </w:r>
      <w:r>
        <w:rPr>
          <w:rFonts w:ascii="Book Antiqua" w:hAnsi="Book Antiqua"/>
        </w:rPr>
        <w:t xml:space="preserve">, Ben-Menachem T, Decker GA, Early DS, Evans J, Fanelli RD, Fisher DA, Fisher L, Fukami N, Hwang JH, Ikenberry SO, Jain R, Jue TL, Khan KM, Krinsky ML, Malpas PM, Maple JT, Sharaf RN, Dominitz JA, Cash BD. Adverse events of upper GI endoscopy. </w:t>
      </w:r>
      <w:r>
        <w:rPr>
          <w:rFonts w:ascii="Book Antiqua" w:hAnsi="Book Antiqua"/>
          <w:i/>
          <w:iCs/>
        </w:rPr>
        <w:t>Gastrointest Endosc</w:t>
      </w:r>
      <w:r>
        <w:rPr>
          <w:rFonts w:ascii="Book Antiqua" w:hAnsi="Book Antiqua"/>
        </w:rPr>
        <w:t xml:space="preserve"> 2012; </w:t>
      </w:r>
      <w:r>
        <w:rPr>
          <w:rFonts w:ascii="Book Antiqua" w:hAnsi="Book Antiqua"/>
          <w:b/>
          <w:bCs/>
        </w:rPr>
        <w:t>76</w:t>
      </w:r>
      <w:r>
        <w:rPr>
          <w:rFonts w:ascii="Book Antiqua" w:hAnsi="Book Antiqua"/>
        </w:rPr>
        <w:t>: 707-718 [PMID: 22985638 DOI: 10.1016/j.gie.2012.03.252]</w:t>
      </w:r>
    </w:p>
    <w:p w14:paraId="6A215599"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Page MJ</w:t>
      </w:r>
      <w:r>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Pr>
          <w:rFonts w:ascii="Book Antiqua" w:hAnsi="Book Antiqua"/>
          <w:i/>
          <w:iCs/>
        </w:rPr>
        <w:t>Syst Rev</w:t>
      </w:r>
      <w:r>
        <w:rPr>
          <w:rFonts w:ascii="Book Antiqua" w:hAnsi="Book Antiqua"/>
        </w:rPr>
        <w:t xml:space="preserve"> 2021; </w:t>
      </w:r>
      <w:r>
        <w:rPr>
          <w:rFonts w:ascii="Book Antiqua" w:hAnsi="Book Antiqua"/>
          <w:b/>
          <w:bCs/>
        </w:rPr>
        <w:t>10</w:t>
      </w:r>
      <w:r>
        <w:rPr>
          <w:rFonts w:ascii="Book Antiqua" w:hAnsi="Book Antiqua"/>
        </w:rPr>
        <w:t>: 89 [PMID: 33781348 DOI: 10.1186/s13643-021-01626-4]</w:t>
      </w:r>
    </w:p>
    <w:p w14:paraId="1BDDCA71"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Evers W</w:t>
      </w:r>
      <w:r>
        <w:rPr>
          <w:rFonts w:ascii="Book Antiqua" w:hAnsi="Book Antiqua"/>
        </w:rPr>
        <w:t xml:space="preserve">, Racz GB, Glazer J, Dobkin AB. Orahesive as a protection for the teeth during general anaesthesia and endoscopy. </w:t>
      </w:r>
      <w:r>
        <w:rPr>
          <w:rFonts w:ascii="Book Antiqua" w:hAnsi="Book Antiqua"/>
          <w:i/>
          <w:iCs/>
        </w:rPr>
        <w:t>Can Anaesth Soc J</w:t>
      </w:r>
      <w:r>
        <w:rPr>
          <w:rFonts w:ascii="Book Antiqua" w:hAnsi="Book Antiqua"/>
        </w:rPr>
        <w:t xml:space="preserve"> 1967; </w:t>
      </w:r>
      <w:r>
        <w:rPr>
          <w:rFonts w:ascii="Book Antiqua" w:hAnsi="Book Antiqua"/>
          <w:b/>
          <w:bCs/>
        </w:rPr>
        <w:t>14</w:t>
      </w:r>
      <w:r>
        <w:rPr>
          <w:rFonts w:ascii="Book Antiqua" w:hAnsi="Book Antiqua"/>
        </w:rPr>
        <w:t>: 123-128 [PMID: 6034401 DOI: 10.1007/BF03003633]</w:t>
      </w:r>
    </w:p>
    <w:p w14:paraId="26AC0E32"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9 </w:t>
      </w:r>
      <w:r>
        <w:rPr>
          <w:rFonts w:ascii="Book Antiqua" w:hAnsi="Book Antiqua"/>
          <w:b/>
          <w:bCs/>
        </w:rPr>
        <w:t>Ackerman Z</w:t>
      </w:r>
      <w:r>
        <w:rPr>
          <w:rFonts w:ascii="Book Antiqua" w:hAnsi="Book Antiqua"/>
        </w:rPr>
        <w:t xml:space="preserve">, Eliakim R. Dental injury during upper gastrointestinal endoscopy. </w:t>
      </w:r>
      <w:r>
        <w:rPr>
          <w:rFonts w:ascii="Book Antiqua" w:hAnsi="Book Antiqua"/>
          <w:i/>
          <w:iCs/>
        </w:rPr>
        <w:t>J Clin Gastroenterol</w:t>
      </w:r>
      <w:r>
        <w:rPr>
          <w:rFonts w:ascii="Book Antiqua" w:hAnsi="Book Antiqua"/>
        </w:rPr>
        <w:t xml:space="preserve"> 1996; </w:t>
      </w:r>
      <w:r>
        <w:rPr>
          <w:rFonts w:ascii="Book Antiqua" w:hAnsi="Book Antiqua"/>
          <w:b/>
          <w:bCs/>
        </w:rPr>
        <w:t>23</w:t>
      </w:r>
      <w:r>
        <w:rPr>
          <w:rFonts w:ascii="Book Antiqua" w:hAnsi="Book Antiqua"/>
        </w:rPr>
        <w:t>: 72 [PMID: 8835908 DOI: 10.1097/00004836-199607000-00021]</w:t>
      </w:r>
    </w:p>
    <w:p w14:paraId="31A95008"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Min BH</w:t>
      </w:r>
      <w:r>
        <w:rPr>
          <w:rFonts w:ascii="Book Antiqua" w:hAnsi="Book Antiqua"/>
        </w:rPr>
        <w:t xml:space="preserve">, Lee H, Jeong JS, Son HJ, Kim JJ, Rhee JC, Rhee PL, Yoon YB. Comparison of a novel teeth-protecting mouthpiece with a traditional device in preventing endoscopy-related complications involving teeth or temporomandibular joint: a multicenter randomized trial. </w:t>
      </w:r>
      <w:r>
        <w:rPr>
          <w:rFonts w:ascii="Book Antiqua" w:hAnsi="Book Antiqua"/>
          <w:i/>
          <w:iCs/>
        </w:rPr>
        <w:t>Endoscopy</w:t>
      </w:r>
      <w:r>
        <w:rPr>
          <w:rFonts w:ascii="Book Antiqua" w:hAnsi="Book Antiqua"/>
        </w:rPr>
        <w:t xml:space="preserve"> 2008; </w:t>
      </w:r>
      <w:r>
        <w:rPr>
          <w:rFonts w:ascii="Book Antiqua" w:hAnsi="Book Antiqua"/>
          <w:b/>
          <w:bCs/>
        </w:rPr>
        <w:t>40</w:t>
      </w:r>
      <w:r>
        <w:rPr>
          <w:rFonts w:ascii="Book Antiqua" w:hAnsi="Book Antiqua"/>
        </w:rPr>
        <w:t>: 472-477 [PMID: 18543135 DOI: 10.1055/s-2007-995647]</w:t>
      </w:r>
    </w:p>
    <w:p w14:paraId="477021C4"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Mogrovejo E,</w:t>
      </w:r>
      <w:r>
        <w:rPr>
          <w:rFonts w:ascii="Book Antiqua" w:hAnsi="Book Antiqua"/>
        </w:rPr>
        <w:t xml:space="preserve"> Gjeorgjievski M, Cappell MS. Dental Injuries From EGD: Report of Three Cases and Literature Review: 490. </w:t>
      </w:r>
      <w:r>
        <w:rPr>
          <w:rFonts w:ascii="Book Antiqua" w:hAnsi="Book Antiqua"/>
          <w:i/>
          <w:iCs/>
        </w:rPr>
        <w:t>Official journal of the American College of Gastroenterology | ACG</w:t>
      </w:r>
      <w:r>
        <w:rPr>
          <w:rFonts w:ascii="Book Antiqua" w:hAnsi="Book Antiqua"/>
        </w:rPr>
        <w:t xml:space="preserve"> 2015; </w:t>
      </w:r>
      <w:r>
        <w:rPr>
          <w:rFonts w:ascii="Book Antiqua" w:hAnsi="Book Antiqua"/>
          <w:b/>
          <w:bCs/>
        </w:rPr>
        <w:t>110</w:t>
      </w:r>
      <w:r>
        <w:rPr>
          <w:rFonts w:ascii="Book Antiqua" w:hAnsi="Book Antiqua"/>
        </w:rPr>
        <w:t>: S212</w:t>
      </w:r>
    </w:p>
    <w:p w14:paraId="33CC3465" w14:textId="77777777" w:rsidR="00381465" w:rsidRDefault="00000000">
      <w:pPr>
        <w:pStyle w:val="a9"/>
        <w:spacing w:before="0" w:beforeAutospacing="0" w:after="0" w:afterAutospacing="0" w:line="360" w:lineRule="auto"/>
        <w:jc w:val="both"/>
        <w:rPr>
          <w:rFonts w:ascii="Book Antiqua" w:hAnsi="Book Antiqua"/>
          <w:lang w:val="nl-BE"/>
        </w:rPr>
      </w:pPr>
      <w:r>
        <w:rPr>
          <w:rFonts w:ascii="Book Antiqua" w:hAnsi="Book Antiqua"/>
        </w:rPr>
        <w:t xml:space="preserve">12 </w:t>
      </w:r>
      <w:r>
        <w:rPr>
          <w:rFonts w:ascii="Book Antiqua" w:hAnsi="Book Antiqua"/>
          <w:b/>
          <w:bCs/>
        </w:rPr>
        <w:t>Vallejo MC</w:t>
      </w:r>
      <w:r>
        <w:rPr>
          <w:rFonts w:ascii="Book Antiqua" w:hAnsi="Book Antiqua"/>
        </w:rPr>
        <w:t xml:space="preserve">, Best MW, Phelps AL, O'Donnell JM, Sah N, Kidwell RP, Williams JP. Perioperative dental injury at a tertiary care health system: An eight-year audit of 816,690 anesthetics. </w:t>
      </w:r>
      <w:r>
        <w:rPr>
          <w:rFonts w:ascii="Book Antiqua" w:hAnsi="Book Antiqua"/>
          <w:i/>
          <w:iCs/>
          <w:lang w:val="nl-BE"/>
        </w:rPr>
        <w:t>J Healthc Risk Manag</w:t>
      </w:r>
      <w:r>
        <w:rPr>
          <w:rFonts w:ascii="Book Antiqua" w:hAnsi="Book Antiqua"/>
          <w:lang w:val="nl-BE"/>
        </w:rPr>
        <w:t xml:space="preserve"> 2012; </w:t>
      </w:r>
      <w:r>
        <w:rPr>
          <w:rFonts w:ascii="Book Antiqua" w:hAnsi="Book Antiqua"/>
          <w:b/>
          <w:bCs/>
          <w:lang w:val="nl-BE"/>
        </w:rPr>
        <w:t>31</w:t>
      </w:r>
      <w:r>
        <w:rPr>
          <w:rFonts w:ascii="Book Antiqua" w:hAnsi="Book Antiqua"/>
          <w:lang w:val="nl-BE"/>
        </w:rPr>
        <w:t>: 25-32 [PMID: 22359260 DOI: 10.1002/jhrm.20093]</w:t>
      </w:r>
    </w:p>
    <w:p w14:paraId="3C02D883"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lang w:val="nl-BE"/>
        </w:rPr>
        <w:t xml:space="preserve">13 </w:t>
      </w:r>
      <w:r>
        <w:rPr>
          <w:rFonts w:ascii="Book Antiqua" w:hAnsi="Book Antiqua"/>
          <w:b/>
          <w:bCs/>
          <w:lang w:val="nl-BE"/>
        </w:rPr>
        <w:t>van Eijden TM</w:t>
      </w:r>
      <w:r>
        <w:rPr>
          <w:rFonts w:ascii="Book Antiqua" w:hAnsi="Book Antiqua"/>
          <w:lang w:val="nl-BE"/>
        </w:rPr>
        <w:t xml:space="preserve">. </w:t>
      </w:r>
      <w:r>
        <w:rPr>
          <w:rFonts w:ascii="Book Antiqua" w:hAnsi="Book Antiqua"/>
        </w:rPr>
        <w:t xml:space="preserve">Three-dimensional analyses of human bite-force magnitude and moment. </w:t>
      </w:r>
      <w:r>
        <w:rPr>
          <w:rFonts w:ascii="Book Antiqua" w:hAnsi="Book Antiqua"/>
          <w:i/>
          <w:iCs/>
        </w:rPr>
        <w:t>Arch Oral Biol</w:t>
      </w:r>
      <w:r>
        <w:rPr>
          <w:rFonts w:ascii="Book Antiqua" w:hAnsi="Book Antiqua"/>
        </w:rPr>
        <w:t xml:space="preserve"> 1991; </w:t>
      </w:r>
      <w:r>
        <w:rPr>
          <w:rFonts w:ascii="Book Antiqua" w:hAnsi="Book Antiqua"/>
          <w:b/>
          <w:bCs/>
        </w:rPr>
        <w:t>36</w:t>
      </w:r>
      <w:r>
        <w:rPr>
          <w:rFonts w:ascii="Book Antiqua" w:hAnsi="Book Antiqua"/>
        </w:rPr>
        <w:t>: 535-539 [PMID: 1776928 DOI: 10.1016/0003-9969(91)90148-n]</w:t>
      </w:r>
    </w:p>
    <w:p w14:paraId="543900EA"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Bradish T,</w:t>
      </w:r>
      <w:r>
        <w:rPr>
          <w:rFonts w:ascii="Book Antiqua" w:hAnsi="Book Antiqua"/>
        </w:rPr>
        <w:t xml:space="preserve"> Kaushal S, Shakeel M, Ahmad Z. Protecting teeth and gums during rigid endoscopy of the upper aerodigestive tract: Our experience with a disposable, mouldable and rigid thermoplastic mouthguard. </w:t>
      </w:r>
      <w:r>
        <w:rPr>
          <w:rFonts w:ascii="Book Antiqua" w:hAnsi="Book Antiqua"/>
          <w:i/>
          <w:iCs/>
        </w:rPr>
        <w:t>Heighpubs Otolaryngol Rhinol</w:t>
      </w:r>
      <w:r>
        <w:rPr>
          <w:rFonts w:ascii="Book Antiqua" w:hAnsi="Book Antiqua"/>
        </w:rPr>
        <w:t xml:space="preserve"> 2020; </w:t>
      </w:r>
      <w:r>
        <w:rPr>
          <w:rFonts w:ascii="Book Antiqua" w:hAnsi="Book Antiqua"/>
          <w:b/>
          <w:bCs/>
        </w:rPr>
        <w:t>4</w:t>
      </w:r>
      <w:r>
        <w:rPr>
          <w:rFonts w:ascii="Book Antiqua" w:hAnsi="Book Antiqua"/>
        </w:rPr>
        <w:t>: 18-20 [DOI: 10.29328/journal.hor.1001021]</w:t>
      </w:r>
    </w:p>
    <w:p w14:paraId="29E4FD5B"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Parker JD.</w:t>
      </w:r>
      <w:r>
        <w:rPr>
          <w:rFonts w:ascii="Book Antiqua" w:hAnsi="Book Antiqua"/>
        </w:rPr>
        <w:t xml:space="preserve"> Dental damage from a bite block during endoscopy. </w:t>
      </w:r>
      <w:r>
        <w:rPr>
          <w:rFonts w:ascii="Book Antiqua" w:hAnsi="Book Antiqua"/>
          <w:i/>
          <w:iCs/>
        </w:rPr>
        <w:t>Ambulatory Surgery</w:t>
      </w:r>
      <w:r>
        <w:rPr>
          <w:rFonts w:ascii="Book Antiqua" w:hAnsi="Book Antiqua"/>
        </w:rPr>
        <w:t xml:space="preserve"> 2020; </w:t>
      </w:r>
      <w:r>
        <w:rPr>
          <w:rFonts w:ascii="Book Antiqua" w:hAnsi="Book Antiqua"/>
          <w:b/>
          <w:bCs/>
        </w:rPr>
        <w:t>26:</w:t>
      </w:r>
      <w:r>
        <w:rPr>
          <w:rFonts w:ascii="Book Antiqua" w:hAnsi="Book Antiqua"/>
        </w:rPr>
        <w:t xml:space="preserve"> 63</w:t>
      </w:r>
    </w:p>
    <w:p w14:paraId="50D8588F"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Owen H</w:t>
      </w:r>
      <w:r>
        <w:rPr>
          <w:rFonts w:ascii="Book Antiqua" w:hAnsi="Book Antiqua"/>
        </w:rPr>
        <w:t xml:space="preserve">, Waddell-Smith I. Dental trauma associated with anaesthesia. </w:t>
      </w:r>
      <w:r>
        <w:rPr>
          <w:rFonts w:ascii="Book Antiqua" w:hAnsi="Book Antiqua"/>
          <w:i/>
          <w:iCs/>
        </w:rPr>
        <w:t>Anaesth Intensive Care</w:t>
      </w:r>
      <w:r>
        <w:rPr>
          <w:rFonts w:ascii="Book Antiqua" w:hAnsi="Book Antiqua"/>
        </w:rPr>
        <w:t xml:space="preserve"> 2000; </w:t>
      </w:r>
      <w:r>
        <w:rPr>
          <w:rFonts w:ascii="Book Antiqua" w:hAnsi="Book Antiqua"/>
          <w:b/>
          <w:bCs/>
        </w:rPr>
        <w:t>28</w:t>
      </w:r>
      <w:r>
        <w:rPr>
          <w:rFonts w:ascii="Book Antiqua" w:hAnsi="Book Antiqua"/>
        </w:rPr>
        <w:t>: 133-145 [PMID: 10788963 DOI: 10.1177/0310057X0002800202]</w:t>
      </w:r>
    </w:p>
    <w:p w14:paraId="16CA5140"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Bory EN</w:t>
      </w:r>
      <w:r>
        <w:rPr>
          <w:rFonts w:ascii="Book Antiqua" w:hAnsi="Book Antiqua"/>
        </w:rPr>
        <w:t xml:space="preserve">, Goudard V, Magnin C. [Tooth injuries during general anesthesia, oral endoscopy and vibro-massage]. </w:t>
      </w:r>
      <w:r>
        <w:rPr>
          <w:rFonts w:ascii="Book Antiqua" w:hAnsi="Book Antiqua"/>
          <w:i/>
          <w:iCs/>
        </w:rPr>
        <w:t>Actual Odontostomatol (Paris)</w:t>
      </w:r>
      <w:r>
        <w:rPr>
          <w:rFonts w:ascii="Book Antiqua" w:hAnsi="Book Antiqua"/>
        </w:rPr>
        <w:t xml:space="preserve"> 1991; </w:t>
      </w:r>
      <w:r>
        <w:rPr>
          <w:rFonts w:ascii="Book Antiqua" w:hAnsi="Book Antiqua"/>
          <w:b/>
          <w:bCs/>
        </w:rPr>
        <w:t>45</w:t>
      </w:r>
      <w:r>
        <w:rPr>
          <w:rFonts w:ascii="Book Antiqua" w:hAnsi="Book Antiqua"/>
        </w:rPr>
        <w:t>: 107-120 [PMID: 1853739]</w:t>
      </w:r>
    </w:p>
    <w:p w14:paraId="6A9BBBEB"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18 </w:t>
      </w:r>
      <w:r>
        <w:rPr>
          <w:rFonts w:ascii="Book Antiqua" w:hAnsi="Book Antiqua"/>
          <w:b/>
          <w:bCs/>
        </w:rPr>
        <w:t>Abeysundara L,</w:t>
      </w:r>
      <w:r>
        <w:rPr>
          <w:rFonts w:ascii="Book Antiqua" w:hAnsi="Book Antiqua"/>
        </w:rPr>
        <w:t xml:space="preserve"> Creedon A, Soltanifar D. Dental knowledge for anaesthetists. </w:t>
      </w:r>
      <w:r>
        <w:rPr>
          <w:rFonts w:ascii="Book Antiqua" w:hAnsi="Book Antiqua"/>
          <w:i/>
          <w:iCs/>
        </w:rPr>
        <w:t>BJA Education</w:t>
      </w:r>
      <w:r>
        <w:rPr>
          <w:rFonts w:ascii="Book Antiqua" w:hAnsi="Book Antiqua"/>
        </w:rPr>
        <w:t xml:space="preserve"> 2016;</w:t>
      </w:r>
      <w:r>
        <w:rPr>
          <w:rFonts w:ascii="Book Antiqua" w:hAnsi="Book Antiqua"/>
          <w:b/>
          <w:bCs/>
        </w:rPr>
        <w:t xml:space="preserve"> 16</w:t>
      </w:r>
      <w:r>
        <w:rPr>
          <w:rFonts w:ascii="Book Antiqua" w:hAnsi="Book Antiqua"/>
        </w:rPr>
        <w:t>: 362-368 [DOI: 10.1093/bjaed/mkw018]</w:t>
      </w:r>
    </w:p>
    <w:p w14:paraId="738524FF"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Rosenberg MB</w:t>
      </w:r>
      <w:r>
        <w:rPr>
          <w:rFonts w:ascii="Book Antiqua" w:hAnsi="Book Antiqua"/>
        </w:rPr>
        <w:t xml:space="preserve">. Anesthesia-induced dental injury. </w:t>
      </w:r>
      <w:r>
        <w:rPr>
          <w:rFonts w:ascii="Book Antiqua" w:hAnsi="Book Antiqua"/>
          <w:i/>
          <w:iCs/>
        </w:rPr>
        <w:t>Int Anesthesiol Clin</w:t>
      </w:r>
      <w:r>
        <w:rPr>
          <w:rFonts w:ascii="Book Antiqua" w:hAnsi="Book Antiqua"/>
        </w:rPr>
        <w:t xml:space="preserve"> 1989; </w:t>
      </w:r>
      <w:r>
        <w:rPr>
          <w:rFonts w:ascii="Book Antiqua" w:hAnsi="Book Antiqua"/>
          <w:b/>
          <w:bCs/>
        </w:rPr>
        <w:t>27</w:t>
      </w:r>
      <w:r>
        <w:rPr>
          <w:rFonts w:ascii="Book Antiqua" w:hAnsi="Book Antiqua"/>
        </w:rPr>
        <w:t>: 120-125 [PMID: 2566582 DOI: 10.1097/00004311-198902720-00010]</w:t>
      </w:r>
    </w:p>
    <w:p w14:paraId="55E949CA"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Chen JJ</w:t>
      </w:r>
      <w:r>
        <w:rPr>
          <w:rFonts w:ascii="Book Antiqua" w:hAnsi="Book Antiqua"/>
        </w:rPr>
        <w:t xml:space="preserve">, Susetio L, Chao CC. Oral complications associated with endotracheal general anesthesia. </w:t>
      </w:r>
      <w:r>
        <w:rPr>
          <w:rFonts w:ascii="Book Antiqua" w:hAnsi="Book Antiqua"/>
          <w:i/>
          <w:iCs/>
        </w:rPr>
        <w:t>Ma</w:t>
      </w:r>
      <w:r>
        <w:rPr>
          <w:rFonts w:ascii="Book Antiqua" w:hAnsi="Book Antiqua" w:hint="eastAsia"/>
          <w:i/>
          <w:iCs/>
        </w:rPr>
        <w:t xml:space="preserve"> </w:t>
      </w:r>
      <w:r>
        <w:rPr>
          <w:rFonts w:ascii="Book Antiqua" w:hAnsi="Book Antiqua"/>
          <w:i/>
          <w:iCs/>
        </w:rPr>
        <w:t>zui Xue Za</w:t>
      </w:r>
      <w:r>
        <w:rPr>
          <w:rFonts w:ascii="Book Antiqua" w:hAnsi="Book Antiqua" w:hint="eastAsia"/>
          <w:i/>
          <w:iCs/>
        </w:rPr>
        <w:t xml:space="preserve"> </w:t>
      </w:r>
      <w:r>
        <w:rPr>
          <w:rFonts w:ascii="Book Antiqua" w:hAnsi="Book Antiqua"/>
          <w:i/>
          <w:iCs/>
        </w:rPr>
        <w:t>zhi</w:t>
      </w:r>
      <w:r>
        <w:rPr>
          <w:rFonts w:ascii="Book Antiqua" w:hAnsi="Book Antiqua"/>
        </w:rPr>
        <w:t xml:space="preserve"> 1990; </w:t>
      </w:r>
      <w:r>
        <w:rPr>
          <w:rFonts w:ascii="Book Antiqua" w:hAnsi="Book Antiqua"/>
          <w:b/>
          <w:bCs/>
        </w:rPr>
        <w:t>28</w:t>
      </w:r>
      <w:r>
        <w:rPr>
          <w:rFonts w:ascii="Book Antiqua" w:hAnsi="Book Antiqua"/>
        </w:rPr>
        <w:t>: 163-169 [PMID: 1977068]</w:t>
      </w:r>
    </w:p>
    <w:p w14:paraId="71C0ADA9"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Bhuva B</w:t>
      </w:r>
      <w:r>
        <w:rPr>
          <w:rFonts w:ascii="Book Antiqua" w:hAnsi="Book Antiqua"/>
        </w:rPr>
        <w:t xml:space="preserve">, Giovarruscio M, Rahim N, Bitter K, Mannocci F. The restoration of root filled teeth: a review of the clinical literature. </w:t>
      </w:r>
      <w:r>
        <w:rPr>
          <w:rFonts w:ascii="Book Antiqua" w:hAnsi="Book Antiqua"/>
          <w:i/>
          <w:iCs/>
        </w:rPr>
        <w:t>Int Endod J</w:t>
      </w:r>
      <w:r>
        <w:rPr>
          <w:rFonts w:ascii="Book Antiqua" w:hAnsi="Book Antiqua"/>
        </w:rPr>
        <w:t xml:space="preserve"> 2021; </w:t>
      </w:r>
      <w:r>
        <w:rPr>
          <w:rFonts w:ascii="Book Antiqua" w:hAnsi="Book Antiqua"/>
          <w:b/>
          <w:bCs/>
        </w:rPr>
        <w:t>54</w:t>
      </w:r>
      <w:r>
        <w:rPr>
          <w:rFonts w:ascii="Book Antiqua" w:hAnsi="Book Antiqua"/>
        </w:rPr>
        <w:t>: 509-535 [PMID: 33128279 DOI: 10.1111/iej.13438]</w:t>
      </w:r>
    </w:p>
    <w:p w14:paraId="07D32016"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Mullick P</w:t>
      </w:r>
      <w:r>
        <w:rPr>
          <w:rFonts w:ascii="Book Antiqua" w:hAnsi="Book Antiqua"/>
        </w:rPr>
        <w:t xml:space="preserve">, Kumar A, Prakash S. Perianesthetic dental considerations. </w:t>
      </w:r>
      <w:r>
        <w:rPr>
          <w:rFonts w:ascii="Book Antiqua" w:hAnsi="Book Antiqua"/>
          <w:i/>
          <w:iCs/>
        </w:rPr>
        <w:t>J Anaesthesiol Clin Pharmacol</w:t>
      </w:r>
      <w:r>
        <w:rPr>
          <w:rFonts w:ascii="Book Antiqua" w:hAnsi="Book Antiqua"/>
        </w:rPr>
        <w:t xml:space="preserve"> 2017; </w:t>
      </w:r>
      <w:r>
        <w:rPr>
          <w:rFonts w:ascii="Book Antiqua" w:hAnsi="Book Antiqua"/>
          <w:b/>
          <w:bCs/>
        </w:rPr>
        <w:t>33</w:t>
      </w:r>
      <w:r>
        <w:rPr>
          <w:rFonts w:ascii="Book Antiqua" w:hAnsi="Book Antiqua"/>
        </w:rPr>
        <w:t>: 397-398 [PMID: 29109643 DOI: 10.4103/joacp.JOACP_202_16]</w:t>
      </w:r>
    </w:p>
    <w:p w14:paraId="4982B0DA"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Batra H</w:t>
      </w:r>
      <w:r>
        <w:rPr>
          <w:rFonts w:ascii="Book Antiqua" w:hAnsi="Book Antiqua"/>
        </w:rPr>
        <w:t xml:space="preserve">, Yarmus L. Indications and complications of rigid bronchoscopy. </w:t>
      </w:r>
      <w:r>
        <w:rPr>
          <w:rFonts w:ascii="Book Antiqua" w:hAnsi="Book Antiqua"/>
          <w:i/>
          <w:iCs/>
        </w:rPr>
        <w:t>Expert Rev Respir Med</w:t>
      </w:r>
      <w:r>
        <w:rPr>
          <w:rFonts w:ascii="Book Antiqua" w:hAnsi="Book Antiqua"/>
        </w:rPr>
        <w:t xml:space="preserve"> 2018; </w:t>
      </w:r>
      <w:r>
        <w:rPr>
          <w:rFonts w:ascii="Book Antiqua" w:hAnsi="Book Antiqua"/>
          <w:b/>
          <w:bCs/>
        </w:rPr>
        <w:t>12</w:t>
      </w:r>
      <w:r>
        <w:rPr>
          <w:rFonts w:ascii="Book Antiqua" w:hAnsi="Book Antiqua"/>
        </w:rPr>
        <w:t>: 509-520 [PMID: 29727208 DOI: 10.1080/17476348.2018.1473037]</w:t>
      </w:r>
    </w:p>
    <w:p w14:paraId="35C77243"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 xml:space="preserve">Miller SC. </w:t>
      </w:r>
      <w:r>
        <w:rPr>
          <w:rFonts w:ascii="Book Antiqua" w:hAnsi="Book Antiqua"/>
        </w:rPr>
        <w:t>Textbook of Periodontia. 1st ed. Blakiston Co; 1938</w:t>
      </w:r>
    </w:p>
    <w:p w14:paraId="3F7750BA"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Laster L</w:t>
      </w:r>
      <w:r>
        <w:rPr>
          <w:rFonts w:ascii="Book Antiqua" w:hAnsi="Book Antiqua"/>
        </w:rPr>
        <w:t xml:space="preserve">, Laudenbach KW, Stoller NH. An evaluation of clinical tooth mobility measurements. </w:t>
      </w:r>
      <w:r>
        <w:rPr>
          <w:rFonts w:ascii="Book Antiqua" w:hAnsi="Book Antiqua"/>
          <w:i/>
          <w:iCs/>
        </w:rPr>
        <w:t>J Periodontol</w:t>
      </w:r>
      <w:r>
        <w:rPr>
          <w:rFonts w:ascii="Book Antiqua" w:hAnsi="Book Antiqua"/>
        </w:rPr>
        <w:t xml:space="preserve"> 1975; </w:t>
      </w:r>
      <w:r>
        <w:rPr>
          <w:rFonts w:ascii="Book Antiqua" w:hAnsi="Book Antiqua"/>
          <w:b/>
          <w:bCs/>
        </w:rPr>
        <w:t>46</w:t>
      </w:r>
      <w:r>
        <w:rPr>
          <w:rFonts w:ascii="Book Antiqua" w:hAnsi="Book Antiqua"/>
        </w:rPr>
        <w:t>: 603-607 [PMID: 1058939 DOI: 10.1902/jop.1975.46.10.603]</w:t>
      </w:r>
    </w:p>
    <w:p w14:paraId="5F60C7FC"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The International Organization for Standardization 3950:2016(en).</w:t>
      </w:r>
      <w:r>
        <w:rPr>
          <w:rFonts w:ascii="Book Antiqua" w:hAnsi="Book Antiqua"/>
        </w:rPr>
        <w:t xml:space="preserve"> Dentistry — Designation system for teeth and areas of the oral cavity. (Accessed November 5, 2021) Available from: https://www.iso.org/obp/ui/#iso:std:iso:3950:ed-4:v1:en</w:t>
      </w:r>
    </w:p>
    <w:p w14:paraId="1EE4F547"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Palmer C</w:t>
      </w:r>
      <w:r>
        <w:rPr>
          <w:rFonts w:ascii="Book Antiqua" w:hAnsi="Book Antiqua"/>
        </w:rPr>
        <w:t>. Palmer’s Dental Notation. In: Dent Cosmos 1891</w:t>
      </w:r>
      <w:r>
        <w:rPr>
          <w:rFonts w:ascii="Book Antiqua" w:hAnsi="Book Antiqua" w:hint="eastAsia"/>
        </w:rPr>
        <w:t>;</w:t>
      </w:r>
      <w:r>
        <w:rPr>
          <w:rFonts w:ascii="Book Antiqua" w:hAnsi="Book Antiqua"/>
        </w:rPr>
        <w:t xml:space="preserve"> </w:t>
      </w:r>
      <w:r>
        <w:rPr>
          <w:rFonts w:ascii="Book Antiqua" w:hAnsi="Book Antiqua"/>
          <w:b/>
          <w:bCs/>
        </w:rPr>
        <w:t>33</w:t>
      </w:r>
      <w:r>
        <w:rPr>
          <w:rFonts w:ascii="Book Antiqua" w:hAnsi="Book Antiqua"/>
        </w:rPr>
        <w:t>: 194-198</w:t>
      </w:r>
    </w:p>
    <w:p w14:paraId="50A25964"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Sahni V</w:t>
      </w:r>
      <w:r>
        <w:rPr>
          <w:rFonts w:ascii="Book Antiqua" w:hAnsi="Book Antiqua"/>
        </w:rPr>
        <w:t xml:space="preserve">. Dental considerations in anaesthesia. </w:t>
      </w:r>
      <w:r>
        <w:rPr>
          <w:rFonts w:ascii="Book Antiqua" w:hAnsi="Book Antiqua"/>
          <w:i/>
          <w:iCs/>
        </w:rPr>
        <w:t>JRSM Open</w:t>
      </w:r>
      <w:r>
        <w:rPr>
          <w:rFonts w:ascii="Book Antiqua" w:hAnsi="Book Antiqua"/>
        </w:rPr>
        <w:t xml:space="preserve"> 2016; </w:t>
      </w:r>
      <w:r>
        <w:rPr>
          <w:rFonts w:ascii="Book Antiqua" w:hAnsi="Book Antiqua"/>
          <w:b/>
          <w:bCs/>
        </w:rPr>
        <w:t>7</w:t>
      </w:r>
      <w:r>
        <w:rPr>
          <w:rFonts w:ascii="Book Antiqua" w:hAnsi="Book Antiqua"/>
        </w:rPr>
        <w:t>: 2054270416675082 [PMID: 27974970 DOI: 10.1177/2054270416675082]</w:t>
      </w:r>
    </w:p>
    <w:p w14:paraId="7F4C3ECB"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Loh Yi Wen G</w:t>
      </w:r>
      <w:r>
        <w:rPr>
          <w:rFonts w:ascii="Book Antiqua" w:hAnsi="Book Antiqua"/>
        </w:rPr>
        <w:t xml:space="preserve">, Tan Qiu Lin C, Tay Wei Rong B, Mok J, Koh Jianyi C, Juanda L, Ho Siah T. IDDF2021-ABS-0144 Dental injury during endoscopy: an underrecognized teething safety issue.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xml:space="preserve"> (Suppl 2): A133-A133 [DOI: 10.1136/gutjnl-2021-IDDF.156]</w:t>
      </w:r>
    </w:p>
    <w:p w14:paraId="2B120069"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30 </w:t>
      </w:r>
      <w:r>
        <w:rPr>
          <w:rFonts w:ascii="Book Antiqua" w:hAnsi="Book Antiqua"/>
          <w:b/>
          <w:bCs/>
        </w:rPr>
        <w:t>Skeie A</w:t>
      </w:r>
      <w:r>
        <w:rPr>
          <w:rFonts w:ascii="Book Antiqua" w:hAnsi="Book Antiqua"/>
        </w:rPr>
        <w:t xml:space="preserve">, Schwartz O. Traumatic injuries of the teeth in connection with general anaesthesia and the effect of use of mouthguards. </w:t>
      </w:r>
      <w:r>
        <w:rPr>
          <w:rFonts w:ascii="Book Antiqua" w:hAnsi="Book Antiqua"/>
          <w:i/>
          <w:iCs/>
        </w:rPr>
        <w:t>Endod Dent Traumatol</w:t>
      </w:r>
      <w:r>
        <w:rPr>
          <w:rFonts w:ascii="Book Antiqua" w:hAnsi="Book Antiqua"/>
        </w:rPr>
        <w:t xml:space="preserve"> 1999; </w:t>
      </w:r>
      <w:r>
        <w:rPr>
          <w:rFonts w:ascii="Book Antiqua" w:hAnsi="Book Antiqua"/>
          <w:b/>
          <w:bCs/>
        </w:rPr>
        <w:t>15</w:t>
      </w:r>
      <w:r>
        <w:rPr>
          <w:rFonts w:ascii="Book Antiqua" w:hAnsi="Book Antiqua"/>
        </w:rPr>
        <w:t>: 33-36 [PMID: 10219152 DOI: 10.1111/j.1600-9657.1999.tb00746.x]</w:t>
      </w:r>
    </w:p>
    <w:p w14:paraId="6CA68FFD"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Monaca E</w:t>
      </w:r>
      <w:r>
        <w:rPr>
          <w:rFonts w:ascii="Book Antiqua" w:hAnsi="Book Antiqua"/>
        </w:rPr>
        <w:t xml:space="preserve">, Fock N, Doehn M, Winterhalter M, Wappler F. [Intubation-linked dental injuries. Relevance of individually adaptable tooth protection models]. </w:t>
      </w:r>
      <w:r>
        <w:rPr>
          <w:rFonts w:ascii="Book Antiqua" w:hAnsi="Book Antiqua"/>
          <w:i/>
          <w:iCs/>
        </w:rPr>
        <w:t>Anaesthesist</w:t>
      </w:r>
      <w:r>
        <w:rPr>
          <w:rFonts w:ascii="Book Antiqua" w:hAnsi="Book Antiqua"/>
        </w:rPr>
        <w:t xml:space="preserve"> 2010; </w:t>
      </w:r>
      <w:r>
        <w:rPr>
          <w:rFonts w:ascii="Book Antiqua" w:hAnsi="Book Antiqua"/>
          <w:b/>
          <w:bCs/>
        </w:rPr>
        <w:t>59</w:t>
      </w:r>
      <w:r>
        <w:rPr>
          <w:rFonts w:ascii="Book Antiqua" w:hAnsi="Book Antiqua"/>
        </w:rPr>
        <w:t>: 319-326 [PMID: 20358169 DOI: 10.1007/s00101-009-1670-5]</w:t>
      </w:r>
    </w:p>
    <w:p w14:paraId="4CEEC090"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Domanski M</w:t>
      </w:r>
      <w:r>
        <w:rPr>
          <w:rFonts w:ascii="Book Antiqua" w:hAnsi="Book Antiqua"/>
        </w:rPr>
        <w:t xml:space="preserve">, Lee P, Sadeghi N. Cost-effective dental protection during rigid endoscopy. </w:t>
      </w:r>
      <w:r>
        <w:rPr>
          <w:rFonts w:ascii="Book Antiqua" w:hAnsi="Book Antiqua"/>
          <w:i/>
          <w:iCs/>
        </w:rPr>
        <w:t>Laryngoscope</w:t>
      </w:r>
      <w:r>
        <w:rPr>
          <w:rFonts w:ascii="Book Antiqua" w:hAnsi="Book Antiqua"/>
        </w:rPr>
        <w:t xml:space="preserve"> 2011; </w:t>
      </w:r>
      <w:r>
        <w:rPr>
          <w:rFonts w:ascii="Book Antiqua" w:hAnsi="Book Antiqua"/>
          <w:b/>
          <w:bCs/>
        </w:rPr>
        <w:t>121</w:t>
      </w:r>
      <w:r>
        <w:rPr>
          <w:rFonts w:ascii="Book Antiqua" w:hAnsi="Book Antiqua"/>
        </w:rPr>
        <w:t>: 2590-2591 [PMID: 22109757 DOI: 10.1002/lary.22339]</w:t>
      </w:r>
    </w:p>
    <w:p w14:paraId="7E5E44A0" w14:textId="77777777" w:rsidR="0038146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Vogel J</w:t>
      </w:r>
      <w:r>
        <w:rPr>
          <w:rFonts w:ascii="Book Antiqua" w:hAnsi="Book Antiqua"/>
        </w:rPr>
        <w:t xml:space="preserve">, Stübinger S, Kaufmann M, Krastl G, Filippi A. Dental injuries resulting from tracheal intubation--a retrospective study. </w:t>
      </w:r>
      <w:r>
        <w:rPr>
          <w:rFonts w:ascii="Book Antiqua" w:hAnsi="Book Antiqua"/>
          <w:i/>
          <w:iCs/>
        </w:rPr>
        <w:t>Dent Traumatol</w:t>
      </w:r>
      <w:r>
        <w:rPr>
          <w:rFonts w:ascii="Book Antiqua" w:hAnsi="Book Antiqua"/>
        </w:rPr>
        <w:t xml:space="preserve"> 2009; </w:t>
      </w:r>
      <w:r>
        <w:rPr>
          <w:rFonts w:ascii="Book Antiqua" w:hAnsi="Book Antiqua"/>
          <w:b/>
          <w:bCs/>
        </w:rPr>
        <w:t>25</w:t>
      </w:r>
      <w:r>
        <w:rPr>
          <w:rFonts w:ascii="Book Antiqua" w:hAnsi="Book Antiqua"/>
        </w:rPr>
        <w:t>: 73-77 [PMID: 19208014 DOI: 10.1111/j.1600-9657.2008.00670.x]</w:t>
      </w:r>
    </w:p>
    <w:p w14:paraId="017BB90C" w14:textId="77777777" w:rsidR="00381465" w:rsidRDefault="00381465">
      <w:pPr>
        <w:spacing w:line="360" w:lineRule="auto"/>
        <w:jc w:val="both"/>
        <w:sectPr w:rsidR="00381465">
          <w:pgSz w:w="12240" w:h="15840"/>
          <w:pgMar w:top="1440" w:right="1440" w:bottom="1440" w:left="1440" w:header="720" w:footer="720" w:gutter="0"/>
          <w:cols w:space="720"/>
          <w:docGrid w:linePitch="360"/>
        </w:sectPr>
      </w:pPr>
    </w:p>
    <w:p w14:paraId="0276ABD9" w14:textId="77777777" w:rsidR="00381465" w:rsidRDefault="00000000">
      <w:pPr>
        <w:spacing w:line="360" w:lineRule="auto"/>
        <w:jc w:val="both"/>
      </w:pPr>
      <w:r>
        <w:rPr>
          <w:rFonts w:ascii="Book Antiqua" w:eastAsia="Book Antiqua" w:hAnsi="Book Antiqua" w:cs="Book Antiqua"/>
          <w:b/>
          <w:color w:val="000000"/>
        </w:rPr>
        <w:lastRenderedPageBreak/>
        <w:t>Footnotes</w:t>
      </w:r>
    </w:p>
    <w:p w14:paraId="1DAB56F0" w14:textId="77777777" w:rsidR="00381465" w:rsidRDefault="00000000">
      <w:pPr>
        <w:spacing w:line="360" w:lineRule="auto"/>
        <w:jc w:val="both"/>
      </w:pPr>
      <w:r>
        <w:rPr>
          <w:rFonts w:ascii="Book Antiqua" w:eastAsia="Book Antiqua" w:hAnsi="Book Antiqua" w:cs="Book Antiqua"/>
          <w:b/>
          <w:bCs/>
        </w:rPr>
        <w:t xml:space="preserve">Conflict-of-interest statement: Conflict of Interest: </w:t>
      </w:r>
      <w:r>
        <w:rPr>
          <w:rFonts w:ascii="Book Antiqua" w:eastAsia="Book Antiqua" w:hAnsi="Book Antiqua" w:cs="Book Antiqua"/>
        </w:rPr>
        <w:t>Nothing to disclose.</w:t>
      </w:r>
    </w:p>
    <w:p w14:paraId="5132EF84" w14:textId="77777777" w:rsidR="00381465" w:rsidRDefault="00381465">
      <w:pPr>
        <w:spacing w:line="360" w:lineRule="auto"/>
        <w:jc w:val="both"/>
      </w:pPr>
    </w:p>
    <w:p w14:paraId="2A1B8098" w14:textId="77777777" w:rsidR="00381465" w:rsidRDefault="00000000">
      <w:pPr>
        <w:spacing w:line="360" w:lineRule="auto"/>
        <w:jc w:val="both"/>
      </w:pPr>
      <w:r>
        <w:rPr>
          <w:rFonts w:ascii="Book Antiqua" w:eastAsia="Book Antiqua" w:hAnsi="Book Antiqua" w:cs="Book Antiqua"/>
          <w:b/>
          <w:bCs/>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7C211D15" w14:textId="77777777" w:rsidR="00381465" w:rsidRDefault="00381465">
      <w:pPr>
        <w:spacing w:line="360" w:lineRule="auto"/>
        <w:jc w:val="both"/>
      </w:pPr>
    </w:p>
    <w:p w14:paraId="1D65B4FA" w14:textId="77777777" w:rsidR="00381465"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DCA885" w14:textId="77777777" w:rsidR="00381465" w:rsidRDefault="00381465">
      <w:pPr>
        <w:spacing w:line="360" w:lineRule="auto"/>
        <w:jc w:val="both"/>
      </w:pPr>
    </w:p>
    <w:p w14:paraId="6939DE04" w14:textId="77777777" w:rsidR="00381465"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C072847" w14:textId="77777777" w:rsidR="00381465"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9A10A0D" w14:textId="77777777" w:rsidR="00381465" w:rsidRDefault="00381465">
      <w:pPr>
        <w:spacing w:line="360" w:lineRule="auto"/>
        <w:jc w:val="both"/>
      </w:pPr>
    </w:p>
    <w:p w14:paraId="620B820B" w14:textId="77777777" w:rsidR="00381465"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21, 2023</w:t>
      </w:r>
    </w:p>
    <w:p w14:paraId="6E88BA5B" w14:textId="77777777" w:rsidR="00381465"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April 21, 2023</w:t>
      </w:r>
    </w:p>
    <w:p w14:paraId="0E623783" w14:textId="77777777" w:rsidR="00381465"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rPr>
        <w:t>July 6, 2023</w:t>
      </w:r>
    </w:p>
    <w:p w14:paraId="68F85934" w14:textId="77777777" w:rsidR="00381465" w:rsidRDefault="00381465">
      <w:pPr>
        <w:spacing w:line="360" w:lineRule="auto"/>
        <w:jc w:val="both"/>
      </w:pPr>
    </w:p>
    <w:p w14:paraId="1A831E13" w14:textId="77777777" w:rsidR="00381465"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33256DE2" w14:textId="77777777" w:rsidR="00381465"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Singapore</w:t>
      </w:r>
    </w:p>
    <w:p w14:paraId="3DF54CAC" w14:textId="77777777" w:rsidR="00381465" w:rsidRDefault="00000000">
      <w:pPr>
        <w:spacing w:line="360" w:lineRule="auto"/>
        <w:jc w:val="both"/>
      </w:pPr>
      <w:r>
        <w:rPr>
          <w:rFonts w:ascii="Book Antiqua" w:eastAsia="Book Antiqua" w:hAnsi="Book Antiqua" w:cs="Book Antiqua"/>
          <w:b/>
          <w:color w:val="000000"/>
        </w:rPr>
        <w:t>Peer-review report’s scientific quality classification</w:t>
      </w:r>
    </w:p>
    <w:p w14:paraId="068B2699" w14:textId="77777777" w:rsidR="00381465" w:rsidRDefault="00000000">
      <w:pPr>
        <w:spacing w:line="360" w:lineRule="auto"/>
        <w:jc w:val="both"/>
      </w:pPr>
      <w:r>
        <w:rPr>
          <w:rFonts w:ascii="Book Antiqua" w:eastAsia="Book Antiqua" w:hAnsi="Book Antiqua" w:cs="Book Antiqua"/>
        </w:rPr>
        <w:t>Grade A (Excellent): 0</w:t>
      </w:r>
    </w:p>
    <w:p w14:paraId="23547355" w14:textId="77777777" w:rsidR="00381465" w:rsidRDefault="00000000">
      <w:pPr>
        <w:spacing w:line="360" w:lineRule="auto"/>
        <w:jc w:val="both"/>
      </w:pPr>
      <w:r>
        <w:rPr>
          <w:rFonts w:ascii="Book Antiqua" w:eastAsia="Book Antiqua" w:hAnsi="Book Antiqua" w:cs="Book Antiqua"/>
        </w:rPr>
        <w:t>Grade B (Very good): 0</w:t>
      </w:r>
    </w:p>
    <w:p w14:paraId="79D93CBF" w14:textId="77777777" w:rsidR="00381465" w:rsidRDefault="00000000">
      <w:pPr>
        <w:spacing w:line="360" w:lineRule="auto"/>
        <w:jc w:val="both"/>
      </w:pPr>
      <w:r>
        <w:rPr>
          <w:rFonts w:ascii="Book Antiqua" w:eastAsia="Book Antiqua" w:hAnsi="Book Antiqua" w:cs="Book Antiqua"/>
        </w:rPr>
        <w:t>Grade C (Good): C, C, C</w:t>
      </w:r>
    </w:p>
    <w:p w14:paraId="1DFC666C" w14:textId="77777777" w:rsidR="00381465" w:rsidRDefault="00000000">
      <w:pPr>
        <w:spacing w:line="360" w:lineRule="auto"/>
        <w:jc w:val="both"/>
      </w:pPr>
      <w:r>
        <w:rPr>
          <w:rFonts w:ascii="Book Antiqua" w:eastAsia="Book Antiqua" w:hAnsi="Book Antiqua" w:cs="Book Antiqua"/>
        </w:rPr>
        <w:t>Grade D (Fair): 0</w:t>
      </w:r>
    </w:p>
    <w:p w14:paraId="76F1FA99" w14:textId="77777777" w:rsidR="00381465" w:rsidRDefault="00000000">
      <w:pPr>
        <w:spacing w:line="360" w:lineRule="auto"/>
        <w:jc w:val="both"/>
      </w:pPr>
      <w:r>
        <w:rPr>
          <w:rFonts w:ascii="Book Antiqua" w:eastAsia="Book Antiqua" w:hAnsi="Book Antiqua" w:cs="Book Antiqua"/>
        </w:rPr>
        <w:t>Grade E (Poor): 0</w:t>
      </w:r>
    </w:p>
    <w:p w14:paraId="3C27B6B8" w14:textId="77777777" w:rsidR="00381465" w:rsidRDefault="00381465">
      <w:pPr>
        <w:spacing w:line="360" w:lineRule="auto"/>
        <w:jc w:val="both"/>
      </w:pPr>
    </w:p>
    <w:p w14:paraId="5A99837D" w14:textId="77777777" w:rsidR="00381465" w:rsidRDefault="00000000">
      <w:pPr>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Liu L, China; Moshref L, Saudi Arabia; Vyawahare MA,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Pr>
          <w:rFonts w:ascii="Book Antiqua" w:eastAsia="Book Antiqua" w:hAnsi="Book Antiqua" w:cs="Book Antiqua"/>
          <w:bCs/>
          <w:color w:val="000000"/>
        </w:rPr>
        <w:t xml:space="preserve"> </w:t>
      </w:r>
      <w:r>
        <w:rPr>
          <w:rFonts w:ascii="Book Antiqua" w:eastAsia="宋体" w:hAnsi="Book Antiqua" w:cs="Book Antiqua" w:hint="eastAsia"/>
          <w:bCs/>
          <w:color w:val="000000"/>
          <w:lang w:eastAsia="zh-CN"/>
        </w:rPr>
        <w:t>Ju JL</w:t>
      </w:r>
    </w:p>
    <w:p w14:paraId="4E5639A9" w14:textId="77777777" w:rsidR="0038146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5CEEEDC5" w14:textId="6519E7EB" w:rsidR="00381465" w:rsidRDefault="000B54BD">
      <w:pPr>
        <w:spacing w:line="360" w:lineRule="auto"/>
        <w:jc w:val="both"/>
      </w:pPr>
      <w:r>
        <w:rPr>
          <w:noProof/>
        </w:rPr>
        <w:drawing>
          <wp:inline distT="0" distB="0" distL="0" distR="0" wp14:anchorId="688F8240" wp14:editId="05F226C8">
            <wp:extent cx="5943600" cy="3620135"/>
            <wp:effectExtent l="0" t="0" r="0" b="0"/>
            <wp:docPr id="11291901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20135"/>
                    </a:xfrm>
                    <a:prstGeom prst="rect">
                      <a:avLst/>
                    </a:prstGeom>
                    <a:noFill/>
                    <a:ln>
                      <a:noFill/>
                    </a:ln>
                  </pic:spPr>
                </pic:pic>
              </a:graphicData>
            </a:graphic>
          </wp:inline>
        </w:drawing>
      </w:r>
    </w:p>
    <w:p w14:paraId="5524958D" w14:textId="77777777" w:rsidR="00381465"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Flow diagram on study selection process.</w:t>
      </w:r>
    </w:p>
    <w:p w14:paraId="778A2D24" w14:textId="1BE3A9A6" w:rsidR="00381465" w:rsidRDefault="00843F70">
      <w:pPr>
        <w:spacing w:line="360" w:lineRule="auto"/>
        <w:jc w:val="both"/>
      </w:pPr>
      <w:r>
        <w:rPr>
          <w:noProof/>
        </w:rPr>
        <w:drawing>
          <wp:inline distT="0" distB="0" distL="0" distR="0" wp14:anchorId="313729DD" wp14:editId="6C6F8097">
            <wp:extent cx="5943600" cy="2763520"/>
            <wp:effectExtent l="0" t="0" r="0" b="0"/>
            <wp:docPr id="124996548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763520"/>
                    </a:xfrm>
                    <a:prstGeom prst="rect">
                      <a:avLst/>
                    </a:prstGeom>
                    <a:noFill/>
                    <a:ln>
                      <a:noFill/>
                    </a:ln>
                  </pic:spPr>
                </pic:pic>
              </a:graphicData>
            </a:graphic>
          </wp:inline>
        </w:drawing>
      </w:r>
    </w:p>
    <w:p w14:paraId="0AF2C600" w14:textId="77777777" w:rsidR="00381465"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Endoscopic images of adverse events.</w:t>
      </w:r>
      <w:r>
        <w:rPr>
          <w:rFonts w:ascii="Book Antiqua" w:eastAsia="Book Antiqua" w:hAnsi="Book Antiqua" w:cs="Book Antiqua"/>
          <w:color w:val="000000" w:themeColor="text1"/>
        </w:rPr>
        <w:t xml:space="preserve"> A: Periprocedural complication of avulsed tooth lodged in the distal oesophagus; event occurred prior to study period; B: Avulsed tooth being retrieved.</w:t>
      </w:r>
    </w:p>
    <w:p w14:paraId="1EA2B4A9" w14:textId="77777777" w:rsidR="00381465" w:rsidRDefault="00381465">
      <w:pPr>
        <w:spacing w:line="360" w:lineRule="auto"/>
        <w:jc w:val="both"/>
      </w:pPr>
    </w:p>
    <w:p w14:paraId="62F975E2" w14:textId="2B579E05" w:rsidR="00381465" w:rsidRDefault="00843F70">
      <w:pPr>
        <w:spacing w:line="360" w:lineRule="auto"/>
        <w:jc w:val="both"/>
      </w:pPr>
      <w:r>
        <w:rPr>
          <w:noProof/>
        </w:rPr>
        <w:lastRenderedPageBreak/>
        <w:drawing>
          <wp:inline distT="0" distB="0" distL="0" distR="0" wp14:anchorId="7F2168E3" wp14:editId="799D872C">
            <wp:extent cx="4138930" cy="3048000"/>
            <wp:effectExtent l="0" t="0" r="0" b="0"/>
            <wp:docPr id="13380010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8930" cy="3048000"/>
                    </a:xfrm>
                    <a:prstGeom prst="rect">
                      <a:avLst/>
                    </a:prstGeom>
                    <a:noFill/>
                    <a:ln>
                      <a:noFill/>
                    </a:ln>
                  </pic:spPr>
                </pic:pic>
              </a:graphicData>
            </a:graphic>
          </wp:inline>
        </w:drawing>
      </w:r>
    </w:p>
    <w:p w14:paraId="172C4BAD" w14:textId="77777777" w:rsidR="00381465" w:rsidRDefault="00000000">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t>Figure 3 Pre-endoscopy screening.</w:t>
      </w:r>
    </w:p>
    <w:p w14:paraId="195FE6E5" w14:textId="0F50714F" w:rsidR="00381465" w:rsidRDefault="00843F70">
      <w:pPr>
        <w:spacing w:line="360" w:lineRule="auto"/>
        <w:jc w:val="both"/>
      </w:pPr>
      <w:r>
        <w:rPr>
          <w:noProof/>
        </w:rPr>
        <w:drawing>
          <wp:inline distT="0" distB="0" distL="0" distR="0" wp14:anchorId="7DA6EEA2" wp14:editId="177DBB0A">
            <wp:extent cx="5943600" cy="3423920"/>
            <wp:effectExtent l="0" t="0" r="0" b="5080"/>
            <wp:docPr id="50935694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423920"/>
                    </a:xfrm>
                    <a:prstGeom prst="rect">
                      <a:avLst/>
                    </a:prstGeom>
                    <a:noFill/>
                    <a:ln>
                      <a:noFill/>
                    </a:ln>
                  </pic:spPr>
                </pic:pic>
              </a:graphicData>
            </a:graphic>
          </wp:inline>
        </w:drawing>
      </w:r>
    </w:p>
    <w:p w14:paraId="0F2997C4" w14:textId="77777777" w:rsidR="00381465"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4 Pre-endoscopy </w:t>
      </w:r>
      <w:r>
        <w:rPr>
          <w:rFonts w:ascii="Book Antiqua" w:eastAsia="Book Antiqua" w:hAnsi="Book Antiqua" w:cs="Book Antiqua"/>
          <w:b/>
          <w:bCs/>
          <w:color w:val="000000" w:themeColor="text1"/>
        </w:rPr>
        <w:t>checklist.</w:t>
      </w:r>
    </w:p>
    <w:p w14:paraId="49AFF300" w14:textId="1CF5DB92" w:rsidR="00381465" w:rsidRDefault="00735B5E">
      <w:pPr>
        <w:spacing w:line="360" w:lineRule="auto"/>
        <w:jc w:val="both"/>
      </w:pPr>
      <w:r>
        <w:rPr>
          <w:noProof/>
        </w:rPr>
        <w:lastRenderedPageBreak/>
        <w:drawing>
          <wp:inline distT="0" distB="0" distL="0" distR="0" wp14:anchorId="7BECFFED" wp14:editId="6F4DC1AB">
            <wp:extent cx="5943600" cy="3288030"/>
            <wp:effectExtent l="0" t="0" r="0" b="7620"/>
            <wp:docPr id="19125740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288030"/>
                    </a:xfrm>
                    <a:prstGeom prst="rect">
                      <a:avLst/>
                    </a:prstGeom>
                    <a:noFill/>
                    <a:ln>
                      <a:noFill/>
                    </a:ln>
                  </pic:spPr>
                </pic:pic>
              </a:graphicData>
            </a:graphic>
          </wp:inline>
        </w:drawing>
      </w:r>
    </w:p>
    <w:p w14:paraId="7E0A14B2" w14:textId="77777777" w:rsidR="00381465" w:rsidRDefault="00000000">
      <w:pPr>
        <w:spacing w:line="360" w:lineRule="auto"/>
        <w:jc w:val="both"/>
        <w:rPr>
          <w:rFonts w:ascii="Book Antiqua" w:eastAsia="宋体" w:hAnsi="Book Antiqua" w:cs="宋体"/>
          <w:b/>
          <w:bCs/>
          <w:color w:val="000000"/>
          <w:shd w:val="clear" w:color="auto" w:fill="FFFFFF"/>
          <w:lang w:eastAsia="zh-CN"/>
        </w:rPr>
      </w:pPr>
      <w:r>
        <w:rPr>
          <w:rFonts w:ascii="Book Antiqua" w:eastAsia="Book Antiqua" w:hAnsi="Book Antiqua" w:cs="Book Antiqua"/>
          <w:b/>
          <w:bCs/>
          <w:color w:val="000000"/>
          <w:shd w:val="clear" w:color="auto" w:fill="FFFFFF"/>
        </w:rPr>
        <w:t>Figure 5 Management of dental injury</w:t>
      </w:r>
      <w:r>
        <w:rPr>
          <w:rFonts w:ascii="Book Antiqua" w:eastAsia="宋体" w:hAnsi="Book Antiqua" w:cs="宋体"/>
          <w:b/>
          <w:bCs/>
          <w:color w:val="000000"/>
          <w:shd w:val="clear" w:color="auto" w:fill="FFFFFF"/>
          <w:lang w:eastAsia="zh-CN"/>
        </w:rPr>
        <w:t>.</w:t>
      </w:r>
    </w:p>
    <w:p w14:paraId="7C31C481" w14:textId="77777777" w:rsidR="00735B5E" w:rsidRDefault="00735B5E">
      <w:pPr>
        <w:spacing w:line="360" w:lineRule="auto"/>
        <w:jc w:val="both"/>
      </w:pPr>
    </w:p>
    <w:p w14:paraId="63C8FEBA" w14:textId="77777777" w:rsidR="00381465" w:rsidRDefault="00000000">
      <w:pPr>
        <w:spacing w:line="360" w:lineRule="auto"/>
        <w:jc w:val="both"/>
        <w:rPr>
          <w:rFonts w:ascii="Book Antiqua" w:hAnsi="Book Antiqua"/>
          <w:b/>
          <w:bCs/>
        </w:rPr>
      </w:pPr>
      <w:r>
        <w:rPr>
          <w:rFonts w:ascii="Book Antiqua" w:hAnsi="Book Antiqua"/>
          <w:b/>
          <w:bCs/>
        </w:rPr>
        <w:t>Table 1 Summary of studies on dental trauma in endoscopy</w:t>
      </w:r>
    </w:p>
    <w:tbl>
      <w:tblPr>
        <w:tblStyle w:val="ac"/>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961"/>
        <w:gridCol w:w="4188"/>
        <w:gridCol w:w="696"/>
        <w:gridCol w:w="1694"/>
      </w:tblGrid>
      <w:tr w:rsidR="00381465" w14:paraId="2B7BCA80" w14:textId="77777777">
        <w:trPr>
          <w:trHeight w:val="576"/>
        </w:trPr>
        <w:tc>
          <w:tcPr>
            <w:tcW w:w="984" w:type="pct"/>
            <w:tcBorders>
              <w:top w:val="single" w:sz="4" w:space="0" w:color="auto"/>
              <w:bottom w:val="single" w:sz="4" w:space="0" w:color="auto"/>
            </w:tcBorders>
          </w:tcPr>
          <w:p w14:paraId="30E10E65" w14:textId="77777777" w:rsidR="00381465" w:rsidRDefault="00000000">
            <w:pPr>
              <w:spacing w:line="360" w:lineRule="auto"/>
              <w:jc w:val="both"/>
              <w:rPr>
                <w:rFonts w:ascii="Book Antiqua" w:hAnsi="Book Antiqua"/>
                <w:b/>
                <w:bCs/>
              </w:rPr>
            </w:pPr>
            <w:r>
              <w:rPr>
                <w:rFonts w:ascii="Book Antiqua" w:hAnsi="Book Antiqua"/>
                <w:b/>
                <w:bCs/>
                <w:lang w:val="en-SG"/>
              </w:rPr>
              <w:t>Ref.</w:t>
            </w:r>
          </w:p>
        </w:tc>
        <w:tc>
          <w:tcPr>
            <w:tcW w:w="513" w:type="pct"/>
            <w:tcBorders>
              <w:top w:val="single" w:sz="4" w:space="0" w:color="auto"/>
              <w:bottom w:val="single" w:sz="4" w:space="0" w:color="auto"/>
            </w:tcBorders>
          </w:tcPr>
          <w:p w14:paraId="44F216F4" w14:textId="77777777" w:rsidR="00381465" w:rsidRDefault="00000000">
            <w:pPr>
              <w:spacing w:line="360" w:lineRule="auto"/>
              <w:jc w:val="both"/>
              <w:rPr>
                <w:rFonts w:ascii="Book Antiqua" w:hAnsi="Book Antiqua"/>
                <w:b/>
                <w:bCs/>
              </w:rPr>
            </w:pPr>
            <w:r>
              <w:rPr>
                <w:rFonts w:ascii="Book Antiqua" w:hAnsi="Book Antiqua" w:hint="eastAsia"/>
                <w:b/>
                <w:bCs/>
                <w:lang w:val="en-SG"/>
              </w:rPr>
              <w:t>Type</w:t>
            </w:r>
          </w:p>
        </w:tc>
        <w:tc>
          <w:tcPr>
            <w:tcW w:w="2251" w:type="pct"/>
            <w:tcBorders>
              <w:top w:val="single" w:sz="4" w:space="0" w:color="auto"/>
              <w:bottom w:val="single" w:sz="4" w:space="0" w:color="auto"/>
            </w:tcBorders>
          </w:tcPr>
          <w:p w14:paraId="16675573" w14:textId="77777777" w:rsidR="00381465" w:rsidRDefault="00000000">
            <w:pPr>
              <w:spacing w:line="360" w:lineRule="auto"/>
              <w:jc w:val="both"/>
              <w:rPr>
                <w:rFonts w:ascii="Book Antiqua" w:hAnsi="Book Antiqua"/>
                <w:b/>
                <w:bCs/>
              </w:rPr>
            </w:pPr>
            <w:r>
              <w:rPr>
                <w:rFonts w:ascii="Book Antiqua" w:hAnsi="Book Antiqua" w:hint="eastAsia"/>
                <w:b/>
                <w:bCs/>
                <w:lang w:val="en-SG"/>
              </w:rPr>
              <w:t>Description</w:t>
            </w:r>
          </w:p>
        </w:tc>
        <w:tc>
          <w:tcPr>
            <w:tcW w:w="333" w:type="pct"/>
            <w:tcBorders>
              <w:top w:val="single" w:sz="4" w:space="0" w:color="auto"/>
              <w:bottom w:val="single" w:sz="4" w:space="0" w:color="auto"/>
            </w:tcBorders>
          </w:tcPr>
          <w:p w14:paraId="1545E935" w14:textId="77777777" w:rsidR="00381465" w:rsidRDefault="00000000">
            <w:pPr>
              <w:spacing w:line="360" w:lineRule="auto"/>
              <w:jc w:val="both"/>
              <w:rPr>
                <w:rFonts w:ascii="Book Antiqua" w:hAnsi="Book Antiqua"/>
                <w:b/>
                <w:bCs/>
                <w:lang w:eastAsia="zh-CN"/>
              </w:rPr>
            </w:pPr>
            <w:r>
              <w:rPr>
                <w:rFonts w:ascii="Book Antiqua" w:hAnsi="Book Antiqua" w:hint="eastAsia"/>
                <w:b/>
                <w:bCs/>
                <w:i/>
                <w:iCs/>
                <w:lang w:eastAsia="zh-CN"/>
              </w:rPr>
              <w:t>n</w:t>
            </w:r>
          </w:p>
        </w:tc>
        <w:tc>
          <w:tcPr>
            <w:tcW w:w="917" w:type="pct"/>
            <w:tcBorders>
              <w:top w:val="single" w:sz="4" w:space="0" w:color="auto"/>
              <w:bottom w:val="single" w:sz="4" w:space="0" w:color="auto"/>
            </w:tcBorders>
          </w:tcPr>
          <w:p w14:paraId="36105438" w14:textId="77777777" w:rsidR="00381465" w:rsidRDefault="00000000">
            <w:pPr>
              <w:spacing w:line="360" w:lineRule="auto"/>
              <w:jc w:val="both"/>
              <w:rPr>
                <w:rFonts w:ascii="Book Antiqua" w:hAnsi="Book Antiqua"/>
                <w:b/>
                <w:bCs/>
              </w:rPr>
            </w:pPr>
            <w:r>
              <w:rPr>
                <w:rFonts w:ascii="Book Antiqua" w:hAnsi="Book Antiqua" w:hint="eastAsia"/>
                <w:b/>
                <w:bCs/>
                <w:lang w:val="en-SG"/>
              </w:rPr>
              <w:t xml:space="preserve">Dental </w:t>
            </w:r>
            <w:r>
              <w:rPr>
                <w:rFonts w:ascii="Book Antiqua" w:hAnsi="Book Antiqua" w:hint="eastAsia"/>
                <w:b/>
                <w:bCs/>
                <w:lang w:eastAsia="zh-CN"/>
              </w:rPr>
              <w:t>e</w:t>
            </w:r>
            <w:r>
              <w:rPr>
                <w:rFonts w:ascii="Book Antiqua" w:hAnsi="Book Antiqua" w:hint="eastAsia"/>
                <w:b/>
                <w:bCs/>
                <w:lang w:val="en-SG"/>
              </w:rPr>
              <w:t>vents</w:t>
            </w:r>
          </w:p>
        </w:tc>
      </w:tr>
      <w:tr w:rsidR="00381465" w14:paraId="1B5FE9E0" w14:textId="77777777">
        <w:trPr>
          <w:trHeight w:val="1536"/>
        </w:trPr>
        <w:tc>
          <w:tcPr>
            <w:tcW w:w="984" w:type="pct"/>
            <w:tcBorders>
              <w:top w:val="single" w:sz="4" w:space="0" w:color="auto"/>
            </w:tcBorders>
          </w:tcPr>
          <w:p w14:paraId="47146864" w14:textId="77777777" w:rsidR="00381465" w:rsidRDefault="00000000">
            <w:pPr>
              <w:spacing w:line="360" w:lineRule="auto"/>
              <w:jc w:val="both"/>
              <w:rPr>
                <w:rFonts w:ascii="Book Antiqua" w:hAnsi="Book Antiqua"/>
              </w:rPr>
            </w:pPr>
            <w:bookmarkStart w:id="2" w:name="RANGE!A13"/>
            <w:r>
              <w:rPr>
                <w:rFonts w:ascii="Book Antiqua" w:hAnsi="Book Antiqua" w:hint="eastAsia"/>
                <w:lang w:val="en-SG"/>
              </w:rPr>
              <w:t>Evers</w:t>
            </w:r>
            <w:r>
              <w:rPr>
                <w:rFonts w:ascii="Book Antiqua" w:hAnsi="Book Antiqua"/>
                <w:lang w:val="en-SG"/>
              </w:rPr>
              <w:t xml:space="preserve"> </w:t>
            </w:r>
            <w:r>
              <w:rPr>
                <w:rFonts w:ascii="Book Antiqua" w:hAnsi="Book Antiqua" w:hint="eastAsia"/>
                <w:i/>
                <w:iCs/>
                <w:lang w:val="en-SG"/>
              </w:rPr>
              <w:t>et al</w:t>
            </w:r>
            <w:r>
              <w:rPr>
                <w:rFonts w:ascii="Book Antiqua" w:hAnsi="Book Antiqua"/>
                <w:vertAlign w:val="superscript"/>
                <w:lang w:val="en-SG"/>
              </w:rPr>
              <w:t>[8]</w:t>
            </w:r>
            <w:r>
              <w:rPr>
                <w:rFonts w:ascii="Book Antiqua" w:hAnsi="Book Antiqua"/>
                <w:i/>
                <w:iCs/>
                <w:lang w:val="en-SG"/>
              </w:rPr>
              <w:t xml:space="preserve">, </w:t>
            </w:r>
            <w:r>
              <w:rPr>
                <w:rFonts w:ascii="Book Antiqua" w:hAnsi="Book Antiqua"/>
                <w:lang w:val="en-SG"/>
              </w:rPr>
              <w:t>1967</w:t>
            </w:r>
            <w:bookmarkEnd w:id="2"/>
          </w:p>
        </w:tc>
        <w:tc>
          <w:tcPr>
            <w:tcW w:w="513" w:type="pct"/>
            <w:tcBorders>
              <w:top w:val="single" w:sz="4" w:space="0" w:color="auto"/>
            </w:tcBorders>
          </w:tcPr>
          <w:p w14:paraId="74F5A0A3" w14:textId="77777777" w:rsidR="00381465" w:rsidRDefault="00000000">
            <w:pPr>
              <w:spacing w:line="360" w:lineRule="auto"/>
              <w:jc w:val="both"/>
              <w:rPr>
                <w:rFonts w:ascii="Book Antiqua" w:hAnsi="Book Antiqua"/>
              </w:rPr>
            </w:pPr>
            <w:r>
              <w:rPr>
                <w:rFonts w:ascii="Book Antiqua" w:hAnsi="Book Antiqua" w:hint="eastAsia"/>
                <w:lang w:val="en-SG"/>
              </w:rPr>
              <w:t xml:space="preserve">Cohort </w:t>
            </w:r>
            <w:r>
              <w:rPr>
                <w:rFonts w:ascii="Book Antiqua" w:hAnsi="Book Antiqua" w:hint="eastAsia"/>
                <w:lang w:eastAsia="zh-CN"/>
              </w:rPr>
              <w:t>s</w:t>
            </w:r>
            <w:r>
              <w:rPr>
                <w:rFonts w:ascii="Book Antiqua" w:hAnsi="Book Antiqua" w:hint="eastAsia"/>
                <w:lang w:val="en-SG"/>
              </w:rPr>
              <w:t>tudy</w:t>
            </w:r>
          </w:p>
        </w:tc>
        <w:tc>
          <w:tcPr>
            <w:tcW w:w="2251" w:type="pct"/>
            <w:tcBorders>
              <w:top w:val="single" w:sz="4" w:space="0" w:color="auto"/>
            </w:tcBorders>
          </w:tcPr>
          <w:p w14:paraId="0E208507" w14:textId="77777777" w:rsidR="00381465" w:rsidRDefault="00000000">
            <w:pPr>
              <w:spacing w:line="360" w:lineRule="auto"/>
              <w:jc w:val="both"/>
              <w:rPr>
                <w:rFonts w:ascii="Book Antiqua" w:hAnsi="Book Antiqua"/>
              </w:rPr>
            </w:pPr>
            <w:r>
              <w:rPr>
                <w:rFonts w:ascii="Book Antiqua" w:hAnsi="Book Antiqua" w:hint="eastAsia"/>
                <w:lang w:val="en-SG"/>
              </w:rPr>
              <w:t xml:space="preserve">Adverse dental events in cohort of patients having </w:t>
            </w:r>
            <w:r>
              <w:rPr>
                <w:rFonts w:ascii="Book Antiqua" w:hAnsi="Book Antiqua" w:hint="eastAsia"/>
                <w:lang w:eastAsia="zh-CN"/>
              </w:rPr>
              <w:t>o</w:t>
            </w:r>
            <w:r>
              <w:rPr>
                <w:rFonts w:ascii="Book Antiqua" w:hAnsi="Book Antiqua" w:hint="eastAsia"/>
                <w:lang w:val="en-SG"/>
              </w:rPr>
              <w:t>rahesive applied prior to endoscopy or general anaesthesia</w:t>
            </w:r>
          </w:p>
        </w:tc>
        <w:tc>
          <w:tcPr>
            <w:tcW w:w="333" w:type="pct"/>
            <w:tcBorders>
              <w:top w:val="single" w:sz="4" w:space="0" w:color="auto"/>
            </w:tcBorders>
          </w:tcPr>
          <w:p w14:paraId="109C221B" w14:textId="77777777" w:rsidR="00381465" w:rsidRDefault="00000000">
            <w:pPr>
              <w:spacing w:line="360" w:lineRule="auto"/>
              <w:jc w:val="both"/>
              <w:rPr>
                <w:rFonts w:ascii="Book Antiqua" w:hAnsi="Book Antiqua"/>
              </w:rPr>
            </w:pPr>
            <w:r>
              <w:rPr>
                <w:rFonts w:ascii="Book Antiqua" w:hAnsi="Book Antiqua" w:hint="eastAsia"/>
                <w:lang w:val="en-SG"/>
              </w:rPr>
              <w:t>110</w:t>
            </w:r>
          </w:p>
        </w:tc>
        <w:tc>
          <w:tcPr>
            <w:tcW w:w="917" w:type="pct"/>
            <w:tcBorders>
              <w:top w:val="single" w:sz="4" w:space="0" w:color="auto"/>
            </w:tcBorders>
          </w:tcPr>
          <w:p w14:paraId="50D52100" w14:textId="77777777" w:rsidR="00381465" w:rsidRDefault="00000000">
            <w:pPr>
              <w:spacing w:line="360" w:lineRule="auto"/>
              <w:jc w:val="both"/>
              <w:rPr>
                <w:rFonts w:ascii="Book Antiqua" w:hAnsi="Book Antiqua"/>
              </w:rPr>
            </w:pPr>
            <w:r>
              <w:rPr>
                <w:rFonts w:ascii="Book Antiqua" w:hAnsi="Book Antiqua" w:hint="eastAsia"/>
                <w:lang w:val="en-SG"/>
              </w:rPr>
              <w:t>No adverse dental events reported</w:t>
            </w:r>
          </w:p>
        </w:tc>
      </w:tr>
      <w:tr w:rsidR="00381465" w14:paraId="23942E42" w14:textId="77777777">
        <w:trPr>
          <w:trHeight w:val="1800"/>
        </w:trPr>
        <w:tc>
          <w:tcPr>
            <w:tcW w:w="984" w:type="pct"/>
          </w:tcPr>
          <w:p w14:paraId="499BE6EE" w14:textId="77777777" w:rsidR="00381465" w:rsidRDefault="00000000">
            <w:pPr>
              <w:spacing w:line="360" w:lineRule="auto"/>
              <w:jc w:val="both"/>
              <w:rPr>
                <w:rFonts w:ascii="Book Antiqua" w:hAnsi="Book Antiqua"/>
              </w:rPr>
            </w:pPr>
            <w:bookmarkStart w:id="3" w:name="RANGE!A14"/>
            <w:r>
              <w:rPr>
                <w:rFonts w:ascii="Book Antiqua" w:hAnsi="Book Antiqua" w:hint="eastAsia"/>
                <w:lang w:val="en-SG"/>
              </w:rPr>
              <w:t xml:space="preserve">Ackerman </w:t>
            </w:r>
            <w:r>
              <w:rPr>
                <w:rFonts w:ascii="Book Antiqua" w:hAnsi="Book Antiqua" w:hint="eastAsia"/>
                <w:i/>
                <w:iCs/>
                <w:lang w:val="en-SG"/>
              </w:rPr>
              <w:t>et al</w:t>
            </w:r>
            <w:r>
              <w:rPr>
                <w:rFonts w:ascii="Book Antiqua" w:hAnsi="Book Antiqua"/>
                <w:vertAlign w:val="superscript"/>
                <w:lang w:val="en-SG"/>
              </w:rPr>
              <w:t>[9]</w:t>
            </w:r>
            <w:r>
              <w:rPr>
                <w:rFonts w:ascii="Book Antiqua" w:hAnsi="Book Antiqua"/>
                <w:i/>
                <w:iCs/>
                <w:lang w:val="en-SG"/>
              </w:rPr>
              <w:t xml:space="preserve">, </w:t>
            </w:r>
            <w:r>
              <w:rPr>
                <w:rFonts w:ascii="Book Antiqua" w:hAnsi="Book Antiqua"/>
                <w:lang w:val="en-SG"/>
              </w:rPr>
              <w:t>1996</w:t>
            </w:r>
            <w:bookmarkEnd w:id="3"/>
          </w:p>
        </w:tc>
        <w:tc>
          <w:tcPr>
            <w:tcW w:w="513" w:type="pct"/>
          </w:tcPr>
          <w:p w14:paraId="7CF706E8" w14:textId="77777777" w:rsidR="00381465" w:rsidRDefault="00000000">
            <w:pPr>
              <w:spacing w:line="360" w:lineRule="auto"/>
              <w:jc w:val="both"/>
              <w:rPr>
                <w:rFonts w:ascii="Book Antiqua" w:hAnsi="Book Antiqua"/>
              </w:rPr>
            </w:pPr>
            <w:r>
              <w:rPr>
                <w:rFonts w:ascii="Book Antiqua" w:hAnsi="Book Antiqua" w:hint="eastAsia"/>
                <w:lang w:val="en-SG"/>
              </w:rPr>
              <w:t>Cohort study</w:t>
            </w:r>
          </w:p>
        </w:tc>
        <w:tc>
          <w:tcPr>
            <w:tcW w:w="2251" w:type="pct"/>
          </w:tcPr>
          <w:p w14:paraId="2BD0F94E" w14:textId="77777777" w:rsidR="00381465" w:rsidRDefault="00000000">
            <w:pPr>
              <w:spacing w:line="360" w:lineRule="auto"/>
              <w:jc w:val="both"/>
              <w:rPr>
                <w:rFonts w:ascii="Book Antiqua" w:hAnsi="Book Antiqua"/>
              </w:rPr>
            </w:pPr>
            <w:r>
              <w:rPr>
                <w:rFonts w:ascii="Book Antiqua" w:hAnsi="Book Antiqua" w:hint="eastAsia"/>
                <w:lang w:val="en-SG"/>
              </w:rPr>
              <w:t xml:space="preserve">Observational study on adverse dental events following upper endoscopy over 3 years </w:t>
            </w:r>
          </w:p>
        </w:tc>
        <w:tc>
          <w:tcPr>
            <w:tcW w:w="333" w:type="pct"/>
          </w:tcPr>
          <w:p w14:paraId="0AF8E51A" w14:textId="77777777" w:rsidR="00381465" w:rsidRDefault="00000000">
            <w:pPr>
              <w:spacing w:line="360" w:lineRule="auto"/>
              <w:jc w:val="both"/>
              <w:rPr>
                <w:rFonts w:ascii="Book Antiqua" w:hAnsi="Book Antiqua"/>
              </w:rPr>
            </w:pPr>
            <w:r>
              <w:rPr>
                <w:rFonts w:ascii="Book Antiqua" w:hAnsi="Book Antiqua" w:hint="eastAsia"/>
                <w:lang w:val="en-SG"/>
              </w:rPr>
              <w:t>5000</w:t>
            </w:r>
          </w:p>
        </w:tc>
        <w:tc>
          <w:tcPr>
            <w:tcW w:w="917" w:type="pct"/>
          </w:tcPr>
          <w:p w14:paraId="0979E007" w14:textId="77777777" w:rsidR="00381465" w:rsidRDefault="00000000">
            <w:pPr>
              <w:spacing w:line="360" w:lineRule="auto"/>
              <w:jc w:val="both"/>
              <w:rPr>
                <w:rFonts w:ascii="Book Antiqua" w:hAnsi="Book Antiqua"/>
              </w:rPr>
            </w:pPr>
            <w:r>
              <w:rPr>
                <w:rFonts w:ascii="Book Antiqua" w:hAnsi="Book Antiqua" w:hint="eastAsia"/>
                <w:lang w:val="en-SG"/>
              </w:rPr>
              <w:t>Major adverse events</w:t>
            </w:r>
            <w:r>
              <w:rPr>
                <w:rFonts w:ascii="Book Antiqua" w:hAnsi="Book Antiqua"/>
                <w:vertAlign w:val="superscript"/>
                <w:lang w:val="en-SG"/>
              </w:rPr>
              <w:t>a</w:t>
            </w:r>
            <w:r>
              <w:rPr>
                <w:rFonts w:ascii="Book Antiqua" w:hAnsi="Book Antiqua"/>
                <w:lang w:val="en-SG"/>
              </w:rPr>
              <w:t xml:space="preserve">: 2; </w:t>
            </w:r>
            <w:r>
              <w:rPr>
                <w:rFonts w:ascii="Book Antiqua" w:hAnsi="Book Antiqua" w:hint="eastAsia"/>
                <w:lang w:val="en-SG"/>
              </w:rPr>
              <w:t>No minor adverse events</w:t>
            </w:r>
            <w:r>
              <w:rPr>
                <w:rFonts w:ascii="Book Antiqua" w:hAnsi="Book Antiqua"/>
                <w:vertAlign w:val="superscript"/>
                <w:lang w:val="en-SG"/>
              </w:rPr>
              <w:t>b</w:t>
            </w:r>
            <w:r>
              <w:rPr>
                <w:rFonts w:ascii="Book Antiqua" w:hAnsi="Book Antiqua"/>
                <w:lang w:val="en-SG"/>
              </w:rPr>
              <w:t xml:space="preserve"> studied</w:t>
            </w:r>
          </w:p>
        </w:tc>
      </w:tr>
      <w:tr w:rsidR="00381465" w14:paraId="53DAA9DC" w14:textId="77777777">
        <w:trPr>
          <w:trHeight w:val="2713"/>
        </w:trPr>
        <w:tc>
          <w:tcPr>
            <w:tcW w:w="984" w:type="pct"/>
          </w:tcPr>
          <w:p w14:paraId="06BF58EC" w14:textId="77777777" w:rsidR="00381465" w:rsidRDefault="00000000">
            <w:pPr>
              <w:spacing w:line="360" w:lineRule="auto"/>
              <w:jc w:val="both"/>
              <w:rPr>
                <w:rFonts w:ascii="Book Antiqua" w:hAnsi="Book Antiqua"/>
              </w:rPr>
            </w:pPr>
            <w:bookmarkStart w:id="4" w:name="RANGE!A16"/>
            <w:r>
              <w:rPr>
                <w:rFonts w:ascii="Book Antiqua" w:hAnsi="Book Antiqua" w:hint="eastAsia"/>
                <w:lang w:val="en-SG"/>
              </w:rPr>
              <w:lastRenderedPageBreak/>
              <w:t xml:space="preserve">Min </w:t>
            </w:r>
            <w:r>
              <w:rPr>
                <w:rFonts w:ascii="Book Antiqua" w:hAnsi="Book Antiqua" w:hint="eastAsia"/>
                <w:i/>
                <w:iCs/>
                <w:lang w:val="en-SG"/>
              </w:rPr>
              <w:t>et al</w:t>
            </w:r>
            <w:r>
              <w:rPr>
                <w:rFonts w:ascii="Book Antiqua" w:hAnsi="Book Antiqua"/>
                <w:vertAlign w:val="superscript"/>
                <w:lang w:val="en-SG"/>
              </w:rPr>
              <w:t>[10]</w:t>
            </w:r>
            <w:r>
              <w:rPr>
                <w:rFonts w:ascii="Book Antiqua" w:hAnsi="Book Antiqua"/>
                <w:i/>
                <w:iCs/>
                <w:lang w:val="en-SG"/>
              </w:rPr>
              <w:t xml:space="preserve">, </w:t>
            </w:r>
            <w:r>
              <w:rPr>
                <w:rFonts w:ascii="Book Antiqua" w:hAnsi="Book Antiqua"/>
                <w:lang w:val="en-SG"/>
              </w:rPr>
              <w:t>2008</w:t>
            </w:r>
            <w:bookmarkEnd w:id="4"/>
          </w:p>
        </w:tc>
        <w:tc>
          <w:tcPr>
            <w:tcW w:w="513" w:type="pct"/>
          </w:tcPr>
          <w:p w14:paraId="75C2F906" w14:textId="77777777" w:rsidR="00381465" w:rsidRDefault="00000000">
            <w:pPr>
              <w:spacing w:line="360" w:lineRule="auto"/>
              <w:jc w:val="both"/>
              <w:rPr>
                <w:rFonts w:ascii="Book Antiqua" w:hAnsi="Book Antiqua"/>
              </w:rPr>
            </w:pPr>
            <w:r>
              <w:rPr>
                <w:rFonts w:ascii="Book Antiqua" w:hAnsi="Book Antiqua" w:hint="eastAsia"/>
                <w:lang w:val="en-SG"/>
              </w:rPr>
              <w:t>RCT</w:t>
            </w:r>
          </w:p>
        </w:tc>
        <w:tc>
          <w:tcPr>
            <w:tcW w:w="2251" w:type="pct"/>
          </w:tcPr>
          <w:p w14:paraId="53D84A39" w14:textId="77777777" w:rsidR="00381465" w:rsidRDefault="00000000">
            <w:pPr>
              <w:spacing w:line="360" w:lineRule="auto"/>
              <w:jc w:val="both"/>
              <w:rPr>
                <w:rFonts w:ascii="Book Antiqua" w:hAnsi="Book Antiqua"/>
              </w:rPr>
            </w:pPr>
            <w:r>
              <w:rPr>
                <w:rFonts w:ascii="Book Antiqua" w:hAnsi="Book Antiqua" w:hint="eastAsia"/>
                <w:lang w:val="en-SG"/>
              </w:rPr>
              <w:t xml:space="preserve">Dental related complications following use of TPM and MB-142 mouth guards assessed </w:t>
            </w:r>
            <w:r>
              <w:rPr>
                <w:rFonts w:ascii="Book Antiqua" w:hAnsi="Book Antiqua" w:hint="eastAsia"/>
                <w:i/>
                <w:iCs/>
                <w:lang w:val="en-SG"/>
              </w:rPr>
              <w:t>via</w:t>
            </w:r>
            <w:r>
              <w:rPr>
                <w:rFonts w:ascii="Book Antiqua" w:hAnsi="Book Antiqua" w:hint="eastAsia"/>
                <w:lang w:val="en-SG"/>
              </w:rPr>
              <w:t xml:space="preserve"> structured questionnaire 3-4 after index upper endoscopy </w:t>
            </w:r>
          </w:p>
        </w:tc>
        <w:tc>
          <w:tcPr>
            <w:tcW w:w="333" w:type="pct"/>
          </w:tcPr>
          <w:p w14:paraId="2BA44E0A" w14:textId="77777777" w:rsidR="00381465" w:rsidRDefault="00000000">
            <w:pPr>
              <w:spacing w:line="360" w:lineRule="auto"/>
              <w:jc w:val="both"/>
              <w:rPr>
                <w:rFonts w:ascii="Book Antiqua" w:hAnsi="Book Antiqua"/>
              </w:rPr>
            </w:pPr>
            <w:r>
              <w:rPr>
                <w:rFonts w:ascii="Book Antiqua" w:hAnsi="Book Antiqua" w:hint="eastAsia"/>
                <w:lang w:val="en-SG"/>
              </w:rPr>
              <w:t>865</w:t>
            </w:r>
          </w:p>
        </w:tc>
        <w:tc>
          <w:tcPr>
            <w:tcW w:w="917" w:type="pct"/>
          </w:tcPr>
          <w:p w14:paraId="5952AD99" w14:textId="77777777" w:rsidR="00381465" w:rsidRDefault="00000000">
            <w:pPr>
              <w:spacing w:line="360" w:lineRule="auto"/>
              <w:jc w:val="both"/>
              <w:rPr>
                <w:rFonts w:ascii="Book Antiqua" w:hAnsi="Book Antiqua"/>
              </w:rPr>
            </w:pPr>
            <w:r>
              <w:rPr>
                <w:rFonts w:ascii="Book Antiqua" w:hAnsi="Book Antiqua" w:hint="eastAsia"/>
                <w:lang w:val="en-SG"/>
              </w:rPr>
              <w:t>Major adverse events: 2</w:t>
            </w:r>
            <w:r>
              <w:rPr>
                <w:rFonts w:ascii="Book Antiqua" w:hAnsi="Book Antiqua"/>
                <w:lang w:val="en-SG"/>
              </w:rPr>
              <w:t xml:space="preserve">; </w:t>
            </w:r>
            <w:r>
              <w:rPr>
                <w:rFonts w:ascii="Book Antiqua" w:hAnsi="Book Antiqua" w:hint="eastAsia"/>
                <w:lang w:val="en-SG"/>
              </w:rPr>
              <w:t>Minor adverse events: 19</w:t>
            </w:r>
          </w:p>
        </w:tc>
      </w:tr>
      <w:tr w:rsidR="00381465" w14:paraId="3306BB5D" w14:textId="77777777">
        <w:trPr>
          <w:trHeight w:val="983"/>
        </w:trPr>
        <w:tc>
          <w:tcPr>
            <w:tcW w:w="984" w:type="pct"/>
          </w:tcPr>
          <w:p w14:paraId="06B3509D" w14:textId="77777777" w:rsidR="00381465" w:rsidRDefault="00000000">
            <w:pPr>
              <w:spacing w:line="360" w:lineRule="auto"/>
              <w:jc w:val="both"/>
              <w:rPr>
                <w:rFonts w:ascii="Book Antiqua" w:hAnsi="Book Antiqua"/>
              </w:rPr>
            </w:pPr>
            <w:bookmarkStart w:id="5" w:name="RANGE!A18"/>
            <w:r>
              <w:rPr>
                <w:rFonts w:ascii="Book Antiqua" w:hAnsi="Book Antiqua" w:hint="eastAsia"/>
                <w:lang w:val="en-SG"/>
              </w:rPr>
              <w:t xml:space="preserve">Mogrovejo </w:t>
            </w:r>
            <w:r>
              <w:rPr>
                <w:rFonts w:ascii="Book Antiqua" w:hAnsi="Book Antiqua" w:hint="eastAsia"/>
                <w:i/>
                <w:iCs/>
                <w:lang w:val="en-SG"/>
              </w:rPr>
              <w:t>et al</w:t>
            </w:r>
            <w:r>
              <w:rPr>
                <w:rFonts w:ascii="Book Antiqua" w:hAnsi="Book Antiqua"/>
                <w:vertAlign w:val="superscript"/>
                <w:lang w:val="en-SG"/>
              </w:rPr>
              <w:t>[11]</w:t>
            </w:r>
            <w:r>
              <w:rPr>
                <w:rFonts w:ascii="Book Antiqua" w:hAnsi="Book Antiqua"/>
                <w:i/>
                <w:iCs/>
                <w:lang w:val="en-SG"/>
              </w:rPr>
              <w:t xml:space="preserve">, </w:t>
            </w:r>
            <w:r>
              <w:rPr>
                <w:rFonts w:ascii="Book Antiqua" w:hAnsi="Book Antiqua"/>
                <w:lang w:val="en-SG"/>
              </w:rPr>
              <w:t>2015</w:t>
            </w:r>
            <w:bookmarkEnd w:id="5"/>
          </w:p>
        </w:tc>
        <w:tc>
          <w:tcPr>
            <w:tcW w:w="513" w:type="pct"/>
          </w:tcPr>
          <w:p w14:paraId="28285BE5" w14:textId="77777777" w:rsidR="00381465" w:rsidRDefault="00000000">
            <w:pPr>
              <w:spacing w:line="360" w:lineRule="auto"/>
              <w:jc w:val="both"/>
              <w:rPr>
                <w:rFonts w:ascii="Book Antiqua" w:hAnsi="Book Antiqua"/>
              </w:rPr>
            </w:pPr>
            <w:r>
              <w:rPr>
                <w:rFonts w:ascii="Book Antiqua" w:hAnsi="Book Antiqua" w:hint="eastAsia"/>
                <w:lang w:val="en-SG"/>
              </w:rPr>
              <w:t xml:space="preserve">Case </w:t>
            </w:r>
            <w:r>
              <w:rPr>
                <w:rFonts w:ascii="Book Antiqua" w:hAnsi="Book Antiqua"/>
                <w:lang w:val="en-SG"/>
              </w:rPr>
              <w:t>series</w:t>
            </w:r>
          </w:p>
        </w:tc>
        <w:tc>
          <w:tcPr>
            <w:tcW w:w="3502" w:type="pct"/>
            <w:gridSpan w:val="3"/>
          </w:tcPr>
          <w:p w14:paraId="2F5A3742" w14:textId="77777777" w:rsidR="00381465" w:rsidRDefault="00000000">
            <w:pPr>
              <w:spacing w:line="360" w:lineRule="auto"/>
              <w:jc w:val="both"/>
              <w:rPr>
                <w:rFonts w:ascii="Book Antiqua" w:hAnsi="Book Antiqua"/>
              </w:rPr>
            </w:pPr>
            <w:r>
              <w:rPr>
                <w:rFonts w:ascii="Book Antiqua" w:hAnsi="Book Antiqua" w:hint="eastAsia"/>
                <w:lang w:val="en-SG"/>
              </w:rPr>
              <w:t xml:space="preserve">Report on 3 cases of dental injury sustained after upper endoscopy </w:t>
            </w:r>
          </w:p>
        </w:tc>
      </w:tr>
    </w:tbl>
    <w:p w14:paraId="244EB734" w14:textId="77777777" w:rsidR="00381465" w:rsidRDefault="00000000">
      <w:pPr>
        <w:spacing w:line="360" w:lineRule="auto"/>
        <w:jc w:val="both"/>
        <w:rPr>
          <w:rFonts w:ascii="Book Antiqua" w:hAnsi="Book Antiqua"/>
          <w:lang w:val="en-SG"/>
        </w:rPr>
      </w:pPr>
      <w:r>
        <w:rPr>
          <w:rFonts w:ascii="Book Antiqua" w:hAnsi="Book Antiqua" w:hint="eastAsia"/>
          <w:vertAlign w:val="superscript"/>
          <w:lang w:val="en-SG"/>
        </w:rPr>
        <w:t>a</w:t>
      </w:r>
      <w:r>
        <w:rPr>
          <w:rFonts w:ascii="Book Antiqua" w:hAnsi="Book Antiqua"/>
          <w:lang w:val="en-SG"/>
        </w:rPr>
        <w:t>Major adverse event includes cases of tooth fracture, tooth avulsion, tooth subluxation.</w:t>
      </w:r>
    </w:p>
    <w:p w14:paraId="7AD70640" w14:textId="77777777" w:rsidR="00381465" w:rsidRDefault="00000000">
      <w:pPr>
        <w:spacing w:line="360" w:lineRule="auto"/>
        <w:jc w:val="both"/>
        <w:rPr>
          <w:rFonts w:ascii="Book Antiqua" w:hAnsi="Book Antiqua"/>
          <w:lang w:val="en-SG"/>
        </w:rPr>
      </w:pPr>
      <w:r>
        <w:rPr>
          <w:rFonts w:ascii="Book Antiqua" w:hAnsi="Book Antiqua" w:hint="eastAsia"/>
          <w:vertAlign w:val="superscript"/>
          <w:lang w:val="en-SG"/>
        </w:rPr>
        <w:t>b</w:t>
      </w:r>
      <w:r>
        <w:rPr>
          <w:rFonts w:ascii="Book Antiqua" w:hAnsi="Book Antiqua"/>
          <w:lang w:val="en-SG"/>
        </w:rPr>
        <w:t>Minor adverse events includes gum discomfort, masticatory pain, toothache and cancellations due to dental reasons.</w:t>
      </w:r>
    </w:p>
    <w:p w14:paraId="2617C694" w14:textId="77777777" w:rsidR="00381465" w:rsidRDefault="00000000">
      <w:pPr>
        <w:spacing w:line="360" w:lineRule="auto"/>
        <w:jc w:val="both"/>
        <w:rPr>
          <w:rFonts w:ascii="Book Antiqua" w:hAnsi="Book Antiqua"/>
          <w:lang w:val="en-SG"/>
        </w:rPr>
      </w:pPr>
      <w:r>
        <w:rPr>
          <w:rFonts w:ascii="Book Antiqua" w:hAnsi="Book Antiqua" w:hint="eastAsia"/>
          <w:lang w:val="en-SG"/>
        </w:rPr>
        <w:t>RCT</w:t>
      </w:r>
      <w:r>
        <w:rPr>
          <w:rFonts w:ascii="Book Antiqua" w:hAnsi="Book Antiqua"/>
          <w:lang w:val="en-SG"/>
        </w:rPr>
        <w:t xml:space="preserve">: </w:t>
      </w:r>
      <w:r>
        <w:rPr>
          <w:rFonts w:ascii="Book Antiqua" w:hAnsi="Book Antiqua"/>
        </w:rPr>
        <w:t xml:space="preserve">Randomized control trial; </w:t>
      </w:r>
      <w:r>
        <w:rPr>
          <w:rFonts w:ascii="Book Antiqua" w:hAnsi="Book Antiqua" w:hint="eastAsia"/>
          <w:lang w:val="en-SG"/>
        </w:rPr>
        <w:t>TPM</w:t>
      </w:r>
      <w:r>
        <w:rPr>
          <w:rFonts w:ascii="Book Antiqua" w:hAnsi="Book Antiqua"/>
          <w:lang w:val="en-SG"/>
        </w:rPr>
        <w:t>: Teeth-protecting mouthpiece</w:t>
      </w:r>
    </w:p>
    <w:p w14:paraId="7929E305" w14:textId="77777777" w:rsidR="00381465" w:rsidRDefault="00000000">
      <w:pPr>
        <w:rPr>
          <w:rFonts w:ascii="Book Antiqua" w:hAnsi="Book Antiqua"/>
          <w:lang w:val="en-SG"/>
        </w:rPr>
      </w:pPr>
      <w:r>
        <w:rPr>
          <w:rFonts w:ascii="Book Antiqua" w:hAnsi="Book Antiqua"/>
          <w:lang w:val="en-SG"/>
        </w:rPr>
        <w:br w:type="page"/>
      </w:r>
    </w:p>
    <w:p w14:paraId="56F72D0D" w14:textId="77777777" w:rsidR="00381465" w:rsidRDefault="00000000">
      <w:pPr>
        <w:spacing w:line="360" w:lineRule="auto"/>
        <w:jc w:val="both"/>
        <w:rPr>
          <w:rFonts w:ascii="Book Antiqua" w:hAnsi="Book Antiqua"/>
          <w:b/>
          <w:bCs/>
          <w:lang w:val="en-SG"/>
        </w:rPr>
      </w:pPr>
      <w:r>
        <w:rPr>
          <w:rFonts w:ascii="Book Antiqua" w:hAnsi="Book Antiqua"/>
          <w:b/>
          <w:bCs/>
          <w:lang w:val="en-SG"/>
        </w:rPr>
        <w:lastRenderedPageBreak/>
        <w:t>Table 2 Outpatient endoscopy cases during a two-year period</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960"/>
      </w:tblGrid>
      <w:tr w:rsidR="00381465" w14:paraId="67035F82" w14:textId="77777777">
        <w:trPr>
          <w:trHeight w:val="288"/>
        </w:trPr>
        <w:tc>
          <w:tcPr>
            <w:tcW w:w="5400" w:type="dxa"/>
            <w:tcBorders>
              <w:top w:val="single" w:sz="4" w:space="0" w:color="auto"/>
              <w:bottom w:val="single" w:sz="4" w:space="0" w:color="auto"/>
            </w:tcBorders>
            <w:noWrap/>
          </w:tcPr>
          <w:p w14:paraId="63883DD6" w14:textId="77777777" w:rsidR="00381465" w:rsidRDefault="00000000">
            <w:pPr>
              <w:spacing w:line="360" w:lineRule="auto"/>
              <w:jc w:val="both"/>
              <w:rPr>
                <w:rFonts w:ascii="Book Antiqua" w:hAnsi="Book Antiqua"/>
                <w:b/>
                <w:bCs/>
                <w:lang w:val="en-SG"/>
              </w:rPr>
            </w:pPr>
            <w:r>
              <w:rPr>
                <w:rFonts w:ascii="Book Antiqua" w:hAnsi="Book Antiqua"/>
                <w:b/>
                <w:bCs/>
                <w:lang w:val="en-SG"/>
              </w:rPr>
              <w:t>Type</w:t>
            </w:r>
          </w:p>
        </w:tc>
        <w:tc>
          <w:tcPr>
            <w:tcW w:w="960" w:type="dxa"/>
            <w:tcBorders>
              <w:top w:val="single" w:sz="4" w:space="0" w:color="auto"/>
              <w:bottom w:val="single" w:sz="4" w:space="0" w:color="auto"/>
            </w:tcBorders>
            <w:noWrap/>
          </w:tcPr>
          <w:p w14:paraId="7CB92D14" w14:textId="77777777" w:rsidR="00381465" w:rsidRDefault="00000000">
            <w:pPr>
              <w:spacing w:line="360" w:lineRule="auto"/>
              <w:jc w:val="both"/>
              <w:rPr>
                <w:rFonts w:ascii="Book Antiqua" w:hAnsi="Book Antiqua"/>
                <w:b/>
                <w:bCs/>
                <w:lang w:val="en-SG"/>
              </w:rPr>
            </w:pPr>
            <w:r>
              <w:rPr>
                <w:rFonts w:ascii="Book Antiqua" w:hAnsi="Book Antiqua"/>
                <w:b/>
                <w:bCs/>
                <w:lang w:val="en-SG"/>
              </w:rPr>
              <w:t>No</w:t>
            </w:r>
            <w:r>
              <w:rPr>
                <w:rFonts w:ascii="Book Antiqua" w:hAnsi="Book Antiqua" w:hint="eastAsia"/>
                <w:b/>
                <w:bCs/>
                <w:lang w:val="en-SG"/>
              </w:rPr>
              <w:t>.</w:t>
            </w:r>
          </w:p>
        </w:tc>
      </w:tr>
      <w:tr w:rsidR="00381465" w14:paraId="258F92E6" w14:textId="77777777">
        <w:trPr>
          <w:trHeight w:val="288"/>
        </w:trPr>
        <w:tc>
          <w:tcPr>
            <w:tcW w:w="5400" w:type="dxa"/>
            <w:tcBorders>
              <w:top w:val="single" w:sz="4" w:space="0" w:color="auto"/>
            </w:tcBorders>
            <w:noWrap/>
          </w:tcPr>
          <w:p w14:paraId="0773F930" w14:textId="77777777" w:rsidR="00381465" w:rsidRDefault="00000000">
            <w:pPr>
              <w:spacing w:line="360" w:lineRule="auto"/>
              <w:jc w:val="both"/>
              <w:rPr>
                <w:rFonts w:ascii="Book Antiqua" w:hAnsi="Book Antiqua"/>
                <w:lang w:val="en-SG"/>
              </w:rPr>
            </w:pPr>
            <w:r>
              <w:rPr>
                <w:rFonts w:ascii="Book Antiqua" w:hAnsi="Book Antiqua" w:hint="eastAsia"/>
                <w:lang w:val="en-SG"/>
              </w:rPr>
              <w:t>Oesophagogastroduodenoscopy/</w:t>
            </w:r>
            <w:r>
              <w:rPr>
                <w:rFonts w:ascii="Book Antiqua" w:hAnsi="Book Antiqua"/>
                <w:lang w:val="en-SG"/>
              </w:rPr>
              <w:t>antegrade enteroscopy</w:t>
            </w:r>
          </w:p>
        </w:tc>
        <w:tc>
          <w:tcPr>
            <w:tcW w:w="960" w:type="dxa"/>
            <w:tcBorders>
              <w:top w:val="single" w:sz="4" w:space="0" w:color="auto"/>
            </w:tcBorders>
            <w:noWrap/>
          </w:tcPr>
          <w:p w14:paraId="072B5CB0" w14:textId="77777777" w:rsidR="00381465" w:rsidRDefault="00000000">
            <w:pPr>
              <w:spacing w:line="360" w:lineRule="auto"/>
              <w:jc w:val="both"/>
              <w:rPr>
                <w:rFonts w:ascii="Book Antiqua" w:hAnsi="Book Antiqua"/>
                <w:lang w:val="en-SG"/>
              </w:rPr>
            </w:pPr>
            <w:r>
              <w:rPr>
                <w:rFonts w:ascii="Book Antiqua" w:hAnsi="Book Antiqua" w:hint="eastAsia"/>
                <w:lang w:val="en-SG"/>
              </w:rPr>
              <w:t>10142</w:t>
            </w:r>
          </w:p>
        </w:tc>
      </w:tr>
      <w:tr w:rsidR="00381465" w14:paraId="0364FD65" w14:textId="77777777">
        <w:trPr>
          <w:trHeight w:val="288"/>
        </w:trPr>
        <w:tc>
          <w:tcPr>
            <w:tcW w:w="5400" w:type="dxa"/>
            <w:noWrap/>
          </w:tcPr>
          <w:p w14:paraId="1003358F" w14:textId="77777777" w:rsidR="00381465" w:rsidRDefault="00000000">
            <w:pPr>
              <w:spacing w:line="360" w:lineRule="auto"/>
              <w:jc w:val="both"/>
              <w:rPr>
                <w:rFonts w:ascii="Book Antiqua" w:hAnsi="Book Antiqua"/>
                <w:lang w:val="en-SG"/>
              </w:rPr>
            </w:pPr>
            <w:r>
              <w:rPr>
                <w:rFonts w:ascii="Book Antiqua" w:hAnsi="Book Antiqua" w:hint="eastAsia"/>
                <w:lang w:val="en-SG"/>
              </w:rPr>
              <w:t>Colonoscopy/</w:t>
            </w:r>
            <w:r>
              <w:rPr>
                <w:rFonts w:ascii="Book Antiqua" w:hAnsi="Book Antiqua"/>
                <w:lang w:val="en-SG"/>
              </w:rPr>
              <w:t>sigmoidoscopy</w:t>
            </w:r>
          </w:p>
        </w:tc>
        <w:tc>
          <w:tcPr>
            <w:tcW w:w="960" w:type="dxa"/>
            <w:noWrap/>
          </w:tcPr>
          <w:p w14:paraId="662A64AC" w14:textId="77777777" w:rsidR="00381465" w:rsidRDefault="00000000">
            <w:pPr>
              <w:spacing w:line="360" w:lineRule="auto"/>
              <w:jc w:val="both"/>
              <w:rPr>
                <w:rFonts w:ascii="Book Antiqua" w:hAnsi="Book Antiqua"/>
                <w:lang w:val="en-SG"/>
              </w:rPr>
            </w:pPr>
            <w:r>
              <w:rPr>
                <w:rFonts w:ascii="Book Antiqua" w:hAnsi="Book Antiqua" w:hint="eastAsia"/>
                <w:lang w:val="en-SG"/>
              </w:rPr>
              <w:t>10263</w:t>
            </w:r>
          </w:p>
        </w:tc>
      </w:tr>
      <w:tr w:rsidR="00381465" w14:paraId="1981C1C2" w14:textId="77777777">
        <w:trPr>
          <w:trHeight w:val="288"/>
        </w:trPr>
        <w:tc>
          <w:tcPr>
            <w:tcW w:w="5400" w:type="dxa"/>
            <w:noWrap/>
          </w:tcPr>
          <w:p w14:paraId="5459B62D" w14:textId="77777777" w:rsidR="00381465" w:rsidRDefault="00000000">
            <w:pPr>
              <w:spacing w:line="360" w:lineRule="auto"/>
              <w:jc w:val="both"/>
              <w:rPr>
                <w:rFonts w:ascii="Book Antiqua" w:hAnsi="Book Antiqua"/>
                <w:lang w:val="en-SG"/>
              </w:rPr>
            </w:pPr>
            <w:r>
              <w:rPr>
                <w:rFonts w:ascii="Book Antiqua" w:hAnsi="Book Antiqua" w:hint="eastAsia"/>
                <w:lang w:val="en-SG"/>
              </w:rPr>
              <w:t xml:space="preserve">Endoscopic </w:t>
            </w:r>
            <w:r>
              <w:rPr>
                <w:rFonts w:ascii="Book Antiqua" w:hAnsi="Book Antiqua"/>
                <w:lang w:val="en-SG"/>
              </w:rPr>
              <w:t xml:space="preserve">ultrasound </w:t>
            </w:r>
          </w:p>
        </w:tc>
        <w:tc>
          <w:tcPr>
            <w:tcW w:w="960" w:type="dxa"/>
            <w:noWrap/>
          </w:tcPr>
          <w:p w14:paraId="10AEB5D1" w14:textId="77777777" w:rsidR="00381465" w:rsidRDefault="00000000">
            <w:pPr>
              <w:spacing w:line="360" w:lineRule="auto"/>
              <w:jc w:val="both"/>
              <w:rPr>
                <w:rFonts w:ascii="Book Antiqua" w:hAnsi="Book Antiqua"/>
                <w:lang w:val="en-SG"/>
              </w:rPr>
            </w:pPr>
            <w:r>
              <w:rPr>
                <w:rFonts w:ascii="Book Antiqua" w:hAnsi="Book Antiqua" w:hint="eastAsia"/>
                <w:lang w:val="en-SG"/>
              </w:rPr>
              <w:t>423</w:t>
            </w:r>
          </w:p>
        </w:tc>
      </w:tr>
      <w:tr w:rsidR="00381465" w14:paraId="4720270A" w14:textId="77777777">
        <w:trPr>
          <w:trHeight w:val="288"/>
        </w:trPr>
        <w:tc>
          <w:tcPr>
            <w:tcW w:w="5400" w:type="dxa"/>
            <w:noWrap/>
          </w:tcPr>
          <w:p w14:paraId="21F2F71C" w14:textId="77777777" w:rsidR="00381465" w:rsidRDefault="00000000">
            <w:pPr>
              <w:spacing w:line="360" w:lineRule="auto"/>
              <w:jc w:val="both"/>
              <w:rPr>
                <w:rFonts w:ascii="Book Antiqua" w:hAnsi="Book Antiqua"/>
                <w:lang w:val="en-SG"/>
              </w:rPr>
            </w:pPr>
            <w:r>
              <w:rPr>
                <w:rFonts w:ascii="Book Antiqua" w:hAnsi="Book Antiqua" w:hint="eastAsia"/>
                <w:lang w:val="en-SG"/>
              </w:rPr>
              <w:t xml:space="preserve">Endoscopic </w:t>
            </w:r>
            <w:r>
              <w:rPr>
                <w:rFonts w:ascii="Book Antiqua" w:hAnsi="Book Antiqua"/>
                <w:lang w:val="en-SG"/>
              </w:rPr>
              <w:t>retrograde cholangiopancreatography</w:t>
            </w:r>
          </w:p>
        </w:tc>
        <w:tc>
          <w:tcPr>
            <w:tcW w:w="960" w:type="dxa"/>
            <w:noWrap/>
          </w:tcPr>
          <w:p w14:paraId="00FEB987" w14:textId="77777777" w:rsidR="00381465" w:rsidRDefault="00000000">
            <w:pPr>
              <w:spacing w:line="360" w:lineRule="auto"/>
              <w:jc w:val="both"/>
              <w:rPr>
                <w:rFonts w:ascii="Book Antiqua" w:hAnsi="Book Antiqua"/>
                <w:lang w:val="en-SG"/>
              </w:rPr>
            </w:pPr>
            <w:r>
              <w:rPr>
                <w:rFonts w:ascii="Book Antiqua" w:hAnsi="Book Antiqua" w:hint="eastAsia"/>
                <w:lang w:val="en-SG"/>
              </w:rPr>
              <w:t>248</w:t>
            </w:r>
          </w:p>
        </w:tc>
      </w:tr>
      <w:tr w:rsidR="00381465" w14:paraId="74E75AF0" w14:textId="77777777">
        <w:trPr>
          <w:trHeight w:val="288"/>
        </w:trPr>
        <w:tc>
          <w:tcPr>
            <w:tcW w:w="5400" w:type="dxa"/>
            <w:noWrap/>
          </w:tcPr>
          <w:p w14:paraId="378690E9" w14:textId="77777777" w:rsidR="00381465" w:rsidRDefault="00000000">
            <w:pPr>
              <w:spacing w:line="360" w:lineRule="auto"/>
              <w:jc w:val="both"/>
              <w:rPr>
                <w:rFonts w:ascii="Book Antiqua" w:hAnsi="Book Antiqua"/>
                <w:lang w:val="en-SG"/>
              </w:rPr>
            </w:pPr>
            <w:r>
              <w:rPr>
                <w:rFonts w:ascii="Book Antiqua" w:hAnsi="Book Antiqua" w:hint="eastAsia"/>
                <w:lang w:val="en-SG"/>
              </w:rPr>
              <w:t>Bronchoscopy</w:t>
            </w:r>
          </w:p>
        </w:tc>
        <w:tc>
          <w:tcPr>
            <w:tcW w:w="960" w:type="dxa"/>
            <w:noWrap/>
          </w:tcPr>
          <w:p w14:paraId="40721DA0" w14:textId="77777777" w:rsidR="00381465" w:rsidRDefault="00000000">
            <w:pPr>
              <w:spacing w:line="360" w:lineRule="auto"/>
              <w:jc w:val="both"/>
              <w:rPr>
                <w:rFonts w:ascii="Book Antiqua" w:hAnsi="Book Antiqua"/>
                <w:lang w:val="en-SG"/>
              </w:rPr>
            </w:pPr>
            <w:r>
              <w:rPr>
                <w:rFonts w:ascii="Book Antiqua" w:hAnsi="Book Antiqua" w:hint="eastAsia"/>
                <w:lang w:val="en-SG"/>
              </w:rPr>
              <w:t>452</w:t>
            </w:r>
          </w:p>
        </w:tc>
      </w:tr>
      <w:tr w:rsidR="00381465" w14:paraId="39DE6ED2" w14:textId="77777777">
        <w:trPr>
          <w:trHeight w:val="288"/>
        </w:trPr>
        <w:tc>
          <w:tcPr>
            <w:tcW w:w="5400" w:type="dxa"/>
            <w:noWrap/>
          </w:tcPr>
          <w:p w14:paraId="6A98A4E4" w14:textId="77777777" w:rsidR="00381465" w:rsidRDefault="00000000">
            <w:pPr>
              <w:spacing w:line="360" w:lineRule="auto"/>
              <w:jc w:val="both"/>
              <w:rPr>
                <w:rFonts w:ascii="Book Antiqua" w:hAnsi="Book Antiqua"/>
                <w:lang w:val="en-SG"/>
              </w:rPr>
            </w:pPr>
            <w:r>
              <w:rPr>
                <w:rFonts w:ascii="Book Antiqua" w:hAnsi="Book Antiqua" w:hint="eastAsia"/>
                <w:lang w:val="en-SG"/>
              </w:rPr>
              <w:t>Others (</w:t>
            </w:r>
            <w:r>
              <w:rPr>
                <w:rFonts w:ascii="Book Antiqua" w:hAnsi="Book Antiqua" w:hint="eastAsia"/>
                <w:i/>
                <w:iCs/>
                <w:lang w:val="en-SG"/>
              </w:rPr>
              <w:t>e.g.,</w:t>
            </w:r>
            <w:r>
              <w:rPr>
                <w:rFonts w:ascii="Book Antiqua" w:hAnsi="Book Antiqua" w:hint="eastAsia"/>
                <w:lang w:val="en-SG"/>
              </w:rPr>
              <w:t xml:space="preserve"> </w:t>
            </w:r>
            <w:r>
              <w:rPr>
                <w:rFonts w:ascii="Book Antiqua" w:hAnsi="Book Antiqua"/>
                <w:lang w:val="en-SG"/>
              </w:rPr>
              <w:t>thoracoscopy</w:t>
            </w:r>
            <w:r>
              <w:rPr>
                <w:rFonts w:ascii="Book Antiqua" w:hAnsi="Book Antiqua" w:hint="eastAsia"/>
                <w:lang w:val="en-SG"/>
              </w:rPr>
              <w:t>)</w:t>
            </w:r>
          </w:p>
        </w:tc>
        <w:tc>
          <w:tcPr>
            <w:tcW w:w="960" w:type="dxa"/>
            <w:noWrap/>
          </w:tcPr>
          <w:p w14:paraId="7CFABAD5" w14:textId="77777777" w:rsidR="00381465" w:rsidRDefault="00000000">
            <w:pPr>
              <w:spacing w:line="360" w:lineRule="auto"/>
              <w:jc w:val="both"/>
              <w:rPr>
                <w:rFonts w:ascii="Book Antiqua" w:hAnsi="Book Antiqua"/>
                <w:lang w:val="en-SG"/>
              </w:rPr>
            </w:pPr>
            <w:r>
              <w:rPr>
                <w:rFonts w:ascii="Book Antiqua" w:hAnsi="Book Antiqua" w:hint="eastAsia"/>
                <w:lang w:val="en-SG"/>
              </w:rPr>
              <w:t>11</w:t>
            </w:r>
          </w:p>
        </w:tc>
      </w:tr>
      <w:tr w:rsidR="00381465" w14:paraId="1A443359" w14:textId="77777777">
        <w:trPr>
          <w:trHeight w:val="288"/>
        </w:trPr>
        <w:tc>
          <w:tcPr>
            <w:tcW w:w="5400" w:type="dxa"/>
            <w:noWrap/>
          </w:tcPr>
          <w:p w14:paraId="254E486E" w14:textId="77777777" w:rsidR="00381465" w:rsidRDefault="00000000">
            <w:pPr>
              <w:spacing w:line="360" w:lineRule="auto"/>
              <w:jc w:val="both"/>
              <w:rPr>
                <w:rFonts w:ascii="Book Antiqua" w:hAnsi="Book Antiqua"/>
                <w:lang w:val="en-SG"/>
              </w:rPr>
            </w:pPr>
            <w:r>
              <w:rPr>
                <w:rFonts w:ascii="Book Antiqua" w:hAnsi="Book Antiqua" w:hint="eastAsia"/>
                <w:lang w:val="en-SG"/>
              </w:rPr>
              <w:t>Total number of upper endoscopy cases</w:t>
            </w:r>
          </w:p>
        </w:tc>
        <w:tc>
          <w:tcPr>
            <w:tcW w:w="960" w:type="dxa"/>
            <w:noWrap/>
          </w:tcPr>
          <w:p w14:paraId="473D6B25" w14:textId="77777777" w:rsidR="00381465" w:rsidRDefault="00000000">
            <w:pPr>
              <w:spacing w:line="360" w:lineRule="auto"/>
              <w:jc w:val="both"/>
              <w:rPr>
                <w:rFonts w:ascii="Book Antiqua" w:hAnsi="Book Antiqua"/>
                <w:lang w:val="en-SG"/>
              </w:rPr>
            </w:pPr>
            <w:r>
              <w:rPr>
                <w:rFonts w:ascii="Book Antiqua" w:hAnsi="Book Antiqua" w:hint="eastAsia"/>
                <w:lang w:val="en-SG"/>
              </w:rPr>
              <w:t>11265</w:t>
            </w:r>
          </w:p>
        </w:tc>
      </w:tr>
      <w:tr w:rsidR="00381465" w14:paraId="6CD4032E" w14:textId="77777777">
        <w:trPr>
          <w:trHeight w:val="288"/>
        </w:trPr>
        <w:tc>
          <w:tcPr>
            <w:tcW w:w="5400" w:type="dxa"/>
            <w:noWrap/>
          </w:tcPr>
          <w:p w14:paraId="4572AD0E" w14:textId="77777777" w:rsidR="00381465" w:rsidRDefault="00000000">
            <w:pPr>
              <w:spacing w:line="360" w:lineRule="auto"/>
              <w:jc w:val="both"/>
              <w:rPr>
                <w:rFonts w:ascii="Book Antiqua" w:hAnsi="Book Antiqua"/>
                <w:lang w:val="en-SG"/>
              </w:rPr>
            </w:pPr>
            <w:r>
              <w:rPr>
                <w:rFonts w:ascii="Book Antiqua" w:hAnsi="Book Antiqua" w:hint="eastAsia"/>
                <w:lang w:val="en-SG"/>
              </w:rPr>
              <w:t>Total number of cases</w:t>
            </w:r>
          </w:p>
        </w:tc>
        <w:tc>
          <w:tcPr>
            <w:tcW w:w="960" w:type="dxa"/>
            <w:noWrap/>
          </w:tcPr>
          <w:p w14:paraId="5B65D61D" w14:textId="77777777" w:rsidR="00381465" w:rsidRDefault="00000000">
            <w:pPr>
              <w:spacing w:line="360" w:lineRule="auto"/>
              <w:jc w:val="both"/>
              <w:rPr>
                <w:rFonts w:ascii="Book Antiqua" w:hAnsi="Book Antiqua"/>
                <w:lang w:val="en-SG"/>
              </w:rPr>
            </w:pPr>
            <w:r>
              <w:rPr>
                <w:rFonts w:ascii="Book Antiqua" w:hAnsi="Book Antiqua" w:hint="eastAsia"/>
                <w:lang w:val="en-SG"/>
              </w:rPr>
              <w:t>21539</w:t>
            </w:r>
          </w:p>
        </w:tc>
      </w:tr>
    </w:tbl>
    <w:p w14:paraId="1C8AE417" w14:textId="77777777" w:rsidR="00381465" w:rsidRDefault="00381465">
      <w:pPr>
        <w:spacing w:line="360" w:lineRule="auto"/>
        <w:jc w:val="both"/>
        <w:rPr>
          <w:rFonts w:ascii="Book Antiqua" w:hAnsi="Book Antiqua"/>
          <w:b/>
          <w:bCs/>
          <w:lang w:val="en-SG"/>
        </w:rPr>
      </w:pPr>
    </w:p>
    <w:p w14:paraId="175CFAE2" w14:textId="77777777" w:rsidR="00381465" w:rsidRDefault="00381465">
      <w:pPr>
        <w:spacing w:line="360" w:lineRule="auto"/>
        <w:jc w:val="both"/>
        <w:rPr>
          <w:rFonts w:ascii="Book Antiqua" w:hAnsi="Book Antiqua"/>
          <w:b/>
          <w:bCs/>
          <w:lang w:val="en-SG"/>
        </w:rPr>
      </w:pPr>
    </w:p>
    <w:p w14:paraId="6511703D" w14:textId="77777777" w:rsidR="00381465" w:rsidRDefault="00000000">
      <w:pPr>
        <w:spacing w:line="360" w:lineRule="auto"/>
        <w:jc w:val="both"/>
        <w:rPr>
          <w:rFonts w:ascii="Book Antiqua" w:hAnsi="Book Antiqua"/>
          <w:b/>
          <w:bCs/>
          <w:lang w:val="en-SG"/>
        </w:rPr>
      </w:pPr>
      <w:r>
        <w:rPr>
          <w:rFonts w:ascii="Book Antiqua" w:hAnsi="Book Antiqua"/>
          <w:b/>
          <w:bCs/>
          <w:lang w:val="en-SG"/>
        </w:rPr>
        <w:t>Table 3 Summary of dental related events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960"/>
      </w:tblGrid>
      <w:tr w:rsidR="00381465" w14:paraId="15ACBFC3" w14:textId="77777777" w:rsidTr="002F6C6A">
        <w:trPr>
          <w:trHeight w:val="288"/>
        </w:trPr>
        <w:tc>
          <w:tcPr>
            <w:tcW w:w="2980" w:type="dxa"/>
            <w:tcBorders>
              <w:top w:val="single" w:sz="4" w:space="0" w:color="auto"/>
              <w:bottom w:val="nil"/>
            </w:tcBorders>
            <w:noWrap/>
          </w:tcPr>
          <w:p w14:paraId="690BC094" w14:textId="77777777" w:rsidR="00381465" w:rsidRPr="002F6C6A" w:rsidRDefault="00000000">
            <w:pPr>
              <w:spacing w:line="360" w:lineRule="auto"/>
              <w:jc w:val="both"/>
              <w:rPr>
                <w:rFonts w:ascii="Book Antiqua" w:hAnsi="Book Antiqua"/>
                <w:lang w:val="en-SG"/>
              </w:rPr>
            </w:pPr>
            <w:r w:rsidRPr="002F6C6A">
              <w:rPr>
                <w:rFonts w:ascii="Book Antiqua" w:hAnsi="Book Antiqua" w:hint="eastAsia"/>
                <w:lang w:val="en-SG"/>
              </w:rPr>
              <w:t>Cancellations</w:t>
            </w:r>
          </w:p>
        </w:tc>
        <w:tc>
          <w:tcPr>
            <w:tcW w:w="960" w:type="dxa"/>
            <w:tcBorders>
              <w:top w:val="single" w:sz="4" w:space="0" w:color="auto"/>
              <w:bottom w:val="nil"/>
            </w:tcBorders>
            <w:noWrap/>
          </w:tcPr>
          <w:p w14:paraId="02E7E79A" w14:textId="77777777" w:rsidR="00381465" w:rsidRPr="002F6C6A" w:rsidRDefault="00000000">
            <w:pPr>
              <w:spacing w:line="360" w:lineRule="auto"/>
              <w:jc w:val="both"/>
              <w:rPr>
                <w:rFonts w:ascii="Book Antiqua" w:hAnsi="Book Antiqua"/>
                <w:lang w:val="en-SG"/>
              </w:rPr>
            </w:pPr>
            <w:r w:rsidRPr="002F6C6A">
              <w:rPr>
                <w:rFonts w:ascii="Book Antiqua" w:hAnsi="Book Antiqua" w:hint="eastAsia"/>
                <w:lang w:val="en-SG"/>
              </w:rPr>
              <w:t>32</w:t>
            </w:r>
          </w:p>
        </w:tc>
      </w:tr>
      <w:tr w:rsidR="00381465" w14:paraId="1B77541A" w14:textId="77777777" w:rsidTr="002F6C6A">
        <w:trPr>
          <w:trHeight w:val="288"/>
        </w:trPr>
        <w:tc>
          <w:tcPr>
            <w:tcW w:w="2980" w:type="dxa"/>
            <w:tcBorders>
              <w:top w:val="nil"/>
            </w:tcBorders>
            <w:noWrap/>
          </w:tcPr>
          <w:p w14:paraId="1F4553E4" w14:textId="77777777" w:rsidR="00381465" w:rsidRDefault="00000000">
            <w:pPr>
              <w:spacing w:line="360" w:lineRule="auto"/>
              <w:jc w:val="both"/>
              <w:rPr>
                <w:rFonts w:ascii="Book Antiqua" w:hAnsi="Book Antiqua"/>
                <w:lang w:val="en-SG"/>
              </w:rPr>
            </w:pPr>
            <w:r>
              <w:rPr>
                <w:rFonts w:ascii="Book Antiqua" w:hAnsi="Book Antiqua" w:hint="eastAsia"/>
                <w:lang w:val="en-SG"/>
              </w:rPr>
              <w:t>Oesophagogastroduodenoscopy</w:t>
            </w:r>
          </w:p>
        </w:tc>
        <w:tc>
          <w:tcPr>
            <w:tcW w:w="960" w:type="dxa"/>
            <w:tcBorders>
              <w:top w:val="nil"/>
            </w:tcBorders>
            <w:noWrap/>
          </w:tcPr>
          <w:p w14:paraId="41B01736" w14:textId="77777777" w:rsidR="00381465" w:rsidRDefault="00000000">
            <w:pPr>
              <w:spacing w:line="360" w:lineRule="auto"/>
              <w:jc w:val="both"/>
              <w:rPr>
                <w:rFonts w:ascii="Book Antiqua" w:hAnsi="Book Antiqua"/>
                <w:lang w:val="en-SG"/>
              </w:rPr>
            </w:pPr>
            <w:r>
              <w:rPr>
                <w:rFonts w:ascii="Book Antiqua" w:hAnsi="Book Antiqua" w:hint="eastAsia"/>
                <w:lang w:val="en-SG"/>
              </w:rPr>
              <w:t>30</w:t>
            </w:r>
          </w:p>
        </w:tc>
      </w:tr>
      <w:tr w:rsidR="00381465" w14:paraId="64141691" w14:textId="77777777">
        <w:trPr>
          <w:trHeight w:val="288"/>
        </w:trPr>
        <w:tc>
          <w:tcPr>
            <w:tcW w:w="2980" w:type="dxa"/>
            <w:noWrap/>
          </w:tcPr>
          <w:p w14:paraId="4BE228FC" w14:textId="77777777" w:rsidR="00381465" w:rsidRDefault="00000000">
            <w:pPr>
              <w:spacing w:line="360" w:lineRule="auto"/>
              <w:jc w:val="both"/>
              <w:rPr>
                <w:rFonts w:ascii="Book Antiqua" w:hAnsi="Book Antiqua"/>
                <w:lang w:val="en-SG"/>
              </w:rPr>
            </w:pPr>
            <w:r>
              <w:rPr>
                <w:rFonts w:ascii="Book Antiqua" w:hAnsi="Book Antiqua" w:hint="eastAsia"/>
                <w:lang w:val="en-SG"/>
              </w:rPr>
              <w:t xml:space="preserve">Endoscopic </w:t>
            </w:r>
            <w:r>
              <w:rPr>
                <w:rFonts w:ascii="Book Antiqua" w:hAnsi="Book Antiqua" w:hint="eastAsia"/>
                <w:lang w:eastAsia="zh-CN"/>
              </w:rPr>
              <w:t>u</w:t>
            </w:r>
            <w:r>
              <w:rPr>
                <w:rFonts w:ascii="Book Antiqua" w:hAnsi="Book Antiqua" w:hint="eastAsia"/>
                <w:lang w:val="en-SG"/>
              </w:rPr>
              <w:t>ltrasound</w:t>
            </w:r>
          </w:p>
        </w:tc>
        <w:tc>
          <w:tcPr>
            <w:tcW w:w="960" w:type="dxa"/>
            <w:noWrap/>
          </w:tcPr>
          <w:p w14:paraId="3E4B2696" w14:textId="77777777" w:rsidR="00381465" w:rsidRDefault="00000000">
            <w:pPr>
              <w:spacing w:line="360" w:lineRule="auto"/>
              <w:jc w:val="both"/>
              <w:rPr>
                <w:rFonts w:ascii="Book Antiqua" w:hAnsi="Book Antiqua"/>
                <w:lang w:val="en-SG"/>
              </w:rPr>
            </w:pPr>
            <w:r>
              <w:rPr>
                <w:rFonts w:ascii="Book Antiqua" w:hAnsi="Book Antiqua" w:hint="eastAsia"/>
                <w:lang w:val="en-SG"/>
              </w:rPr>
              <w:t>2</w:t>
            </w:r>
          </w:p>
        </w:tc>
      </w:tr>
      <w:tr w:rsidR="00381465" w14:paraId="47A61F6D" w14:textId="77777777">
        <w:trPr>
          <w:trHeight w:val="288"/>
        </w:trPr>
        <w:tc>
          <w:tcPr>
            <w:tcW w:w="2980" w:type="dxa"/>
            <w:noWrap/>
          </w:tcPr>
          <w:p w14:paraId="71B29CDA" w14:textId="77777777" w:rsidR="00381465" w:rsidRDefault="00000000">
            <w:pPr>
              <w:spacing w:line="360" w:lineRule="auto"/>
              <w:jc w:val="both"/>
              <w:rPr>
                <w:rFonts w:ascii="Book Antiqua" w:hAnsi="Book Antiqua"/>
                <w:lang w:val="en-SG"/>
              </w:rPr>
            </w:pPr>
            <w:r>
              <w:rPr>
                <w:rFonts w:ascii="Book Antiqua" w:hAnsi="Book Antiqua"/>
                <w:lang w:val="en-SG"/>
              </w:rPr>
              <w:t>Dental injury</w:t>
            </w:r>
          </w:p>
        </w:tc>
        <w:tc>
          <w:tcPr>
            <w:tcW w:w="960" w:type="dxa"/>
            <w:noWrap/>
          </w:tcPr>
          <w:p w14:paraId="6C3851C7" w14:textId="77777777" w:rsidR="00381465" w:rsidRDefault="00000000">
            <w:pPr>
              <w:spacing w:line="360" w:lineRule="auto"/>
              <w:jc w:val="both"/>
              <w:rPr>
                <w:rFonts w:ascii="Book Antiqua" w:hAnsi="Book Antiqua"/>
                <w:lang w:val="en-SG"/>
              </w:rPr>
            </w:pPr>
            <w:r>
              <w:rPr>
                <w:rFonts w:ascii="Book Antiqua" w:hAnsi="Book Antiqua" w:hint="eastAsia"/>
                <w:lang w:val="en-SG"/>
              </w:rPr>
              <w:t>1</w:t>
            </w:r>
          </w:p>
        </w:tc>
      </w:tr>
    </w:tbl>
    <w:p w14:paraId="4B10743C" w14:textId="77777777" w:rsidR="00381465" w:rsidRDefault="00381465">
      <w:pPr>
        <w:spacing w:line="360" w:lineRule="auto"/>
        <w:jc w:val="both"/>
        <w:rPr>
          <w:rFonts w:ascii="Book Antiqua" w:hAnsi="Book Antiqua"/>
          <w:b/>
          <w:bCs/>
          <w:lang w:val="en-SG"/>
        </w:rPr>
      </w:pPr>
    </w:p>
    <w:p w14:paraId="51480141" w14:textId="77777777" w:rsidR="00381465" w:rsidRDefault="00000000">
      <w:pPr>
        <w:rPr>
          <w:rFonts w:ascii="Book Antiqua" w:hAnsi="Book Antiqua"/>
          <w:b/>
          <w:bCs/>
          <w:lang w:val="en-SG"/>
        </w:rPr>
      </w:pPr>
      <w:r>
        <w:rPr>
          <w:rFonts w:ascii="Book Antiqua" w:hAnsi="Book Antiqua"/>
          <w:b/>
          <w:bCs/>
          <w:lang w:val="en-SG"/>
        </w:rPr>
        <w:br w:type="page"/>
      </w:r>
    </w:p>
    <w:p w14:paraId="52650430" w14:textId="77777777" w:rsidR="00381465" w:rsidRDefault="00000000">
      <w:pPr>
        <w:spacing w:line="360" w:lineRule="auto"/>
        <w:jc w:val="both"/>
        <w:rPr>
          <w:rFonts w:ascii="Book Antiqua" w:hAnsi="Book Antiqua"/>
          <w:b/>
          <w:bCs/>
          <w:lang w:val="en-SG"/>
        </w:rPr>
      </w:pPr>
      <w:r>
        <w:rPr>
          <w:rFonts w:ascii="Book Antiqua" w:hAnsi="Book Antiqua"/>
          <w:b/>
          <w:bCs/>
          <w:lang w:val="en-SG"/>
        </w:rPr>
        <w:lastRenderedPageBreak/>
        <w:t>Table 4 Pooled adverse dental event rate</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
        <w:gridCol w:w="1276"/>
        <w:gridCol w:w="1984"/>
      </w:tblGrid>
      <w:tr w:rsidR="00381465" w14:paraId="471256D3" w14:textId="77777777">
        <w:trPr>
          <w:trHeight w:val="360"/>
        </w:trPr>
        <w:tc>
          <w:tcPr>
            <w:tcW w:w="4815" w:type="dxa"/>
            <w:tcBorders>
              <w:top w:val="single" w:sz="4" w:space="0" w:color="auto"/>
              <w:bottom w:val="single" w:sz="4" w:space="0" w:color="auto"/>
            </w:tcBorders>
            <w:noWrap/>
          </w:tcPr>
          <w:p w14:paraId="085E7CA8" w14:textId="77777777" w:rsidR="00381465" w:rsidRDefault="00000000">
            <w:pPr>
              <w:spacing w:line="360" w:lineRule="auto"/>
              <w:jc w:val="both"/>
              <w:rPr>
                <w:rFonts w:ascii="Book Antiqua" w:hAnsi="Book Antiqua"/>
                <w:b/>
                <w:bCs/>
                <w:lang w:val="en-SG"/>
              </w:rPr>
            </w:pPr>
            <w:r>
              <w:rPr>
                <w:rFonts w:ascii="Book Antiqua" w:hAnsi="Book Antiqua"/>
                <w:b/>
                <w:bCs/>
                <w:lang w:val="en-SG"/>
              </w:rPr>
              <w:t>Ref.</w:t>
            </w:r>
          </w:p>
        </w:tc>
        <w:tc>
          <w:tcPr>
            <w:tcW w:w="992" w:type="dxa"/>
            <w:tcBorders>
              <w:top w:val="single" w:sz="4" w:space="0" w:color="auto"/>
              <w:bottom w:val="single" w:sz="4" w:space="0" w:color="auto"/>
            </w:tcBorders>
            <w:noWrap/>
          </w:tcPr>
          <w:p w14:paraId="2BE0FCFE" w14:textId="77777777" w:rsidR="00381465" w:rsidRDefault="00000000">
            <w:pPr>
              <w:spacing w:line="360" w:lineRule="auto"/>
              <w:jc w:val="both"/>
              <w:rPr>
                <w:rFonts w:ascii="Book Antiqua" w:hAnsi="Book Antiqua"/>
                <w:b/>
                <w:bCs/>
                <w:lang w:val="en-SG" w:eastAsia="zh-CN"/>
              </w:rPr>
            </w:pPr>
            <w:r>
              <w:rPr>
                <w:rFonts w:ascii="Book Antiqua" w:hAnsi="Book Antiqua" w:hint="eastAsia"/>
                <w:b/>
                <w:bCs/>
                <w:i/>
                <w:iCs/>
                <w:lang w:eastAsia="zh-CN"/>
              </w:rPr>
              <w:t>n</w:t>
            </w:r>
          </w:p>
        </w:tc>
        <w:tc>
          <w:tcPr>
            <w:tcW w:w="1276" w:type="dxa"/>
            <w:tcBorders>
              <w:top w:val="single" w:sz="4" w:space="0" w:color="auto"/>
              <w:bottom w:val="single" w:sz="4" w:space="0" w:color="auto"/>
            </w:tcBorders>
            <w:noWrap/>
          </w:tcPr>
          <w:p w14:paraId="71566C72" w14:textId="77777777" w:rsidR="00381465" w:rsidRDefault="00000000">
            <w:pPr>
              <w:spacing w:line="360" w:lineRule="auto"/>
              <w:jc w:val="both"/>
              <w:rPr>
                <w:rFonts w:ascii="Book Antiqua" w:hAnsi="Book Antiqua"/>
                <w:b/>
                <w:bCs/>
                <w:lang w:val="en-SG"/>
              </w:rPr>
            </w:pPr>
            <w:r>
              <w:rPr>
                <w:rFonts w:ascii="Book Antiqua" w:hAnsi="Book Antiqua"/>
                <w:b/>
                <w:bCs/>
                <w:lang w:val="en-SG"/>
              </w:rPr>
              <w:t>Major events</w:t>
            </w:r>
            <w:r>
              <w:rPr>
                <w:rFonts w:ascii="Book Antiqua" w:hAnsi="Book Antiqua"/>
                <w:b/>
                <w:bCs/>
                <w:vertAlign w:val="superscript"/>
                <w:lang w:val="en-SG"/>
              </w:rPr>
              <w:t>a</w:t>
            </w:r>
          </w:p>
        </w:tc>
        <w:tc>
          <w:tcPr>
            <w:tcW w:w="1984" w:type="dxa"/>
            <w:tcBorders>
              <w:top w:val="single" w:sz="4" w:space="0" w:color="auto"/>
              <w:bottom w:val="single" w:sz="4" w:space="0" w:color="auto"/>
            </w:tcBorders>
            <w:noWrap/>
          </w:tcPr>
          <w:p w14:paraId="1B8B38E5" w14:textId="77777777" w:rsidR="00381465" w:rsidRDefault="00000000">
            <w:pPr>
              <w:spacing w:line="360" w:lineRule="auto"/>
              <w:jc w:val="both"/>
              <w:rPr>
                <w:rFonts w:ascii="Book Antiqua" w:hAnsi="Book Antiqua"/>
                <w:b/>
                <w:bCs/>
                <w:lang w:val="en-SG"/>
              </w:rPr>
            </w:pPr>
            <w:r>
              <w:rPr>
                <w:rFonts w:ascii="Book Antiqua" w:hAnsi="Book Antiqua"/>
                <w:b/>
                <w:bCs/>
                <w:lang w:val="en-SG"/>
              </w:rPr>
              <w:t>Minor events</w:t>
            </w:r>
            <w:r>
              <w:rPr>
                <w:rFonts w:ascii="Book Antiqua" w:hAnsi="Book Antiqua"/>
                <w:b/>
                <w:bCs/>
                <w:vertAlign w:val="superscript"/>
                <w:lang w:val="en-SG"/>
              </w:rPr>
              <w:t>b</w:t>
            </w:r>
          </w:p>
        </w:tc>
      </w:tr>
      <w:tr w:rsidR="00381465" w14:paraId="7D7AF0AF" w14:textId="77777777">
        <w:trPr>
          <w:trHeight w:val="372"/>
        </w:trPr>
        <w:tc>
          <w:tcPr>
            <w:tcW w:w="4815" w:type="dxa"/>
            <w:tcBorders>
              <w:top w:val="single" w:sz="4" w:space="0" w:color="auto"/>
            </w:tcBorders>
            <w:noWrap/>
          </w:tcPr>
          <w:p w14:paraId="2599A7E2" w14:textId="77777777" w:rsidR="00381465" w:rsidRDefault="00000000">
            <w:pPr>
              <w:spacing w:line="360" w:lineRule="auto"/>
              <w:jc w:val="both"/>
              <w:rPr>
                <w:rFonts w:ascii="Book Antiqua" w:hAnsi="Book Antiqua"/>
                <w:lang w:val="en-SG"/>
              </w:rPr>
            </w:pPr>
            <w:r>
              <w:rPr>
                <w:rFonts w:ascii="Book Antiqua" w:hAnsi="Book Antiqua" w:hint="eastAsia"/>
                <w:lang w:val="en-SG"/>
              </w:rPr>
              <w:t xml:space="preserve">Evers </w:t>
            </w:r>
            <w:r>
              <w:rPr>
                <w:rFonts w:ascii="Book Antiqua" w:hAnsi="Book Antiqua" w:hint="eastAsia"/>
                <w:i/>
                <w:iCs/>
                <w:lang w:val="en-SG"/>
              </w:rPr>
              <w:t>et al</w:t>
            </w:r>
            <w:r>
              <w:rPr>
                <w:rFonts w:ascii="Book Antiqua" w:hAnsi="Book Antiqua"/>
                <w:vertAlign w:val="superscript"/>
                <w:lang w:val="en-SG"/>
              </w:rPr>
              <w:t>[8]</w:t>
            </w:r>
            <w:r>
              <w:rPr>
                <w:rFonts w:ascii="Book Antiqua" w:hAnsi="Book Antiqua"/>
                <w:i/>
                <w:iCs/>
                <w:lang w:val="en-SG"/>
              </w:rPr>
              <w:t>,</w:t>
            </w:r>
            <w:r>
              <w:rPr>
                <w:rFonts w:ascii="Book Antiqua" w:hAnsi="Book Antiqua"/>
                <w:lang w:val="en-SG"/>
              </w:rPr>
              <w:t>1967</w:t>
            </w:r>
          </w:p>
        </w:tc>
        <w:tc>
          <w:tcPr>
            <w:tcW w:w="992" w:type="dxa"/>
            <w:tcBorders>
              <w:top w:val="single" w:sz="4" w:space="0" w:color="auto"/>
            </w:tcBorders>
            <w:noWrap/>
          </w:tcPr>
          <w:p w14:paraId="12CA4AAB" w14:textId="77777777" w:rsidR="00381465" w:rsidRDefault="00000000">
            <w:pPr>
              <w:spacing w:line="360" w:lineRule="auto"/>
              <w:jc w:val="both"/>
              <w:rPr>
                <w:rFonts w:ascii="Book Antiqua" w:hAnsi="Book Antiqua"/>
                <w:lang w:val="en-SG"/>
              </w:rPr>
            </w:pPr>
            <w:r>
              <w:rPr>
                <w:rFonts w:ascii="Book Antiqua" w:hAnsi="Book Antiqua" w:hint="eastAsia"/>
                <w:lang w:val="en-SG"/>
              </w:rPr>
              <w:t>110</w:t>
            </w:r>
          </w:p>
        </w:tc>
        <w:tc>
          <w:tcPr>
            <w:tcW w:w="1276" w:type="dxa"/>
            <w:tcBorders>
              <w:top w:val="single" w:sz="4" w:space="0" w:color="auto"/>
            </w:tcBorders>
            <w:noWrap/>
          </w:tcPr>
          <w:p w14:paraId="759F331F" w14:textId="77777777" w:rsidR="00381465" w:rsidRDefault="00000000">
            <w:pPr>
              <w:spacing w:line="360" w:lineRule="auto"/>
              <w:jc w:val="both"/>
              <w:rPr>
                <w:rFonts w:ascii="Book Antiqua" w:hAnsi="Book Antiqua"/>
                <w:lang w:val="en-SG"/>
              </w:rPr>
            </w:pPr>
            <w:r>
              <w:rPr>
                <w:rFonts w:ascii="Book Antiqua" w:hAnsi="Book Antiqua" w:hint="eastAsia"/>
                <w:lang w:val="en-SG"/>
              </w:rPr>
              <w:t>0</w:t>
            </w:r>
          </w:p>
        </w:tc>
        <w:tc>
          <w:tcPr>
            <w:tcW w:w="1984" w:type="dxa"/>
            <w:tcBorders>
              <w:top w:val="single" w:sz="4" w:space="0" w:color="auto"/>
            </w:tcBorders>
            <w:noWrap/>
          </w:tcPr>
          <w:p w14:paraId="77792485" w14:textId="77777777" w:rsidR="00381465" w:rsidRDefault="00000000">
            <w:pPr>
              <w:spacing w:line="360" w:lineRule="auto"/>
              <w:jc w:val="both"/>
              <w:rPr>
                <w:rFonts w:ascii="Book Antiqua" w:hAnsi="Book Antiqua"/>
                <w:lang w:val="en-SG"/>
              </w:rPr>
            </w:pPr>
            <w:r>
              <w:rPr>
                <w:rFonts w:ascii="Book Antiqua" w:hAnsi="Book Antiqua" w:hint="eastAsia"/>
                <w:lang w:val="en-SG"/>
              </w:rPr>
              <w:t>Not studied</w:t>
            </w:r>
          </w:p>
        </w:tc>
      </w:tr>
      <w:tr w:rsidR="00381465" w14:paraId="029E53DE" w14:textId="77777777">
        <w:trPr>
          <w:trHeight w:val="744"/>
        </w:trPr>
        <w:tc>
          <w:tcPr>
            <w:tcW w:w="4815" w:type="dxa"/>
            <w:noWrap/>
          </w:tcPr>
          <w:p w14:paraId="707058D7" w14:textId="77777777" w:rsidR="00381465" w:rsidRDefault="00000000">
            <w:pPr>
              <w:spacing w:line="360" w:lineRule="auto"/>
              <w:jc w:val="both"/>
              <w:rPr>
                <w:rFonts w:ascii="Book Antiqua" w:hAnsi="Book Antiqua"/>
                <w:lang w:val="en-SG"/>
              </w:rPr>
            </w:pPr>
            <w:r>
              <w:rPr>
                <w:rFonts w:ascii="Book Antiqua" w:hAnsi="Book Antiqua" w:hint="eastAsia"/>
                <w:lang w:val="en-SG"/>
              </w:rPr>
              <w:t xml:space="preserve">Ackerman </w:t>
            </w:r>
            <w:r>
              <w:rPr>
                <w:rFonts w:ascii="Book Antiqua" w:hAnsi="Book Antiqua" w:hint="eastAsia"/>
                <w:i/>
                <w:iCs/>
                <w:lang w:val="en-SG"/>
              </w:rPr>
              <w:t>et al</w:t>
            </w:r>
            <w:r>
              <w:rPr>
                <w:rFonts w:ascii="Book Antiqua" w:hAnsi="Book Antiqua"/>
                <w:vertAlign w:val="superscript"/>
                <w:lang w:val="en-SG"/>
              </w:rPr>
              <w:t>[9]</w:t>
            </w:r>
            <w:r>
              <w:rPr>
                <w:rFonts w:ascii="Book Antiqua" w:hAnsi="Book Antiqua"/>
                <w:i/>
                <w:iCs/>
                <w:lang w:val="en-SG"/>
              </w:rPr>
              <w:t>,</w:t>
            </w:r>
            <w:r>
              <w:rPr>
                <w:rFonts w:ascii="Book Antiqua" w:hAnsi="Book Antiqua"/>
                <w:lang w:val="en-SG"/>
              </w:rPr>
              <w:t>1996</w:t>
            </w:r>
          </w:p>
        </w:tc>
        <w:tc>
          <w:tcPr>
            <w:tcW w:w="992" w:type="dxa"/>
            <w:noWrap/>
          </w:tcPr>
          <w:p w14:paraId="210D2645" w14:textId="77777777" w:rsidR="00381465" w:rsidRDefault="00000000">
            <w:pPr>
              <w:spacing w:line="360" w:lineRule="auto"/>
              <w:jc w:val="both"/>
              <w:rPr>
                <w:rFonts w:ascii="Book Antiqua" w:hAnsi="Book Antiqua"/>
                <w:lang w:val="en-SG"/>
              </w:rPr>
            </w:pPr>
            <w:r>
              <w:rPr>
                <w:rFonts w:ascii="Book Antiqua" w:hAnsi="Book Antiqua" w:hint="eastAsia"/>
                <w:lang w:val="en-SG"/>
              </w:rPr>
              <w:t>5000</w:t>
            </w:r>
          </w:p>
        </w:tc>
        <w:tc>
          <w:tcPr>
            <w:tcW w:w="1276" w:type="dxa"/>
            <w:noWrap/>
          </w:tcPr>
          <w:p w14:paraId="1081E9C7" w14:textId="77777777" w:rsidR="00381465" w:rsidRDefault="00000000">
            <w:pPr>
              <w:spacing w:line="360" w:lineRule="auto"/>
              <w:jc w:val="both"/>
              <w:rPr>
                <w:rFonts w:ascii="Book Antiqua" w:hAnsi="Book Antiqua"/>
                <w:lang w:val="en-SG"/>
              </w:rPr>
            </w:pPr>
            <w:r>
              <w:rPr>
                <w:rFonts w:ascii="Book Antiqua" w:hAnsi="Book Antiqua" w:hint="eastAsia"/>
                <w:lang w:val="en-SG"/>
              </w:rPr>
              <w:t>2</w:t>
            </w:r>
          </w:p>
        </w:tc>
        <w:tc>
          <w:tcPr>
            <w:tcW w:w="1984" w:type="dxa"/>
            <w:noWrap/>
          </w:tcPr>
          <w:p w14:paraId="62F2406C" w14:textId="77777777" w:rsidR="00381465" w:rsidRDefault="00000000">
            <w:pPr>
              <w:spacing w:line="360" w:lineRule="auto"/>
              <w:jc w:val="both"/>
              <w:rPr>
                <w:rFonts w:ascii="Book Antiqua" w:hAnsi="Book Antiqua"/>
                <w:lang w:val="en-SG"/>
              </w:rPr>
            </w:pPr>
            <w:r>
              <w:rPr>
                <w:rFonts w:ascii="Book Antiqua" w:hAnsi="Book Antiqua" w:hint="eastAsia"/>
                <w:lang w:val="en-SG"/>
              </w:rPr>
              <w:t>Not studied</w:t>
            </w:r>
          </w:p>
        </w:tc>
      </w:tr>
      <w:tr w:rsidR="00381465" w14:paraId="7D702E8D" w14:textId="77777777">
        <w:trPr>
          <w:trHeight w:val="191"/>
        </w:trPr>
        <w:tc>
          <w:tcPr>
            <w:tcW w:w="4815" w:type="dxa"/>
            <w:noWrap/>
          </w:tcPr>
          <w:p w14:paraId="0F041CF4" w14:textId="77777777" w:rsidR="00381465" w:rsidRDefault="00000000">
            <w:pPr>
              <w:spacing w:line="360" w:lineRule="auto"/>
              <w:jc w:val="both"/>
              <w:rPr>
                <w:rFonts w:ascii="Book Antiqua" w:hAnsi="Book Antiqua"/>
                <w:lang w:val="en-SG"/>
              </w:rPr>
            </w:pPr>
            <w:r>
              <w:rPr>
                <w:rFonts w:ascii="Book Antiqua" w:hAnsi="Book Antiqua" w:hint="eastAsia"/>
                <w:lang w:val="en-SG"/>
              </w:rPr>
              <w:t xml:space="preserve">Min </w:t>
            </w:r>
            <w:r>
              <w:rPr>
                <w:rFonts w:ascii="Book Antiqua" w:hAnsi="Book Antiqua" w:hint="eastAsia"/>
                <w:i/>
                <w:iCs/>
                <w:lang w:val="en-SG"/>
              </w:rPr>
              <w:t>et al</w:t>
            </w:r>
            <w:r>
              <w:rPr>
                <w:rFonts w:ascii="Book Antiqua" w:hAnsi="Book Antiqua"/>
                <w:vertAlign w:val="superscript"/>
                <w:lang w:val="en-SG"/>
              </w:rPr>
              <w:t>[10]</w:t>
            </w:r>
            <w:r>
              <w:rPr>
                <w:rFonts w:ascii="Book Antiqua" w:hAnsi="Book Antiqua"/>
                <w:i/>
                <w:iCs/>
                <w:lang w:val="en-SG"/>
              </w:rPr>
              <w:t>,</w:t>
            </w:r>
            <w:r>
              <w:rPr>
                <w:rFonts w:ascii="Book Antiqua" w:hAnsi="Book Antiqua"/>
                <w:lang w:val="en-SG"/>
              </w:rPr>
              <w:t>2008</w:t>
            </w:r>
          </w:p>
        </w:tc>
        <w:tc>
          <w:tcPr>
            <w:tcW w:w="992" w:type="dxa"/>
            <w:noWrap/>
          </w:tcPr>
          <w:p w14:paraId="2BD7840D" w14:textId="77777777" w:rsidR="00381465" w:rsidRDefault="00000000">
            <w:pPr>
              <w:spacing w:line="360" w:lineRule="auto"/>
              <w:jc w:val="both"/>
              <w:rPr>
                <w:rFonts w:ascii="Book Antiqua" w:hAnsi="Book Antiqua"/>
                <w:lang w:val="en-SG"/>
              </w:rPr>
            </w:pPr>
            <w:r>
              <w:rPr>
                <w:rFonts w:ascii="Book Antiqua" w:hAnsi="Book Antiqua" w:hint="eastAsia"/>
                <w:lang w:val="en-SG"/>
              </w:rPr>
              <w:t>865</w:t>
            </w:r>
          </w:p>
        </w:tc>
        <w:tc>
          <w:tcPr>
            <w:tcW w:w="1276" w:type="dxa"/>
            <w:noWrap/>
          </w:tcPr>
          <w:p w14:paraId="05F1B52D" w14:textId="77777777" w:rsidR="00381465" w:rsidRDefault="00000000">
            <w:pPr>
              <w:spacing w:line="360" w:lineRule="auto"/>
              <w:jc w:val="both"/>
              <w:rPr>
                <w:rFonts w:ascii="Book Antiqua" w:hAnsi="Book Antiqua"/>
                <w:lang w:val="en-SG"/>
              </w:rPr>
            </w:pPr>
            <w:r>
              <w:rPr>
                <w:rFonts w:ascii="Book Antiqua" w:hAnsi="Book Antiqua" w:hint="eastAsia"/>
                <w:lang w:val="en-SG"/>
              </w:rPr>
              <w:t>2</w:t>
            </w:r>
          </w:p>
        </w:tc>
        <w:tc>
          <w:tcPr>
            <w:tcW w:w="1984" w:type="dxa"/>
            <w:noWrap/>
          </w:tcPr>
          <w:p w14:paraId="24C039A5" w14:textId="77777777" w:rsidR="00381465" w:rsidRDefault="00000000">
            <w:pPr>
              <w:spacing w:line="360" w:lineRule="auto"/>
              <w:jc w:val="both"/>
              <w:rPr>
                <w:rFonts w:ascii="Book Antiqua" w:hAnsi="Book Antiqua"/>
                <w:lang w:val="en-SG"/>
              </w:rPr>
            </w:pPr>
            <w:r>
              <w:rPr>
                <w:rFonts w:ascii="Book Antiqua" w:hAnsi="Book Antiqua" w:hint="eastAsia"/>
                <w:lang w:val="en-SG"/>
              </w:rPr>
              <w:t>19</w:t>
            </w:r>
          </w:p>
        </w:tc>
      </w:tr>
      <w:tr w:rsidR="00381465" w14:paraId="37E2BCE8" w14:textId="77777777">
        <w:trPr>
          <w:trHeight w:val="288"/>
        </w:trPr>
        <w:tc>
          <w:tcPr>
            <w:tcW w:w="4815" w:type="dxa"/>
            <w:noWrap/>
          </w:tcPr>
          <w:p w14:paraId="53B6DF97" w14:textId="77777777" w:rsidR="00381465" w:rsidRDefault="00000000">
            <w:pPr>
              <w:spacing w:line="360" w:lineRule="auto"/>
              <w:jc w:val="both"/>
              <w:rPr>
                <w:rFonts w:ascii="Book Antiqua" w:hAnsi="Book Antiqua"/>
                <w:lang w:val="en-SG"/>
              </w:rPr>
            </w:pPr>
            <w:r>
              <w:rPr>
                <w:rFonts w:ascii="Book Antiqua" w:hAnsi="Book Antiqua" w:hint="eastAsia"/>
                <w:lang w:val="en-SG"/>
              </w:rPr>
              <w:t xml:space="preserve">Our </w:t>
            </w:r>
            <w:r>
              <w:rPr>
                <w:rFonts w:ascii="Book Antiqua" w:hAnsi="Book Antiqua"/>
                <w:lang w:val="en-SG"/>
              </w:rPr>
              <w:t>centre exp</w:t>
            </w:r>
            <w:r>
              <w:rPr>
                <w:rFonts w:ascii="Book Antiqua" w:hAnsi="Book Antiqua" w:hint="eastAsia"/>
                <w:lang w:val="en-SG"/>
              </w:rPr>
              <w:t xml:space="preserve">erience </w:t>
            </w:r>
          </w:p>
        </w:tc>
        <w:tc>
          <w:tcPr>
            <w:tcW w:w="992" w:type="dxa"/>
            <w:noWrap/>
          </w:tcPr>
          <w:p w14:paraId="29AC942D" w14:textId="77777777" w:rsidR="00381465" w:rsidRDefault="00000000">
            <w:pPr>
              <w:spacing w:line="360" w:lineRule="auto"/>
              <w:jc w:val="both"/>
              <w:rPr>
                <w:rFonts w:ascii="Book Antiqua" w:hAnsi="Book Antiqua"/>
                <w:lang w:val="en-SG"/>
              </w:rPr>
            </w:pPr>
            <w:r>
              <w:rPr>
                <w:rFonts w:ascii="Book Antiqua" w:hAnsi="Book Antiqua" w:hint="eastAsia"/>
                <w:lang w:val="en-SG"/>
              </w:rPr>
              <w:t>11265</w:t>
            </w:r>
          </w:p>
        </w:tc>
        <w:tc>
          <w:tcPr>
            <w:tcW w:w="1276" w:type="dxa"/>
            <w:noWrap/>
          </w:tcPr>
          <w:p w14:paraId="5CBD4089" w14:textId="77777777" w:rsidR="00381465" w:rsidRDefault="00000000">
            <w:pPr>
              <w:spacing w:line="360" w:lineRule="auto"/>
              <w:jc w:val="both"/>
              <w:rPr>
                <w:rFonts w:ascii="Book Antiqua" w:hAnsi="Book Antiqua"/>
                <w:lang w:val="en-SG"/>
              </w:rPr>
            </w:pPr>
            <w:r>
              <w:rPr>
                <w:rFonts w:ascii="Book Antiqua" w:hAnsi="Book Antiqua" w:hint="eastAsia"/>
                <w:lang w:val="en-SG"/>
              </w:rPr>
              <w:t>1</w:t>
            </w:r>
          </w:p>
        </w:tc>
        <w:tc>
          <w:tcPr>
            <w:tcW w:w="1984" w:type="dxa"/>
            <w:noWrap/>
          </w:tcPr>
          <w:p w14:paraId="6361BED4" w14:textId="77777777" w:rsidR="00381465" w:rsidRDefault="00000000">
            <w:pPr>
              <w:spacing w:line="360" w:lineRule="auto"/>
              <w:jc w:val="both"/>
              <w:rPr>
                <w:rFonts w:ascii="Book Antiqua" w:hAnsi="Book Antiqua"/>
                <w:lang w:val="en-SG"/>
              </w:rPr>
            </w:pPr>
            <w:r>
              <w:rPr>
                <w:rFonts w:ascii="Book Antiqua" w:hAnsi="Book Antiqua" w:hint="eastAsia"/>
                <w:lang w:val="en-SG"/>
              </w:rPr>
              <w:t>32</w:t>
            </w:r>
          </w:p>
        </w:tc>
      </w:tr>
      <w:tr w:rsidR="00381465" w14:paraId="7B534CB7" w14:textId="77777777">
        <w:trPr>
          <w:trHeight w:val="288"/>
        </w:trPr>
        <w:tc>
          <w:tcPr>
            <w:tcW w:w="4815" w:type="dxa"/>
            <w:noWrap/>
          </w:tcPr>
          <w:p w14:paraId="1075EDB8" w14:textId="77777777" w:rsidR="00381465" w:rsidRDefault="00000000">
            <w:pPr>
              <w:spacing w:line="360" w:lineRule="auto"/>
              <w:jc w:val="both"/>
              <w:rPr>
                <w:rFonts w:ascii="Book Antiqua" w:hAnsi="Book Antiqua"/>
                <w:b/>
                <w:bCs/>
                <w:lang w:val="en-SG"/>
              </w:rPr>
            </w:pPr>
            <w:r>
              <w:rPr>
                <w:rFonts w:ascii="Book Antiqua" w:hAnsi="Book Antiqua" w:hint="eastAsia"/>
                <w:b/>
                <w:bCs/>
                <w:lang w:val="en-SG"/>
              </w:rPr>
              <w:t xml:space="preserve">Event </w:t>
            </w:r>
            <w:r>
              <w:rPr>
                <w:rFonts w:ascii="Book Antiqua" w:hAnsi="Book Antiqua"/>
                <w:b/>
                <w:bCs/>
                <w:lang w:val="en-SG"/>
              </w:rPr>
              <w:t>rate</w:t>
            </w:r>
          </w:p>
        </w:tc>
        <w:tc>
          <w:tcPr>
            <w:tcW w:w="992" w:type="dxa"/>
            <w:noWrap/>
          </w:tcPr>
          <w:p w14:paraId="172D72BB" w14:textId="77777777" w:rsidR="00381465" w:rsidRDefault="00381465">
            <w:pPr>
              <w:spacing w:line="360" w:lineRule="auto"/>
              <w:jc w:val="both"/>
              <w:rPr>
                <w:rFonts w:ascii="Book Antiqua" w:hAnsi="Book Antiqua"/>
                <w:lang w:val="en-SG"/>
              </w:rPr>
            </w:pPr>
          </w:p>
        </w:tc>
        <w:tc>
          <w:tcPr>
            <w:tcW w:w="1276" w:type="dxa"/>
            <w:noWrap/>
          </w:tcPr>
          <w:p w14:paraId="45971CF7" w14:textId="77777777" w:rsidR="00381465" w:rsidRDefault="00381465">
            <w:pPr>
              <w:spacing w:line="360" w:lineRule="auto"/>
              <w:jc w:val="both"/>
              <w:rPr>
                <w:rFonts w:ascii="Book Antiqua" w:hAnsi="Book Antiqua"/>
                <w:lang w:val="en-SG"/>
              </w:rPr>
            </w:pPr>
          </w:p>
        </w:tc>
        <w:tc>
          <w:tcPr>
            <w:tcW w:w="1984" w:type="dxa"/>
            <w:noWrap/>
          </w:tcPr>
          <w:p w14:paraId="513F0FF0" w14:textId="77777777" w:rsidR="00381465" w:rsidRDefault="00381465">
            <w:pPr>
              <w:spacing w:line="360" w:lineRule="auto"/>
              <w:jc w:val="both"/>
              <w:rPr>
                <w:rFonts w:ascii="Book Antiqua" w:hAnsi="Book Antiqua"/>
                <w:lang w:val="en-SG"/>
              </w:rPr>
            </w:pPr>
          </w:p>
        </w:tc>
      </w:tr>
      <w:tr w:rsidR="00381465" w14:paraId="081DC4C8" w14:textId="77777777">
        <w:trPr>
          <w:trHeight w:val="337"/>
        </w:trPr>
        <w:tc>
          <w:tcPr>
            <w:tcW w:w="4815" w:type="dxa"/>
            <w:noWrap/>
          </w:tcPr>
          <w:p w14:paraId="45B30337" w14:textId="77777777" w:rsidR="00381465" w:rsidRDefault="00000000">
            <w:pPr>
              <w:spacing w:line="360" w:lineRule="auto"/>
              <w:jc w:val="both"/>
              <w:rPr>
                <w:rFonts w:ascii="Book Antiqua" w:hAnsi="Book Antiqua"/>
                <w:lang w:val="en-SG"/>
              </w:rPr>
            </w:pPr>
            <w:r>
              <w:rPr>
                <w:rFonts w:ascii="Book Antiqua" w:hAnsi="Book Antiqua" w:hint="eastAsia"/>
                <w:lang w:val="en-SG"/>
              </w:rPr>
              <w:t xml:space="preserve">Rate of </w:t>
            </w:r>
            <w:r>
              <w:rPr>
                <w:rFonts w:ascii="Book Antiqua" w:hAnsi="Book Antiqua"/>
                <w:lang w:val="en-SG"/>
              </w:rPr>
              <w:t>major ev</w:t>
            </w:r>
            <w:r>
              <w:rPr>
                <w:rFonts w:ascii="Book Antiqua" w:hAnsi="Book Antiqua" w:hint="eastAsia"/>
                <w:lang w:val="en-SG"/>
              </w:rPr>
              <w:t>ents: 5/17240 = 0.029%</w:t>
            </w:r>
          </w:p>
        </w:tc>
        <w:tc>
          <w:tcPr>
            <w:tcW w:w="992" w:type="dxa"/>
            <w:noWrap/>
          </w:tcPr>
          <w:p w14:paraId="7F8F1CD5" w14:textId="77777777" w:rsidR="00381465" w:rsidRDefault="00381465">
            <w:pPr>
              <w:spacing w:line="360" w:lineRule="auto"/>
              <w:jc w:val="both"/>
              <w:rPr>
                <w:rFonts w:ascii="Book Antiqua" w:hAnsi="Book Antiqua"/>
                <w:lang w:val="en-SG"/>
              </w:rPr>
            </w:pPr>
          </w:p>
        </w:tc>
        <w:tc>
          <w:tcPr>
            <w:tcW w:w="1276" w:type="dxa"/>
            <w:noWrap/>
          </w:tcPr>
          <w:p w14:paraId="30521F00" w14:textId="77777777" w:rsidR="00381465" w:rsidRDefault="00381465">
            <w:pPr>
              <w:spacing w:line="360" w:lineRule="auto"/>
              <w:jc w:val="both"/>
              <w:rPr>
                <w:rFonts w:ascii="Book Antiqua" w:hAnsi="Book Antiqua"/>
                <w:lang w:val="en-SG"/>
              </w:rPr>
            </w:pPr>
          </w:p>
        </w:tc>
        <w:tc>
          <w:tcPr>
            <w:tcW w:w="1984" w:type="dxa"/>
            <w:noWrap/>
          </w:tcPr>
          <w:p w14:paraId="597C1425" w14:textId="77777777" w:rsidR="00381465" w:rsidRDefault="00381465">
            <w:pPr>
              <w:spacing w:line="360" w:lineRule="auto"/>
              <w:jc w:val="both"/>
              <w:rPr>
                <w:rFonts w:ascii="Book Antiqua" w:hAnsi="Book Antiqua"/>
                <w:lang w:val="en-SG"/>
              </w:rPr>
            </w:pPr>
          </w:p>
        </w:tc>
      </w:tr>
      <w:tr w:rsidR="00381465" w14:paraId="4AAC7753" w14:textId="77777777">
        <w:trPr>
          <w:trHeight w:val="416"/>
        </w:trPr>
        <w:tc>
          <w:tcPr>
            <w:tcW w:w="4815" w:type="dxa"/>
            <w:noWrap/>
          </w:tcPr>
          <w:p w14:paraId="7912F15D" w14:textId="77777777" w:rsidR="00381465" w:rsidRDefault="00000000">
            <w:pPr>
              <w:spacing w:line="360" w:lineRule="auto"/>
              <w:jc w:val="both"/>
              <w:rPr>
                <w:rFonts w:ascii="Book Antiqua" w:hAnsi="Book Antiqua"/>
                <w:lang w:val="en-SG"/>
              </w:rPr>
            </w:pPr>
            <w:r>
              <w:rPr>
                <w:rFonts w:ascii="Book Antiqua" w:hAnsi="Book Antiqua" w:hint="eastAsia"/>
                <w:lang w:val="en-SG"/>
              </w:rPr>
              <w:t xml:space="preserve">Rate of </w:t>
            </w:r>
            <w:r>
              <w:rPr>
                <w:rFonts w:ascii="Book Antiqua" w:hAnsi="Book Antiqua"/>
                <w:lang w:val="en-SG"/>
              </w:rPr>
              <w:t>minor ev</w:t>
            </w:r>
            <w:r>
              <w:rPr>
                <w:rFonts w:ascii="Book Antiqua" w:hAnsi="Book Antiqua" w:hint="eastAsia"/>
                <w:lang w:val="en-SG"/>
              </w:rPr>
              <w:t>ents</w:t>
            </w:r>
            <w:r>
              <w:rPr>
                <w:rFonts w:ascii="Book Antiqua" w:hAnsi="Book Antiqua"/>
                <w:vertAlign w:val="superscript"/>
                <w:lang w:val="en-SG"/>
              </w:rPr>
              <w:t>c</w:t>
            </w:r>
            <w:r>
              <w:rPr>
                <w:rFonts w:ascii="Book Antiqua" w:hAnsi="Book Antiqua"/>
                <w:lang w:val="en-SG"/>
              </w:rPr>
              <w:t>: 51/12130 = 0.42%</w:t>
            </w:r>
          </w:p>
        </w:tc>
        <w:tc>
          <w:tcPr>
            <w:tcW w:w="992" w:type="dxa"/>
            <w:noWrap/>
          </w:tcPr>
          <w:p w14:paraId="66C26C47" w14:textId="77777777" w:rsidR="00381465" w:rsidRDefault="00381465">
            <w:pPr>
              <w:spacing w:line="360" w:lineRule="auto"/>
              <w:jc w:val="both"/>
              <w:rPr>
                <w:rFonts w:ascii="Book Antiqua" w:hAnsi="Book Antiqua"/>
                <w:lang w:val="en-SG"/>
              </w:rPr>
            </w:pPr>
          </w:p>
        </w:tc>
        <w:tc>
          <w:tcPr>
            <w:tcW w:w="1276" w:type="dxa"/>
            <w:noWrap/>
          </w:tcPr>
          <w:p w14:paraId="4BC0C46C" w14:textId="77777777" w:rsidR="00381465" w:rsidRDefault="00381465">
            <w:pPr>
              <w:spacing w:line="360" w:lineRule="auto"/>
              <w:jc w:val="both"/>
              <w:rPr>
                <w:rFonts w:ascii="Book Antiqua" w:hAnsi="Book Antiqua"/>
                <w:lang w:val="en-SG"/>
              </w:rPr>
            </w:pPr>
          </w:p>
        </w:tc>
        <w:tc>
          <w:tcPr>
            <w:tcW w:w="1984" w:type="dxa"/>
            <w:noWrap/>
          </w:tcPr>
          <w:p w14:paraId="3D3C3AE7" w14:textId="77777777" w:rsidR="00381465" w:rsidRDefault="00381465">
            <w:pPr>
              <w:spacing w:line="360" w:lineRule="auto"/>
              <w:jc w:val="both"/>
              <w:rPr>
                <w:rFonts w:ascii="Book Antiqua" w:hAnsi="Book Antiqua"/>
                <w:lang w:val="en-SG"/>
              </w:rPr>
            </w:pPr>
          </w:p>
        </w:tc>
      </w:tr>
      <w:tr w:rsidR="00381465" w14:paraId="05DF6A5E" w14:textId="77777777">
        <w:trPr>
          <w:trHeight w:val="427"/>
        </w:trPr>
        <w:tc>
          <w:tcPr>
            <w:tcW w:w="4815" w:type="dxa"/>
            <w:noWrap/>
          </w:tcPr>
          <w:p w14:paraId="556A88F6" w14:textId="77777777" w:rsidR="00381465" w:rsidRDefault="00000000">
            <w:pPr>
              <w:spacing w:line="360" w:lineRule="auto"/>
              <w:jc w:val="both"/>
              <w:rPr>
                <w:rFonts w:ascii="Book Antiqua" w:hAnsi="Book Antiqua"/>
                <w:lang w:val="en-SG"/>
              </w:rPr>
            </w:pPr>
            <w:r>
              <w:rPr>
                <w:rFonts w:ascii="Book Antiqua" w:hAnsi="Book Antiqua" w:hint="eastAsia"/>
                <w:lang w:val="en-SG"/>
              </w:rPr>
              <w:t xml:space="preserve">Overall </w:t>
            </w:r>
            <w:r>
              <w:rPr>
                <w:rFonts w:ascii="Book Antiqua" w:hAnsi="Book Antiqua"/>
                <w:lang w:val="en-SG"/>
              </w:rPr>
              <w:t>event ra</w:t>
            </w:r>
            <w:r>
              <w:rPr>
                <w:rFonts w:ascii="Book Antiqua" w:hAnsi="Book Antiqua" w:hint="eastAsia"/>
                <w:lang w:val="en-SG"/>
              </w:rPr>
              <w:t>te: 56/17240 = 0.33%</w:t>
            </w:r>
            <w:r>
              <w:rPr>
                <w:rFonts w:ascii="Book Antiqua" w:hAnsi="Book Antiqua"/>
                <w:lang w:val="en-SG"/>
              </w:rPr>
              <w:t xml:space="preserve"> </w:t>
            </w:r>
          </w:p>
        </w:tc>
        <w:tc>
          <w:tcPr>
            <w:tcW w:w="992" w:type="dxa"/>
            <w:noWrap/>
          </w:tcPr>
          <w:p w14:paraId="73152F17" w14:textId="77777777" w:rsidR="00381465" w:rsidRDefault="00381465">
            <w:pPr>
              <w:spacing w:line="360" w:lineRule="auto"/>
              <w:jc w:val="both"/>
              <w:rPr>
                <w:rFonts w:ascii="Book Antiqua" w:hAnsi="Book Antiqua"/>
                <w:lang w:val="en-SG"/>
              </w:rPr>
            </w:pPr>
          </w:p>
        </w:tc>
        <w:tc>
          <w:tcPr>
            <w:tcW w:w="1276" w:type="dxa"/>
            <w:noWrap/>
          </w:tcPr>
          <w:p w14:paraId="0EBC6A83" w14:textId="77777777" w:rsidR="00381465" w:rsidRDefault="00381465">
            <w:pPr>
              <w:spacing w:line="360" w:lineRule="auto"/>
              <w:jc w:val="both"/>
              <w:rPr>
                <w:rFonts w:ascii="Book Antiqua" w:hAnsi="Book Antiqua"/>
                <w:lang w:val="en-SG"/>
              </w:rPr>
            </w:pPr>
          </w:p>
        </w:tc>
        <w:tc>
          <w:tcPr>
            <w:tcW w:w="1984" w:type="dxa"/>
            <w:noWrap/>
          </w:tcPr>
          <w:p w14:paraId="6D4EDF75" w14:textId="77777777" w:rsidR="00381465" w:rsidRDefault="00381465">
            <w:pPr>
              <w:spacing w:line="360" w:lineRule="auto"/>
              <w:jc w:val="both"/>
              <w:rPr>
                <w:rFonts w:ascii="Book Antiqua" w:hAnsi="Book Antiqua"/>
                <w:lang w:val="en-SG"/>
              </w:rPr>
            </w:pPr>
          </w:p>
        </w:tc>
      </w:tr>
    </w:tbl>
    <w:p w14:paraId="67004A20" w14:textId="77777777" w:rsidR="00381465" w:rsidRDefault="00000000">
      <w:pPr>
        <w:spacing w:line="360" w:lineRule="auto"/>
        <w:jc w:val="both"/>
        <w:rPr>
          <w:rFonts w:ascii="Book Antiqua" w:hAnsi="Book Antiqua"/>
          <w:lang w:val="en-SG"/>
        </w:rPr>
      </w:pPr>
      <w:r>
        <w:rPr>
          <w:rFonts w:ascii="Book Antiqua" w:hAnsi="Book Antiqua" w:hint="eastAsia"/>
          <w:vertAlign w:val="superscript"/>
          <w:lang w:val="en-SG"/>
        </w:rPr>
        <w:t>a</w:t>
      </w:r>
      <w:r>
        <w:rPr>
          <w:rFonts w:ascii="Book Antiqua" w:hAnsi="Book Antiqua"/>
          <w:lang w:val="en-SG"/>
        </w:rPr>
        <w:t>Major Adverse Event includes cases of tooth fracture, tooth avulsion, tooth subluxation.</w:t>
      </w:r>
    </w:p>
    <w:p w14:paraId="11288D63" w14:textId="77777777" w:rsidR="00381465" w:rsidRDefault="00000000">
      <w:pPr>
        <w:spacing w:line="360" w:lineRule="auto"/>
        <w:jc w:val="both"/>
        <w:rPr>
          <w:rFonts w:ascii="Book Antiqua" w:hAnsi="Book Antiqua"/>
          <w:lang w:val="en-SG"/>
        </w:rPr>
      </w:pPr>
      <w:r>
        <w:rPr>
          <w:rFonts w:ascii="Book Antiqua" w:hAnsi="Book Antiqua" w:hint="eastAsia"/>
          <w:vertAlign w:val="superscript"/>
          <w:lang w:val="en-SG"/>
        </w:rPr>
        <w:t>b</w:t>
      </w:r>
      <w:r>
        <w:rPr>
          <w:rFonts w:ascii="Book Antiqua" w:hAnsi="Book Antiqua"/>
          <w:lang w:val="en-SG"/>
        </w:rPr>
        <w:t>Minor Adverse Events includes gum discomfort, masticatory pain, toothache and cancellations due to dental reasons.</w:t>
      </w:r>
    </w:p>
    <w:p w14:paraId="5BC4C7AF" w14:textId="77777777" w:rsidR="00381465" w:rsidRDefault="00000000">
      <w:pPr>
        <w:spacing w:line="360" w:lineRule="auto"/>
        <w:jc w:val="both"/>
        <w:rPr>
          <w:rFonts w:ascii="Book Antiqua" w:hAnsi="Book Antiqua"/>
          <w:lang w:val="en-SG"/>
        </w:rPr>
      </w:pPr>
      <w:r>
        <w:rPr>
          <w:rFonts w:ascii="Book Antiqua" w:hAnsi="Book Antiqua" w:hint="eastAsia"/>
          <w:vertAlign w:val="superscript"/>
          <w:lang w:val="en-SG"/>
        </w:rPr>
        <w:t>c</w:t>
      </w:r>
      <w:r>
        <w:rPr>
          <w:rFonts w:ascii="Book Antiqua" w:hAnsi="Book Antiqua"/>
          <w:lang w:val="en-SG"/>
        </w:rPr>
        <w:t>Only studies reporting minor adverse events were included in the calculation.</w:t>
      </w:r>
    </w:p>
    <w:p w14:paraId="272D71AC" w14:textId="77777777" w:rsidR="00381465" w:rsidRDefault="00000000">
      <w:pPr>
        <w:rPr>
          <w:rFonts w:ascii="Book Antiqua" w:hAnsi="Book Antiqua"/>
          <w:lang w:val="en-SG"/>
        </w:rPr>
      </w:pPr>
      <w:r>
        <w:rPr>
          <w:rFonts w:ascii="Book Antiqua" w:hAnsi="Book Antiqua"/>
          <w:lang w:val="en-SG"/>
        </w:rPr>
        <w:br w:type="page"/>
      </w:r>
    </w:p>
    <w:p w14:paraId="156E98F2" w14:textId="77777777" w:rsidR="00381465" w:rsidRDefault="00000000">
      <w:pPr>
        <w:spacing w:line="360" w:lineRule="auto"/>
        <w:jc w:val="both"/>
        <w:rPr>
          <w:rFonts w:ascii="Book Antiqua" w:hAnsi="Book Antiqua"/>
          <w:b/>
          <w:bCs/>
          <w:lang w:val="en-SG"/>
        </w:rPr>
      </w:pPr>
      <w:r>
        <w:rPr>
          <w:rFonts w:ascii="Book Antiqua" w:hAnsi="Book Antiqua"/>
          <w:b/>
          <w:bCs/>
          <w:lang w:val="en-SG"/>
        </w:rPr>
        <w:lastRenderedPageBreak/>
        <w:t>Table 5 Restorative and reconstructive dental treatments</w:t>
      </w:r>
      <w:r>
        <w:rPr>
          <w:rFonts w:ascii="Book Antiqua" w:hAnsi="Book Antiqua"/>
          <w:b/>
          <w:bCs/>
          <w:vertAlign w:val="superscript"/>
          <w:lang w:val="en-SG"/>
        </w:rPr>
        <w:t>[18,21]</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04"/>
      </w:tblGrid>
      <w:tr w:rsidR="00381465" w14:paraId="77133F11" w14:textId="77777777">
        <w:trPr>
          <w:trHeight w:val="408"/>
        </w:trPr>
        <w:tc>
          <w:tcPr>
            <w:tcW w:w="2405" w:type="dxa"/>
            <w:tcBorders>
              <w:top w:val="single" w:sz="4" w:space="0" w:color="auto"/>
              <w:bottom w:val="single" w:sz="4" w:space="0" w:color="auto"/>
            </w:tcBorders>
          </w:tcPr>
          <w:p w14:paraId="4EEE3E00" w14:textId="77777777" w:rsidR="00381465" w:rsidRDefault="00000000">
            <w:pPr>
              <w:spacing w:line="360" w:lineRule="auto"/>
              <w:jc w:val="both"/>
              <w:rPr>
                <w:rFonts w:ascii="Book Antiqua" w:hAnsi="Book Antiqua"/>
                <w:b/>
                <w:bCs/>
                <w:lang w:val="en-SG"/>
              </w:rPr>
            </w:pPr>
            <w:r>
              <w:rPr>
                <w:rFonts w:ascii="Book Antiqua" w:hAnsi="Book Antiqua"/>
                <w:b/>
                <w:bCs/>
                <w:lang w:val="en-SG"/>
              </w:rPr>
              <w:t>Type of treatment</w:t>
            </w:r>
          </w:p>
        </w:tc>
        <w:tc>
          <w:tcPr>
            <w:tcW w:w="6804" w:type="dxa"/>
            <w:tcBorders>
              <w:top w:val="single" w:sz="4" w:space="0" w:color="auto"/>
              <w:bottom w:val="single" w:sz="4" w:space="0" w:color="auto"/>
            </w:tcBorders>
          </w:tcPr>
          <w:p w14:paraId="24CD67C9" w14:textId="77777777" w:rsidR="00381465" w:rsidRDefault="00000000">
            <w:pPr>
              <w:spacing w:line="360" w:lineRule="auto"/>
              <w:jc w:val="both"/>
              <w:rPr>
                <w:rFonts w:ascii="Book Antiqua" w:hAnsi="Book Antiqua"/>
                <w:b/>
                <w:bCs/>
                <w:lang w:val="en-SG"/>
              </w:rPr>
            </w:pPr>
            <w:r>
              <w:rPr>
                <w:rFonts w:ascii="Book Antiqua" w:hAnsi="Book Antiqua"/>
                <w:b/>
                <w:bCs/>
                <w:lang w:val="en-SG"/>
              </w:rPr>
              <w:t>Description and related problems</w:t>
            </w:r>
          </w:p>
        </w:tc>
      </w:tr>
      <w:tr w:rsidR="00381465" w14:paraId="70DE485D" w14:textId="77777777">
        <w:trPr>
          <w:trHeight w:val="811"/>
        </w:trPr>
        <w:tc>
          <w:tcPr>
            <w:tcW w:w="9209" w:type="dxa"/>
            <w:gridSpan w:val="2"/>
            <w:tcBorders>
              <w:top w:val="single" w:sz="4" w:space="0" w:color="auto"/>
            </w:tcBorders>
          </w:tcPr>
          <w:p w14:paraId="38676018" w14:textId="77777777" w:rsidR="00381465" w:rsidRDefault="00000000">
            <w:pPr>
              <w:spacing w:line="360" w:lineRule="auto"/>
              <w:jc w:val="both"/>
              <w:rPr>
                <w:rFonts w:ascii="Book Antiqua" w:hAnsi="Book Antiqua"/>
                <w:lang w:val="en-SG"/>
              </w:rPr>
            </w:pPr>
            <w:r>
              <w:rPr>
                <w:rFonts w:ascii="Book Antiqua" w:hAnsi="Book Antiqua" w:hint="eastAsia"/>
                <w:b/>
                <w:bCs/>
                <w:lang w:val="en-SG"/>
              </w:rPr>
              <w:t>Direct restoration (filled in single procedure with material being placed, adapted and shaped by clinician)</w:t>
            </w:r>
          </w:p>
        </w:tc>
      </w:tr>
      <w:tr w:rsidR="00381465" w14:paraId="3A5CB48F" w14:textId="77777777">
        <w:trPr>
          <w:trHeight w:val="1191"/>
        </w:trPr>
        <w:tc>
          <w:tcPr>
            <w:tcW w:w="2405" w:type="dxa"/>
          </w:tcPr>
          <w:p w14:paraId="1A8B1B36" w14:textId="77777777" w:rsidR="00381465" w:rsidRDefault="00000000">
            <w:pPr>
              <w:spacing w:line="360" w:lineRule="auto"/>
              <w:jc w:val="both"/>
              <w:rPr>
                <w:rFonts w:ascii="Book Antiqua" w:hAnsi="Book Antiqua"/>
                <w:lang w:val="en-SG"/>
              </w:rPr>
            </w:pPr>
            <w:r>
              <w:rPr>
                <w:rFonts w:ascii="Book Antiqua" w:hAnsi="Book Antiqua" w:hint="eastAsia"/>
                <w:lang w:val="en-SG"/>
              </w:rPr>
              <w:t>Filling</w:t>
            </w:r>
          </w:p>
        </w:tc>
        <w:tc>
          <w:tcPr>
            <w:tcW w:w="6804" w:type="dxa"/>
          </w:tcPr>
          <w:p w14:paraId="659FB12B" w14:textId="77777777" w:rsidR="00381465" w:rsidRDefault="00000000">
            <w:pPr>
              <w:spacing w:line="360" w:lineRule="auto"/>
              <w:jc w:val="both"/>
              <w:rPr>
                <w:rFonts w:ascii="Book Antiqua" w:hAnsi="Book Antiqua"/>
                <w:lang w:val="en-SG"/>
              </w:rPr>
            </w:pPr>
            <w:r>
              <w:rPr>
                <w:rFonts w:ascii="Book Antiqua" w:hAnsi="Book Antiqua" w:hint="eastAsia"/>
                <w:lang w:val="en-SG"/>
              </w:rPr>
              <w:t>May comprise amalgam, ceramic or precious metals. Susceptible to expansion or shrinkage when setting, which might cause tooth fracture or further decay</w:t>
            </w:r>
          </w:p>
        </w:tc>
      </w:tr>
      <w:tr w:rsidR="00381465" w14:paraId="1C467C86" w14:textId="77777777">
        <w:trPr>
          <w:trHeight w:val="686"/>
        </w:trPr>
        <w:tc>
          <w:tcPr>
            <w:tcW w:w="9209" w:type="dxa"/>
            <w:gridSpan w:val="2"/>
          </w:tcPr>
          <w:p w14:paraId="1187A80C" w14:textId="77777777" w:rsidR="00381465" w:rsidRDefault="00000000">
            <w:pPr>
              <w:spacing w:line="360" w:lineRule="auto"/>
              <w:jc w:val="both"/>
              <w:rPr>
                <w:rFonts w:ascii="Book Antiqua" w:hAnsi="Book Antiqua"/>
                <w:b/>
                <w:bCs/>
                <w:lang w:val="en-SG"/>
              </w:rPr>
            </w:pPr>
            <w:r>
              <w:rPr>
                <w:rFonts w:ascii="Book Antiqua" w:hAnsi="Book Antiqua" w:hint="eastAsia"/>
                <w:b/>
                <w:bCs/>
                <w:lang w:val="en-SG"/>
              </w:rPr>
              <w:t>Indirect restoration (filling created outside of mouth, either from impression or digital scan of tooth)</w:t>
            </w:r>
          </w:p>
        </w:tc>
      </w:tr>
      <w:tr w:rsidR="00381465" w14:paraId="090BC42A" w14:textId="77777777">
        <w:trPr>
          <w:trHeight w:val="1351"/>
        </w:trPr>
        <w:tc>
          <w:tcPr>
            <w:tcW w:w="2405" w:type="dxa"/>
          </w:tcPr>
          <w:p w14:paraId="5723E1F1" w14:textId="77777777" w:rsidR="00381465" w:rsidRDefault="00000000">
            <w:pPr>
              <w:spacing w:line="360" w:lineRule="auto"/>
              <w:jc w:val="both"/>
              <w:rPr>
                <w:rFonts w:ascii="Book Antiqua" w:hAnsi="Book Antiqua"/>
                <w:lang w:val="en-SG"/>
              </w:rPr>
            </w:pPr>
            <w:r>
              <w:rPr>
                <w:rFonts w:ascii="Book Antiqua" w:hAnsi="Book Antiqua" w:hint="eastAsia"/>
                <w:lang w:val="en-SG"/>
              </w:rPr>
              <w:t>Inlays/onlays</w:t>
            </w:r>
          </w:p>
        </w:tc>
        <w:tc>
          <w:tcPr>
            <w:tcW w:w="6804" w:type="dxa"/>
          </w:tcPr>
          <w:p w14:paraId="169FBC69" w14:textId="77777777" w:rsidR="00381465" w:rsidRDefault="00000000">
            <w:pPr>
              <w:spacing w:line="360" w:lineRule="auto"/>
              <w:jc w:val="both"/>
              <w:rPr>
                <w:rFonts w:ascii="Book Antiqua" w:hAnsi="Book Antiqua"/>
                <w:lang w:val="en-SG"/>
              </w:rPr>
            </w:pPr>
            <w:r>
              <w:rPr>
                <w:rFonts w:ascii="Book Antiqua" w:hAnsi="Book Antiqua" w:hint="eastAsia"/>
                <w:lang w:val="en-SG"/>
              </w:rPr>
              <w:t>An inlay is a filling made outside the mouth, then bonded to the teeth. This is less prone to expansion or shrinkage. An onlay refers to an inlay which covers a dental cusp</w:t>
            </w:r>
          </w:p>
        </w:tc>
      </w:tr>
      <w:tr w:rsidR="00381465" w14:paraId="3E04D4D2" w14:textId="77777777">
        <w:trPr>
          <w:trHeight w:val="699"/>
        </w:trPr>
        <w:tc>
          <w:tcPr>
            <w:tcW w:w="2405" w:type="dxa"/>
          </w:tcPr>
          <w:p w14:paraId="237145B1" w14:textId="77777777" w:rsidR="00381465" w:rsidRDefault="00000000">
            <w:pPr>
              <w:spacing w:line="360" w:lineRule="auto"/>
              <w:jc w:val="both"/>
              <w:rPr>
                <w:rFonts w:ascii="Book Antiqua" w:hAnsi="Book Antiqua"/>
                <w:lang w:val="en-SG"/>
              </w:rPr>
            </w:pPr>
            <w:r>
              <w:rPr>
                <w:rFonts w:ascii="Book Antiqua" w:hAnsi="Book Antiqua" w:hint="eastAsia"/>
                <w:lang w:val="en-SG"/>
              </w:rPr>
              <w:t>Crown</w:t>
            </w:r>
          </w:p>
        </w:tc>
        <w:tc>
          <w:tcPr>
            <w:tcW w:w="6804" w:type="dxa"/>
          </w:tcPr>
          <w:p w14:paraId="4B8B6740" w14:textId="77777777" w:rsidR="00381465" w:rsidRDefault="00000000">
            <w:pPr>
              <w:spacing w:line="360" w:lineRule="auto"/>
              <w:jc w:val="both"/>
              <w:rPr>
                <w:rFonts w:ascii="Book Antiqua" w:hAnsi="Book Antiqua"/>
                <w:lang w:val="en-SG"/>
              </w:rPr>
            </w:pPr>
            <w:r>
              <w:rPr>
                <w:rFonts w:ascii="Book Antiqua" w:hAnsi="Book Antiqua" w:hint="eastAsia"/>
                <w:lang w:val="en-SG"/>
              </w:rPr>
              <w:t>An onlay which fully covers the tooth which is required in the setting of marked tooth damage</w:t>
            </w:r>
          </w:p>
        </w:tc>
      </w:tr>
      <w:tr w:rsidR="00381465" w14:paraId="13421C62" w14:textId="77777777">
        <w:trPr>
          <w:trHeight w:val="916"/>
        </w:trPr>
        <w:tc>
          <w:tcPr>
            <w:tcW w:w="2405" w:type="dxa"/>
          </w:tcPr>
          <w:p w14:paraId="5A655C92" w14:textId="77777777" w:rsidR="00381465" w:rsidRDefault="00000000">
            <w:pPr>
              <w:spacing w:line="360" w:lineRule="auto"/>
              <w:jc w:val="both"/>
              <w:rPr>
                <w:rFonts w:ascii="Book Antiqua" w:hAnsi="Book Antiqua"/>
                <w:lang w:val="en-SG"/>
              </w:rPr>
            </w:pPr>
            <w:r>
              <w:rPr>
                <w:rFonts w:ascii="Book Antiqua" w:hAnsi="Book Antiqua" w:hint="eastAsia"/>
                <w:lang w:val="en-SG"/>
              </w:rPr>
              <w:t>Veneer</w:t>
            </w:r>
          </w:p>
        </w:tc>
        <w:tc>
          <w:tcPr>
            <w:tcW w:w="6804" w:type="dxa"/>
          </w:tcPr>
          <w:p w14:paraId="7D9D3689" w14:textId="77777777" w:rsidR="00381465" w:rsidRDefault="00000000">
            <w:pPr>
              <w:spacing w:line="360" w:lineRule="auto"/>
              <w:jc w:val="both"/>
              <w:rPr>
                <w:rFonts w:ascii="Book Antiqua" w:hAnsi="Book Antiqua"/>
                <w:lang w:val="en-SG"/>
              </w:rPr>
            </w:pPr>
            <w:r>
              <w:rPr>
                <w:rFonts w:ascii="Book Antiqua" w:hAnsi="Book Antiqua" w:hint="eastAsia"/>
                <w:lang w:val="en-SG"/>
              </w:rPr>
              <w:t>A thin layer bonded to the tooth surface to enhance appearance of fractured or discoloured teeth</w:t>
            </w:r>
          </w:p>
        </w:tc>
      </w:tr>
      <w:tr w:rsidR="00381465" w14:paraId="5962203E" w14:textId="77777777">
        <w:trPr>
          <w:trHeight w:val="576"/>
        </w:trPr>
        <w:tc>
          <w:tcPr>
            <w:tcW w:w="9209" w:type="dxa"/>
            <w:gridSpan w:val="2"/>
          </w:tcPr>
          <w:p w14:paraId="6A47A3C1" w14:textId="77777777" w:rsidR="00381465" w:rsidRDefault="00000000">
            <w:pPr>
              <w:spacing w:line="360" w:lineRule="auto"/>
              <w:jc w:val="both"/>
              <w:rPr>
                <w:rFonts w:ascii="Book Antiqua" w:hAnsi="Book Antiqua"/>
                <w:lang w:val="en-SG"/>
              </w:rPr>
            </w:pPr>
            <w:r>
              <w:rPr>
                <w:rFonts w:ascii="Book Antiqua" w:hAnsi="Book Antiqua" w:hint="eastAsia"/>
                <w:b/>
                <w:bCs/>
                <w:lang w:val="en-SG"/>
              </w:rPr>
              <w:t>Prosthesis</w:t>
            </w:r>
          </w:p>
        </w:tc>
      </w:tr>
      <w:tr w:rsidR="00381465" w14:paraId="21395BDF" w14:textId="77777777">
        <w:trPr>
          <w:trHeight w:val="399"/>
        </w:trPr>
        <w:tc>
          <w:tcPr>
            <w:tcW w:w="2405" w:type="dxa"/>
          </w:tcPr>
          <w:p w14:paraId="247BD167" w14:textId="77777777" w:rsidR="00381465" w:rsidRDefault="00000000">
            <w:pPr>
              <w:spacing w:line="360" w:lineRule="auto"/>
              <w:jc w:val="both"/>
              <w:rPr>
                <w:rFonts w:ascii="Book Antiqua" w:hAnsi="Book Antiqua"/>
                <w:lang w:val="en-SG"/>
              </w:rPr>
            </w:pPr>
            <w:r>
              <w:rPr>
                <w:rFonts w:ascii="Book Antiqua" w:hAnsi="Book Antiqua" w:hint="eastAsia"/>
                <w:lang w:val="en-SG"/>
              </w:rPr>
              <w:t>Bridge</w:t>
            </w:r>
          </w:p>
        </w:tc>
        <w:tc>
          <w:tcPr>
            <w:tcW w:w="6804" w:type="dxa"/>
          </w:tcPr>
          <w:p w14:paraId="3D1D1EF4" w14:textId="77777777" w:rsidR="00381465" w:rsidRDefault="00000000">
            <w:pPr>
              <w:spacing w:line="360" w:lineRule="auto"/>
              <w:jc w:val="both"/>
              <w:rPr>
                <w:rFonts w:ascii="Book Antiqua" w:hAnsi="Book Antiqua"/>
                <w:lang w:val="en-SG"/>
              </w:rPr>
            </w:pPr>
            <w:r>
              <w:rPr>
                <w:rFonts w:ascii="Book Antiqua" w:hAnsi="Book Antiqua" w:hint="eastAsia"/>
                <w:lang w:val="en-SG"/>
              </w:rPr>
              <w:t>Fixed partial denture secured to adjacent teeth</w:t>
            </w:r>
          </w:p>
        </w:tc>
      </w:tr>
      <w:tr w:rsidR="00381465" w14:paraId="51DC84D2" w14:textId="77777777">
        <w:trPr>
          <w:trHeight w:val="132"/>
        </w:trPr>
        <w:tc>
          <w:tcPr>
            <w:tcW w:w="2405" w:type="dxa"/>
          </w:tcPr>
          <w:p w14:paraId="30863CB3" w14:textId="77777777" w:rsidR="00381465" w:rsidRDefault="00000000">
            <w:pPr>
              <w:spacing w:line="360" w:lineRule="auto"/>
              <w:jc w:val="both"/>
              <w:rPr>
                <w:rFonts w:ascii="Book Antiqua" w:hAnsi="Book Antiqua"/>
                <w:lang w:val="en-SG"/>
              </w:rPr>
            </w:pPr>
            <w:r>
              <w:rPr>
                <w:rFonts w:ascii="Book Antiqua" w:hAnsi="Book Antiqua" w:hint="eastAsia"/>
                <w:lang w:val="en-SG"/>
              </w:rPr>
              <w:t>Denture</w:t>
            </w:r>
          </w:p>
        </w:tc>
        <w:tc>
          <w:tcPr>
            <w:tcW w:w="6804" w:type="dxa"/>
          </w:tcPr>
          <w:p w14:paraId="28D36BD5" w14:textId="77777777" w:rsidR="00381465" w:rsidRDefault="00000000">
            <w:pPr>
              <w:spacing w:line="360" w:lineRule="auto"/>
              <w:jc w:val="both"/>
              <w:rPr>
                <w:rFonts w:ascii="Book Antiqua" w:hAnsi="Book Antiqua"/>
                <w:lang w:val="en-SG"/>
              </w:rPr>
            </w:pPr>
            <w:r>
              <w:rPr>
                <w:rFonts w:ascii="Book Antiqua" w:hAnsi="Book Antiqua" w:hint="eastAsia"/>
                <w:lang w:val="en-SG"/>
              </w:rPr>
              <w:t xml:space="preserve">Removable prosthesis which may be attached to remnant teeth </w:t>
            </w:r>
            <w:r>
              <w:rPr>
                <w:rFonts w:ascii="Book Antiqua" w:hAnsi="Book Antiqua" w:hint="eastAsia"/>
                <w:i/>
                <w:iCs/>
                <w:lang w:val="en-SG"/>
              </w:rPr>
              <w:t>via</w:t>
            </w:r>
            <w:r>
              <w:rPr>
                <w:rFonts w:ascii="Book Antiqua" w:hAnsi="Book Antiqua" w:hint="eastAsia"/>
                <w:lang w:val="en-SG"/>
              </w:rPr>
              <w:t xml:space="preserve"> clasps</w:t>
            </w:r>
          </w:p>
        </w:tc>
      </w:tr>
      <w:tr w:rsidR="00381465" w14:paraId="6408EBBC" w14:textId="77777777">
        <w:trPr>
          <w:trHeight w:val="1297"/>
        </w:trPr>
        <w:tc>
          <w:tcPr>
            <w:tcW w:w="2405" w:type="dxa"/>
          </w:tcPr>
          <w:p w14:paraId="13E06035" w14:textId="77777777" w:rsidR="00381465" w:rsidRDefault="00000000">
            <w:pPr>
              <w:spacing w:line="360" w:lineRule="auto"/>
              <w:jc w:val="both"/>
              <w:rPr>
                <w:rFonts w:ascii="Book Antiqua" w:hAnsi="Book Antiqua"/>
                <w:lang w:val="en-SG"/>
              </w:rPr>
            </w:pPr>
            <w:r>
              <w:rPr>
                <w:rFonts w:ascii="Book Antiqua" w:hAnsi="Book Antiqua" w:hint="eastAsia"/>
                <w:lang w:val="en-SG"/>
              </w:rPr>
              <w:t>Implant</w:t>
            </w:r>
          </w:p>
        </w:tc>
        <w:tc>
          <w:tcPr>
            <w:tcW w:w="6804" w:type="dxa"/>
          </w:tcPr>
          <w:p w14:paraId="21D784A8" w14:textId="77777777" w:rsidR="00381465" w:rsidRDefault="00000000">
            <w:pPr>
              <w:spacing w:line="360" w:lineRule="auto"/>
              <w:jc w:val="both"/>
              <w:rPr>
                <w:rFonts w:ascii="Book Antiqua" w:hAnsi="Book Antiqua"/>
                <w:lang w:val="en-SG"/>
              </w:rPr>
            </w:pPr>
            <w:r>
              <w:rPr>
                <w:rFonts w:ascii="Book Antiqua" w:hAnsi="Book Antiqua" w:hint="eastAsia"/>
                <w:lang w:val="en-SG"/>
              </w:rPr>
              <w:t>Permanent prosthesis integrated into alveolar bone via screws and cement. Eventual recession of gingiva may result in implant weakening</w:t>
            </w:r>
          </w:p>
        </w:tc>
      </w:tr>
    </w:tbl>
    <w:p w14:paraId="454868CF" w14:textId="77777777" w:rsidR="00381465" w:rsidRDefault="00381465">
      <w:pPr>
        <w:spacing w:line="360" w:lineRule="auto"/>
        <w:jc w:val="both"/>
        <w:rPr>
          <w:rFonts w:ascii="Book Antiqua" w:hAnsi="Book Antiqua"/>
          <w:b/>
          <w:bCs/>
          <w:lang w:val="en-SG"/>
        </w:rPr>
      </w:pPr>
    </w:p>
    <w:p w14:paraId="05E99B0E" w14:textId="77777777" w:rsidR="00381465" w:rsidRDefault="00000000">
      <w:pPr>
        <w:rPr>
          <w:rFonts w:ascii="Book Antiqua" w:hAnsi="Book Antiqua"/>
          <w:b/>
          <w:bCs/>
          <w:lang w:val="en-SG"/>
        </w:rPr>
      </w:pPr>
      <w:r>
        <w:rPr>
          <w:rFonts w:ascii="Book Antiqua" w:hAnsi="Book Antiqua"/>
          <w:b/>
          <w:bCs/>
          <w:lang w:val="en-SG"/>
        </w:rPr>
        <w:br w:type="page"/>
      </w:r>
    </w:p>
    <w:p w14:paraId="6DEE10FF" w14:textId="77777777" w:rsidR="00381465" w:rsidRDefault="00000000">
      <w:pPr>
        <w:spacing w:line="360" w:lineRule="auto"/>
        <w:jc w:val="both"/>
        <w:rPr>
          <w:rFonts w:ascii="Book Antiqua" w:hAnsi="Book Antiqua"/>
          <w:b/>
          <w:bCs/>
          <w:lang w:val="en-SG"/>
        </w:rPr>
      </w:pPr>
      <w:r>
        <w:rPr>
          <w:rFonts w:ascii="Book Antiqua" w:hAnsi="Book Antiqua"/>
          <w:b/>
          <w:bCs/>
          <w:lang w:val="en-SG"/>
        </w:rPr>
        <w:lastRenderedPageBreak/>
        <w:t>Table 6 Millers index of grading tooth mobility</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8145"/>
      </w:tblGrid>
      <w:tr w:rsidR="00381465" w14:paraId="2806F8B2" w14:textId="77777777">
        <w:trPr>
          <w:trHeight w:val="288"/>
        </w:trPr>
        <w:tc>
          <w:tcPr>
            <w:tcW w:w="485" w:type="dxa"/>
            <w:tcBorders>
              <w:top w:val="single" w:sz="4" w:space="0" w:color="auto"/>
              <w:bottom w:val="single" w:sz="4" w:space="0" w:color="auto"/>
            </w:tcBorders>
            <w:noWrap/>
          </w:tcPr>
          <w:p w14:paraId="610EE738" w14:textId="77777777" w:rsidR="00381465" w:rsidRDefault="00000000">
            <w:pPr>
              <w:spacing w:line="360" w:lineRule="auto"/>
              <w:jc w:val="both"/>
              <w:rPr>
                <w:rFonts w:ascii="Book Antiqua" w:hAnsi="Book Antiqua"/>
                <w:b/>
                <w:bCs/>
                <w:lang w:val="en-SG"/>
              </w:rPr>
            </w:pPr>
            <w:r>
              <w:rPr>
                <w:rFonts w:ascii="Book Antiqua" w:hAnsi="Book Antiqua"/>
                <w:b/>
                <w:bCs/>
                <w:lang w:val="en-SG"/>
              </w:rPr>
              <w:t>Grade</w:t>
            </w:r>
          </w:p>
        </w:tc>
        <w:tc>
          <w:tcPr>
            <w:tcW w:w="8145" w:type="dxa"/>
            <w:tcBorders>
              <w:top w:val="single" w:sz="4" w:space="0" w:color="auto"/>
              <w:bottom w:val="single" w:sz="4" w:space="0" w:color="auto"/>
            </w:tcBorders>
            <w:noWrap/>
          </w:tcPr>
          <w:p w14:paraId="13C92E6E" w14:textId="77777777" w:rsidR="00381465" w:rsidRDefault="00000000">
            <w:pPr>
              <w:spacing w:line="360" w:lineRule="auto"/>
              <w:jc w:val="both"/>
              <w:rPr>
                <w:rFonts w:ascii="Book Antiqua" w:hAnsi="Book Antiqua"/>
                <w:b/>
                <w:bCs/>
                <w:lang w:val="en-SG"/>
              </w:rPr>
            </w:pPr>
            <w:r>
              <w:rPr>
                <w:rFonts w:ascii="Book Antiqua" w:hAnsi="Book Antiqua"/>
                <w:b/>
                <w:bCs/>
                <w:lang w:val="en-SG"/>
              </w:rPr>
              <w:t>Description</w:t>
            </w:r>
          </w:p>
        </w:tc>
      </w:tr>
      <w:tr w:rsidR="00381465" w14:paraId="2C7BBAE6" w14:textId="77777777">
        <w:trPr>
          <w:trHeight w:val="288"/>
        </w:trPr>
        <w:tc>
          <w:tcPr>
            <w:tcW w:w="485" w:type="dxa"/>
            <w:tcBorders>
              <w:top w:val="single" w:sz="4" w:space="0" w:color="auto"/>
            </w:tcBorders>
            <w:noWrap/>
          </w:tcPr>
          <w:p w14:paraId="2E7F8A20" w14:textId="77777777" w:rsidR="00381465" w:rsidRDefault="00000000">
            <w:pPr>
              <w:spacing w:line="360" w:lineRule="auto"/>
              <w:jc w:val="both"/>
              <w:rPr>
                <w:rFonts w:ascii="Book Antiqua" w:hAnsi="Book Antiqua"/>
                <w:lang w:val="en-SG"/>
              </w:rPr>
            </w:pPr>
            <w:r>
              <w:rPr>
                <w:rFonts w:ascii="Book Antiqua" w:hAnsi="Book Antiqua" w:hint="eastAsia"/>
                <w:lang w:val="en-SG"/>
              </w:rPr>
              <w:t>0</w:t>
            </w:r>
          </w:p>
        </w:tc>
        <w:tc>
          <w:tcPr>
            <w:tcW w:w="8145" w:type="dxa"/>
            <w:tcBorders>
              <w:top w:val="single" w:sz="4" w:space="0" w:color="auto"/>
            </w:tcBorders>
            <w:noWrap/>
          </w:tcPr>
          <w:p w14:paraId="6DE2AFB6" w14:textId="77777777" w:rsidR="00381465" w:rsidRDefault="00000000">
            <w:pPr>
              <w:spacing w:line="360" w:lineRule="auto"/>
              <w:jc w:val="both"/>
              <w:rPr>
                <w:rFonts w:ascii="Book Antiqua" w:hAnsi="Book Antiqua"/>
                <w:lang w:val="en-SG"/>
              </w:rPr>
            </w:pPr>
            <w:r>
              <w:rPr>
                <w:rFonts w:ascii="Book Antiqua" w:hAnsi="Book Antiqua"/>
                <w:lang w:val="en-SG" w:eastAsia="zh-CN"/>
              </w:rPr>
              <w:t>“</w:t>
            </w:r>
            <w:r>
              <w:rPr>
                <w:rFonts w:ascii="Book Antiqua" w:hAnsi="Book Antiqua" w:hint="eastAsia"/>
                <w:lang w:val="en-SG"/>
              </w:rPr>
              <w:t>Physiological</w:t>
            </w:r>
            <w:r>
              <w:rPr>
                <w:rFonts w:ascii="Book Antiqua" w:hAnsi="Book Antiqua"/>
                <w:lang w:val="en-SG" w:eastAsia="zh-CN"/>
              </w:rPr>
              <w:t>”</w:t>
            </w:r>
            <w:r>
              <w:rPr>
                <w:rFonts w:ascii="Book Antiqua" w:hAnsi="Book Antiqua" w:hint="eastAsia"/>
                <w:lang w:val="en-SG"/>
              </w:rPr>
              <w:t xml:space="preserve"> mobility measured at the crown level. The tooth is mobile within the alveolus to approximately 0.1-0.2mm in a horizontal direction</w:t>
            </w:r>
          </w:p>
        </w:tc>
      </w:tr>
      <w:tr w:rsidR="00381465" w14:paraId="2035C1C5" w14:textId="77777777">
        <w:trPr>
          <w:trHeight w:val="288"/>
        </w:trPr>
        <w:tc>
          <w:tcPr>
            <w:tcW w:w="485" w:type="dxa"/>
            <w:noWrap/>
          </w:tcPr>
          <w:p w14:paraId="21BDE50B" w14:textId="77777777" w:rsidR="00381465" w:rsidRDefault="00000000">
            <w:pPr>
              <w:spacing w:line="360" w:lineRule="auto"/>
              <w:jc w:val="both"/>
              <w:rPr>
                <w:rFonts w:ascii="Book Antiqua" w:hAnsi="Book Antiqua"/>
                <w:lang w:val="en-SG"/>
              </w:rPr>
            </w:pPr>
            <w:r>
              <w:rPr>
                <w:rFonts w:ascii="Book Antiqua" w:hAnsi="Book Antiqua" w:hint="eastAsia"/>
                <w:lang w:val="en-SG"/>
              </w:rPr>
              <w:t>1</w:t>
            </w:r>
          </w:p>
        </w:tc>
        <w:tc>
          <w:tcPr>
            <w:tcW w:w="8145" w:type="dxa"/>
            <w:noWrap/>
          </w:tcPr>
          <w:p w14:paraId="0D08A886" w14:textId="77777777" w:rsidR="00381465" w:rsidRDefault="00000000">
            <w:pPr>
              <w:spacing w:line="360" w:lineRule="auto"/>
              <w:jc w:val="both"/>
              <w:rPr>
                <w:rFonts w:ascii="Book Antiqua" w:hAnsi="Book Antiqua"/>
                <w:lang w:val="en-SG"/>
              </w:rPr>
            </w:pPr>
            <w:r>
              <w:rPr>
                <w:rFonts w:ascii="Book Antiqua" w:hAnsi="Book Antiqua" w:hint="eastAsia"/>
                <w:lang w:val="en-SG"/>
              </w:rPr>
              <w:t>Increased mobility of the crown of the tooth to at the most 1 mm in a horizontal direction</w:t>
            </w:r>
          </w:p>
        </w:tc>
      </w:tr>
      <w:tr w:rsidR="00381465" w14:paraId="79956572" w14:textId="77777777">
        <w:trPr>
          <w:trHeight w:val="288"/>
        </w:trPr>
        <w:tc>
          <w:tcPr>
            <w:tcW w:w="485" w:type="dxa"/>
            <w:noWrap/>
          </w:tcPr>
          <w:p w14:paraId="49577909" w14:textId="77777777" w:rsidR="00381465" w:rsidRDefault="00000000">
            <w:pPr>
              <w:spacing w:line="360" w:lineRule="auto"/>
              <w:jc w:val="both"/>
              <w:rPr>
                <w:rFonts w:ascii="Book Antiqua" w:hAnsi="Book Antiqua"/>
                <w:lang w:val="en-SG"/>
              </w:rPr>
            </w:pPr>
            <w:r>
              <w:rPr>
                <w:rFonts w:ascii="Book Antiqua" w:hAnsi="Book Antiqua" w:hint="eastAsia"/>
                <w:lang w:val="en-SG"/>
              </w:rPr>
              <w:t>2</w:t>
            </w:r>
          </w:p>
        </w:tc>
        <w:tc>
          <w:tcPr>
            <w:tcW w:w="8145" w:type="dxa"/>
            <w:noWrap/>
          </w:tcPr>
          <w:p w14:paraId="3BCB1946" w14:textId="77777777" w:rsidR="00381465" w:rsidRDefault="00000000">
            <w:pPr>
              <w:spacing w:line="360" w:lineRule="auto"/>
              <w:jc w:val="both"/>
              <w:rPr>
                <w:rFonts w:ascii="Book Antiqua" w:hAnsi="Book Antiqua"/>
                <w:lang w:val="en-SG"/>
              </w:rPr>
            </w:pPr>
            <w:r>
              <w:rPr>
                <w:rFonts w:ascii="Book Antiqua" w:hAnsi="Book Antiqua" w:hint="eastAsia"/>
                <w:lang w:val="en-SG"/>
              </w:rPr>
              <w:t>Visually increased mobility of the crown of the tooth exceeding 1 mm in a horizontal direction</w:t>
            </w:r>
          </w:p>
        </w:tc>
      </w:tr>
      <w:tr w:rsidR="00381465" w14:paraId="3F6F9E71" w14:textId="77777777">
        <w:trPr>
          <w:trHeight w:val="288"/>
        </w:trPr>
        <w:tc>
          <w:tcPr>
            <w:tcW w:w="485" w:type="dxa"/>
            <w:noWrap/>
          </w:tcPr>
          <w:p w14:paraId="7361D081" w14:textId="77777777" w:rsidR="00381465" w:rsidRDefault="00000000">
            <w:pPr>
              <w:spacing w:line="360" w:lineRule="auto"/>
              <w:jc w:val="both"/>
              <w:rPr>
                <w:rFonts w:ascii="Book Antiqua" w:hAnsi="Book Antiqua"/>
                <w:lang w:val="en-SG"/>
              </w:rPr>
            </w:pPr>
            <w:r>
              <w:rPr>
                <w:rFonts w:ascii="Book Antiqua" w:hAnsi="Book Antiqua" w:hint="eastAsia"/>
                <w:lang w:val="en-SG"/>
              </w:rPr>
              <w:t>3</w:t>
            </w:r>
          </w:p>
        </w:tc>
        <w:tc>
          <w:tcPr>
            <w:tcW w:w="8145" w:type="dxa"/>
            <w:noWrap/>
          </w:tcPr>
          <w:p w14:paraId="0A88DC14" w14:textId="77777777" w:rsidR="00381465" w:rsidRDefault="00000000">
            <w:pPr>
              <w:spacing w:line="360" w:lineRule="auto"/>
              <w:jc w:val="both"/>
              <w:rPr>
                <w:rFonts w:ascii="Book Antiqua" w:hAnsi="Book Antiqua"/>
                <w:lang w:val="en-SG"/>
              </w:rPr>
            </w:pPr>
            <w:r>
              <w:rPr>
                <w:rFonts w:ascii="Book Antiqua" w:hAnsi="Book Antiqua" w:hint="eastAsia"/>
                <w:lang w:val="en-SG"/>
              </w:rPr>
              <w:t>Severe mobility of the crown of the tooth in both horizontal and vertical directions impinging on the function of the tooth</w:t>
            </w:r>
          </w:p>
        </w:tc>
      </w:tr>
    </w:tbl>
    <w:p w14:paraId="381E3137" w14:textId="51A96D12" w:rsidR="00F90D5E" w:rsidRDefault="00F90D5E">
      <w:pPr>
        <w:spacing w:line="360" w:lineRule="auto"/>
        <w:jc w:val="both"/>
        <w:rPr>
          <w:rFonts w:ascii="Book Antiqua" w:hAnsi="Book Antiqua"/>
          <w:b/>
          <w:bCs/>
          <w:lang w:val="en-SG"/>
        </w:rPr>
      </w:pPr>
    </w:p>
    <w:p w14:paraId="6BCA23E1" w14:textId="77777777" w:rsidR="00F90D5E" w:rsidRDefault="00F90D5E">
      <w:pPr>
        <w:rPr>
          <w:rFonts w:ascii="Book Antiqua" w:hAnsi="Book Antiqua"/>
          <w:b/>
          <w:bCs/>
          <w:lang w:val="en-SG"/>
        </w:rPr>
      </w:pPr>
      <w:r>
        <w:rPr>
          <w:rFonts w:ascii="Book Antiqua" w:hAnsi="Book Antiqua"/>
          <w:b/>
          <w:bCs/>
          <w:lang w:val="en-SG"/>
        </w:rPr>
        <w:br w:type="page"/>
      </w:r>
    </w:p>
    <w:p w14:paraId="189E0F8F" w14:textId="77777777" w:rsidR="00F90D5E" w:rsidRDefault="00F90D5E" w:rsidP="00F90D5E">
      <w:pPr>
        <w:snapToGrid w:val="0"/>
        <w:ind w:leftChars="100" w:left="240"/>
        <w:jc w:val="center"/>
        <w:rPr>
          <w:rFonts w:ascii="Book Antiqua" w:hAnsi="Book Antiqua"/>
        </w:rPr>
      </w:pPr>
    </w:p>
    <w:p w14:paraId="02C79C99" w14:textId="77777777" w:rsidR="00F90D5E" w:rsidRDefault="00F90D5E" w:rsidP="00F90D5E">
      <w:pPr>
        <w:snapToGrid w:val="0"/>
        <w:ind w:leftChars="100" w:left="240"/>
        <w:jc w:val="center"/>
        <w:rPr>
          <w:rFonts w:ascii="Book Antiqua" w:hAnsi="Book Antiqua"/>
        </w:rPr>
      </w:pPr>
    </w:p>
    <w:p w14:paraId="3ECF3D2C" w14:textId="77777777" w:rsidR="00F90D5E" w:rsidRDefault="00F90D5E" w:rsidP="00F90D5E">
      <w:pPr>
        <w:snapToGrid w:val="0"/>
        <w:ind w:leftChars="100" w:left="240"/>
        <w:jc w:val="center"/>
        <w:rPr>
          <w:rFonts w:ascii="Book Antiqua" w:hAnsi="Book Antiqua"/>
        </w:rPr>
      </w:pPr>
    </w:p>
    <w:p w14:paraId="2F6AA58B" w14:textId="77777777" w:rsidR="00F90D5E" w:rsidRDefault="00F90D5E" w:rsidP="00F90D5E">
      <w:pPr>
        <w:snapToGrid w:val="0"/>
        <w:ind w:leftChars="100" w:left="240"/>
        <w:jc w:val="center"/>
        <w:rPr>
          <w:rFonts w:ascii="Book Antiqua" w:hAnsi="Book Antiqua"/>
        </w:rPr>
      </w:pPr>
    </w:p>
    <w:p w14:paraId="295D86D6" w14:textId="77777777" w:rsidR="00F90D5E" w:rsidRDefault="00F90D5E" w:rsidP="00F90D5E">
      <w:pPr>
        <w:snapToGrid w:val="0"/>
        <w:ind w:leftChars="100" w:left="240"/>
        <w:jc w:val="center"/>
        <w:rPr>
          <w:rFonts w:ascii="Book Antiqua" w:hAnsi="Book Antiqua"/>
        </w:rPr>
      </w:pPr>
      <w:r>
        <w:rPr>
          <w:rFonts w:ascii="Book Antiqua" w:hAnsi="Book Antiqua"/>
          <w:noProof/>
        </w:rPr>
        <w:drawing>
          <wp:inline distT="0" distB="0" distL="0" distR="0" wp14:anchorId="23AFAD66" wp14:editId="259BE7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0A8235" w14:textId="77777777" w:rsidR="00F90D5E" w:rsidRDefault="00F90D5E" w:rsidP="00F90D5E">
      <w:pPr>
        <w:snapToGrid w:val="0"/>
        <w:ind w:leftChars="100" w:left="240"/>
        <w:jc w:val="center"/>
        <w:rPr>
          <w:rFonts w:ascii="Book Antiqua" w:hAnsi="Book Antiqua"/>
        </w:rPr>
      </w:pPr>
    </w:p>
    <w:p w14:paraId="2231E327" w14:textId="77777777" w:rsidR="00F90D5E" w:rsidRDefault="00F90D5E" w:rsidP="00F90D5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EE415F9" w14:textId="77777777" w:rsidR="00F90D5E" w:rsidRDefault="00F90D5E" w:rsidP="00F90D5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2BE43F" w14:textId="77777777" w:rsidR="00F90D5E" w:rsidRDefault="00F90D5E" w:rsidP="00F90D5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1E02938" w14:textId="77777777" w:rsidR="00F90D5E" w:rsidRDefault="00F90D5E" w:rsidP="00F90D5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9A0523" w14:textId="77777777" w:rsidR="00F90D5E" w:rsidRDefault="00F90D5E" w:rsidP="00F90D5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C3E79B" w14:textId="77777777" w:rsidR="00F90D5E" w:rsidRDefault="00F90D5E" w:rsidP="00F90D5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099019F" w14:textId="77777777" w:rsidR="00F90D5E" w:rsidRDefault="00F90D5E" w:rsidP="00F90D5E">
      <w:pPr>
        <w:snapToGrid w:val="0"/>
        <w:ind w:leftChars="100" w:left="240"/>
        <w:jc w:val="center"/>
        <w:rPr>
          <w:rFonts w:ascii="Book Antiqua" w:hAnsi="Book Antiqua"/>
        </w:rPr>
      </w:pPr>
    </w:p>
    <w:p w14:paraId="28E00236" w14:textId="77777777" w:rsidR="00F90D5E" w:rsidRDefault="00F90D5E" w:rsidP="00F90D5E">
      <w:pPr>
        <w:snapToGrid w:val="0"/>
        <w:ind w:leftChars="100" w:left="240"/>
        <w:jc w:val="center"/>
        <w:rPr>
          <w:rFonts w:ascii="Book Antiqua" w:hAnsi="Book Antiqua"/>
        </w:rPr>
      </w:pPr>
    </w:p>
    <w:p w14:paraId="34C1961A" w14:textId="77777777" w:rsidR="00F90D5E" w:rsidRDefault="00F90D5E" w:rsidP="00F90D5E">
      <w:pPr>
        <w:snapToGrid w:val="0"/>
        <w:ind w:leftChars="100" w:left="240"/>
        <w:jc w:val="center"/>
        <w:rPr>
          <w:rFonts w:ascii="Book Antiqua" w:hAnsi="Book Antiqua"/>
        </w:rPr>
      </w:pPr>
    </w:p>
    <w:p w14:paraId="01A83E0A" w14:textId="77777777" w:rsidR="00F90D5E" w:rsidRDefault="00F90D5E" w:rsidP="00F90D5E">
      <w:pPr>
        <w:snapToGrid w:val="0"/>
        <w:ind w:leftChars="100" w:left="240"/>
        <w:jc w:val="center"/>
        <w:rPr>
          <w:rFonts w:ascii="Book Antiqua" w:hAnsi="Book Antiqua"/>
        </w:rPr>
      </w:pPr>
      <w:r>
        <w:rPr>
          <w:rFonts w:ascii="Book Antiqua" w:hAnsi="Book Antiqua"/>
          <w:noProof/>
        </w:rPr>
        <w:drawing>
          <wp:inline distT="0" distB="0" distL="0" distR="0" wp14:anchorId="6901F58E" wp14:editId="0B363A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E60A9E6" w14:textId="77777777" w:rsidR="00F90D5E" w:rsidRDefault="00F90D5E" w:rsidP="00F90D5E">
      <w:pPr>
        <w:snapToGrid w:val="0"/>
        <w:ind w:leftChars="100" w:left="240"/>
        <w:jc w:val="center"/>
        <w:rPr>
          <w:rFonts w:ascii="Book Antiqua" w:hAnsi="Book Antiqua"/>
        </w:rPr>
      </w:pPr>
    </w:p>
    <w:p w14:paraId="4D62B319" w14:textId="77777777" w:rsidR="00F90D5E" w:rsidRDefault="00F90D5E" w:rsidP="00F90D5E">
      <w:pPr>
        <w:snapToGrid w:val="0"/>
        <w:ind w:leftChars="100" w:left="240"/>
        <w:jc w:val="center"/>
        <w:rPr>
          <w:rFonts w:ascii="Book Antiqua" w:hAnsi="Book Antiqua"/>
        </w:rPr>
      </w:pPr>
    </w:p>
    <w:p w14:paraId="5E7DA38E" w14:textId="77777777" w:rsidR="00F90D5E" w:rsidRDefault="00F90D5E" w:rsidP="00F90D5E">
      <w:pPr>
        <w:snapToGrid w:val="0"/>
        <w:ind w:leftChars="100" w:left="240"/>
        <w:jc w:val="center"/>
        <w:rPr>
          <w:rFonts w:ascii="Book Antiqua" w:hAnsi="Book Antiqua"/>
        </w:rPr>
      </w:pPr>
    </w:p>
    <w:p w14:paraId="14F85C19" w14:textId="77777777" w:rsidR="00F90D5E" w:rsidRDefault="00F90D5E" w:rsidP="00F90D5E">
      <w:pPr>
        <w:snapToGrid w:val="0"/>
        <w:ind w:leftChars="100" w:left="240"/>
        <w:jc w:val="center"/>
        <w:rPr>
          <w:rFonts w:ascii="Book Antiqua" w:hAnsi="Book Antiqua"/>
        </w:rPr>
      </w:pPr>
    </w:p>
    <w:p w14:paraId="16F1F8EF" w14:textId="77777777" w:rsidR="00F90D5E" w:rsidRDefault="00F90D5E" w:rsidP="00F90D5E">
      <w:pPr>
        <w:snapToGrid w:val="0"/>
        <w:ind w:leftChars="100" w:left="240"/>
        <w:jc w:val="center"/>
        <w:rPr>
          <w:rFonts w:ascii="Book Antiqua" w:hAnsi="Book Antiqua"/>
        </w:rPr>
      </w:pPr>
    </w:p>
    <w:p w14:paraId="5BE7B819" w14:textId="77777777" w:rsidR="00F90D5E" w:rsidRDefault="00F90D5E" w:rsidP="00F90D5E">
      <w:pPr>
        <w:snapToGrid w:val="0"/>
        <w:ind w:leftChars="100" w:left="240"/>
        <w:jc w:val="center"/>
        <w:rPr>
          <w:rFonts w:ascii="Book Antiqua" w:hAnsi="Book Antiqua"/>
        </w:rPr>
      </w:pPr>
    </w:p>
    <w:p w14:paraId="638E77AA" w14:textId="77777777" w:rsidR="00F90D5E" w:rsidRDefault="00F90D5E" w:rsidP="00F90D5E">
      <w:pPr>
        <w:snapToGrid w:val="0"/>
        <w:ind w:leftChars="100" w:left="240"/>
        <w:jc w:val="center"/>
        <w:rPr>
          <w:rFonts w:ascii="Book Antiqua" w:hAnsi="Book Antiqua"/>
        </w:rPr>
      </w:pPr>
    </w:p>
    <w:p w14:paraId="6B9193C4" w14:textId="77777777" w:rsidR="00F90D5E" w:rsidRDefault="00F90D5E" w:rsidP="00F90D5E">
      <w:pPr>
        <w:snapToGrid w:val="0"/>
        <w:ind w:leftChars="100" w:left="240"/>
        <w:jc w:val="center"/>
        <w:rPr>
          <w:rFonts w:ascii="Book Antiqua" w:hAnsi="Book Antiqua"/>
        </w:rPr>
      </w:pPr>
    </w:p>
    <w:p w14:paraId="4ADEAC54" w14:textId="77777777" w:rsidR="00F90D5E" w:rsidRDefault="00F90D5E" w:rsidP="00F90D5E">
      <w:pPr>
        <w:snapToGrid w:val="0"/>
        <w:ind w:leftChars="100" w:left="240"/>
        <w:jc w:val="center"/>
        <w:rPr>
          <w:rFonts w:ascii="Book Antiqua" w:hAnsi="Book Antiqua"/>
        </w:rPr>
      </w:pPr>
    </w:p>
    <w:p w14:paraId="5B860288" w14:textId="77777777" w:rsidR="00F90D5E" w:rsidRDefault="00F90D5E" w:rsidP="00F90D5E">
      <w:pPr>
        <w:snapToGrid w:val="0"/>
        <w:ind w:leftChars="100" w:left="240"/>
        <w:jc w:val="right"/>
        <w:rPr>
          <w:rFonts w:ascii="Book Antiqua" w:hAnsi="Book Antiqua"/>
          <w:color w:val="000000" w:themeColor="text1"/>
        </w:rPr>
      </w:pPr>
    </w:p>
    <w:p w14:paraId="3F1C0A73" w14:textId="77777777" w:rsidR="00F90D5E" w:rsidRDefault="00F90D5E" w:rsidP="00F90D5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1C9BEF6" w14:textId="77777777" w:rsidR="00F90D5E" w:rsidRDefault="00F90D5E" w:rsidP="00F90D5E">
      <w:pPr>
        <w:rPr>
          <w:rFonts w:ascii="Book Antiqua" w:hAnsi="Book Antiqua" w:cs="Book Antiqua"/>
          <w:b/>
          <w:bCs/>
          <w:color w:val="000000"/>
        </w:rPr>
      </w:pPr>
    </w:p>
    <w:p w14:paraId="3062998C" w14:textId="77777777" w:rsidR="00381465" w:rsidRDefault="00381465">
      <w:pPr>
        <w:spacing w:line="360" w:lineRule="auto"/>
        <w:jc w:val="both"/>
        <w:rPr>
          <w:rFonts w:ascii="Book Antiqua" w:hAnsi="Book Antiqua"/>
          <w:b/>
          <w:bCs/>
          <w:lang w:val="en-SG"/>
        </w:rPr>
      </w:pPr>
    </w:p>
    <w:sectPr w:rsidR="00381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0D96" w14:textId="77777777" w:rsidR="00E5729A" w:rsidRDefault="00E5729A">
      <w:r>
        <w:separator/>
      </w:r>
    </w:p>
  </w:endnote>
  <w:endnote w:type="continuationSeparator" w:id="0">
    <w:p w14:paraId="0DEFAF21" w14:textId="77777777" w:rsidR="00E5729A" w:rsidRDefault="00E5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Neue">
    <w:altName w:val="Sylfaen"/>
    <w:charset w:val="00"/>
    <w:family w:val="auto"/>
    <w:pitch w:val="default"/>
    <w:sig w:usb0="00000000" w:usb1="00000000" w:usb2="00000010" w:usb3="00000000" w:csb0="00000001"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EE47" w14:textId="77777777" w:rsidR="00381465"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174AD9C9" w14:textId="77777777" w:rsidR="00381465" w:rsidRDefault="003814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F8D6" w14:textId="77777777" w:rsidR="00E5729A" w:rsidRDefault="00E5729A">
      <w:r>
        <w:separator/>
      </w:r>
    </w:p>
  </w:footnote>
  <w:footnote w:type="continuationSeparator" w:id="0">
    <w:p w14:paraId="17402D49" w14:textId="77777777" w:rsidR="00E5729A" w:rsidRDefault="00E57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M4MTc1ZDM1YjgwNDdhYTgwNzk3YTU4M2IzOGM1MGQifQ=="/>
  </w:docVars>
  <w:rsids>
    <w:rsidRoot w:val="00A77B3E"/>
    <w:rsid w:val="00004178"/>
    <w:rsid w:val="00006F96"/>
    <w:rsid w:val="00007E77"/>
    <w:rsid w:val="0002378F"/>
    <w:rsid w:val="00031F4D"/>
    <w:rsid w:val="00033806"/>
    <w:rsid w:val="0004444E"/>
    <w:rsid w:val="00054A9D"/>
    <w:rsid w:val="000647EB"/>
    <w:rsid w:val="00067806"/>
    <w:rsid w:val="000711F3"/>
    <w:rsid w:val="0007241E"/>
    <w:rsid w:val="00075B06"/>
    <w:rsid w:val="00083389"/>
    <w:rsid w:val="000864B0"/>
    <w:rsid w:val="000952CF"/>
    <w:rsid w:val="00095AC7"/>
    <w:rsid w:val="00095DDD"/>
    <w:rsid w:val="000969C0"/>
    <w:rsid w:val="000B54BD"/>
    <w:rsid w:val="000C786A"/>
    <w:rsid w:val="000D17F1"/>
    <w:rsid w:val="000E2620"/>
    <w:rsid w:val="000E5DBE"/>
    <w:rsid w:val="000E7477"/>
    <w:rsid w:val="000F2387"/>
    <w:rsid w:val="000F3B34"/>
    <w:rsid w:val="0010589E"/>
    <w:rsid w:val="00116BD6"/>
    <w:rsid w:val="00123DC1"/>
    <w:rsid w:val="00127279"/>
    <w:rsid w:val="00143FFD"/>
    <w:rsid w:val="00166738"/>
    <w:rsid w:val="001701BA"/>
    <w:rsid w:val="00172C2F"/>
    <w:rsid w:val="001735BC"/>
    <w:rsid w:val="001834D4"/>
    <w:rsid w:val="00190277"/>
    <w:rsid w:val="00192161"/>
    <w:rsid w:val="00193120"/>
    <w:rsid w:val="00194991"/>
    <w:rsid w:val="00196028"/>
    <w:rsid w:val="00196708"/>
    <w:rsid w:val="001A18F7"/>
    <w:rsid w:val="001A468D"/>
    <w:rsid w:val="001A74D8"/>
    <w:rsid w:val="001B7A6F"/>
    <w:rsid w:val="001C030C"/>
    <w:rsid w:val="001C0F9E"/>
    <w:rsid w:val="001C3032"/>
    <w:rsid w:val="001C3920"/>
    <w:rsid w:val="001D7AEA"/>
    <w:rsid w:val="001E3223"/>
    <w:rsid w:val="001E3424"/>
    <w:rsid w:val="001E36E1"/>
    <w:rsid w:val="001F2FDA"/>
    <w:rsid w:val="001F3A84"/>
    <w:rsid w:val="001F41CC"/>
    <w:rsid w:val="001F6CE8"/>
    <w:rsid w:val="001F6FB2"/>
    <w:rsid w:val="00212700"/>
    <w:rsid w:val="00217FF3"/>
    <w:rsid w:val="00227774"/>
    <w:rsid w:val="00237C08"/>
    <w:rsid w:val="00242F75"/>
    <w:rsid w:val="0024786A"/>
    <w:rsid w:val="002532BC"/>
    <w:rsid w:val="002573D8"/>
    <w:rsid w:val="0026613E"/>
    <w:rsid w:val="00297955"/>
    <w:rsid w:val="002A67E4"/>
    <w:rsid w:val="002A6E38"/>
    <w:rsid w:val="002B1009"/>
    <w:rsid w:val="002B130E"/>
    <w:rsid w:val="002C0018"/>
    <w:rsid w:val="002C29B1"/>
    <w:rsid w:val="002C376E"/>
    <w:rsid w:val="002C39D2"/>
    <w:rsid w:val="002C5F3F"/>
    <w:rsid w:val="002C6B61"/>
    <w:rsid w:val="002C709F"/>
    <w:rsid w:val="002E616F"/>
    <w:rsid w:val="002E646C"/>
    <w:rsid w:val="002F35BD"/>
    <w:rsid w:val="002F3EC7"/>
    <w:rsid w:val="002F6C6A"/>
    <w:rsid w:val="003068E6"/>
    <w:rsid w:val="0031630D"/>
    <w:rsid w:val="003309B4"/>
    <w:rsid w:val="003345B5"/>
    <w:rsid w:val="003361D3"/>
    <w:rsid w:val="00341DA7"/>
    <w:rsid w:val="0034703D"/>
    <w:rsid w:val="00351495"/>
    <w:rsid w:val="00352305"/>
    <w:rsid w:val="003554D9"/>
    <w:rsid w:val="00360D32"/>
    <w:rsid w:val="003621E9"/>
    <w:rsid w:val="00371346"/>
    <w:rsid w:val="00381465"/>
    <w:rsid w:val="003901DA"/>
    <w:rsid w:val="00392790"/>
    <w:rsid w:val="003C07E8"/>
    <w:rsid w:val="003C1887"/>
    <w:rsid w:val="003D1210"/>
    <w:rsid w:val="003D7D6C"/>
    <w:rsid w:val="003E3F3E"/>
    <w:rsid w:val="003E41E2"/>
    <w:rsid w:val="003F5BE8"/>
    <w:rsid w:val="003F63D6"/>
    <w:rsid w:val="003F7068"/>
    <w:rsid w:val="00405AB0"/>
    <w:rsid w:val="00411C18"/>
    <w:rsid w:val="00424A84"/>
    <w:rsid w:val="00426466"/>
    <w:rsid w:val="00431F91"/>
    <w:rsid w:val="00456315"/>
    <w:rsid w:val="004600AD"/>
    <w:rsid w:val="00467E19"/>
    <w:rsid w:val="00475861"/>
    <w:rsid w:val="0047678C"/>
    <w:rsid w:val="0048082D"/>
    <w:rsid w:val="004909E6"/>
    <w:rsid w:val="00493958"/>
    <w:rsid w:val="00496E48"/>
    <w:rsid w:val="004A76F9"/>
    <w:rsid w:val="004B2FD7"/>
    <w:rsid w:val="004C0C9E"/>
    <w:rsid w:val="004C5556"/>
    <w:rsid w:val="004C6254"/>
    <w:rsid w:val="004D050E"/>
    <w:rsid w:val="004E4988"/>
    <w:rsid w:val="00510C3C"/>
    <w:rsid w:val="00514070"/>
    <w:rsid w:val="00515D9C"/>
    <w:rsid w:val="005217DB"/>
    <w:rsid w:val="0052264E"/>
    <w:rsid w:val="005238CF"/>
    <w:rsid w:val="005271CB"/>
    <w:rsid w:val="00527996"/>
    <w:rsid w:val="00536FFC"/>
    <w:rsid w:val="00537E8F"/>
    <w:rsid w:val="00541586"/>
    <w:rsid w:val="00545C1E"/>
    <w:rsid w:val="00555CA2"/>
    <w:rsid w:val="005602C8"/>
    <w:rsid w:val="00565789"/>
    <w:rsid w:val="005662F7"/>
    <w:rsid w:val="005729A6"/>
    <w:rsid w:val="00575DC6"/>
    <w:rsid w:val="005863DE"/>
    <w:rsid w:val="005A057D"/>
    <w:rsid w:val="005A325D"/>
    <w:rsid w:val="005B1DF2"/>
    <w:rsid w:val="005C43E7"/>
    <w:rsid w:val="005C4CF8"/>
    <w:rsid w:val="005C55C6"/>
    <w:rsid w:val="005D50B3"/>
    <w:rsid w:val="005D7026"/>
    <w:rsid w:val="005E3792"/>
    <w:rsid w:val="005E6918"/>
    <w:rsid w:val="005E70E1"/>
    <w:rsid w:val="005F0FB9"/>
    <w:rsid w:val="005F26CB"/>
    <w:rsid w:val="00601392"/>
    <w:rsid w:val="006071A0"/>
    <w:rsid w:val="00612995"/>
    <w:rsid w:val="00617FA6"/>
    <w:rsid w:val="00621B1E"/>
    <w:rsid w:val="0062223E"/>
    <w:rsid w:val="00624817"/>
    <w:rsid w:val="00630227"/>
    <w:rsid w:val="006503E1"/>
    <w:rsid w:val="00652A61"/>
    <w:rsid w:val="00652BD5"/>
    <w:rsid w:val="00654221"/>
    <w:rsid w:val="0067784E"/>
    <w:rsid w:val="006823B7"/>
    <w:rsid w:val="00685A03"/>
    <w:rsid w:val="00693AC2"/>
    <w:rsid w:val="006964F3"/>
    <w:rsid w:val="006977C0"/>
    <w:rsid w:val="006B1C5A"/>
    <w:rsid w:val="006B3EA8"/>
    <w:rsid w:val="006C0717"/>
    <w:rsid w:val="006C3D72"/>
    <w:rsid w:val="006C76DA"/>
    <w:rsid w:val="006C7C8B"/>
    <w:rsid w:val="006D218D"/>
    <w:rsid w:val="006D2F0D"/>
    <w:rsid w:val="006D5962"/>
    <w:rsid w:val="006E3211"/>
    <w:rsid w:val="006E6238"/>
    <w:rsid w:val="006F2D6F"/>
    <w:rsid w:val="006F390C"/>
    <w:rsid w:val="006F7B1E"/>
    <w:rsid w:val="00702102"/>
    <w:rsid w:val="00705AC9"/>
    <w:rsid w:val="00711FDF"/>
    <w:rsid w:val="0071311E"/>
    <w:rsid w:val="00723BD8"/>
    <w:rsid w:val="0072712D"/>
    <w:rsid w:val="00735B5E"/>
    <w:rsid w:val="0073662A"/>
    <w:rsid w:val="00753F33"/>
    <w:rsid w:val="00765801"/>
    <w:rsid w:val="00765953"/>
    <w:rsid w:val="00787205"/>
    <w:rsid w:val="007909B3"/>
    <w:rsid w:val="007A36C3"/>
    <w:rsid w:val="007A7EA9"/>
    <w:rsid w:val="007B4DA1"/>
    <w:rsid w:val="007B683C"/>
    <w:rsid w:val="007C2BDD"/>
    <w:rsid w:val="007C3104"/>
    <w:rsid w:val="007D25C1"/>
    <w:rsid w:val="007D50F4"/>
    <w:rsid w:val="007D787F"/>
    <w:rsid w:val="007E50C9"/>
    <w:rsid w:val="007F4276"/>
    <w:rsid w:val="007F69CE"/>
    <w:rsid w:val="00801E25"/>
    <w:rsid w:val="00801ECC"/>
    <w:rsid w:val="008031DC"/>
    <w:rsid w:val="00805249"/>
    <w:rsid w:val="00812A5A"/>
    <w:rsid w:val="00817FEE"/>
    <w:rsid w:val="0082247E"/>
    <w:rsid w:val="00827953"/>
    <w:rsid w:val="008309C2"/>
    <w:rsid w:val="008376F4"/>
    <w:rsid w:val="00837E45"/>
    <w:rsid w:val="00840BA9"/>
    <w:rsid w:val="00843F70"/>
    <w:rsid w:val="00845FC8"/>
    <w:rsid w:val="0085271B"/>
    <w:rsid w:val="00856A9D"/>
    <w:rsid w:val="00860825"/>
    <w:rsid w:val="008647BE"/>
    <w:rsid w:val="0086598F"/>
    <w:rsid w:val="008661C4"/>
    <w:rsid w:val="0086719E"/>
    <w:rsid w:val="008825ED"/>
    <w:rsid w:val="00893901"/>
    <w:rsid w:val="008976A9"/>
    <w:rsid w:val="008B12BB"/>
    <w:rsid w:val="008C5A8F"/>
    <w:rsid w:val="008D0A3F"/>
    <w:rsid w:val="008D62A5"/>
    <w:rsid w:val="008F62B0"/>
    <w:rsid w:val="008F6366"/>
    <w:rsid w:val="00900BB1"/>
    <w:rsid w:val="00906A8D"/>
    <w:rsid w:val="00913F9C"/>
    <w:rsid w:val="009147BE"/>
    <w:rsid w:val="0093328C"/>
    <w:rsid w:val="00935520"/>
    <w:rsid w:val="00936201"/>
    <w:rsid w:val="00936A9A"/>
    <w:rsid w:val="00942A5F"/>
    <w:rsid w:val="00944E51"/>
    <w:rsid w:val="009468A2"/>
    <w:rsid w:val="00951CC7"/>
    <w:rsid w:val="00967238"/>
    <w:rsid w:val="0097452B"/>
    <w:rsid w:val="009B3A47"/>
    <w:rsid w:val="009B439E"/>
    <w:rsid w:val="009B5C56"/>
    <w:rsid w:val="009C0C15"/>
    <w:rsid w:val="009C36B8"/>
    <w:rsid w:val="009D0F00"/>
    <w:rsid w:val="009D2023"/>
    <w:rsid w:val="009E087B"/>
    <w:rsid w:val="009E7D9C"/>
    <w:rsid w:val="009F000B"/>
    <w:rsid w:val="00A0085E"/>
    <w:rsid w:val="00A015E4"/>
    <w:rsid w:val="00A04D33"/>
    <w:rsid w:val="00A12A85"/>
    <w:rsid w:val="00A16B14"/>
    <w:rsid w:val="00A170F8"/>
    <w:rsid w:val="00A21EF1"/>
    <w:rsid w:val="00A22568"/>
    <w:rsid w:val="00A22C0C"/>
    <w:rsid w:val="00A2321B"/>
    <w:rsid w:val="00A23363"/>
    <w:rsid w:val="00A26BE1"/>
    <w:rsid w:val="00A31E1C"/>
    <w:rsid w:val="00A379D1"/>
    <w:rsid w:val="00A55568"/>
    <w:rsid w:val="00A56CD7"/>
    <w:rsid w:val="00A63EAB"/>
    <w:rsid w:val="00A6450B"/>
    <w:rsid w:val="00A720E4"/>
    <w:rsid w:val="00A723C6"/>
    <w:rsid w:val="00A756AE"/>
    <w:rsid w:val="00A77B3E"/>
    <w:rsid w:val="00A86923"/>
    <w:rsid w:val="00A86971"/>
    <w:rsid w:val="00A93B98"/>
    <w:rsid w:val="00AA1B59"/>
    <w:rsid w:val="00AB717E"/>
    <w:rsid w:val="00AC43B2"/>
    <w:rsid w:val="00AC4EF6"/>
    <w:rsid w:val="00AF49F4"/>
    <w:rsid w:val="00AF4BD2"/>
    <w:rsid w:val="00AF5D6B"/>
    <w:rsid w:val="00AF637C"/>
    <w:rsid w:val="00AF7B4C"/>
    <w:rsid w:val="00B063D0"/>
    <w:rsid w:val="00B14347"/>
    <w:rsid w:val="00B16C7A"/>
    <w:rsid w:val="00B210BD"/>
    <w:rsid w:val="00B33155"/>
    <w:rsid w:val="00B36D63"/>
    <w:rsid w:val="00B40E13"/>
    <w:rsid w:val="00B4381E"/>
    <w:rsid w:val="00B44B40"/>
    <w:rsid w:val="00B54257"/>
    <w:rsid w:val="00B54C07"/>
    <w:rsid w:val="00B5512C"/>
    <w:rsid w:val="00B553E0"/>
    <w:rsid w:val="00B61A2F"/>
    <w:rsid w:val="00B653E6"/>
    <w:rsid w:val="00B709EE"/>
    <w:rsid w:val="00B719EC"/>
    <w:rsid w:val="00B81167"/>
    <w:rsid w:val="00B86B31"/>
    <w:rsid w:val="00B93606"/>
    <w:rsid w:val="00BA188D"/>
    <w:rsid w:val="00BA6D2C"/>
    <w:rsid w:val="00BB1DDB"/>
    <w:rsid w:val="00BC0457"/>
    <w:rsid w:val="00BC38BF"/>
    <w:rsid w:val="00BC3A06"/>
    <w:rsid w:val="00BC5895"/>
    <w:rsid w:val="00BC67D4"/>
    <w:rsid w:val="00BC7686"/>
    <w:rsid w:val="00BD607B"/>
    <w:rsid w:val="00BF3E49"/>
    <w:rsid w:val="00C14D8A"/>
    <w:rsid w:val="00C24729"/>
    <w:rsid w:val="00C2599E"/>
    <w:rsid w:val="00C41012"/>
    <w:rsid w:val="00C45FFD"/>
    <w:rsid w:val="00C47A05"/>
    <w:rsid w:val="00C51DA5"/>
    <w:rsid w:val="00C52336"/>
    <w:rsid w:val="00C57B1C"/>
    <w:rsid w:val="00C57C10"/>
    <w:rsid w:val="00C57DD4"/>
    <w:rsid w:val="00C64ACA"/>
    <w:rsid w:val="00C650AA"/>
    <w:rsid w:val="00C66FCC"/>
    <w:rsid w:val="00C726CC"/>
    <w:rsid w:val="00C92DF6"/>
    <w:rsid w:val="00C94D55"/>
    <w:rsid w:val="00C96E7F"/>
    <w:rsid w:val="00CA2A55"/>
    <w:rsid w:val="00CB09F6"/>
    <w:rsid w:val="00CB657F"/>
    <w:rsid w:val="00CB67CE"/>
    <w:rsid w:val="00CC392B"/>
    <w:rsid w:val="00CE33B9"/>
    <w:rsid w:val="00CF00AC"/>
    <w:rsid w:val="00CF0A21"/>
    <w:rsid w:val="00CF35A9"/>
    <w:rsid w:val="00CF45A7"/>
    <w:rsid w:val="00CF4F04"/>
    <w:rsid w:val="00CF70F8"/>
    <w:rsid w:val="00D06F0D"/>
    <w:rsid w:val="00D0749C"/>
    <w:rsid w:val="00D10C26"/>
    <w:rsid w:val="00D23256"/>
    <w:rsid w:val="00D255C4"/>
    <w:rsid w:val="00D33096"/>
    <w:rsid w:val="00D33BC1"/>
    <w:rsid w:val="00D36C30"/>
    <w:rsid w:val="00D53306"/>
    <w:rsid w:val="00D56BB8"/>
    <w:rsid w:val="00D62A53"/>
    <w:rsid w:val="00D65882"/>
    <w:rsid w:val="00D7239E"/>
    <w:rsid w:val="00D76CC2"/>
    <w:rsid w:val="00D92375"/>
    <w:rsid w:val="00DB4BEE"/>
    <w:rsid w:val="00DB5C50"/>
    <w:rsid w:val="00DC3D68"/>
    <w:rsid w:val="00DD09A5"/>
    <w:rsid w:val="00DD54C4"/>
    <w:rsid w:val="00DD58BB"/>
    <w:rsid w:val="00DD69B9"/>
    <w:rsid w:val="00DD7973"/>
    <w:rsid w:val="00DE32F2"/>
    <w:rsid w:val="00DF6FBB"/>
    <w:rsid w:val="00E03A70"/>
    <w:rsid w:val="00E155FA"/>
    <w:rsid w:val="00E245E0"/>
    <w:rsid w:val="00E30517"/>
    <w:rsid w:val="00E33BDC"/>
    <w:rsid w:val="00E37557"/>
    <w:rsid w:val="00E55B42"/>
    <w:rsid w:val="00E56CC0"/>
    <w:rsid w:val="00E5729A"/>
    <w:rsid w:val="00E609B3"/>
    <w:rsid w:val="00E66F00"/>
    <w:rsid w:val="00E72659"/>
    <w:rsid w:val="00E73C52"/>
    <w:rsid w:val="00E905D1"/>
    <w:rsid w:val="00E95605"/>
    <w:rsid w:val="00EA2A0C"/>
    <w:rsid w:val="00EA30D4"/>
    <w:rsid w:val="00EA553C"/>
    <w:rsid w:val="00EA7ED8"/>
    <w:rsid w:val="00EC1EBD"/>
    <w:rsid w:val="00EC2FCC"/>
    <w:rsid w:val="00EC3C0B"/>
    <w:rsid w:val="00ED04D5"/>
    <w:rsid w:val="00ED1D61"/>
    <w:rsid w:val="00ED32BF"/>
    <w:rsid w:val="00EF589A"/>
    <w:rsid w:val="00F0296F"/>
    <w:rsid w:val="00F13070"/>
    <w:rsid w:val="00F14E8E"/>
    <w:rsid w:val="00F219B4"/>
    <w:rsid w:val="00F2588E"/>
    <w:rsid w:val="00F26436"/>
    <w:rsid w:val="00F3102C"/>
    <w:rsid w:val="00F34836"/>
    <w:rsid w:val="00F3705E"/>
    <w:rsid w:val="00F379EF"/>
    <w:rsid w:val="00F5339F"/>
    <w:rsid w:val="00F60FD1"/>
    <w:rsid w:val="00F63BB3"/>
    <w:rsid w:val="00F7373C"/>
    <w:rsid w:val="00F90D5E"/>
    <w:rsid w:val="00FA24A0"/>
    <w:rsid w:val="00FA31FF"/>
    <w:rsid w:val="00FB4981"/>
    <w:rsid w:val="00FB5358"/>
    <w:rsid w:val="00FC03A0"/>
    <w:rsid w:val="00FC73B4"/>
    <w:rsid w:val="00FD7941"/>
    <w:rsid w:val="00FE3191"/>
    <w:rsid w:val="00FF0A38"/>
    <w:rsid w:val="04C133B2"/>
    <w:rsid w:val="056E7D52"/>
    <w:rsid w:val="060312E7"/>
    <w:rsid w:val="060D108D"/>
    <w:rsid w:val="27901640"/>
    <w:rsid w:val="2BE230D5"/>
    <w:rsid w:val="2D723A54"/>
    <w:rsid w:val="3D8A3F82"/>
    <w:rsid w:val="42D71B31"/>
    <w:rsid w:val="4CA21C4A"/>
    <w:rsid w:val="5AE14D89"/>
    <w:rsid w:val="705B0344"/>
    <w:rsid w:val="741728EF"/>
    <w:rsid w:val="7E170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7AE27"/>
  <w15:docId w15:val="{E3C69BB7-78BC-4936-AB31-0E67B532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FollowedHyperlink"/>
    <w:basedOn w:val="a0"/>
    <w:semiHidden/>
    <w:unhideWhenUsed/>
    <w:qFormat/>
    <w:rPr>
      <w:color w:val="800080" w:themeColor="followedHyperlink"/>
      <w:u w:val="single"/>
    </w:rPr>
  </w:style>
  <w:style w:type="character" w:styleId="af">
    <w:name w:val="Hyperlink"/>
    <w:basedOn w:val="a0"/>
    <w:unhideWhenUsed/>
    <w:qFormat/>
    <w:rPr>
      <w:color w:val="0000FF" w:themeColor="hyperlink"/>
      <w:u w:val="single"/>
    </w:rPr>
  </w:style>
  <w:style w:type="character" w:styleId="af0">
    <w:name w:val="annotation reference"/>
    <w:basedOn w:val="a0"/>
    <w:semiHidden/>
    <w:unhideWhenUsed/>
    <w:rPr>
      <w:sz w:val="21"/>
      <w:szCs w:val="21"/>
    </w:rPr>
  </w:style>
  <w:style w:type="paragraph" w:customStyle="1" w:styleId="1">
    <w:name w:val="修订1"/>
    <w:hidden/>
    <w:uiPriority w:val="99"/>
    <w:semiHidden/>
    <w:qFormat/>
    <w:rPr>
      <w:rFonts w:eastAsiaTheme="minorEastAsia"/>
      <w:sz w:val="24"/>
      <w:szCs w:val="24"/>
      <w:lang w:eastAsia="en-US"/>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eg-en">
    <w:name w:val="eg-en"/>
    <w:basedOn w:val="a0"/>
    <w:qFormat/>
  </w:style>
  <w:style w:type="character" w:customStyle="1" w:styleId="10">
    <w:name w:val="未处理的提及1"/>
    <w:basedOn w:val="a0"/>
    <w:uiPriority w:val="99"/>
    <w:semiHidden/>
    <w:unhideWhenUsed/>
    <w:qFormat/>
    <w:rPr>
      <w:color w:val="605E5C"/>
      <w:shd w:val="clear" w:color="auto" w:fill="E1DFDD"/>
    </w:rPr>
  </w:style>
  <w:style w:type="character" w:customStyle="1" w:styleId="id-label">
    <w:name w:val="id-label"/>
    <w:basedOn w:val="a0"/>
  </w:style>
  <w:style w:type="character" w:customStyle="1" w:styleId="apple-converted-space">
    <w:name w:val="apple-converted-space"/>
    <w:basedOn w:val="a0"/>
    <w:qFormat/>
  </w:style>
  <w:style w:type="character" w:customStyle="1" w:styleId="identifier">
    <w:name w:val="identifier"/>
    <w:basedOn w:val="a0"/>
    <w:qFormat/>
  </w:style>
  <w:style w:type="character" w:styleId="af1">
    <w:name w:val="Unresolved Mention"/>
    <w:basedOn w:val="a0"/>
    <w:uiPriority w:val="99"/>
    <w:semiHidden/>
    <w:unhideWhenUsed/>
    <w:rsid w:val="00F90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948-5190/full/v15/i8/518.htm"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4559</Words>
  <Characters>25987</Characters>
  <Application>Microsoft Office Word</Application>
  <DocSecurity>0</DocSecurity>
  <Lines>216</Lines>
  <Paragraphs>60</Paragraphs>
  <ScaleCrop>false</ScaleCrop>
  <Company/>
  <LinksUpToDate>false</LinksUpToDate>
  <CharactersWithSpaces>30486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蔡 一瑄</cp:lastModifiedBy>
  <cp:revision>20</cp:revision>
  <dcterms:created xsi:type="dcterms:W3CDTF">2023-06-28T01:51:00Z</dcterms:created>
  <dcterms:modified xsi:type="dcterms:W3CDTF">2023-08-10T07:52:00Z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871ED3F7EEF24892ABA7C649711EE23B_12</vt:lpwstr>
  </property>
</Properties>
</file>