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74F23" w14:textId="77777777" w:rsidR="00783269"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CB3BFF0" w14:textId="77777777" w:rsidR="00783269"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84648</w:t>
      </w:r>
    </w:p>
    <w:p w14:paraId="76D74C4D" w14:textId="77777777" w:rsidR="00783269"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C971850" w14:textId="77777777" w:rsidR="00783269" w:rsidRDefault="00783269">
      <w:pPr>
        <w:spacing w:line="360" w:lineRule="auto"/>
        <w:jc w:val="both"/>
        <w:rPr>
          <w:rFonts w:ascii="Book Antiqua" w:hAnsi="Book Antiqua"/>
        </w:rPr>
      </w:pPr>
    </w:p>
    <w:p w14:paraId="0B8C9619" w14:textId="77777777" w:rsidR="00783269" w:rsidRDefault="00000000">
      <w:pPr>
        <w:spacing w:line="360" w:lineRule="auto"/>
        <w:jc w:val="both"/>
        <w:rPr>
          <w:rFonts w:ascii="Book Antiqua" w:hAnsi="Book Antiqua"/>
        </w:rPr>
      </w:pPr>
      <w:r>
        <w:rPr>
          <w:rFonts w:ascii="Book Antiqua" w:eastAsia="Book Antiqua" w:hAnsi="Book Antiqua" w:cs="Book Antiqua"/>
          <w:b/>
          <w:i/>
        </w:rPr>
        <w:t>Basic Study</w:t>
      </w:r>
    </w:p>
    <w:p w14:paraId="2B66F92D" w14:textId="77777777" w:rsidR="00783269"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Suberoylanilide</w:t>
      </w:r>
      <w:proofErr w:type="spellEnd"/>
      <w:r>
        <w:rPr>
          <w:rFonts w:ascii="Book Antiqua" w:eastAsia="Book Antiqua" w:hAnsi="Book Antiqua" w:cs="Book Antiqua"/>
          <w:b/>
          <w:bCs/>
          <w:color w:val="000000"/>
        </w:rPr>
        <w:t xml:space="preserve"> hydroxamic acid upregulates </w:t>
      </w:r>
      <w:proofErr w:type="spellStart"/>
      <w:r>
        <w:rPr>
          <w:rFonts w:ascii="Book Antiqua" w:eastAsia="Book Antiqua" w:hAnsi="Book Antiqua" w:cs="Book Antiqua"/>
          <w:b/>
          <w:bCs/>
          <w:color w:val="000000"/>
        </w:rPr>
        <w:t>reticulophagy</w:t>
      </w:r>
      <w:proofErr w:type="spellEnd"/>
      <w:r>
        <w:rPr>
          <w:rFonts w:ascii="Book Antiqua" w:eastAsia="Book Antiqua" w:hAnsi="Book Antiqua" w:cs="Book Antiqua"/>
          <w:b/>
          <w:bCs/>
          <w:color w:val="000000"/>
        </w:rPr>
        <w:t xml:space="preserve"> receptor expression and promotes cell death in </w:t>
      </w:r>
      <w:bookmarkStart w:id="0" w:name="_Hlk142483938"/>
      <w:r>
        <w:rPr>
          <w:rFonts w:ascii="Book Antiqua" w:eastAsia="Book Antiqua" w:hAnsi="Book Antiqua" w:cs="Book Antiqua"/>
          <w:b/>
          <w:bCs/>
          <w:color w:val="000000"/>
        </w:rPr>
        <w:t>hepatocellular carcinoma</w:t>
      </w:r>
      <w:bookmarkEnd w:id="0"/>
      <w:r>
        <w:rPr>
          <w:rFonts w:ascii="Book Antiqua" w:eastAsia="Book Antiqua" w:hAnsi="Book Antiqua" w:cs="Book Antiqua"/>
          <w:b/>
          <w:bCs/>
          <w:color w:val="000000"/>
        </w:rPr>
        <w:t xml:space="preserve"> cells</w:t>
      </w:r>
    </w:p>
    <w:p w14:paraId="287200C0" w14:textId="77777777" w:rsidR="00783269" w:rsidRDefault="00783269">
      <w:pPr>
        <w:spacing w:line="360" w:lineRule="auto"/>
        <w:jc w:val="both"/>
        <w:rPr>
          <w:rFonts w:ascii="Book Antiqua" w:hAnsi="Book Antiqua"/>
        </w:rPr>
      </w:pPr>
    </w:p>
    <w:p w14:paraId="38939194"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Li JY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enhances HCC cell death</w:t>
      </w:r>
    </w:p>
    <w:p w14:paraId="1044ADB7" w14:textId="77777777" w:rsidR="00783269" w:rsidRDefault="00783269">
      <w:pPr>
        <w:spacing w:line="360" w:lineRule="auto"/>
        <w:jc w:val="both"/>
        <w:rPr>
          <w:rFonts w:ascii="Book Antiqua" w:hAnsi="Book Antiqua"/>
        </w:rPr>
      </w:pPr>
    </w:p>
    <w:p w14:paraId="35C8FBE1"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Jia-Yao Li, Tian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Bing Han, Ting Yang, Yi-Xin Guo, Jia-Yu Wu, Yu-Si Chen, Qin Yang, Ru-Jia </w:t>
      </w:r>
      <w:proofErr w:type="spellStart"/>
      <w:r>
        <w:rPr>
          <w:rFonts w:ascii="Book Antiqua" w:eastAsia="Book Antiqua" w:hAnsi="Book Antiqua" w:cs="Book Antiqua"/>
          <w:color w:val="000000"/>
        </w:rPr>
        <w:t>Xie</w:t>
      </w:r>
      <w:proofErr w:type="spellEnd"/>
    </w:p>
    <w:p w14:paraId="7A73BBA1" w14:textId="77777777" w:rsidR="00783269" w:rsidRDefault="00783269">
      <w:pPr>
        <w:spacing w:line="360" w:lineRule="auto"/>
        <w:jc w:val="both"/>
        <w:rPr>
          <w:rFonts w:ascii="Book Antiqua" w:hAnsi="Book Antiqua"/>
        </w:rPr>
      </w:pPr>
    </w:p>
    <w:p w14:paraId="44F207F9" w14:textId="77777777" w:rsidR="00783269" w:rsidRDefault="00000000">
      <w:pPr>
        <w:spacing w:line="360" w:lineRule="auto"/>
        <w:jc w:val="both"/>
        <w:rPr>
          <w:rFonts w:ascii="Book Antiqua" w:hAnsi="Book Antiqua"/>
        </w:rPr>
      </w:pPr>
      <w:r>
        <w:rPr>
          <w:rFonts w:ascii="Book Antiqua" w:eastAsia="Book Antiqua" w:hAnsi="Book Antiqua" w:cs="Book Antiqua"/>
          <w:b/>
          <w:bCs/>
          <w:color w:val="000000"/>
        </w:rPr>
        <w:t xml:space="preserve">Jia-Yao Li, Bing Han, Ting Yang, Yi-Xin Guo, Jia-Yu Wu, Yu-Si Chen, Qin Yang, Ru-Jia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Guizhou Provincial Key Laboratory of Pathogenesis and Drug Research on Common Chronic Diseases, College of Basic Medical Sciences, Guizhou Medical University, Guiyang 550025, Guizhou Province, China</w:t>
      </w:r>
    </w:p>
    <w:p w14:paraId="1428B84C" w14:textId="77777777" w:rsidR="00783269" w:rsidRDefault="00783269">
      <w:pPr>
        <w:spacing w:line="360" w:lineRule="auto"/>
        <w:jc w:val="both"/>
        <w:rPr>
          <w:rFonts w:ascii="Book Antiqua" w:hAnsi="Book Antiqua"/>
        </w:rPr>
      </w:pPr>
    </w:p>
    <w:p w14:paraId="7932F11B" w14:textId="77777777" w:rsidR="00783269" w:rsidRDefault="00000000">
      <w:pPr>
        <w:spacing w:line="360" w:lineRule="auto"/>
        <w:jc w:val="both"/>
        <w:rPr>
          <w:rFonts w:ascii="Book Antiqua" w:hAnsi="Book Antiqua"/>
        </w:rPr>
      </w:pPr>
      <w:r>
        <w:rPr>
          <w:rFonts w:ascii="Book Antiqua" w:eastAsia="Book Antiqua" w:hAnsi="Book Antiqua" w:cs="Book Antiqua"/>
          <w:b/>
          <w:bCs/>
          <w:color w:val="000000"/>
        </w:rPr>
        <w:t xml:space="preserve">Jia-Yao Li, Bing Han, Ting Yang, Yi-Xin Guo, Jia-Yu Wu, Yu-Si Chen, Qin Yang, Ru-Jia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Pathophysiology, College of Basic Medical Sciences, Guizhou Medical University, Guiyang 550025, Guizhou Province, China</w:t>
      </w:r>
    </w:p>
    <w:p w14:paraId="32588D2C" w14:textId="77777777" w:rsidR="00783269" w:rsidRDefault="00783269">
      <w:pPr>
        <w:spacing w:line="360" w:lineRule="auto"/>
        <w:jc w:val="both"/>
        <w:rPr>
          <w:rFonts w:ascii="Book Antiqua" w:hAnsi="Book Antiqua"/>
        </w:rPr>
      </w:pPr>
    </w:p>
    <w:p w14:paraId="0A2CAE46" w14:textId="77777777" w:rsidR="00783269" w:rsidRDefault="00000000">
      <w:pPr>
        <w:spacing w:line="360" w:lineRule="auto"/>
        <w:jc w:val="both"/>
        <w:rPr>
          <w:rFonts w:ascii="Book Antiqua" w:hAnsi="Book Antiqua"/>
        </w:rPr>
      </w:pPr>
      <w:r>
        <w:rPr>
          <w:rFonts w:ascii="Book Antiqua" w:eastAsia="Book Antiqua" w:hAnsi="Book Antiqua" w:cs="Book Antiqua"/>
          <w:b/>
          <w:bCs/>
          <w:color w:val="000000"/>
        </w:rPr>
        <w:t xml:space="preserve">Tian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Eugenic Genetics, Guiyang Maternal and Child Health Care Hospital, Guiyang 550003, Guizhou Province, China</w:t>
      </w:r>
    </w:p>
    <w:p w14:paraId="6F266C5F" w14:textId="77777777" w:rsidR="00783269" w:rsidRDefault="00783269">
      <w:pPr>
        <w:spacing w:line="360" w:lineRule="auto"/>
        <w:jc w:val="both"/>
        <w:rPr>
          <w:rFonts w:ascii="Book Antiqua" w:hAnsi="Book Antiqua"/>
        </w:rPr>
      </w:pPr>
    </w:p>
    <w:p w14:paraId="30187A83" w14:textId="77777777" w:rsidR="00783269"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RJ and Yang Q contributed to the experimental conception and design; Li JY, Tian T, and Han B conducted the experiments; Yang T and Guo YX collected and assembled the experimental data; Li JY, Chen YS, and Wu JY contributed to data analysis and interpretation; Li JY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RJ wrote the article; All authors approved the final manuscript. Li JY, Tian T, and Han B contributed equally to this work.</w:t>
      </w:r>
    </w:p>
    <w:p w14:paraId="3620D320" w14:textId="77777777" w:rsidR="00783269" w:rsidRDefault="00783269">
      <w:pPr>
        <w:spacing w:line="360" w:lineRule="auto"/>
        <w:jc w:val="both"/>
        <w:rPr>
          <w:rFonts w:ascii="Book Antiqua" w:hAnsi="Book Antiqua"/>
        </w:rPr>
      </w:pPr>
    </w:p>
    <w:p w14:paraId="24503CCE" w14:textId="77777777" w:rsidR="00783269"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National Natural Science Foundation of China, No. 82260127; Guizhou Provincial Science and Technology Projects, No. </w:t>
      </w:r>
      <w:proofErr w:type="spellStart"/>
      <w:r>
        <w:rPr>
          <w:rFonts w:ascii="Book Antiqua" w:eastAsia="Book Antiqua" w:hAnsi="Book Antiqua" w:cs="Book Antiqua"/>
          <w:color w:val="000000"/>
        </w:rPr>
        <w:t>Qiankehe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Jichu</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ZK[</w:t>
      </w:r>
      <w:proofErr w:type="gramEnd"/>
      <w:r>
        <w:rPr>
          <w:rFonts w:ascii="Book Antiqua" w:eastAsia="Book Antiqua" w:hAnsi="Book Antiqua" w:cs="Book Antiqua"/>
          <w:color w:val="000000"/>
        </w:rPr>
        <w:t xml:space="preserve">2021]365 and </w:t>
      </w:r>
      <w:proofErr w:type="spellStart"/>
      <w:r>
        <w:rPr>
          <w:rFonts w:ascii="Book Antiqua" w:eastAsia="Book Antiqua" w:hAnsi="Book Antiqua" w:cs="Book Antiqua"/>
          <w:color w:val="000000"/>
        </w:rPr>
        <w:t>Qiankehe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Jichu</w:t>
      </w:r>
      <w:proofErr w:type="spellEnd"/>
      <w:r>
        <w:rPr>
          <w:rFonts w:ascii="Book Antiqua" w:eastAsia="Book Antiqua" w:hAnsi="Book Antiqua" w:cs="Book Antiqua"/>
          <w:color w:val="000000"/>
        </w:rPr>
        <w:t>-ZK[2021]364; National Natural Science Foundation Cultivation Project of Guizhou Medical University, No. 20NSP016; Guizhou Provincial Natural Science Foundation, No. [2021]4029 and [2022]4017; and Science and Technology Foundation of Guizhou Provincial Health Commission, No. gzwjkj2019-1-102.</w:t>
      </w:r>
    </w:p>
    <w:p w14:paraId="35397DEF" w14:textId="77777777" w:rsidR="00783269" w:rsidRDefault="00783269">
      <w:pPr>
        <w:spacing w:line="360" w:lineRule="auto"/>
        <w:jc w:val="both"/>
        <w:rPr>
          <w:rFonts w:ascii="Book Antiqua" w:hAnsi="Book Antiqua"/>
        </w:rPr>
      </w:pPr>
    </w:p>
    <w:p w14:paraId="79A0FE28" w14:textId="77777777" w:rsidR="00783269"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Ru-Jia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MD, Academic Research, </w:t>
      </w:r>
      <w:r>
        <w:rPr>
          <w:rFonts w:ascii="Book Antiqua" w:eastAsia="Book Antiqua" w:hAnsi="Book Antiqua" w:cs="Book Antiqua"/>
          <w:color w:val="000000"/>
        </w:rPr>
        <w:t xml:space="preserve">Department of Pathophysiology, College of Basic Medical Sciences, Guizhou Medical University, </w:t>
      </w:r>
      <w:proofErr w:type="spellStart"/>
      <w:r>
        <w:rPr>
          <w:rFonts w:ascii="Book Antiqua" w:eastAsia="Book Antiqua" w:hAnsi="Book Antiqua" w:cs="Book Antiqua"/>
          <w:color w:val="000000"/>
        </w:rPr>
        <w:t>Dongqing</w:t>
      </w:r>
      <w:proofErr w:type="spellEnd"/>
      <w:r>
        <w:rPr>
          <w:rFonts w:ascii="Book Antiqua" w:eastAsia="Book Antiqua" w:hAnsi="Book Antiqua" w:cs="Book Antiqua"/>
          <w:color w:val="000000"/>
        </w:rPr>
        <w:t xml:space="preserve"> Road, Guiyang 550025, Guizhou Province, China. 592153968@qq.com</w:t>
      </w:r>
    </w:p>
    <w:p w14:paraId="3043378C" w14:textId="77777777" w:rsidR="00783269" w:rsidRDefault="00783269">
      <w:pPr>
        <w:spacing w:line="360" w:lineRule="auto"/>
        <w:jc w:val="both"/>
        <w:rPr>
          <w:rFonts w:ascii="Book Antiqua" w:hAnsi="Book Antiqua"/>
        </w:rPr>
      </w:pPr>
    </w:p>
    <w:p w14:paraId="1DB6C8CF"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March 23, 2023</w:t>
      </w:r>
    </w:p>
    <w:p w14:paraId="0842639A"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July 15, 2023</w:t>
      </w:r>
    </w:p>
    <w:p w14:paraId="75F3B979"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August 15, 2023</w:t>
      </w:r>
    </w:p>
    <w:p w14:paraId="221F4F72"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26377EE4" w14:textId="77777777" w:rsidR="00783269" w:rsidRDefault="00783269">
      <w:pPr>
        <w:spacing w:line="360" w:lineRule="auto"/>
        <w:jc w:val="both"/>
        <w:rPr>
          <w:rFonts w:ascii="Book Antiqua" w:eastAsia="Book Antiqua" w:hAnsi="Book Antiqua" w:cs="Book Antiqua"/>
          <w:b/>
          <w:color w:val="000000"/>
        </w:rPr>
      </w:pPr>
    </w:p>
    <w:p w14:paraId="3A0BA654"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6BF8B283"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3EE54F2A"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Hepatocellular carcinoma (HCC) is a common clinical condition with a poor prognosis and few effective treatment options. Potent anticancer agents for treating HCC must be identified. Epigenetics plays an essential role in HCC tumorigenesis.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(SAHA), the most common histone deacetylase inhibitor agent, triggers many forms of cell death in HCC. However, the underlying mechanism of action remains unclear. </w:t>
      </w:r>
      <w:bookmarkStart w:id="1" w:name="_Hlk142484590"/>
      <w:r>
        <w:rPr>
          <w:rFonts w:ascii="Book Antiqua" w:eastAsia="Book Antiqua" w:hAnsi="Book Antiqua" w:cs="Book Antiqua"/>
        </w:rPr>
        <w:t>Family with sequence similarity 134 member B</w:t>
      </w:r>
      <w:bookmarkEnd w:id="1"/>
      <w:r>
        <w:rPr>
          <w:rFonts w:ascii="Book Antiqua" w:eastAsia="Book Antiqua" w:hAnsi="Book Antiqua" w:cs="Book Antiqua"/>
        </w:rPr>
        <w:t xml:space="preserve"> (FAM134B)-induced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a selective autophagic pathway, participates in the decision of cell fate and exhibits anticancer activity. This study focused on the relationship between FAM134B-induced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and SAHA-mediated cell death.</w:t>
      </w:r>
    </w:p>
    <w:p w14:paraId="7E1AD698" w14:textId="77777777" w:rsidR="00783269" w:rsidRDefault="00783269">
      <w:pPr>
        <w:spacing w:line="360" w:lineRule="auto"/>
        <w:jc w:val="both"/>
        <w:rPr>
          <w:rFonts w:ascii="Book Antiqua" w:hAnsi="Book Antiqua"/>
        </w:rPr>
      </w:pPr>
    </w:p>
    <w:p w14:paraId="66A78B57"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AIM</w:t>
      </w:r>
    </w:p>
    <w:p w14:paraId="449967D7" w14:textId="77777777" w:rsidR="00783269" w:rsidRDefault="00000000">
      <w:pPr>
        <w:spacing w:line="360" w:lineRule="auto"/>
        <w:jc w:val="both"/>
        <w:rPr>
          <w:rFonts w:ascii="Book Antiqua" w:hAnsi="Book Antiqua"/>
        </w:rPr>
      </w:pPr>
      <w:r>
        <w:rPr>
          <w:rFonts w:ascii="Book Antiqua" w:eastAsia="Book Antiqua" w:hAnsi="Book Antiqua" w:cs="Book Antiqua"/>
        </w:rPr>
        <w:lastRenderedPageBreak/>
        <w:t xml:space="preserve">To elucidate potential roles and underlying molecular mechanisms of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in SAHA-induced HCC cell death.</w:t>
      </w:r>
    </w:p>
    <w:p w14:paraId="4C3177C6" w14:textId="77777777" w:rsidR="00783269" w:rsidRDefault="00783269">
      <w:pPr>
        <w:spacing w:line="360" w:lineRule="auto"/>
        <w:jc w:val="both"/>
        <w:rPr>
          <w:rFonts w:ascii="Book Antiqua" w:hAnsi="Book Antiqua"/>
        </w:rPr>
      </w:pPr>
    </w:p>
    <w:p w14:paraId="20CCCA83"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METHODS</w:t>
      </w:r>
    </w:p>
    <w:p w14:paraId="6B81C66C"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The viability, apoptosis, cell cycle, migration, and invasion of SAHA-treated Huh7 and MHCC97L cells were measured. Proteins related to the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pathway, mitochondria-endoplasmic reticulum (ER) contact sites, intrinsic mitochondrial apoptosis, and histone acetylation were quantified using western blotting. ER and lysosome colocalization, and mitochondrial Ca</w:t>
      </w:r>
      <w:r>
        <w:rPr>
          <w:rFonts w:ascii="Book Antiqua" w:eastAsia="Book Antiqua" w:hAnsi="Book Antiqua" w:cs="Book Antiqua"/>
          <w:vertAlign w:val="superscript"/>
        </w:rPr>
        <w:t>2+</w:t>
      </w:r>
      <w:r>
        <w:rPr>
          <w:rFonts w:ascii="Book Antiqua" w:eastAsia="Book Antiqua" w:hAnsi="Book Antiqua" w:cs="Book Antiqua"/>
        </w:rPr>
        <w:t xml:space="preserve"> levels were characterized </w:t>
      </w:r>
      <w:r>
        <w:rPr>
          <w:rFonts w:ascii="Book Antiqua" w:eastAsia="Book Antiqua" w:hAnsi="Book Antiqua" w:cs="Book Antiqua"/>
          <w:i/>
          <w:iCs/>
        </w:rPr>
        <w:t>via</w:t>
      </w:r>
      <w:r>
        <w:rPr>
          <w:rFonts w:ascii="Book Antiqua" w:eastAsia="Book Antiqua" w:hAnsi="Book Antiqua" w:cs="Book Antiqua"/>
        </w:rPr>
        <w:t xml:space="preserve"> confocal microscopy. The level of cell death was evaluated through Hoechst 33342 staining and propidium iodide colocalization. </w:t>
      </w:r>
      <w:bookmarkStart w:id="2" w:name="_Hlk142478491"/>
      <w:r>
        <w:rPr>
          <w:rFonts w:ascii="Book Antiqua" w:eastAsia="Book Antiqua" w:hAnsi="Book Antiqua" w:cs="Book Antiqua"/>
        </w:rPr>
        <w:t>Chromatin immunoprecipitation</w:t>
      </w:r>
      <w:bookmarkEnd w:id="2"/>
      <w:r>
        <w:rPr>
          <w:rFonts w:ascii="Book Antiqua" w:eastAsia="Book Antiqua" w:hAnsi="Book Antiqua" w:cs="Book Antiqua"/>
        </w:rPr>
        <w:t xml:space="preserve"> was used to verify </w:t>
      </w:r>
      <w:r>
        <w:rPr>
          <w:rFonts w:ascii="Book Antiqua" w:eastAsia="Book Antiqua" w:hAnsi="Book Antiqua" w:cs="Book Antiqua"/>
          <w:color w:val="000000"/>
        </w:rPr>
        <w:t>histone H4 lysine-16</w:t>
      </w:r>
      <w:r>
        <w:rPr>
          <w:rFonts w:ascii="Book Antiqua" w:eastAsia="Book Antiqua" w:hAnsi="Book Antiqua" w:cs="Book Antiqua"/>
        </w:rPr>
        <w:t xml:space="preserve"> acetylation in the </w:t>
      </w:r>
      <w:r>
        <w:rPr>
          <w:rFonts w:ascii="Book Antiqua" w:eastAsia="Book Antiqua" w:hAnsi="Book Antiqua" w:cs="Book Antiqua"/>
          <w:i/>
          <w:iCs/>
        </w:rPr>
        <w:t>FAM134B</w:t>
      </w:r>
      <w:r>
        <w:rPr>
          <w:rFonts w:ascii="Book Antiqua" w:eastAsia="Book Antiqua" w:hAnsi="Book Antiqua" w:cs="Book Antiqua"/>
        </w:rPr>
        <w:t xml:space="preserve"> promoter region.</w:t>
      </w:r>
    </w:p>
    <w:p w14:paraId="6CA61E55" w14:textId="77777777" w:rsidR="00783269" w:rsidRDefault="00783269">
      <w:pPr>
        <w:spacing w:line="360" w:lineRule="auto"/>
        <w:jc w:val="both"/>
        <w:rPr>
          <w:rFonts w:ascii="Book Antiqua" w:hAnsi="Book Antiqua"/>
        </w:rPr>
      </w:pPr>
    </w:p>
    <w:p w14:paraId="3BE6A1E2"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RESULTS</w:t>
      </w:r>
    </w:p>
    <w:p w14:paraId="19DD3073"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After SAHA treatment, the proliferation of Huh7 and MHCC97L cells was significantly inhibited, and the migration and invasion abilities were greatly blocked </w:t>
      </w:r>
      <w:r>
        <w:rPr>
          <w:rFonts w:ascii="Book Antiqua" w:eastAsia="Book Antiqua" w:hAnsi="Book Antiqua" w:cs="Book Antiqua"/>
          <w:i/>
          <w:iCs/>
        </w:rPr>
        <w:t>in vitro</w:t>
      </w:r>
      <w:r>
        <w:rPr>
          <w:rFonts w:ascii="Book Antiqua" w:eastAsia="Book Antiqua" w:hAnsi="Book Antiqua" w:cs="Book Antiqua"/>
        </w:rPr>
        <w:t>. This promoted apoptosis and caused G1 phase cells to increase in a concentration-dependent manner. Following treatment with SAHA,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was activated, thereby triggering autophagy-mediated cell death of HCC cells </w:t>
      </w:r>
      <w:r>
        <w:rPr>
          <w:rFonts w:ascii="Book Antiqua" w:eastAsia="Book Antiqua" w:hAnsi="Book Antiqua" w:cs="Book Antiqua"/>
          <w:i/>
          <w:iCs/>
        </w:rPr>
        <w:t>in vitro</w:t>
      </w:r>
      <w:r>
        <w:rPr>
          <w:rFonts w:ascii="Book Antiqua" w:eastAsia="Book Antiqua" w:hAnsi="Book Antiqua" w:cs="Book Antiqua"/>
        </w:rPr>
        <w:t xml:space="preserve">. Western blotting and chromatin immunoprecipitation assays confirmed that SAHA regulated FAM134B expression by enhancing the </w:t>
      </w:r>
      <w:r>
        <w:rPr>
          <w:rFonts w:ascii="Book Antiqua" w:eastAsia="Book Antiqua" w:hAnsi="Book Antiqua" w:cs="Book Antiqua"/>
          <w:color w:val="000000"/>
        </w:rPr>
        <w:t>histone H4 lysine-16 acetylation</w:t>
      </w:r>
      <w:r>
        <w:rPr>
          <w:rFonts w:ascii="Book Antiqua" w:eastAsia="Book Antiqua" w:hAnsi="Book Antiqua" w:cs="Book Antiqua"/>
        </w:rPr>
        <w:t xml:space="preserve"> in the </w:t>
      </w:r>
      <w:r>
        <w:rPr>
          <w:rFonts w:ascii="Book Antiqua" w:eastAsia="Book Antiqua" w:hAnsi="Book Antiqua" w:cs="Book Antiqua"/>
          <w:i/>
          <w:iCs/>
        </w:rPr>
        <w:t>FAM134B</w:t>
      </w:r>
      <w:r>
        <w:rPr>
          <w:rFonts w:ascii="Book Antiqua" w:eastAsia="Book Antiqua" w:hAnsi="Book Antiqua" w:cs="Book Antiqua"/>
        </w:rPr>
        <w:t xml:space="preserve"> promoter region. Further, SAHA disturbed the Ca</w:t>
      </w:r>
      <w:r>
        <w:rPr>
          <w:rFonts w:ascii="Book Antiqua" w:eastAsia="Book Antiqua" w:hAnsi="Book Antiqua" w:cs="Book Antiqua"/>
          <w:vertAlign w:val="superscript"/>
        </w:rPr>
        <w:t xml:space="preserve">2+ </w:t>
      </w:r>
      <w:r>
        <w:rPr>
          <w:rFonts w:ascii="Book Antiqua" w:eastAsia="Book Antiqua" w:hAnsi="Book Antiqua" w:cs="Book Antiqua"/>
        </w:rPr>
        <w:t xml:space="preserve">homeostasis and upregulated the level of autocrine motility factor receptor and proteins related to mitochondria-endoplasmic reticulum contact sites in HCC cells. Additionally, SAHA decreased the mitochondrial membrane potential levels, thereby accelerating the activation of the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-mediated mitochondrial apoptosis pathway and promoting HCC cell death </w:t>
      </w:r>
      <w:r>
        <w:rPr>
          <w:rFonts w:ascii="Book Antiqua" w:eastAsia="Book Antiqua" w:hAnsi="Book Antiqua" w:cs="Book Antiqua"/>
          <w:i/>
          <w:iCs/>
        </w:rPr>
        <w:t>in vitro</w:t>
      </w:r>
      <w:r>
        <w:rPr>
          <w:rFonts w:ascii="Book Antiqua" w:eastAsia="Book Antiqua" w:hAnsi="Book Antiqua" w:cs="Book Antiqua"/>
        </w:rPr>
        <w:t>.</w:t>
      </w:r>
    </w:p>
    <w:p w14:paraId="55985AFB" w14:textId="77777777" w:rsidR="00783269" w:rsidRDefault="00783269">
      <w:pPr>
        <w:spacing w:line="360" w:lineRule="auto"/>
        <w:jc w:val="both"/>
        <w:rPr>
          <w:rFonts w:ascii="Book Antiqua" w:hAnsi="Book Antiqua"/>
        </w:rPr>
      </w:pPr>
    </w:p>
    <w:p w14:paraId="50E739A8"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519BC024" w14:textId="77777777" w:rsidR="00783269" w:rsidRDefault="00000000">
      <w:pPr>
        <w:spacing w:line="360" w:lineRule="auto"/>
        <w:jc w:val="both"/>
        <w:rPr>
          <w:rFonts w:ascii="Book Antiqua" w:hAnsi="Book Antiqua"/>
        </w:rPr>
      </w:pPr>
      <w:r>
        <w:rPr>
          <w:rFonts w:ascii="Book Antiqua" w:eastAsia="Book Antiqua" w:hAnsi="Book Antiqua" w:cs="Book Antiqua"/>
        </w:rPr>
        <w:t>SAHA stimulates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to synergistically enhance the mitochondrial apoptotic pathway, thereby enhancing HCC cell death.</w:t>
      </w:r>
    </w:p>
    <w:p w14:paraId="5F27044F" w14:textId="77777777" w:rsidR="00783269" w:rsidRDefault="00783269">
      <w:pPr>
        <w:spacing w:line="360" w:lineRule="auto"/>
        <w:jc w:val="both"/>
        <w:rPr>
          <w:rFonts w:ascii="Book Antiqua" w:hAnsi="Book Antiqua"/>
        </w:rPr>
      </w:pPr>
    </w:p>
    <w:p w14:paraId="76DD45BA"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Key Words: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Histone H4 lysine-16; </w:t>
      </w:r>
      <w:proofErr w:type="spellStart"/>
      <w:r>
        <w:rPr>
          <w:rFonts w:ascii="Book Antiqua" w:eastAsia="Book Antiqua" w:hAnsi="Book Antiqua" w:cs="Book Antiqua"/>
        </w:rPr>
        <w:t>Reticulophagy</w:t>
      </w:r>
      <w:proofErr w:type="spellEnd"/>
      <w:r>
        <w:rPr>
          <w:rFonts w:ascii="Book Antiqua" w:eastAsia="Book Antiqua" w:hAnsi="Book Antiqua" w:cs="Book Antiqua"/>
        </w:rPr>
        <w:t>; Apoptosis; Autophagic cell death; Hepatocellular carcinoma</w:t>
      </w:r>
    </w:p>
    <w:p w14:paraId="21C8FA84" w14:textId="77777777" w:rsidR="00783269" w:rsidRDefault="00783269">
      <w:pPr>
        <w:spacing w:line="360" w:lineRule="auto"/>
        <w:jc w:val="both"/>
        <w:rPr>
          <w:rFonts w:ascii="Book Antiqua" w:hAnsi="Book Antiqua"/>
        </w:rPr>
      </w:pPr>
    </w:p>
    <w:p w14:paraId="363F5CDD"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Li JY, Tian T, Han B, Yang T, Guo YX, Wu JY, Chen YS, Yang Q,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RJ.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upregulates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receptor expression and promotes cell death in hepatocellular carcinoma cells.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37DA6BFE" w14:textId="77777777" w:rsidR="00783269" w:rsidRDefault="00783269">
      <w:pPr>
        <w:spacing w:line="360" w:lineRule="auto"/>
        <w:jc w:val="both"/>
        <w:rPr>
          <w:rFonts w:ascii="Book Antiqua" w:hAnsi="Book Antiqua"/>
        </w:rPr>
      </w:pPr>
    </w:p>
    <w:p w14:paraId="516DC3B8"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Family with sequence similarity 134 member B (FAM134B) </w:t>
      </w:r>
      <w:proofErr w:type="gramStart"/>
      <w:r>
        <w:rPr>
          <w:rFonts w:ascii="Book Antiqua" w:eastAsia="Book Antiqua" w:hAnsi="Book Antiqua" w:cs="Book Antiqua"/>
        </w:rPr>
        <w:t>is considered to be</w:t>
      </w:r>
      <w:proofErr w:type="gramEnd"/>
      <w:r>
        <w:rPr>
          <w:rFonts w:ascii="Book Antiqua" w:eastAsia="Book Antiqua" w:hAnsi="Book Antiqua" w:cs="Book Antiqua"/>
        </w:rPr>
        <w:t xml:space="preserve"> a tumor suppressor protein that can play a pivotal role in inhibiting hepatocellular carcinoma (HCC) cells. In addition, FAM134B acts as a putative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receptor in the regulation of the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process. Furthermore,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(SAHA) upregulates FAM134B expression in HCC cells and promotes apoptosis and autophagy-mediated cell death. Thus, 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synergizes with SAHA to induce HCC cell death. Our findings offer novel insights into the mechanism underlying SAHA-induced HCC cell death.</w:t>
      </w:r>
    </w:p>
    <w:p w14:paraId="7AFA3884" w14:textId="77777777" w:rsidR="00783269" w:rsidRDefault="00783269">
      <w:pPr>
        <w:spacing w:line="360" w:lineRule="auto"/>
        <w:jc w:val="both"/>
        <w:rPr>
          <w:rFonts w:ascii="Book Antiqua" w:hAnsi="Book Antiqua"/>
        </w:rPr>
      </w:pPr>
    </w:p>
    <w:p w14:paraId="6C571583" w14:textId="77777777" w:rsidR="00783269"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3E142A4"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Hepatocellular carcinoma (HCC) represents the most well-known and prevalent primary liver cancer in China. The mortality rates with HCC have consistently increased </w:t>
      </w:r>
      <w:proofErr w:type="gramStart"/>
      <w:r>
        <w:rPr>
          <w:rFonts w:ascii="Book Antiqua" w:eastAsia="Book Antiqua" w:hAnsi="Book Antiqua" w:cs="Book Antiqua"/>
          <w:color w:val="000000"/>
        </w:rPr>
        <w:t>annually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Immune checkpoint therapies have recently emerged as noteworthy treatments for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 considerable proportion of patients, approximately 70% with advanced HCC, fail to derive benefits from </w:t>
      </w:r>
      <w:proofErr w:type="gramStart"/>
      <w:r>
        <w:rPr>
          <w:rFonts w:ascii="Book Antiqua" w:eastAsia="Book Antiqua" w:hAnsi="Book Antiqua" w:cs="Book Antiqua"/>
          <w:color w:val="000000"/>
        </w:rPr>
        <w:t>immunotherapy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Thus, pursuing more potent anticancer medications to combat HCC must persist. Owing to its high degree of malignancy, poor prognosis, and relatively limited range of treatment strategies, it is necessary to seek more powerful anticancer agents for treating HCC. In the past decade, accumulating evidence has validated the role that epigenetics plays in HCC </w:t>
      </w:r>
      <w:proofErr w:type="gramStart"/>
      <w:r>
        <w:rPr>
          <w:rFonts w:ascii="Book Antiqua" w:eastAsia="Book Antiqua" w:hAnsi="Book Antiqua" w:cs="Book Antiqua"/>
          <w:color w:val="000000"/>
        </w:rPr>
        <w:t>tumorigenesis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Epigenetic regulation changes the transcriptional activity of key genes without altering DNA </w:t>
      </w:r>
      <w:proofErr w:type="gramStart"/>
      <w:r>
        <w:rPr>
          <w:rFonts w:ascii="Book Antiqua" w:eastAsia="Book Antiqua" w:hAnsi="Book Antiqua" w:cs="Book Antiqua"/>
          <w:color w:val="000000"/>
        </w:rPr>
        <w:t>sequences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w:t>
      </w:r>
    </w:p>
    <w:p w14:paraId="53C677C0" w14:textId="77777777" w:rsidR="00783269"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Epigenetic regulation occurs primarily through DNA methylation, post-translational histone modification, chromatin remodeling, and non-coding RNA-mediated gene </w:t>
      </w:r>
      <w:proofErr w:type="gramStart"/>
      <w:r>
        <w:rPr>
          <w:rFonts w:ascii="Book Antiqua" w:eastAsia="Book Antiqua" w:hAnsi="Book Antiqua" w:cs="Book Antiqua"/>
          <w:color w:val="000000"/>
        </w:rPr>
        <w:t>silencing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Current therapies targeting epigenetic modifications to cancer mainly include DNA methyltransferases and histone deacetylases (HDACs) as well as microRNAs (miRNAs). Due to the widespread existence of DNA methylation variation in HCC, a variety of corresponding regulators of DNA methyltransferase have been </w:t>
      </w:r>
      <w:proofErr w:type="gramStart"/>
      <w:r>
        <w:rPr>
          <w:rFonts w:ascii="Book Antiqua" w:eastAsia="Book Antiqua" w:hAnsi="Book Antiqua" w:cs="Book Antiqua"/>
          <w:color w:val="000000"/>
        </w:rPr>
        <w:t>developed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At the same time, miRNAs such as miRNA-148a are used in anti-HCC therapy by combining with oncolytic viruses.</w:t>
      </w:r>
    </w:p>
    <w:p w14:paraId="7FECE959" w14:textId="77777777" w:rsidR="00783269"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Histone acetylation modification, induced by HDACs and histone acetyltransferases, is a prominent mode of epigenetic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histone acetylation/deacetylation balance is dynamically regulated to maintain global chromatin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Therefore, any dysregulation may contribute to altered gene expression, leading to pathological conditions, such as HCC. </w:t>
      </w:r>
      <w:proofErr w:type="spellStart"/>
      <w:r>
        <w:rPr>
          <w:rFonts w:ascii="Book Antiqua" w:eastAsia="Book Antiqua" w:hAnsi="Book Antiqua" w:cs="Book Antiqua"/>
          <w:color w:val="000000"/>
        </w:rPr>
        <w:t>Suberoylanilide</w:t>
      </w:r>
      <w:proofErr w:type="spellEnd"/>
      <w:r>
        <w:rPr>
          <w:rFonts w:ascii="Book Antiqua" w:eastAsia="Book Antiqua" w:hAnsi="Book Antiqua" w:cs="Book Antiqua"/>
          <w:color w:val="000000"/>
        </w:rPr>
        <w:t xml:space="preserve"> hydroxamic acid (SAHA) represents the most typical HDAC inhibitor (</w:t>
      </w:r>
      <w:proofErr w:type="spellStart"/>
      <w:r>
        <w:rPr>
          <w:rFonts w:ascii="Book Antiqua" w:eastAsia="Book Antiqua" w:hAnsi="Book Antiqua" w:cs="Book Antiqua"/>
          <w:color w:val="000000"/>
        </w:rPr>
        <w:t>HDACi</w:t>
      </w:r>
      <w:proofErr w:type="spellEnd"/>
      <w:r>
        <w:rPr>
          <w:rFonts w:ascii="Book Antiqua" w:eastAsia="Book Antiqua" w:hAnsi="Book Antiqua" w:cs="Book Antiqua"/>
          <w:color w:val="000000"/>
        </w:rPr>
        <w:t xml:space="preserve">) and was the first of its kind to be approved for human treatment. So far, SAHA has been found to induce the differentiation of malignant tumor cells and accelerate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According to our previous results, SAHA may act as a potential initiator of </w:t>
      </w:r>
      <w:bookmarkStart w:id="3" w:name="_Hlk142484226"/>
      <w:r>
        <w:rPr>
          <w:rFonts w:ascii="Book Antiqua" w:eastAsia="Book Antiqua" w:hAnsi="Book Antiqua" w:cs="Book Antiqua"/>
          <w:color w:val="000000"/>
        </w:rPr>
        <w:t>endoplasmic reticulum</w:t>
      </w:r>
      <w:bookmarkEnd w:id="3"/>
      <w:r>
        <w:rPr>
          <w:rFonts w:ascii="Book Antiqua" w:eastAsia="Book Antiqua" w:hAnsi="Book Antiqua" w:cs="Book Antiqua"/>
          <w:color w:val="000000"/>
        </w:rPr>
        <w:t xml:space="preserve"> (ER) stress-associated apoptosis in HepG2 hepatoma cells by activating ER stress-related apoptotic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However, it is still unknown whether SAHA utilizes a new mechanism to induce HCC cell death through some different therapeutic targets.</w:t>
      </w:r>
    </w:p>
    <w:p w14:paraId="3EC0EB0D" w14:textId="77777777" w:rsidR="00783269"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Acetylation of </w:t>
      </w:r>
      <w:bookmarkStart w:id="4" w:name="_Hlk142478719"/>
      <w:r>
        <w:rPr>
          <w:rFonts w:ascii="Book Antiqua" w:eastAsia="Book Antiqua" w:hAnsi="Book Antiqua" w:cs="Book Antiqua"/>
          <w:color w:val="000000"/>
        </w:rPr>
        <w:t>histone H4 lysine 16</w:t>
      </w:r>
      <w:bookmarkEnd w:id="4"/>
      <w:r>
        <w:rPr>
          <w:rFonts w:ascii="Book Antiqua" w:eastAsia="Book Antiqua" w:hAnsi="Book Antiqua" w:cs="Book Antiqua"/>
          <w:color w:val="000000"/>
        </w:rPr>
        <w:t xml:space="preserve"> (H4K16ac) is important for gene </w:t>
      </w:r>
      <w:proofErr w:type="gramStart"/>
      <w:r>
        <w:rPr>
          <w:rFonts w:ascii="Book Antiqua" w:eastAsia="Book Antiqua" w:hAnsi="Book Antiqua" w:cs="Book Antiqua"/>
          <w:color w:val="000000"/>
        </w:rPr>
        <w:t>initiation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Recently, researchers have found that H4K16ac is closely associated with autophagy induction and significantly correlated with autophagy regulation. Moreover, deacetylase inhibitors can promote the upregulation of H4K16ac and lead to autophagic death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However, the regulatory mechanism underlying the induction of H4K16ac-mediated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is unclear.</w:t>
      </w:r>
    </w:p>
    <w:p w14:paraId="0A0624F9" w14:textId="77777777" w:rsidR="00783269"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Family with sequence similarity 134 member B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has been proposed as a cancer suppressor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Numerous researchers have demonstrated that in colorectal carcinoma, the presence of FAM134B limits the overgrowth and suppresses the proliferation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In addition, FAM134B acts as a putative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receptor in regulating ER turnover and maintaining calcium homeostasis by remodeling </w:t>
      </w:r>
      <w:proofErr w:type="gramStart"/>
      <w:r>
        <w:rPr>
          <w:rFonts w:ascii="Book Antiqua" w:eastAsia="Book Antiqua" w:hAnsi="Book Antiqua" w:cs="Book Antiqua"/>
          <w:color w:val="000000"/>
        </w:rPr>
        <w: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Recent findings have also identified that FAM134B-mediated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xml:space="preserve"> may regulate ER-mitochondrion </w:t>
      </w:r>
      <w:proofErr w:type="gramStart"/>
      <w:r>
        <w:rPr>
          <w:rFonts w:ascii="Book Antiqua" w:eastAsia="Book Antiqua" w:hAnsi="Book Antiqua" w:cs="Book Antiqua"/>
          <w:color w:val="000000"/>
        </w:rPr>
        <w:t>interaction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As the largest cellular organelle, the ER can interact with mitochondria through multiple contact sites, termed mitochondria-ER contact sites (MERCS).</w:t>
      </w:r>
    </w:p>
    <w:p w14:paraId="28C5105E" w14:textId="77777777" w:rsidR="00783269"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Many ER-related and mitochondria-related proteins have been discovered at MERCS, including the inositol 1, 4, 5-trisphosphate receptor type 1 (IP3R1)/glucose-regulated protein 75 (GRP75)/voltage-dependent anion channel 1 (VDAC1) complex, which is a central component of MERCS that contributes to calcium exchange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Recent research has suggested that Ca</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deregulation between ER and mitochondria by MERCS led to mitochondrial calcium overload, thereby activating the mitochondria-associated apoptotic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the present study, we verified that SAHA treatment augmented FAM134B expression and facilitated Huh7 and MHCC97L HCC cell apoptosis; however, the regulatory mechanisms underlying this effect remain unknown. In our study, we elucidated potential roles and underlying molecular mechanisms of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in SAHA-induced HCC cell death. Our findings may offer new perspectives for clinical trials of HCC.</w:t>
      </w:r>
    </w:p>
    <w:p w14:paraId="2B11AA8F" w14:textId="77777777" w:rsidR="00783269" w:rsidRDefault="00783269">
      <w:pPr>
        <w:spacing w:line="360" w:lineRule="auto"/>
        <w:jc w:val="both"/>
        <w:rPr>
          <w:rFonts w:ascii="Book Antiqua" w:hAnsi="Book Antiqua"/>
        </w:rPr>
      </w:pPr>
    </w:p>
    <w:p w14:paraId="5FC90391" w14:textId="77777777" w:rsidR="00783269"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D9AC6CA"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Cell culture and treatments</w:t>
      </w:r>
    </w:p>
    <w:p w14:paraId="75C9098C"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The human Huh7 and MHCC97L cell lines were derived from the cell bank of the Chinese Academy of Sciences (Shanghai, China). Both cell lines were cultivated at 37 °C in a 5% CO</w:t>
      </w:r>
      <w:r>
        <w:rPr>
          <w:rFonts w:ascii="Book Antiqua" w:eastAsia="Book Antiqua" w:hAnsi="Book Antiqua" w:cs="Book Antiqua"/>
          <w:color w:val="000000"/>
          <w:vertAlign w:val="subscript"/>
        </w:rPr>
        <w:t>2</w:t>
      </w:r>
      <w:r>
        <w:rPr>
          <w:rFonts w:ascii="Book Antiqua" w:eastAsia="Book Antiqua" w:hAnsi="Book Antiqua" w:cs="Book Antiqua"/>
          <w:color w:val="000000"/>
        </w:rPr>
        <w:t>-supplemented atmosphere and maintained in high-glucose Dulbecco’s modified Eagle’s medium (</w:t>
      </w:r>
      <w:proofErr w:type="spellStart"/>
      <w:r>
        <w:rPr>
          <w:rFonts w:ascii="Book Antiqua" w:eastAsia="Book Antiqua" w:hAnsi="Book Antiqua" w:cs="Book Antiqua"/>
          <w:color w:val="000000"/>
        </w:rPr>
        <w:t>ESscience</w:t>
      </w:r>
      <w:proofErr w:type="spellEnd"/>
      <w:r>
        <w:rPr>
          <w:rFonts w:ascii="Book Antiqua" w:eastAsia="Book Antiqua" w:hAnsi="Book Antiqua" w:cs="Book Antiqua"/>
          <w:color w:val="000000"/>
        </w:rPr>
        <w:t>, Shanghai, China) supplemented with 10% fetal bovine serum (Gibco, Grand Island, NY, United States) and 1% penicillin-streptomycin (</w:t>
      </w:r>
      <w:proofErr w:type="spellStart"/>
      <w:r>
        <w:rPr>
          <w:rFonts w:ascii="Book Antiqua" w:eastAsia="Book Antiqua" w:hAnsi="Book Antiqua" w:cs="Book Antiqua"/>
          <w:color w:val="000000"/>
        </w:rPr>
        <w:t>BioInd</w:t>
      </w:r>
      <w:proofErr w:type="spellEnd"/>
      <w:r>
        <w:rPr>
          <w:rFonts w:ascii="Book Antiqua" w:eastAsia="Book Antiqua" w:hAnsi="Book Antiqua" w:cs="Book Antiqua"/>
          <w:color w:val="000000"/>
        </w:rPr>
        <w:t>, Beit-</w:t>
      </w:r>
      <w:proofErr w:type="spellStart"/>
      <w:r>
        <w:rPr>
          <w:rFonts w:ascii="Book Antiqua" w:eastAsia="Book Antiqua" w:hAnsi="Book Antiqua" w:cs="Book Antiqua"/>
          <w:color w:val="000000"/>
        </w:rPr>
        <w:t>Haemek</w:t>
      </w:r>
      <w:proofErr w:type="spellEnd"/>
      <w:r>
        <w:rPr>
          <w:rFonts w:ascii="Book Antiqua" w:eastAsia="Book Antiqua" w:hAnsi="Book Antiqua" w:cs="Book Antiqua"/>
          <w:color w:val="000000"/>
        </w:rPr>
        <w:t xml:space="preserve">, Israel). SAHA (Abcam, Cambridge, United Kingdom) was dissolved in dimethyl sulfoxide as a 5 mmol/L stock solution and then diluted with the complete medium to achieve ultimate concentrations of 0-24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Both cell lines were exposed to SAHA or vehicle treated with 0.1% dimethyl sulfoxide.</w:t>
      </w:r>
    </w:p>
    <w:p w14:paraId="3C803BB7" w14:textId="77777777" w:rsidR="00783269" w:rsidRDefault="00783269">
      <w:pPr>
        <w:spacing w:line="360" w:lineRule="auto"/>
        <w:jc w:val="both"/>
        <w:rPr>
          <w:rFonts w:ascii="Book Antiqua" w:hAnsi="Book Antiqua"/>
        </w:rPr>
      </w:pPr>
    </w:p>
    <w:p w14:paraId="1E7FBF10"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Cell counting kit-8 assay</w:t>
      </w:r>
    </w:p>
    <w:p w14:paraId="25D18BA7" w14:textId="77777777" w:rsidR="00783269" w:rsidRDefault="00000000">
      <w:pPr>
        <w:spacing w:line="360" w:lineRule="auto"/>
        <w:jc w:val="both"/>
        <w:rPr>
          <w:rFonts w:ascii="Book Antiqua" w:hAnsi="Book Antiqua"/>
        </w:rPr>
      </w:pPr>
      <w:bookmarkStart w:id="5" w:name="_Hlk142478879"/>
      <w:r>
        <w:rPr>
          <w:rFonts w:ascii="Book Antiqua" w:eastAsia="Book Antiqua" w:hAnsi="Book Antiqua" w:cs="Book Antiqua"/>
          <w:color w:val="000000"/>
        </w:rPr>
        <w:t>Cell counting kit-8</w:t>
      </w:r>
      <w:bookmarkEnd w:id="5"/>
      <w:r>
        <w:rPr>
          <w:rFonts w:ascii="Book Antiqua" w:eastAsia="Book Antiqua" w:hAnsi="Book Antiqua" w:cs="Book Antiqua"/>
          <w:color w:val="000000"/>
        </w:rPr>
        <w:t xml:space="preserve"> (CCK-8) assay was applied to evaluate the anti-proliferative effects of SAHA. Briefly, MHCC97L and Huh7 cells (5 × 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were plated onto 96-well plates and given 24 h to adhere before being treated with SAHA. The cells were then exposed to various doses of SAHA (0, 0.5, 1, 3, 6, 9, 12, 18, and 24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for 48 h. Subsequently,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CCK-8 reagent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Beijing, China) was added to each well and incubated for 4 h. Absorbance at 450 nm was recorded using a spectrophotometer (</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Hercules, United States).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of SAHA was calculated using GraphPad Prism software (v9.0.0, GraphPad Software, La Jolla, CA, United States).</w:t>
      </w:r>
    </w:p>
    <w:p w14:paraId="72E73A0A" w14:textId="77777777" w:rsidR="00783269" w:rsidRDefault="00783269">
      <w:pPr>
        <w:spacing w:line="360" w:lineRule="auto"/>
        <w:jc w:val="both"/>
        <w:rPr>
          <w:rFonts w:ascii="Book Antiqua" w:hAnsi="Book Antiqua"/>
        </w:rPr>
      </w:pPr>
    </w:p>
    <w:p w14:paraId="2BAA9090"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Flow cytometry</w:t>
      </w:r>
    </w:p>
    <w:p w14:paraId="4978B2C3"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The data regarding the apoptosis and cell cycle of HCC cells treated with 0, 1, 3, 6, and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SAHA were obtained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standard flow cytometry (</w:t>
      </w:r>
      <w:proofErr w:type="spellStart"/>
      <w:r>
        <w:rPr>
          <w:rFonts w:ascii="Book Antiqua" w:eastAsia="Book Antiqua" w:hAnsi="Book Antiqua" w:cs="Book Antiqua"/>
          <w:color w:val="000000"/>
        </w:rPr>
        <w:t>NovoCyte</w:t>
      </w:r>
      <w:proofErr w:type="spellEnd"/>
      <w:r>
        <w:rPr>
          <w:rFonts w:ascii="Book Antiqua" w:eastAsia="Book Antiqua" w:hAnsi="Book Antiqua" w:cs="Book Antiqua"/>
          <w:color w:val="000000"/>
        </w:rPr>
        <w:t>, Agilent, Santa Clara, CA, United States). The apoptosis assay was carried out using a cellular apoptosis detection kit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BioTECH</w:t>
      </w:r>
      <w:proofErr w:type="spellEnd"/>
      <w:r>
        <w:rPr>
          <w:rFonts w:ascii="Book Antiqua" w:eastAsia="Book Antiqua" w:hAnsi="Book Antiqua" w:cs="Book Antiqua"/>
          <w:color w:val="000000"/>
        </w:rPr>
        <w:t>, Nanjing, China) following the manufacturer’s protocol. Briefly, Huh7 and MHCC97L cells were plated onto 6-well plates at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 per well before adding SAHA solution. Then, each group of cells was harvested, rinsed with chilled </w:t>
      </w:r>
      <w:bookmarkStart w:id="6" w:name="_Hlk139096840"/>
      <w:r>
        <w:rPr>
          <w:rFonts w:ascii="Book Antiqua" w:eastAsia="SimSun" w:hAnsi="Book Antiqua"/>
          <w:color w:val="000000" w:themeColor="text1"/>
        </w:rPr>
        <w:t>phosphate buffered saline</w:t>
      </w:r>
      <w:bookmarkEnd w:id="6"/>
      <w:r>
        <w:rPr>
          <w:rFonts w:ascii="Book Antiqua" w:eastAsia="Book Antiqua" w:hAnsi="Book Antiqua" w:cs="Book Antiqua"/>
          <w:color w:val="000000"/>
        </w:rPr>
        <w:t xml:space="preserve"> (PBS), and loaded with binding buffer. The cells were labelled with Annexin V-FITC/propidium iodide (PI) solution, and the stained cells were calculated using the flow cytometer. Similarly, cell cycle analysis was conducted using the flow cytometer following the manufacturer’s instructions. Each group of cells was collected and washed thrice with chilled PBS. The cells were fixed with 70% ethanol and stained with PI/RNase I solution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BioTECH</w:t>
      </w:r>
      <w:proofErr w:type="spellEnd"/>
      <w:r>
        <w:rPr>
          <w:rFonts w:ascii="Book Antiqua" w:eastAsia="Book Antiqua" w:hAnsi="Book Antiqua" w:cs="Book Antiqua"/>
          <w:color w:val="000000"/>
        </w:rPr>
        <w:t xml:space="preserve">), and the percentages of cells in the G1, S, and G2 stages were measured using the flow cytometer. The inbuilt software </w:t>
      </w:r>
      <w:proofErr w:type="spellStart"/>
      <w:r>
        <w:rPr>
          <w:rFonts w:ascii="Book Antiqua" w:eastAsia="Book Antiqua" w:hAnsi="Book Antiqua" w:cs="Book Antiqua"/>
          <w:color w:val="000000"/>
        </w:rPr>
        <w:t>NovoExpress</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1.4.1 was used for statistical analysis.</w:t>
      </w:r>
    </w:p>
    <w:p w14:paraId="366EC380" w14:textId="77777777" w:rsidR="00783269" w:rsidRDefault="00783269">
      <w:pPr>
        <w:spacing w:line="360" w:lineRule="auto"/>
        <w:jc w:val="both"/>
        <w:rPr>
          <w:rFonts w:ascii="Book Antiqua" w:hAnsi="Book Antiqua"/>
        </w:rPr>
      </w:pPr>
    </w:p>
    <w:p w14:paraId="524EC51D"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Wound healing assay</w:t>
      </w:r>
    </w:p>
    <w:p w14:paraId="32ECCB8B"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The wound healing assay was monitored to evaluate the effect of SAHA on HCC cell migration. Briefly, Huh7 and MHCC97L cells (3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were planted onto 6-well plates, grown until they formed an optically confluent monolayer, and then wounded with a </w:t>
      </w:r>
      <w:r>
        <w:rPr>
          <w:rFonts w:ascii="Book Antiqua" w:eastAsia="Book Antiqua" w:hAnsi="Book Antiqua" w:cs="Book Antiqua"/>
          <w:color w:val="000000"/>
        </w:rPr>
        <w:lastRenderedPageBreak/>
        <w:t xml:space="preserve">sterile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micropipette tip. Upon treatment with 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or 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SAHA for 48 h, HCC cells were photographed using a microscope (× 40).</w:t>
      </w:r>
    </w:p>
    <w:p w14:paraId="41495D73" w14:textId="77777777" w:rsidR="00783269" w:rsidRDefault="00783269">
      <w:pPr>
        <w:spacing w:line="360" w:lineRule="auto"/>
        <w:jc w:val="both"/>
        <w:rPr>
          <w:rFonts w:ascii="Book Antiqua" w:hAnsi="Book Antiqua"/>
        </w:rPr>
      </w:pPr>
    </w:p>
    <w:p w14:paraId="3692E955" w14:textId="77777777" w:rsidR="00783269" w:rsidRDefault="00000000">
      <w:pPr>
        <w:spacing w:line="360" w:lineRule="auto"/>
        <w:jc w:val="both"/>
        <w:rPr>
          <w:rFonts w:ascii="Book Antiqua" w:hAnsi="Book Antiqua"/>
        </w:rPr>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w:t>
      </w:r>
    </w:p>
    <w:p w14:paraId="3D0E3294"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The cell invasion and migration assay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carried out using 24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plates divided into upper and lower chambers using sterile polycarbonate with 8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pore size (Corning Life Science, Corning, NY, United States). The sterile polycarbonate covered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Matrigel (BD Biosciences, San Jose, CA, United States) in the cell invasion assay but not in the cell migration assay. Upon treatment with 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or 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SAHA for 48 h, cells that passed through the pore were stained with crystal violet, photographed, and quantified.</w:t>
      </w:r>
    </w:p>
    <w:p w14:paraId="64B7234B" w14:textId="77777777" w:rsidR="00783269" w:rsidRDefault="00783269">
      <w:pPr>
        <w:spacing w:line="360" w:lineRule="auto"/>
        <w:jc w:val="both"/>
        <w:rPr>
          <w:rFonts w:ascii="Book Antiqua" w:hAnsi="Book Antiqua"/>
        </w:rPr>
      </w:pPr>
    </w:p>
    <w:p w14:paraId="60D1D1AE"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Western blot analysis</w:t>
      </w:r>
    </w:p>
    <w:p w14:paraId="6C65ED74"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Huh7 and MHCC97L cells were exposed to 0, 1, 3, 6, and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SAHA for 48 h. Then, the cells were rinsed with pre-chilled PBS, lysed in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RIPA lysis buffer with protease inhibitor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and collected with cell scrapers. Protein samples were boiled for 5 min, and total protein extracts were subjected to standard sodium-dodecyl sulfate gel electrophoresis and subsequently removed to polyvinylidene difluoride membranes (Merck Millipore, Burlington, MA, United States). The membranes were blocked with rapid blocking solution and stained overnight with the corresponding primary antibodies, including FAM134B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1:1500), CCPG1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1:1500), LC3 (Abcam; 1:2000), ATG12 (Cell Signaling Technology; Danvers, MA, United States 1:1500), H4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1:2000), total acH4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1:2000), H3K27ac (Cell Signaling Technology; 1:6000), H4K5ac (Cell Signaling Technology; 1:6000), H4K12ac (Cell Signaling Technology; 1:6000), H4K16ac (Abcam; 1:10000), GRP75 (Abcam; 1:2000), VDAC1 (Abcam; 1:2000), IP3R (Abcam; 1:1000), </w:t>
      </w:r>
      <w:bookmarkStart w:id="7" w:name="_Hlk142484940"/>
      <w:r>
        <w:rPr>
          <w:rFonts w:ascii="Book Antiqua" w:eastAsia="Book Antiqua" w:hAnsi="Book Antiqua" w:cs="Book Antiqua"/>
          <w:color w:val="000000"/>
        </w:rPr>
        <w:t>autocrine motility factor receptor</w:t>
      </w:r>
      <w:bookmarkEnd w:id="7"/>
      <w:r>
        <w:rPr>
          <w:rFonts w:ascii="Book Antiqua" w:eastAsia="Book Antiqua" w:hAnsi="Book Antiqua" w:cs="Book Antiqua"/>
          <w:color w:val="000000"/>
        </w:rPr>
        <w:t xml:space="preserve"> (AMFR)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1:500), </w:t>
      </w:r>
      <w:proofErr w:type="spellStart"/>
      <w:r>
        <w:rPr>
          <w:rFonts w:ascii="Book Antiqua" w:eastAsia="Book Antiqua" w:hAnsi="Book Antiqua" w:cs="Book Antiqua"/>
          <w:color w:val="000000"/>
        </w:rPr>
        <w:t>cyt</w:t>
      </w:r>
      <w:proofErr w:type="spellEnd"/>
      <w:r>
        <w:rPr>
          <w:rFonts w:ascii="Book Antiqua" w:eastAsia="Book Antiqua" w:hAnsi="Book Antiqua" w:cs="Book Antiqua"/>
          <w:color w:val="000000"/>
        </w:rPr>
        <w:t xml:space="preserve"> c (Cell Signaling Technology; 1:1500), cleaved caspase-3 (Cell Signaling Technology; 1:1500),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(Cell Signaling Technology; 1:1500), Bcl-2 (Cell Signaling Technology; 1;1500), and β-actin (Abcam; 1:1000), followed by incubation with the corresponding secondary antibodies (1:8000). </w:t>
      </w:r>
      <w:bookmarkStart w:id="8" w:name="_Hlk139096649"/>
      <w:r>
        <w:rPr>
          <w:rFonts w:ascii="Book Antiqua" w:eastAsia="Book Antiqua" w:hAnsi="Book Antiqua" w:cs="Book Antiqua"/>
          <w:color w:val="000000"/>
        </w:rPr>
        <w:t xml:space="preserve">Polyvinylidene </w:t>
      </w:r>
      <w:r>
        <w:rPr>
          <w:rFonts w:ascii="Book Antiqua" w:eastAsia="Book Antiqua" w:hAnsi="Book Antiqua" w:cs="Book Antiqua"/>
          <w:color w:val="000000"/>
        </w:rPr>
        <w:lastRenderedPageBreak/>
        <w:t>fluoride</w:t>
      </w:r>
      <w:bookmarkEnd w:id="8"/>
      <w:r>
        <w:rPr>
          <w:rFonts w:ascii="Book Antiqua" w:eastAsia="Book Antiqua" w:hAnsi="Book Antiqua" w:cs="Book Antiqua"/>
          <w:color w:val="000000"/>
        </w:rPr>
        <w:t xml:space="preserve"> membranes carrying proteins were treated with enhanced chemiluminescence reagent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ImageLab</w:t>
      </w:r>
      <w:proofErr w:type="spellEnd"/>
      <w:r>
        <w:rPr>
          <w:rFonts w:ascii="Book Antiqua" w:eastAsia="Book Antiqua" w:hAnsi="Book Antiqua" w:cs="Book Antiqua"/>
          <w:color w:val="000000"/>
        </w:rPr>
        <w:t xml:space="preserve"> software was used to observe the protein bands.</w:t>
      </w:r>
    </w:p>
    <w:p w14:paraId="1D5374E7" w14:textId="77777777" w:rsidR="00783269" w:rsidRDefault="00783269">
      <w:pPr>
        <w:spacing w:line="360" w:lineRule="auto"/>
        <w:jc w:val="both"/>
        <w:rPr>
          <w:rFonts w:ascii="Book Antiqua" w:hAnsi="Book Antiqua"/>
        </w:rPr>
      </w:pPr>
    </w:p>
    <w:p w14:paraId="25B87BD7"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Live imaging of the ER and lysosomes</w:t>
      </w:r>
    </w:p>
    <w:p w14:paraId="3173AA3E"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ER-trackers and </w:t>
      </w:r>
      <w:proofErr w:type="spellStart"/>
      <w:r>
        <w:rPr>
          <w:rFonts w:ascii="Book Antiqua" w:eastAsia="Book Antiqua" w:hAnsi="Book Antiqua" w:cs="Book Antiqua"/>
          <w:color w:val="000000"/>
        </w:rPr>
        <w:t>Lyso</w:t>
      </w:r>
      <w:proofErr w:type="spellEnd"/>
      <w:r>
        <w:rPr>
          <w:rFonts w:ascii="Book Antiqua" w:eastAsia="Book Antiqua" w:hAnsi="Book Antiqua" w:cs="Book Antiqua"/>
          <w:color w:val="000000"/>
        </w:rPr>
        <w:t>-trackers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Nanjing, China), the specific organelle dyes, were applied to stain and locate ER and lysosomes, respectively. Huh7 and MHCC97L cells were exposed to 0, 1, 3, 6, and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SAHA for 48 h. Then, the cells were </w:t>
      </w:r>
      <w:proofErr w:type="spellStart"/>
      <w:r>
        <w:rPr>
          <w:rFonts w:ascii="Book Antiqua" w:eastAsia="Book Antiqua" w:hAnsi="Book Antiqua" w:cs="Book Antiqua"/>
          <w:color w:val="000000"/>
        </w:rPr>
        <w:t>coincubated</w:t>
      </w:r>
      <w:proofErr w:type="spellEnd"/>
      <w:r>
        <w:rPr>
          <w:rFonts w:ascii="Book Antiqua" w:eastAsia="Book Antiqua" w:hAnsi="Book Antiqua" w:cs="Book Antiqua"/>
          <w:color w:val="000000"/>
        </w:rPr>
        <w:t xml:space="preserve"> with the two tracking dyes at 37 °C for 45 min and rinsed thrice with PBS. The stained cells were viewed at × 200 magnification under a confocal microscope (Olympus, Tokyo, Japan) and immediately imaged.</w:t>
      </w:r>
    </w:p>
    <w:p w14:paraId="3D56DCC6" w14:textId="77777777" w:rsidR="00783269" w:rsidRDefault="00783269">
      <w:pPr>
        <w:spacing w:line="360" w:lineRule="auto"/>
        <w:jc w:val="both"/>
        <w:rPr>
          <w:rFonts w:ascii="Book Antiqua" w:hAnsi="Book Antiqua"/>
        </w:rPr>
      </w:pPr>
    </w:p>
    <w:p w14:paraId="48606003"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Hoechst 33342/PI double chromatin staining assay</w:t>
      </w:r>
    </w:p>
    <w:p w14:paraId="345022E4"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Huh7 and MHCC97L cells (3 × 10</w:t>
      </w:r>
      <w:r>
        <w:rPr>
          <w:rFonts w:ascii="Book Antiqua" w:eastAsia="Book Antiqua" w:hAnsi="Book Antiqua" w:cs="Book Antiqua"/>
          <w:color w:val="000000"/>
          <w:vertAlign w:val="superscript"/>
        </w:rPr>
        <w:t>4</w:t>
      </w:r>
      <w:r>
        <w:rPr>
          <w:rFonts w:ascii="Book Antiqua" w:eastAsia="Book Antiqua" w:hAnsi="Book Antiqua" w:cs="Book Antiqua"/>
          <w:color w:val="000000"/>
        </w:rPr>
        <w:t>) were seeded in confocal laser Petri dishes. The cells were pretreated with 0.5 nmol/L bafilomycin A1 (</w:t>
      </w:r>
      <w:proofErr w:type="spellStart"/>
      <w:r>
        <w:rPr>
          <w:rFonts w:ascii="Book Antiqua" w:eastAsia="Book Antiqua" w:hAnsi="Book Antiqua" w:cs="Book Antiqua"/>
          <w:color w:val="000000"/>
        </w:rPr>
        <w:t>MedChemexpress</w:t>
      </w:r>
      <w:proofErr w:type="spellEnd"/>
      <w:r>
        <w:rPr>
          <w:rFonts w:ascii="Book Antiqua" w:eastAsia="Book Antiqua" w:hAnsi="Book Antiqua" w:cs="Book Antiqua"/>
          <w:color w:val="000000"/>
        </w:rPr>
        <w:t xml:space="preserve">, NJ, United States) for 12 h and then exposed with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SAHA for 48 h. Subsequently, Hoechst 33342/PI double fluorescent chromatin staining assay was conducted using a </w:t>
      </w:r>
      <w:proofErr w:type="spellStart"/>
      <w:r>
        <w:rPr>
          <w:rFonts w:ascii="Book Antiqua" w:eastAsia="Book Antiqua" w:hAnsi="Book Antiqua" w:cs="Book Antiqua"/>
          <w:color w:val="000000"/>
        </w:rPr>
        <w:t>Viastain</w:t>
      </w:r>
      <w:proofErr w:type="spellEnd"/>
      <w:r>
        <w:rPr>
          <w:rFonts w:ascii="Book Antiqua" w:eastAsia="Book Antiqua" w:hAnsi="Book Antiqua" w:cs="Book Antiqua"/>
          <w:color w:val="000000"/>
        </w:rPr>
        <w:t>™ Hoechst 33342/PI viability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Cells were stained with Hoechst 33342 and PI for 30 min at 25 °C in the dark. The labelled cells were observed with a confocal microscope under × 400 magnification.</w:t>
      </w:r>
    </w:p>
    <w:p w14:paraId="01574977" w14:textId="77777777" w:rsidR="00783269" w:rsidRDefault="00783269">
      <w:pPr>
        <w:spacing w:line="360" w:lineRule="auto"/>
        <w:jc w:val="both"/>
        <w:rPr>
          <w:rFonts w:ascii="Book Antiqua" w:hAnsi="Book Antiqua"/>
        </w:rPr>
      </w:pPr>
    </w:p>
    <w:p w14:paraId="0CAA1C65"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Mitochondrial calcium labeling</w:t>
      </w:r>
    </w:p>
    <w:p w14:paraId="75101113"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Rhod-2 AM Red (Abcam), a specific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indicator, was applied to detect the level of mitochondrial Ca</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Huh7 and MHCC97L cells were exposed to 0, 1, 3, 6, and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SAHA for 48 h and rinsed thrice with Hank’s balanced salt solution. The treated cells were labelled with a mixture of Mito-Tracker Green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and Rhod-2 AM Red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and incubated for 50 min. The labelled cells were observed with a confocal microscope under × 400 magnification.</w:t>
      </w:r>
    </w:p>
    <w:p w14:paraId="046C0F10" w14:textId="77777777" w:rsidR="00783269" w:rsidRDefault="00783269">
      <w:pPr>
        <w:spacing w:line="360" w:lineRule="auto"/>
        <w:jc w:val="both"/>
        <w:rPr>
          <w:rFonts w:ascii="Book Antiqua" w:hAnsi="Book Antiqua"/>
        </w:rPr>
      </w:pPr>
    </w:p>
    <w:p w14:paraId="408A8C24"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Chromatin immunoprecipitation</w:t>
      </w:r>
    </w:p>
    <w:p w14:paraId="1E2F04D1" w14:textId="77777777" w:rsidR="00783269" w:rsidRDefault="00000000">
      <w:pPr>
        <w:spacing w:line="360" w:lineRule="auto"/>
        <w:jc w:val="both"/>
        <w:rPr>
          <w:rFonts w:ascii="Book Antiqua" w:hAnsi="Book Antiqua"/>
        </w:rPr>
      </w:pPr>
      <w:bookmarkStart w:id="9" w:name="_Hlk142484621"/>
      <w:r>
        <w:rPr>
          <w:rFonts w:ascii="Book Antiqua" w:eastAsia="Book Antiqua" w:hAnsi="Book Antiqua" w:cs="Book Antiqua"/>
          <w:color w:val="000000"/>
        </w:rPr>
        <w:lastRenderedPageBreak/>
        <w:t>Chromatin immunoprecipitation</w:t>
      </w:r>
      <w:bookmarkEnd w:id="9"/>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 assay of Huh7 cells was conducted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Huh7 cells treated with 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L</w:t>
      </w:r>
      <w:proofErr w:type="gramEnd"/>
      <w:r>
        <w:rPr>
          <w:rFonts w:ascii="Book Antiqua" w:eastAsia="Book Antiqua" w:hAnsi="Book Antiqua" w:cs="Book Antiqua"/>
          <w:color w:val="000000"/>
        </w:rPr>
        <w:t xml:space="preserve"> or 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SAHA were subjected to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 assay using a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United States). In brief, the Huh7 cells were cross-linked with 1% formaldehyde and lysed with sodium-dodecyl sulfate lysis buffer. The lysate was sonicated and centrifuged (9000 × g/min) to harvest chromatin fragments (200-1000 bp). Immunoprecipitation was conducted with the following antibodies: anti-H4K16ac (1:50); rabbit IgG (1:50); and anti-RNA polymerase II (1:50). A no-antibody sample was used as input control. Input DNA and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 DNA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quantitative polymerase chain reaction.</w:t>
      </w:r>
    </w:p>
    <w:p w14:paraId="0CD88133" w14:textId="77777777" w:rsidR="00783269" w:rsidRDefault="00783269">
      <w:pPr>
        <w:spacing w:line="360" w:lineRule="auto"/>
        <w:jc w:val="both"/>
        <w:rPr>
          <w:rFonts w:ascii="Book Antiqua" w:hAnsi="Book Antiqua"/>
        </w:rPr>
      </w:pPr>
    </w:p>
    <w:p w14:paraId="68E128A3"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JC-1 fluorescence mitochondrial imaging</w:t>
      </w:r>
    </w:p>
    <w:p w14:paraId="20E0EE60"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The JC-1 fluorescence mitochondrial imaging technique was applied to examine the mitochondrial membrane potential of HCC cells treated with 0, 1, 3, 6, and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SAHA. Briefly, Huh7 and MHCC97L cells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were plated onto 6-well plates before adding SAHA solution and incubated with JC-1 fluorescence solution in an incubator for 20 min. Analysis was performed using a flow cytometer.</w:t>
      </w:r>
    </w:p>
    <w:p w14:paraId="7025A7B2" w14:textId="77777777" w:rsidR="00783269" w:rsidRDefault="00783269">
      <w:pPr>
        <w:spacing w:line="360" w:lineRule="auto"/>
        <w:jc w:val="both"/>
        <w:rPr>
          <w:rFonts w:ascii="Book Antiqua" w:hAnsi="Book Antiqua"/>
        </w:rPr>
      </w:pPr>
    </w:p>
    <w:p w14:paraId="6F9F5B29"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4F792BB4"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Data were processed and analyzed, and experimental graphs were prepared using GraphPad Prism software. All experiments were conducted in biological triplicate. All data are shown as means ± standard deviation. One-way analysis of variance was conducted for multigroup comparisons.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to indicate significance.</w:t>
      </w:r>
    </w:p>
    <w:p w14:paraId="768E834F" w14:textId="77777777" w:rsidR="00783269" w:rsidRDefault="00783269">
      <w:pPr>
        <w:spacing w:line="360" w:lineRule="auto"/>
        <w:jc w:val="both"/>
        <w:rPr>
          <w:rFonts w:ascii="Book Antiqua" w:hAnsi="Book Antiqua"/>
        </w:rPr>
      </w:pPr>
    </w:p>
    <w:p w14:paraId="5450759E" w14:textId="77777777" w:rsidR="00783269"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DBD1B6C"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SAHA suppressed the overgrowth of HCC cells by inducing G1 phase arrest and apoptosis in vitro</w:t>
      </w:r>
    </w:p>
    <w:p w14:paraId="4AD1BCB9"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In our previous study, we confirmed that SAHA suppressed the overgrowth of HepG2 cells and mediated apoptosis by promoting the ER stress-associated apoptotic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this was not demonstrated in Huh7 and MHCC97L cells. As </w:t>
      </w:r>
      <w:r>
        <w:rPr>
          <w:rFonts w:ascii="Book Antiqua" w:eastAsia="Book Antiqua" w:hAnsi="Book Antiqua" w:cs="Book Antiqua"/>
          <w:color w:val="000000"/>
        </w:rPr>
        <w:lastRenderedPageBreak/>
        <w:t xml:space="preserve">presented in Figure 1A, HCC cell growth was notably suppressed in SAHA-treated cells; the semi-lethal dose was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Apoptosis in Huh7 and MHCC97L cells was determined using flow cytometry with different SAHA concentrations. Consistent with previous studies, SAHA induced apoptosis in Huh7 and MHCC97L cells (Figures 1B and C). The percentage of specific cell populations that were early apoptotic and late apoptotic throughout the apoptotic stage is shown in Figure 1C. In addition, cell cycle assay results showed that an increasing number of cells were blocked in the G1 phase (Figures 1D-F).</w:t>
      </w:r>
    </w:p>
    <w:p w14:paraId="6B41F1C7" w14:textId="77777777" w:rsidR="00783269" w:rsidRDefault="00783269">
      <w:pPr>
        <w:spacing w:line="360" w:lineRule="auto"/>
        <w:jc w:val="both"/>
        <w:rPr>
          <w:rFonts w:ascii="Book Antiqua" w:hAnsi="Book Antiqua"/>
        </w:rPr>
      </w:pPr>
    </w:p>
    <w:p w14:paraId="5BE540B3"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SAHA suppressed the migration and invasion of HCC cells</w:t>
      </w:r>
    </w:p>
    <w:p w14:paraId="04EFF1F7"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Both Huh7 and MHCC97L cells were tested under various treatment conditions (0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or 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SAHA) to assess their ability to cross a membrane from low to high nutrient solution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Serum was used as an inducer, mimicking the process of tumor cell invasion into adjacent tissues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Pr>
          <w:rStyle w:val="15"/>
          <w:rFonts w:ascii="Book Antiqua" w:eastAsia="Book Antiqua" w:hAnsi="Book Antiqua" w:cs="Book Antiqua"/>
          <w:color w:val="000000"/>
        </w:rPr>
        <w:t>Cells invading through the semiporous membrane into the underlying medium containing a high serum concentration were photographed under an optical microscope (Figures 2A and B) and quantitatively analyzed (Figures 2C and D). The model cells were compared with the control sample, which was assumed to represent 100% invasion without any treatment.</w:t>
      </w:r>
      <w:r>
        <w:rPr>
          <w:rFonts w:ascii="Book Antiqua" w:eastAsia="Book Antiqua" w:hAnsi="Book Antiqua" w:cs="Book Antiqua"/>
          <w:color w:val="000000"/>
        </w:rPr>
        <w:t xml:space="preserve"> Huh7 and MHCC97L cells showed 78% and 68% lower migration and 44% and 30% lower invasion following treatment with 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SAHA, respectively. Further wound-healing tests were used to verify how cancer cells interact and move. The results showed a gradual decrease in cell migration distance after SAHA treatment (Figure 2E). Overall, SAHA resulted in reduced cell invasion and migration in HCC cells.</w:t>
      </w:r>
    </w:p>
    <w:p w14:paraId="04224988" w14:textId="77777777" w:rsidR="00783269" w:rsidRDefault="00783269">
      <w:pPr>
        <w:spacing w:line="360" w:lineRule="auto"/>
        <w:jc w:val="both"/>
        <w:rPr>
          <w:rFonts w:ascii="Book Antiqua" w:hAnsi="Book Antiqua"/>
        </w:rPr>
      </w:pPr>
    </w:p>
    <w:p w14:paraId="326B8DBF"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SAHA enhanced the level of ER-</w:t>
      </w:r>
      <w:proofErr w:type="spellStart"/>
      <w:r>
        <w:rPr>
          <w:rFonts w:ascii="Book Antiqua" w:eastAsia="Book Antiqua" w:hAnsi="Book Antiqua" w:cs="Book Antiqua"/>
          <w:b/>
          <w:bCs/>
          <w:i/>
          <w:iCs/>
          <w:color w:val="000000"/>
        </w:rPr>
        <w:t>phagy</w:t>
      </w:r>
      <w:proofErr w:type="spellEnd"/>
      <w:r>
        <w:rPr>
          <w:rFonts w:ascii="Book Antiqua" w:eastAsia="Book Antiqua" w:hAnsi="Book Antiqua" w:cs="Book Antiqua"/>
          <w:b/>
          <w:bCs/>
          <w:i/>
          <w:iCs/>
          <w:color w:val="000000"/>
        </w:rPr>
        <w:t xml:space="preserve"> and augmented autophagy-mediated cell death in HCC cells</w:t>
      </w:r>
    </w:p>
    <w:p w14:paraId="632999B9"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The effect of SAHA on FAM134B-mediated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xml:space="preserve"> was assessed using western blotting. In HCC cells, SAHA increases the expression of proteins linked to the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-related signaling pathway. We found increases in the expression of FAM134B, CCPG1, and autophagy-related protein Atg12 and the LC3-II/LC3-I ratio </w:t>
      </w:r>
      <w:r>
        <w:rPr>
          <w:rFonts w:ascii="Book Antiqua" w:eastAsia="Book Antiqua" w:hAnsi="Book Antiqua" w:cs="Book Antiqua"/>
          <w:color w:val="000000"/>
        </w:rPr>
        <w:lastRenderedPageBreak/>
        <w:t xml:space="preserve">(Figures 3A-C). In the process of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ER fragments were delivered to lysosomes for final degradation. To detect the final state of ER autophagic lysosome formation, we used organelle markers that could trace the ER and lysosomes to detect the colocalization of both. We found that colocalization coverage of the ER and lysosomes increased in Huh7 and MHCC97L cells under SAHA treatment (Figure 3D). The above results suggested that SAHA could enhance the level of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xml:space="preserve"> in HCC cells.</w:t>
      </w:r>
    </w:p>
    <w:p w14:paraId="4DFB3708" w14:textId="77777777" w:rsidR="00783269"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Previous research has reported that appropriate autophagy is a protective response under cellular stress conditions, but uncontrolled autophagy leads to autophagy-mediated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To further verify whether autophagic death mode exists in HCC cells under SAHA treatment, Huh7 and MHCC97L cells were pretreated with BafA1, a specific inhibitor of the late phase of autophagy that restrains </w:t>
      </w:r>
      <w:proofErr w:type="spellStart"/>
      <w:r>
        <w:rPr>
          <w:rFonts w:ascii="Book Antiqua" w:eastAsia="Book Antiqua" w:hAnsi="Book Antiqua" w:cs="Book Antiqua"/>
          <w:color w:val="000000"/>
        </w:rPr>
        <w:t>autophagosomal</w:t>
      </w:r>
      <w:proofErr w:type="spellEnd"/>
      <w:r>
        <w:rPr>
          <w:rFonts w:ascii="Book Antiqua" w:eastAsia="Book Antiqua" w:hAnsi="Book Antiqua" w:cs="Book Antiqua"/>
          <w:color w:val="000000"/>
        </w:rPr>
        <w:t xml:space="preserve"> fusion with lysosomes, 12 h before SAHA treatment. Nuclear double staining with Hoechst 33342 and PI was conducted to observe the level of cell death in the treated cells. The results showed that HCC cells treated with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SAHA for 48 h after pretreatment with BafA1 exhibited significantly lower cell death rates compared with cells treated with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SAHA alone, indicating that autophagy-mediated cell death was involved in SAHA-induced HCC cell death (Figure 3E).</w:t>
      </w:r>
    </w:p>
    <w:p w14:paraId="397B0C2B" w14:textId="77777777" w:rsidR="00783269" w:rsidRDefault="00783269">
      <w:pPr>
        <w:spacing w:line="360" w:lineRule="auto"/>
        <w:ind w:firstLine="240"/>
        <w:jc w:val="both"/>
        <w:rPr>
          <w:rFonts w:ascii="Book Antiqua" w:hAnsi="Book Antiqua"/>
        </w:rPr>
      </w:pPr>
    </w:p>
    <w:p w14:paraId="408E946E"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SAHA upregulated the level of histone acetylation modification and enhanced H4K16ac in the promoter region of FAM134B in HCC cells</w:t>
      </w:r>
    </w:p>
    <w:p w14:paraId="38E10C63"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After SAHA treatment, the levels of H3K27ac, total H4ac, H4K5ac, H4K12ac, and H4K16ac in Huh7 and MHCC97L cells were determined using western blotting. We found that various doses of SAHA could upregulate the levels of these proteins (Figures 4A-C). Histone hyperacetylation results in gene transcription activation, and recent findings have shown that H4K16ac is linked to the regulation of autophagy-related genes; therefore, we further focused on the regulatory role of H4K16ac in gene expression. We conducted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 assays to confirm whether the regulation of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transcription by SAHA was mediated by H4K16ac upregulation. Our results showed that H4K16ac in the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promoter region was significantly increased in Huh7 cells (Figure 4D).</w:t>
      </w:r>
    </w:p>
    <w:p w14:paraId="2CA5164C" w14:textId="77777777" w:rsidR="00783269" w:rsidRDefault="00783269">
      <w:pPr>
        <w:spacing w:line="360" w:lineRule="auto"/>
        <w:jc w:val="both"/>
        <w:rPr>
          <w:rFonts w:ascii="Book Antiqua" w:hAnsi="Book Antiqua"/>
        </w:rPr>
      </w:pPr>
    </w:p>
    <w:p w14:paraId="54551D67"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SAHA disturbed Ca</w:t>
      </w:r>
      <w:r>
        <w:rPr>
          <w:rFonts w:ascii="Book Antiqua" w:eastAsia="Book Antiqua" w:hAnsi="Book Antiqua" w:cs="Book Antiqua"/>
          <w:b/>
          <w:bCs/>
          <w:i/>
          <w:iCs/>
          <w:color w:val="000000"/>
          <w:vertAlign w:val="superscript"/>
        </w:rPr>
        <w:t xml:space="preserve">2+ </w:t>
      </w:r>
      <w:r>
        <w:rPr>
          <w:rFonts w:ascii="Book Antiqua" w:eastAsia="Book Antiqua" w:hAnsi="Book Antiqua" w:cs="Book Antiqua"/>
          <w:b/>
          <w:bCs/>
          <w:i/>
          <w:iCs/>
          <w:color w:val="000000"/>
        </w:rPr>
        <w:t>homeostasis and upregulated the expression of AMFR and MERCS-related proteins in HCC cells</w:t>
      </w:r>
    </w:p>
    <w:p w14:paraId="6055D04F"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After SAHA treatment, the level of cytosolic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Huh7 and MHCC97L cells was determined using Rhod-2 AM Red staining, and mitochondrial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was colocalized with Mito-Tracker Green and Rhod-2 AM Red. The results showed that SAHA markedly elevated cytosolic and mitochondrial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levels (Figures 5A and B). Classical papers reported that increased cytosolic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could increase the expression of AMFR, which targets the outer mitochondrial membrane (OMM) for ubiquitination and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We evaluated the protein level of AMFR in Huh7 and MHCC97L cells and found that SAHA could considerably increase AMFR protein levels. The IP3R-GRP75-VDAC1 complex is one of the most significant components of MERCS, which regulates ER-mitochondrial calcium flux. To determine the altered expression of MERCS in response to SAHA, the levels of IP3R, GRP75, and VDAC1 were examined using protein blots.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our hypothesis, SAHA administration raised the protein levels of the above three proteins relative to the control group (Figures 5C-E). These findings showed that SAHA contributed to calcium buildup in the mitochondria by enhancing the interaction between the ER and mitochondria.</w:t>
      </w:r>
    </w:p>
    <w:p w14:paraId="57254303" w14:textId="77777777" w:rsidR="00783269" w:rsidRDefault="00783269">
      <w:pPr>
        <w:spacing w:line="360" w:lineRule="auto"/>
        <w:jc w:val="both"/>
        <w:rPr>
          <w:rFonts w:ascii="Book Antiqua" w:hAnsi="Book Antiqua"/>
        </w:rPr>
      </w:pPr>
    </w:p>
    <w:p w14:paraId="4B889B89" w14:textId="77777777" w:rsidR="00783269" w:rsidRDefault="00000000">
      <w:pPr>
        <w:spacing w:line="360" w:lineRule="auto"/>
        <w:jc w:val="both"/>
        <w:rPr>
          <w:rFonts w:ascii="Book Antiqua" w:hAnsi="Book Antiqua"/>
        </w:rPr>
      </w:pPr>
      <w:r>
        <w:rPr>
          <w:rFonts w:ascii="Book Antiqua" w:eastAsia="Book Antiqua" w:hAnsi="Book Antiqua" w:cs="Book Antiqua"/>
          <w:b/>
          <w:bCs/>
          <w:i/>
          <w:iCs/>
          <w:color w:val="000000"/>
        </w:rPr>
        <w:t>SAHA treatment activated the mitochondrial apoptotic pathway by decreasing mitochondrial membrane potential</w:t>
      </w:r>
    </w:p>
    <w:p w14:paraId="52C3C19E"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After SAHA treatment, mitochondrial membrane potential was monitored </w:t>
      </w:r>
      <w:r>
        <w:rPr>
          <w:rFonts w:ascii="Book Antiqua" w:eastAsia="Book Antiqua" w:hAnsi="Book Antiqua" w:cs="Book Antiqua"/>
          <w:i/>
          <w:iCs/>
          <w:color w:val="000000"/>
        </w:rPr>
        <w:t>via</w:t>
      </w:r>
      <w:r>
        <w:rPr>
          <w:rFonts w:ascii="Book Antiqua" w:eastAsia="Book Antiqua" w:hAnsi="Book Antiqua" w:cs="Book Antiqua"/>
          <w:color w:val="000000"/>
        </w:rPr>
        <w:t xml:space="preserve"> JC-1 staining. We found that SAHA treatment reduced mitochondrial membrane potential (Figures 6A and B). To investigate the </w:t>
      </w:r>
      <w:proofErr w:type="gramStart"/>
      <w:r>
        <w:rPr>
          <w:rFonts w:ascii="Book Antiqua" w:eastAsia="Book Antiqua" w:hAnsi="Book Antiqua" w:cs="Book Antiqua"/>
          <w:color w:val="000000"/>
        </w:rPr>
        <w:t>particular SAHA-induced</w:t>
      </w:r>
      <w:proofErr w:type="gramEnd"/>
      <w:r>
        <w:rPr>
          <w:rFonts w:ascii="Book Antiqua" w:eastAsia="Book Antiqua" w:hAnsi="Book Antiqua" w:cs="Book Antiqua"/>
          <w:color w:val="000000"/>
        </w:rPr>
        <w:t xml:space="preserve"> apoptotic processes, the levels of </w:t>
      </w:r>
      <w:proofErr w:type="spellStart"/>
      <w:r>
        <w:rPr>
          <w:rFonts w:ascii="Book Antiqua" w:eastAsia="Book Antiqua" w:hAnsi="Book Antiqua" w:cs="Book Antiqua"/>
          <w:color w:val="000000"/>
        </w:rPr>
        <w:t>cyt</w:t>
      </w:r>
      <w:proofErr w:type="spellEnd"/>
      <w:r>
        <w:rPr>
          <w:rFonts w:ascii="Book Antiqua" w:eastAsia="Book Antiqua" w:hAnsi="Book Antiqua" w:cs="Book Antiqua"/>
          <w:color w:val="000000"/>
        </w:rPr>
        <w:t xml:space="preserve"> c, caspase-3, and proteins related to the Bcl-2 family were detected using western blotting. The experimental results revealed that SAHA upregulated the expression of </w:t>
      </w:r>
      <w:proofErr w:type="spellStart"/>
      <w:r>
        <w:rPr>
          <w:rFonts w:ascii="Book Antiqua" w:eastAsia="Book Antiqua" w:hAnsi="Book Antiqua" w:cs="Book Antiqua"/>
          <w:color w:val="000000"/>
        </w:rPr>
        <w:t>cyt</w:t>
      </w:r>
      <w:proofErr w:type="spellEnd"/>
      <w:r>
        <w:rPr>
          <w:rFonts w:ascii="Book Antiqua" w:eastAsia="Book Antiqua" w:hAnsi="Book Antiqua" w:cs="Book Antiqua"/>
          <w:color w:val="000000"/>
        </w:rPr>
        <w:t xml:space="preserve"> c, cleaved caspase-3,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downregulated the expression of Bcl-2 (Figures 6C-E). These results clearly indicated that the mitochondrial membrane potential was at a lower level, and the mitochondrial apoptotic pathway was activated under the action of SAHA.</w:t>
      </w:r>
    </w:p>
    <w:p w14:paraId="3AE7A4FD" w14:textId="77777777" w:rsidR="00783269" w:rsidRDefault="00783269">
      <w:pPr>
        <w:spacing w:line="360" w:lineRule="auto"/>
        <w:jc w:val="both"/>
        <w:rPr>
          <w:rFonts w:ascii="Book Antiqua" w:hAnsi="Book Antiqua"/>
        </w:rPr>
      </w:pPr>
    </w:p>
    <w:p w14:paraId="63B14889" w14:textId="77777777" w:rsidR="00783269"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2338ACAD"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SAHA, also known as </w:t>
      </w:r>
      <w:proofErr w:type="spellStart"/>
      <w:r>
        <w:rPr>
          <w:rFonts w:ascii="Book Antiqua" w:eastAsia="Book Antiqua" w:hAnsi="Book Antiqua" w:cs="Book Antiqua"/>
          <w:color w:val="000000"/>
        </w:rPr>
        <w:t>vorinostat</w:t>
      </w:r>
      <w:proofErr w:type="spellEnd"/>
      <w:r>
        <w:rPr>
          <w:rFonts w:ascii="Book Antiqua" w:eastAsia="Book Antiqua" w:hAnsi="Book Antiqua" w:cs="Book Antiqua"/>
          <w:color w:val="000000"/>
        </w:rPr>
        <w:t xml:space="preserve">, is an </w:t>
      </w:r>
      <w:proofErr w:type="spellStart"/>
      <w:r>
        <w:rPr>
          <w:rFonts w:ascii="Book Antiqua" w:eastAsia="Book Antiqua" w:hAnsi="Book Antiqua" w:cs="Book Antiqua"/>
          <w:color w:val="000000"/>
        </w:rPr>
        <w:t>HDACi</w:t>
      </w:r>
      <w:proofErr w:type="spellEnd"/>
      <w:r>
        <w:rPr>
          <w:rFonts w:ascii="Book Antiqua" w:eastAsia="Book Antiqua" w:hAnsi="Book Antiqua" w:cs="Book Antiqua"/>
          <w:color w:val="000000"/>
        </w:rPr>
        <w:t xml:space="preserve"> that has shown tumor-suppressive properties in clinical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Findings have revealed that SAHA could suppress cell proliferation and accelerate apoptosis in multiple malignant tumor cells. Scholars have demonstrated that SAHA increased the expression of death receptor 5 in liver cancer cells, which led to the initiation of the death receptor-mediated apoptosis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Furthermore, SAHA contributed to the initiation of the mitochondria-related apoptosis pathway by enhancing the protein level of </w:t>
      </w:r>
      <w:proofErr w:type="spellStart"/>
      <w:r>
        <w:rPr>
          <w:rFonts w:ascii="Book Antiqua" w:eastAsia="Book Antiqua" w:hAnsi="Book Antiqua" w:cs="Book Antiqua"/>
          <w:color w:val="000000"/>
        </w:rPr>
        <w:t>Bim</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Bax</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Our previous study</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found that SAHA could initiate the ER stress-related apoptotic pathway to foster apoptosis in liver cancer cells by upregulating the protein level of CHOP, a transcription factor that accelerates proapoptotic gene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In the present study, we found that SAHA suppressed the proliferation and induced cell cycle arrest in Huh7 and MHCC97L cells. Moreover, SAHA initiated Huh7 and MHCC97L cell apoptosis.</w:t>
      </w:r>
    </w:p>
    <w:p w14:paraId="50453AD2" w14:textId="77777777" w:rsidR="00783269"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We also indicated that SAHA could augment the expression of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a putative cancer suppressor gene. Studies have uncovered the pivotal role of FAM134B in multiple malignancies.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reported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that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FAM134B may exert anticancer effects by influencing mitochondrial function and inducing cell cycle arrest in colon cancer. FAM134B also acts as a cancer suppressor in breast carcinoma. Upregulating FAM134B expression was significantly correlated with a higher survival in patients with breast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Zhong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confirmed that FAM134B was decreased in liver cancer, and its decreased expression was correlated with malignant liver cancer. In contrast, upregulation of FAM134B inhibited HepG2 cell proliferation and enhanced cell apoptosis. FAM134B was proposed as the first discovered mammalian receptor of </w:t>
      </w:r>
      <w:proofErr w:type="spellStart"/>
      <w:proofErr w:type="gramStart"/>
      <w:r>
        <w:rPr>
          <w:rFonts w:ascii="Book Antiqua" w:eastAsia="Book Antiqua" w:hAnsi="Book Antiqua" w:cs="Book Antiqua"/>
          <w:color w:val="000000"/>
        </w:rPr>
        <w:t>reticulophagy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a type of selective phagocytosis. As an ER-anchored protein, FAM134B mediates the sequestration of ER fragments into phagophore membranes through its LC3-interacting region, which binds the autophagy modifier protein LC3</w:t>
      </w:r>
      <w:r>
        <w:rPr>
          <w:rFonts w:ascii="Book Antiqua" w:eastAsia="Book Antiqua" w:hAnsi="Book Antiqua" w:cs="Book Antiqua"/>
          <w:color w:val="000000"/>
          <w:vertAlign w:val="superscript"/>
        </w:rPr>
        <w:t>[40-42]</w:t>
      </w:r>
      <w:r>
        <w:rPr>
          <w:rFonts w:ascii="Book Antiqua" w:eastAsia="Book Antiqua" w:hAnsi="Book Antiqua" w:cs="Book Antiqua"/>
          <w:color w:val="000000"/>
        </w:rPr>
        <w:t>. In the present study, we detected the proteins related to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xml:space="preserve"> in Huh7 and MHCC97L cells treated with various doses of SAHA. We found that the expression levels of FAM134B, Atg12, and LC3II/LC3I were considerably upregulated. Moreover, SAHA </w:t>
      </w:r>
      <w:r>
        <w:rPr>
          <w:rFonts w:ascii="Book Antiqua" w:eastAsia="Book Antiqua" w:hAnsi="Book Antiqua" w:cs="Book Antiqua"/>
          <w:color w:val="000000"/>
        </w:rPr>
        <w:lastRenderedPageBreak/>
        <w:t>augmented the colocalization of ER and lysosomes in Huh7 and MHCC97L cells. The above results indicated that SAHA treatment enhanced the level of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w:t>
      </w:r>
    </w:p>
    <w:p w14:paraId="0AEE5931" w14:textId="77777777" w:rsidR="00783269"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xml:space="preserve"> is a protective response under cellular stress conditions, but uncontrolled autophagy leads to the depletion of organelles and key proteins, which in turn lead to caspase-independent cell death, also known as autophagy-mediated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Recent findings have revealed that SAHA could induce autophagy-mediated cell death in malignant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44,45]</w:t>
      </w:r>
      <w:r>
        <w:rPr>
          <w:rFonts w:ascii="Book Antiqua" w:eastAsia="Book Antiqua" w:hAnsi="Book Antiqua" w:cs="Book Antiqua"/>
          <w:color w:val="000000"/>
        </w:rPr>
        <w:t xml:space="preserve">. In fact, a decrease in cell viability detected using CCK-8 was not the same as apoptosis induction, as revealed in this study. We found that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SAHA resulted in markedly reduced Huh7 and MHCC97L cell proliferation levels (Figure 1), with proliferation being inhibited by approximately 50%; however, the rate of early apoptosis was only about 25%. This phenomenon reveals that SAHA may also elicit other types of cell death to suppress the proliferation of Huh7 and MHCC97L cells, such as autophagy-mediated cell death.</w:t>
      </w:r>
    </w:p>
    <w:p w14:paraId="74E06A8A" w14:textId="77777777" w:rsidR="00783269"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To confirm this hypothesis, we investigated cells with or without pretreatment with BafA1, a specific inhibitor of the late phase of autophagy that restrains </w:t>
      </w:r>
      <w:proofErr w:type="spellStart"/>
      <w:r>
        <w:rPr>
          <w:rFonts w:ascii="Book Antiqua" w:eastAsia="Book Antiqua" w:hAnsi="Book Antiqua" w:cs="Book Antiqua"/>
          <w:color w:val="000000"/>
        </w:rPr>
        <w:t>autophagosomal</w:t>
      </w:r>
      <w:proofErr w:type="spellEnd"/>
      <w:r>
        <w:rPr>
          <w:rFonts w:ascii="Book Antiqua" w:eastAsia="Book Antiqua" w:hAnsi="Book Antiqua" w:cs="Book Antiqua"/>
          <w:color w:val="000000"/>
        </w:rPr>
        <w:t xml:space="preserve"> fusion with lysosomes. Notably, BafA1-mediated autophagy inhibition reduced SAHA-induced cell death. These results confirmed that SAHA could enhance autophagy-mediated cell death, potentially by promoting FAM134B-mediated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xml:space="preserve">. However, the specific mechanism by which SAHA regulated FAM134B expression in Huh7 and MHCC97L cells remains elusive. As an </w:t>
      </w:r>
      <w:proofErr w:type="spellStart"/>
      <w:r>
        <w:rPr>
          <w:rFonts w:ascii="Book Antiqua" w:eastAsia="Book Antiqua" w:hAnsi="Book Antiqua" w:cs="Book Antiqua"/>
          <w:color w:val="000000"/>
        </w:rPr>
        <w:t>HDACi</w:t>
      </w:r>
      <w:proofErr w:type="spellEnd"/>
      <w:r>
        <w:rPr>
          <w:rFonts w:ascii="Book Antiqua" w:eastAsia="Book Antiqua" w:hAnsi="Book Antiqua" w:cs="Book Antiqua"/>
          <w:color w:val="000000"/>
        </w:rPr>
        <w:t xml:space="preserve">, the essential role of SAHA is the enhancement of histone acetylation. In previous research, we revealed that SAHA markedly augmented the acetylated histones H4K5 and H4K12 in HepG2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the present study, SAHA was shown to augment H4K16ac. In addition, </w:t>
      </w:r>
      <w:proofErr w:type="spellStart"/>
      <w:r>
        <w:rPr>
          <w:rFonts w:ascii="Book Antiqua" w:eastAsia="Book Antiqua" w:hAnsi="Book Antiqua" w:cs="Book Antiqua"/>
          <w:color w:val="000000"/>
        </w:rPr>
        <w:t>Füllgrabe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that H4K16ac was linked to altered gene expression, including the modulation of autophagy-related genes; however, it was unclear whether H4K16ac regulated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transcription and its associated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xml:space="preserve">. We used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 to detect H4K16ac in the </w:t>
      </w:r>
      <w:r>
        <w:rPr>
          <w:rFonts w:ascii="Book Antiqua" w:eastAsia="Book Antiqua" w:hAnsi="Book Antiqua" w:cs="Book Antiqua"/>
          <w:i/>
          <w:iCs/>
          <w:color w:val="000000"/>
        </w:rPr>
        <w:t xml:space="preserve">FAM134B </w:t>
      </w:r>
      <w:r>
        <w:rPr>
          <w:rFonts w:ascii="Book Antiqua" w:eastAsia="Book Antiqua" w:hAnsi="Book Antiqua" w:cs="Book Antiqua"/>
          <w:color w:val="000000"/>
        </w:rPr>
        <w:t xml:space="preserve">promoter region. Our findings revealed that FAM134B promoter H4K16ac was considerably elevated in Huh7 cells exposed to SAHA, which enhanced the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transcription.</w:t>
      </w:r>
    </w:p>
    <w:p w14:paraId="606423BF" w14:textId="77777777" w:rsidR="00783269"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As a key organelle in eukaryotic cells, the ER contributes to protein synthesis and maintenance of calcium </w:t>
      </w:r>
      <w:proofErr w:type="gramStart"/>
      <w:r>
        <w:rPr>
          <w:rFonts w:ascii="Book Antiqua" w:eastAsia="Book Antiqua" w:hAnsi="Book Antiqua" w:cs="Book Antiqua"/>
          <w:color w:val="000000"/>
        </w:rPr>
        <w:t>homeostasis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46,47]</w:t>
      </w:r>
      <w:r>
        <w:rPr>
          <w:rFonts w:ascii="Book Antiqua" w:eastAsia="Book Antiqua" w:hAnsi="Book Antiqua" w:cs="Book Antiqua"/>
          <w:color w:val="000000"/>
        </w:rPr>
        <w:t xml:space="preserve">; hence, ER dysfunction results in the agglomeration of protein aggregates and disturbance of calcium homeostasis in the ER. Moreover, the ER contributes to organelle </w:t>
      </w:r>
      <w:proofErr w:type="gramStart"/>
      <w:r>
        <w:rPr>
          <w:rFonts w:ascii="Book Antiqua" w:eastAsia="Book Antiqua" w:hAnsi="Book Antiqua" w:cs="Book Antiqua"/>
          <w:color w:val="000000"/>
        </w:rPr>
        <w:t>communication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27,48]</w:t>
      </w:r>
      <w:r>
        <w:rPr>
          <w:rFonts w:ascii="Book Antiqua" w:eastAsia="Book Antiqua" w:hAnsi="Book Antiqua" w:cs="Book Antiqua"/>
          <w:color w:val="000000"/>
        </w:rPr>
        <w:t xml:space="preserve">. For example, the ER can interact with mitochondria through MERCS, as the short distance (15-20 nm) between the ER and OMM enables ER-anchored proteins to interact with OMM </w:t>
      </w:r>
      <w:proofErr w:type="gramStart"/>
      <w:r>
        <w:rPr>
          <w:rFonts w:ascii="Book Antiqua" w:eastAsia="Book Antiqua" w:hAnsi="Book Antiqua" w:cs="Book Antiqua"/>
          <w:color w:val="000000"/>
        </w:rPr>
        <w:t>proteins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The IP3R1-GRP75-VDAC1 complex is a central component of MERCS, which is involved in regulating calcium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Emerging evidence has indicated that the imbalance of Ca</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between the ER and mitochondria by MERCS leads to calcium overload in the mitochondria, which activates the mitochondria-associated apoptotic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7CBC3AB6" w14:textId="77777777" w:rsidR="00783269"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Furthermore, under ER stress conditions, increased cytosolic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would elevate the level of ER E3 ligase AMFR, which targets the OMM for ubiquitination and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High AMFR levels accelerate OMM degradation, which brings the inner mitochondrial membrane closer to the ER, thus promoting interplay between the ER and </w:t>
      </w:r>
      <w:proofErr w:type="gramStart"/>
      <w:r>
        <w:rPr>
          <w:rFonts w:ascii="Book Antiqua" w:eastAsia="Book Antiqua" w:hAnsi="Book Antiqua" w:cs="Book Antiqua"/>
          <w:color w:val="000000"/>
        </w:rPr>
        <w:t>mitochondria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In the present study, we revealed that SAHA upregulated the expression of MERCS-related proteins, including IP3R1, GRP75, and VDAC1, thereby enhancing the exchange of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from the ER to the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mitochondria, along with mitochondrial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overload. Additionally, SAHA augmented cytosolic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increased AMFR expression, thus decreasing mitochondrial membrane potential and elevating mitochondrial membrane permeability, resulting in the release of proapoptotic proteins. As expected, we found that SAHA upregulated the expression level of mitochondria-dependent apoptotic proteins, including cytochrome c, cleaved caspase-3,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but downregulated the expression of Bcl-2. The above results revealed that SAHA treatment enhanced the interplay between the ER and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mitochondria and promoted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transmission from the ER to the mitochondria, thereby activating the mitochondria-related apoptotic pathway.</w:t>
      </w:r>
    </w:p>
    <w:p w14:paraId="5C2560A3" w14:textId="77777777" w:rsidR="00783269"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This study had a few limitations. Despite the presence of numerous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receptors, we focused on only FAM134B in this manuscript. For comprehensive knowledge, our team will verify multiple receptors in subsequent laboratory studies. Knocking down the gene encoding FAM134B could verify if it is a key gene in the </w:t>
      </w:r>
      <w:r>
        <w:rPr>
          <w:rFonts w:ascii="Book Antiqua" w:eastAsia="Book Antiqua" w:hAnsi="Book Antiqua" w:cs="Book Antiqua"/>
          <w:color w:val="000000"/>
        </w:rPr>
        <w:lastRenderedPageBreak/>
        <w:t xml:space="preserve">pathway leading to HCC death. In this experiment, H4K16ac, a highly relevant acetylation site, was selected for the study. However, SAHA acts as a broad-spectrum deacetylase inhibitor influencing numerous acetylation sites, which need to be further verified in subsequent experiments. Results of this study indicated that SAHA </w:t>
      </w:r>
      <w:proofErr w:type="gramStart"/>
      <w:r>
        <w:rPr>
          <w:rFonts w:ascii="Book Antiqua" w:eastAsia="Book Antiqua" w:hAnsi="Book Antiqua" w:cs="Book Antiqua"/>
          <w:color w:val="000000"/>
        </w:rPr>
        <w:t>can</w:t>
      </w:r>
      <w:proofErr w:type="gramEnd"/>
      <w:r>
        <w:rPr>
          <w:rFonts w:ascii="Book Antiqua" w:eastAsia="Book Antiqua" w:hAnsi="Book Antiqua" w:cs="Book Antiqua"/>
          <w:color w:val="000000"/>
        </w:rPr>
        <w:t xml:space="preserve"> inhibit the proliferation of liver cancer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however,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analyses could confirm the consistency of its effectiveness. Basic medical research serves the clinic, and the clinical verification of various aspects is more persuasive. Our study provided basic information that aids ongoing and prospective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w:t>
      </w:r>
    </w:p>
    <w:p w14:paraId="20F92542" w14:textId="77777777" w:rsidR="00783269" w:rsidRDefault="00783269">
      <w:pPr>
        <w:spacing w:line="360" w:lineRule="auto"/>
        <w:jc w:val="both"/>
        <w:rPr>
          <w:rFonts w:ascii="Book Antiqua" w:hAnsi="Book Antiqua"/>
        </w:rPr>
      </w:pPr>
    </w:p>
    <w:p w14:paraId="111718DD" w14:textId="77777777" w:rsidR="00783269"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E219F7E"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HDACi</w:t>
      </w:r>
      <w:proofErr w:type="spellEnd"/>
      <w:r>
        <w:rPr>
          <w:rFonts w:ascii="Book Antiqua" w:eastAsia="Book Antiqua" w:hAnsi="Book Antiqua" w:cs="Book Antiqua"/>
          <w:color w:val="000000"/>
        </w:rPr>
        <w:t xml:space="preserve"> SAHA initiated apoptosis and autophagy-mediated cell death in Huh7 and MHCC97L cells to exert antitumor activity in HCC. Our results underscore a crucial link between the induction of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xml:space="preserve"> and H4K16ac-linked</w:t>
      </w:r>
      <w:r>
        <w:rPr>
          <w:rFonts w:ascii="Book Antiqua" w:eastAsia="Book Antiqua" w:hAnsi="Book Antiqua" w:cs="Book Antiqua"/>
          <w:i/>
          <w:iCs/>
          <w:color w:val="000000"/>
        </w:rPr>
        <w:t xml:space="preserve"> FAM134B</w:t>
      </w:r>
      <w:r>
        <w:rPr>
          <w:rFonts w:ascii="Book Antiqua" w:eastAsia="Book Antiqua" w:hAnsi="Book Antiqua" w:cs="Book Antiqua"/>
          <w:color w:val="000000"/>
        </w:rPr>
        <w:t xml:space="preserve"> gene expression, which facilitates FAM134B-mediated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Moreover, we presented evidence that suggested that SAHA induced the mitochondria-associated apoptotic pathway in Huh7 and MHCC97L cells by enhancing the interplay between the ER and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mitochondria and promoting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exchange.</w:t>
      </w:r>
      <w:r>
        <w:rPr>
          <w:rFonts w:ascii="Book Antiqua" w:eastAsia="Book Antiqua" w:hAnsi="Book Antiqua" w:cs="Book Antiqua"/>
          <w:b/>
          <w:bCs/>
          <w:color w:val="000000"/>
        </w:rPr>
        <w:t xml:space="preserve"> </w:t>
      </w:r>
      <w:r>
        <w:rPr>
          <w:rFonts w:ascii="Book Antiqua" w:eastAsia="Book Antiqua" w:hAnsi="Book Antiqua" w:cs="Book Antiqua"/>
          <w:color w:val="000000"/>
        </w:rPr>
        <w:t>In summary, SAHA promoted FAM134B-mediated ER-</w:t>
      </w:r>
      <w:proofErr w:type="spellStart"/>
      <w:r>
        <w:rPr>
          <w:rFonts w:ascii="Book Antiqua" w:eastAsia="Book Antiqua" w:hAnsi="Book Antiqua" w:cs="Book Antiqua"/>
          <w:color w:val="000000"/>
        </w:rPr>
        <w:t>phagy</w:t>
      </w:r>
      <w:proofErr w:type="spellEnd"/>
      <w:r>
        <w:rPr>
          <w:rFonts w:ascii="Book Antiqua" w:eastAsia="Book Antiqua" w:hAnsi="Book Antiqua" w:cs="Book Antiqua"/>
          <w:color w:val="000000"/>
        </w:rPr>
        <w:t>, which acted synergistically with the mitochondrial apoptotic pathway to promote HCC cell death.</w:t>
      </w:r>
    </w:p>
    <w:p w14:paraId="2AF06A02" w14:textId="77777777" w:rsidR="00783269" w:rsidRDefault="00783269">
      <w:pPr>
        <w:spacing w:line="360" w:lineRule="auto"/>
        <w:jc w:val="both"/>
        <w:rPr>
          <w:rFonts w:ascii="Book Antiqua" w:hAnsi="Book Antiqua"/>
        </w:rPr>
      </w:pPr>
    </w:p>
    <w:p w14:paraId="641FA245" w14:textId="77777777" w:rsidR="00783269"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CA11F36" w14:textId="77777777" w:rsidR="00783269"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C3734E8" w14:textId="77777777" w:rsidR="00783269" w:rsidRDefault="00000000">
      <w:pPr>
        <w:spacing w:line="360" w:lineRule="auto"/>
        <w:jc w:val="both"/>
        <w:rPr>
          <w:rFonts w:ascii="Book Antiqua" w:hAnsi="Book Antiqua"/>
        </w:rPr>
      </w:pPr>
      <w:proofErr w:type="spellStart"/>
      <w:r>
        <w:rPr>
          <w:rFonts w:ascii="Book Antiqua" w:eastAsia="Book Antiqua" w:hAnsi="Book Antiqua" w:cs="Book Antiqua"/>
          <w:color w:val="000000"/>
        </w:rPr>
        <w:t>Suberoylanilide</w:t>
      </w:r>
      <w:proofErr w:type="spellEnd"/>
      <w:r>
        <w:rPr>
          <w:rFonts w:ascii="Book Antiqua" w:eastAsia="Book Antiqua" w:hAnsi="Book Antiqua" w:cs="Book Antiqua"/>
          <w:color w:val="000000"/>
        </w:rPr>
        <w:t xml:space="preserve"> hydroxamic acid (SAHA) has been demonstrated to trigger multiple forms of cell death in hepatocellular carcinoma (HCC). Family with sequence similarity 134 member B (FAM134B), a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receptor, has been recognized as a cancer suppressor protein in multiple tumors, including HCC. However, few researchers have focused on the relationship between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and SAHA-induced HCC cell death.</w:t>
      </w:r>
    </w:p>
    <w:p w14:paraId="2CF57D67" w14:textId="77777777" w:rsidR="00783269" w:rsidRDefault="00783269">
      <w:pPr>
        <w:spacing w:line="360" w:lineRule="auto"/>
        <w:jc w:val="both"/>
        <w:rPr>
          <w:rFonts w:ascii="Book Antiqua" w:hAnsi="Book Antiqua"/>
        </w:rPr>
      </w:pPr>
    </w:p>
    <w:p w14:paraId="60D89914" w14:textId="77777777" w:rsidR="00783269"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70758B19" w14:textId="77777777" w:rsidR="00783269" w:rsidRDefault="00000000">
      <w:pPr>
        <w:spacing w:line="360" w:lineRule="auto"/>
        <w:jc w:val="both"/>
        <w:rPr>
          <w:rFonts w:ascii="Book Antiqua" w:hAnsi="Book Antiqua"/>
        </w:rPr>
      </w:pPr>
      <w:proofErr w:type="spellStart"/>
      <w:r>
        <w:rPr>
          <w:rFonts w:ascii="Book Antiqua" w:eastAsia="Book Antiqua" w:hAnsi="Book Antiqua" w:cs="Book Antiqua"/>
          <w:color w:val="000000"/>
        </w:rPr>
        <w:lastRenderedPageBreak/>
        <w:t>Reticulophagy</w:t>
      </w:r>
      <w:proofErr w:type="spellEnd"/>
      <w:r>
        <w:rPr>
          <w:rFonts w:ascii="Book Antiqua" w:eastAsia="Book Antiqua" w:hAnsi="Book Antiqua" w:cs="Book Antiqua"/>
          <w:color w:val="000000"/>
        </w:rPr>
        <w:t xml:space="preserve"> is involved in a variety of human cancer pathologies. However, its specific function in the modulation of SAHA-initiated HCC cell death remains unproven.</w:t>
      </w:r>
    </w:p>
    <w:p w14:paraId="6866416E" w14:textId="77777777" w:rsidR="00783269" w:rsidRDefault="00783269">
      <w:pPr>
        <w:spacing w:line="360" w:lineRule="auto"/>
        <w:jc w:val="both"/>
        <w:rPr>
          <w:rFonts w:ascii="Book Antiqua" w:hAnsi="Book Antiqua"/>
        </w:rPr>
      </w:pPr>
    </w:p>
    <w:p w14:paraId="35E902D6" w14:textId="77777777" w:rsidR="00783269"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471E9878"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To validate the potential regulatory mechanisms of the FAM134B-mediated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in SAHA-induced HCC cell death.</w:t>
      </w:r>
    </w:p>
    <w:p w14:paraId="7BCC0D6E" w14:textId="77777777" w:rsidR="00783269" w:rsidRDefault="00783269">
      <w:pPr>
        <w:spacing w:line="360" w:lineRule="auto"/>
        <w:jc w:val="both"/>
        <w:rPr>
          <w:rFonts w:ascii="Book Antiqua" w:hAnsi="Book Antiqua"/>
        </w:rPr>
      </w:pPr>
    </w:p>
    <w:p w14:paraId="5E2C2CFF" w14:textId="77777777" w:rsidR="00783269"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5FC70C2D" w14:textId="77777777" w:rsidR="00783269" w:rsidRDefault="00000000">
      <w:pPr>
        <w:spacing w:line="360" w:lineRule="auto"/>
        <w:jc w:val="both"/>
        <w:rPr>
          <w:rFonts w:ascii="Book Antiqua" w:hAnsi="Book Antiqua"/>
        </w:rPr>
      </w:pPr>
      <w:r>
        <w:rPr>
          <w:rFonts w:ascii="Book Antiqua" w:hAnsi="Book Antiqua"/>
        </w:rPr>
        <w:t xml:space="preserve">The </w:t>
      </w:r>
      <w:r>
        <w:rPr>
          <w:rFonts w:ascii="Book Antiqua" w:hAnsi="Book Antiqua"/>
          <w:lang w:eastAsia="zh-CN"/>
        </w:rPr>
        <w:t>proliferation</w:t>
      </w:r>
      <w:r>
        <w:rPr>
          <w:rFonts w:ascii="Book Antiqua" w:hAnsi="Book Antiqua"/>
        </w:rPr>
        <w:t xml:space="preserve">, apoptosis, and cell cycle of SAHA-treated Huh7 and MHCC97L cells were quantified using cell counting kit-8 and flow cytometry. </w:t>
      </w:r>
      <w:bookmarkStart w:id="10" w:name="OLE_LINK2"/>
      <w:r>
        <w:rPr>
          <w:rFonts w:ascii="Book Antiqua" w:hAnsi="Book Antiqua"/>
          <w:lang w:eastAsia="zh-CN"/>
        </w:rPr>
        <w:t>T</w:t>
      </w:r>
      <w:r>
        <w:rPr>
          <w:rFonts w:ascii="Book Antiqua" w:hAnsi="Book Antiqua"/>
        </w:rPr>
        <w:t xml:space="preserve">he migration and invasion of Huh7 and MHCC97L cells were measured using the </w:t>
      </w:r>
      <w:proofErr w:type="spellStart"/>
      <w:r>
        <w:rPr>
          <w:rFonts w:ascii="Book Antiqua" w:hAnsi="Book Antiqua"/>
        </w:rPr>
        <w:t>transwell</w:t>
      </w:r>
      <w:proofErr w:type="spellEnd"/>
      <w:r>
        <w:rPr>
          <w:rFonts w:ascii="Book Antiqua" w:hAnsi="Book Antiqua"/>
        </w:rPr>
        <w:t xml:space="preserve"> assay.</w:t>
      </w:r>
      <w:bookmarkEnd w:id="10"/>
      <w:r>
        <w:rPr>
          <w:rFonts w:ascii="Book Antiqua" w:hAnsi="Book Antiqua"/>
        </w:rPr>
        <w:t xml:space="preserve"> Proteins related to the </w:t>
      </w:r>
      <w:proofErr w:type="spellStart"/>
      <w:r>
        <w:rPr>
          <w:rFonts w:ascii="Book Antiqua" w:hAnsi="Book Antiqua"/>
        </w:rPr>
        <w:t>reticulophagy</w:t>
      </w:r>
      <w:proofErr w:type="spellEnd"/>
      <w:r>
        <w:rPr>
          <w:rFonts w:ascii="Book Antiqua" w:hAnsi="Book Antiqua"/>
        </w:rPr>
        <w:t xml:space="preserve"> pathway, mitochondria-endoplasmic reticulum contact sites, intrinsic mitochondrial apoptosis, and histone H4K16 acetylation were detected using western blotting. ER and lysosome co-localization, and mitochondrial Ca</w:t>
      </w:r>
      <w:r>
        <w:rPr>
          <w:rFonts w:ascii="Book Antiqua" w:hAnsi="Book Antiqua"/>
          <w:vertAlign w:val="superscript"/>
        </w:rPr>
        <w:t>2+</w:t>
      </w:r>
      <w:r>
        <w:rPr>
          <w:rFonts w:ascii="Book Antiqua" w:hAnsi="Book Antiqua"/>
        </w:rPr>
        <w:t xml:space="preserve"> levels were observed </w:t>
      </w:r>
      <w:r>
        <w:rPr>
          <w:rFonts w:ascii="Book Antiqua" w:hAnsi="Book Antiqua"/>
          <w:i/>
          <w:iCs/>
        </w:rPr>
        <w:t>via</w:t>
      </w:r>
      <w:r>
        <w:rPr>
          <w:rFonts w:ascii="Book Antiqua" w:hAnsi="Book Antiqua"/>
        </w:rPr>
        <w:t xml:space="preserve"> </w:t>
      </w:r>
      <w:bookmarkStart w:id="11" w:name="OLE_LINK3"/>
      <w:r>
        <w:rPr>
          <w:rFonts w:ascii="Book Antiqua" w:hAnsi="Book Antiqua"/>
        </w:rPr>
        <w:t>confocal microscopy</w:t>
      </w:r>
      <w:bookmarkEnd w:id="11"/>
      <w:r>
        <w:rPr>
          <w:rFonts w:ascii="Book Antiqua" w:hAnsi="Book Antiqua"/>
        </w:rPr>
        <w:t xml:space="preserve">. </w:t>
      </w:r>
      <w:bookmarkStart w:id="12" w:name="OLE_LINK10"/>
      <w:r>
        <w:rPr>
          <w:rFonts w:ascii="Book Antiqua" w:hAnsi="Book Antiqua"/>
        </w:rPr>
        <w:t xml:space="preserve">Autophagy-mediated cell death </w:t>
      </w:r>
      <w:bookmarkEnd w:id="12"/>
      <w:r>
        <w:rPr>
          <w:rFonts w:ascii="Book Antiqua" w:hAnsi="Book Antiqua"/>
        </w:rPr>
        <w:t xml:space="preserve">was validated through Hoechst33342 staining and propidium iodide co-localization. The enrichment of histone H4 lysine 16 acetylation in the </w:t>
      </w:r>
      <w:r>
        <w:rPr>
          <w:rFonts w:ascii="Book Antiqua" w:hAnsi="Book Antiqua"/>
          <w:i/>
          <w:iCs/>
        </w:rPr>
        <w:t>FAM134B</w:t>
      </w:r>
      <w:r>
        <w:rPr>
          <w:rFonts w:ascii="Book Antiqua" w:hAnsi="Book Antiqua"/>
        </w:rPr>
        <w:t xml:space="preserve"> promoter region was determined using chromatin immunoprecipitation.</w:t>
      </w:r>
    </w:p>
    <w:p w14:paraId="722AF682" w14:textId="77777777" w:rsidR="00783269" w:rsidRDefault="00783269">
      <w:pPr>
        <w:spacing w:line="360" w:lineRule="auto"/>
        <w:jc w:val="both"/>
        <w:rPr>
          <w:rFonts w:ascii="Book Antiqua" w:hAnsi="Book Antiqua"/>
        </w:rPr>
      </w:pPr>
    </w:p>
    <w:p w14:paraId="753FC319" w14:textId="77777777" w:rsidR="00783269"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2A2C8940"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SAHA treatment augmented the expression of proteins related to the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pathway and enhanced the level of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in HCC cells. Chromatin immunoprecipitation experiments confirmed that SAHA regulated FAM134B expression by increasing the histone H4 lysine 16 acetylation in the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promoter region. SAHA interfered with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homeostasis in HCC cells and upregulated the expression of autocrine motility factor receptor-related and </w:t>
      </w:r>
      <w:r>
        <w:rPr>
          <w:rFonts w:ascii="Book Antiqua" w:hAnsi="Book Antiqua"/>
        </w:rPr>
        <w:t>mitochondria-endoplasmic reticulum contact sites</w:t>
      </w:r>
      <w:r>
        <w:rPr>
          <w:rFonts w:ascii="Book Antiqua" w:eastAsia="Book Antiqua" w:hAnsi="Book Antiqua" w:cs="Book Antiqua"/>
          <w:color w:val="000000"/>
        </w:rPr>
        <w:t xml:space="preserve">-related proteins. Furthermore, SAHA reduced mitochondrial membrane potential and aggravated the activation of the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-mediated mitochondrial apoptosis pathway and HCC cell death.</w:t>
      </w:r>
    </w:p>
    <w:p w14:paraId="099A16C6" w14:textId="77777777" w:rsidR="00783269" w:rsidRDefault="00783269">
      <w:pPr>
        <w:spacing w:line="360" w:lineRule="auto"/>
        <w:jc w:val="both"/>
        <w:rPr>
          <w:rFonts w:ascii="Book Antiqua" w:hAnsi="Book Antiqua"/>
        </w:rPr>
      </w:pPr>
    </w:p>
    <w:p w14:paraId="77685815" w14:textId="77777777" w:rsidR="00783269"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conclusions</w:t>
      </w:r>
    </w:p>
    <w:p w14:paraId="790819A2" w14:textId="77777777" w:rsidR="00783269" w:rsidRDefault="00000000">
      <w:pPr>
        <w:spacing w:line="360" w:lineRule="auto"/>
        <w:jc w:val="both"/>
        <w:rPr>
          <w:rFonts w:ascii="Book Antiqua" w:hAnsi="Book Antiqua"/>
        </w:rPr>
      </w:pPr>
      <w:bookmarkStart w:id="13" w:name="OLE_LINK9"/>
      <w:r>
        <w:rPr>
          <w:rFonts w:ascii="Book Antiqua" w:hAnsi="Book Antiqua"/>
        </w:rPr>
        <w:t>SAHA stimulate</w:t>
      </w:r>
      <w:r>
        <w:rPr>
          <w:rFonts w:ascii="Book Antiqua" w:eastAsia="Book Antiqua" w:hAnsi="Book Antiqua" w:cs="Book Antiqua"/>
          <w:color w:val="000000"/>
        </w:rPr>
        <w:t xml:space="preserve">d </w:t>
      </w:r>
      <w:bookmarkEnd w:id="13"/>
      <w:r>
        <w:rPr>
          <w:rFonts w:ascii="Book Antiqua" w:eastAsia="Book Antiqua" w:hAnsi="Book Antiqua" w:cs="Book Antiqua"/>
          <w:color w:val="000000"/>
        </w:rPr>
        <w:t xml:space="preserve">excessive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and induced autophagy-mediated cell death, which acted synergistically with the mitochondria-dependent apoptotic pathway to </w:t>
      </w:r>
      <w:r>
        <w:rPr>
          <w:rFonts w:ascii="Book Antiqua" w:eastAsia="SimSun" w:hAnsi="Book Antiqua" w:cs="Book Antiqua"/>
          <w:color w:val="000000"/>
          <w:lang w:eastAsia="zh-CN"/>
        </w:rPr>
        <w:t>facilitate</w:t>
      </w:r>
      <w:r>
        <w:rPr>
          <w:rFonts w:ascii="Book Antiqua" w:eastAsia="Book Antiqua" w:hAnsi="Book Antiqua" w:cs="Book Antiqua"/>
          <w:color w:val="000000"/>
        </w:rPr>
        <w:t xml:space="preserve"> HCC cell death.</w:t>
      </w:r>
    </w:p>
    <w:p w14:paraId="46CC4D5E" w14:textId="77777777" w:rsidR="00783269" w:rsidRDefault="00783269">
      <w:pPr>
        <w:autoSpaceDE w:val="0"/>
        <w:spacing w:line="360" w:lineRule="auto"/>
        <w:jc w:val="both"/>
        <w:rPr>
          <w:rFonts w:ascii="Book Antiqua" w:hAnsi="Book Antiqua"/>
        </w:rPr>
      </w:pPr>
    </w:p>
    <w:p w14:paraId="26C0F02F" w14:textId="77777777" w:rsidR="00783269"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52CAF72A"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 xml:space="preserve">FAM134B-induced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may further provide a novel avenue for more effective interventions in HCC treatment. Our results confirmed that </w:t>
      </w:r>
      <w:proofErr w:type="spellStart"/>
      <w:r>
        <w:rPr>
          <w:rFonts w:ascii="Book Antiqua" w:eastAsia="Book Antiqua" w:hAnsi="Book Antiqua" w:cs="Book Antiqua"/>
          <w:color w:val="000000"/>
        </w:rPr>
        <w:t>reticulophagy</w:t>
      </w:r>
      <w:proofErr w:type="spellEnd"/>
      <w:r>
        <w:rPr>
          <w:rFonts w:ascii="Book Antiqua" w:eastAsia="Book Antiqua" w:hAnsi="Book Antiqua" w:cs="Book Antiqua"/>
          <w:color w:val="000000"/>
        </w:rPr>
        <w:t xml:space="preserve"> participates in SAHA-induced apoptosis and autophagy-mediated cell death in HCC cells, where SAHA-induced regulation of FAM134B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histone H4 lysine 16 is the key to HCC cell death.</w:t>
      </w:r>
    </w:p>
    <w:p w14:paraId="4F78FA05" w14:textId="77777777" w:rsidR="00783269" w:rsidRDefault="00783269">
      <w:pPr>
        <w:spacing w:line="360" w:lineRule="auto"/>
        <w:jc w:val="both"/>
        <w:rPr>
          <w:rFonts w:ascii="Book Antiqua" w:hAnsi="Book Antiqua"/>
        </w:rPr>
      </w:pPr>
    </w:p>
    <w:p w14:paraId="6F1C8401" w14:textId="77777777" w:rsidR="00783269"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40113AC" w14:textId="77777777" w:rsidR="00783269" w:rsidRDefault="00000000">
      <w:pPr>
        <w:spacing w:line="360" w:lineRule="auto"/>
        <w:jc w:val="both"/>
        <w:rPr>
          <w:rFonts w:ascii="Book Antiqua" w:hAnsi="Book Antiqua"/>
        </w:rPr>
      </w:pPr>
      <w:r>
        <w:rPr>
          <w:rFonts w:ascii="Book Antiqua" w:eastAsia="Book Antiqua" w:hAnsi="Book Antiqua" w:cs="Book Antiqua"/>
          <w:color w:val="000000"/>
        </w:rPr>
        <w:t>The authors thank Mr. Yao Mu and Mrs. Yao Ran from the Guizhou Provincial Key Laboratory of Pathogenesis and Drug Research on Common Chronic Diseases, Guizhou Medical University (Guizhou, China) for their technical advice for using the confocal microscope and flow cytometer.</w:t>
      </w:r>
    </w:p>
    <w:p w14:paraId="285C8A53" w14:textId="77777777" w:rsidR="00783269" w:rsidRDefault="00783269">
      <w:pPr>
        <w:spacing w:line="360" w:lineRule="auto"/>
        <w:jc w:val="both"/>
        <w:rPr>
          <w:rFonts w:ascii="Book Antiqua" w:hAnsi="Book Antiqua"/>
        </w:rPr>
      </w:pPr>
    </w:p>
    <w:p w14:paraId="013347A8"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27509FAC"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Wang W</w:t>
      </w:r>
      <w:r>
        <w:rPr>
          <w:rFonts w:ascii="Book Antiqua" w:eastAsia="Book Antiqua" w:hAnsi="Book Antiqua" w:cs="Book Antiqua"/>
        </w:rPr>
        <w:t xml:space="preserve">, Wei C. Advances in the early diagnosis of hepatocellular carcinoma. </w:t>
      </w:r>
      <w:r>
        <w:rPr>
          <w:rFonts w:ascii="Book Antiqua" w:eastAsia="Book Antiqua" w:hAnsi="Book Antiqua" w:cs="Book Antiqua"/>
          <w:i/>
          <w:iCs/>
        </w:rPr>
        <w:t>Genes Dis</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308-319 [PMID: 32884985 DOI: 10.1016/j.gendis.2020.01.014]</w:t>
      </w:r>
    </w:p>
    <w:p w14:paraId="5B0A4055"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Santoni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Rizzo A, </w:t>
      </w:r>
      <w:proofErr w:type="spellStart"/>
      <w:r>
        <w:rPr>
          <w:rFonts w:ascii="Book Antiqua" w:eastAsia="Book Antiqua" w:hAnsi="Book Antiqua" w:cs="Book Antiqua"/>
        </w:rPr>
        <w:t>Kucharz</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Mollica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Rosellini</w:t>
      </w:r>
      <w:proofErr w:type="spellEnd"/>
      <w:r>
        <w:rPr>
          <w:rFonts w:ascii="Book Antiqua" w:eastAsia="Book Antiqua" w:hAnsi="Book Antiqua" w:cs="Book Antiqua"/>
        </w:rPr>
        <w:t xml:space="preserve"> M, Marchetti A, </w:t>
      </w:r>
      <w:proofErr w:type="spellStart"/>
      <w:r>
        <w:rPr>
          <w:rFonts w:ascii="Book Antiqua" w:eastAsia="Book Antiqua" w:hAnsi="Book Antiqua" w:cs="Book Antiqua"/>
        </w:rPr>
        <w:t>Tassinari</w:t>
      </w:r>
      <w:proofErr w:type="spellEnd"/>
      <w:r>
        <w:rPr>
          <w:rFonts w:ascii="Book Antiqua" w:eastAsia="Book Antiqua" w:hAnsi="Book Antiqua" w:cs="Book Antiqua"/>
        </w:rPr>
        <w:t xml:space="preserve"> E, Monteiro FSM, Soares A, Molina-</w:t>
      </w:r>
      <w:proofErr w:type="spellStart"/>
      <w:r>
        <w:rPr>
          <w:rFonts w:ascii="Book Antiqua" w:eastAsia="Book Antiqua" w:hAnsi="Book Antiqua" w:cs="Book Antiqua"/>
        </w:rPr>
        <w:t>Cerrillo</w:t>
      </w:r>
      <w:proofErr w:type="spellEnd"/>
      <w:r>
        <w:rPr>
          <w:rFonts w:ascii="Book Antiqua" w:eastAsia="Book Antiqua" w:hAnsi="Book Antiqua" w:cs="Book Antiqua"/>
        </w:rPr>
        <w:t xml:space="preserve"> J, Grande E, </w:t>
      </w:r>
      <w:proofErr w:type="spellStart"/>
      <w:r>
        <w:rPr>
          <w:rFonts w:ascii="Book Antiqua" w:eastAsia="Book Antiqua" w:hAnsi="Book Antiqua" w:cs="Book Antiqua"/>
        </w:rPr>
        <w:t>Battelli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Massari</w:t>
      </w:r>
      <w:proofErr w:type="spellEnd"/>
      <w:r>
        <w:rPr>
          <w:rFonts w:ascii="Book Antiqua" w:eastAsia="Book Antiqua" w:hAnsi="Book Antiqua" w:cs="Book Antiqua"/>
        </w:rPr>
        <w:t xml:space="preserve"> F. Complete remissions following immunotherapy or immuno-oncology combinations in cancer patients: the MOUSEION-03 meta-analysis. </w:t>
      </w:r>
      <w:r>
        <w:rPr>
          <w:rFonts w:ascii="Book Antiqua" w:eastAsia="Book Antiqua" w:hAnsi="Book Antiqua" w:cs="Book Antiqua"/>
          <w:i/>
          <w:iCs/>
        </w:rPr>
        <w:t xml:space="preserve">Cancer Immunol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2023; </w:t>
      </w:r>
      <w:r>
        <w:rPr>
          <w:rFonts w:ascii="Book Antiqua" w:eastAsia="Book Antiqua" w:hAnsi="Book Antiqua" w:cs="Book Antiqua"/>
          <w:b/>
          <w:bCs/>
        </w:rPr>
        <w:t>72</w:t>
      </w:r>
      <w:r>
        <w:rPr>
          <w:rFonts w:ascii="Book Antiqua" w:eastAsia="Book Antiqua" w:hAnsi="Book Antiqua" w:cs="Book Antiqua"/>
        </w:rPr>
        <w:t>: 1365-1379 [PMID: 36633661 DOI: 10.1007/s00262-022-03349-4]</w:t>
      </w:r>
    </w:p>
    <w:p w14:paraId="3352E0B9"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Di Federico A</w:t>
      </w:r>
      <w:r>
        <w:rPr>
          <w:rFonts w:ascii="Book Antiqua" w:eastAsia="Book Antiqua" w:hAnsi="Book Antiqua" w:cs="Book Antiqua"/>
        </w:rPr>
        <w:t xml:space="preserve">, Rizzo A, </w:t>
      </w:r>
      <w:proofErr w:type="spellStart"/>
      <w:r>
        <w:rPr>
          <w:rFonts w:ascii="Book Antiqua" w:eastAsia="Book Antiqua" w:hAnsi="Book Antiqua" w:cs="Book Antiqua"/>
        </w:rPr>
        <w:t>Carloni</w:t>
      </w:r>
      <w:proofErr w:type="spellEnd"/>
      <w:r>
        <w:rPr>
          <w:rFonts w:ascii="Book Antiqua" w:eastAsia="Book Antiqua" w:hAnsi="Book Antiqua" w:cs="Book Antiqua"/>
        </w:rPr>
        <w:t xml:space="preserve"> R, De Giglio A, Bruno R, Ricci D, Brandi G. Atezolizumab-bevacizumab plus Y-90 TARE for the treatment of hepatocellular carcinoma: preclinical rationale and ongoing clinical trials. </w:t>
      </w:r>
      <w:r>
        <w:rPr>
          <w:rFonts w:ascii="Book Antiqua" w:eastAsia="Book Antiqua" w:hAnsi="Book Antiqua" w:cs="Book Antiqua"/>
          <w:i/>
          <w:iCs/>
        </w:rPr>
        <w:t xml:space="preserve">Expert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Investig</w:t>
      </w:r>
      <w:proofErr w:type="spellEnd"/>
      <w:r>
        <w:rPr>
          <w:rFonts w:ascii="Book Antiqua" w:eastAsia="Book Antiqua" w:hAnsi="Book Antiqua" w:cs="Book Antiqua"/>
          <w:i/>
          <w:iCs/>
        </w:rPr>
        <w:t xml:space="preserve"> Drugs</w:t>
      </w:r>
      <w:r>
        <w:rPr>
          <w:rFonts w:ascii="Book Antiqua" w:eastAsia="Book Antiqua" w:hAnsi="Book Antiqua" w:cs="Book Antiqua"/>
        </w:rPr>
        <w:t xml:space="preserve"> 2022; </w:t>
      </w:r>
      <w:r>
        <w:rPr>
          <w:rFonts w:ascii="Book Antiqua" w:eastAsia="Book Antiqua" w:hAnsi="Book Antiqua" w:cs="Book Antiqua"/>
          <w:b/>
          <w:bCs/>
        </w:rPr>
        <w:t>31</w:t>
      </w:r>
      <w:r>
        <w:rPr>
          <w:rFonts w:ascii="Book Antiqua" w:eastAsia="Book Antiqua" w:hAnsi="Book Antiqua" w:cs="Book Antiqua"/>
        </w:rPr>
        <w:t>: 361-369 [PMID: 34798793 DOI: 10.1080/13543784.2022.2009455]</w:t>
      </w:r>
    </w:p>
    <w:p w14:paraId="0D83E14B" w14:textId="77777777" w:rsidR="00783269" w:rsidRDefault="00000000">
      <w:pPr>
        <w:spacing w:line="360" w:lineRule="auto"/>
        <w:jc w:val="both"/>
        <w:rPr>
          <w:rFonts w:ascii="Book Antiqua" w:hAnsi="Book Antiqua"/>
        </w:rPr>
      </w:pPr>
      <w:r>
        <w:rPr>
          <w:rFonts w:ascii="Book Antiqua" w:eastAsia="Book Antiqua" w:hAnsi="Book Antiqua" w:cs="Book Antiqua"/>
        </w:rPr>
        <w:lastRenderedPageBreak/>
        <w:t xml:space="preserve">4 </w:t>
      </w:r>
      <w:r>
        <w:rPr>
          <w:rFonts w:ascii="Book Antiqua" w:eastAsia="Book Antiqua" w:hAnsi="Book Antiqua" w:cs="Book Antiqua"/>
          <w:b/>
          <w:bCs/>
        </w:rPr>
        <w:t>Rizzo A</w:t>
      </w:r>
      <w:r>
        <w:rPr>
          <w:rFonts w:ascii="Book Antiqua" w:eastAsia="Book Antiqua" w:hAnsi="Book Antiqua" w:cs="Book Antiqua"/>
        </w:rPr>
        <w:t xml:space="preserve">, Ricci AD, Brandi G. Atezolizumab in advanced hepatocellular carcinoma: good things come to those who wait. </w:t>
      </w:r>
      <w:r>
        <w:rPr>
          <w:rFonts w:ascii="Book Antiqua" w:eastAsia="Book Antiqua" w:hAnsi="Book Antiqua" w:cs="Book Antiqua"/>
          <w:i/>
          <w:iCs/>
        </w:rPr>
        <w:t>Immunotherapy</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637-644 [PMID: 33820447 DOI: 10.2217/imt-2021-0026]</w:t>
      </w:r>
    </w:p>
    <w:p w14:paraId="1766A3AF"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Rizzo A</w:t>
      </w:r>
      <w:r>
        <w:rPr>
          <w:rFonts w:ascii="Book Antiqua" w:eastAsia="Book Antiqua" w:hAnsi="Book Antiqua" w:cs="Book Antiqua"/>
        </w:rPr>
        <w:t xml:space="preserve">, </w:t>
      </w:r>
      <w:proofErr w:type="spellStart"/>
      <w:r>
        <w:rPr>
          <w:rFonts w:ascii="Book Antiqua" w:eastAsia="Book Antiqua" w:hAnsi="Book Antiqua" w:cs="Book Antiqua"/>
        </w:rPr>
        <w:t>Cusmai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Gadaleta-Caldarola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Palmiotti</w:t>
      </w:r>
      <w:proofErr w:type="spellEnd"/>
      <w:r>
        <w:rPr>
          <w:rFonts w:ascii="Book Antiqua" w:eastAsia="Book Antiqua" w:hAnsi="Book Antiqua" w:cs="Book Antiqua"/>
        </w:rPr>
        <w:t xml:space="preserve"> G. Which role for predictors of response to immune checkpoint inhibitors in hepatocellular carcinoma? </w:t>
      </w:r>
      <w:r>
        <w:rPr>
          <w:rFonts w:ascii="Book Antiqua" w:eastAsia="Book Antiqua" w:hAnsi="Book Antiqua" w:cs="Book Antiqua"/>
          <w:i/>
          <w:iCs/>
        </w:rPr>
        <w:t>Expert Rev Gastroenterol Hepatol</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333-339 [PMID: 35403533 DOI: 10.1080/17474124.2022.2064273]</w:t>
      </w:r>
    </w:p>
    <w:p w14:paraId="57A23535"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He B</w:t>
      </w:r>
      <w:r>
        <w:rPr>
          <w:rFonts w:ascii="Book Antiqua" w:eastAsia="Book Antiqua" w:hAnsi="Book Antiqua" w:cs="Book Antiqua"/>
        </w:rPr>
        <w:t xml:space="preserve">, Dai L, Zhang X, Chen D, Wu J, Feng X, Zhang Y,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Zhou L, Wu J, Zheng S. The HDAC Inhibitor </w:t>
      </w:r>
      <w:proofErr w:type="spellStart"/>
      <w:r>
        <w:rPr>
          <w:rFonts w:ascii="Book Antiqua" w:eastAsia="Book Antiqua" w:hAnsi="Book Antiqua" w:cs="Book Antiqua"/>
        </w:rPr>
        <w:t>Quisinostat</w:t>
      </w:r>
      <w:proofErr w:type="spellEnd"/>
      <w:r>
        <w:rPr>
          <w:rFonts w:ascii="Book Antiqua" w:eastAsia="Book Antiqua" w:hAnsi="Book Antiqua" w:cs="Book Antiqua"/>
        </w:rPr>
        <w:t xml:space="preserve"> (JNJ-26481585) </w:t>
      </w:r>
      <w:proofErr w:type="spellStart"/>
      <w:r>
        <w:rPr>
          <w:rFonts w:ascii="Book Antiqua" w:eastAsia="Book Antiqua" w:hAnsi="Book Antiqua" w:cs="Book Antiqua"/>
        </w:rPr>
        <w:t>Supresses</w:t>
      </w:r>
      <w:proofErr w:type="spellEnd"/>
      <w:r>
        <w:rPr>
          <w:rFonts w:ascii="Book Antiqua" w:eastAsia="Book Antiqua" w:hAnsi="Book Antiqua" w:cs="Book Antiqua"/>
        </w:rPr>
        <w:t xml:space="preserve"> Hepatocellular Carcinoma alone and Synergistically in Combination with Sorafenib by G0/G1 phase arrest and Apoptosis induction. </w:t>
      </w:r>
      <w:r>
        <w:rPr>
          <w:rFonts w:ascii="Book Antiqua" w:eastAsia="Book Antiqua" w:hAnsi="Book Antiqua" w:cs="Book Antiqua"/>
          <w:i/>
          <w:iCs/>
        </w:rPr>
        <w:t>Int J Biol Sci</w:t>
      </w:r>
      <w:r>
        <w:rPr>
          <w:rFonts w:ascii="Book Antiqua" w:eastAsia="Book Antiqua" w:hAnsi="Book Antiqua" w:cs="Book Antiqua"/>
        </w:rPr>
        <w:t xml:space="preserve"> 2018; </w:t>
      </w:r>
      <w:r>
        <w:rPr>
          <w:rFonts w:ascii="Book Antiqua" w:eastAsia="Book Antiqua" w:hAnsi="Book Antiqua" w:cs="Book Antiqua"/>
          <w:b/>
          <w:bCs/>
        </w:rPr>
        <w:t>14</w:t>
      </w:r>
      <w:r>
        <w:rPr>
          <w:rFonts w:ascii="Book Antiqua" w:eastAsia="Book Antiqua" w:hAnsi="Book Antiqua" w:cs="Book Antiqua"/>
        </w:rPr>
        <w:t>: 1845-1858 [PMID: 30443188 DOI: 10.7150/ijbs.27661]</w:t>
      </w:r>
    </w:p>
    <w:p w14:paraId="04E01AC8"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Ji H</w:t>
      </w:r>
      <w:r>
        <w:rPr>
          <w:rFonts w:ascii="Book Antiqua" w:eastAsia="Book Antiqua" w:hAnsi="Book Antiqua" w:cs="Book Antiqua"/>
        </w:rPr>
        <w:t xml:space="preserve">, Zhou Y, Zhuang X, Zhu Y, Wu Z, Lu Y, Li S, Zeng Y, Lu QR, </w:t>
      </w:r>
      <w:proofErr w:type="spellStart"/>
      <w:r>
        <w:rPr>
          <w:rFonts w:ascii="Book Antiqua" w:eastAsia="Book Antiqua" w:hAnsi="Book Antiqua" w:cs="Book Antiqua"/>
        </w:rPr>
        <w:t>Huo</w:t>
      </w:r>
      <w:proofErr w:type="spellEnd"/>
      <w:r>
        <w:rPr>
          <w:rFonts w:ascii="Book Antiqua" w:eastAsia="Book Antiqua" w:hAnsi="Book Antiqua" w:cs="Book Antiqua"/>
        </w:rPr>
        <w:t xml:space="preserve"> Y, Shi Y, Bu H. HDAC3 Deficiency Promotes Liver Cancer through a Defect in H3K9ac/H3K9me3 Transition. </w:t>
      </w:r>
      <w:r>
        <w:rPr>
          <w:rFonts w:ascii="Book Antiqua" w:eastAsia="Book Antiqua" w:hAnsi="Book Antiqua" w:cs="Book Antiqua"/>
          <w:i/>
          <w:iCs/>
        </w:rPr>
        <w:t>Cancer Res</w:t>
      </w:r>
      <w:r>
        <w:rPr>
          <w:rFonts w:ascii="Book Antiqua" w:eastAsia="Book Antiqua" w:hAnsi="Book Antiqua" w:cs="Book Antiqua"/>
        </w:rPr>
        <w:t xml:space="preserve"> 2019; </w:t>
      </w:r>
      <w:r>
        <w:rPr>
          <w:rFonts w:ascii="Book Antiqua" w:eastAsia="Book Antiqua" w:hAnsi="Book Antiqua" w:cs="Book Antiqua"/>
          <w:b/>
          <w:bCs/>
        </w:rPr>
        <w:t>79</w:t>
      </w:r>
      <w:r>
        <w:rPr>
          <w:rFonts w:ascii="Book Antiqua" w:eastAsia="Book Antiqua" w:hAnsi="Book Antiqua" w:cs="Book Antiqua"/>
        </w:rPr>
        <w:t>: 3676-3688 [PMID: 31097476 DOI: 10.1158/0008-5472.CAN-18-3767]</w:t>
      </w:r>
    </w:p>
    <w:p w14:paraId="24702D0B"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Dawson MA</w:t>
      </w:r>
      <w:r>
        <w:rPr>
          <w:rFonts w:ascii="Book Antiqua" w:eastAsia="Book Antiqua" w:hAnsi="Book Antiqua" w:cs="Book Antiqua"/>
        </w:rPr>
        <w:t xml:space="preserve">, </w:t>
      </w:r>
      <w:proofErr w:type="spellStart"/>
      <w:r>
        <w:rPr>
          <w:rFonts w:ascii="Book Antiqua" w:eastAsia="Book Antiqua" w:hAnsi="Book Antiqua" w:cs="Book Antiqua"/>
        </w:rPr>
        <w:t>Kouzarides</w:t>
      </w:r>
      <w:proofErr w:type="spellEnd"/>
      <w:r>
        <w:rPr>
          <w:rFonts w:ascii="Book Antiqua" w:eastAsia="Book Antiqua" w:hAnsi="Book Antiqua" w:cs="Book Antiqua"/>
        </w:rPr>
        <w:t xml:space="preserve"> T. Cancer epigenetics: from mechanism to therapy. </w:t>
      </w:r>
      <w:r>
        <w:rPr>
          <w:rFonts w:ascii="Book Antiqua" w:eastAsia="Book Antiqua" w:hAnsi="Book Antiqua" w:cs="Book Antiqua"/>
          <w:i/>
          <w:iCs/>
        </w:rPr>
        <w:t>Cell</w:t>
      </w:r>
      <w:r>
        <w:rPr>
          <w:rFonts w:ascii="Book Antiqua" w:eastAsia="Book Antiqua" w:hAnsi="Book Antiqua" w:cs="Book Antiqua"/>
        </w:rPr>
        <w:t xml:space="preserve"> 2012; </w:t>
      </w:r>
      <w:r>
        <w:rPr>
          <w:rFonts w:ascii="Book Antiqua" w:eastAsia="Book Antiqua" w:hAnsi="Book Antiqua" w:cs="Book Antiqua"/>
          <w:b/>
          <w:bCs/>
        </w:rPr>
        <w:t>150</w:t>
      </w:r>
      <w:r>
        <w:rPr>
          <w:rFonts w:ascii="Book Antiqua" w:eastAsia="Book Antiqua" w:hAnsi="Book Antiqua" w:cs="Book Antiqua"/>
        </w:rPr>
        <w:t>: 12-27 [PMID: 22770212 DOI: 10.1016/j.cell.2012.06.013]</w:t>
      </w:r>
    </w:p>
    <w:p w14:paraId="7E7CD649"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Hogg SJ</w:t>
      </w:r>
      <w:r>
        <w:rPr>
          <w:rFonts w:ascii="Book Antiqua" w:eastAsia="Book Antiqua" w:hAnsi="Book Antiqua" w:cs="Book Antiqua"/>
        </w:rPr>
        <w:t xml:space="preserve">, Beavis PA, Dawson MA, Johnstone RW. Targeting the epigenetic regulation of </w:t>
      </w:r>
      <w:proofErr w:type="spellStart"/>
      <w:r>
        <w:rPr>
          <w:rFonts w:ascii="Book Antiqua" w:eastAsia="Book Antiqua" w:hAnsi="Book Antiqua" w:cs="Book Antiqua"/>
        </w:rPr>
        <w:t>antitumour</w:t>
      </w:r>
      <w:proofErr w:type="spellEnd"/>
      <w:r>
        <w:rPr>
          <w:rFonts w:ascii="Book Antiqua" w:eastAsia="Book Antiqua" w:hAnsi="Book Antiqua" w:cs="Book Antiqua"/>
        </w:rPr>
        <w:t xml:space="preserve"> immunity. </w:t>
      </w:r>
      <w:r>
        <w:rPr>
          <w:rFonts w:ascii="Book Antiqua" w:eastAsia="Book Antiqua" w:hAnsi="Book Antiqua" w:cs="Book Antiqua"/>
          <w:i/>
          <w:iCs/>
        </w:rPr>
        <w:t xml:space="preserve">Nat Rev Drug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776-800 [PMID: 32929243 DOI: 10.1038/s41573-020-0077-5]</w:t>
      </w:r>
    </w:p>
    <w:p w14:paraId="16359FD0"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Chianese</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Santella</w:t>
      </w:r>
      <w:proofErr w:type="spellEnd"/>
      <w:r>
        <w:rPr>
          <w:rFonts w:ascii="Book Antiqua" w:eastAsia="Book Antiqua" w:hAnsi="Book Antiqua" w:cs="Book Antiqua"/>
        </w:rPr>
        <w:t xml:space="preserve"> B, Ambrosino A, </w:t>
      </w:r>
      <w:proofErr w:type="spellStart"/>
      <w:r>
        <w:rPr>
          <w:rFonts w:ascii="Book Antiqua" w:eastAsia="Book Antiqua" w:hAnsi="Book Antiqua" w:cs="Book Antiqua"/>
        </w:rPr>
        <w:t>Stelitano</w:t>
      </w:r>
      <w:proofErr w:type="spellEnd"/>
      <w:r>
        <w:rPr>
          <w:rFonts w:ascii="Book Antiqua" w:eastAsia="Book Antiqua" w:hAnsi="Book Antiqua" w:cs="Book Antiqua"/>
        </w:rPr>
        <w:t xml:space="preserve"> D, Rinaldi L, </w:t>
      </w:r>
      <w:proofErr w:type="spellStart"/>
      <w:r>
        <w:rPr>
          <w:rFonts w:ascii="Book Antiqua" w:eastAsia="Book Antiqua" w:hAnsi="Book Antiqua" w:cs="Book Antiqua"/>
        </w:rPr>
        <w:t>Galdiero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Zannella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Franci</w:t>
      </w:r>
      <w:proofErr w:type="spellEnd"/>
      <w:r>
        <w:rPr>
          <w:rFonts w:ascii="Book Antiqua" w:eastAsia="Book Antiqua" w:hAnsi="Book Antiqua" w:cs="Book Antiqua"/>
        </w:rPr>
        <w:t xml:space="preserve"> G. Oncolytic Viruses in Combination Therapeutic Approaches with Epigenetic Modulators: Past, Present, and Future Perspectives.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34199429 DOI: 10.3390/cancers13112761]</w:t>
      </w:r>
    </w:p>
    <w:p w14:paraId="2240BA9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Zhao P</w:t>
      </w:r>
      <w:r>
        <w:rPr>
          <w:rFonts w:ascii="Book Antiqua" w:eastAsia="Book Antiqua" w:hAnsi="Book Antiqua" w:cs="Book Antiqua"/>
        </w:rPr>
        <w:t xml:space="preserve">, Malik S, Xing S. Epigenetic Mechanisms Involved in HCV-Induced Hepatocellular Carcinoma (HCC).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677926 [PMID: 34336665 DOI: 10.3389/fonc.2021.677926]</w:t>
      </w:r>
    </w:p>
    <w:p w14:paraId="284400E3" w14:textId="77777777" w:rsidR="00783269" w:rsidRDefault="00000000">
      <w:pPr>
        <w:spacing w:line="360" w:lineRule="auto"/>
        <w:jc w:val="both"/>
        <w:rPr>
          <w:rFonts w:ascii="Book Antiqua" w:hAnsi="Book Antiqua"/>
        </w:rPr>
      </w:pPr>
      <w:r>
        <w:rPr>
          <w:rFonts w:ascii="Book Antiqua" w:eastAsia="Book Antiqua" w:hAnsi="Book Antiqua" w:cs="Book Antiqua"/>
        </w:rPr>
        <w:lastRenderedPageBreak/>
        <w:t xml:space="preserve">12 </w:t>
      </w:r>
      <w:proofErr w:type="spellStart"/>
      <w:r>
        <w:rPr>
          <w:rFonts w:ascii="Book Antiqua" w:eastAsia="Book Antiqua" w:hAnsi="Book Antiqua" w:cs="Book Antiqua"/>
          <w:b/>
          <w:bCs/>
        </w:rPr>
        <w:t>Shvedunova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Akhtar A. Modulation of cellular processes by histone and non-histone protein acetylation. </w:t>
      </w:r>
      <w:r>
        <w:rPr>
          <w:rFonts w:ascii="Book Antiqua" w:eastAsia="Book Antiqua" w:hAnsi="Book Antiqua" w:cs="Book Antiqua"/>
          <w:i/>
          <w:iCs/>
        </w:rPr>
        <w:t>Nat Rev Mol Cell Biol</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329-349 [PMID: 35042977 DOI: 10.1038/s41580-021-00441-y]</w:t>
      </w:r>
    </w:p>
    <w:p w14:paraId="53E2D4DD"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Shen Y</w:t>
      </w:r>
      <w:r>
        <w:rPr>
          <w:rFonts w:ascii="Book Antiqua" w:eastAsia="Book Antiqua" w:hAnsi="Book Antiqua" w:cs="Book Antiqua"/>
        </w:rPr>
        <w:t xml:space="preserve">, Wei W, Zhou DX. Histone Acetylation Enzymes Coordinate Metabolism and Gene Expression. </w:t>
      </w:r>
      <w:r>
        <w:rPr>
          <w:rFonts w:ascii="Book Antiqua" w:eastAsia="Book Antiqua" w:hAnsi="Book Antiqua" w:cs="Book Antiqua"/>
          <w:i/>
          <w:iCs/>
        </w:rPr>
        <w:t>Trends Plant Sci</w:t>
      </w:r>
      <w:r>
        <w:rPr>
          <w:rFonts w:ascii="Book Antiqua" w:eastAsia="Book Antiqua" w:hAnsi="Book Antiqua" w:cs="Book Antiqua"/>
        </w:rPr>
        <w:t xml:space="preserve"> 2015; </w:t>
      </w:r>
      <w:r>
        <w:rPr>
          <w:rFonts w:ascii="Book Antiqua" w:eastAsia="Book Antiqua" w:hAnsi="Book Antiqua" w:cs="Book Antiqua"/>
          <w:b/>
          <w:bCs/>
        </w:rPr>
        <w:t>20</w:t>
      </w:r>
      <w:r>
        <w:rPr>
          <w:rFonts w:ascii="Book Antiqua" w:eastAsia="Book Antiqua" w:hAnsi="Book Antiqua" w:cs="Book Antiqua"/>
        </w:rPr>
        <w:t>: 614-621 [PMID: 26440431 DOI: 10.1016/j.tplants.2015.07.005]</w:t>
      </w:r>
    </w:p>
    <w:p w14:paraId="400CF84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Eckschlager</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Plch</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Stiborova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Hrabeta</w:t>
      </w:r>
      <w:proofErr w:type="spellEnd"/>
      <w:r>
        <w:rPr>
          <w:rFonts w:ascii="Book Antiqua" w:eastAsia="Book Antiqua" w:hAnsi="Book Antiqua" w:cs="Book Antiqua"/>
        </w:rPr>
        <w:t xml:space="preserve"> J. Histone Deacetylase Inhibitors as Anticancer Drugs. </w:t>
      </w:r>
      <w:r>
        <w:rPr>
          <w:rFonts w:ascii="Book Antiqua" w:eastAsia="Book Antiqua" w:hAnsi="Book Antiqua" w:cs="Book Antiqua"/>
          <w:i/>
          <w:iCs/>
        </w:rPr>
        <w:t>Int J Mol Sci</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xml:space="preserve"> [PMID: 28671573 DOI: 10.3390/ijms18071414]</w:t>
      </w:r>
    </w:p>
    <w:p w14:paraId="4C9E8FE4"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Yu L</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R, Tian T, Zheng L, Tang L, Cai S, Ma Z, Yang T, Han B, Yang Q.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upregulates histone acetylation and activates endoplasmic reticulum stress to induce apoptosis in HepG2 liver cancer cells. </w:t>
      </w:r>
      <w:r>
        <w:rPr>
          <w:rFonts w:ascii="Book Antiqua" w:eastAsia="Book Antiqua" w:hAnsi="Book Antiqua" w:cs="Book Antiqua"/>
          <w:i/>
          <w:iCs/>
        </w:rPr>
        <w:t>Oncol Lett</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3537-3544 [PMID: 31516571 DOI: 10.3892/ol.2019.10705]</w:t>
      </w:r>
    </w:p>
    <w:p w14:paraId="7A030992"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Samata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Alexiadis</w:t>
      </w:r>
      <w:proofErr w:type="spellEnd"/>
      <w:r>
        <w:rPr>
          <w:rFonts w:ascii="Book Antiqua" w:eastAsia="Book Antiqua" w:hAnsi="Book Antiqua" w:cs="Book Antiqua"/>
        </w:rPr>
        <w:t xml:space="preserve"> A, Richard G, </w:t>
      </w:r>
      <w:proofErr w:type="spellStart"/>
      <w:r>
        <w:rPr>
          <w:rFonts w:ascii="Book Antiqua" w:eastAsia="Book Antiqua" w:hAnsi="Book Antiqua" w:cs="Book Antiqua"/>
        </w:rPr>
        <w:t>Georgiev</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Nuebler</w:t>
      </w:r>
      <w:proofErr w:type="spellEnd"/>
      <w:r>
        <w:rPr>
          <w:rFonts w:ascii="Book Antiqua" w:eastAsia="Book Antiqua" w:hAnsi="Book Antiqua" w:cs="Book Antiqua"/>
        </w:rPr>
        <w:t xml:space="preserve"> J, Kulkarni T, </w:t>
      </w:r>
      <w:proofErr w:type="spellStart"/>
      <w:r>
        <w:rPr>
          <w:rFonts w:ascii="Book Antiqua" w:eastAsia="Book Antiqua" w:hAnsi="Book Antiqua" w:cs="Book Antiqua"/>
        </w:rPr>
        <w:t>Renschler</w:t>
      </w:r>
      <w:proofErr w:type="spellEnd"/>
      <w:r>
        <w:rPr>
          <w:rFonts w:ascii="Book Antiqua" w:eastAsia="Book Antiqua" w:hAnsi="Book Antiqua" w:cs="Book Antiqua"/>
        </w:rPr>
        <w:t xml:space="preserve"> G, Basilicata MF, </w:t>
      </w:r>
      <w:proofErr w:type="spellStart"/>
      <w:r>
        <w:rPr>
          <w:rFonts w:ascii="Book Antiqua" w:eastAsia="Book Antiqua" w:hAnsi="Book Antiqua" w:cs="Book Antiqua"/>
        </w:rPr>
        <w:t>Zenk</w:t>
      </w:r>
      <w:proofErr w:type="spellEnd"/>
      <w:r>
        <w:rPr>
          <w:rFonts w:ascii="Book Antiqua" w:eastAsia="Book Antiqua" w:hAnsi="Book Antiqua" w:cs="Book Antiqua"/>
        </w:rPr>
        <w:t xml:space="preserve"> FL, </w:t>
      </w:r>
      <w:proofErr w:type="spellStart"/>
      <w:r>
        <w:rPr>
          <w:rFonts w:ascii="Book Antiqua" w:eastAsia="Book Antiqua" w:hAnsi="Book Antiqua" w:cs="Book Antiqua"/>
        </w:rPr>
        <w:t>Shvedunova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Semplicio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Mirny</w:t>
      </w:r>
      <w:proofErr w:type="spellEnd"/>
      <w:r>
        <w:rPr>
          <w:rFonts w:ascii="Book Antiqua" w:eastAsia="Book Antiqua" w:hAnsi="Book Antiqua" w:cs="Book Antiqua"/>
        </w:rPr>
        <w:t xml:space="preserve"> L, Iovino N, Akhtar A. Intergenerationally Maintained Histone H4 Lysine 16 Acetylation Is Instructive for Future Gene Activation. </w:t>
      </w:r>
      <w:r>
        <w:rPr>
          <w:rFonts w:ascii="Book Antiqua" w:eastAsia="Book Antiqua" w:hAnsi="Book Antiqua" w:cs="Book Antiqua"/>
          <w:i/>
          <w:iCs/>
        </w:rPr>
        <w:t>Cell</w:t>
      </w:r>
      <w:r>
        <w:rPr>
          <w:rFonts w:ascii="Book Antiqua" w:eastAsia="Book Antiqua" w:hAnsi="Book Antiqua" w:cs="Book Antiqua"/>
        </w:rPr>
        <w:t xml:space="preserve"> 2020; </w:t>
      </w:r>
      <w:r>
        <w:rPr>
          <w:rFonts w:ascii="Book Antiqua" w:eastAsia="Book Antiqua" w:hAnsi="Book Antiqua" w:cs="Book Antiqua"/>
          <w:b/>
          <w:bCs/>
        </w:rPr>
        <w:t>182</w:t>
      </w:r>
      <w:r>
        <w:rPr>
          <w:rFonts w:ascii="Book Antiqua" w:eastAsia="Book Antiqua" w:hAnsi="Book Antiqua" w:cs="Book Antiqua"/>
        </w:rPr>
        <w:t>: 127-144.e23 [PMID: 32502394 DOI: 10.1016/j.cell.2020.05.026]</w:t>
      </w:r>
    </w:p>
    <w:p w14:paraId="61932DE2"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17 </w:t>
      </w:r>
      <w:bookmarkStart w:id="14" w:name="_Hlk142479629"/>
      <w:proofErr w:type="spellStart"/>
      <w:r>
        <w:rPr>
          <w:rFonts w:ascii="Book Antiqua" w:eastAsia="Book Antiqua" w:hAnsi="Book Antiqua" w:cs="Book Antiqua"/>
          <w:b/>
          <w:bCs/>
        </w:rPr>
        <w:t>Füllgrabe</w:t>
      </w:r>
      <w:bookmarkEnd w:id="14"/>
      <w:proofErr w:type="spellEnd"/>
      <w:r>
        <w:rPr>
          <w:rFonts w:ascii="Book Antiqua" w:eastAsia="Book Antiqua" w:hAnsi="Book Antiqua" w:cs="Book Antiqua"/>
          <w:b/>
          <w:bCs/>
        </w:rPr>
        <w:t xml:space="preserve"> J</w:t>
      </w:r>
      <w:r>
        <w:rPr>
          <w:rFonts w:ascii="Book Antiqua" w:eastAsia="Book Antiqua" w:hAnsi="Book Antiqua" w:cs="Book Antiqua"/>
        </w:rPr>
        <w:t xml:space="preserve">, Lynch-Day MA, </w:t>
      </w:r>
      <w:proofErr w:type="spellStart"/>
      <w:r>
        <w:rPr>
          <w:rFonts w:ascii="Book Antiqua" w:eastAsia="Book Antiqua" w:hAnsi="Book Antiqua" w:cs="Book Antiqua"/>
        </w:rPr>
        <w:t>Heldring</w:t>
      </w:r>
      <w:proofErr w:type="spellEnd"/>
      <w:r>
        <w:rPr>
          <w:rFonts w:ascii="Book Antiqua" w:eastAsia="Book Antiqua" w:hAnsi="Book Antiqua" w:cs="Book Antiqua"/>
        </w:rPr>
        <w:t xml:space="preserve"> N, Li W, </w:t>
      </w:r>
      <w:proofErr w:type="spellStart"/>
      <w:r>
        <w:rPr>
          <w:rFonts w:ascii="Book Antiqua" w:eastAsia="Book Antiqua" w:hAnsi="Book Antiqua" w:cs="Book Antiqua"/>
        </w:rPr>
        <w:t>Struijk</w:t>
      </w:r>
      <w:proofErr w:type="spellEnd"/>
      <w:r>
        <w:rPr>
          <w:rFonts w:ascii="Book Antiqua" w:eastAsia="Book Antiqua" w:hAnsi="Book Antiqua" w:cs="Book Antiqua"/>
        </w:rPr>
        <w:t xml:space="preserve"> RB, Ma Q, Hermanson O, Rosenfeld MG, </w:t>
      </w:r>
      <w:proofErr w:type="spellStart"/>
      <w:r>
        <w:rPr>
          <w:rFonts w:ascii="Book Antiqua" w:eastAsia="Book Antiqua" w:hAnsi="Book Antiqua" w:cs="Book Antiqua"/>
        </w:rPr>
        <w:t>Klionsky</w:t>
      </w:r>
      <w:proofErr w:type="spellEnd"/>
      <w:r>
        <w:rPr>
          <w:rFonts w:ascii="Book Antiqua" w:eastAsia="Book Antiqua" w:hAnsi="Book Antiqua" w:cs="Book Antiqua"/>
        </w:rPr>
        <w:t xml:space="preserve"> DJ, Joseph B. The histone H4 lysine 16 acetyltransferase </w:t>
      </w:r>
      <w:proofErr w:type="spellStart"/>
      <w:r>
        <w:rPr>
          <w:rFonts w:ascii="Book Antiqua" w:eastAsia="Book Antiqua" w:hAnsi="Book Antiqua" w:cs="Book Antiqua"/>
        </w:rPr>
        <w:t>hMOF</w:t>
      </w:r>
      <w:proofErr w:type="spellEnd"/>
      <w:r>
        <w:rPr>
          <w:rFonts w:ascii="Book Antiqua" w:eastAsia="Book Antiqua" w:hAnsi="Book Antiqua" w:cs="Book Antiqua"/>
        </w:rPr>
        <w:t xml:space="preserve"> regulates the outcome of autophagy. </w:t>
      </w:r>
      <w:r>
        <w:rPr>
          <w:rFonts w:ascii="Book Antiqua" w:eastAsia="Book Antiqua" w:hAnsi="Book Antiqua" w:cs="Book Antiqua"/>
          <w:i/>
          <w:iCs/>
        </w:rPr>
        <w:t>Nature</w:t>
      </w:r>
      <w:r>
        <w:rPr>
          <w:rFonts w:ascii="Book Antiqua" w:eastAsia="Book Antiqua" w:hAnsi="Book Antiqua" w:cs="Book Antiqua"/>
        </w:rPr>
        <w:t xml:space="preserve"> 2013; </w:t>
      </w:r>
      <w:r>
        <w:rPr>
          <w:rFonts w:ascii="Book Antiqua" w:eastAsia="Book Antiqua" w:hAnsi="Book Antiqua" w:cs="Book Antiqua"/>
          <w:b/>
          <w:bCs/>
        </w:rPr>
        <w:t>500</w:t>
      </w:r>
      <w:r>
        <w:rPr>
          <w:rFonts w:ascii="Book Antiqua" w:eastAsia="Book Antiqua" w:hAnsi="Book Antiqua" w:cs="Book Antiqua"/>
        </w:rPr>
        <w:t>: 468-471 [PMID: 23863932 DOI: 10.1038/nature12313]</w:t>
      </w:r>
    </w:p>
    <w:p w14:paraId="66541D14"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Islam F</w:t>
      </w:r>
      <w:r>
        <w:rPr>
          <w:rFonts w:ascii="Book Antiqua" w:eastAsia="Book Antiqua" w:hAnsi="Book Antiqua" w:cs="Book Antiqua"/>
        </w:rPr>
        <w:t xml:space="preserve">, Gopalan V, Lam AK. RETREG1 (FAM134B): A new player in human diseases: 15 years after the discovery in cancer. </w:t>
      </w:r>
      <w:r>
        <w:rPr>
          <w:rFonts w:ascii="Book Antiqua" w:eastAsia="Book Antiqua" w:hAnsi="Book Antiqua" w:cs="Book Antiqua"/>
          <w:i/>
          <w:iCs/>
        </w:rPr>
        <w:t xml:space="preserve">J Cell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2018; </w:t>
      </w:r>
      <w:r>
        <w:rPr>
          <w:rFonts w:ascii="Book Antiqua" w:eastAsia="Book Antiqua" w:hAnsi="Book Antiqua" w:cs="Book Antiqua"/>
          <w:b/>
          <w:bCs/>
        </w:rPr>
        <w:t>233</w:t>
      </w:r>
      <w:r>
        <w:rPr>
          <w:rFonts w:ascii="Book Antiqua" w:eastAsia="Book Antiqua" w:hAnsi="Book Antiqua" w:cs="Book Antiqua"/>
        </w:rPr>
        <w:t>: 4479-4489 [PMID: 29226326 DOI: 10.1002/jcp.26384]</w:t>
      </w:r>
    </w:p>
    <w:p w14:paraId="43EC6A46"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Kasem</w:t>
      </w:r>
      <w:proofErr w:type="spellEnd"/>
      <w:r>
        <w:rPr>
          <w:rFonts w:ascii="Book Antiqua" w:eastAsia="Book Antiqua" w:hAnsi="Book Antiqua" w:cs="Book Antiqua"/>
          <w:b/>
          <w:bCs/>
        </w:rPr>
        <w:t xml:space="preserve"> K</w:t>
      </w:r>
      <w:r>
        <w:rPr>
          <w:rFonts w:ascii="Book Antiqua" w:eastAsia="Book Antiqua" w:hAnsi="Book Antiqua" w:cs="Book Antiqua"/>
        </w:rPr>
        <w:t xml:space="preserve">, Sullivan E, Gopalan V, </w:t>
      </w:r>
      <w:proofErr w:type="spellStart"/>
      <w:r>
        <w:rPr>
          <w:rFonts w:ascii="Book Antiqua" w:eastAsia="Book Antiqua" w:hAnsi="Book Antiqua" w:cs="Book Antiqua"/>
        </w:rPr>
        <w:t>Salajegheh</w:t>
      </w:r>
      <w:proofErr w:type="spellEnd"/>
      <w:r>
        <w:rPr>
          <w:rFonts w:ascii="Book Antiqua" w:eastAsia="Book Antiqua" w:hAnsi="Book Antiqua" w:cs="Book Antiqua"/>
        </w:rPr>
        <w:t xml:space="preserve"> A, Smith RA, Lam AK. JK1 (FAM134B) represses cell migration in colon cancer: a functional study of a novel gene. </w:t>
      </w:r>
      <w:r>
        <w:rPr>
          <w:rFonts w:ascii="Book Antiqua" w:eastAsia="Book Antiqua" w:hAnsi="Book Antiqua" w:cs="Book Antiqua"/>
          <w:i/>
          <w:iCs/>
        </w:rPr>
        <w:t xml:space="preserve">Exp Mol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2014; </w:t>
      </w:r>
      <w:r>
        <w:rPr>
          <w:rFonts w:ascii="Book Antiqua" w:eastAsia="Book Antiqua" w:hAnsi="Book Antiqua" w:cs="Book Antiqua"/>
          <w:b/>
          <w:bCs/>
        </w:rPr>
        <w:t>97</w:t>
      </w:r>
      <w:r>
        <w:rPr>
          <w:rFonts w:ascii="Book Antiqua" w:eastAsia="Book Antiqua" w:hAnsi="Book Antiqua" w:cs="Book Antiqua"/>
        </w:rPr>
        <w:t>: 99-104 [PMID: 24927874 DOI: 10.1016/j.yexmp.2014.06.002]</w:t>
      </w:r>
    </w:p>
    <w:p w14:paraId="5FB5C962"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Lee KT</w:t>
      </w:r>
      <w:r>
        <w:rPr>
          <w:rFonts w:ascii="Book Antiqua" w:eastAsia="Book Antiqua" w:hAnsi="Book Antiqua" w:cs="Book Antiqua"/>
        </w:rPr>
        <w:t xml:space="preserve">, Islam F, </w:t>
      </w:r>
      <w:proofErr w:type="spellStart"/>
      <w:r>
        <w:rPr>
          <w:rFonts w:ascii="Book Antiqua" w:eastAsia="Book Antiqua" w:hAnsi="Book Antiqua" w:cs="Book Antiqua"/>
        </w:rPr>
        <w:t>Vider</w:t>
      </w:r>
      <w:proofErr w:type="spellEnd"/>
      <w:r>
        <w:rPr>
          <w:rFonts w:ascii="Book Antiqua" w:eastAsia="Book Antiqua" w:hAnsi="Book Antiqua" w:cs="Book Antiqua"/>
        </w:rPr>
        <w:t xml:space="preserve"> J, Martin J, </w:t>
      </w:r>
      <w:proofErr w:type="spellStart"/>
      <w:r>
        <w:rPr>
          <w:rFonts w:ascii="Book Antiqua" w:eastAsia="Book Antiqua" w:hAnsi="Book Antiqua" w:cs="Book Antiqua"/>
        </w:rPr>
        <w:t>Chruścik</w:t>
      </w:r>
      <w:proofErr w:type="spellEnd"/>
      <w:r>
        <w:rPr>
          <w:rFonts w:ascii="Book Antiqua" w:eastAsia="Book Antiqua" w:hAnsi="Book Antiqua" w:cs="Book Antiqua"/>
        </w:rPr>
        <w:t xml:space="preserve"> A, Lu CT, Gopalan V, Lam AK. Overexpression of family with sequence similarity 134, member B (FAM134B) in colon </w:t>
      </w:r>
      <w:r>
        <w:rPr>
          <w:rFonts w:ascii="Book Antiqua" w:eastAsia="Book Antiqua" w:hAnsi="Book Antiqua" w:cs="Book Antiqua"/>
        </w:rPr>
        <w:lastRenderedPageBreak/>
        <w:t xml:space="preserve">cancers and its tumor suppressive properties in vitro. </w:t>
      </w:r>
      <w:r>
        <w:rPr>
          <w:rFonts w:ascii="Book Antiqua" w:eastAsia="Book Antiqua" w:hAnsi="Book Antiqua" w:cs="Book Antiqua"/>
          <w:i/>
          <w:iCs/>
        </w:rPr>
        <w:t xml:space="preserve">Cancer Biol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954-962 [PMID: 32857678 DOI: 10.1080/15384047.2020.1810535]</w:t>
      </w:r>
    </w:p>
    <w:p w14:paraId="5BFB9927"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Islam F</w:t>
      </w:r>
      <w:r>
        <w:rPr>
          <w:rFonts w:ascii="Book Antiqua" w:eastAsia="Book Antiqua" w:hAnsi="Book Antiqua" w:cs="Book Antiqua"/>
        </w:rPr>
        <w:t xml:space="preserve">, </w:t>
      </w:r>
      <w:proofErr w:type="spellStart"/>
      <w:r>
        <w:rPr>
          <w:rFonts w:ascii="Book Antiqua" w:eastAsia="Book Antiqua" w:hAnsi="Book Antiqua" w:cs="Book Antiqua"/>
        </w:rPr>
        <w:t>Chaousis</w:t>
      </w:r>
      <w:proofErr w:type="spellEnd"/>
      <w:r>
        <w:rPr>
          <w:rFonts w:ascii="Book Antiqua" w:eastAsia="Book Antiqua" w:hAnsi="Book Antiqua" w:cs="Book Antiqua"/>
        </w:rPr>
        <w:t xml:space="preserve"> S, Wahab R, Gopalan V, Lam AK. Protein interactions of FAM134B with EB1 and APC/beta-catenin </w:t>
      </w:r>
      <w:r>
        <w:rPr>
          <w:rFonts w:ascii="Book Antiqua" w:eastAsia="Book Antiqua" w:hAnsi="Book Antiqua" w:cs="Book Antiqua"/>
          <w:i/>
          <w:iCs/>
        </w:rPr>
        <w:t>in vitro</w:t>
      </w:r>
      <w:r>
        <w:rPr>
          <w:rFonts w:ascii="Book Antiqua" w:eastAsia="Book Antiqua" w:hAnsi="Book Antiqua" w:cs="Book Antiqua"/>
        </w:rPr>
        <w:t xml:space="preserve"> in colon carcinoma. </w:t>
      </w:r>
      <w:r>
        <w:rPr>
          <w:rFonts w:ascii="Book Antiqua" w:eastAsia="Book Antiqua" w:hAnsi="Book Antiqua" w:cs="Book Antiqua"/>
          <w:i/>
          <w:iCs/>
        </w:rPr>
        <w:t xml:space="preserve">Mol </w:t>
      </w:r>
      <w:proofErr w:type="spellStart"/>
      <w:r>
        <w:rPr>
          <w:rFonts w:ascii="Book Antiqua" w:eastAsia="Book Antiqua" w:hAnsi="Book Antiqua" w:cs="Book Antiqua"/>
          <w:i/>
          <w:iCs/>
        </w:rPr>
        <w:t>Carcinog</w:t>
      </w:r>
      <w:proofErr w:type="spellEnd"/>
      <w:r>
        <w:rPr>
          <w:rFonts w:ascii="Book Antiqua" w:eastAsia="Book Antiqua" w:hAnsi="Book Antiqua" w:cs="Book Antiqua"/>
        </w:rPr>
        <w:t xml:space="preserve"> 2018; </w:t>
      </w:r>
      <w:r>
        <w:rPr>
          <w:rFonts w:ascii="Book Antiqua" w:eastAsia="Book Antiqua" w:hAnsi="Book Antiqua" w:cs="Book Antiqua"/>
          <w:b/>
          <w:bCs/>
        </w:rPr>
        <w:t>57</w:t>
      </w:r>
      <w:r>
        <w:rPr>
          <w:rFonts w:ascii="Book Antiqua" w:eastAsia="Book Antiqua" w:hAnsi="Book Antiqua" w:cs="Book Antiqua"/>
        </w:rPr>
        <w:t>: 1480-1491 [PMID: 29964340 DOI: 10.1002/mc.22871]</w:t>
      </w:r>
    </w:p>
    <w:p w14:paraId="5E2F643A"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Jiang X</w:t>
      </w:r>
      <w:r>
        <w:rPr>
          <w:rFonts w:ascii="Book Antiqua" w:eastAsia="Book Antiqua" w:hAnsi="Book Antiqua" w:cs="Book Antiqua"/>
        </w:rPr>
        <w:t xml:space="preserve">, Wang X, Ding X, Du M, Li B, Weng X, Zhang J, Li L, Tian R, Zhu Q, Chen S, Wang L, Liu W, Fang L, </w:t>
      </w:r>
      <w:proofErr w:type="spellStart"/>
      <w:r>
        <w:rPr>
          <w:rFonts w:ascii="Book Antiqua" w:eastAsia="Book Antiqua" w:hAnsi="Book Antiqua" w:cs="Book Antiqua"/>
        </w:rPr>
        <w:t>Neculai</w:t>
      </w:r>
      <w:proofErr w:type="spellEnd"/>
      <w:r>
        <w:rPr>
          <w:rFonts w:ascii="Book Antiqua" w:eastAsia="Book Antiqua" w:hAnsi="Book Antiqua" w:cs="Book Antiqua"/>
        </w:rPr>
        <w:t xml:space="preserve"> D, Sun Q. FAM134B oligomerization drives endoplasmic reticulum membrane scission for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w:t>
      </w:r>
      <w:r>
        <w:rPr>
          <w:rFonts w:ascii="Book Antiqua" w:eastAsia="Book Antiqua" w:hAnsi="Book Antiqua" w:cs="Book Antiqua"/>
          <w:i/>
          <w:iCs/>
        </w:rPr>
        <w:t>EMBO J</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e102608 [PMID: 31930741 DOI: 10.15252/embj.2019102608]</w:t>
      </w:r>
    </w:p>
    <w:p w14:paraId="5B24F6F6"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Zhu L</w:t>
      </w:r>
      <w:r>
        <w:rPr>
          <w:rFonts w:ascii="Book Antiqua" w:eastAsia="Book Antiqua" w:hAnsi="Book Antiqua" w:cs="Book Antiqua"/>
        </w:rPr>
        <w:t xml:space="preserve">, Wang X, Wang Y. Roles of FAM134B in diseases from the perspectives of organelle membrane morphogenesis and cellular homeostasis. </w:t>
      </w:r>
      <w:r>
        <w:rPr>
          <w:rFonts w:ascii="Book Antiqua" w:eastAsia="Book Antiqua" w:hAnsi="Book Antiqua" w:cs="Book Antiqua"/>
          <w:i/>
          <w:iCs/>
        </w:rPr>
        <w:t xml:space="preserve">J Cell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2021; </w:t>
      </w:r>
      <w:r>
        <w:rPr>
          <w:rFonts w:ascii="Book Antiqua" w:eastAsia="Book Antiqua" w:hAnsi="Book Antiqua" w:cs="Book Antiqua"/>
          <w:b/>
          <w:bCs/>
        </w:rPr>
        <w:t>236</w:t>
      </w:r>
      <w:r>
        <w:rPr>
          <w:rFonts w:ascii="Book Antiqua" w:eastAsia="Book Antiqua" w:hAnsi="Book Antiqua" w:cs="Book Antiqua"/>
        </w:rPr>
        <w:t>: 7242-7255 [PMID: 33843059 DOI: 10.1002/jcp.30377]</w:t>
      </w:r>
    </w:p>
    <w:p w14:paraId="342318C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Chen W</w:t>
      </w:r>
      <w:r>
        <w:rPr>
          <w:rFonts w:ascii="Book Antiqua" w:eastAsia="Book Antiqua" w:hAnsi="Book Antiqua" w:cs="Book Antiqua"/>
        </w:rPr>
        <w:t>, Ouyang X, Chen L, Li L.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regulates ER-mitochondria interaction through MAMs. </w:t>
      </w:r>
      <w:r>
        <w:rPr>
          <w:rFonts w:ascii="Book Antiqua" w:eastAsia="Book Antiqua" w:hAnsi="Book Antiqua" w:cs="Book Antiqua"/>
          <w:i/>
          <w:iCs/>
        </w:rPr>
        <w:t xml:space="preserve">Acta </w:t>
      </w:r>
      <w:proofErr w:type="spellStart"/>
      <w:r>
        <w:rPr>
          <w:rFonts w:ascii="Book Antiqua" w:eastAsia="Book Antiqua" w:hAnsi="Book Antiqua" w:cs="Book Antiqua"/>
          <w:i/>
          <w:iCs/>
        </w:rPr>
        <w:t>Biochim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Sin (Shanghai)</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412-414 [PMID: 35130624 DOI: 10.3724/abbs.2021020]</w:t>
      </w:r>
    </w:p>
    <w:p w14:paraId="417B5DB8"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Bao FX</w:t>
      </w:r>
      <w:r>
        <w:rPr>
          <w:rFonts w:ascii="Book Antiqua" w:eastAsia="Book Antiqua" w:hAnsi="Book Antiqua" w:cs="Book Antiqua"/>
        </w:rPr>
        <w:t xml:space="preserve">, Shi HY, Long Q, Yang L, Wu Y, Ying ZF, Qin DJ, Zhang J, Guo YP, Li HM, Liu XG. Mitochondrial Membrane Potential-dependent Endoplasmic Reticulum Fragmentation is an Important Step in </w:t>
      </w:r>
      <w:proofErr w:type="spellStart"/>
      <w:r>
        <w:rPr>
          <w:rFonts w:ascii="Book Antiqua" w:eastAsia="Book Antiqua" w:hAnsi="Book Antiqua" w:cs="Book Antiqua"/>
        </w:rPr>
        <w:t>Neuritic</w:t>
      </w:r>
      <w:proofErr w:type="spellEnd"/>
      <w:r>
        <w:rPr>
          <w:rFonts w:ascii="Book Antiqua" w:eastAsia="Book Antiqua" w:hAnsi="Book Antiqua" w:cs="Book Antiqua"/>
        </w:rPr>
        <w:t xml:space="preserve"> Degeneration. </w:t>
      </w:r>
      <w:r>
        <w:rPr>
          <w:rFonts w:ascii="Book Antiqua" w:eastAsia="Book Antiqua" w:hAnsi="Book Antiqua" w:cs="Book Antiqua"/>
          <w:i/>
          <w:iCs/>
        </w:rPr>
        <w:t xml:space="preserve">CNS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648-660 [PMID: 27080255 DOI: 10.1111/cns.12547]</w:t>
      </w:r>
    </w:p>
    <w:p w14:paraId="34C72F3D"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Missiroli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Patergnani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Caroccia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Pedriali</w:t>
      </w:r>
      <w:proofErr w:type="spellEnd"/>
      <w:r>
        <w:rPr>
          <w:rFonts w:ascii="Book Antiqua" w:eastAsia="Book Antiqua" w:hAnsi="Book Antiqua" w:cs="Book Antiqua"/>
        </w:rPr>
        <w:t xml:space="preserve"> G, Perrone M, </w:t>
      </w:r>
      <w:proofErr w:type="spellStart"/>
      <w:r>
        <w:rPr>
          <w:rFonts w:ascii="Book Antiqua" w:eastAsia="Book Antiqua" w:hAnsi="Book Antiqua" w:cs="Book Antiqua"/>
        </w:rPr>
        <w:t>Previati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Wieckowski</w:t>
      </w:r>
      <w:proofErr w:type="spellEnd"/>
      <w:r>
        <w:rPr>
          <w:rFonts w:ascii="Book Antiqua" w:eastAsia="Book Antiqua" w:hAnsi="Book Antiqua" w:cs="Book Antiqua"/>
        </w:rPr>
        <w:t xml:space="preserve"> MR, Giorgi C. Mitochondria-associated membranes (MAMs) and inflammation. </w:t>
      </w:r>
      <w:r>
        <w:rPr>
          <w:rFonts w:ascii="Book Antiqua" w:eastAsia="Book Antiqua" w:hAnsi="Book Antiqua" w:cs="Book Antiqua"/>
          <w:i/>
          <w:iCs/>
        </w:rPr>
        <w:t>Cell Death Dis</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329 [PMID: 29491386 DOI: 10.1038/s41419-017-0027-2]</w:t>
      </w:r>
    </w:p>
    <w:p w14:paraId="586C175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Sterea</w:t>
      </w:r>
      <w:proofErr w:type="spellEnd"/>
      <w:r>
        <w:rPr>
          <w:rFonts w:ascii="Book Antiqua" w:eastAsia="Book Antiqua" w:hAnsi="Book Antiqua" w:cs="Book Antiqua"/>
          <w:b/>
          <w:bCs/>
        </w:rPr>
        <w:t xml:space="preserve"> AM</w:t>
      </w:r>
      <w:r>
        <w:rPr>
          <w:rFonts w:ascii="Book Antiqua" w:eastAsia="Book Antiqua" w:hAnsi="Book Antiqua" w:cs="Book Antiqua"/>
        </w:rPr>
        <w:t xml:space="preserve">, El </w:t>
      </w:r>
      <w:proofErr w:type="spellStart"/>
      <w:r>
        <w:rPr>
          <w:rFonts w:ascii="Book Antiqua" w:eastAsia="Book Antiqua" w:hAnsi="Book Antiqua" w:cs="Book Antiqua"/>
        </w:rPr>
        <w:t>Hiani</w:t>
      </w:r>
      <w:proofErr w:type="spellEnd"/>
      <w:r>
        <w:rPr>
          <w:rFonts w:ascii="Book Antiqua" w:eastAsia="Book Antiqua" w:hAnsi="Book Antiqua" w:cs="Book Antiqua"/>
        </w:rPr>
        <w:t xml:space="preserve"> Y. The Role of Mitochondrial Calcium Signaling in the Pathophysiology of Cancer Cells. </w:t>
      </w:r>
      <w:r>
        <w:rPr>
          <w:rFonts w:ascii="Book Antiqua" w:eastAsia="Book Antiqua" w:hAnsi="Book Antiqua" w:cs="Book Antiqua"/>
          <w:i/>
          <w:iCs/>
        </w:rPr>
        <w:t>Adv Exp Med Biol</w:t>
      </w:r>
      <w:r>
        <w:rPr>
          <w:rFonts w:ascii="Book Antiqua" w:eastAsia="Book Antiqua" w:hAnsi="Book Antiqua" w:cs="Book Antiqua"/>
        </w:rPr>
        <w:t xml:space="preserve"> 2020; </w:t>
      </w:r>
      <w:r>
        <w:rPr>
          <w:rFonts w:ascii="Book Antiqua" w:eastAsia="Book Antiqua" w:hAnsi="Book Antiqua" w:cs="Book Antiqua"/>
          <w:b/>
          <w:bCs/>
        </w:rPr>
        <w:t>1131</w:t>
      </w:r>
      <w:r>
        <w:rPr>
          <w:rFonts w:ascii="Book Antiqua" w:eastAsia="Book Antiqua" w:hAnsi="Book Antiqua" w:cs="Book Antiqua"/>
        </w:rPr>
        <w:t>: 747-770 [PMID: 31646533 DOI: 10.1007/978-3-030-12457-1_30]</w:t>
      </w:r>
    </w:p>
    <w:p w14:paraId="45C953A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Liang C</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RJ, Wang JL, Zhang YW, Zhang JY, Yang Q, Han B. Roles of C/EBP-homologous protein and histone H3 lysine 4 methylation in arsenic-induced mitochondrial apoptosis in hepatocytes. </w:t>
      </w:r>
      <w:proofErr w:type="spellStart"/>
      <w:r>
        <w:rPr>
          <w:rFonts w:ascii="Book Antiqua" w:eastAsia="Book Antiqua" w:hAnsi="Book Antiqua" w:cs="Book Antiqua"/>
          <w:i/>
          <w:iCs/>
        </w:rPr>
        <w:t>Toxicol</w:t>
      </w:r>
      <w:proofErr w:type="spellEnd"/>
      <w:r>
        <w:rPr>
          <w:rFonts w:ascii="Book Antiqua" w:eastAsia="Book Antiqua" w:hAnsi="Book Antiqua" w:cs="Book Antiqua"/>
          <w:i/>
          <w:iCs/>
        </w:rPr>
        <w:t xml:space="preserve"> Ind Health</w:t>
      </w:r>
      <w:r>
        <w:rPr>
          <w:rFonts w:ascii="Book Antiqua" w:eastAsia="Book Antiqua" w:hAnsi="Book Antiqua" w:cs="Book Antiqua"/>
        </w:rPr>
        <w:t xml:space="preserve"> 2022; </w:t>
      </w:r>
      <w:r>
        <w:rPr>
          <w:rFonts w:ascii="Book Antiqua" w:eastAsia="Book Antiqua" w:hAnsi="Book Antiqua" w:cs="Book Antiqua"/>
          <w:b/>
          <w:bCs/>
        </w:rPr>
        <w:t>38</w:t>
      </w:r>
      <w:r>
        <w:rPr>
          <w:rFonts w:ascii="Book Antiqua" w:eastAsia="Book Antiqua" w:hAnsi="Book Antiqua" w:cs="Book Antiqua"/>
        </w:rPr>
        <w:t>: 745-756 [PMID: 36120900 DOI: 10.1177/07482337221127148]</w:t>
      </w:r>
    </w:p>
    <w:p w14:paraId="579C0E94" w14:textId="77777777" w:rsidR="00783269" w:rsidRDefault="00000000">
      <w:pPr>
        <w:spacing w:line="360" w:lineRule="auto"/>
        <w:jc w:val="both"/>
        <w:rPr>
          <w:rFonts w:ascii="Book Antiqua" w:hAnsi="Book Antiqua"/>
        </w:rPr>
      </w:pPr>
      <w:r>
        <w:rPr>
          <w:rFonts w:ascii="Book Antiqua" w:eastAsia="Book Antiqua" w:hAnsi="Book Antiqua" w:cs="Book Antiqua"/>
        </w:rPr>
        <w:lastRenderedPageBreak/>
        <w:t xml:space="preserve">29 </w:t>
      </w:r>
      <w:r>
        <w:rPr>
          <w:rFonts w:ascii="Book Antiqua" w:eastAsia="Book Antiqua" w:hAnsi="Book Antiqua" w:cs="Book Antiqua"/>
          <w:b/>
          <w:bCs/>
        </w:rPr>
        <w:t>Denton D</w:t>
      </w:r>
      <w:r>
        <w:rPr>
          <w:rFonts w:ascii="Book Antiqua" w:eastAsia="Book Antiqua" w:hAnsi="Book Antiqua" w:cs="Book Antiqua"/>
        </w:rPr>
        <w:t xml:space="preserve">, Kumar S. Autophagy-dependent cell death. </w:t>
      </w:r>
      <w:r>
        <w:rPr>
          <w:rFonts w:ascii="Book Antiqua" w:eastAsia="Book Antiqua" w:hAnsi="Book Antiqua" w:cs="Book Antiqua"/>
          <w:i/>
          <w:iCs/>
        </w:rPr>
        <w:t>Cell Death Differ</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605-616 [PMID: 30568239 DOI: 10.1038/s41418-018-0252-y]</w:t>
      </w:r>
    </w:p>
    <w:p w14:paraId="18E831D7"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Watanabe H</w:t>
      </w:r>
      <w:r>
        <w:rPr>
          <w:rFonts w:ascii="Book Antiqua" w:eastAsia="Book Antiqua" w:hAnsi="Book Antiqua" w:cs="Book Antiqua"/>
        </w:rPr>
        <w:t xml:space="preserve">, Carmi P, Hogan V, Raz T, </w:t>
      </w:r>
      <w:proofErr w:type="spellStart"/>
      <w:r>
        <w:rPr>
          <w:rFonts w:ascii="Book Antiqua" w:eastAsia="Book Antiqua" w:hAnsi="Book Antiqua" w:cs="Book Antiqua"/>
        </w:rPr>
        <w:t>Silletti</w:t>
      </w:r>
      <w:proofErr w:type="spellEnd"/>
      <w:r>
        <w:rPr>
          <w:rFonts w:ascii="Book Antiqua" w:eastAsia="Book Antiqua" w:hAnsi="Book Antiqua" w:cs="Book Antiqua"/>
        </w:rPr>
        <w:t xml:space="preserve"> S, Nabi IR, Raz A. Purification of human tumor cell autocrine motility factor and molecular cloning of its receptor. </w:t>
      </w:r>
      <w:r>
        <w:rPr>
          <w:rFonts w:ascii="Book Antiqua" w:eastAsia="Book Antiqua" w:hAnsi="Book Antiqua" w:cs="Book Antiqua"/>
          <w:i/>
          <w:iCs/>
        </w:rPr>
        <w:t>J Biol Chem</w:t>
      </w:r>
      <w:r>
        <w:rPr>
          <w:rFonts w:ascii="Book Antiqua" w:eastAsia="Book Antiqua" w:hAnsi="Book Antiqua" w:cs="Book Antiqua"/>
        </w:rPr>
        <w:t xml:space="preserve"> 1991; </w:t>
      </w:r>
      <w:r>
        <w:rPr>
          <w:rFonts w:ascii="Book Antiqua" w:eastAsia="Book Antiqua" w:hAnsi="Book Antiqua" w:cs="Book Antiqua"/>
          <w:b/>
          <w:bCs/>
        </w:rPr>
        <w:t>266</w:t>
      </w:r>
      <w:r>
        <w:rPr>
          <w:rFonts w:ascii="Book Antiqua" w:eastAsia="Book Antiqua" w:hAnsi="Book Antiqua" w:cs="Book Antiqua"/>
        </w:rPr>
        <w:t>: 13442-13448 [PMID: 1649192]</w:t>
      </w:r>
    </w:p>
    <w:p w14:paraId="1ECCB211"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Mo J</w:t>
      </w:r>
      <w:r>
        <w:rPr>
          <w:rFonts w:ascii="Book Antiqua" w:eastAsia="Book Antiqua" w:hAnsi="Book Antiqua" w:cs="Book Antiqua"/>
        </w:rPr>
        <w:t>, Chen J, Zhang B. Critical roles of FAM134B in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and diseases. </w:t>
      </w:r>
      <w:r>
        <w:rPr>
          <w:rFonts w:ascii="Book Antiqua" w:eastAsia="Book Antiqua" w:hAnsi="Book Antiqua" w:cs="Book Antiqua"/>
          <w:i/>
          <w:iCs/>
        </w:rPr>
        <w:t>Cell Death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983 [PMID: 33199694 DOI: 10.1038/s41419-020-03195-1]</w:t>
      </w:r>
    </w:p>
    <w:p w14:paraId="2DD7E90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Joshi V</w:t>
      </w:r>
      <w:r>
        <w:rPr>
          <w:rFonts w:ascii="Book Antiqua" w:eastAsia="Book Antiqua" w:hAnsi="Book Antiqua" w:cs="Book Antiqua"/>
        </w:rPr>
        <w:t xml:space="preserve">, Upadhyay A, Kumar A, Mishra A. Gp78 E3 Ubiquitin Ligase: Essential Functions and Contributions in </w:t>
      </w:r>
      <w:proofErr w:type="spellStart"/>
      <w:r>
        <w:rPr>
          <w:rFonts w:ascii="Book Antiqua" w:eastAsia="Book Antiqua" w:hAnsi="Book Antiqua" w:cs="Book Antiqua"/>
        </w:rPr>
        <w:t>Proteostasis</w:t>
      </w:r>
      <w:proofErr w:type="spellEnd"/>
      <w:r>
        <w:rPr>
          <w:rFonts w:ascii="Book Antiqua" w:eastAsia="Book Antiqua" w:hAnsi="Book Antiqua" w:cs="Book Antiqua"/>
        </w:rPr>
        <w:t xml:space="preserve">. </w:t>
      </w:r>
      <w:r>
        <w:rPr>
          <w:rFonts w:ascii="Book Antiqua" w:eastAsia="Book Antiqua" w:hAnsi="Book Antiqua" w:cs="Book Antiqua"/>
          <w:i/>
          <w:iCs/>
        </w:rPr>
        <w:t xml:space="preserve">Front Cell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259 [PMID: 28890687 DOI: 10.3389/fncel.2017.00259]</w:t>
      </w:r>
    </w:p>
    <w:p w14:paraId="4F147E60"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Park SJ</w:t>
      </w:r>
      <w:r>
        <w:rPr>
          <w:rFonts w:ascii="Book Antiqua" w:eastAsia="Book Antiqua" w:hAnsi="Book Antiqua" w:cs="Book Antiqua"/>
        </w:rPr>
        <w:t xml:space="preserve">, Kim SM, Moon JH, Kim JH, Shin JS, Hong SW, Shin YJ, Lee DH, Lee EY, Hwang IY, Kim JE, Kim KP, Hong YS, Lee WK, Choi EK, Lee JS,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DH, Kim TW. SAHA, an HDAC inhibitor, overcomes erlotinib resistance in human pancreatic cancer cells by modulating E-cadherin. </w:t>
      </w:r>
      <w:proofErr w:type="spellStart"/>
      <w:r>
        <w:rPr>
          <w:rFonts w:ascii="Book Antiqua" w:eastAsia="Book Antiqua" w:hAnsi="Book Antiqua" w:cs="Book Antiqua"/>
          <w:i/>
          <w:iCs/>
        </w:rPr>
        <w:t>Tumour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2016; </w:t>
      </w:r>
      <w:r>
        <w:rPr>
          <w:rFonts w:ascii="Book Antiqua" w:eastAsia="Book Antiqua" w:hAnsi="Book Antiqua" w:cs="Book Antiqua"/>
          <w:b/>
          <w:bCs/>
        </w:rPr>
        <w:t>37</w:t>
      </w:r>
      <w:r>
        <w:rPr>
          <w:rFonts w:ascii="Book Antiqua" w:eastAsia="Book Antiqua" w:hAnsi="Book Antiqua" w:cs="Book Antiqua"/>
        </w:rPr>
        <w:t>: 4323-4330 [PMID: 26493999 DOI: 10.1007/s13277-015-4216-2]</w:t>
      </w:r>
    </w:p>
    <w:p w14:paraId="6040FCD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Carlisi</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Lauricella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D'Anneo</w:t>
      </w:r>
      <w:proofErr w:type="spellEnd"/>
      <w:r>
        <w:rPr>
          <w:rFonts w:ascii="Book Antiqua" w:eastAsia="Book Antiqua" w:hAnsi="Book Antiqua" w:cs="Book Antiqua"/>
        </w:rPr>
        <w:t xml:space="preserve"> A, Emanuele S, Angileri L, Di Fazio P, </w:t>
      </w:r>
      <w:proofErr w:type="spellStart"/>
      <w:r>
        <w:rPr>
          <w:rFonts w:ascii="Book Antiqua" w:eastAsia="Book Antiqua" w:hAnsi="Book Antiqua" w:cs="Book Antiqua"/>
        </w:rPr>
        <w:t>Santulli</w:t>
      </w:r>
      <w:proofErr w:type="spellEnd"/>
      <w:r>
        <w:rPr>
          <w:rFonts w:ascii="Book Antiqua" w:eastAsia="Book Antiqua" w:hAnsi="Book Antiqua" w:cs="Book Antiqua"/>
        </w:rPr>
        <w:t xml:space="preserve"> A, Vento R, </w:t>
      </w:r>
      <w:proofErr w:type="spellStart"/>
      <w:r>
        <w:rPr>
          <w:rFonts w:ascii="Book Antiqua" w:eastAsia="Book Antiqua" w:hAnsi="Book Antiqua" w:cs="Book Antiqua"/>
        </w:rPr>
        <w:t>Tesoriere</w:t>
      </w:r>
      <w:proofErr w:type="spellEnd"/>
      <w:r>
        <w:rPr>
          <w:rFonts w:ascii="Book Antiqua" w:eastAsia="Book Antiqua" w:hAnsi="Book Antiqua" w:cs="Book Antiqua"/>
        </w:rPr>
        <w:t xml:space="preserve"> G. The histone deacetylase inhibitor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w:t>
      </w:r>
      <w:proofErr w:type="spellStart"/>
      <w:r>
        <w:rPr>
          <w:rFonts w:ascii="Book Antiqua" w:eastAsia="Book Antiqua" w:hAnsi="Book Antiqua" w:cs="Book Antiqua"/>
        </w:rPr>
        <w:t>sensitises</w:t>
      </w:r>
      <w:proofErr w:type="spellEnd"/>
      <w:r>
        <w:rPr>
          <w:rFonts w:ascii="Book Antiqua" w:eastAsia="Book Antiqua" w:hAnsi="Book Antiqua" w:cs="Book Antiqua"/>
        </w:rPr>
        <w:t xml:space="preserve"> human hepatocellular carcinoma cells to TRAIL-induced apoptosis by TRAIL-DISC activation.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2009; </w:t>
      </w:r>
      <w:r>
        <w:rPr>
          <w:rFonts w:ascii="Book Antiqua" w:eastAsia="Book Antiqua" w:hAnsi="Book Antiqua" w:cs="Book Antiqua"/>
          <w:b/>
          <w:bCs/>
        </w:rPr>
        <w:t>45</w:t>
      </w:r>
      <w:r>
        <w:rPr>
          <w:rFonts w:ascii="Book Antiqua" w:eastAsia="Book Antiqua" w:hAnsi="Book Antiqua" w:cs="Book Antiqua"/>
        </w:rPr>
        <w:t>: 2425-2438 [PMID: 19643600 DOI: 10.1016/j.ejca.2009.06.024]</w:t>
      </w:r>
    </w:p>
    <w:p w14:paraId="3831C23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Jiang X</w:t>
      </w:r>
      <w:r>
        <w:rPr>
          <w:rFonts w:ascii="Book Antiqua" w:eastAsia="Book Antiqua" w:hAnsi="Book Antiqua" w:cs="Book Antiqua"/>
        </w:rPr>
        <w:t>, Tsang YH, Yu Q. c-</w:t>
      </w:r>
      <w:proofErr w:type="spellStart"/>
      <w:r>
        <w:rPr>
          <w:rFonts w:ascii="Book Antiqua" w:eastAsia="Book Antiqua" w:hAnsi="Book Antiqua" w:cs="Book Antiqua"/>
        </w:rPr>
        <w:t>Myc</w:t>
      </w:r>
      <w:proofErr w:type="spellEnd"/>
      <w:r>
        <w:rPr>
          <w:rFonts w:ascii="Book Antiqua" w:eastAsia="Book Antiqua" w:hAnsi="Book Antiqua" w:cs="Book Antiqua"/>
        </w:rPr>
        <w:t xml:space="preserve"> overexpression sensitizes </w:t>
      </w:r>
      <w:proofErr w:type="spellStart"/>
      <w:r>
        <w:rPr>
          <w:rFonts w:ascii="Book Antiqua" w:eastAsia="Book Antiqua" w:hAnsi="Book Antiqua" w:cs="Book Antiqua"/>
        </w:rPr>
        <w:t>Bim</w:t>
      </w:r>
      <w:proofErr w:type="spellEnd"/>
      <w:r>
        <w:rPr>
          <w:rFonts w:ascii="Book Antiqua" w:eastAsia="Book Antiqua" w:hAnsi="Book Antiqua" w:cs="Book Antiqua"/>
        </w:rPr>
        <w:t xml:space="preserve">-mediated </w:t>
      </w:r>
      <w:proofErr w:type="spellStart"/>
      <w:r>
        <w:rPr>
          <w:rFonts w:ascii="Book Antiqua" w:eastAsia="Book Antiqua" w:hAnsi="Book Antiqua" w:cs="Book Antiqua"/>
        </w:rPr>
        <w:t>Bax</w:t>
      </w:r>
      <w:proofErr w:type="spellEnd"/>
      <w:r>
        <w:rPr>
          <w:rFonts w:ascii="Book Antiqua" w:eastAsia="Book Antiqua" w:hAnsi="Book Antiqua" w:cs="Book Antiqua"/>
        </w:rPr>
        <w:t xml:space="preserve"> activation for apoptosis induced by histone deacetylase inhibitor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(SAHA) through regulating Bcl-2/</w:t>
      </w:r>
      <w:proofErr w:type="spellStart"/>
      <w:r>
        <w:rPr>
          <w:rFonts w:ascii="Book Antiqua" w:eastAsia="Book Antiqua" w:hAnsi="Book Antiqua" w:cs="Book Antiqua"/>
        </w:rPr>
        <w:t>Bcl-xL</w:t>
      </w:r>
      <w:proofErr w:type="spellEnd"/>
      <w:r>
        <w:rPr>
          <w:rFonts w:ascii="Book Antiqua" w:eastAsia="Book Antiqua" w:hAnsi="Book Antiqua" w:cs="Book Antiqua"/>
        </w:rPr>
        <w:t xml:space="preserve"> expression. </w:t>
      </w:r>
      <w:r>
        <w:rPr>
          <w:rFonts w:ascii="Book Antiqua" w:eastAsia="Book Antiqua" w:hAnsi="Book Antiqua" w:cs="Book Antiqua"/>
          <w:i/>
          <w:iCs/>
        </w:rPr>
        <w:t xml:space="preserve">Int J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Cell Biol</w:t>
      </w:r>
      <w:r>
        <w:rPr>
          <w:rFonts w:ascii="Book Antiqua" w:eastAsia="Book Antiqua" w:hAnsi="Book Antiqua" w:cs="Book Antiqua"/>
        </w:rPr>
        <w:t xml:space="preserve"> 2007; </w:t>
      </w:r>
      <w:r>
        <w:rPr>
          <w:rFonts w:ascii="Book Antiqua" w:eastAsia="Book Antiqua" w:hAnsi="Book Antiqua" w:cs="Book Antiqua"/>
          <w:b/>
          <w:bCs/>
        </w:rPr>
        <w:t>39</w:t>
      </w:r>
      <w:r>
        <w:rPr>
          <w:rFonts w:ascii="Book Antiqua" w:eastAsia="Book Antiqua" w:hAnsi="Book Antiqua" w:cs="Book Antiqua"/>
        </w:rPr>
        <w:t>: 1016-1025 [PMID: 17331788 DOI: 10.1016/j.biocel.2007.01.024]</w:t>
      </w:r>
    </w:p>
    <w:p w14:paraId="67F58615"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36 </w:t>
      </w:r>
      <w:proofErr w:type="spellStart"/>
      <w:r>
        <w:rPr>
          <w:rFonts w:ascii="Book Antiqua" w:eastAsia="Book Antiqua" w:hAnsi="Book Antiqua" w:cs="Book Antiqua"/>
          <w:b/>
          <w:bCs/>
        </w:rPr>
        <w:t>Chipurupalli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Ganesan R, Martini G, Mele L, Reggio A, Esposito M, Kannan E, </w:t>
      </w:r>
      <w:proofErr w:type="spellStart"/>
      <w:r>
        <w:rPr>
          <w:rFonts w:ascii="Book Antiqua" w:eastAsia="Book Antiqua" w:hAnsi="Book Antiqua" w:cs="Book Antiqua"/>
        </w:rPr>
        <w:t>Namasivayam</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Grumati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Desiderio</w:t>
      </w:r>
      <w:proofErr w:type="spellEnd"/>
      <w:r>
        <w:rPr>
          <w:rFonts w:ascii="Book Antiqua" w:eastAsia="Book Antiqua" w:hAnsi="Book Antiqua" w:cs="Book Antiqua"/>
        </w:rPr>
        <w:t xml:space="preserve"> V, Robinson N. Cancer cells adapt FAM134B/</w:t>
      </w:r>
      <w:proofErr w:type="spellStart"/>
      <w:r>
        <w:rPr>
          <w:rFonts w:ascii="Book Antiqua" w:eastAsia="Book Antiqua" w:hAnsi="Book Antiqua" w:cs="Book Antiqua"/>
        </w:rPr>
        <w:t>BiP</w:t>
      </w:r>
      <w:proofErr w:type="spellEnd"/>
      <w:r>
        <w:rPr>
          <w:rFonts w:ascii="Book Antiqua" w:eastAsia="Book Antiqua" w:hAnsi="Book Antiqua" w:cs="Book Antiqua"/>
        </w:rPr>
        <w:t xml:space="preserve"> 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to survive hypoxic stress. </w:t>
      </w:r>
      <w:r>
        <w:rPr>
          <w:rFonts w:ascii="Book Antiqua" w:eastAsia="Book Antiqua" w:hAnsi="Book Antiqua" w:cs="Book Antiqua"/>
          <w:i/>
          <w:iCs/>
        </w:rPr>
        <w:t>Cell Death Dis</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357 [PMID: 35436985 DOI: 10.1038/s41419-022-04813-w]</w:t>
      </w:r>
    </w:p>
    <w:p w14:paraId="5125D15C"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Zhong L</w:t>
      </w:r>
      <w:r>
        <w:rPr>
          <w:rFonts w:ascii="Book Antiqua" w:eastAsia="Book Antiqua" w:hAnsi="Book Antiqua" w:cs="Book Antiqua"/>
        </w:rPr>
        <w:t>. [The Expression Significance and Function of FAM134B in Hepatocellular Carcinoma Tissue]. 2020</w:t>
      </w:r>
    </w:p>
    <w:p w14:paraId="32DD8852" w14:textId="77777777" w:rsidR="00783269" w:rsidRDefault="00000000">
      <w:pPr>
        <w:spacing w:line="360" w:lineRule="auto"/>
        <w:jc w:val="both"/>
        <w:rPr>
          <w:rFonts w:ascii="Book Antiqua" w:hAnsi="Book Antiqua"/>
        </w:rPr>
      </w:pPr>
      <w:r>
        <w:rPr>
          <w:rFonts w:ascii="Book Antiqua" w:eastAsia="Book Antiqua" w:hAnsi="Book Antiqua" w:cs="Book Antiqua"/>
        </w:rPr>
        <w:lastRenderedPageBreak/>
        <w:t xml:space="preserve">38 </w:t>
      </w:r>
      <w:r>
        <w:rPr>
          <w:rFonts w:ascii="Book Antiqua" w:eastAsia="Book Antiqua" w:hAnsi="Book Antiqua" w:cs="Book Antiqua"/>
          <w:b/>
          <w:bCs/>
        </w:rPr>
        <w:t>Chino H</w:t>
      </w:r>
      <w:r>
        <w:rPr>
          <w:rFonts w:ascii="Book Antiqua" w:eastAsia="Book Antiqua" w:hAnsi="Book Antiqua" w:cs="Book Antiqua"/>
        </w:rPr>
        <w:t>, Mizushima N.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Quality Control and Turnover of Endoplasmic Reticulum. </w:t>
      </w:r>
      <w:r>
        <w:rPr>
          <w:rFonts w:ascii="Book Antiqua" w:eastAsia="Book Antiqua" w:hAnsi="Book Antiqua" w:cs="Book Antiqua"/>
          <w:i/>
          <w:iCs/>
        </w:rPr>
        <w:t>Trends Cell Biol</w:t>
      </w:r>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384-398 [PMID: 32302550 DOI: 10.1016/j.tcb.2020.02.001]</w:t>
      </w:r>
    </w:p>
    <w:p w14:paraId="77C379B8"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39 </w:t>
      </w:r>
      <w:proofErr w:type="spellStart"/>
      <w:r>
        <w:rPr>
          <w:rFonts w:ascii="Book Antiqua" w:eastAsia="Book Antiqua" w:hAnsi="Book Antiqua" w:cs="Book Antiqua"/>
          <w:b/>
          <w:bCs/>
        </w:rPr>
        <w:t>Grumati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Dikic</w:t>
      </w:r>
      <w:proofErr w:type="spellEnd"/>
      <w:r>
        <w:rPr>
          <w:rFonts w:ascii="Book Antiqua" w:eastAsia="Book Antiqua" w:hAnsi="Book Antiqua" w:cs="Book Antiqua"/>
        </w:rPr>
        <w:t xml:space="preserve"> I, Stolz A.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w:t>
      </w:r>
      <w:proofErr w:type="gramStart"/>
      <w:r>
        <w:rPr>
          <w:rFonts w:ascii="Book Antiqua" w:eastAsia="Book Antiqua" w:hAnsi="Book Antiqua" w:cs="Book Antiqua"/>
        </w:rPr>
        <w:t>at a glance</w:t>
      </w:r>
      <w:proofErr w:type="gramEnd"/>
      <w:r>
        <w:rPr>
          <w:rFonts w:ascii="Book Antiqua" w:eastAsia="Book Antiqua" w:hAnsi="Book Antiqua" w:cs="Book Antiqua"/>
        </w:rPr>
        <w:t xml:space="preserve">. </w:t>
      </w:r>
      <w:r>
        <w:rPr>
          <w:rFonts w:ascii="Book Antiqua" w:eastAsia="Book Antiqua" w:hAnsi="Book Antiqua" w:cs="Book Antiqua"/>
          <w:i/>
          <w:iCs/>
        </w:rPr>
        <w:t>J Cell Sci</w:t>
      </w:r>
      <w:r>
        <w:rPr>
          <w:rFonts w:ascii="Book Antiqua" w:eastAsia="Book Antiqua" w:hAnsi="Book Antiqua" w:cs="Book Antiqua"/>
        </w:rPr>
        <w:t xml:space="preserve"> 2018; </w:t>
      </w:r>
      <w:r>
        <w:rPr>
          <w:rFonts w:ascii="Book Antiqua" w:eastAsia="Book Antiqua" w:hAnsi="Book Antiqua" w:cs="Book Antiqua"/>
          <w:b/>
          <w:bCs/>
        </w:rPr>
        <w:t>131</w:t>
      </w:r>
      <w:r>
        <w:rPr>
          <w:rFonts w:ascii="Book Antiqua" w:eastAsia="Book Antiqua" w:hAnsi="Book Antiqua" w:cs="Book Antiqua"/>
        </w:rPr>
        <w:t xml:space="preserve"> [PMID: 30177506 DOI: 10.1242/jcs.217364]</w:t>
      </w:r>
    </w:p>
    <w:p w14:paraId="21217012"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Ferro-Novick S</w:t>
      </w:r>
      <w:r>
        <w:rPr>
          <w:rFonts w:ascii="Book Antiqua" w:eastAsia="Book Antiqua" w:hAnsi="Book Antiqua" w:cs="Book Antiqua"/>
        </w:rPr>
        <w:t xml:space="preserve">, </w:t>
      </w:r>
      <w:proofErr w:type="spellStart"/>
      <w:r>
        <w:rPr>
          <w:rFonts w:ascii="Book Antiqua" w:eastAsia="Book Antiqua" w:hAnsi="Book Antiqua" w:cs="Book Antiqua"/>
        </w:rPr>
        <w:t>Reggiori</w:t>
      </w:r>
      <w:proofErr w:type="spellEnd"/>
      <w:r>
        <w:rPr>
          <w:rFonts w:ascii="Book Antiqua" w:eastAsia="Book Antiqua" w:hAnsi="Book Antiqua" w:cs="Book Antiqua"/>
        </w:rPr>
        <w:t xml:space="preserve"> F, Brodsky JL.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ER Homeostasis, and ER Quality Control: Implications for Disease. </w:t>
      </w:r>
      <w:r>
        <w:rPr>
          <w:rFonts w:ascii="Book Antiqua" w:eastAsia="Book Antiqua" w:hAnsi="Book Antiqua" w:cs="Book Antiqua"/>
          <w:i/>
          <w:iCs/>
        </w:rPr>
        <w:t xml:space="preserve">Trends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630-639 [PMID: 33509650 DOI: 10.1016/j.tibs.2020.12.013]</w:t>
      </w:r>
    </w:p>
    <w:p w14:paraId="1AD52F7E"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41 </w:t>
      </w:r>
      <w:proofErr w:type="spellStart"/>
      <w:r>
        <w:rPr>
          <w:rFonts w:ascii="Book Antiqua" w:eastAsia="Book Antiqua" w:hAnsi="Book Antiqua" w:cs="Book Antiqua"/>
          <w:b/>
          <w:bCs/>
        </w:rPr>
        <w:t>Hübner</w:t>
      </w:r>
      <w:proofErr w:type="spellEnd"/>
      <w:r>
        <w:rPr>
          <w:rFonts w:ascii="Book Antiqua" w:eastAsia="Book Antiqua" w:hAnsi="Book Antiqua" w:cs="Book Antiqua"/>
          <w:b/>
          <w:bCs/>
        </w:rPr>
        <w:t xml:space="preserve"> CA</w:t>
      </w:r>
      <w:r>
        <w:rPr>
          <w:rFonts w:ascii="Book Antiqua" w:eastAsia="Book Antiqua" w:hAnsi="Book Antiqua" w:cs="Book Antiqua"/>
        </w:rPr>
        <w:t xml:space="preserve">, </w:t>
      </w:r>
      <w:proofErr w:type="spellStart"/>
      <w:r>
        <w:rPr>
          <w:rFonts w:ascii="Book Antiqua" w:eastAsia="Book Antiqua" w:hAnsi="Book Antiqua" w:cs="Book Antiqua"/>
        </w:rPr>
        <w:t>Dikic</w:t>
      </w:r>
      <w:proofErr w:type="spellEnd"/>
      <w:r>
        <w:rPr>
          <w:rFonts w:ascii="Book Antiqua" w:eastAsia="Book Antiqua" w:hAnsi="Book Antiqua" w:cs="Book Antiqua"/>
        </w:rPr>
        <w:t xml:space="preserve"> I.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and human diseases. </w:t>
      </w:r>
      <w:r>
        <w:rPr>
          <w:rFonts w:ascii="Book Antiqua" w:eastAsia="Book Antiqua" w:hAnsi="Book Antiqua" w:cs="Book Antiqua"/>
          <w:i/>
          <w:iCs/>
        </w:rPr>
        <w:t>Cell Death Differ</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833-842 [PMID: 31659280 DOI: 10.1038/s41418-019-0444-0]</w:t>
      </w:r>
    </w:p>
    <w:p w14:paraId="7F8BBD27"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Wilkinson S</w:t>
      </w:r>
      <w:r>
        <w:rPr>
          <w:rFonts w:ascii="Book Antiqua" w:eastAsia="Book Antiqua" w:hAnsi="Book Antiqua" w:cs="Book Antiqua"/>
        </w:rPr>
        <w:t>.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shaping up and destressing the endoplasmic reticulum. </w:t>
      </w:r>
      <w:r>
        <w:rPr>
          <w:rFonts w:ascii="Book Antiqua" w:eastAsia="Book Antiqua" w:hAnsi="Book Antiqua" w:cs="Book Antiqua"/>
          <w:i/>
          <w:iCs/>
        </w:rPr>
        <w:t>FEBS J</w:t>
      </w:r>
      <w:r>
        <w:rPr>
          <w:rFonts w:ascii="Book Antiqua" w:eastAsia="Book Antiqua" w:hAnsi="Book Antiqua" w:cs="Book Antiqua"/>
        </w:rPr>
        <w:t xml:space="preserve"> 2019; </w:t>
      </w:r>
      <w:r>
        <w:rPr>
          <w:rFonts w:ascii="Book Antiqua" w:eastAsia="Book Antiqua" w:hAnsi="Book Antiqua" w:cs="Book Antiqua"/>
          <w:b/>
          <w:bCs/>
        </w:rPr>
        <w:t>286</w:t>
      </w:r>
      <w:r>
        <w:rPr>
          <w:rFonts w:ascii="Book Antiqua" w:eastAsia="Book Antiqua" w:hAnsi="Book Antiqua" w:cs="Book Antiqua"/>
        </w:rPr>
        <w:t>: 2645-2663 [PMID: 31116513 DOI: 10.1111/febs.14932]</w:t>
      </w:r>
    </w:p>
    <w:p w14:paraId="2EE46CD7"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Liao Y</w:t>
      </w:r>
      <w:r>
        <w:rPr>
          <w:rFonts w:ascii="Book Antiqua" w:eastAsia="Book Antiqua" w:hAnsi="Book Antiqua" w:cs="Book Antiqua"/>
        </w:rPr>
        <w:t>, Duan B, Zhang Y, Zhang X, Xia B. Excessive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mediated by the autophagy receptor FAM134B results in ER stress, the unfolded protein response, and cell death in HeLa cells. </w:t>
      </w:r>
      <w:r>
        <w:rPr>
          <w:rFonts w:ascii="Book Antiqua" w:eastAsia="Book Antiqua" w:hAnsi="Book Antiqua" w:cs="Book Antiqua"/>
          <w:i/>
          <w:iCs/>
        </w:rPr>
        <w:t>J Biol Chem</w:t>
      </w:r>
      <w:r>
        <w:rPr>
          <w:rFonts w:ascii="Book Antiqua" w:eastAsia="Book Antiqua" w:hAnsi="Book Antiqua" w:cs="Book Antiqua"/>
        </w:rPr>
        <w:t xml:space="preserve"> 2019; </w:t>
      </w:r>
      <w:r>
        <w:rPr>
          <w:rFonts w:ascii="Book Antiqua" w:eastAsia="Book Antiqua" w:hAnsi="Book Antiqua" w:cs="Book Antiqua"/>
          <w:b/>
          <w:bCs/>
        </w:rPr>
        <w:t>294</w:t>
      </w:r>
      <w:r>
        <w:rPr>
          <w:rFonts w:ascii="Book Antiqua" w:eastAsia="Book Antiqua" w:hAnsi="Book Antiqua" w:cs="Book Antiqua"/>
        </w:rPr>
        <w:t>: 20009-20023 [PMID: 31748416 DOI: 10.1074/jbc.RA119.008709]</w:t>
      </w:r>
    </w:p>
    <w:p w14:paraId="0C304EB2"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44 </w:t>
      </w:r>
      <w:proofErr w:type="spellStart"/>
      <w:r>
        <w:rPr>
          <w:rFonts w:ascii="Book Antiqua" w:eastAsia="Book Antiqua" w:hAnsi="Book Antiqua" w:cs="Book Antiqua"/>
          <w:b/>
          <w:bCs/>
        </w:rPr>
        <w:t>Hrzenjak</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Kremser</w:t>
      </w:r>
      <w:proofErr w:type="spellEnd"/>
      <w:r>
        <w:rPr>
          <w:rFonts w:ascii="Book Antiqua" w:eastAsia="Book Antiqua" w:hAnsi="Book Antiqua" w:cs="Book Antiqua"/>
        </w:rPr>
        <w:t xml:space="preserve"> ML, </w:t>
      </w:r>
      <w:proofErr w:type="spellStart"/>
      <w:r>
        <w:rPr>
          <w:rFonts w:ascii="Book Antiqua" w:eastAsia="Book Antiqua" w:hAnsi="Book Antiqua" w:cs="Book Antiqua"/>
        </w:rPr>
        <w:t>Strohmeier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Moinfar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Zatloukal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Denk</w:t>
      </w:r>
      <w:proofErr w:type="spellEnd"/>
      <w:r>
        <w:rPr>
          <w:rFonts w:ascii="Book Antiqua" w:eastAsia="Book Antiqua" w:hAnsi="Book Antiqua" w:cs="Book Antiqua"/>
        </w:rPr>
        <w:t xml:space="preserve"> H. SAHA induces caspase-independent, autophagic cell death of endometrial stromal sarcoma cells by influencing the mTOR pathway. </w:t>
      </w:r>
      <w:r>
        <w:rPr>
          <w:rFonts w:ascii="Book Antiqua" w:eastAsia="Book Antiqua" w:hAnsi="Book Antiqua" w:cs="Book Antiqua"/>
          <w:i/>
          <w:iCs/>
        </w:rPr>
        <w:t xml:space="preserve">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2008; </w:t>
      </w:r>
      <w:r>
        <w:rPr>
          <w:rFonts w:ascii="Book Antiqua" w:eastAsia="Book Antiqua" w:hAnsi="Book Antiqua" w:cs="Book Antiqua"/>
          <w:b/>
          <w:bCs/>
        </w:rPr>
        <w:t>216</w:t>
      </w:r>
      <w:r>
        <w:rPr>
          <w:rFonts w:ascii="Book Antiqua" w:eastAsia="Book Antiqua" w:hAnsi="Book Antiqua" w:cs="Book Antiqua"/>
        </w:rPr>
        <w:t>: 495-504 [PMID: 18850582 DOI: 10.1002/path.2434]</w:t>
      </w:r>
    </w:p>
    <w:p w14:paraId="3447CD4B"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Lee YJ</w:t>
      </w:r>
      <w:r>
        <w:rPr>
          <w:rFonts w:ascii="Book Antiqua" w:eastAsia="Book Antiqua" w:hAnsi="Book Antiqua" w:cs="Book Antiqua"/>
        </w:rPr>
        <w:t xml:space="preserve">, Won AJ, Lee J, Jung JH, Yoon S, Lee BM, Kim HS. Molecular mechanism of SAHA on regulation of autophagic cell death in tamoxifen-resistant MCF-7 breast cancer cells. </w:t>
      </w:r>
      <w:r>
        <w:rPr>
          <w:rFonts w:ascii="Book Antiqua" w:eastAsia="Book Antiqua" w:hAnsi="Book Antiqua" w:cs="Book Antiqua"/>
          <w:i/>
          <w:iCs/>
        </w:rPr>
        <w:t>Int J Med Sci</w:t>
      </w:r>
      <w:r>
        <w:rPr>
          <w:rFonts w:ascii="Book Antiqua" w:eastAsia="Book Antiqua" w:hAnsi="Book Antiqua" w:cs="Book Antiqua"/>
        </w:rPr>
        <w:t xml:space="preserve"> 2012; </w:t>
      </w:r>
      <w:r>
        <w:rPr>
          <w:rFonts w:ascii="Book Antiqua" w:eastAsia="Book Antiqua" w:hAnsi="Book Antiqua" w:cs="Book Antiqua"/>
          <w:b/>
          <w:bCs/>
        </w:rPr>
        <w:t>9</w:t>
      </w:r>
      <w:r>
        <w:rPr>
          <w:rFonts w:ascii="Book Antiqua" w:eastAsia="Book Antiqua" w:hAnsi="Book Antiqua" w:cs="Book Antiqua"/>
        </w:rPr>
        <w:t>: 881-893 [PMID: 23155362 DOI: 10.7150/ijms.5011]</w:t>
      </w:r>
    </w:p>
    <w:p w14:paraId="419B8CCA"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Kania E</w:t>
      </w:r>
      <w:r>
        <w:rPr>
          <w:rFonts w:ascii="Book Antiqua" w:eastAsia="Book Antiqua" w:hAnsi="Book Antiqua" w:cs="Book Antiqua"/>
        </w:rPr>
        <w:t xml:space="preserve">, </w:t>
      </w:r>
      <w:proofErr w:type="spellStart"/>
      <w:r>
        <w:rPr>
          <w:rFonts w:ascii="Book Antiqua" w:eastAsia="Book Antiqua" w:hAnsi="Book Antiqua" w:cs="Book Antiqua"/>
        </w:rPr>
        <w:t>Pająk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Orzechowski</w:t>
      </w:r>
      <w:proofErr w:type="spellEnd"/>
      <w:r>
        <w:rPr>
          <w:rFonts w:ascii="Book Antiqua" w:eastAsia="Book Antiqua" w:hAnsi="Book Antiqua" w:cs="Book Antiqua"/>
        </w:rPr>
        <w:t xml:space="preserve"> A. Calcium homeostasis and ER stress in control of autophagy in cancer cells. </w:t>
      </w:r>
      <w:r>
        <w:rPr>
          <w:rFonts w:ascii="Book Antiqua" w:eastAsia="Book Antiqua" w:hAnsi="Book Antiqua" w:cs="Book Antiqua"/>
          <w:i/>
          <w:iCs/>
        </w:rPr>
        <w:t>Biomed Res Int</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352794 [PMID: 25821797 DOI: 10.1155/2015/352794]</w:t>
      </w:r>
    </w:p>
    <w:p w14:paraId="0774F35C"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47 </w:t>
      </w:r>
      <w:proofErr w:type="spellStart"/>
      <w:r>
        <w:rPr>
          <w:rFonts w:ascii="Book Antiqua" w:eastAsia="Book Antiqua" w:hAnsi="Book Antiqua" w:cs="Book Antiqua"/>
          <w:b/>
          <w:bCs/>
        </w:rPr>
        <w:t>Puzianowska-Kuznicka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Kuznicki</w:t>
      </w:r>
      <w:proofErr w:type="spellEnd"/>
      <w:r>
        <w:rPr>
          <w:rFonts w:ascii="Book Antiqua" w:eastAsia="Book Antiqua" w:hAnsi="Book Antiqua" w:cs="Book Antiqua"/>
        </w:rPr>
        <w:t xml:space="preserve"> J. The ER and ageing II: calcium homeostasis. </w:t>
      </w:r>
      <w:r>
        <w:rPr>
          <w:rFonts w:ascii="Book Antiqua" w:eastAsia="Book Antiqua" w:hAnsi="Book Antiqua" w:cs="Book Antiqua"/>
          <w:i/>
          <w:iCs/>
        </w:rPr>
        <w:t>Ageing Res Rev</w:t>
      </w:r>
      <w:r>
        <w:rPr>
          <w:rFonts w:ascii="Book Antiqua" w:eastAsia="Book Antiqua" w:hAnsi="Book Antiqua" w:cs="Book Antiqua"/>
        </w:rPr>
        <w:t xml:space="preserve"> 2009; </w:t>
      </w:r>
      <w:r>
        <w:rPr>
          <w:rFonts w:ascii="Book Antiqua" w:eastAsia="Book Antiqua" w:hAnsi="Book Antiqua" w:cs="Book Antiqua"/>
          <w:b/>
          <w:bCs/>
        </w:rPr>
        <w:t>8</w:t>
      </w:r>
      <w:r>
        <w:rPr>
          <w:rFonts w:ascii="Book Antiqua" w:eastAsia="Book Antiqua" w:hAnsi="Book Antiqua" w:cs="Book Antiqua"/>
        </w:rPr>
        <w:t>: 160-172 [PMID: 19427411 DOI: 10.1016/j.arr.2009.05.002]</w:t>
      </w:r>
    </w:p>
    <w:p w14:paraId="2CA8B8F6"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48 </w:t>
      </w:r>
      <w:proofErr w:type="spellStart"/>
      <w:r>
        <w:rPr>
          <w:rFonts w:ascii="Book Antiqua" w:eastAsia="Book Antiqua" w:hAnsi="Book Antiqua" w:cs="Book Antiqua"/>
          <w:b/>
          <w:bCs/>
        </w:rPr>
        <w:t>Thoudam</w:t>
      </w:r>
      <w:proofErr w:type="spellEnd"/>
      <w:r>
        <w:rPr>
          <w:rFonts w:ascii="Book Antiqua" w:eastAsia="Book Antiqua" w:hAnsi="Book Antiqua" w:cs="Book Antiqua"/>
          <w:b/>
          <w:bCs/>
        </w:rPr>
        <w:t xml:space="preserve"> T</w:t>
      </w:r>
      <w:r>
        <w:rPr>
          <w:rFonts w:ascii="Book Antiqua" w:eastAsia="Book Antiqua" w:hAnsi="Book Antiqua" w:cs="Book Antiqua"/>
        </w:rPr>
        <w:t xml:space="preserve">, Ha CM, </w:t>
      </w:r>
      <w:proofErr w:type="spellStart"/>
      <w:r>
        <w:rPr>
          <w:rFonts w:ascii="Book Antiqua" w:eastAsia="Book Antiqua" w:hAnsi="Book Antiqua" w:cs="Book Antiqua"/>
        </w:rPr>
        <w:t>Leem</w:t>
      </w:r>
      <w:proofErr w:type="spellEnd"/>
      <w:r>
        <w:rPr>
          <w:rFonts w:ascii="Book Antiqua" w:eastAsia="Book Antiqua" w:hAnsi="Book Antiqua" w:cs="Book Antiqua"/>
        </w:rPr>
        <w:t xml:space="preserve"> J, Chanda D, Park JS, Kim HJ, Jeon JH, Choi YK, </w:t>
      </w:r>
      <w:proofErr w:type="spellStart"/>
      <w:r>
        <w:rPr>
          <w:rFonts w:ascii="Book Antiqua" w:eastAsia="Book Antiqua" w:hAnsi="Book Antiqua" w:cs="Book Antiqua"/>
        </w:rPr>
        <w:t>Liangpunsakul</w:t>
      </w:r>
      <w:proofErr w:type="spellEnd"/>
      <w:r>
        <w:rPr>
          <w:rFonts w:ascii="Book Antiqua" w:eastAsia="Book Antiqua" w:hAnsi="Book Antiqua" w:cs="Book Antiqua"/>
        </w:rPr>
        <w:t xml:space="preserve"> S, Huh YH, Kwon TH, Park KG, Harris RA, Park KS, Rhee HW, Lee IK. </w:t>
      </w:r>
      <w:r>
        <w:rPr>
          <w:rFonts w:ascii="Book Antiqua" w:eastAsia="Book Antiqua" w:hAnsi="Book Antiqua" w:cs="Book Antiqua"/>
        </w:rPr>
        <w:lastRenderedPageBreak/>
        <w:t xml:space="preserve">PDK4 Augments ER-Mitochondria Contact to Dampen Skeletal Muscle Insulin Signaling During Obesity. </w:t>
      </w:r>
      <w:r>
        <w:rPr>
          <w:rFonts w:ascii="Book Antiqua" w:eastAsia="Book Antiqua" w:hAnsi="Book Antiqua" w:cs="Book Antiqua"/>
          <w:i/>
          <w:iCs/>
        </w:rPr>
        <w:t>Diabetes</w:t>
      </w:r>
      <w:r>
        <w:rPr>
          <w:rFonts w:ascii="Book Antiqua" w:eastAsia="Book Antiqua" w:hAnsi="Book Antiqua" w:cs="Book Antiqua"/>
        </w:rPr>
        <w:t xml:space="preserve"> 2019; </w:t>
      </w:r>
      <w:r>
        <w:rPr>
          <w:rFonts w:ascii="Book Antiqua" w:eastAsia="Book Antiqua" w:hAnsi="Book Antiqua" w:cs="Book Antiqua"/>
          <w:b/>
          <w:bCs/>
        </w:rPr>
        <w:t>68</w:t>
      </w:r>
      <w:r>
        <w:rPr>
          <w:rFonts w:ascii="Book Antiqua" w:eastAsia="Book Antiqua" w:hAnsi="Book Antiqua" w:cs="Book Antiqua"/>
        </w:rPr>
        <w:t>: 571-586 [PMID: 30523025 DOI: 10.2337/db18-0363]</w:t>
      </w:r>
    </w:p>
    <w:p w14:paraId="5FCC731B"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Means RE</w:t>
      </w:r>
      <w:r>
        <w:rPr>
          <w:rFonts w:ascii="Book Antiqua" w:eastAsia="Book Antiqua" w:hAnsi="Book Antiqua" w:cs="Book Antiqua"/>
        </w:rPr>
        <w:t xml:space="preserve">, Katz SG. Yes, </w:t>
      </w:r>
      <w:proofErr w:type="gramStart"/>
      <w:r>
        <w:rPr>
          <w:rFonts w:ascii="Book Antiqua" w:eastAsia="Book Antiqua" w:hAnsi="Book Antiqua" w:cs="Book Antiqua"/>
        </w:rPr>
        <w:t>MAM!.</w:t>
      </w:r>
      <w:proofErr w:type="gramEnd"/>
      <w:r>
        <w:rPr>
          <w:rFonts w:ascii="Book Antiqua" w:eastAsia="Book Antiqua" w:hAnsi="Book Antiqua" w:cs="Book Antiqua"/>
        </w:rPr>
        <w:t xml:space="preserve"> </w:t>
      </w:r>
      <w:r>
        <w:rPr>
          <w:rFonts w:ascii="Book Antiqua" w:eastAsia="Book Antiqua" w:hAnsi="Book Antiqua" w:cs="Book Antiqua"/>
          <w:i/>
          <w:iCs/>
        </w:rPr>
        <w:t>Mol Cell Oncol</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1919473 [PMID: 34616865 DOI: 10.1080/23723556.2021.1919473]</w:t>
      </w:r>
    </w:p>
    <w:p w14:paraId="4168C66C"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50 </w:t>
      </w:r>
      <w:r>
        <w:rPr>
          <w:rFonts w:ascii="Book Antiqua" w:eastAsia="Book Antiqua" w:hAnsi="Book Antiqua" w:cs="Book Antiqua"/>
          <w:b/>
          <w:bCs/>
        </w:rPr>
        <w:t>Zhang SS</w:t>
      </w:r>
      <w:r>
        <w:rPr>
          <w:rFonts w:ascii="Book Antiqua" w:eastAsia="Book Antiqua" w:hAnsi="Book Antiqua" w:cs="Book Antiqua"/>
        </w:rPr>
        <w:t>, Zhou S, Crowley-</w:t>
      </w:r>
      <w:proofErr w:type="spellStart"/>
      <w:r>
        <w:rPr>
          <w:rFonts w:ascii="Book Antiqua" w:eastAsia="Book Antiqua" w:hAnsi="Book Antiqua" w:cs="Book Antiqua"/>
        </w:rPr>
        <w:t>McHattan</w:t>
      </w:r>
      <w:proofErr w:type="spellEnd"/>
      <w:r>
        <w:rPr>
          <w:rFonts w:ascii="Book Antiqua" w:eastAsia="Book Antiqua" w:hAnsi="Book Antiqua" w:cs="Book Antiqua"/>
        </w:rPr>
        <w:t xml:space="preserve"> ZJ, Wang RY, Li JP. A Review of the Role of Endo/Sarcoplasmic Reticulum-Mitochondria </w:t>
      </w:r>
      <w:proofErr w:type="gramStart"/>
      <w:r>
        <w:rPr>
          <w:rFonts w:ascii="Book Antiqua" w:eastAsia="Book Antiqua" w:hAnsi="Book Antiqua" w:cs="Book Antiqua"/>
        </w:rPr>
        <w:t>Ca(</w:t>
      </w:r>
      <w:proofErr w:type="gramEnd"/>
      <w:r>
        <w:rPr>
          <w:rFonts w:ascii="Book Antiqua" w:eastAsia="Book Antiqua" w:hAnsi="Book Antiqua" w:cs="Book Antiqua"/>
        </w:rPr>
        <w:t xml:space="preserve">2+) Transport in Diseases and Skeletal Muscle Function. </w:t>
      </w:r>
      <w:r>
        <w:rPr>
          <w:rFonts w:ascii="Book Antiqua" w:eastAsia="Book Antiqua" w:hAnsi="Book Antiqua" w:cs="Book Antiqua"/>
          <w:i/>
          <w:iCs/>
        </w:rPr>
        <w:t>Int J Environ Res Public Health</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xml:space="preserve"> [PMID: 33917091 DOI: 10.3390/ijerph18083874]</w:t>
      </w:r>
    </w:p>
    <w:p w14:paraId="6B91017C" w14:textId="77777777" w:rsidR="00783269" w:rsidRDefault="00000000">
      <w:pPr>
        <w:spacing w:line="360" w:lineRule="auto"/>
        <w:jc w:val="both"/>
        <w:rPr>
          <w:rFonts w:ascii="Book Antiqua" w:hAnsi="Book Antiqua"/>
        </w:rPr>
      </w:pPr>
      <w:r>
        <w:rPr>
          <w:rFonts w:ascii="Book Antiqua" w:eastAsia="Book Antiqua" w:hAnsi="Book Antiqua" w:cs="Book Antiqua"/>
        </w:rPr>
        <w:t xml:space="preserve">51 </w:t>
      </w:r>
      <w:r>
        <w:rPr>
          <w:rFonts w:ascii="Book Antiqua" w:eastAsia="Book Antiqua" w:hAnsi="Book Antiqua" w:cs="Book Antiqua"/>
          <w:b/>
          <w:bCs/>
        </w:rPr>
        <w:t>Xu H</w:t>
      </w:r>
      <w:r>
        <w:rPr>
          <w:rFonts w:ascii="Book Antiqua" w:eastAsia="Book Antiqua" w:hAnsi="Book Antiqua" w:cs="Book Antiqua"/>
        </w:rPr>
        <w:t xml:space="preserve">, Guan N, Ren YL, Wei QJ, Tao YH, Yang GS, Liu XY, Bu DF, Zhang Y, Zhu SN. </w:t>
      </w:r>
      <w:proofErr w:type="gramStart"/>
      <w:r>
        <w:rPr>
          <w:rFonts w:ascii="Book Antiqua" w:eastAsia="Book Antiqua" w:hAnsi="Book Antiqua" w:cs="Book Antiqua"/>
        </w:rPr>
        <w:t>IP(</w:t>
      </w:r>
      <w:proofErr w:type="gramEnd"/>
      <w:r>
        <w:rPr>
          <w:rFonts w:ascii="Book Antiqua" w:eastAsia="Book Antiqua" w:hAnsi="Book Antiqua" w:cs="Book Antiqua"/>
        </w:rPr>
        <w:t xml:space="preserve">3)R-Grp75-VDAC1-MCU calcium regulation axis antagonists protect podocytes from apoptosis and decrease proteinuria in an Adriamycin nephropathy rat model. </w:t>
      </w:r>
      <w:r>
        <w:rPr>
          <w:rFonts w:ascii="Book Antiqua" w:eastAsia="Book Antiqua" w:hAnsi="Book Antiqua" w:cs="Book Antiqua"/>
          <w:i/>
          <w:iCs/>
        </w:rPr>
        <w:t>BMC Nephrol</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140 [PMID: 29907098 DOI: 10.1186/s12882-018-0940-3]</w:t>
      </w:r>
    </w:p>
    <w:p w14:paraId="34F2F399" w14:textId="77777777" w:rsidR="00783269" w:rsidRDefault="00783269">
      <w:pPr>
        <w:spacing w:line="360" w:lineRule="auto"/>
        <w:jc w:val="both"/>
        <w:rPr>
          <w:rFonts w:ascii="Book Antiqua" w:hAnsi="Book Antiqua"/>
        </w:rPr>
      </w:pPr>
    </w:p>
    <w:p w14:paraId="677810AB"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Footnotes</w:t>
      </w:r>
    </w:p>
    <w:p w14:paraId="04245308" w14:textId="77777777" w:rsidR="00783269" w:rsidRDefault="00000000">
      <w:pPr>
        <w:spacing w:line="360" w:lineRule="auto"/>
        <w:jc w:val="both"/>
        <w:rPr>
          <w:rFonts w:ascii="Book Antiqua" w:hAnsi="Book Antiqua"/>
        </w:rPr>
      </w:pPr>
      <w:bookmarkStart w:id="15" w:name="_Hlk142485603"/>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This study did not involve human subjects or living animals.</w:t>
      </w:r>
    </w:p>
    <w:bookmarkEnd w:id="15"/>
    <w:p w14:paraId="00920465" w14:textId="77777777" w:rsidR="00783269" w:rsidRDefault="00783269">
      <w:pPr>
        <w:spacing w:line="360" w:lineRule="auto"/>
        <w:jc w:val="both"/>
        <w:rPr>
          <w:rFonts w:ascii="Book Antiqua" w:hAnsi="Book Antiqua"/>
        </w:rPr>
      </w:pPr>
    </w:p>
    <w:p w14:paraId="7CBF49CA"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having no relevant conflicts of interest for this article.</w:t>
      </w:r>
    </w:p>
    <w:p w14:paraId="517EC5F1" w14:textId="77777777" w:rsidR="00783269" w:rsidRDefault="00783269">
      <w:pPr>
        <w:spacing w:line="360" w:lineRule="auto"/>
        <w:jc w:val="both"/>
        <w:rPr>
          <w:rFonts w:ascii="Book Antiqua" w:hAnsi="Book Antiqua"/>
        </w:rPr>
      </w:pPr>
    </w:p>
    <w:p w14:paraId="077C81CD"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 used to support the findings of this study are available from the corresponding author at 592153968@qq.com upon request.</w:t>
      </w:r>
    </w:p>
    <w:p w14:paraId="4E8C4161" w14:textId="77777777" w:rsidR="00783269" w:rsidRDefault="00783269">
      <w:pPr>
        <w:spacing w:line="360" w:lineRule="auto"/>
        <w:jc w:val="both"/>
        <w:rPr>
          <w:rFonts w:ascii="Book Antiqua" w:hAnsi="Book Antiqua"/>
        </w:rPr>
      </w:pPr>
    </w:p>
    <w:p w14:paraId="75B51102"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5A73B6" w14:textId="77777777" w:rsidR="00783269" w:rsidRDefault="00783269">
      <w:pPr>
        <w:spacing w:line="360" w:lineRule="auto"/>
        <w:jc w:val="both"/>
        <w:rPr>
          <w:rFonts w:ascii="Book Antiqua" w:hAnsi="Book Antiqua"/>
        </w:rPr>
      </w:pPr>
    </w:p>
    <w:p w14:paraId="2F15DBDE"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rPr>
        <w:t>Unsolicited article; Externally peer reviewed.</w:t>
      </w:r>
    </w:p>
    <w:p w14:paraId="74A0A9D0"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29F8C6B" w14:textId="77777777" w:rsidR="00783269" w:rsidRDefault="00783269">
      <w:pPr>
        <w:spacing w:line="360" w:lineRule="auto"/>
        <w:jc w:val="both"/>
        <w:rPr>
          <w:rFonts w:ascii="Book Antiqua" w:hAnsi="Book Antiqua"/>
        </w:rPr>
      </w:pPr>
    </w:p>
    <w:p w14:paraId="4DDAC873"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23, 2023</w:t>
      </w:r>
    </w:p>
    <w:p w14:paraId="5D48CCFA"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17, 2023</w:t>
      </w:r>
    </w:p>
    <w:p w14:paraId="4CEC6D8F"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533DF84" w14:textId="77777777" w:rsidR="00783269" w:rsidRDefault="00783269">
      <w:pPr>
        <w:spacing w:line="360" w:lineRule="auto"/>
        <w:jc w:val="both"/>
        <w:rPr>
          <w:rFonts w:ascii="Book Antiqua" w:hAnsi="Book Antiqua"/>
        </w:rPr>
      </w:pPr>
    </w:p>
    <w:p w14:paraId="52129941"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2E8E2556"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E3B1C1A" w14:textId="77777777" w:rsidR="00783269"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CB1CC56" w14:textId="77777777" w:rsidR="00783269" w:rsidRDefault="00000000">
      <w:pPr>
        <w:spacing w:line="360" w:lineRule="auto"/>
        <w:jc w:val="both"/>
        <w:rPr>
          <w:rFonts w:ascii="Book Antiqua" w:hAnsi="Book Antiqua"/>
        </w:rPr>
      </w:pPr>
      <w:r>
        <w:rPr>
          <w:rFonts w:ascii="Book Antiqua" w:eastAsia="Book Antiqua" w:hAnsi="Book Antiqua" w:cs="Book Antiqua"/>
        </w:rPr>
        <w:t>Grade A (Excellent): A</w:t>
      </w:r>
    </w:p>
    <w:p w14:paraId="2BF8F69B" w14:textId="77777777" w:rsidR="00783269" w:rsidRDefault="00000000">
      <w:pPr>
        <w:spacing w:line="360" w:lineRule="auto"/>
        <w:jc w:val="both"/>
        <w:rPr>
          <w:rFonts w:ascii="Book Antiqua" w:hAnsi="Book Antiqua"/>
        </w:rPr>
      </w:pPr>
      <w:r>
        <w:rPr>
          <w:rFonts w:ascii="Book Antiqua" w:eastAsia="Book Antiqua" w:hAnsi="Book Antiqua" w:cs="Book Antiqua"/>
        </w:rPr>
        <w:t>Grade B (Very good): B</w:t>
      </w:r>
    </w:p>
    <w:p w14:paraId="0919595A" w14:textId="77777777" w:rsidR="00783269" w:rsidRDefault="00000000">
      <w:pPr>
        <w:spacing w:line="360" w:lineRule="auto"/>
        <w:jc w:val="both"/>
        <w:rPr>
          <w:rFonts w:ascii="Book Antiqua" w:hAnsi="Book Antiqua"/>
        </w:rPr>
      </w:pPr>
      <w:r>
        <w:rPr>
          <w:rFonts w:ascii="Book Antiqua" w:eastAsia="Book Antiqua" w:hAnsi="Book Antiqua" w:cs="Book Antiqua"/>
        </w:rPr>
        <w:t>Grade C (Good): C</w:t>
      </w:r>
    </w:p>
    <w:p w14:paraId="2C857849" w14:textId="77777777" w:rsidR="00783269" w:rsidRDefault="00000000">
      <w:pPr>
        <w:spacing w:line="360" w:lineRule="auto"/>
        <w:jc w:val="both"/>
        <w:rPr>
          <w:rFonts w:ascii="Book Antiqua" w:hAnsi="Book Antiqua"/>
        </w:rPr>
      </w:pPr>
      <w:r>
        <w:rPr>
          <w:rFonts w:ascii="Book Antiqua" w:eastAsia="Book Antiqua" w:hAnsi="Book Antiqua" w:cs="Book Antiqua"/>
        </w:rPr>
        <w:t>Grade D (Fair): 0</w:t>
      </w:r>
    </w:p>
    <w:p w14:paraId="176450E7" w14:textId="77777777" w:rsidR="00783269" w:rsidRDefault="00000000">
      <w:pPr>
        <w:spacing w:line="360" w:lineRule="auto"/>
        <w:jc w:val="both"/>
        <w:rPr>
          <w:rFonts w:ascii="Book Antiqua" w:hAnsi="Book Antiqua"/>
        </w:rPr>
      </w:pPr>
      <w:r>
        <w:rPr>
          <w:rFonts w:ascii="Book Antiqua" w:eastAsia="Book Antiqua" w:hAnsi="Book Antiqua" w:cs="Book Antiqua"/>
        </w:rPr>
        <w:t>Grade E (Poor): 0</w:t>
      </w:r>
    </w:p>
    <w:p w14:paraId="7E807339" w14:textId="77777777" w:rsidR="00783269" w:rsidRDefault="00783269">
      <w:pPr>
        <w:spacing w:line="360" w:lineRule="auto"/>
        <w:jc w:val="both"/>
        <w:rPr>
          <w:rFonts w:ascii="Book Antiqua" w:hAnsi="Book Antiqua"/>
        </w:rPr>
      </w:pPr>
    </w:p>
    <w:p w14:paraId="20D15296" w14:textId="77777777" w:rsidR="0078326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Franci</w:t>
      </w:r>
      <w:proofErr w:type="spellEnd"/>
      <w:r>
        <w:rPr>
          <w:rFonts w:ascii="Book Antiqua" w:eastAsia="Book Antiqua" w:hAnsi="Book Antiqua" w:cs="Book Antiqua"/>
        </w:rPr>
        <w:t xml:space="preserve"> G,</w:t>
      </w:r>
      <w:r>
        <w:rPr>
          <w:rFonts w:ascii="Book Antiqua" w:hAnsi="Book Antiqua"/>
        </w:rPr>
        <w:t xml:space="preserve"> </w:t>
      </w:r>
      <w:r>
        <w:rPr>
          <w:rFonts w:ascii="Book Antiqua" w:eastAsia="Book Antiqua" w:hAnsi="Book Antiqua" w:cs="Book Antiqua"/>
        </w:rPr>
        <w:t>Italy; Rizzo A, Italy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p>
    <w:p w14:paraId="195A0828" w14:textId="77777777" w:rsidR="00783269" w:rsidRDefault="00783269">
      <w:pPr>
        <w:spacing w:line="360" w:lineRule="auto"/>
        <w:jc w:val="both"/>
        <w:rPr>
          <w:rFonts w:ascii="Book Antiqua" w:eastAsia="Book Antiqua" w:hAnsi="Book Antiqua" w:cs="Book Antiqua"/>
          <w:b/>
          <w:color w:val="000000"/>
        </w:rPr>
      </w:pPr>
    </w:p>
    <w:p w14:paraId="2DF79AD5" w14:textId="77777777" w:rsidR="0078326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EFBAEFB"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75773C21" wp14:editId="7A4AC741">
            <wp:extent cx="5943600" cy="1749425"/>
            <wp:effectExtent l="0" t="0" r="0" b="0"/>
            <wp:docPr id="48636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67735" name="Picture 1"/>
                    <pic:cNvPicPr>
                      <a:picLocks noChangeAspect="1"/>
                    </pic:cNvPicPr>
                  </pic:nvPicPr>
                  <pic:blipFill>
                    <a:blip r:embed="rId6"/>
                    <a:stretch>
                      <a:fillRect/>
                    </a:stretch>
                  </pic:blipFill>
                  <pic:spPr>
                    <a:xfrm>
                      <a:off x="0" y="0"/>
                      <a:ext cx="5943600" cy="1749425"/>
                    </a:xfrm>
                    <a:prstGeom prst="rect">
                      <a:avLst/>
                    </a:prstGeom>
                  </pic:spPr>
                </pic:pic>
              </a:graphicData>
            </a:graphic>
          </wp:inline>
        </w:drawing>
      </w:r>
    </w:p>
    <w:p w14:paraId="68747F3D" w14:textId="77777777" w:rsidR="00783269"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1CAFFD4" wp14:editId="03C51B32">
            <wp:extent cx="5943600" cy="2496820"/>
            <wp:effectExtent l="0" t="0" r="0" b="0"/>
            <wp:docPr id="343487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87449" name="Picture 2"/>
                    <pic:cNvPicPr>
                      <a:picLocks noChangeAspect="1"/>
                    </pic:cNvPicPr>
                  </pic:nvPicPr>
                  <pic:blipFill>
                    <a:blip r:embed="rId7"/>
                    <a:stretch>
                      <a:fillRect/>
                    </a:stretch>
                  </pic:blipFill>
                  <pic:spPr>
                    <a:xfrm>
                      <a:off x="0" y="0"/>
                      <a:ext cx="5943600" cy="2496820"/>
                    </a:xfrm>
                    <a:prstGeom prst="rect">
                      <a:avLst/>
                    </a:prstGeom>
                  </pic:spPr>
                </pic:pic>
              </a:graphicData>
            </a:graphic>
          </wp:inline>
        </w:drawing>
      </w:r>
    </w:p>
    <w:p w14:paraId="58423FDE"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3BB102F7" wp14:editId="10CB813E">
            <wp:extent cx="5943600" cy="2617470"/>
            <wp:effectExtent l="0" t="0" r="0" b="0"/>
            <wp:docPr id="445769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9133" name="Picture 3"/>
                    <pic:cNvPicPr>
                      <a:picLocks noChangeAspect="1"/>
                    </pic:cNvPicPr>
                  </pic:nvPicPr>
                  <pic:blipFill>
                    <a:blip r:embed="rId8"/>
                    <a:stretch>
                      <a:fillRect/>
                    </a:stretch>
                  </pic:blipFill>
                  <pic:spPr>
                    <a:xfrm>
                      <a:off x="0" y="0"/>
                      <a:ext cx="5943600" cy="2617470"/>
                    </a:xfrm>
                    <a:prstGeom prst="rect">
                      <a:avLst/>
                    </a:prstGeom>
                  </pic:spPr>
                </pic:pic>
              </a:graphicData>
            </a:graphic>
          </wp:inline>
        </w:drawing>
      </w:r>
    </w:p>
    <w:p w14:paraId="00991965"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6A29F43F" wp14:editId="668C1516">
            <wp:extent cx="5943600" cy="2020570"/>
            <wp:effectExtent l="0" t="0" r="0" b="0"/>
            <wp:docPr id="1654142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42552" name="Picture 4"/>
                    <pic:cNvPicPr>
                      <a:picLocks noChangeAspect="1"/>
                    </pic:cNvPicPr>
                  </pic:nvPicPr>
                  <pic:blipFill>
                    <a:blip r:embed="rId9"/>
                    <a:stretch>
                      <a:fillRect/>
                    </a:stretch>
                  </pic:blipFill>
                  <pic:spPr>
                    <a:xfrm>
                      <a:off x="0" y="0"/>
                      <a:ext cx="5943600" cy="2020570"/>
                    </a:xfrm>
                    <a:prstGeom prst="rect">
                      <a:avLst/>
                    </a:prstGeom>
                  </pic:spPr>
                </pic:pic>
              </a:graphicData>
            </a:graphic>
          </wp:inline>
        </w:drawing>
      </w:r>
    </w:p>
    <w:p w14:paraId="0C6FE0D5" w14:textId="77777777" w:rsidR="0078326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1 Impact of </w:t>
      </w:r>
      <w:bookmarkStart w:id="16" w:name="_Hlk142480375"/>
      <w:proofErr w:type="spellStart"/>
      <w:r>
        <w:rPr>
          <w:rFonts w:ascii="Book Antiqua" w:eastAsia="Book Antiqua" w:hAnsi="Book Antiqua" w:cs="Book Antiqua"/>
          <w:b/>
          <w:bCs/>
        </w:rPr>
        <w:t>suberoylanilide</w:t>
      </w:r>
      <w:proofErr w:type="spellEnd"/>
      <w:r>
        <w:rPr>
          <w:rFonts w:ascii="Book Antiqua" w:eastAsia="Book Antiqua" w:hAnsi="Book Antiqua" w:cs="Book Antiqua"/>
          <w:b/>
          <w:bCs/>
        </w:rPr>
        <w:t xml:space="preserve"> hydroxamic acid</w:t>
      </w:r>
      <w:bookmarkEnd w:id="16"/>
      <w:r>
        <w:rPr>
          <w:rFonts w:ascii="Book Antiqua" w:eastAsia="Book Antiqua" w:hAnsi="Book Antiqua" w:cs="Book Antiqua"/>
          <w:b/>
          <w:bCs/>
        </w:rPr>
        <w:t xml:space="preserve"> treatment on cell viability, cell cycle dispersion, and cellular apoptosis in Huh7 and MHCC97L cells.</w:t>
      </w:r>
      <w:r>
        <w:rPr>
          <w:rFonts w:ascii="Book Antiqua" w:eastAsia="Book Antiqua" w:hAnsi="Book Antiqua" w:cs="Book Antiqua"/>
        </w:rPr>
        <w:t xml:space="preserve"> A: Huh7 and MHCC97L cells were treated with 0, 0.5, 1, 3, 6, 9, 12, 18, and 24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hydroxamic acid (SAHA) for 48 h. The proliferation of Huh7 and MHCC97L cells upon SAHA treatment was monitored using a cell counting kit-8 assay; B-F: Huh7 and MHCC97L cells were exposed to 0, 1, 3, 6, and 12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SAHA for 48 h. The proportions of apoptotic cells and the cell cycle dispersion were detected using flow cytometer. Experiments were repeated thrice. </w:t>
      </w:r>
      <w:r>
        <w:rPr>
          <w:rFonts w:ascii="Book Antiqua" w:eastAsia="Book Antiqua" w:hAnsi="Book Antiqua" w:cs="Book Antiqua"/>
          <w:color w:val="000000"/>
        </w:rPr>
        <w:t xml:space="preserve">Representative results from three independent replicate assays are shown. Data are </w:t>
      </w:r>
      <w:r>
        <w:rPr>
          <w:rFonts w:ascii="Book Antiqua" w:eastAsia="Book Antiqua" w:hAnsi="Book Antiqua" w:cs="Book Antiqua"/>
        </w:rPr>
        <w:t>exhibited as</w:t>
      </w:r>
      <w:r>
        <w:rPr>
          <w:rFonts w:ascii="Book Antiqua" w:eastAsia="Book Antiqua" w:hAnsi="Book Antiqua" w:cs="Book Antiqua"/>
          <w:color w:val="000000"/>
        </w:rPr>
        <w:t xml:space="preserve"> mean ± standard deviation.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rPr>
        <w:t xml:space="preserve">0 </w:t>
      </w:r>
      <w:proofErr w:type="spellStart"/>
      <w:r>
        <w:rPr>
          <w:rFonts w:ascii="Book Antiqua" w:eastAsia="Book Antiqua" w:hAnsi="Book Antiqua" w:cs="Book Antiqua"/>
        </w:rPr>
        <w:t>μmol</w:t>
      </w:r>
      <w:proofErr w:type="spellEnd"/>
      <w:r>
        <w:rPr>
          <w:rFonts w:ascii="Book Antiqua" w:eastAsia="Book Antiqua" w:hAnsi="Book Antiqua" w:cs="Book Antiqua"/>
        </w:rPr>
        <w:t>/L group</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 PI: Propidium iodide.</w:t>
      </w:r>
    </w:p>
    <w:p w14:paraId="3B10F424" w14:textId="77777777" w:rsidR="00783269" w:rsidRDefault="00783269">
      <w:pPr>
        <w:spacing w:line="360" w:lineRule="auto"/>
        <w:jc w:val="both"/>
        <w:rPr>
          <w:rFonts w:ascii="Book Antiqua" w:eastAsia="Book Antiqua" w:hAnsi="Book Antiqua" w:cs="Book Antiqua"/>
          <w:color w:val="000000"/>
        </w:rPr>
      </w:pPr>
    </w:p>
    <w:p w14:paraId="1472E73A"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2711E507" wp14:editId="748C16EE">
            <wp:extent cx="5943600" cy="1898015"/>
            <wp:effectExtent l="0" t="0" r="0" b="0"/>
            <wp:docPr id="809646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46645" name="Picture 5"/>
                    <pic:cNvPicPr>
                      <a:picLocks noChangeAspect="1"/>
                    </pic:cNvPicPr>
                  </pic:nvPicPr>
                  <pic:blipFill>
                    <a:blip r:embed="rId10"/>
                    <a:stretch>
                      <a:fillRect/>
                    </a:stretch>
                  </pic:blipFill>
                  <pic:spPr>
                    <a:xfrm>
                      <a:off x="0" y="0"/>
                      <a:ext cx="5943600" cy="1898015"/>
                    </a:xfrm>
                    <a:prstGeom prst="rect">
                      <a:avLst/>
                    </a:prstGeom>
                  </pic:spPr>
                </pic:pic>
              </a:graphicData>
            </a:graphic>
          </wp:inline>
        </w:drawing>
      </w:r>
    </w:p>
    <w:p w14:paraId="171D6BA6"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3D589D0D" wp14:editId="0B8DC77B">
            <wp:extent cx="5943600" cy="1728470"/>
            <wp:effectExtent l="0" t="0" r="0" b="0"/>
            <wp:docPr id="1615988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88042" name="Picture 6"/>
                    <pic:cNvPicPr>
                      <a:picLocks noChangeAspect="1"/>
                    </pic:cNvPicPr>
                  </pic:nvPicPr>
                  <pic:blipFill>
                    <a:blip r:embed="rId11"/>
                    <a:stretch>
                      <a:fillRect/>
                    </a:stretch>
                  </pic:blipFill>
                  <pic:spPr>
                    <a:xfrm>
                      <a:off x="0" y="0"/>
                      <a:ext cx="5943600" cy="1728470"/>
                    </a:xfrm>
                    <a:prstGeom prst="rect">
                      <a:avLst/>
                    </a:prstGeom>
                  </pic:spPr>
                </pic:pic>
              </a:graphicData>
            </a:graphic>
          </wp:inline>
        </w:drawing>
      </w:r>
    </w:p>
    <w:p w14:paraId="5EB76F08"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592A5F4C" wp14:editId="4996C77E">
            <wp:extent cx="5943600" cy="1599565"/>
            <wp:effectExtent l="0" t="0" r="0" b="0"/>
            <wp:docPr id="424610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10341" name="Picture 7"/>
                    <pic:cNvPicPr>
                      <a:picLocks noChangeAspect="1"/>
                    </pic:cNvPicPr>
                  </pic:nvPicPr>
                  <pic:blipFill>
                    <a:blip r:embed="rId12"/>
                    <a:stretch>
                      <a:fillRect/>
                    </a:stretch>
                  </pic:blipFill>
                  <pic:spPr>
                    <a:xfrm>
                      <a:off x="0" y="0"/>
                      <a:ext cx="5943600" cy="1599565"/>
                    </a:xfrm>
                    <a:prstGeom prst="rect">
                      <a:avLst/>
                    </a:prstGeom>
                  </pic:spPr>
                </pic:pic>
              </a:graphicData>
            </a:graphic>
          </wp:inline>
        </w:drawing>
      </w:r>
    </w:p>
    <w:p w14:paraId="3E2B7ACB" w14:textId="77777777" w:rsidR="0078326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2 Impact of </w:t>
      </w:r>
      <w:proofErr w:type="spellStart"/>
      <w:r>
        <w:rPr>
          <w:rFonts w:ascii="Book Antiqua" w:eastAsia="Book Antiqua" w:hAnsi="Book Antiqua" w:cs="Book Antiqua"/>
          <w:b/>
          <w:bCs/>
        </w:rPr>
        <w:t>suberoylanilide</w:t>
      </w:r>
      <w:proofErr w:type="spellEnd"/>
      <w:r>
        <w:rPr>
          <w:rFonts w:ascii="Book Antiqua" w:eastAsia="Book Antiqua" w:hAnsi="Book Antiqua" w:cs="Book Antiqua"/>
          <w:b/>
          <w:bCs/>
        </w:rPr>
        <w:t xml:space="preserve"> hydroxamic acid treatment on the migration and invasion of Huh7 and MHCC97L cells.</w:t>
      </w:r>
      <w:r>
        <w:rPr>
          <w:rFonts w:ascii="Book Antiqua" w:eastAsia="Book Antiqua" w:hAnsi="Book Antiqua" w:cs="Book Antiqua"/>
        </w:rPr>
        <w:t xml:space="preserve"> A and B: During experimental verification, the </w:t>
      </w:r>
      <w:r>
        <w:rPr>
          <w:rFonts w:ascii="Book Antiqua" w:eastAsia="Book Antiqua" w:hAnsi="Book Antiqua" w:cs="Book Antiqua"/>
        </w:rPr>
        <w:lastRenderedPageBreak/>
        <w:t xml:space="preserve">mobile ability of hepatocellular carcinoma cells could not be observed in the 6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and 12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(SAHA) groups and even the cell growth was directly inhibited. Therefore, we selected 3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SAHA to treat Huh7 and MHCC97L cells in a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Both cell lines were vehicle-treated with 0.1% </w:t>
      </w:r>
      <w:r>
        <w:rPr>
          <w:rFonts w:ascii="Book Antiqua" w:eastAsia="Book Antiqua" w:hAnsi="Book Antiqua" w:cs="Book Antiqua"/>
          <w:color w:val="000000"/>
        </w:rPr>
        <w:t>dimethyl sulfoxide</w:t>
      </w:r>
      <w:r>
        <w:rPr>
          <w:rFonts w:ascii="Book Antiqua" w:eastAsia="Book Antiqua" w:hAnsi="Book Antiqua" w:cs="Book Antiqua"/>
        </w:rPr>
        <w:t xml:space="preserve"> or exposed to 3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SAHA for 48 h. The migration and invasion behavior of cells was evaluated by calculating the cells stained using crystal violet. Representative pictures of invaded hepatocellular carcinoma cells from three independent replicate assays are exhibited; C and D: Statistical graphs; E: In the cell scratch experiment, the space in the middle was artificially divided into regions to observe the motility of Huh7 and MHCC97L cells upon treatment with various doses of SAHA (0, 1, 3, 6, and 12 </w:t>
      </w:r>
      <w:proofErr w:type="spellStart"/>
      <w:r>
        <w:rPr>
          <w:rFonts w:ascii="Book Antiqua" w:eastAsia="Book Antiqua" w:hAnsi="Book Antiqua" w:cs="Book Antiqua"/>
        </w:rPr>
        <w:t>μmol</w:t>
      </w:r>
      <w:proofErr w:type="spellEnd"/>
      <w:r>
        <w:rPr>
          <w:rFonts w:ascii="Book Antiqua" w:eastAsia="Book Antiqua" w:hAnsi="Book Antiqua" w:cs="Book Antiqua"/>
        </w:rPr>
        <w:t>/L) for 48 h. All cells were observed under an inverted microscope with a 40-fold objective lens. D</w:t>
      </w:r>
      <w:r>
        <w:rPr>
          <w:rFonts w:ascii="Book Antiqua" w:eastAsia="Book Antiqua" w:hAnsi="Book Antiqua" w:cs="Book Antiqua"/>
          <w:color w:val="000000"/>
        </w:rPr>
        <w:t xml:space="preserve">ata are </w:t>
      </w:r>
      <w:r>
        <w:rPr>
          <w:rFonts w:ascii="Book Antiqua" w:eastAsia="Book Antiqua" w:hAnsi="Book Antiqua" w:cs="Book Antiqua"/>
        </w:rPr>
        <w:t xml:space="preserve">exhibited as </w:t>
      </w:r>
      <w:r>
        <w:rPr>
          <w:rFonts w:ascii="Book Antiqua" w:eastAsia="Book Antiqua" w:hAnsi="Book Antiqua" w:cs="Book Antiqua"/>
          <w:color w:val="000000"/>
        </w:rPr>
        <w:t xml:space="preserve">mean ± standard deviation.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rPr>
        <w:t>control group</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p>
    <w:p w14:paraId="2512A560" w14:textId="77777777" w:rsidR="00783269" w:rsidRDefault="00783269">
      <w:pPr>
        <w:spacing w:line="360" w:lineRule="auto"/>
        <w:jc w:val="both"/>
        <w:rPr>
          <w:rFonts w:ascii="Book Antiqua" w:hAnsi="Book Antiqua"/>
        </w:rPr>
      </w:pPr>
    </w:p>
    <w:p w14:paraId="575F0F5E"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3870014B" wp14:editId="3BEE6FE4">
            <wp:extent cx="5570220" cy="2942590"/>
            <wp:effectExtent l="0" t="0" r="0" b="0"/>
            <wp:docPr id="171116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6483" name="Picture 8"/>
                    <pic:cNvPicPr>
                      <a:picLocks noChangeAspect="1"/>
                    </pic:cNvPicPr>
                  </pic:nvPicPr>
                  <pic:blipFill>
                    <a:blip r:embed="rId13"/>
                    <a:stretch>
                      <a:fillRect/>
                    </a:stretch>
                  </pic:blipFill>
                  <pic:spPr>
                    <a:xfrm>
                      <a:off x="0" y="0"/>
                      <a:ext cx="5573743" cy="2944675"/>
                    </a:xfrm>
                    <a:prstGeom prst="rect">
                      <a:avLst/>
                    </a:prstGeom>
                  </pic:spPr>
                </pic:pic>
              </a:graphicData>
            </a:graphic>
          </wp:inline>
        </w:drawing>
      </w:r>
    </w:p>
    <w:p w14:paraId="74DD6B87" w14:textId="77777777" w:rsidR="00783269"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454748E8" wp14:editId="5AC4C645">
            <wp:extent cx="4770120" cy="2330450"/>
            <wp:effectExtent l="0" t="0" r="0" b="0"/>
            <wp:docPr id="1476243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3632" name="Picture 9"/>
                    <pic:cNvPicPr>
                      <a:picLocks noChangeAspect="1"/>
                    </pic:cNvPicPr>
                  </pic:nvPicPr>
                  <pic:blipFill>
                    <a:blip r:embed="rId14"/>
                    <a:stretch>
                      <a:fillRect/>
                    </a:stretch>
                  </pic:blipFill>
                  <pic:spPr>
                    <a:xfrm>
                      <a:off x="0" y="0"/>
                      <a:ext cx="4776920" cy="2334331"/>
                    </a:xfrm>
                    <a:prstGeom prst="rect">
                      <a:avLst/>
                    </a:prstGeom>
                  </pic:spPr>
                </pic:pic>
              </a:graphicData>
            </a:graphic>
          </wp:inline>
        </w:drawing>
      </w:r>
    </w:p>
    <w:p w14:paraId="6D7306D6"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49F724AD" wp14:editId="2946D1FF">
            <wp:extent cx="4777740" cy="2580640"/>
            <wp:effectExtent l="0" t="0" r="0" b="0"/>
            <wp:docPr id="471611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11166" name="Picture 10"/>
                    <pic:cNvPicPr>
                      <a:picLocks noChangeAspect="1"/>
                    </pic:cNvPicPr>
                  </pic:nvPicPr>
                  <pic:blipFill>
                    <a:blip r:embed="rId15"/>
                    <a:stretch>
                      <a:fillRect/>
                    </a:stretch>
                  </pic:blipFill>
                  <pic:spPr>
                    <a:xfrm>
                      <a:off x="0" y="0"/>
                      <a:ext cx="4789185" cy="2586914"/>
                    </a:xfrm>
                    <a:prstGeom prst="rect">
                      <a:avLst/>
                    </a:prstGeom>
                  </pic:spPr>
                </pic:pic>
              </a:graphicData>
            </a:graphic>
          </wp:inline>
        </w:drawing>
      </w:r>
    </w:p>
    <w:p w14:paraId="70DA360D" w14:textId="77777777" w:rsidR="00783269"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1CF2F29D" wp14:editId="2F5235BF">
            <wp:extent cx="5943600" cy="3729355"/>
            <wp:effectExtent l="0" t="0" r="0" b="0"/>
            <wp:docPr id="1791281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81172" name="Picture 11"/>
                    <pic:cNvPicPr>
                      <a:picLocks noChangeAspect="1"/>
                    </pic:cNvPicPr>
                  </pic:nvPicPr>
                  <pic:blipFill>
                    <a:blip r:embed="rId16"/>
                    <a:stretch>
                      <a:fillRect/>
                    </a:stretch>
                  </pic:blipFill>
                  <pic:spPr>
                    <a:xfrm>
                      <a:off x="0" y="0"/>
                      <a:ext cx="5943600" cy="3729355"/>
                    </a:xfrm>
                    <a:prstGeom prst="rect">
                      <a:avLst/>
                    </a:prstGeom>
                  </pic:spPr>
                </pic:pic>
              </a:graphicData>
            </a:graphic>
          </wp:inline>
        </w:drawing>
      </w:r>
    </w:p>
    <w:p w14:paraId="7E5889BA"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7FE4A983" wp14:editId="02481196">
            <wp:extent cx="5943600" cy="1901190"/>
            <wp:effectExtent l="0" t="0" r="0" b="0"/>
            <wp:docPr id="15150525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2565" name="Picture 12"/>
                    <pic:cNvPicPr>
                      <a:picLocks noChangeAspect="1"/>
                    </pic:cNvPicPr>
                  </pic:nvPicPr>
                  <pic:blipFill>
                    <a:blip r:embed="rId17"/>
                    <a:stretch>
                      <a:fillRect/>
                    </a:stretch>
                  </pic:blipFill>
                  <pic:spPr>
                    <a:xfrm>
                      <a:off x="0" y="0"/>
                      <a:ext cx="5943600" cy="1901190"/>
                    </a:xfrm>
                    <a:prstGeom prst="rect">
                      <a:avLst/>
                    </a:prstGeom>
                  </pic:spPr>
                </pic:pic>
              </a:graphicData>
            </a:graphic>
          </wp:inline>
        </w:drawing>
      </w:r>
    </w:p>
    <w:p w14:paraId="25A8B243" w14:textId="77777777" w:rsidR="0078326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3 Impact of </w:t>
      </w:r>
      <w:bookmarkStart w:id="17" w:name="_Hlk142484183"/>
      <w:proofErr w:type="spellStart"/>
      <w:r>
        <w:rPr>
          <w:rFonts w:ascii="Book Antiqua" w:eastAsia="Book Antiqua" w:hAnsi="Book Antiqua" w:cs="Book Antiqua"/>
          <w:b/>
          <w:bCs/>
        </w:rPr>
        <w:t>suberoylanilide</w:t>
      </w:r>
      <w:proofErr w:type="spellEnd"/>
      <w:r>
        <w:rPr>
          <w:rFonts w:ascii="Book Antiqua" w:eastAsia="Book Antiqua" w:hAnsi="Book Antiqua" w:cs="Book Antiqua"/>
          <w:b/>
          <w:bCs/>
        </w:rPr>
        <w:t xml:space="preserve"> hydroxamic acid</w:t>
      </w:r>
      <w:bookmarkEnd w:id="17"/>
      <w:r>
        <w:rPr>
          <w:rFonts w:ascii="Book Antiqua" w:eastAsia="Book Antiqua" w:hAnsi="Book Antiqua" w:cs="Book Antiqua"/>
          <w:b/>
          <w:bCs/>
        </w:rPr>
        <w:t xml:space="preserve"> treatment on the level of </w:t>
      </w:r>
      <w:bookmarkStart w:id="18" w:name="_Hlk142484490"/>
      <w:r>
        <w:rPr>
          <w:rFonts w:ascii="Book Antiqua" w:eastAsia="Book Antiqua" w:hAnsi="Book Antiqua" w:cs="Book Antiqua"/>
          <w:b/>
          <w:bCs/>
        </w:rPr>
        <w:t>endoplasmic reticulum</w:t>
      </w:r>
      <w:bookmarkEnd w:id="18"/>
      <w:r>
        <w:rPr>
          <w:rFonts w:ascii="Book Antiqua" w:eastAsia="Book Antiqua" w:hAnsi="Book Antiqua" w:cs="Book Antiqua"/>
          <w:b/>
          <w:bCs/>
        </w:rPr>
        <w:t>-</w:t>
      </w:r>
      <w:proofErr w:type="spellStart"/>
      <w:r>
        <w:rPr>
          <w:rFonts w:ascii="Book Antiqua" w:eastAsia="Book Antiqua" w:hAnsi="Book Antiqua" w:cs="Book Antiqua"/>
          <w:b/>
          <w:bCs/>
        </w:rPr>
        <w:t>phagy</w:t>
      </w:r>
      <w:proofErr w:type="spellEnd"/>
      <w:r>
        <w:rPr>
          <w:rFonts w:ascii="Book Antiqua" w:eastAsia="Book Antiqua" w:hAnsi="Book Antiqua" w:cs="Book Antiqua"/>
          <w:b/>
          <w:bCs/>
        </w:rPr>
        <w:t xml:space="preserve"> and autophagy-mediated cell death in Huh7 and MHCC97L cells.</w:t>
      </w:r>
      <w:r>
        <w:rPr>
          <w:rFonts w:ascii="Book Antiqua" w:eastAsia="Book Antiqua" w:hAnsi="Book Antiqua" w:cs="Book Antiqua"/>
        </w:rPr>
        <w:t xml:space="preserve"> A-C: Huh7 and MHCC97L cells were exposed to 0, 1, 3, 6, and 12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for 48 h. Proteins related to the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pathway were detected using western blotting. Relative protein expression levels were normalized to β-actin; D: The colocalization coverage of the endoplasmic reticulum and lysosomes were observed using a confocal microscope (× 400). Representative pictures from three independent replicate assays are exhibited; E: Huh7 and MHCC97L cells were pretreated with 0.5 nmol/L BafA1 for 12 h, followed by 12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hydroxamic acid treatment for 48 h. Hoechst 33342/propidium iodide (PI) double staining localization assay was utilized to observe nuclear coagulation. After Hoechst 33342/PI double staining, the death rate of hepatocellular carcinoma cells was quantified based on the ratio of pink cells/blue cells. Experiments were repeated thrice. </w:t>
      </w:r>
      <w:r>
        <w:rPr>
          <w:rFonts w:ascii="Book Antiqua" w:eastAsia="Book Antiqua" w:hAnsi="Book Antiqua" w:cs="Book Antiqua"/>
          <w:color w:val="000000"/>
        </w:rPr>
        <w:t xml:space="preserve">Representative pictures from three independent replicate assays are shown. Data are </w:t>
      </w:r>
      <w:r>
        <w:rPr>
          <w:rFonts w:ascii="Book Antiqua" w:eastAsia="Book Antiqua" w:hAnsi="Book Antiqua" w:cs="Book Antiqua"/>
        </w:rPr>
        <w:t>exhibited as</w:t>
      </w:r>
      <w:r>
        <w:rPr>
          <w:rFonts w:ascii="Book Antiqua" w:eastAsia="Book Antiqua" w:hAnsi="Book Antiqua" w:cs="Book Antiqua"/>
          <w:color w:val="000000"/>
        </w:rPr>
        <w:t xml:space="preserve"> mean ± standard deviation.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rPr>
        <w:t xml:space="preserve">0 </w:t>
      </w:r>
      <w:proofErr w:type="spellStart"/>
      <w:r>
        <w:rPr>
          <w:rFonts w:ascii="Book Antiqua" w:eastAsia="Book Antiqua" w:hAnsi="Book Antiqua" w:cs="Book Antiqua"/>
        </w:rPr>
        <w:t>μmol</w:t>
      </w:r>
      <w:proofErr w:type="spellEnd"/>
      <w:r>
        <w:rPr>
          <w:rFonts w:ascii="Book Antiqua" w:eastAsia="Book Antiqua" w:hAnsi="Book Antiqua" w:cs="Book Antiqua"/>
        </w:rPr>
        <w:t>/L group</w:t>
      </w:r>
      <w:r>
        <w:rPr>
          <w:rFonts w:ascii="Book Antiqua" w:eastAsia="Book Antiqua" w:hAnsi="Book Antiqua" w:cs="Book Antiqua"/>
          <w:color w:val="000000"/>
        </w:rPr>
        <w:t xml:space="preserve">. SAHA: </w:t>
      </w:r>
      <w:proofErr w:type="spellStart"/>
      <w:r>
        <w:rPr>
          <w:rFonts w:ascii="Book Antiqua" w:eastAsia="Book Antiqua" w:hAnsi="Book Antiqua" w:cs="Book Antiqua"/>
          <w:color w:val="000000"/>
        </w:rPr>
        <w:t>Suberoylanilide</w:t>
      </w:r>
      <w:proofErr w:type="spellEnd"/>
      <w:r>
        <w:rPr>
          <w:rFonts w:ascii="Book Antiqua" w:eastAsia="Book Antiqua" w:hAnsi="Book Antiqua" w:cs="Book Antiqua"/>
          <w:color w:val="000000"/>
        </w:rPr>
        <w:t xml:space="preserve"> hydroxamic acid; ER: Endoplasmic reticulum; FAM134B:</w:t>
      </w:r>
      <w:r>
        <w:rPr>
          <w:rFonts w:ascii="Book Antiqua" w:eastAsia="Book Antiqua" w:hAnsi="Book Antiqua" w:cs="Book Antiqua"/>
        </w:rPr>
        <w:t xml:space="preserve"> Family with sequence similarity 134 member B</w:t>
      </w:r>
      <w:r>
        <w:rPr>
          <w:rFonts w:ascii="Book Antiqua" w:eastAsia="Book Antiqua" w:hAnsi="Book Antiqua" w:cs="Book Antiqua"/>
          <w:color w:val="000000"/>
        </w:rPr>
        <w:t>.</w:t>
      </w:r>
    </w:p>
    <w:p w14:paraId="53CB7A66" w14:textId="77777777" w:rsidR="00783269" w:rsidRDefault="00783269">
      <w:pPr>
        <w:spacing w:line="360" w:lineRule="auto"/>
        <w:jc w:val="both"/>
        <w:rPr>
          <w:rFonts w:ascii="Book Antiqua" w:hAnsi="Book Antiqua"/>
        </w:rPr>
      </w:pPr>
    </w:p>
    <w:p w14:paraId="40236E86"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21D758DF" wp14:editId="5D793163">
            <wp:extent cx="5516880" cy="2735580"/>
            <wp:effectExtent l="0" t="0" r="7620" b="7620"/>
            <wp:docPr id="1754752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52684" name="Picture 13"/>
                    <pic:cNvPicPr>
                      <a:picLocks noChangeAspect="1"/>
                    </pic:cNvPicPr>
                  </pic:nvPicPr>
                  <pic:blipFill>
                    <a:blip r:embed="rId18"/>
                    <a:stretch>
                      <a:fillRect/>
                    </a:stretch>
                  </pic:blipFill>
                  <pic:spPr>
                    <a:xfrm>
                      <a:off x="0" y="0"/>
                      <a:ext cx="5517358" cy="2735817"/>
                    </a:xfrm>
                    <a:prstGeom prst="rect">
                      <a:avLst/>
                    </a:prstGeom>
                  </pic:spPr>
                </pic:pic>
              </a:graphicData>
            </a:graphic>
          </wp:inline>
        </w:drawing>
      </w:r>
    </w:p>
    <w:p w14:paraId="2A53F1DC"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0D6893A9" wp14:editId="7FF5750F">
            <wp:extent cx="4800600" cy="2658745"/>
            <wp:effectExtent l="0" t="0" r="0" b="0"/>
            <wp:docPr id="1093880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80647" name="Picture 14"/>
                    <pic:cNvPicPr>
                      <a:picLocks noChangeAspect="1"/>
                    </pic:cNvPicPr>
                  </pic:nvPicPr>
                  <pic:blipFill>
                    <a:blip r:embed="rId19"/>
                    <a:stretch>
                      <a:fillRect/>
                    </a:stretch>
                  </pic:blipFill>
                  <pic:spPr>
                    <a:xfrm>
                      <a:off x="0" y="0"/>
                      <a:ext cx="4809715" cy="2663842"/>
                    </a:xfrm>
                    <a:prstGeom prst="rect">
                      <a:avLst/>
                    </a:prstGeom>
                  </pic:spPr>
                </pic:pic>
              </a:graphicData>
            </a:graphic>
          </wp:inline>
        </w:drawing>
      </w:r>
    </w:p>
    <w:p w14:paraId="71723CF7" w14:textId="77777777" w:rsidR="00783269"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0698C946" wp14:editId="2E6E299E">
            <wp:extent cx="4815840" cy="2407920"/>
            <wp:effectExtent l="0" t="0" r="0" b="0"/>
            <wp:docPr id="3649973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97325" name="Picture 15"/>
                    <pic:cNvPicPr>
                      <a:picLocks noChangeAspect="1"/>
                    </pic:cNvPicPr>
                  </pic:nvPicPr>
                  <pic:blipFill>
                    <a:blip r:embed="rId20"/>
                    <a:stretch>
                      <a:fillRect/>
                    </a:stretch>
                  </pic:blipFill>
                  <pic:spPr>
                    <a:xfrm>
                      <a:off x="0" y="0"/>
                      <a:ext cx="4816260" cy="2408130"/>
                    </a:xfrm>
                    <a:prstGeom prst="rect">
                      <a:avLst/>
                    </a:prstGeom>
                  </pic:spPr>
                </pic:pic>
              </a:graphicData>
            </a:graphic>
          </wp:inline>
        </w:drawing>
      </w:r>
    </w:p>
    <w:p w14:paraId="4699CAD6" w14:textId="77777777" w:rsidR="00783269" w:rsidRDefault="00000000">
      <w:pPr>
        <w:spacing w:line="360" w:lineRule="auto"/>
        <w:jc w:val="both"/>
        <w:rPr>
          <w:rFonts w:ascii="Book Antiqua" w:hAnsi="Book Antiqua"/>
        </w:rPr>
      </w:pPr>
      <w:r>
        <w:rPr>
          <w:rFonts w:ascii="Book Antiqua" w:hAnsi="Book Antiqua"/>
          <w:noProof/>
        </w:rPr>
        <w:drawing>
          <wp:inline distT="0" distB="0" distL="0" distR="0" wp14:anchorId="533F6C29" wp14:editId="432551F6">
            <wp:extent cx="3680460" cy="2255520"/>
            <wp:effectExtent l="0" t="0" r="0" b="0"/>
            <wp:docPr id="17844550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55043" name="Picture 16"/>
                    <pic:cNvPicPr>
                      <a:picLocks noChangeAspect="1"/>
                    </pic:cNvPicPr>
                  </pic:nvPicPr>
                  <pic:blipFill>
                    <a:blip r:embed="rId21"/>
                    <a:stretch>
                      <a:fillRect/>
                    </a:stretch>
                  </pic:blipFill>
                  <pic:spPr>
                    <a:xfrm>
                      <a:off x="0" y="0"/>
                      <a:ext cx="3680779" cy="2255715"/>
                    </a:xfrm>
                    <a:prstGeom prst="rect">
                      <a:avLst/>
                    </a:prstGeom>
                  </pic:spPr>
                </pic:pic>
              </a:graphicData>
            </a:graphic>
          </wp:inline>
        </w:drawing>
      </w:r>
    </w:p>
    <w:p w14:paraId="15075E5E"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Figure 4 Impact of </w:t>
      </w:r>
      <w:bookmarkStart w:id="19" w:name="_Hlk142484541"/>
      <w:proofErr w:type="spellStart"/>
      <w:r>
        <w:rPr>
          <w:rFonts w:ascii="Book Antiqua" w:eastAsia="Book Antiqua" w:hAnsi="Book Antiqua" w:cs="Book Antiqua"/>
          <w:b/>
          <w:bCs/>
        </w:rPr>
        <w:t>suberoylanilide</w:t>
      </w:r>
      <w:proofErr w:type="spellEnd"/>
      <w:r>
        <w:rPr>
          <w:rFonts w:ascii="Book Antiqua" w:eastAsia="Book Antiqua" w:hAnsi="Book Antiqua" w:cs="Book Antiqua"/>
          <w:b/>
          <w:bCs/>
        </w:rPr>
        <w:t xml:space="preserve"> hydroxamic acid</w:t>
      </w:r>
      <w:bookmarkEnd w:id="19"/>
      <w:r>
        <w:rPr>
          <w:rFonts w:ascii="Book Antiqua" w:eastAsia="Book Antiqua" w:hAnsi="Book Antiqua" w:cs="Book Antiqua"/>
          <w:b/>
          <w:bCs/>
        </w:rPr>
        <w:t xml:space="preserve"> treatment on the levels of histone H4 lysine 16 acetylation in the promoter region of family with sequence similarity 134 member B in Huh7 and MHCC97L cells. </w:t>
      </w:r>
      <w:r>
        <w:rPr>
          <w:rFonts w:ascii="Book Antiqua" w:eastAsia="Book Antiqua" w:hAnsi="Book Antiqua" w:cs="Book Antiqua"/>
        </w:rPr>
        <w:t xml:space="preserve">A-C: Huh7 and MHCC97L cells were exposed to 0, 1, 3, 6, and 12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for 48 h. Relative protein levels of histone H3 lysine 27 acetylation (H3K27ac), total H4ac, H4K5ac, H4K12ac, and H4K16ac were normalized to total histone H4. Representative western blot images </w:t>
      </w:r>
      <w:r>
        <w:rPr>
          <w:rFonts w:ascii="Book Antiqua" w:eastAsia="Book Antiqua" w:hAnsi="Book Antiqua" w:cs="Book Antiqua"/>
          <w:color w:val="000000"/>
        </w:rPr>
        <w:t xml:space="preserve">from three independent replicate assays are exhibited; </w:t>
      </w:r>
      <w:r>
        <w:rPr>
          <w:rFonts w:ascii="Book Antiqua" w:eastAsia="Book Antiqua" w:hAnsi="Book Antiqua" w:cs="Book Antiqua"/>
        </w:rPr>
        <w:t xml:space="preserve">D: Huh7 cells were exposed to 0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or 6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for 48 h. Quantification of the acetylated histone H4K16-related promoter region of family with sequence similarity 134 member B in Huh7 cells was measured using </w:t>
      </w:r>
      <w:bookmarkStart w:id="20" w:name="_Hlk142484907"/>
      <w:r>
        <w:rPr>
          <w:rFonts w:ascii="Book Antiqua" w:eastAsia="Book Antiqua" w:hAnsi="Book Antiqua" w:cs="Book Antiqua"/>
        </w:rPr>
        <w:t>chromatin immunoprecipitation</w:t>
      </w:r>
      <w:bookmarkEnd w:id="20"/>
      <w:r>
        <w:rPr>
          <w:rFonts w:ascii="Book Antiqua" w:eastAsia="Book Antiqua" w:hAnsi="Book Antiqua" w:cs="Book Antiqua"/>
        </w:rPr>
        <w:t xml:space="preserve"> assay and quantitative </w:t>
      </w:r>
      <w:r>
        <w:rPr>
          <w:rFonts w:ascii="Book Antiqua" w:eastAsia="Book Antiqua" w:hAnsi="Book Antiqua" w:cs="Book Antiqua"/>
          <w:color w:val="000000"/>
        </w:rPr>
        <w:t>polymerase chain reaction</w:t>
      </w:r>
      <w:r>
        <w:rPr>
          <w:rFonts w:ascii="Book Antiqua" w:eastAsia="Book Antiqua" w:hAnsi="Book Antiqua" w:cs="Book Antiqua"/>
        </w:rPr>
        <w:t xml:space="preserve">. </w:t>
      </w:r>
      <w:r>
        <w:rPr>
          <w:rFonts w:ascii="Book Antiqua" w:eastAsia="Book Antiqua" w:hAnsi="Book Antiqua" w:cs="Book Antiqua"/>
          <w:color w:val="000000"/>
        </w:rPr>
        <w:t xml:space="preserve">Data are </w:t>
      </w:r>
      <w:r>
        <w:rPr>
          <w:rFonts w:ascii="Book Antiqua" w:eastAsia="Book Antiqua" w:hAnsi="Book Antiqua" w:cs="Book Antiqua"/>
        </w:rPr>
        <w:t>exhibited as</w:t>
      </w:r>
      <w:r>
        <w:rPr>
          <w:rFonts w:ascii="Book Antiqua" w:eastAsia="Book Antiqua" w:hAnsi="Book Antiqua" w:cs="Book Antiqua"/>
          <w:color w:val="000000"/>
        </w:rPr>
        <w:t xml:space="preserve"> mean ± standard deviation. </w:t>
      </w:r>
      <w:proofErr w:type="spellStart"/>
      <w:r>
        <w:rPr>
          <w:rFonts w:ascii="Book Antiqua" w:eastAsia="Book Antiqua" w:hAnsi="Book Antiqua" w:cs="Book Antiqua"/>
          <w:vertAlign w:val="superscript"/>
        </w:rPr>
        <w:lastRenderedPageBreak/>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rPr>
        <w:t xml:space="preserve">0 </w:t>
      </w:r>
      <w:proofErr w:type="spellStart"/>
      <w:r>
        <w:rPr>
          <w:rFonts w:ascii="Book Antiqua" w:eastAsia="Book Antiqua" w:hAnsi="Book Antiqua" w:cs="Book Antiqua"/>
        </w:rPr>
        <w:t>μmol</w:t>
      </w:r>
      <w:proofErr w:type="spellEnd"/>
      <w:r>
        <w:rPr>
          <w:rFonts w:ascii="Book Antiqua" w:eastAsia="Book Antiqua" w:hAnsi="Book Antiqua" w:cs="Book Antiqua"/>
        </w:rPr>
        <w:t>/L group</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 FAM134B:</w:t>
      </w:r>
      <w:r>
        <w:rPr>
          <w:rFonts w:ascii="Book Antiqua" w:eastAsia="Book Antiqua" w:hAnsi="Book Antiqua" w:cs="Book Antiqua"/>
        </w:rPr>
        <w:t xml:space="preserve"> Family with sequence similarity 134 member B; </w:t>
      </w:r>
      <w:proofErr w:type="spellStart"/>
      <w:r>
        <w:rPr>
          <w:rFonts w:ascii="Book Antiqua" w:eastAsia="Book Antiqua" w:hAnsi="Book Antiqua" w:cs="Book Antiqua"/>
        </w:rPr>
        <w:t>ChIP</w:t>
      </w:r>
      <w:proofErr w:type="spellEnd"/>
      <w:r>
        <w:rPr>
          <w:rFonts w:ascii="Book Antiqua" w:eastAsia="Book Antiqua" w:hAnsi="Book Antiqua" w:cs="Book Antiqua"/>
        </w:rPr>
        <w:t>:</w:t>
      </w:r>
      <w:r>
        <w:rPr>
          <w:rFonts w:ascii="Book Antiqua" w:hAnsi="Book Antiqua"/>
        </w:rPr>
        <w:t xml:space="preserve"> </w:t>
      </w:r>
      <w:r>
        <w:rPr>
          <w:rFonts w:ascii="Book Antiqua" w:eastAsia="Book Antiqua" w:hAnsi="Book Antiqua" w:cs="Book Antiqua"/>
        </w:rPr>
        <w:t>Chromatin immunoprecipitation.</w:t>
      </w:r>
    </w:p>
    <w:p w14:paraId="56BC01D5" w14:textId="77777777" w:rsidR="00783269" w:rsidRDefault="00783269">
      <w:pPr>
        <w:spacing w:line="360" w:lineRule="auto"/>
        <w:jc w:val="both"/>
        <w:rPr>
          <w:rFonts w:ascii="Book Antiqua" w:eastAsia="Book Antiqua" w:hAnsi="Book Antiqua" w:cs="Book Antiqua"/>
          <w:b/>
          <w:bCs/>
        </w:rPr>
      </w:pPr>
    </w:p>
    <w:p w14:paraId="059F1F60"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09C627E2" wp14:editId="11F4B098">
            <wp:extent cx="5943600" cy="1945005"/>
            <wp:effectExtent l="0" t="0" r="0" b="0"/>
            <wp:docPr id="2059738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8427" name="Picture 17"/>
                    <pic:cNvPicPr>
                      <a:picLocks noChangeAspect="1"/>
                    </pic:cNvPicPr>
                  </pic:nvPicPr>
                  <pic:blipFill>
                    <a:blip r:embed="rId22"/>
                    <a:stretch>
                      <a:fillRect/>
                    </a:stretch>
                  </pic:blipFill>
                  <pic:spPr>
                    <a:xfrm>
                      <a:off x="0" y="0"/>
                      <a:ext cx="5943600" cy="1945005"/>
                    </a:xfrm>
                    <a:prstGeom prst="rect">
                      <a:avLst/>
                    </a:prstGeom>
                  </pic:spPr>
                </pic:pic>
              </a:graphicData>
            </a:graphic>
          </wp:inline>
        </w:drawing>
      </w:r>
    </w:p>
    <w:p w14:paraId="448354EE"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73276020" wp14:editId="489FB292">
            <wp:extent cx="5943600" cy="3747135"/>
            <wp:effectExtent l="0" t="0" r="0" b="0"/>
            <wp:docPr id="303087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8722" name="Picture 18"/>
                    <pic:cNvPicPr>
                      <a:picLocks noChangeAspect="1"/>
                    </pic:cNvPicPr>
                  </pic:nvPicPr>
                  <pic:blipFill>
                    <a:blip r:embed="rId23"/>
                    <a:stretch>
                      <a:fillRect/>
                    </a:stretch>
                  </pic:blipFill>
                  <pic:spPr>
                    <a:xfrm>
                      <a:off x="0" y="0"/>
                      <a:ext cx="5943600" cy="3747135"/>
                    </a:xfrm>
                    <a:prstGeom prst="rect">
                      <a:avLst/>
                    </a:prstGeom>
                  </pic:spPr>
                </pic:pic>
              </a:graphicData>
            </a:graphic>
          </wp:inline>
        </w:drawing>
      </w:r>
    </w:p>
    <w:p w14:paraId="7D5E0AFE"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31926A20" wp14:editId="58FE145B">
            <wp:extent cx="4511040" cy="2293620"/>
            <wp:effectExtent l="0" t="0" r="0" b="0"/>
            <wp:docPr id="6840685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68532" name="Picture 19"/>
                    <pic:cNvPicPr>
                      <a:picLocks noChangeAspect="1"/>
                    </pic:cNvPicPr>
                  </pic:nvPicPr>
                  <pic:blipFill>
                    <a:blip r:embed="rId24"/>
                    <a:stretch>
                      <a:fillRect/>
                    </a:stretch>
                  </pic:blipFill>
                  <pic:spPr>
                    <a:xfrm>
                      <a:off x="0" y="0"/>
                      <a:ext cx="4515983" cy="2296589"/>
                    </a:xfrm>
                    <a:prstGeom prst="rect">
                      <a:avLst/>
                    </a:prstGeom>
                  </pic:spPr>
                </pic:pic>
              </a:graphicData>
            </a:graphic>
          </wp:inline>
        </w:drawing>
      </w:r>
    </w:p>
    <w:p w14:paraId="1BD8BEFE"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265FD2E2" wp14:editId="4529EA30">
            <wp:extent cx="5265420" cy="3032760"/>
            <wp:effectExtent l="0" t="0" r="0" b="0"/>
            <wp:docPr id="1148706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06536" name="Picture 20"/>
                    <pic:cNvPicPr>
                      <a:picLocks noChangeAspect="1"/>
                    </pic:cNvPicPr>
                  </pic:nvPicPr>
                  <pic:blipFill>
                    <a:blip r:embed="rId25"/>
                    <a:stretch>
                      <a:fillRect/>
                    </a:stretch>
                  </pic:blipFill>
                  <pic:spPr>
                    <a:xfrm>
                      <a:off x="0" y="0"/>
                      <a:ext cx="5265876" cy="3033023"/>
                    </a:xfrm>
                    <a:prstGeom prst="rect">
                      <a:avLst/>
                    </a:prstGeom>
                  </pic:spPr>
                </pic:pic>
              </a:graphicData>
            </a:graphic>
          </wp:inline>
        </w:drawing>
      </w:r>
    </w:p>
    <w:p w14:paraId="6523CE8B"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740A1537" wp14:editId="41DCE0C2">
            <wp:extent cx="5204460" cy="3086100"/>
            <wp:effectExtent l="0" t="0" r="0" b="0"/>
            <wp:docPr id="15209892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89236" name="Picture 21"/>
                    <pic:cNvPicPr>
                      <a:picLocks noChangeAspect="1"/>
                    </pic:cNvPicPr>
                  </pic:nvPicPr>
                  <pic:blipFill>
                    <a:blip r:embed="rId26"/>
                    <a:stretch>
                      <a:fillRect/>
                    </a:stretch>
                  </pic:blipFill>
                  <pic:spPr>
                    <a:xfrm>
                      <a:off x="0" y="0"/>
                      <a:ext cx="5204911" cy="3086367"/>
                    </a:xfrm>
                    <a:prstGeom prst="rect">
                      <a:avLst/>
                    </a:prstGeom>
                  </pic:spPr>
                </pic:pic>
              </a:graphicData>
            </a:graphic>
          </wp:inline>
        </w:drawing>
      </w:r>
    </w:p>
    <w:p w14:paraId="29B79426" w14:textId="77777777" w:rsidR="0078326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5 Impact of </w:t>
      </w:r>
      <w:bookmarkStart w:id="21" w:name="_Hlk142484972"/>
      <w:proofErr w:type="spellStart"/>
      <w:r>
        <w:rPr>
          <w:rFonts w:ascii="Book Antiqua" w:eastAsia="Book Antiqua" w:hAnsi="Book Antiqua" w:cs="Book Antiqua"/>
          <w:b/>
          <w:bCs/>
        </w:rPr>
        <w:t>suberoylanilide</w:t>
      </w:r>
      <w:proofErr w:type="spellEnd"/>
      <w:r>
        <w:rPr>
          <w:rFonts w:ascii="Book Antiqua" w:eastAsia="Book Antiqua" w:hAnsi="Book Antiqua" w:cs="Book Antiqua"/>
          <w:b/>
          <w:bCs/>
        </w:rPr>
        <w:t xml:space="preserve"> hydroxamic acid</w:t>
      </w:r>
      <w:bookmarkEnd w:id="21"/>
      <w:r>
        <w:rPr>
          <w:rFonts w:ascii="Book Antiqua" w:eastAsia="Book Antiqua" w:hAnsi="Book Antiqua" w:cs="Book Antiqua"/>
          <w:b/>
          <w:bCs/>
        </w:rPr>
        <w:t xml:space="preserve"> treatment on Ca</w:t>
      </w:r>
      <w:r>
        <w:rPr>
          <w:rFonts w:ascii="Book Antiqua" w:eastAsia="Book Antiqua" w:hAnsi="Book Antiqua" w:cs="Book Antiqua"/>
          <w:b/>
          <w:bCs/>
          <w:vertAlign w:val="superscript"/>
        </w:rPr>
        <w:t>2+</w:t>
      </w:r>
      <w:r>
        <w:rPr>
          <w:rFonts w:ascii="Book Antiqua" w:eastAsia="Book Antiqua" w:hAnsi="Book Antiqua" w:cs="Book Antiqua"/>
          <w:b/>
          <w:bCs/>
        </w:rPr>
        <w:t xml:space="preserve"> homeostasis and the expression of </w:t>
      </w:r>
      <w:bookmarkStart w:id="22" w:name="_Hlk142485216"/>
      <w:r>
        <w:rPr>
          <w:rFonts w:ascii="Book Antiqua" w:eastAsia="Book Antiqua" w:hAnsi="Book Antiqua" w:cs="Book Antiqua"/>
          <w:b/>
          <w:bCs/>
        </w:rPr>
        <w:t>autocrine motility factor receptor</w:t>
      </w:r>
      <w:bookmarkEnd w:id="22"/>
      <w:r>
        <w:rPr>
          <w:rFonts w:ascii="Book Antiqua" w:eastAsia="Book Antiqua" w:hAnsi="Book Antiqua" w:cs="Book Antiqua"/>
          <w:b/>
          <w:bCs/>
        </w:rPr>
        <w:t xml:space="preserve"> and proteins related to mitochondria-endoplasmic reticulum contact sites in Huh7 and MHCC97L cells. </w:t>
      </w:r>
      <w:r>
        <w:rPr>
          <w:rFonts w:ascii="Book Antiqua" w:eastAsia="Book Antiqua" w:hAnsi="Book Antiqua" w:cs="Book Antiqua"/>
          <w:color w:val="000000"/>
        </w:rPr>
        <w:t xml:space="preserve">A: Huh7 and MHCC97L cells were exposed to 0, 1, 3, 6, and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suberoylanilide</w:t>
      </w:r>
      <w:proofErr w:type="spellEnd"/>
      <w:r>
        <w:rPr>
          <w:rFonts w:ascii="Book Antiqua" w:eastAsia="Book Antiqua" w:hAnsi="Book Antiqua" w:cs="Book Antiqua"/>
          <w:color w:val="000000"/>
        </w:rPr>
        <w:t xml:space="preserve"> hydroxamic acid (SAHA) for 48 h and stained with Rhod-2 AM. The cells were observed under a confocal microscope (× 400 magnification); B: Huh7 and MHCC97L cells were exposed to 0, 1, 3, 6, and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SAHA for 48 h and simultaneously stained with Mito-Tracker Green and Rhod-2 AM Red. The cells were observed under a confocal microscope (× 400 magnification). The scale is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C-E: Representative western blot images showed the expression of inositol 1, 4, 5-trisphosphate receptor type 1, glucose-regulated protein 75, voltage-dependent anion channel 1, and autocrine motility factor receptor in Huh7 and MHCC97L cells treated with SAHA for 48 h. Relative protein expression levels were normalized to β-actin. Data are </w:t>
      </w:r>
      <w:r>
        <w:rPr>
          <w:rFonts w:ascii="Book Antiqua" w:eastAsia="Book Antiqua" w:hAnsi="Book Antiqua" w:cs="Book Antiqua"/>
        </w:rPr>
        <w:t>exhibited as</w:t>
      </w:r>
      <w:r>
        <w:rPr>
          <w:rFonts w:ascii="Book Antiqua" w:eastAsia="Book Antiqua" w:hAnsi="Book Antiqua" w:cs="Book Antiqua"/>
          <w:color w:val="000000"/>
        </w:rPr>
        <w:t xml:space="preserve"> mean ± standard deviation.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0 </w:t>
      </w:r>
      <w:proofErr w:type="spellStart"/>
      <w:r>
        <w:rPr>
          <w:rFonts w:ascii="Book Antiqua" w:eastAsia="Book Antiqua" w:hAnsi="Book Antiqua" w:cs="Book Antiqua"/>
        </w:rPr>
        <w:t>μmol</w:t>
      </w:r>
      <w:proofErr w:type="spellEnd"/>
      <w:r>
        <w:rPr>
          <w:rFonts w:ascii="Book Antiqua" w:eastAsia="Book Antiqua" w:hAnsi="Book Antiqua" w:cs="Book Antiqua"/>
        </w:rPr>
        <w:t>/L</w:t>
      </w:r>
      <w:r>
        <w:rPr>
          <w:rFonts w:ascii="Book Antiqua" w:eastAsia="Book Antiqua" w:hAnsi="Book Antiqua" w:cs="Book Antiqua"/>
          <w:color w:val="000000"/>
        </w:rPr>
        <w:t xml:space="preserv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AMFR:</w:t>
      </w:r>
      <w:r>
        <w:rPr>
          <w:rFonts w:ascii="Book Antiqua" w:hAnsi="Book Antiqua"/>
        </w:rPr>
        <w:t xml:space="preserve"> </w:t>
      </w:r>
      <w:r>
        <w:rPr>
          <w:rFonts w:ascii="Book Antiqua" w:eastAsia="Book Antiqua" w:hAnsi="Book Antiqua" w:cs="Book Antiqua"/>
          <w:color w:val="000000"/>
        </w:rPr>
        <w:t>Autocrine motility factor receptor; IP3R1: Inositol 1, 4, 5-trisphosphate receptor type 1; GRP75: Glucose-regulated protein 75; VDAC1: Voltage-dependent anion channel 1.</w:t>
      </w:r>
    </w:p>
    <w:p w14:paraId="02BB2DA1" w14:textId="77777777" w:rsidR="00783269" w:rsidRDefault="00783269">
      <w:pPr>
        <w:spacing w:line="360" w:lineRule="auto"/>
        <w:jc w:val="both"/>
        <w:rPr>
          <w:rFonts w:ascii="Book Antiqua" w:hAnsi="Book Antiqua"/>
        </w:rPr>
      </w:pPr>
    </w:p>
    <w:p w14:paraId="61D23953"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51A73D08" wp14:editId="17DD2B7C">
            <wp:extent cx="5943600" cy="2566035"/>
            <wp:effectExtent l="0" t="0" r="0" b="5715"/>
            <wp:docPr id="5405987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8712" name="Picture 22"/>
                    <pic:cNvPicPr>
                      <a:picLocks noChangeAspect="1"/>
                    </pic:cNvPicPr>
                  </pic:nvPicPr>
                  <pic:blipFill>
                    <a:blip r:embed="rId27"/>
                    <a:stretch>
                      <a:fillRect/>
                    </a:stretch>
                  </pic:blipFill>
                  <pic:spPr>
                    <a:xfrm>
                      <a:off x="0" y="0"/>
                      <a:ext cx="5943600" cy="2566035"/>
                    </a:xfrm>
                    <a:prstGeom prst="rect">
                      <a:avLst/>
                    </a:prstGeom>
                  </pic:spPr>
                </pic:pic>
              </a:graphicData>
            </a:graphic>
          </wp:inline>
        </w:drawing>
      </w:r>
      <w:r>
        <w:rPr>
          <w:rFonts w:ascii="Book Antiqua" w:eastAsia="Book Antiqua" w:hAnsi="Book Antiqua" w:cs="Book Antiqua"/>
          <w:b/>
          <w:bCs/>
        </w:rPr>
        <w:t xml:space="preserve"> </w:t>
      </w:r>
    </w:p>
    <w:p w14:paraId="58EE1C11"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1AD9E3C7" wp14:editId="340417D2">
            <wp:extent cx="5052060" cy="2868930"/>
            <wp:effectExtent l="0" t="0" r="0" b="0"/>
            <wp:docPr id="3872515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51563" name="Picture 23"/>
                    <pic:cNvPicPr>
                      <a:picLocks noChangeAspect="1"/>
                    </pic:cNvPicPr>
                  </pic:nvPicPr>
                  <pic:blipFill>
                    <a:blip r:embed="rId28"/>
                    <a:stretch>
                      <a:fillRect/>
                    </a:stretch>
                  </pic:blipFill>
                  <pic:spPr>
                    <a:xfrm>
                      <a:off x="0" y="0"/>
                      <a:ext cx="5055129" cy="2870733"/>
                    </a:xfrm>
                    <a:prstGeom prst="rect">
                      <a:avLst/>
                    </a:prstGeom>
                  </pic:spPr>
                </pic:pic>
              </a:graphicData>
            </a:graphic>
          </wp:inline>
        </w:drawing>
      </w:r>
    </w:p>
    <w:p w14:paraId="41B78CC5"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1C12948E" wp14:editId="0FD9C715">
            <wp:extent cx="5943600" cy="2392045"/>
            <wp:effectExtent l="0" t="0" r="0" b="0"/>
            <wp:docPr id="6506702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70210" name="Picture 24"/>
                    <pic:cNvPicPr>
                      <a:picLocks noChangeAspect="1"/>
                    </pic:cNvPicPr>
                  </pic:nvPicPr>
                  <pic:blipFill>
                    <a:blip r:embed="rId29"/>
                    <a:stretch>
                      <a:fillRect/>
                    </a:stretch>
                  </pic:blipFill>
                  <pic:spPr>
                    <a:xfrm>
                      <a:off x="0" y="0"/>
                      <a:ext cx="5943600" cy="2392045"/>
                    </a:xfrm>
                    <a:prstGeom prst="rect">
                      <a:avLst/>
                    </a:prstGeom>
                  </pic:spPr>
                </pic:pic>
              </a:graphicData>
            </a:graphic>
          </wp:inline>
        </w:drawing>
      </w:r>
    </w:p>
    <w:p w14:paraId="39A03E2E"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30B72CA6" wp14:editId="7E38A2BC">
            <wp:extent cx="5814060" cy="3200400"/>
            <wp:effectExtent l="0" t="0" r="0" b="0"/>
            <wp:docPr id="15925965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96529" name="Picture 25"/>
                    <pic:cNvPicPr>
                      <a:picLocks noChangeAspect="1"/>
                    </pic:cNvPicPr>
                  </pic:nvPicPr>
                  <pic:blipFill>
                    <a:blip r:embed="rId30"/>
                    <a:stretch>
                      <a:fillRect/>
                    </a:stretch>
                  </pic:blipFill>
                  <pic:spPr>
                    <a:xfrm>
                      <a:off x="0" y="0"/>
                      <a:ext cx="5814564" cy="3200677"/>
                    </a:xfrm>
                    <a:prstGeom prst="rect">
                      <a:avLst/>
                    </a:prstGeom>
                  </pic:spPr>
                </pic:pic>
              </a:graphicData>
            </a:graphic>
          </wp:inline>
        </w:drawing>
      </w:r>
    </w:p>
    <w:p w14:paraId="537E31AB" w14:textId="77777777" w:rsidR="00783269" w:rsidRDefault="00000000">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5DC7FC9B" wp14:editId="5C32BF51">
            <wp:extent cx="5852160" cy="3398520"/>
            <wp:effectExtent l="0" t="0" r="0" b="0"/>
            <wp:docPr id="1402053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5389" name="Picture 26"/>
                    <pic:cNvPicPr>
                      <a:picLocks noChangeAspect="1"/>
                    </pic:cNvPicPr>
                  </pic:nvPicPr>
                  <pic:blipFill>
                    <a:blip r:embed="rId31"/>
                    <a:stretch>
                      <a:fillRect/>
                    </a:stretch>
                  </pic:blipFill>
                  <pic:spPr>
                    <a:xfrm>
                      <a:off x="0" y="0"/>
                      <a:ext cx="5852667" cy="3398815"/>
                    </a:xfrm>
                    <a:prstGeom prst="rect">
                      <a:avLst/>
                    </a:prstGeom>
                  </pic:spPr>
                </pic:pic>
              </a:graphicData>
            </a:graphic>
          </wp:inline>
        </w:drawing>
      </w:r>
    </w:p>
    <w:p w14:paraId="2B44477C" w14:textId="77777777" w:rsidR="00783269" w:rsidRDefault="00000000">
      <w:pPr>
        <w:spacing w:line="360" w:lineRule="auto"/>
        <w:jc w:val="both"/>
        <w:rPr>
          <w:rFonts w:ascii="Book Antiqua" w:hAnsi="Book Antiqua"/>
        </w:rPr>
      </w:pPr>
      <w:r>
        <w:rPr>
          <w:rFonts w:ascii="Book Antiqua" w:eastAsia="Book Antiqua" w:hAnsi="Book Antiqua" w:cs="Book Antiqua"/>
          <w:b/>
          <w:bCs/>
        </w:rPr>
        <w:t xml:space="preserve">Figure 6 The impact of </w:t>
      </w:r>
      <w:bookmarkStart w:id="23" w:name="_Hlk142485247"/>
      <w:proofErr w:type="spellStart"/>
      <w:r>
        <w:rPr>
          <w:rFonts w:ascii="Book Antiqua" w:eastAsia="Book Antiqua" w:hAnsi="Book Antiqua" w:cs="Book Antiqua"/>
          <w:b/>
          <w:bCs/>
        </w:rPr>
        <w:t>suberoylanilide</w:t>
      </w:r>
      <w:proofErr w:type="spellEnd"/>
      <w:r>
        <w:rPr>
          <w:rFonts w:ascii="Book Antiqua" w:eastAsia="Book Antiqua" w:hAnsi="Book Antiqua" w:cs="Book Antiqua"/>
          <w:b/>
          <w:bCs/>
        </w:rPr>
        <w:t xml:space="preserve"> hydroxamic acid</w:t>
      </w:r>
      <w:bookmarkEnd w:id="23"/>
      <w:r>
        <w:rPr>
          <w:rFonts w:ascii="Book Antiqua" w:eastAsia="Book Antiqua" w:hAnsi="Book Antiqua" w:cs="Book Antiqua"/>
          <w:b/>
          <w:bCs/>
        </w:rPr>
        <w:t xml:space="preserve"> treatment on mitochondrial membrane potential and the expression of proteins related to the mitochondrial apoptotic pathway in Huh7 and MHCC97L cells.</w:t>
      </w:r>
      <w:r>
        <w:rPr>
          <w:rFonts w:ascii="Book Antiqua" w:eastAsia="Book Antiqua" w:hAnsi="Book Antiqua" w:cs="Book Antiqua"/>
        </w:rPr>
        <w:t xml:space="preserve"> A and B: After being treated with 0, 1, 3, 6, and 12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for 48 h, the mitochondrial membrane potential in Huh7 and MHCC97L cells was analyzed using flow cytometry </w:t>
      </w:r>
      <w:r>
        <w:rPr>
          <w:rFonts w:ascii="Book Antiqua" w:eastAsia="Book Antiqua" w:hAnsi="Book Antiqua" w:cs="Book Antiqua"/>
        </w:rPr>
        <w:lastRenderedPageBreak/>
        <w:t xml:space="preserve">with bivariable JC-1 dye (mitochondrial membrane potential probe). </w:t>
      </w:r>
      <w:r>
        <w:rPr>
          <w:rFonts w:ascii="Book Antiqua" w:eastAsia="Book Antiqua" w:hAnsi="Book Antiqua" w:cs="Book Antiqua"/>
          <w:color w:val="000000"/>
        </w:rPr>
        <w:t xml:space="preserve">Representative pictures from three independent replicate assays are </w:t>
      </w:r>
      <w:r>
        <w:rPr>
          <w:rFonts w:ascii="Book Antiqua" w:eastAsia="Book Antiqua" w:hAnsi="Book Antiqua" w:cs="Book Antiqua"/>
        </w:rPr>
        <w:t xml:space="preserve">exhibited; C-E: Representative western blot images showed the related protein expression in Huh7 and MHCC97L cells treated with 0, 1, 3, 6, and 12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w:t>
      </w:r>
      <w:proofErr w:type="spellStart"/>
      <w:r>
        <w:rPr>
          <w:rFonts w:ascii="Book Antiqua" w:eastAsia="Book Antiqua" w:hAnsi="Book Antiqua" w:cs="Book Antiqua"/>
        </w:rPr>
        <w:t>suberoylanilide</w:t>
      </w:r>
      <w:proofErr w:type="spellEnd"/>
      <w:r>
        <w:rPr>
          <w:rFonts w:ascii="Book Antiqua" w:eastAsia="Book Antiqua" w:hAnsi="Book Antiqua" w:cs="Book Antiqua"/>
        </w:rPr>
        <w:t xml:space="preserve"> hydroxamic acid for 48 h. Relative protein expression levels were normalized to β-actin. Data are exhibited as mean ± standard deviation. </w:t>
      </w:r>
      <w:proofErr w:type="spellStart"/>
      <w:r>
        <w:rPr>
          <w:rFonts w:ascii="Book Antiqua" w:eastAsia="Book Antiqua" w:hAnsi="Book Antiqua" w:cs="Book Antiqua"/>
          <w:vertAlign w:val="superscript"/>
        </w:rPr>
        <w:t>a</w:t>
      </w:r>
      <w:r>
        <w:rPr>
          <w:rFonts w:ascii="Book Antiqua" w:eastAsia="Book Antiqua" w:hAnsi="Book Antiqua" w:cs="Book Antiqua"/>
        </w:rPr>
        <w:t>P</w:t>
      </w:r>
      <w:proofErr w:type="spellEnd"/>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0 </w:t>
      </w:r>
      <w:proofErr w:type="spellStart"/>
      <w:r>
        <w:rPr>
          <w:rFonts w:ascii="Book Antiqua" w:eastAsia="Book Antiqua" w:hAnsi="Book Antiqua" w:cs="Book Antiqua"/>
        </w:rPr>
        <w:t>μmol</w:t>
      </w:r>
      <w:proofErr w:type="spellEnd"/>
      <w:r>
        <w:rPr>
          <w:rFonts w:ascii="Book Antiqua" w:eastAsia="Book Antiqua" w:hAnsi="Book Antiqua" w:cs="Book Antiqua"/>
        </w:rPr>
        <w:t>/L group (</w:t>
      </w:r>
      <w:r>
        <w:rPr>
          <w:rFonts w:ascii="Book Antiqua" w:eastAsia="Book Antiqua" w:hAnsi="Book Antiqua" w:cs="Book Antiqua"/>
          <w:i/>
          <w:iCs/>
        </w:rPr>
        <w:t>n</w:t>
      </w:r>
      <w:r>
        <w:rPr>
          <w:rFonts w:ascii="Book Antiqua" w:eastAsia="Book Antiqua" w:hAnsi="Book Antiqua" w:cs="Book Antiqua"/>
        </w:rPr>
        <w:t xml:space="preserve"> = 3).</w:t>
      </w:r>
    </w:p>
    <w:sectPr w:rsidR="00783269">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C0B8C" w14:textId="77777777" w:rsidR="00782B91" w:rsidRDefault="00782B91">
      <w:r>
        <w:separator/>
      </w:r>
    </w:p>
  </w:endnote>
  <w:endnote w:type="continuationSeparator" w:id="0">
    <w:p w14:paraId="5CAB49A1" w14:textId="77777777" w:rsidR="00782B91" w:rsidRDefault="00782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5CFF" w14:textId="77777777" w:rsidR="00783269"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C9BE9" w14:textId="77777777" w:rsidR="00782B91" w:rsidRDefault="00782B91">
      <w:r>
        <w:separator/>
      </w:r>
    </w:p>
  </w:footnote>
  <w:footnote w:type="continuationSeparator" w:id="0">
    <w:p w14:paraId="56F8ED46" w14:textId="77777777" w:rsidR="00782B91" w:rsidRDefault="00782B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U0NWM4MTFhNTE2NmZjMzQzMDIyYzkxNDY5Y2MxOTMifQ=="/>
  </w:docVars>
  <w:rsids>
    <w:rsidRoot w:val="00A77B3E"/>
    <w:rsid w:val="00051E02"/>
    <w:rsid w:val="000635E2"/>
    <w:rsid w:val="00071265"/>
    <w:rsid w:val="00076369"/>
    <w:rsid w:val="000B3ECA"/>
    <w:rsid w:val="000B648B"/>
    <w:rsid w:val="000B64C2"/>
    <w:rsid w:val="001A0F57"/>
    <w:rsid w:val="002B0022"/>
    <w:rsid w:val="002C49FD"/>
    <w:rsid w:val="002E325F"/>
    <w:rsid w:val="00352391"/>
    <w:rsid w:val="003B487A"/>
    <w:rsid w:val="00411C0F"/>
    <w:rsid w:val="00444ED2"/>
    <w:rsid w:val="00471596"/>
    <w:rsid w:val="0047278C"/>
    <w:rsid w:val="0049200E"/>
    <w:rsid w:val="004D1737"/>
    <w:rsid w:val="004D7723"/>
    <w:rsid w:val="00524CA5"/>
    <w:rsid w:val="00560E94"/>
    <w:rsid w:val="0057382D"/>
    <w:rsid w:val="005A2739"/>
    <w:rsid w:val="0074463C"/>
    <w:rsid w:val="00771F52"/>
    <w:rsid w:val="007814AE"/>
    <w:rsid w:val="00782B91"/>
    <w:rsid w:val="00783269"/>
    <w:rsid w:val="007A63B4"/>
    <w:rsid w:val="007C1CD0"/>
    <w:rsid w:val="00884565"/>
    <w:rsid w:val="00892173"/>
    <w:rsid w:val="008B2EC9"/>
    <w:rsid w:val="00920844"/>
    <w:rsid w:val="00966B44"/>
    <w:rsid w:val="009C29F3"/>
    <w:rsid w:val="009E5D63"/>
    <w:rsid w:val="00A02803"/>
    <w:rsid w:val="00A24066"/>
    <w:rsid w:val="00A3240F"/>
    <w:rsid w:val="00A4557F"/>
    <w:rsid w:val="00A77B3E"/>
    <w:rsid w:val="00A917EE"/>
    <w:rsid w:val="00AF0631"/>
    <w:rsid w:val="00B058E7"/>
    <w:rsid w:val="00B57648"/>
    <w:rsid w:val="00B57ED9"/>
    <w:rsid w:val="00BC3115"/>
    <w:rsid w:val="00CA2A55"/>
    <w:rsid w:val="00D146F2"/>
    <w:rsid w:val="00D32CA1"/>
    <w:rsid w:val="00DB2E41"/>
    <w:rsid w:val="00DB3B52"/>
    <w:rsid w:val="00DC4BCC"/>
    <w:rsid w:val="00DF6616"/>
    <w:rsid w:val="00E21681"/>
    <w:rsid w:val="00E37C5A"/>
    <w:rsid w:val="00EA63D7"/>
    <w:rsid w:val="00EE4767"/>
    <w:rsid w:val="00F21F15"/>
    <w:rsid w:val="00F633A0"/>
    <w:rsid w:val="00F8266C"/>
    <w:rsid w:val="02BD1553"/>
    <w:rsid w:val="179470F2"/>
    <w:rsid w:val="2A710093"/>
    <w:rsid w:val="391D5053"/>
    <w:rsid w:val="42B91FEA"/>
    <w:rsid w:val="4C3B027E"/>
    <w:rsid w:val="4F302C4E"/>
    <w:rsid w:val="5F772729"/>
    <w:rsid w:val="61B05867"/>
    <w:rsid w:val="689D5723"/>
    <w:rsid w:val="70513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0DE2CF2"/>
  <w15:docId w15:val="{2EC5BE18-B2CD-2D49-9D6B-EA28ED32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15">
    <w:name w:val="15"/>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paragraph" w:customStyle="1" w:styleId="1">
    <w:name w:val="修订1"/>
    <w:hidden/>
    <w:uiPriority w:val="99"/>
    <w:semiHidden/>
    <w:qFormat/>
    <w:rPr>
      <w:rFonts w:eastAsiaTheme="minorEastAsia"/>
      <w:sz w:val="24"/>
      <w:szCs w:val="24"/>
    </w:rPr>
  </w:style>
  <w:style w:type="paragraph" w:customStyle="1" w:styleId="Revision1">
    <w:name w:val="Revision1"/>
    <w:hidden/>
    <w:uiPriority w:val="99"/>
    <w:unhideWhenUsed/>
    <w:rPr>
      <w:rFonts w:eastAsiaTheme="minorEastAsia"/>
      <w:sz w:val="24"/>
      <w:szCs w:val="24"/>
    </w:rPr>
  </w:style>
  <w:style w:type="character" w:customStyle="1" w:styleId="BalloonTextChar">
    <w:name w:val="Balloon Text Char"/>
    <w:basedOn w:val="DefaultParagraphFont"/>
    <w:link w:val="BalloonText"/>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8571</Words>
  <Characters>48860</Characters>
  <Application>Microsoft Office Word</Application>
  <DocSecurity>0</DocSecurity>
  <Lines>407</Lines>
  <Paragraphs>114</Paragraphs>
  <ScaleCrop>false</ScaleCrop>
  <Company/>
  <LinksUpToDate>false</LinksUpToDate>
  <CharactersWithSpaces>57317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李佳瑶</dc:creator>
  <cp:lastModifiedBy>Donna Fox</cp:lastModifiedBy>
  <cp:revision>2</cp:revision>
  <dcterms:created xsi:type="dcterms:W3CDTF">2023-08-23T22:16:00Z</dcterms:created>
  <dcterms:modified xsi:type="dcterms:W3CDTF">2023-08-23T22:16:00Z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C09965FF511A440AACA3E87F3F3DC103_12</vt:lpwstr>
  </property>
</Properties>
</file>