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95" w:rsidRDefault="00A75A4A">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rsidR="00404E95" w:rsidRDefault="00A75A4A">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84735</w:t>
      </w:r>
    </w:p>
    <w:p w:rsidR="00404E95" w:rsidRDefault="00A75A4A">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i/>
        </w:rPr>
        <w:t>Retrospective Study</w:t>
      </w:r>
    </w:p>
    <w:p w:rsidR="00404E95" w:rsidRDefault="00A75A4A">
      <w:pPr>
        <w:spacing w:line="360" w:lineRule="auto"/>
        <w:jc w:val="both"/>
        <w:rPr>
          <w:rFonts w:ascii="Book Antiqua" w:hAnsi="Book Antiqua"/>
        </w:rPr>
      </w:pPr>
      <w:r>
        <w:rPr>
          <w:rFonts w:ascii="Book Antiqua" w:eastAsia="Book Antiqua" w:hAnsi="Book Antiqua" w:cs="Book Antiqua"/>
          <w:b/>
        </w:rPr>
        <w:t>Assessing the readability of online information about jones fracture</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rPr>
        <w:t>Al-</w:t>
      </w:r>
      <w:proofErr w:type="spellStart"/>
      <w:r>
        <w:rPr>
          <w:rFonts w:ascii="Book Antiqua" w:eastAsia="Book Antiqua" w:hAnsi="Book Antiqua" w:cs="Book Antiqua"/>
        </w:rPr>
        <w:t>Kharouf</w:t>
      </w:r>
      <w:proofErr w:type="spellEnd"/>
      <w:r>
        <w:rPr>
          <w:rFonts w:ascii="Book Antiqua" w:eastAsia="Book Antiqua" w:hAnsi="Book Antiqua" w:cs="Book Antiqua"/>
        </w:rPr>
        <w:t xml:space="preserve"> KFK </w:t>
      </w:r>
      <w:r>
        <w:rPr>
          <w:rFonts w:ascii="Book Antiqua" w:eastAsia="Book Antiqua" w:hAnsi="Book Antiqua" w:cs="Book Antiqua"/>
          <w:i/>
          <w:iCs/>
        </w:rPr>
        <w:t>et al</w:t>
      </w:r>
      <w:r>
        <w:rPr>
          <w:rFonts w:ascii="Book Antiqua" w:eastAsia="Book Antiqua" w:hAnsi="Book Antiqua" w:cs="Book Antiqua"/>
        </w:rPr>
        <w:t>. Readability of online information about jones fracture</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proofErr w:type="spellStart"/>
      <w:r>
        <w:rPr>
          <w:rFonts w:ascii="Book Antiqua" w:eastAsia="Book Antiqua" w:hAnsi="Book Antiqua" w:cs="Book Antiqua"/>
        </w:rPr>
        <w:t>Khaled</w:t>
      </w:r>
      <w:proofErr w:type="spellEnd"/>
      <w:r>
        <w:rPr>
          <w:rFonts w:ascii="Book Antiqua" w:eastAsia="Book Antiqua" w:hAnsi="Book Antiqua" w:cs="Book Antiqua"/>
        </w:rPr>
        <w:t xml:space="preserve"> </w:t>
      </w:r>
      <w:proofErr w:type="spellStart"/>
      <w:r>
        <w:rPr>
          <w:rFonts w:ascii="Book Antiqua" w:eastAsia="Book Antiqua" w:hAnsi="Book Antiqua" w:cs="Book Antiqua"/>
        </w:rPr>
        <w:t>Farid</w:t>
      </w:r>
      <w:proofErr w:type="spellEnd"/>
      <w:r>
        <w:rPr>
          <w:rFonts w:ascii="Book Antiqua" w:eastAsia="Book Antiqua" w:hAnsi="Book Antiqua" w:cs="Book Antiqua"/>
        </w:rPr>
        <w:t xml:space="preserve"> </w:t>
      </w:r>
      <w:proofErr w:type="spellStart"/>
      <w:r>
        <w:rPr>
          <w:rFonts w:ascii="Book Antiqua" w:eastAsia="Book Antiqua" w:hAnsi="Book Antiqua" w:cs="Book Antiqua"/>
        </w:rPr>
        <w:t>Khaled</w:t>
      </w:r>
      <w:proofErr w:type="spellEnd"/>
      <w:r>
        <w:rPr>
          <w:rFonts w:ascii="Book Antiqua" w:eastAsia="Book Antiqua" w:hAnsi="Book Antiqua" w:cs="Book Antiqua"/>
        </w:rPr>
        <w:t xml:space="preserve"> Al-</w:t>
      </w:r>
      <w:proofErr w:type="spellStart"/>
      <w:r>
        <w:rPr>
          <w:rFonts w:ascii="Book Antiqua" w:eastAsia="Book Antiqua" w:hAnsi="Book Antiqua" w:cs="Book Antiqua"/>
        </w:rPr>
        <w:t>Kharouf</w:t>
      </w:r>
      <w:proofErr w:type="spellEnd"/>
      <w:r>
        <w:rPr>
          <w:rFonts w:ascii="Book Antiqua" w:eastAsia="Book Antiqua" w:hAnsi="Book Antiqua" w:cs="Book Antiqua"/>
        </w:rPr>
        <w:t xml:space="preserve">, Faisal </w:t>
      </w:r>
      <w:proofErr w:type="spellStart"/>
      <w:r>
        <w:rPr>
          <w:rFonts w:ascii="Book Antiqua" w:eastAsia="Book Antiqua" w:hAnsi="Book Antiqua" w:cs="Book Antiqua"/>
        </w:rPr>
        <w:t>Idrees</w:t>
      </w:r>
      <w:proofErr w:type="spellEnd"/>
      <w:r>
        <w:rPr>
          <w:rFonts w:ascii="Book Antiqua" w:eastAsia="Book Antiqua" w:hAnsi="Book Antiqua" w:cs="Book Antiqua"/>
        </w:rPr>
        <w:t xml:space="preserve"> Khan, Greg AJ Robertson</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proofErr w:type="spellStart"/>
      <w:r>
        <w:rPr>
          <w:rFonts w:ascii="Book Antiqua" w:eastAsia="Book Antiqua" w:hAnsi="Book Antiqua" w:cs="Book Antiqua"/>
          <w:b/>
          <w:bCs/>
        </w:rPr>
        <w:t>Khaled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Farid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Khaled</w:t>
      </w:r>
      <w:proofErr w:type="spellEnd"/>
      <w:r>
        <w:rPr>
          <w:rFonts w:ascii="Book Antiqua" w:eastAsia="Book Antiqua" w:hAnsi="Book Antiqua" w:cs="Book Antiqua"/>
          <w:b/>
          <w:bCs/>
        </w:rPr>
        <w:t xml:space="preserve"> Al-</w:t>
      </w:r>
      <w:proofErr w:type="spellStart"/>
      <w:r>
        <w:rPr>
          <w:rFonts w:ascii="Book Antiqua" w:eastAsia="Book Antiqua" w:hAnsi="Book Antiqua" w:cs="Book Antiqua"/>
          <w:b/>
          <w:bCs/>
        </w:rPr>
        <w:t>Kharouf</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Surgery, Portsmouth Hospitals University, Portsmouth PO6 3 LY, United Kingdom</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Faisal </w:t>
      </w:r>
      <w:proofErr w:type="spellStart"/>
      <w:r>
        <w:rPr>
          <w:rFonts w:ascii="Book Antiqua" w:eastAsia="Book Antiqua" w:hAnsi="Book Antiqua" w:cs="Book Antiqua"/>
          <w:b/>
          <w:bCs/>
        </w:rPr>
        <w:t>Idrees</w:t>
      </w:r>
      <w:proofErr w:type="spellEnd"/>
      <w:r>
        <w:rPr>
          <w:rFonts w:ascii="Book Antiqua" w:eastAsia="Book Antiqua" w:hAnsi="Book Antiqua" w:cs="Book Antiqua"/>
          <w:b/>
          <w:bCs/>
        </w:rPr>
        <w:t xml:space="preserve"> Khan, </w:t>
      </w:r>
      <w:r>
        <w:rPr>
          <w:rFonts w:ascii="Book Antiqua" w:eastAsia="Book Antiqua" w:hAnsi="Book Antiqua" w:cs="Book Antiqua"/>
        </w:rPr>
        <w:t xml:space="preserve">Internal Medicine, </w:t>
      </w:r>
      <w:proofErr w:type="spellStart"/>
      <w:r>
        <w:rPr>
          <w:rFonts w:ascii="Book Antiqua" w:eastAsia="Book Antiqua" w:hAnsi="Book Antiqua" w:cs="Book Antiqua"/>
        </w:rPr>
        <w:t>Tunbridge</w:t>
      </w:r>
      <w:proofErr w:type="spellEnd"/>
      <w:r>
        <w:rPr>
          <w:rFonts w:ascii="Book Antiqua" w:eastAsia="Book Antiqua" w:hAnsi="Book Antiqua" w:cs="Book Antiqua"/>
        </w:rPr>
        <w:t xml:space="preserve"> Wells Hospital, </w:t>
      </w:r>
      <w:proofErr w:type="spellStart"/>
      <w:r>
        <w:rPr>
          <w:rFonts w:ascii="Book Antiqua" w:eastAsia="Book Antiqua" w:hAnsi="Book Antiqua" w:cs="Book Antiqua"/>
        </w:rPr>
        <w:t>Tunbridge</w:t>
      </w:r>
      <w:proofErr w:type="spellEnd"/>
      <w:r>
        <w:rPr>
          <w:rFonts w:ascii="Book Antiqua" w:eastAsia="Book Antiqua" w:hAnsi="Book Antiqua" w:cs="Book Antiqua"/>
        </w:rPr>
        <w:t xml:space="preserve"> Wells E10 5NJ, United Kingdom</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Greg AJ Robertson,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Surgery, Queen Alexandra Hospital, Portsmouth PO6 3LY, United Kingdom</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Al-</w:t>
      </w:r>
      <w:proofErr w:type="spellStart"/>
      <w:r>
        <w:rPr>
          <w:rFonts w:ascii="Book Antiqua" w:eastAsia="Book Antiqua" w:hAnsi="Book Antiqua" w:cs="Book Antiqua"/>
        </w:rPr>
        <w:t>Kharouf</w:t>
      </w:r>
      <w:proofErr w:type="spellEnd"/>
      <w:r>
        <w:rPr>
          <w:rFonts w:ascii="Book Antiqua" w:eastAsia="Book Antiqua" w:hAnsi="Book Antiqua" w:cs="Book Antiqua"/>
        </w:rPr>
        <w:t xml:space="preserve"> KFK conceived the methodology for the manuscript, performed the literature search and analysis for the study, and wrote the manuscript; </w:t>
      </w:r>
      <w:r>
        <w:rPr>
          <w:rFonts w:ascii="Book Antiqua" w:hAnsi="Book Antiqua"/>
        </w:rPr>
        <w:t>Khan FI</w:t>
      </w:r>
      <w:r>
        <w:rPr>
          <w:rFonts w:ascii="Book Antiqua" w:eastAsia="Book Antiqua" w:hAnsi="Book Antiqua" w:cs="Book Antiqua"/>
        </w:rPr>
        <w:t xml:space="preserve"> performed the literature search and analysis for the study and wrote the manuscript; </w:t>
      </w:r>
      <w:r>
        <w:rPr>
          <w:rFonts w:ascii="Book Antiqua" w:hAnsi="Book Antiqua"/>
        </w:rPr>
        <w:t>Robertson GA</w:t>
      </w:r>
      <w:r>
        <w:rPr>
          <w:rFonts w:ascii="Book Antiqua" w:hAnsi="Book Antiqua"/>
          <w:lang w:eastAsia="zh-CN"/>
        </w:rPr>
        <w:t xml:space="preserve"> </w:t>
      </w:r>
      <w:r>
        <w:rPr>
          <w:rFonts w:ascii="Book Antiqua" w:eastAsia="Book Antiqua" w:hAnsi="Book Antiqua" w:cs="Book Antiqua"/>
        </w:rPr>
        <w:t>advised on the study, and</w:t>
      </w:r>
      <w:r>
        <w:rPr>
          <w:rFonts w:ascii="Book Antiqua" w:eastAsia="Book Antiqua" w:hAnsi="Book Antiqua" w:cs="Book Antiqua"/>
          <w:b/>
          <w:bCs/>
        </w:rPr>
        <w:t xml:space="preserve"> </w:t>
      </w:r>
      <w:r>
        <w:rPr>
          <w:rFonts w:ascii="Book Antiqua" w:eastAsia="Book Antiqua" w:hAnsi="Book Antiqua" w:cs="Book Antiqua"/>
        </w:rPr>
        <w:t>reviewed and edited the manuscript.</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Corresponding author: </w:t>
      </w:r>
      <w:proofErr w:type="spellStart"/>
      <w:r>
        <w:rPr>
          <w:rFonts w:ascii="Book Antiqua" w:eastAsia="Book Antiqua" w:hAnsi="Book Antiqua" w:cs="Book Antiqua"/>
          <w:b/>
          <w:bCs/>
        </w:rPr>
        <w:t>Khaled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Farid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Khaled</w:t>
      </w:r>
      <w:proofErr w:type="spellEnd"/>
      <w:r>
        <w:rPr>
          <w:rFonts w:ascii="Book Antiqua" w:eastAsia="Book Antiqua" w:hAnsi="Book Antiqua" w:cs="Book Antiqua"/>
          <w:b/>
          <w:bCs/>
        </w:rPr>
        <w:t xml:space="preserve"> Al-</w:t>
      </w:r>
      <w:proofErr w:type="spellStart"/>
      <w:r>
        <w:rPr>
          <w:rFonts w:ascii="Book Antiqua" w:eastAsia="Book Antiqua" w:hAnsi="Book Antiqua" w:cs="Book Antiqua"/>
          <w:b/>
          <w:bCs/>
        </w:rPr>
        <w:t>Kharouf</w:t>
      </w:r>
      <w:proofErr w:type="spellEnd"/>
      <w:r>
        <w:rPr>
          <w:rFonts w:ascii="Book Antiqua" w:eastAsia="Book Antiqua" w:hAnsi="Book Antiqua" w:cs="Book Antiqua"/>
          <w:b/>
          <w:bCs/>
        </w:rPr>
        <w:t xml:space="preserve">, MD, Doctor,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Surgery, Portsmouth Hospitals University, </w:t>
      </w:r>
      <w:proofErr w:type="spellStart"/>
      <w:r>
        <w:rPr>
          <w:rFonts w:ascii="Book Antiqua" w:eastAsia="Book Antiqua" w:hAnsi="Book Antiqua" w:cs="Book Antiqua"/>
        </w:rPr>
        <w:t>Cosham</w:t>
      </w:r>
      <w:proofErr w:type="spellEnd"/>
      <w:r>
        <w:rPr>
          <w:rFonts w:ascii="Book Antiqua" w:eastAsia="Book Antiqua" w:hAnsi="Book Antiqua" w:cs="Book Antiqua"/>
        </w:rPr>
        <w:t>, Portsmouth PO6 3 LY, United Kingdom. kfk990@gmail.com</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26, 2023</w:t>
      </w: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July 6, 2023</w:t>
      </w: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September 14, 2023</w:t>
      </w:r>
    </w:p>
    <w:p w:rsidR="00404E95" w:rsidRDefault="00A75A4A">
      <w:pPr>
        <w:spacing w:line="360" w:lineRule="auto"/>
        <w:jc w:val="both"/>
        <w:rPr>
          <w:rFonts w:ascii="Book Antiqua" w:hAnsi="Book Antiqua" w:cs="Book Antiqua"/>
          <w:lang w:eastAsia="zh-CN"/>
        </w:rPr>
      </w:pPr>
      <w:r>
        <w:rPr>
          <w:rFonts w:ascii="Book Antiqua" w:eastAsia="Book Antiqua" w:hAnsi="Book Antiqua" w:cs="Book Antiqua"/>
          <w:b/>
          <w:bCs/>
        </w:rPr>
        <w:t xml:space="preserve">Published online: </w:t>
      </w:r>
      <w:r>
        <w:rPr>
          <w:rFonts w:ascii="Book Antiqua" w:eastAsia="Book Antiqua" w:hAnsi="Book Antiqua" w:cs="Book Antiqua"/>
        </w:rPr>
        <w:t>December 20, 2023</w:t>
      </w:r>
    </w:p>
    <w:p w:rsidR="00647F77" w:rsidRPr="00647F77" w:rsidRDefault="00647F77">
      <w:pPr>
        <w:spacing w:line="360" w:lineRule="auto"/>
        <w:jc w:val="both"/>
        <w:rPr>
          <w:rFonts w:ascii="Book Antiqua" w:hAnsi="Book Antiqua"/>
          <w:lang w:eastAsia="zh-CN"/>
        </w:rPr>
      </w:pPr>
    </w:p>
    <w:p w:rsidR="00404E95" w:rsidRDefault="00404E95">
      <w:pPr>
        <w:spacing w:line="360" w:lineRule="auto"/>
        <w:jc w:val="both"/>
        <w:rPr>
          <w:rFonts w:ascii="Book Antiqua" w:hAnsi="Book Antiqua"/>
        </w:rPr>
        <w:sectPr w:rsidR="00404E95">
          <w:footerReference w:type="default" r:id="rId8"/>
          <w:pgSz w:w="12240" w:h="15840"/>
          <w:pgMar w:top="1440" w:right="1440" w:bottom="1440" w:left="1440" w:header="720" w:footer="720" w:gutter="0"/>
          <w:cols w:space="720"/>
          <w:docGrid w:linePitch="360"/>
        </w:sectPr>
      </w:pPr>
    </w:p>
    <w:p w:rsidR="00404E95" w:rsidRDefault="00A75A4A">
      <w:pPr>
        <w:spacing w:line="360" w:lineRule="auto"/>
        <w:jc w:val="both"/>
        <w:rPr>
          <w:rFonts w:ascii="Book Antiqua" w:hAnsi="Book Antiqua"/>
        </w:rPr>
      </w:pPr>
      <w:r>
        <w:rPr>
          <w:rFonts w:ascii="Book Antiqua" w:eastAsia="Book Antiqua" w:hAnsi="Book Antiqua" w:cs="Book Antiqua"/>
          <w:b/>
        </w:rPr>
        <w:lastRenderedPageBreak/>
        <w:t>Abstract</w:t>
      </w:r>
    </w:p>
    <w:p w:rsidR="00404E95" w:rsidRDefault="00A75A4A">
      <w:pPr>
        <w:spacing w:line="360" w:lineRule="auto"/>
        <w:jc w:val="both"/>
        <w:rPr>
          <w:rFonts w:ascii="Book Antiqua" w:hAnsi="Book Antiqua"/>
        </w:rPr>
      </w:pPr>
      <w:r>
        <w:rPr>
          <w:rFonts w:ascii="Book Antiqua" w:eastAsia="Book Antiqua" w:hAnsi="Book Antiqua" w:cs="Book Antiqua"/>
        </w:rPr>
        <w:t>BACKGROUND</w:t>
      </w:r>
    </w:p>
    <w:p w:rsidR="00404E95" w:rsidRDefault="00A75A4A">
      <w:pPr>
        <w:spacing w:line="360" w:lineRule="auto"/>
        <w:jc w:val="both"/>
        <w:rPr>
          <w:rFonts w:ascii="Book Antiqua" w:hAnsi="Book Antiqua"/>
        </w:rPr>
      </w:pPr>
      <w:r>
        <w:rPr>
          <w:rFonts w:ascii="Book Antiqua" w:eastAsia="Book Antiqua" w:hAnsi="Book Antiqua" w:cs="Book Antiqua"/>
        </w:rPr>
        <w:t>Hand in hand with technological advancements, treatment modalities continue to grow. With the turn of the century, the internet has become the number one source of information for almost every topic. Thus, many patients look toward the internet as their primary source of information to learn about their respective medical conditions. The American Medical Association and National Institute of Health strongly recommend that online medical information be 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-grade level to aid comprehension by patients of all literacy backgrounds.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rPr>
        <w:t>AIM</w:t>
      </w:r>
    </w:p>
    <w:p w:rsidR="00404E95" w:rsidRDefault="00A75A4A">
      <w:pPr>
        <w:spacing w:line="360" w:lineRule="auto"/>
        <w:jc w:val="both"/>
        <w:rPr>
          <w:rFonts w:ascii="Book Antiqua" w:hAnsi="Book Antiqua"/>
        </w:rPr>
      </w:pPr>
      <w:proofErr w:type="gramStart"/>
      <w:r>
        <w:rPr>
          <w:rFonts w:ascii="Book Antiqua" w:eastAsia="Book Antiqua" w:hAnsi="Book Antiqua" w:cs="Book Antiqua"/>
        </w:rPr>
        <w:t>To assess the readability of online information regarding Jones fracture.</w:t>
      </w:r>
      <w:proofErr w:type="gramEnd"/>
      <w:r>
        <w:rPr>
          <w:rFonts w:ascii="Book Antiqua" w:eastAsia="Book Antiqua" w:hAnsi="Book Antiqua" w:cs="Book Antiqua"/>
        </w:rPr>
        <w:t xml:space="preserve"> Our hypothesis is that the reading level of medical information published on websites far exceeds the recommended reading level of 6</w:t>
      </w:r>
      <w:r>
        <w:rPr>
          <w:rFonts w:ascii="Book Antiqua" w:eastAsia="Book Antiqua" w:hAnsi="Book Antiqua" w:cs="Book Antiqua"/>
          <w:vertAlign w:val="superscript"/>
        </w:rPr>
        <w:t>th</w:t>
      </w:r>
      <w:r>
        <w:rPr>
          <w:rFonts w:ascii="Book Antiqua" w:eastAsia="Book Antiqua" w:hAnsi="Book Antiqua" w:cs="Book Antiqua"/>
        </w:rPr>
        <w:t>-8</w:t>
      </w:r>
      <w:r>
        <w:rPr>
          <w:rFonts w:ascii="Book Antiqua" w:eastAsia="Book Antiqua" w:hAnsi="Book Antiqua" w:cs="Book Antiqua"/>
          <w:vertAlign w:val="superscript"/>
        </w:rPr>
        <w:t>th</w:t>
      </w:r>
      <w:r>
        <w:rPr>
          <w:rFonts w:ascii="Book Antiqua" w:eastAsia="Book Antiqua" w:hAnsi="Book Antiqua" w:cs="Book Antiqua"/>
        </w:rPr>
        <w:t xml:space="preserve"> grade as proposed by the American Medical Associate and National Institute of Health. The result of this study can help us formulate improved recommendations for publishing more comprehensible material and, thus, eventually improve patient compliance and clinical outcomes.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rPr>
        <w:t>METHODS</w:t>
      </w:r>
    </w:p>
    <w:p w:rsidR="00404E95" w:rsidRDefault="00A75A4A">
      <w:pPr>
        <w:spacing w:line="360" w:lineRule="auto"/>
        <w:jc w:val="both"/>
        <w:rPr>
          <w:rFonts w:ascii="Book Antiqua" w:hAnsi="Book Antiqua"/>
        </w:rPr>
      </w:pPr>
      <w:r>
        <w:rPr>
          <w:rFonts w:ascii="Book Antiqua" w:eastAsia="Book Antiqua" w:hAnsi="Book Antiqua" w:cs="Book Antiqua"/>
        </w:rPr>
        <w:t>The exact phrase “Jones fracture” was queried on the three most common search engines, Google, Yahoo</w:t>
      </w:r>
      <w:r>
        <w:rPr>
          <w:rFonts w:ascii="Book Antiqua" w:eastAsia="宋体" w:hAnsi="Book Antiqua" w:cs="宋体"/>
          <w:lang w:eastAsia="zh-CN"/>
        </w:rPr>
        <w:t>!</w:t>
      </w:r>
      <w:r>
        <w:rPr>
          <w:rFonts w:ascii="Book Antiqua" w:eastAsia="Book Antiqua" w:hAnsi="Book Antiqua" w:cs="Book Antiqua"/>
        </w:rPr>
        <w:t xml:space="preserve">, and Bing, on December 28, 2022. As of December 2022, Google held 84%, Bing held 9%, and Yahoo! held 2% of the worldwide search engine market share. Web pages uniform resource locator from the first three pages of search results were recorded from each search engine. These web pages were classified according to academic, physician-sponsored, governmental and non-government organizations (NGO), commercial, and unspecified as per formally defined categories. Websites associated with an educational institution or medical </w:t>
      </w:r>
      <w:proofErr w:type="gramStart"/>
      <w:r>
        <w:rPr>
          <w:rFonts w:ascii="Book Antiqua" w:eastAsia="Book Antiqua" w:hAnsi="Book Antiqua" w:cs="Book Antiqua"/>
        </w:rPr>
        <w:t>organization were</w:t>
      </w:r>
      <w:proofErr w:type="gramEnd"/>
      <w:r>
        <w:rPr>
          <w:rFonts w:ascii="Book Antiqua" w:eastAsia="Book Antiqua" w:hAnsi="Book Antiqua" w:cs="Book Antiqua"/>
        </w:rPr>
        <w:t xml:space="preserve"> classified as academic. Websites with products for sale, corporate sponsorship, or advertisements were classified as commercial. Governmental websites or NGOs comprised those that </w:t>
      </w:r>
      <w:r>
        <w:rPr>
          <w:rFonts w:ascii="Book Antiqua" w:eastAsia="Book Antiqua" w:hAnsi="Book Antiqua" w:cs="Book Antiqua"/>
        </w:rPr>
        <w:lastRenderedPageBreak/>
        <w:t xml:space="preserve">received government subsidies or grants. Webpages that were independently owned by physicians or physician groups were respectively classed as physician sponsored. The remainder of websites that did not fall under the above categories </w:t>
      </w:r>
      <w:proofErr w:type="gramStart"/>
      <w:r>
        <w:rPr>
          <w:rFonts w:ascii="Book Antiqua" w:eastAsia="Book Antiqua" w:hAnsi="Book Antiqua" w:cs="Book Antiqua"/>
        </w:rPr>
        <w:t>were</w:t>
      </w:r>
      <w:proofErr w:type="gramEnd"/>
      <w:r>
        <w:rPr>
          <w:rFonts w:ascii="Book Antiqua" w:eastAsia="Book Antiqua" w:hAnsi="Book Antiqua" w:cs="Book Antiqua"/>
        </w:rPr>
        <w:t xml:space="preserve"> classified as unspecified.</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rPr>
        <w:t>RESULTS</w:t>
      </w:r>
    </w:p>
    <w:p w:rsidR="00404E95" w:rsidRDefault="00A75A4A">
      <w:pPr>
        <w:spacing w:line="360" w:lineRule="auto"/>
        <w:jc w:val="both"/>
        <w:rPr>
          <w:rFonts w:ascii="Book Antiqua" w:hAnsi="Book Antiqua"/>
        </w:rPr>
      </w:pPr>
      <w:r>
        <w:rPr>
          <w:rFonts w:ascii="Book Antiqua" w:eastAsia="Book Antiqua" w:hAnsi="Book Antiqua" w:cs="Book Antiqua"/>
        </w:rPr>
        <w:t xml:space="preserve">A total of 93 websites were analyzed for reading assessment. A whopping 44% of websites were commercial, followed by 22% of physician-sponsored websites. Third place belonged to non-government organization websites holding a 15% share. The academic website held a meager 9% portion, while unspecified sites were 3%. The table illustrates mean readability scores, along with average cumulative grade level. The average grade level was 10.95 ± 2.28 for all websites, with a range of 6.18 to 18.90. Since </w:t>
      </w:r>
      <w:r>
        <w:rPr>
          <w:rFonts w:ascii="Book Antiqua" w:eastAsia="Book Antiqua" w:hAnsi="Book Antiqua" w:cs="Book Antiqua"/>
          <w:i/>
          <w:iCs/>
        </w:rPr>
        <w:t>P</w:t>
      </w:r>
      <w:r>
        <w:rPr>
          <w:rFonts w:ascii="Book Antiqua" w:eastAsia="Book Antiqua" w:hAnsi="Book Antiqua" w:cs="Book Antiqua"/>
        </w:rPr>
        <w:t xml:space="preserve"> values were more than 0.05, there was not a significant statistical difference between the first page results and the results of all pages. Thus, we can rationalize that readability scores are consistent throughout all pages of a website.</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rPr>
        <w:t>CONCLUSION</w:t>
      </w:r>
    </w:p>
    <w:p w:rsidR="00404E95" w:rsidRDefault="00A75A4A">
      <w:pPr>
        <w:spacing w:line="360" w:lineRule="auto"/>
        <w:jc w:val="both"/>
        <w:rPr>
          <w:rFonts w:ascii="Book Antiqua" w:hAnsi="Book Antiqua"/>
        </w:rPr>
      </w:pPr>
      <w:r>
        <w:rPr>
          <w:rFonts w:ascii="Book Antiqua" w:eastAsia="Book Antiqua" w:hAnsi="Book Antiqua" w:cs="Book Antiqua"/>
        </w:rPr>
        <w:t xml:space="preserve">Hand in hand with technological advancements, treatment modalities continue to grow. With the turn of the century, the internet has become the number one source of information for almost every topic. Thus, many patients look towards the internet as the primary source of information to learn about their respective medical conditions. Our study demonstrates that current online medical information regarding Jones fracture is written at an extraordinarily high-grade level, with an average grade level of all websites at 10.95, nearly </w:t>
      </w:r>
      <w:proofErr w:type="gramStart"/>
      <w:r>
        <w:rPr>
          <w:rFonts w:ascii="Book Antiqua" w:eastAsia="Book Antiqua" w:hAnsi="Book Antiqua" w:cs="Book Antiqua"/>
        </w:rPr>
        <w:t>an</w:t>
      </w:r>
      <w:proofErr w:type="gramEnd"/>
      <w:r>
        <w:rPr>
          <w:rFonts w:ascii="Book Antiqua" w:eastAsia="Book Antiqua" w:hAnsi="Book Antiqua" w:cs="Book Antiqua"/>
        </w:rPr>
        <w:t xml:space="preserve"> 10</w:t>
      </w:r>
      <w:r>
        <w:rPr>
          <w:rFonts w:ascii="Book Antiqua" w:eastAsia="Book Antiqua" w:hAnsi="Book Antiqua" w:cs="Book Antiqua"/>
          <w:vertAlign w:val="superscript"/>
        </w:rPr>
        <w:t>th</w:t>
      </w:r>
      <w:r>
        <w:rPr>
          <w:rFonts w:ascii="Book Antiqua" w:eastAsia="Book Antiqua" w:hAnsi="Book Antiqua" w:cs="Book Antiqua"/>
        </w:rPr>
        <w:t>-grade educational level. The American Medical Association and National Institute of Health strongly recommend that online medical information should be 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 xml:space="preserve">-grade level to aid comprehension by patients of all literacy backgrounds. On the contrary, most of the medical information evaluated was at </w:t>
      </w:r>
      <w:proofErr w:type="gramStart"/>
      <w:r>
        <w:rPr>
          <w:rFonts w:ascii="Book Antiqua" w:eastAsia="Book Antiqua" w:hAnsi="Book Antiqua" w:cs="Book Antiqua"/>
        </w:rPr>
        <w:t>an</w:t>
      </w:r>
      <w:proofErr w:type="gramEnd"/>
      <w:r>
        <w:rPr>
          <w:rFonts w:ascii="Book Antiqua" w:eastAsia="Book Antiqua" w:hAnsi="Book Antiqua" w:cs="Book Antiqua"/>
        </w:rPr>
        <w:t xml:space="preserve"> 10</w:t>
      </w:r>
      <w:r>
        <w:rPr>
          <w:rFonts w:ascii="Book Antiqua" w:eastAsia="Book Antiqua" w:hAnsi="Book Antiqua" w:cs="Book Antiqua"/>
          <w:vertAlign w:val="superscript"/>
        </w:rPr>
        <w:t>th</w:t>
      </w:r>
      <w:r>
        <w:rPr>
          <w:rFonts w:ascii="Book Antiqua" w:eastAsia="Book Antiqua" w:hAnsi="Book Antiqua" w:cs="Book Antiqua"/>
        </w:rPr>
        <w:t xml:space="preserve">-grade level, which far exceeds recommendations by AMA and NIH. This is particularly relevant because readability scores are directly proportional to </w:t>
      </w:r>
      <w:r>
        <w:rPr>
          <w:rFonts w:ascii="Book Antiqua" w:eastAsia="Book Antiqua" w:hAnsi="Book Antiqua" w:cs="Book Antiqua"/>
        </w:rPr>
        <w:lastRenderedPageBreak/>
        <w:t>the level of comprehension attained by readers, thus directly impacting patient outcomes. In conclusion, we suggest and encourage that all online reading materials should be re-written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-grade level in a public service effort to increase compliance with treatment goals and raise awareness of preventive measures.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Jones fracture; Jones fracture treatment; Jones fracture management; Jones fracture prevention; Jones fracture types; Jones fracture location</w:t>
      </w:r>
    </w:p>
    <w:p w:rsidR="00404E95" w:rsidRDefault="00404E95">
      <w:pPr>
        <w:spacing w:line="360" w:lineRule="auto"/>
        <w:jc w:val="both"/>
        <w:rPr>
          <w:rFonts w:ascii="Book Antiqua" w:hAnsi="Book Antiqua"/>
          <w:lang w:eastAsia="zh-CN"/>
        </w:rPr>
      </w:pPr>
    </w:p>
    <w:p w:rsidR="00060A48" w:rsidRPr="00026CB8" w:rsidRDefault="00060A48" w:rsidP="00060A4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BD3E02" w:rsidRDefault="00BD3E02">
      <w:pPr>
        <w:spacing w:line="360" w:lineRule="auto"/>
        <w:jc w:val="both"/>
        <w:rPr>
          <w:rFonts w:ascii="Book Antiqua" w:hAnsi="Book Antiqua"/>
          <w:lang w:eastAsia="zh-CN"/>
        </w:rPr>
      </w:pPr>
    </w:p>
    <w:p w:rsidR="00BD3E02" w:rsidRPr="00A047F4" w:rsidRDefault="00CE21E5">
      <w:pPr>
        <w:spacing w:line="360" w:lineRule="auto"/>
        <w:jc w:val="both"/>
        <w:rPr>
          <w:rFonts w:ascii="Book Antiqua" w:hAnsi="Book Antiqua" w:cs="Book Antiqua"/>
          <w:lang w:eastAsia="zh-CN"/>
        </w:rPr>
      </w:pPr>
      <w:r w:rsidRPr="0052324F">
        <w:rPr>
          <w:rFonts w:ascii="Book Antiqua" w:eastAsia="Book Antiqua" w:hAnsi="Book Antiqua" w:cs="Book Antiqua"/>
          <w:b/>
          <w:lang w:val="es-AR"/>
        </w:rPr>
        <w:t xml:space="preserve">Citation: </w:t>
      </w:r>
      <w:r w:rsidR="00A75A4A">
        <w:rPr>
          <w:rFonts w:ascii="Book Antiqua" w:eastAsia="Book Antiqua" w:hAnsi="Book Antiqua" w:cs="Book Antiqua"/>
        </w:rPr>
        <w:t>Al-</w:t>
      </w:r>
      <w:proofErr w:type="spellStart"/>
      <w:r w:rsidR="00A75A4A">
        <w:rPr>
          <w:rFonts w:ascii="Book Antiqua" w:eastAsia="Book Antiqua" w:hAnsi="Book Antiqua" w:cs="Book Antiqua"/>
        </w:rPr>
        <w:t>Kharouf</w:t>
      </w:r>
      <w:proofErr w:type="spellEnd"/>
      <w:r w:rsidR="00A75A4A">
        <w:rPr>
          <w:rFonts w:ascii="Book Antiqua" w:eastAsia="Book Antiqua" w:hAnsi="Book Antiqua" w:cs="Book Antiqua"/>
        </w:rPr>
        <w:t xml:space="preserve"> KFK, Khan FI, Robertson GA. Assessing the readability of online information about jones fracture. </w:t>
      </w:r>
      <w:r w:rsidR="00A75A4A">
        <w:rPr>
          <w:rFonts w:ascii="Book Antiqua" w:eastAsia="Book Antiqua" w:hAnsi="Book Antiqua" w:cs="Book Antiqua"/>
          <w:i/>
          <w:iCs/>
        </w:rPr>
        <w:t xml:space="preserve">World J </w:t>
      </w:r>
      <w:proofErr w:type="spellStart"/>
      <w:r w:rsidR="00A75A4A">
        <w:rPr>
          <w:rFonts w:ascii="Book Antiqua" w:eastAsia="Book Antiqua" w:hAnsi="Book Antiqua" w:cs="Book Antiqua"/>
          <w:i/>
          <w:iCs/>
        </w:rPr>
        <w:t>Methodol</w:t>
      </w:r>
      <w:proofErr w:type="spellEnd"/>
      <w:r w:rsidR="00A75A4A">
        <w:rPr>
          <w:rFonts w:ascii="Book Antiqua" w:eastAsia="Book Antiqua" w:hAnsi="Book Antiqua" w:cs="Book Antiqua"/>
        </w:rPr>
        <w:t xml:space="preserve"> 2023; </w:t>
      </w:r>
      <w:r w:rsidR="00A75A4A">
        <w:rPr>
          <w:rFonts w:ascii="Book Antiqua" w:eastAsia="Book Antiqua" w:hAnsi="Book Antiqua" w:cs="Book Antiqua" w:hint="eastAsia"/>
        </w:rPr>
        <w:t xml:space="preserve">13(5): </w:t>
      </w:r>
      <w:r w:rsidR="00A047F4">
        <w:rPr>
          <w:rFonts w:ascii="Book Antiqua" w:hAnsi="Book Antiqua" w:cs="Book Antiqua" w:hint="eastAsia"/>
          <w:lang w:eastAsia="zh-CN"/>
        </w:rPr>
        <w:t>439</w:t>
      </w:r>
      <w:r w:rsidR="00A75A4A">
        <w:rPr>
          <w:rFonts w:ascii="Book Antiqua" w:eastAsia="Book Antiqua" w:hAnsi="Book Antiqua" w:cs="Book Antiqua" w:hint="eastAsia"/>
        </w:rPr>
        <w:t>-</w:t>
      </w:r>
      <w:r w:rsidR="00A047F4">
        <w:rPr>
          <w:rFonts w:ascii="Book Antiqua" w:hAnsi="Book Antiqua" w:cs="Book Antiqua" w:hint="eastAsia"/>
          <w:lang w:eastAsia="zh-CN"/>
        </w:rPr>
        <w:t>445</w:t>
      </w:r>
    </w:p>
    <w:p w:rsidR="00BD3E02" w:rsidRDefault="00A75A4A">
      <w:pPr>
        <w:spacing w:line="360" w:lineRule="auto"/>
        <w:jc w:val="both"/>
        <w:rPr>
          <w:rFonts w:ascii="Book Antiqua" w:hAnsi="Book Antiqua" w:cs="Book Antiqua"/>
          <w:lang w:eastAsia="zh-CN"/>
        </w:rPr>
      </w:pPr>
      <w:r w:rsidRPr="00BD3E02">
        <w:rPr>
          <w:rFonts w:ascii="Book Antiqua" w:eastAsia="Book Antiqua" w:hAnsi="Book Antiqua" w:cs="Book Antiqua" w:hint="eastAsia"/>
          <w:b/>
        </w:rPr>
        <w:t xml:space="preserve">URL: </w:t>
      </w:r>
      <w:r w:rsidR="00BD3E02" w:rsidRPr="00BD3E02">
        <w:rPr>
          <w:rFonts w:ascii="Book Antiqua" w:eastAsia="Book Antiqua" w:hAnsi="Book Antiqua" w:cs="Book Antiqua" w:hint="eastAsia"/>
        </w:rPr>
        <w:t>https://www.wjgnet.com/2222-0682/full/v13/i5/</w:t>
      </w:r>
      <w:r w:rsidR="00A047F4">
        <w:rPr>
          <w:rFonts w:ascii="Book Antiqua" w:hAnsi="Book Antiqua" w:cs="Book Antiqua" w:hint="eastAsia"/>
          <w:lang w:eastAsia="zh-CN"/>
        </w:rPr>
        <w:t>439</w:t>
      </w:r>
      <w:r w:rsidR="00BD3E02" w:rsidRPr="00BD3E02">
        <w:rPr>
          <w:rFonts w:ascii="Book Antiqua" w:eastAsia="Book Antiqua" w:hAnsi="Book Antiqua" w:cs="Book Antiqua" w:hint="eastAsia"/>
        </w:rPr>
        <w:t>.htm</w:t>
      </w:r>
    </w:p>
    <w:p w:rsidR="00404E95" w:rsidRPr="00A047F4" w:rsidRDefault="00A75A4A">
      <w:pPr>
        <w:spacing w:line="360" w:lineRule="auto"/>
        <w:jc w:val="both"/>
        <w:rPr>
          <w:rFonts w:ascii="Book Antiqua" w:hAnsi="Book Antiqua"/>
          <w:lang w:eastAsia="zh-CN"/>
        </w:rPr>
      </w:pPr>
      <w:r w:rsidRPr="00BD3E02">
        <w:rPr>
          <w:rFonts w:ascii="Book Antiqua" w:eastAsia="Book Antiqua" w:hAnsi="Book Antiqua" w:cs="Book Antiqua" w:hint="eastAsia"/>
          <w:b/>
        </w:rPr>
        <w:t xml:space="preserve">DOI: </w:t>
      </w:r>
      <w:r>
        <w:rPr>
          <w:rFonts w:ascii="Book Antiqua" w:eastAsia="Book Antiqua" w:hAnsi="Book Antiqua" w:cs="Book Antiqua" w:hint="eastAsia"/>
        </w:rPr>
        <w:t>https://dx.doi.org/10.5662/wjm.v13.i5.</w:t>
      </w:r>
      <w:r w:rsidR="00A047F4">
        <w:rPr>
          <w:rFonts w:ascii="Book Antiqua" w:hAnsi="Book Antiqua" w:cs="Book Antiqua" w:hint="eastAsia"/>
          <w:lang w:eastAsia="zh-CN"/>
        </w:rPr>
        <w:t>439</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With technological advancements, many patients look toward the internet as their primary source of information to learn about their respective medical conditions. The American Medical Association and National Institute of Health strongly recommend that online medical information be 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-grade level to aid comprehension by patients of all literacy backgrounds. Readability measures how easy a piece of text is to read. This, in turn, affects how much information people can understand and retain. Our study aims to assess the readability of online information regarding Jones fracture. A total of 93 websites were analyzed for reading assessment. The overall mean average grade level of all websites in the study was 10.95230 ± 2.27862, corresponding to a 10</w:t>
      </w:r>
      <w:r>
        <w:rPr>
          <w:rFonts w:ascii="Book Antiqua" w:eastAsia="Book Antiqua" w:hAnsi="Book Antiqua" w:cs="Book Antiqua"/>
          <w:vertAlign w:val="superscript"/>
        </w:rPr>
        <w:t>th</w:t>
      </w:r>
      <w:r>
        <w:rPr>
          <w:rFonts w:ascii="Book Antiqua" w:eastAsia="Book Antiqua" w:hAnsi="Book Antiqua" w:cs="Book Antiqua"/>
        </w:rPr>
        <w:t>-grade reading level. In Conclusion, most of the medical information evaluated was at an 11</w:t>
      </w:r>
      <w:r>
        <w:rPr>
          <w:rFonts w:ascii="Book Antiqua" w:eastAsia="Book Antiqua" w:hAnsi="Book Antiqua" w:cs="Book Antiqua"/>
          <w:vertAlign w:val="superscript"/>
        </w:rPr>
        <w:t>th</w:t>
      </w:r>
      <w:r>
        <w:rPr>
          <w:rFonts w:ascii="Book Antiqua" w:eastAsia="Book Antiqua" w:hAnsi="Book Antiqua" w:cs="Book Antiqua"/>
        </w:rPr>
        <w:t>-grade level, far exceeding AMA and NIH recommendations.</w:t>
      </w:r>
    </w:p>
    <w:p w:rsidR="00BD3E02" w:rsidRDefault="00BD3E02">
      <w:pPr>
        <w:rPr>
          <w:rFonts w:ascii="Book Antiqua" w:hAnsi="Book Antiqua"/>
        </w:rPr>
      </w:pPr>
      <w:r>
        <w:rPr>
          <w:rFonts w:ascii="Book Antiqua" w:hAnsi="Book Antiqua"/>
        </w:rPr>
        <w:br w:type="page"/>
      </w:r>
    </w:p>
    <w:p w:rsidR="00404E95" w:rsidRDefault="00A75A4A">
      <w:pPr>
        <w:spacing w:line="360" w:lineRule="auto"/>
        <w:jc w:val="both"/>
        <w:rPr>
          <w:rFonts w:ascii="Book Antiqua" w:hAnsi="Book Antiqua"/>
        </w:rPr>
      </w:pPr>
      <w:r>
        <w:rPr>
          <w:rFonts w:ascii="Book Antiqua" w:eastAsia="Book Antiqua" w:hAnsi="Book Antiqua" w:cs="Book Antiqua"/>
          <w:b/>
          <w:caps/>
          <w:u w:val="single"/>
        </w:rPr>
        <w:lastRenderedPageBreak/>
        <w:t>INTRODUCTION</w:t>
      </w:r>
    </w:p>
    <w:p w:rsidR="00404E95" w:rsidRDefault="00A75A4A">
      <w:pPr>
        <w:spacing w:line="360" w:lineRule="auto"/>
        <w:jc w:val="both"/>
        <w:rPr>
          <w:rFonts w:ascii="Book Antiqua" w:hAnsi="Book Antiqua"/>
        </w:rPr>
      </w:pPr>
      <w:r>
        <w:rPr>
          <w:rFonts w:ascii="Book Antiqua" w:eastAsia="Book Antiqua" w:hAnsi="Book Antiqua" w:cs="Book Antiqua"/>
        </w:rPr>
        <w:t>Sir Robert Jones originally described the Jones fracture in 1902 as a self-named fracture occurring within 3/4</w:t>
      </w:r>
      <w:r>
        <w:rPr>
          <w:rFonts w:ascii="Book Antiqua" w:eastAsia="Book Antiqua" w:hAnsi="Book Antiqua" w:cs="Book Antiqua"/>
          <w:vertAlign w:val="superscript"/>
        </w:rPr>
        <w:t>th</w:t>
      </w:r>
      <w:r>
        <w:rPr>
          <w:rFonts w:ascii="Book Antiqua" w:eastAsia="Book Antiqua" w:hAnsi="Book Antiqua" w:cs="Book Antiqua"/>
        </w:rPr>
        <w:t xml:space="preserve"> of an inch from the base of the 5</w:t>
      </w:r>
      <w:r>
        <w:rPr>
          <w:rFonts w:ascii="Book Antiqua" w:eastAsia="Book Antiqua" w:hAnsi="Book Antiqua" w:cs="Book Antiqua"/>
          <w:vertAlign w:val="superscript"/>
        </w:rPr>
        <w:t>th</w:t>
      </w:r>
      <w:r>
        <w:rPr>
          <w:rFonts w:ascii="Book Antiqua" w:eastAsia="Book Antiqua" w:hAnsi="Book Antiqua" w:cs="Book Antiqua"/>
        </w:rPr>
        <w:t xml:space="preserve"> metatarsal. Generally, the Jones fracture is defined as all fractures of the proximal 5</w:t>
      </w:r>
      <w:r>
        <w:rPr>
          <w:rFonts w:ascii="Book Antiqua" w:eastAsia="Book Antiqua" w:hAnsi="Book Antiqua" w:cs="Book Antiqua"/>
          <w:vertAlign w:val="superscript"/>
        </w:rPr>
        <w:t>th</w:t>
      </w:r>
      <w:r>
        <w:rPr>
          <w:rFonts w:ascii="Book Antiqua" w:eastAsia="Book Antiqua" w:hAnsi="Book Antiqua" w:cs="Book Antiqua"/>
        </w:rPr>
        <w:t xml:space="preserve"> metatarsal distal to the tuberosity within 1.5 cm of this </w:t>
      </w:r>
      <w:proofErr w:type="gramStart"/>
      <w:r>
        <w:rPr>
          <w:rFonts w:ascii="Book Antiqua" w:eastAsia="Book Antiqua" w:hAnsi="Book Antiqua" w:cs="Book Antiqua"/>
        </w:rPr>
        <w:t>area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Interestingly, the most common fracture of the foot is the Jones fracture, </w:t>
      </w:r>
      <w:r>
        <w:rPr>
          <w:rFonts w:ascii="Book Antiqua" w:eastAsia="Book Antiqua" w:hAnsi="Book Antiqua" w:cs="Book Antiqua"/>
          <w:i/>
          <w:iCs/>
        </w:rPr>
        <w:t>i.e.</w:t>
      </w:r>
      <w:r>
        <w:rPr>
          <w:rFonts w:ascii="Book Antiqua" w:eastAsia="Book Antiqua" w:hAnsi="Book Antiqua" w:cs="Book Antiqua"/>
        </w:rPr>
        <w:t>, fracture of the 5</w:t>
      </w:r>
      <w:r>
        <w:rPr>
          <w:rFonts w:ascii="Book Antiqua" w:eastAsia="Book Antiqua" w:hAnsi="Book Antiqua" w:cs="Book Antiqua"/>
          <w:vertAlign w:val="superscript"/>
        </w:rPr>
        <w:t>th</w:t>
      </w:r>
      <w:r>
        <w:rPr>
          <w:rFonts w:ascii="Book Antiqua" w:eastAsia="Book Antiqua" w:hAnsi="Book Antiqua" w:cs="Book Antiqua"/>
        </w:rPr>
        <w:t xml:space="preserve"> metatarsal. Many classification systems exist describing the Jones fracture; however, the most widely used is the anatomical classification, dividing the proximal part of the 5</w:t>
      </w:r>
      <w:r>
        <w:rPr>
          <w:rFonts w:ascii="Book Antiqua" w:eastAsia="Book Antiqua" w:hAnsi="Book Antiqua" w:cs="Book Antiqua"/>
          <w:vertAlign w:val="superscript"/>
        </w:rPr>
        <w:t>th</w:t>
      </w:r>
      <w:r>
        <w:rPr>
          <w:rFonts w:ascii="Book Antiqua" w:eastAsia="Book Antiqua" w:hAnsi="Book Antiqua" w:cs="Book Antiqua"/>
        </w:rPr>
        <w:t xml:space="preserve"> metatarsal into three </w:t>
      </w:r>
      <w:proofErr w:type="gramStart"/>
      <w:r>
        <w:rPr>
          <w:rFonts w:ascii="Book Antiqua" w:eastAsia="Book Antiqua" w:hAnsi="Book Antiqua" w:cs="Book Antiqua"/>
        </w:rPr>
        <w:t>zones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w:t>
      </w:r>
    </w:p>
    <w:p w:rsidR="00404E95" w:rsidRDefault="00A75A4A">
      <w:pPr>
        <w:spacing w:line="360" w:lineRule="auto"/>
        <w:ind w:firstLineChars="100" w:firstLine="240"/>
        <w:jc w:val="both"/>
        <w:rPr>
          <w:rFonts w:ascii="Book Antiqua" w:hAnsi="Book Antiqua"/>
        </w:rPr>
      </w:pPr>
      <w:r>
        <w:rPr>
          <w:rFonts w:ascii="Book Antiqua" w:eastAsia="Book Antiqua" w:hAnsi="Book Antiqua" w:cs="Book Antiqua"/>
        </w:rPr>
        <w:t>Zone 1 is the most proximal area, comprising the 5</w:t>
      </w:r>
      <w:r>
        <w:rPr>
          <w:rFonts w:ascii="Book Antiqua" w:eastAsia="Book Antiqua" w:hAnsi="Book Antiqua" w:cs="Book Antiqua"/>
          <w:vertAlign w:val="superscript"/>
        </w:rPr>
        <w:t>th</w:t>
      </w:r>
      <w:r>
        <w:rPr>
          <w:rFonts w:ascii="Book Antiqua" w:eastAsia="Book Antiqua" w:hAnsi="Book Antiqua" w:cs="Book Antiqua"/>
        </w:rPr>
        <w:t xml:space="preserve"> metatarsal tuberosity and the </w:t>
      </w:r>
      <w:proofErr w:type="spellStart"/>
      <w:r>
        <w:rPr>
          <w:rFonts w:ascii="Book Antiqua" w:eastAsia="Book Antiqua" w:hAnsi="Book Antiqua" w:cs="Book Antiqua"/>
        </w:rPr>
        <w:t>metatarsocuboid</w:t>
      </w:r>
      <w:proofErr w:type="spellEnd"/>
      <w:r>
        <w:rPr>
          <w:rFonts w:ascii="Book Antiqua" w:eastAsia="Book Antiqua" w:hAnsi="Book Antiqua" w:cs="Book Antiqua"/>
        </w:rPr>
        <w:t xml:space="preserve"> joint. Injuries in Zone 1 are usually avulsion fractures, which are non-operatively managed to result in adequate clinical outcomes. Zone 2 consists of an area bordering the 4</w:t>
      </w:r>
      <w:r>
        <w:rPr>
          <w:rFonts w:ascii="Book Antiqua" w:eastAsia="Book Antiqua" w:hAnsi="Book Antiqua" w:cs="Book Antiqua"/>
          <w:vertAlign w:val="superscript"/>
        </w:rPr>
        <w:t>th</w:t>
      </w:r>
      <w:r>
        <w:rPr>
          <w:rFonts w:ascii="Book Antiqua" w:eastAsia="Book Antiqua" w:hAnsi="Book Antiqua" w:cs="Book Antiqua"/>
        </w:rPr>
        <w:t xml:space="preserve"> and 5</w:t>
      </w:r>
      <w:r>
        <w:rPr>
          <w:rFonts w:ascii="Book Antiqua" w:eastAsia="Book Antiqua" w:hAnsi="Book Antiqua" w:cs="Book Antiqua"/>
          <w:vertAlign w:val="superscript"/>
        </w:rPr>
        <w:t>th</w:t>
      </w:r>
      <w:r>
        <w:rPr>
          <w:rFonts w:ascii="Book Antiqua" w:eastAsia="Book Antiqua" w:hAnsi="Book Antiqua" w:cs="Book Antiqua"/>
        </w:rPr>
        <w:t xml:space="preserve"> </w:t>
      </w:r>
      <w:proofErr w:type="spellStart"/>
      <w:r>
        <w:rPr>
          <w:rFonts w:ascii="Book Antiqua" w:eastAsia="Book Antiqua" w:hAnsi="Book Antiqua" w:cs="Book Antiqua"/>
        </w:rPr>
        <w:t>intermetatarsal</w:t>
      </w:r>
      <w:proofErr w:type="spellEnd"/>
      <w:r>
        <w:rPr>
          <w:rFonts w:ascii="Book Antiqua" w:eastAsia="Book Antiqua" w:hAnsi="Book Antiqua" w:cs="Book Antiqua"/>
        </w:rPr>
        <w:t xml:space="preserve"> junction, stretching to the </w:t>
      </w:r>
      <w:proofErr w:type="spellStart"/>
      <w:r>
        <w:rPr>
          <w:rFonts w:ascii="Book Antiqua" w:eastAsia="Book Antiqua" w:hAnsi="Book Antiqua" w:cs="Book Antiqua"/>
        </w:rPr>
        <w:t>metaphyseal-diaphyseal</w:t>
      </w:r>
      <w:proofErr w:type="spellEnd"/>
      <w:r>
        <w:rPr>
          <w:rFonts w:ascii="Book Antiqua" w:eastAsia="Book Antiqua" w:hAnsi="Book Antiqua" w:cs="Book Antiqua"/>
        </w:rPr>
        <w:t xml:space="preserve"> junction and distal to Zone 1. A fracture in Zone 2 is classified as an actual Jones fracture. Finally, we have Zone 3, which contains the proximal 1.5 cm of the metatarsal diaphysis. Fractures in Zone 2 and Zone 3 are known to have high non-union rates with non-operative management, hence, promoting operative management as the preferred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w:t>
      </w:r>
    </w:p>
    <w:p w:rsidR="00404E95" w:rsidRDefault="00A75A4A">
      <w:pPr>
        <w:spacing w:line="360" w:lineRule="auto"/>
        <w:ind w:firstLineChars="100" w:firstLine="240"/>
        <w:jc w:val="both"/>
        <w:rPr>
          <w:rFonts w:ascii="Book Antiqua" w:hAnsi="Book Antiqua"/>
        </w:rPr>
      </w:pPr>
      <w:r>
        <w:rPr>
          <w:rFonts w:ascii="Book Antiqua" w:eastAsia="Book Antiqua" w:hAnsi="Book Antiqua" w:cs="Book Antiqua"/>
        </w:rPr>
        <w:t xml:space="preserve">With the turn of the century, the internet has become a valuable source of medical information for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xml:space="preserve">. As per the 2022 Health Information National Trends Survey, approximately 74.7% of people initially browsed the internet to gain insight into their medical </w:t>
      </w:r>
      <w:proofErr w:type="gramStart"/>
      <w:r>
        <w:rPr>
          <w:rFonts w:ascii="Book Antiqua" w:eastAsia="Book Antiqua" w:hAnsi="Book Antiqua" w:cs="Book Antiqua"/>
        </w:rPr>
        <w:t>problems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With increased online dissemination of medical information, the public has turned to the internet as their first source of information regarding medical illnesses. In fact, online resources have been shown to increase compliance with treatment goals and self-governed lifestyle </w:t>
      </w:r>
      <w:proofErr w:type="gramStart"/>
      <w:r>
        <w:rPr>
          <w:rFonts w:ascii="Book Antiqua" w:eastAsia="Book Antiqua" w:hAnsi="Book Antiqua" w:cs="Book Antiqua"/>
        </w:rPr>
        <w:t>changes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w:t>
      </w:r>
    </w:p>
    <w:p w:rsidR="00404E95" w:rsidRDefault="00A75A4A">
      <w:pPr>
        <w:spacing w:line="360" w:lineRule="auto"/>
        <w:ind w:firstLineChars="100" w:firstLine="240"/>
        <w:jc w:val="both"/>
        <w:rPr>
          <w:rFonts w:ascii="Book Antiqua" w:hAnsi="Book Antiqua"/>
        </w:rPr>
      </w:pPr>
      <w:r>
        <w:rPr>
          <w:rFonts w:ascii="Book Antiqua" w:eastAsia="Book Antiqua" w:hAnsi="Book Antiqua" w:cs="Book Antiqua"/>
        </w:rPr>
        <w:t xml:space="preserve">Readability is the measure of how easy a piece of text is to </w:t>
      </w:r>
      <w:proofErr w:type="gramStart"/>
      <w:r>
        <w:rPr>
          <w:rFonts w:ascii="Book Antiqua" w:eastAsia="Book Antiqua" w:hAnsi="Book Antiqua" w:cs="Book Antiqua"/>
        </w:rPr>
        <w:t>read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This, in turn, affects how much information people are able to understand and retain. Given that health literacy actively corresponds to positive patient outcomes, the readability of a text comes into play in how effectively a piece of information can be comprehended by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The American Medical Association and the National Institute of Health </w:t>
      </w:r>
      <w:r>
        <w:rPr>
          <w:rFonts w:ascii="Book Antiqua" w:eastAsia="Book Antiqua" w:hAnsi="Book Antiqua" w:cs="Book Antiqua"/>
        </w:rPr>
        <w:lastRenderedPageBreak/>
        <w:t>recommend that patient education materials should be written between a 6</w:t>
      </w:r>
      <w:r>
        <w:rPr>
          <w:rFonts w:ascii="Book Antiqua" w:eastAsia="Book Antiqua" w:hAnsi="Book Antiqua" w:cs="Book Antiqua"/>
          <w:vertAlign w:val="superscript"/>
        </w:rPr>
        <w:t>th</w:t>
      </w:r>
      <w:r>
        <w:rPr>
          <w:rFonts w:ascii="Book Antiqua" w:eastAsia="Book Antiqua" w:hAnsi="Book Antiqua" w:cs="Book Antiqua"/>
        </w:rPr>
        <w:t xml:space="preserve"> and 8</w:t>
      </w:r>
      <w:r>
        <w:rPr>
          <w:rFonts w:ascii="Book Antiqua" w:eastAsia="Book Antiqua" w:hAnsi="Book Antiqua" w:cs="Book Antiqua"/>
          <w:vertAlign w:val="superscript"/>
        </w:rPr>
        <w:t>th</w:t>
      </w:r>
      <w:r>
        <w:rPr>
          <w:rFonts w:ascii="Book Antiqua" w:eastAsia="Book Antiqua" w:hAnsi="Book Antiqua" w:cs="Book Antiqua"/>
        </w:rPr>
        <w:t xml:space="preserve">-grade </w:t>
      </w:r>
      <w:proofErr w:type="gramStart"/>
      <w:r>
        <w:rPr>
          <w:rFonts w:ascii="Book Antiqua" w:eastAsia="Book Antiqua" w:hAnsi="Book Antiqua" w:cs="Book Antiqua"/>
        </w:rPr>
        <w:t>level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8,9]</w:t>
      </w:r>
      <w:r>
        <w:rPr>
          <w:rFonts w:ascii="Book Antiqua" w:eastAsia="Book Antiqua" w:hAnsi="Book Antiqua" w:cs="Book Antiqua"/>
        </w:rPr>
        <w:t>.</w:t>
      </w:r>
    </w:p>
    <w:p w:rsidR="00404E95" w:rsidRDefault="00A75A4A">
      <w:pPr>
        <w:spacing w:line="360" w:lineRule="auto"/>
        <w:ind w:firstLineChars="100" w:firstLine="240"/>
        <w:jc w:val="both"/>
        <w:rPr>
          <w:rFonts w:ascii="Book Antiqua" w:hAnsi="Book Antiqua"/>
        </w:rPr>
      </w:pPr>
      <w:r>
        <w:rPr>
          <w:rFonts w:ascii="Book Antiqua" w:eastAsia="Book Antiqua" w:hAnsi="Book Antiqua" w:cs="Book Antiqua"/>
        </w:rPr>
        <w:t>Our study aims to assess the readability of online information regarding Jones fracture. Our hypothesis is that the reading level of medical information published on websites far exceeds the recommended reading level of 6</w:t>
      </w:r>
      <w:r>
        <w:rPr>
          <w:rFonts w:ascii="Book Antiqua" w:eastAsia="Book Antiqua" w:hAnsi="Book Antiqua" w:cs="Book Antiqua"/>
          <w:vertAlign w:val="superscript"/>
        </w:rPr>
        <w:t>th</w:t>
      </w:r>
      <w:r>
        <w:rPr>
          <w:rFonts w:ascii="Book Antiqua" w:eastAsia="Book Antiqua" w:hAnsi="Book Antiqua" w:cs="Book Antiqua"/>
        </w:rPr>
        <w:t>-8</w:t>
      </w:r>
      <w:r>
        <w:rPr>
          <w:rFonts w:ascii="Book Antiqua" w:eastAsia="Book Antiqua" w:hAnsi="Book Antiqua" w:cs="Book Antiqua"/>
          <w:vertAlign w:val="superscript"/>
        </w:rPr>
        <w:t>th</w:t>
      </w:r>
      <w:r>
        <w:rPr>
          <w:rFonts w:ascii="Book Antiqua" w:eastAsia="Book Antiqua" w:hAnsi="Book Antiqua" w:cs="Book Antiqua"/>
        </w:rPr>
        <w:t xml:space="preserve"> grade as proposed by the American Medical Associate and National Institute of Health. The result of this study can help us formulate improved recommendations for publishing more comprehensible material and, thus, eventually improve patient compliance and clinical outcomes.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caps/>
          <w:u w:val="single"/>
        </w:rPr>
        <w:t>MATERIALS AND METHODS</w:t>
      </w:r>
    </w:p>
    <w:p w:rsidR="00404E95" w:rsidRDefault="00A75A4A">
      <w:pPr>
        <w:spacing w:line="360" w:lineRule="auto"/>
        <w:jc w:val="both"/>
        <w:rPr>
          <w:rFonts w:ascii="Book Antiqua" w:hAnsi="Book Antiqua"/>
        </w:rPr>
      </w:pPr>
      <w:r>
        <w:rPr>
          <w:rFonts w:ascii="Book Antiqua" w:eastAsia="Book Antiqua" w:hAnsi="Book Antiqua" w:cs="Book Antiqua"/>
        </w:rPr>
        <w:t xml:space="preserve">The exact phrase “Jones fracture” was queried on the three most common search engines, Google, Yahoo!, and Bing, on December 28, 2022. As of December 2022, Google held 84%, Bing held 9%, and Yahoo! held 2% of the worldwide search engine market </w:t>
      </w:r>
      <w:proofErr w:type="gramStart"/>
      <w:r>
        <w:rPr>
          <w:rFonts w:ascii="Book Antiqua" w:eastAsia="Book Antiqua" w:hAnsi="Book Antiqua" w:cs="Book Antiqua"/>
        </w:rPr>
        <w:t>share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Web pages uniform resource locator (URLs) from the first three pages of search results were recorded from each search engine. These web pages were classified according to academic, physician-sponsored, governmental and non-government organizations (NGO), commercial, and unspecified as per formally defined </w:t>
      </w:r>
      <w:proofErr w:type="gramStart"/>
      <w:r>
        <w:rPr>
          <w:rFonts w:ascii="Book Antiqua" w:eastAsia="Book Antiqua" w:hAnsi="Book Antiqua" w:cs="Book Antiqua"/>
        </w:rPr>
        <w:t>categories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Websites associated with an educational institution or medical </w:t>
      </w:r>
      <w:proofErr w:type="gramStart"/>
      <w:r>
        <w:rPr>
          <w:rFonts w:ascii="Book Antiqua" w:eastAsia="Book Antiqua" w:hAnsi="Book Antiqua" w:cs="Book Antiqua"/>
        </w:rPr>
        <w:t>organization were</w:t>
      </w:r>
      <w:proofErr w:type="gramEnd"/>
      <w:r>
        <w:rPr>
          <w:rFonts w:ascii="Book Antiqua" w:eastAsia="Book Antiqua" w:hAnsi="Book Antiqua" w:cs="Book Antiqua"/>
        </w:rPr>
        <w:t xml:space="preserve"> classified as academic. Websites with products for sale, corporate sponsorship, or advertisements were classified as commercial. Governmental websites or NGOs comprised those that received government subsidies or grants. Webpages that were independently owned by physicians or physician groups were respectively classed as physician sponsored. The remainder of websites that did not fall under the above categories were classified as </w:t>
      </w:r>
      <w:proofErr w:type="gramStart"/>
      <w:r>
        <w:rPr>
          <w:rFonts w:ascii="Book Antiqua" w:eastAsia="Book Antiqua" w:hAnsi="Book Antiqua" w:cs="Book Antiqua"/>
        </w:rPr>
        <w:t>unspecified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12-14]</w:t>
      </w:r>
      <w:r>
        <w:rPr>
          <w:rFonts w:ascii="Book Antiqua" w:eastAsia="Book Antiqua" w:hAnsi="Book Antiqua" w:cs="Book Antiqua"/>
        </w:rPr>
        <w:t xml:space="preserve"> (Tables 1-3).</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caps/>
          <w:u w:val="single"/>
        </w:rPr>
        <w:t>RESULTS</w:t>
      </w:r>
    </w:p>
    <w:p w:rsidR="00404E95" w:rsidRDefault="00A75A4A">
      <w:pPr>
        <w:spacing w:line="360" w:lineRule="auto"/>
        <w:jc w:val="both"/>
        <w:rPr>
          <w:rFonts w:ascii="Book Antiqua" w:hAnsi="Book Antiqua"/>
        </w:rPr>
      </w:pPr>
      <w:r>
        <w:rPr>
          <w:rFonts w:ascii="Book Antiqua" w:eastAsia="Book Antiqua" w:hAnsi="Book Antiqua" w:cs="Book Antiqua"/>
        </w:rPr>
        <w:t xml:space="preserve">A total of 101 website results were obtained, 49 from Google, 28 from Yahoo!, and 24 from Bing. Only eight websites were excluded, making a total of 93 pages manually analyzed (49 from Google, 21 from Yahoo!, and 23 from Bing; Figures 1 and 2). </w:t>
      </w:r>
      <w:r>
        <w:rPr>
          <w:rFonts w:ascii="Book Antiqua" w:eastAsia="Book Antiqua" w:hAnsi="Book Antiqua" w:cs="Book Antiqua"/>
        </w:rPr>
        <w:lastRenderedPageBreak/>
        <w:t>Exclusions were made due to duplication results. All the text from the images was included as part of the analysis. On pages where there was information about multiple subjects, only information relevant to Jones fracture was selected for analysis.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caps/>
          <w:u w:val="single"/>
        </w:rPr>
        <w:t>DISCUSSION</w:t>
      </w:r>
    </w:p>
    <w:p w:rsidR="00404E95" w:rsidRDefault="00A75A4A">
      <w:pPr>
        <w:spacing w:line="360" w:lineRule="auto"/>
        <w:jc w:val="both"/>
        <w:rPr>
          <w:rFonts w:ascii="Book Antiqua" w:hAnsi="Book Antiqua"/>
        </w:rPr>
      </w:pPr>
      <w:r>
        <w:rPr>
          <w:rFonts w:ascii="Book Antiqua" w:eastAsia="Book Antiqua" w:hAnsi="Book Antiqua" w:cs="Book Antiqua"/>
        </w:rPr>
        <w:t>With advances in technology, operative and conservative management options for Jones continue to grow. Vast amounts of information are available on the internet. In fact, in today’s age, patients tend to utilize the internet as their primary source of information before actually seeing a medical practitioner. Therefore, it is of utmost significance how medical information is disseminated to patients.</w:t>
      </w:r>
    </w:p>
    <w:p w:rsidR="00404E95" w:rsidRDefault="00A75A4A">
      <w:pPr>
        <w:spacing w:line="360" w:lineRule="auto"/>
        <w:ind w:firstLineChars="100" w:firstLine="240"/>
        <w:jc w:val="both"/>
        <w:rPr>
          <w:rFonts w:ascii="Book Antiqua" w:hAnsi="Book Antiqua"/>
        </w:rPr>
      </w:pPr>
      <w:r>
        <w:rPr>
          <w:rFonts w:ascii="Book Antiqua" w:eastAsia="Book Antiqua" w:hAnsi="Book Antiqua" w:cs="Book Antiqua"/>
        </w:rPr>
        <w:t xml:space="preserve">Our study aimed to assess the readability of online information regarding Jones fracture. A vast majority, 77%, of websites were written above an eighth-grade level, far surpassing recommendations set by AMA and </w:t>
      </w:r>
      <w:proofErr w:type="gramStart"/>
      <w:r>
        <w:rPr>
          <w:rFonts w:ascii="Book Antiqua" w:eastAsia="Book Antiqua" w:hAnsi="Book Antiqua" w:cs="Book Antiqua"/>
        </w:rPr>
        <w:t>NIH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15-17]</w:t>
      </w:r>
      <w:r>
        <w:rPr>
          <w:rFonts w:ascii="Book Antiqua" w:eastAsia="Book Antiqua" w:hAnsi="Book Antiqua" w:cs="Book Antiqua"/>
        </w:rPr>
        <w:t>. The overall mean average grade level of all websites in the study was 10.9523 ± 2.27862, corresponding to a 10</w:t>
      </w:r>
      <w:r>
        <w:rPr>
          <w:rFonts w:ascii="Book Antiqua" w:eastAsia="Book Antiqua" w:hAnsi="Book Antiqua" w:cs="Book Antiqua"/>
          <w:vertAlign w:val="superscript"/>
        </w:rPr>
        <w:t>th</w:t>
      </w:r>
      <w:r>
        <w:rPr>
          <w:rFonts w:ascii="Book Antiqua" w:eastAsia="Book Antiqua" w:hAnsi="Book Antiqua" w:cs="Book Antiqua"/>
        </w:rPr>
        <w:t>-grade reading level. Strikingly, governmental and NGO websites were found to have the highest average grade level of 11.51 ± 2.56, representing an 11</w:t>
      </w:r>
      <w:r>
        <w:rPr>
          <w:rFonts w:ascii="Book Antiqua" w:eastAsia="Book Antiqua" w:hAnsi="Book Antiqua" w:cs="Book Antiqua"/>
          <w:vertAlign w:val="superscript"/>
        </w:rPr>
        <w:t>th</w:t>
      </w:r>
      <w:r>
        <w:rPr>
          <w:rFonts w:ascii="Book Antiqua" w:eastAsia="Book Antiqua" w:hAnsi="Book Antiqua" w:cs="Book Antiqua"/>
        </w:rPr>
        <w:t>-grade level of comprehension. Even though previous studies</w:t>
      </w:r>
      <w:r>
        <w:rPr>
          <w:rFonts w:ascii="Book Antiqua" w:eastAsia="Book Antiqua" w:hAnsi="Book Antiqua" w:cs="Book Antiqua"/>
          <w:vertAlign w:val="superscript"/>
        </w:rPr>
        <w:t>[18]</w:t>
      </w:r>
      <w:r>
        <w:rPr>
          <w:rFonts w:ascii="Book Antiqua" w:eastAsia="Book Antiqua" w:hAnsi="Book Antiqua" w:cs="Book Antiqua"/>
        </w:rPr>
        <w:t xml:space="preserve"> have shown Academic websites to have the high readability score, in our case, academic websites ranked 2</w:t>
      </w:r>
      <w:r>
        <w:rPr>
          <w:rFonts w:ascii="Book Antiqua" w:eastAsia="Book Antiqua" w:hAnsi="Book Antiqua" w:cs="Book Antiqua"/>
          <w:vertAlign w:val="superscript"/>
        </w:rPr>
        <w:t>nd</w:t>
      </w:r>
      <w:r>
        <w:rPr>
          <w:rFonts w:ascii="Book Antiqua" w:eastAsia="Book Antiqua" w:hAnsi="Book Antiqua" w:cs="Book Antiqua"/>
        </w:rPr>
        <w:t xml:space="preserve"> with an average grade level of 11.36 ± 3.33, which was still an eleventh-grade reading level. Considering these results, full comprehension of online medical information would require the completion of at least a secondary education.</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caps/>
          <w:u w:val="single"/>
        </w:rPr>
        <w:t>CONCLUSION</w:t>
      </w:r>
    </w:p>
    <w:p w:rsidR="00404E95" w:rsidRDefault="00A75A4A">
      <w:pPr>
        <w:spacing w:line="360" w:lineRule="auto"/>
        <w:jc w:val="both"/>
        <w:rPr>
          <w:rFonts w:ascii="Book Antiqua" w:hAnsi="Book Antiqua"/>
        </w:rPr>
      </w:pPr>
      <w:r>
        <w:rPr>
          <w:rFonts w:ascii="Book Antiqua" w:eastAsia="Book Antiqua" w:hAnsi="Book Antiqua" w:cs="Book Antiqua"/>
        </w:rPr>
        <w:t xml:space="preserve">Hand in hand with technological advancements, treatment modalities continue to grow. With the turn of the century, the internet has become the number one source of information for almost every topic. Thus, many patients look towards the internet as the primary source of information to learn about their respective medical conditions. Our study demonstrates that current online medical information regarding Jones fracture is written at an extraordinarily high-grade level, with an average grade level of all </w:t>
      </w:r>
      <w:r>
        <w:rPr>
          <w:rFonts w:ascii="Book Antiqua" w:eastAsia="Book Antiqua" w:hAnsi="Book Antiqua" w:cs="Book Antiqua"/>
        </w:rPr>
        <w:lastRenderedPageBreak/>
        <w:t xml:space="preserve">websites at 10.95, nearly </w:t>
      </w:r>
      <w:proofErr w:type="gramStart"/>
      <w:r>
        <w:rPr>
          <w:rFonts w:ascii="Book Antiqua" w:eastAsia="Book Antiqua" w:hAnsi="Book Antiqua" w:cs="Book Antiqua"/>
        </w:rPr>
        <w:t>an</w:t>
      </w:r>
      <w:proofErr w:type="gramEnd"/>
      <w:r>
        <w:rPr>
          <w:rFonts w:ascii="Book Antiqua" w:eastAsia="Book Antiqua" w:hAnsi="Book Antiqua" w:cs="Book Antiqua"/>
        </w:rPr>
        <w:t xml:space="preserve"> 10</w:t>
      </w:r>
      <w:r>
        <w:rPr>
          <w:rFonts w:ascii="Book Antiqua" w:eastAsia="Book Antiqua" w:hAnsi="Book Antiqua" w:cs="Book Antiqua"/>
          <w:vertAlign w:val="superscript"/>
        </w:rPr>
        <w:t>th</w:t>
      </w:r>
      <w:r>
        <w:rPr>
          <w:rFonts w:ascii="Book Antiqua" w:eastAsia="Book Antiqua" w:hAnsi="Book Antiqua" w:cs="Book Antiqua"/>
        </w:rPr>
        <w:t>-grade educational level. The American Medical Association and National Institute of Health strongly recommend that online medical information should be 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 xml:space="preserve">-grade level to aid comprehension by patients of all literacy backgrounds. On the contrary, most of the medical information evaluated was at </w:t>
      </w:r>
      <w:proofErr w:type="gramStart"/>
      <w:r>
        <w:rPr>
          <w:rFonts w:ascii="Book Antiqua" w:eastAsia="Book Antiqua" w:hAnsi="Book Antiqua" w:cs="Book Antiqua"/>
        </w:rPr>
        <w:t>an</w:t>
      </w:r>
      <w:proofErr w:type="gramEnd"/>
      <w:r>
        <w:rPr>
          <w:rFonts w:ascii="Book Antiqua" w:eastAsia="Book Antiqua" w:hAnsi="Book Antiqua" w:cs="Book Antiqua"/>
        </w:rPr>
        <w:t xml:space="preserve"> 10</w:t>
      </w:r>
      <w:r>
        <w:rPr>
          <w:rFonts w:ascii="Book Antiqua" w:eastAsia="Book Antiqua" w:hAnsi="Book Antiqua" w:cs="Book Antiqua"/>
          <w:vertAlign w:val="superscript"/>
        </w:rPr>
        <w:t>th</w:t>
      </w:r>
      <w:r>
        <w:rPr>
          <w:rFonts w:ascii="Book Antiqua" w:eastAsia="Book Antiqua" w:hAnsi="Book Antiqua" w:cs="Book Antiqua"/>
        </w:rPr>
        <w:t>-grade level, which far exceeds recommendations by AMA and NIH. This is particularly relevant because readability scores are directly proportional to the level of comprehension attained by readers, thus directly impacting patient outcomes. In conclusion, we suggest and encourage that all online reading materials should be re-written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-grade level in a public service effort to increase compliance with treatment goals and raise awareness of preventive measures.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caps/>
          <w:u w:val="single"/>
        </w:rPr>
        <w:t>ARTICLE HIGHLIGHTS</w:t>
      </w:r>
    </w:p>
    <w:p w:rsidR="00404E95" w:rsidRDefault="00A75A4A">
      <w:pPr>
        <w:spacing w:line="360" w:lineRule="auto"/>
        <w:jc w:val="both"/>
        <w:rPr>
          <w:rFonts w:ascii="Book Antiqua" w:hAnsi="Book Antiqua"/>
        </w:rPr>
      </w:pPr>
      <w:r>
        <w:rPr>
          <w:rFonts w:ascii="Book Antiqua" w:eastAsia="Book Antiqua" w:hAnsi="Book Antiqua" w:cs="Book Antiqua"/>
          <w:b/>
          <w:i/>
        </w:rPr>
        <w:t>Research background</w:t>
      </w:r>
    </w:p>
    <w:p w:rsidR="00404E95" w:rsidRDefault="00A75A4A">
      <w:pPr>
        <w:spacing w:line="360" w:lineRule="auto"/>
        <w:jc w:val="both"/>
        <w:rPr>
          <w:rFonts w:ascii="Book Antiqua" w:hAnsi="Book Antiqua"/>
        </w:rPr>
      </w:pPr>
      <w:r>
        <w:rPr>
          <w:rFonts w:ascii="Book Antiqua" w:eastAsia="Book Antiqua" w:hAnsi="Book Antiqua" w:cs="Book Antiqua"/>
        </w:rPr>
        <w:t>Hand in hand with technological advancements, treatment modalities continue to grow. With the turn of the century, the internet has become the number one source of information for almost every topic. Thus, many patients look toward the internet as their primary source of information to learn about their respective medical conditions. The American Medical Association and National Institute of Health strongly recommend that online medical information be 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-grade level to aid comprehension by patients of all literacy backgrounds.</w:t>
      </w:r>
    </w:p>
    <w:p w:rsidR="00404E95" w:rsidRDefault="00404E95">
      <w:pPr>
        <w:spacing w:line="360" w:lineRule="auto"/>
        <w:jc w:val="both"/>
        <w:rPr>
          <w:rFonts w:ascii="Book Antiqua" w:hAnsi="Book Antiqua"/>
          <w:highlight w:val="yellow"/>
        </w:rPr>
      </w:pPr>
    </w:p>
    <w:p w:rsidR="00404E95" w:rsidRDefault="00A75A4A">
      <w:pPr>
        <w:spacing w:line="360" w:lineRule="auto"/>
        <w:jc w:val="both"/>
        <w:rPr>
          <w:rFonts w:ascii="Book Antiqua" w:hAnsi="Book Antiqua"/>
        </w:rPr>
      </w:pPr>
      <w:r>
        <w:rPr>
          <w:rFonts w:ascii="Book Antiqua" w:eastAsia="Book Antiqua" w:hAnsi="Book Antiqua" w:cs="Book Antiqua"/>
          <w:b/>
          <w:i/>
        </w:rPr>
        <w:t>Research motivation</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With advances in technology, operative and conservative management options for Jones continue to grow. Vast amounts of information are available on the internet. In fact, in today’s age, patients tend to utilize the internet as their primary source of information before actually seeing a medical practitioner. Therefore, it is of utmost significance how medical information is disseminated to patients.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i/>
        </w:rPr>
        <w:t>Research objectives</w:t>
      </w:r>
    </w:p>
    <w:p w:rsidR="00404E95" w:rsidRDefault="00A75A4A">
      <w:pPr>
        <w:spacing w:line="360" w:lineRule="auto"/>
        <w:jc w:val="both"/>
        <w:rPr>
          <w:rFonts w:ascii="Book Antiqua" w:eastAsia="宋体" w:hAnsi="Book Antiqua" w:cs="宋体"/>
          <w:lang w:eastAsia="zh-CN"/>
        </w:rPr>
      </w:pPr>
      <w:proofErr w:type="gramStart"/>
      <w:r>
        <w:rPr>
          <w:rFonts w:ascii="Book Antiqua" w:eastAsia="Book Antiqua" w:hAnsi="Book Antiqua" w:cs="Book Antiqua"/>
        </w:rPr>
        <w:lastRenderedPageBreak/>
        <w:t>To assess the readability of online information regarding Jones fracture.</w:t>
      </w:r>
      <w:proofErr w:type="gramEnd"/>
      <w:r>
        <w:rPr>
          <w:rFonts w:ascii="Book Antiqua" w:eastAsia="Book Antiqua" w:hAnsi="Book Antiqua" w:cs="Book Antiqua"/>
        </w:rPr>
        <w:t xml:space="preserve"> Our hypothesis is that the reading level of medical information published on websites far exceeds the recommended reading level of 6</w:t>
      </w:r>
      <w:r>
        <w:rPr>
          <w:rFonts w:ascii="Book Antiqua" w:eastAsia="Book Antiqua" w:hAnsi="Book Antiqua" w:cs="Book Antiqua"/>
          <w:vertAlign w:val="superscript"/>
        </w:rPr>
        <w:t>th</w:t>
      </w:r>
      <w:r>
        <w:rPr>
          <w:rFonts w:ascii="Book Antiqua" w:eastAsia="Book Antiqua" w:hAnsi="Book Antiqua" w:cs="Book Antiqua"/>
        </w:rPr>
        <w:t>-8</w:t>
      </w:r>
      <w:r>
        <w:rPr>
          <w:rFonts w:ascii="Book Antiqua" w:eastAsia="Book Antiqua" w:hAnsi="Book Antiqua" w:cs="Book Antiqua"/>
          <w:vertAlign w:val="superscript"/>
        </w:rPr>
        <w:t>th</w:t>
      </w:r>
      <w:r>
        <w:rPr>
          <w:rFonts w:ascii="Book Antiqua" w:eastAsia="Book Antiqua" w:hAnsi="Book Antiqua" w:cs="Book Antiqua"/>
        </w:rPr>
        <w:t xml:space="preserve"> grade as proposed by the American Medical Associate and National Institute of Health. The result of this study can help us formulate improved recommendations for publishing more comprehensible material and, thus, eventually improve patient compliance and clinical outcomes</w:t>
      </w:r>
      <w:r>
        <w:rPr>
          <w:rFonts w:ascii="Book Antiqua" w:eastAsia="宋体" w:hAnsi="Book Antiqua" w:cs="宋体"/>
          <w:lang w:eastAsia="zh-CN"/>
        </w:rPr>
        <w:t>.</w:t>
      </w:r>
    </w:p>
    <w:p w:rsidR="00404E95" w:rsidRDefault="00404E95">
      <w:pPr>
        <w:spacing w:line="360" w:lineRule="auto"/>
        <w:jc w:val="both"/>
        <w:rPr>
          <w:rFonts w:ascii="Book Antiqua" w:eastAsia="宋体" w:hAnsi="Book Antiqua" w:cs="宋体"/>
          <w:lang w:eastAsia="zh-CN"/>
        </w:rPr>
      </w:pPr>
    </w:p>
    <w:p w:rsidR="00404E95" w:rsidRDefault="00A75A4A">
      <w:pPr>
        <w:spacing w:line="360" w:lineRule="auto"/>
        <w:jc w:val="both"/>
        <w:rPr>
          <w:rFonts w:ascii="Book Antiqua" w:hAnsi="Book Antiqua"/>
        </w:rPr>
      </w:pPr>
      <w:r>
        <w:rPr>
          <w:rFonts w:ascii="Book Antiqua" w:eastAsia="Book Antiqua" w:hAnsi="Book Antiqua" w:cs="Book Antiqua"/>
          <w:b/>
          <w:i/>
        </w:rPr>
        <w:t>Research methods</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 xml:space="preserve">The exact phrase “Jones fracture” was queried on the three most common search engines, Google, Yahoo!, and Bing, on December 28, 2022. As of December 2022, Google held 84%, Bing held 9%, and Yahoo! held 2% of the worldwide search engine market share. Web pages uniform resource locator from the first three pages of search results were recorded from each search engine. These web pages were classified according to academic, physician-sponsored, governmental and non-government organizations (NGO), commercial, and unspecified as per formally defined categories. Websites associated with an educational institution or medical </w:t>
      </w:r>
      <w:proofErr w:type="gramStart"/>
      <w:r>
        <w:rPr>
          <w:rFonts w:ascii="Book Antiqua" w:eastAsia="Book Antiqua" w:hAnsi="Book Antiqua" w:cs="Book Antiqua"/>
        </w:rPr>
        <w:t>organization were</w:t>
      </w:r>
      <w:proofErr w:type="gramEnd"/>
      <w:r>
        <w:rPr>
          <w:rFonts w:ascii="Book Antiqua" w:eastAsia="Book Antiqua" w:hAnsi="Book Antiqua" w:cs="Book Antiqua"/>
        </w:rPr>
        <w:t xml:space="preserve"> classified as academic. Websites with products for sale, corporate sponsorship, or advertisements were classified as commercial. Governmental websites or NGOs comprised those that received government subsidies or grants. Webpages that were independently owned by physicians or physician groups were respectively classed as physician sponsored. The remainder of websites that did not fall under the above categories </w:t>
      </w:r>
      <w:proofErr w:type="gramStart"/>
      <w:r>
        <w:rPr>
          <w:rFonts w:ascii="Book Antiqua" w:eastAsia="Book Antiqua" w:hAnsi="Book Antiqua" w:cs="Book Antiqua"/>
        </w:rPr>
        <w:t>were</w:t>
      </w:r>
      <w:proofErr w:type="gramEnd"/>
      <w:r>
        <w:rPr>
          <w:rFonts w:ascii="Book Antiqua" w:eastAsia="Book Antiqua" w:hAnsi="Book Antiqua" w:cs="Book Antiqua"/>
        </w:rPr>
        <w:t xml:space="preserve"> classified as unspecified.</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i/>
        </w:rPr>
        <w:t>Research results</w:t>
      </w:r>
    </w:p>
    <w:p w:rsidR="00404E95" w:rsidRDefault="00A75A4A">
      <w:pPr>
        <w:spacing w:line="360" w:lineRule="auto"/>
        <w:jc w:val="both"/>
        <w:rPr>
          <w:rFonts w:ascii="Book Antiqua" w:hAnsi="Book Antiqua"/>
        </w:rPr>
      </w:pPr>
      <w:r>
        <w:rPr>
          <w:rFonts w:ascii="Book Antiqua" w:eastAsia="Book Antiqua" w:hAnsi="Book Antiqua" w:cs="Book Antiqua"/>
        </w:rPr>
        <w:t xml:space="preserve">A total of 101 website results were obtained, 49 from Google, 28 from Yahoo!, and 24 from Bing. Only eight websites were excluded, making a total of 93 pages manually analyzed (49 from Google, 21 from Yahoo!, and 23 from Bing). Exclusions were made due to duplication results. All the text from the images was included as part of the </w:t>
      </w:r>
      <w:r>
        <w:rPr>
          <w:rFonts w:ascii="Book Antiqua" w:eastAsia="Book Antiqua" w:hAnsi="Book Antiqua" w:cs="Book Antiqua"/>
        </w:rPr>
        <w:lastRenderedPageBreak/>
        <w:t>analysis. On pages where there was information about multiple subjects, only information relevant to Jones fracture was selected for analysis.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i/>
        </w:rPr>
        <w:t>Research conclusions</w:t>
      </w:r>
    </w:p>
    <w:p w:rsidR="00404E95" w:rsidRDefault="00A75A4A">
      <w:pPr>
        <w:spacing w:line="360" w:lineRule="auto"/>
        <w:jc w:val="both"/>
        <w:rPr>
          <w:rFonts w:ascii="Book Antiqua" w:hAnsi="Book Antiqua"/>
        </w:rPr>
      </w:pPr>
      <w:r>
        <w:rPr>
          <w:rFonts w:ascii="Book Antiqua" w:eastAsia="Book Antiqua" w:hAnsi="Book Antiqua" w:cs="Book Antiqua"/>
        </w:rPr>
        <w:t xml:space="preserve">Hand in hand with technological advancements, treatment modalities continue to grow. With the turn of the century, the internet has become the number one source of information for almost every topic. Thus, many patients look towards the internet as the primary source of information to learn about their respective medical conditions. Our study demonstrates that current online medical information regarding Jones fracture is written at an extraordinarily high-grade level, with an average grade level of all websites at 10.95, nearly </w:t>
      </w:r>
      <w:proofErr w:type="gramStart"/>
      <w:r>
        <w:rPr>
          <w:rFonts w:ascii="Book Antiqua" w:eastAsia="Book Antiqua" w:hAnsi="Book Antiqua" w:cs="Book Antiqua"/>
        </w:rPr>
        <w:t>an</w:t>
      </w:r>
      <w:proofErr w:type="gramEnd"/>
      <w:r>
        <w:rPr>
          <w:rFonts w:ascii="Book Antiqua" w:eastAsia="Book Antiqua" w:hAnsi="Book Antiqua" w:cs="Book Antiqua"/>
        </w:rPr>
        <w:t xml:space="preserve"> 10</w:t>
      </w:r>
      <w:r>
        <w:rPr>
          <w:rFonts w:ascii="Book Antiqua" w:eastAsia="Book Antiqua" w:hAnsi="Book Antiqua" w:cs="Book Antiqua"/>
          <w:vertAlign w:val="superscript"/>
        </w:rPr>
        <w:t>th</w:t>
      </w:r>
      <w:r>
        <w:rPr>
          <w:rFonts w:ascii="Book Antiqua" w:eastAsia="Book Antiqua" w:hAnsi="Book Antiqua" w:cs="Book Antiqua"/>
        </w:rPr>
        <w:t>-grade educational level. The American Medical Association and National Institute of Health strongly recommend that online medical information should be 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 xml:space="preserve">-grade level to aid comprehension by patients of all literacy backgrounds. On the contrary, most of the medical information evaluated was at </w:t>
      </w:r>
      <w:proofErr w:type="gramStart"/>
      <w:r>
        <w:rPr>
          <w:rFonts w:ascii="Book Antiqua" w:eastAsia="Book Antiqua" w:hAnsi="Book Antiqua" w:cs="Book Antiqua"/>
        </w:rPr>
        <w:t>an</w:t>
      </w:r>
      <w:proofErr w:type="gramEnd"/>
      <w:r>
        <w:rPr>
          <w:rFonts w:ascii="Book Antiqua" w:eastAsia="Book Antiqua" w:hAnsi="Book Antiqua" w:cs="Book Antiqua"/>
        </w:rPr>
        <w:t xml:space="preserve"> 10</w:t>
      </w:r>
      <w:r>
        <w:rPr>
          <w:rFonts w:ascii="Book Antiqua" w:eastAsia="Book Antiqua" w:hAnsi="Book Antiqua" w:cs="Book Antiqua"/>
          <w:vertAlign w:val="superscript"/>
        </w:rPr>
        <w:t>th</w:t>
      </w:r>
      <w:r>
        <w:rPr>
          <w:rFonts w:ascii="Book Antiqua" w:eastAsia="Book Antiqua" w:hAnsi="Book Antiqua" w:cs="Book Antiqua"/>
        </w:rPr>
        <w:t>-grade level, which far exceeds recommendations by AMA and NIH. This is particularly relevant because readability scores are directly proportional to the level of comprehension attained by readers, thus directly impacting patient outcomes. In conclusion, we suggest and encourage that all online reading materials should be re-written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-grade level in a public service effort to increase compliance with treatment goals and raise awareness of preventive measures.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i/>
        </w:rPr>
        <w:t>Research perspectives</w:t>
      </w:r>
    </w:p>
    <w:p w:rsidR="00404E95" w:rsidRDefault="00A75A4A">
      <w:pPr>
        <w:spacing w:line="360" w:lineRule="auto"/>
        <w:jc w:val="both"/>
        <w:rPr>
          <w:rFonts w:ascii="Book Antiqua" w:hAnsi="Book Antiqua"/>
        </w:rPr>
      </w:pPr>
      <w:r>
        <w:rPr>
          <w:rFonts w:ascii="Book Antiqua" w:eastAsia="Book Antiqua" w:hAnsi="Book Antiqua" w:cs="Book Antiqua"/>
        </w:rPr>
        <w:t>We suggest and encourage that all online reading materials should be re-written at the 6</w:t>
      </w:r>
      <w:r>
        <w:rPr>
          <w:rFonts w:ascii="Book Antiqua" w:eastAsia="Book Antiqua" w:hAnsi="Book Antiqua" w:cs="Book Antiqua"/>
          <w:vertAlign w:val="superscript"/>
        </w:rPr>
        <w:t>th</w:t>
      </w:r>
      <w:r>
        <w:rPr>
          <w:rFonts w:ascii="Book Antiqua" w:eastAsia="Book Antiqua" w:hAnsi="Book Antiqua" w:cs="Book Antiqua"/>
        </w:rPr>
        <w:t xml:space="preserve"> to 8</w:t>
      </w:r>
      <w:r>
        <w:rPr>
          <w:rFonts w:ascii="Book Antiqua" w:eastAsia="Book Antiqua" w:hAnsi="Book Antiqua" w:cs="Book Antiqua"/>
          <w:vertAlign w:val="superscript"/>
        </w:rPr>
        <w:t>th</w:t>
      </w:r>
      <w:r>
        <w:rPr>
          <w:rFonts w:ascii="Book Antiqua" w:eastAsia="Book Antiqua" w:hAnsi="Book Antiqua" w:cs="Book Antiqua"/>
        </w:rPr>
        <w:t>-grade level in a public service effort to increase compliance with treatment goals and raise awareness of preventive measures.</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rPr>
        <w:t>REFERENCES</w:t>
      </w:r>
    </w:p>
    <w:p w:rsidR="00404E95" w:rsidRDefault="00A75A4A">
      <w:pPr>
        <w:spacing w:line="360" w:lineRule="auto"/>
        <w:jc w:val="both"/>
        <w:rPr>
          <w:rFonts w:ascii="Book Antiqua" w:eastAsia="Book Antiqua" w:hAnsi="Book Antiqua" w:cs="Book Antiqua"/>
        </w:rPr>
      </w:pPr>
      <w:proofErr w:type="gramStart"/>
      <w:r>
        <w:rPr>
          <w:rFonts w:ascii="Book Antiqua" w:eastAsia="Book Antiqua" w:hAnsi="Book Antiqua" w:cs="Book Antiqua"/>
        </w:rPr>
        <w:lastRenderedPageBreak/>
        <w:t xml:space="preserve">1 </w:t>
      </w:r>
      <w:r>
        <w:rPr>
          <w:rFonts w:ascii="Book Antiqua" w:eastAsia="Book Antiqua" w:hAnsi="Book Antiqua" w:cs="Book Antiqua"/>
          <w:b/>
          <w:bCs/>
        </w:rPr>
        <w:t>Dean BJ</w:t>
      </w:r>
      <w:r>
        <w:rPr>
          <w:rFonts w:ascii="Book Antiqua" w:eastAsia="Book Antiqua" w:hAnsi="Book Antiqua" w:cs="Book Antiqua"/>
        </w:rPr>
        <w:t xml:space="preserve">, Kothari A, </w:t>
      </w:r>
      <w:proofErr w:type="spellStart"/>
      <w:r>
        <w:rPr>
          <w:rFonts w:ascii="Book Antiqua" w:eastAsia="Book Antiqua" w:hAnsi="Book Antiqua" w:cs="Book Antiqua"/>
        </w:rPr>
        <w:t>Uppal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Kankate</w:t>
      </w:r>
      <w:proofErr w:type="spellEnd"/>
      <w:r>
        <w:rPr>
          <w:rFonts w:ascii="Book Antiqua" w:eastAsia="Book Antiqua" w:hAnsi="Book Antiqua" w:cs="Book Antiqua"/>
        </w:rPr>
        <w:t xml:space="preserve"> R.</w:t>
      </w:r>
      <w:proofErr w:type="gramEnd"/>
      <w:r>
        <w:rPr>
          <w:rFonts w:ascii="Book Antiqua" w:eastAsia="Book Antiqua" w:hAnsi="Book Antiqua" w:cs="Book Antiqua"/>
        </w:rPr>
        <w:t xml:space="preserve"> The jones fracture classification, management, outcome, and complications: a systematic review. </w:t>
      </w:r>
      <w:r>
        <w:rPr>
          <w:rFonts w:ascii="Book Antiqua" w:eastAsia="Book Antiqua" w:hAnsi="Book Antiqua" w:cs="Book Antiqua"/>
          <w:i/>
          <w:iCs/>
        </w:rPr>
        <w:t>Foot Ankle Spec</w:t>
      </w:r>
      <w:r>
        <w:rPr>
          <w:rFonts w:ascii="Book Antiqua" w:eastAsia="Book Antiqua" w:hAnsi="Book Antiqua" w:cs="Book Antiqua"/>
        </w:rPr>
        <w:t xml:space="preserve"> 2012; </w:t>
      </w:r>
      <w:r>
        <w:rPr>
          <w:rFonts w:ascii="Book Antiqua" w:eastAsia="Book Antiqua" w:hAnsi="Book Antiqua" w:cs="Book Antiqua"/>
          <w:b/>
          <w:bCs/>
        </w:rPr>
        <w:t>5</w:t>
      </w:r>
      <w:r>
        <w:rPr>
          <w:rFonts w:ascii="Book Antiqua" w:eastAsia="Book Antiqua" w:hAnsi="Book Antiqua" w:cs="Book Antiqua"/>
        </w:rPr>
        <w:t>: 256-259 [PMID: 22547534 DOI: 10.1177/1938640012444730]</w:t>
      </w:r>
    </w:p>
    <w:p w:rsidR="00404E95" w:rsidRDefault="00A75A4A">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2 </w:t>
      </w:r>
      <w:proofErr w:type="spellStart"/>
      <w:r>
        <w:rPr>
          <w:rFonts w:ascii="Book Antiqua" w:eastAsia="Book Antiqua" w:hAnsi="Book Antiqua" w:cs="Book Antiqua"/>
          <w:b/>
          <w:bCs/>
        </w:rPr>
        <w:t>Ruta</w:t>
      </w:r>
      <w:proofErr w:type="spellEnd"/>
      <w:r>
        <w:rPr>
          <w:rFonts w:ascii="Book Antiqua" w:eastAsia="Book Antiqua" w:hAnsi="Book Antiqua" w:cs="Book Antiqua"/>
          <w:b/>
          <w:bCs/>
        </w:rPr>
        <w:t xml:space="preserve"> DJ</w:t>
      </w:r>
      <w:r>
        <w:rPr>
          <w:rFonts w:ascii="Book Antiqua" w:eastAsia="Book Antiqua" w:hAnsi="Book Antiqua" w:cs="Book Antiqua"/>
        </w:rPr>
        <w:t>, Parker D. Jones Fracture Management in Athletes.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North Am</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541-553 [PMID: 32950224 DOI: 10.1016/j.ocl.2020.06.010]</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Avra</w:t>
      </w:r>
      <w:proofErr w:type="spellEnd"/>
      <w:r>
        <w:rPr>
          <w:rFonts w:ascii="Book Antiqua" w:eastAsia="Book Antiqua" w:hAnsi="Book Antiqua" w:cs="Book Antiqua"/>
          <w:b/>
          <w:bCs/>
        </w:rPr>
        <w:t xml:space="preserve"> TD</w:t>
      </w:r>
      <w:r>
        <w:rPr>
          <w:rFonts w:ascii="Book Antiqua" w:eastAsia="Book Antiqua" w:hAnsi="Book Antiqua" w:cs="Book Antiqua"/>
        </w:rPr>
        <w:t xml:space="preserve">, Le M, Hernandez S, </w:t>
      </w:r>
      <w:proofErr w:type="spellStart"/>
      <w:r>
        <w:rPr>
          <w:rFonts w:ascii="Book Antiqua" w:eastAsia="Book Antiqua" w:hAnsi="Book Antiqua" w:cs="Book Antiqua"/>
        </w:rPr>
        <w:t>Thure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Ulloa</w:t>
      </w:r>
      <w:proofErr w:type="spellEnd"/>
      <w:r>
        <w:rPr>
          <w:rFonts w:ascii="Book Antiqua" w:eastAsia="Book Antiqua" w:hAnsi="Book Antiqua" w:cs="Book Antiqua"/>
        </w:rPr>
        <w:t xml:space="preserve"> JG. </w:t>
      </w:r>
      <w:proofErr w:type="gramStart"/>
      <w:r>
        <w:rPr>
          <w:rFonts w:ascii="Book Antiqua" w:eastAsia="Book Antiqua" w:hAnsi="Book Antiqua" w:cs="Book Antiqua"/>
        </w:rPr>
        <w:t>Readability assessment of online peripheral artery disease education materials.</w:t>
      </w:r>
      <w:proofErr w:type="gram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1728-1732 [PMID: 35931399 DOI: 10.1016/j.jvs.2022.07.022]</w:t>
      </w:r>
    </w:p>
    <w:p w:rsidR="00404E95" w:rsidRDefault="00A75A4A">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4 </w:t>
      </w:r>
      <w:r>
        <w:rPr>
          <w:rFonts w:ascii="Book Antiqua" w:eastAsia="Book Antiqua" w:hAnsi="Book Antiqua" w:cs="Book Antiqua"/>
          <w:b/>
          <w:bCs/>
        </w:rPr>
        <w:t>National Cancer Institute</w:t>
      </w:r>
      <w:r>
        <w:rPr>
          <w:rFonts w:ascii="Book Antiqua" w:eastAsia="Book Antiqua" w:hAnsi="Book Antiqua" w:cs="Book Antiqua"/>
        </w:rPr>
        <w:t>.</w:t>
      </w:r>
      <w:proofErr w:type="gramEnd"/>
      <w:r>
        <w:rPr>
          <w:rFonts w:ascii="Book Antiqua" w:eastAsia="Book Antiqua" w:hAnsi="Book Antiqua" w:cs="Book Antiqua"/>
        </w:rPr>
        <w:t xml:space="preserve"> The most recent time you looked for information about health or medical topics, where did you go first? </w:t>
      </w:r>
      <w:proofErr w:type="gramStart"/>
      <w:r>
        <w:rPr>
          <w:rFonts w:ascii="Book Antiqua" w:eastAsia="Book Antiqua" w:hAnsi="Book Antiqua" w:cs="Book Antiqua"/>
        </w:rPr>
        <w:t>HINTS.</w:t>
      </w:r>
      <w:proofErr w:type="gramEnd"/>
      <w:r>
        <w:rPr>
          <w:rFonts w:ascii="Book Antiqua" w:eastAsia="Book Antiqua" w:hAnsi="Book Antiqua" w:cs="Book Antiqua"/>
        </w:rPr>
        <w:t xml:space="preserve"> [</w:t>
      </w:r>
      <w:proofErr w:type="gramStart"/>
      <w:r>
        <w:rPr>
          <w:rFonts w:ascii="Book Antiqua" w:eastAsia="Book Antiqua" w:hAnsi="Book Antiqua" w:cs="Book Antiqua"/>
        </w:rPr>
        <w:t>cited</w:t>
      </w:r>
      <w:proofErr w:type="gramEnd"/>
      <w:r>
        <w:rPr>
          <w:rFonts w:ascii="Book Antiqua" w:eastAsia="Book Antiqua" w:hAnsi="Book Antiqua" w:cs="Book Antiqua"/>
        </w:rPr>
        <w:t xml:space="preserve"> 28 December 2022]. Available from: https://hints.cancer.gov/view-questions-topics/question-details.aspx?PK_Cycle=10&amp;qid=688</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Iverson SA</w:t>
      </w:r>
      <w:r>
        <w:rPr>
          <w:rFonts w:ascii="Book Antiqua" w:eastAsia="Book Antiqua" w:hAnsi="Book Antiqua" w:cs="Book Antiqua"/>
        </w:rPr>
        <w:t xml:space="preserve">, Howard KB, Penney BK. Impact of internet use on health-related behaviors and the patient-physician relationship: a survey-based study and review. </w:t>
      </w:r>
      <w:r>
        <w:rPr>
          <w:rFonts w:ascii="Book Antiqua" w:eastAsia="Book Antiqua" w:hAnsi="Book Antiqua" w:cs="Book Antiqua"/>
          <w:i/>
          <w:iCs/>
        </w:rPr>
        <w:t xml:space="preserve">J Am Osteopath </w:t>
      </w:r>
      <w:proofErr w:type="spellStart"/>
      <w:r>
        <w:rPr>
          <w:rFonts w:ascii="Book Antiqua" w:eastAsia="Book Antiqua" w:hAnsi="Book Antiqua" w:cs="Book Antiqua"/>
          <w:i/>
          <w:iCs/>
        </w:rPr>
        <w:t>Assoc</w:t>
      </w:r>
      <w:proofErr w:type="spellEnd"/>
      <w:r>
        <w:rPr>
          <w:rFonts w:ascii="Book Antiqua" w:eastAsia="Book Antiqua" w:hAnsi="Book Antiqua" w:cs="Book Antiqua"/>
        </w:rPr>
        <w:t xml:space="preserve"> 2008; </w:t>
      </w:r>
      <w:r>
        <w:rPr>
          <w:rFonts w:ascii="Book Antiqua" w:eastAsia="Book Antiqua" w:hAnsi="Book Antiqua" w:cs="Book Antiqua"/>
          <w:b/>
          <w:bCs/>
        </w:rPr>
        <w:t>108</w:t>
      </w:r>
      <w:r>
        <w:rPr>
          <w:rFonts w:ascii="Book Antiqua" w:eastAsia="Book Antiqua" w:hAnsi="Book Antiqua" w:cs="Book Antiqua"/>
        </w:rPr>
        <w:t>: 699-711 [PMID: 19075034]</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6 What is readability? [</w:t>
      </w:r>
      <w:proofErr w:type="gramStart"/>
      <w:r>
        <w:rPr>
          <w:rFonts w:ascii="Book Antiqua" w:eastAsia="Book Antiqua" w:hAnsi="Book Antiqua" w:cs="Book Antiqua"/>
        </w:rPr>
        <w:t>cited</w:t>
      </w:r>
      <w:proofErr w:type="gramEnd"/>
      <w:r>
        <w:rPr>
          <w:rFonts w:ascii="Book Antiqua" w:eastAsia="Book Antiqua" w:hAnsi="Book Antiqua" w:cs="Book Antiqua"/>
        </w:rPr>
        <w:t xml:space="preserve"> 28 December 2022]. Available from: https://readable.com/readability/what-is-readability/</w:t>
      </w:r>
      <w:bookmarkStart w:id="0" w:name="_GoBack"/>
      <w:bookmarkEnd w:id="0"/>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Rooney MK</w:t>
      </w:r>
      <w:r>
        <w:rPr>
          <w:rFonts w:ascii="Book Antiqua" w:eastAsia="Book Antiqua" w:hAnsi="Book Antiqua" w:cs="Book Antiqua"/>
        </w:rPr>
        <w:t xml:space="preserve">, Santiago G, </w:t>
      </w:r>
      <w:proofErr w:type="spellStart"/>
      <w:r>
        <w:rPr>
          <w:rFonts w:ascii="Book Antiqua" w:eastAsia="Book Antiqua" w:hAnsi="Book Antiqua" w:cs="Book Antiqua"/>
        </w:rPr>
        <w:t>Perni</w:t>
      </w:r>
      <w:proofErr w:type="spellEnd"/>
      <w:r>
        <w:rPr>
          <w:rFonts w:ascii="Book Antiqua" w:eastAsia="Book Antiqua" w:hAnsi="Book Antiqua" w:cs="Book Antiqua"/>
        </w:rPr>
        <w:t xml:space="preserve"> S, Horowitz DP, McCall AR, Einstein AJ, </w:t>
      </w:r>
      <w:proofErr w:type="spellStart"/>
      <w:r>
        <w:rPr>
          <w:rFonts w:ascii="Book Antiqua" w:eastAsia="Book Antiqua" w:hAnsi="Book Antiqua" w:cs="Book Antiqua"/>
        </w:rPr>
        <w:t>Jagsi</w:t>
      </w:r>
      <w:proofErr w:type="spellEnd"/>
      <w:r>
        <w:rPr>
          <w:rFonts w:ascii="Book Antiqua" w:eastAsia="Book Antiqua" w:hAnsi="Book Antiqua" w:cs="Book Antiqua"/>
        </w:rPr>
        <w:t xml:space="preserve"> R, Golden DW. Readability of Patient Education Materials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High-Impact Medical Journals: A 20-Year Analysis. </w:t>
      </w:r>
      <w:r>
        <w:rPr>
          <w:rFonts w:ascii="Book Antiqua" w:eastAsia="Book Antiqua" w:hAnsi="Book Antiqua" w:cs="Book Antiqua"/>
          <w:i/>
          <w:iCs/>
        </w:rPr>
        <w:t xml:space="preserve">J Patient </w:t>
      </w:r>
      <w:proofErr w:type="spellStart"/>
      <w:r>
        <w:rPr>
          <w:rFonts w:ascii="Book Antiqua" w:eastAsia="Book Antiqua" w:hAnsi="Book Antiqua" w:cs="Book Antiqua"/>
          <w:i/>
          <w:iCs/>
        </w:rPr>
        <w:t>Exp</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2374373521998847 [PMID: 34179407 DOI: 10.1177/2374373521998847]</w:t>
      </w:r>
    </w:p>
    <w:p w:rsidR="00404E95" w:rsidRDefault="00A75A4A">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8 </w:t>
      </w:r>
      <w:r>
        <w:rPr>
          <w:rFonts w:ascii="Book Antiqua" w:eastAsia="Book Antiqua" w:hAnsi="Book Antiqua" w:cs="Book Antiqua"/>
          <w:b/>
          <w:bCs/>
        </w:rPr>
        <w:t>Weis BD</w:t>
      </w:r>
      <w:r>
        <w:rPr>
          <w:rFonts w:ascii="Book Antiqua" w:eastAsia="Book Antiqua" w:hAnsi="Book Antiqua" w:cs="Book Antiqua"/>
        </w:rPr>
        <w:t>. Health literacy: a manual for clinicians.</w:t>
      </w:r>
      <w:proofErr w:type="gramEnd"/>
      <w:r>
        <w:rPr>
          <w:rFonts w:ascii="Book Antiqua" w:eastAsia="Book Antiqua" w:hAnsi="Book Antiqua" w:cs="Book Antiqua"/>
        </w:rPr>
        <w:t xml:space="preserve"> </w:t>
      </w:r>
      <w:proofErr w:type="gramStart"/>
      <w:r>
        <w:rPr>
          <w:rFonts w:ascii="Book Antiqua" w:eastAsia="Book Antiqua" w:hAnsi="Book Antiqua" w:cs="Book Antiqua"/>
        </w:rPr>
        <w:t>American Medical Association Foundation and American Medical Association.</w:t>
      </w:r>
      <w:proofErr w:type="gramEnd"/>
      <w:r>
        <w:rPr>
          <w:rFonts w:ascii="Book Antiqua" w:eastAsia="Book Antiqua" w:hAnsi="Book Antiqua" w:cs="Book Antiqua"/>
        </w:rPr>
        <w:t xml:space="preserve"> 2003. [</w:t>
      </w:r>
      <w:proofErr w:type="gramStart"/>
      <w:r>
        <w:rPr>
          <w:rFonts w:ascii="Book Antiqua" w:eastAsia="Book Antiqua" w:hAnsi="Book Antiqua" w:cs="Book Antiqua"/>
        </w:rPr>
        <w:t>cited</w:t>
      </w:r>
      <w:proofErr w:type="gramEnd"/>
      <w:r>
        <w:rPr>
          <w:rFonts w:ascii="Book Antiqua" w:eastAsia="Book Antiqua" w:hAnsi="Book Antiqua" w:cs="Book Antiqua"/>
        </w:rPr>
        <w:t xml:space="preserve"> 28 December 2022]. Available from: https://www.yumpu.com/en/document/view/8189575/health-literacy-a-manual-for-clinicians</w:t>
      </w:r>
    </w:p>
    <w:p w:rsidR="00404E95" w:rsidRDefault="00A75A4A">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9 </w:t>
      </w:r>
      <w:r>
        <w:rPr>
          <w:rFonts w:ascii="Book Antiqua" w:eastAsia="Book Antiqua" w:hAnsi="Book Antiqua" w:cs="Book Antiqua"/>
          <w:b/>
          <w:bCs/>
        </w:rPr>
        <w:t>National Institutes of Health</w:t>
      </w:r>
      <w:r>
        <w:rPr>
          <w:rFonts w:ascii="Book Antiqua" w:eastAsia="Book Antiqua" w:hAnsi="Book Antiqua" w:cs="Book Antiqua"/>
        </w:rPr>
        <w:t>.</w:t>
      </w:r>
      <w:proofErr w:type="gramEnd"/>
      <w:r>
        <w:rPr>
          <w:rFonts w:ascii="Book Antiqua" w:eastAsia="Book Antiqua" w:hAnsi="Book Antiqua" w:cs="Book Antiqua"/>
        </w:rPr>
        <w:t xml:space="preserve"> Health Literacy National Institutes of Health. </w:t>
      </w:r>
      <w:proofErr w:type="gramStart"/>
      <w:r>
        <w:rPr>
          <w:rFonts w:ascii="Book Antiqua" w:eastAsia="Book Antiqua" w:hAnsi="Book Antiqua" w:cs="Book Antiqua"/>
        </w:rPr>
        <w:t>U.S. Department of Health and Human Services.</w:t>
      </w:r>
      <w:proofErr w:type="gramEnd"/>
      <w:r>
        <w:rPr>
          <w:rFonts w:ascii="Book Antiqua" w:eastAsia="Book Antiqua" w:hAnsi="Book Antiqua" w:cs="Book Antiqua"/>
        </w:rPr>
        <w:t xml:space="preserve"> [</w:t>
      </w:r>
      <w:proofErr w:type="gramStart"/>
      <w:r>
        <w:rPr>
          <w:rFonts w:ascii="Book Antiqua" w:eastAsia="Book Antiqua" w:hAnsi="Book Antiqua" w:cs="Book Antiqua"/>
        </w:rPr>
        <w:t>cited</w:t>
      </w:r>
      <w:proofErr w:type="gramEnd"/>
      <w:r>
        <w:rPr>
          <w:rFonts w:ascii="Book Antiqua" w:eastAsia="Book Antiqua" w:hAnsi="Book Antiqua" w:cs="Book Antiqua"/>
        </w:rPr>
        <w:t xml:space="preserve"> 28 December 2022]. Available from: https://www.nih.gov/institutes-nih/nih-office-director/office-communications-public-liaison/clear-communication/health-literacy</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10 </w:t>
      </w:r>
      <w:r>
        <w:rPr>
          <w:rFonts w:ascii="Book Antiqua" w:eastAsia="Book Antiqua" w:hAnsi="Book Antiqua" w:cs="Book Antiqua"/>
          <w:b/>
          <w:bCs/>
        </w:rPr>
        <w:t>Bianchi T</w:t>
      </w:r>
      <w:r>
        <w:rPr>
          <w:rFonts w:ascii="Book Antiqua" w:eastAsia="Book Antiqua" w:hAnsi="Book Antiqua" w:cs="Book Antiqua"/>
        </w:rPr>
        <w:t>. Market share of leading desktop search engines worldwide from January 2015 to March 2023. [</w:t>
      </w:r>
      <w:proofErr w:type="gramStart"/>
      <w:r>
        <w:rPr>
          <w:rFonts w:ascii="Book Antiqua" w:eastAsia="Book Antiqua" w:hAnsi="Book Antiqua" w:cs="Book Antiqua"/>
        </w:rPr>
        <w:t>cited</w:t>
      </w:r>
      <w:proofErr w:type="gramEnd"/>
      <w:r>
        <w:rPr>
          <w:rFonts w:ascii="Book Antiqua" w:eastAsia="Book Antiqua" w:hAnsi="Book Antiqua" w:cs="Book Antiqua"/>
        </w:rPr>
        <w:t xml:space="preserve"> 28 December 2022]. Available from: https://www.statista.com/statistics/216573/worldwide-market-share-of-search-engines/</w:t>
      </w:r>
    </w:p>
    <w:p w:rsidR="00404E95" w:rsidRDefault="00A75A4A">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11 </w:t>
      </w:r>
      <w:r>
        <w:rPr>
          <w:rFonts w:ascii="Book Antiqua" w:eastAsia="Book Antiqua" w:hAnsi="Book Antiqua" w:cs="Book Antiqua"/>
          <w:b/>
          <w:bCs/>
        </w:rPr>
        <w:t>Ellsworth B</w:t>
      </w:r>
      <w:r>
        <w:rPr>
          <w:rFonts w:ascii="Book Antiqua" w:eastAsia="Book Antiqua" w:hAnsi="Book Antiqua" w:cs="Book Antiqua"/>
        </w:rPr>
        <w:t xml:space="preserve">, Patel H, </w:t>
      </w:r>
      <w:proofErr w:type="spellStart"/>
      <w:r>
        <w:rPr>
          <w:rFonts w:ascii="Book Antiqua" w:eastAsia="Book Antiqua" w:hAnsi="Book Antiqua" w:cs="Book Antiqua"/>
        </w:rPr>
        <w:t>Kamath</w:t>
      </w:r>
      <w:proofErr w:type="spellEnd"/>
      <w:r>
        <w:rPr>
          <w:rFonts w:ascii="Book Antiqua" w:eastAsia="Book Antiqua" w:hAnsi="Book Antiqua" w:cs="Book Antiqua"/>
        </w:rPr>
        <w:t xml:space="preserve"> AF.</w:t>
      </w:r>
      <w:proofErr w:type="gramEnd"/>
      <w:r>
        <w:rPr>
          <w:rFonts w:ascii="Book Antiqua" w:eastAsia="Book Antiqua" w:hAnsi="Book Antiqua" w:cs="Book Antiqua"/>
        </w:rPr>
        <w:t xml:space="preserve"> Assessment of Quality and Content of Online Information </w:t>
      </w:r>
      <w:proofErr w:type="gramStart"/>
      <w:r>
        <w:rPr>
          <w:rFonts w:ascii="Book Antiqua" w:eastAsia="Book Antiqua" w:hAnsi="Book Antiqua" w:cs="Book Antiqua"/>
        </w:rPr>
        <w:t>About</w:t>
      </w:r>
      <w:proofErr w:type="gramEnd"/>
      <w:r>
        <w:rPr>
          <w:rFonts w:ascii="Book Antiqua" w:eastAsia="Book Antiqua" w:hAnsi="Book Antiqua" w:cs="Book Antiqua"/>
        </w:rPr>
        <w:t xml:space="preserve"> Hip Arthroscopy. </w:t>
      </w:r>
      <w:r>
        <w:rPr>
          <w:rFonts w:ascii="Book Antiqua" w:eastAsia="Book Antiqua" w:hAnsi="Book Antiqua" w:cs="Book Antiqua"/>
          <w:i/>
          <w:iCs/>
        </w:rPr>
        <w:t>Arthroscopy</w:t>
      </w:r>
      <w:r>
        <w:rPr>
          <w:rFonts w:ascii="Book Antiqua" w:eastAsia="Book Antiqua" w:hAnsi="Book Antiqua" w:cs="Book Antiqua"/>
        </w:rPr>
        <w:t xml:space="preserve"> 2016; </w:t>
      </w:r>
      <w:r>
        <w:rPr>
          <w:rFonts w:ascii="Book Antiqua" w:eastAsia="Book Antiqua" w:hAnsi="Book Antiqua" w:cs="Book Antiqua"/>
          <w:b/>
          <w:bCs/>
        </w:rPr>
        <w:t>32</w:t>
      </w:r>
      <w:r>
        <w:rPr>
          <w:rFonts w:ascii="Book Antiqua" w:eastAsia="Book Antiqua" w:hAnsi="Book Antiqua" w:cs="Book Antiqua"/>
        </w:rPr>
        <w:t>: 2082-2089 [PMID: 27234649 DOI: 10.1016/j.arthro.2016.03.019]</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Bruce-Brand RA</w:t>
      </w:r>
      <w:r>
        <w:rPr>
          <w:rFonts w:ascii="Book Antiqua" w:eastAsia="Book Antiqua" w:hAnsi="Book Antiqua" w:cs="Book Antiqua"/>
        </w:rPr>
        <w:t xml:space="preserve">, Baker JF, Byrne DP, Hogan NA, McCarthy T. Assessment of the quality and content of information on anterior cruciate ligament reconstruction on the internet. </w:t>
      </w:r>
      <w:r>
        <w:rPr>
          <w:rFonts w:ascii="Book Antiqua" w:eastAsia="Book Antiqua" w:hAnsi="Book Antiqua" w:cs="Book Antiqua"/>
          <w:i/>
          <w:iCs/>
        </w:rPr>
        <w:t>Arthroscopy</w:t>
      </w:r>
      <w:r>
        <w:rPr>
          <w:rFonts w:ascii="Book Antiqua" w:eastAsia="Book Antiqua" w:hAnsi="Book Antiqua" w:cs="Book Antiqua"/>
        </w:rPr>
        <w:t xml:space="preserve"> 2013; </w:t>
      </w:r>
      <w:r>
        <w:rPr>
          <w:rFonts w:ascii="Book Antiqua" w:eastAsia="Book Antiqua" w:hAnsi="Book Antiqua" w:cs="Book Antiqua"/>
          <w:b/>
          <w:bCs/>
        </w:rPr>
        <w:t>29</w:t>
      </w:r>
      <w:r>
        <w:rPr>
          <w:rFonts w:ascii="Book Antiqua" w:eastAsia="Book Antiqua" w:hAnsi="Book Antiqua" w:cs="Book Antiqua"/>
        </w:rPr>
        <w:t>: 1095-1100 [PMID: 23582738 DOI: 10.1016/j.arthro.2013.02.007]</w:t>
      </w:r>
    </w:p>
    <w:p w:rsidR="00404E95" w:rsidRDefault="00A75A4A">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13 </w:t>
      </w:r>
      <w:r>
        <w:rPr>
          <w:rFonts w:ascii="Book Antiqua" w:eastAsia="Book Antiqua" w:hAnsi="Book Antiqua" w:cs="Book Antiqua"/>
          <w:b/>
          <w:bCs/>
        </w:rPr>
        <w:t>Mehta MP</w:t>
      </w:r>
      <w:r>
        <w:rPr>
          <w:rFonts w:ascii="Book Antiqua" w:eastAsia="Book Antiqua" w:hAnsi="Book Antiqua" w:cs="Book Antiqua"/>
        </w:rPr>
        <w:t xml:space="preserve">, </w:t>
      </w:r>
      <w:proofErr w:type="spellStart"/>
      <w:r>
        <w:rPr>
          <w:rFonts w:ascii="Book Antiqua" w:eastAsia="Book Antiqua" w:hAnsi="Book Antiqua" w:cs="Book Antiqua"/>
        </w:rPr>
        <w:t>Swindell</w:t>
      </w:r>
      <w:proofErr w:type="spellEnd"/>
      <w:r>
        <w:rPr>
          <w:rFonts w:ascii="Book Antiqua" w:eastAsia="Book Antiqua" w:hAnsi="Book Antiqua" w:cs="Book Antiqua"/>
        </w:rPr>
        <w:t xml:space="preserve"> HW, </w:t>
      </w:r>
      <w:proofErr w:type="spellStart"/>
      <w:r>
        <w:rPr>
          <w:rFonts w:ascii="Book Antiqua" w:eastAsia="Book Antiqua" w:hAnsi="Book Antiqua" w:cs="Book Antiqua"/>
        </w:rPr>
        <w:t>Westermann</w:t>
      </w:r>
      <w:proofErr w:type="spellEnd"/>
      <w:r>
        <w:rPr>
          <w:rFonts w:ascii="Book Antiqua" w:eastAsia="Book Antiqua" w:hAnsi="Book Antiqua" w:cs="Book Antiqua"/>
        </w:rPr>
        <w:t xml:space="preserve"> RW, </w:t>
      </w:r>
      <w:proofErr w:type="spellStart"/>
      <w:r>
        <w:rPr>
          <w:rFonts w:ascii="Book Antiqua" w:eastAsia="Book Antiqua" w:hAnsi="Book Antiqua" w:cs="Book Antiqua"/>
        </w:rPr>
        <w:t>Rosneck</w:t>
      </w:r>
      <w:proofErr w:type="spellEnd"/>
      <w:r>
        <w:rPr>
          <w:rFonts w:ascii="Book Antiqua" w:eastAsia="Book Antiqua" w:hAnsi="Book Antiqua" w:cs="Book Antiqua"/>
        </w:rPr>
        <w:t xml:space="preserve"> JT, Lynch TS.</w:t>
      </w:r>
      <w:proofErr w:type="gramEnd"/>
      <w:r>
        <w:rPr>
          <w:rFonts w:ascii="Book Antiqua" w:eastAsia="Book Antiqua" w:hAnsi="Book Antiqua" w:cs="Book Antiqua"/>
        </w:rPr>
        <w:t xml:space="preserve"> Assessing the Readability of Online Information </w:t>
      </w:r>
      <w:proofErr w:type="gramStart"/>
      <w:r>
        <w:rPr>
          <w:rFonts w:ascii="Book Antiqua" w:eastAsia="Book Antiqua" w:hAnsi="Book Antiqua" w:cs="Book Antiqua"/>
        </w:rPr>
        <w:t>About</w:t>
      </w:r>
      <w:proofErr w:type="gramEnd"/>
      <w:r>
        <w:rPr>
          <w:rFonts w:ascii="Book Antiqua" w:eastAsia="Book Antiqua" w:hAnsi="Book Antiqua" w:cs="Book Antiqua"/>
        </w:rPr>
        <w:t xml:space="preserve"> Hip Arthroscopy. </w:t>
      </w:r>
      <w:r>
        <w:rPr>
          <w:rFonts w:ascii="Book Antiqua" w:eastAsia="Book Antiqua" w:hAnsi="Book Antiqua" w:cs="Book Antiqua"/>
          <w:i/>
          <w:iCs/>
        </w:rPr>
        <w:t>Arthroscopy</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2142-2149 [PMID: 29631940 DOI: 10.1016/j.arthro.2018.02.039]</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Starman</w:t>
      </w:r>
      <w:proofErr w:type="spellEnd"/>
      <w:r>
        <w:rPr>
          <w:rFonts w:ascii="Book Antiqua" w:eastAsia="Book Antiqua" w:hAnsi="Book Antiqua" w:cs="Book Antiqua"/>
          <w:b/>
          <w:bCs/>
        </w:rPr>
        <w:t xml:space="preserve"> JS</w:t>
      </w:r>
      <w:r>
        <w:rPr>
          <w:rFonts w:ascii="Book Antiqua" w:eastAsia="Book Antiqua" w:hAnsi="Book Antiqua" w:cs="Book Antiqua"/>
        </w:rPr>
        <w:t xml:space="preserve">, </w:t>
      </w:r>
      <w:proofErr w:type="spellStart"/>
      <w:r>
        <w:rPr>
          <w:rFonts w:ascii="Book Antiqua" w:eastAsia="Book Antiqua" w:hAnsi="Book Antiqua" w:cs="Book Antiqua"/>
        </w:rPr>
        <w:t>Gettys</w:t>
      </w:r>
      <w:proofErr w:type="spellEnd"/>
      <w:r>
        <w:rPr>
          <w:rFonts w:ascii="Book Antiqua" w:eastAsia="Book Antiqua" w:hAnsi="Book Antiqua" w:cs="Book Antiqua"/>
        </w:rPr>
        <w:t xml:space="preserve"> FK, Capo JA, </w:t>
      </w:r>
      <w:proofErr w:type="spellStart"/>
      <w:r>
        <w:rPr>
          <w:rFonts w:ascii="Book Antiqua" w:eastAsia="Book Antiqua" w:hAnsi="Book Antiqua" w:cs="Book Antiqua"/>
        </w:rPr>
        <w:t>Fleischli</w:t>
      </w:r>
      <w:proofErr w:type="spellEnd"/>
      <w:r>
        <w:rPr>
          <w:rFonts w:ascii="Book Antiqua" w:eastAsia="Book Antiqua" w:hAnsi="Book Antiqua" w:cs="Book Antiqua"/>
        </w:rPr>
        <w:t xml:space="preserve"> JE, Norton HJ, </w:t>
      </w:r>
      <w:proofErr w:type="spellStart"/>
      <w:r>
        <w:rPr>
          <w:rFonts w:ascii="Book Antiqua" w:eastAsia="Book Antiqua" w:hAnsi="Book Antiqua" w:cs="Book Antiqua"/>
        </w:rPr>
        <w:t>Karunakar</w:t>
      </w:r>
      <w:proofErr w:type="spellEnd"/>
      <w:r>
        <w:rPr>
          <w:rFonts w:ascii="Book Antiqua" w:eastAsia="Book Antiqua" w:hAnsi="Book Antiqua" w:cs="Book Antiqua"/>
        </w:rPr>
        <w:t xml:space="preserve"> MA. </w:t>
      </w:r>
      <w:proofErr w:type="gramStart"/>
      <w:r>
        <w:rPr>
          <w:rFonts w:ascii="Book Antiqua" w:eastAsia="Book Antiqua" w:hAnsi="Book Antiqua" w:cs="Book Antiqua"/>
        </w:rPr>
        <w:t xml:space="preserve">Quality and content of Internet-based information for ten common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sports medicine diagnoses.</w:t>
      </w:r>
      <w:proofErr w:type="gramEnd"/>
      <w:r>
        <w:rPr>
          <w:rFonts w:ascii="Book Antiqua" w:eastAsia="Book Antiqua" w:hAnsi="Book Antiqua" w:cs="Book Antiqua"/>
        </w:rPr>
        <w:t xml:space="preserve"> </w:t>
      </w:r>
      <w:r>
        <w:rPr>
          <w:rFonts w:ascii="Book Antiqua" w:eastAsia="Book Antiqua" w:hAnsi="Book Antiqua" w:cs="Book Antiqua"/>
          <w:i/>
          <w:iCs/>
        </w:rPr>
        <w:t xml:space="preserve">J Bone Joint </w:t>
      </w:r>
      <w:proofErr w:type="spellStart"/>
      <w:r>
        <w:rPr>
          <w:rFonts w:ascii="Book Antiqua" w:eastAsia="Book Antiqua" w:hAnsi="Book Antiqua" w:cs="Book Antiqua"/>
          <w:i/>
          <w:iCs/>
        </w:rPr>
        <w:t>Surg</w:t>
      </w:r>
      <w:proofErr w:type="spellEnd"/>
      <w:r>
        <w:rPr>
          <w:rFonts w:ascii="Book Antiqua" w:eastAsia="Book Antiqua" w:hAnsi="Book Antiqua" w:cs="Book Antiqua"/>
          <w:i/>
          <w:iCs/>
        </w:rPr>
        <w:t xml:space="preserve"> Am</w:t>
      </w:r>
      <w:r>
        <w:rPr>
          <w:rFonts w:ascii="Book Antiqua" w:eastAsia="Book Antiqua" w:hAnsi="Book Antiqua" w:cs="Book Antiqua"/>
        </w:rPr>
        <w:t xml:space="preserve"> 2010; </w:t>
      </w:r>
      <w:r>
        <w:rPr>
          <w:rFonts w:ascii="Book Antiqua" w:eastAsia="Book Antiqua" w:hAnsi="Book Antiqua" w:cs="Book Antiqua"/>
          <w:b/>
          <w:bCs/>
        </w:rPr>
        <w:t>92</w:t>
      </w:r>
      <w:r>
        <w:rPr>
          <w:rFonts w:ascii="Book Antiqua" w:eastAsia="Book Antiqua" w:hAnsi="Book Antiqua" w:cs="Book Antiqua"/>
        </w:rPr>
        <w:t>: 1612-1618 [PMID: 20595567 DOI: 10.2106/JBJS.I.00821]</w:t>
      </w:r>
    </w:p>
    <w:p w:rsidR="00404E95" w:rsidRDefault="00A75A4A">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15 </w:t>
      </w:r>
      <w:r>
        <w:rPr>
          <w:rFonts w:ascii="Book Antiqua" w:eastAsia="Book Antiqua" w:hAnsi="Book Antiqua" w:cs="Book Antiqua"/>
          <w:b/>
          <w:bCs/>
        </w:rPr>
        <w:t>National Library of Medicine</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How to write easy-to-read health materials.</w:t>
      </w:r>
      <w:proofErr w:type="gramEnd"/>
      <w:r>
        <w:rPr>
          <w:rFonts w:ascii="Book Antiqua" w:eastAsia="Book Antiqua" w:hAnsi="Book Antiqua" w:cs="Book Antiqua"/>
        </w:rPr>
        <w:t xml:space="preserve"> [</w:t>
      </w:r>
      <w:proofErr w:type="gramStart"/>
      <w:r>
        <w:rPr>
          <w:rFonts w:ascii="Book Antiqua" w:eastAsia="Book Antiqua" w:hAnsi="Book Antiqua" w:cs="Book Antiqua"/>
        </w:rPr>
        <w:t>cited</w:t>
      </w:r>
      <w:proofErr w:type="gramEnd"/>
      <w:r>
        <w:rPr>
          <w:rFonts w:ascii="Book Antiqua" w:eastAsia="Book Antiqua" w:hAnsi="Book Antiqua" w:cs="Book Antiqua"/>
        </w:rPr>
        <w:t xml:space="preserve"> 28 December 2022]. Available from: https://medlineplus.gov/etr.html. </w:t>
      </w:r>
      <w:proofErr w:type="gramStart"/>
      <w:r>
        <w:rPr>
          <w:rFonts w:ascii="Book Antiqua" w:eastAsia="Book Antiqua" w:hAnsi="Book Antiqua" w:cs="Book Antiqua"/>
        </w:rPr>
        <w:t>Accessed December 28, 2022.</w:t>
      </w:r>
      <w:proofErr w:type="gramEnd"/>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Perez OD</w:t>
      </w:r>
      <w:r>
        <w:rPr>
          <w:rFonts w:ascii="Book Antiqua" w:eastAsia="Book Antiqua" w:hAnsi="Book Antiqua" w:cs="Book Antiqua"/>
        </w:rPr>
        <w:t xml:space="preserve">, </w:t>
      </w:r>
      <w:proofErr w:type="spellStart"/>
      <w:r>
        <w:rPr>
          <w:rFonts w:ascii="Book Antiqua" w:eastAsia="Book Antiqua" w:hAnsi="Book Antiqua" w:cs="Book Antiqua"/>
        </w:rPr>
        <w:t>Swindell</w:t>
      </w:r>
      <w:proofErr w:type="spellEnd"/>
      <w:r>
        <w:rPr>
          <w:rFonts w:ascii="Book Antiqua" w:eastAsia="Book Antiqua" w:hAnsi="Book Antiqua" w:cs="Book Antiqua"/>
        </w:rPr>
        <w:t xml:space="preserve"> HW, Herndon CL, </w:t>
      </w:r>
      <w:proofErr w:type="spellStart"/>
      <w:r>
        <w:rPr>
          <w:rFonts w:ascii="Book Antiqua" w:eastAsia="Book Antiqua" w:hAnsi="Book Antiqua" w:cs="Book Antiqua"/>
        </w:rPr>
        <w:t>Noback</w:t>
      </w:r>
      <w:proofErr w:type="spellEnd"/>
      <w:r>
        <w:rPr>
          <w:rFonts w:ascii="Book Antiqua" w:eastAsia="Book Antiqua" w:hAnsi="Book Antiqua" w:cs="Book Antiqua"/>
        </w:rPr>
        <w:t xml:space="preserve"> PC, </w:t>
      </w:r>
      <w:proofErr w:type="spellStart"/>
      <w:r>
        <w:rPr>
          <w:rFonts w:ascii="Book Antiqua" w:eastAsia="Book Antiqua" w:hAnsi="Book Antiqua" w:cs="Book Antiqua"/>
        </w:rPr>
        <w:t>Trofa</w:t>
      </w:r>
      <w:proofErr w:type="spellEnd"/>
      <w:r>
        <w:rPr>
          <w:rFonts w:ascii="Book Antiqua" w:eastAsia="Book Antiqua" w:hAnsi="Book Antiqua" w:cs="Book Antiqua"/>
        </w:rPr>
        <w:t xml:space="preserve"> DP, </w:t>
      </w:r>
      <w:proofErr w:type="spellStart"/>
      <w:r>
        <w:rPr>
          <w:rFonts w:ascii="Book Antiqua" w:eastAsia="Book Antiqua" w:hAnsi="Book Antiqua" w:cs="Book Antiqua"/>
        </w:rPr>
        <w:t>Vosseller</w:t>
      </w:r>
      <w:proofErr w:type="spellEnd"/>
      <w:r>
        <w:rPr>
          <w:rFonts w:ascii="Book Antiqua" w:eastAsia="Book Antiqua" w:hAnsi="Book Antiqua" w:cs="Book Antiqua"/>
        </w:rPr>
        <w:t xml:space="preserve"> JT. Assessing the Readability of Online Information About Achilles Tendon Ruptures. </w:t>
      </w:r>
      <w:r>
        <w:rPr>
          <w:rFonts w:ascii="Book Antiqua" w:eastAsia="Book Antiqua" w:hAnsi="Book Antiqua" w:cs="Book Antiqua"/>
          <w:i/>
          <w:iCs/>
        </w:rPr>
        <w:t>Foot Ankle Spec</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470-477 [PMID: 31771353 DOI: 10.1177/1938640019888058]</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Brophy</w:t>
      </w:r>
      <w:proofErr w:type="spellEnd"/>
      <w:r>
        <w:rPr>
          <w:rFonts w:ascii="Book Antiqua" w:eastAsia="Book Antiqua" w:hAnsi="Book Antiqua" w:cs="Book Antiqua"/>
          <w:b/>
          <w:bCs/>
        </w:rPr>
        <w:t xml:space="preserve"> RH</w:t>
      </w:r>
      <w:r>
        <w:rPr>
          <w:rFonts w:ascii="Book Antiqua" w:eastAsia="Book Antiqua" w:hAnsi="Book Antiqua" w:cs="Book Antiqua"/>
        </w:rPr>
        <w:t xml:space="preserve">, </w:t>
      </w:r>
      <w:proofErr w:type="spellStart"/>
      <w:r>
        <w:rPr>
          <w:rFonts w:ascii="Book Antiqua" w:eastAsia="Book Antiqua" w:hAnsi="Book Antiqua" w:cs="Book Antiqua"/>
        </w:rPr>
        <w:t>Gefen</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Matava</w:t>
      </w:r>
      <w:proofErr w:type="spellEnd"/>
      <w:r>
        <w:rPr>
          <w:rFonts w:ascii="Book Antiqua" w:eastAsia="Book Antiqua" w:hAnsi="Book Antiqua" w:cs="Book Antiqua"/>
        </w:rPr>
        <w:t xml:space="preserve"> MJ, Wright RW, Smith MV. </w:t>
      </w:r>
      <w:proofErr w:type="gramStart"/>
      <w:r>
        <w:rPr>
          <w:rFonts w:ascii="Book Antiqua" w:eastAsia="Book Antiqua" w:hAnsi="Book Antiqua" w:cs="Book Antiqua"/>
        </w:rPr>
        <w:t xml:space="preserve">Understanding of Meniscus Injury and Expectations of Meniscus Surgery in Patients Presenting for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Care.</w:t>
      </w:r>
      <w:proofErr w:type="gramEnd"/>
      <w:r>
        <w:rPr>
          <w:rFonts w:ascii="Book Antiqua" w:eastAsia="Book Antiqua" w:hAnsi="Book Antiqua" w:cs="Book Antiqua"/>
        </w:rPr>
        <w:t xml:space="preserve"> </w:t>
      </w:r>
      <w:r>
        <w:rPr>
          <w:rFonts w:ascii="Book Antiqua" w:eastAsia="Book Antiqua" w:hAnsi="Book Antiqua" w:cs="Book Antiqua"/>
          <w:i/>
          <w:iCs/>
        </w:rPr>
        <w:t>Arthroscopy</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2295-300.e5 [PMID: 26163308 DOI: 10.1016/j.arthro.2015.05.003]</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18 </w:t>
      </w:r>
      <w:r>
        <w:rPr>
          <w:rFonts w:ascii="Book Antiqua" w:eastAsia="Book Antiqua" w:hAnsi="Book Antiqua" w:cs="Book Antiqua"/>
          <w:b/>
          <w:bCs/>
        </w:rPr>
        <w:t>Rossi MJ</w:t>
      </w:r>
      <w:r>
        <w:rPr>
          <w:rFonts w:ascii="Book Antiqua" w:eastAsia="Book Antiqua" w:hAnsi="Book Antiqua" w:cs="Book Antiqua"/>
        </w:rPr>
        <w:t xml:space="preserve">, Brand JC, </w:t>
      </w:r>
      <w:proofErr w:type="spellStart"/>
      <w:r>
        <w:rPr>
          <w:rFonts w:ascii="Book Antiqua" w:eastAsia="Book Antiqua" w:hAnsi="Book Antiqua" w:cs="Book Antiqua"/>
        </w:rPr>
        <w:t>Provencher</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Lubowitz</w:t>
      </w:r>
      <w:proofErr w:type="spellEnd"/>
      <w:r>
        <w:rPr>
          <w:rFonts w:ascii="Book Antiqua" w:eastAsia="Book Antiqua" w:hAnsi="Book Antiqua" w:cs="Book Antiqua"/>
        </w:rPr>
        <w:t xml:space="preserve"> JH. The Expectation Game: Patient Comprehension Is a Determinant of Outcome. </w:t>
      </w:r>
      <w:r>
        <w:rPr>
          <w:rFonts w:ascii="Book Antiqua" w:eastAsia="Book Antiqua" w:hAnsi="Book Antiqua" w:cs="Book Antiqua"/>
          <w:i/>
          <w:iCs/>
        </w:rPr>
        <w:t>Arthroscopy</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2283-2284 [PMID: 26652147 DOI: 10.1016/j.arthro.2015.09.005]</w:t>
      </w:r>
    </w:p>
    <w:p w:rsidR="00404E95" w:rsidRDefault="00404E95">
      <w:pPr>
        <w:spacing w:line="360" w:lineRule="auto"/>
        <w:jc w:val="both"/>
        <w:rPr>
          <w:rFonts w:ascii="Book Antiqua" w:hAnsi="Book Antiqua"/>
        </w:rPr>
        <w:sectPr w:rsidR="00404E95">
          <w:pgSz w:w="12240" w:h="15840"/>
          <w:pgMar w:top="1440" w:right="1440" w:bottom="1440" w:left="1440" w:header="720" w:footer="720" w:gutter="0"/>
          <w:cols w:space="720"/>
          <w:docGrid w:linePitch="360"/>
        </w:sectPr>
      </w:pPr>
    </w:p>
    <w:p w:rsidR="00404E95" w:rsidRDefault="00A75A4A">
      <w:pPr>
        <w:spacing w:line="360" w:lineRule="auto"/>
        <w:jc w:val="both"/>
        <w:rPr>
          <w:rFonts w:ascii="Book Antiqua" w:hAnsi="Book Antiqua"/>
        </w:rPr>
      </w:pPr>
      <w:r>
        <w:rPr>
          <w:rFonts w:ascii="Book Antiqua" w:eastAsia="Book Antiqua" w:hAnsi="Book Antiqua" w:cs="Book Antiqua"/>
          <w:b/>
        </w:rPr>
        <w:lastRenderedPageBreak/>
        <w:t>Footnotes</w:t>
      </w:r>
    </w:p>
    <w:p w:rsidR="00404E95" w:rsidRDefault="00A75A4A">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Not required, no human or animal involved in our study.</w:t>
      </w:r>
    </w:p>
    <w:p w:rsidR="00404E95" w:rsidRDefault="00404E95">
      <w:pPr>
        <w:spacing w:line="360" w:lineRule="auto"/>
        <w:jc w:val="both"/>
        <w:rPr>
          <w:rFonts w:ascii="Book Antiqua" w:eastAsia="Book Antiqua" w:hAnsi="Book Antiqua" w:cs="Book Antiqua"/>
        </w:rPr>
      </w:pPr>
    </w:p>
    <w:p w:rsidR="00404E95" w:rsidRDefault="00A75A4A">
      <w:pPr>
        <w:pStyle w:val="Default"/>
        <w:spacing w:line="360" w:lineRule="auto"/>
        <w:jc w:val="both"/>
        <w:rPr>
          <w:rFonts w:ascii="Book Antiqua" w:hAnsi="Book Antiqua" w:cstheme="minorBidi"/>
          <w:color w:val="auto"/>
          <w:kern w:val="2"/>
        </w:rPr>
      </w:pPr>
      <w:bookmarkStart w:id="1" w:name="_Hlk124801547"/>
      <w:r>
        <w:rPr>
          <w:rFonts w:ascii="Book Antiqua" w:hAnsi="Book Antiqua"/>
          <w:b/>
          <w:color w:val="auto"/>
        </w:rPr>
        <w:t>Informed consent statement</w:t>
      </w:r>
      <w:r>
        <w:rPr>
          <w:rFonts w:ascii="Book Antiqua" w:hAnsi="Book Antiqua"/>
          <w:b/>
          <w:iCs/>
          <w:color w:val="auto"/>
        </w:rPr>
        <w:t xml:space="preserve">: </w:t>
      </w:r>
      <w:bookmarkEnd w:id="1"/>
      <w:r>
        <w:rPr>
          <w:rFonts w:ascii="Book Antiqua" w:eastAsia="Book Antiqua" w:hAnsi="Book Antiqua" w:cstheme="minorBidi"/>
          <w:color w:val="auto"/>
          <w:kern w:val="2"/>
        </w:rPr>
        <w:t xml:space="preserve">The dataset consisted of </w:t>
      </w:r>
      <w:proofErr w:type="spellStart"/>
      <w:r>
        <w:rPr>
          <w:rFonts w:ascii="Book Antiqua" w:eastAsia="Book Antiqua" w:hAnsi="Book Antiqua" w:cstheme="minorBidi"/>
          <w:color w:val="auto"/>
          <w:kern w:val="2"/>
        </w:rPr>
        <w:t>anonymized</w:t>
      </w:r>
      <w:proofErr w:type="spellEnd"/>
      <w:r>
        <w:rPr>
          <w:rFonts w:ascii="Book Antiqua" w:eastAsia="Book Antiqua" w:hAnsi="Book Antiqua" w:cstheme="minorBidi"/>
          <w:color w:val="auto"/>
          <w:kern w:val="2"/>
        </w:rPr>
        <w:t xml:space="preserve"> synthesize evidence from published studies. Thus, no informed consent for data sharing was required.</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Conflict-of-interest statement: </w:t>
      </w:r>
      <w:proofErr w:type="spellStart"/>
      <w:r>
        <w:rPr>
          <w:rFonts w:ascii="Book Antiqua" w:eastAsia="Book Antiqua" w:hAnsi="Book Antiqua" w:cs="Book Antiqua"/>
        </w:rPr>
        <w:t>Khaled</w:t>
      </w:r>
      <w:proofErr w:type="spellEnd"/>
      <w:r>
        <w:rPr>
          <w:rFonts w:ascii="Book Antiqua" w:eastAsia="Book Antiqua" w:hAnsi="Book Antiqua" w:cs="Book Antiqua"/>
        </w:rPr>
        <w:t xml:space="preserve"> </w:t>
      </w:r>
      <w:proofErr w:type="spellStart"/>
      <w:r>
        <w:rPr>
          <w:rFonts w:ascii="Book Antiqua" w:eastAsia="Book Antiqua" w:hAnsi="Book Antiqua" w:cs="Book Antiqua"/>
        </w:rPr>
        <w:t>Farid</w:t>
      </w:r>
      <w:proofErr w:type="spellEnd"/>
      <w:r>
        <w:rPr>
          <w:rFonts w:ascii="Book Antiqua" w:eastAsia="Book Antiqua" w:hAnsi="Book Antiqua" w:cs="Book Antiqua"/>
        </w:rPr>
        <w:t xml:space="preserve"> </w:t>
      </w:r>
      <w:proofErr w:type="spellStart"/>
      <w:r>
        <w:rPr>
          <w:rFonts w:ascii="Book Antiqua" w:eastAsia="Book Antiqua" w:hAnsi="Book Antiqua" w:cs="Book Antiqua"/>
        </w:rPr>
        <w:t>Khaled</w:t>
      </w:r>
      <w:proofErr w:type="spellEnd"/>
      <w:r>
        <w:rPr>
          <w:rFonts w:ascii="Book Antiqua" w:eastAsia="Book Antiqua" w:hAnsi="Book Antiqua" w:cs="Book Antiqua"/>
        </w:rPr>
        <w:t xml:space="preserve"> Al-</w:t>
      </w:r>
      <w:proofErr w:type="spellStart"/>
      <w:r>
        <w:rPr>
          <w:rFonts w:ascii="Book Antiqua" w:eastAsia="Book Antiqua" w:hAnsi="Book Antiqua" w:cs="Book Antiqua"/>
        </w:rPr>
        <w:t>Kharouf</w:t>
      </w:r>
      <w:proofErr w:type="spellEnd"/>
      <w:r>
        <w:rPr>
          <w:rFonts w:ascii="Book Antiqua" w:eastAsia="Book Antiqua" w:hAnsi="Book Antiqua" w:cs="Book Antiqua"/>
        </w:rPr>
        <w:t xml:space="preserve">, Faisal </w:t>
      </w:r>
      <w:proofErr w:type="spellStart"/>
      <w:r>
        <w:rPr>
          <w:rFonts w:ascii="Book Antiqua" w:eastAsia="Book Antiqua" w:hAnsi="Book Antiqua" w:cs="Book Antiqua"/>
        </w:rPr>
        <w:t>Idrees</w:t>
      </w:r>
      <w:proofErr w:type="spellEnd"/>
      <w:r>
        <w:rPr>
          <w:rFonts w:ascii="Book Antiqua" w:eastAsia="Book Antiqua" w:hAnsi="Book Antiqua" w:cs="Book Antiqua"/>
        </w:rPr>
        <w:t xml:space="preserve"> Khan, and Greg Robertson have no conflicts of interest to declare. None have received fees for serving as a speaker or a consultant for commercial organizations. None have received research funding from commercial organizations. All are employees of the UK National Health Service, though not of any commercial organizations. None own stocks or shares in related commercial organizations. None own patent related to the topic of this study.</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Technical appendix and datasets are available from the corresponding author at </w:t>
      </w:r>
      <w:r>
        <w:rPr>
          <w:rFonts w:ascii="Book Antiqua" w:eastAsia="Book Antiqua" w:hAnsi="Book Antiqua" w:cs="Book Antiqua"/>
          <w:u w:color="0000EE"/>
        </w:rPr>
        <w:t>kfk990@gmail.com</w:t>
      </w:r>
      <w:r>
        <w:rPr>
          <w:rFonts w:ascii="Book Antiqua" w:eastAsia="Book Antiqua" w:hAnsi="Book Antiqua" w:cs="Book Antiqua"/>
        </w:rPr>
        <w:t>.</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404E95" w:rsidRDefault="00A75A4A">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March 26, 2023</w:t>
      </w:r>
    </w:p>
    <w:p w:rsidR="00404E95" w:rsidRDefault="00A75A4A">
      <w:pPr>
        <w:spacing w:line="360" w:lineRule="auto"/>
        <w:jc w:val="both"/>
        <w:rPr>
          <w:rFonts w:ascii="Book Antiqua" w:hAnsi="Book Antiqua"/>
        </w:rPr>
      </w:pPr>
      <w:r>
        <w:rPr>
          <w:rFonts w:ascii="Book Antiqua" w:eastAsia="Book Antiqua" w:hAnsi="Book Antiqua" w:cs="Book Antiqua"/>
          <w:b/>
        </w:rPr>
        <w:lastRenderedPageBreak/>
        <w:t xml:space="preserve">First decision: </w:t>
      </w:r>
      <w:r>
        <w:rPr>
          <w:rFonts w:ascii="Book Antiqua" w:eastAsia="Book Antiqua" w:hAnsi="Book Antiqua" w:cs="Book Antiqua"/>
        </w:rPr>
        <w:t>May 15, 2023</w:t>
      </w:r>
    </w:p>
    <w:p w:rsidR="00404E95" w:rsidRPr="00647F77" w:rsidRDefault="00A75A4A">
      <w:pPr>
        <w:spacing w:line="360" w:lineRule="auto"/>
        <w:jc w:val="both"/>
        <w:rPr>
          <w:rFonts w:ascii="Book Antiqua" w:hAnsi="Book Antiqua"/>
          <w:lang w:eastAsia="zh-CN"/>
        </w:rPr>
      </w:pPr>
      <w:r>
        <w:rPr>
          <w:rFonts w:ascii="Book Antiqua" w:eastAsia="Book Antiqua" w:hAnsi="Book Antiqua" w:cs="Book Antiqua"/>
          <w:b/>
        </w:rPr>
        <w:t xml:space="preserve">Article in press: </w:t>
      </w:r>
      <w:r>
        <w:rPr>
          <w:rFonts w:ascii="Book Antiqua" w:eastAsia="Book Antiqua" w:hAnsi="Book Antiqua" w:cs="Book Antiqua"/>
        </w:rPr>
        <w:t>September 14, 2023</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Orthopedics</w:t>
      </w:r>
    </w:p>
    <w:p w:rsidR="00404E95" w:rsidRDefault="00A75A4A">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United Kingdom</w:t>
      </w:r>
    </w:p>
    <w:p w:rsidR="00404E95" w:rsidRDefault="00A75A4A">
      <w:pPr>
        <w:spacing w:line="360" w:lineRule="auto"/>
        <w:jc w:val="both"/>
        <w:rPr>
          <w:rFonts w:ascii="Book Antiqua" w:hAnsi="Book Antiqua"/>
        </w:rPr>
      </w:pPr>
      <w:r>
        <w:rPr>
          <w:rFonts w:ascii="Book Antiqua" w:eastAsia="Book Antiqua" w:hAnsi="Book Antiqua" w:cs="Book Antiqua"/>
          <w:b/>
        </w:rPr>
        <w:t>Peer-review report’s scientific quality classification</w:t>
      </w:r>
    </w:p>
    <w:p w:rsidR="00404E95" w:rsidRDefault="00A75A4A">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A</w:t>
      </w:r>
    </w:p>
    <w:p w:rsidR="00404E95" w:rsidRDefault="00A75A4A">
      <w:pPr>
        <w:spacing w:line="360" w:lineRule="auto"/>
        <w:jc w:val="both"/>
        <w:rPr>
          <w:rFonts w:ascii="Book Antiqua" w:hAnsi="Book Antiqua"/>
        </w:rPr>
      </w:pPr>
      <w:r>
        <w:rPr>
          <w:rFonts w:ascii="Book Antiqua" w:eastAsia="Book Antiqua" w:hAnsi="Book Antiqua" w:cs="Book Antiqua"/>
        </w:rPr>
        <w:t>Grade B (Very good): 0</w:t>
      </w:r>
    </w:p>
    <w:p w:rsidR="00404E95" w:rsidRDefault="00A75A4A">
      <w:pPr>
        <w:spacing w:line="360" w:lineRule="auto"/>
        <w:jc w:val="both"/>
        <w:rPr>
          <w:rFonts w:ascii="Book Antiqua" w:hAnsi="Book Antiqua"/>
        </w:rPr>
      </w:pPr>
      <w:r>
        <w:rPr>
          <w:rFonts w:ascii="Book Antiqua" w:eastAsia="Book Antiqua" w:hAnsi="Book Antiqua" w:cs="Book Antiqua"/>
        </w:rPr>
        <w:t>Grade C (Good): C</w:t>
      </w:r>
    </w:p>
    <w:p w:rsidR="00404E95" w:rsidRDefault="00A75A4A">
      <w:pPr>
        <w:spacing w:line="360" w:lineRule="auto"/>
        <w:jc w:val="both"/>
        <w:rPr>
          <w:rFonts w:ascii="Book Antiqua" w:hAnsi="Book Antiqua"/>
        </w:rPr>
      </w:pPr>
      <w:r>
        <w:rPr>
          <w:rFonts w:ascii="Book Antiqua" w:eastAsia="Book Antiqua" w:hAnsi="Book Antiqua" w:cs="Book Antiqua"/>
        </w:rPr>
        <w:t>Grade D (Fair): 0</w:t>
      </w:r>
    </w:p>
    <w:p w:rsidR="00404E95" w:rsidRDefault="00A75A4A">
      <w:pPr>
        <w:spacing w:line="360" w:lineRule="auto"/>
        <w:jc w:val="both"/>
        <w:rPr>
          <w:rFonts w:ascii="Book Antiqua" w:hAnsi="Book Antiqua"/>
        </w:rPr>
      </w:pPr>
      <w:r>
        <w:rPr>
          <w:rFonts w:ascii="Book Antiqua" w:eastAsia="Book Antiqua" w:hAnsi="Book Antiqua" w:cs="Book Antiqua"/>
        </w:rPr>
        <w:t>Grade E (Poor): 0</w:t>
      </w:r>
    </w:p>
    <w:p w:rsidR="00404E95" w:rsidRDefault="00404E95">
      <w:pPr>
        <w:spacing w:line="360" w:lineRule="auto"/>
        <w:jc w:val="both"/>
        <w:rPr>
          <w:rFonts w:ascii="Book Antiqua" w:hAnsi="Book Antiqua"/>
        </w:rPr>
      </w:pPr>
    </w:p>
    <w:p w:rsidR="00404E95" w:rsidRDefault="00A75A4A">
      <w:pPr>
        <w:spacing w:line="360" w:lineRule="auto"/>
        <w:jc w:val="both"/>
        <w:rPr>
          <w:rFonts w:ascii="Book Antiqua" w:eastAsia="Book Antiqua" w:hAnsi="Book Antiqua" w:cs="Book Antiqua"/>
          <w:b/>
        </w:rPr>
        <w:sectPr w:rsidR="00404E95">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Mostafavinia</w:t>
      </w:r>
      <w:proofErr w:type="spellEnd"/>
      <w:r>
        <w:rPr>
          <w:rFonts w:ascii="Book Antiqua" w:eastAsia="Book Antiqua" w:hAnsi="Book Antiqua" w:cs="Book Antiqua"/>
        </w:rPr>
        <w:t xml:space="preserve"> A, Iran; </w:t>
      </w:r>
      <w:proofErr w:type="spellStart"/>
      <w:r>
        <w:rPr>
          <w:rFonts w:ascii="Book Antiqua" w:eastAsia="Book Antiqua" w:hAnsi="Book Antiqua" w:cs="Book Antiqua"/>
        </w:rPr>
        <w:t>Ravenell</w:t>
      </w:r>
      <w:proofErr w:type="spellEnd"/>
      <w:r>
        <w:rPr>
          <w:rFonts w:ascii="Book Antiqua" w:eastAsia="Book Antiqua" w:hAnsi="Book Antiqua" w:cs="Book Antiqua"/>
        </w:rPr>
        <w:t xml:space="preserve"> RA, United States</w:t>
      </w:r>
      <w:r>
        <w:rPr>
          <w:rFonts w:ascii="Book Antiqua" w:eastAsia="Book Antiqua" w:hAnsi="Book Antiqua" w:cs="Book Antiqua"/>
          <w:b/>
        </w:rPr>
        <w:t xml:space="preserve"> S-Editor: </w:t>
      </w:r>
      <w:r>
        <w:rPr>
          <w:rFonts w:ascii="Book Antiqua" w:eastAsia="Book Antiqua" w:hAnsi="Book Antiqua" w:cs="Book Antiqua"/>
          <w:bCs/>
        </w:rPr>
        <w:t xml:space="preserve">Chen YL </w:t>
      </w:r>
      <w:r>
        <w:rPr>
          <w:rFonts w:ascii="Book Antiqua" w:eastAsia="Book Antiqua" w:hAnsi="Book Antiqua" w:cs="Book Antiqua"/>
          <w:b/>
        </w:rPr>
        <w:t xml:space="preserve">L-Editor: </w:t>
      </w:r>
      <w:r>
        <w:rPr>
          <w:rFonts w:ascii="Book Antiqua" w:eastAsia="Book Antiqua" w:hAnsi="Book Antiqua" w:cs="Book Antiqua"/>
          <w:bCs/>
        </w:rPr>
        <w:t xml:space="preserve">A </w:t>
      </w:r>
      <w:r>
        <w:rPr>
          <w:rFonts w:ascii="Book Antiqua" w:eastAsia="Book Antiqua" w:hAnsi="Book Antiqua" w:cs="Book Antiqua"/>
          <w:b/>
        </w:rPr>
        <w:t xml:space="preserve">P-Editor: </w:t>
      </w:r>
      <w:r>
        <w:rPr>
          <w:rFonts w:ascii="Book Antiqua" w:eastAsia="Book Antiqua" w:hAnsi="Book Antiqua" w:cs="Book Antiqua"/>
          <w:bCs/>
        </w:rPr>
        <w:t>Chen YL</w:t>
      </w:r>
    </w:p>
    <w:p w:rsidR="00404E95" w:rsidRDefault="00A75A4A">
      <w:pPr>
        <w:spacing w:line="360" w:lineRule="auto"/>
        <w:jc w:val="both"/>
        <w:rPr>
          <w:rFonts w:ascii="Book Antiqua" w:hAnsi="Book Antiqua"/>
          <w:b/>
          <w:bCs/>
          <w:lang w:eastAsia="zh-CN"/>
        </w:rPr>
      </w:pPr>
      <w:r>
        <w:rPr>
          <w:rFonts w:ascii="Book Antiqua" w:hAnsi="Book Antiqua"/>
          <w:b/>
          <w:bCs/>
          <w:lang w:eastAsia="zh-CN"/>
        </w:rPr>
        <w:lastRenderedPageBreak/>
        <w:t>Figure Legends</w:t>
      </w:r>
    </w:p>
    <w:p w:rsidR="00404E95" w:rsidRDefault="00A75A4A">
      <w:pPr>
        <w:spacing w:line="360" w:lineRule="auto"/>
        <w:jc w:val="both"/>
        <w:rPr>
          <w:rFonts w:ascii="Book Antiqua" w:hAnsi="Book Antiqua"/>
          <w:lang w:eastAsia="zh-CN"/>
        </w:rPr>
      </w:pPr>
      <w:r>
        <w:rPr>
          <w:rFonts w:ascii="Book Antiqua" w:hAnsi="Book Antiqua"/>
          <w:noProof/>
          <w:lang w:eastAsia="zh-CN"/>
        </w:rPr>
        <w:drawing>
          <wp:inline distT="0" distB="0" distL="0" distR="0">
            <wp:extent cx="4810000" cy="5544237"/>
            <wp:effectExtent l="0" t="0" r="0" b="0"/>
            <wp:docPr id="3074204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20423"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10000" cy="5544237"/>
                    </a:xfrm>
                    <a:prstGeom prst="rect">
                      <a:avLst/>
                    </a:prstGeom>
                  </pic:spPr>
                </pic:pic>
              </a:graphicData>
            </a:graphic>
          </wp:inline>
        </w:drawing>
      </w:r>
    </w:p>
    <w:p w:rsidR="00404E95" w:rsidRDefault="00A75A4A">
      <w:pPr>
        <w:spacing w:line="360" w:lineRule="auto"/>
        <w:jc w:val="both"/>
        <w:rPr>
          <w:rFonts w:ascii="Book Antiqua" w:hAnsi="Book Antiqua"/>
          <w:b/>
          <w:bCs/>
          <w:lang w:eastAsia="zh-CN"/>
        </w:rPr>
      </w:pPr>
      <w:r>
        <w:rPr>
          <w:rFonts w:ascii="Book Antiqua" w:hAnsi="Book Antiqua"/>
          <w:b/>
          <w:bCs/>
          <w:lang w:eastAsia="zh-CN"/>
        </w:rPr>
        <w:t>Figure 1 Flow diagram of inclusion and exclusion criteria.</w:t>
      </w:r>
    </w:p>
    <w:p w:rsidR="00404CDC" w:rsidRDefault="00404CDC">
      <w:pPr>
        <w:rPr>
          <w:rFonts w:ascii="Book Antiqua" w:hAnsi="Book Antiqua"/>
          <w:b/>
          <w:bCs/>
          <w:lang w:eastAsia="zh-CN"/>
        </w:rPr>
      </w:pPr>
      <w:r>
        <w:rPr>
          <w:rFonts w:ascii="Book Antiqua" w:hAnsi="Book Antiqua"/>
          <w:b/>
          <w:bCs/>
          <w:lang w:eastAsia="zh-CN"/>
        </w:rPr>
        <w:br w:type="page"/>
      </w:r>
    </w:p>
    <w:p w:rsidR="00404E95" w:rsidRDefault="00A75A4A">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extent cx="5964751" cy="3310816"/>
            <wp:effectExtent l="0" t="0" r="0" b="4445"/>
            <wp:docPr id="18882522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252250"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4751" cy="3310816"/>
                    </a:xfrm>
                    <a:prstGeom prst="rect">
                      <a:avLst/>
                    </a:prstGeom>
                  </pic:spPr>
                </pic:pic>
              </a:graphicData>
            </a:graphic>
          </wp:inline>
        </w:drawing>
      </w:r>
    </w:p>
    <w:p w:rsidR="00404E95" w:rsidRDefault="00A75A4A">
      <w:pPr>
        <w:spacing w:line="360" w:lineRule="auto"/>
        <w:jc w:val="both"/>
        <w:rPr>
          <w:rFonts w:ascii="Book Antiqua" w:hAnsi="Book Antiqua"/>
          <w:b/>
          <w:bCs/>
          <w:lang w:eastAsia="zh-CN"/>
        </w:rPr>
      </w:pPr>
      <w:r>
        <w:rPr>
          <w:rFonts w:ascii="Book Antiqua" w:hAnsi="Book Antiqua"/>
          <w:b/>
          <w:bCs/>
          <w:lang w:eastAsia="zh-CN"/>
        </w:rPr>
        <w:t>Figure 2 Percentage of websites and their grade level.</w:t>
      </w:r>
    </w:p>
    <w:p w:rsidR="00404E95" w:rsidRDefault="00404E95">
      <w:pPr>
        <w:spacing w:line="360" w:lineRule="auto"/>
        <w:jc w:val="both"/>
        <w:rPr>
          <w:rFonts w:ascii="Book Antiqua" w:hAnsi="Book Antiqua"/>
          <w:lang w:eastAsia="zh-CN"/>
        </w:rPr>
        <w:sectPr w:rsidR="00404E95">
          <w:pgSz w:w="12240" w:h="15840"/>
          <w:pgMar w:top="1440" w:right="1440" w:bottom="1440" w:left="1440" w:header="720" w:footer="720" w:gutter="0"/>
          <w:cols w:space="720"/>
          <w:docGrid w:linePitch="360"/>
        </w:sectPr>
      </w:pPr>
    </w:p>
    <w:p w:rsidR="00404E95" w:rsidRDefault="00A75A4A">
      <w:pPr>
        <w:spacing w:line="360" w:lineRule="auto"/>
        <w:jc w:val="both"/>
        <w:rPr>
          <w:rFonts w:ascii="Book Antiqua" w:hAnsi="Book Antiqua"/>
          <w:b/>
          <w:bCs/>
          <w:lang w:eastAsia="zh-CN"/>
        </w:rPr>
      </w:pPr>
      <w:r>
        <w:rPr>
          <w:rFonts w:ascii="Book Antiqua" w:hAnsi="Book Antiqua"/>
          <w:b/>
          <w:bCs/>
          <w:lang w:eastAsia="zh-CN"/>
        </w:rPr>
        <w:lastRenderedPageBreak/>
        <w:t xml:space="preserve">Table 1 Unpaired </w:t>
      </w:r>
      <w:r>
        <w:rPr>
          <w:rFonts w:ascii="Book Antiqua" w:hAnsi="Book Antiqua"/>
          <w:b/>
          <w:bCs/>
          <w:i/>
          <w:iCs/>
          <w:lang w:eastAsia="zh-CN"/>
        </w:rPr>
        <w:t>t</w:t>
      </w:r>
      <w:r>
        <w:rPr>
          <w:rFonts w:ascii="Book Antiqua" w:hAnsi="Book Antiqua"/>
          <w:b/>
          <w:bCs/>
          <w:lang w:eastAsia="zh-CN"/>
        </w:rPr>
        <w:t xml:space="preserve">-test for overall pages </w:t>
      </w:r>
      <w:proofErr w:type="spellStart"/>
      <w:r>
        <w:rPr>
          <w:rFonts w:ascii="Book Antiqua" w:hAnsi="Book Antiqua"/>
          <w:b/>
          <w:bCs/>
          <w:i/>
          <w:iCs/>
          <w:lang w:eastAsia="zh-CN"/>
        </w:rPr>
        <w:t>vs</w:t>
      </w:r>
      <w:proofErr w:type="spellEnd"/>
      <w:r>
        <w:rPr>
          <w:rFonts w:ascii="Book Antiqua" w:hAnsi="Book Antiqua"/>
          <w:b/>
          <w:bCs/>
          <w:lang w:eastAsia="zh-CN"/>
        </w:rPr>
        <w:t xml:space="preserve"> first page of websites</w:t>
      </w:r>
    </w:p>
    <w:tbl>
      <w:tblPr>
        <w:tblW w:w="5478" w:type="pct"/>
        <w:tblInd w:w="108" w:type="dxa"/>
        <w:tblLayout w:type="fixed"/>
        <w:tblLook w:val="04A0" w:firstRow="1" w:lastRow="0" w:firstColumn="1" w:lastColumn="0" w:noHBand="0" w:noVBand="1"/>
      </w:tblPr>
      <w:tblGrid>
        <w:gridCol w:w="1843"/>
        <w:gridCol w:w="2692"/>
        <w:gridCol w:w="2833"/>
        <w:gridCol w:w="2128"/>
        <w:gridCol w:w="995"/>
      </w:tblGrid>
      <w:tr w:rsidR="00404CDC" w:rsidTr="00404CDC">
        <w:trPr>
          <w:trHeight w:val="288"/>
        </w:trPr>
        <w:tc>
          <w:tcPr>
            <w:tcW w:w="878"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Readability metric</w:t>
            </w:r>
          </w:p>
        </w:tc>
        <w:tc>
          <w:tcPr>
            <w:tcW w:w="1283"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Overall mean ± SD (range)</w:t>
            </w:r>
          </w:p>
        </w:tc>
        <w:tc>
          <w:tcPr>
            <w:tcW w:w="1350"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First page mean ± SD (range)</w:t>
            </w:r>
          </w:p>
        </w:tc>
        <w:tc>
          <w:tcPr>
            <w:tcW w:w="1014"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Percentage mean difference</w:t>
            </w:r>
          </w:p>
        </w:tc>
        <w:tc>
          <w:tcPr>
            <w:tcW w:w="474"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i/>
                <w:iCs/>
                <w:lang w:eastAsia="zh-CN"/>
              </w:rPr>
              <w:t>P</w:t>
            </w:r>
            <w:r>
              <w:rPr>
                <w:rFonts w:ascii="Book Antiqua" w:eastAsia="宋体" w:hAnsi="Book Antiqua" w:cs="宋体"/>
                <w:b/>
                <w:bCs/>
                <w:lang w:eastAsia="zh-CN"/>
              </w:rPr>
              <w:t xml:space="preserve"> value</w:t>
            </w:r>
          </w:p>
        </w:tc>
      </w:tr>
      <w:tr w:rsidR="00404CDC" w:rsidTr="00404CDC">
        <w:trPr>
          <w:trHeight w:val="288"/>
        </w:trPr>
        <w:tc>
          <w:tcPr>
            <w:tcW w:w="878"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proofErr w:type="spellStart"/>
            <w:r>
              <w:rPr>
                <w:rFonts w:ascii="Book Antiqua" w:eastAsia="宋体" w:hAnsi="Book Antiqua" w:cs="宋体"/>
                <w:lang w:eastAsia="zh-CN"/>
              </w:rPr>
              <w:t>Flesch</w:t>
            </w:r>
            <w:proofErr w:type="spellEnd"/>
            <w:r>
              <w:rPr>
                <w:rFonts w:ascii="Book Antiqua" w:eastAsia="宋体" w:hAnsi="Book Antiqua" w:cs="宋体"/>
                <w:lang w:eastAsia="zh-CN"/>
              </w:rPr>
              <w:t xml:space="preserve"> reading ease</w:t>
            </w:r>
          </w:p>
        </w:tc>
        <w:tc>
          <w:tcPr>
            <w:tcW w:w="1283"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55.3970 ± 12.7618 (23.2-86.1)</w:t>
            </w:r>
          </w:p>
        </w:tc>
        <w:tc>
          <w:tcPr>
            <w:tcW w:w="1350"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55.3290 ± 15.9812 (9.9-87.4)</w:t>
            </w:r>
          </w:p>
        </w:tc>
        <w:tc>
          <w:tcPr>
            <w:tcW w:w="1014"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2.32</w:t>
            </w:r>
          </w:p>
        </w:tc>
        <w:tc>
          <w:tcPr>
            <w:tcW w:w="474"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0.553</w:t>
            </w:r>
          </w:p>
        </w:tc>
      </w:tr>
      <w:tr w:rsidR="00404CDC" w:rsidTr="00404CDC">
        <w:trPr>
          <w:trHeight w:val="288"/>
        </w:trPr>
        <w:tc>
          <w:tcPr>
            <w:tcW w:w="878"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proofErr w:type="spellStart"/>
            <w:r>
              <w:rPr>
                <w:rFonts w:ascii="Book Antiqua" w:eastAsia="宋体" w:hAnsi="Book Antiqua" w:cs="宋体"/>
                <w:lang w:eastAsia="zh-CN"/>
              </w:rPr>
              <w:t>Flesch-kincaid</w:t>
            </w:r>
            <w:proofErr w:type="spellEnd"/>
          </w:p>
        </w:tc>
        <w:tc>
          <w:tcPr>
            <w:tcW w:w="1283"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10.1450 ± 2.7082 (5.0-20.1)</w:t>
            </w:r>
          </w:p>
        </w:tc>
        <w:tc>
          <w:tcPr>
            <w:tcW w:w="135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10.3840 ± 3.2056 (4.9-18.9)</w:t>
            </w:r>
          </w:p>
        </w:tc>
        <w:tc>
          <w:tcPr>
            <w:tcW w:w="1014"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0.47</w:t>
            </w:r>
          </w:p>
        </w:tc>
        <w:tc>
          <w:tcPr>
            <w:tcW w:w="474"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0.915</w:t>
            </w:r>
          </w:p>
        </w:tc>
      </w:tr>
      <w:tr w:rsidR="00404CDC" w:rsidTr="00404CDC">
        <w:trPr>
          <w:trHeight w:val="288"/>
        </w:trPr>
        <w:tc>
          <w:tcPr>
            <w:tcW w:w="878"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Gunning fog</w:t>
            </w:r>
          </w:p>
        </w:tc>
        <w:tc>
          <w:tcPr>
            <w:tcW w:w="1283"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12.7830 ± 2.8099 (8.2-23.5)</w:t>
            </w:r>
          </w:p>
        </w:tc>
        <w:tc>
          <w:tcPr>
            <w:tcW w:w="135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12.4210 ± 3.1772 (7.6-20.7)</w:t>
            </w:r>
          </w:p>
        </w:tc>
        <w:tc>
          <w:tcPr>
            <w:tcW w:w="1014"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3.86</w:t>
            </w:r>
          </w:p>
        </w:tc>
        <w:tc>
          <w:tcPr>
            <w:tcW w:w="474"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0.287</w:t>
            </w:r>
          </w:p>
        </w:tc>
      </w:tr>
      <w:tr w:rsidR="00404CDC" w:rsidTr="00404CDC">
        <w:trPr>
          <w:trHeight w:val="288"/>
        </w:trPr>
        <w:tc>
          <w:tcPr>
            <w:tcW w:w="878"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SMOG</w:t>
            </w:r>
          </w:p>
        </w:tc>
        <w:tc>
          <w:tcPr>
            <w:tcW w:w="1283"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9.3530 ± 1.9114 (5.6-15.8)</w:t>
            </w:r>
          </w:p>
        </w:tc>
        <w:tc>
          <w:tcPr>
            <w:tcW w:w="135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9.3000 ± 2.3224 (5.1-16.3)</w:t>
            </w:r>
          </w:p>
        </w:tc>
        <w:tc>
          <w:tcPr>
            <w:tcW w:w="1014"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2.27</w:t>
            </w:r>
          </w:p>
        </w:tc>
        <w:tc>
          <w:tcPr>
            <w:tcW w:w="474"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0.523</w:t>
            </w:r>
          </w:p>
        </w:tc>
      </w:tr>
      <w:tr w:rsidR="00404CDC" w:rsidTr="00404CDC">
        <w:trPr>
          <w:trHeight w:val="288"/>
        </w:trPr>
        <w:tc>
          <w:tcPr>
            <w:tcW w:w="878"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Coleman-</w:t>
            </w:r>
            <w:proofErr w:type="spellStart"/>
            <w:r>
              <w:rPr>
                <w:rFonts w:ascii="Book Antiqua" w:eastAsia="宋体" w:hAnsi="Book Antiqua" w:cs="宋体"/>
                <w:lang w:eastAsia="zh-CN"/>
              </w:rPr>
              <w:t>liau</w:t>
            </w:r>
            <w:proofErr w:type="spellEnd"/>
            <w:r>
              <w:rPr>
                <w:rFonts w:ascii="Book Antiqua" w:eastAsia="宋体" w:hAnsi="Book Antiqua" w:cs="宋体"/>
                <w:lang w:eastAsia="zh-CN"/>
              </w:rPr>
              <w:t xml:space="preserve"> index</w:t>
            </w:r>
          </w:p>
        </w:tc>
        <w:tc>
          <w:tcPr>
            <w:tcW w:w="1283"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12.2460 ± 1.4778 (7.5-16.1)</w:t>
            </w:r>
          </w:p>
        </w:tc>
        <w:tc>
          <w:tcPr>
            <w:tcW w:w="135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11.9970 ± 2.2096 (8-19)</w:t>
            </w:r>
          </w:p>
        </w:tc>
        <w:tc>
          <w:tcPr>
            <w:tcW w:w="1014"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4.64</w:t>
            </w:r>
          </w:p>
        </w:tc>
        <w:tc>
          <w:tcPr>
            <w:tcW w:w="474"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0.41</w:t>
            </w:r>
          </w:p>
        </w:tc>
      </w:tr>
      <w:tr w:rsidR="00404CDC" w:rsidTr="00404CDC">
        <w:trPr>
          <w:trHeight w:val="288"/>
        </w:trPr>
        <w:tc>
          <w:tcPr>
            <w:tcW w:w="878"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Automated readability</w:t>
            </w:r>
          </w:p>
        </w:tc>
        <w:tc>
          <w:tcPr>
            <w:tcW w:w="1283"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10.2340 ± 3.0205 (4.6-22.0)</w:t>
            </w:r>
          </w:p>
        </w:tc>
        <w:tc>
          <w:tcPr>
            <w:tcW w:w="1350"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10.5680 ± 3.6182 (3.8-19.2)</w:t>
            </w:r>
          </w:p>
        </w:tc>
        <w:tc>
          <w:tcPr>
            <w:tcW w:w="1014"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1.05</w:t>
            </w:r>
          </w:p>
        </w:tc>
        <w:tc>
          <w:tcPr>
            <w:tcW w:w="474"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0.824</w:t>
            </w:r>
          </w:p>
        </w:tc>
      </w:tr>
      <w:tr w:rsidR="00404CDC" w:rsidTr="00404CDC">
        <w:trPr>
          <w:trHeight w:val="295"/>
        </w:trPr>
        <w:tc>
          <w:tcPr>
            <w:tcW w:w="878"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Average grade level</w:t>
            </w:r>
          </w:p>
        </w:tc>
        <w:tc>
          <w:tcPr>
            <w:tcW w:w="1283"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10.95230 ± 2.27862 (6.18-18.88)</w:t>
            </w:r>
          </w:p>
        </w:tc>
        <w:tc>
          <w:tcPr>
            <w:tcW w:w="1350"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10.93420 ± 2.73413 (6.22-18.48)</w:t>
            </w:r>
          </w:p>
        </w:tc>
        <w:tc>
          <w:tcPr>
            <w:tcW w:w="1014"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0.09</w:t>
            </w:r>
          </w:p>
        </w:tc>
        <w:tc>
          <w:tcPr>
            <w:tcW w:w="474"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0.888</w:t>
            </w:r>
          </w:p>
        </w:tc>
      </w:tr>
    </w:tbl>
    <w:p w:rsidR="00404E95" w:rsidRDefault="00A75A4A">
      <w:pPr>
        <w:spacing w:line="360" w:lineRule="auto"/>
        <w:jc w:val="both"/>
        <w:rPr>
          <w:rFonts w:ascii="Book Antiqua" w:hAnsi="Book Antiqua"/>
          <w:b/>
          <w:bCs/>
        </w:rPr>
      </w:pPr>
      <w:r>
        <w:rPr>
          <w:rFonts w:ascii="Book Antiqua" w:hAnsi="Book Antiqua"/>
          <w:lang w:eastAsia="zh-CN"/>
        </w:rPr>
        <w:br w:type="page"/>
      </w:r>
      <w:r>
        <w:rPr>
          <w:rFonts w:ascii="Book Antiqua" w:hAnsi="Book Antiqua"/>
          <w:b/>
          <w:bCs/>
        </w:rPr>
        <w:lastRenderedPageBreak/>
        <w:t xml:space="preserve">Table 2 </w:t>
      </w:r>
      <w:bookmarkStart w:id="2" w:name="_Hlk144117629"/>
      <w:r>
        <w:rPr>
          <w:rFonts w:ascii="Book Antiqua" w:hAnsi="Book Antiqua"/>
          <w:b/>
          <w:bCs/>
        </w:rPr>
        <w:t>Percentage</w:t>
      </w:r>
      <w:bookmarkEnd w:id="2"/>
      <w:r>
        <w:rPr>
          <w:rFonts w:ascii="Book Antiqua" w:hAnsi="Book Antiqua"/>
          <w:b/>
          <w:bCs/>
        </w:rPr>
        <w:t xml:space="preserve"> of websites and their grade level</w:t>
      </w:r>
    </w:p>
    <w:tbl>
      <w:tblPr>
        <w:tblW w:w="5626" w:type="pct"/>
        <w:tblInd w:w="-601" w:type="dxa"/>
        <w:tblLook w:val="04A0" w:firstRow="1" w:lastRow="0" w:firstColumn="1" w:lastColumn="0" w:noHBand="0" w:noVBand="1"/>
      </w:tblPr>
      <w:tblGrid>
        <w:gridCol w:w="2628"/>
        <w:gridCol w:w="456"/>
        <w:gridCol w:w="1403"/>
        <w:gridCol w:w="2390"/>
        <w:gridCol w:w="1076"/>
        <w:gridCol w:w="1350"/>
        <w:gridCol w:w="1472"/>
      </w:tblGrid>
      <w:tr w:rsidR="00404E95" w:rsidTr="00404CDC">
        <w:trPr>
          <w:trHeight w:val="288"/>
        </w:trPr>
        <w:tc>
          <w:tcPr>
            <w:tcW w:w="1163"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Classification</w:t>
            </w:r>
          </w:p>
        </w:tc>
        <w:tc>
          <w:tcPr>
            <w:tcW w:w="206"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i/>
                <w:iCs/>
                <w:lang w:eastAsia="zh-CN"/>
              </w:rPr>
            </w:pPr>
            <w:r>
              <w:rPr>
                <w:rFonts w:ascii="Book Antiqua" w:eastAsia="宋体" w:hAnsi="Book Antiqua" w:cs="宋体"/>
                <w:b/>
                <w:bCs/>
                <w:i/>
                <w:iCs/>
                <w:lang w:eastAsia="zh-CN"/>
              </w:rPr>
              <w:t>n</w:t>
            </w:r>
          </w:p>
        </w:tc>
        <w:tc>
          <w:tcPr>
            <w:tcW w:w="623"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Percentage</w:t>
            </w:r>
          </w:p>
        </w:tc>
        <w:tc>
          <w:tcPr>
            <w:tcW w:w="1058"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Average grade level</w:t>
            </w:r>
          </w:p>
        </w:tc>
        <w:tc>
          <w:tcPr>
            <w:tcW w:w="479"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St. Dev.</w:t>
            </w:r>
          </w:p>
        </w:tc>
        <w:tc>
          <w:tcPr>
            <w:tcW w:w="600"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Maximum</w:t>
            </w:r>
          </w:p>
        </w:tc>
        <w:tc>
          <w:tcPr>
            <w:tcW w:w="871"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Minimum</w:t>
            </w:r>
          </w:p>
        </w:tc>
      </w:tr>
      <w:tr w:rsidR="00404E95" w:rsidTr="00404CDC">
        <w:trPr>
          <w:trHeight w:val="288"/>
        </w:trPr>
        <w:tc>
          <w:tcPr>
            <w:tcW w:w="1163"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Academic</w:t>
            </w:r>
          </w:p>
        </w:tc>
        <w:tc>
          <w:tcPr>
            <w:tcW w:w="206"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8</w:t>
            </w:r>
          </w:p>
        </w:tc>
        <w:tc>
          <w:tcPr>
            <w:tcW w:w="623"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0.0860</w:t>
            </w:r>
          </w:p>
        </w:tc>
        <w:tc>
          <w:tcPr>
            <w:tcW w:w="1058"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11.36</w:t>
            </w:r>
          </w:p>
        </w:tc>
        <w:tc>
          <w:tcPr>
            <w:tcW w:w="479"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 </w:t>
            </w:r>
            <w:r>
              <w:rPr>
                <w:rFonts w:ascii="Book Antiqua" w:eastAsia="宋体" w:hAnsi="Book Antiqua" w:cs="Calibri"/>
                <w:lang w:eastAsia="zh-CN"/>
              </w:rPr>
              <w:t>3.33</w:t>
            </w:r>
          </w:p>
        </w:tc>
        <w:tc>
          <w:tcPr>
            <w:tcW w:w="600"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18.88</w:t>
            </w:r>
          </w:p>
        </w:tc>
        <w:tc>
          <w:tcPr>
            <w:tcW w:w="871"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8.54</w:t>
            </w:r>
          </w:p>
        </w:tc>
      </w:tr>
      <w:tr w:rsidR="00404E95" w:rsidTr="00404CDC">
        <w:trPr>
          <w:trHeight w:val="288"/>
        </w:trPr>
        <w:tc>
          <w:tcPr>
            <w:tcW w:w="1163"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Physician sponsored</w:t>
            </w:r>
          </w:p>
        </w:tc>
        <w:tc>
          <w:tcPr>
            <w:tcW w:w="20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21</w:t>
            </w:r>
          </w:p>
        </w:tc>
        <w:tc>
          <w:tcPr>
            <w:tcW w:w="623"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0.2258</w:t>
            </w:r>
          </w:p>
        </w:tc>
        <w:tc>
          <w:tcPr>
            <w:tcW w:w="1058"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10.93</w:t>
            </w:r>
          </w:p>
        </w:tc>
        <w:tc>
          <w:tcPr>
            <w:tcW w:w="47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 </w:t>
            </w:r>
            <w:r>
              <w:rPr>
                <w:rFonts w:ascii="Book Antiqua" w:eastAsia="宋体" w:hAnsi="Book Antiqua" w:cs="Calibri"/>
                <w:lang w:eastAsia="zh-CN"/>
              </w:rPr>
              <w:t>1.71</w:t>
            </w:r>
          </w:p>
        </w:tc>
        <w:tc>
          <w:tcPr>
            <w:tcW w:w="6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13.42</w:t>
            </w:r>
          </w:p>
        </w:tc>
        <w:tc>
          <w:tcPr>
            <w:tcW w:w="871"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8.74</w:t>
            </w:r>
          </w:p>
        </w:tc>
      </w:tr>
      <w:tr w:rsidR="00404E95" w:rsidTr="00404CDC">
        <w:trPr>
          <w:trHeight w:val="288"/>
        </w:trPr>
        <w:tc>
          <w:tcPr>
            <w:tcW w:w="1163"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Governmental &amp; NGO</w:t>
            </w:r>
          </w:p>
        </w:tc>
        <w:tc>
          <w:tcPr>
            <w:tcW w:w="20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21</w:t>
            </w:r>
          </w:p>
        </w:tc>
        <w:tc>
          <w:tcPr>
            <w:tcW w:w="623"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0.2258</w:t>
            </w:r>
          </w:p>
        </w:tc>
        <w:tc>
          <w:tcPr>
            <w:tcW w:w="1058"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11.51</w:t>
            </w:r>
          </w:p>
        </w:tc>
        <w:tc>
          <w:tcPr>
            <w:tcW w:w="47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 </w:t>
            </w:r>
            <w:r>
              <w:rPr>
                <w:rFonts w:ascii="Book Antiqua" w:eastAsia="宋体" w:hAnsi="Book Antiqua" w:cs="Calibri"/>
                <w:lang w:eastAsia="zh-CN"/>
              </w:rPr>
              <w:t>2.56</w:t>
            </w:r>
          </w:p>
        </w:tc>
        <w:tc>
          <w:tcPr>
            <w:tcW w:w="6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15.68</w:t>
            </w:r>
          </w:p>
        </w:tc>
        <w:tc>
          <w:tcPr>
            <w:tcW w:w="871"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6.18</w:t>
            </w:r>
          </w:p>
        </w:tc>
      </w:tr>
      <w:tr w:rsidR="00404E95" w:rsidTr="00404CDC">
        <w:trPr>
          <w:trHeight w:val="288"/>
        </w:trPr>
        <w:tc>
          <w:tcPr>
            <w:tcW w:w="1163"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Commercial</w:t>
            </w:r>
          </w:p>
        </w:tc>
        <w:tc>
          <w:tcPr>
            <w:tcW w:w="206"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40</w:t>
            </w:r>
          </w:p>
        </w:tc>
        <w:tc>
          <w:tcPr>
            <w:tcW w:w="623"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0.4301</w:t>
            </w:r>
          </w:p>
        </w:tc>
        <w:tc>
          <w:tcPr>
            <w:tcW w:w="1058"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10.84</w:t>
            </w:r>
          </w:p>
        </w:tc>
        <w:tc>
          <w:tcPr>
            <w:tcW w:w="479"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 </w:t>
            </w:r>
            <w:r>
              <w:rPr>
                <w:rFonts w:ascii="Book Antiqua" w:eastAsia="宋体" w:hAnsi="Book Antiqua" w:cs="Calibri"/>
                <w:lang w:eastAsia="zh-CN"/>
              </w:rPr>
              <w:t>2.06</w:t>
            </w:r>
          </w:p>
        </w:tc>
        <w:tc>
          <w:tcPr>
            <w:tcW w:w="600"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18.02</w:t>
            </w:r>
          </w:p>
        </w:tc>
        <w:tc>
          <w:tcPr>
            <w:tcW w:w="871"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6.46</w:t>
            </w:r>
          </w:p>
        </w:tc>
      </w:tr>
      <w:tr w:rsidR="00404E95" w:rsidTr="00404CDC">
        <w:trPr>
          <w:trHeight w:val="288"/>
        </w:trPr>
        <w:tc>
          <w:tcPr>
            <w:tcW w:w="1163"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Unspecified</w:t>
            </w:r>
          </w:p>
        </w:tc>
        <w:tc>
          <w:tcPr>
            <w:tcW w:w="206"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3</w:t>
            </w:r>
          </w:p>
        </w:tc>
        <w:tc>
          <w:tcPr>
            <w:tcW w:w="623"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0.0323</w:t>
            </w:r>
          </w:p>
        </w:tc>
        <w:tc>
          <w:tcPr>
            <w:tcW w:w="1058"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7.61</w:t>
            </w:r>
          </w:p>
        </w:tc>
        <w:tc>
          <w:tcPr>
            <w:tcW w:w="479"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 </w:t>
            </w:r>
            <w:r>
              <w:rPr>
                <w:rFonts w:ascii="Book Antiqua" w:eastAsia="宋体" w:hAnsi="Book Antiqua" w:cs="Calibri"/>
                <w:lang w:eastAsia="zh-CN"/>
              </w:rPr>
              <w:t>1.24</w:t>
            </w:r>
          </w:p>
        </w:tc>
        <w:tc>
          <w:tcPr>
            <w:tcW w:w="600"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8.32</w:t>
            </w:r>
          </w:p>
        </w:tc>
        <w:tc>
          <w:tcPr>
            <w:tcW w:w="871"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6.18</w:t>
            </w:r>
          </w:p>
        </w:tc>
      </w:tr>
    </w:tbl>
    <w:p w:rsidR="00404E95" w:rsidRDefault="00A75A4A">
      <w:pPr>
        <w:spacing w:line="360" w:lineRule="auto"/>
        <w:jc w:val="both"/>
        <w:rPr>
          <w:rFonts w:ascii="Book Antiqua" w:hAnsi="Book Antiqua"/>
          <w:lang w:eastAsia="zh-CN"/>
        </w:rPr>
      </w:pPr>
      <w:r>
        <w:rPr>
          <w:rFonts w:ascii="Book Antiqua" w:hAnsi="Book Antiqua"/>
          <w:lang w:eastAsia="zh-CN"/>
        </w:rPr>
        <w:t>NGO: Non-government organizations.</w:t>
      </w:r>
    </w:p>
    <w:p w:rsidR="00404E95" w:rsidRDefault="00A75A4A">
      <w:pPr>
        <w:spacing w:line="360" w:lineRule="auto"/>
        <w:jc w:val="both"/>
        <w:rPr>
          <w:rFonts w:ascii="Book Antiqua" w:hAnsi="Book Antiqua"/>
          <w:b/>
          <w:bCs/>
        </w:rPr>
      </w:pPr>
      <w:r>
        <w:rPr>
          <w:rFonts w:ascii="Book Antiqua" w:hAnsi="Book Antiqua"/>
          <w:lang w:eastAsia="zh-CN"/>
        </w:rPr>
        <w:br w:type="page"/>
      </w:r>
      <w:r>
        <w:rPr>
          <w:rFonts w:ascii="Book Antiqua" w:hAnsi="Book Antiqua"/>
          <w:b/>
          <w:bCs/>
        </w:rPr>
        <w:lastRenderedPageBreak/>
        <w:t xml:space="preserve">Table 3 Unpaired </w:t>
      </w:r>
      <w:proofErr w:type="gramStart"/>
      <w:r>
        <w:rPr>
          <w:rFonts w:ascii="Book Antiqua" w:hAnsi="Book Antiqua"/>
          <w:b/>
          <w:bCs/>
          <w:i/>
          <w:iCs/>
        </w:rPr>
        <w:t>t</w:t>
      </w:r>
      <w:r>
        <w:rPr>
          <w:rFonts w:ascii="Book Antiqua" w:hAnsi="Book Antiqua"/>
          <w:b/>
          <w:bCs/>
        </w:rPr>
        <w:t>-test</w:t>
      </w:r>
      <w:proofErr w:type="gramEnd"/>
      <w:r>
        <w:rPr>
          <w:rFonts w:ascii="Book Antiqua" w:hAnsi="Book Antiqua"/>
          <w:b/>
          <w:bCs/>
        </w:rPr>
        <w:t xml:space="preserve"> for government </w:t>
      </w:r>
      <w:r>
        <w:rPr>
          <w:rFonts w:ascii="Book Antiqua" w:hAnsi="Book Antiqua"/>
          <w:b/>
          <w:bCs/>
          <w:lang w:eastAsia="zh-CN"/>
        </w:rPr>
        <w:t>n</w:t>
      </w:r>
      <w:r>
        <w:rPr>
          <w:rFonts w:ascii="Book Antiqua" w:hAnsi="Book Antiqua"/>
          <w:b/>
          <w:bCs/>
        </w:rPr>
        <w:t xml:space="preserve">on-government organizations </w:t>
      </w:r>
      <w:proofErr w:type="spellStart"/>
      <w:r>
        <w:rPr>
          <w:rFonts w:ascii="Book Antiqua" w:hAnsi="Book Antiqua"/>
          <w:b/>
          <w:bCs/>
          <w:i/>
          <w:iCs/>
        </w:rPr>
        <w:t>vs</w:t>
      </w:r>
      <w:proofErr w:type="spellEnd"/>
      <w:r>
        <w:rPr>
          <w:rFonts w:ascii="Book Antiqua" w:hAnsi="Book Antiqua"/>
          <w:b/>
          <w:bCs/>
        </w:rPr>
        <w:t xml:space="preserve"> academic websites</w:t>
      </w:r>
    </w:p>
    <w:tbl>
      <w:tblPr>
        <w:tblW w:w="5551" w:type="pct"/>
        <w:tblInd w:w="-601" w:type="dxa"/>
        <w:tblLayout w:type="fixed"/>
        <w:tblLook w:val="04A0" w:firstRow="1" w:lastRow="0" w:firstColumn="1" w:lastColumn="0" w:noHBand="0" w:noVBand="1"/>
      </w:tblPr>
      <w:tblGrid>
        <w:gridCol w:w="2273"/>
        <w:gridCol w:w="2692"/>
        <w:gridCol w:w="2549"/>
        <w:gridCol w:w="2126"/>
        <w:gridCol w:w="991"/>
      </w:tblGrid>
      <w:tr w:rsidR="00404CDC" w:rsidTr="00404CDC">
        <w:trPr>
          <w:trHeight w:val="288"/>
        </w:trPr>
        <w:tc>
          <w:tcPr>
            <w:tcW w:w="1069"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Readability metric</w:t>
            </w:r>
          </w:p>
        </w:tc>
        <w:tc>
          <w:tcPr>
            <w:tcW w:w="1266"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Government &amp; NGO mean ± SD (range)</w:t>
            </w:r>
          </w:p>
        </w:tc>
        <w:tc>
          <w:tcPr>
            <w:tcW w:w="1199"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Academic mean ± SD (range)</w:t>
            </w:r>
          </w:p>
        </w:tc>
        <w:tc>
          <w:tcPr>
            <w:tcW w:w="1000"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Percentage mean difference</w:t>
            </w:r>
          </w:p>
        </w:tc>
        <w:tc>
          <w:tcPr>
            <w:tcW w:w="466" w:type="pct"/>
            <w:tcBorders>
              <w:top w:val="single" w:sz="4" w:space="0" w:color="auto"/>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b/>
                <w:bCs/>
                <w:lang w:eastAsia="zh-CN"/>
              </w:rPr>
            </w:pPr>
            <w:r>
              <w:rPr>
                <w:rFonts w:ascii="Book Antiqua" w:eastAsia="宋体" w:hAnsi="Book Antiqua" w:cs="宋体"/>
                <w:b/>
                <w:bCs/>
                <w:i/>
                <w:iCs/>
                <w:lang w:eastAsia="zh-CN"/>
              </w:rPr>
              <w:t>P</w:t>
            </w:r>
            <w:r>
              <w:rPr>
                <w:rFonts w:ascii="Book Antiqua" w:eastAsia="宋体" w:hAnsi="Book Antiqua" w:cs="宋体"/>
                <w:b/>
                <w:bCs/>
                <w:lang w:eastAsia="zh-CN"/>
              </w:rPr>
              <w:t xml:space="preserve"> value</w:t>
            </w:r>
          </w:p>
        </w:tc>
      </w:tr>
      <w:tr w:rsidR="00404CDC" w:rsidTr="00404CDC">
        <w:trPr>
          <w:trHeight w:val="288"/>
        </w:trPr>
        <w:tc>
          <w:tcPr>
            <w:tcW w:w="1069"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proofErr w:type="spellStart"/>
            <w:r>
              <w:rPr>
                <w:rFonts w:ascii="Book Antiqua" w:eastAsia="宋体" w:hAnsi="Book Antiqua" w:cs="宋体"/>
                <w:lang w:eastAsia="zh-CN"/>
              </w:rPr>
              <w:t>Flesch</w:t>
            </w:r>
            <w:proofErr w:type="spellEnd"/>
            <w:r>
              <w:rPr>
                <w:rFonts w:ascii="Book Antiqua" w:eastAsia="宋体" w:hAnsi="Book Antiqua" w:cs="宋体"/>
                <w:lang w:eastAsia="zh-CN"/>
              </w:rPr>
              <w:t xml:space="preserve"> reading ease</w:t>
            </w:r>
          </w:p>
        </w:tc>
        <w:tc>
          <w:tcPr>
            <w:tcW w:w="1266"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49.0330 </w:t>
            </w:r>
            <w:r>
              <w:rPr>
                <w:rFonts w:ascii="Book Antiqua" w:eastAsia="宋体" w:hAnsi="Book Antiqua" w:cs="Calibri"/>
                <w:lang w:eastAsia="zh-CN"/>
              </w:rPr>
              <w:t>± 17.4883 (28.0-86.1)</w:t>
            </w:r>
          </w:p>
        </w:tc>
        <w:tc>
          <w:tcPr>
            <w:tcW w:w="1199"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53.5880 </w:t>
            </w:r>
            <w:r>
              <w:rPr>
                <w:rFonts w:ascii="Book Antiqua" w:eastAsia="宋体" w:hAnsi="Book Antiqua" w:cs="Calibri"/>
                <w:lang w:eastAsia="zh-CN"/>
              </w:rPr>
              <w:t>± 14.3224 (23.2-66.6)</w:t>
            </w:r>
          </w:p>
        </w:tc>
        <w:tc>
          <w:tcPr>
            <w:tcW w:w="1000"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4.438</w:t>
            </w:r>
          </w:p>
        </w:tc>
        <w:tc>
          <w:tcPr>
            <w:tcW w:w="466" w:type="pct"/>
            <w:tcBorders>
              <w:top w:val="single" w:sz="4" w:space="0" w:color="auto"/>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0.276</w:t>
            </w:r>
          </w:p>
        </w:tc>
      </w:tr>
      <w:tr w:rsidR="00404CDC" w:rsidTr="00404CDC">
        <w:trPr>
          <w:trHeight w:val="288"/>
        </w:trPr>
        <w:tc>
          <w:tcPr>
            <w:tcW w:w="106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Flesch-Kincaid</w:t>
            </w:r>
          </w:p>
        </w:tc>
        <w:tc>
          <w:tcPr>
            <w:tcW w:w="12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10.7860 </w:t>
            </w:r>
            <w:r>
              <w:rPr>
                <w:rFonts w:ascii="Book Antiqua" w:eastAsia="宋体" w:hAnsi="Book Antiqua" w:cs="Calibri"/>
                <w:lang w:eastAsia="zh-CN"/>
              </w:rPr>
              <w:t>± 2.9066 (5.0-15.6)</w:t>
            </w:r>
          </w:p>
        </w:tc>
        <w:tc>
          <w:tcPr>
            <w:tcW w:w="119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10.825 </w:t>
            </w:r>
            <w:r>
              <w:rPr>
                <w:rFonts w:ascii="Book Antiqua" w:eastAsia="宋体" w:hAnsi="Book Antiqua" w:cs="Calibri"/>
                <w:lang w:eastAsia="zh-CN"/>
              </w:rPr>
              <w:t>± 4.083 (7.5-20.1)</w:t>
            </w:r>
          </w:p>
        </w:tc>
        <w:tc>
          <w:tcPr>
            <w:tcW w:w="10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0.362</w:t>
            </w:r>
          </w:p>
        </w:tc>
        <w:tc>
          <w:tcPr>
            <w:tcW w:w="4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0.554</w:t>
            </w:r>
          </w:p>
        </w:tc>
      </w:tr>
      <w:tr w:rsidR="00404CDC" w:rsidTr="00404CDC">
        <w:trPr>
          <w:trHeight w:val="288"/>
        </w:trPr>
        <w:tc>
          <w:tcPr>
            <w:tcW w:w="106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Gunning fog</w:t>
            </w:r>
          </w:p>
        </w:tc>
        <w:tc>
          <w:tcPr>
            <w:tcW w:w="12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13.529 </w:t>
            </w:r>
            <w:r>
              <w:rPr>
                <w:rFonts w:ascii="Book Antiqua" w:eastAsia="宋体" w:hAnsi="Book Antiqua" w:cs="Calibri"/>
                <w:lang w:eastAsia="zh-CN"/>
              </w:rPr>
              <w:t>± 2.869 (8.2-18.5)</w:t>
            </w:r>
          </w:p>
        </w:tc>
        <w:tc>
          <w:tcPr>
            <w:tcW w:w="119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13.1500 </w:t>
            </w:r>
            <w:r>
              <w:rPr>
                <w:rFonts w:ascii="Book Antiqua" w:eastAsia="宋体" w:hAnsi="Book Antiqua" w:cs="Calibri"/>
                <w:lang w:eastAsia="zh-CN"/>
              </w:rPr>
              <w:t>± 4.5056 (9.6-23.5)</w:t>
            </w:r>
          </w:p>
        </w:tc>
        <w:tc>
          <w:tcPr>
            <w:tcW w:w="10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2.838</w:t>
            </w:r>
          </w:p>
        </w:tc>
        <w:tc>
          <w:tcPr>
            <w:tcW w:w="4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0.475</w:t>
            </w:r>
          </w:p>
        </w:tc>
      </w:tr>
      <w:tr w:rsidR="00404CDC" w:rsidTr="00404CDC">
        <w:trPr>
          <w:trHeight w:val="288"/>
        </w:trPr>
        <w:tc>
          <w:tcPr>
            <w:tcW w:w="106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SMOG</w:t>
            </w:r>
          </w:p>
        </w:tc>
        <w:tc>
          <w:tcPr>
            <w:tcW w:w="12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9.8860 </w:t>
            </w:r>
            <w:r>
              <w:rPr>
                <w:rFonts w:ascii="Book Antiqua" w:eastAsia="宋体" w:hAnsi="Book Antiqua" w:cs="Calibri"/>
                <w:lang w:eastAsia="zh-CN"/>
              </w:rPr>
              <w:t>± 2.1763 (5.6-13.4)</w:t>
            </w:r>
          </w:p>
        </w:tc>
        <w:tc>
          <w:tcPr>
            <w:tcW w:w="119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9.7880 </w:t>
            </w:r>
            <w:r>
              <w:rPr>
                <w:rFonts w:ascii="Book Antiqua" w:eastAsia="宋体" w:hAnsi="Book Antiqua" w:cs="Calibri"/>
                <w:lang w:eastAsia="zh-CN"/>
              </w:rPr>
              <w:t>± 2.8478 (7.2-15.8)</w:t>
            </w:r>
          </w:p>
        </w:tc>
        <w:tc>
          <w:tcPr>
            <w:tcW w:w="10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0.998</w:t>
            </w:r>
          </w:p>
        </w:tc>
        <w:tc>
          <w:tcPr>
            <w:tcW w:w="4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0.453</w:t>
            </w:r>
          </w:p>
        </w:tc>
      </w:tr>
      <w:tr w:rsidR="00404CDC" w:rsidTr="00404CDC">
        <w:trPr>
          <w:trHeight w:val="288"/>
        </w:trPr>
        <w:tc>
          <w:tcPr>
            <w:tcW w:w="106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Coleman-</w:t>
            </w:r>
            <w:proofErr w:type="spellStart"/>
            <w:r>
              <w:rPr>
                <w:rFonts w:ascii="Book Antiqua" w:eastAsia="宋体" w:hAnsi="Book Antiqua" w:cs="宋体"/>
                <w:lang w:eastAsia="zh-CN"/>
              </w:rPr>
              <w:t>liau</w:t>
            </w:r>
            <w:proofErr w:type="spellEnd"/>
            <w:r>
              <w:rPr>
                <w:rFonts w:ascii="Book Antiqua" w:eastAsia="宋体" w:hAnsi="Book Antiqua" w:cs="宋体"/>
                <w:lang w:eastAsia="zh-CN"/>
              </w:rPr>
              <w:t xml:space="preserve"> index</w:t>
            </w:r>
          </w:p>
        </w:tc>
        <w:tc>
          <w:tcPr>
            <w:tcW w:w="12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13.1670 </w:t>
            </w:r>
            <w:r>
              <w:rPr>
                <w:rFonts w:ascii="Book Antiqua" w:eastAsia="宋体" w:hAnsi="Book Antiqua" w:cs="Calibri"/>
                <w:lang w:eastAsia="zh-CN"/>
              </w:rPr>
              <w:t>± 2.2265 (7.5-16.1)</w:t>
            </w:r>
          </w:p>
        </w:tc>
        <w:tc>
          <w:tcPr>
            <w:tcW w:w="119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12.0500 </w:t>
            </w:r>
            <w:r>
              <w:rPr>
                <w:rFonts w:ascii="Book Antiqua" w:eastAsia="宋体" w:hAnsi="Book Antiqua" w:cs="Calibri"/>
                <w:lang w:eastAsia="zh-CN"/>
              </w:rPr>
              <w:t>± 0.7051 (11.2-13.0)</w:t>
            </w:r>
          </w:p>
        </w:tc>
        <w:tc>
          <w:tcPr>
            <w:tcW w:w="10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8.857</w:t>
            </w:r>
          </w:p>
        </w:tc>
        <w:tc>
          <w:tcPr>
            <w:tcW w:w="4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0.086</w:t>
            </w:r>
          </w:p>
        </w:tc>
      </w:tr>
      <w:tr w:rsidR="00404CDC" w:rsidTr="00404CDC">
        <w:trPr>
          <w:trHeight w:val="288"/>
        </w:trPr>
        <w:tc>
          <w:tcPr>
            <w:tcW w:w="106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Automated readability</w:t>
            </w:r>
          </w:p>
        </w:tc>
        <w:tc>
          <w:tcPr>
            <w:tcW w:w="12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10.200 </w:t>
            </w:r>
            <w:r>
              <w:rPr>
                <w:rFonts w:ascii="Book Antiqua" w:eastAsia="宋体" w:hAnsi="Book Antiqua" w:cs="Calibri"/>
                <w:lang w:eastAsia="zh-CN"/>
              </w:rPr>
              <w:t>± 2.8660 (4.6-16.0)</w:t>
            </w:r>
          </w:p>
        </w:tc>
        <w:tc>
          <w:tcPr>
            <w:tcW w:w="119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11.0000 </w:t>
            </w:r>
            <w:r>
              <w:rPr>
                <w:rFonts w:ascii="Book Antiqua" w:eastAsia="宋体" w:hAnsi="Book Antiqua" w:cs="Calibri"/>
                <w:lang w:eastAsia="zh-CN"/>
              </w:rPr>
              <w:t>± 4.7413 (7.2-22.0)</w:t>
            </w:r>
          </w:p>
        </w:tc>
        <w:tc>
          <w:tcPr>
            <w:tcW w:w="10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7.547</w:t>
            </w:r>
          </w:p>
        </w:tc>
        <w:tc>
          <w:tcPr>
            <w:tcW w:w="4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0.290</w:t>
            </w:r>
          </w:p>
        </w:tc>
      </w:tr>
      <w:tr w:rsidR="00404CDC" w:rsidTr="00404CDC">
        <w:trPr>
          <w:trHeight w:val="288"/>
        </w:trPr>
        <w:tc>
          <w:tcPr>
            <w:tcW w:w="106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Average grade level</w:t>
            </w:r>
          </w:p>
        </w:tc>
        <w:tc>
          <w:tcPr>
            <w:tcW w:w="12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11.51330 </w:t>
            </w:r>
            <w:r>
              <w:rPr>
                <w:rFonts w:ascii="Book Antiqua" w:eastAsia="宋体" w:hAnsi="Book Antiqua" w:cs="Calibri"/>
                <w:lang w:eastAsia="zh-CN"/>
              </w:rPr>
              <w:t>± 2.55634 (6.18-15.68)</w:t>
            </w:r>
          </w:p>
        </w:tc>
        <w:tc>
          <w:tcPr>
            <w:tcW w:w="119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11.36250 </w:t>
            </w:r>
            <w:r>
              <w:rPr>
                <w:rFonts w:ascii="Book Antiqua" w:eastAsia="宋体" w:hAnsi="Book Antiqua" w:cs="Calibri"/>
                <w:lang w:eastAsia="zh-CN"/>
              </w:rPr>
              <w:t>± 3.33421 (8.54-18.88)</w:t>
            </w:r>
          </w:p>
        </w:tc>
        <w:tc>
          <w:tcPr>
            <w:tcW w:w="10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1.319</w:t>
            </w:r>
          </w:p>
        </w:tc>
        <w:tc>
          <w:tcPr>
            <w:tcW w:w="4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0.665</w:t>
            </w:r>
          </w:p>
        </w:tc>
      </w:tr>
      <w:tr w:rsidR="00404CDC" w:rsidTr="00404CDC">
        <w:trPr>
          <w:trHeight w:val="288"/>
        </w:trPr>
        <w:tc>
          <w:tcPr>
            <w:tcW w:w="106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Complex words</w:t>
            </w:r>
          </w:p>
        </w:tc>
        <w:tc>
          <w:tcPr>
            <w:tcW w:w="12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130.81 </w:t>
            </w:r>
            <w:r>
              <w:rPr>
                <w:rFonts w:ascii="Book Antiqua" w:eastAsia="宋体" w:hAnsi="Book Antiqua" w:cs="Calibri"/>
                <w:lang w:eastAsia="zh-CN"/>
              </w:rPr>
              <w:t>± 117.662 (44-459)</w:t>
            </w:r>
          </w:p>
        </w:tc>
        <w:tc>
          <w:tcPr>
            <w:tcW w:w="119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122.380 </w:t>
            </w:r>
            <w:r>
              <w:rPr>
                <w:rFonts w:ascii="Book Antiqua" w:eastAsia="宋体" w:hAnsi="Book Antiqua" w:cs="Calibri"/>
                <w:lang w:eastAsia="zh-CN"/>
              </w:rPr>
              <w:t>± 51.578 (70-210)</w:t>
            </w:r>
          </w:p>
        </w:tc>
        <w:tc>
          <w:tcPr>
            <w:tcW w:w="10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6.663</w:t>
            </w:r>
          </w:p>
        </w:tc>
        <w:tc>
          <w:tcPr>
            <w:tcW w:w="4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0.304</w:t>
            </w:r>
          </w:p>
        </w:tc>
      </w:tr>
      <w:tr w:rsidR="00404CDC" w:rsidTr="00404CDC">
        <w:trPr>
          <w:trHeight w:val="288"/>
        </w:trPr>
        <w:tc>
          <w:tcPr>
            <w:tcW w:w="106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Percentage of complex words</w:t>
            </w:r>
          </w:p>
        </w:tc>
        <w:tc>
          <w:tcPr>
            <w:tcW w:w="12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0.1746810 </w:t>
            </w:r>
            <w:r>
              <w:rPr>
                <w:rFonts w:ascii="Book Antiqua" w:eastAsia="宋体" w:hAnsi="Book Antiqua" w:cs="Calibri"/>
                <w:lang w:eastAsia="zh-CN"/>
              </w:rPr>
              <w:t>± 0.0552751 (0.0538-0.2356)</w:t>
            </w:r>
          </w:p>
        </w:tc>
        <w:tc>
          <w:tcPr>
            <w:tcW w:w="1199"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0.1414500 </w:t>
            </w:r>
            <w:r>
              <w:rPr>
                <w:rFonts w:ascii="Book Antiqua" w:eastAsia="宋体" w:hAnsi="Book Antiqua" w:cs="Calibri"/>
                <w:lang w:eastAsia="zh-CN"/>
              </w:rPr>
              <w:t>± 0.0334975 (0.1063-0.1860)</w:t>
            </w:r>
          </w:p>
        </w:tc>
        <w:tc>
          <w:tcPr>
            <w:tcW w:w="1000"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21.024</w:t>
            </w:r>
          </w:p>
        </w:tc>
        <w:tc>
          <w:tcPr>
            <w:tcW w:w="466" w:type="pct"/>
            <w:tcBorders>
              <w:top w:val="nil"/>
              <w:left w:val="nil"/>
              <w:bottom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0.187</w:t>
            </w:r>
          </w:p>
        </w:tc>
      </w:tr>
      <w:tr w:rsidR="00404CDC" w:rsidTr="00404CDC">
        <w:trPr>
          <w:trHeight w:val="288"/>
        </w:trPr>
        <w:tc>
          <w:tcPr>
            <w:tcW w:w="1069"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Average words per sentence</w:t>
            </w:r>
          </w:p>
        </w:tc>
        <w:tc>
          <w:tcPr>
            <w:tcW w:w="1266"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16.90710 </w:t>
            </w:r>
            <w:r>
              <w:rPr>
                <w:rFonts w:ascii="Book Antiqua" w:eastAsia="宋体" w:hAnsi="Book Antiqua" w:cs="Calibri"/>
                <w:lang w:eastAsia="zh-CN"/>
              </w:rPr>
              <w:t>± 3.23038 (14.03-25.71)</w:t>
            </w:r>
          </w:p>
        </w:tc>
        <w:tc>
          <w:tcPr>
            <w:tcW w:w="1199"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20.32130 </w:t>
            </w:r>
            <w:r>
              <w:rPr>
                <w:rFonts w:ascii="Book Antiqua" w:eastAsia="宋体" w:hAnsi="Book Antiqua" w:cs="Calibri"/>
                <w:lang w:eastAsia="zh-CN"/>
              </w:rPr>
              <w:t>± 8.64815 (14.12-40.74)</w:t>
            </w:r>
          </w:p>
        </w:tc>
        <w:tc>
          <w:tcPr>
            <w:tcW w:w="1000"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18.341</w:t>
            </w:r>
          </w:p>
        </w:tc>
        <w:tc>
          <w:tcPr>
            <w:tcW w:w="466" w:type="pct"/>
            <w:tcBorders>
              <w:top w:val="nil"/>
              <w:left w:val="nil"/>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0.090</w:t>
            </w:r>
          </w:p>
        </w:tc>
      </w:tr>
      <w:tr w:rsidR="00404CDC" w:rsidTr="00404CDC">
        <w:trPr>
          <w:trHeight w:val="493"/>
        </w:trPr>
        <w:tc>
          <w:tcPr>
            <w:tcW w:w="1069"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Average syllables per word</w:t>
            </w:r>
          </w:p>
        </w:tc>
        <w:tc>
          <w:tcPr>
            <w:tcW w:w="1266"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1.67520 </w:t>
            </w:r>
            <w:r>
              <w:rPr>
                <w:rFonts w:ascii="Book Antiqua" w:eastAsia="宋体" w:hAnsi="Book Antiqua" w:cs="Calibri"/>
                <w:lang w:eastAsia="zh-CN"/>
              </w:rPr>
              <w:t>± 0.19457 (1.21-1.85)</w:t>
            </w:r>
          </w:p>
        </w:tc>
        <w:tc>
          <w:tcPr>
            <w:tcW w:w="1199"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1.56750 </w:t>
            </w:r>
            <w:r>
              <w:rPr>
                <w:rFonts w:ascii="Book Antiqua" w:eastAsia="宋体" w:hAnsi="Book Antiqua" w:cs="Calibri"/>
                <w:lang w:eastAsia="zh-CN"/>
              </w:rPr>
              <w:t>± 0.07459 (1.49-1.68)</w:t>
            </w:r>
          </w:p>
        </w:tc>
        <w:tc>
          <w:tcPr>
            <w:tcW w:w="1000"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6.645</w:t>
            </w:r>
          </w:p>
        </w:tc>
        <w:tc>
          <w:tcPr>
            <w:tcW w:w="466" w:type="pct"/>
            <w:tcBorders>
              <w:top w:val="nil"/>
              <w:left w:val="nil"/>
              <w:bottom w:val="single" w:sz="4" w:space="0" w:color="auto"/>
              <w:right w:val="nil"/>
            </w:tcBorders>
            <w:shd w:val="clear" w:color="auto" w:fill="auto"/>
            <w:noWrap/>
          </w:tcPr>
          <w:p w:rsidR="00404E95" w:rsidRDefault="00A75A4A">
            <w:pPr>
              <w:spacing w:line="360" w:lineRule="auto"/>
              <w:jc w:val="both"/>
              <w:rPr>
                <w:rFonts w:ascii="Book Antiqua" w:eastAsia="宋体" w:hAnsi="Book Antiqua" w:cs="宋体"/>
                <w:lang w:eastAsia="zh-CN"/>
              </w:rPr>
            </w:pPr>
            <w:r>
              <w:rPr>
                <w:rFonts w:ascii="Book Antiqua" w:eastAsia="宋体" w:hAnsi="Book Antiqua" w:cs="宋体"/>
                <w:lang w:eastAsia="zh-CN"/>
              </w:rPr>
              <w:t>0.041</w:t>
            </w:r>
          </w:p>
        </w:tc>
      </w:tr>
    </w:tbl>
    <w:p w:rsidR="00C5193C" w:rsidRDefault="00A75A4A">
      <w:pPr>
        <w:spacing w:line="360" w:lineRule="auto"/>
        <w:jc w:val="both"/>
        <w:rPr>
          <w:rFonts w:ascii="Book Antiqua" w:hAnsi="Book Antiqua"/>
          <w:lang w:eastAsia="zh-CN"/>
        </w:rPr>
      </w:pPr>
      <w:r>
        <w:rPr>
          <w:rFonts w:ascii="Book Antiqua" w:hAnsi="Book Antiqua"/>
          <w:lang w:eastAsia="zh-CN"/>
        </w:rPr>
        <w:t>NGO: Non-government organizations.</w:t>
      </w:r>
    </w:p>
    <w:p w:rsidR="00C5193C" w:rsidRDefault="00C5193C">
      <w:pPr>
        <w:rPr>
          <w:rFonts w:ascii="Book Antiqua" w:hAnsi="Book Antiqua"/>
          <w:lang w:eastAsia="zh-CN"/>
        </w:rPr>
      </w:pPr>
      <w:r>
        <w:rPr>
          <w:rFonts w:ascii="Book Antiqua" w:hAnsi="Book Antiqua"/>
          <w:lang w:eastAsia="zh-CN"/>
        </w:rPr>
        <w:br w:type="page"/>
      </w: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r>
        <w:rPr>
          <w:rFonts w:ascii="Book Antiqua" w:hAnsi="Book Antiqua"/>
          <w:noProof/>
          <w:lang w:eastAsia="zh-CN"/>
        </w:rPr>
        <w:drawing>
          <wp:inline distT="0" distB="0" distL="0" distR="0" wp14:anchorId="16911F36" wp14:editId="58671D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C5193C" w:rsidRDefault="00C5193C" w:rsidP="00C5193C">
      <w:pPr>
        <w:jc w:val="center"/>
        <w:rPr>
          <w:rFonts w:ascii="Book Antiqua" w:hAnsi="Book Antiqua"/>
        </w:rPr>
      </w:pPr>
    </w:p>
    <w:p w:rsidR="00C5193C" w:rsidRPr="00763D22" w:rsidRDefault="00C5193C" w:rsidP="00C519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C5193C" w:rsidRPr="00763D22" w:rsidRDefault="00C5193C" w:rsidP="00C519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C5193C" w:rsidRPr="00763D22" w:rsidRDefault="00C5193C" w:rsidP="00C519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C5193C" w:rsidRPr="00763D22" w:rsidRDefault="00C5193C" w:rsidP="00C519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C5193C" w:rsidRPr="00763D22" w:rsidRDefault="00C5193C" w:rsidP="00C519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C5193C" w:rsidRPr="00763D22" w:rsidRDefault="00C5193C" w:rsidP="00C5193C">
      <w:pPr>
        <w:jc w:val="center"/>
        <w:rPr>
          <w:rFonts w:ascii="Book Antiqua" w:hAnsi="Book Antiqua"/>
        </w:rPr>
      </w:pPr>
      <w:r w:rsidRPr="00763D22">
        <w:rPr>
          <w:rFonts w:ascii="Book Antiqua" w:eastAsia="TimesNewRomanPSMT" w:hAnsi="Book Antiqua" w:cs="Garamond"/>
          <w:color w:val="D56400"/>
          <w:sz w:val="28"/>
          <w:szCs w:val="28"/>
        </w:rPr>
        <w:t>https://www.wjgnet.com</w:t>
      </w: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r>
        <w:rPr>
          <w:rFonts w:ascii="Book Antiqua" w:hAnsi="Book Antiqua"/>
          <w:noProof/>
          <w:lang w:eastAsia="zh-CN"/>
        </w:rPr>
        <w:drawing>
          <wp:inline distT="0" distB="0" distL="0" distR="0" wp14:anchorId="06DA9635" wp14:editId="0AC1189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Default="00C5193C" w:rsidP="00C5193C">
      <w:pPr>
        <w:jc w:val="center"/>
        <w:rPr>
          <w:rFonts w:ascii="Book Antiqua" w:hAnsi="Book Antiqua"/>
        </w:rPr>
      </w:pPr>
    </w:p>
    <w:p w:rsidR="00C5193C" w:rsidRPr="00763D22" w:rsidRDefault="00C5193C" w:rsidP="00C5193C">
      <w:pPr>
        <w:jc w:val="right"/>
        <w:rPr>
          <w:rFonts w:ascii="Book Antiqua" w:hAnsi="Book Antiqua"/>
          <w:color w:val="000000" w:themeColor="text1"/>
        </w:rPr>
      </w:pPr>
    </w:p>
    <w:p w:rsidR="00C5193C" w:rsidRPr="00763D22" w:rsidRDefault="00C5193C" w:rsidP="00C5193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404E95" w:rsidRPr="00C5193C" w:rsidRDefault="00404E95">
      <w:pPr>
        <w:spacing w:line="360" w:lineRule="auto"/>
        <w:jc w:val="both"/>
        <w:rPr>
          <w:rFonts w:ascii="Book Antiqua" w:hAnsi="Book Antiqua"/>
          <w:lang w:eastAsia="zh-CN"/>
        </w:rPr>
      </w:pPr>
    </w:p>
    <w:sectPr w:rsidR="00404E95" w:rsidRPr="00C51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A5" w:rsidRDefault="008438A5">
      <w:r>
        <w:separator/>
      </w:r>
    </w:p>
  </w:endnote>
  <w:endnote w:type="continuationSeparator" w:id="0">
    <w:p w:rsidR="008438A5" w:rsidRDefault="0084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80987"/>
      <w:docPartObj>
        <w:docPartGallery w:val="AutoText"/>
      </w:docPartObj>
    </w:sdtPr>
    <w:sdtEndPr/>
    <w:sdtContent>
      <w:sdt>
        <w:sdtPr>
          <w:id w:val="-1769616900"/>
          <w:docPartObj>
            <w:docPartGallery w:val="AutoText"/>
          </w:docPartObj>
        </w:sdtPr>
        <w:sdtEndPr/>
        <w:sdtContent>
          <w:p w:rsidR="00404E95" w:rsidRDefault="00A75A4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B67B1">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B67B1">
              <w:rPr>
                <w:b/>
                <w:bCs/>
                <w:noProof/>
              </w:rPr>
              <w:t>22</w:t>
            </w:r>
            <w:r>
              <w:rPr>
                <w:b/>
                <w:bCs/>
                <w:sz w:val="24"/>
                <w:szCs w:val="24"/>
              </w:rPr>
              <w:fldChar w:fldCharType="end"/>
            </w:r>
          </w:p>
        </w:sdtContent>
      </w:sdt>
    </w:sdtContent>
  </w:sdt>
  <w:p w:rsidR="00404E95" w:rsidRDefault="00404E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A5" w:rsidRDefault="008438A5">
      <w:r>
        <w:separator/>
      </w:r>
    </w:p>
  </w:footnote>
  <w:footnote w:type="continuationSeparator" w:id="0">
    <w:p w:rsidR="008438A5" w:rsidRDefault="00843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008F4"/>
    <w:rsid w:val="0000155D"/>
    <w:rsid w:val="00020A18"/>
    <w:rsid w:val="000266E7"/>
    <w:rsid w:val="00060A48"/>
    <w:rsid w:val="000822F1"/>
    <w:rsid w:val="000A4A9D"/>
    <w:rsid w:val="000F59EF"/>
    <w:rsid w:val="00101858"/>
    <w:rsid w:val="0013421A"/>
    <w:rsid w:val="00155EF8"/>
    <w:rsid w:val="00206E19"/>
    <w:rsid w:val="002106EB"/>
    <w:rsid w:val="00222541"/>
    <w:rsid w:val="00227A1C"/>
    <w:rsid w:val="0028619E"/>
    <w:rsid w:val="002A0139"/>
    <w:rsid w:val="002A3CEB"/>
    <w:rsid w:val="002B2771"/>
    <w:rsid w:val="00355690"/>
    <w:rsid w:val="0036783C"/>
    <w:rsid w:val="003A7B21"/>
    <w:rsid w:val="003B5BE8"/>
    <w:rsid w:val="003B63BF"/>
    <w:rsid w:val="003C7BA3"/>
    <w:rsid w:val="003D7A16"/>
    <w:rsid w:val="003F616D"/>
    <w:rsid w:val="00404CDC"/>
    <w:rsid w:val="00404E95"/>
    <w:rsid w:val="0041131E"/>
    <w:rsid w:val="004417E7"/>
    <w:rsid w:val="00442EF1"/>
    <w:rsid w:val="00453BA8"/>
    <w:rsid w:val="004649B3"/>
    <w:rsid w:val="004C5161"/>
    <w:rsid w:val="004E3B33"/>
    <w:rsid w:val="004E4E9A"/>
    <w:rsid w:val="0052315E"/>
    <w:rsid w:val="0055483D"/>
    <w:rsid w:val="00564063"/>
    <w:rsid w:val="00570FDB"/>
    <w:rsid w:val="00647F77"/>
    <w:rsid w:val="00660B66"/>
    <w:rsid w:val="006611A3"/>
    <w:rsid w:val="00682C33"/>
    <w:rsid w:val="006C0D5D"/>
    <w:rsid w:val="00703BF6"/>
    <w:rsid w:val="007317FC"/>
    <w:rsid w:val="0075726F"/>
    <w:rsid w:val="00763FBC"/>
    <w:rsid w:val="007641A3"/>
    <w:rsid w:val="00815529"/>
    <w:rsid w:val="00842F1D"/>
    <w:rsid w:val="008438A5"/>
    <w:rsid w:val="0084574A"/>
    <w:rsid w:val="00872776"/>
    <w:rsid w:val="00885B4B"/>
    <w:rsid w:val="00886C92"/>
    <w:rsid w:val="008B6F53"/>
    <w:rsid w:val="008E0D9A"/>
    <w:rsid w:val="00947011"/>
    <w:rsid w:val="009829F7"/>
    <w:rsid w:val="00985DBF"/>
    <w:rsid w:val="009A6536"/>
    <w:rsid w:val="009B3064"/>
    <w:rsid w:val="009D0BB2"/>
    <w:rsid w:val="009D5BE6"/>
    <w:rsid w:val="00A047F4"/>
    <w:rsid w:val="00A17E3C"/>
    <w:rsid w:val="00A24353"/>
    <w:rsid w:val="00A257DD"/>
    <w:rsid w:val="00A64DCF"/>
    <w:rsid w:val="00A75A4A"/>
    <w:rsid w:val="00A75D6A"/>
    <w:rsid w:val="00A77B3E"/>
    <w:rsid w:val="00A94484"/>
    <w:rsid w:val="00B52AB9"/>
    <w:rsid w:val="00B92BF7"/>
    <w:rsid w:val="00BA313C"/>
    <w:rsid w:val="00BD3E02"/>
    <w:rsid w:val="00BF2F7E"/>
    <w:rsid w:val="00BF4B5B"/>
    <w:rsid w:val="00C06314"/>
    <w:rsid w:val="00C06BF3"/>
    <w:rsid w:val="00C23280"/>
    <w:rsid w:val="00C42BDC"/>
    <w:rsid w:val="00C5193C"/>
    <w:rsid w:val="00C71957"/>
    <w:rsid w:val="00C720E3"/>
    <w:rsid w:val="00CA2A55"/>
    <w:rsid w:val="00CB1E31"/>
    <w:rsid w:val="00CB67B1"/>
    <w:rsid w:val="00CE21E5"/>
    <w:rsid w:val="00CE3A4E"/>
    <w:rsid w:val="00D03A3C"/>
    <w:rsid w:val="00D45EF2"/>
    <w:rsid w:val="00D52947"/>
    <w:rsid w:val="00D9477F"/>
    <w:rsid w:val="00DA05F8"/>
    <w:rsid w:val="00DA59AA"/>
    <w:rsid w:val="00DC621E"/>
    <w:rsid w:val="00DD4B7E"/>
    <w:rsid w:val="00DF4D91"/>
    <w:rsid w:val="00E04B7D"/>
    <w:rsid w:val="00E05CA2"/>
    <w:rsid w:val="00E203F0"/>
    <w:rsid w:val="00E57476"/>
    <w:rsid w:val="00E7070D"/>
    <w:rsid w:val="00E75022"/>
    <w:rsid w:val="00E7610D"/>
    <w:rsid w:val="00E85004"/>
    <w:rsid w:val="00F03A6A"/>
    <w:rsid w:val="00F30453"/>
    <w:rsid w:val="00F62777"/>
    <w:rsid w:val="00F6443E"/>
    <w:rsid w:val="00F77481"/>
    <w:rsid w:val="00F90DFF"/>
    <w:rsid w:val="00F95FA7"/>
    <w:rsid w:val="00FA297F"/>
    <w:rsid w:val="00FA3C88"/>
    <w:rsid w:val="00FB2107"/>
    <w:rsid w:val="00FB62A4"/>
    <w:rsid w:val="00FC6295"/>
    <w:rsid w:val="00FE1C37"/>
    <w:rsid w:val="00FE56CB"/>
    <w:rsid w:val="3C880D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rFonts w:ascii="Segoe UI" w:hAnsi="Segoe UI" w:cs="Segoe UI"/>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character" w:styleId="a9">
    <w:name w:val="Hyperlink"/>
    <w:basedOn w:val="a0"/>
    <w:qFormat/>
    <w:rPr>
      <w:color w:val="0000FF" w:themeColor="hyperlink"/>
      <w:u w:val="single"/>
    </w:rPr>
  </w:style>
  <w:style w:type="character" w:styleId="aa">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Char0">
    <w:name w:val="批注框文本 Char"/>
    <w:basedOn w:val="a0"/>
    <w:link w:val="a4"/>
    <w:qFormat/>
    <w:rPr>
      <w:rFonts w:ascii="Segoe UI" w:hAnsi="Segoe UI" w:cs="Segoe UI"/>
      <w:sz w:val="18"/>
      <w:szCs w:val="18"/>
    </w:rPr>
  </w:style>
  <w:style w:type="paragraph" w:styleId="ab">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rFonts w:ascii="Segoe UI" w:hAnsi="Segoe UI" w:cs="Segoe UI"/>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character" w:styleId="a9">
    <w:name w:val="Hyperlink"/>
    <w:basedOn w:val="a0"/>
    <w:qFormat/>
    <w:rPr>
      <w:color w:val="0000FF" w:themeColor="hyperlink"/>
      <w:u w:val="single"/>
    </w:rPr>
  </w:style>
  <w:style w:type="character" w:styleId="aa">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Char0">
    <w:name w:val="批注框文本 Char"/>
    <w:basedOn w:val="a0"/>
    <w:link w:val="a4"/>
    <w:qFormat/>
    <w:rPr>
      <w:rFonts w:ascii="Segoe UI" w:hAnsi="Segoe UI" w:cs="Segoe UI"/>
      <w:sz w:val="18"/>
      <w:szCs w:val="18"/>
    </w:rPr>
  </w:style>
  <w:style w:type="paragraph" w:styleId="ab">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C475-4730-47E6-846B-27C4BFA2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4178</Words>
  <Characters>23820</Characters>
  <Application>Microsoft Office Word</Application>
  <DocSecurity>0</DocSecurity>
  <Lines>198</Lines>
  <Paragraphs>55</Paragraphs>
  <ScaleCrop>false</ScaleCrop>
  <Company>HP</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Khan</dc:creator>
  <cp:lastModifiedBy>HP</cp:lastModifiedBy>
  <cp:revision>34</cp:revision>
  <dcterms:created xsi:type="dcterms:W3CDTF">2023-09-05T21:25:00Z</dcterms:created>
  <dcterms:modified xsi:type="dcterms:W3CDTF">2024-01-15T02:54:00Z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C69FE1D3066046708F9A88DADF41F65F_12</vt:lpwstr>
  </property>
</Properties>
</file>