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AD5C"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rPr>
        <w:t xml:space="preserve">Name of Journal: </w:t>
      </w:r>
      <w:r w:rsidRPr="00B776D0">
        <w:rPr>
          <w:rFonts w:ascii="Book Antiqua" w:eastAsia="Book Antiqua" w:hAnsi="Book Antiqua" w:cs="Book Antiqua"/>
          <w:i/>
        </w:rPr>
        <w:t>World Journal of Diabetes</w:t>
      </w:r>
    </w:p>
    <w:p w14:paraId="46C85CDE"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rPr>
        <w:t xml:space="preserve">Manuscript NO: </w:t>
      </w:r>
      <w:r w:rsidRPr="00B776D0">
        <w:rPr>
          <w:rFonts w:ascii="Book Antiqua" w:eastAsia="Book Antiqua" w:hAnsi="Book Antiqua" w:cs="Book Antiqua"/>
        </w:rPr>
        <w:t>84857</w:t>
      </w:r>
    </w:p>
    <w:p w14:paraId="0F9F7E34"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rPr>
        <w:t xml:space="preserve">Manuscript Type: </w:t>
      </w:r>
      <w:r w:rsidRPr="00B776D0">
        <w:rPr>
          <w:rFonts w:ascii="Book Antiqua" w:eastAsia="Book Antiqua" w:hAnsi="Book Antiqua" w:cs="Book Antiqua"/>
        </w:rPr>
        <w:t>ORIGINAL ARTICLE</w:t>
      </w:r>
    </w:p>
    <w:p w14:paraId="74B9444A" w14:textId="77777777" w:rsidR="003B17A6" w:rsidRPr="00B776D0" w:rsidRDefault="003B17A6" w:rsidP="00B776D0">
      <w:pPr>
        <w:spacing w:line="360" w:lineRule="auto"/>
        <w:jc w:val="both"/>
        <w:rPr>
          <w:rFonts w:ascii="Book Antiqua" w:hAnsi="Book Antiqua"/>
        </w:rPr>
      </w:pPr>
    </w:p>
    <w:p w14:paraId="027DBBF4"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i/>
        </w:rPr>
        <w:t>Observational Study</w:t>
      </w:r>
    </w:p>
    <w:p w14:paraId="2CA036DD" w14:textId="42EBC238"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color w:val="000000"/>
        </w:rPr>
        <w:t>Effect</w:t>
      </w:r>
      <w:r w:rsidR="00CC2C57">
        <w:rPr>
          <w:rFonts w:ascii="Book Antiqua" w:eastAsia="Book Antiqua" w:hAnsi="Book Antiqua" w:cs="Book Antiqua"/>
          <w:b/>
          <w:bCs/>
          <w:color w:val="000000"/>
        </w:rPr>
        <w:t>s</w:t>
      </w:r>
      <w:r w:rsidRPr="00B776D0">
        <w:rPr>
          <w:rFonts w:ascii="Book Antiqua" w:eastAsia="Book Antiqua" w:hAnsi="Book Antiqua" w:cs="Book Antiqua"/>
          <w:b/>
          <w:bCs/>
          <w:color w:val="000000"/>
        </w:rPr>
        <w:t xml:space="preserve"> of glucagon-like peptide-1 receptor agonists on glucose excursion and inflammation in overweight or obese type 2 diabetic patients</w:t>
      </w:r>
    </w:p>
    <w:p w14:paraId="1965911C" w14:textId="77777777" w:rsidR="003B17A6" w:rsidRPr="00B776D0" w:rsidRDefault="003B17A6" w:rsidP="00B776D0">
      <w:pPr>
        <w:spacing w:line="360" w:lineRule="auto"/>
        <w:jc w:val="both"/>
        <w:rPr>
          <w:rFonts w:ascii="Book Antiqua" w:hAnsi="Book Antiqua"/>
        </w:rPr>
      </w:pPr>
    </w:p>
    <w:p w14:paraId="687C9AF6"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Huang XM </w:t>
      </w:r>
      <w:r w:rsidRPr="00B776D0">
        <w:rPr>
          <w:rFonts w:ascii="Book Antiqua" w:eastAsia="Book Antiqua" w:hAnsi="Book Antiqua" w:cs="Book Antiqua"/>
          <w:i/>
          <w:iCs/>
          <w:color w:val="000000"/>
        </w:rPr>
        <w:t>et al</w:t>
      </w:r>
      <w:r w:rsidRPr="00B776D0">
        <w:rPr>
          <w:rFonts w:ascii="Book Antiqua" w:eastAsia="Book Antiqua" w:hAnsi="Book Antiqua" w:cs="Book Antiqua"/>
          <w:color w:val="000000"/>
        </w:rPr>
        <w:t>. GLP-1RA controlled glucose excursion and inflammation</w:t>
      </w:r>
    </w:p>
    <w:p w14:paraId="0F51CDA0" w14:textId="77777777" w:rsidR="003B17A6" w:rsidRPr="00B776D0" w:rsidRDefault="003B17A6" w:rsidP="00B776D0">
      <w:pPr>
        <w:spacing w:line="360" w:lineRule="auto"/>
        <w:jc w:val="both"/>
        <w:rPr>
          <w:rFonts w:ascii="Book Antiqua" w:hAnsi="Book Antiqua"/>
        </w:rPr>
      </w:pPr>
    </w:p>
    <w:p w14:paraId="504A291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Xiao-Min Huang, Xing Zhong, Yi-Jun Du, Yan-Yun Guo, Tian-Rong Pan</w:t>
      </w:r>
    </w:p>
    <w:p w14:paraId="48168F59" w14:textId="77777777" w:rsidR="003B17A6" w:rsidRPr="00B776D0" w:rsidRDefault="003B17A6" w:rsidP="00B776D0">
      <w:pPr>
        <w:spacing w:line="360" w:lineRule="auto"/>
        <w:jc w:val="both"/>
        <w:rPr>
          <w:rFonts w:ascii="Book Antiqua" w:hAnsi="Book Antiqua"/>
        </w:rPr>
      </w:pPr>
    </w:p>
    <w:p w14:paraId="2486342F"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color w:val="000000"/>
        </w:rPr>
        <w:t xml:space="preserve">Xiao-Min Huang, Xing Zhong, Yi-Jun Du, Yan-Yun Guo, </w:t>
      </w:r>
      <w:r w:rsidRPr="00B776D0">
        <w:rPr>
          <w:rFonts w:ascii="Book Antiqua" w:eastAsia="Book Antiqua" w:hAnsi="Book Antiqua" w:cs="Book Antiqua"/>
          <w:color w:val="000000"/>
        </w:rPr>
        <w:t>Department of Endocrinology, The Second Affiliated Hospital of Anhui Medical University, Hefei 230601, Anhui Province, China</w:t>
      </w:r>
    </w:p>
    <w:p w14:paraId="4B8CA34D" w14:textId="77777777" w:rsidR="003B17A6" w:rsidRPr="00B776D0" w:rsidRDefault="003B17A6" w:rsidP="00B776D0">
      <w:pPr>
        <w:spacing w:line="360" w:lineRule="auto"/>
        <w:jc w:val="both"/>
        <w:rPr>
          <w:rFonts w:ascii="Book Antiqua" w:hAnsi="Book Antiqua"/>
        </w:rPr>
      </w:pPr>
    </w:p>
    <w:p w14:paraId="6D618B99"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color w:val="000000"/>
        </w:rPr>
        <w:t xml:space="preserve">Tian-Rong Pan, </w:t>
      </w:r>
      <w:r w:rsidRPr="00B776D0">
        <w:rPr>
          <w:rFonts w:ascii="Book Antiqua" w:eastAsia="Book Antiqua" w:hAnsi="Book Antiqua" w:cs="Book Antiqua"/>
          <w:color w:val="000000"/>
        </w:rPr>
        <w:t>Department of Endocrine, The Second Affiliated Hospital of Anhui Medical University, Hefei 230601, Anhui Province, China</w:t>
      </w:r>
    </w:p>
    <w:p w14:paraId="5235697D" w14:textId="77777777" w:rsidR="003B17A6" w:rsidRPr="00B776D0" w:rsidRDefault="003B17A6" w:rsidP="00B776D0">
      <w:pPr>
        <w:spacing w:line="360" w:lineRule="auto"/>
        <w:jc w:val="both"/>
        <w:rPr>
          <w:rFonts w:ascii="Book Antiqua" w:hAnsi="Book Antiqua"/>
        </w:rPr>
      </w:pPr>
    </w:p>
    <w:p w14:paraId="661CB274" w14:textId="1CF48093" w:rsidR="003B17A6" w:rsidRPr="00B776D0" w:rsidRDefault="00BA6ED0" w:rsidP="00B776D0">
      <w:pPr>
        <w:spacing w:line="360" w:lineRule="auto"/>
        <w:jc w:val="both"/>
        <w:rPr>
          <w:rFonts w:ascii="Book Antiqua" w:eastAsia="Book Antiqua" w:hAnsi="Book Antiqua" w:cs="Book Antiqua"/>
          <w:color w:val="000000"/>
        </w:rPr>
      </w:pPr>
      <w:r w:rsidRPr="00B776D0">
        <w:rPr>
          <w:rFonts w:ascii="Book Antiqua" w:eastAsia="Book Antiqua" w:hAnsi="Book Antiqua" w:cs="Book Antiqua"/>
          <w:b/>
          <w:bCs/>
          <w:color w:val="000000"/>
        </w:rPr>
        <w:t xml:space="preserve">Author contributions: </w:t>
      </w:r>
      <w:r w:rsidRPr="00B776D0">
        <w:rPr>
          <w:rFonts w:ascii="Book Antiqua" w:eastAsia="Book Antiqua" w:hAnsi="Book Antiqua" w:cs="Book Antiqua"/>
          <w:color w:val="000000"/>
        </w:rPr>
        <w:t>Pan TR took part in the study coordination; Huang XM took part in the study execution, data collection</w:t>
      </w:r>
      <w:r w:rsidR="00CC2C57">
        <w:rPr>
          <w:rFonts w:ascii="Book Antiqua" w:eastAsia="Book Antiqua" w:hAnsi="Book Antiqua" w:cs="Book Antiqua"/>
          <w:color w:val="000000"/>
        </w:rPr>
        <w:t>,</w:t>
      </w:r>
      <w:r w:rsidRPr="00B776D0">
        <w:rPr>
          <w:rFonts w:ascii="Book Antiqua" w:eastAsia="Book Antiqua" w:hAnsi="Book Antiqua" w:cs="Book Antiqua"/>
          <w:color w:val="000000"/>
        </w:rPr>
        <w:t xml:space="preserve"> and discussions; Zhong X, Du YJ, Guo YY, and Pan TR took part in the study design, supervision, and drafting of the manuscript; Zhong X, Du YJ, and Guo YY contributed to the data analys</w:t>
      </w:r>
      <w:r w:rsidR="00CC2C57">
        <w:rPr>
          <w:rFonts w:ascii="Book Antiqua" w:eastAsia="Book Antiqua" w:hAnsi="Book Antiqua" w:cs="Book Antiqua"/>
          <w:color w:val="000000"/>
        </w:rPr>
        <w:t>e</w:t>
      </w:r>
      <w:r w:rsidRPr="00B776D0">
        <w:rPr>
          <w:rFonts w:ascii="Book Antiqua" w:eastAsia="Book Antiqua" w:hAnsi="Book Antiqua" w:cs="Book Antiqua"/>
          <w:color w:val="000000"/>
        </w:rPr>
        <w:t>s.</w:t>
      </w:r>
    </w:p>
    <w:p w14:paraId="75F7085E" w14:textId="77777777" w:rsidR="003B17A6" w:rsidRPr="00B776D0" w:rsidRDefault="003B17A6" w:rsidP="00B776D0">
      <w:pPr>
        <w:spacing w:line="360" w:lineRule="auto"/>
        <w:jc w:val="both"/>
        <w:rPr>
          <w:rFonts w:ascii="Book Antiqua" w:eastAsia="Book Antiqua" w:hAnsi="Book Antiqua" w:cs="Book Antiqua"/>
          <w:color w:val="000000"/>
        </w:rPr>
      </w:pPr>
    </w:p>
    <w:p w14:paraId="2109047F" w14:textId="77777777" w:rsidR="003B17A6" w:rsidRPr="00B776D0" w:rsidRDefault="00BA6ED0" w:rsidP="00B776D0">
      <w:pPr>
        <w:spacing w:line="360" w:lineRule="auto"/>
        <w:jc w:val="both"/>
        <w:rPr>
          <w:rFonts w:ascii="Book Antiqua" w:eastAsia="Book Antiqua" w:hAnsi="Book Antiqua" w:cs="Book Antiqua"/>
          <w:color w:val="000000"/>
        </w:rPr>
      </w:pPr>
      <w:r w:rsidRPr="00B776D0">
        <w:rPr>
          <w:rFonts w:ascii="Book Antiqua" w:eastAsia="Book Antiqua" w:hAnsi="Book Antiqua" w:cs="Book Antiqua"/>
          <w:b/>
          <w:bCs/>
          <w:color w:val="000000"/>
        </w:rPr>
        <w:t xml:space="preserve">Supported by </w:t>
      </w:r>
      <w:r w:rsidRPr="00B776D0">
        <w:rPr>
          <w:rFonts w:ascii="Book Antiqua" w:eastAsia="Book Antiqua" w:hAnsi="Book Antiqua" w:cs="Book Antiqua"/>
          <w:color w:val="000000"/>
        </w:rPr>
        <w:t>the</w:t>
      </w:r>
      <w:r w:rsidR="001153E7" w:rsidRPr="00B776D0">
        <w:rPr>
          <w:rFonts w:ascii="Book Antiqua" w:eastAsia="Book Antiqua" w:hAnsi="Book Antiqua" w:cs="Book Antiqua"/>
          <w:color w:val="000000"/>
        </w:rPr>
        <w:t xml:space="preserve"> Clinical Research and Cultivation Plan Project of the Second Affiliated Hospital of Anhui Medical University</w:t>
      </w:r>
      <w:r w:rsidR="00B776D0" w:rsidRPr="00B776D0">
        <w:rPr>
          <w:rFonts w:ascii="Book Antiqua" w:eastAsia="Book Antiqua" w:hAnsi="Book Antiqua" w:cs="Book Antiqua"/>
          <w:color w:val="000000"/>
        </w:rPr>
        <w:t>,</w:t>
      </w:r>
      <w:r w:rsidR="001153E7" w:rsidRPr="00B776D0">
        <w:rPr>
          <w:rFonts w:ascii="Book Antiqua" w:eastAsia="Book Antiqua" w:hAnsi="Book Antiqua" w:cs="Book Antiqua"/>
          <w:color w:val="000000"/>
        </w:rPr>
        <w:t xml:space="preserve"> No. 2021LCYB17.</w:t>
      </w:r>
    </w:p>
    <w:p w14:paraId="71FE49D6" w14:textId="77777777" w:rsidR="003B17A6" w:rsidRPr="00B776D0" w:rsidRDefault="003B17A6" w:rsidP="00B776D0">
      <w:pPr>
        <w:spacing w:line="360" w:lineRule="auto"/>
        <w:jc w:val="both"/>
        <w:rPr>
          <w:rFonts w:ascii="Book Antiqua" w:hAnsi="Book Antiqua"/>
        </w:rPr>
      </w:pPr>
    </w:p>
    <w:p w14:paraId="43637E71"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color w:val="000000"/>
        </w:rPr>
        <w:t xml:space="preserve">Corresponding author: Tian-Rong Pan, MD, Chief Physician, </w:t>
      </w:r>
      <w:r w:rsidRPr="00B776D0">
        <w:rPr>
          <w:rFonts w:ascii="Book Antiqua" w:eastAsia="Book Antiqua" w:hAnsi="Book Antiqua" w:cs="Book Antiqua"/>
          <w:color w:val="000000"/>
        </w:rPr>
        <w:t xml:space="preserve">Department of Endocrine, The Second Affiliated Hospital of Anhui Medical University, No. 678 Furong </w:t>
      </w:r>
      <w:r w:rsidRPr="00B776D0">
        <w:rPr>
          <w:rFonts w:ascii="Book Antiqua" w:eastAsia="Book Antiqua" w:hAnsi="Book Antiqua" w:cs="Book Antiqua"/>
          <w:color w:val="000000"/>
        </w:rPr>
        <w:lastRenderedPageBreak/>
        <w:t>Road, Economic and Technological Development Zone, Hefei 230601, Anhui Province, China. ptr1968@163.com</w:t>
      </w:r>
    </w:p>
    <w:p w14:paraId="5AF69DE0" w14:textId="77777777" w:rsidR="003B17A6" w:rsidRPr="00B776D0" w:rsidRDefault="003B17A6" w:rsidP="00B776D0">
      <w:pPr>
        <w:spacing w:line="360" w:lineRule="auto"/>
        <w:jc w:val="both"/>
        <w:rPr>
          <w:rFonts w:ascii="Book Antiqua" w:hAnsi="Book Antiqua"/>
        </w:rPr>
      </w:pPr>
    </w:p>
    <w:p w14:paraId="421378A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 xml:space="preserve">Received: </w:t>
      </w:r>
      <w:r w:rsidRPr="00B776D0">
        <w:rPr>
          <w:rFonts w:ascii="Book Antiqua" w:eastAsia="Book Antiqua" w:hAnsi="Book Antiqua" w:cs="Book Antiqua"/>
        </w:rPr>
        <w:t>April 19, 2023</w:t>
      </w:r>
    </w:p>
    <w:p w14:paraId="0007CC07"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 xml:space="preserve">Revised: </w:t>
      </w:r>
      <w:r w:rsidRPr="00B776D0">
        <w:rPr>
          <w:rFonts w:ascii="Book Antiqua" w:eastAsia="Book Antiqua" w:hAnsi="Book Antiqua" w:cs="Book Antiqua"/>
        </w:rPr>
        <w:t>May 16, 2023</w:t>
      </w:r>
    </w:p>
    <w:p w14:paraId="462ACE9B"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 xml:space="preserve">Accepted: </w:t>
      </w:r>
      <w:r w:rsidR="00394CFD" w:rsidRPr="00394CFD">
        <w:rPr>
          <w:rFonts w:ascii="Book Antiqua" w:eastAsia="Book Antiqua" w:hAnsi="Book Antiqua" w:cs="Book Antiqua"/>
        </w:rPr>
        <w:t>June 21, 2023</w:t>
      </w:r>
    </w:p>
    <w:p w14:paraId="7344F4A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 xml:space="preserve">Published online: </w:t>
      </w:r>
    </w:p>
    <w:p w14:paraId="376A0102" w14:textId="77777777" w:rsidR="003B17A6" w:rsidRPr="00B776D0" w:rsidRDefault="003B17A6" w:rsidP="00B776D0">
      <w:pPr>
        <w:spacing w:line="360" w:lineRule="auto"/>
        <w:jc w:val="both"/>
        <w:rPr>
          <w:rFonts w:ascii="Book Antiqua" w:hAnsi="Book Antiqua"/>
        </w:rPr>
        <w:sectPr w:rsidR="003B17A6" w:rsidRPr="00B776D0">
          <w:footerReference w:type="default" r:id="rId6"/>
          <w:pgSz w:w="12240" w:h="15840"/>
          <w:pgMar w:top="1440" w:right="1440" w:bottom="1440" w:left="1440" w:header="720" w:footer="720" w:gutter="0"/>
          <w:cols w:space="720"/>
          <w:docGrid w:linePitch="360"/>
        </w:sectPr>
      </w:pPr>
    </w:p>
    <w:p w14:paraId="78B583DD"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lastRenderedPageBreak/>
        <w:t>Abstract</w:t>
      </w:r>
    </w:p>
    <w:p w14:paraId="6690A2D4"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BACKGROUND</w:t>
      </w:r>
    </w:p>
    <w:p w14:paraId="55C38E6F" w14:textId="616CC708"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Currently, the lack of comparative studies between weekly and daily formulations of glucagon-like peptide-1 receptor agonists (GLP-1RA</w:t>
      </w:r>
      <w:r w:rsidR="00CC2C57">
        <w:rPr>
          <w:rFonts w:ascii="Book Antiqua" w:eastAsia="Book Antiqua" w:hAnsi="Book Antiqua" w:cs="Book Antiqua"/>
        </w:rPr>
        <w:t>s</w:t>
      </w:r>
      <w:r w:rsidRPr="00B776D0">
        <w:rPr>
          <w:rFonts w:ascii="Book Antiqua" w:eastAsia="Book Antiqua" w:hAnsi="Book Antiqua" w:cs="Book Antiqua"/>
        </w:rPr>
        <w:t>) for glucose excursion is worth investigation.</w:t>
      </w:r>
    </w:p>
    <w:p w14:paraId="4A3C15FC" w14:textId="77777777" w:rsidR="003B17A6" w:rsidRPr="00B776D0" w:rsidRDefault="003B17A6" w:rsidP="00B776D0">
      <w:pPr>
        <w:spacing w:line="360" w:lineRule="auto"/>
        <w:jc w:val="both"/>
        <w:rPr>
          <w:rFonts w:ascii="Book Antiqua" w:hAnsi="Book Antiqua"/>
        </w:rPr>
      </w:pPr>
    </w:p>
    <w:p w14:paraId="7E244055"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AIM</w:t>
      </w:r>
    </w:p>
    <w:p w14:paraId="4FC4EA46"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To investigate the effects of weekly and daily formulations of GLP-1RA on glucose excursion and inflammation in overweight and obese patients with type 2 diabetes.</w:t>
      </w:r>
    </w:p>
    <w:p w14:paraId="505C60C3" w14:textId="77777777" w:rsidR="003B17A6" w:rsidRPr="00B776D0" w:rsidRDefault="003B17A6" w:rsidP="00B776D0">
      <w:pPr>
        <w:spacing w:line="360" w:lineRule="auto"/>
        <w:jc w:val="both"/>
        <w:rPr>
          <w:rFonts w:ascii="Book Antiqua" w:hAnsi="Book Antiqua"/>
        </w:rPr>
      </w:pPr>
    </w:p>
    <w:p w14:paraId="02F8F0CF"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METHODS</w:t>
      </w:r>
    </w:p>
    <w:p w14:paraId="233AF21E" w14:textId="251C6A54"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 xml:space="preserve">Seventy patients with type 2 diabetes mellitus who were treated at our hospital between January 2019 and January 2022 were enrolled in this retrospective analysis. All patients were treated with metformin. We evaluated changes in blood glucose levels and a series of important indicators in patients before and after treatment with either a weekly or daily preparation of GLP-1RA (group A; </w:t>
      </w:r>
      <w:r w:rsidRPr="00B776D0">
        <w:rPr>
          <w:rFonts w:ascii="Book Antiqua" w:eastAsia="Book Antiqua" w:hAnsi="Book Antiqua" w:cs="Book Antiqua"/>
          <w:i/>
          <w:iCs/>
        </w:rPr>
        <w:t>n</w:t>
      </w:r>
      <w:r w:rsidRPr="00B776D0">
        <w:rPr>
          <w:rFonts w:ascii="Book Antiqua" w:eastAsia="Book Antiqua" w:hAnsi="Book Antiqua" w:cs="Book Antiqua"/>
        </w:rPr>
        <w:t xml:space="preserve"> = 33 and group B; </w:t>
      </w:r>
      <w:r w:rsidRPr="00B776D0">
        <w:rPr>
          <w:rFonts w:ascii="Book Antiqua" w:eastAsia="Book Antiqua" w:hAnsi="Book Antiqua" w:cs="Book Antiqua"/>
          <w:i/>
          <w:iCs/>
        </w:rPr>
        <w:t>n</w:t>
      </w:r>
      <w:r w:rsidRPr="00B776D0">
        <w:rPr>
          <w:rFonts w:ascii="Book Antiqua" w:eastAsia="Book Antiqua" w:hAnsi="Book Antiqua" w:cs="Book Antiqua"/>
        </w:rPr>
        <w:t xml:space="preserve"> = 37).</w:t>
      </w:r>
    </w:p>
    <w:p w14:paraId="2767363B" w14:textId="77777777" w:rsidR="003B17A6" w:rsidRPr="00B776D0" w:rsidRDefault="003B17A6" w:rsidP="00B776D0">
      <w:pPr>
        <w:spacing w:line="360" w:lineRule="auto"/>
        <w:jc w:val="both"/>
        <w:rPr>
          <w:rFonts w:ascii="Book Antiqua" w:hAnsi="Book Antiqua"/>
        </w:rPr>
      </w:pPr>
    </w:p>
    <w:p w14:paraId="3D982AEF"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RESULTS</w:t>
      </w:r>
    </w:p>
    <w:p w14:paraId="11B3E0D4" w14:textId="4E27EBFC"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The degree of decrease in the levels of fasting blood glucose, mean blood glucose, mean amplitude of glycemic excursions, total cholesterol, triglycerides, tumor necrosis factor-α, interleukin-6, and high-sensitivity C-reactive protein after treatment in group A was higher than that in group B (</w:t>
      </w:r>
      <w:r w:rsidRPr="00B776D0">
        <w:rPr>
          <w:rFonts w:ascii="Book Antiqua" w:eastAsia="Book Antiqua" w:hAnsi="Book Antiqua" w:cs="Book Antiqua"/>
          <w:i/>
          <w:iCs/>
        </w:rPr>
        <w:t>P</w:t>
      </w:r>
      <w:r w:rsidRPr="00B776D0">
        <w:rPr>
          <w:rFonts w:ascii="Book Antiqua" w:eastAsia="Book Antiqua" w:hAnsi="Book Antiqua" w:cs="Book Antiqua"/>
        </w:rPr>
        <w:t xml:space="preserve"> &lt; 0.05), whereas the 2</w:t>
      </w:r>
      <w:r w:rsidR="00C36034">
        <w:rPr>
          <w:rFonts w:ascii="Book Antiqua" w:eastAsia="Book Antiqua" w:hAnsi="Book Antiqua" w:cs="Book Antiqua"/>
        </w:rPr>
        <w:t>-</w:t>
      </w:r>
      <w:r w:rsidRPr="00B776D0">
        <w:rPr>
          <w:rFonts w:ascii="Book Antiqua" w:eastAsia="Book Antiqua" w:hAnsi="Book Antiqua" w:cs="Book Antiqua"/>
        </w:rPr>
        <w:t>h postprandial blood glucose levels decreased more so in group B than in group A (</w:t>
      </w:r>
      <w:r w:rsidRPr="00B776D0">
        <w:rPr>
          <w:rFonts w:ascii="Book Antiqua" w:eastAsia="Book Antiqua" w:hAnsi="Book Antiqua" w:cs="Book Antiqua"/>
          <w:i/>
          <w:iCs/>
        </w:rPr>
        <w:t>P</w:t>
      </w:r>
      <w:r w:rsidRPr="00B776D0">
        <w:rPr>
          <w:rFonts w:ascii="Book Antiqua" w:eastAsia="Book Antiqua" w:hAnsi="Book Antiqua" w:cs="Book Antiqua"/>
        </w:rPr>
        <w:t xml:space="preserve"> &lt; 0.001). However, there were no statistically significant differences in the levels of glycated hemoglobin, standard deviation of blood glucose, coefficient of variation, absolute mean of daily differences, percentage of time with 3.9 mmol/L &lt; glucose &lt; 10 mmol/L, and high- and low-density lipoproteins between the two groups (</w:t>
      </w:r>
      <w:r w:rsidRPr="00B776D0">
        <w:rPr>
          <w:rFonts w:ascii="Book Antiqua" w:eastAsia="Book Antiqua" w:hAnsi="Book Antiqua" w:cs="Book Antiqua"/>
          <w:i/>
          <w:iCs/>
        </w:rPr>
        <w:t>P</w:t>
      </w:r>
      <w:r w:rsidRPr="00B776D0">
        <w:rPr>
          <w:rFonts w:ascii="Book Antiqua" w:eastAsia="Book Antiqua" w:hAnsi="Book Antiqua" w:cs="Book Antiqua"/>
        </w:rPr>
        <w:t xml:space="preserve"> &gt; 0.05). The incidence of adverse reactions was significantly lower in group A than in group B (</w:t>
      </w:r>
      <w:r w:rsidRPr="00B776D0">
        <w:rPr>
          <w:rFonts w:ascii="Book Antiqua" w:eastAsia="Book Antiqua" w:hAnsi="Book Antiqua" w:cs="Book Antiqua"/>
          <w:i/>
          <w:iCs/>
        </w:rPr>
        <w:t>P</w:t>
      </w:r>
      <w:r w:rsidRPr="00B776D0">
        <w:rPr>
          <w:rFonts w:ascii="Book Antiqua" w:eastAsia="Book Antiqua" w:hAnsi="Book Antiqua" w:cs="Book Antiqua"/>
        </w:rPr>
        <w:t xml:space="preserve"> &lt; 0.05).</w:t>
      </w:r>
    </w:p>
    <w:p w14:paraId="3CC4DBDD" w14:textId="77777777" w:rsidR="003B17A6" w:rsidRPr="00B776D0" w:rsidRDefault="003B17A6" w:rsidP="00B776D0">
      <w:pPr>
        <w:spacing w:line="360" w:lineRule="auto"/>
        <w:jc w:val="both"/>
        <w:rPr>
          <w:rFonts w:ascii="Book Antiqua" w:hAnsi="Book Antiqua"/>
        </w:rPr>
      </w:pPr>
    </w:p>
    <w:p w14:paraId="673385A0"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CONCLUSION</w:t>
      </w:r>
    </w:p>
    <w:p w14:paraId="3E9A2AE2"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lastRenderedPageBreak/>
        <w:t>The effect of the weekly preparation of GLP-1RA in controlling blood glucose levels in the patients, suppressing inflammation, and reducing adverse reactions was significantly higher than that of the daily preparations, which is worthy of clinical promotion.</w:t>
      </w:r>
    </w:p>
    <w:p w14:paraId="3B6BFF30" w14:textId="77777777" w:rsidR="003B17A6" w:rsidRPr="00B776D0" w:rsidRDefault="003B17A6" w:rsidP="00B776D0">
      <w:pPr>
        <w:spacing w:line="360" w:lineRule="auto"/>
        <w:jc w:val="both"/>
        <w:rPr>
          <w:rFonts w:ascii="Book Antiqua" w:hAnsi="Book Antiqua"/>
        </w:rPr>
      </w:pPr>
    </w:p>
    <w:p w14:paraId="39299B2C"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 xml:space="preserve">Key Words: </w:t>
      </w:r>
      <w:r w:rsidRPr="00B776D0">
        <w:rPr>
          <w:rFonts w:ascii="Book Antiqua" w:eastAsia="Book Antiqua" w:hAnsi="Book Antiqua" w:cs="Book Antiqua"/>
        </w:rPr>
        <w:t>Glucagon-like peptide-1 receptor agonists; Weekly preparation; Daily preparation; Overweight or obese; Type 2 diabetes mellitus; Glucose excursion; Inflammation</w:t>
      </w:r>
    </w:p>
    <w:p w14:paraId="0C32AC72" w14:textId="77777777" w:rsidR="003B17A6" w:rsidRPr="00B776D0" w:rsidRDefault="003B17A6" w:rsidP="00B776D0">
      <w:pPr>
        <w:spacing w:line="360" w:lineRule="auto"/>
        <w:jc w:val="both"/>
        <w:rPr>
          <w:rFonts w:ascii="Book Antiqua" w:hAnsi="Book Antiqua"/>
        </w:rPr>
      </w:pPr>
    </w:p>
    <w:p w14:paraId="0F0E5381" w14:textId="74F0B1BA" w:rsidR="003B17A6" w:rsidRPr="00B776D0" w:rsidRDefault="00BA6ED0" w:rsidP="00B776D0">
      <w:pPr>
        <w:spacing w:line="360" w:lineRule="auto"/>
        <w:jc w:val="both"/>
        <w:rPr>
          <w:rFonts w:ascii="Book Antiqua" w:eastAsia="Book Antiqua" w:hAnsi="Book Antiqua" w:cs="Book Antiqua"/>
        </w:rPr>
      </w:pPr>
      <w:r w:rsidRPr="00B776D0">
        <w:rPr>
          <w:rFonts w:ascii="Book Antiqua" w:eastAsia="Book Antiqua" w:hAnsi="Book Antiqua" w:cs="Book Antiqua"/>
        </w:rPr>
        <w:t>Huang XM, Zhong X, Du YJ, Guo YY, Pan TR. Effect</w:t>
      </w:r>
      <w:r w:rsidR="002A2ED4">
        <w:rPr>
          <w:rFonts w:ascii="Book Antiqua" w:eastAsia="Book Antiqua" w:hAnsi="Book Antiqua" w:cs="Book Antiqua"/>
        </w:rPr>
        <w:t>s</w:t>
      </w:r>
      <w:r w:rsidRPr="00B776D0">
        <w:rPr>
          <w:rFonts w:ascii="Book Antiqua" w:eastAsia="Book Antiqua" w:hAnsi="Book Antiqua" w:cs="Book Antiqua"/>
        </w:rPr>
        <w:t xml:space="preserve"> of glucagon-like peptide-1 receptor agonists on glucose excursion and inflammation in overweight or obese type 2 diabetic patients. </w:t>
      </w:r>
      <w:r w:rsidRPr="00B776D0">
        <w:rPr>
          <w:rFonts w:ascii="Book Antiqua" w:eastAsia="Book Antiqua" w:hAnsi="Book Antiqua" w:cs="Book Antiqua"/>
          <w:i/>
          <w:iCs/>
        </w:rPr>
        <w:t>World J Diabetes</w:t>
      </w:r>
      <w:r w:rsidRPr="00B776D0">
        <w:rPr>
          <w:rFonts w:ascii="Book Antiqua" w:eastAsia="Book Antiqua" w:hAnsi="Book Antiqua" w:cs="Book Antiqua"/>
        </w:rPr>
        <w:t xml:space="preserve"> 2023; In press</w:t>
      </w:r>
    </w:p>
    <w:p w14:paraId="33A63748" w14:textId="77777777" w:rsidR="00B776D0" w:rsidRPr="00B776D0" w:rsidRDefault="00B776D0" w:rsidP="00B776D0">
      <w:pPr>
        <w:spacing w:line="360" w:lineRule="auto"/>
        <w:jc w:val="both"/>
        <w:rPr>
          <w:rFonts w:ascii="Book Antiqua" w:eastAsia="Book Antiqua" w:hAnsi="Book Antiqua" w:cs="Book Antiqua"/>
        </w:rPr>
      </w:pPr>
    </w:p>
    <w:p w14:paraId="0AA3A093" w14:textId="320566BF"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 xml:space="preserve">Core Tip: </w:t>
      </w:r>
      <w:r w:rsidRPr="00B776D0">
        <w:rPr>
          <w:rFonts w:ascii="Book Antiqua" w:eastAsia="Book Antiqua" w:hAnsi="Book Antiqua" w:cs="Book Antiqua"/>
        </w:rPr>
        <w:t xml:space="preserve">Weekly formulation of </w:t>
      </w:r>
      <w:r w:rsidR="00B776D0" w:rsidRPr="00B776D0">
        <w:rPr>
          <w:rFonts w:ascii="Book Antiqua" w:eastAsia="Book Antiqua" w:hAnsi="Book Antiqua" w:cs="Book Antiqua"/>
        </w:rPr>
        <w:t>glucagon-like peptide-1 receptor agonists (GLP-1RA</w:t>
      </w:r>
      <w:r w:rsidR="002A2ED4">
        <w:rPr>
          <w:rFonts w:ascii="Book Antiqua" w:eastAsia="Book Antiqua" w:hAnsi="Book Antiqua" w:cs="Book Antiqua"/>
        </w:rPr>
        <w:t>s</w:t>
      </w:r>
      <w:r w:rsidR="00B776D0" w:rsidRPr="00B776D0">
        <w:rPr>
          <w:rFonts w:ascii="Book Antiqua" w:eastAsia="Book Antiqua" w:hAnsi="Book Antiqua" w:cs="Book Antiqua"/>
        </w:rPr>
        <w:t>)</w:t>
      </w:r>
      <w:r w:rsidRPr="00B776D0">
        <w:rPr>
          <w:rFonts w:ascii="Book Antiqua" w:eastAsia="Book Antiqua" w:hAnsi="Book Antiqua" w:cs="Book Antiqua"/>
        </w:rPr>
        <w:t xml:space="preserve"> </w:t>
      </w:r>
      <w:r w:rsidR="00B776D0" w:rsidRPr="00B776D0">
        <w:rPr>
          <w:rFonts w:ascii="Book Antiqua" w:eastAsia="Book Antiqua" w:hAnsi="Book Antiqua" w:cs="Book Antiqua"/>
        </w:rPr>
        <w:t xml:space="preserve">exhibited </w:t>
      </w:r>
      <w:r w:rsidRPr="00B776D0">
        <w:rPr>
          <w:rFonts w:ascii="Book Antiqua" w:eastAsia="Book Antiqua" w:hAnsi="Book Antiqua" w:cs="Book Antiqua"/>
        </w:rPr>
        <w:t xml:space="preserve">superior efficacy in treating obese patients with </w:t>
      </w:r>
      <w:r w:rsidR="00B776D0" w:rsidRPr="00B776D0">
        <w:rPr>
          <w:rFonts w:ascii="Book Antiqua" w:eastAsia="Book Antiqua" w:hAnsi="Book Antiqua" w:cs="Book Antiqua"/>
          <w:color w:val="000000"/>
        </w:rPr>
        <w:t>type 2 diabetes mellitus</w:t>
      </w:r>
      <w:r w:rsidRPr="00B776D0">
        <w:rPr>
          <w:rFonts w:ascii="Book Antiqua" w:eastAsia="Book Antiqua" w:hAnsi="Book Antiqua" w:cs="Book Antiqua"/>
        </w:rPr>
        <w:t xml:space="preserve"> compared to the daily formulation. It effectively controls blood glucose levels, </w:t>
      </w:r>
      <w:r w:rsidR="00EB75A7" w:rsidRPr="00B776D0">
        <w:rPr>
          <w:rFonts w:ascii="Book Antiqua" w:eastAsia="Book Antiqua" w:hAnsi="Book Antiqua" w:cs="Book Antiqua"/>
        </w:rPr>
        <w:t>better regulate</w:t>
      </w:r>
      <w:r w:rsidR="002A2ED4">
        <w:rPr>
          <w:rFonts w:ascii="Book Antiqua" w:eastAsia="Book Antiqua" w:hAnsi="Book Antiqua" w:cs="Book Antiqua"/>
        </w:rPr>
        <w:t>s</w:t>
      </w:r>
      <w:r w:rsidR="00EB75A7" w:rsidRPr="00B776D0">
        <w:rPr>
          <w:rFonts w:ascii="Book Antiqua" w:eastAsia="Book Antiqua" w:hAnsi="Book Antiqua" w:cs="Book Antiqua"/>
        </w:rPr>
        <w:t xml:space="preserve"> blood lipids, inhibit</w:t>
      </w:r>
      <w:r w:rsidR="002A2ED4">
        <w:rPr>
          <w:rFonts w:ascii="Book Antiqua" w:eastAsia="Book Antiqua" w:hAnsi="Book Antiqua" w:cs="Book Antiqua"/>
        </w:rPr>
        <w:t>s</w:t>
      </w:r>
      <w:r w:rsidR="00EB75A7" w:rsidRPr="00B776D0">
        <w:rPr>
          <w:rFonts w:ascii="Book Antiqua" w:eastAsia="Book Antiqua" w:hAnsi="Book Antiqua" w:cs="Book Antiqua"/>
        </w:rPr>
        <w:t xml:space="preserve"> inflammatory reactions, and reduce</w:t>
      </w:r>
      <w:r w:rsidR="002A2ED4">
        <w:rPr>
          <w:rFonts w:ascii="Book Antiqua" w:eastAsia="Book Antiqua" w:hAnsi="Book Antiqua" w:cs="Book Antiqua"/>
        </w:rPr>
        <w:t>s</w:t>
      </w:r>
      <w:r w:rsidR="00EB75A7" w:rsidRPr="00B776D0">
        <w:rPr>
          <w:rFonts w:ascii="Book Antiqua" w:eastAsia="Book Antiqua" w:hAnsi="Book Antiqua" w:cs="Book Antiqua"/>
        </w:rPr>
        <w:t xml:space="preserve"> adverse reactions. </w:t>
      </w:r>
      <w:r w:rsidRPr="00B776D0">
        <w:rPr>
          <w:rFonts w:ascii="Book Antiqua" w:eastAsia="Book Antiqua" w:hAnsi="Book Antiqua" w:cs="Book Antiqua"/>
        </w:rPr>
        <w:t>Therefore, the weekly formulation of GLP-1RA is a promising treatment option worthy of clinical promotion.</w:t>
      </w:r>
    </w:p>
    <w:p w14:paraId="4253CB98" w14:textId="77777777" w:rsidR="003B17A6" w:rsidRPr="00B776D0" w:rsidRDefault="003B17A6" w:rsidP="00B776D0">
      <w:pPr>
        <w:spacing w:line="360" w:lineRule="auto"/>
        <w:jc w:val="both"/>
        <w:rPr>
          <w:rFonts w:ascii="Book Antiqua" w:hAnsi="Book Antiqua"/>
        </w:rPr>
      </w:pPr>
    </w:p>
    <w:p w14:paraId="23B655CB"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aps/>
          <w:color w:val="000000"/>
          <w:u w:val="single"/>
        </w:rPr>
        <w:t>INTRODUCTION</w:t>
      </w:r>
    </w:p>
    <w:p w14:paraId="250622D7"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The prevalence of diabetes is increasing worldwide, with nearly 500 million people living with diabetes and is expected to increase by 25% by 2030 and 51% by 2045</w:t>
      </w:r>
      <w:r w:rsidRPr="00B776D0">
        <w:rPr>
          <w:rFonts w:ascii="Book Antiqua" w:eastAsia="Book Antiqua" w:hAnsi="Book Antiqua" w:cs="Book Antiqua"/>
          <w:color w:val="000000"/>
          <w:vertAlign w:val="superscript"/>
        </w:rPr>
        <w:t>[1]</w:t>
      </w:r>
      <w:r w:rsidRPr="00B776D0">
        <w:rPr>
          <w:rFonts w:ascii="Book Antiqua" w:eastAsia="Book Antiqua" w:hAnsi="Book Antiqua" w:cs="Book Antiqua"/>
          <w:color w:val="000000"/>
        </w:rPr>
        <w:t>. Currently, the prevalence of diabetes in China is as high as 11.2% and patients with type 2 diabetes mellitus (T2DM) account for &gt; 90% of the population. However, the awareness rate (36.5%), treatment rate (32.2%), and control rate (49.2%) of diabetes are low, and the prevalence of diabetes in obese and overweight individuals has increased dramatically; therefore, standardized diagnosis and treatment of the disease is vital</w:t>
      </w:r>
      <w:r w:rsidRPr="00B776D0">
        <w:rPr>
          <w:rFonts w:ascii="Book Antiqua" w:eastAsia="Book Antiqua" w:hAnsi="Book Antiqua" w:cs="Book Antiqua"/>
          <w:color w:val="000000"/>
          <w:vertAlign w:val="superscript"/>
        </w:rPr>
        <w:t>[2]</w:t>
      </w:r>
      <w:r w:rsidRPr="00B776D0">
        <w:rPr>
          <w:rFonts w:ascii="Book Antiqua" w:eastAsia="Book Antiqua" w:hAnsi="Book Antiqua" w:cs="Book Antiqua"/>
          <w:color w:val="000000"/>
        </w:rPr>
        <w:t xml:space="preserve">. Glucose excursion has become a new and important indicator for assessing glycemic control in treating diabetes. Numerous studies have confirmed that the occurrence and development of chronic complications of diabetes are not only related to overall blood </w:t>
      </w:r>
      <w:r w:rsidRPr="00B776D0">
        <w:rPr>
          <w:rFonts w:ascii="Book Antiqua" w:eastAsia="Book Antiqua" w:hAnsi="Book Antiqua" w:cs="Book Antiqua"/>
          <w:color w:val="000000"/>
        </w:rPr>
        <w:lastRenderedPageBreak/>
        <w:t>glucose levels but also more closely associated with glycemic fluctuations, which are independent risk factors for chronic complications of diabetes</w:t>
      </w:r>
      <w:r w:rsidRPr="00B776D0">
        <w:rPr>
          <w:rFonts w:ascii="Book Antiqua" w:eastAsia="Book Antiqua" w:hAnsi="Book Antiqua" w:cs="Book Antiqua"/>
          <w:color w:val="000000"/>
          <w:vertAlign w:val="superscript"/>
        </w:rPr>
        <w:t>[3]</w:t>
      </w:r>
      <w:r w:rsidRPr="00B776D0">
        <w:rPr>
          <w:rFonts w:ascii="Book Antiqua" w:eastAsia="Book Antiqua" w:hAnsi="Book Antiqua" w:cs="Book Antiqua"/>
          <w:color w:val="000000"/>
        </w:rPr>
        <w:t>. Continuous glucose monitoring systems can monitor blood glucose fluctuations continuously for 24 h, detect nocturnal asymptomatic hypoglycemia and postprandial hyperglycemic states that are easily overlooked by self-glucose monitoring, and accurately assess fluctuating changes in blood glucose in diabetic patients</w:t>
      </w:r>
      <w:r w:rsidRPr="00B776D0">
        <w:rPr>
          <w:rFonts w:ascii="Book Antiqua" w:eastAsia="Book Antiqua" w:hAnsi="Book Antiqua" w:cs="Book Antiqua"/>
          <w:color w:val="000000"/>
          <w:vertAlign w:val="superscript"/>
        </w:rPr>
        <w:t>[4]</w:t>
      </w:r>
      <w:r w:rsidRPr="00B776D0">
        <w:rPr>
          <w:rFonts w:ascii="Book Antiqua" w:eastAsia="Book Antiqua" w:hAnsi="Book Antiqua" w:cs="Book Antiqua"/>
          <w:color w:val="000000"/>
        </w:rPr>
        <w:t>.</w:t>
      </w:r>
    </w:p>
    <w:p w14:paraId="777360A1" w14:textId="38DC0B2C"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t>Glucagon-like peptide-1 receptor agonists (GLP-1RA</w:t>
      </w:r>
      <w:r w:rsidR="002A2ED4">
        <w:rPr>
          <w:rFonts w:ascii="Book Antiqua" w:eastAsia="Book Antiqua" w:hAnsi="Book Antiqua" w:cs="Book Antiqua"/>
          <w:color w:val="000000"/>
        </w:rPr>
        <w:t>s</w:t>
      </w:r>
      <w:r w:rsidRPr="00B776D0">
        <w:rPr>
          <w:rFonts w:ascii="Book Antiqua" w:eastAsia="Book Antiqua" w:hAnsi="Book Antiqua" w:cs="Book Antiqua"/>
          <w:color w:val="000000"/>
        </w:rPr>
        <w:t>) have received much attention because of their unique glucose-lowering mechanisms, which mainly include a glucose concentration-dependent approach to promote insulin release, inhibit glucagon secretion, protect β-cells to increase their numbers, reduce hepatic glucose output, suppress appetite to increase satiety, and delay gastric emptying and gastrointestinal motility to lower blood glucose levels and reduce body weight</w:t>
      </w:r>
      <w:r w:rsidRPr="00B776D0">
        <w:rPr>
          <w:rFonts w:ascii="Book Antiqua" w:eastAsia="Book Antiqua" w:hAnsi="Book Antiqua" w:cs="Book Antiqua"/>
          <w:color w:val="000000"/>
          <w:vertAlign w:val="superscript"/>
        </w:rPr>
        <w:t>[5-7]</w:t>
      </w:r>
      <w:r w:rsidRPr="00B776D0">
        <w:rPr>
          <w:rFonts w:ascii="Book Antiqua" w:eastAsia="Book Antiqua" w:hAnsi="Book Antiqua" w:cs="Book Antiqua"/>
          <w:color w:val="000000"/>
        </w:rPr>
        <w:t>. In addition to these mechanisms, the role of GLP-1RA</w:t>
      </w:r>
      <w:r w:rsidR="002A2ED4">
        <w:rPr>
          <w:rFonts w:ascii="Book Antiqua" w:eastAsia="Book Antiqua" w:hAnsi="Book Antiqua" w:cs="Book Antiqua"/>
          <w:color w:val="000000"/>
        </w:rPr>
        <w:t>s</w:t>
      </w:r>
      <w:r w:rsidRPr="00B776D0">
        <w:rPr>
          <w:rFonts w:ascii="Book Antiqua" w:eastAsia="Book Antiqua" w:hAnsi="Book Antiqua" w:cs="Book Antiqua"/>
          <w:color w:val="000000"/>
        </w:rPr>
        <w:t xml:space="preserve"> in suppressing inflammation is currently receiving widespread attention. Diabetes mellitus is a complex chronic metabolic disease that requires continuous medical management with glycemic control along with multifactorial risk reduction strategies (</w:t>
      </w:r>
      <w:r w:rsidRPr="00B776D0">
        <w:rPr>
          <w:rFonts w:ascii="Book Antiqua" w:eastAsia="Book Antiqua" w:hAnsi="Book Antiqua" w:cs="Book Antiqua"/>
          <w:i/>
          <w:iCs/>
          <w:color w:val="000000"/>
        </w:rPr>
        <w:t>e.g.,</w:t>
      </w:r>
      <w:r w:rsidRPr="00B776D0">
        <w:rPr>
          <w:rFonts w:ascii="Book Antiqua" w:eastAsia="Book Antiqua" w:hAnsi="Book Antiqua" w:cs="Book Antiqua"/>
          <w:color w:val="000000"/>
        </w:rPr>
        <w:t xml:space="preserve"> blood pressure, lipid, and weight control)</w:t>
      </w:r>
      <w:r w:rsidRPr="00B776D0">
        <w:rPr>
          <w:rFonts w:ascii="Book Antiqua" w:eastAsia="Book Antiqua" w:hAnsi="Book Antiqua" w:cs="Book Antiqua"/>
          <w:color w:val="000000"/>
          <w:vertAlign w:val="superscript"/>
        </w:rPr>
        <w:t>[8,9]</w:t>
      </w:r>
      <w:r w:rsidRPr="00B776D0">
        <w:rPr>
          <w:rFonts w:ascii="Book Antiqua" w:eastAsia="Book Antiqua" w:hAnsi="Book Antiqua" w:cs="Book Antiqua"/>
          <w:color w:val="000000"/>
        </w:rPr>
        <w:t>.</w:t>
      </w:r>
    </w:p>
    <w:p w14:paraId="204EE81E" w14:textId="2CA2DC9E"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t xml:space="preserve">GLP-1RA is another injectable agent other than insulin in the treatment of T2DM, which is divided into two categories: </w:t>
      </w:r>
      <w:r w:rsidR="002A2ED4">
        <w:rPr>
          <w:rFonts w:ascii="Book Antiqua" w:eastAsia="Book Antiqua" w:hAnsi="Book Antiqua" w:cs="Book Antiqua"/>
          <w:color w:val="000000"/>
        </w:rPr>
        <w:t>d</w:t>
      </w:r>
      <w:r w:rsidRPr="00B776D0">
        <w:rPr>
          <w:rFonts w:ascii="Book Antiqua" w:eastAsia="Book Antiqua" w:hAnsi="Book Antiqua" w:cs="Book Antiqua"/>
          <w:color w:val="000000"/>
        </w:rPr>
        <w:t xml:space="preserve">aily and long-acting weekly agents according to the duration of action, among which the clinical use of weekly agents greatly reduces the number of injections and increases patient compliance, which is one of the important factors for long-term glycemic control in diabetic </w:t>
      </w:r>
      <w:proofErr w:type="gramStart"/>
      <w:r w:rsidRPr="00B776D0">
        <w:rPr>
          <w:rFonts w:ascii="Book Antiqua" w:eastAsia="Book Antiqua" w:hAnsi="Book Antiqua" w:cs="Book Antiqua"/>
          <w:color w:val="000000"/>
        </w:rPr>
        <w:t>patients</w:t>
      </w:r>
      <w:r w:rsidRPr="00B776D0">
        <w:rPr>
          <w:rFonts w:ascii="Book Antiqua" w:eastAsia="Book Antiqua" w:hAnsi="Book Antiqua" w:cs="Book Antiqua"/>
          <w:color w:val="000000"/>
          <w:vertAlign w:val="superscript"/>
        </w:rPr>
        <w:t>[</w:t>
      </w:r>
      <w:proofErr w:type="gramEnd"/>
      <w:r w:rsidRPr="00B776D0">
        <w:rPr>
          <w:rFonts w:ascii="Book Antiqua" w:eastAsia="Book Antiqua" w:hAnsi="Book Antiqua" w:cs="Book Antiqua"/>
          <w:color w:val="000000"/>
          <w:vertAlign w:val="superscript"/>
        </w:rPr>
        <w:t>10]</w:t>
      </w:r>
      <w:r w:rsidRPr="00B776D0">
        <w:rPr>
          <w:rFonts w:ascii="Book Antiqua" w:eastAsia="Book Antiqua" w:hAnsi="Book Antiqua" w:cs="Book Antiqua"/>
          <w:color w:val="000000"/>
        </w:rPr>
        <w:t>. The weekly formulation has good prospects for clinical application as a once-weekly injection regimen. The current lack of comparative studies between weekly and daily formulations of GLP-1RA</w:t>
      </w:r>
      <w:r w:rsidR="002A2ED4">
        <w:rPr>
          <w:rFonts w:ascii="Book Antiqua" w:eastAsia="Book Antiqua" w:hAnsi="Book Antiqua" w:cs="Book Antiqua"/>
          <w:color w:val="000000"/>
        </w:rPr>
        <w:t>s</w:t>
      </w:r>
      <w:r w:rsidRPr="00B776D0">
        <w:rPr>
          <w:rFonts w:ascii="Book Antiqua" w:eastAsia="Book Antiqua" w:hAnsi="Book Antiqua" w:cs="Book Antiqua"/>
          <w:color w:val="000000"/>
        </w:rPr>
        <w:t xml:space="preserve"> on glucose excursion is worth in-depth exploration, especially for providing a new avenue for improving patient compliance and glycemic control in clinical treatment.</w:t>
      </w:r>
    </w:p>
    <w:p w14:paraId="0E2B8278" w14:textId="77777777" w:rsidR="003B17A6" w:rsidRPr="00B776D0" w:rsidRDefault="003B17A6" w:rsidP="00B776D0">
      <w:pPr>
        <w:spacing w:line="360" w:lineRule="auto"/>
        <w:jc w:val="both"/>
        <w:rPr>
          <w:rFonts w:ascii="Book Antiqua" w:hAnsi="Book Antiqua"/>
        </w:rPr>
      </w:pPr>
    </w:p>
    <w:p w14:paraId="3638F895"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aps/>
          <w:color w:val="000000"/>
          <w:u w:val="single"/>
        </w:rPr>
        <w:t>MATERIALS AND METHODS</w:t>
      </w:r>
    </w:p>
    <w:p w14:paraId="42A52E71"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Clinical data</w:t>
      </w:r>
    </w:p>
    <w:p w14:paraId="55F3755F" w14:textId="7EF66E24"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Seventy patients with T2DM who were treated at our hospital between January 2019 and January 2022 were enrolled in this retrospective analysis. All patients were treated with </w:t>
      </w:r>
      <w:r w:rsidRPr="00B776D0">
        <w:rPr>
          <w:rFonts w:ascii="Book Antiqua" w:eastAsia="Book Antiqua" w:hAnsi="Book Antiqua" w:cs="Book Antiqua"/>
          <w:color w:val="000000"/>
        </w:rPr>
        <w:lastRenderedPageBreak/>
        <w:t xml:space="preserve">metformin. Specifically, patients were treated with either a weekly or daily preparation of GLP-1RA (group A; </w:t>
      </w:r>
      <w:r w:rsidRPr="00B776D0">
        <w:rPr>
          <w:rFonts w:ascii="Book Antiqua" w:eastAsia="Book Antiqua" w:hAnsi="Book Antiqua" w:cs="Book Antiqua"/>
          <w:i/>
          <w:iCs/>
          <w:color w:val="000000"/>
        </w:rPr>
        <w:t>n</w:t>
      </w:r>
      <w:r w:rsidRPr="00B776D0">
        <w:rPr>
          <w:rFonts w:ascii="Book Antiqua" w:eastAsia="Book Antiqua" w:hAnsi="Book Antiqua" w:cs="Book Antiqua"/>
          <w:color w:val="000000"/>
        </w:rPr>
        <w:t xml:space="preserve"> = 33 and group B; </w:t>
      </w:r>
      <w:r w:rsidRPr="00B776D0">
        <w:rPr>
          <w:rFonts w:ascii="Book Antiqua" w:eastAsia="Book Antiqua" w:hAnsi="Book Antiqua" w:cs="Book Antiqua"/>
          <w:i/>
          <w:iCs/>
          <w:color w:val="000000"/>
        </w:rPr>
        <w:t>n</w:t>
      </w:r>
      <w:r w:rsidRPr="00B776D0">
        <w:rPr>
          <w:rFonts w:ascii="Book Antiqua" w:eastAsia="Book Antiqua" w:hAnsi="Book Antiqua" w:cs="Book Antiqua"/>
          <w:color w:val="000000"/>
        </w:rPr>
        <w:t xml:space="preserve"> = 37). This study was approved by our Medical Ethics Committee.</w:t>
      </w:r>
    </w:p>
    <w:p w14:paraId="77EAB2EC" w14:textId="77777777" w:rsidR="003B17A6" w:rsidRPr="00B776D0" w:rsidRDefault="003B17A6" w:rsidP="00B776D0">
      <w:pPr>
        <w:spacing w:line="360" w:lineRule="auto"/>
        <w:jc w:val="both"/>
        <w:rPr>
          <w:rFonts w:ascii="Book Antiqua" w:hAnsi="Book Antiqua"/>
        </w:rPr>
      </w:pPr>
    </w:p>
    <w:p w14:paraId="01DEF9C8"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Inclusion and exclusion criteria</w:t>
      </w:r>
    </w:p>
    <w:p w14:paraId="62210C73" w14:textId="25F57D70"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The inclusion criteria were as follows: (1) </w:t>
      </w:r>
      <w:r w:rsidR="002A2ED4">
        <w:rPr>
          <w:rFonts w:ascii="Book Antiqua" w:eastAsia="Book Antiqua" w:hAnsi="Book Antiqua" w:cs="Book Antiqua"/>
          <w:color w:val="000000"/>
        </w:rPr>
        <w:t>p</w:t>
      </w:r>
      <w:r w:rsidRPr="00B776D0">
        <w:rPr>
          <w:rFonts w:ascii="Book Antiqua" w:eastAsia="Book Antiqua" w:hAnsi="Book Antiqua" w:cs="Book Antiqua"/>
          <w:color w:val="000000"/>
        </w:rPr>
        <w:t xml:space="preserve">atients with symptoms </w:t>
      </w:r>
      <w:r w:rsidR="002A2ED4">
        <w:rPr>
          <w:rFonts w:ascii="Book Antiqua" w:eastAsia="Book Antiqua" w:hAnsi="Book Antiqua" w:cs="Book Antiqua"/>
          <w:color w:val="000000"/>
        </w:rPr>
        <w:t>who</w:t>
      </w:r>
      <w:r w:rsidR="002A2ED4" w:rsidRPr="00B776D0">
        <w:rPr>
          <w:rFonts w:ascii="Book Antiqua" w:eastAsia="Book Antiqua" w:hAnsi="Book Antiqua" w:cs="Book Antiqua"/>
          <w:color w:val="000000"/>
        </w:rPr>
        <w:t xml:space="preserve"> </w:t>
      </w:r>
      <w:r w:rsidRPr="00B776D0">
        <w:rPr>
          <w:rFonts w:ascii="Book Antiqua" w:eastAsia="Book Antiqua" w:hAnsi="Book Antiqua" w:cs="Book Antiqua"/>
          <w:color w:val="000000"/>
        </w:rPr>
        <w:t xml:space="preserve">met the latest World Health Organization diagnostic criteria for diabetes </w:t>
      </w:r>
      <w:proofErr w:type="gramStart"/>
      <w:r w:rsidRPr="00B776D0">
        <w:rPr>
          <w:rFonts w:ascii="Book Antiqua" w:eastAsia="Book Antiqua" w:hAnsi="Book Antiqua" w:cs="Book Antiqua"/>
          <w:color w:val="000000"/>
        </w:rPr>
        <w:t>mellitus</w:t>
      </w:r>
      <w:r w:rsidRPr="00B776D0">
        <w:rPr>
          <w:rFonts w:ascii="Book Antiqua" w:eastAsia="Book Antiqua" w:hAnsi="Book Antiqua" w:cs="Book Antiqua"/>
          <w:color w:val="000000"/>
          <w:vertAlign w:val="superscript"/>
        </w:rPr>
        <w:t>[</w:t>
      </w:r>
      <w:proofErr w:type="gramEnd"/>
      <w:r w:rsidRPr="00B776D0">
        <w:rPr>
          <w:rFonts w:ascii="Book Antiqua" w:eastAsia="Book Antiqua" w:hAnsi="Book Antiqua" w:cs="Book Antiqua"/>
          <w:color w:val="000000"/>
          <w:vertAlign w:val="superscript"/>
        </w:rPr>
        <w:t>11]</w:t>
      </w:r>
      <w:r w:rsidRPr="00B776D0">
        <w:rPr>
          <w:rFonts w:ascii="Book Antiqua" w:eastAsia="Book Antiqua" w:hAnsi="Book Antiqua" w:cs="Book Antiqua"/>
          <w:color w:val="000000"/>
        </w:rPr>
        <w:t>; (2) 18-60</w:t>
      </w:r>
      <w:r w:rsidR="000E322B">
        <w:rPr>
          <w:rFonts w:ascii="Book Antiqua" w:eastAsia="Book Antiqua" w:hAnsi="Book Antiqua" w:cs="Book Antiqua"/>
          <w:color w:val="000000"/>
        </w:rPr>
        <w:t>-</w:t>
      </w:r>
      <w:r w:rsidRPr="00B776D0">
        <w:rPr>
          <w:rFonts w:ascii="Book Antiqua" w:eastAsia="Book Antiqua" w:hAnsi="Book Antiqua" w:cs="Book Antiqua"/>
          <w:color w:val="000000"/>
        </w:rPr>
        <w:t>years</w:t>
      </w:r>
      <w:r w:rsidR="000E322B">
        <w:rPr>
          <w:rFonts w:ascii="Book Antiqua" w:eastAsia="Book Antiqua" w:hAnsi="Book Antiqua" w:cs="Book Antiqua"/>
          <w:color w:val="000000"/>
        </w:rPr>
        <w:t>-</w:t>
      </w:r>
      <w:r w:rsidRPr="00B776D0">
        <w:rPr>
          <w:rFonts w:ascii="Book Antiqua" w:eastAsia="Book Antiqua" w:hAnsi="Book Antiqua" w:cs="Book Antiqua"/>
          <w:color w:val="000000"/>
        </w:rPr>
        <w:t xml:space="preserve">old; (3) </w:t>
      </w:r>
      <w:r w:rsidR="002A2ED4">
        <w:rPr>
          <w:rFonts w:ascii="Book Antiqua" w:eastAsia="Book Antiqua" w:hAnsi="Book Antiqua" w:cs="Book Antiqua"/>
          <w:color w:val="000000"/>
        </w:rPr>
        <w:t>m</w:t>
      </w:r>
      <w:r w:rsidRPr="00B776D0">
        <w:rPr>
          <w:rFonts w:ascii="Book Antiqua" w:eastAsia="Book Antiqua" w:hAnsi="Book Antiqua" w:cs="Book Antiqua"/>
          <w:color w:val="000000"/>
        </w:rPr>
        <w:t xml:space="preserve">etformin monotherapy of up to 1500 mg in the last </w:t>
      </w:r>
      <w:r w:rsidR="002A2ED4">
        <w:rPr>
          <w:rFonts w:ascii="Book Antiqua" w:eastAsia="Book Antiqua" w:hAnsi="Book Antiqua" w:cs="Book Antiqua"/>
          <w:color w:val="000000"/>
        </w:rPr>
        <w:t xml:space="preserve">3 </w:t>
      </w:r>
      <w:proofErr w:type="spellStart"/>
      <w:r w:rsidR="002A2ED4">
        <w:rPr>
          <w:rFonts w:ascii="Book Antiqua" w:eastAsia="Book Antiqua" w:hAnsi="Book Antiqua" w:cs="Book Antiqua"/>
          <w:color w:val="000000"/>
        </w:rPr>
        <w:t>mo</w:t>
      </w:r>
      <w:proofErr w:type="spellEnd"/>
      <w:r w:rsidRPr="00B776D0">
        <w:rPr>
          <w:rFonts w:ascii="Book Antiqua" w:eastAsia="Book Antiqua" w:hAnsi="Book Antiqua" w:cs="Book Antiqua"/>
          <w:color w:val="000000"/>
        </w:rPr>
        <w:t xml:space="preserve"> for substandard glucose control; (4) 7.5%-10.0% glycated hemoglobin (HbA1c); and (5) 24 kg/m</w:t>
      </w:r>
      <w:r w:rsidRPr="00B776D0">
        <w:rPr>
          <w:rFonts w:ascii="Book Antiqua" w:eastAsia="Book Antiqua" w:hAnsi="Book Antiqua" w:cs="Book Antiqua"/>
          <w:color w:val="000000"/>
          <w:vertAlign w:val="superscript"/>
        </w:rPr>
        <w:t>2</w:t>
      </w:r>
      <w:r w:rsidRPr="00B776D0">
        <w:rPr>
          <w:rFonts w:ascii="Book Antiqua" w:eastAsia="Book Antiqua" w:hAnsi="Book Antiqua" w:cs="Book Antiqua"/>
          <w:color w:val="000000"/>
        </w:rPr>
        <w:t xml:space="preserve"> ≤ body mass index (BMI) ≤ 35 kg/m</w:t>
      </w:r>
      <w:r w:rsidRPr="00B776D0">
        <w:rPr>
          <w:rFonts w:ascii="Book Antiqua" w:eastAsia="Book Antiqua" w:hAnsi="Book Antiqua" w:cs="Book Antiqua"/>
          <w:color w:val="000000"/>
          <w:vertAlign w:val="superscript"/>
        </w:rPr>
        <w:t>2</w:t>
      </w:r>
      <w:r w:rsidRPr="00B776D0">
        <w:rPr>
          <w:rFonts w:ascii="Book Antiqua" w:eastAsia="Book Antiqua" w:hAnsi="Book Antiqua" w:cs="Book Antiqua"/>
          <w:color w:val="000000"/>
        </w:rPr>
        <w:t>.</w:t>
      </w:r>
    </w:p>
    <w:p w14:paraId="28E78AB9" w14:textId="03649F3D"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t xml:space="preserve">Exclusion criteria: (1) </w:t>
      </w:r>
      <w:r w:rsidR="002A2ED4">
        <w:rPr>
          <w:rFonts w:ascii="Book Antiqua" w:eastAsia="Book Antiqua" w:hAnsi="Book Antiqua" w:cs="Book Antiqua"/>
          <w:color w:val="000000"/>
        </w:rPr>
        <w:t>t</w:t>
      </w:r>
      <w:r w:rsidRPr="00B776D0">
        <w:rPr>
          <w:rFonts w:ascii="Book Antiqua" w:eastAsia="Book Antiqua" w:hAnsi="Book Antiqua" w:cs="Book Antiqua"/>
          <w:color w:val="000000"/>
        </w:rPr>
        <w:t xml:space="preserve">ype 1 diabetes or other specific types of diabetes; (2) T2DM combined with acute complications of diabetes, infection, or stress; (3) </w:t>
      </w:r>
      <w:r w:rsidR="002A2ED4">
        <w:rPr>
          <w:rFonts w:ascii="Book Antiqua" w:eastAsia="Book Antiqua" w:hAnsi="Book Antiqua" w:cs="Book Antiqua"/>
          <w:color w:val="000000"/>
        </w:rPr>
        <w:t>s</w:t>
      </w:r>
      <w:r w:rsidRPr="00B776D0">
        <w:rPr>
          <w:rFonts w:ascii="Book Antiqua" w:eastAsia="Book Antiqua" w:hAnsi="Book Antiqua" w:cs="Book Antiqua"/>
          <w:color w:val="000000"/>
        </w:rPr>
        <w:t xml:space="preserve">evere liver, kidney, and gastrointestinal diseases (alanine aminotransferase and aspartate aminotransferase 2.5 times higher than the upper limit of normal, bilirubin 1.5 times higher than the upper limit of normal, and blood creatinine &gt; 106 </w:t>
      </w:r>
      <w:proofErr w:type="spellStart"/>
      <w:r w:rsidRPr="00B776D0">
        <w:rPr>
          <w:rFonts w:ascii="Book Antiqua" w:hAnsi="Book Antiqua" w:cs="Book Antiqua"/>
          <w:color w:val="000000"/>
          <w:lang w:eastAsia="zh-CN"/>
        </w:rPr>
        <w:t>μ</w:t>
      </w:r>
      <w:r w:rsidRPr="00B776D0">
        <w:rPr>
          <w:rFonts w:ascii="Book Antiqua" w:eastAsia="Book Antiqua" w:hAnsi="Book Antiqua" w:cs="Book Antiqua"/>
          <w:color w:val="000000"/>
        </w:rPr>
        <w:t>mol</w:t>
      </w:r>
      <w:proofErr w:type="spellEnd"/>
      <w:r w:rsidRPr="00B776D0">
        <w:rPr>
          <w:rFonts w:ascii="Book Antiqua" w:eastAsia="Book Antiqua" w:hAnsi="Book Antiqua" w:cs="Book Antiqua"/>
          <w:color w:val="000000"/>
        </w:rPr>
        <w:t xml:space="preserve">/L); (4) </w:t>
      </w:r>
      <w:r w:rsidR="002A2ED4">
        <w:rPr>
          <w:rFonts w:ascii="Book Antiqua" w:eastAsia="Book Antiqua" w:hAnsi="Book Antiqua" w:cs="Book Antiqua"/>
          <w:color w:val="000000"/>
        </w:rPr>
        <w:t>m</w:t>
      </w:r>
      <w:r w:rsidRPr="00B776D0">
        <w:rPr>
          <w:rFonts w:ascii="Book Antiqua" w:eastAsia="Book Antiqua" w:hAnsi="Book Antiqua" w:cs="Book Antiqua"/>
          <w:color w:val="000000"/>
        </w:rPr>
        <w:t>yocardial infarction and chronic cardiac insufficiency (</w:t>
      </w:r>
      <w:r w:rsidR="002A2ED4" w:rsidRPr="002E7EC9">
        <w:rPr>
          <w:rFonts w:ascii="Book Antiqua" w:eastAsia="Book Antiqua" w:hAnsi="Book Antiqua" w:cs="Book Antiqua"/>
          <w:color w:val="000000"/>
        </w:rPr>
        <w:t>New York Heart Association</w:t>
      </w:r>
      <w:r w:rsidR="002A2ED4" w:rsidRPr="002A2ED4">
        <w:rPr>
          <w:rFonts w:ascii="Book Antiqua" w:eastAsia="Book Antiqua" w:hAnsi="Book Antiqua" w:cs="Book Antiqua"/>
          <w:i/>
          <w:iCs/>
          <w:color w:val="000000"/>
        </w:rPr>
        <w:t xml:space="preserve"> </w:t>
      </w:r>
      <w:r w:rsidR="002A2ED4">
        <w:rPr>
          <w:rFonts w:ascii="Book Antiqua" w:eastAsia="Book Antiqua" w:hAnsi="Book Antiqua" w:cs="Book Antiqua"/>
          <w:color w:val="000000"/>
        </w:rPr>
        <w:t>[</w:t>
      </w:r>
      <w:r w:rsidRPr="00B776D0">
        <w:rPr>
          <w:rFonts w:ascii="Book Antiqua" w:eastAsia="Book Antiqua" w:hAnsi="Book Antiqua" w:cs="Book Antiqua"/>
          <w:color w:val="000000"/>
        </w:rPr>
        <w:t>NYHA</w:t>
      </w:r>
      <w:r w:rsidR="002A2ED4">
        <w:rPr>
          <w:rFonts w:ascii="Book Antiqua" w:eastAsia="Book Antiqua" w:hAnsi="Book Antiqua" w:cs="Book Antiqua"/>
          <w:color w:val="000000"/>
        </w:rPr>
        <w:t>]</w:t>
      </w:r>
      <w:r w:rsidRPr="00B776D0">
        <w:rPr>
          <w:rFonts w:ascii="Book Antiqua" w:eastAsia="Book Antiqua" w:hAnsi="Book Antiqua" w:cs="Book Antiqua"/>
          <w:color w:val="000000"/>
        </w:rPr>
        <w:t xml:space="preserve"> classes III-IV); (5) </w:t>
      </w:r>
      <w:r w:rsidR="002A2ED4">
        <w:rPr>
          <w:rFonts w:ascii="Book Antiqua" w:eastAsia="Book Antiqua" w:hAnsi="Book Antiqua" w:cs="Book Antiqua"/>
          <w:color w:val="000000"/>
        </w:rPr>
        <w:t>h</w:t>
      </w:r>
      <w:r w:rsidRPr="00B776D0">
        <w:rPr>
          <w:rFonts w:ascii="Book Antiqua" w:eastAsia="Book Antiqua" w:hAnsi="Book Antiqua" w:cs="Book Antiqua"/>
          <w:color w:val="000000"/>
        </w:rPr>
        <w:t xml:space="preserve">istory of acute or chronic pancreatitis; (6) </w:t>
      </w:r>
      <w:r w:rsidR="002A2ED4">
        <w:rPr>
          <w:rFonts w:ascii="Book Antiqua" w:eastAsia="Book Antiqua" w:hAnsi="Book Antiqua" w:cs="Book Antiqua"/>
          <w:color w:val="000000"/>
        </w:rPr>
        <w:t>p</w:t>
      </w:r>
      <w:r w:rsidRPr="00B776D0">
        <w:rPr>
          <w:rFonts w:ascii="Book Antiqua" w:eastAsia="Book Antiqua" w:hAnsi="Book Antiqua" w:cs="Book Antiqua"/>
          <w:color w:val="000000"/>
        </w:rPr>
        <w:t xml:space="preserve">atients with thyroid disease or serum calcitonin levels &gt; 20 </w:t>
      </w:r>
      <w:proofErr w:type="spellStart"/>
      <w:r w:rsidRPr="00B776D0">
        <w:rPr>
          <w:rFonts w:ascii="Book Antiqua" w:eastAsia="Book Antiqua" w:hAnsi="Book Antiqua" w:cs="Book Antiqua"/>
          <w:color w:val="000000"/>
        </w:rPr>
        <w:t>pg</w:t>
      </w:r>
      <w:proofErr w:type="spellEnd"/>
      <w:r w:rsidRPr="00B776D0">
        <w:rPr>
          <w:rFonts w:ascii="Book Antiqua" w:eastAsia="Book Antiqua" w:hAnsi="Book Antiqua" w:cs="Book Antiqua"/>
          <w:color w:val="000000"/>
        </w:rPr>
        <w:t xml:space="preserve">/mL; and (7) </w:t>
      </w:r>
      <w:r w:rsidR="002A2ED4">
        <w:rPr>
          <w:rFonts w:ascii="Book Antiqua" w:eastAsia="Book Antiqua" w:hAnsi="Book Antiqua" w:cs="Book Antiqua"/>
          <w:color w:val="000000"/>
        </w:rPr>
        <w:t>p</w:t>
      </w:r>
      <w:r w:rsidRPr="00B776D0">
        <w:rPr>
          <w:rFonts w:ascii="Book Antiqua" w:eastAsia="Book Antiqua" w:hAnsi="Book Antiqua" w:cs="Book Antiqua"/>
          <w:color w:val="000000"/>
        </w:rPr>
        <w:t>regnancy, lactation, or planning a pregnancy in the near future.</w:t>
      </w:r>
    </w:p>
    <w:p w14:paraId="55C197C0" w14:textId="77777777" w:rsidR="003B17A6" w:rsidRPr="00B776D0" w:rsidRDefault="003B17A6" w:rsidP="00B776D0">
      <w:pPr>
        <w:spacing w:line="360" w:lineRule="auto"/>
        <w:jc w:val="both"/>
        <w:rPr>
          <w:rFonts w:ascii="Book Antiqua" w:hAnsi="Book Antiqua"/>
        </w:rPr>
      </w:pPr>
    </w:p>
    <w:p w14:paraId="7EE77198"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Treatment options</w:t>
      </w:r>
    </w:p>
    <w:p w14:paraId="0FFDD40D" w14:textId="10FEB00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All patients received an education on diabetes knowledge from dedicated staff, followed by the diet and appropriate amount of post-meal exercise as specified by a physician; they could skillfully apply the blood glucose meter for self-measurement, and all blood glucose meters were calibrated before use. This was combined with 500 mg metformin three times daily. Patients in group A were started with dulaglutide (</w:t>
      </w:r>
      <w:r w:rsidR="003232E3" w:rsidRPr="003232E3">
        <w:rPr>
          <w:rFonts w:ascii="Book Antiqua" w:eastAsia="Book Antiqua" w:hAnsi="Book Antiqua" w:cs="Book Antiqua"/>
          <w:color w:val="000000"/>
        </w:rPr>
        <w:t>S20190021</w:t>
      </w:r>
      <w:r w:rsidR="003232E3">
        <w:rPr>
          <w:rFonts w:ascii="Book Antiqua" w:eastAsia="Book Antiqua" w:hAnsi="Book Antiqua" w:cs="Book Antiqua"/>
          <w:color w:val="000000"/>
        </w:rPr>
        <w:t xml:space="preserve">; </w:t>
      </w:r>
      <w:r w:rsidRPr="00B776D0">
        <w:rPr>
          <w:rFonts w:ascii="Book Antiqua" w:eastAsia="Book Antiqua" w:hAnsi="Book Antiqua" w:cs="Book Antiqua"/>
          <w:color w:val="000000"/>
        </w:rPr>
        <w:t xml:space="preserve">Eli Lilly Nederland B.V., </w:t>
      </w:r>
      <w:r w:rsidR="003232E3">
        <w:rPr>
          <w:rFonts w:ascii="Book Antiqua" w:eastAsia="Book Antiqua" w:hAnsi="Book Antiqua" w:cs="Book Antiqua"/>
          <w:color w:val="000000"/>
        </w:rPr>
        <w:t>T</w:t>
      </w:r>
      <w:r w:rsidRPr="00B776D0">
        <w:rPr>
          <w:rFonts w:ascii="Book Antiqua" w:eastAsia="Book Antiqua" w:hAnsi="Book Antiqua" w:cs="Book Antiqua"/>
          <w:color w:val="000000"/>
        </w:rPr>
        <w:t xml:space="preserve">he Netherlands) 0.75 mg subcutaneously once a week and increased to 1.5 mg once per week after </w:t>
      </w:r>
      <w:r w:rsidR="003232E3">
        <w:rPr>
          <w:rFonts w:ascii="Book Antiqua" w:eastAsia="Book Antiqua" w:hAnsi="Book Antiqua" w:cs="Book Antiqua"/>
          <w:color w:val="000000"/>
        </w:rPr>
        <w:t xml:space="preserve">1 </w:t>
      </w:r>
      <w:proofErr w:type="spellStart"/>
      <w:r w:rsidR="003232E3">
        <w:rPr>
          <w:rFonts w:ascii="Book Antiqua" w:eastAsia="Book Antiqua" w:hAnsi="Book Antiqua" w:cs="Book Antiqua"/>
          <w:color w:val="000000"/>
        </w:rPr>
        <w:t>wk</w:t>
      </w:r>
      <w:proofErr w:type="spellEnd"/>
      <w:r w:rsidRPr="00B776D0">
        <w:rPr>
          <w:rFonts w:ascii="Book Antiqua" w:eastAsia="Book Antiqua" w:hAnsi="Book Antiqua" w:cs="Book Antiqua"/>
          <w:color w:val="000000"/>
        </w:rPr>
        <w:t xml:space="preserve"> if </w:t>
      </w:r>
      <w:proofErr w:type="spellStart"/>
      <w:r w:rsidRPr="00B776D0">
        <w:rPr>
          <w:rFonts w:ascii="Book Antiqua" w:eastAsia="Book Antiqua" w:hAnsi="Book Antiqua" w:cs="Book Antiqua"/>
          <w:color w:val="000000"/>
        </w:rPr>
        <w:t>formamidopyrimidine</w:t>
      </w:r>
      <w:proofErr w:type="spellEnd"/>
      <w:r w:rsidRPr="00B776D0">
        <w:rPr>
          <w:rFonts w:ascii="Book Antiqua" w:eastAsia="Book Antiqua" w:hAnsi="Book Antiqua" w:cs="Book Antiqua"/>
          <w:color w:val="000000"/>
        </w:rPr>
        <w:t xml:space="preserve"> DNA glycosylase (FPG) &gt; 7.0 mmol/L or 2-h plasma glucose (2hPG) &gt; 11.0 mmol/L was measured. Patients in group B started with 0.6 mg liraglutide subcutaneously once daily and increased to 1.2 mg twice </w:t>
      </w:r>
      <w:r w:rsidRPr="00B776D0">
        <w:rPr>
          <w:rFonts w:ascii="Book Antiqua" w:eastAsia="Book Antiqua" w:hAnsi="Book Antiqua" w:cs="Book Antiqua"/>
          <w:color w:val="000000"/>
        </w:rPr>
        <w:lastRenderedPageBreak/>
        <w:t xml:space="preserve">daily if FPG &gt; 7.0 mmol/L or 2hPG &gt; 11.0 mmol/L was measured after </w:t>
      </w:r>
      <w:r w:rsidR="003232E3">
        <w:rPr>
          <w:rFonts w:ascii="Book Antiqua" w:eastAsia="Book Antiqua" w:hAnsi="Book Antiqua" w:cs="Book Antiqua"/>
          <w:color w:val="000000"/>
        </w:rPr>
        <w:t xml:space="preserve">1 </w:t>
      </w:r>
      <w:proofErr w:type="spellStart"/>
      <w:r w:rsidR="003232E3">
        <w:rPr>
          <w:rFonts w:ascii="Book Antiqua" w:eastAsia="Book Antiqua" w:hAnsi="Book Antiqua" w:cs="Book Antiqua"/>
          <w:color w:val="000000"/>
        </w:rPr>
        <w:t>wk</w:t>
      </w:r>
      <w:proofErr w:type="spellEnd"/>
      <w:r w:rsidRPr="00B776D0">
        <w:rPr>
          <w:rFonts w:ascii="Book Antiqua" w:eastAsia="Book Antiqua" w:hAnsi="Book Antiqua" w:cs="Book Antiqua"/>
          <w:color w:val="000000"/>
        </w:rPr>
        <w:t xml:space="preserve"> and increased to 1.8 mg once daily if FPG &gt; 7.0 mmol/L or 2hPG &gt; 11.0 mmol/L was measured after </w:t>
      </w:r>
      <w:r w:rsidR="00366969">
        <w:rPr>
          <w:rFonts w:ascii="Book Antiqua" w:eastAsia="Book Antiqua" w:hAnsi="Book Antiqua" w:cs="Book Antiqua"/>
          <w:color w:val="000000"/>
        </w:rPr>
        <w:t>1 wk</w:t>
      </w:r>
      <w:r w:rsidRPr="00B776D0">
        <w:rPr>
          <w:rFonts w:ascii="Book Antiqua" w:eastAsia="Book Antiqua" w:hAnsi="Book Antiqua" w:cs="Book Antiqua"/>
          <w:color w:val="000000"/>
        </w:rPr>
        <w:t>. Patients who were originally taking oral antihypertensive and lipid-regulating drugs continued the original regimen.</w:t>
      </w:r>
    </w:p>
    <w:p w14:paraId="17BCA5B5" w14:textId="77777777" w:rsidR="003B17A6" w:rsidRPr="00B776D0" w:rsidRDefault="003B17A6" w:rsidP="00B776D0">
      <w:pPr>
        <w:spacing w:line="360" w:lineRule="auto"/>
        <w:jc w:val="both"/>
        <w:rPr>
          <w:rFonts w:ascii="Book Antiqua" w:hAnsi="Book Antiqua"/>
        </w:rPr>
      </w:pPr>
    </w:p>
    <w:p w14:paraId="3B2DBFF6"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Ambulatory glucose monitoring indicators</w:t>
      </w:r>
    </w:p>
    <w:p w14:paraId="652A047A" w14:textId="76679E9E"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Patients wore a 72-h ambulatory continuous glucose monitor (CGM; MMT-7745; Medtronic, Minneapolis, MN, United States) before and after 12 wk of treatment, and monitored three times a day before meals and before bedtime as well as fasting fingertip glucose to calibrate ambulatory glucose values. The software analysis system was used to process the blood glucose data to derive the following parameters: 24-h mean blood glucose (MBG), 24-h standard deviation of blood glucose (SDBG), coefficient of variation (CV%), mean amplitude of glycemic excursions (MAGE</w:t>
      </w:r>
      <w:r w:rsidR="00366969">
        <w:rPr>
          <w:rFonts w:ascii="Book Antiqua" w:eastAsia="Book Antiqua" w:hAnsi="Book Antiqua" w:cs="Book Antiqua"/>
          <w:color w:val="000000"/>
        </w:rPr>
        <w:t>s</w:t>
      </w:r>
      <w:r w:rsidRPr="00B776D0">
        <w:rPr>
          <w:rFonts w:ascii="Book Antiqua" w:eastAsia="Book Antiqua" w:hAnsi="Book Antiqua" w:cs="Book Antiqua"/>
          <w:color w:val="000000"/>
        </w:rPr>
        <w:t>), absolute mean of daily differences (MODD</w:t>
      </w:r>
      <w:r w:rsidR="00366969">
        <w:rPr>
          <w:rFonts w:ascii="Book Antiqua" w:eastAsia="Book Antiqua" w:hAnsi="Book Antiqua" w:cs="Book Antiqua"/>
          <w:color w:val="000000"/>
        </w:rPr>
        <w:t>s</w:t>
      </w:r>
      <w:r w:rsidRPr="00B776D0">
        <w:rPr>
          <w:rFonts w:ascii="Book Antiqua" w:eastAsia="Book Antiqua" w:hAnsi="Book Antiqua" w:cs="Book Antiqua"/>
          <w:color w:val="000000"/>
        </w:rPr>
        <w:t>), and percentage of time with 3.9 mmol/L &lt; glucose &lt; 10 mmol/L (TIR).</w:t>
      </w:r>
    </w:p>
    <w:p w14:paraId="17FA9A6F" w14:textId="77777777" w:rsidR="003B17A6" w:rsidRPr="00B776D0" w:rsidRDefault="003B17A6" w:rsidP="00B776D0">
      <w:pPr>
        <w:spacing w:line="360" w:lineRule="auto"/>
        <w:jc w:val="both"/>
        <w:rPr>
          <w:rFonts w:ascii="Book Antiqua" w:hAnsi="Book Antiqua"/>
        </w:rPr>
      </w:pPr>
    </w:p>
    <w:p w14:paraId="04034D3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Outcome measures</w:t>
      </w:r>
    </w:p>
    <w:p w14:paraId="0DB54BD6" w14:textId="17072521"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The main outcome measures were as follows: </w:t>
      </w:r>
      <w:r w:rsidR="00366969">
        <w:rPr>
          <w:rFonts w:ascii="Book Antiqua" w:eastAsia="Book Antiqua" w:hAnsi="Book Antiqua" w:cs="Book Antiqua"/>
          <w:color w:val="000000"/>
        </w:rPr>
        <w:t>b</w:t>
      </w:r>
      <w:r w:rsidRPr="00B776D0">
        <w:rPr>
          <w:rFonts w:ascii="Book Antiqua" w:eastAsia="Book Antiqua" w:hAnsi="Book Antiqua" w:cs="Book Antiqua"/>
          <w:color w:val="000000"/>
        </w:rPr>
        <w:t xml:space="preserve">lood glucose levels </w:t>
      </w:r>
      <w:r w:rsidR="00366969">
        <w:rPr>
          <w:rFonts w:ascii="Book Antiqua" w:eastAsia="Book Antiqua" w:hAnsi="Book Antiqua" w:cs="Book Antiqua"/>
          <w:color w:val="000000"/>
        </w:rPr>
        <w:t>(</w:t>
      </w:r>
      <w:r w:rsidRPr="00B776D0">
        <w:rPr>
          <w:rFonts w:ascii="Book Antiqua" w:eastAsia="Book Antiqua" w:hAnsi="Book Antiqua" w:cs="Book Antiqua"/>
          <w:color w:val="000000"/>
        </w:rPr>
        <w:t xml:space="preserve">plasma </w:t>
      </w:r>
      <w:bookmarkStart w:id="0" w:name="_Hlk136955359"/>
      <w:r w:rsidRPr="00B776D0">
        <w:rPr>
          <w:rFonts w:ascii="Book Antiqua" w:eastAsia="Book Antiqua" w:hAnsi="Book Antiqua" w:cs="Book Antiqua"/>
          <w:color w:val="000000"/>
        </w:rPr>
        <w:t>fasting blood glucose</w:t>
      </w:r>
      <w:bookmarkEnd w:id="0"/>
      <w:r w:rsidRPr="00B776D0">
        <w:rPr>
          <w:rFonts w:ascii="Book Antiqua" w:eastAsia="Book Antiqua" w:hAnsi="Book Antiqua" w:cs="Book Antiqua"/>
          <w:color w:val="000000"/>
        </w:rPr>
        <w:t xml:space="preserve"> </w:t>
      </w:r>
      <w:r w:rsidR="00366969">
        <w:rPr>
          <w:rFonts w:ascii="Book Antiqua" w:eastAsia="Book Antiqua" w:hAnsi="Book Antiqua" w:cs="Book Antiqua"/>
          <w:color w:val="000000"/>
        </w:rPr>
        <w:t>[</w:t>
      </w:r>
      <w:r w:rsidRPr="00B776D0">
        <w:rPr>
          <w:rFonts w:ascii="Book Antiqua" w:eastAsia="Book Antiqua" w:hAnsi="Book Antiqua" w:cs="Book Antiqua"/>
          <w:color w:val="000000"/>
        </w:rPr>
        <w:t>FBG</w:t>
      </w:r>
      <w:r w:rsidR="00366969">
        <w:rPr>
          <w:rFonts w:ascii="Book Antiqua" w:eastAsia="Book Antiqua" w:hAnsi="Book Antiqua" w:cs="Book Antiqua"/>
          <w:color w:val="000000"/>
        </w:rPr>
        <w:t>]</w:t>
      </w:r>
      <w:r w:rsidRPr="00B776D0">
        <w:rPr>
          <w:rFonts w:ascii="Book Antiqua" w:eastAsia="Book Antiqua" w:hAnsi="Book Antiqua" w:cs="Book Antiqua"/>
          <w:color w:val="000000"/>
        </w:rPr>
        <w:t>, 2</w:t>
      </w:r>
      <w:r w:rsidR="00C36034">
        <w:rPr>
          <w:rFonts w:ascii="Book Antiqua" w:eastAsia="Book Antiqua" w:hAnsi="Book Antiqua" w:cs="Book Antiqua"/>
          <w:color w:val="000000"/>
        </w:rPr>
        <w:t>-</w:t>
      </w:r>
      <w:r w:rsidRPr="00B776D0">
        <w:rPr>
          <w:rFonts w:ascii="Book Antiqua" w:eastAsia="Book Antiqua" w:hAnsi="Book Antiqua" w:cs="Book Antiqua"/>
          <w:color w:val="000000"/>
        </w:rPr>
        <w:t xml:space="preserve">h postprandial blood glucose </w:t>
      </w:r>
      <w:r w:rsidR="00366969">
        <w:rPr>
          <w:rFonts w:ascii="Book Antiqua" w:eastAsia="Book Antiqua" w:hAnsi="Book Antiqua" w:cs="Book Antiqua"/>
          <w:color w:val="000000"/>
        </w:rPr>
        <w:t>[</w:t>
      </w:r>
      <w:r w:rsidR="008D059C">
        <w:rPr>
          <w:rFonts w:ascii="Book Antiqua" w:eastAsia="Book Antiqua" w:hAnsi="Book Antiqua" w:cs="Book Antiqua"/>
          <w:color w:val="000000"/>
        </w:rPr>
        <w:t>PBG</w:t>
      </w:r>
      <w:r w:rsidR="00366969">
        <w:rPr>
          <w:rFonts w:ascii="Book Antiqua" w:eastAsia="Book Antiqua" w:hAnsi="Book Antiqua" w:cs="Book Antiqua"/>
          <w:color w:val="000000"/>
        </w:rPr>
        <w:t>]</w:t>
      </w:r>
      <w:r w:rsidRPr="00B776D0">
        <w:rPr>
          <w:rFonts w:ascii="Book Antiqua" w:eastAsia="Book Antiqua" w:hAnsi="Book Antiqua" w:cs="Book Antiqua"/>
          <w:color w:val="000000"/>
        </w:rPr>
        <w:t>, and HbA1c</w:t>
      </w:r>
      <w:r w:rsidR="00366969">
        <w:rPr>
          <w:rFonts w:ascii="Book Antiqua" w:eastAsia="Book Antiqua" w:hAnsi="Book Antiqua" w:cs="Book Antiqua"/>
          <w:color w:val="000000"/>
        </w:rPr>
        <w:t>)</w:t>
      </w:r>
      <w:r w:rsidRPr="00B776D0">
        <w:rPr>
          <w:rFonts w:ascii="Book Antiqua" w:eastAsia="Book Antiqua" w:hAnsi="Book Antiqua" w:cs="Book Antiqua"/>
          <w:color w:val="000000"/>
        </w:rPr>
        <w:t xml:space="preserve"> were compared before and after treatment between the two groups. The changes in ambulatory glucose monitoring indices, including MBG, SDBG, CV%, MAGE, MODD, and TIR, were compared between the two groups.</w:t>
      </w:r>
    </w:p>
    <w:p w14:paraId="7F2B0DF4" w14:textId="08281C9D"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t xml:space="preserve">The secondary outcome measures were as follows: </w:t>
      </w:r>
      <w:r w:rsidR="00366969">
        <w:rPr>
          <w:rFonts w:ascii="Book Antiqua" w:eastAsia="Book Antiqua" w:hAnsi="Book Antiqua" w:cs="Book Antiqua"/>
          <w:color w:val="000000"/>
        </w:rPr>
        <w:t>t</w:t>
      </w:r>
      <w:r w:rsidRPr="00B776D0">
        <w:rPr>
          <w:rFonts w:ascii="Book Antiqua" w:eastAsia="Book Antiqua" w:hAnsi="Book Antiqua" w:cs="Book Antiqua"/>
          <w:color w:val="000000"/>
        </w:rPr>
        <w:t>he baseline clinical data of the two groups were compared. The incidence of adverse reactions and changes in lipid indices (total cholesterol and triglyceride levels) were compared between the two groups. The levels of tumor necrosis factor-α (TNF-α), interleukin-6 (IL-6), and high-sensitivity C-reactive protein (hs-CRP) were compared between the two groups before and after treatment using an enzyme-linked immunosorbent assay, and the changes in BMI were compared before and after treatment.</w:t>
      </w:r>
    </w:p>
    <w:p w14:paraId="31C35934" w14:textId="05DE5A4D"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lastRenderedPageBreak/>
        <w:t>Before and after 12 wk of treatment, the patient was equipped with a 72-h ambulatory CGM (</w:t>
      </w:r>
      <w:r w:rsidR="00366969">
        <w:rPr>
          <w:rFonts w:ascii="Book Antiqua" w:eastAsia="Book Antiqua" w:hAnsi="Book Antiqua" w:cs="Book Antiqua"/>
          <w:color w:val="000000"/>
        </w:rPr>
        <w:t>M</w:t>
      </w:r>
      <w:r w:rsidRPr="00B776D0">
        <w:rPr>
          <w:rFonts w:ascii="Book Antiqua" w:eastAsia="Book Antiqua" w:hAnsi="Book Antiqua" w:cs="Book Antiqua"/>
          <w:color w:val="000000"/>
        </w:rPr>
        <w:t>edtronic), which monitored fasting fingertip blood glucose three times a day before meals and before bedtime. A software analysis system was used to process blood glucose data to obtain the following parameters: MBG, SDBG, CV%, MAGE, MODD, and TIR.</w:t>
      </w:r>
    </w:p>
    <w:p w14:paraId="2E41FAA1" w14:textId="77777777" w:rsidR="003B17A6" w:rsidRPr="00B776D0" w:rsidRDefault="003B17A6" w:rsidP="00B776D0">
      <w:pPr>
        <w:spacing w:line="360" w:lineRule="auto"/>
        <w:jc w:val="both"/>
        <w:rPr>
          <w:rFonts w:ascii="Book Antiqua" w:hAnsi="Book Antiqua"/>
        </w:rPr>
      </w:pPr>
    </w:p>
    <w:p w14:paraId="3438CB0E" w14:textId="3E3AF658"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Statistical analys</w:t>
      </w:r>
      <w:r w:rsidR="00366969">
        <w:rPr>
          <w:rFonts w:ascii="Book Antiqua" w:eastAsia="Book Antiqua" w:hAnsi="Book Antiqua" w:cs="Book Antiqua"/>
          <w:b/>
          <w:bCs/>
          <w:i/>
          <w:iCs/>
          <w:color w:val="000000"/>
        </w:rPr>
        <w:t>e</w:t>
      </w:r>
      <w:r w:rsidRPr="00B776D0">
        <w:rPr>
          <w:rFonts w:ascii="Book Antiqua" w:eastAsia="Book Antiqua" w:hAnsi="Book Antiqua" w:cs="Book Antiqua"/>
          <w:b/>
          <w:bCs/>
          <w:i/>
          <w:iCs/>
          <w:color w:val="000000"/>
        </w:rPr>
        <w:t>s</w:t>
      </w:r>
    </w:p>
    <w:p w14:paraId="01D2A664" w14:textId="7A12FECA"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The counting data </w:t>
      </w:r>
      <w:r w:rsidR="00366969">
        <w:rPr>
          <w:rFonts w:ascii="Book Antiqua" w:eastAsia="Book Antiqua" w:hAnsi="Book Antiqua" w:cs="Book Antiqua"/>
          <w:color w:val="000000"/>
        </w:rPr>
        <w:t>a</w:t>
      </w:r>
      <w:r w:rsidR="00366969" w:rsidRPr="00B776D0">
        <w:rPr>
          <w:rFonts w:ascii="Book Antiqua" w:eastAsia="Book Antiqua" w:hAnsi="Book Antiqua" w:cs="Book Antiqua"/>
          <w:color w:val="000000"/>
        </w:rPr>
        <w:t xml:space="preserve">re </w:t>
      </w:r>
      <w:r w:rsidRPr="00B776D0">
        <w:rPr>
          <w:rFonts w:ascii="Book Antiqua" w:eastAsia="Book Antiqua" w:hAnsi="Book Antiqua" w:cs="Book Antiqua"/>
          <w:color w:val="000000"/>
        </w:rPr>
        <w:t xml:space="preserve">expressed as rates and counted by </w:t>
      </w:r>
      <w:r w:rsidR="00366969">
        <w:rPr>
          <w:rFonts w:ascii="Book Antiqua" w:eastAsia="Book Antiqua" w:hAnsi="Book Antiqua" w:cs="Book Antiqua"/>
          <w:color w:val="000000"/>
        </w:rPr>
        <w:t xml:space="preserve">the </w:t>
      </w:r>
      <w:r w:rsidR="00366969" w:rsidRPr="00366969">
        <w:rPr>
          <w:rFonts w:ascii="Book Antiqua" w:eastAsia="Book Antiqua" w:hAnsi="Book Antiqua" w:cs="Book Antiqua"/>
          <w:color w:val="000000"/>
        </w:rPr>
        <w:t>χ</w:t>
      </w:r>
      <w:r w:rsidR="00366969" w:rsidRPr="00366969">
        <w:rPr>
          <w:rFonts w:ascii="Book Antiqua" w:eastAsia="Book Antiqua" w:hAnsi="Book Antiqua" w:cs="Book Antiqua"/>
          <w:color w:val="000000"/>
          <w:vertAlign w:val="superscript"/>
        </w:rPr>
        <w:t>2</w:t>
      </w:r>
      <w:r w:rsidRPr="00B776D0">
        <w:rPr>
          <w:rFonts w:ascii="Book Antiqua" w:eastAsia="Book Antiqua" w:hAnsi="Book Antiqua" w:cs="Book Antiqua"/>
          <w:color w:val="000000"/>
        </w:rPr>
        <w:t xml:space="preserve"> test. The measurement data </w:t>
      </w:r>
      <w:r w:rsidR="00366969">
        <w:rPr>
          <w:rFonts w:ascii="Book Antiqua" w:eastAsia="Book Antiqua" w:hAnsi="Book Antiqua" w:cs="Book Antiqua"/>
          <w:color w:val="000000"/>
        </w:rPr>
        <w:t>a</w:t>
      </w:r>
      <w:r w:rsidR="00366969" w:rsidRPr="00B776D0">
        <w:rPr>
          <w:rFonts w:ascii="Book Antiqua" w:eastAsia="Book Antiqua" w:hAnsi="Book Antiqua" w:cs="Book Antiqua"/>
          <w:color w:val="000000"/>
        </w:rPr>
        <w:t xml:space="preserve">re </w:t>
      </w:r>
      <w:r w:rsidRPr="00B776D0">
        <w:rPr>
          <w:rFonts w:ascii="Book Antiqua" w:eastAsia="Book Antiqua" w:hAnsi="Book Antiqua" w:cs="Book Antiqua"/>
          <w:color w:val="000000"/>
        </w:rPr>
        <w:t xml:space="preserve">expressed as </w:t>
      </w:r>
      <w:r w:rsidR="00366969">
        <w:rPr>
          <w:rFonts w:ascii="Book Antiqua" w:eastAsia="Book Antiqua" w:hAnsi="Book Antiqua" w:cs="Book Antiqua"/>
          <w:color w:val="000000"/>
        </w:rPr>
        <w:t xml:space="preserve">the </w:t>
      </w:r>
      <w:r w:rsidRPr="00B776D0">
        <w:rPr>
          <w:rFonts w:ascii="Book Antiqua" w:eastAsia="Book Antiqua" w:hAnsi="Book Antiqua" w:cs="Book Antiqua"/>
          <w:color w:val="000000"/>
        </w:rPr>
        <w:t xml:space="preserve">mean ± </w:t>
      </w:r>
      <w:r w:rsidR="00366969">
        <w:rPr>
          <w:rFonts w:ascii="Book Antiqua" w:eastAsia="Book Antiqua" w:hAnsi="Book Antiqua" w:cs="Book Antiqua"/>
          <w:color w:val="000000"/>
        </w:rPr>
        <w:t>standard deviation</w:t>
      </w:r>
      <w:r w:rsidRPr="00B776D0">
        <w:rPr>
          <w:rFonts w:ascii="Book Antiqua" w:eastAsia="Book Antiqua" w:hAnsi="Book Antiqua" w:cs="Book Antiqua"/>
          <w:color w:val="000000"/>
        </w:rPr>
        <w:t>, and the paired sample</w:t>
      </w:r>
      <w:r w:rsidR="00366969">
        <w:rPr>
          <w:rFonts w:ascii="Book Antiqua" w:eastAsia="Book Antiqua" w:hAnsi="Book Antiqua" w:cs="Book Antiqua"/>
          <w:color w:val="000000"/>
        </w:rPr>
        <w:t>s</w:t>
      </w:r>
      <w:r w:rsidRPr="00B776D0">
        <w:rPr>
          <w:rFonts w:ascii="Book Antiqua" w:eastAsia="Book Antiqua" w:hAnsi="Book Antiqua" w:cs="Book Antiqua"/>
          <w:color w:val="000000"/>
        </w:rPr>
        <w:t xml:space="preserve"> </w:t>
      </w:r>
      <w:r w:rsidRPr="00B776D0">
        <w:rPr>
          <w:rFonts w:ascii="Book Antiqua" w:eastAsia="Book Antiqua" w:hAnsi="Book Antiqua" w:cs="Book Antiqua"/>
          <w:i/>
          <w:iCs/>
          <w:color w:val="000000"/>
        </w:rPr>
        <w:t>t</w:t>
      </w:r>
      <w:r w:rsidRPr="00B776D0">
        <w:rPr>
          <w:rFonts w:ascii="Book Antiqua" w:eastAsia="Book Antiqua" w:hAnsi="Book Antiqua" w:cs="Book Antiqua"/>
          <w:color w:val="000000"/>
        </w:rPr>
        <w:t>-test was used for intra-group comparison before and after treatment, and the independent sample</w:t>
      </w:r>
      <w:r w:rsidR="00366969">
        <w:rPr>
          <w:rFonts w:ascii="Book Antiqua" w:eastAsia="Book Antiqua" w:hAnsi="Book Antiqua" w:cs="Book Antiqua"/>
          <w:color w:val="000000"/>
        </w:rPr>
        <w:t>s</w:t>
      </w:r>
      <w:r w:rsidRPr="00B776D0">
        <w:rPr>
          <w:rFonts w:ascii="Book Antiqua" w:eastAsia="Book Antiqua" w:hAnsi="Book Antiqua" w:cs="Book Antiqua"/>
          <w:color w:val="000000"/>
        </w:rPr>
        <w:t xml:space="preserve"> </w:t>
      </w:r>
      <w:r w:rsidRPr="00B776D0">
        <w:rPr>
          <w:rFonts w:ascii="Book Antiqua" w:eastAsia="Book Antiqua" w:hAnsi="Book Antiqua" w:cs="Book Antiqua"/>
          <w:i/>
          <w:iCs/>
          <w:color w:val="000000"/>
        </w:rPr>
        <w:t>t</w:t>
      </w:r>
      <w:r w:rsidRPr="00B776D0">
        <w:rPr>
          <w:rFonts w:ascii="Book Antiqua" w:eastAsia="Book Antiqua" w:hAnsi="Book Antiqua" w:cs="Book Antiqua"/>
          <w:color w:val="000000"/>
        </w:rPr>
        <w:t xml:space="preserve">-test was used for intergroup comparison.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0.05 </w:t>
      </w:r>
      <w:r w:rsidR="00366969">
        <w:rPr>
          <w:rFonts w:ascii="Book Antiqua" w:eastAsia="Book Antiqua" w:hAnsi="Book Antiqua" w:cs="Book Antiqua"/>
          <w:color w:val="000000"/>
        </w:rPr>
        <w:t>was considered</w:t>
      </w:r>
      <w:r w:rsidRPr="00B776D0">
        <w:rPr>
          <w:rFonts w:ascii="Book Antiqua" w:eastAsia="Book Antiqua" w:hAnsi="Book Antiqua" w:cs="Book Antiqua"/>
          <w:color w:val="000000"/>
        </w:rPr>
        <w:t xml:space="preserve"> statistically </w:t>
      </w:r>
      <w:r w:rsidR="00366969">
        <w:rPr>
          <w:rFonts w:ascii="Book Antiqua" w:eastAsia="Book Antiqua" w:hAnsi="Book Antiqua" w:cs="Book Antiqua"/>
          <w:color w:val="000000"/>
        </w:rPr>
        <w:t>significant</w:t>
      </w:r>
      <w:r w:rsidRPr="00B776D0">
        <w:rPr>
          <w:rFonts w:ascii="Book Antiqua" w:eastAsia="Book Antiqua" w:hAnsi="Book Antiqua" w:cs="Book Antiqua"/>
          <w:color w:val="000000"/>
        </w:rPr>
        <w:t>. All statistical analyses were performed using SPSS 20.0 software.</w:t>
      </w:r>
    </w:p>
    <w:p w14:paraId="0945F6B0" w14:textId="77777777" w:rsidR="003B17A6" w:rsidRPr="00B776D0" w:rsidRDefault="003B17A6" w:rsidP="00B776D0">
      <w:pPr>
        <w:spacing w:line="360" w:lineRule="auto"/>
        <w:jc w:val="both"/>
        <w:rPr>
          <w:rFonts w:ascii="Book Antiqua" w:hAnsi="Book Antiqua"/>
        </w:rPr>
      </w:pPr>
    </w:p>
    <w:p w14:paraId="5C1585CB"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aps/>
          <w:color w:val="000000"/>
          <w:u w:val="single"/>
        </w:rPr>
        <w:t>RESULTS</w:t>
      </w:r>
    </w:p>
    <w:p w14:paraId="40BAB4FF"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Clinical baseline data</w:t>
      </w:r>
    </w:p>
    <w:p w14:paraId="55BE79A5" w14:textId="6B697DB4"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The clinical data of the two groups were compared. </w:t>
      </w:r>
      <w:r w:rsidR="00366969">
        <w:rPr>
          <w:rFonts w:ascii="Book Antiqua" w:eastAsia="Book Antiqua" w:hAnsi="Book Antiqua" w:cs="Book Antiqua"/>
          <w:color w:val="000000"/>
        </w:rPr>
        <w:t>T</w:t>
      </w:r>
      <w:r w:rsidRPr="00B776D0">
        <w:rPr>
          <w:rFonts w:ascii="Book Antiqua" w:eastAsia="Book Antiqua" w:hAnsi="Book Antiqua" w:cs="Book Antiqua"/>
          <w:color w:val="000000"/>
        </w:rPr>
        <w:t xml:space="preserve">here was no statistical difference in age, </w:t>
      </w:r>
      <w:r w:rsidR="00366969">
        <w:rPr>
          <w:rFonts w:ascii="Book Antiqua" w:eastAsia="Book Antiqua" w:hAnsi="Book Antiqua" w:cs="Book Antiqua"/>
          <w:color w:val="000000"/>
        </w:rPr>
        <w:t>sex</w:t>
      </w:r>
      <w:r w:rsidRPr="00B776D0">
        <w:rPr>
          <w:rFonts w:ascii="Book Antiqua" w:eastAsia="Book Antiqua" w:hAnsi="Book Antiqua" w:cs="Book Antiqua"/>
          <w:color w:val="000000"/>
        </w:rPr>
        <w:t>, course of disease, BMI, and history of hypertension and smoking between patients in group A and group B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&gt; 0.05</w:t>
      </w:r>
      <w:r w:rsidR="00366969">
        <w:rPr>
          <w:rFonts w:ascii="Book Antiqua" w:eastAsia="Book Antiqua" w:hAnsi="Book Antiqua" w:cs="Book Antiqua"/>
          <w:color w:val="000000"/>
        </w:rPr>
        <w:t>;</w:t>
      </w:r>
      <w:r w:rsidRPr="00B776D0">
        <w:rPr>
          <w:rFonts w:ascii="Book Antiqua" w:eastAsia="Book Antiqua" w:hAnsi="Book Antiqua" w:cs="Book Antiqua"/>
          <w:color w:val="000000"/>
        </w:rPr>
        <w:t xml:space="preserve"> Table 1).</w:t>
      </w:r>
    </w:p>
    <w:p w14:paraId="074D9513" w14:textId="77777777" w:rsidR="003B17A6" w:rsidRPr="00B776D0" w:rsidRDefault="003B17A6" w:rsidP="00B776D0">
      <w:pPr>
        <w:spacing w:line="360" w:lineRule="auto"/>
        <w:jc w:val="both"/>
        <w:rPr>
          <w:rFonts w:ascii="Book Antiqua" w:hAnsi="Book Antiqua"/>
        </w:rPr>
      </w:pPr>
    </w:p>
    <w:p w14:paraId="465C9D1E"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Changes in blood glucose levels</w:t>
      </w:r>
    </w:p>
    <w:p w14:paraId="6A046FF9" w14:textId="5E401B0E"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Comparison of the changes in blood glucose levels and islet cell function between the two groups revealed that FBG, 2h PBG</w:t>
      </w:r>
      <w:r w:rsidR="00D05D5B">
        <w:rPr>
          <w:rFonts w:ascii="Book Antiqua" w:eastAsia="Book Antiqua" w:hAnsi="Book Antiqua" w:cs="Book Antiqua"/>
          <w:color w:val="000000"/>
        </w:rPr>
        <w:t>,</w:t>
      </w:r>
      <w:r w:rsidRPr="00B776D0">
        <w:rPr>
          <w:rFonts w:ascii="Book Antiqua" w:eastAsia="Book Antiqua" w:hAnsi="Book Antiqua" w:cs="Book Antiqua"/>
          <w:color w:val="000000"/>
        </w:rPr>
        <w:t xml:space="preserve"> and HbA1c </w:t>
      </w:r>
      <w:r w:rsidR="00D05D5B">
        <w:rPr>
          <w:rFonts w:ascii="Book Antiqua" w:eastAsia="Book Antiqua" w:hAnsi="Book Antiqua" w:cs="Book Antiqua"/>
          <w:color w:val="000000"/>
        </w:rPr>
        <w:t>w</w:t>
      </w:r>
      <w:r w:rsidR="00C72E32">
        <w:rPr>
          <w:rFonts w:ascii="Book Antiqua" w:eastAsia="Book Antiqua" w:hAnsi="Book Antiqua" w:cs="Book Antiqua"/>
          <w:color w:val="000000"/>
        </w:rPr>
        <w:t>ere</w:t>
      </w:r>
      <w:r w:rsidR="00D05D5B">
        <w:rPr>
          <w:rFonts w:ascii="Book Antiqua" w:eastAsia="Book Antiqua" w:hAnsi="Book Antiqua" w:cs="Book Antiqua"/>
          <w:color w:val="000000"/>
        </w:rPr>
        <w:t xml:space="preserve"> significantly </w:t>
      </w:r>
      <w:r w:rsidRPr="00B776D0">
        <w:rPr>
          <w:rFonts w:ascii="Book Antiqua" w:eastAsia="Book Antiqua" w:hAnsi="Book Antiqua" w:cs="Book Antiqua"/>
          <w:color w:val="000000"/>
        </w:rPr>
        <w:t>decreased in both groups after treatment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0.05). Among them, FBG decreased more in group A than in group B after treatment, and 2h PBG decreased more in group B than in group A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0.001</w:t>
      </w:r>
      <w:r w:rsidR="00D05D5B">
        <w:rPr>
          <w:rFonts w:ascii="Book Antiqua" w:eastAsia="Book Antiqua" w:hAnsi="Book Antiqua" w:cs="Book Antiqua"/>
          <w:color w:val="000000"/>
        </w:rPr>
        <w:t>;</w:t>
      </w:r>
      <w:r w:rsidRPr="00B776D0">
        <w:rPr>
          <w:rFonts w:ascii="Book Antiqua" w:eastAsia="Book Antiqua" w:hAnsi="Book Antiqua" w:cs="Book Antiqua"/>
          <w:color w:val="000000"/>
        </w:rPr>
        <w:t xml:space="preserve"> Figure 1). There was no difference in HbA1c between the two groups after treatment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&gt; 0.05).</w:t>
      </w:r>
    </w:p>
    <w:p w14:paraId="474888C3" w14:textId="77777777" w:rsidR="003B17A6" w:rsidRPr="00B776D0" w:rsidRDefault="003B17A6" w:rsidP="00B776D0">
      <w:pPr>
        <w:spacing w:line="360" w:lineRule="auto"/>
        <w:jc w:val="both"/>
        <w:rPr>
          <w:rFonts w:ascii="Book Antiqua" w:hAnsi="Book Antiqua"/>
        </w:rPr>
      </w:pPr>
    </w:p>
    <w:p w14:paraId="44B36A7F"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Changes in dynamic indicators of patients’ blood glucose</w:t>
      </w:r>
    </w:p>
    <w:p w14:paraId="320952D1" w14:textId="33FDBC31"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The dynamic indicators of blood glucose before and after treatment in the two groups were found to be statistically non-different in MBG, SDBG, CV%, MAGE, MODD, and </w:t>
      </w:r>
      <w:r w:rsidRPr="00B776D0">
        <w:rPr>
          <w:rFonts w:ascii="Book Antiqua" w:eastAsia="Book Antiqua" w:hAnsi="Book Antiqua" w:cs="Book Antiqua"/>
          <w:color w:val="000000"/>
        </w:rPr>
        <w:lastRenderedPageBreak/>
        <w:t>TIR before treatment in the two groups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&gt; 0.05</w:t>
      </w:r>
      <w:r w:rsidR="00DE7CB8">
        <w:rPr>
          <w:rFonts w:ascii="Book Antiqua" w:eastAsia="Book Antiqua" w:hAnsi="Book Antiqua" w:cs="Book Antiqua"/>
          <w:color w:val="000000"/>
        </w:rPr>
        <w:t>;</w:t>
      </w:r>
      <w:r w:rsidRPr="00B776D0">
        <w:rPr>
          <w:rFonts w:ascii="Book Antiqua" w:eastAsia="Book Antiqua" w:hAnsi="Book Antiqua" w:cs="Book Antiqua"/>
          <w:color w:val="000000"/>
        </w:rPr>
        <w:t xml:space="preserve"> Figure 2). Patients were treated with a significant decrease in MBG, SDBG, CV%, MAGE, and MODD in both groups compared to pre-treatment, wh</w:t>
      </w:r>
      <w:r w:rsidR="00DE7CB8">
        <w:rPr>
          <w:rFonts w:ascii="Book Antiqua" w:eastAsia="Book Antiqua" w:hAnsi="Book Antiqua" w:cs="Book Antiqua"/>
          <w:color w:val="000000"/>
        </w:rPr>
        <w:t>ereas</w:t>
      </w:r>
      <w:r w:rsidRPr="00B776D0">
        <w:rPr>
          <w:rFonts w:ascii="Book Antiqua" w:eastAsia="Book Antiqua" w:hAnsi="Book Antiqua" w:cs="Book Antiqua"/>
          <w:color w:val="000000"/>
        </w:rPr>
        <w:t xml:space="preserve"> TIR increased dramatically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0.001</w:t>
      </w:r>
      <w:r w:rsidR="00DE7CB8">
        <w:rPr>
          <w:rFonts w:ascii="Book Antiqua" w:eastAsia="Book Antiqua" w:hAnsi="Book Antiqua" w:cs="Book Antiqua"/>
          <w:color w:val="000000"/>
        </w:rPr>
        <w:t>;</w:t>
      </w:r>
      <w:r w:rsidRPr="00B776D0">
        <w:rPr>
          <w:rFonts w:ascii="Book Antiqua" w:eastAsia="Book Antiqua" w:hAnsi="Book Antiqua" w:cs="Book Antiqua"/>
          <w:color w:val="000000"/>
        </w:rPr>
        <w:t xml:space="preserve"> Figure 2). Further comparison revealed that MBG and MAGE were significantly lower in group A than in group B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0.01</w:t>
      </w:r>
      <w:r w:rsidR="00DE7CB8">
        <w:rPr>
          <w:rFonts w:ascii="Book Antiqua" w:eastAsia="Book Antiqua" w:hAnsi="Book Antiqua" w:cs="Book Antiqua"/>
          <w:color w:val="000000"/>
        </w:rPr>
        <w:t>;</w:t>
      </w:r>
      <w:r w:rsidRPr="00B776D0">
        <w:rPr>
          <w:rFonts w:ascii="Book Antiqua" w:eastAsia="Book Antiqua" w:hAnsi="Book Antiqua" w:cs="Book Antiqua"/>
          <w:color w:val="000000"/>
        </w:rPr>
        <w:t xml:space="preserve"> Figure 2), but there was no statistical difference in SDBG, CV%, MODD, and TIR between both groups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&gt; 0.05</w:t>
      </w:r>
      <w:r w:rsidR="00DE7CB8">
        <w:rPr>
          <w:rFonts w:ascii="Book Antiqua" w:eastAsia="Book Antiqua" w:hAnsi="Book Antiqua" w:cs="Book Antiqua"/>
          <w:color w:val="000000"/>
        </w:rPr>
        <w:t>;</w:t>
      </w:r>
      <w:r w:rsidRPr="00B776D0">
        <w:rPr>
          <w:rFonts w:ascii="Book Antiqua" w:eastAsia="Book Antiqua" w:hAnsi="Book Antiqua" w:cs="Book Antiqua"/>
          <w:color w:val="000000"/>
        </w:rPr>
        <w:t xml:space="preserve"> Figure 2).</w:t>
      </w:r>
    </w:p>
    <w:p w14:paraId="2ABAFD1C" w14:textId="77777777" w:rsidR="003B17A6" w:rsidRPr="00B776D0" w:rsidRDefault="003B17A6" w:rsidP="00B776D0">
      <w:pPr>
        <w:spacing w:line="360" w:lineRule="auto"/>
        <w:jc w:val="both"/>
        <w:rPr>
          <w:rFonts w:ascii="Book Antiqua" w:hAnsi="Book Antiqua"/>
        </w:rPr>
      </w:pPr>
    </w:p>
    <w:p w14:paraId="628CE53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Changes in patients’ blood lipid indexes</w:t>
      </w:r>
    </w:p>
    <w:p w14:paraId="5241C10C" w14:textId="282965BD"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In this study, we also examined the changes in the lipid indexes of patients. Total cholesterol, triglyceride and low-density lipoprotein (LDL) levels were significantly lower and high-density lipoprotein (HDL) levels were significantly higher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0.01) in both groups after treatment compared to those before treatment. Among them, total cholesterol and triglyceride levels decreased more in group A than in group B after treatment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0.05</w:t>
      </w:r>
      <w:r w:rsidR="00DE7CB8">
        <w:rPr>
          <w:rFonts w:ascii="Book Antiqua" w:eastAsia="Book Antiqua" w:hAnsi="Book Antiqua" w:cs="Book Antiqua"/>
          <w:color w:val="000000"/>
        </w:rPr>
        <w:t>;</w:t>
      </w:r>
      <w:r w:rsidRPr="00B776D0">
        <w:rPr>
          <w:rFonts w:ascii="Book Antiqua" w:eastAsia="Book Antiqua" w:hAnsi="Book Antiqua" w:cs="Book Antiqua"/>
          <w:color w:val="000000"/>
        </w:rPr>
        <w:t xml:space="preserve"> Figure 3), but there was no difference between HDL and LDL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&gt; 0.05).</w:t>
      </w:r>
    </w:p>
    <w:p w14:paraId="3F97DC4D" w14:textId="77777777" w:rsidR="003B17A6" w:rsidRPr="00B776D0" w:rsidRDefault="003B17A6" w:rsidP="00B776D0">
      <w:pPr>
        <w:spacing w:line="360" w:lineRule="auto"/>
        <w:jc w:val="both"/>
        <w:rPr>
          <w:rFonts w:ascii="Book Antiqua" w:hAnsi="Book Antiqua"/>
        </w:rPr>
      </w:pPr>
    </w:p>
    <w:p w14:paraId="3FEB41E0"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Changes in inflammatory factor levels in patients</w:t>
      </w:r>
    </w:p>
    <w:p w14:paraId="3F4B084A" w14:textId="5730D781"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In this study, we also detected changes in inflammatory factors in patients. The levels of TNF-α, IL-6</w:t>
      </w:r>
      <w:r w:rsidR="00DE7CB8">
        <w:rPr>
          <w:rFonts w:ascii="Book Antiqua" w:eastAsia="Book Antiqua" w:hAnsi="Book Antiqua" w:cs="Book Antiqua"/>
          <w:color w:val="000000"/>
        </w:rPr>
        <w:t>,</w:t>
      </w:r>
      <w:r w:rsidRPr="00B776D0">
        <w:rPr>
          <w:rFonts w:ascii="Book Antiqua" w:eastAsia="Book Antiqua" w:hAnsi="Book Antiqua" w:cs="Book Antiqua"/>
          <w:color w:val="000000"/>
        </w:rPr>
        <w:t xml:space="preserve"> and hs-CRP were significantly lower in both groups after treatment compared with those before treatment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0.01). Among them, the level of TNF-α, IL-6</w:t>
      </w:r>
      <w:r w:rsidR="00DE7CB8">
        <w:rPr>
          <w:rFonts w:ascii="Book Antiqua" w:eastAsia="Book Antiqua" w:hAnsi="Book Antiqua" w:cs="Book Antiqua"/>
          <w:color w:val="000000"/>
        </w:rPr>
        <w:t>,</w:t>
      </w:r>
      <w:r w:rsidRPr="00B776D0">
        <w:rPr>
          <w:rFonts w:ascii="Book Antiqua" w:eastAsia="Book Antiqua" w:hAnsi="Book Antiqua" w:cs="Book Antiqua"/>
          <w:color w:val="000000"/>
        </w:rPr>
        <w:t xml:space="preserve"> and hs-CRP decreased to a greater extent in group A than in group B after treatment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0.05</w:t>
      </w:r>
      <w:r w:rsidR="00DE7CB8">
        <w:rPr>
          <w:rFonts w:ascii="Book Antiqua" w:eastAsia="Book Antiqua" w:hAnsi="Book Antiqua" w:cs="Book Antiqua"/>
          <w:color w:val="000000"/>
        </w:rPr>
        <w:t>;</w:t>
      </w:r>
      <w:r w:rsidRPr="00B776D0">
        <w:rPr>
          <w:rFonts w:ascii="Book Antiqua" w:eastAsia="Book Antiqua" w:hAnsi="Book Antiqua" w:cs="Book Antiqua"/>
          <w:color w:val="000000"/>
        </w:rPr>
        <w:t xml:space="preserve"> Figure 4).</w:t>
      </w:r>
    </w:p>
    <w:p w14:paraId="3C89D786" w14:textId="77777777" w:rsidR="003B17A6" w:rsidRPr="00B776D0" w:rsidRDefault="003B17A6" w:rsidP="00B776D0">
      <w:pPr>
        <w:spacing w:line="360" w:lineRule="auto"/>
        <w:jc w:val="both"/>
        <w:rPr>
          <w:rFonts w:ascii="Book Antiqua" w:hAnsi="Book Antiqua"/>
        </w:rPr>
      </w:pPr>
    </w:p>
    <w:p w14:paraId="0F1E04F4" w14:textId="07C85386"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Analys</w:t>
      </w:r>
      <w:r w:rsidR="00B54732">
        <w:rPr>
          <w:rFonts w:ascii="Book Antiqua" w:eastAsia="Book Antiqua" w:hAnsi="Book Antiqua" w:cs="Book Antiqua"/>
          <w:b/>
          <w:bCs/>
          <w:i/>
          <w:iCs/>
          <w:color w:val="000000"/>
        </w:rPr>
        <w:t>e</w:t>
      </w:r>
      <w:r w:rsidRPr="00B776D0">
        <w:rPr>
          <w:rFonts w:ascii="Book Antiqua" w:eastAsia="Book Antiqua" w:hAnsi="Book Antiqua" w:cs="Book Antiqua"/>
          <w:b/>
          <w:bCs/>
          <w:i/>
          <w:iCs/>
          <w:color w:val="000000"/>
        </w:rPr>
        <w:t>s of adverse reactions</w:t>
      </w:r>
    </w:p>
    <w:p w14:paraId="0DB0ACE1" w14:textId="2B38DF1F"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Comparison of the adverse reactions between the two groups revealed that the incidence of adverse reactions was significantly lower in group A than in group B. There was a statistical difference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0.05</w:t>
      </w:r>
      <w:r w:rsidR="00B54732">
        <w:rPr>
          <w:rFonts w:ascii="Book Antiqua" w:eastAsia="Book Antiqua" w:hAnsi="Book Antiqua" w:cs="Book Antiqua"/>
          <w:color w:val="000000"/>
        </w:rPr>
        <w:t>;</w:t>
      </w:r>
      <w:r w:rsidRPr="00B776D0">
        <w:rPr>
          <w:rFonts w:ascii="Book Antiqua" w:eastAsia="Book Antiqua" w:hAnsi="Book Antiqua" w:cs="Book Antiqua"/>
          <w:color w:val="000000"/>
        </w:rPr>
        <w:t xml:space="preserve"> Table 2).</w:t>
      </w:r>
    </w:p>
    <w:p w14:paraId="4DE4FBF8" w14:textId="77777777" w:rsidR="003B17A6" w:rsidRPr="00B776D0" w:rsidRDefault="003B17A6" w:rsidP="00B776D0">
      <w:pPr>
        <w:spacing w:line="360" w:lineRule="auto"/>
        <w:jc w:val="both"/>
        <w:rPr>
          <w:rFonts w:ascii="Book Antiqua" w:hAnsi="Book Antiqua"/>
        </w:rPr>
      </w:pPr>
    </w:p>
    <w:p w14:paraId="64A336D4"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i/>
          <w:iCs/>
          <w:color w:val="000000"/>
        </w:rPr>
        <w:t>Changes in BMI after treatment</w:t>
      </w:r>
    </w:p>
    <w:p w14:paraId="647B45C5"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lastRenderedPageBreak/>
        <w:t>In this study, we also examined the changes in BMI before and after treatment in both groups. Patients in both groups showed a significant decrease in BMI through treatment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0.05), with patients in group A showing a higher decrease in BMI after treatment than those in group B (</w:t>
      </w:r>
      <w:r w:rsidRPr="00B776D0">
        <w:rPr>
          <w:rFonts w:ascii="Book Antiqua" w:eastAsia="Book Antiqua" w:hAnsi="Book Antiqua" w:cs="Book Antiqua"/>
          <w:i/>
          <w:iCs/>
          <w:color w:val="000000"/>
        </w:rPr>
        <w:t>P</w:t>
      </w:r>
      <w:r w:rsidRPr="00B776D0">
        <w:rPr>
          <w:rFonts w:ascii="Book Antiqua" w:eastAsia="Book Antiqua" w:hAnsi="Book Antiqua" w:cs="Book Antiqua"/>
          <w:color w:val="000000"/>
        </w:rPr>
        <w:t xml:space="preserve"> &lt; 0.001, Table 3).</w:t>
      </w:r>
    </w:p>
    <w:p w14:paraId="68307FD7" w14:textId="77777777" w:rsidR="003B17A6" w:rsidRPr="00B776D0" w:rsidRDefault="003B17A6" w:rsidP="00B776D0">
      <w:pPr>
        <w:spacing w:line="360" w:lineRule="auto"/>
        <w:jc w:val="both"/>
        <w:rPr>
          <w:rFonts w:ascii="Book Antiqua" w:hAnsi="Book Antiqua"/>
        </w:rPr>
      </w:pPr>
    </w:p>
    <w:p w14:paraId="27A53CD0"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aps/>
          <w:color w:val="000000"/>
          <w:u w:val="single"/>
        </w:rPr>
        <w:t>DISCUSSION</w:t>
      </w:r>
    </w:p>
    <w:p w14:paraId="091ACC0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Studying the causes of T2DM has expanded from the well-known deficiency of islet β-cell secretion, increased hepatic glycogen output, and decreased muscle glucose uptake to lipid metabolic disorder, weakening of the effect of intestinal glucagon, inappropriate secretion of glucagon in islet α-cells, increase of glucose reabsorption by renal tubules, and hypothalamic regulatory disorder of blood glucose</w:t>
      </w:r>
      <w:r w:rsidRPr="00B776D0">
        <w:rPr>
          <w:rFonts w:ascii="Book Antiqua" w:eastAsia="Book Antiqua" w:hAnsi="Book Antiqua" w:cs="Book Antiqua"/>
          <w:color w:val="000000"/>
          <w:vertAlign w:val="superscript"/>
        </w:rPr>
        <w:t>[12-14]</w:t>
      </w:r>
      <w:r w:rsidRPr="00B776D0">
        <w:rPr>
          <w:rFonts w:ascii="Book Antiqua" w:eastAsia="Book Antiqua" w:hAnsi="Book Antiqua" w:cs="Book Antiqua"/>
          <w:color w:val="000000"/>
        </w:rPr>
        <w:t>.</w:t>
      </w:r>
    </w:p>
    <w:p w14:paraId="64113766" w14:textId="654E1BFD"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t xml:space="preserve">Numerous types of drugs are available for the treatment of T2DM including insulin promoters, insulin sensitizers, α-glucosidase inhibitors, insulin or insulin analogs, dipeptidyl peptidase 4 inhibitors, and sodium-glucose co-transporter 2 </w:t>
      </w:r>
      <w:proofErr w:type="gramStart"/>
      <w:r w:rsidRPr="00B776D0">
        <w:rPr>
          <w:rFonts w:ascii="Book Antiqua" w:eastAsia="Book Antiqua" w:hAnsi="Book Antiqua" w:cs="Book Antiqua"/>
          <w:color w:val="000000"/>
        </w:rPr>
        <w:t>inhibitors</w:t>
      </w:r>
      <w:r w:rsidRPr="00B776D0">
        <w:rPr>
          <w:rFonts w:ascii="Book Antiqua" w:eastAsia="Book Antiqua" w:hAnsi="Book Antiqua" w:cs="Book Antiqua"/>
          <w:color w:val="000000"/>
          <w:vertAlign w:val="superscript"/>
        </w:rPr>
        <w:t>[</w:t>
      </w:r>
      <w:proofErr w:type="gramEnd"/>
      <w:r w:rsidRPr="00B776D0">
        <w:rPr>
          <w:rFonts w:ascii="Book Antiqua" w:eastAsia="Book Antiqua" w:hAnsi="Book Antiqua" w:cs="Book Antiqua"/>
          <w:color w:val="000000"/>
          <w:vertAlign w:val="superscript"/>
        </w:rPr>
        <w:t>15-17]</w:t>
      </w:r>
      <w:r w:rsidRPr="00B776D0">
        <w:rPr>
          <w:rFonts w:ascii="Book Antiqua" w:eastAsia="Book Antiqua" w:hAnsi="Book Antiqua" w:cs="Book Antiqua"/>
          <w:color w:val="000000"/>
        </w:rPr>
        <w:t xml:space="preserve">. However, most of these drugs are not only ineffective in maintaining blood glucose in the long term but also have side effects such as weight gain, progressive pancreatic β-cell failure, liver and renal impairment, gastrointestinal reactions, and an increased risk of </w:t>
      </w:r>
      <w:proofErr w:type="gramStart"/>
      <w:r w:rsidRPr="00B776D0">
        <w:rPr>
          <w:rFonts w:ascii="Book Antiqua" w:eastAsia="Book Antiqua" w:hAnsi="Book Antiqua" w:cs="Book Antiqua"/>
          <w:color w:val="000000"/>
        </w:rPr>
        <w:t>hypoglycemia</w:t>
      </w:r>
      <w:r w:rsidRPr="00B776D0">
        <w:rPr>
          <w:rFonts w:ascii="Book Antiqua" w:eastAsia="Book Antiqua" w:hAnsi="Book Antiqua" w:cs="Book Antiqua"/>
          <w:color w:val="000000"/>
          <w:vertAlign w:val="superscript"/>
        </w:rPr>
        <w:t>[</w:t>
      </w:r>
      <w:proofErr w:type="gramEnd"/>
      <w:r w:rsidRPr="00B776D0">
        <w:rPr>
          <w:rFonts w:ascii="Book Antiqua" w:eastAsia="Book Antiqua" w:hAnsi="Book Antiqua" w:cs="Book Antiqua"/>
          <w:color w:val="000000"/>
          <w:vertAlign w:val="superscript"/>
        </w:rPr>
        <w:t>18,19]</w:t>
      </w:r>
      <w:r w:rsidRPr="00B776D0">
        <w:rPr>
          <w:rFonts w:ascii="Book Antiqua" w:eastAsia="Book Antiqua" w:hAnsi="Book Antiqua" w:cs="Book Antiqua"/>
          <w:color w:val="000000"/>
        </w:rPr>
        <w:t xml:space="preserve">. GLP-1RA corrects the multiple pathophysiological mechanisms of T2DM and exert their biological effects by binding to GLP-1 receptors </w:t>
      </w:r>
      <w:r w:rsidRPr="00B776D0">
        <w:rPr>
          <w:rFonts w:ascii="Book Antiqua" w:eastAsia="Book Antiqua" w:hAnsi="Book Antiqua" w:cs="Book Antiqua"/>
          <w:i/>
          <w:iCs/>
          <w:color w:val="000000"/>
        </w:rPr>
        <w:t>in vivo</w:t>
      </w:r>
      <w:r w:rsidRPr="00B776D0">
        <w:rPr>
          <w:rFonts w:ascii="Book Antiqua" w:eastAsia="Book Antiqua" w:hAnsi="Book Antiqua" w:cs="Book Antiqua"/>
          <w:color w:val="000000"/>
          <w:vertAlign w:val="superscript"/>
        </w:rPr>
        <w:t>[20]</w:t>
      </w:r>
      <w:r w:rsidRPr="00B776D0">
        <w:rPr>
          <w:rFonts w:ascii="Book Antiqua" w:eastAsia="Book Antiqua" w:hAnsi="Book Antiqua" w:cs="Book Antiqua"/>
          <w:color w:val="000000"/>
        </w:rPr>
        <w:t>. GLP-1 receptors are widely distributed in several organs or tissues throughout the body including the central nervous system, gastrointestinal tract, cardiovascular system, liver, adipose tissue, muscle, and pancreas. There is a current lack of domestic and foreign research on the effects of weekly and daily formulations of GLP-1RA on blood glucose fluctuation; weekly formulations have good clinical application prospects to improve patient treatment compliance, and more clinical experience and safety data need to be obtained in future clinical practice.</w:t>
      </w:r>
    </w:p>
    <w:p w14:paraId="0387399F" w14:textId="3032CD17"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t xml:space="preserve">In the present study, we compared the blood glucose control effects of weekly GLP-1RA administration with that of daily GLP-1RA administration and analyzed glucose excursion and inflammation in overweight or obese patients with T2DM. After treatment, FBG, MBG, MAGE, total cholesterol, triglyceride, and TNF-α levels were measured in </w:t>
      </w:r>
      <w:r w:rsidRPr="00B776D0">
        <w:rPr>
          <w:rFonts w:ascii="Book Antiqua" w:eastAsia="Book Antiqua" w:hAnsi="Book Antiqua" w:cs="Book Antiqua"/>
          <w:color w:val="000000"/>
        </w:rPr>
        <w:lastRenderedPageBreak/>
        <w:t xml:space="preserve">patients in group A. The decrease in IL-6 and hs-CRP levels was greater in group A than in group B. We also found through glucose dynamic tests that the MBG, SDBG, CV%, MAGE, and MODD of patients in the two groups </w:t>
      </w:r>
      <w:r w:rsidR="00905A2A">
        <w:rPr>
          <w:rFonts w:ascii="Book Antiqua" w:eastAsia="Book Antiqua" w:hAnsi="Book Antiqua" w:cs="Book Antiqua"/>
          <w:color w:val="000000"/>
        </w:rPr>
        <w:t xml:space="preserve">were </w:t>
      </w:r>
      <w:r w:rsidRPr="00B776D0">
        <w:rPr>
          <w:rFonts w:ascii="Book Antiqua" w:eastAsia="Book Antiqua" w:hAnsi="Book Antiqua" w:cs="Book Antiqua"/>
          <w:color w:val="000000"/>
        </w:rPr>
        <w:t xml:space="preserve">decreased significantly after treatment compared to those before treatment, whereas TIR increased in both groups. This indicates that both treatment schemes can improve blood glucose drift in patients. However, we found that the MBG and MAGE levels in group A were significantly lower than those in group B. Previously, in a meta-analysis performed by Yang </w:t>
      </w:r>
      <w:r w:rsidRPr="00B776D0">
        <w:rPr>
          <w:rFonts w:ascii="Book Antiqua" w:eastAsia="Book Antiqua" w:hAnsi="Book Antiqua" w:cs="Book Antiqua"/>
          <w:i/>
          <w:iCs/>
          <w:color w:val="000000"/>
        </w:rPr>
        <w:t>et al</w:t>
      </w:r>
      <w:r w:rsidRPr="00B776D0">
        <w:rPr>
          <w:rFonts w:ascii="Book Antiqua" w:eastAsia="Book Antiqua" w:hAnsi="Book Antiqua" w:cs="Book Antiqua"/>
          <w:color w:val="000000"/>
          <w:vertAlign w:val="superscript"/>
        </w:rPr>
        <w:t>[21]</w:t>
      </w:r>
      <w:r w:rsidRPr="00B776D0">
        <w:rPr>
          <w:rFonts w:ascii="Book Antiqua" w:eastAsia="Book Antiqua" w:hAnsi="Book Antiqua" w:cs="Book Antiqua"/>
          <w:color w:val="000000"/>
        </w:rPr>
        <w:t>, it was found that the use of a GLP-1RA weekly formula was superior to the daily formula in improving HbA1c and FBG levels in patients with T2DM, which is consistent with our findings. This is because weekly preparations can effectively control FBG levels by stimulating insulin secretion and inhibiting glucagon secretion, whereas daily preparations mainly rely on delaying gastric emptying and slowing glucose absorption in the duodenum, mainly to lower PBG levels. In addition, weekly preparations have a half-life of several days and can continuously agitate GLP-1R to produce hypoglycemic effects; therefore, the hypoglycemic efficacy of weekly preparations, especially for FBG control, is better than that of daily preparations</w:t>
      </w:r>
      <w:r w:rsidRPr="00B776D0">
        <w:rPr>
          <w:rFonts w:ascii="Book Antiqua" w:eastAsia="Book Antiqua" w:hAnsi="Book Antiqua" w:cs="Book Antiqua"/>
          <w:color w:val="000000"/>
          <w:vertAlign w:val="superscript"/>
        </w:rPr>
        <w:t>[22]</w:t>
      </w:r>
      <w:r w:rsidRPr="00B776D0">
        <w:rPr>
          <w:rFonts w:ascii="Book Antiqua" w:eastAsia="Book Antiqua" w:hAnsi="Book Antiqua" w:cs="Book Antiqua"/>
          <w:color w:val="000000"/>
        </w:rPr>
        <w:t>. Most of the initially diagnosed obese patients with T2DM have inflammation, and inflammatory factors such as TNF-α, IL-6, and hs-CRP are abnormally elevated, and this inflammation leads to insulin resistance and increases the risk of cardiovascular disease, so it is significant to control inflammation in the body</w:t>
      </w:r>
      <w:r w:rsidRPr="00B776D0">
        <w:rPr>
          <w:rFonts w:ascii="Book Antiqua" w:eastAsia="Book Antiqua" w:hAnsi="Book Antiqua" w:cs="Book Antiqua"/>
          <w:color w:val="000000"/>
          <w:vertAlign w:val="superscript"/>
        </w:rPr>
        <w:t>[23]</w:t>
      </w:r>
      <w:r w:rsidRPr="00B776D0">
        <w:rPr>
          <w:rFonts w:ascii="Book Antiqua" w:eastAsia="Book Antiqua" w:hAnsi="Book Antiqua" w:cs="Book Antiqua"/>
          <w:color w:val="000000"/>
        </w:rPr>
        <w:t>. The results of the current study showed that after treatment, the levels of TNF-α and IL-6 in group A were lower than those in group B, indicating that the use of weekly preparations of GLP-1RA for treating obese patients with T2DM is more effective, facilitates the reduction of inflammatory factors, and has a higher safety for clinical application.</w:t>
      </w:r>
    </w:p>
    <w:p w14:paraId="75BA3C02" w14:textId="1144D29D"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t>GLP-1 receptors are expressed on cardiomyocytes, vascular smooth muscle cells, and vascular endothelial cells. GLP-1RA can inhibit smooth muscle cell proliferation and high glucose-induced apoptosis in endothelial cells, promote endothelial cell proliferation, stabilize the endothelial environment, and reduce injury, which directly affects the cardiovascular system and ultimately the outcome of patients with T2DM</w:t>
      </w:r>
      <w:r w:rsidRPr="00B776D0">
        <w:rPr>
          <w:rFonts w:ascii="Book Antiqua" w:eastAsia="Book Antiqua" w:hAnsi="Book Antiqua" w:cs="Book Antiqua"/>
          <w:color w:val="000000"/>
          <w:vertAlign w:val="superscript"/>
        </w:rPr>
        <w:t>[24]</w:t>
      </w:r>
      <w:r w:rsidRPr="00B776D0">
        <w:rPr>
          <w:rFonts w:ascii="Book Antiqua" w:eastAsia="Book Antiqua" w:hAnsi="Book Antiqua" w:cs="Book Antiqua"/>
          <w:color w:val="000000"/>
        </w:rPr>
        <w:t xml:space="preserve">. GLP-1RA acts on the hypothalamic feeding center to delay the emptying of food into the stomach, </w:t>
      </w:r>
      <w:r w:rsidRPr="00B776D0">
        <w:rPr>
          <w:rFonts w:ascii="Book Antiqua" w:eastAsia="Book Antiqua" w:hAnsi="Book Antiqua" w:cs="Book Antiqua"/>
          <w:color w:val="000000"/>
        </w:rPr>
        <w:lastRenderedPageBreak/>
        <w:t>suppressing the appetite of patients with a significant weight loss effect, and thus reducing the risk of cardiovascular disease</w:t>
      </w:r>
      <w:r w:rsidRPr="00B776D0">
        <w:rPr>
          <w:rFonts w:ascii="Book Antiqua" w:eastAsia="Book Antiqua" w:hAnsi="Book Antiqua" w:cs="Book Antiqua"/>
          <w:color w:val="000000"/>
          <w:vertAlign w:val="superscript"/>
        </w:rPr>
        <w:t>[25]</w:t>
      </w:r>
      <w:r w:rsidRPr="00B776D0">
        <w:rPr>
          <w:rFonts w:ascii="Book Antiqua" w:eastAsia="Book Antiqua" w:hAnsi="Book Antiqua" w:cs="Book Antiqua"/>
          <w:color w:val="000000"/>
        </w:rPr>
        <w:t>. In addition, GLP-1RA inhibitors directly participate in lipid metabolism and accelerate fat mobilization. The present study showed that the levels of total cholesterol and triglycerides post-treatment were lower in patients treated with the weekly formulation of GLP-1RA than in those treated with the daily formulation, suggesting that both drugs are suitable for obese patients with high lipid levels, but that the weekly formulation is the most effective.</w:t>
      </w:r>
    </w:p>
    <w:p w14:paraId="049D2239" w14:textId="00949D65" w:rsidR="003B17A6" w:rsidRPr="00B776D0" w:rsidRDefault="00BA6ED0" w:rsidP="00B776D0">
      <w:pPr>
        <w:spacing w:line="360" w:lineRule="auto"/>
        <w:ind w:firstLine="240"/>
        <w:jc w:val="both"/>
        <w:rPr>
          <w:rFonts w:ascii="Book Antiqua" w:hAnsi="Book Antiqua"/>
        </w:rPr>
      </w:pPr>
      <w:r w:rsidRPr="00B776D0">
        <w:rPr>
          <w:rFonts w:ascii="Book Antiqua" w:eastAsia="Book Antiqua" w:hAnsi="Book Antiqua" w:cs="Book Antiqua"/>
          <w:color w:val="000000"/>
        </w:rPr>
        <w:t>This study ha</w:t>
      </w:r>
      <w:r w:rsidR="006D0B9A">
        <w:rPr>
          <w:rFonts w:ascii="Book Antiqua" w:eastAsia="Book Antiqua" w:hAnsi="Book Antiqua" w:cs="Book Antiqua"/>
          <w:color w:val="000000"/>
        </w:rPr>
        <w:t>d</w:t>
      </w:r>
      <w:r w:rsidRPr="00B776D0">
        <w:rPr>
          <w:rFonts w:ascii="Book Antiqua" w:eastAsia="Book Antiqua" w:hAnsi="Book Antiqua" w:cs="Book Antiqua"/>
          <w:color w:val="000000"/>
        </w:rPr>
        <w:t xml:space="preserve"> some limitations. First, we did not conduct patient follow-up sessions. Second, this study was retrospective, which may have introduced a recall bias in the analysis of the results. Finally, only the short-term treatment effects of the two drugs were analyzed, and it remains unclear whether there are differences in the long-term. Future studies should address these limitations through extensive clinical trials to refine our conclusions.</w:t>
      </w:r>
    </w:p>
    <w:p w14:paraId="1B36A42D" w14:textId="77777777" w:rsidR="003B17A6" w:rsidRPr="00B776D0" w:rsidRDefault="003B17A6" w:rsidP="00B776D0">
      <w:pPr>
        <w:spacing w:line="360" w:lineRule="auto"/>
        <w:jc w:val="both"/>
        <w:rPr>
          <w:rFonts w:ascii="Book Antiqua" w:hAnsi="Book Antiqua"/>
        </w:rPr>
      </w:pPr>
    </w:p>
    <w:p w14:paraId="1A45000E"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aps/>
          <w:color w:val="000000"/>
          <w:u w:val="single"/>
        </w:rPr>
        <w:t>CONCLUSION</w:t>
      </w:r>
    </w:p>
    <w:p w14:paraId="641FEB48"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In conclusion, the effect of weekly preparations of GLP-1RA in controlling the blood glucose levels in obese patients with T2DM, inhibiting inflammation, and reducing adverse reactions was significantly higher than that of daily preparations, which is worthy of clinical promotion.</w:t>
      </w:r>
    </w:p>
    <w:p w14:paraId="37920CF6" w14:textId="77777777" w:rsidR="003B17A6" w:rsidRPr="00B776D0" w:rsidRDefault="003B17A6" w:rsidP="00B776D0">
      <w:pPr>
        <w:spacing w:line="360" w:lineRule="auto"/>
        <w:jc w:val="both"/>
        <w:rPr>
          <w:rFonts w:ascii="Book Antiqua" w:hAnsi="Book Antiqua"/>
        </w:rPr>
      </w:pPr>
    </w:p>
    <w:p w14:paraId="7908111B"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aps/>
          <w:color w:val="000000"/>
          <w:u w:val="single"/>
        </w:rPr>
        <w:t>ARTICLE HIGHLIGHTS</w:t>
      </w:r>
    </w:p>
    <w:p w14:paraId="45852D8C"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i/>
          <w:color w:val="000000"/>
        </w:rPr>
        <w:t>Research background</w:t>
      </w:r>
    </w:p>
    <w:p w14:paraId="21312DB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The background of the research is the increasing prevalence and challenges associated with </w:t>
      </w:r>
      <w:r w:rsidR="00B776D0" w:rsidRPr="00B776D0">
        <w:rPr>
          <w:rFonts w:ascii="Book Antiqua" w:eastAsia="Book Antiqua" w:hAnsi="Book Antiqua" w:cs="Book Antiqua"/>
          <w:color w:val="000000"/>
        </w:rPr>
        <w:t>type 2 diabetes m</w:t>
      </w:r>
      <w:r w:rsidRPr="00B776D0">
        <w:rPr>
          <w:rFonts w:ascii="Book Antiqua" w:eastAsia="Book Antiqua" w:hAnsi="Book Antiqua" w:cs="Book Antiqua"/>
          <w:color w:val="000000"/>
        </w:rPr>
        <w:t>ellitus (T2DM). The study explores the causes of T2DM and the limitations of current treatment options.</w:t>
      </w:r>
    </w:p>
    <w:p w14:paraId="76B2FDB2" w14:textId="77777777" w:rsidR="003B17A6" w:rsidRPr="00B776D0" w:rsidRDefault="003B17A6" w:rsidP="00B776D0">
      <w:pPr>
        <w:spacing w:line="360" w:lineRule="auto"/>
        <w:jc w:val="both"/>
        <w:rPr>
          <w:rFonts w:ascii="Book Antiqua" w:hAnsi="Book Antiqua"/>
        </w:rPr>
      </w:pPr>
    </w:p>
    <w:p w14:paraId="4BBB956B"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i/>
          <w:color w:val="000000"/>
        </w:rPr>
        <w:t>Research motivation</w:t>
      </w:r>
    </w:p>
    <w:p w14:paraId="765FF82B" w14:textId="7CFD8BD8"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 xml:space="preserve">The motivation behind the research is to address the limitations of existing drugs for T2DM treatment and explore the potential of </w:t>
      </w:r>
      <w:r w:rsidR="00B776D0" w:rsidRPr="00B776D0">
        <w:rPr>
          <w:rFonts w:ascii="Book Antiqua" w:eastAsia="Book Antiqua" w:hAnsi="Book Antiqua" w:cs="Book Antiqua"/>
          <w:color w:val="000000"/>
        </w:rPr>
        <w:t>glucagon-like peptide-1 receptor agonists</w:t>
      </w:r>
      <w:r w:rsidRPr="00B776D0">
        <w:rPr>
          <w:rFonts w:ascii="Book Antiqua" w:eastAsia="Book Antiqua" w:hAnsi="Book Antiqua" w:cs="Book Antiqua"/>
          <w:color w:val="000000"/>
        </w:rPr>
        <w:t xml:space="preserve"> (</w:t>
      </w:r>
      <w:r w:rsidR="00B776D0" w:rsidRPr="00B776D0">
        <w:rPr>
          <w:rFonts w:ascii="Book Antiqua" w:eastAsia="Book Antiqua" w:hAnsi="Book Antiqua" w:cs="Book Antiqua"/>
          <w:color w:val="000000"/>
        </w:rPr>
        <w:t>GLP-1RA</w:t>
      </w:r>
      <w:r w:rsidR="006D0B9A">
        <w:rPr>
          <w:rFonts w:ascii="Book Antiqua" w:eastAsia="Book Antiqua" w:hAnsi="Book Antiqua" w:cs="Book Antiqua"/>
          <w:color w:val="000000"/>
        </w:rPr>
        <w:t>s</w:t>
      </w:r>
      <w:r w:rsidRPr="00B776D0">
        <w:rPr>
          <w:rFonts w:ascii="Book Antiqua" w:eastAsia="Book Antiqua" w:hAnsi="Book Antiqua" w:cs="Book Antiqua"/>
          <w:color w:val="000000"/>
        </w:rPr>
        <w:t>) as a more effective therapeutic option.</w:t>
      </w:r>
    </w:p>
    <w:p w14:paraId="2663219D"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i/>
          <w:color w:val="000000"/>
        </w:rPr>
        <w:lastRenderedPageBreak/>
        <w:t>Research objectives</w:t>
      </w:r>
    </w:p>
    <w:p w14:paraId="440D3EEE" w14:textId="05C9617A"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The objectives of the research are to compare the blood glucose control effects of weekly and daily formulations of GLP-1RA</w:t>
      </w:r>
      <w:r w:rsidR="003079DA">
        <w:rPr>
          <w:rFonts w:ascii="Book Antiqua" w:eastAsia="Book Antiqua" w:hAnsi="Book Antiqua" w:cs="Book Antiqua"/>
          <w:color w:val="000000"/>
        </w:rPr>
        <w:t>s</w:t>
      </w:r>
      <w:r w:rsidRPr="00B776D0">
        <w:rPr>
          <w:rFonts w:ascii="Book Antiqua" w:eastAsia="Book Antiqua" w:hAnsi="Book Antiqua" w:cs="Book Antiqua"/>
          <w:color w:val="000000"/>
        </w:rPr>
        <w:t>, analyze glucose excursion and inflammation in overweight or obese patients with T2DM, and evaluate the safety and clinical application prospects of the weekly formulation.</w:t>
      </w:r>
    </w:p>
    <w:p w14:paraId="4B340175" w14:textId="77777777" w:rsidR="003B17A6" w:rsidRPr="00B776D0" w:rsidRDefault="003B17A6" w:rsidP="00B776D0">
      <w:pPr>
        <w:spacing w:line="360" w:lineRule="auto"/>
        <w:jc w:val="both"/>
        <w:rPr>
          <w:rFonts w:ascii="Book Antiqua" w:hAnsi="Book Antiqua"/>
        </w:rPr>
      </w:pPr>
    </w:p>
    <w:p w14:paraId="2528CCE8"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i/>
          <w:color w:val="000000"/>
        </w:rPr>
        <w:t>Research methods</w:t>
      </w:r>
    </w:p>
    <w:p w14:paraId="2949AD3C"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The study involved administering weekly and daily formulations of GLP-1RA to the participants and measuring various parameters such as fasting blood glucose, mean blood glucose, glucose excursion, lipid levels, and inflammation markers. Glucose dynamic tests were conducted to assess blood glucose fluctuations.</w:t>
      </w:r>
    </w:p>
    <w:p w14:paraId="0A879F2E" w14:textId="77777777" w:rsidR="003B17A6" w:rsidRPr="00B776D0" w:rsidRDefault="003B17A6" w:rsidP="00B776D0">
      <w:pPr>
        <w:spacing w:line="360" w:lineRule="auto"/>
        <w:jc w:val="both"/>
        <w:rPr>
          <w:rFonts w:ascii="Book Antiqua" w:hAnsi="Book Antiqua"/>
        </w:rPr>
      </w:pPr>
    </w:p>
    <w:p w14:paraId="0FF26D06"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i/>
          <w:color w:val="000000"/>
        </w:rPr>
        <w:t>Research results</w:t>
      </w:r>
    </w:p>
    <w:p w14:paraId="624D3354"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The results indicated that the weekly formulation of GLP-1RA had superior blood glucose control effects compared to the daily formulation. It resulted in lower mean blood glucose levels, reduced glucose excursion, and improved lipid profiles. Additionally, the weekly formulation showed a greater decrease in inflammation markers.</w:t>
      </w:r>
    </w:p>
    <w:p w14:paraId="46B7078A" w14:textId="77777777" w:rsidR="003B17A6" w:rsidRPr="00B776D0" w:rsidRDefault="003B17A6" w:rsidP="00B776D0">
      <w:pPr>
        <w:spacing w:line="360" w:lineRule="auto"/>
        <w:jc w:val="both"/>
        <w:rPr>
          <w:rFonts w:ascii="Book Antiqua" w:hAnsi="Book Antiqua"/>
        </w:rPr>
      </w:pPr>
    </w:p>
    <w:p w14:paraId="76A913CB"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i/>
          <w:color w:val="000000"/>
        </w:rPr>
        <w:t>Research conclusions</w:t>
      </w:r>
    </w:p>
    <w:p w14:paraId="4F694AB5"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Based on the findings, the research concludes that the weekly formulation of GLP-1RA is more effective in controlling blood glucose levels, inhibiting inflammation, and reducing adverse reactions in obese patients with T2DM. It suggests that the weekly formulation has promising clinical applications and should be considered for wider implementation.</w:t>
      </w:r>
    </w:p>
    <w:p w14:paraId="1563D441" w14:textId="77777777" w:rsidR="003B17A6" w:rsidRPr="00B776D0" w:rsidRDefault="003B17A6" w:rsidP="00B776D0">
      <w:pPr>
        <w:spacing w:line="360" w:lineRule="auto"/>
        <w:jc w:val="both"/>
        <w:rPr>
          <w:rFonts w:ascii="Book Antiqua" w:hAnsi="Book Antiqua"/>
        </w:rPr>
      </w:pPr>
    </w:p>
    <w:p w14:paraId="31D27491"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i/>
          <w:color w:val="000000"/>
        </w:rPr>
        <w:t>Research perspectives</w:t>
      </w:r>
    </w:p>
    <w:p w14:paraId="71CEA5EE"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color w:val="000000"/>
        </w:rPr>
        <w:t>To investigate the effects of weekly and daily formulations of GLP-1RA on glucose excursion and inflammation in overweight and obese patients with type 2 diabetes.</w:t>
      </w:r>
    </w:p>
    <w:p w14:paraId="1FC091B3" w14:textId="77777777" w:rsidR="003B17A6" w:rsidRPr="00B776D0" w:rsidRDefault="003B17A6" w:rsidP="00B776D0">
      <w:pPr>
        <w:spacing w:line="360" w:lineRule="auto"/>
        <w:jc w:val="both"/>
        <w:rPr>
          <w:rFonts w:ascii="Book Antiqua" w:hAnsi="Book Antiqua"/>
        </w:rPr>
      </w:pPr>
    </w:p>
    <w:p w14:paraId="39A24BC8"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t>REFERENCES</w:t>
      </w:r>
    </w:p>
    <w:p w14:paraId="224203A3" w14:textId="77777777" w:rsidR="003B17A6" w:rsidRPr="00B776D0" w:rsidRDefault="00BA6ED0" w:rsidP="00B776D0">
      <w:pPr>
        <w:spacing w:line="360" w:lineRule="auto"/>
        <w:jc w:val="both"/>
        <w:rPr>
          <w:rFonts w:ascii="Book Antiqua" w:hAnsi="Book Antiqua"/>
        </w:rPr>
      </w:pPr>
      <w:r w:rsidRPr="00B776D0">
        <w:rPr>
          <w:rFonts w:ascii="Book Antiqua" w:hAnsi="Book Antiqua"/>
        </w:rPr>
        <w:lastRenderedPageBreak/>
        <w:t xml:space="preserve">1 </w:t>
      </w:r>
      <w:proofErr w:type="spellStart"/>
      <w:r w:rsidRPr="00B776D0">
        <w:rPr>
          <w:rFonts w:ascii="Book Antiqua" w:hAnsi="Book Antiqua"/>
          <w:b/>
          <w:bCs/>
        </w:rPr>
        <w:t>Valenti</w:t>
      </w:r>
      <w:proofErr w:type="spellEnd"/>
      <w:r w:rsidRPr="00B776D0">
        <w:rPr>
          <w:rFonts w:ascii="Book Antiqua" w:hAnsi="Book Antiqua"/>
          <w:b/>
          <w:bCs/>
        </w:rPr>
        <w:t xml:space="preserve"> G</w:t>
      </w:r>
      <w:r w:rsidRPr="00B776D0">
        <w:rPr>
          <w:rFonts w:ascii="Book Antiqua" w:hAnsi="Book Antiqua"/>
        </w:rPr>
        <w:t xml:space="preserve">, </w:t>
      </w:r>
      <w:proofErr w:type="spellStart"/>
      <w:r w:rsidRPr="00B776D0">
        <w:rPr>
          <w:rFonts w:ascii="Book Antiqua" w:hAnsi="Book Antiqua"/>
        </w:rPr>
        <w:t>Tamma</w:t>
      </w:r>
      <w:proofErr w:type="spellEnd"/>
      <w:r w:rsidRPr="00B776D0">
        <w:rPr>
          <w:rFonts w:ascii="Book Antiqua" w:hAnsi="Book Antiqua"/>
        </w:rPr>
        <w:t xml:space="preserve"> G. History of Diabetes Insipidus. </w:t>
      </w:r>
      <w:r w:rsidRPr="00B776D0">
        <w:rPr>
          <w:rFonts w:ascii="Book Antiqua" w:hAnsi="Book Antiqua"/>
          <w:i/>
          <w:iCs/>
        </w:rPr>
        <w:t xml:space="preserve">G Ital </w:t>
      </w:r>
      <w:proofErr w:type="spellStart"/>
      <w:r w:rsidRPr="00B776D0">
        <w:rPr>
          <w:rFonts w:ascii="Book Antiqua" w:hAnsi="Book Antiqua"/>
          <w:i/>
          <w:iCs/>
        </w:rPr>
        <w:t>Nefrol</w:t>
      </w:r>
      <w:proofErr w:type="spellEnd"/>
      <w:r w:rsidRPr="00B776D0">
        <w:rPr>
          <w:rFonts w:ascii="Book Antiqua" w:hAnsi="Book Antiqua"/>
        </w:rPr>
        <w:t xml:space="preserve"> 2016; </w:t>
      </w:r>
      <w:r w:rsidRPr="00B776D0">
        <w:rPr>
          <w:rFonts w:ascii="Book Antiqua" w:hAnsi="Book Antiqua"/>
          <w:b/>
          <w:bCs/>
        </w:rPr>
        <w:t>33</w:t>
      </w:r>
      <w:r w:rsidRPr="00B776D0">
        <w:rPr>
          <w:rFonts w:ascii="Book Antiqua" w:hAnsi="Book Antiqua"/>
        </w:rPr>
        <w:t xml:space="preserve"> Suppl 66: 33.S66.1 [PMID: 26913870]</w:t>
      </w:r>
    </w:p>
    <w:p w14:paraId="59923EBC"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2 </w:t>
      </w:r>
      <w:r w:rsidRPr="00B776D0">
        <w:rPr>
          <w:rFonts w:ascii="Book Antiqua" w:hAnsi="Book Antiqua"/>
          <w:b/>
          <w:bCs/>
        </w:rPr>
        <w:t>Palumbo C</w:t>
      </w:r>
      <w:r w:rsidRPr="00B776D0">
        <w:rPr>
          <w:rFonts w:ascii="Book Antiqua" w:hAnsi="Book Antiqua"/>
        </w:rPr>
        <w:t xml:space="preserve">, </w:t>
      </w:r>
      <w:proofErr w:type="spellStart"/>
      <w:r w:rsidRPr="00B776D0">
        <w:rPr>
          <w:rFonts w:ascii="Book Antiqua" w:hAnsi="Book Antiqua"/>
        </w:rPr>
        <w:t>Nicolaci</w:t>
      </w:r>
      <w:proofErr w:type="spellEnd"/>
      <w:r w:rsidRPr="00B776D0">
        <w:rPr>
          <w:rFonts w:ascii="Book Antiqua" w:hAnsi="Book Antiqua"/>
        </w:rPr>
        <w:t xml:space="preserve"> N, La Manna AA, </w:t>
      </w:r>
      <w:proofErr w:type="spellStart"/>
      <w:r w:rsidRPr="00B776D0">
        <w:rPr>
          <w:rFonts w:ascii="Book Antiqua" w:hAnsi="Book Antiqua"/>
        </w:rPr>
        <w:t>Branek</w:t>
      </w:r>
      <w:proofErr w:type="spellEnd"/>
      <w:r w:rsidRPr="00B776D0">
        <w:rPr>
          <w:rFonts w:ascii="Book Antiqua" w:hAnsi="Book Antiqua"/>
        </w:rPr>
        <w:t xml:space="preserve"> N, </w:t>
      </w:r>
      <w:proofErr w:type="spellStart"/>
      <w:r w:rsidRPr="00B776D0">
        <w:rPr>
          <w:rFonts w:ascii="Book Antiqua" w:hAnsi="Book Antiqua"/>
        </w:rPr>
        <w:t>Pissano</w:t>
      </w:r>
      <w:proofErr w:type="spellEnd"/>
      <w:r w:rsidRPr="00B776D0">
        <w:rPr>
          <w:rFonts w:ascii="Book Antiqua" w:hAnsi="Book Antiqua"/>
        </w:rPr>
        <w:t xml:space="preserve"> MN. [Association between central diabetes insipidus and type 2 diabetes mellitus]. </w:t>
      </w:r>
      <w:proofErr w:type="spellStart"/>
      <w:r w:rsidRPr="00B776D0">
        <w:rPr>
          <w:rFonts w:ascii="Book Antiqua" w:hAnsi="Book Antiqua"/>
          <w:i/>
          <w:iCs/>
        </w:rPr>
        <w:t>Medicina</w:t>
      </w:r>
      <w:proofErr w:type="spellEnd"/>
      <w:r w:rsidRPr="00B776D0">
        <w:rPr>
          <w:rFonts w:ascii="Book Antiqua" w:hAnsi="Book Antiqua"/>
          <w:i/>
          <w:iCs/>
        </w:rPr>
        <w:t xml:space="preserve"> (B Aires)</w:t>
      </w:r>
      <w:r w:rsidRPr="00B776D0">
        <w:rPr>
          <w:rFonts w:ascii="Book Antiqua" w:hAnsi="Book Antiqua"/>
        </w:rPr>
        <w:t xml:space="preserve"> 2018; </w:t>
      </w:r>
      <w:r w:rsidRPr="00B776D0">
        <w:rPr>
          <w:rFonts w:ascii="Book Antiqua" w:hAnsi="Book Antiqua"/>
          <w:b/>
          <w:bCs/>
        </w:rPr>
        <w:t>78</w:t>
      </w:r>
      <w:r w:rsidRPr="00B776D0">
        <w:rPr>
          <w:rFonts w:ascii="Book Antiqua" w:hAnsi="Book Antiqua"/>
        </w:rPr>
        <w:t>: 127-130 [PMID: 29659364]</w:t>
      </w:r>
    </w:p>
    <w:p w14:paraId="5A7D86D1"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3 </w:t>
      </w:r>
      <w:proofErr w:type="spellStart"/>
      <w:r w:rsidRPr="00B776D0">
        <w:rPr>
          <w:rFonts w:ascii="Book Antiqua" w:hAnsi="Book Antiqua"/>
          <w:b/>
          <w:bCs/>
        </w:rPr>
        <w:t>Scherbaum</w:t>
      </w:r>
      <w:proofErr w:type="spellEnd"/>
      <w:r w:rsidRPr="00B776D0">
        <w:rPr>
          <w:rFonts w:ascii="Book Antiqua" w:hAnsi="Book Antiqua"/>
          <w:b/>
          <w:bCs/>
        </w:rPr>
        <w:t xml:space="preserve"> WA</w:t>
      </w:r>
      <w:r w:rsidRPr="00B776D0">
        <w:rPr>
          <w:rFonts w:ascii="Book Antiqua" w:hAnsi="Book Antiqua"/>
        </w:rPr>
        <w:t xml:space="preserve">. Autoimmune diabetes insipidus. </w:t>
      </w:r>
      <w:proofErr w:type="spellStart"/>
      <w:r w:rsidRPr="00B776D0">
        <w:rPr>
          <w:rFonts w:ascii="Book Antiqua" w:hAnsi="Book Antiqua"/>
          <w:i/>
          <w:iCs/>
        </w:rPr>
        <w:t>Handb</w:t>
      </w:r>
      <w:proofErr w:type="spellEnd"/>
      <w:r w:rsidRPr="00B776D0">
        <w:rPr>
          <w:rFonts w:ascii="Book Antiqua" w:hAnsi="Book Antiqua"/>
          <w:i/>
          <w:iCs/>
        </w:rPr>
        <w:t xml:space="preserve"> Clin Neurol</w:t>
      </w:r>
      <w:r w:rsidRPr="00B776D0">
        <w:rPr>
          <w:rFonts w:ascii="Book Antiqua" w:hAnsi="Book Antiqua"/>
        </w:rPr>
        <w:t xml:space="preserve"> 2021; </w:t>
      </w:r>
      <w:r w:rsidRPr="00B776D0">
        <w:rPr>
          <w:rFonts w:ascii="Book Antiqua" w:hAnsi="Book Antiqua"/>
          <w:b/>
          <w:bCs/>
        </w:rPr>
        <w:t>181</w:t>
      </w:r>
      <w:r w:rsidRPr="00B776D0">
        <w:rPr>
          <w:rFonts w:ascii="Book Antiqua" w:hAnsi="Book Antiqua"/>
        </w:rPr>
        <w:t>: 193-204 [PMID: 34238458 DOI: 10.1016/B978-0-12-820683-6.00015-4]</w:t>
      </w:r>
    </w:p>
    <w:p w14:paraId="1CA9D592"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4 </w:t>
      </w:r>
      <w:proofErr w:type="spellStart"/>
      <w:r w:rsidRPr="00B776D0">
        <w:rPr>
          <w:rFonts w:ascii="Book Antiqua" w:hAnsi="Book Antiqua"/>
          <w:b/>
          <w:bCs/>
        </w:rPr>
        <w:t>Refardt</w:t>
      </w:r>
      <w:proofErr w:type="spellEnd"/>
      <w:r w:rsidRPr="00B776D0">
        <w:rPr>
          <w:rFonts w:ascii="Book Antiqua" w:hAnsi="Book Antiqua"/>
          <w:b/>
          <w:bCs/>
        </w:rPr>
        <w:t xml:space="preserve"> J</w:t>
      </w:r>
      <w:r w:rsidRPr="00B776D0">
        <w:rPr>
          <w:rFonts w:ascii="Book Antiqua" w:hAnsi="Book Antiqua"/>
        </w:rPr>
        <w:t xml:space="preserve">, </w:t>
      </w:r>
      <w:proofErr w:type="spellStart"/>
      <w:r w:rsidRPr="00B776D0">
        <w:rPr>
          <w:rFonts w:ascii="Book Antiqua" w:hAnsi="Book Antiqua"/>
        </w:rPr>
        <w:t>Winzeler</w:t>
      </w:r>
      <w:proofErr w:type="spellEnd"/>
      <w:r w:rsidRPr="00B776D0">
        <w:rPr>
          <w:rFonts w:ascii="Book Antiqua" w:hAnsi="Book Antiqua"/>
        </w:rPr>
        <w:t xml:space="preserve"> B, Christ-Crain M. Diabetes Insipidus: An Update. </w:t>
      </w:r>
      <w:r w:rsidRPr="00B776D0">
        <w:rPr>
          <w:rFonts w:ascii="Book Antiqua" w:hAnsi="Book Antiqua"/>
          <w:i/>
          <w:iCs/>
        </w:rPr>
        <w:t xml:space="preserve">Endocrinol </w:t>
      </w:r>
      <w:proofErr w:type="spellStart"/>
      <w:r w:rsidRPr="00B776D0">
        <w:rPr>
          <w:rFonts w:ascii="Book Antiqua" w:hAnsi="Book Antiqua"/>
          <w:i/>
          <w:iCs/>
        </w:rPr>
        <w:t>Metab</w:t>
      </w:r>
      <w:proofErr w:type="spellEnd"/>
      <w:r w:rsidRPr="00B776D0">
        <w:rPr>
          <w:rFonts w:ascii="Book Antiqua" w:hAnsi="Book Antiqua"/>
          <w:i/>
          <w:iCs/>
        </w:rPr>
        <w:t xml:space="preserve"> Clin North Am</w:t>
      </w:r>
      <w:r w:rsidRPr="00B776D0">
        <w:rPr>
          <w:rFonts w:ascii="Book Antiqua" w:hAnsi="Book Antiqua"/>
        </w:rPr>
        <w:t xml:space="preserve"> 2020; </w:t>
      </w:r>
      <w:r w:rsidRPr="00B776D0">
        <w:rPr>
          <w:rFonts w:ascii="Book Antiqua" w:hAnsi="Book Antiqua"/>
          <w:b/>
          <w:bCs/>
        </w:rPr>
        <w:t>49</w:t>
      </w:r>
      <w:r w:rsidRPr="00B776D0">
        <w:rPr>
          <w:rFonts w:ascii="Book Antiqua" w:hAnsi="Book Antiqua"/>
        </w:rPr>
        <w:t>: 517-531 [PMID: 32741486 DOI: 10.1016/j.ecl.2020.05.012]</w:t>
      </w:r>
    </w:p>
    <w:p w14:paraId="3A730D1E"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5 </w:t>
      </w:r>
      <w:proofErr w:type="spellStart"/>
      <w:r w:rsidRPr="00B776D0">
        <w:rPr>
          <w:rFonts w:ascii="Book Antiqua" w:hAnsi="Book Antiqua"/>
          <w:b/>
          <w:bCs/>
        </w:rPr>
        <w:t>Rossing</w:t>
      </w:r>
      <w:proofErr w:type="spellEnd"/>
      <w:r w:rsidRPr="00B776D0">
        <w:rPr>
          <w:rFonts w:ascii="Book Antiqua" w:hAnsi="Book Antiqua"/>
          <w:b/>
          <w:bCs/>
        </w:rPr>
        <w:t xml:space="preserve"> P</w:t>
      </w:r>
      <w:r w:rsidRPr="00B776D0">
        <w:rPr>
          <w:rFonts w:ascii="Book Antiqua" w:hAnsi="Book Antiqua"/>
        </w:rPr>
        <w:t xml:space="preserve">, Agarwal R, Anker SD, </w:t>
      </w:r>
      <w:proofErr w:type="spellStart"/>
      <w:r w:rsidRPr="00B776D0">
        <w:rPr>
          <w:rFonts w:ascii="Book Antiqua" w:hAnsi="Book Antiqua"/>
        </w:rPr>
        <w:t>Filippatos</w:t>
      </w:r>
      <w:proofErr w:type="spellEnd"/>
      <w:r w:rsidRPr="00B776D0">
        <w:rPr>
          <w:rFonts w:ascii="Book Antiqua" w:hAnsi="Book Antiqua"/>
        </w:rPr>
        <w:t xml:space="preserve"> G, Pitt B, </w:t>
      </w:r>
      <w:proofErr w:type="spellStart"/>
      <w:r w:rsidRPr="00B776D0">
        <w:rPr>
          <w:rFonts w:ascii="Book Antiqua" w:hAnsi="Book Antiqua"/>
        </w:rPr>
        <w:t>Ruilope</w:t>
      </w:r>
      <w:proofErr w:type="spellEnd"/>
      <w:r w:rsidRPr="00B776D0">
        <w:rPr>
          <w:rFonts w:ascii="Book Antiqua" w:hAnsi="Book Antiqua"/>
        </w:rPr>
        <w:t xml:space="preserve"> LM, </w:t>
      </w:r>
      <w:proofErr w:type="spellStart"/>
      <w:r w:rsidRPr="00B776D0">
        <w:rPr>
          <w:rFonts w:ascii="Book Antiqua" w:hAnsi="Book Antiqua"/>
        </w:rPr>
        <w:t>Amod</w:t>
      </w:r>
      <w:proofErr w:type="spellEnd"/>
      <w:r w:rsidRPr="00B776D0">
        <w:rPr>
          <w:rFonts w:ascii="Book Antiqua" w:hAnsi="Book Antiqua"/>
        </w:rPr>
        <w:t xml:space="preserve"> A, </w:t>
      </w:r>
      <w:proofErr w:type="spellStart"/>
      <w:r w:rsidRPr="00B776D0">
        <w:rPr>
          <w:rFonts w:ascii="Book Antiqua" w:hAnsi="Book Antiqua"/>
        </w:rPr>
        <w:t>Marre</w:t>
      </w:r>
      <w:proofErr w:type="spellEnd"/>
      <w:r w:rsidRPr="00B776D0">
        <w:rPr>
          <w:rFonts w:ascii="Book Antiqua" w:hAnsi="Book Antiqua"/>
        </w:rPr>
        <w:t xml:space="preserve"> M, Joseph A, Lage A, Scott C, </w:t>
      </w:r>
      <w:proofErr w:type="spellStart"/>
      <w:r w:rsidRPr="00B776D0">
        <w:rPr>
          <w:rFonts w:ascii="Book Antiqua" w:hAnsi="Book Antiqua"/>
        </w:rPr>
        <w:t>Bakris</w:t>
      </w:r>
      <w:proofErr w:type="spellEnd"/>
      <w:r w:rsidRPr="00B776D0">
        <w:rPr>
          <w:rFonts w:ascii="Book Antiqua" w:hAnsi="Book Antiqua"/>
        </w:rPr>
        <w:t xml:space="preserve"> GL; FIDELIO-DKD Investigators. Efficacy and safety of </w:t>
      </w:r>
      <w:proofErr w:type="spellStart"/>
      <w:r w:rsidRPr="00B776D0">
        <w:rPr>
          <w:rFonts w:ascii="Book Antiqua" w:hAnsi="Book Antiqua"/>
        </w:rPr>
        <w:t>finerenone</w:t>
      </w:r>
      <w:proofErr w:type="spellEnd"/>
      <w:r w:rsidRPr="00B776D0">
        <w:rPr>
          <w:rFonts w:ascii="Book Antiqua" w:hAnsi="Book Antiqua"/>
        </w:rPr>
        <w:t xml:space="preserve"> in patients with chronic kidney disease and type 2 diabetes by GLP-1RA treatment: A subgroup analysis from the FIDELIO-DKD trial. </w:t>
      </w:r>
      <w:r w:rsidRPr="00B776D0">
        <w:rPr>
          <w:rFonts w:ascii="Book Antiqua" w:hAnsi="Book Antiqua"/>
          <w:i/>
          <w:iCs/>
        </w:rPr>
        <w:t xml:space="preserve">Diabetes </w:t>
      </w:r>
      <w:proofErr w:type="spellStart"/>
      <w:r w:rsidRPr="00B776D0">
        <w:rPr>
          <w:rFonts w:ascii="Book Antiqua" w:hAnsi="Book Antiqua"/>
          <w:i/>
          <w:iCs/>
        </w:rPr>
        <w:t>Obes</w:t>
      </w:r>
      <w:proofErr w:type="spellEnd"/>
      <w:r w:rsidRPr="00B776D0">
        <w:rPr>
          <w:rFonts w:ascii="Book Antiqua" w:hAnsi="Book Antiqua"/>
          <w:i/>
          <w:iCs/>
        </w:rPr>
        <w:t xml:space="preserve"> </w:t>
      </w:r>
      <w:proofErr w:type="spellStart"/>
      <w:r w:rsidRPr="00B776D0">
        <w:rPr>
          <w:rFonts w:ascii="Book Antiqua" w:hAnsi="Book Antiqua"/>
          <w:i/>
          <w:iCs/>
        </w:rPr>
        <w:t>Metab</w:t>
      </w:r>
      <w:proofErr w:type="spellEnd"/>
      <w:r w:rsidRPr="00B776D0">
        <w:rPr>
          <w:rFonts w:ascii="Book Antiqua" w:hAnsi="Book Antiqua"/>
        </w:rPr>
        <w:t xml:space="preserve"> 2022; </w:t>
      </w:r>
      <w:r w:rsidRPr="00B776D0">
        <w:rPr>
          <w:rFonts w:ascii="Book Antiqua" w:hAnsi="Book Antiqua"/>
          <w:b/>
          <w:bCs/>
        </w:rPr>
        <w:t>24</w:t>
      </w:r>
      <w:r w:rsidRPr="00B776D0">
        <w:rPr>
          <w:rFonts w:ascii="Book Antiqua" w:hAnsi="Book Antiqua"/>
        </w:rPr>
        <w:t>: 125-134 [PMID: 34580995 DOI: 10.1111/dom.14558]</w:t>
      </w:r>
    </w:p>
    <w:p w14:paraId="6ACB11E3"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6 </w:t>
      </w:r>
      <w:proofErr w:type="spellStart"/>
      <w:r w:rsidRPr="00B776D0">
        <w:rPr>
          <w:rFonts w:ascii="Book Antiqua" w:hAnsi="Book Antiqua"/>
          <w:b/>
          <w:bCs/>
        </w:rPr>
        <w:t>Giugliano</w:t>
      </w:r>
      <w:proofErr w:type="spellEnd"/>
      <w:r w:rsidRPr="00B776D0">
        <w:rPr>
          <w:rFonts w:ascii="Book Antiqua" w:hAnsi="Book Antiqua"/>
          <w:b/>
          <w:bCs/>
        </w:rPr>
        <w:t xml:space="preserve"> D</w:t>
      </w:r>
      <w:r w:rsidRPr="00B776D0">
        <w:rPr>
          <w:rFonts w:ascii="Book Antiqua" w:hAnsi="Book Antiqua"/>
        </w:rPr>
        <w:t xml:space="preserve">, </w:t>
      </w:r>
      <w:proofErr w:type="spellStart"/>
      <w:r w:rsidRPr="00B776D0">
        <w:rPr>
          <w:rFonts w:ascii="Book Antiqua" w:hAnsi="Book Antiqua"/>
        </w:rPr>
        <w:t>Scappaticcio</w:t>
      </w:r>
      <w:proofErr w:type="spellEnd"/>
      <w:r w:rsidRPr="00B776D0">
        <w:rPr>
          <w:rFonts w:ascii="Book Antiqua" w:hAnsi="Book Antiqua"/>
        </w:rPr>
        <w:t xml:space="preserve"> L, Longo M, Caruso P, </w:t>
      </w:r>
      <w:proofErr w:type="spellStart"/>
      <w:r w:rsidRPr="00B776D0">
        <w:rPr>
          <w:rFonts w:ascii="Book Antiqua" w:hAnsi="Book Antiqua"/>
        </w:rPr>
        <w:t>Maiorino</w:t>
      </w:r>
      <w:proofErr w:type="spellEnd"/>
      <w:r w:rsidRPr="00B776D0">
        <w:rPr>
          <w:rFonts w:ascii="Book Antiqua" w:hAnsi="Book Antiqua"/>
        </w:rPr>
        <w:t xml:space="preserve"> MI, </w:t>
      </w:r>
      <w:proofErr w:type="spellStart"/>
      <w:r w:rsidRPr="00B776D0">
        <w:rPr>
          <w:rFonts w:ascii="Book Antiqua" w:hAnsi="Book Antiqua"/>
        </w:rPr>
        <w:t>Bellastella</w:t>
      </w:r>
      <w:proofErr w:type="spellEnd"/>
      <w:r w:rsidRPr="00B776D0">
        <w:rPr>
          <w:rFonts w:ascii="Book Antiqua" w:hAnsi="Book Antiqua"/>
        </w:rPr>
        <w:t xml:space="preserve"> G, </w:t>
      </w:r>
      <w:proofErr w:type="spellStart"/>
      <w:r w:rsidRPr="00B776D0">
        <w:rPr>
          <w:rFonts w:ascii="Book Antiqua" w:hAnsi="Book Antiqua"/>
        </w:rPr>
        <w:t>Ceriello</w:t>
      </w:r>
      <w:proofErr w:type="spellEnd"/>
      <w:r w:rsidRPr="00B776D0">
        <w:rPr>
          <w:rFonts w:ascii="Book Antiqua" w:hAnsi="Book Antiqua"/>
        </w:rPr>
        <w:t xml:space="preserve"> A, </w:t>
      </w:r>
      <w:proofErr w:type="spellStart"/>
      <w:r w:rsidRPr="00B776D0">
        <w:rPr>
          <w:rFonts w:ascii="Book Antiqua" w:hAnsi="Book Antiqua"/>
        </w:rPr>
        <w:t>Chiodini</w:t>
      </w:r>
      <w:proofErr w:type="spellEnd"/>
      <w:r w:rsidRPr="00B776D0">
        <w:rPr>
          <w:rFonts w:ascii="Book Antiqua" w:hAnsi="Book Antiqua"/>
        </w:rPr>
        <w:t xml:space="preserve"> P, Esposito K. GLP-1 receptor agonists and cardiorenal outcomes in type 2 diabetes: an updated meta-analysis of eight CVOTs. </w:t>
      </w:r>
      <w:r w:rsidRPr="00B776D0">
        <w:rPr>
          <w:rFonts w:ascii="Book Antiqua" w:hAnsi="Book Antiqua"/>
          <w:i/>
          <w:iCs/>
        </w:rPr>
        <w:t xml:space="preserve">Cardiovasc </w:t>
      </w:r>
      <w:proofErr w:type="spellStart"/>
      <w:r w:rsidRPr="00B776D0">
        <w:rPr>
          <w:rFonts w:ascii="Book Antiqua" w:hAnsi="Book Antiqua"/>
          <w:i/>
          <w:iCs/>
        </w:rPr>
        <w:t>Diabetol</w:t>
      </w:r>
      <w:proofErr w:type="spellEnd"/>
      <w:r w:rsidRPr="00B776D0">
        <w:rPr>
          <w:rFonts w:ascii="Book Antiqua" w:hAnsi="Book Antiqua"/>
        </w:rPr>
        <w:t xml:space="preserve"> 2021; </w:t>
      </w:r>
      <w:r w:rsidRPr="00B776D0">
        <w:rPr>
          <w:rFonts w:ascii="Book Antiqua" w:hAnsi="Book Antiqua"/>
          <w:b/>
          <w:bCs/>
        </w:rPr>
        <w:t>20</w:t>
      </w:r>
      <w:r w:rsidRPr="00B776D0">
        <w:rPr>
          <w:rFonts w:ascii="Book Antiqua" w:hAnsi="Book Antiqua"/>
        </w:rPr>
        <w:t>: 189 [PMID: 34526024 DOI: 10.1186/s12933-021-01366-8]</w:t>
      </w:r>
    </w:p>
    <w:p w14:paraId="0B7A1114"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7 </w:t>
      </w:r>
      <w:r w:rsidRPr="00B776D0">
        <w:rPr>
          <w:rFonts w:ascii="Book Antiqua" w:hAnsi="Book Antiqua"/>
          <w:b/>
          <w:bCs/>
        </w:rPr>
        <w:t>Andreasen CR</w:t>
      </w:r>
      <w:r w:rsidRPr="00B776D0">
        <w:rPr>
          <w:rFonts w:ascii="Book Antiqua" w:hAnsi="Book Antiqua"/>
        </w:rPr>
        <w:t xml:space="preserve">, Andersen A, Knop FK, </w:t>
      </w:r>
      <w:proofErr w:type="spellStart"/>
      <w:r w:rsidRPr="00B776D0">
        <w:rPr>
          <w:rFonts w:ascii="Book Antiqua" w:hAnsi="Book Antiqua"/>
        </w:rPr>
        <w:t>Vilsbøll</w:t>
      </w:r>
      <w:proofErr w:type="spellEnd"/>
      <w:r w:rsidRPr="00B776D0">
        <w:rPr>
          <w:rFonts w:ascii="Book Antiqua" w:hAnsi="Book Antiqua"/>
        </w:rPr>
        <w:t xml:space="preserve"> T. Understanding the place for GLP-1RA therapy: Translating guidelines for treatment of type 2 diabetes into everyday clinical practice and patient selection. </w:t>
      </w:r>
      <w:r w:rsidRPr="00B776D0">
        <w:rPr>
          <w:rFonts w:ascii="Book Antiqua" w:hAnsi="Book Antiqua"/>
          <w:i/>
          <w:iCs/>
        </w:rPr>
        <w:t xml:space="preserve">Diabetes </w:t>
      </w:r>
      <w:proofErr w:type="spellStart"/>
      <w:r w:rsidRPr="00B776D0">
        <w:rPr>
          <w:rFonts w:ascii="Book Antiqua" w:hAnsi="Book Antiqua"/>
          <w:i/>
          <w:iCs/>
        </w:rPr>
        <w:t>Obes</w:t>
      </w:r>
      <w:proofErr w:type="spellEnd"/>
      <w:r w:rsidRPr="00B776D0">
        <w:rPr>
          <w:rFonts w:ascii="Book Antiqua" w:hAnsi="Book Antiqua"/>
          <w:i/>
          <w:iCs/>
        </w:rPr>
        <w:t xml:space="preserve"> </w:t>
      </w:r>
      <w:proofErr w:type="spellStart"/>
      <w:r w:rsidRPr="00B776D0">
        <w:rPr>
          <w:rFonts w:ascii="Book Antiqua" w:hAnsi="Book Antiqua"/>
          <w:i/>
          <w:iCs/>
        </w:rPr>
        <w:t>Metab</w:t>
      </w:r>
      <w:proofErr w:type="spellEnd"/>
      <w:r w:rsidRPr="00B776D0">
        <w:rPr>
          <w:rFonts w:ascii="Book Antiqua" w:hAnsi="Book Antiqua"/>
        </w:rPr>
        <w:t xml:space="preserve"> 2021; </w:t>
      </w:r>
      <w:r w:rsidRPr="00B776D0">
        <w:rPr>
          <w:rFonts w:ascii="Book Antiqua" w:hAnsi="Book Antiqua"/>
          <w:b/>
          <w:bCs/>
        </w:rPr>
        <w:t>23 Suppl 3</w:t>
      </w:r>
      <w:r w:rsidRPr="00B776D0">
        <w:rPr>
          <w:rFonts w:ascii="Book Antiqua" w:hAnsi="Book Antiqua"/>
        </w:rPr>
        <w:t>: 40-52 [PMID: 34519400 DOI: 10.1111/dom.14500]</w:t>
      </w:r>
    </w:p>
    <w:p w14:paraId="64EDD70C"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8 </w:t>
      </w:r>
      <w:r w:rsidRPr="00B776D0">
        <w:rPr>
          <w:rFonts w:ascii="Book Antiqua" w:hAnsi="Book Antiqua"/>
          <w:b/>
          <w:bCs/>
        </w:rPr>
        <w:t>Brunton SA</w:t>
      </w:r>
      <w:r w:rsidRPr="00B776D0">
        <w:rPr>
          <w:rFonts w:ascii="Book Antiqua" w:hAnsi="Book Antiqua"/>
        </w:rPr>
        <w:t xml:space="preserve">, </w:t>
      </w:r>
      <w:proofErr w:type="spellStart"/>
      <w:r w:rsidRPr="00B776D0">
        <w:rPr>
          <w:rFonts w:ascii="Book Antiqua" w:hAnsi="Book Antiqua"/>
        </w:rPr>
        <w:t>Wysham</w:t>
      </w:r>
      <w:proofErr w:type="spellEnd"/>
      <w:r w:rsidRPr="00B776D0">
        <w:rPr>
          <w:rFonts w:ascii="Book Antiqua" w:hAnsi="Book Antiqua"/>
        </w:rPr>
        <w:t xml:space="preserve"> CH. GLP-1 receptor agonists in the treatment of type 2 diabetes: role and clinical experience to date. </w:t>
      </w:r>
      <w:r w:rsidRPr="00B776D0">
        <w:rPr>
          <w:rFonts w:ascii="Book Antiqua" w:hAnsi="Book Antiqua"/>
          <w:i/>
          <w:iCs/>
        </w:rPr>
        <w:t>Postgrad Med</w:t>
      </w:r>
      <w:r w:rsidRPr="00B776D0">
        <w:rPr>
          <w:rFonts w:ascii="Book Antiqua" w:hAnsi="Book Antiqua"/>
        </w:rPr>
        <w:t xml:space="preserve"> 2020; </w:t>
      </w:r>
      <w:r w:rsidRPr="00B776D0">
        <w:rPr>
          <w:rFonts w:ascii="Book Antiqua" w:hAnsi="Book Antiqua"/>
          <w:b/>
          <w:bCs/>
        </w:rPr>
        <w:t>132</w:t>
      </w:r>
      <w:r w:rsidRPr="00B776D0">
        <w:rPr>
          <w:rFonts w:ascii="Book Antiqua" w:hAnsi="Book Antiqua"/>
        </w:rPr>
        <w:t>: 3-14 [PMID: 32815454 DOI: 10.1080/00325481.2020.1798099]</w:t>
      </w:r>
    </w:p>
    <w:p w14:paraId="135FDCB3"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9 </w:t>
      </w:r>
      <w:r w:rsidRPr="00B776D0">
        <w:rPr>
          <w:rFonts w:ascii="Book Antiqua" w:hAnsi="Book Antiqua"/>
          <w:b/>
          <w:bCs/>
        </w:rPr>
        <w:t>Dave CV</w:t>
      </w:r>
      <w:r w:rsidRPr="00B776D0">
        <w:rPr>
          <w:rFonts w:ascii="Book Antiqua" w:hAnsi="Book Antiqua"/>
        </w:rPr>
        <w:t xml:space="preserve">, Kim SC, </w:t>
      </w:r>
      <w:proofErr w:type="spellStart"/>
      <w:r w:rsidRPr="00B776D0">
        <w:rPr>
          <w:rFonts w:ascii="Book Antiqua" w:hAnsi="Book Antiqua"/>
        </w:rPr>
        <w:t>Goldfine</w:t>
      </w:r>
      <w:proofErr w:type="spellEnd"/>
      <w:r w:rsidRPr="00B776D0">
        <w:rPr>
          <w:rFonts w:ascii="Book Antiqua" w:hAnsi="Book Antiqua"/>
        </w:rPr>
        <w:t xml:space="preserve"> AB, Glynn RJ, Tong A, </w:t>
      </w:r>
      <w:proofErr w:type="spellStart"/>
      <w:r w:rsidRPr="00B776D0">
        <w:rPr>
          <w:rFonts w:ascii="Book Antiqua" w:hAnsi="Book Antiqua"/>
        </w:rPr>
        <w:t>Patorno</w:t>
      </w:r>
      <w:proofErr w:type="spellEnd"/>
      <w:r w:rsidRPr="00B776D0">
        <w:rPr>
          <w:rFonts w:ascii="Book Antiqua" w:hAnsi="Book Antiqua"/>
        </w:rPr>
        <w:t xml:space="preserve"> E. Risk of Cardiovascular Outcomes in Patients With Type 2 Diabetes After Addition of SGLT2 Inhibitors Versus Sulfonylureas to Baseline GLP-1RA Therapy. </w:t>
      </w:r>
      <w:r w:rsidRPr="00B776D0">
        <w:rPr>
          <w:rFonts w:ascii="Book Antiqua" w:hAnsi="Book Antiqua"/>
          <w:i/>
          <w:iCs/>
        </w:rPr>
        <w:t>Circulation</w:t>
      </w:r>
      <w:r w:rsidRPr="00B776D0">
        <w:rPr>
          <w:rFonts w:ascii="Book Antiqua" w:hAnsi="Book Antiqua"/>
        </w:rPr>
        <w:t xml:space="preserve"> 2021; </w:t>
      </w:r>
      <w:r w:rsidRPr="00B776D0">
        <w:rPr>
          <w:rFonts w:ascii="Book Antiqua" w:hAnsi="Book Antiqua"/>
          <w:b/>
          <w:bCs/>
        </w:rPr>
        <w:t>143</w:t>
      </w:r>
      <w:r w:rsidRPr="00B776D0">
        <w:rPr>
          <w:rFonts w:ascii="Book Antiqua" w:hAnsi="Book Antiqua"/>
        </w:rPr>
        <w:t>: 770-779 [PMID: 33302723 DOI: 10.1161/CIRCULATIONAHA.120.047965]</w:t>
      </w:r>
    </w:p>
    <w:p w14:paraId="5FA283BC" w14:textId="77777777" w:rsidR="003B17A6" w:rsidRPr="00B776D0" w:rsidRDefault="00BA6ED0" w:rsidP="00B776D0">
      <w:pPr>
        <w:spacing w:line="360" w:lineRule="auto"/>
        <w:jc w:val="both"/>
        <w:rPr>
          <w:rFonts w:ascii="Book Antiqua" w:hAnsi="Book Antiqua"/>
        </w:rPr>
      </w:pPr>
      <w:r w:rsidRPr="00B776D0">
        <w:rPr>
          <w:rFonts w:ascii="Book Antiqua" w:hAnsi="Book Antiqua"/>
        </w:rPr>
        <w:lastRenderedPageBreak/>
        <w:t xml:space="preserve">10 </w:t>
      </w:r>
      <w:r w:rsidRPr="00B776D0">
        <w:rPr>
          <w:rFonts w:ascii="Book Antiqua" w:hAnsi="Book Antiqua"/>
          <w:b/>
          <w:bCs/>
        </w:rPr>
        <w:t>Nelson AJ</w:t>
      </w:r>
      <w:r w:rsidRPr="00B776D0">
        <w:rPr>
          <w:rFonts w:ascii="Book Antiqua" w:hAnsi="Book Antiqua"/>
        </w:rPr>
        <w:t xml:space="preserve">, </w:t>
      </w:r>
      <w:proofErr w:type="spellStart"/>
      <w:r w:rsidRPr="00B776D0">
        <w:rPr>
          <w:rFonts w:ascii="Book Antiqua" w:hAnsi="Book Antiqua"/>
        </w:rPr>
        <w:t>Pagidipati</w:t>
      </w:r>
      <w:proofErr w:type="spellEnd"/>
      <w:r w:rsidRPr="00B776D0">
        <w:rPr>
          <w:rFonts w:ascii="Book Antiqua" w:hAnsi="Book Antiqua"/>
        </w:rPr>
        <w:t xml:space="preserve"> NJ, </w:t>
      </w:r>
      <w:proofErr w:type="spellStart"/>
      <w:r w:rsidRPr="00B776D0">
        <w:rPr>
          <w:rFonts w:ascii="Book Antiqua" w:hAnsi="Book Antiqua"/>
        </w:rPr>
        <w:t>Aroda</w:t>
      </w:r>
      <w:proofErr w:type="spellEnd"/>
      <w:r w:rsidRPr="00B776D0">
        <w:rPr>
          <w:rFonts w:ascii="Book Antiqua" w:hAnsi="Book Antiqua"/>
        </w:rPr>
        <w:t xml:space="preserve"> VR, Cavender MA, Green JB, Lopes RD, Al-</w:t>
      </w:r>
      <w:proofErr w:type="spellStart"/>
      <w:r w:rsidRPr="00B776D0">
        <w:rPr>
          <w:rFonts w:ascii="Book Antiqua" w:hAnsi="Book Antiqua"/>
        </w:rPr>
        <w:t>Khalidi</w:t>
      </w:r>
      <w:proofErr w:type="spellEnd"/>
      <w:r w:rsidRPr="00B776D0">
        <w:rPr>
          <w:rFonts w:ascii="Book Antiqua" w:hAnsi="Book Antiqua"/>
        </w:rPr>
        <w:t xml:space="preserve"> H, Gaynor T, Kaltenbach LA, Kirk JK, </w:t>
      </w:r>
      <w:proofErr w:type="spellStart"/>
      <w:r w:rsidRPr="00B776D0">
        <w:rPr>
          <w:rFonts w:ascii="Book Antiqua" w:hAnsi="Book Antiqua"/>
        </w:rPr>
        <w:t>Lingvay</w:t>
      </w:r>
      <w:proofErr w:type="spellEnd"/>
      <w:r w:rsidRPr="00B776D0">
        <w:rPr>
          <w:rFonts w:ascii="Book Antiqua" w:hAnsi="Book Antiqua"/>
        </w:rPr>
        <w:t xml:space="preserve"> I, </w:t>
      </w:r>
      <w:proofErr w:type="spellStart"/>
      <w:r w:rsidRPr="00B776D0">
        <w:rPr>
          <w:rFonts w:ascii="Book Antiqua" w:hAnsi="Book Antiqua"/>
        </w:rPr>
        <w:t>Magwire</w:t>
      </w:r>
      <w:proofErr w:type="spellEnd"/>
      <w:r w:rsidRPr="00B776D0">
        <w:rPr>
          <w:rFonts w:ascii="Book Antiqua" w:hAnsi="Book Antiqua"/>
        </w:rPr>
        <w:t xml:space="preserve"> ML, O'Brien EC, Pak J, Pop-</w:t>
      </w:r>
      <w:proofErr w:type="spellStart"/>
      <w:r w:rsidRPr="00B776D0">
        <w:rPr>
          <w:rFonts w:ascii="Book Antiqua" w:hAnsi="Book Antiqua"/>
        </w:rPr>
        <w:t>Busui</w:t>
      </w:r>
      <w:proofErr w:type="spellEnd"/>
      <w:r w:rsidRPr="00B776D0">
        <w:rPr>
          <w:rFonts w:ascii="Book Antiqua" w:hAnsi="Book Antiqua"/>
        </w:rPr>
        <w:t xml:space="preserve"> R, Richardson CR, Reed M, </w:t>
      </w:r>
      <w:proofErr w:type="spellStart"/>
      <w:r w:rsidRPr="00B776D0">
        <w:rPr>
          <w:rFonts w:ascii="Book Antiqua" w:hAnsi="Book Antiqua"/>
        </w:rPr>
        <w:t>Senyucel</w:t>
      </w:r>
      <w:proofErr w:type="spellEnd"/>
      <w:r w:rsidRPr="00B776D0">
        <w:rPr>
          <w:rFonts w:ascii="Book Antiqua" w:hAnsi="Book Antiqua"/>
        </w:rPr>
        <w:t xml:space="preserve"> C, Webb L, McGuire DK, Granger CB. Incorporating SGLT2i and GLP-1RA for Cardiovascular and Kidney Disease Risk Reduction: Call for Action to the Cardiology Community. </w:t>
      </w:r>
      <w:r w:rsidRPr="00B776D0">
        <w:rPr>
          <w:rFonts w:ascii="Book Antiqua" w:hAnsi="Book Antiqua"/>
          <w:i/>
          <w:iCs/>
        </w:rPr>
        <w:t>Circulation</w:t>
      </w:r>
      <w:r w:rsidRPr="00B776D0">
        <w:rPr>
          <w:rFonts w:ascii="Book Antiqua" w:hAnsi="Book Antiqua"/>
        </w:rPr>
        <w:t xml:space="preserve"> 2021; </w:t>
      </w:r>
      <w:r w:rsidRPr="00B776D0">
        <w:rPr>
          <w:rFonts w:ascii="Book Antiqua" w:hAnsi="Book Antiqua"/>
          <w:b/>
          <w:bCs/>
        </w:rPr>
        <w:t>144</w:t>
      </w:r>
      <w:r w:rsidRPr="00B776D0">
        <w:rPr>
          <w:rFonts w:ascii="Book Antiqua" w:hAnsi="Book Antiqua"/>
        </w:rPr>
        <w:t>: 74-84 [PMID: 34228476 DOI: 10.1161/CIRCULATIONAHA.121.053766]</w:t>
      </w:r>
    </w:p>
    <w:p w14:paraId="78A4B2C9"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11 Diagnostic criteria and classification of </w:t>
      </w:r>
      <w:proofErr w:type="spellStart"/>
      <w:r w:rsidRPr="00B776D0">
        <w:rPr>
          <w:rFonts w:ascii="Book Antiqua" w:hAnsi="Book Antiqua"/>
        </w:rPr>
        <w:t>hyperglycaemia</w:t>
      </w:r>
      <w:proofErr w:type="spellEnd"/>
      <w:r w:rsidRPr="00B776D0">
        <w:rPr>
          <w:rFonts w:ascii="Book Antiqua" w:hAnsi="Book Antiqua"/>
        </w:rPr>
        <w:t xml:space="preserve"> first detected in pregnancy: a World Health Organization Guideline. </w:t>
      </w:r>
      <w:r w:rsidRPr="00B776D0">
        <w:rPr>
          <w:rFonts w:ascii="Book Antiqua" w:hAnsi="Book Antiqua"/>
          <w:i/>
          <w:iCs/>
        </w:rPr>
        <w:t xml:space="preserve">Diabetes Res Clin </w:t>
      </w:r>
      <w:proofErr w:type="spellStart"/>
      <w:r w:rsidRPr="00B776D0">
        <w:rPr>
          <w:rFonts w:ascii="Book Antiqua" w:hAnsi="Book Antiqua"/>
          <w:i/>
          <w:iCs/>
        </w:rPr>
        <w:t>Pract</w:t>
      </w:r>
      <w:proofErr w:type="spellEnd"/>
      <w:r w:rsidRPr="00B776D0">
        <w:rPr>
          <w:rFonts w:ascii="Book Antiqua" w:hAnsi="Book Antiqua"/>
        </w:rPr>
        <w:t xml:space="preserve"> 2014; </w:t>
      </w:r>
      <w:r w:rsidRPr="00B776D0">
        <w:rPr>
          <w:rFonts w:ascii="Book Antiqua" w:hAnsi="Book Antiqua"/>
          <w:b/>
          <w:bCs/>
        </w:rPr>
        <w:t>103</w:t>
      </w:r>
      <w:r w:rsidRPr="00B776D0">
        <w:rPr>
          <w:rFonts w:ascii="Book Antiqua" w:hAnsi="Book Antiqua"/>
        </w:rPr>
        <w:t>: 341-363 [PMID: 24847517 DOI: 10.1016/j.diabres.2013.10.012]</w:t>
      </w:r>
    </w:p>
    <w:p w14:paraId="616BD403"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12 </w:t>
      </w:r>
      <w:r w:rsidRPr="00B776D0">
        <w:rPr>
          <w:rFonts w:ascii="Book Antiqua" w:hAnsi="Book Antiqua"/>
          <w:b/>
          <w:bCs/>
        </w:rPr>
        <w:t>Javeed N</w:t>
      </w:r>
      <w:r w:rsidRPr="00B776D0">
        <w:rPr>
          <w:rFonts w:ascii="Book Antiqua" w:hAnsi="Book Antiqua"/>
        </w:rPr>
        <w:t xml:space="preserve">, </w:t>
      </w:r>
      <w:proofErr w:type="spellStart"/>
      <w:r w:rsidRPr="00B776D0">
        <w:rPr>
          <w:rFonts w:ascii="Book Antiqua" w:hAnsi="Book Antiqua"/>
        </w:rPr>
        <w:t>Matveyenko</w:t>
      </w:r>
      <w:proofErr w:type="spellEnd"/>
      <w:r w:rsidRPr="00B776D0">
        <w:rPr>
          <w:rFonts w:ascii="Book Antiqua" w:hAnsi="Book Antiqua"/>
        </w:rPr>
        <w:t xml:space="preserve"> AV. Circadian Etiology of Type 2 Diabetes Mellitus. </w:t>
      </w:r>
      <w:r w:rsidRPr="00B776D0">
        <w:rPr>
          <w:rFonts w:ascii="Book Antiqua" w:hAnsi="Book Antiqua"/>
          <w:i/>
          <w:iCs/>
        </w:rPr>
        <w:t>Physiology (Bethesda)</w:t>
      </w:r>
      <w:r w:rsidRPr="00B776D0">
        <w:rPr>
          <w:rFonts w:ascii="Book Antiqua" w:hAnsi="Book Antiqua"/>
        </w:rPr>
        <w:t xml:space="preserve"> 2018; </w:t>
      </w:r>
      <w:r w:rsidRPr="00B776D0">
        <w:rPr>
          <w:rFonts w:ascii="Book Antiqua" w:hAnsi="Book Antiqua"/>
          <w:b/>
          <w:bCs/>
        </w:rPr>
        <w:t>33</w:t>
      </w:r>
      <w:r w:rsidRPr="00B776D0">
        <w:rPr>
          <w:rFonts w:ascii="Book Antiqua" w:hAnsi="Book Antiqua"/>
        </w:rPr>
        <w:t>: 138-150 [PMID: 29412061 DOI: 10.1152/physiol.00003.2018]</w:t>
      </w:r>
    </w:p>
    <w:p w14:paraId="00B14ED6"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13 </w:t>
      </w:r>
      <w:r w:rsidRPr="00B776D0">
        <w:rPr>
          <w:rFonts w:ascii="Book Antiqua" w:hAnsi="Book Antiqua"/>
          <w:b/>
          <w:bCs/>
        </w:rPr>
        <w:t>Brunton S</w:t>
      </w:r>
      <w:r w:rsidRPr="00B776D0">
        <w:rPr>
          <w:rFonts w:ascii="Book Antiqua" w:hAnsi="Book Antiqua"/>
        </w:rPr>
        <w:t xml:space="preserve">. Pathophysiology of Type 2 Diabetes: The Evolution of Our Understanding. </w:t>
      </w:r>
      <w:r w:rsidRPr="00B776D0">
        <w:rPr>
          <w:rFonts w:ascii="Book Antiqua" w:hAnsi="Book Antiqua"/>
          <w:i/>
          <w:iCs/>
        </w:rPr>
        <w:t xml:space="preserve">J Fam </w:t>
      </w:r>
      <w:proofErr w:type="spellStart"/>
      <w:r w:rsidRPr="00B776D0">
        <w:rPr>
          <w:rFonts w:ascii="Book Antiqua" w:hAnsi="Book Antiqua"/>
          <w:i/>
          <w:iCs/>
        </w:rPr>
        <w:t>Pract</w:t>
      </w:r>
      <w:proofErr w:type="spellEnd"/>
      <w:r w:rsidRPr="00B776D0">
        <w:rPr>
          <w:rFonts w:ascii="Book Antiqua" w:hAnsi="Book Antiqua"/>
        </w:rPr>
        <w:t xml:space="preserve"> 2016; </w:t>
      </w:r>
      <w:r w:rsidRPr="00B776D0">
        <w:rPr>
          <w:rFonts w:ascii="Book Antiqua" w:hAnsi="Book Antiqua"/>
          <w:b/>
          <w:bCs/>
        </w:rPr>
        <w:t>65</w:t>
      </w:r>
      <w:r w:rsidRPr="00B776D0">
        <w:rPr>
          <w:rFonts w:ascii="Book Antiqua" w:hAnsi="Book Antiqua"/>
        </w:rPr>
        <w:t xml:space="preserve"> [PMID: 27262256]</w:t>
      </w:r>
    </w:p>
    <w:p w14:paraId="2D2A0FC1"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14 </w:t>
      </w:r>
      <w:r w:rsidRPr="00B776D0">
        <w:rPr>
          <w:rFonts w:ascii="Book Antiqua" w:hAnsi="Book Antiqua"/>
          <w:b/>
          <w:bCs/>
        </w:rPr>
        <w:t>Wu Y</w:t>
      </w:r>
      <w:r w:rsidRPr="00B776D0">
        <w:rPr>
          <w:rFonts w:ascii="Book Antiqua" w:hAnsi="Book Antiqua"/>
        </w:rPr>
        <w:t xml:space="preserve">, Ding Y, Tanaka Y, Zhang W. Risk factors contributing to type 2 diabetes and recent advances in the treatment and prevention. </w:t>
      </w:r>
      <w:r w:rsidRPr="00B776D0">
        <w:rPr>
          <w:rFonts w:ascii="Book Antiqua" w:hAnsi="Book Antiqua"/>
          <w:i/>
          <w:iCs/>
        </w:rPr>
        <w:t>Int J Med Sci</w:t>
      </w:r>
      <w:r w:rsidRPr="00B776D0">
        <w:rPr>
          <w:rFonts w:ascii="Book Antiqua" w:hAnsi="Book Antiqua"/>
        </w:rPr>
        <w:t xml:space="preserve"> 2014; </w:t>
      </w:r>
      <w:r w:rsidRPr="00B776D0">
        <w:rPr>
          <w:rFonts w:ascii="Book Antiqua" w:hAnsi="Book Antiqua"/>
          <w:b/>
          <w:bCs/>
        </w:rPr>
        <w:t>11</w:t>
      </w:r>
      <w:r w:rsidRPr="00B776D0">
        <w:rPr>
          <w:rFonts w:ascii="Book Antiqua" w:hAnsi="Book Antiqua"/>
        </w:rPr>
        <w:t>: 1185-1200 [PMID: 25249787 DOI: 10.7150/ijms.10001]</w:t>
      </w:r>
    </w:p>
    <w:p w14:paraId="41AB38CE"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15 </w:t>
      </w:r>
      <w:proofErr w:type="spellStart"/>
      <w:r w:rsidRPr="00B776D0">
        <w:rPr>
          <w:rFonts w:ascii="Book Antiqua" w:hAnsi="Book Antiqua"/>
          <w:b/>
          <w:bCs/>
        </w:rPr>
        <w:t>Lingvay</w:t>
      </w:r>
      <w:proofErr w:type="spellEnd"/>
      <w:r w:rsidRPr="00B776D0">
        <w:rPr>
          <w:rFonts w:ascii="Book Antiqua" w:hAnsi="Book Antiqua"/>
          <w:b/>
          <w:bCs/>
        </w:rPr>
        <w:t xml:space="preserve"> I</w:t>
      </w:r>
      <w:r w:rsidRPr="00B776D0">
        <w:rPr>
          <w:rFonts w:ascii="Book Antiqua" w:hAnsi="Book Antiqua"/>
        </w:rPr>
        <w:t xml:space="preserve">, </w:t>
      </w:r>
      <w:proofErr w:type="spellStart"/>
      <w:r w:rsidRPr="00B776D0">
        <w:rPr>
          <w:rFonts w:ascii="Book Antiqua" w:hAnsi="Book Antiqua"/>
        </w:rPr>
        <w:t>Sumithran</w:t>
      </w:r>
      <w:proofErr w:type="spellEnd"/>
      <w:r w:rsidRPr="00B776D0">
        <w:rPr>
          <w:rFonts w:ascii="Book Antiqua" w:hAnsi="Book Antiqua"/>
        </w:rPr>
        <w:t xml:space="preserve"> P, Cohen RV, le Roux CW. Obesity management as a primary treatment goal for type 2 diabetes: time to reframe the conversation. </w:t>
      </w:r>
      <w:r w:rsidRPr="00B776D0">
        <w:rPr>
          <w:rFonts w:ascii="Book Antiqua" w:hAnsi="Book Antiqua"/>
          <w:i/>
          <w:iCs/>
        </w:rPr>
        <w:t>Lancet</w:t>
      </w:r>
      <w:r w:rsidRPr="00B776D0">
        <w:rPr>
          <w:rFonts w:ascii="Book Antiqua" w:hAnsi="Book Antiqua"/>
        </w:rPr>
        <w:t xml:space="preserve"> 2022; </w:t>
      </w:r>
      <w:r w:rsidRPr="00B776D0">
        <w:rPr>
          <w:rFonts w:ascii="Book Antiqua" w:hAnsi="Book Antiqua"/>
          <w:b/>
          <w:bCs/>
        </w:rPr>
        <w:t>399</w:t>
      </w:r>
      <w:r w:rsidRPr="00B776D0">
        <w:rPr>
          <w:rFonts w:ascii="Book Antiqua" w:hAnsi="Book Antiqua"/>
        </w:rPr>
        <w:t>: 394-405 [PMID: 34600604 DOI: 10.1016/S0140-6736(21)01919-X]</w:t>
      </w:r>
    </w:p>
    <w:p w14:paraId="60AF0612"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16 </w:t>
      </w:r>
      <w:r w:rsidRPr="00B776D0">
        <w:rPr>
          <w:rFonts w:ascii="Book Antiqua" w:hAnsi="Book Antiqua"/>
          <w:b/>
          <w:bCs/>
        </w:rPr>
        <w:t>Ferguson D</w:t>
      </w:r>
      <w:r w:rsidRPr="00B776D0">
        <w:rPr>
          <w:rFonts w:ascii="Book Antiqua" w:hAnsi="Book Antiqua"/>
        </w:rPr>
        <w:t xml:space="preserve">, </w:t>
      </w:r>
      <w:proofErr w:type="spellStart"/>
      <w:r w:rsidRPr="00B776D0">
        <w:rPr>
          <w:rFonts w:ascii="Book Antiqua" w:hAnsi="Book Antiqua"/>
        </w:rPr>
        <w:t>Finck</w:t>
      </w:r>
      <w:proofErr w:type="spellEnd"/>
      <w:r w:rsidRPr="00B776D0">
        <w:rPr>
          <w:rFonts w:ascii="Book Antiqua" w:hAnsi="Book Antiqua"/>
        </w:rPr>
        <w:t xml:space="preserve"> BN. Emerging therapeutic approaches for the treatment of NAFLD and type 2 diabetes mellitus. </w:t>
      </w:r>
      <w:r w:rsidRPr="00B776D0">
        <w:rPr>
          <w:rFonts w:ascii="Book Antiqua" w:hAnsi="Book Antiqua"/>
          <w:i/>
          <w:iCs/>
        </w:rPr>
        <w:t>Nat Rev Endocrinol</w:t>
      </w:r>
      <w:r w:rsidRPr="00B776D0">
        <w:rPr>
          <w:rFonts w:ascii="Book Antiqua" w:hAnsi="Book Antiqua"/>
        </w:rPr>
        <w:t xml:space="preserve"> 2021; </w:t>
      </w:r>
      <w:r w:rsidRPr="00B776D0">
        <w:rPr>
          <w:rFonts w:ascii="Book Antiqua" w:hAnsi="Book Antiqua"/>
          <w:b/>
          <w:bCs/>
        </w:rPr>
        <w:t>17</w:t>
      </w:r>
      <w:r w:rsidRPr="00B776D0">
        <w:rPr>
          <w:rFonts w:ascii="Book Antiqua" w:hAnsi="Book Antiqua"/>
        </w:rPr>
        <w:t>: 484-495 [PMID: 34131333 DOI: 10.1038/s41574-021-00507-z]</w:t>
      </w:r>
    </w:p>
    <w:p w14:paraId="3588D0C8"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17 </w:t>
      </w:r>
      <w:proofErr w:type="spellStart"/>
      <w:r w:rsidRPr="00B776D0">
        <w:rPr>
          <w:rFonts w:ascii="Book Antiqua" w:hAnsi="Book Antiqua"/>
          <w:b/>
          <w:bCs/>
        </w:rPr>
        <w:t>Dashti</w:t>
      </w:r>
      <w:proofErr w:type="spellEnd"/>
      <w:r w:rsidRPr="00B776D0">
        <w:rPr>
          <w:rFonts w:ascii="Book Antiqua" w:hAnsi="Book Antiqua"/>
          <w:b/>
          <w:bCs/>
        </w:rPr>
        <w:t xml:space="preserve"> HM</w:t>
      </w:r>
      <w:r w:rsidRPr="00B776D0">
        <w:rPr>
          <w:rFonts w:ascii="Book Antiqua" w:hAnsi="Book Antiqua"/>
        </w:rPr>
        <w:t xml:space="preserve">, Mathew TC, Al-Zaid NS. Efficacy of Low-Carbohydrate Ketogenic Diet in the Treatment of Type 2 Diabetes. </w:t>
      </w:r>
      <w:r w:rsidRPr="00B776D0">
        <w:rPr>
          <w:rFonts w:ascii="Book Antiqua" w:hAnsi="Book Antiqua"/>
          <w:i/>
          <w:iCs/>
        </w:rPr>
        <w:t xml:space="preserve">Med </w:t>
      </w:r>
      <w:proofErr w:type="spellStart"/>
      <w:r w:rsidRPr="00B776D0">
        <w:rPr>
          <w:rFonts w:ascii="Book Antiqua" w:hAnsi="Book Antiqua"/>
          <w:i/>
          <w:iCs/>
        </w:rPr>
        <w:t>Princ</w:t>
      </w:r>
      <w:proofErr w:type="spellEnd"/>
      <w:r w:rsidRPr="00B776D0">
        <w:rPr>
          <w:rFonts w:ascii="Book Antiqua" w:hAnsi="Book Antiqua"/>
          <w:i/>
          <w:iCs/>
        </w:rPr>
        <w:t xml:space="preserve"> </w:t>
      </w:r>
      <w:proofErr w:type="spellStart"/>
      <w:r w:rsidRPr="00B776D0">
        <w:rPr>
          <w:rFonts w:ascii="Book Antiqua" w:hAnsi="Book Antiqua"/>
          <w:i/>
          <w:iCs/>
        </w:rPr>
        <w:t>Pract</w:t>
      </w:r>
      <w:proofErr w:type="spellEnd"/>
      <w:r w:rsidRPr="00B776D0">
        <w:rPr>
          <w:rFonts w:ascii="Book Antiqua" w:hAnsi="Book Antiqua"/>
        </w:rPr>
        <w:t xml:space="preserve"> 2021; </w:t>
      </w:r>
      <w:r w:rsidRPr="00B776D0">
        <w:rPr>
          <w:rFonts w:ascii="Book Antiqua" w:hAnsi="Book Antiqua"/>
          <w:b/>
          <w:bCs/>
        </w:rPr>
        <w:t>30</w:t>
      </w:r>
      <w:r w:rsidRPr="00B776D0">
        <w:rPr>
          <w:rFonts w:ascii="Book Antiqua" w:hAnsi="Book Antiqua"/>
        </w:rPr>
        <w:t>: 223-235 [PMID: 33040057 DOI: 10.1159/000512142]</w:t>
      </w:r>
    </w:p>
    <w:p w14:paraId="5CBE663E"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18 </w:t>
      </w:r>
      <w:proofErr w:type="spellStart"/>
      <w:r w:rsidRPr="00B776D0">
        <w:rPr>
          <w:rFonts w:ascii="Book Antiqua" w:hAnsi="Book Antiqua"/>
          <w:b/>
          <w:bCs/>
        </w:rPr>
        <w:t>Padhi</w:t>
      </w:r>
      <w:proofErr w:type="spellEnd"/>
      <w:r w:rsidRPr="00B776D0">
        <w:rPr>
          <w:rFonts w:ascii="Book Antiqua" w:hAnsi="Book Antiqua"/>
          <w:b/>
          <w:bCs/>
        </w:rPr>
        <w:t xml:space="preserve"> S</w:t>
      </w:r>
      <w:r w:rsidRPr="00B776D0">
        <w:rPr>
          <w:rFonts w:ascii="Book Antiqua" w:hAnsi="Book Antiqua"/>
        </w:rPr>
        <w:t xml:space="preserve">, Nayak AK, Behera A. Type II diabetes mellitus: a review on recent drug based therapeutics. </w:t>
      </w:r>
      <w:r w:rsidRPr="00B776D0">
        <w:rPr>
          <w:rFonts w:ascii="Book Antiqua" w:hAnsi="Book Antiqua"/>
          <w:i/>
          <w:iCs/>
        </w:rPr>
        <w:t xml:space="preserve">Biomed </w:t>
      </w:r>
      <w:proofErr w:type="spellStart"/>
      <w:r w:rsidRPr="00B776D0">
        <w:rPr>
          <w:rFonts w:ascii="Book Antiqua" w:hAnsi="Book Antiqua"/>
          <w:i/>
          <w:iCs/>
        </w:rPr>
        <w:t>Pharmacother</w:t>
      </w:r>
      <w:proofErr w:type="spellEnd"/>
      <w:r w:rsidRPr="00B776D0">
        <w:rPr>
          <w:rFonts w:ascii="Book Antiqua" w:hAnsi="Book Antiqua"/>
        </w:rPr>
        <w:t xml:space="preserve"> 2020; </w:t>
      </w:r>
      <w:r w:rsidRPr="00B776D0">
        <w:rPr>
          <w:rFonts w:ascii="Book Antiqua" w:hAnsi="Book Antiqua"/>
          <w:b/>
          <w:bCs/>
        </w:rPr>
        <w:t>131</w:t>
      </w:r>
      <w:r w:rsidRPr="00B776D0">
        <w:rPr>
          <w:rFonts w:ascii="Book Antiqua" w:hAnsi="Book Antiqua"/>
        </w:rPr>
        <w:t>: 110708 [PMID: 32927252 DOI: 10.1016/j.biopha.2020.110708]</w:t>
      </w:r>
    </w:p>
    <w:p w14:paraId="0F652D58" w14:textId="77777777" w:rsidR="003B17A6" w:rsidRPr="00B776D0" w:rsidRDefault="00BA6ED0" w:rsidP="00B776D0">
      <w:pPr>
        <w:spacing w:line="360" w:lineRule="auto"/>
        <w:jc w:val="both"/>
        <w:rPr>
          <w:rFonts w:ascii="Book Antiqua" w:hAnsi="Book Antiqua"/>
        </w:rPr>
      </w:pPr>
      <w:r w:rsidRPr="00B776D0">
        <w:rPr>
          <w:rFonts w:ascii="Book Antiqua" w:hAnsi="Book Antiqua"/>
        </w:rPr>
        <w:lastRenderedPageBreak/>
        <w:t xml:space="preserve">19 </w:t>
      </w:r>
      <w:r w:rsidRPr="00B776D0">
        <w:rPr>
          <w:rFonts w:ascii="Book Antiqua" w:hAnsi="Book Antiqua"/>
          <w:b/>
          <w:bCs/>
        </w:rPr>
        <w:t>Xu L</w:t>
      </w:r>
      <w:r w:rsidRPr="00B776D0">
        <w:rPr>
          <w:rFonts w:ascii="Book Antiqua" w:hAnsi="Book Antiqua"/>
        </w:rPr>
        <w:t xml:space="preserve">, Li Y, Dai Y, Peng J. Natural products for the treatment of type 2 diabetes mellitus: Pharmacology and mechanisms. </w:t>
      </w:r>
      <w:proofErr w:type="spellStart"/>
      <w:r w:rsidRPr="00B776D0">
        <w:rPr>
          <w:rFonts w:ascii="Book Antiqua" w:hAnsi="Book Antiqua"/>
          <w:i/>
          <w:iCs/>
        </w:rPr>
        <w:t>Pharmacol</w:t>
      </w:r>
      <w:proofErr w:type="spellEnd"/>
      <w:r w:rsidRPr="00B776D0">
        <w:rPr>
          <w:rFonts w:ascii="Book Antiqua" w:hAnsi="Book Antiqua"/>
          <w:i/>
          <w:iCs/>
        </w:rPr>
        <w:t xml:space="preserve"> Res</w:t>
      </w:r>
      <w:r w:rsidRPr="00B776D0">
        <w:rPr>
          <w:rFonts w:ascii="Book Antiqua" w:hAnsi="Book Antiqua"/>
        </w:rPr>
        <w:t xml:space="preserve"> 2018; </w:t>
      </w:r>
      <w:r w:rsidRPr="00B776D0">
        <w:rPr>
          <w:rFonts w:ascii="Book Antiqua" w:hAnsi="Book Antiqua"/>
          <w:b/>
          <w:bCs/>
        </w:rPr>
        <w:t>130</w:t>
      </w:r>
      <w:r w:rsidRPr="00B776D0">
        <w:rPr>
          <w:rFonts w:ascii="Book Antiqua" w:hAnsi="Book Antiqua"/>
        </w:rPr>
        <w:t>: 451-465 [PMID: 29395440 DOI: 10.1016/j.phrs.2018.01.015]</w:t>
      </w:r>
    </w:p>
    <w:p w14:paraId="3789541F"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20 </w:t>
      </w:r>
      <w:proofErr w:type="spellStart"/>
      <w:r w:rsidRPr="00B776D0">
        <w:rPr>
          <w:rFonts w:ascii="Book Antiqua" w:hAnsi="Book Antiqua"/>
          <w:b/>
          <w:bCs/>
        </w:rPr>
        <w:t>Lisco</w:t>
      </w:r>
      <w:proofErr w:type="spellEnd"/>
      <w:r w:rsidRPr="00B776D0">
        <w:rPr>
          <w:rFonts w:ascii="Book Antiqua" w:hAnsi="Book Antiqua"/>
          <w:b/>
          <w:bCs/>
        </w:rPr>
        <w:t xml:space="preserve"> G</w:t>
      </w:r>
      <w:r w:rsidRPr="00B776D0">
        <w:rPr>
          <w:rFonts w:ascii="Book Antiqua" w:hAnsi="Book Antiqua"/>
        </w:rPr>
        <w:t xml:space="preserve">, De </w:t>
      </w:r>
      <w:proofErr w:type="spellStart"/>
      <w:r w:rsidRPr="00B776D0">
        <w:rPr>
          <w:rFonts w:ascii="Book Antiqua" w:hAnsi="Book Antiqua"/>
        </w:rPr>
        <w:t>Tullio</w:t>
      </w:r>
      <w:proofErr w:type="spellEnd"/>
      <w:r w:rsidRPr="00B776D0">
        <w:rPr>
          <w:rFonts w:ascii="Book Antiqua" w:hAnsi="Book Antiqua"/>
        </w:rPr>
        <w:t xml:space="preserve"> A, </w:t>
      </w:r>
      <w:proofErr w:type="spellStart"/>
      <w:r w:rsidRPr="00B776D0">
        <w:rPr>
          <w:rFonts w:ascii="Book Antiqua" w:hAnsi="Book Antiqua"/>
        </w:rPr>
        <w:t>Guastamacchia</w:t>
      </w:r>
      <w:proofErr w:type="spellEnd"/>
      <w:r w:rsidRPr="00B776D0">
        <w:rPr>
          <w:rFonts w:ascii="Book Antiqua" w:hAnsi="Book Antiqua"/>
        </w:rPr>
        <w:t xml:space="preserve"> E, </w:t>
      </w:r>
      <w:proofErr w:type="spellStart"/>
      <w:r w:rsidRPr="00B776D0">
        <w:rPr>
          <w:rFonts w:ascii="Book Antiqua" w:hAnsi="Book Antiqua"/>
        </w:rPr>
        <w:t>Triggiani</w:t>
      </w:r>
      <w:proofErr w:type="spellEnd"/>
      <w:r w:rsidRPr="00B776D0">
        <w:rPr>
          <w:rFonts w:ascii="Book Antiqua" w:hAnsi="Book Antiqua"/>
        </w:rPr>
        <w:t xml:space="preserve"> V. Fixed-Ratio Combinations of Basal Insulin and GLP-1RA in the Management of Type 2 Diabetes Mellitus: Highlights from the Literature. </w:t>
      </w:r>
      <w:proofErr w:type="spellStart"/>
      <w:r w:rsidRPr="00B776D0">
        <w:rPr>
          <w:rFonts w:ascii="Book Antiqua" w:hAnsi="Book Antiqua"/>
          <w:i/>
          <w:iCs/>
        </w:rPr>
        <w:t>Endocr</w:t>
      </w:r>
      <w:proofErr w:type="spellEnd"/>
      <w:r w:rsidRPr="00B776D0">
        <w:rPr>
          <w:rFonts w:ascii="Book Antiqua" w:hAnsi="Book Antiqua"/>
          <w:i/>
          <w:iCs/>
        </w:rPr>
        <w:t xml:space="preserve"> </w:t>
      </w:r>
      <w:proofErr w:type="spellStart"/>
      <w:r w:rsidRPr="00B776D0">
        <w:rPr>
          <w:rFonts w:ascii="Book Antiqua" w:hAnsi="Book Antiqua"/>
          <w:i/>
          <w:iCs/>
        </w:rPr>
        <w:t>Metab</w:t>
      </w:r>
      <w:proofErr w:type="spellEnd"/>
      <w:r w:rsidRPr="00B776D0">
        <w:rPr>
          <w:rFonts w:ascii="Book Antiqua" w:hAnsi="Book Antiqua"/>
          <w:i/>
          <w:iCs/>
        </w:rPr>
        <w:t xml:space="preserve"> Immune </w:t>
      </w:r>
      <w:proofErr w:type="spellStart"/>
      <w:r w:rsidRPr="00B776D0">
        <w:rPr>
          <w:rFonts w:ascii="Book Antiqua" w:hAnsi="Book Antiqua"/>
          <w:i/>
          <w:iCs/>
        </w:rPr>
        <w:t>Disord</w:t>
      </w:r>
      <w:proofErr w:type="spellEnd"/>
      <w:r w:rsidRPr="00B776D0">
        <w:rPr>
          <w:rFonts w:ascii="Book Antiqua" w:hAnsi="Book Antiqua"/>
          <w:i/>
          <w:iCs/>
        </w:rPr>
        <w:t xml:space="preserve"> Drug Targets</w:t>
      </w:r>
      <w:r w:rsidRPr="00B776D0">
        <w:rPr>
          <w:rFonts w:ascii="Book Antiqua" w:hAnsi="Book Antiqua"/>
        </w:rPr>
        <w:t xml:space="preserve"> 2021; </w:t>
      </w:r>
      <w:r w:rsidRPr="00B776D0">
        <w:rPr>
          <w:rFonts w:ascii="Book Antiqua" w:hAnsi="Book Antiqua"/>
          <w:b/>
          <w:bCs/>
        </w:rPr>
        <w:t>21</w:t>
      </w:r>
      <w:r w:rsidRPr="00B776D0">
        <w:rPr>
          <w:rFonts w:ascii="Book Antiqua" w:hAnsi="Book Antiqua"/>
        </w:rPr>
        <w:t>: 626-646 [PMID: 32628602 DOI: 10.2174/1871530320666200705211224]</w:t>
      </w:r>
    </w:p>
    <w:p w14:paraId="2A6D0A38"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21 </w:t>
      </w:r>
      <w:r w:rsidRPr="00B776D0">
        <w:rPr>
          <w:rFonts w:ascii="Book Antiqua" w:hAnsi="Book Antiqua"/>
          <w:b/>
          <w:bCs/>
        </w:rPr>
        <w:t>Yang B</w:t>
      </w:r>
      <w:r w:rsidRPr="00B776D0">
        <w:rPr>
          <w:rFonts w:ascii="Book Antiqua" w:hAnsi="Book Antiqua"/>
        </w:rPr>
        <w:t xml:space="preserve">, Wang Z, Dong J. The Specific Magnetic Resonance Imaging Indicators in Predicting Clear-Cell Renal Cell Carcinoma Metastatic to the </w:t>
      </w:r>
      <w:proofErr w:type="spellStart"/>
      <w:r w:rsidRPr="00B776D0">
        <w:rPr>
          <w:rFonts w:ascii="Book Antiqua" w:hAnsi="Book Antiqua"/>
        </w:rPr>
        <w:t>Sinonasal</w:t>
      </w:r>
      <w:proofErr w:type="spellEnd"/>
      <w:r w:rsidRPr="00B776D0">
        <w:rPr>
          <w:rFonts w:ascii="Book Antiqua" w:hAnsi="Book Antiqua"/>
        </w:rPr>
        <w:t xml:space="preserve"> Region. </w:t>
      </w:r>
      <w:r w:rsidRPr="00B776D0">
        <w:rPr>
          <w:rFonts w:ascii="Book Antiqua" w:hAnsi="Book Antiqua"/>
          <w:i/>
          <w:iCs/>
        </w:rPr>
        <w:t xml:space="preserve">J </w:t>
      </w:r>
      <w:proofErr w:type="spellStart"/>
      <w:r w:rsidRPr="00B776D0">
        <w:rPr>
          <w:rFonts w:ascii="Book Antiqua" w:hAnsi="Book Antiqua"/>
          <w:i/>
          <w:iCs/>
        </w:rPr>
        <w:t>Comput</w:t>
      </w:r>
      <w:proofErr w:type="spellEnd"/>
      <w:r w:rsidRPr="00B776D0">
        <w:rPr>
          <w:rFonts w:ascii="Book Antiqua" w:hAnsi="Book Antiqua"/>
          <w:i/>
          <w:iCs/>
        </w:rPr>
        <w:t xml:space="preserve"> Assist </w:t>
      </w:r>
      <w:proofErr w:type="spellStart"/>
      <w:r w:rsidRPr="00B776D0">
        <w:rPr>
          <w:rFonts w:ascii="Book Antiqua" w:hAnsi="Book Antiqua"/>
          <w:i/>
          <w:iCs/>
        </w:rPr>
        <w:t>Tomogr</w:t>
      </w:r>
      <w:proofErr w:type="spellEnd"/>
      <w:r w:rsidRPr="00B776D0">
        <w:rPr>
          <w:rFonts w:ascii="Book Antiqua" w:hAnsi="Book Antiqua"/>
        </w:rPr>
        <w:t xml:space="preserve"> 2020; </w:t>
      </w:r>
      <w:r w:rsidRPr="00B776D0">
        <w:rPr>
          <w:rFonts w:ascii="Book Antiqua" w:hAnsi="Book Antiqua"/>
          <w:b/>
          <w:bCs/>
        </w:rPr>
        <w:t>44</w:t>
      </w:r>
      <w:r w:rsidRPr="00B776D0">
        <w:rPr>
          <w:rFonts w:ascii="Book Antiqua" w:hAnsi="Book Antiqua"/>
        </w:rPr>
        <w:t>: 70-74 [PMID: 31939885 DOI: 10.1097/RCT.0000000000000948]</w:t>
      </w:r>
    </w:p>
    <w:p w14:paraId="342DE1D5"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22 </w:t>
      </w:r>
      <w:proofErr w:type="spellStart"/>
      <w:r w:rsidRPr="00B776D0">
        <w:rPr>
          <w:rFonts w:ascii="Book Antiqua" w:hAnsi="Book Antiqua"/>
          <w:b/>
          <w:bCs/>
        </w:rPr>
        <w:t>Nauck</w:t>
      </w:r>
      <w:proofErr w:type="spellEnd"/>
      <w:r w:rsidRPr="00B776D0">
        <w:rPr>
          <w:rFonts w:ascii="Book Antiqua" w:hAnsi="Book Antiqua"/>
          <w:b/>
          <w:bCs/>
        </w:rPr>
        <w:t xml:space="preserve"> MA</w:t>
      </w:r>
      <w:r w:rsidRPr="00B776D0">
        <w:rPr>
          <w:rFonts w:ascii="Book Antiqua" w:hAnsi="Book Antiqua"/>
        </w:rPr>
        <w:t xml:space="preserve">, </w:t>
      </w:r>
      <w:proofErr w:type="spellStart"/>
      <w:r w:rsidRPr="00B776D0">
        <w:rPr>
          <w:rFonts w:ascii="Book Antiqua" w:hAnsi="Book Antiqua"/>
        </w:rPr>
        <w:t>D'Alessio</w:t>
      </w:r>
      <w:proofErr w:type="spellEnd"/>
      <w:r w:rsidRPr="00B776D0">
        <w:rPr>
          <w:rFonts w:ascii="Book Antiqua" w:hAnsi="Book Antiqua"/>
        </w:rPr>
        <w:t xml:space="preserve"> DA. </w:t>
      </w:r>
      <w:proofErr w:type="spellStart"/>
      <w:r w:rsidRPr="00B776D0">
        <w:rPr>
          <w:rFonts w:ascii="Book Antiqua" w:hAnsi="Book Antiqua"/>
        </w:rPr>
        <w:t>Tirzepatide</w:t>
      </w:r>
      <w:proofErr w:type="spellEnd"/>
      <w:r w:rsidRPr="00B776D0">
        <w:rPr>
          <w:rFonts w:ascii="Book Antiqua" w:hAnsi="Book Antiqua"/>
        </w:rPr>
        <w:t xml:space="preserve">, a dual GIP/GLP-1 receptor co-agonist for the treatment of type 2 diabetes with unmatched effectiveness regrading </w:t>
      </w:r>
      <w:proofErr w:type="spellStart"/>
      <w:r w:rsidRPr="00B776D0">
        <w:rPr>
          <w:rFonts w:ascii="Book Antiqua" w:hAnsi="Book Antiqua"/>
        </w:rPr>
        <w:t>glycaemic</w:t>
      </w:r>
      <w:proofErr w:type="spellEnd"/>
      <w:r w:rsidRPr="00B776D0">
        <w:rPr>
          <w:rFonts w:ascii="Book Antiqua" w:hAnsi="Book Antiqua"/>
        </w:rPr>
        <w:t xml:space="preserve"> control and body weight reduction. </w:t>
      </w:r>
      <w:r w:rsidRPr="00B776D0">
        <w:rPr>
          <w:rFonts w:ascii="Book Antiqua" w:hAnsi="Book Antiqua"/>
          <w:i/>
          <w:iCs/>
        </w:rPr>
        <w:t xml:space="preserve">Cardiovasc </w:t>
      </w:r>
      <w:proofErr w:type="spellStart"/>
      <w:r w:rsidRPr="00B776D0">
        <w:rPr>
          <w:rFonts w:ascii="Book Antiqua" w:hAnsi="Book Antiqua"/>
          <w:i/>
          <w:iCs/>
        </w:rPr>
        <w:t>Diabetol</w:t>
      </w:r>
      <w:proofErr w:type="spellEnd"/>
      <w:r w:rsidRPr="00B776D0">
        <w:rPr>
          <w:rFonts w:ascii="Book Antiqua" w:hAnsi="Book Antiqua"/>
        </w:rPr>
        <w:t xml:space="preserve"> 2022; </w:t>
      </w:r>
      <w:r w:rsidRPr="00B776D0">
        <w:rPr>
          <w:rFonts w:ascii="Book Antiqua" w:hAnsi="Book Antiqua"/>
          <w:b/>
          <w:bCs/>
        </w:rPr>
        <w:t>21</w:t>
      </w:r>
      <w:r w:rsidRPr="00B776D0">
        <w:rPr>
          <w:rFonts w:ascii="Book Antiqua" w:hAnsi="Book Antiqua"/>
        </w:rPr>
        <w:t>: 169 [PMID: 36050763 DOI: 10.1186/s12933-022-01604-7]</w:t>
      </w:r>
    </w:p>
    <w:p w14:paraId="5F3D79E6"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23 </w:t>
      </w:r>
      <w:proofErr w:type="spellStart"/>
      <w:r w:rsidRPr="00B776D0">
        <w:rPr>
          <w:rFonts w:ascii="Book Antiqua" w:hAnsi="Book Antiqua"/>
          <w:b/>
          <w:bCs/>
        </w:rPr>
        <w:t>Scheithauer</w:t>
      </w:r>
      <w:proofErr w:type="spellEnd"/>
      <w:r w:rsidRPr="00B776D0">
        <w:rPr>
          <w:rFonts w:ascii="Book Antiqua" w:hAnsi="Book Antiqua"/>
          <w:b/>
          <w:bCs/>
        </w:rPr>
        <w:t xml:space="preserve"> TPM</w:t>
      </w:r>
      <w:r w:rsidRPr="00B776D0">
        <w:rPr>
          <w:rFonts w:ascii="Book Antiqua" w:hAnsi="Book Antiqua"/>
        </w:rPr>
        <w:t xml:space="preserve">, </w:t>
      </w:r>
      <w:proofErr w:type="spellStart"/>
      <w:r w:rsidRPr="00B776D0">
        <w:rPr>
          <w:rFonts w:ascii="Book Antiqua" w:hAnsi="Book Antiqua"/>
        </w:rPr>
        <w:t>Rampanelli</w:t>
      </w:r>
      <w:proofErr w:type="spellEnd"/>
      <w:r w:rsidRPr="00B776D0">
        <w:rPr>
          <w:rFonts w:ascii="Book Antiqua" w:hAnsi="Book Antiqua"/>
        </w:rPr>
        <w:t xml:space="preserve"> E, </w:t>
      </w:r>
      <w:proofErr w:type="spellStart"/>
      <w:r w:rsidRPr="00B776D0">
        <w:rPr>
          <w:rFonts w:ascii="Book Antiqua" w:hAnsi="Book Antiqua"/>
        </w:rPr>
        <w:t>Nieuwdorp</w:t>
      </w:r>
      <w:proofErr w:type="spellEnd"/>
      <w:r w:rsidRPr="00B776D0">
        <w:rPr>
          <w:rFonts w:ascii="Book Antiqua" w:hAnsi="Book Antiqua"/>
        </w:rPr>
        <w:t xml:space="preserve"> M, Vallance BA, </w:t>
      </w:r>
      <w:proofErr w:type="spellStart"/>
      <w:r w:rsidRPr="00B776D0">
        <w:rPr>
          <w:rFonts w:ascii="Book Antiqua" w:hAnsi="Book Antiqua"/>
        </w:rPr>
        <w:t>Verchere</w:t>
      </w:r>
      <w:proofErr w:type="spellEnd"/>
      <w:r w:rsidRPr="00B776D0">
        <w:rPr>
          <w:rFonts w:ascii="Book Antiqua" w:hAnsi="Book Antiqua"/>
        </w:rPr>
        <w:t xml:space="preserve"> CB, van </w:t>
      </w:r>
      <w:proofErr w:type="spellStart"/>
      <w:r w:rsidRPr="00B776D0">
        <w:rPr>
          <w:rFonts w:ascii="Book Antiqua" w:hAnsi="Book Antiqua"/>
        </w:rPr>
        <w:t>Raalte</w:t>
      </w:r>
      <w:proofErr w:type="spellEnd"/>
      <w:r w:rsidRPr="00B776D0">
        <w:rPr>
          <w:rFonts w:ascii="Book Antiqua" w:hAnsi="Book Antiqua"/>
        </w:rPr>
        <w:t xml:space="preserve"> DH, </w:t>
      </w:r>
      <w:proofErr w:type="spellStart"/>
      <w:r w:rsidRPr="00B776D0">
        <w:rPr>
          <w:rFonts w:ascii="Book Antiqua" w:hAnsi="Book Antiqua"/>
        </w:rPr>
        <w:t>Herrema</w:t>
      </w:r>
      <w:proofErr w:type="spellEnd"/>
      <w:r w:rsidRPr="00B776D0">
        <w:rPr>
          <w:rFonts w:ascii="Book Antiqua" w:hAnsi="Book Antiqua"/>
        </w:rPr>
        <w:t xml:space="preserve"> H. Gut Microbiota as a Trigger for Metabolic Inflammation in Obesity and Type 2 Diabetes. </w:t>
      </w:r>
      <w:r w:rsidRPr="00B776D0">
        <w:rPr>
          <w:rFonts w:ascii="Book Antiqua" w:hAnsi="Book Antiqua"/>
          <w:i/>
          <w:iCs/>
        </w:rPr>
        <w:t>Front Immunol</w:t>
      </w:r>
      <w:r w:rsidRPr="00B776D0">
        <w:rPr>
          <w:rFonts w:ascii="Book Antiqua" w:hAnsi="Book Antiqua"/>
        </w:rPr>
        <w:t xml:space="preserve"> 2020; </w:t>
      </w:r>
      <w:r w:rsidRPr="00B776D0">
        <w:rPr>
          <w:rFonts w:ascii="Book Antiqua" w:hAnsi="Book Antiqua"/>
          <w:b/>
          <w:bCs/>
        </w:rPr>
        <w:t>11</w:t>
      </w:r>
      <w:r w:rsidRPr="00B776D0">
        <w:rPr>
          <w:rFonts w:ascii="Book Antiqua" w:hAnsi="Book Antiqua"/>
        </w:rPr>
        <w:t>: 571731 [PMID: 33178196 DOI: 10.3389/fimmu.2020.571731]</w:t>
      </w:r>
    </w:p>
    <w:p w14:paraId="547A5E5F"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24 </w:t>
      </w:r>
      <w:r w:rsidRPr="00B776D0">
        <w:rPr>
          <w:rFonts w:ascii="Book Antiqua" w:hAnsi="Book Antiqua"/>
          <w:b/>
          <w:bCs/>
        </w:rPr>
        <w:t>Andersen A</w:t>
      </w:r>
      <w:r w:rsidRPr="00B776D0">
        <w:rPr>
          <w:rFonts w:ascii="Book Antiqua" w:hAnsi="Book Antiqua"/>
        </w:rPr>
        <w:t xml:space="preserve">, Knop FK, </w:t>
      </w:r>
      <w:proofErr w:type="spellStart"/>
      <w:r w:rsidRPr="00B776D0">
        <w:rPr>
          <w:rFonts w:ascii="Book Antiqua" w:hAnsi="Book Antiqua"/>
        </w:rPr>
        <w:t>Vilsbøll</w:t>
      </w:r>
      <w:proofErr w:type="spellEnd"/>
      <w:r w:rsidRPr="00B776D0">
        <w:rPr>
          <w:rFonts w:ascii="Book Antiqua" w:hAnsi="Book Antiqua"/>
        </w:rPr>
        <w:t xml:space="preserve"> T. A Pharmacological and Clinical Overview of Oral </w:t>
      </w:r>
      <w:proofErr w:type="spellStart"/>
      <w:r w:rsidRPr="00B776D0">
        <w:rPr>
          <w:rFonts w:ascii="Book Antiqua" w:hAnsi="Book Antiqua"/>
        </w:rPr>
        <w:t>Semaglutide</w:t>
      </w:r>
      <w:proofErr w:type="spellEnd"/>
      <w:r w:rsidRPr="00B776D0">
        <w:rPr>
          <w:rFonts w:ascii="Book Antiqua" w:hAnsi="Book Antiqua"/>
        </w:rPr>
        <w:t xml:space="preserve"> for the Treatment of Type 2 Diabetes. </w:t>
      </w:r>
      <w:r w:rsidRPr="00B776D0">
        <w:rPr>
          <w:rFonts w:ascii="Book Antiqua" w:hAnsi="Book Antiqua"/>
          <w:i/>
          <w:iCs/>
        </w:rPr>
        <w:t>Drugs</w:t>
      </w:r>
      <w:r w:rsidRPr="00B776D0">
        <w:rPr>
          <w:rFonts w:ascii="Book Antiqua" w:hAnsi="Book Antiqua"/>
        </w:rPr>
        <w:t xml:space="preserve"> 2021; </w:t>
      </w:r>
      <w:r w:rsidRPr="00B776D0">
        <w:rPr>
          <w:rFonts w:ascii="Book Antiqua" w:hAnsi="Book Antiqua"/>
          <w:b/>
          <w:bCs/>
        </w:rPr>
        <w:t>81</w:t>
      </w:r>
      <w:r w:rsidRPr="00B776D0">
        <w:rPr>
          <w:rFonts w:ascii="Book Antiqua" w:hAnsi="Book Antiqua"/>
        </w:rPr>
        <w:t>: 1003-1030 [PMID: 33964002 DOI: 10.1007/s40265-021-01499-w]</w:t>
      </w:r>
    </w:p>
    <w:p w14:paraId="758338FA" w14:textId="77777777" w:rsidR="003B17A6" w:rsidRPr="00B776D0" w:rsidRDefault="00BA6ED0" w:rsidP="00B776D0">
      <w:pPr>
        <w:spacing w:line="360" w:lineRule="auto"/>
        <w:jc w:val="both"/>
        <w:rPr>
          <w:rFonts w:ascii="Book Antiqua" w:hAnsi="Book Antiqua"/>
        </w:rPr>
      </w:pPr>
      <w:r w:rsidRPr="00B776D0">
        <w:rPr>
          <w:rFonts w:ascii="Book Antiqua" w:hAnsi="Book Antiqua"/>
        </w:rPr>
        <w:t xml:space="preserve">25 </w:t>
      </w:r>
      <w:proofErr w:type="spellStart"/>
      <w:r w:rsidRPr="00B776D0">
        <w:rPr>
          <w:rFonts w:ascii="Book Antiqua" w:hAnsi="Book Antiqua"/>
          <w:b/>
          <w:bCs/>
        </w:rPr>
        <w:t>Castellana</w:t>
      </w:r>
      <w:proofErr w:type="spellEnd"/>
      <w:r w:rsidRPr="00B776D0">
        <w:rPr>
          <w:rFonts w:ascii="Book Antiqua" w:hAnsi="Book Antiqua"/>
          <w:b/>
          <w:bCs/>
        </w:rPr>
        <w:t xml:space="preserve"> M</w:t>
      </w:r>
      <w:r w:rsidRPr="00B776D0">
        <w:rPr>
          <w:rFonts w:ascii="Book Antiqua" w:hAnsi="Book Antiqua"/>
        </w:rPr>
        <w:t xml:space="preserve">, </w:t>
      </w:r>
      <w:proofErr w:type="spellStart"/>
      <w:r w:rsidRPr="00B776D0">
        <w:rPr>
          <w:rFonts w:ascii="Book Antiqua" w:hAnsi="Book Antiqua"/>
        </w:rPr>
        <w:t>Cignarelli</w:t>
      </w:r>
      <w:proofErr w:type="spellEnd"/>
      <w:r w:rsidRPr="00B776D0">
        <w:rPr>
          <w:rFonts w:ascii="Book Antiqua" w:hAnsi="Book Antiqua"/>
        </w:rPr>
        <w:t xml:space="preserve"> A, Brescia F, </w:t>
      </w:r>
      <w:proofErr w:type="spellStart"/>
      <w:r w:rsidRPr="00B776D0">
        <w:rPr>
          <w:rFonts w:ascii="Book Antiqua" w:hAnsi="Book Antiqua"/>
        </w:rPr>
        <w:t>Laviola</w:t>
      </w:r>
      <w:proofErr w:type="spellEnd"/>
      <w:r w:rsidRPr="00B776D0">
        <w:rPr>
          <w:rFonts w:ascii="Book Antiqua" w:hAnsi="Book Antiqua"/>
        </w:rPr>
        <w:t xml:space="preserve"> L, </w:t>
      </w:r>
      <w:proofErr w:type="spellStart"/>
      <w:r w:rsidRPr="00B776D0">
        <w:rPr>
          <w:rFonts w:ascii="Book Antiqua" w:hAnsi="Book Antiqua"/>
        </w:rPr>
        <w:t>Giorgino</w:t>
      </w:r>
      <w:proofErr w:type="spellEnd"/>
      <w:r w:rsidRPr="00B776D0">
        <w:rPr>
          <w:rFonts w:ascii="Book Antiqua" w:hAnsi="Book Antiqua"/>
        </w:rPr>
        <w:t xml:space="preserve"> F. GLP-1 receptor agonist added to insulin versus basal-plus or basal-bolus insulin therapy in type 2 diabetes: A systematic review and meta-analysis. </w:t>
      </w:r>
      <w:r w:rsidRPr="00B776D0">
        <w:rPr>
          <w:rFonts w:ascii="Book Antiqua" w:hAnsi="Book Antiqua"/>
          <w:i/>
          <w:iCs/>
        </w:rPr>
        <w:t xml:space="preserve">Diabetes </w:t>
      </w:r>
      <w:proofErr w:type="spellStart"/>
      <w:r w:rsidRPr="00B776D0">
        <w:rPr>
          <w:rFonts w:ascii="Book Antiqua" w:hAnsi="Book Antiqua"/>
          <w:i/>
          <w:iCs/>
        </w:rPr>
        <w:t>Metab</w:t>
      </w:r>
      <w:proofErr w:type="spellEnd"/>
      <w:r w:rsidRPr="00B776D0">
        <w:rPr>
          <w:rFonts w:ascii="Book Antiqua" w:hAnsi="Book Antiqua"/>
          <w:i/>
          <w:iCs/>
        </w:rPr>
        <w:t xml:space="preserve"> Res Rev</w:t>
      </w:r>
      <w:r w:rsidRPr="00B776D0">
        <w:rPr>
          <w:rFonts w:ascii="Book Antiqua" w:hAnsi="Book Antiqua"/>
        </w:rPr>
        <w:t xml:space="preserve"> 2019; </w:t>
      </w:r>
      <w:r w:rsidRPr="00B776D0">
        <w:rPr>
          <w:rFonts w:ascii="Book Antiqua" w:hAnsi="Book Antiqua"/>
          <w:b/>
          <w:bCs/>
        </w:rPr>
        <w:t>35</w:t>
      </w:r>
      <w:r w:rsidRPr="00B776D0">
        <w:rPr>
          <w:rFonts w:ascii="Book Antiqua" w:hAnsi="Book Antiqua"/>
        </w:rPr>
        <w:t>: e3082 [PMID: 30270567 DOI: 10.1002/dmrr.3082]</w:t>
      </w:r>
    </w:p>
    <w:p w14:paraId="462DC030" w14:textId="77777777" w:rsidR="003B17A6" w:rsidRPr="00B776D0" w:rsidRDefault="003B17A6" w:rsidP="00B776D0">
      <w:pPr>
        <w:spacing w:line="360" w:lineRule="auto"/>
        <w:jc w:val="both"/>
        <w:rPr>
          <w:rFonts w:ascii="Book Antiqua" w:hAnsi="Book Antiqua"/>
        </w:rPr>
        <w:sectPr w:rsidR="003B17A6" w:rsidRPr="00B776D0">
          <w:pgSz w:w="12240" w:h="15840"/>
          <w:pgMar w:top="1440" w:right="1440" w:bottom="1440" w:left="1440" w:header="720" w:footer="720" w:gutter="0"/>
          <w:cols w:space="720"/>
          <w:docGrid w:linePitch="360"/>
        </w:sectPr>
      </w:pPr>
    </w:p>
    <w:p w14:paraId="6432C488"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lastRenderedPageBreak/>
        <w:t>Footnotes</w:t>
      </w:r>
    </w:p>
    <w:p w14:paraId="0AAA801C"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Institutional review board statement:</w:t>
      </w:r>
      <w:r w:rsidR="00E4417E" w:rsidRPr="00B776D0">
        <w:rPr>
          <w:rFonts w:ascii="Book Antiqua" w:eastAsia="Book Antiqua" w:hAnsi="Book Antiqua" w:cs="Book Antiqua"/>
          <w:b/>
          <w:bCs/>
        </w:rPr>
        <w:t xml:space="preserve"> </w:t>
      </w:r>
      <w:r w:rsidR="00E4417E" w:rsidRPr="00B776D0">
        <w:rPr>
          <w:rFonts w:ascii="Book Antiqua" w:eastAsia="Book Antiqua" w:hAnsi="Book Antiqua" w:cs="Book Antiqua"/>
        </w:rPr>
        <w:t xml:space="preserve">The study was </w:t>
      </w:r>
      <w:r w:rsidR="00020BE4" w:rsidRPr="00B776D0">
        <w:rPr>
          <w:rFonts w:ascii="Book Antiqua" w:eastAsia="Book Antiqua" w:hAnsi="Book Antiqua" w:cs="Book Antiqua"/>
        </w:rPr>
        <w:t xml:space="preserve">reviewed and </w:t>
      </w:r>
      <w:r w:rsidR="00E4417E" w:rsidRPr="00B776D0">
        <w:rPr>
          <w:rFonts w:ascii="Book Antiqua" w:eastAsia="Book Antiqua" w:hAnsi="Book Antiqua" w:cs="Book Antiqua"/>
        </w:rPr>
        <w:t>approved by the Ethics Committee of the Second Affiliated Hospital of Anhui Medical University (Approval No. YX2019-055).</w:t>
      </w:r>
    </w:p>
    <w:p w14:paraId="4A015876" w14:textId="77777777" w:rsidR="003B17A6" w:rsidRPr="00B776D0" w:rsidRDefault="003B17A6" w:rsidP="00B776D0">
      <w:pPr>
        <w:spacing w:line="360" w:lineRule="auto"/>
        <w:jc w:val="both"/>
        <w:rPr>
          <w:rFonts w:ascii="Book Antiqua" w:hAnsi="Book Antiqua"/>
        </w:rPr>
      </w:pPr>
    </w:p>
    <w:p w14:paraId="30AB79BD" w14:textId="77777777" w:rsidR="00047C42" w:rsidRPr="00B776D0" w:rsidRDefault="00BA6ED0" w:rsidP="00B776D0">
      <w:pPr>
        <w:spacing w:line="360" w:lineRule="auto"/>
        <w:jc w:val="both"/>
        <w:rPr>
          <w:rFonts w:ascii="Book Antiqua" w:eastAsia="Book Antiqua" w:hAnsi="Book Antiqua" w:cs="Book Antiqua"/>
        </w:rPr>
      </w:pPr>
      <w:r w:rsidRPr="00B776D0">
        <w:rPr>
          <w:rFonts w:ascii="Book Antiqua" w:eastAsia="Book Antiqua" w:hAnsi="Book Antiqua" w:cs="Book Antiqua"/>
          <w:b/>
          <w:bCs/>
        </w:rPr>
        <w:t xml:space="preserve">Informed consent statement: </w:t>
      </w:r>
      <w:r w:rsidR="00047C42" w:rsidRPr="00B776D0">
        <w:rPr>
          <w:rFonts w:ascii="Book Antiqua" w:eastAsia="Book Antiqua" w:hAnsi="Book Antiqua" w:cs="Book Antiqua"/>
        </w:rPr>
        <w:t>All study participants provided informed written consent prior to study enrolment.</w:t>
      </w:r>
    </w:p>
    <w:p w14:paraId="3D6A1D74" w14:textId="77777777" w:rsidR="003B17A6" w:rsidRPr="00B776D0" w:rsidRDefault="003B17A6" w:rsidP="00B776D0">
      <w:pPr>
        <w:spacing w:line="360" w:lineRule="auto"/>
        <w:jc w:val="both"/>
        <w:rPr>
          <w:rFonts w:ascii="Book Antiqua" w:hAnsi="Book Antiqua"/>
        </w:rPr>
      </w:pPr>
    </w:p>
    <w:p w14:paraId="2AF8C428" w14:textId="479AA00F"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 xml:space="preserve">Conflict-of-interest statement: </w:t>
      </w:r>
      <w:r w:rsidR="003079DA">
        <w:rPr>
          <w:rFonts w:ascii="Book Antiqua" w:eastAsia="Book Antiqua" w:hAnsi="Book Antiqua" w:cs="Book Antiqua"/>
          <w:color w:val="000000"/>
        </w:rPr>
        <w:t>T</w:t>
      </w:r>
      <w:r w:rsidRPr="00B776D0">
        <w:rPr>
          <w:rFonts w:ascii="Book Antiqua" w:eastAsia="Book Antiqua" w:hAnsi="Book Antiqua" w:cs="Book Antiqua"/>
          <w:color w:val="000000"/>
        </w:rPr>
        <w:t xml:space="preserve">he authors </w:t>
      </w:r>
      <w:r w:rsidR="003079DA">
        <w:rPr>
          <w:rFonts w:ascii="Book Antiqua" w:eastAsia="Book Antiqua" w:hAnsi="Book Antiqua" w:cs="Book Antiqua"/>
          <w:color w:val="000000"/>
        </w:rPr>
        <w:t>have</w:t>
      </w:r>
      <w:r w:rsidR="003079DA" w:rsidRPr="00B776D0">
        <w:rPr>
          <w:rFonts w:ascii="Book Antiqua" w:eastAsia="Book Antiqua" w:hAnsi="Book Antiqua" w:cs="Book Antiqua"/>
          <w:color w:val="000000"/>
        </w:rPr>
        <w:t xml:space="preserve"> </w:t>
      </w:r>
      <w:r w:rsidRPr="00B776D0">
        <w:rPr>
          <w:rFonts w:ascii="Book Antiqua" w:eastAsia="Book Antiqua" w:hAnsi="Book Antiqua" w:cs="Book Antiqua"/>
          <w:color w:val="000000"/>
        </w:rPr>
        <w:t xml:space="preserve">no conflicts of interest </w:t>
      </w:r>
      <w:r w:rsidR="003079DA">
        <w:rPr>
          <w:rFonts w:ascii="Book Antiqua" w:eastAsia="Book Antiqua" w:hAnsi="Book Antiqua" w:cs="Book Antiqua"/>
          <w:color w:val="000000"/>
        </w:rPr>
        <w:t>to declare</w:t>
      </w:r>
      <w:r w:rsidRPr="00B776D0">
        <w:rPr>
          <w:rFonts w:ascii="Book Antiqua" w:eastAsia="Book Antiqua" w:hAnsi="Book Antiqua" w:cs="Book Antiqua"/>
          <w:color w:val="000000"/>
        </w:rPr>
        <w:t>.</w:t>
      </w:r>
    </w:p>
    <w:p w14:paraId="248A0448" w14:textId="77777777" w:rsidR="003B17A6" w:rsidRPr="00B776D0" w:rsidRDefault="003B17A6" w:rsidP="00B776D0">
      <w:pPr>
        <w:spacing w:line="360" w:lineRule="auto"/>
        <w:jc w:val="both"/>
        <w:rPr>
          <w:rFonts w:ascii="Book Antiqua" w:hAnsi="Book Antiqua"/>
        </w:rPr>
      </w:pPr>
    </w:p>
    <w:p w14:paraId="5DD2F826" w14:textId="77777777" w:rsidR="00047C42" w:rsidRPr="00B776D0" w:rsidRDefault="00BA6ED0" w:rsidP="00B776D0">
      <w:pPr>
        <w:spacing w:line="360" w:lineRule="auto"/>
        <w:jc w:val="both"/>
        <w:rPr>
          <w:rFonts w:ascii="Book Antiqua" w:eastAsia="Book Antiqua" w:hAnsi="Book Antiqua" w:cs="Book Antiqua"/>
        </w:rPr>
      </w:pPr>
      <w:r w:rsidRPr="00B776D0">
        <w:rPr>
          <w:rFonts w:ascii="Book Antiqua" w:eastAsia="Book Antiqua" w:hAnsi="Book Antiqua" w:cs="Book Antiqua"/>
          <w:b/>
          <w:bCs/>
        </w:rPr>
        <w:t xml:space="preserve">Data sharing statement: </w:t>
      </w:r>
      <w:r w:rsidR="00047C42" w:rsidRPr="00B776D0">
        <w:rPr>
          <w:rFonts w:ascii="Book Antiqua" w:eastAsia="Book Antiqua" w:hAnsi="Book Antiqua" w:cs="Book Antiqua"/>
        </w:rPr>
        <w:t>No additional data are available.</w:t>
      </w:r>
    </w:p>
    <w:p w14:paraId="0186BA47" w14:textId="77777777" w:rsidR="003B17A6" w:rsidRPr="00B776D0" w:rsidRDefault="003B17A6" w:rsidP="00B776D0">
      <w:pPr>
        <w:spacing w:line="360" w:lineRule="auto"/>
        <w:jc w:val="both"/>
        <w:rPr>
          <w:rFonts w:ascii="Book Antiqua" w:hAnsi="Book Antiqua"/>
        </w:rPr>
      </w:pPr>
    </w:p>
    <w:p w14:paraId="28A4DB8F" w14:textId="77777777" w:rsidR="003B17A6" w:rsidRPr="00B776D0" w:rsidRDefault="00BA6ED0" w:rsidP="00B776D0">
      <w:pPr>
        <w:spacing w:line="360" w:lineRule="auto"/>
        <w:jc w:val="both"/>
        <w:rPr>
          <w:rFonts w:ascii="Book Antiqua" w:eastAsia="Book Antiqua" w:hAnsi="Book Antiqua" w:cs="Book Antiqua"/>
        </w:rPr>
      </w:pPr>
      <w:r w:rsidRPr="00B776D0">
        <w:rPr>
          <w:rFonts w:ascii="Book Antiqua" w:eastAsia="Book Antiqua" w:hAnsi="Book Antiqua" w:cs="Book Antiqua"/>
          <w:b/>
          <w:bCs/>
        </w:rPr>
        <w:t>STROBE statement:</w:t>
      </w:r>
      <w:r w:rsidRPr="00B776D0">
        <w:rPr>
          <w:rFonts w:ascii="Book Antiqua" w:eastAsia="Book Antiqua" w:hAnsi="Book Antiqua" w:cs="Book Antiqua"/>
        </w:rPr>
        <w:t xml:space="preserve"> The authors have read the STROBE Statement-checklist of items, and the manuscript was prepared and revised according to the STROBE Statement-checklist of items.</w:t>
      </w:r>
    </w:p>
    <w:p w14:paraId="5787C568" w14:textId="77777777" w:rsidR="003B17A6" w:rsidRPr="00B776D0" w:rsidRDefault="003B17A6" w:rsidP="00B776D0">
      <w:pPr>
        <w:spacing w:line="360" w:lineRule="auto"/>
        <w:jc w:val="both"/>
        <w:rPr>
          <w:rFonts w:ascii="Book Antiqua" w:hAnsi="Book Antiqua"/>
        </w:rPr>
      </w:pPr>
    </w:p>
    <w:p w14:paraId="0EACFE90"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bCs/>
        </w:rPr>
        <w:t xml:space="preserve">Open-Access: </w:t>
      </w:r>
      <w:r w:rsidRPr="00B776D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AE98F4" w14:textId="77777777" w:rsidR="003B17A6" w:rsidRPr="00B776D0" w:rsidRDefault="003B17A6" w:rsidP="00B776D0">
      <w:pPr>
        <w:spacing w:line="360" w:lineRule="auto"/>
        <w:jc w:val="both"/>
        <w:rPr>
          <w:rFonts w:ascii="Book Antiqua" w:hAnsi="Book Antiqua"/>
        </w:rPr>
      </w:pPr>
    </w:p>
    <w:p w14:paraId="4E2E9CC9"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t xml:space="preserve">Provenance and peer review: </w:t>
      </w:r>
      <w:r w:rsidRPr="00B776D0">
        <w:rPr>
          <w:rFonts w:ascii="Book Antiqua" w:eastAsia="Book Antiqua" w:hAnsi="Book Antiqua" w:cs="Book Antiqua"/>
        </w:rPr>
        <w:t>Unsolicited article; Externally peer reviewed.</w:t>
      </w:r>
    </w:p>
    <w:p w14:paraId="6D41A42F"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t xml:space="preserve">Peer-review model: </w:t>
      </w:r>
      <w:r w:rsidRPr="00B776D0">
        <w:rPr>
          <w:rFonts w:ascii="Book Antiqua" w:eastAsia="Book Antiqua" w:hAnsi="Book Antiqua" w:cs="Book Antiqua"/>
        </w:rPr>
        <w:t>Single blind</w:t>
      </w:r>
    </w:p>
    <w:p w14:paraId="0A447EC3" w14:textId="77777777" w:rsidR="003B17A6" w:rsidRPr="00B776D0" w:rsidRDefault="003B17A6" w:rsidP="00B776D0">
      <w:pPr>
        <w:spacing w:line="360" w:lineRule="auto"/>
        <w:jc w:val="both"/>
        <w:rPr>
          <w:rFonts w:ascii="Book Antiqua" w:hAnsi="Book Antiqua"/>
        </w:rPr>
      </w:pPr>
    </w:p>
    <w:p w14:paraId="00BFB0AC"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t xml:space="preserve">Peer-review started: </w:t>
      </w:r>
      <w:r w:rsidRPr="00B776D0">
        <w:rPr>
          <w:rFonts w:ascii="Book Antiqua" w:eastAsia="Book Antiqua" w:hAnsi="Book Antiqua" w:cs="Book Antiqua"/>
        </w:rPr>
        <w:t>April 19, 2023</w:t>
      </w:r>
    </w:p>
    <w:p w14:paraId="54E961F1"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t xml:space="preserve">First decision: </w:t>
      </w:r>
      <w:r w:rsidRPr="00B776D0">
        <w:rPr>
          <w:rFonts w:ascii="Book Antiqua" w:eastAsia="Book Antiqua" w:hAnsi="Book Antiqua" w:cs="Book Antiqua"/>
        </w:rPr>
        <w:t>April 28, 2023</w:t>
      </w:r>
    </w:p>
    <w:p w14:paraId="185F41E1"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t xml:space="preserve">Article in press: </w:t>
      </w:r>
    </w:p>
    <w:p w14:paraId="196F2630" w14:textId="77777777" w:rsidR="003B17A6" w:rsidRPr="00B776D0" w:rsidRDefault="003B17A6" w:rsidP="00B776D0">
      <w:pPr>
        <w:spacing w:line="360" w:lineRule="auto"/>
        <w:jc w:val="both"/>
        <w:rPr>
          <w:rFonts w:ascii="Book Antiqua" w:hAnsi="Book Antiqua"/>
        </w:rPr>
      </w:pPr>
    </w:p>
    <w:p w14:paraId="5818C3EC"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lastRenderedPageBreak/>
        <w:t xml:space="preserve">Specialty type: </w:t>
      </w:r>
      <w:r w:rsidR="00B776D0" w:rsidRPr="00E700C2">
        <w:rPr>
          <w:rFonts w:ascii="Book Antiqua" w:eastAsia="Microsoft YaHei" w:hAnsi="Book Antiqua" w:cs="SimSun"/>
        </w:rPr>
        <w:t>Endocrinology and metabolism</w:t>
      </w:r>
    </w:p>
    <w:p w14:paraId="49210F5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t xml:space="preserve">Country/Territory of origin: </w:t>
      </w:r>
      <w:r w:rsidRPr="00B776D0">
        <w:rPr>
          <w:rFonts w:ascii="Book Antiqua" w:eastAsia="Book Antiqua" w:hAnsi="Book Antiqua" w:cs="Book Antiqua"/>
        </w:rPr>
        <w:t>China</w:t>
      </w:r>
    </w:p>
    <w:p w14:paraId="1455ADC9"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b/>
          <w:color w:val="000000"/>
        </w:rPr>
        <w:t>Peer-review report’s scientific quality classification</w:t>
      </w:r>
    </w:p>
    <w:p w14:paraId="35F8A833"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Grade A (Excellent): 0</w:t>
      </w:r>
    </w:p>
    <w:p w14:paraId="1F597E80"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Grade B (Very good): B</w:t>
      </w:r>
    </w:p>
    <w:p w14:paraId="4756C366"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Grade C (Good): C</w:t>
      </w:r>
    </w:p>
    <w:p w14:paraId="66930428"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Grade D (Fair): 0</w:t>
      </w:r>
    </w:p>
    <w:p w14:paraId="31136626" w14:textId="77777777" w:rsidR="003B17A6" w:rsidRPr="00B776D0" w:rsidRDefault="00BA6ED0" w:rsidP="00B776D0">
      <w:pPr>
        <w:spacing w:line="360" w:lineRule="auto"/>
        <w:jc w:val="both"/>
        <w:rPr>
          <w:rFonts w:ascii="Book Antiqua" w:hAnsi="Book Antiqua"/>
        </w:rPr>
      </w:pPr>
      <w:r w:rsidRPr="00B776D0">
        <w:rPr>
          <w:rFonts w:ascii="Book Antiqua" w:eastAsia="Book Antiqua" w:hAnsi="Book Antiqua" w:cs="Book Antiqua"/>
        </w:rPr>
        <w:t>Grade E (Poor): 0</w:t>
      </w:r>
    </w:p>
    <w:p w14:paraId="50427DB2" w14:textId="77777777" w:rsidR="003B17A6" w:rsidRPr="00B776D0" w:rsidRDefault="003B17A6" w:rsidP="00B776D0">
      <w:pPr>
        <w:spacing w:line="360" w:lineRule="auto"/>
        <w:jc w:val="both"/>
        <w:rPr>
          <w:rFonts w:ascii="Book Antiqua" w:hAnsi="Book Antiqua"/>
        </w:rPr>
      </w:pPr>
    </w:p>
    <w:p w14:paraId="21DCF0DB" w14:textId="38E85A8B" w:rsidR="003B17A6" w:rsidRPr="00B776D0" w:rsidRDefault="00BA6ED0" w:rsidP="00B776D0">
      <w:pPr>
        <w:spacing w:line="360" w:lineRule="auto"/>
        <w:jc w:val="both"/>
        <w:rPr>
          <w:rFonts w:ascii="Book Antiqua" w:eastAsia="Book Antiqua" w:hAnsi="Book Antiqua" w:cs="Book Antiqua"/>
          <w:b/>
          <w:color w:val="000000"/>
        </w:rPr>
      </w:pPr>
      <w:r w:rsidRPr="00B776D0">
        <w:rPr>
          <w:rFonts w:ascii="Book Antiqua" w:eastAsia="Book Antiqua" w:hAnsi="Book Antiqua" w:cs="Book Antiqua"/>
          <w:b/>
          <w:color w:val="000000"/>
        </w:rPr>
        <w:t xml:space="preserve">P-Reviewer: </w:t>
      </w:r>
      <w:r w:rsidRPr="00B776D0">
        <w:rPr>
          <w:rFonts w:ascii="Book Antiqua" w:eastAsia="Book Antiqua" w:hAnsi="Book Antiqua" w:cs="Book Antiqua"/>
        </w:rPr>
        <w:t>Gregg EW, United Kingdom; Schlesinger S, Germany</w:t>
      </w:r>
      <w:r w:rsidRPr="00B776D0">
        <w:rPr>
          <w:rFonts w:ascii="Book Antiqua" w:eastAsia="Book Antiqua" w:hAnsi="Book Antiqua" w:cs="Book Antiqua"/>
          <w:b/>
          <w:color w:val="000000"/>
        </w:rPr>
        <w:t xml:space="preserve"> S-Editor: </w:t>
      </w:r>
      <w:r w:rsidRPr="00B776D0">
        <w:rPr>
          <w:rFonts w:ascii="Book Antiqua" w:eastAsia="Book Antiqua" w:hAnsi="Book Antiqua" w:cs="Book Antiqua"/>
          <w:bCs/>
          <w:color w:val="000000"/>
        </w:rPr>
        <w:t>Wang JJ</w:t>
      </w:r>
      <w:r w:rsidRPr="00B776D0">
        <w:rPr>
          <w:rFonts w:ascii="Book Antiqua" w:eastAsia="Book Antiqua" w:hAnsi="Book Antiqua" w:cs="Book Antiqua"/>
          <w:b/>
          <w:color w:val="000000"/>
        </w:rPr>
        <w:t xml:space="preserve"> L-Editor: </w:t>
      </w:r>
      <w:r w:rsidR="002776EE">
        <w:rPr>
          <w:rFonts w:ascii="Book Antiqua" w:eastAsia="Book Antiqua" w:hAnsi="Book Antiqua" w:cs="Book Antiqua"/>
          <w:bCs/>
          <w:color w:val="000000"/>
        </w:rPr>
        <w:t>Filipodia</w:t>
      </w:r>
      <w:r w:rsidRPr="00B776D0">
        <w:rPr>
          <w:rFonts w:ascii="Book Antiqua" w:eastAsia="Book Antiqua" w:hAnsi="Book Antiqua" w:cs="Book Antiqua"/>
          <w:b/>
          <w:color w:val="000000"/>
        </w:rPr>
        <w:t xml:space="preserve"> P-Editor: </w:t>
      </w:r>
    </w:p>
    <w:p w14:paraId="3410B735" w14:textId="77777777" w:rsidR="003B17A6" w:rsidRPr="00B776D0" w:rsidRDefault="003B17A6" w:rsidP="00B776D0">
      <w:pPr>
        <w:spacing w:line="360" w:lineRule="auto"/>
        <w:jc w:val="both"/>
        <w:rPr>
          <w:rFonts w:ascii="Book Antiqua" w:hAnsi="Book Antiqua"/>
        </w:rPr>
        <w:sectPr w:rsidR="003B17A6" w:rsidRPr="00B776D0">
          <w:pgSz w:w="12240" w:h="15840"/>
          <w:pgMar w:top="1440" w:right="1440" w:bottom="1440" w:left="1440" w:header="720" w:footer="720" w:gutter="0"/>
          <w:cols w:space="720"/>
          <w:docGrid w:linePitch="360"/>
        </w:sectPr>
      </w:pPr>
    </w:p>
    <w:p w14:paraId="00514832" w14:textId="77777777" w:rsidR="003B17A6" w:rsidRPr="00B776D0" w:rsidRDefault="00BA6ED0" w:rsidP="00B776D0">
      <w:pPr>
        <w:spacing w:line="360" w:lineRule="auto"/>
        <w:jc w:val="both"/>
        <w:rPr>
          <w:rFonts w:ascii="Book Antiqua" w:eastAsia="Book Antiqua" w:hAnsi="Book Antiqua" w:cs="Book Antiqua"/>
          <w:b/>
          <w:color w:val="000000"/>
        </w:rPr>
      </w:pPr>
      <w:r w:rsidRPr="00B776D0">
        <w:rPr>
          <w:rFonts w:ascii="Book Antiqua" w:eastAsia="Book Antiqua" w:hAnsi="Book Antiqua" w:cs="Book Antiqua"/>
          <w:b/>
          <w:color w:val="000000"/>
        </w:rPr>
        <w:lastRenderedPageBreak/>
        <w:t>Figure Legends</w:t>
      </w:r>
    </w:p>
    <w:p w14:paraId="494B54C5" w14:textId="77777777" w:rsidR="003B17A6" w:rsidRPr="00B776D0" w:rsidRDefault="00BA6ED0" w:rsidP="00B776D0">
      <w:pPr>
        <w:spacing w:line="360" w:lineRule="auto"/>
        <w:jc w:val="both"/>
        <w:rPr>
          <w:rFonts w:ascii="Book Antiqua" w:hAnsi="Book Antiqua"/>
        </w:rPr>
      </w:pPr>
      <w:r w:rsidRPr="00B776D0">
        <w:rPr>
          <w:rFonts w:ascii="Book Antiqua" w:hAnsi="Book Antiqua"/>
          <w:noProof/>
          <w:lang w:eastAsia="zh-CN"/>
        </w:rPr>
        <w:drawing>
          <wp:inline distT="0" distB="0" distL="0" distR="0" wp14:anchorId="773B3EE0" wp14:editId="36E81867">
            <wp:extent cx="5943600" cy="1177925"/>
            <wp:effectExtent l="0" t="0" r="0" b="0"/>
            <wp:docPr id="9611678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167881" name="图片 1"/>
                    <pic:cNvPicPr>
                      <a:picLocks noChangeAspect="1"/>
                    </pic:cNvPicPr>
                  </pic:nvPicPr>
                  <pic:blipFill>
                    <a:blip r:embed="rId7"/>
                    <a:stretch>
                      <a:fillRect/>
                    </a:stretch>
                  </pic:blipFill>
                  <pic:spPr>
                    <a:xfrm>
                      <a:off x="0" y="0"/>
                      <a:ext cx="5943600" cy="1177925"/>
                    </a:xfrm>
                    <a:prstGeom prst="rect">
                      <a:avLst/>
                    </a:prstGeom>
                  </pic:spPr>
                </pic:pic>
              </a:graphicData>
            </a:graphic>
          </wp:inline>
        </w:drawing>
      </w:r>
    </w:p>
    <w:p w14:paraId="69FFE2A8" w14:textId="709EB0AB" w:rsidR="003B17A6" w:rsidRPr="00B776D0" w:rsidRDefault="00BA6ED0" w:rsidP="00B776D0">
      <w:pPr>
        <w:spacing w:line="360" w:lineRule="auto"/>
        <w:jc w:val="both"/>
        <w:rPr>
          <w:rFonts w:ascii="Book Antiqua" w:eastAsia="Book Antiqua" w:hAnsi="Book Antiqua" w:cs="Book Antiqua"/>
        </w:rPr>
      </w:pPr>
      <w:r w:rsidRPr="00B776D0">
        <w:rPr>
          <w:rFonts w:ascii="Book Antiqua" w:eastAsia="Book Antiqua" w:hAnsi="Book Antiqua" w:cs="Book Antiqua"/>
          <w:b/>
          <w:bCs/>
        </w:rPr>
        <w:t xml:space="preserve">Figure 1 Changes in blood glucose levels before and after treatment in patients. </w:t>
      </w:r>
      <w:r w:rsidRPr="00B776D0">
        <w:rPr>
          <w:rFonts w:ascii="Book Antiqua" w:eastAsia="Book Antiqua" w:hAnsi="Book Antiqua" w:cs="Book Antiqua"/>
        </w:rPr>
        <w:t xml:space="preserve">A: </w:t>
      </w:r>
      <w:r w:rsidR="000E322B">
        <w:rPr>
          <w:rFonts w:ascii="Book Antiqua" w:eastAsia="Book Antiqua" w:hAnsi="Book Antiqua" w:cs="Book Antiqua"/>
        </w:rPr>
        <w:t>F</w:t>
      </w:r>
      <w:r w:rsidRPr="00B776D0">
        <w:rPr>
          <w:rFonts w:ascii="Book Antiqua" w:eastAsia="Book Antiqua" w:hAnsi="Book Antiqua" w:cs="Book Antiqua"/>
        </w:rPr>
        <w:t>asting blood glucose</w:t>
      </w:r>
      <w:r w:rsidR="000E322B">
        <w:rPr>
          <w:rFonts w:ascii="Book Antiqua" w:eastAsia="Book Antiqua" w:hAnsi="Book Antiqua" w:cs="Book Antiqua"/>
        </w:rPr>
        <w:t xml:space="preserve"> (FBG)</w:t>
      </w:r>
      <w:r w:rsidRPr="00B776D0">
        <w:rPr>
          <w:rFonts w:ascii="Book Antiqua" w:eastAsia="Book Antiqua" w:hAnsi="Book Antiqua" w:cs="Book Antiqua"/>
        </w:rPr>
        <w:t xml:space="preserve">; B: </w:t>
      </w:r>
      <w:r w:rsidRPr="00B776D0">
        <w:rPr>
          <w:rFonts w:ascii="Book Antiqua" w:eastAsia="Book Antiqua" w:hAnsi="Book Antiqua" w:cs="Book Antiqua"/>
          <w:color w:val="000000"/>
        </w:rPr>
        <w:t>2</w:t>
      </w:r>
      <w:r w:rsidR="00C36034">
        <w:rPr>
          <w:rFonts w:ascii="Book Antiqua" w:eastAsia="Book Antiqua" w:hAnsi="Book Antiqua" w:cs="Book Antiqua"/>
          <w:color w:val="000000"/>
        </w:rPr>
        <w:t>-</w:t>
      </w:r>
      <w:r w:rsidRPr="00B776D0">
        <w:rPr>
          <w:rFonts w:ascii="Book Antiqua" w:eastAsia="Book Antiqua" w:hAnsi="Book Antiqua" w:cs="Book Antiqua"/>
          <w:color w:val="000000"/>
        </w:rPr>
        <w:t>h postprandial blood glucose</w:t>
      </w:r>
      <w:r w:rsidR="000E322B">
        <w:rPr>
          <w:rFonts w:ascii="Book Antiqua" w:eastAsia="Book Antiqua" w:hAnsi="Book Antiqua" w:cs="Book Antiqua"/>
          <w:color w:val="000000"/>
        </w:rPr>
        <w:t xml:space="preserve"> (2hPBG)</w:t>
      </w:r>
      <w:r w:rsidRPr="00B776D0">
        <w:rPr>
          <w:rFonts w:ascii="Book Antiqua" w:eastAsia="Book Antiqua" w:hAnsi="Book Antiqua" w:cs="Book Antiqua"/>
        </w:rPr>
        <w:t xml:space="preserve">; C: </w:t>
      </w:r>
      <w:r w:rsidR="000E322B">
        <w:rPr>
          <w:rFonts w:ascii="Book Antiqua" w:eastAsia="Book Antiqua" w:hAnsi="Book Antiqua" w:cs="Book Antiqua"/>
        </w:rPr>
        <w:t>G</w:t>
      </w:r>
      <w:r w:rsidRPr="00B776D0">
        <w:rPr>
          <w:rFonts w:ascii="Book Antiqua" w:eastAsia="Book Antiqua" w:hAnsi="Book Antiqua" w:cs="Book Antiqua"/>
          <w:color w:val="000000"/>
        </w:rPr>
        <w:t>lycated hemoglobin</w:t>
      </w:r>
      <w:r w:rsidR="000E322B">
        <w:rPr>
          <w:rFonts w:ascii="Book Antiqua" w:eastAsia="Book Antiqua" w:hAnsi="Book Antiqua" w:cs="Book Antiqua"/>
          <w:color w:val="000000"/>
        </w:rPr>
        <w:t xml:space="preserve"> (</w:t>
      </w:r>
      <w:r w:rsidR="000E322B" w:rsidRPr="00B776D0">
        <w:rPr>
          <w:rFonts w:ascii="Book Antiqua" w:eastAsia="Book Antiqua" w:hAnsi="Book Antiqua" w:cs="Book Antiqua"/>
        </w:rPr>
        <w:t>HbA1c</w:t>
      </w:r>
      <w:r w:rsidR="000E322B">
        <w:rPr>
          <w:rFonts w:ascii="Book Antiqua" w:eastAsia="Book Antiqua" w:hAnsi="Book Antiqua" w:cs="Book Antiqua"/>
        </w:rPr>
        <w:t>)</w:t>
      </w:r>
      <w:r w:rsidRPr="00B776D0">
        <w:rPr>
          <w:rFonts w:ascii="Book Antiqua" w:eastAsia="Book Antiqua" w:hAnsi="Book Antiqua" w:cs="Book Antiqua"/>
        </w:rPr>
        <w:t xml:space="preserve">. </w:t>
      </w:r>
      <w:proofErr w:type="spellStart"/>
      <w:r w:rsidRPr="00B776D0">
        <w:rPr>
          <w:rFonts w:ascii="Book Antiqua" w:eastAsia="Book Antiqua" w:hAnsi="Book Antiqua" w:cs="Book Antiqua"/>
          <w:vertAlign w:val="superscript"/>
        </w:rPr>
        <w:t>a</w:t>
      </w:r>
      <w:r w:rsidRPr="00B776D0">
        <w:rPr>
          <w:rFonts w:ascii="Book Antiqua" w:eastAsia="Book Antiqua" w:hAnsi="Book Antiqua" w:cs="Book Antiqua"/>
          <w:i/>
          <w:iCs/>
        </w:rPr>
        <w:t>P</w:t>
      </w:r>
      <w:proofErr w:type="spellEnd"/>
      <w:r w:rsidRPr="00B776D0">
        <w:rPr>
          <w:rFonts w:ascii="Book Antiqua" w:eastAsia="Book Antiqua" w:hAnsi="Book Antiqua" w:cs="Book Antiqua"/>
        </w:rPr>
        <w:t xml:space="preserve"> &lt; 0.05</w:t>
      </w:r>
      <w:r w:rsidR="00427CAE">
        <w:rPr>
          <w:rFonts w:ascii="Book Antiqua" w:eastAsia="Book Antiqua" w:hAnsi="Book Antiqua" w:cs="Book Antiqua"/>
        </w:rPr>
        <w:t>;</w:t>
      </w:r>
      <w:r w:rsidRPr="00B776D0">
        <w:rPr>
          <w:rFonts w:ascii="Book Antiqua" w:eastAsia="Book Antiqua" w:hAnsi="Book Antiqua" w:cs="Book Antiqua"/>
        </w:rPr>
        <w:t xml:space="preserve"> </w:t>
      </w:r>
      <w:proofErr w:type="spellStart"/>
      <w:r w:rsidRPr="00B776D0">
        <w:rPr>
          <w:rFonts w:ascii="Book Antiqua" w:eastAsia="Book Antiqua" w:hAnsi="Book Antiqua" w:cs="Book Antiqua"/>
          <w:vertAlign w:val="superscript"/>
        </w:rPr>
        <w:t>b</w:t>
      </w:r>
      <w:r w:rsidRPr="00B776D0">
        <w:rPr>
          <w:rFonts w:ascii="Book Antiqua" w:eastAsia="Book Antiqua" w:hAnsi="Book Antiqua" w:cs="Book Antiqua"/>
          <w:i/>
          <w:iCs/>
        </w:rPr>
        <w:t>P</w:t>
      </w:r>
      <w:proofErr w:type="spellEnd"/>
      <w:r w:rsidRPr="00B776D0">
        <w:rPr>
          <w:rFonts w:ascii="Book Antiqua" w:eastAsia="Book Antiqua" w:hAnsi="Book Antiqua" w:cs="Book Antiqua"/>
        </w:rPr>
        <w:t xml:space="preserve"> &lt; 0.01</w:t>
      </w:r>
      <w:r w:rsidR="00427CAE">
        <w:rPr>
          <w:rFonts w:ascii="Book Antiqua" w:eastAsia="Book Antiqua" w:hAnsi="Book Antiqua" w:cs="Book Antiqua"/>
        </w:rPr>
        <w:t>;</w:t>
      </w:r>
      <w:r w:rsidRPr="00B776D0">
        <w:rPr>
          <w:rFonts w:ascii="Book Antiqua" w:eastAsia="Book Antiqua" w:hAnsi="Book Antiqua" w:cs="Book Antiqua"/>
        </w:rPr>
        <w:t xml:space="preserve"> </w:t>
      </w:r>
      <w:r w:rsidRPr="00B776D0">
        <w:rPr>
          <w:rFonts w:ascii="Book Antiqua" w:eastAsia="Book Antiqua" w:hAnsi="Book Antiqua" w:cs="Book Antiqua"/>
          <w:vertAlign w:val="superscript"/>
        </w:rPr>
        <w:t>c</w:t>
      </w:r>
      <w:r w:rsidRPr="00B776D0">
        <w:rPr>
          <w:rFonts w:ascii="Book Antiqua" w:eastAsia="Book Antiqua" w:hAnsi="Book Antiqua" w:cs="Book Antiqua"/>
          <w:i/>
          <w:iCs/>
        </w:rPr>
        <w:t>P</w:t>
      </w:r>
      <w:r w:rsidRPr="00B776D0">
        <w:rPr>
          <w:rFonts w:ascii="Book Antiqua" w:eastAsia="Book Antiqua" w:hAnsi="Book Antiqua" w:cs="Book Antiqua"/>
        </w:rPr>
        <w:t xml:space="preserve"> &lt; 0.001. </w:t>
      </w:r>
    </w:p>
    <w:p w14:paraId="18A72E23" w14:textId="77777777" w:rsidR="003B17A6" w:rsidRPr="00B776D0" w:rsidRDefault="003B17A6" w:rsidP="00B776D0">
      <w:pPr>
        <w:spacing w:line="360" w:lineRule="auto"/>
        <w:jc w:val="both"/>
        <w:rPr>
          <w:rFonts w:ascii="Book Antiqua" w:hAnsi="Book Antiqua"/>
        </w:rPr>
        <w:sectPr w:rsidR="003B17A6" w:rsidRPr="00B776D0">
          <w:pgSz w:w="12240" w:h="15840"/>
          <w:pgMar w:top="1440" w:right="1440" w:bottom="1440" w:left="1440" w:header="720" w:footer="720" w:gutter="0"/>
          <w:cols w:space="720"/>
          <w:docGrid w:linePitch="360"/>
        </w:sectPr>
      </w:pPr>
    </w:p>
    <w:p w14:paraId="60A1A5CB" w14:textId="77777777" w:rsidR="003B17A6" w:rsidRPr="00B776D0" w:rsidRDefault="00BA6ED0" w:rsidP="00B776D0">
      <w:pPr>
        <w:spacing w:line="360" w:lineRule="auto"/>
        <w:jc w:val="both"/>
        <w:rPr>
          <w:rFonts w:ascii="Book Antiqua" w:hAnsi="Book Antiqua"/>
        </w:rPr>
      </w:pPr>
      <w:r w:rsidRPr="00B776D0">
        <w:rPr>
          <w:rFonts w:ascii="Book Antiqua" w:hAnsi="Book Antiqua"/>
          <w:noProof/>
          <w:lang w:eastAsia="zh-CN"/>
        </w:rPr>
        <w:lastRenderedPageBreak/>
        <w:drawing>
          <wp:inline distT="0" distB="0" distL="0" distR="0" wp14:anchorId="00FCF92B" wp14:editId="03EFA09F">
            <wp:extent cx="6078220" cy="3009265"/>
            <wp:effectExtent l="0" t="0" r="0" b="0"/>
            <wp:docPr id="17022097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209712"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06948" cy="3023769"/>
                    </a:xfrm>
                    <a:prstGeom prst="rect">
                      <a:avLst/>
                    </a:prstGeom>
                    <a:noFill/>
                  </pic:spPr>
                </pic:pic>
              </a:graphicData>
            </a:graphic>
          </wp:inline>
        </w:drawing>
      </w:r>
    </w:p>
    <w:p w14:paraId="3462359D" w14:textId="3F537BC9" w:rsidR="003B17A6" w:rsidRPr="00B776D0" w:rsidRDefault="00BA6ED0" w:rsidP="00B776D0">
      <w:pPr>
        <w:spacing w:line="360" w:lineRule="auto"/>
        <w:jc w:val="both"/>
        <w:rPr>
          <w:rFonts w:ascii="Book Antiqua" w:eastAsia="Book Antiqua" w:hAnsi="Book Antiqua" w:cs="Book Antiqua"/>
        </w:rPr>
      </w:pPr>
      <w:r w:rsidRPr="00B776D0">
        <w:rPr>
          <w:rFonts w:ascii="Book Antiqua" w:eastAsia="Book Antiqua" w:hAnsi="Book Antiqua" w:cs="Book Antiqua"/>
          <w:b/>
          <w:bCs/>
        </w:rPr>
        <w:t xml:space="preserve">Figure 2 Changes in blood glucose level and islet cell function of patients before and after treatment. </w:t>
      </w:r>
      <w:r w:rsidRPr="00B776D0">
        <w:rPr>
          <w:rFonts w:ascii="Book Antiqua" w:eastAsia="Book Antiqua" w:hAnsi="Book Antiqua" w:cs="Book Antiqua"/>
        </w:rPr>
        <w:t xml:space="preserve">A: </w:t>
      </w:r>
      <w:r w:rsidR="00F328E7">
        <w:rPr>
          <w:rFonts w:ascii="Book Antiqua" w:eastAsia="Book Antiqua" w:hAnsi="Book Antiqua" w:cs="Book Antiqua"/>
        </w:rPr>
        <w:t>24-h m</w:t>
      </w:r>
      <w:r w:rsidRPr="00B776D0">
        <w:rPr>
          <w:rFonts w:ascii="Book Antiqua" w:eastAsia="Book Antiqua" w:hAnsi="Book Antiqua" w:cs="Book Antiqua"/>
        </w:rPr>
        <w:t>ean blood glucose</w:t>
      </w:r>
      <w:r w:rsidR="00F328E7">
        <w:rPr>
          <w:rFonts w:ascii="Book Antiqua" w:eastAsia="Book Antiqua" w:hAnsi="Book Antiqua" w:cs="Book Antiqua"/>
        </w:rPr>
        <w:t xml:space="preserve"> (MBG)</w:t>
      </w:r>
      <w:r w:rsidRPr="00B776D0">
        <w:rPr>
          <w:rFonts w:ascii="Book Antiqua" w:eastAsia="Book Antiqua" w:hAnsi="Book Antiqua" w:cs="Book Antiqua"/>
        </w:rPr>
        <w:t>;</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B: </w:t>
      </w:r>
      <w:r w:rsidR="00F328E7">
        <w:rPr>
          <w:rFonts w:ascii="Book Antiqua" w:eastAsia="Book Antiqua" w:hAnsi="Book Antiqua" w:cs="Book Antiqua"/>
        </w:rPr>
        <w:t>24-h s</w:t>
      </w:r>
      <w:r w:rsidRPr="00B776D0">
        <w:rPr>
          <w:rFonts w:ascii="Book Antiqua" w:eastAsia="Book Antiqua" w:hAnsi="Book Antiqua" w:cs="Book Antiqua"/>
        </w:rPr>
        <w:t>tandard deviation of blood glucose</w:t>
      </w:r>
      <w:r w:rsidR="00F328E7">
        <w:rPr>
          <w:rFonts w:ascii="Book Antiqua" w:eastAsia="Book Antiqua" w:hAnsi="Book Antiqua" w:cs="Book Antiqua"/>
        </w:rPr>
        <w:t xml:space="preserve"> (SDBG)</w:t>
      </w:r>
      <w:r w:rsidRPr="00B776D0">
        <w:rPr>
          <w:rFonts w:ascii="Book Antiqua" w:eastAsia="Book Antiqua" w:hAnsi="Book Antiqua" w:cs="Book Antiqua"/>
        </w:rPr>
        <w:t>;</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C: </w:t>
      </w:r>
      <w:r w:rsidR="000E322B">
        <w:rPr>
          <w:rFonts w:ascii="Book Antiqua" w:eastAsia="Book Antiqua" w:hAnsi="Book Antiqua" w:cs="Book Antiqua"/>
        </w:rPr>
        <w:t>C</w:t>
      </w:r>
      <w:r w:rsidRPr="00B776D0">
        <w:rPr>
          <w:rFonts w:ascii="Book Antiqua" w:eastAsia="Book Antiqua" w:hAnsi="Book Antiqua" w:cs="Book Antiqua"/>
        </w:rPr>
        <w:t>oefficient of variation</w:t>
      </w:r>
      <w:r w:rsidR="005A60DE">
        <w:rPr>
          <w:rFonts w:ascii="Book Antiqua" w:eastAsia="Book Antiqua" w:hAnsi="Book Antiqua" w:cs="Book Antiqua"/>
        </w:rPr>
        <w:t xml:space="preserve"> (</w:t>
      </w:r>
      <w:r w:rsidR="005A60DE" w:rsidRPr="00B776D0">
        <w:rPr>
          <w:rFonts w:ascii="Book Antiqua" w:eastAsia="Book Antiqua" w:hAnsi="Book Antiqua" w:cs="Book Antiqua"/>
        </w:rPr>
        <w:t>CV%</w:t>
      </w:r>
      <w:r w:rsidR="005A60DE">
        <w:rPr>
          <w:rFonts w:ascii="Book Antiqua" w:eastAsia="Book Antiqua" w:hAnsi="Book Antiqua" w:cs="Book Antiqua"/>
        </w:rPr>
        <w:t>)</w:t>
      </w:r>
      <w:r w:rsidRPr="00B776D0">
        <w:rPr>
          <w:rFonts w:ascii="Book Antiqua" w:eastAsia="Book Antiqua" w:hAnsi="Book Antiqua" w:cs="Book Antiqua"/>
        </w:rPr>
        <w:t>;</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D: </w:t>
      </w:r>
      <w:r w:rsidR="000E322B">
        <w:rPr>
          <w:rFonts w:ascii="Book Antiqua" w:eastAsia="Book Antiqua" w:hAnsi="Book Antiqua" w:cs="Book Antiqua"/>
        </w:rPr>
        <w:t>M</w:t>
      </w:r>
      <w:r w:rsidRPr="00B776D0">
        <w:rPr>
          <w:rFonts w:ascii="Book Antiqua" w:eastAsia="Book Antiqua" w:hAnsi="Book Antiqua" w:cs="Book Antiqua"/>
        </w:rPr>
        <w:t>ean amplitude of glycemic excursions</w:t>
      </w:r>
      <w:r w:rsidR="005A60DE">
        <w:rPr>
          <w:rFonts w:ascii="Book Antiqua" w:eastAsia="Book Antiqua" w:hAnsi="Book Antiqua" w:cs="Book Antiqua"/>
        </w:rPr>
        <w:t xml:space="preserve"> (MAGEs)</w:t>
      </w:r>
      <w:r w:rsidRPr="00B776D0">
        <w:rPr>
          <w:rFonts w:ascii="Book Antiqua" w:eastAsia="Book Antiqua" w:hAnsi="Book Antiqua" w:cs="Book Antiqua"/>
        </w:rPr>
        <w:t>;</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E: </w:t>
      </w:r>
      <w:r w:rsidR="00E66D4E">
        <w:rPr>
          <w:rFonts w:ascii="Book Antiqua" w:eastAsia="Book Antiqua" w:hAnsi="Book Antiqua" w:cs="Book Antiqua"/>
        </w:rPr>
        <w:t>Absolute m</w:t>
      </w:r>
      <w:r w:rsidRPr="00B776D0">
        <w:rPr>
          <w:rFonts w:ascii="Book Antiqua" w:eastAsia="Book Antiqua" w:hAnsi="Book Antiqua" w:cs="Book Antiqua"/>
        </w:rPr>
        <w:t>ean of daily differences</w:t>
      </w:r>
      <w:r w:rsidR="00E66D4E">
        <w:rPr>
          <w:rFonts w:ascii="Book Antiqua" w:eastAsia="Book Antiqua" w:hAnsi="Book Antiqua" w:cs="Book Antiqua"/>
        </w:rPr>
        <w:t xml:space="preserve"> (MODD)</w:t>
      </w:r>
      <w:r w:rsidRPr="00B776D0">
        <w:rPr>
          <w:rFonts w:ascii="Book Antiqua" w:eastAsia="Book Antiqua" w:hAnsi="Book Antiqua" w:cs="Book Antiqua"/>
        </w:rPr>
        <w:t>;</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F: </w:t>
      </w:r>
      <w:r w:rsidR="000E322B">
        <w:rPr>
          <w:rFonts w:ascii="Book Antiqua" w:eastAsia="Book Antiqua" w:hAnsi="Book Antiqua" w:cs="Book Antiqua"/>
        </w:rPr>
        <w:t>P</w:t>
      </w:r>
      <w:r w:rsidRPr="00B776D0">
        <w:rPr>
          <w:rFonts w:ascii="Book Antiqua" w:eastAsia="Book Antiqua" w:hAnsi="Book Antiqua" w:cs="Book Antiqua"/>
          <w:color w:val="000000"/>
        </w:rPr>
        <w:t xml:space="preserve">ercentage of time </w:t>
      </w:r>
      <w:r w:rsidR="00E66D4E">
        <w:rPr>
          <w:rFonts w:ascii="Book Antiqua" w:eastAsia="Book Antiqua" w:hAnsi="Book Antiqua" w:cs="Book Antiqua"/>
          <w:color w:val="000000"/>
        </w:rPr>
        <w:t xml:space="preserve">(TIR) </w:t>
      </w:r>
      <w:r w:rsidRPr="00B776D0">
        <w:rPr>
          <w:rFonts w:ascii="Book Antiqua" w:eastAsia="Book Antiqua" w:hAnsi="Book Antiqua" w:cs="Book Antiqua"/>
          <w:color w:val="000000"/>
        </w:rPr>
        <w:t>with 3.9 mmol/L &lt; glucose &lt; 10 mmol/L</w:t>
      </w:r>
      <w:r w:rsidRPr="00B776D0">
        <w:rPr>
          <w:rFonts w:ascii="Book Antiqua" w:eastAsia="Book Antiqua" w:hAnsi="Book Antiqua" w:cs="Book Antiqua"/>
        </w:rPr>
        <w:t xml:space="preserve"> before and after treatment in the two groups. </w:t>
      </w:r>
      <w:r w:rsidRPr="00B776D0">
        <w:rPr>
          <w:rFonts w:ascii="Book Antiqua" w:eastAsia="Book Antiqua" w:hAnsi="Book Antiqua" w:cs="Book Antiqua"/>
          <w:vertAlign w:val="superscript"/>
        </w:rPr>
        <w:t>a</w:t>
      </w:r>
      <w:r w:rsidRPr="00B776D0">
        <w:rPr>
          <w:rFonts w:ascii="Book Antiqua" w:eastAsia="Book Antiqua" w:hAnsi="Book Antiqua" w:cs="Book Antiqua"/>
          <w:i/>
          <w:iCs/>
        </w:rPr>
        <w:t>P</w:t>
      </w:r>
      <w:r w:rsidRPr="00B776D0">
        <w:rPr>
          <w:rFonts w:ascii="Book Antiqua" w:eastAsia="Book Antiqua" w:hAnsi="Book Antiqua" w:cs="Book Antiqua"/>
        </w:rPr>
        <w:t xml:space="preserve"> &lt; 0.001. </w:t>
      </w:r>
    </w:p>
    <w:p w14:paraId="36AF8BD9" w14:textId="77777777" w:rsidR="003B17A6" w:rsidRPr="00B776D0" w:rsidRDefault="003B17A6" w:rsidP="00B776D0">
      <w:pPr>
        <w:spacing w:line="360" w:lineRule="auto"/>
        <w:jc w:val="both"/>
        <w:rPr>
          <w:rFonts w:ascii="Book Antiqua" w:hAnsi="Book Antiqua"/>
        </w:rPr>
        <w:sectPr w:rsidR="003B17A6" w:rsidRPr="00B776D0">
          <w:pgSz w:w="12240" w:h="15840"/>
          <w:pgMar w:top="1440" w:right="1440" w:bottom="1440" w:left="1440" w:header="720" w:footer="720" w:gutter="0"/>
          <w:cols w:space="720"/>
          <w:docGrid w:linePitch="360"/>
        </w:sectPr>
      </w:pPr>
    </w:p>
    <w:p w14:paraId="0794C613" w14:textId="77777777" w:rsidR="003B17A6" w:rsidRPr="00B776D0" w:rsidRDefault="00BA6ED0" w:rsidP="00B776D0">
      <w:pPr>
        <w:spacing w:line="360" w:lineRule="auto"/>
        <w:jc w:val="both"/>
        <w:rPr>
          <w:rFonts w:ascii="Book Antiqua" w:hAnsi="Book Antiqua"/>
        </w:rPr>
      </w:pPr>
      <w:r w:rsidRPr="00B776D0">
        <w:rPr>
          <w:rFonts w:ascii="Book Antiqua" w:hAnsi="Book Antiqua"/>
          <w:noProof/>
          <w:lang w:eastAsia="zh-CN"/>
        </w:rPr>
        <w:lastRenderedPageBreak/>
        <w:drawing>
          <wp:inline distT="0" distB="0" distL="0" distR="0" wp14:anchorId="1AF19782" wp14:editId="414E077D">
            <wp:extent cx="5331460" cy="3488690"/>
            <wp:effectExtent l="0" t="0" r="0" b="0"/>
            <wp:docPr id="808351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3515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47603" cy="3499248"/>
                    </a:xfrm>
                    <a:prstGeom prst="rect">
                      <a:avLst/>
                    </a:prstGeom>
                    <a:noFill/>
                  </pic:spPr>
                </pic:pic>
              </a:graphicData>
            </a:graphic>
          </wp:inline>
        </w:drawing>
      </w:r>
    </w:p>
    <w:p w14:paraId="717F69E4" w14:textId="5509C723" w:rsidR="003B17A6" w:rsidRPr="00B776D0" w:rsidRDefault="00BA6ED0" w:rsidP="00B776D0">
      <w:pPr>
        <w:spacing w:line="360" w:lineRule="auto"/>
        <w:jc w:val="both"/>
        <w:rPr>
          <w:rFonts w:ascii="Book Antiqua" w:eastAsia="Book Antiqua" w:hAnsi="Book Antiqua" w:cs="Book Antiqua"/>
        </w:rPr>
      </w:pPr>
      <w:r w:rsidRPr="00B776D0">
        <w:rPr>
          <w:rFonts w:ascii="Book Antiqua" w:eastAsia="Book Antiqua" w:hAnsi="Book Antiqua" w:cs="Book Antiqua"/>
          <w:b/>
          <w:bCs/>
        </w:rPr>
        <w:t>Figure 3 Changes in patients’ blood lipid indexes</w:t>
      </w:r>
      <w:r w:rsidR="00F328E7">
        <w:rPr>
          <w:rFonts w:ascii="Book Antiqua" w:eastAsia="Book Antiqua" w:hAnsi="Book Antiqua" w:cs="Book Antiqua"/>
          <w:b/>
          <w:bCs/>
        </w:rPr>
        <w:t xml:space="preserve"> </w:t>
      </w:r>
      <w:r w:rsidR="00F328E7" w:rsidRPr="002E7EC9">
        <w:rPr>
          <w:rFonts w:ascii="Book Antiqua" w:eastAsia="Book Antiqua" w:hAnsi="Book Antiqua" w:cs="Book Antiqua"/>
          <w:b/>
          <w:bCs/>
        </w:rPr>
        <w:t>before and after treatment in both groups</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A: </w:t>
      </w:r>
      <w:r w:rsidR="00F328E7">
        <w:rPr>
          <w:rFonts w:ascii="Book Antiqua" w:eastAsia="Book Antiqua" w:hAnsi="Book Antiqua" w:cs="Book Antiqua"/>
        </w:rPr>
        <w:t>T</w:t>
      </w:r>
      <w:r w:rsidRPr="00B776D0">
        <w:rPr>
          <w:rFonts w:ascii="Book Antiqua" w:eastAsia="Book Antiqua" w:hAnsi="Book Antiqua" w:cs="Book Antiqua"/>
        </w:rPr>
        <w:t>otal cholesterol; B:</w:t>
      </w:r>
      <w:r w:rsidRPr="00B776D0">
        <w:rPr>
          <w:rFonts w:ascii="Book Antiqua" w:eastAsia="Book Antiqua" w:hAnsi="Book Antiqua" w:cs="Book Antiqua"/>
          <w:b/>
          <w:bCs/>
        </w:rPr>
        <w:t xml:space="preserve"> </w:t>
      </w:r>
      <w:r w:rsidR="0077272E">
        <w:rPr>
          <w:rFonts w:ascii="Book Antiqua" w:eastAsia="Book Antiqua" w:hAnsi="Book Antiqua" w:cs="Book Antiqua"/>
        </w:rPr>
        <w:t>T</w:t>
      </w:r>
      <w:r w:rsidRPr="00B776D0">
        <w:rPr>
          <w:rFonts w:ascii="Book Antiqua" w:eastAsia="Book Antiqua" w:hAnsi="Book Antiqua" w:cs="Book Antiqua"/>
        </w:rPr>
        <w:t>riglycerides;</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C: </w:t>
      </w:r>
      <w:r w:rsidR="00427CAE">
        <w:rPr>
          <w:rFonts w:ascii="Book Antiqua" w:eastAsia="Book Antiqua" w:hAnsi="Book Antiqua" w:cs="Book Antiqua"/>
        </w:rPr>
        <w:t>H</w:t>
      </w:r>
      <w:r w:rsidRPr="00B776D0">
        <w:rPr>
          <w:rFonts w:ascii="Book Antiqua" w:eastAsia="Book Antiqua" w:hAnsi="Book Antiqua" w:cs="Book Antiqua"/>
        </w:rPr>
        <w:t>igh-density lipoprotein;</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D: </w:t>
      </w:r>
      <w:r w:rsidR="00427CAE">
        <w:rPr>
          <w:rFonts w:ascii="Book Antiqua" w:eastAsia="Book Antiqua" w:hAnsi="Book Antiqua" w:cs="Book Antiqua"/>
        </w:rPr>
        <w:t>L</w:t>
      </w:r>
      <w:r w:rsidRPr="00B776D0">
        <w:rPr>
          <w:rFonts w:ascii="Book Antiqua" w:eastAsia="Book Antiqua" w:hAnsi="Book Antiqua" w:cs="Book Antiqua"/>
        </w:rPr>
        <w:t xml:space="preserve">ow-density lipoprotein. </w:t>
      </w:r>
      <w:proofErr w:type="spellStart"/>
      <w:r w:rsidRPr="00B776D0">
        <w:rPr>
          <w:rFonts w:ascii="Book Antiqua" w:eastAsia="Book Antiqua" w:hAnsi="Book Antiqua" w:cs="Book Antiqua"/>
          <w:vertAlign w:val="superscript"/>
        </w:rPr>
        <w:t>b</w:t>
      </w:r>
      <w:r w:rsidRPr="00B776D0">
        <w:rPr>
          <w:rFonts w:ascii="Book Antiqua" w:eastAsia="Book Antiqua" w:hAnsi="Book Antiqua" w:cs="Book Antiqua"/>
          <w:i/>
          <w:iCs/>
        </w:rPr>
        <w:t>P</w:t>
      </w:r>
      <w:proofErr w:type="spellEnd"/>
      <w:r w:rsidRPr="00B776D0">
        <w:rPr>
          <w:rFonts w:ascii="Book Antiqua" w:eastAsia="Book Antiqua" w:hAnsi="Book Antiqua" w:cs="Book Antiqua"/>
        </w:rPr>
        <w:t xml:space="preserve"> &lt; 0.01</w:t>
      </w:r>
      <w:r w:rsidR="00427CAE">
        <w:rPr>
          <w:rFonts w:ascii="Book Antiqua" w:eastAsia="Book Antiqua" w:hAnsi="Book Antiqua" w:cs="Book Antiqua"/>
        </w:rPr>
        <w:t>;</w:t>
      </w:r>
      <w:r w:rsidRPr="00B776D0">
        <w:rPr>
          <w:rFonts w:ascii="Book Antiqua" w:eastAsia="Book Antiqua" w:hAnsi="Book Antiqua" w:cs="Book Antiqua"/>
        </w:rPr>
        <w:t xml:space="preserve"> </w:t>
      </w:r>
      <w:proofErr w:type="spellStart"/>
      <w:r w:rsidRPr="00B776D0">
        <w:rPr>
          <w:rFonts w:ascii="Book Antiqua" w:eastAsia="Book Antiqua" w:hAnsi="Book Antiqua" w:cs="Book Antiqua"/>
          <w:vertAlign w:val="superscript"/>
        </w:rPr>
        <w:t>c</w:t>
      </w:r>
      <w:r w:rsidRPr="00B776D0">
        <w:rPr>
          <w:rFonts w:ascii="Book Antiqua" w:eastAsia="Book Antiqua" w:hAnsi="Book Antiqua" w:cs="Book Antiqua"/>
          <w:i/>
          <w:iCs/>
        </w:rPr>
        <w:t>P</w:t>
      </w:r>
      <w:proofErr w:type="spellEnd"/>
      <w:r w:rsidRPr="00B776D0">
        <w:rPr>
          <w:rFonts w:ascii="Book Antiqua" w:eastAsia="Book Antiqua" w:hAnsi="Book Antiqua" w:cs="Book Antiqua"/>
        </w:rPr>
        <w:t xml:space="preserve"> &lt; 0.001.</w:t>
      </w:r>
    </w:p>
    <w:p w14:paraId="400E495D" w14:textId="77777777" w:rsidR="003B17A6" w:rsidRPr="00B776D0" w:rsidRDefault="003B17A6" w:rsidP="00B776D0">
      <w:pPr>
        <w:spacing w:line="360" w:lineRule="auto"/>
        <w:jc w:val="both"/>
        <w:rPr>
          <w:rFonts w:ascii="Book Antiqua" w:hAnsi="Book Antiqua"/>
        </w:rPr>
        <w:sectPr w:rsidR="003B17A6" w:rsidRPr="00B776D0">
          <w:pgSz w:w="12240" w:h="15840"/>
          <w:pgMar w:top="1440" w:right="1440" w:bottom="1440" w:left="1440" w:header="720" w:footer="720" w:gutter="0"/>
          <w:cols w:space="720"/>
          <w:docGrid w:linePitch="360"/>
        </w:sectPr>
      </w:pPr>
    </w:p>
    <w:p w14:paraId="7F21403C" w14:textId="77777777" w:rsidR="003B17A6" w:rsidRPr="00B776D0" w:rsidRDefault="00BA6ED0" w:rsidP="00B776D0">
      <w:pPr>
        <w:spacing w:line="360" w:lineRule="auto"/>
        <w:jc w:val="both"/>
        <w:rPr>
          <w:rFonts w:ascii="Book Antiqua" w:hAnsi="Book Antiqua"/>
        </w:rPr>
      </w:pPr>
      <w:r w:rsidRPr="00B776D0">
        <w:rPr>
          <w:rFonts w:ascii="Book Antiqua" w:hAnsi="Book Antiqua"/>
          <w:noProof/>
          <w:lang w:eastAsia="zh-CN"/>
        </w:rPr>
        <w:lastRenderedPageBreak/>
        <w:drawing>
          <wp:inline distT="0" distB="0" distL="0" distR="0" wp14:anchorId="698215DF" wp14:editId="3E8DEADF">
            <wp:extent cx="6038850" cy="1299845"/>
            <wp:effectExtent l="0" t="0" r="0" b="0"/>
            <wp:docPr id="2704507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5073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154202" cy="1325135"/>
                    </a:xfrm>
                    <a:prstGeom prst="rect">
                      <a:avLst/>
                    </a:prstGeom>
                    <a:noFill/>
                  </pic:spPr>
                </pic:pic>
              </a:graphicData>
            </a:graphic>
          </wp:inline>
        </w:drawing>
      </w:r>
    </w:p>
    <w:p w14:paraId="39AA3AA1" w14:textId="2E92AB20" w:rsidR="003B17A6" w:rsidRPr="00B776D0" w:rsidRDefault="00BA6ED0" w:rsidP="00B776D0">
      <w:pPr>
        <w:spacing w:line="360" w:lineRule="auto"/>
        <w:jc w:val="both"/>
        <w:rPr>
          <w:rFonts w:ascii="Book Antiqua" w:eastAsia="Book Antiqua" w:hAnsi="Book Antiqua" w:cs="Book Antiqua"/>
        </w:rPr>
      </w:pPr>
      <w:r w:rsidRPr="00B776D0">
        <w:rPr>
          <w:rFonts w:ascii="Book Antiqua" w:eastAsia="Book Antiqua" w:hAnsi="Book Antiqua" w:cs="Book Antiqua"/>
          <w:b/>
          <w:bCs/>
        </w:rPr>
        <w:t>Figure 4 Changes in inflammatory factor levels in patients</w:t>
      </w:r>
      <w:r w:rsidR="00CF682E" w:rsidRPr="00CF682E">
        <w:rPr>
          <w:rFonts w:ascii="Book Antiqua" w:eastAsia="Book Antiqua" w:hAnsi="Book Antiqua" w:cs="Book Antiqua"/>
        </w:rPr>
        <w:t xml:space="preserve"> </w:t>
      </w:r>
      <w:r w:rsidR="00CF682E" w:rsidRPr="002E7EC9">
        <w:rPr>
          <w:rFonts w:ascii="Book Antiqua" w:eastAsia="Book Antiqua" w:hAnsi="Book Antiqua" w:cs="Book Antiqua"/>
          <w:b/>
          <w:bCs/>
        </w:rPr>
        <w:t>before and after treatment in the two groups</w:t>
      </w:r>
      <w:r w:rsidRPr="00B776D0">
        <w:rPr>
          <w:rFonts w:ascii="Book Antiqua" w:eastAsia="Book Antiqua" w:hAnsi="Book Antiqua" w:cs="Book Antiqua"/>
          <w:b/>
          <w:bCs/>
        </w:rPr>
        <w:t xml:space="preserve">. </w:t>
      </w:r>
      <w:r w:rsidRPr="00B776D0">
        <w:rPr>
          <w:rFonts w:ascii="Book Antiqua" w:eastAsia="Book Antiqua" w:hAnsi="Book Antiqua" w:cs="Book Antiqua"/>
        </w:rPr>
        <w:t xml:space="preserve">A: </w:t>
      </w:r>
      <w:r w:rsidR="00222B10">
        <w:rPr>
          <w:rFonts w:ascii="Book Antiqua" w:eastAsia="Book Antiqua" w:hAnsi="Book Antiqua" w:cs="Book Antiqua"/>
        </w:rPr>
        <w:t>T</w:t>
      </w:r>
      <w:r w:rsidRPr="00B776D0">
        <w:rPr>
          <w:rFonts w:ascii="Book Antiqua" w:eastAsia="Book Antiqua" w:hAnsi="Book Antiqua" w:cs="Book Antiqua"/>
        </w:rPr>
        <w:t>umor necrosis factor</w:t>
      </w:r>
      <w:r w:rsidR="00222B10">
        <w:rPr>
          <w:rFonts w:ascii="Book Antiqua" w:eastAsia="Book Antiqua" w:hAnsi="Book Antiqua" w:cs="Book Antiqua"/>
        </w:rPr>
        <w:t>-alpha (</w:t>
      </w:r>
      <w:r w:rsidR="00222B10" w:rsidRPr="00B776D0">
        <w:rPr>
          <w:rFonts w:ascii="Book Antiqua" w:eastAsia="Book Antiqua" w:hAnsi="Book Antiqua" w:cs="Book Antiqua"/>
        </w:rPr>
        <w:t>TNF</w:t>
      </w:r>
      <w:r w:rsidRPr="00B776D0">
        <w:rPr>
          <w:rFonts w:ascii="Book Antiqua" w:eastAsia="Book Antiqua" w:hAnsi="Book Antiqua" w:cs="Book Antiqua"/>
        </w:rPr>
        <w:t>-α</w:t>
      </w:r>
      <w:r w:rsidR="00222B10">
        <w:rPr>
          <w:rFonts w:ascii="Book Antiqua" w:eastAsia="Book Antiqua" w:hAnsi="Book Antiqua" w:cs="Book Antiqua"/>
        </w:rPr>
        <w:t>)</w:t>
      </w:r>
      <w:r w:rsidRPr="00B776D0">
        <w:rPr>
          <w:rFonts w:ascii="Book Antiqua" w:eastAsia="Book Antiqua" w:hAnsi="Book Antiqua" w:cs="Book Antiqua"/>
        </w:rPr>
        <w:t xml:space="preserve">; B: </w:t>
      </w:r>
      <w:r w:rsidR="00222B10">
        <w:rPr>
          <w:rFonts w:ascii="Book Antiqua" w:eastAsia="Book Antiqua" w:hAnsi="Book Antiqua" w:cs="Book Antiqua"/>
        </w:rPr>
        <w:t>I</w:t>
      </w:r>
      <w:r w:rsidRPr="00B776D0">
        <w:rPr>
          <w:rFonts w:ascii="Book Antiqua" w:eastAsia="Book Antiqua" w:hAnsi="Book Antiqua" w:cs="Book Antiqua"/>
        </w:rPr>
        <w:t>nterleukin-6</w:t>
      </w:r>
      <w:r w:rsidR="00222B10">
        <w:rPr>
          <w:rFonts w:ascii="Book Antiqua" w:eastAsia="Book Antiqua" w:hAnsi="Book Antiqua" w:cs="Book Antiqua"/>
        </w:rPr>
        <w:t xml:space="preserve"> (IL-6)</w:t>
      </w:r>
      <w:r w:rsidRPr="00B776D0">
        <w:rPr>
          <w:rFonts w:ascii="Book Antiqua" w:eastAsia="Book Antiqua" w:hAnsi="Book Antiqua" w:cs="Book Antiqua"/>
        </w:rPr>
        <w:t xml:space="preserve">; C: </w:t>
      </w:r>
      <w:r w:rsidR="00222B10">
        <w:rPr>
          <w:rFonts w:ascii="Book Antiqua" w:eastAsia="Book Antiqua" w:hAnsi="Book Antiqua" w:cs="Book Antiqua"/>
        </w:rPr>
        <w:t>H</w:t>
      </w:r>
      <w:r w:rsidRPr="00B776D0">
        <w:rPr>
          <w:rFonts w:ascii="Book Antiqua" w:eastAsia="Book Antiqua" w:hAnsi="Book Antiqua" w:cs="Book Antiqua"/>
        </w:rPr>
        <w:t xml:space="preserve">igh-sensitivity C-reactive protein </w:t>
      </w:r>
      <w:r w:rsidR="00222B10">
        <w:rPr>
          <w:rFonts w:ascii="Book Antiqua" w:eastAsia="Book Antiqua" w:hAnsi="Book Antiqua" w:cs="Book Antiqua"/>
        </w:rPr>
        <w:t>(hs-CRP)</w:t>
      </w:r>
      <w:r w:rsidRPr="00B776D0">
        <w:rPr>
          <w:rFonts w:ascii="Book Antiqua" w:eastAsia="Book Antiqua" w:hAnsi="Book Antiqua" w:cs="Book Antiqua"/>
        </w:rPr>
        <w:t xml:space="preserve">. </w:t>
      </w:r>
      <w:proofErr w:type="spellStart"/>
      <w:r w:rsidRPr="00B776D0">
        <w:rPr>
          <w:rFonts w:ascii="Book Antiqua" w:eastAsia="Book Antiqua" w:hAnsi="Book Antiqua" w:cs="Book Antiqua"/>
          <w:vertAlign w:val="superscript"/>
        </w:rPr>
        <w:t>a</w:t>
      </w:r>
      <w:r w:rsidRPr="00B776D0">
        <w:rPr>
          <w:rFonts w:ascii="Book Antiqua" w:eastAsia="Book Antiqua" w:hAnsi="Book Antiqua" w:cs="Book Antiqua"/>
          <w:i/>
          <w:iCs/>
        </w:rPr>
        <w:t>P</w:t>
      </w:r>
      <w:proofErr w:type="spellEnd"/>
      <w:r w:rsidRPr="00B776D0">
        <w:rPr>
          <w:rFonts w:ascii="Book Antiqua" w:eastAsia="Book Antiqua" w:hAnsi="Book Antiqua" w:cs="Book Antiqua"/>
        </w:rPr>
        <w:t xml:space="preserve"> &lt; 0.05</w:t>
      </w:r>
      <w:r w:rsidR="00222B10">
        <w:rPr>
          <w:rFonts w:ascii="Book Antiqua" w:eastAsia="Book Antiqua" w:hAnsi="Book Antiqua" w:cs="Book Antiqua"/>
        </w:rPr>
        <w:t>;</w:t>
      </w:r>
      <w:r w:rsidRPr="00B776D0">
        <w:rPr>
          <w:rFonts w:ascii="Book Antiqua" w:eastAsia="Book Antiqua" w:hAnsi="Book Antiqua" w:cs="Book Antiqua"/>
        </w:rPr>
        <w:t xml:space="preserve"> </w:t>
      </w:r>
      <w:proofErr w:type="spellStart"/>
      <w:r w:rsidRPr="00B776D0">
        <w:rPr>
          <w:rFonts w:ascii="Book Antiqua" w:eastAsia="Book Antiqua" w:hAnsi="Book Antiqua" w:cs="Book Antiqua"/>
          <w:vertAlign w:val="superscript"/>
        </w:rPr>
        <w:t>c</w:t>
      </w:r>
      <w:r w:rsidRPr="00B776D0">
        <w:rPr>
          <w:rFonts w:ascii="Book Antiqua" w:eastAsia="Book Antiqua" w:hAnsi="Book Antiqua" w:cs="Book Antiqua"/>
          <w:i/>
          <w:iCs/>
        </w:rPr>
        <w:t>P</w:t>
      </w:r>
      <w:proofErr w:type="spellEnd"/>
      <w:r w:rsidRPr="00B776D0">
        <w:rPr>
          <w:rFonts w:ascii="Book Antiqua" w:eastAsia="Book Antiqua" w:hAnsi="Book Antiqua" w:cs="Book Antiqua"/>
        </w:rPr>
        <w:t xml:space="preserve"> &lt; 0.001. </w:t>
      </w:r>
    </w:p>
    <w:p w14:paraId="5297FDA4" w14:textId="77777777" w:rsidR="003B17A6" w:rsidRPr="00B776D0" w:rsidRDefault="003B17A6" w:rsidP="00B776D0">
      <w:pPr>
        <w:spacing w:line="360" w:lineRule="auto"/>
        <w:jc w:val="both"/>
        <w:rPr>
          <w:rFonts w:ascii="Book Antiqua" w:hAnsi="Book Antiqua"/>
        </w:rPr>
        <w:sectPr w:rsidR="003B17A6" w:rsidRPr="00B776D0">
          <w:pgSz w:w="12240" w:h="15840"/>
          <w:pgMar w:top="1440" w:right="1440" w:bottom="1440" w:left="1440" w:header="720" w:footer="720" w:gutter="0"/>
          <w:cols w:space="720"/>
          <w:docGrid w:linePitch="360"/>
        </w:sectPr>
      </w:pPr>
    </w:p>
    <w:p w14:paraId="2BEA5D89"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lastRenderedPageBreak/>
        <w:t>Table 1 Comparison of clinical baseline data</w:t>
      </w:r>
    </w:p>
    <w:tbl>
      <w:tblPr>
        <w:tblW w:w="10207" w:type="dxa"/>
        <w:jc w:val="center"/>
        <w:tblLook w:val="04A0" w:firstRow="1" w:lastRow="0" w:firstColumn="1" w:lastColumn="0" w:noHBand="0" w:noVBand="1"/>
      </w:tblPr>
      <w:tblGrid>
        <w:gridCol w:w="3261"/>
        <w:gridCol w:w="2693"/>
        <w:gridCol w:w="2835"/>
        <w:gridCol w:w="1418"/>
      </w:tblGrid>
      <w:tr w:rsidR="003B17A6" w:rsidRPr="00B776D0" w14:paraId="62715E2C" w14:textId="77777777">
        <w:trPr>
          <w:jc w:val="center"/>
        </w:trPr>
        <w:tc>
          <w:tcPr>
            <w:tcW w:w="3261" w:type="dxa"/>
            <w:tcBorders>
              <w:top w:val="single" w:sz="4" w:space="0" w:color="auto"/>
              <w:bottom w:val="single" w:sz="4" w:space="0" w:color="auto"/>
            </w:tcBorders>
          </w:tcPr>
          <w:p w14:paraId="59132C41"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Factor</w:t>
            </w:r>
          </w:p>
        </w:tc>
        <w:tc>
          <w:tcPr>
            <w:tcW w:w="2693" w:type="dxa"/>
            <w:tcBorders>
              <w:top w:val="single" w:sz="4" w:space="0" w:color="auto"/>
              <w:bottom w:val="single" w:sz="4" w:space="0" w:color="auto"/>
            </w:tcBorders>
          </w:tcPr>
          <w:p w14:paraId="4F95B17F" w14:textId="6890EF3A" w:rsidR="003B17A6" w:rsidRPr="00B776D0" w:rsidRDefault="00BA6ED0" w:rsidP="00B776D0">
            <w:pPr>
              <w:spacing w:line="360" w:lineRule="auto"/>
              <w:jc w:val="both"/>
              <w:rPr>
                <w:rFonts w:ascii="Book Antiqua" w:hAnsi="Book Antiqua"/>
                <w:b/>
                <w:bCs/>
              </w:rPr>
            </w:pPr>
            <w:r w:rsidRPr="00B776D0">
              <w:rPr>
                <w:rFonts w:ascii="Book Antiqua" w:hAnsi="Book Antiqua"/>
                <w:b/>
                <w:bCs/>
              </w:rPr>
              <w:t>Group A</w:t>
            </w:r>
            <w:r w:rsidR="009824A0">
              <w:rPr>
                <w:rFonts w:ascii="Book Antiqua" w:hAnsi="Book Antiqua"/>
                <w:b/>
                <w:bCs/>
              </w:rPr>
              <w:t xml:space="preserve">, </w:t>
            </w:r>
            <w:r w:rsidRPr="00B776D0">
              <w:rPr>
                <w:rFonts w:ascii="Book Antiqua" w:hAnsi="Book Antiqua"/>
                <w:b/>
                <w:bCs/>
                <w:i/>
                <w:iCs/>
              </w:rPr>
              <w:t>n</w:t>
            </w:r>
            <w:r w:rsidRPr="00B776D0">
              <w:rPr>
                <w:rFonts w:ascii="Book Antiqua" w:hAnsi="Book Antiqua"/>
                <w:b/>
                <w:bCs/>
              </w:rPr>
              <w:t xml:space="preserve"> = 33</w:t>
            </w:r>
          </w:p>
        </w:tc>
        <w:tc>
          <w:tcPr>
            <w:tcW w:w="2835" w:type="dxa"/>
            <w:tcBorders>
              <w:top w:val="single" w:sz="4" w:space="0" w:color="auto"/>
              <w:bottom w:val="single" w:sz="4" w:space="0" w:color="auto"/>
            </w:tcBorders>
          </w:tcPr>
          <w:p w14:paraId="3CC746F4" w14:textId="132D1DBF" w:rsidR="003B17A6" w:rsidRPr="00B776D0" w:rsidRDefault="00BA6ED0" w:rsidP="00B776D0">
            <w:pPr>
              <w:spacing w:line="360" w:lineRule="auto"/>
              <w:jc w:val="both"/>
              <w:rPr>
                <w:rFonts w:ascii="Book Antiqua" w:hAnsi="Book Antiqua"/>
                <w:b/>
                <w:bCs/>
              </w:rPr>
            </w:pPr>
            <w:r w:rsidRPr="00B776D0">
              <w:rPr>
                <w:rFonts w:ascii="Book Antiqua" w:hAnsi="Book Antiqua"/>
                <w:b/>
                <w:bCs/>
              </w:rPr>
              <w:t>Group B</w:t>
            </w:r>
            <w:r w:rsidR="009824A0">
              <w:rPr>
                <w:rFonts w:ascii="Book Antiqua" w:hAnsi="Book Antiqua"/>
                <w:b/>
                <w:bCs/>
              </w:rPr>
              <w:t>,</w:t>
            </w:r>
            <w:r w:rsidRPr="00B776D0">
              <w:rPr>
                <w:rFonts w:ascii="Book Antiqua" w:hAnsi="Book Antiqua"/>
                <w:b/>
                <w:bCs/>
              </w:rPr>
              <w:t xml:space="preserve"> </w:t>
            </w:r>
            <w:r w:rsidRPr="00B776D0">
              <w:rPr>
                <w:rFonts w:ascii="Book Antiqua" w:hAnsi="Book Antiqua"/>
                <w:b/>
                <w:bCs/>
                <w:i/>
                <w:iCs/>
              </w:rPr>
              <w:t>n</w:t>
            </w:r>
            <w:r w:rsidRPr="00B776D0">
              <w:rPr>
                <w:rFonts w:ascii="Book Antiqua" w:hAnsi="Book Antiqua"/>
                <w:b/>
                <w:bCs/>
              </w:rPr>
              <w:t xml:space="preserve"> = 37</w:t>
            </w:r>
          </w:p>
        </w:tc>
        <w:tc>
          <w:tcPr>
            <w:tcW w:w="1418" w:type="dxa"/>
            <w:tcBorders>
              <w:top w:val="single" w:sz="4" w:space="0" w:color="auto"/>
              <w:bottom w:val="single" w:sz="4" w:space="0" w:color="auto"/>
            </w:tcBorders>
          </w:tcPr>
          <w:p w14:paraId="43F9D51C"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i/>
                <w:iCs/>
              </w:rPr>
              <w:t>P</w:t>
            </w:r>
            <w:r w:rsidRPr="00B776D0">
              <w:rPr>
                <w:rFonts w:ascii="Book Antiqua" w:hAnsi="Book Antiqua"/>
                <w:b/>
                <w:bCs/>
              </w:rPr>
              <w:t xml:space="preserve"> value</w:t>
            </w:r>
          </w:p>
        </w:tc>
      </w:tr>
      <w:tr w:rsidR="003B17A6" w:rsidRPr="00B776D0" w14:paraId="2864150D" w14:textId="77777777">
        <w:trPr>
          <w:jc w:val="center"/>
        </w:trPr>
        <w:tc>
          <w:tcPr>
            <w:tcW w:w="3261" w:type="dxa"/>
            <w:tcBorders>
              <w:top w:val="single" w:sz="4" w:space="0" w:color="auto"/>
            </w:tcBorders>
          </w:tcPr>
          <w:p w14:paraId="3236B75F" w14:textId="18F2ED3B" w:rsidR="003B17A6" w:rsidRPr="00B776D0" w:rsidRDefault="00BA6ED0" w:rsidP="00B776D0">
            <w:pPr>
              <w:spacing w:line="360" w:lineRule="auto"/>
              <w:jc w:val="both"/>
              <w:rPr>
                <w:rFonts w:ascii="Book Antiqua" w:hAnsi="Book Antiqua"/>
              </w:rPr>
            </w:pPr>
            <w:r w:rsidRPr="00B776D0">
              <w:rPr>
                <w:rFonts w:ascii="Book Antiqua" w:hAnsi="Book Antiqua"/>
              </w:rPr>
              <w:t>Age</w:t>
            </w:r>
            <w:r w:rsidR="009824A0">
              <w:rPr>
                <w:rFonts w:ascii="Book Antiqua" w:hAnsi="Book Antiqua"/>
              </w:rPr>
              <w:t xml:space="preserve"> in yr</w:t>
            </w:r>
          </w:p>
        </w:tc>
        <w:tc>
          <w:tcPr>
            <w:tcW w:w="2693" w:type="dxa"/>
            <w:tcBorders>
              <w:top w:val="single" w:sz="4" w:space="0" w:color="auto"/>
            </w:tcBorders>
          </w:tcPr>
          <w:p w14:paraId="782574E0" w14:textId="77777777" w:rsidR="003B17A6" w:rsidRPr="00B776D0" w:rsidRDefault="003B17A6" w:rsidP="00B776D0">
            <w:pPr>
              <w:spacing w:line="360" w:lineRule="auto"/>
              <w:jc w:val="both"/>
              <w:rPr>
                <w:rFonts w:ascii="Book Antiqua" w:hAnsi="Book Antiqua"/>
              </w:rPr>
            </w:pPr>
          </w:p>
        </w:tc>
        <w:tc>
          <w:tcPr>
            <w:tcW w:w="2835" w:type="dxa"/>
            <w:tcBorders>
              <w:top w:val="single" w:sz="4" w:space="0" w:color="auto"/>
            </w:tcBorders>
          </w:tcPr>
          <w:p w14:paraId="5001AC83" w14:textId="77777777" w:rsidR="003B17A6" w:rsidRPr="00B776D0" w:rsidRDefault="003B17A6" w:rsidP="00B776D0">
            <w:pPr>
              <w:spacing w:line="360" w:lineRule="auto"/>
              <w:jc w:val="both"/>
              <w:rPr>
                <w:rFonts w:ascii="Book Antiqua" w:hAnsi="Book Antiqua"/>
              </w:rPr>
            </w:pPr>
          </w:p>
        </w:tc>
        <w:tc>
          <w:tcPr>
            <w:tcW w:w="1418" w:type="dxa"/>
            <w:tcBorders>
              <w:top w:val="single" w:sz="4" w:space="0" w:color="auto"/>
            </w:tcBorders>
          </w:tcPr>
          <w:p w14:paraId="6B43F03C" w14:textId="77777777" w:rsidR="003B17A6" w:rsidRPr="00B776D0" w:rsidRDefault="003B17A6" w:rsidP="00B776D0">
            <w:pPr>
              <w:spacing w:line="360" w:lineRule="auto"/>
              <w:jc w:val="both"/>
              <w:rPr>
                <w:rFonts w:ascii="Book Antiqua" w:hAnsi="Book Antiqua"/>
              </w:rPr>
            </w:pPr>
          </w:p>
        </w:tc>
      </w:tr>
      <w:tr w:rsidR="003B17A6" w:rsidRPr="00B776D0" w14:paraId="781F31E5" w14:textId="77777777">
        <w:trPr>
          <w:trHeight w:val="90"/>
          <w:jc w:val="center"/>
        </w:trPr>
        <w:tc>
          <w:tcPr>
            <w:tcW w:w="3261" w:type="dxa"/>
          </w:tcPr>
          <w:p w14:paraId="228852E4" w14:textId="44DAE05C" w:rsidR="003B17A6" w:rsidRPr="00B776D0" w:rsidRDefault="00BA6ED0" w:rsidP="00B776D0">
            <w:pPr>
              <w:spacing w:line="360" w:lineRule="auto"/>
              <w:jc w:val="both"/>
              <w:rPr>
                <w:rFonts w:ascii="Book Antiqua" w:hAnsi="Book Antiqua"/>
              </w:rPr>
            </w:pPr>
            <w:bookmarkStart w:id="1" w:name="OLE_LINK1" w:colFirst="2" w:colLast="3"/>
            <w:r w:rsidRPr="00B776D0">
              <w:rPr>
                <w:rFonts w:ascii="Book Antiqua" w:hAnsi="Book Antiqua"/>
                <w:color w:val="000000" w:themeColor="text1"/>
              </w:rPr>
              <w:t xml:space="preserve">≥ </w:t>
            </w:r>
            <w:r w:rsidRPr="00B776D0">
              <w:rPr>
                <w:rFonts w:ascii="Book Antiqua" w:hAnsi="Book Antiqua"/>
              </w:rPr>
              <w:t xml:space="preserve">60 </w:t>
            </w:r>
          </w:p>
        </w:tc>
        <w:tc>
          <w:tcPr>
            <w:tcW w:w="2693" w:type="dxa"/>
          </w:tcPr>
          <w:p w14:paraId="62E0AD06" w14:textId="77777777" w:rsidR="003B17A6" w:rsidRPr="00B776D0" w:rsidRDefault="00BA6ED0" w:rsidP="00B776D0">
            <w:pPr>
              <w:spacing w:line="360" w:lineRule="auto"/>
              <w:jc w:val="both"/>
              <w:rPr>
                <w:rFonts w:ascii="Book Antiqua" w:hAnsi="Book Antiqua"/>
              </w:rPr>
            </w:pPr>
            <w:r w:rsidRPr="00B776D0">
              <w:rPr>
                <w:rFonts w:ascii="Book Antiqua" w:hAnsi="Book Antiqua"/>
              </w:rPr>
              <w:t>13</w:t>
            </w:r>
          </w:p>
        </w:tc>
        <w:tc>
          <w:tcPr>
            <w:tcW w:w="2835" w:type="dxa"/>
          </w:tcPr>
          <w:p w14:paraId="605AA1DC" w14:textId="77777777" w:rsidR="003B17A6" w:rsidRPr="00B776D0" w:rsidRDefault="00BA6ED0" w:rsidP="00B776D0">
            <w:pPr>
              <w:spacing w:line="360" w:lineRule="auto"/>
              <w:jc w:val="both"/>
              <w:rPr>
                <w:rFonts w:ascii="Book Antiqua" w:hAnsi="Book Antiqua"/>
              </w:rPr>
            </w:pPr>
            <w:r w:rsidRPr="00B776D0">
              <w:rPr>
                <w:rFonts w:ascii="Book Antiqua" w:hAnsi="Book Antiqua"/>
              </w:rPr>
              <w:t>17</w:t>
            </w:r>
          </w:p>
        </w:tc>
        <w:tc>
          <w:tcPr>
            <w:tcW w:w="1418" w:type="dxa"/>
            <w:vMerge w:val="restart"/>
          </w:tcPr>
          <w:p w14:paraId="1000573B" w14:textId="77777777" w:rsidR="003B17A6" w:rsidRPr="00B776D0" w:rsidRDefault="00BA6ED0" w:rsidP="00B776D0">
            <w:pPr>
              <w:spacing w:line="360" w:lineRule="auto"/>
              <w:jc w:val="both"/>
              <w:rPr>
                <w:rFonts w:ascii="Book Antiqua" w:hAnsi="Book Antiqua"/>
              </w:rPr>
            </w:pPr>
            <w:r w:rsidRPr="00B776D0">
              <w:rPr>
                <w:rFonts w:ascii="Book Antiqua" w:hAnsi="Book Antiqua"/>
              </w:rPr>
              <w:t>0.580</w:t>
            </w:r>
          </w:p>
        </w:tc>
      </w:tr>
      <w:tr w:rsidR="003B17A6" w:rsidRPr="00B776D0" w14:paraId="25E99B26" w14:textId="77777777">
        <w:trPr>
          <w:jc w:val="center"/>
        </w:trPr>
        <w:tc>
          <w:tcPr>
            <w:tcW w:w="3261" w:type="dxa"/>
          </w:tcPr>
          <w:p w14:paraId="5FCA189F" w14:textId="1BDDF733" w:rsidR="003B17A6" w:rsidRPr="00B776D0" w:rsidRDefault="00BA6ED0" w:rsidP="00B776D0">
            <w:pPr>
              <w:spacing w:line="360" w:lineRule="auto"/>
              <w:jc w:val="both"/>
              <w:rPr>
                <w:rFonts w:ascii="Book Antiqua" w:hAnsi="Book Antiqua"/>
              </w:rPr>
            </w:pPr>
            <w:r w:rsidRPr="00B776D0">
              <w:rPr>
                <w:rFonts w:ascii="Book Antiqua" w:hAnsi="Book Antiqua"/>
                <w:color w:val="000000" w:themeColor="text1"/>
              </w:rPr>
              <w:t xml:space="preserve">&lt; 60 </w:t>
            </w:r>
          </w:p>
        </w:tc>
        <w:tc>
          <w:tcPr>
            <w:tcW w:w="2693" w:type="dxa"/>
          </w:tcPr>
          <w:p w14:paraId="671F8478" w14:textId="77777777" w:rsidR="003B17A6" w:rsidRPr="00B776D0" w:rsidRDefault="00BA6ED0" w:rsidP="00B776D0">
            <w:pPr>
              <w:spacing w:line="360" w:lineRule="auto"/>
              <w:jc w:val="both"/>
              <w:rPr>
                <w:rFonts w:ascii="Book Antiqua" w:hAnsi="Book Antiqua"/>
              </w:rPr>
            </w:pPr>
            <w:r w:rsidRPr="00B776D0">
              <w:rPr>
                <w:rFonts w:ascii="Book Antiqua" w:hAnsi="Book Antiqua"/>
              </w:rPr>
              <w:t>20</w:t>
            </w:r>
          </w:p>
        </w:tc>
        <w:tc>
          <w:tcPr>
            <w:tcW w:w="2835" w:type="dxa"/>
          </w:tcPr>
          <w:p w14:paraId="3F29E156" w14:textId="77777777" w:rsidR="003B17A6" w:rsidRPr="00B776D0" w:rsidRDefault="00BA6ED0" w:rsidP="00B776D0">
            <w:pPr>
              <w:spacing w:line="360" w:lineRule="auto"/>
              <w:jc w:val="both"/>
              <w:rPr>
                <w:rFonts w:ascii="Book Antiqua" w:hAnsi="Book Antiqua"/>
              </w:rPr>
            </w:pPr>
            <w:r w:rsidRPr="00B776D0">
              <w:rPr>
                <w:rFonts w:ascii="Book Antiqua" w:hAnsi="Book Antiqua"/>
              </w:rPr>
              <w:t>20</w:t>
            </w:r>
          </w:p>
        </w:tc>
        <w:tc>
          <w:tcPr>
            <w:tcW w:w="1418" w:type="dxa"/>
            <w:vMerge/>
          </w:tcPr>
          <w:p w14:paraId="44B66FBE" w14:textId="77777777" w:rsidR="003B17A6" w:rsidRPr="00B776D0" w:rsidRDefault="003B17A6" w:rsidP="00B776D0">
            <w:pPr>
              <w:spacing w:line="360" w:lineRule="auto"/>
              <w:jc w:val="both"/>
              <w:rPr>
                <w:rFonts w:ascii="Book Antiqua" w:hAnsi="Book Antiqua"/>
              </w:rPr>
            </w:pPr>
          </w:p>
        </w:tc>
      </w:tr>
      <w:bookmarkEnd w:id="1"/>
      <w:tr w:rsidR="003B17A6" w:rsidRPr="00B776D0" w14:paraId="748F6EFA" w14:textId="77777777">
        <w:trPr>
          <w:jc w:val="center"/>
        </w:trPr>
        <w:tc>
          <w:tcPr>
            <w:tcW w:w="3261" w:type="dxa"/>
          </w:tcPr>
          <w:p w14:paraId="0DF1D374" w14:textId="66843119" w:rsidR="003B17A6" w:rsidRPr="00B776D0" w:rsidRDefault="00EB7695" w:rsidP="00B776D0">
            <w:pPr>
              <w:spacing w:line="360" w:lineRule="auto"/>
              <w:jc w:val="both"/>
              <w:rPr>
                <w:rFonts w:ascii="Book Antiqua" w:hAnsi="Book Antiqua"/>
              </w:rPr>
            </w:pPr>
            <w:r>
              <w:rPr>
                <w:rFonts w:ascii="Book Antiqua" w:hAnsi="Book Antiqua"/>
              </w:rPr>
              <w:t>Sex</w:t>
            </w:r>
          </w:p>
        </w:tc>
        <w:tc>
          <w:tcPr>
            <w:tcW w:w="2693" w:type="dxa"/>
          </w:tcPr>
          <w:p w14:paraId="1149CA08" w14:textId="77777777" w:rsidR="003B17A6" w:rsidRPr="00B776D0" w:rsidRDefault="003B17A6" w:rsidP="00B776D0">
            <w:pPr>
              <w:spacing w:line="360" w:lineRule="auto"/>
              <w:jc w:val="both"/>
              <w:rPr>
                <w:rFonts w:ascii="Book Antiqua" w:hAnsi="Book Antiqua"/>
              </w:rPr>
            </w:pPr>
          </w:p>
        </w:tc>
        <w:tc>
          <w:tcPr>
            <w:tcW w:w="2835" w:type="dxa"/>
          </w:tcPr>
          <w:p w14:paraId="56D853EB" w14:textId="77777777" w:rsidR="003B17A6" w:rsidRPr="00B776D0" w:rsidRDefault="003B17A6" w:rsidP="00B776D0">
            <w:pPr>
              <w:spacing w:line="360" w:lineRule="auto"/>
              <w:jc w:val="both"/>
              <w:rPr>
                <w:rFonts w:ascii="Book Antiqua" w:hAnsi="Book Antiqua"/>
              </w:rPr>
            </w:pPr>
          </w:p>
        </w:tc>
        <w:tc>
          <w:tcPr>
            <w:tcW w:w="1418" w:type="dxa"/>
          </w:tcPr>
          <w:p w14:paraId="4418555B" w14:textId="77777777" w:rsidR="003B17A6" w:rsidRPr="00B776D0" w:rsidRDefault="003B17A6" w:rsidP="00B776D0">
            <w:pPr>
              <w:spacing w:line="360" w:lineRule="auto"/>
              <w:jc w:val="both"/>
              <w:rPr>
                <w:rFonts w:ascii="Book Antiqua" w:hAnsi="Book Antiqua"/>
              </w:rPr>
            </w:pPr>
          </w:p>
        </w:tc>
      </w:tr>
      <w:tr w:rsidR="003B17A6" w:rsidRPr="00B776D0" w14:paraId="4910C1C0" w14:textId="77777777">
        <w:trPr>
          <w:jc w:val="center"/>
        </w:trPr>
        <w:tc>
          <w:tcPr>
            <w:tcW w:w="3261" w:type="dxa"/>
          </w:tcPr>
          <w:p w14:paraId="3DA174BE" w14:textId="77777777" w:rsidR="003B17A6" w:rsidRPr="00B776D0" w:rsidRDefault="00BA6ED0" w:rsidP="00B776D0">
            <w:pPr>
              <w:spacing w:line="360" w:lineRule="auto"/>
              <w:jc w:val="both"/>
              <w:rPr>
                <w:rFonts w:ascii="Book Antiqua" w:hAnsi="Book Antiqua"/>
              </w:rPr>
            </w:pPr>
            <w:bookmarkStart w:id="2" w:name="OLE_LINK2" w:colFirst="2" w:colLast="3"/>
            <w:r w:rsidRPr="00B776D0">
              <w:rPr>
                <w:rFonts w:ascii="Book Antiqua" w:hAnsi="Book Antiqua"/>
              </w:rPr>
              <w:t>Male</w:t>
            </w:r>
          </w:p>
        </w:tc>
        <w:tc>
          <w:tcPr>
            <w:tcW w:w="2693" w:type="dxa"/>
          </w:tcPr>
          <w:p w14:paraId="760863AE" w14:textId="77777777" w:rsidR="003B17A6" w:rsidRPr="00B776D0" w:rsidRDefault="00BA6ED0" w:rsidP="00B776D0">
            <w:pPr>
              <w:spacing w:line="360" w:lineRule="auto"/>
              <w:jc w:val="both"/>
              <w:rPr>
                <w:rFonts w:ascii="Book Antiqua" w:hAnsi="Book Antiqua"/>
              </w:rPr>
            </w:pPr>
            <w:r w:rsidRPr="00B776D0">
              <w:rPr>
                <w:rFonts w:ascii="Book Antiqua" w:hAnsi="Book Antiqua"/>
              </w:rPr>
              <w:t>22</w:t>
            </w:r>
          </w:p>
        </w:tc>
        <w:tc>
          <w:tcPr>
            <w:tcW w:w="2835" w:type="dxa"/>
          </w:tcPr>
          <w:p w14:paraId="3AE4EF11" w14:textId="77777777" w:rsidR="003B17A6" w:rsidRPr="00B776D0" w:rsidRDefault="00BA6ED0" w:rsidP="00B776D0">
            <w:pPr>
              <w:spacing w:line="360" w:lineRule="auto"/>
              <w:jc w:val="both"/>
              <w:rPr>
                <w:rFonts w:ascii="Book Antiqua" w:hAnsi="Book Antiqua"/>
              </w:rPr>
            </w:pPr>
            <w:r w:rsidRPr="00B776D0">
              <w:rPr>
                <w:rFonts w:ascii="Book Antiqua" w:hAnsi="Book Antiqua"/>
              </w:rPr>
              <w:t>35</w:t>
            </w:r>
          </w:p>
        </w:tc>
        <w:tc>
          <w:tcPr>
            <w:tcW w:w="1418" w:type="dxa"/>
            <w:vMerge w:val="restart"/>
          </w:tcPr>
          <w:p w14:paraId="7BB42588" w14:textId="77777777" w:rsidR="003B17A6" w:rsidRPr="00B776D0" w:rsidRDefault="00BA6ED0" w:rsidP="00B776D0">
            <w:pPr>
              <w:spacing w:line="360" w:lineRule="auto"/>
              <w:jc w:val="both"/>
              <w:rPr>
                <w:rFonts w:ascii="Book Antiqua" w:hAnsi="Book Antiqua"/>
              </w:rPr>
            </w:pPr>
            <w:r w:rsidRPr="00B776D0">
              <w:rPr>
                <w:rFonts w:ascii="Book Antiqua" w:hAnsi="Book Antiqua"/>
              </w:rPr>
              <w:t>0.447</w:t>
            </w:r>
          </w:p>
        </w:tc>
      </w:tr>
      <w:tr w:rsidR="003B17A6" w:rsidRPr="00B776D0" w14:paraId="0A026038" w14:textId="77777777">
        <w:trPr>
          <w:jc w:val="center"/>
        </w:trPr>
        <w:tc>
          <w:tcPr>
            <w:tcW w:w="3261" w:type="dxa"/>
          </w:tcPr>
          <w:p w14:paraId="22E5B998" w14:textId="77777777" w:rsidR="003B17A6" w:rsidRPr="00B776D0" w:rsidRDefault="00BA6ED0" w:rsidP="00B776D0">
            <w:pPr>
              <w:spacing w:line="360" w:lineRule="auto"/>
              <w:jc w:val="both"/>
              <w:rPr>
                <w:rFonts w:ascii="Book Antiqua" w:hAnsi="Book Antiqua"/>
              </w:rPr>
            </w:pPr>
            <w:r w:rsidRPr="00B776D0">
              <w:rPr>
                <w:rFonts w:ascii="Book Antiqua" w:hAnsi="Book Antiqua"/>
              </w:rPr>
              <w:t>Female</w:t>
            </w:r>
          </w:p>
        </w:tc>
        <w:tc>
          <w:tcPr>
            <w:tcW w:w="2693" w:type="dxa"/>
          </w:tcPr>
          <w:p w14:paraId="620DC3B3" w14:textId="77777777" w:rsidR="003B17A6" w:rsidRPr="00B776D0" w:rsidRDefault="00BA6ED0" w:rsidP="00B776D0">
            <w:pPr>
              <w:spacing w:line="360" w:lineRule="auto"/>
              <w:jc w:val="both"/>
              <w:rPr>
                <w:rFonts w:ascii="Book Antiqua" w:hAnsi="Book Antiqua"/>
              </w:rPr>
            </w:pPr>
            <w:r w:rsidRPr="00B776D0">
              <w:rPr>
                <w:rFonts w:ascii="Book Antiqua" w:hAnsi="Book Antiqua"/>
              </w:rPr>
              <w:t>11</w:t>
            </w:r>
          </w:p>
        </w:tc>
        <w:tc>
          <w:tcPr>
            <w:tcW w:w="2835" w:type="dxa"/>
          </w:tcPr>
          <w:p w14:paraId="45198ECE" w14:textId="77777777" w:rsidR="003B17A6" w:rsidRPr="00B776D0" w:rsidRDefault="00BA6ED0" w:rsidP="00B776D0">
            <w:pPr>
              <w:spacing w:line="360" w:lineRule="auto"/>
              <w:jc w:val="both"/>
              <w:rPr>
                <w:rFonts w:ascii="Book Antiqua" w:hAnsi="Book Antiqua"/>
              </w:rPr>
            </w:pPr>
            <w:r w:rsidRPr="00B776D0">
              <w:rPr>
                <w:rFonts w:ascii="Book Antiqua" w:hAnsi="Book Antiqua"/>
              </w:rPr>
              <w:t>12</w:t>
            </w:r>
          </w:p>
        </w:tc>
        <w:tc>
          <w:tcPr>
            <w:tcW w:w="1418" w:type="dxa"/>
            <w:vMerge/>
          </w:tcPr>
          <w:p w14:paraId="00885A71" w14:textId="77777777" w:rsidR="003B17A6" w:rsidRPr="00B776D0" w:rsidRDefault="003B17A6" w:rsidP="00B776D0">
            <w:pPr>
              <w:spacing w:line="360" w:lineRule="auto"/>
              <w:jc w:val="both"/>
              <w:rPr>
                <w:rFonts w:ascii="Book Antiqua" w:hAnsi="Book Antiqua"/>
              </w:rPr>
            </w:pPr>
          </w:p>
        </w:tc>
      </w:tr>
      <w:bookmarkEnd w:id="2"/>
      <w:tr w:rsidR="003B17A6" w:rsidRPr="00B776D0" w14:paraId="6AEAC694" w14:textId="77777777">
        <w:trPr>
          <w:jc w:val="center"/>
        </w:trPr>
        <w:tc>
          <w:tcPr>
            <w:tcW w:w="3261" w:type="dxa"/>
          </w:tcPr>
          <w:p w14:paraId="1831FC8B" w14:textId="046C9171" w:rsidR="003B17A6" w:rsidRPr="00B776D0" w:rsidRDefault="00BA6ED0" w:rsidP="00B776D0">
            <w:pPr>
              <w:spacing w:line="360" w:lineRule="auto"/>
              <w:jc w:val="both"/>
              <w:rPr>
                <w:rFonts w:ascii="Book Antiqua" w:hAnsi="Book Antiqua"/>
              </w:rPr>
            </w:pPr>
            <w:r w:rsidRPr="00B776D0">
              <w:rPr>
                <w:rFonts w:ascii="Book Antiqua" w:hAnsi="Book Antiqua"/>
              </w:rPr>
              <w:t>Course of disease</w:t>
            </w:r>
            <w:r w:rsidR="009824A0">
              <w:rPr>
                <w:rFonts w:ascii="Book Antiqua" w:hAnsi="Book Antiqua"/>
              </w:rPr>
              <w:t xml:space="preserve"> in yr</w:t>
            </w:r>
          </w:p>
        </w:tc>
        <w:tc>
          <w:tcPr>
            <w:tcW w:w="2693" w:type="dxa"/>
          </w:tcPr>
          <w:p w14:paraId="50B22850" w14:textId="77777777" w:rsidR="003B17A6" w:rsidRPr="00B776D0" w:rsidRDefault="003B17A6" w:rsidP="00B776D0">
            <w:pPr>
              <w:spacing w:line="360" w:lineRule="auto"/>
              <w:jc w:val="both"/>
              <w:rPr>
                <w:rFonts w:ascii="Book Antiqua" w:hAnsi="Book Antiqua"/>
              </w:rPr>
            </w:pPr>
          </w:p>
        </w:tc>
        <w:tc>
          <w:tcPr>
            <w:tcW w:w="2835" w:type="dxa"/>
          </w:tcPr>
          <w:p w14:paraId="5DC17604" w14:textId="77777777" w:rsidR="003B17A6" w:rsidRPr="00B776D0" w:rsidRDefault="003B17A6" w:rsidP="00B776D0">
            <w:pPr>
              <w:spacing w:line="360" w:lineRule="auto"/>
              <w:jc w:val="both"/>
              <w:rPr>
                <w:rFonts w:ascii="Book Antiqua" w:hAnsi="Book Antiqua"/>
              </w:rPr>
            </w:pPr>
          </w:p>
        </w:tc>
        <w:tc>
          <w:tcPr>
            <w:tcW w:w="1418" w:type="dxa"/>
          </w:tcPr>
          <w:p w14:paraId="61D95DA7" w14:textId="77777777" w:rsidR="003B17A6" w:rsidRPr="00B776D0" w:rsidRDefault="003B17A6" w:rsidP="00B776D0">
            <w:pPr>
              <w:spacing w:line="360" w:lineRule="auto"/>
              <w:jc w:val="both"/>
              <w:rPr>
                <w:rFonts w:ascii="Book Antiqua" w:hAnsi="Book Antiqua"/>
              </w:rPr>
            </w:pPr>
          </w:p>
        </w:tc>
      </w:tr>
      <w:tr w:rsidR="003B17A6" w:rsidRPr="00B776D0" w14:paraId="27086276" w14:textId="77777777">
        <w:trPr>
          <w:jc w:val="center"/>
        </w:trPr>
        <w:tc>
          <w:tcPr>
            <w:tcW w:w="3261" w:type="dxa"/>
          </w:tcPr>
          <w:p w14:paraId="4BD0FFB8" w14:textId="785C6937" w:rsidR="003B17A6" w:rsidRPr="00B776D0" w:rsidRDefault="00BA6ED0" w:rsidP="00B776D0">
            <w:pPr>
              <w:spacing w:line="360" w:lineRule="auto"/>
              <w:jc w:val="both"/>
              <w:rPr>
                <w:rFonts w:ascii="Book Antiqua" w:hAnsi="Book Antiqua"/>
              </w:rPr>
            </w:pPr>
            <w:bookmarkStart w:id="3" w:name="OLE_LINK3" w:colFirst="2" w:colLast="3"/>
            <w:r w:rsidRPr="00B776D0">
              <w:rPr>
                <w:rFonts w:ascii="Book Antiqua" w:hAnsi="Book Antiqua"/>
              </w:rPr>
              <w:t xml:space="preserve">≥ 5 </w:t>
            </w:r>
          </w:p>
        </w:tc>
        <w:tc>
          <w:tcPr>
            <w:tcW w:w="2693" w:type="dxa"/>
          </w:tcPr>
          <w:p w14:paraId="2BEF1BAC" w14:textId="77777777" w:rsidR="003B17A6" w:rsidRPr="00B776D0" w:rsidRDefault="00BA6ED0" w:rsidP="00B776D0">
            <w:pPr>
              <w:spacing w:line="360" w:lineRule="auto"/>
              <w:jc w:val="both"/>
              <w:rPr>
                <w:rFonts w:ascii="Book Antiqua" w:hAnsi="Book Antiqua"/>
              </w:rPr>
            </w:pPr>
            <w:r w:rsidRPr="00B776D0">
              <w:rPr>
                <w:rFonts w:ascii="Book Antiqua" w:hAnsi="Book Antiqua"/>
              </w:rPr>
              <w:t>19</w:t>
            </w:r>
          </w:p>
        </w:tc>
        <w:tc>
          <w:tcPr>
            <w:tcW w:w="2835" w:type="dxa"/>
          </w:tcPr>
          <w:p w14:paraId="0F05698F" w14:textId="77777777" w:rsidR="003B17A6" w:rsidRPr="00B776D0" w:rsidRDefault="00BA6ED0" w:rsidP="00B776D0">
            <w:pPr>
              <w:spacing w:line="360" w:lineRule="auto"/>
              <w:jc w:val="both"/>
              <w:rPr>
                <w:rFonts w:ascii="Book Antiqua" w:hAnsi="Book Antiqua"/>
              </w:rPr>
            </w:pPr>
            <w:r w:rsidRPr="00B776D0">
              <w:rPr>
                <w:rFonts w:ascii="Book Antiqua" w:hAnsi="Book Antiqua"/>
              </w:rPr>
              <w:t>20</w:t>
            </w:r>
          </w:p>
        </w:tc>
        <w:tc>
          <w:tcPr>
            <w:tcW w:w="1418" w:type="dxa"/>
            <w:vMerge w:val="restart"/>
          </w:tcPr>
          <w:p w14:paraId="5DAF3EC8" w14:textId="77777777" w:rsidR="003B17A6" w:rsidRPr="00B776D0" w:rsidRDefault="00BA6ED0" w:rsidP="00B776D0">
            <w:pPr>
              <w:spacing w:line="360" w:lineRule="auto"/>
              <w:jc w:val="both"/>
              <w:rPr>
                <w:rFonts w:ascii="Book Antiqua" w:hAnsi="Book Antiqua"/>
              </w:rPr>
            </w:pPr>
            <w:r w:rsidRPr="00B776D0">
              <w:rPr>
                <w:rFonts w:ascii="Book Antiqua" w:hAnsi="Book Antiqua"/>
              </w:rPr>
              <w:t>0.767</w:t>
            </w:r>
          </w:p>
        </w:tc>
      </w:tr>
      <w:tr w:rsidR="003B17A6" w:rsidRPr="00B776D0" w14:paraId="2388C902" w14:textId="77777777">
        <w:trPr>
          <w:jc w:val="center"/>
        </w:trPr>
        <w:tc>
          <w:tcPr>
            <w:tcW w:w="3261" w:type="dxa"/>
          </w:tcPr>
          <w:p w14:paraId="07B6209D" w14:textId="0C3D5AB8" w:rsidR="003B17A6" w:rsidRPr="00B776D0" w:rsidRDefault="00BA6ED0" w:rsidP="00B776D0">
            <w:pPr>
              <w:spacing w:line="360" w:lineRule="auto"/>
              <w:jc w:val="both"/>
              <w:rPr>
                <w:rFonts w:ascii="Book Antiqua" w:hAnsi="Book Antiqua"/>
              </w:rPr>
            </w:pPr>
            <w:r w:rsidRPr="00B776D0">
              <w:rPr>
                <w:rFonts w:ascii="Book Antiqua" w:hAnsi="Book Antiqua"/>
              </w:rPr>
              <w:t xml:space="preserve">&lt; 5 </w:t>
            </w:r>
          </w:p>
        </w:tc>
        <w:tc>
          <w:tcPr>
            <w:tcW w:w="2693" w:type="dxa"/>
          </w:tcPr>
          <w:p w14:paraId="710DCF0B" w14:textId="77777777" w:rsidR="003B17A6" w:rsidRPr="00B776D0" w:rsidRDefault="00BA6ED0" w:rsidP="00B776D0">
            <w:pPr>
              <w:spacing w:line="360" w:lineRule="auto"/>
              <w:jc w:val="both"/>
              <w:rPr>
                <w:rFonts w:ascii="Book Antiqua" w:hAnsi="Book Antiqua"/>
              </w:rPr>
            </w:pPr>
            <w:r w:rsidRPr="00B776D0">
              <w:rPr>
                <w:rFonts w:ascii="Book Antiqua" w:hAnsi="Book Antiqua"/>
              </w:rPr>
              <w:t>14</w:t>
            </w:r>
          </w:p>
        </w:tc>
        <w:tc>
          <w:tcPr>
            <w:tcW w:w="2835" w:type="dxa"/>
          </w:tcPr>
          <w:p w14:paraId="39CCD90D" w14:textId="77777777" w:rsidR="003B17A6" w:rsidRPr="00B776D0" w:rsidRDefault="00BA6ED0" w:rsidP="00B776D0">
            <w:pPr>
              <w:spacing w:line="360" w:lineRule="auto"/>
              <w:jc w:val="both"/>
              <w:rPr>
                <w:rFonts w:ascii="Book Antiqua" w:hAnsi="Book Antiqua"/>
              </w:rPr>
            </w:pPr>
            <w:r w:rsidRPr="00B776D0">
              <w:rPr>
                <w:rFonts w:ascii="Book Antiqua" w:hAnsi="Book Antiqua"/>
              </w:rPr>
              <w:t>17</w:t>
            </w:r>
          </w:p>
        </w:tc>
        <w:tc>
          <w:tcPr>
            <w:tcW w:w="1418" w:type="dxa"/>
            <w:vMerge/>
          </w:tcPr>
          <w:p w14:paraId="02AF8B89" w14:textId="77777777" w:rsidR="003B17A6" w:rsidRPr="00B776D0" w:rsidRDefault="003B17A6" w:rsidP="00B776D0">
            <w:pPr>
              <w:spacing w:line="360" w:lineRule="auto"/>
              <w:jc w:val="both"/>
              <w:rPr>
                <w:rFonts w:ascii="Book Antiqua" w:hAnsi="Book Antiqua"/>
              </w:rPr>
            </w:pPr>
          </w:p>
        </w:tc>
      </w:tr>
      <w:bookmarkEnd w:id="3"/>
      <w:tr w:rsidR="003B17A6" w:rsidRPr="00B776D0" w14:paraId="6CBE5025" w14:textId="77777777">
        <w:trPr>
          <w:jc w:val="center"/>
        </w:trPr>
        <w:tc>
          <w:tcPr>
            <w:tcW w:w="3261" w:type="dxa"/>
          </w:tcPr>
          <w:p w14:paraId="51941B15" w14:textId="533EA5DC" w:rsidR="003B17A6" w:rsidRPr="00B776D0" w:rsidRDefault="00BA6ED0" w:rsidP="00B776D0">
            <w:pPr>
              <w:spacing w:line="360" w:lineRule="auto"/>
              <w:jc w:val="both"/>
              <w:rPr>
                <w:rFonts w:ascii="Book Antiqua" w:hAnsi="Book Antiqua"/>
              </w:rPr>
            </w:pPr>
            <w:r w:rsidRPr="00B776D0">
              <w:rPr>
                <w:rFonts w:ascii="Book Antiqua" w:hAnsi="Book Antiqua"/>
              </w:rPr>
              <w:t>BMI</w:t>
            </w:r>
            <w:r w:rsidR="009824A0">
              <w:rPr>
                <w:rFonts w:ascii="Book Antiqua" w:hAnsi="Book Antiqua"/>
              </w:rPr>
              <w:t xml:space="preserve"> in </w:t>
            </w:r>
            <w:r w:rsidR="009824A0" w:rsidRPr="00B776D0">
              <w:rPr>
                <w:rFonts w:ascii="Book Antiqua" w:hAnsi="Book Antiqua"/>
              </w:rPr>
              <w:t>kg/m</w:t>
            </w:r>
            <w:r w:rsidR="009824A0" w:rsidRPr="00B776D0">
              <w:rPr>
                <w:rFonts w:ascii="Book Antiqua" w:hAnsi="Book Antiqua"/>
                <w:vertAlign w:val="superscript"/>
              </w:rPr>
              <w:t>2</w:t>
            </w:r>
          </w:p>
        </w:tc>
        <w:tc>
          <w:tcPr>
            <w:tcW w:w="2693" w:type="dxa"/>
          </w:tcPr>
          <w:p w14:paraId="39DFDECE" w14:textId="77777777" w:rsidR="003B17A6" w:rsidRPr="00B776D0" w:rsidRDefault="003B17A6" w:rsidP="00B776D0">
            <w:pPr>
              <w:spacing w:line="360" w:lineRule="auto"/>
              <w:jc w:val="both"/>
              <w:rPr>
                <w:rFonts w:ascii="Book Antiqua" w:hAnsi="Book Antiqua"/>
              </w:rPr>
            </w:pPr>
          </w:p>
        </w:tc>
        <w:tc>
          <w:tcPr>
            <w:tcW w:w="2835" w:type="dxa"/>
          </w:tcPr>
          <w:p w14:paraId="5C734712" w14:textId="77777777" w:rsidR="003B17A6" w:rsidRPr="00B776D0" w:rsidRDefault="003B17A6" w:rsidP="00B776D0">
            <w:pPr>
              <w:spacing w:line="360" w:lineRule="auto"/>
              <w:jc w:val="both"/>
              <w:rPr>
                <w:rFonts w:ascii="Book Antiqua" w:hAnsi="Book Antiqua"/>
              </w:rPr>
            </w:pPr>
          </w:p>
        </w:tc>
        <w:tc>
          <w:tcPr>
            <w:tcW w:w="1418" w:type="dxa"/>
          </w:tcPr>
          <w:p w14:paraId="4D7A6D42" w14:textId="77777777" w:rsidR="003B17A6" w:rsidRPr="00B776D0" w:rsidRDefault="003B17A6" w:rsidP="00B776D0">
            <w:pPr>
              <w:spacing w:line="360" w:lineRule="auto"/>
              <w:jc w:val="both"/>
              <w:rPr>
                <w:rFonts w:ascii="Book Antiqua" w:hAnsi="Book Antiqua"/>
              </w:rPr>
            </w:pPr>
          </w:p>
        </w:tc>
      </w:tr>
      <w:tr w:rsidR="003B17A6" w:rsidRPr="00B776D0" w14:paraId="3C20DE06" w14:textId="77777777">
        <w:trPr>
          <w:jc w:val="center"/>
        </w:trPr>
        <w:tc>
          <w:tcPr>
            <w:tcW w:w="3261" w:type="dxa"/>
          </w:tcPr>
          <w:p w14:paraId="5C158D1B" w14:textId="381788D5" w:rsidR="003B17A6" w:rsidRPr="00B776D0" w:rsidRDefault="00BA6ED0" w:rsidP="00B776D0">
            <w:pPr>
              <w:spacing w:line="360" w:lineRule="auto"/>
              <w:jc w:val="both"/>
              <w:rPr>
                <w:rFonts w:ascii="Book Antiqua" w:hAnsi="Book Antiqua"/>
              </w:rPr>
            </w:pPr>
            <w:bookmarkStart w:id="4" w:name="OLE_LINK4" w:colFirst="2" w:colLast="3"/>
            <w:r w:rsidRPr="00B776D0">
              <w:rPr>
                <w:rFonts w:ascii="Book Antiqua" w:hAnsi="Book Antiqua"/>
              </w:rPr>
              <w:t xml:space="preserve">≥ 30 </w:t>
            </w:r>
          </w:p>
        </w:tc>
        <w:tc>
          <w:tcPr>
            <w:tcW w:w="2693" w:type="dxa"/>
          </w:tcPr>
          <w:p w14:paraId="41D333C7" w14:textId="77777777" w:rsidR="003B17A6" w:rsidRPr="00B776D0" w:rsidRDefault="00BA6ED0" w:rsidP="00B776D0">
            <w:pPr>
              <w:spacing w:line="360" w:lineRule="auto"/>
              <w:jc w:val="both"/>
              <w:rPr>
                <w:rFonts w:ascii="Book Antiqua" w:hAnsi="Book Antiqua"/>
              </w:rPr>
            </w:pPr>
            <w:r w:rsidRPr="00B776D0">
              <w:rPr>
                <w:rFonts w:ascii="Book Antiqua" w:hAnsi="Book Antiqua"/>
              </w:rPr>
              <w:t>25</w:t>
            </w:r>
          </w:p>
        </w:tc>
        <w:tc>
          <w:tcPr>
            <w:tcW w:w="2835" w:type="dxa"/>
          </w:tcPr>
          <w:p w14:paraId="5E763381" w14:textId="77777777" w:rsidR="003B17A6" w:rsidRPr="00B776D0" w:rsidRDefault="00BA6ED0" w:rsidP="00B776D0">
            <w:pPr>
              <w:spacing w:line="360" w:lineRule="auto"/>
              <w:jc w:val="both"/>
              <w:rPr>
                <w:rFonts w:ascii="Book Antiqua" w:hAnsi="Book Antiqua"/>
              </w:rPr>
            </w:pPr>
            <w:r w:rsidRPr="00B776D0">
              <w:rPr>
                <w:rFonts w:ascii="Book Antiqua" w:hAnsi="Book Antiqua"/>
              </w:rPr>
              <w:t>30</w:t>
            </w:r>
          </w:p>
        </w:tc>
        <w:tc>
          <w:tcPr>
            <w:tcW w:w="1418" w:type="dxa"/>
            <w:vMerge w:val="restart"/>
          </w:tcPr>
          <w:p w14:paraId="77A2D060" w14:textId="77777777" w:rsidR="003B17A6" w:rsidRPr="00B776D0" w:rsidRDefault="00BA6ED0" w:rsidP="00B776D0">
            <w:pPr>
              <w:spacing w:line="360" w:lineRule="auto"/>
              <w:jc w:val="both"/>
              <w:rPr>
                <w:rFonts w:ascii="Book Antiqua" w:hAnsi="Book Antiqua"/>
              </w:rPr>
            </w:pPr>
            <w:r w:rsidRPr="00B776D0">
              <w:rPr>
                <w:rFonts w:ascii="Book Antiqua" w:hAnsi="Book Antiqua"/>
              </w:rPr>
              <w:t>0.587</w:t>
            </w:r>
          </w:p>
        </w:tc>
      </w:tr>
      <w:tr w:rsidR="003B17A6" w:rsidRPr="00B776D0" w14:paraId="1AF9EC8D" w14:textId="77777777">
        <w:trPr>
          <w:jc w:val="center"/>
        </w:trPr>
        <w:tc>
          <w:tcPr>
            <w:tcW w:w="3261" w:type="dxa"/>
          </w:tcPr>
          <w:p w14:paraId="53F25C6D" w14:textId="7DC3F9B1" w:rsidR="003B17A6" w:rsidRPr="00B776D0" w:rsidRDefault="00BA6ED0" w:rsidP="00B776D0">
            <w:pPr>
              <w:spacing w:line="360" w:lineRule="auto"/>
              <w:jc w:val="both"/>
              <w:rPr>
                <w:rFonts w:ascii="Book Antiqua" w:hAnsi="Book Antiqua"/>
              </w:rPr>
            </w:pPr>
            <w:r w:rsidRPr="00B776D0">
              <w:rPr>
                <w:rFonts w:ascii="Book Antiqua" w:hAnsi="Book Antiqua"/>
              </w:rPr>
              <w:t xml:space="preserve">&lt; 30 </w:t>
            </w:r>
          </w:p>
        </w:tc>
        <w:tc>
          <w:tcPr>
            <w:tcW w:w="2693" w:type="dxa"/>
          </w:tcPr>
          <w:p w14:paraId="13D0B00C" w14:textId="77777777" w:rsidR="003B17A6" w:rsidRPr="00B776D0" w:rsidRDefault="00BA6ED0" w:rsidP="00B776D0">
            <w:pPr>
              <w:spacing w:line="360" w:lineRule="auto"/>
              <w:jc w:val="both"/>
              <w:rPr>
                <w:rFonts w:ascii="Book Antiqua" w:hAnsi="Book Antiqua"/>
              </w:rPr>
            </w:pPr>
            <w:r w:rsidRPr="00B776D0">
              <w:rPr>
                <w:rFonts w:ascii="Book Antiqua" w:hAnsi="Book Antiqua"/>
              </w:rPr>
              <w:t>8</w:t>
            </w:r>
          </w:p>
        </w:tc>
        <w:tc>
          <w:tcPr>
            <w:tcW w:w="2835" w:type="dxa"/>
          </w:tcPr>
          <w:p w14:paraId="47FE65CB" w14:textId="77777777" w:rsidR="003B17A6" w:rsidRPr="00B776D0" w:rsidRDefault="00BA6ED0" w:rsidP="00B776D0">
            <w:pPr>
              <w:spacing w:line="360" w:lineRule="auto"/>
              <w:jc w:val="both"/>
              <w:rPr>
                <w:rFonts w:ascii="Book Antiqua" w:hAnsi="Book Antiqua"/>
              </w:rPr>
            </w:pPr>
            <w:r w:rsidRPr="00B776D0">
              <w:rPr>
                <w:rFonts w:ascii="Book Antiqua" w:hAnsi="Book Antiqua"/>
              </w:rPr>
              <w:t>7</w:t>
            </w:r>
          </w:p>
        </w:tc>
        <w:tc>
          <w:tcPr>
            <w:tcW w:w="1418" w:type="dxa"/>
            <w:vMerge/>
          </w:tcPr>
          <w:p w14:paraId="059407BF" w14:textId="77777777" w:rsidR="003B17A6" w:rsidRPr="00B776D0" w:rsidRDefault="003B17A6" w:rsidP="00B776D0">
            <w:pPr>
              <w:spacing w:line="360" w:lineRule="auto"/>
              <w:jc w:val="both"/>
              <w:rPr>
                <w:rFonts w:ascii="Book Antiqua" w:hAnsi="Book Antiqua"/>
              </w:rPr>
            </w:pPr>
          </w:p>
        </w:tc>
      </w:tr>
      <w:bookmarkEnd w:id="4"/>
      <w:tr w:rsidR="003B17A6" w:rsidRPr="00B776D0" w14:paraId="2ED5AC7B" w14:textId="77777777">
        <w:trPr>
          <w:jc w:val="center"/>
        </w:trPr>
        <w:tc>
          <w:tcPr>
            <w:tcW w:w="3261" w:type="dxa"/>
          </w:tcPr>
          <w:p w14:paraId="00F49F9D" w14:textId="77777777" w:rsidR="003B17A6" w:rsidRPr="00B776D0" w:rsidRDefault="00BA6ED0" w:rsidP="00B776D0">
            <w:pPr>
              <w:spacing w:line="360" w:lineRule="auto"/>
              <w:jc w:val="both"/>
              <w:rPr>
                <w:rFonts w:ascii="Book Antiqua" w:hAnsi="Book Antiqua"/>
              </w:rPr>
            </w:pPr>
            <w:r w:rsidRPr="00B776D0">
              <w:rPr>
                <w:rFonts w:ascii="Book Antiqua" w:hAnsi="Book Antiqua"/>
              </w:rPr>
              <w:t>History of hypertension</w:t>
            </w:r>
          </w:p>
        </w:tc>
        <w:tc>
          <w:tcPr>
            <w:tcW w:w="2693" w:type="dxa"/>
          </w:tcPr>
          <w:p w14:paraId="439BFAF7" w14:textId="77777777" w:rsidR="003B17A6" w:rsidRPr="00B776D0" w:rsidRDefault="003B17A6" w:rsidP="00B776D0">
            <w:pPr>
              <w:spacing w:line="360" w:lineRule="auto"/>
              <w:jc w:val="both"/>
              <w:rPr>
                <w:rFonts w:ascii="Book Antiqua" w:hAnsi="Book Antiqua"/>
              </w:rPr>
            </w:pPr>
          </w:p>
        </w:tc>
        <w:tc>
          <w:tcPr>
            <w:tcW w:w="2835" w:type="dxa"/>
          </w:tcPr>
          <w:p w14:paraId="51F7A0A9" w14:textId="77777777" w:rsidR="003B17A6" w:rsidRPr="00B776D0" w:rsidRDefault="003B17A6" w:rsidP="00B776D0">
            <w:pPr>
              <w:spacing w:line="360" w:lineRule="auto"/>
              <w:jc w:val="both"/>
              <w:rPr>
                <w:rFonts w:ascii="Book Antiqua" w:hAnsi="Book Antiqua"/>
              </w:rPr>
            </w:pPr>
          </w:p>
        </w:tc>
        <w:tc>
          <w:tcPr>
            <w:tcW w:w="1418" w:type="dxa"/>
          </w:tcPr>
          <w:p w14:paraId="23DB4AEA" w14:textId="77777777" w:rsidR="003B17A6" w:rsidRPr="00B776D0" w:rsidRDefault="003B17A6" w:rsidP="00B776D0">
            <w:pPr>
              <w:spacing w:line="360" w:lineRule="auto"/>
              <w:jc w:val="both"/>
              <w:rPr>
                <w:rFonts w:ascii="Book Antiqua" w:hAnsi="Book Antiqua"/>
              </w:rPr>
            </w:pPr>
          </w:p>
        </w:tc>
      </w:tr>
      <w:tr w:rsidR="003B17A6" w:rsidRPr="00B776D0" w14:paraId="63A70E51" w14:textId="77777777">
        <w:trPr>
          <w:jc w:val="center"/>
        </w:trPr>
        <w:tc>
          <w:tcPr>
            <w:tcW w:w="3261" w:type="dxa"/>
          </w:tcPr>
          <w:p w14:paraId="5646AA5F" w14:textId="77777777" w:rsidR="003B17A6" w:rsidRPr="00B776D0" w:rsidRDefault="00BA6ED0" w:rsidP="00B776D0">
            <w:pPr>
              <w:spacing w:line="360" w:lineRule="auto"/>
              <w:jc w:val="both"/>
              <w:rPr>
                <w:rFonts w:ascii="Book Antiqua" w:hAnsi="Book Antiqua"/>
              </w:rPr>
            </w:pPr>
            <w:bookmarkStart w:id="5" w:name="OLE_LINK5" w:colFirst="2" w:colLast="3"/>
            <w:r w:rsidRPr="00B776D0">
              <w:rPr>
                <w:rFonts w:ascii="Book Antiqua" w:hAnsi="Book Antiqua"/>
              </w:rPr>
              <w:t>Yes</w:t>
            </w:r>
          </w:p>
        </w:tc>
        <w:tc>
          <w:tcPr>
            <w:tcW w:w="2693" w:type="dxa"/>
          </w:tcPr>
          <w:p w14:paraId="7002E77C" w14:textId="77777777" w:rsidR="003B17A6" w:rsidRPr="00B776D0" w:rsidRDefault="00BA6ED0" w:rsidP="00B776D0">
            <w:pPr>
              <w:spacing w:line="360" w:lineRule="auto"/>
              <w:jc w:val="both"/>
              <w:rPr>
                <w:rFonts w:ascii="Book Antiqua" w:hAnsi="Book Antiqua"/>
              </w:rPr>
            </w:pPr>
            <w:r w:rsidRPr="00B776D0">
              <w:rPr>
                <w:rFonts w:ascii="Book Antiqua" w:hAnsi="Book Antiqua"/>
              </w:rPr>
              <w:t>8</w:t>
            </w:r>
          </w:p>
        </w:tc>
        <w:tc>
          <w:tcPr>
            <w:tcW w:w="2835" w:type="dxa"/>
          </w:tcPr>
          <w:p w14:paraId="3A776C3E" w14:textId="77777777" w:rsidR="003B17A6" w:rsidRPr="00B776D0" w:rsidRDefault="00BA6ED0" w:rsidP="00B776D0">
            <w:pPr>
              <w:spacing w:line="360" w:lineRule="auto"/>
              <w:jc w:val="both"/>
              <w:rPr>
                <w:rFonts w:ascii="Book Antiqua" w:hAnsi="Book Antiqua"/>
              </w:rPr>
            </w:pPr>
            <w:r w:rsidRPr="00B776D0">
              <w:rPr>
                <w:rFonts w:ascii="Book Antiqua" w:hAnsi="Book Antiqua"/>
              </w:rPr>
              <w:t>10</w:t>
            </w:r>
          </w:p>
        </w:tc>
        <w:tc>
          <w:tcPr>
            <w:tcW w:w="1418" w:type="dxa"/>
            <w:vMerge w:val="restart"/>
          </w:tcPr>
          <w:p w14:paraId="12806B74" w14:textId="77777777" w:rsidR="003B17A6" w:rsidRPr="00B776D0" w:rsidRDefault="00BA6ED0" w:rsidP="00B776D0">
            <w:pPr>
              <w:spacing w:line="360" w:lineRule="auto"/>
              <w:jc w:val="both"/>
              <w:rPr>
                <w:rFonts w:ascii="Book Antiqua" w:hAnsi="Book Antiqua"/>
              </w:rPr>
            </w:pPr>
            <w:r w:rsidRPr="00B776D0">
              <w:rPr>
                <w:rFonts w:ascii="Book Antiqua" w:hAnsi="Book Antiqua"/>
              </w:rPr>
              <w:t>0.790</w:t>
            </w:r>
          </w:p>
        </w:tc>
      </w:tr>
      <w:tr w:rsidR="003B17A6" w:rsidRPr="00B776D0" w14:paraId="1CF81831" w14:textId="77777777">
        <w:trPr>
          <w:jc w:val="center"/>
        </w:trPr>
        <w:tc>
          <w:tcPr>
            <w:tcW w:w="3261" w:type="dxa"/>
          </w:tcPr>
          <w:p w14:paraId="1ADD16B7" w14:textId="77777777" w:rsidR="003B17A6" w:rsidRPr="00B776D0" w:rsidRDefault="00BA6ED0" w:rsidP="00B776D0">
            <w:pPr>
              <w:spacing w:line="360" w:lineRule="auto"/>
              <w:jc w:val="both"/>
              <w:rPr>
                <w:rFonts w:ascii="Book Antiqua" w:hAnsi="Book Antiqua"/>
              </w:rPr>
            </w:pPr>
            <w:r w:rsidRPr="00B776D0">
              <w:rPr>
                <w:rFonts w:ascii="Book Antiqua" w:hAnsi="Book Antiqua"/>
              </w:rPr>
              <w:t>No</w:t>
            </w:r>
          </w:p>
        </w:tc>
        <w:tc>
          <w:tcPr>
            <w:tcW w:w="2693" w:type="dxa"/>
          </w:tcPr>
          <w:p w14:paraId="2EBD236D" w14:textId="77777777" w:rsidR="003B17A6" w:rsidRPr="00B776D0" w:rsidRDefault="00BA6ED0" w:rsidP="00B776D0">
            <w:pPr>
              <w:spacing w:line="360" w:lineRule="auto"/>
              <w:jc w:val="both"/>
              <w:rPr>
                <w:rFonts w:ascii="Book Antiqua" w:hAnsi="Book Antiqua"/>
              </w:rPr>
            </w:pPr>
            <w:r w:rsidRPr="00B776D0">
              <w:rPr>
                <w:rFonts w:ascii="Book Antiqua" w:hAnsi="Book Antiqua"/>
              </w:rPr>
              <w:t>25</w:t>
            </w:r>
          </w:p>
        </w:tc>
        <w:tc>
          <w:tcPr>
            <w:tcW w:w="2835" w:type="dxa"/>
          </w:tcPr>
          <w:p w14:paraId="2904E83D" w14:textId="77777777" w:rsidR="003B17A6" w:rsidRPr="00B776D0" w:rsidRDefault="00BA6ED0" w:rsidP="00B776D0">
            <w:pPr>
              <w:spacing w:line="360" w:lineRule="auto"/>
              <w:jc w:val="both"/>
              <w:rPr>
                <w:rFonts w:ascii="Book Antiqua" w:hAnsi="Book Antiqua"/>
              </w:rPr>
            </w:pPr>
            <w:r w:rsidRPr="00B776D0">
              <w:rPr>
                <w:rFonts w:ascii="Book Antiqua" w:hAnsi="Book Antiqua"/>
              </w:rPr>
              <w:t>27</w:t>
            </w:r>
          </w:p>
        </w:tc>
        <w:tc>
          <w:tcPr>
            <w:tcW w:w="1418" w:type="dxa"/>
            <w:vMerge/>
          </w:tcPr>
          <w:p w14:paraId="3C4E2542" w14:textId="77777777" w:rsidR="003B17A6" w:rsidRPr="00B776D0" w:rsidRDefault="003B17A6" w:rsidP="00B776D0">
            <w:pPr>
              <w:spacing w:line="360" w:lineRule="auto"/>
              <w:jc w:val="both"/>
              <w:rPr>
                <w:rFonts w:ascii="Book Antiqua" w:hAnsi="Book Antiqua"/>
              </w:rPr>
            </w:pPr>
          </w:p>
        </w:tc>
      </w:tr>
      <w:bookmarkEnd w:id="5"/>
      <w:tr w:rsidR="003B17A6" w:rsidRPr="00B776D0" w14:paraId="5A3244A3" w14:textId="77777777">
        <w:trPr>
          <w:jc w:val="center"/>
        </w:trPr>
        <w:tc>
          <w:tcPr>
            <w:tcW w:w="3261" w:type="dxa"/>
          </w:tcPr>
          <w:p w14:paraId="74C4C0A7" w14:textId="77777777" w:rsidR="003B17A6" w:rsidRPr="00B776D0" w:rsidRDefault="00BA6ED0" w:rsidP="00B776D0">
            <w:pPr>
              <w:spacing w:line="360" w:lineRule="auto"/>
              <w:jc w:val="both"/>
              <w:rPr>
                <w:rFonts w:ascii="Book Antiqua" w:hAnsi="Book Antiqua"/>
              </w:rPr>
            </w:pPr>
            <w:r w:rsidRPr="00B776D0">
              <w:rPr>
                <w:rFonts w:ascii="Book Antiqua" w:hAnsi="Book Antiqua"/>
              </w:rPr>
              <w:t>History of smoking</w:t>
            </w:r>
          </w:p>
        </w:tc>
        <w:tc>
          <w:tcPr>
            <w:tcW w:w="2693" w:type="dxa"/>
          </w:tcPr>
          <w:p w14:paraId="3B1FB0FE" w14:textId="77777777" w:rsidR="003B17A6" w:rsidRPr="00B776D0" w:rsidRDefault="003B17A6" w:rsidP="00B776D0">
            <w:pPr>
              <w:spacing w:line="360" w:lineRule="auto"/>
              <w:jc w:val="both"/>
              <w:rPr>
                <w:rFonts w:ascii="Book Antiqua" w:hAnsi="Book Antiqua"/>
              </w:rPr>
            </w:pPr>
          </w:p>
        </w:tc>
        <w:tc>
          <w:tcPr>
            <w:tcW w:w="2835" w:type="dxa"/>
          </w:tcPr>
          <w:p w14:paraId="49D5D085" w14:textId="77777777" w:rsidR="003B17A6" w:rsidRPr="00B776D0" w:rsidRDefault="003B17A6" w:rsidP="00B776D0">
            <w:pPr>
              <w:spacing w:line="360" w:lineRule="auto"/>
              <w:jc w:val="both"/>
              <w:rPr>
                <w:rFonts w:ascii="Book Antiqua" w:hAnsi="Book Antiqua"/>
              </w:rPr>
            </w:pPr>
          </w:p>
        </w:tc>
        <w:tc>
          <w:tcPr>
            <w:tcW w:w="1418" w:type="dxa"/>
          </w:tcPr>
          <w:p w14:paraId="2AAD6CC3" w14:textId="77777777" w:rsidR="003B17A6" w:rsidRPr="00B776D0" w:rsidRDefault="003B17A6" w:rsidP="00B776D0">
            <w:pPr>
              <w:spacing w:line="360" w:lineRule="auto"/>
              <w:jc w:val="both"/>
              <w:rPr>
                <w:rFonts w:ascii="Book Antiqua" w:hAnsi="Book Antiqua"/>
              </w:rPr>
            </w:pPr>
          </w:p>
        </w:tc>
      </w:tr>
      <w:tr w:rsidR="003B17A6" w:rsidRPr="00B776D0" w14:paraId="12738EA1" w14:textId="77777777">
        <w:trPr>
          <w:jc w:val="center"/>
        </w:trPr>
        <w:tc>
          <w:tcPr>
            <w:tcW w:w="3261" w:type="dxa"/>
          </w:tcPr>
          <w:p w14:paraId="55800C36" w14:textId="77777777" w:rsidR="003B17A6" w:rsidRPr="00B776D0" w:rsidRDefault="00BA6ED0" w:rsidP="00B776D0">
            <w:pPr>
              <w:spacing w:line="360" w:lineRule="auto"/>
              <w:jc w:val="both"/>
              <w:rPr>
                <w:rFonts w:ascii="Book Antiqua" w:hAnsi="Book Antiqua"/>
              </w:rPr>
            </w:pPr>
            <w:r w:rsidRPr="00B776D0">
              <w:rPr>
                <w:rFonts w:ascii="Book Antiqua" w:hAnsi="Book Antiqua"/>
              </w:rPr>
              <w:t>Yes</w:t>
            </w:r>
          </w:p>
        </w:tc>
        <w:tc>
          <w:tcPr>
            <w:tcW w:w="2693" w:type="dxa"/>
          </w:tcPr>
          <w:p w14:paraId="2C615C25" w14:textId="77777777" w:rsidR="003B17A6" w:rsidRPr="00B776D0" w:rsidRDefault="00BA6ED0" w:rsidP="00B776D0">
            <w:pPr>
              <w:spacing w:line="360" w:lineRule="auto"/>
              <w:jc w:val="both"/>
              <w:rPr>
                <w:rFonts w:ascii="Book Antiqua" w:hAnsi="Book Antiqua"/>
              </w:rPr>
            </w:pPr>
            <w:r w:rsidRPr="00B776D0">
              <w:rPr>
                <w:rFonts w:ascii="Book Antiqua" w:hAnsi="Book Antiqua"/>
              </w:rPr>
              <w:t>22</w:t>
            </w:r>
          </w:p>
        </w:tc>
        <w:tc>
          <w:tcPr>
            <w:tcW w:w="2835" w:type="dxa"/>
          </w:tcPr>
          <w:p w14:paraId="2E18B9D4" w14:textId="77777777" w:rsidR="003B17A6" w:rsidRPr="00B776D0" w:rsidRDefault="00BA6ED0" w:rsidP="00B776D0">
            <w:pPr>
              <w:spacing w:line="360" w:lineRule="auto"/>
              <w:jc w:val="both"/>
              <w:rPr>
                <w:rFonts w:ascii="Book Antiqua" w:hAnsi="Book Antiqua"/>
              </w:rPr>
            </w:pPr>
            <w:r w:rsidRPr="00B776D0">
              <w:rPr>
                <w:rFonts w:ascii="Book Antiqua" w:hAnsi="Book Antiqua"/>
              </w:rPr>
              <w:t>35</w:t>
            </w:r>
          </w:p>
        </w:tc>
        <w:tc>
          <w:tcPr>
            <w:tcW w:w="1418" w:type="dxa"/>
            <w:vMerge w:val="restart"/>
          </w:tcPr>
          <w:p w14:paraId="059DD150" w14:textId="77777777" w:rsidR="003B17A6" w:rsidRPr="00B776D0" w:rsidRDefault="00BA6ED0" w:rsidP="00B776D0">
            <w:pPr>
              <w:spacing w:line="360" w:lineRule="auto"/>
              <w:jc w:val="both"/>
              <w:rPr>
                <w:rFonts w:ascii="Book Antiqua" w:hAnsi="Book Antiqua"/>
              </w:rPr>
            </w:pPr>
            <w:r w:rsidRPr="00B776D0">
              <w:rPr>
                <w:rFonts w:ascii="Book Antiqua" w:hAnsi="Book Antiqua"/>
              </w:rPr>
              <w:t>0.447</w:t>
            </w:r>
          </w:p>
        </w:tc>
      </w:tr>
      <w:tr w:rsidR="003B17A6" w:rsidRPr="00B776D0" w14:paraId="0CF0F72A" w14:textId="77777777">
        <w:trPr>
          <w:jc w:val="center"/>
        </w:trPr>
        <w:tc>
          <w:tcPr>
            <w:tcW w:w="3261" w:type="dxa"/>
            <w:tcBorders>
              <w:bottom w:val="single" w:sz="4" w:space="0" w:color="auto"/>
            </w:tcBorders>
          </w:tcPr>
          <w:p w14:paraId="7633828A" w14:textId="77777777" w:rsidR="003B17A6" w:rsidRPr="00B776D0" w:rsidRDefault="00BA6ED0" w:rsidP="00B776D0">
            <w:pPr>
              <w:spacing w:line="360" w:lineRule="auto"/>
              <w:jc w:val="both"/>
              <w:rPr>
                <w:rFonts w:ascii="Book Antiqua" w:hAnsi="Book Antiqua"/>
              </w:rPr>
            </w:pPr>
            <w:r w:rsidRPr="00B776D0">
              <w:rPr>
                <w:rFonts w:ascii="Book Antiqua" w:hAnsi="Book Antiqua"/>
              </w:rPr>
              <w:t>No</w:t>
            </w:r>
          </w:p>
        </w:tc>
        <w:tc>
          <w:tcPr>
            <w:tcW w:w="2693" w:type="dxa"/>
            <w:tcBorders>
              <w:bottom w:val="single" w:sz="4" w:space="0" w:color="auto"/>
            </w:tcBorders>
          </w:tcPr>
          <w:p w14:paraId="3123CFFC" w14:textId="77777777" w:rsidR="003B17A6" w:rsidRPr="00B776D0" w:rsidRDefault="00BA6ED0" w:rsidP="00B776D0">
            <w:pPr>
              <w:spacing w:line="360" w:lineRule="auto"/>
              <w:jc w:val="both"/>
              <w:rPr>
                <w:rFonts w:ascii="Book Antiqua" w:hAnsi="Book Antiqua"/>
              </w:rPr>
            </w:pPr>
            <w:r w:rsidRPr="00B776D0">
              <w:rPr>
                <w:rFonts w:ascii="Book Antiqua" w:hAnsi="Book Antiqua"/>
              </w:rPr>
              <w:t>11</w:t>
            </w:r>
          </w:p>
        </w:tc>
        <w:tc>
          <w:tcPr>
            <w:tcW w:w="2835" w:type="dxa"/>
            <w:tcBorders>
              <w:bottom w:val="single" w:sz="4" w:space="0" w:color="auto"/>
            </w:tcBorders>
          </w:tcPr>
          <w:p w14:paraId="45EEC718" w14:textId="77777777" w:rsidR="003B17A6" w:rsidRPr="00B776D0" w:rsidRDefault="00BA6ED0" w:rsidP="00B776D0">
            <w:pPr>
              <w:spacing w:line="360" w:lineRule="auto"/>
              <w:jc w:val="both"/>
              <w:rPr>
                <w:rFonts w:ascii="Book Antiqua" w:hAnsi="Book Antiqua"/>
              </w:rPr>
            </w:pPr>
            <w:r w:rsidRPr="00B776D0">
              <w:rPr>
                <w:rFonts w:ascii="Book Antiqua" w:hAnsi="Book Antiqua"/>
              </w:rPr>
              <w:t>12</w:t>
            </w:r>
          </w:p>
        </w:tc>
        <w:tc>
          <w:tcPr>
            <w:tcW w:w="1418" w:type="dxa"/>
            <w:vMerge/>
            <w:tcBorders>
              <w:bottom w:val="single" w:sz="4" w:space="0" w:color="auto"/>
            </w:tcBorders>
          </w:tcPr>
          <w:p w14:paraId="7458C7AC" w14:textId="77777777" w:rsidR="003B17A6" w:rsidRPr="00B776D0" w:rsidRDefault="003B17A6" w:rsidP="00B776D0">
            <w:pPr>
              <w:spacing w:line="360" w:lineRule="auto"/>
              <w:jc w:val="both"/>
              <w:rPr>
                <w:rFonts w:ascii="Book Antiqua" w:hAnsi="Book Antiqua"/>
              </w:rPr>
            </w:pPr>
          </w:p>
        </w:tc>
      </w:tr>
    </w:tbl>
    <w:p w14:paraId="1346CC78" w14:textId="77777777" w:rsidR="003B17A6" w:rsidRDefault="00BA6ED0" w:rsidP="00B776D0">
      <w:pPr>
        <w:spacing w:line="360" w:lineRule="auto"/>
        <w:jc w:val="both"/>
        <w:rPr>
          <w:rFonts w:ascii="Book Antiqua" w:hAnsi="Book Antiqua"/>
        </w:rPr>
      </w:pPr>
      <w:r w:rsidRPr="00B776D0">
        <w:rPr>
          <w:rFonts w:ascii="Book Antiqua" w:hAnsi="Book Antiqua"/>
        </w:rPr>
        <w:t>BMI: Body mass index.</w:t>
      </w:r>
    </w:p>
    <w:p w14:paraId="1E1ED2A4" w14:textId="77777777" w:rsidR="00B776D0" w:rsidRPr="00B776D0" w:rsidRDefault="00B776D0" w:rsidP="00B776D0">
      <w:pPr>
        <w:spacing w:line="360" w:lineRule="auto"/>
        <w:jc w:val="both"/>
        <w:rPr>
          <w:rFonts w:ascii="Book Antiqua" w:hAnsi="Book Antiqua"/>
        </w:rPr>
        <w:sectPr w:rsidR="00B776D0" w:rsidRPr="00B776D0">
          <w:pgSz w:w="12240" w:h="15840"/>
          <w:pgMar w:top="1440" w:right="1440" w:bottom="1440" w:left="1440" w:header="720" w:footer="720" w:gutter="0"/>
          <w:cols w:space="720"/>
          <w:docGrid w:linePitch="360"/>
        </w:sectPr>
      </w:pPr>
    </w:p>
    <w:p w14:paraId="1F839627"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lastRenderedPageBreak/>
        <w:t>Table 2 Statistics of adverse reactions</w:t>
      </w:r>
    </w:p>
    <w:tbl>
      <w:tblPr>
        <w:tblW w:w="5323" w:type="pct"/>
        <w:tblInd w:w="-318" w:type="dxa"/>
        <w:tblLook w:val="04A0" w:firstRow="1" w:lastRow="0" w:firstColumn="1" w:lastColumn="0" w:noHBand="0" w:noVBand="1"/>
      </w:tblPr>
      <w:tblGrid>
        <w:gridCol w:w="2351"/>
        <w:gridCol w:w="1884"/>
        <w:gridCol w:w="1740"/>
        <w:gridCol w:w="1740"/>
        <w:gridCol w:w="2250"/>
      </w:tblGrid>
      <w:tr w:rsidR="003B17A6" w:rsidRPr="00B776D0" w14:paraId="5D788449" w14:textId="77777777">
        <w:tc>
          <w:tcPr>
            <w:tcW w:w="1179" w:type="pct"/>
            <w:tcBorders>
              <w:top w:val="single" w:sz="4" w:space="0" w:color="auto"/>
              <w:bottom w:val="single" w:sz="4" w:space="0" w:color="auto"/>
            </w:tcBorders>
          </w:tcPr>
          <w:p w14:paraId="16240EF7"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Group</w:t>
            </w:r>
          </w:p>
        </w:tc>
        <w:tc>
          <w:tcPr>
            <w:tcW w:w="945" w:type="pct"/>
            <w:tcBorders>
              <w:top w:val="single" w:sz="4" w:space="0" w:color="auto"/>
              <w:bottom w:val="single" w:sz="4" w:space="0" w:color="auto"/>
            </w:tcBorders>
          </w:tcPr>
          <w:p w14:paraId="005EE76F"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Nausea</w:t>
            </w:r>
          </w:p>
        </w:tc>
        <w:tc>
          <w:tcPr>
            <w:tcW w:w="873" w:type="pct"/>
            <w:tcBorders>
              <w:top w:val="single" w:sz="4" w:space="0" w:color="auto"/>
              <w:bottom w:val="single" w:sz="4" w:space="0" w:color="auto"/>
            </w:tcBorders>
          </w:tcPr>
          <w:p w14:paraId="53E14EA9"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Vomiting</w:t>
            </w:r>
          </w:p>
        </w:tc>
        <w:tc>
          <w:tcPr>
            <w:tcW w:w="873" w:type="pct"/>
            <w:tcBorders>
              <w:top w:val="single" w:sz="4" w:space="0" w:color="auto"/>
              <w:bottom w:val="single" w:sz="4" w:space="0" w:color="auto"/>
            </w:tcBorders>
          </w:tcPr>
          <w:p w14:paraId="05939239"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Diarrhea</w:t>
            </w:r>
          </w:p>
        </w:tc>
        <w:tc>
          <w:tcPr>
            <w:tcW w:w="1129" w:type="pct"/>
            <w:tcBorders>
              <w:top w:val="single" w:sz="4" w:space="0" w:color="auto"/>
              <w:bottom w:val="single" w:sz="4" w:space="0" w:color="auto"/>
            </w:tcBorders>
          </w:tcPr>
          <w:p w14:paraId="095D5AFE"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Total incidence</w:t>
            </w:r>
          </w:p>
        </w:tc>
      </w:tr>
      <w:tr w:rsidR="003B17A6" w:rsidRPr="00B776D0" w14:paraId="2208762A" w14:textId="77777777">
        <w:tc>
          <w:tcPr>
            <w:tcW w:w="1179" w:type="pct"/>
            <w:tcBorders>
              <w:top w:val="single" w:sz="4" w:space="0" w:color="auto"/>
            </w:tcBorders>
          </w:tcPr>
          <w:p w14:paraId="7377BF54" w14:textId="00FA9006" w:rsidR="003B17A6" w:rsidRPr="00B776D0" w:rsidRDefault="00BA6ED0" w:rsidP="00B776D0">
            <w:pPr>
              <w:spacing w:line="360" w:lineRule="auto"/>
              <w:jc w:val="both"/>
              <w:rPr>
                <w:rFonts w:ascii="Book Antiqua" w:hAnsi="Book Antiqua"/>
              </w:rPr>
            </w:pPr>
            <w:r w:rsidRPr="00B776D0">
              <w:rPr>
                <w:rFonts w:ascii="Book Antiqua" w:hAnsi="Book Antiqua"/>
              </w:rPr>
              <w:t>Group A</w:t>
            </w:r>
            <w:r w:rsidR="009824A0">
              <w:rPr>
                <w:rFonts w:ascii="Book Antiqua" w:hAnsi="Book Antiqua"/>
              </w:rPr>
              <w:t>,</w:t>
            </w:r>
            <w:r w:rsidRPr="00B776D0">
              <w:rPr>
                <w:rFonts w:ascii="Book Antiqua" w:hAnsi="Book Antiqua"/>
              </w:rPr>
              <w:t xml:space="preserve"> </w:t>
            </w:r>
            <w:r w:rsidRPr="00B776D0">
              <w:rPr>
                <w:rFonts w:ascii="Book Antiqua" w:hAnsi="Book Antiqua"/>
                <w:i/>
                <w:iCs/>
              </w:rPr>
              <w:t>n</w:t>
            </w:r>
            <w:r w:rsidRPr="00B776D0">
              <w:rPr>
                <w:rFonts w:ascii="Book Antiqua" w:hAnsi="Book Antiqua"/>
              </w:rPr>
              <w:t xml:space="preserve"> = 33</w:t>
            </w:r>
          </w:p>
        </w:tc>
        <w:tc>
          <w:tcPr>
            <w:tcW w:w="945" w:type="pct"/>
            <w:tcBorders>
              <w:top w:val="single" w:sz="4" w:space="0" w:color="auto"/>
            </w:tcBorders>
          </w:tcPr>
          <w:p w14:paraId="53F3FF69" w14:textId="77777777" w:rsidR="003B17A6" w:rsidRPr="00B776D0" w:rsidRDefault="00BA6ED0" w:rsidP="00B776D0">
            <w:pPr>
              <w:spacing w:line="360" w:lineRule="auto"/>
              <w:jc w:val="both"/>
              <w:rPr>
                <w:rFonts w:ascii="Book Antiqua" w:hAnsi="Book Antiqua"/>
              </w:rPr>
            </w:pPr>
            <w:r w:rsidRPr="00B776D0">
              <w:rPr>
                <w:rFonts w:ascii="Book Antiqua" w:hAnsi="Book Antiqua"/>
              </w:rPr>
              <w:t>1 (3.03%)</w:t>
            </w:r>
          </w:p>
        </w:tc>
        <w:tc>
          <w:tcPr>
            <w:tcW w:w="873" w:type="pct"/>
            <w:tcBorders>
              <w:top w:val="single" w:sz="4" w:space="0" w:color="auto"/>
            </w:tcBorders>
          </w:tcPr>
          <w:p w14:paraId="529A4FC3" w14:textId="77777777" w:rsidR="003B17A6" w:rsidRPr="00B776D0" w:rsidRDefault="00BA6ED0" w:rsidP="00B776D0">
            <w:pPr>
              <w:spacing w:line="360" w:lineRule="auto"/>
              <w:jc w:val="both"/>
              <w:rPr>
                <w:rFonts w:ascii="Book Antiqua" w:hAnsi="Book Antiqua"/>
              </w:rPr>
            </w:pPr>
            <w:r w:rsidRPr="00B776D0">
              <w:rPr>
                <w:rFonts w:ascii="Book Antiqua" w:hAnsi="Book Antiqua"/>
              </w:rPr>
              <w:t>1 (3.03%)</w:t>
            </w:r>
          </w:p>
        </w:tc>
        <w:tc>
          <w:tcPr>
            <w:tcW w:w="873" w:type="pct"/>
            <w:tcBorders>
              <w:top w:val="single" w:sz="4" w:space="0" w:color="auto"/>
            </w:tcBorders>
          </w:tcPr>
          <w:p w14:paraId="04F2C5E8" w14:textId="77777777" w:rsidR="003B17A6" w:rsidRPr="00B776D0" w:rsidRDefault="00BA6ED0" w:rsidP="00B776D0">
            <w:pPr>
              <w:spacing w:line="360" w:lineRule="auto"/>
              <w:jc w:val="both"/>
              <w:rPr>
                <w:rFonts w:ascii="Book Antiqua" w:hAnsi="Book Antiqua"/>
              </w:rPr>
            </w:pPr>
            <w:r w:rsidRPr="00B776D0">
              <w:rPr>
                <w:rFonts w:ascii="Book Antiqua" w:hAnsi="Book Antiqua"/>
              </w:rPr>
              <w:t>0 (0.00%)</w:t>
            </w:r>
          </w:p>
        </w:tc>
        <w:tc>
          <w:tcPr>
            <w:tcW w:w="1129" w:type="pct"/>
            <w:tcBorders>
              <w:top w:val="single" w:sz="4" w:space="0" w:color="auto"/>
            </w:tcBorders>
          </w:tcPr>
          <w:p w14:paraId="709F157E" w14:textId="77777777" w:rsidR="003B17A6" w:rsidRPr="00B776D0" w:rsidRDefault="00BA6ED0" w:rsidP="00B776D0">
            <w:pPr>
              <w:spacing w:line="360" w:lineRule="auto"/>
              <w:jc w:val="both"/>
              <w:rPr>
                <w:rFonts w:ascii="Book Antiqua" w:hAnsi="Book Antiqua"/>
              </w:rPr>
            </w:pPr>
            <w:r w:rsidRPr="00B776D0">
              <w:rPr>
                <w:rFonts w:ascii="Book Antiqua" w:hAnsi="Book Antiqua"/>
              </w:rPr>
              <w:t>2 (6.06)</w:t>
            </w:r>
          </w:p>
        </w:tc>
      </w:tr>
      <w:tr w:rsidR="003B17A6" w:rsidRPr="00B776D0" w14:paraId="7618983F" w14:textId="77777777">
        <w:tc>
          <w:tcPr>
            <w:tcW w:w="1179" w:type="pct"/>
          </w:tcPr>
          <w:p w14:paraId="39A9F89C" w14:textId="273BE829" w:rsidR="003B17A6" w:rsidRPr="00B776D0" w:rsidRDefault="00BA6ED0" w:rsidP="00B776D0">
            <w:pPr>
              <w:spacing w:line="360" w:lineRule="auto"/>
              <w:jc w:val="both"/>
              <w:rPr>
                <w:rFonts w:ascii="Book Antiqua" w:hAnsi="Book Antiqua"/>
              </w:rPr>
            </w:pPr>
            <w:r w:rsidRPr="00B776D0">
              <w:rPr>
                <w:rFonts w:ascii="Book Antiqua" w:hAnsi="Book Antiqua"/>
              </w:rPr>
              <w:t>Group B</w:t>
            </w:r>
            <w:r w:rsidR="009824A0">
              <w:rPr>
                <w:rFonts w:ascii="Book Antiqua" w:hAnsi="Book Antiqua"/>
              </w:rPr>
              <w:t>,</w:t>
            </w:r>
            <w:r w:rsidRPr="00B776D0">
              <w:rPr>
                <w:rFonts w:ascii="Book Antiqua" w:hAnsi="Book Antiqua"/>
              </w:rPr>
              <w:t xml:space="preserve"> </w:t>
            </w:r>
            <w:r w:rsidRPr="00B776D0">
              <w:rPr>
                <w:rFonts w:ascii="Book Antiqua" w:hAnsi="Book Antiqua"/>
                <w:i/>
                <w:iCs/>
              </w:rPr>
              <w:t>n</w:t>
            </w:r>
            <w:r w:rsidRPr="00B776D0">
              <w:rPr>
                <w:rFonts w:ascii="Book Antiqua" w:hAnsi="Book Antiqua"/>
              </w:rPr>
              <w:t xml:space="preserve"> = 37</w:t>
            </w:r>
          </w:p>
        </w:tc>
        <w:tc>
          <w:tcPr>
            <w:tcW w:w="945" w:type="pct"/>
          </w:tcPr>
          <w:p w14:paraId="48B339DC" w14:textId="77777777" w:rsidR="003B17A6" w:rsidRPr="00B776D0" w:rsidRDefault="00BA6ED0" w:rsidP="00B776D0">
            <w:pPr>
              <w:spacing w:line="360" w:lineRule="auto"/>
              <w:jc w:val="both"/>
              <w:rPr>
                <w:rFonts w:ascii="Book Antiqua" w:hAnsi="Book Antiqua"/>
              </w:rPr>
            </w:pPr>
            <w:r w:rsidRPr="00B776D0">
              <w:rPr>
                <w:rFonts w:ascii="Book Antiqua" w:hAnsi="Book Antiqua"/>
              </w:rPr>
              <w:t>4 (10.80%)</w:t>
            </w:r>
          </w:p>
        </w:tc>
        <w:tc>
          <w:tcPr>
            <w:tcW w:w="873" w:type="pct"/>
          </w:tcPr>
          <w:p w14:paraId="1EBF87D0" w14:textId="77777777" w:rsidR="003B17A6" w:rsidRPr="00B776D0" w:rsidRDefault="00BA6ED0" w:rsidP="00B776D0">
            <w:pPr>
              <w:spacing w:line="360" w:lineRule="auto"/>
              <w:jc w:val="both"/>
              <w:rPr>
                <w:rFonts w:ascii="Book Antiqua" w:hAnsi="Book Antiqua"/>
              </w:rPr>
            </w:pPr>
            <w:r w:rsidRPr="00B776D0">
              <w:rPr>
                <w:rFonts w:ascii="Book Antiqua" w:hAnsi="Book Antiqua"/>
              </w:rPr>
              <w:t>3 (8.10%)</w:t>
            </w:r>
          </w:p>
        </w:tc>
        <w:tc>
          <w:tcPr>
            <w:tcW w:w="873" w:type="pct"/>
          </w:tcPr>
          <w:p w14:paraId="34C9F6B4" w14:textId="77777777" w:rsidR="003B17A6" w:rsidRPr="00B776D0" w:rsidRDefault="00BA6ED0" w:rsidP="00B776D0">
            <w:pPr>
              <w:spacing w:line="360" w:lineRule="auto"/>
              <w:jc w:val="both"/>
              <w:rPr>
                <w:rFonts w:ascii="Book Antiqua" w:hAnsi="Book Antiqua"/>
              </w:rPr>
            </w:pPr>
            <w:r w:rsidRPr="00B776D0">
              <w:rPr>
                <w:rFonts w:ascii="Book Antiqua" w:hAnsi="Book Antiqua"/>
              </w:rPr>
              <w:t>2 (5.40)</w:t>
            </w:r>
          </w:p>
        </w:tc>
        <w:tc>
          <w:tcPr>
            <w:tcW w:w="1129" w:type="pct"/>
          </w:tcPr>
          <w:p w14:paraId="430A1D73" w14:textId="77777777" w:rsidR="003B17A6" w:rsidRPr="00B776D0" w:rsidRDefault="00BA6ED0" w:rsidP="00B776D0">
            <w:pPr>
              <w:spacing w:line="360" w:lineRule="auto"/>
              <w:jc w:val="both"/>
              <w:rPr>
                <w:rFonts w:ascii="Book Antiqua" w:hAnsi="Book Antiqua"/>
              </w:rPr>
            </w:pPr>
            <w:r w:rsidRPr="00B776D0">
              <w:rPr>
                <w:rFonts w:ascii="Book Antiqua" w:hAnsi="Book Antiqua"/>
              </w:rPr>
              <w:t>9 (24.30)</w:t>
            </w:r>
          </w:p>
        </w:tc>
      </w:tr>
      <w:tr w:rsidR="003B17A6" w:rsidRPr="00B776D0" w14:paraId="2DF0CFCA" w14:textId="77777777">
        <w:tc>
          <w:tcPr>
            <w:tcW w:w="1179" w:type="pct"/>
          </w:tcPr>
          <w:p w14:paraId="28959011" w14:textId="77777777" w:rsidR="003B17A6" w:rsidRPr="00B776D0" w:rsidRDefault="00BA6ED0" w:rsidP="00B776D0">
            <w:pPr>
              <w:spacing w:line="360" w:lineRule="auto"/>
              <w:jc w:val="both"/>
              <w:rPr>
                <w:rFonts w:ascii="Book Antiqua" w:hAnsi="Book Antiqua"/>
              </w:rPr>
            </w:pPr>
            <w:r w:rsidRPr="00B776D0">
              <w:rPr>
                <w:rFonts w:ascii="Book Antiqua" w:hAnsi="Book Antiqua"/>
                <w:i/>
                <w:iCs/>
              </w:rPr>
              <w:t>χ</w:t>
            </w:r>
            <w:r w:rsidRPr="00B776D0">
              <w:rPr>
                <w:rFonts w:ascii="Book Antiqua" w:hAnsi="Book Antiqua"/>
                <w:i/>
                <w:iCs/>
                <w:vertAlign w:val="superscript"/>
              </w:rPr>
              <w:t>2</w:t>
            </w:r>
            <w:r w:rsidRPr="00B776D0">
              <w:rPr>
                <w:rFonts w:ascii="Book Antiqua" w:hAnsi="Book Antiqua"/>
              </w:rPr>
              <w:t xml:space="preserve"> value</w:t>
            </w:r>
          </w:p>
        </w:tc>
        <w:tc>
          <w:tcPr>
            <w:tcW w:w="945" w:type="pct"/>
          </w:tcPr>
          <w:p w14:paraId="0CC4944D" w14:textId="77777777" w:rsidR="003B17A6" w:rsidRPr="00B776D0" w:rsidRDefault="003B17A6" w:rsidP="00B776D0">
            <w:pPr>
              <w:spacing w:line="360" w:lineRule="auto"/>
              <w:jc w:val="both"/>
              <w:rPr>
                <w:rFonts w:ascii="Book Antiqua" w:hAnsi="Book Antiqua"/>
              </w:rPr>
            </w:pPr>
          </w:p>
        </w:tc>
        <w:tc>
          <w:tcPr>
            <w:tcW w:w="873" w:type="pct"/>
          </w:tcPr>
          <w:p w14:paraId="6C7A0352" w14:textId="77777777" w:rsidR="003B17A6" w:rsidRPr="00B776D0" w:rsidRDefault="003B17A6" w:rsidP="00B776D0">
            <w:pPr>
              <w:spacing w:line="360" w:lineRule="auto"/>
              <w:jc w:val="both"/>
              <w:rPr>
                <w:rFonts w:ascii="Book Antiqua" w:hAnsi="Book Antiqua"/>
              </w:rPr>
            </w:pPr>
          </w:p>
        </w:tc>
        <w:tc>
          <w:tcPr>
            <w:tcW w:w="873" w:type="pct"/>
          </w:tcPr>
          <w:p w14:paraId="1FDE4738" w14:textId="77777777" w:rsidR="003B17A6" w:rsidRPr="00B776D0" w:rsidRDefault="003B17A6" w:rsidP="00B776D0">
            <w:pPr>
              <w:spacing w:line="360" w:lineRule="auto"/>
              <w:jc w:val="both"/>
              <w:rPr>
                <w:rFonts w:ascii="Book Antiqua" w:hAnsi="Book Antiqua"/>
              </w:rPr>
            </w:pPr>
          </w:p>
        </w:tc>
        <w:tc>
          <w:tcPr>
            <w:tcW w:w="1129" w:type="pct"/>
          </w:tcPr>
          <w:p w14:paraId="2D5EEE83" w14:textId="77777777" w:rsidR="003B17A6" w:rsidRPr="00B776D0" w:rsidRDefault="00BA6ED0" w:rsidP="00B776D0">
            <w:pPr>
              <w:spacing w:line="360" w:lineRule="auto"/>
              <w:jc w:val="both"/>
              <w:rPr>
                <w:rFonts w:ascii="Book Antiqua" w:hAnsi="Book Antiqua"/>
              </w:rPr>
            </w:pPr>
            <w:r w:rsidRPr="00B776D0">
              <w:rPr>
                <w:rFonts w:ascii="Book Antiqua" w:hAnsi="Book Antiqua"/>
              </w:rPr>
              <w:t>4.393</w:t>
            </w:r>
          </w:p>
        </w:tc>
      </w:tr>
      <w:tr w:rsidR="003B17A6" w:rsidRPr="00B776D0" w14:paraId="2344F6A3" w14:textId="77777777">
        <w:tc>
          <w:tcPr>
            <w:tcW w:w="1179" w:type="pct"/>
            <w:tcBorders>
              <w:bottom w:val="single" w:sz="4" w:space="0" w:color="auto"/>
            </w:tcBorders>
          </w:tcPr>
          <w:p w14:paraId="0A6034B4" w14:textId="77777777" w:rsidR="003B17A6" w:rsidRPr="00B776D0" w:rsidRDefault="00BA6ED0" w:rsidP="00B776D0">
            <w:pPr>
              <w:spacing w:line="360" w:lineRule="auto"/>
              <w:jc w:val="both"/>
              <w:rPr>
                <w:rFonts w:ascii="Book Antiqua" w:hAnsi="Book Antiqua"/>
              </w:rPr>
            </w:pPr>
            <w:r w:rsidRPr="00B776D0">
              <w:rPr>
                <w:rFonts w:ascii="Book Antiqua" w:hAnsi="Book Antiqua"/>
                <w:i/>
                <w:iCs/>
              </w:rPr>
              <w:t>P</w:t>
            </w:r>
            <w:r w:rsidRPr="00B776D0">
              <w:rPr>
                <w:rFonts w:ascii="Book Antiqua" w:hAnsi="Book Antiqua"/>
              </w:rPr>
              <w:t xml:space="preserve"> value</w:t>
            </w:r>
          </w:p>
        </w:tc>
        <w:tc>
          <w:tcPr>
            <w:tcW w:w="945" w:type="pct"/>
            <w:tcBorders>
              <w:bottom w:val="single" w:sz="4" w:space="0" w:color="auto"/>
            </w:tcBorders>
          </w:tcPr>
          <w:p w14:paraId="27D29956" w14:textId="77777777" w:rsidR="003B17A6" w:rsidRPr="00B776D0" w:rsidRDefault="003B17A6" w:rsidP="00B776D0">
            <w:pPr>
              <w:spacing w:line="360" w:lineRule="auto"/>
              <w:jc w:val="both"/>
              <w:rPr>
                <w:rFonts w:ascii="Book Antiqua" w:hAnsi="Book Antiqua"/>
              </w:rPr>
            </w:pPr>
          </w:p>
        </w:tc>
        <w:tc>
          <w:tcPr>
            <w:tcW w:w="873" w:type="pct"/>
            <w:tcBorders>
              <w:bottom w:val="single" w:sz="4" w:space="0" w:color="auto"/>
            </w:tcBorders>
          </w:tcPr>
          <w:p w14:paraId="555137B5" w14:textId="77777777" w:rsidR="003B17A6" w:rsidRPr="00B776D0" w:rsidRDefault="003B17A6" w:rsidP="00B776D0">
            <w:pPr>
              <w:spacing w:line="360" w:lineRule="auto"/>
              <w:jc w:val="both"/>
              <w:rPr>
                <w:rFonts w:ascii="Book Antiqua" w:hAnsi="Book Antiqua"/>
              </w:rPr>
            </w:pPr>
          </w:p>
        </w:tc>
        <w:tc>
          <w:tcPr>
            <w:tcW w:w="873" w:type="pct"/>
            <w:tcBorders>
              <w:bottom w:val="single" w:sz="4" w:space="0" w:color="auto"/>
            </w:tcBorders>
          </w:tcPr>
          <w:p w14:paraId="27D2EED3" w14:textId="77777777" w:rsidR="003B17A6" w:rsidRPr="00B776D0" w:rsidRDefault="003B17A6" w:rsidP="00B776D0">
            <w:pPr>
              <w:spacing w:line="360" w:lineRule="auto"/>
              <w:jc w:val="both"/>
              <w:rPr>
                <w:rFonts w:ascii="Book Antiqua" w:hAnsi="Book Antiqua"/>
              </w:rPr>
            </w:pPr>
          </w:p>
        </w:tc>
        <w:tc>
          <w:tcPr>
            <w:tcW w:w="1129" w:type="pct"/>
            <w:tcBorders>
              <w:bottom w:val="single" w:sz="4" w:space="0" w:color="auto"/>
            </w:tcBorders>
          </w:tcPr>
          <w:p w14:paraId="6220E6D9" w14:textId="77777777" w:rsidR="003B17A6" w:rsidRPr="00B776D0" w:rsidRDefault="00BA6ED0" w:rsidP="00B776D0">
            <w:pPr>
              <w:spacing w:line="360" w:lineRule="auto"/>
              <w:jc w:val="both"/>
              <w:rPr>
                <w:rFonts w:ascii="Book Antiqua" w:hAnsi="Book Antiqua"/>
              </w:rPr>
            </w:pPr>
            <w:r w:rsidRPr="00B776D0">
              <w:rPr>
                <w:rFonts w:ascii="Book Antiqua" w:hAnsi="Book Antiqua"/>
              </w:rPr>
              <w:t>0.036</w:t>
            </w:r>
          </w:p>
        </w:tc>
      </w:tr>
    </w:tbl>
    <w:p w14:paraId="27B6A2F5" w14:textId="77777777" w:rsidR="003B17A6" w:rsidRPr="00B776D0" w:rsidRDefault="003B17A6" w:rsidP="00B776D0">
      <w:pPr>
        <w:spacing w:line="360" w:lineRule="auto"/>
        <w:jc w:val="both"/>
        <w:rPr>
          <w:rFonts w:ascii="Book Antiqua" w:hAnsi="Book Antiqua"/>
        </w:rPr>
      </w:pPr>
    </w:p>
    <w:p w14:paraId="24965F62" w14:textId="77777777" w:rsidR="003B17A6" w:rsidRPr="00B776D0" w:rsidRDefault="003B17A6" w:rsidP="00B776D0">
      <w:pPr>
        <w:spacing w:line="360" w:lineRule="auto"/>
        <w:jc w:val="both"/>
        <w:rPr>
          <w:rFonts w:ascii="Book Antiqua" w:hAnsi="Book Antiqua"/>
        </w:rPr>
        <w:sectPr w:rsidR="003B17A6" w:rsidRPr="00B776D0">
          <w:pgSz w:w="12240" w:h="15840"/>
          <w:pgMar w:top="1440" w:right="1440" w:bottom="1440" w:left="1440" w:header="720" w:footer="720" w:gutter="0"/>
          <w:cols w:space="720"/>
          <w:docGrid w:linePitch="360"/>
        </w:sectPr>
      </w:pPr>
    </w:p>
    <w:p w14:paraId="37D5E5EE"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lastRenderedPageBreak/>
        <w:t>Table 3 Change in body mass index</w:t>
      </w:r>
    </w:p>
    <w:tbl>
      <w:tblPr>
        <w:tblW w:w="5739" w:type="pct"/>
        <w:tblInd w:w="-743" w:type="dxa"/>
        <w:tblLook w:val="04A0" w:firstRow="1" w:lastRow="0" w:firstColumn="1" w:lastColumn="0" w:noHBand="0" w:noVBand="1"/>
      </w:tblPr>
      <w:tblGrid>
        <w:gridCol w:w="2224"/>
        <w:gridCol w:w="2602"/>
        <w:gridCol w:w="3113"/>
        <w:gridCol w:w="1246"/>
        <w:gridCol w:w="1558"/>
      </w:tblGrid>
      <w:tr w:rsidR="003B17A6" w:rsidRPr="00B776D0" w14:paraId="08241FB6" w14:textId="77777777">
        <w:tc>
          <w:tcPr>
            <w:tcW w:w="1035" w:type="pct"/>
            <w:vMerge w:val="restart"/>
            <w:tcBorders>
              <w:top w:val="single" w:sz="4" w:space="0" w:color="auto"/>
              <w:bottom w:val="single" w:sz="4" w:space="0" w:color="auto"/>
            </w:tcBorders>
          </w:tcPr>
          <w:p w14:paraId="23E29F33"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Group</w:t>
            </w:r>
          </w:p>
        </w:tc>
        <w:tc>
          <w:tcPr>
            <w:tcW w:w="2660" w:type="pct"/>
            <w:gridSpan w:val="2"/>
            <w:tcBorders>
              <w:top w:val="single" w:sz="4" w:space="0" w:color="auto"/>
              <w:bottom w:val="single" w:sz="4" w:space="0" w:color="auto"/>
            </w:tcBorders>
          </w:tcPr>
          <w:p w14:paraId="480222CC" w14:textId="5FAC0338" w:rsidR="003B17A6" w:rsidRPr="00B776D0" w:rsidRDefault="00BA6ED0" w:rsidP="00B776D0">
            <w:pPr>
              <w:spacing w:line="360" w:lineRule="auto"/>
              <w:jc w:val="both"/>
              <w:rPr>
                <w:rFonts w:ascii="Book Antiqua" w:hAnsi="Book Antiqua"/>
                <w:b/>
                <w:bCs/>
              </w:rPr>
            </w:pPr>
            <w:r w:rsidRPr="00B776D0">
              <w:rPr>
                <w:rFonts w:ascii="Book Antiqua" w:hAnsi="Book Antiqua"/>
                <w:b/>
                <w:bCs/>
              </w:rPr>
              <w:t xml:space="preserve">BMI </w:t>
            </w:r>
            <w:r w:rsidR="009824A0">
              <w:rPr>
                <w:rFonts w:ascii="Book Antiqua" w:hAnsi="Book Antiqua"/>
                <w:b/>
                <w:bCs/>
              </w:rPr>
              <w:t xml:space="preserve">in </w:t>
            </w:r>
            <w:r w:rsidRPr="00B776D0">
              <w:rPr>
                <w:rFonts w:ascii="Book Antiqua" w:hAnsi="Book Antiqua"/>
                <w:b/>
                <w:bCs/>
              </w:rPr>
              <w:t>kg/m</w:t>
            </w:r>
            <w:r w:rsidRPr="00B776D0">
              <w:rPr>
                <w:rFonts w:ascii="Book Antiqua" w:hAnsi="Book Antiqua"/>
                <w:b/>
                <w:bCs/>
                <w:vertAlign w:val="superscript"/>
              </w:rPr>
              <w:t>2</w:t>
            </w:r>
          </w:p>
        </w:tc>
        <w:tc>
          <w:tcPr>
            <w:tcW w:w="580" w:type="pct"/>
            <w:vMerge w:val="restart"/>
            <w:tcBorders>
              <w:top w:val="single" w:sz="4" w:space="0" w:color="auto"/>
              <w:bottom w:val="single" w:sz="4" w:space="0" w:color="auto"/>
            </w:tcBorders>
          </w:tcPr>
          <w:p w14:paraId="14FDB997"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i/>
                <w:iCs/>
              </w:rPr>
              <w:t>t</w:t>
            </w:r>
            <w:r w:rsidRPr="00B776D0">
              <w:rPr>
                <w:rFonts w:ascii="Book Antiqua" w:hAnsi="Book Antiqua"/>
                <w:b/>
                <w:bCs/>
              </w:rPr>
              <w:t xml:space="preserve"> value</w:t>
            </w:r>
          </w:p>
        </w:tc>
        <w:tc>
          <w:tcPr>
            <w:tcW w:w="725" w:type="pct"/>
            <w:vMerge w:val="restart"/>
            <w:tcBorders>
              <w:top w:val="single" w:sz="4" w:space="0" w:color="auto"/>
              <w:bottom w:val="single" w:sz="4" w:space="0" w:color="auto"/>
            </w:tcBorders>
          </w:tcPr>
          <w:p w14:paraId="64C58249"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i/>
                <w:iCs/>
              </w:rPr>
              <w:t>P</w:t>
            </w:r>
            <w:r w:rsidRPr="00B776D0">
              <w:rPr>
                <w:rFonts w:ascii="Book Antiqua" w:hAnsi="Book Antiqua"/>
                <w:b/>
                <w:bCs/>
              </w:rPr>
              <w:t xml:space="preserve"> value</w:t>
            </w:r>
          </w:p>
        </w:tc>
      </w:tr>
      <w:tr w:rsidR="003B17A6" w:rsidRPr="00B776D0" w14:paraId="51DCCE03" w14:textId="77777777">
        <w:tc>
          <w:tcPr>
            <w:tcW w:w="1035" w:type="pct"/>
            <w:vMerge/>
            <w:tcBorders>
              <w:top w:val="single" w:sz="4" w:space="0" w:color="auto"/>
              <w:bottom w:val="single" w:sz="4" w:space="0" w:color="auto"/>
            </w:tcBorders>
          </w:tcPr>
          <w:p w14:paraId="6CE13FE3" w14:textId="77777777" w:rsidR="003B17A6" w:rsidRPr="00B776D0" w:rsidRDefault="003B17A6" w:rsidP="00B776D0">
            <w:pPr>
              <w:spacing w:line="360" w:lineRule="auto"/>
              <w:jc w:val="both"/>
              <w:rPr>
                <w:rFonts w:ascii="Book Antiqua" w:hAnsi="Book Antiqua"/>
                <w:b/>
                <w:bCs/>
              </w:rPr>
            </w:pPr>
          </w:p>
        </w:tc>
        <w:tc>
          <w:tcPr>
            <w:tcW w:w="1211" w:type="pct"/>
            <w:tcBorders>
              <w:top w:val="single" w:sz="4" w:space="0" w:color="auto"/>
              <w:bottom w:val="single" w:sz="4" w:space="0" w:color="auto"/>
            </w:tcBorders>
          </w:tcPr>
          <w:p w14:paraId="185CDF34"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Before treatment</w:t>
            </w:r>
          </w:p>
        </w:tc>
        <w:tc>
          <w:tcPr>
            <w:tcW w:w="1449" w:type="pct"/>
            <w:tcBorders>
              <w:top w:val="single" w:sz="4" w:space="0" w:color="auto"/>
              <w:bottom w:val="single" w:sz="4" w:space="0" w:color="auto"/>
            </w:tcBorders>
          </w:tcPr>
          <w:p w14:paraId="3DEB8B8F" w14:textId="77777777" w:rsidR="003B17A6" w:rsidRPr="00B776D0" w:rsidRDefault="00BA6ED0" w:rsidP="00B776D0">
            <w:pPr>
              <w:spacing w:line="360" w:lineRule="auto"/>
              <w:jc w:val="both"/>
              <w:rPr>
                <w:rFonts w:ascii="Book Antiqua" w:hAnsi="Book Antiqua"/>
                <w:b/>
                <w:bCs/>
              </w:rPr>
            </w:pPr>
            <w:r w:rsidRPr="00B776D0">
              <w:rPr>
                <w:rFonts w:ascii="Book Antiqua" w:hAnsi="Book Antiqua"/>
                <w:b/>
                <w:bCs/>
              </w:rPr>
              <w:t>After treatment</w:t>
            </w:r>
          </w:p>
        </w:tc>
        <w:tc>
          <w:tcPr>
            <w:tcW w:w="580" w:type="pct"/>
            <w:vMerge/>
            <w:tcBorders>
              <w:bottom w:val="single" w:sz="4" w:space="0" w:color="auto"/>
            </w:tcBorders>
          </w:tcPr>
          <w:p w14:paraId="1055B33C" w14:textId="77777777" w:rsidR="003B17A6" w:rsidRPr="00B776D0" w:rsidRDefault="003B17A6" w:rsidP="00B776D0">
            <w:pPr>
              <w:spacing w:line="360" w:lineRule="auto"/>
              <w:jc w:val="both"/>
              <w:rPr>
                <w:rFonts w:ascii="Book Antiqua" w:hAnsi="Book Antiqua"/>
              </w:rPr>
            </w:pPr>
          </w:p>
        </w:tc>
        <w:tc>
          <w:tcPr>
            <w:tcW w:w="725" w:type="pct"/>
            <w:vMerge/>
            <w:tcBorders>
              <w:bottom w:val="single" w:sz="4" w:space="0" w:color="auto"/>
            </w:tcBorders>
          </w:tcPr>
          <w:p w14:paraId="42C9C6CF" w14:textId="77777777" w:rsidR="003B17A6" w:rsidRPr="00B776D0" w:rsidRDefault="003B17A6" w:rsidP="00B776D0">
            <w:pPr>
              <w:spacing w:line="360" w:lineRule="auto"/>
              <w:jc w:val="both"/>
              <w:rPr>
                <w:rFonts w:ascii="Book Antiqua" w:hAnsi="Book Antiqua"/>
              </w:rPr>
            </w:pPr>
          </w:p>
        </w:tc>
      </w:tr>
      <w:tr w:rsidR="003B17A6" w:rsidRPr="00B776D0" w14:paraId="4F3AF03B" w14:textId="77777777">
        <w:tc>
          <w:tcPr>
            <w:tcW w:w="1035" w:type="pct"/>
            <w:tcBorders>
              <w:top w:val="single" w:sz="4" w:space="0" w:color="auto"/>
            </w:tcBorders>
          </w:tcPr>
          <w:p w14:paraId="1ED828A0" w14:textId="72CBD7AA" w:rsidR="003B17A6" w:rsidRPr="00B776D0" w:rsidRDefault="00BA6ED0" w:rsidP="00B776D0">
            <w:pPr>
              <w:spacing w:line="360" w:lineRule="auto"/>
              <w:jc w:val="both"/>
              <w:rPr>
                <w:rFonts w:ascii="Book Antiqua" w:hAnsi="Book Antiqua"/>
              </w:rPr>
            </w:pPr>
            <w:r w:rsidRPr="00B776D0">
              <w:rPr>
                <w:rFonts w:ascii="Book Antiqua" w:hAnsi="Book Antiqua"/>
              </w:rPr>
              <w:t>Group A</w:t>
            </w:r>
            <w:r w:rsidR="009824A0">
              <w:rPr>
                <w:rFonts w:ascii="Book Antiqua" w:hAnsi="Book Antiqua"/>
              </w:rPr>
              <w:t>,</w:t>
            </w:r>
            <w:r w:rsidRPr="00B776D0">
              <w:rPr>
                <w:rFonts w:ascii="Book Antiqua" w:hAnsi="Book Antiqua"/>
              </w:rPr>
              <w:t xml:space="preserve"> </w:t>
            </w:r>
            <w:r w:rsidRPr="00B776D0">
              <w:rPr>
                <w:rFonts w:ascii="Book Antiqua" w:hAnsi="Book Antiqua"/>
                <w:i/>
                <w:iCs/>
              </w:rPr>
              <w:t>n</w:t>
            </w:r>
            <w:r w:rsidRPr="00B776D0">
              <w:rPr>
                <w:rFonts w:ascii="Book Antiqua" w:hAnsi="Book Antiqua"/>
              </w:rPr>
              <w:t xml:space="preserve"> = 33</w:t>
            </w:r>
          </w:p>
        </w:tc>
        <w:tc>
          <w:tcPr>
            <w:tcW w:w="1211" w:type="pct"/>
            <w:tcBorders>
              <w:top w:val="single" w:sz="4" w:space="0" w:color="auto"/>
            </w:tcBorders>
          </w:tcPr>
          <w:p w14:paraId="659B4C4D" w14:textId="77777777" w:rsidR="003B17A6" w:rsidRPr="00B776D0" w:rsidRDefault="00BA6ED0" w:rsidP="00B776D0">
            <w:pPr>
              <w:spacing w:line="360" w:lineRule="auto"/>
              <w:jc w:val="both"/>
              <w:rPr>
                <w:rFonts w:ascii="Book Antiqua" w:hAnsi="Book Antiqua"/>
              </w:rPr>
            </w:pPr>
            <w:r w:rsidRPr="00B776D0">
              <w:rPr>
                <w:rFonts w:ascii="Book Antiqua" w:hAnsi="Book Antiqua"/>
              </w:rPr>
              <w:t>33.29 ± 4.05</w:t>
            </w:r>
          </w:p>
        </w:tc>
        <w:tc>
          <w:tcPr>
            <w:tcW w:w="1449" w:type="pct"/>
            <w:tcBorders>
              <w:top w:val="single" w:sz="4" w:space="0" w:color="auto"/>
            </w:tcBorders>
          </w:tcPr>
          <w:p w14:paraId="11CB1F6F" w14:textId="77777777" w:rsidR="003B17A6" w:rsidRPr="00B776D0" w:rsidRDefault="00BA6ED0" w:rsidP="00B776D0">
            <w:pPr>
              <w:spacing w:line="360" w:lineRule="auto"/>
              <w:jc w:val="both"/>
              <w:rPr>
                <w:rFonts w:ascii="Book Antiqua" w:hAnsi="Book Antiqua"/>
              </w:rPr>
            </w:pPr>
            <w:r w:rsidRPr="00B776D0">
              <w:rPr>
                <w:rFonts w:ascii="Book Antiqua" w:hAnsi="Book Antiqua"/>
              </w:rPr>
              <w:t>26.89 ± 1.59</w:t>
            </w:r>
          </w:p>
        </w:tc>
        <w:tc>
          <w:tcPr>
            <w:tcW w:w="580" w:type="pct"/>
            <w:tcBorders>
              <w:top w:val="single" w:sz="4" w:space="0" w:color="auto"/>
            </w:tcBorders>
          </w:tcPr>
          <w:p w14:paraId="3881A9A9" w14:textId="77777777" w:rsidR="003B17A6" w:rsidRPr="00B776D0" w:rsidRDefault="00BA6ED0" w:rsidP="00B776D0">
            <w:pPr>
              <w:spacing w:line="360" w:lineRule="auto"/>
              <w:jc w:val="both"/>
              <w:rPr>
                <w:rFonts w:ascii="Book Antiqua" w:hAnsi="Book Antiqua"/>
              </w:rPr>
            </w:pPr>
            <w:r w:rsidRPr="00B776D0">
              <w:rPr>
                <w:rFonts w:ascii="Book Antiqua" w:hAnsi="Book Antiqua"/>
              </w:rPr>
              <w:t>8.096</w:t>
            </w:r>
          </w:p>
        </w:tc>
        <w:tc>
          <w:tcPr>
            <w:tcW w:w="725" w:type="pct"/>
            <w:tcBorders>
              <w:top w:val="single" w:sz="4" w:space="0" w:color="auto"/>
            </w:tcBorders>
          </w:tcPr>
          <w:p w14:paraId="6156850B" w14:textId="77777777" w:rsidR="003B17A6" w:rsidRPr="00B776D0" w:rsidRDefault="00BA6ED0" w:rsidP="00B776D0">
            <w:pPr>
              <w:spacing w:line="360" w:lineRule="auto"/>
              <w:jc w:val="both"/>
              <w:rPr>
                <w:rFonts w:ascii="Book Antiqua" w:hAnsi="Book Antiqua"/>
              </w:rPr>
            </w:pPr>
            <w:r w:rsidRPr="00B776D0">
              <w:rPr>
                <w:rFonts w:ascii="Book Antiqua" w:hAnsi="Book Antiqua"/>
              </w:rPr>
              <w:t>&lt; 0.001</w:t>
            </w:r>
          </w:p>
        </w:tc>
      </w:tr>
      <w:tr w:rsidR="003B17A6" w:rsidRPr="00B776D0" w14:paraId="1AAA37C1" w14:textId="77777777">
        <w:tc>
          <w:tcPr>
            <w:tcW w:w="1035" w:type="pct"/>
          </w:tcPr>
          <w:p w14:paraId="231EDD3B" w14:textId="368F570D" w:rsidR="003B17A6" w:rsidRPr="00B776D0" w:rsidRDefault="00BA6ED0" w:rsidP="00B776D0">
            <w:pPr>
              <w:spacing w:line="360" w:lineRule="auto"/>
              <w:jc w:val="both"/>
              <w:rPr>
                <w:rFonts w:ascii="Book Antiqua" w:hAnsi="Book Antiqua"/>
              </w:rPr>
            </w:pPr>
            <w:r w:rsidRPr="00B776D0">
              <w:rPr>
                <w:rFonts w:ascii="Book Antiqua" w:hAnsi="Book Antiqua"/>
              </w:rPr>
              <w:t>Group B</w:t>
            </w:r>
            <w:r w:rsidR="009824A0">
              <w:rPr>
                <w:rFonts w:ascii="Book Antiqua" w:hAnsi="Book Antiqua"/>
              </w:rPr>
              <w:t>,</w:t>
            </w:r>
            <w:r w:rsidRPr="00B776D0">
              <w:rPr>
                <w:rFonts w:ascii="Book Antiqua" w:hAnsi="Book Antiqua"/>
              </w:rPr>
              <w:t xml:space="preserve"> </w:t>
            </w:r>
            <w:r w:rsidRPr="00B776D0">
              <w:rPr>
                <w:rFonts w:ascii="Book Antiqua" w:hAnsi="Book Antiqua"/>
                <w:i/>
                <w:iCs/>
              </w:rPr>
              <w:t>n</w:t>
            </w:r>
            <w:r w:rsidRPr="00B776D0">
              <w:rPr>
                <w:rFonts w:ascii="Book Antiqua" w:hAnsi="Book Antiqua"/>
              </w:rPr>
              <w:t xml:space="preserve"> = 37</w:t>
            </w:r>
          </w:p>
        </w:tc>
        <w:tc>
          <w:tcPr>
            <w:tcW w:w="1211" w:type="pct"/>
          </w:tcPr>
          <w:p w14:paraId="7219D315" w14:textId="77777777" w:rsidR="003B17A6" w:rsidRPr="00B776D0" w:rsidRDefault="00BA6ED0" w:rsidP="00B776D0">
            <w:pPr>
              <w:spacing w:line="360" w:lineRule="auto"/>
              <w:jc w:val="both"/>
              <w:rPr>
                <w:rFonts w:ascii="Book Antiqua" w:hAnsi="Book Antiqua"/>
              </w:rPr>
            </w:pPr>
            <w:r w:rsidRPr="00B776D0">
              <w:rPr>
                <w:rFonts w:ascii="Book Antiqua" w:hAnsi="Book Antiqua"/>
              </w:rPr>
              <w:t>33.35 ± 3.29</w:t>
            </w:r>
          </w:p>
        </w:tc>
        <w:tc>
          <w:tcPr>
            <w:tcW w:w="1449" w:type="pct"/>
          </w:tcPr>
          <w:p w14:paraId="63C3C4BD" w14:textId="77777777" w:rsidR="003B17A6" w:rsidRPr="00B776D0" w:rsidRDefault="00BA6ED0" w:rsidP="00B776D0">
            <w:pPr>
              <w:spacing w:line="360" w:lineRule="auto"/>
              <w:jc w:val="both"/>
              <w:rPr>
                <w:rFonts w:ascii="Book Antiqua" w:hAnsi="Book Antiqua"/>
              </w:rPr>
            </w:pPr>
            <w:r w:rsidRPr="00B776D0">
              <w:rPr>
                <w:rFonts w:ascii="Book Antiqua" w:hAnsi="Book Antiqua"/>
              </w:rPr>
              <w:t>30.22 ± 1.48</w:t>
            </w:r>
          </w:p>
        </w:tc>
        <w:tc>
          <w:tcPr>
            <w:tcW w:w="580" w:type="pct"/>
          </w:tcPr>
          <w:p w14:paraId="685F6717" w14:textId="77777777" w:rsidR="003B17A6" w:rsidRPr="00B776D0" w:rsidRDefault="00BA6ED0" w:rsidP="00B776D0">
            <w:pPr>
              <w:spacing w:line="360" w:lineRule="auto"/>
              <w:jc w:val="both"/>
              <w:rPr>
                <w:rFonts w:ascii="Book Antiqua" w:hAnsi="Book Antiqua"/>
              </w:rPr>
            </w:pPr>
            <w:r w:rsidRPr="00B776D0">
              <w:rPr>
                <w:rFonts w:ascii="Book Antiqua" w:hAnsi="Book Antiqua"/>
              </w:rPr>
              <w:t>5.099</w:t>
            </w:r>
          </w:p>
        </w:tc>
        <w:tc>
          <w:tcPr>
            <w:tcW w:w="725" w:type="pct"/>
          </w:tcPr>
          <w:p w14:paraId="2F02D4CB" w14:textId="77777777" w:rsidR="003B17A6" w:rsidRPr="00B776D0" w:rsidRDefault="00BA6ED0" w:rsidP="00B776D0">
            <w:pPr>
              <w:spacing w:line="360" w:lineRule="auto"/>
              <w:jc w:val="both"/>
              <w:rPr>
                <w:rFonts w:ascii="Book Antiqua" w:hAnsi="Book Antiqua"/>
              </w:rPr>
            </w:pPr>
            <w:r w:rsidRPr="00B776D0">
              <w:rPr>
                <w:rFonts w:ascii="Book Antiqua" w:hAnsi="Book Antiqua"/>
              </w:rPr>
              <w:t>&lt; 0.001</w:t>
            </w:r>
          </w:p>
        </w:tc>
      </w:tr>
      <w:tr w:rsidR="003B17A6" w:rsidRPr="00B776D0" w14:paraId="77E18A22" w14:textId="77777777">
        <w:tc>
          <w:tcPr>
            <w:tcW w:w="1035" w:type="pct"/>
          </w:tcPr>
          <w:p w14:paraId="0F29AFF2" w14:textId="77777777" w:rsidR="003B17A6" w:rsidRPr="00B776D0" w:rsidRDefault="00BA6ED0" w:rsidP="00B776D0">
            <w:pPr>
              <w:spacing w:line="360" w:lineRule="auto"/>
              <w:jc w:val="both"/>
              <w:rPr>
                <w:rFonts w:ascii="Book Antiqua" w:hAnsi="Book Antiqua"/>
              </w:rPr>
            </w:pPr>
            <w:r w:rsidRPr="00B776D0">
              <w:rPr>
                <w:rFonts w:ascii="Book Antiqua" w:hAnsi="Book Antiqua"/>
                <w:i/>
                <w:iCs/>
              </w:rPr>
              <w:t>t</w:t>
            </w:r>
            <w:r w:rsidRPr="00B776D0">
              <w:rPr>
                <w:rFonts w:ascii="Book Antiqua" w:hAnsi="Book Antiqua"/>
              </w:rPr>
              <w:t xml:space="preserve"> v</w:t>
            </w:r>
            <w:r w:rsidR="00B776D0">
              <w:rPr>
                <w:rFonts w:ascii="Book Antiqua" w:hAnsi="Book Antiqua"/>
              </w:rPr>
              <w:t>a</w:t>
            </w:r>
            <w:r w:rsidRPr="00B776D0">
              <w:rPr>
                <w:rFonts w:ascii="Book Antiqua" w:hAnsi="Book Antiqua"/>
              </w:rPr>
              <w:t>lue</w:t>
            </w:r>
          </w:p>
        </w:tc>
        <w:tc>
          <w:tcPr>
            <w:tcW w:w="1211" w:type="pct"/>
          </w:tcPr>
          <w:p w14:paraId="4D4F9FAB" w14:textId="77777777" w:rsidR="003B17A6" w:rsidRPr="00B776D0" w:rsidRDefault="00BA6ED0" w:rsidP="00B776D0">
            <w:pPr>
              <w:spacing w:line="360" w:lineRule="auto"/>
              <w:jc w:val="both"/>
              <w:rPr>
                <w:rFonts w:ascii="Book Antiqua" w:hAnsi="Book Antiqua"/>
              </w:rPr>
            </w:pPr>
            <w:r w:rsidRPr="00B776D0">
              <w:rPr>
                <w:rFonts w:ascii="Book Antiqua" w:hAnsi="Book Antiqua"/>
              </w:rPr>
              <w:t>0.125</w:t>
            </w:r>
          </w:p>
        </w:tc>
        <w:tc>
          <w:tcPr>
            <w:tcW w:w="1449" w:type="pct"/>
          </w:tcPr>
          <w:p w14:paraId="02AD4B47" w14:textId="77777777" w:rsidR="003B17A6" w:rsidRPr="00B776D0" w:rsidRDefault="00BA6ED0" w:rsidP="00B776D0">
            <w:pPr>
              <w:spacing w:line="360" w:lineRule="auto"/>
              <w:jc w:val="both"/>
              <w:rPr>
                <w:rFonts w:ascii="Book Antiqua" w:hAnsi="Book Antiqua"/>
              </w:rPr>
            </w:pPr>
            <w:r w:rsidRPr="00B776D0">
              <w:rPr>
                <w:rFonts w:ascii="Book Antiqua" w:hAnsi="Book Antiqua"/>
              </w:rPr>
              <w:t>8.999</w:t>
            </w:r>
          </w:p>
        </w:tc>
        <w:tc>
          <w:tcPr>
            <w:tcW w:w="580" w:type="pct"/>
          </w:tcPr>
          <w:p w14:paraId="4D2D8256" w14:textId="77777777" w:rsidR="003B17A6" w:rsidRPr="00B776D0" w:rsidRDefault="003B17A6" w:rsidP="00B776D0">
            <w:pPr>
              <w:spacing w:line="360" w:lineRule="auto"/>
              <w:jc w:val="both"/>
              <w:rPr>
                <w:rFonts w:ascii="Book Antiqua" w:hAnsi="Book Antiqua"/>
              </w:rPr>
            </w:pPr>
          </w:p>
        </w:tc>
        <w:tc>
          <w:tcPr>
            <w:tcW w:w="725" w:type="pct"/>
          </w:tcPr>
          <w:p w14:paraId="65EE0924" w14:textId="77777777" w:rsidR="003B17A6" w:rsidRPr="00B776D0" w:rsidRDefault="003B17A6" w:rsidP="00B776D0">
            <w:pPr>
              <w:spacing w:line="360" w:lineRule="auto"/>
              <w:jc w:val="both"/>
              <w:rPr>
                <w:rFonts w:ascii="Book Antiqua" w:hAnsi="Book Antiqua"/>
              </w:rPr>
            </w:pPr>
          </w:p>
        </w:tc>
      </w:tr>
      <w:tr w:rsidR="003B17A6" w:rsidRPr="00B776D0" w14:paraId="5779FE62" w14:textId="77777777">
        <w:tc>
          <w:tcPr>
            <w:tcW w:w="1035" w:type="pct"/>
            <w:tcBorders>
              <w:bottom w:val="single" w:sz="4" w:space="0" w:color="auto"/>
            </w:tcBorders>
          </w:tcPr>
          <w:p w14:paraId="227D3550" w14:textId="77777777" w:rsidR="003B17A6" w:rsidRPr="00B776D0" w:rsidRDefault="00BA6ED0" w:rsidP="00B776D0">
            <w:pPr>
              <w:spacing w:line="360" w:lineRule="auto"/>
              <w:jc w:val="both"/>
              <w:rPr>
                <w:rFonts w:ascii="Book Antiqua" w:hAnsi="Book Antiqua"/>
              </w:rPr>
            </w:pPr>
            <w:r w:rsidRPr="00B776D0">
              <w:rPr>
                <w:rFonts w:ascii="Book Antiqua" w:hAnsi="Book Antiqua"/>
                <w:i/>
                <w:iCs/>
              </w:rPr>
              <w:t>P</w:t>
            </w:r>
            <w:r w:rsidRPr="00B776D0">
              <w:rPr>
                <w:rFonts w:ascii="Book Antiqua" w:hAnsi="Book Antiqua"/>
              </w:rPr>
              <w:t xml:space="preserve"> value</w:t>
            </w:r>
          </w:p>
        </w:tc>
        <w:tc>
          <w:tcPr>
            <w:tcW w:w="1211" w:type="pct"/>
            <w:tcBorders>
              <w:bottom w:val="single" w:sz="4" w:space="0" w:color="auto"/>
            </w:tcBorders>
          </w:tcPr>
          <w:p w14:paraId="3872F463" w14:textId="77777777" w:rsidR="003B17A6" w:rsidRPr="00B776D0" w:rsidRDefault="00BA6ED0" w:rsidP="00B776D0">
            <w:pPr>
              <w:spacing w:line="360" w:lineRule="auto"/>
              <w:jc w:val="both"/>
              <w:rPr>
                <w:rFonts w:ascii="Book Antiqua" w:hAnsi="Book Antiqua"/>
              </w:rPr>
            </w:pPr>
            <w:r w:rsidRPr="00B776D0">
              <w:rPr>
                <w:rFonts w:ascii="Book Antiqua" w:hAnsi="Book Antiqua"/>
              </w:rPr>
              <w:t>0.900</w:t>
            </w:r>
          </w:p>
        </w:tc>
        <w:tc>
          <w:tcPr>
            <w:tcW w:w="1449" w:type="pct"/>
            <w:tcBorders>
              <w:bottom w:val="single" w:sz="4" w:space="0" w:color="auto"/>
            </w:tcBorders>
          </w:tcPr>
          <w:p w14:paraId="2D1647E4" w14:textId="77777777" w:rsidR="003B17A6" w:rsidRPr="00B776D0" w:rsidRDefault="00BA6ED0" w:rsidP="00B776D0">
            <w:pPr>
              <w:spacing w:line="360" w:lineRule="auto"/>
              <w:jc w:val="both"/>
              <w:rPr>
                <w:rFonts w:ascii="Book Antiqua" w:hAnsi="Book Antiqua"/>
              </w:rPr>
            </w:pPr>
            <w:r w:rsidRPr="00B776D0">
              <w:rPr>
                <w:rFonts w:ascii="Book Antiqua" w:hAnsi="Book Antiqua"/>
              </w:rPr>
              <w:t>&lt; 0.001</w:t>
            </w:r>
          </w:p>
        </w:tc>
        <w:tc>
          <w:tcPr>
            <w:tcW w:w="580" w:type="pct"/>
            <w:tcBorders>
              <w:bottom w:val="single" w:sz="4" w:space="0" w:color="auto"/>
            </w:tcBorders>
          </w:tcPr>
          <w:p w14:paraId="4AD0CC12" w14:textId="77777777" w:rsidR="003B17A6" w:rsidRPr="00B776D0" w:rsidRDefault="003B17A6" w:rsidP="00B776D0">
            <w:pPr>
              <w:spacing w:line="360" w:lineRule="auto"/>
              <w:jc w:val="both"/>
              <w:rPr>
                <w:rFonts w:ascii="Book Antiqua" w:hAnsi="Book Antiqua"/>
              </w:rPr>
            </w:pPr>
          </w:p>
        </w:tc>
        <w:tc>
          <w:tcPr>
            <w:tcW w:w="725" w:type="pct"/>
            <w:tcBorders>
              <w:bottom w:val="single" w:sz="4" w:space="0" w:color="auto"/>
            </w:tcBorders>
          </w:tcPr>
          <w:p w14:paraId="4731AB00" w14:textId="77777777" w:rsidR="003B17A6" w:rsidRPr="00B776D0" w:rsidRDefault="003B17A6" w:rsidP="00B776D0">
            <w:pPr>
              <w:spacing w:line="360" w:lineRule="auto"/>
              <w:jc w:val="both"/>
              <w:rPr>
                <w:rFonts w:ascii="Book Antiqua" w:hAnsi="Book Antiqua"/>
              </w:rPr>
            </w:pPr>
          </w:p>
        </w:tc>
      </w:tr>
    </w:tbl>
    <w:p w14:paraId="7E20D834" w14:textId="77777777" w:rsidR="003B17A6" w:rsidRPr="00B776D0" w:rsidRDefault="00BA6ED0" w:rsidP="00B776D0">
      <w:pPr>
        <w:spacing w:line="360" w:lineRule="auto"/>
        <w:jc w:val="both"/>
        <w:rPr>
          <w:rFonts w:ascii="Book Antiqua" w:hAnsi="Book Antiqua"/>
        </w:rPr>
      </w:pPr>
      <w:r w:rsidRPr="00B776D0">
        <w:rPr>
          <w:rFonts w:ascii="Book Antiqua" w:hAnsi="Book Antiqua"/>
        </w:rPr>
        <w:t>BMI: Body mass index.</w:t>
      </w:r>
    </w:p>
    <w:p w14:paraId="4D134497" w14:textId="77777777" w:rsidR="003B17A6" w:rsidRPr="00B776D0" w:rsidRDefault="003B17A6" w:rsidP="00B776D0">
      <w:pPr>
        <w:spacing w:line="360" w:lineRule="auto"/>
        <w:jc w:val="both"/>
        <w:rPr>
          <w:rFonts w:ascii="Book Antiqua" w:hAnsi="Book Antiqua"/>
        </w:rPr>
      </w:pPr>
    </w:p>
    <w:sectPr w:rsidR="003B17A6" w:rsidRPr="00B77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1DC3" w14:textId="77777777" w:rsidR="00082C6F" w:rsidRDefault="00082C6F">
      <w:r>
        <w:separator/>
      </w:r>
    </w:p>
  </w:endnote>
  <w:endnote w:type="continuationSeparator" w:id="0">
    <w:p w14:paraId="15949429" w14:textId="77777777" w:rsidR="00082C6F" w:rsidRDefault="0008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934D" w14:textId="77777777" w:rsidR="003B17A6" w:rsidRDefault="00BA6ED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020BE4" w:rsidRPr="00020BE4">
      <w:rPr>
        <w:rFonts w:ascii="Book Antiqua" w:hAnsi="Book Antiqua"/>
        <w:noProof/>
        <w:color w:val="000000" w:themeColor="text1"/>
        <w:sz w:val="24"/>
        <w:szCs w:val="24"/>
        <w:lang w:val="zh-CN" w:eastAsia="zh-CN"/>
      </w:rPr>
      <w:t>25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020BE4" w:rsidRPr="00020BE4">
      <w:rPr>
        <w:rFonts w:ascii="Book Antiqua" w:hAnsi="Book Antiqua"/>
        <w:noProof/>
        <w:color w:val="000000" w:themeColor="text1"/>
        <w:sz w:val="24"/>
        <w:szCs w:val="24"/>
        <w:lang w:val="zh-CN" w:eastAsia="zh-CN"/>
      </w:rPr>
      <w:t>26</w:t>
    </w:r>
    <w:r>
      <w:rPr>
        <w:rFonts w:ascii="Book Antiqua" w:hAnsi="Book Antiqua"/>
        <w:color w:val="000000" w:themeColor="text1"/>
        <w:sz w:val="24"/>
        <w:szCs w:val="24"/>
      </w:rPr>
      <w:fldChar w:fldCharType="end"/>
    </w:r>
  </w:p>
  <w:p w14:paraId="697EE33C" w14:textId="77777777" w:rsidR="003B17A6" w:rsidRDefault="003B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2F67" w14:textId="77777777" w:rsidR="00082C6F" w:rsidRDefault="00082C6F">
      <w:r>
        <w:separator/>
      </w:r>
    </w:p>
  </w:footnote>
  <w:footnote w:type="continuationSeparator" w:id="0">
    <w:p w14:paraId="03031E8C" w14:textId="77777777" w:rsidR="00082C6F" w:rsidRDefault="00082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YxYjNhZDg1MjRiYjM0Y2VlYzExMTMwNGE3NGIwMGEifQ=="/>
  </w:docVars>
  <w:rsids>
    <w:rsidRoot w:val="00A77B3E"/>
    <w:rsid w:val="00020BE4"/>
    <w:rsid w:val="00047C42"/>
    <w:rsid w:val="00082C6F"/>
    <w:rsid w:val="000D0EB8"/>
    <w:rsid w:val="000E322B"/>
    <w:rsid w:val="001153E7"/>
    <w:rsid w:val="001B4099"/>
    <w:rsid w:val="002053F9"/>
    <w:rsid w:val="00213EBE"/>
    <w:rsid w:val="00222B10"/>
    <w:rsid w:val="002635F4"/>
    <w:rsid w:val="002776EE"/>
    <w:rsid w:val="002A2ED4"/>
    <w:rsid w:val="002E494D"/>
    <w:rsid w:val="002E7EC9"/>
    <w:rsid w:val="003050B8"/>
    <w:rsid w:val="003079DA"/>
    <w:rsid w:val="003232E3"/>
    <w:rsid w:val="00335A63"/>
    <w:rsid w:val="00366969"/>
    <w:rsid w:val="00394CFD"/>
    <w:rsid w:val="003B17A6"/>
    <w:rsid w:val="004100E9"/>
    <w:rsid w:val="00413452"/>
    <w:rsid w:val="00427CAE"/>
    <w:rsid w:val="004C0389"/>
    <w:rsid w:val="004E220F"/>
    <w:rsid w:val="0058403A"/>
    <w:rsid w:val="005A60DE"/>
    <w:rsid w:val="006729E2"/>
    <w:rsid w:val="006A1E84"/>
    <w:rsid w:val="006B0D78"/>
    <w:rsid w:val="006D0B9A"/>
    <w:rsid w:val="0077272E"/>
    <w:rsid w:val="008D059C"/>
    <w:rsid w:val="00905A2A"/>
    <w:rsid w:val="009824A0"/>
    <w:rsid w:val="00A57604"/>
    <w:rsid w:val="00A64B2E"/>
    <w:rsid w:val="00A77B3E"/>
    <w:rsid w:val="00B15B50"/>
    <w:rsid w:val="00B54732"/>
    <w:rsid w:val="00B67655"/>
    <w:rsid w:val="00B776D0"/>
    <w:rsid w:val="00BA6ED0"/>
    <w:rsid w:val="00C15B61"/>
    <w:rsid w:val="00C36034"/>
    <w:rsid w:val="00C432CD"/>
    <w:rsid w:val="00C72E32"/>
    <w:rsid w:val="00CA2A55"/>
    <w:rsid w:val="00CC2C57"/>
    <w:rsid w:val="00CF682E"/>
    <w:rsid w:val="00D05D5B"/>
    <w:rsid w:val="00D23F48"/>
    <w:rsid w:val="00D72E4D"/>
    <w:rsid w:val="00DE7CB8"/>
    <w:rsid w:val="00DF2586"/>
    <w:rsid w:val="00E4417E"/>
    <w:rsid w:val="00E66D4E"/>
    <w:rsid w:val="00EB157A"/>
    <w:rsid w:val="00EB75A7"/>
    <w:rsid w:val="00EB7695"/>
    <w:rsid w:val="00F0359F"/>
    <w:rsid w:val="00F328E7"/>
    <w:rsid w:val="00F760AB"/>
    <w:rsid w:val="13913C05"/>
    <w:rsid w:val="3D9C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02501"/>
  <w15:docId w15:val="{14DF3734-6113-4B2C-9820-A365EF5B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1">
    <w:name w:val="修订1"/>
    <w:hidden/>
    <w:uiPriority w:val="99"/>
    <w:semiHidden/>
    <w:qFormat/>
    <w:rPr>
      <w:sz w:val="24"/>
      <w:szCs w:val="24"/>
      <w:lang w:eastAsia="en-US"/>
    </w:rPr>
  </w:style>
  <w:style w:type="paragraph" w:styleId="BalloonText">
    <w:name w:val="Balloon Text"/>
    <w:basedOn w:val="Normal"/>
    <w:link w:val="BalloonTextChar"/>
    <w:rsid w:val="001153E7"/>
    <w:rPr>
      <w:sz w:val="18"/>
      <w:szCs w:val="18"/>
    </w:rPr>
  </w:style>
  <w:style w:type="character" w:customStyle="1" w:styleId="BalloonTextChar">
    <w:name w:val="Balloon Text Char"/>
    <w:basedOn w:val="DefaultParagraphFont"/>
    <w:link w:val="BalloonText"/>
    <w:rsid w:val="001153E7"/>
    <w:rPr>
      <w:sz w:val="18"/>
      <w:szCs w:val="18"/>
      <w:lang w:eastAsia="en-US"/>
    </w:rPr>
  </w:style>
  <w:style w:type="paragraph" w:styleId="Revision">
    <w:name w:val="Revision"/>
    <w:hidden/>
    <w:uiPriority w:val="99"/>
    <w:semiHidden/>
    <w:rsid w:val="00B776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van Velkinburgh</cp:lastModifiedBy>
  <cp:revision>2</cp:revision>
  <dcterms:created xsi:type="dcterms:W3CDTF">2023-06-27T00:56:00Z</dcterms:created>
  <dcterms:modified xsi:type="dcterms:W3CDTF">2023-06-27T00:56:00Z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275D3D929B7343BB8DA8A1DD332E68D2_13</vt:lpwstr>
  </property>
</Properties>
</file>