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786C3"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rPr>
        <w:t xml:space="preserve">Name of Journal: </w:t>
      </w:r>
      <w:r w:rsidRPr="00F0302C">
        <w:rPr>
          <w:rFonts w:ascii="Book Antiqua" w:eastAsia="Book Antiqua" w:hAnsi="Book Antiqua" w:cs="Book Antiqua"/>
          <w:i/>
        </w:rPr>
        <w:t>World Journal of Clinical Cases</w:t>
      </w:r>
    </w:p>
    <w:p w14:paraId="0269CA80"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rPr>
        <w:t xml:space="preserve">Manuscript NO: </w:t>
      </w:r>
      <w:r w:rsidRPr="00F0302C">
        <w:rPr>
          <w:rFonts w:ascii="Book Antiqua" w:eastAsia="Book Antiqua" w:hAnsi="Book Antiqua" w:cs="Book Antiqua"/>
        </w:rPr>
        <w:t>84894</w:t>
      </w:r>
    </w:p>
    <w:p w14:paraId="2F8A33F1"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rPr>
        <w:t xml:space="preserve">Manuscript Type: </w:t>
      </w:r>
      <w:r w:rsidRPr="00F0302C">
        <w:rPr>
          <w:rFonts w:ascii="Book Antiqua" w:eastAsia="Book Antiqua" w:hAnsi="Book Antiqua" w:cs="Book Antiqua"/>
        </w:rPr>
        <w:t>CASE REPORT</w:t>
      </w:r>
    </w:p>
    <w:p w14:paraId="63F77B2B" w14:textId="77777777" w:rsidR="00103375" w:rsidRPr="00F0302C" w:rsidRDefault="00103375">
      <w:pPr>
        <w:spacing w:line="360" w:lineRule="auto"/>
        <w:jc w:val="both"/>
        <w:rPr>
          <w:rFonts w:ascii="Book Antiqua" w:hAnsi="Book Antiqua"/>
        </w:rPr>
      </w:pPr>
    </w:p>
    <w:p w14:paraId="283D1091"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color w:val="000000"/>
        </w:rPr>
        <w:t xml:space="preserve">Rhabdomyolysis-induced acute kidney injury after administration of </w:t>
      </w:r>
      <w:r w:rsidRPr="00F0302C">
        <w:rPr>
          <w:rFonts w:ascii="Book Antiqua" w:eastAsia="宋体" w:hAnsi="Book Antiqua" w:cs="Book Antiqua" w:hint="eastAsia"/>
          <w:b/>
          <w:bCs/>
          <w:color w:val="000000"/>
          <w:lang w:eastAsia="zh-CN"/>
        </w:rPr>
        <w:t xml:space="preserve">a </w:t>
      </w:r>
      <w:r w:rsidRPr="00F0302C">
        <w:rPr>
          <w:rFonts w:ascii="Book Antiqua" w:eastAsia="Book Antiqua" w:hAnsi="Book Antiqua" w:cs="Book Antiqua"/>
          <w:b/>
          <w:bCs/>
          <w:color w:val="000000"/>
        </w:rPr>
        <w:t>red yeast rice supplement: A case report</w:t>
      </w:r>
    </w:p>
    <w:p w14:paraId="49B14C63" w14:textId="77777777" w:rsidR="00103375" w:rsidRPr="00F0302C" w:rsidRDefault="00103375">
      <w:pPr>
        <w:spacing w:line="360" w:lineRule="auto"/>
        <w:jc w:val="both"/>
        <w:rPr>
          <w:rFonts w:ascii="Book Antiqua" w:hAnsi="Book Antiqua"/>
        </w:rPr>
      </w:pPr>
    </w:p>
    <w:p w14:paraId="31CC5745"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 xml:space="preserve">Wang YH </w:t>
      </w:r>
      <w:r w:rsidRPr="00F0302C">
        <w:rPr>
          <w:rFonts w:ascii="Book Antiqua" w:eastAsia="Book Antiqua" w:hAnsi="Book Antiqua" w:cs="Book Antiqua"/>
          <w:i/>
          <w:iCs/>
          <w:color w:val="000000"/>
        </w:rPr>
        <w:t>et al</w:t>
      </w:r>
      <w:r w:rsidRPr="00F0302C">
        <w:rPr>
          <w:rFonts w:ascii="Book Antiqua" w:eastAsia="Book Antiqua" w:hAnsi="Book Antiqua" w:cs="Book Antiqua"/>
          <w:color w:val="000000"/>
        </w:rPr>
        <w:t>. A case of rhabdomyolysis-induced AKI</w:t>
      </w:r>
    </w:p>
    <w:p w14:paraId="073CBBBA" w14:textId="77777777" w:rsidR="00103375" w:rsidRPr="00F0302C" w:rsidRDefault="00103375">
      <w:pPr>
        <w:spacing w:line="360" w:lineRule="auto"/>
        <w:jc w:val="both"/>
        <w:rPr>
          <w:rFonts w:ascii="Book Antiqua" w:hAnsi="Book Antiqua"/>
        </w:rPr>
      </w:pPr>
    </w:p>
    <w:p w14:paraId="3FFA70E3" w14:textId="77777777" w:rsidR="00103375" w:rsidRPr="00F0302C" w:rsidRDefault="00000000">
      <w:pPr>
        <w:spacing w:line="360" w:lineRule="auto"/>
        <w:jc w:val="both"/>
        <w:rPr>
          <w:rFonts w:ascii="Book Antiqua" w:hAnsi="Book Antiqua"/>
          <w:lang w:val="nl-BE"/>
        </w:rPr>
      </w:pPr>
      <w:r w:rsidRPr="00F0302C">
        <w:rPr>
          <w:rFonts w:ascii="Book Antiqua" w:eastAsia="Book Antiqua" w:hAnsi="Book Antiqua" w:cs="Book Antiqua"/>
          <w:color w:val="000000"/>
          <w:lang w:val="nl-BE"/>
        </w:rPr>
        <w:t>Ya-Han Wang, Si-Shuo Zhang, Hai-Tao Li, Hong-Wei Zhi, Hong-Yun Wu</w:t>
      </w:r>
    </w:p>
    <w:p w14:paraId="05C995A7" w14:textId="77777777" w:rsidR="00103375" w:rsidRPr="00F0302C" w:rsidRDefault="00103375">
      <w:pPr>
        <w:spacing w:line="360" w:lineRule="auto"/>
        <w:jc w:val="both"/>
        <w:rPr>
          <w:rFonts w:ascii="Book Antiqua" w:hAnsi="Book Antiqua"/>
        </w:rPr>
      </w:pPr>
    </w:p>
    <w:p w14:paraId="217ECB56"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color w:val="000000"/>
        </w:rPr>
        <w:t xml:space="preserve">Ya-Han Wang, Si-Shuo Zhang, Hai-Tao Li, Hong-Wei Zhi, Hong-Yun Wu, </w:t>
      </w:r>
      <w:r w:rsidRPr="00F0302C">
        <w:rPr>
          <w:rFonts w:ascii="Book Antiqua" w:eastAsia="Book Antiqua" w:hAnsi="Book Antiqua" w:cs="Book Antiqua"/>
          <w:color w:val="000000"/>
        </w:rPr>
        <w:t>Department of Neurology, Affiliated Hospital of Shandong University of Traditional Chinese Medicine, Jinan 2500</w:t>
      </w:r>
      <w:r w:rsidRPr="00F0302C">
        <w:rPr>
          <w:rFonts w:ascii="Book Antiqua" w:eastAsia="宋体" w:hAnsi="Book Antiqua" w:cs="Book Antiqua"/>
          <w:color w:val="000000"/>
          <w:lang w:eastAsia="zh-CN"/>
        </w:rPr>
        <w:t>14</w:t>
      </w:r>
      <w:r w:rsidRPr="00F0302C">
        <w:rPr>
          <w:rFonts w:ascii="Book Antiqua" w:eastAsia="Book Antiqua" w:hAnsi="Book Antiqua" w:cs="Book Antiqua"/>
          <w:color w:val="000000"/>
        </w:rPr>
        <w:t>, Shandong Province, China</w:t>
      </w:r>
    </w:p>
    <w:p w14:paraId="184B6767" w14:textId="77777777" w:rsidR="00103375" w:rsidRPr="00F0302C" w:rsidRDefault="00103375">
      <w:pPr>
        <w:spacing w:line="360" w:lineRule="auto"/>
        <w:jc w:val="both"/>
        <w:rPr>
          <w:rFonts w:ascii="Book Antiqua" w:hAnsi="Book Antiqua"/>
        </w:rPr>
      </w:pPr>
    </w:p>
    <w:p w14:paraId="1FCAA6FF"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color w:val="000000"/>
        </w:rPr>
        <w:t xml:space="preserve">Author contributions: </w:t>
      </w:r>
      <w:r w:rsidRPr="00F0302C">
        <w:rPr>
          <w:rFonts w:ascii="Book Antiqua" w:eastAsia="Book Antiqua" w:hAnsi="Book Antiqua" w:cs="Book Antiqua"/>
          <w:color w:val="000000"/>
        </w:rPr>
        <w:t xml:space="preserve">Wang YH was responsible for writing the manuscript; Zhang SS was responsible for language editing; Li HT and Zhi HW were responsible for data collection; Wu HY were responsible for </w:t>
      </w:r>
      <w:r w:rsidRPr="00F0302C">
        <w:rPr>
          <w:rFonts w:ascii="Book Antiqua" w:eastAsia="宋体" w:hAnsi="Book Antiqua" w:cs="Book Antiqua" w:hint="eastAsia"/>
          <w:color w:val="000000"/>
          <w:lang w:eastAsia="zh-CN"/>
        </w:rPr>
        <w:t xml:space="preserve">the </w:t>
      </w:r>
      <w:r w:rsidRPr="00F0302C">
        <w:rPr>
          <w:rFonts w:ascii="Book Antiqua" w:eastAsia="Book Antiqua" w:hAnsi="Book Antiqua" w:cs="Book Antiqua"/>
          <w:color w:val="000000"/>
        </w:rPr>
        <w:t>diagnos</w:t>
      </w:r>
      <w:r w:rsidRPr="00F0302C">
        <w:rPr>
          <w:rFonts w:ascii="Book Antiqua" w:eastAsia="宋体" w:hAnsi="Book Antiqua" w:cs="Book Antiqua" w:hint="eastAsia"/>
          <w:color w:val="000000"/>
          <w:lang w:eastAsia="zh-CN"/>
        </w:rPr>
        <w:t>is</w:t>
      </w:r>
      <w:r w:rsidRPr="00F0302C">
        <w:rPr>
          <w:rFonts w:ascii="Book Antiqua" w:eastAsia="Book Antiqua" w:hAnsi="Book Antiqua" w:cs="Book Antiqua"/>
          <w:color w:val="000000"/>
        </w:rPr>
        <w:t xml:space="preserve"> and </w:t>
      </w:r>
      <w:r w:rsidRPr="00F0302C">
        <w:rPr>
          <w:rFonts w:ascii="Book Antiqua" w:eastAsia="宋体" w:hAnsi="Book Antiqua" w:cs="Book Antiqua" w:hint="eastAsia"/>
          <w:color w:val="000000"/>
          <w:lang w:eastAsia="zh-CN"/>
        </w:rPr>
        <w:t>differential diagnosis</w:t>
      </w:r>
      <w:r w:rsidRPr="00F0302C">
        <w:rPr>
          <w:rFonts w:ascii="Book Antiqua" w:eastAsia="Book Antiqua" w:hAnsi="Book Antiqua" w:cs="Book Antiqua"/>
          <w:color w:val="000000"/>
        </w:rPr>
        <w:t>; all authors have read and approved the final manuscript.</w:t>
      </w:r>
    </w:p>
    <w:p w14:paraId="3C75508A" w14:textId="77777777" w:rsidR="00103375" w:rsidRPr="00F0302C" w:rsidRDefault="00103375">
      <w:pPr>
        <w:spacing w:line="360" w:lineRule="auto"/>
        <w:jc w:val="both"/>
        <w:rPr>
          <w:rFonts w:ascii="Book Antiqua" w:hAnsi="Book Antiqua"/>
        </w:rPr>
      </w:pPr>
    </w:p>
    <w:p w14:paraId="7B9F980B"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color w:val="000000"/>
        </w:rPr>
        <w:t xml:space="preserve">Supported by </w:t>
      </w:r>
      <w:r w:rsidRPr="00F0302C">
        <w:rPr>
          <w:rFonts w:ascii="Book Antiqua" w:eastAsia="Book Antiqua" w:hAnsi="Book Antiqua" w:cs="Book Antiqua"/>
          <w:color w:val="000000"/>
        </w:rPr>
        <w:t>the Natural Science Foundation of Shandong Province, No. ZR2021QH110.</w:t>
      </w:r>
    </w:p>
    <w:p w14:paraId="3498DD00" w14:textId="77777777" w:rsidR="00103375" w:rsidRPr="00F0302C" w:rsidRDefault="00103375">
      <w:pPr>
        <w:spacing w:line="360" w:lineRule="auto"/>
        <w:jc w:val="both"/>
        <w:rPr>
          <w:rFonts w:ascii="Book Antiqua" w:hAnsi="Book Antiqua"/>
        </w:rPr>
      </w:pPr>
    </w:p>
    <w:p w14:paraId="67631E57"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color w:val="000000"/>
        </w:rPr>
        <w:t xml:space="preserve">Corresponding author: Hong-Yun Wu, PhD, Director, </w:t>
      </w:r>
      <w:r w:rsidRPr="00F0302C">
        <w:rPr>
          <w:rFonts w:ascii="Book Antiqua" w:eastAsia="Book Antiqua" w:hAnsi="Book Antiqua" w:cs="Book Antiqua"/>
          <w:color w:val="000000"/>
        </w:rPr>
        <w:t>Department of Neurology, Affiliated Hospital of Shandong University of Traditional Chinese Medicine, No. 16</w:t>
      </w:r>
      <w:r w:rsidRPr="00F0302C">
        <w:rPr>
          <w:rFonts w:ascii="Book Antiqua" w:eastAsia="宋体" w:hAnsi="Book Antiqua" w:cs="Book Antiqua"/>
          <w:color w:val="000000"/>
          <w:lang w:eastAsia="zh-CN"/>
        </w:rPr>
        <w:t>3</w:t>
      </w:r>
      <w:r w:rsidRPr="00F0302C">
        <w:rPr>
          <w:rFonts w:ascii="Book Antiqua" w:eastAsia="Book Antiqua" w:hAnsi="Book Antiqua" w:cs="Book Antiqua"/>
          <w:color w:val="000000"/>
        </w:rPr>
        <w:t>69 Jingshi Road, Jinan 2500</w:t>
      </w:r>
      <w:r w:rsidRPr="00F0302C">
        <w:rPr>
          <w:rFonts w:ascii="Book Antiqua" w:eastAsia="宋体" w:hAnsi="Book Antiqua" w:cs="Book Antiqua"/>
          <w:color w:val="000000"/>
          <w:lang w:eastAsia="zh-CN"/>
        </w:rPr>
        <w:t>14</w:t>
      </w:r>
      <w:r w:rsidRPr="00F0302C">
        <w:rPr>
          <w:rFonts w:ascii="Book Antiqua" w:eastAsia="Book Antiqua" w:hAnsi="Book Antiqua" w:cs="Book Antiqua"/>
          <w:color w:val="000000"/>
        </w:rPr>
        <w:t>, Shandong Province, China. whylzhangonly@126.com</w:t>
      </w:r>
    </w:p>
    <w:p w14:paraId="608FEB89" w14:textId="77777777" w:rsidR="00103375" w:rsidRPr="00F0302C" w:rsidRDefault="00103375">
      <w:pPr>
        <w:spacing w:line="360" w:lineRule="auto"/>
        <w:jc w:val="both"/>
        <w:rPr>
          <w:rFonts w:ascii="Book Antiqua" w:hAnsi="Book Antiqua"/>
        </w:rPr>
      </w:pPr>
    </w:p>
    <w:p w14:paraId="0C4BD13F"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t xml:space="preserve">Received: </w:t>
      </w:r>
      <w:r w:rsidRPr="00F0302C">
        <w:rPr>
          <w:rFonts w:ascii="Book Antiqua" w:eastAsia="Book Antiqua" w:hAnsi="Book Antiqua" w:cs="Book Antiqua"/>
        </w:rPr>
        <w:t>April 22, 2023</w:t>
      </w:r>
    </w:p>
    <w:p w14:paraId="53A715A2"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t xml:space="preserve">Revised: </w:t>
      </w:r>
      <w:r w:rsidRPr="00F0302C">
        <w:rPr>
          <w:rFonts w:ascii="Book Antiqua" w:eastAsia="Book Antiqua" w:hAnsi="Book Antiqua" w:cs="Book Antiqua"/>
        </w:rPr>
        <w:t>June 17, 2023</w:t>
      </w:r>
    </w:p>
    <w:p w14:paraId="4BF5C716"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lastRenderedPageBreak/>
        <w:t xml:space="preserve">Accepted: </w:t>
      </w:r>
      <w:r w:rsidRPr="00F0302C">
        <w:rPr>
          <w:rFonts w:ascii="Book Antiqua" w:eastAsia="Book Antiqua" w:hAnsi="Book Antiqua" w:cs="Book Antiqua"/>
        </w:rPr>
        <w:t>July 17, 2023</w:t>
      </w:r>
    </w:p>
    <w:p w14:paraId="2EE36BAA" w14:textId="5590F0B5"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t>Published online:</w:t>
      </w:r>
      <w:r w:rsidR="00447D2B" w:rsidRPr="00F0302C">
        <w:rPr>
          <w:rFonts w:ascii="Book Antiqua" w:hAnsi="Book Antiqua"/>
          <w:color w:val="000000"/>
          <w:shd w:val="clear" w:color="auto" w:fill="FFFFFF"/>
        </w:rPr>
        <w:t xml:space="preserve"> August 16, 2023</w:t>
      </w:r>
      <w:r w:rsidRPr="00F0302C">
        <w:rPr>
          <w:rFonts w:ascii="Book Antiqua" w:eastAsia="Book Antiqua" w:hAnsi="Book Antiqua" w:cs="Book Antiqua"/>
          <w:b/>
          <w:bCs/>
        </w:rPr>
        <w:t xml:space="preserve"> </w:t>
      </w:r>
    </w:p>
    <w:p w14:paraId="65A615F9" w14:textId="77777777" w:rsidR="00103375" w:rsidRPr="00F0302C" w:rsidRDefault="00103375">
      <w:pPr>
        <w:spacing w:line="360" w:lineRule="auto"/>
        <w:jc w:val="both"/>
        <w:rPr>
          <w:rFonts w:ascii="Book Antiqua" w:hAnsi="Book Antiqua"/>
        </w:rPr>
        <w:sectPr w:rsidR="00103375" w:rsidRPr="00F0302C">
          <w:footerReference w:type="default" r:id="rId6"/>
          <w:pgSz w:w="12240" w:h="15840"/>
          <w:pgMar w:top="1440" w:right="1440" w:bottom="1440" w:left="1440" w:header="720" w:footer="720" w:gutter="0"/>
          <w:cols w:space="720"/>
          <w:docGrid w:linePitch="360"/>
        </w:sectPr>
      </w:pPr>
    </w:p>
    <w:p w14:paraId="2FA5DAA8"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lastRenderedPageBreak/>
        <w:t>Abstract</w:t>
      </w:r>
    </w:p>
    <w:p w14:paraId="08C239C6"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BACKGROUND</w:t>
      </w:r>
    </w:p>
    <w:p w14:paraId="1E2F1322"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A few reports have revealed induction of rhabdomyolysis by a red yeast rice (RYR) supplement or by RYR in combination with abiraterone (an androgen biosynthesis inhibitor).</w:t>
      </w:r>
    </w:p>
    <w:p w14:paraId="0EFDCDA8" w14:textId="77777777" w:rsidR="00103375" w:rsidRPr="00F0302C" w:rsidRDefault="00103375">
      <w:pPr>
        <w:spacing w:line="360" w:lineRule="auto"/>
        <w:jc w:val="both"/>
        <w:rPr>
          <w:rFonts w:ascii="Book Antiqua" w:hAnsi="Book Antiqua"/>
        </w:rPr>
      </w:pPr>
    </w:p>
    <w:p w14:paraId="39C75264"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CASE SUMMARY</w:t>
      </w:r>
    </w:p>
    <w:p w14:paraId="2EB08E30" w14:textId="77777777" w:rsidR="00103375" w:rsidRPr="00F0302C" w:rsidRDefault="00000000">
      <w:pPr>
        <w:spacing w:line="360" w:lineRule="auto"/>
        <w:jc w:val="both"/>
        <w:rPr>
          <w:rFonts w:ascii="Book Antiqua" w:hAnsi="Book Antiqua"/>
        </w:rPr>
      </w:pPr>
      <w:r w:rsidRPr="00F0302C">
        <w:rPr>
          <w:rFonts w:ascii="Book Antiqua" w:eastAsia="宋体" w:hAnsi="Book Antiqua" w:cs="Book Antiqua" w:hint="eastAsia"/>
          <w:lang w:eastAsia="zh-CN"/>
        </w:rPr>
        <w:t xml:space="preserve">A </w:t>
      </w:r>
      <w:r w:rsidRPr="00F0302C">
        <w:rPr>
          <w:rFonts w:ascii="Book Antiqua" w:eastAsia="Book Antiqua" w:hAnsi="Book Antiqua" w:cs="Book Antiqua"/>
        </w:rPr>
        <w:t>76-year-old ma</w:t>
      </w:r>
      <w:r w:rsidRPr="00F0302C">
        <w:rPr>
          <w:rFonts w:ascii="Book Antiqua" w:eastAsia="宋体" w:hAnsi="Book Antiqua" w:cs="Book Antiqua" w:hint="eastAsia"/>
          <w:lang w:eastAsia="zh-CN"/>
        </w:rPr>
        <w:t>n</w:t>
      </w:r>
      <w:r w:rsidRPr="00F0302C">
        <w:rPr>
          <w:rFonts w:ascii="Book Antiqua" w:eastAsia="Book Antiqua" w:hAnsi="Book Antiqua" w:cs="Book Antiqua"/>
        </w:rPr>
        <w:t xml:space="preserve"> presented</w:t>
      </w:r>
      <w:r w:rsidRPr="00F0302C">
        <w:rPr>
          <w:rFonts w:ascii="Book Antiqua" w:eastAsia="宋体" w:hAnsi="Book Antiqua" w:cs="Book Antiqua" w:hint="eastAsia"/>
          <w:lang w:eastAsia="zh-CN"/>
        </w:rPr>
        <w:t xml:space="preserve"> </w:t>
      </w:r>
      <w:r w:rsidRPr="00F0302C">
        <w:rPr>
          <w:rFonts w:ascii="Book Antiqua" w:eastAsia="Book Antiqua" w:hAnsi="Book Antiqua" w:cs="Book Antiqua"/>
        </w:rPr>
        <w:t>with progressive limb weakness, muscle soreness, and acute kidney injury (AKI)</w:t>
      </w:r>
      <w:r w:rsidRPr="00F0302C">
        <w:rPr>
          <w:rFonts w:ascii="Book Antiqua" w:eastAsia="宋体" w:hAnsi="Book Antiqua" w:cs="Book Antiqua" w:hint="eastAsia"/>
          <w:lang w:eastAsia="zh-CN"/>
        </w:rPr>
        <w:t xml:space="preserve">. </w:t>
      </w:r>
      <w:r w:rsidRPr="00F0302C">
        <w:rPr>
          <w:rFonts w:ascii="Book Antiqua" w:eastAsia="Book Antiqua" w:hAnsi="Book Antiqua" w:cs="Book Antiqua"/>
        </w:rPr>
        <w:t>He had been taking the anti-prostate cancer drug abiraterone for 14 mo and had added</w:t>
      </w:r>
      <w:r w:rsidRPr="00F0302C">
        <w:rPr>
          <w:rFonts w:ascii="Book Antiqua" w:eastAsia="宋体" w:hAnsi="Book Antiqua" w:cs="Book Antiqua" w:hint="eastAsia"/>
          <w:lang w:eastAsia="zh-CN"/>
        </w:rPr>
        <w:t xml:space="preserve"> a </w:t>
      </w:r>
      <w:r w:rsidRPr="00F0302C">
        <w:rPr>
          <w:rFonts w:ascii="Book Antiqua" w:eastAsia="Book Antiqua" w:hAnsi="Book Antiqua" w:cs="Book Antiqua"/>
        </w:rPr>
        <w:t>RYR supplement 3 mo before symptom onset.</w:t>
      </w:r>
      <w:r w:rsidRPr="00F0302C">
        <w:rPr>
          <w:rFonts w:ascii="Book Antiqua" w:eastAsia="宋体" w:hAnsi="Book Antiqua" w:cs="Book Antiqua" w:hint="eastAsia"/>
          <w:lang w:eastAsia="zh-CN"/>
        </w:rPr>
        <w:t xml:space="preserve"> After being </w:t>
      </w:r>
      <w:r w:rsidRPr="00F0302C">
        <w:rPr>
          <w:rFonts w:ascii="Book Antiqua" w:eastAsia="Book Antiqua" w:hAnsi="Book Antiqua" w:cs="Book Antiqua"/>
        </w:rPr>
        <w:t>diagnosed with rhabdomyolysis-induced AKI</w:t>
      </w:r>
      <w:r w:rsidRPr="00F0302C">
        <w:rPr>
          <w:rFonts w:ascii="Book Antiqua" w:eastAsia="宋体" w:hAnsi="Book Antiqua" w:cs="Book Antiqua" w:hint="eastAsia"/>
          <w:lang w:eastAsia="zh-CN"/>
        </w:rPr>
        <w:t>, t</w:t>
      </w:r>
      <w:r w:rsidRPr="00F0302C">
        <w:rPr>
          <w:rFonts w:ascii="Book Antiqua" w:eastAsia="Book Antiqua" w:hAnsi="Book Antiqua" w:cs="Book Antiqua"/>
        </w:rPr>
        <w:t>he patient discontinued these drugs and responded well to hemodialysis and hemoperfusion. After 23 d of treatment, creatine kinase levels returned to normal and serum creatinine levels decreased.</w:t>
      </w:r>
    </w:p>
    <w:p w14:paraId="464B8255" w14:textId="77777777" w:rsidR="00103375" w:rsidRPr="00F0302C" w:rsidRDefault="00103375">
      <w:pPr>
        <w:spacing w:line="360" w:lineRule="auto"/>
        <w:jc w:val="both"/>
        <w:rPr>
          <w:rFonts w:ascii="Book Antiqua" w:hAnsi="Book Antiqua"/>
        </w:rPr>
      </w:pPr>
    </w:p>
    <w:p w14:paraId="59D3C7E0"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CONCLUSION</w:t>
      </w:r>
    </w:p>
    <w:p w14:paraId="2CA7C3C7"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We speculate that statins, the main lipid-lowering component of RYR, or a combination of statins and abiraterone, will increase the risk of rhabdomyolysis.</w:t>
      </w:r>
    </w:p>
    <w:p w14:paraId="3B0E763F" w14:textId="77777777" w:rsidR="00103375" w:rsidRPr="00F0302C" w:rsidRDefault="00103375">
      <w:pPr>
        <w:spacing w:line="360" w:lineRule="auto"/>
        <w:jc w:val="both"/>
        <w:rPr>
          <w:rFonts w:ascii="Book Antiqua" w:hAnsi="Book Antiqua"/>
        </w:rPr>
      </w:pPr>
    </w:p>
    <w:p w14:paraId="34DB1745"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t xml:space="preserve">Key Words: </w:t>
      </w:r>
      <w:r w:rsidRPr="00F0302C">
        <w:rPr>
          <w:rFonts w:ascii="Book Antiqua" w:eastAsia="Book Antiqua" w:hAnsi="Book Antiqua" w:cs="Book Antiqua"/>
        </w:rPr>
        <w:t>Rhabdomyolysis; Acute kidney injury; Lovastatin; Abiraterone; Case report</w:t>
      </w:r>
    </w:p>
    <w:p w14:paraId="54187760" w14:textId="77777777" w:rsidR="00103375" w:rsidRPr="00F0302C" w:rsidRDefault="00103375">
      <w:pPr>
        <w:spacing w:line="360" w:lineRule="auto"/>
        <w:jc w:val="both"/>
        <w:rPr>
          <w:rFonts w:ascii="Book Antiqua" w:hAnsi="Book Antiqua"/>
        </w:rPr>
      </w:pPr>
    </w:p>
    <w:p w14:paraId="459DB2CD" w14:textId="77777777" w:rsidR="00F0302C" w:rsidRPr="00F0302C" w:rsidRDefault="00F0302C" w:rsidP="00F0302C">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F0302C">
        <w:rPr>
          <w:rFonts w:ascii="Book Antiqua" w:eastAsia="Book Antiqua" w:hAnsi="Book Antiqua" w:cs="Book Antiqua" w:hint="eastAsia"/>
          <w:b/>
          <w:color w:val="000000"/>
        </w:rPr>
        <w:t>©</w:t>
      </w:r>
      <w:r w:rsidRPr="00F0302C">
        <w:rPr>
          <w:rFonts w:ascii="Book Antiqua" w:eastAsia="Book Antiqua" w:hAnsi="Book Antiqua" w:cs="Book Antiqua"/>
          <w:b/>
          <w:color w:val="000000"/>
        </w:rPr>
        <w:t>The</w:t>
      </w:r>
      <w:r w:rsidRPr="00F0302C">
        <w:rPr>
          <w:rFonts w:ascii="Book Antiqua" w:eastAsia="Book Antiqua" w:hAnsi="Book Antiqua" w:cs="Book Antiqua"/>
          <w:color w:val="000000"/>
        </w:rPr>
        <w:t xml:space="preserve"> </w:t>
      </w:r>
      <w:r w:rsidRPr="00F0302C">
        <w:rPr>
          <w:rFonts w:ascii="Book Antiqua" w:eastAsia="Book Antiqua" w:hAnsi="Book Antiqua" w:cs="Book Antiqua"/>
          <w:b/>
          <w:color w:val="000000"/>
        </w:rPr>
        <w:t xml:space="preserve">Author(s) 2023. </w:t>
      </w:r>
      <w:r w:rsidRPr="00F0302C">
        <w:rPr>
          <w:rFonts w:ascii="Book Antiqua" w:eastAsia="Book Antiqua" w:hAnsi="Book Antiqua" w:cs="Book Antiqua"/>
          <w:color w:val="000000"/>
        </w:rPr>
        <w:t>Published by Baishideng Publishing Group Inc. All rights reserved.</w:t>
      </w:r>
      <w:bookmarkEnd w:id="0"/>
      <w:r w:rsidRPr="00F0302C">
        <w:rPr>
          <w:rFonts w:ascii="Book Antiqua" w:eastAsia="Book Antiqua" w:hAnsi="Book Antiqua" w:cs="Book Antiqua"/>
          <w:color w:val="000000"/>
        </w:rPr>
        <w:t xml:space="preserve"> </w:t>
      </w:r>
    </w:p>
    <w:bookmarkEnd w:id="1"/>
    <w:p w14:paraId="4DE12DDA" w14:textId="77777777" w:rsidR="00F0302C" w:rsidRPr="00F0302C" w:rsidRDefault="00F0302C" w:rsidP="00F0302C">
      <w:pPr>
        <w:spacing w:line="360" w:lineRule="auto"/>
        <w:jc w:val="both"/>
        <w:rPr>
          <w:lang w:eastAsia="zh-CN"/>
        </w:rPr>
      </w:pPr>
    </w:p>
    <w:p w14:paraId="6F4C7861" w14:textId="77777777" w:rsidR="00F0302C" w:rsidRPr="00F0302C" w:rsidRDefault="00F0302C" w:rsidP="00F0302C">
      <w:pPr>
        <w:spacing w:line="360" w:lineRule="auto"/>
        <w:jc w:val="both"/>
        <w:rPr>
          <w:rFonts w:ascii="Book Antiqua" w:eastAsia="Book Antiqua" w:hAnsi="Book Antiqua" w:cs="Book Antiqua"/>
        </w:rPr>
      </w:pPr>
      <w:bookmarkStart w:id="4" w:name="_Hlk88512899"/>
      <w:bookmarkStart w:id="5" w:name="_Hlk88512352"/>
      <w:bookmarkEnd w:id="2"/>
      <w:r w:rsidRPr="00F0302C">
        <w:rPr>
          <w:rFonts w:ascii="Book Antiqua" w:hAnsi="Book Antiqua" w:cs="Book Antiqua" w:hint="eastAsia"/>
          <w:b/>
          <w:color w:val="000000"/>
          <w:lang w:eastAsia="zh-CN"/>
        </w:rPr>
        <w:t>Citation:</w:t>
      </w:r>
      <w:bookmarkEnd w:id="3"/>
      <w:bookmarkEnd w:id="4"/>
      <w:r w:rsidRPr="00F0302C">
        <w:rPr>
          <w:rFonts w:ascii="Book Antiqua" w:hAnsi="Book Antiqua" w:cs="Book Antiqua" w:hint="eastAsia"/>
          <w:color w:val="000000"/>
          <w:lang w:eastAsia="zh-CN"/>
        </w:rPr>
        <w:t xml:space="preserve"> </w:t>
      </w:r>
      <w:bookmarkEnd w:id="5"/>
      <w:r w:rsidRPr="00F0302C">
        <w:rPr>
          <w:rFonts w:ascii="Book Antiqua" w:eastAsia="Book Antiqua" w:hAnsi="Book Antiqua" w:cs="Book Antiqua"/>
        </w:rPr>
        <w:t xml:space="preserve">Wang YH, Zhang SS, Li HT, Zhi HW, Wu HY. Rhabdomyolysis-induced acute kidney injury after administration of </w:t>
      </w:r>
      <w:r w:rsidRPr="00F0302C">
        <w:rPr>
          <w:rFonts w:ascii="Book Antiqua" w:eastAsia="宋体" w:hAnsi="Book Antiqua" w:cs="Book Antiqua" w:hint="eastAsia"/>
          <w:lang w:eastAsia="zh-CN"/>
        </w:rPr>
        <w:t xml:space="preserve">a </w:t>
      </w:r>
      <w:r w:rsidRPr="00F0302C">
        <w:rPr>
          <w:rFonts w:ascii="Book Antiqua" w:eastAsia="Book Antiqua" w:hAnsi="Book Antiqua" w:cs="Book Antiqua"/>
        </w:rPr>
        <w:t xml:space="preserve">red yeast rice supplement: A case report. </w:t>
      </w:r>
      <w:r w:rsidRPr="00F0302C">
        <w:rPr>
          <w:rFonts w:ascii="Book Antiqua" w:eastAsia="Book Antiqua" w:hAnsi="Book Antiqua" w:cs="Book Antiqua"/>
          <w:i/>
          <w:iCs/>
        </w:rPr>
        <w:t>World J Clin Cases</w:t>
      </w:r>
      <w:r w:rsidRPr="00F0302C">
        <w:rPr>
          <w:rFonts w:ascii="Book Antiqua" w:eastAsia="Book Antiqua" w:hAnsi="Book Antiqua" w:cs="Book Antiqua"/>
        </w:rPr>
        <w:t xml:space="preserve"> 2023; </w:t>
      </w:r>
      <w:r w:rsidR="00447D2B" w:rsidRPr="00F0302C">
        <w:rPr>
          <w:rFonts w:ascii="Book Antiqua" w:eastAsia="Book Antiqua" w:hAnsi="Book Antiqua" w:cs="Book Antiqua"/>
        </w:rPr>
        <w:t xml:space="preserve">11(23): </w:t>
      </w:r>
      <w:r w:rsidRPr="00F0302C">
        <w:rPr>
          <w:rFonts w:ascii="Book Antiqua" w:eastAsia="Book Antiqua" w:hAnsi="Book Antiqua" w:cs="Book Antiqua"/>
        </w:rPr>
        <w:t>5547</w:t>
      </w:r>
      <w:r w:rsidR="00447D2B" w:rsidRPr="00F0302C">
        <w:rPr>
          <w:rFonts w:ascii="Book Antiqua" w:eastAsia="Book Antiqua" w:hAnsi="Book Antiqua" w:cs="Book Antiqua"/>
        </w:rPr>
        <w:t>-</w:t>
      </w:r>
      <w:r w:rsidRPr="00F0302C">
        <w:rPr>
          <w:rFonts w:ascii="Book Antiqua" w:eastAsia="Book Antiqua" w:hAnsi="Book Antiqua" w:cs="Book Antiqua"/>
        </w:rPr>
        <w:t>5553</w:t>
      </w:r>
    </w:p>
    <w:p w14:paraId="1019759F" w14:textId="646A7283" w:rsidR="00F0302C" w:rsidRPr="00F0302C" w:rsidRDefault="00447D2B" w:rsidP="00F0302C">
      <w:pPr>
        <w:spacing w:line="360" w:lineRule="auto"/>
        <w:jc w:val="both"/>
        <w:rPr>
          <w:rFonts w:ascii="Book Antiqua" w:eastAsia="Book Antiqua" w:hAnsi="Book Antiqua" w:cs="Book Antiqua"/>
        </w:rPr>
      </w:pPr>
      <w:r w:rsidRPr="00F0302C">
        <w:rPr>
          <w:rFonts w:ascii="Book Antiqua" w:eastAsia="Book Antiqua" w:hAnsi="Book Antiqua" w:cs="Book Antiqua"/>
          <w:b/>
          <w:bCs/>
        </w:rPr>
        <w:t>URL:</w:t>
      </w:r>
      <w:r w:rsidRPr="00F0302C">
        <w:rPr>
          <w:rFonts w:ascii="Book Antiqua" w:eastAsia="Book Antiqua" w:hAnsi="Book Antiqua" w:cs="Book Antiqua"/>
        </w:rPr>
        <w:t xml:space="preserve"> </w:t>
      </w:r>
      <w:hyperlink r:id="rId7" w:history="1">
        <w:r w:rsidR="00F0302C" w:rsidRPr="00F0302C">
          <w:rPr>
            <w:rStyle w:val="af"/>
            <w:rFonts w:ascii="Book Antiqua" w:eastAsia="Book Antiqua" w:hAnsi="Book Antiqua" w:cs="Book Antiqua"/>
          </w:rPr>
          <w:t>https://www.wjgnet.com/2307-8960/full/v11/i23/5547.htm</w:t>
        </w:r>
      </w:hyperlink>
    </w:p>
    <w:p w14:paraId="49A87863" w14:textId="658A923F" w:rsidR="00103375" w:rsidRPr="00F0302C" w:rsidRDefault="00447D2B" w:rsidP="00F0302C">
      <w:pPr>
        <w:spacing w:line="360" w:lineRule="auto"/>
        <w:jc w:val="both"/>
        <w:rPr>
          <w:rFonts w:ascii="Book Antiqua" w:hAnsi="Book Antiqua"/>
        </w:rPr>
      </w:pPr>
      <w:r w:rsidRPr="00F0302C">
        <w:rPr>
          <w:rFonts w:ascii="Book Antiqua" w:eastAsia="Book Antiqua" w:hAnsi="Book Antiqua" w:cs="Book Antiqua"/>
          <w:b/>
          <w:bCs/>
        </w:rPr>
        <w:t>DOI:</w:t>
      </w:r>
      <w:r w:rsidRPr="00F0302C">
        <w:rPr>
          <w:rFonts w:ascii="Book Antiqua" w:eastAsia="Book Antiqua" w:hAnsi="Book Antiqua" w:cs="Book Antiqua"/>
        </w:rPr>
        <w:t xml:space="preserve"> https://dx.doi.org/10.12998/wjcc.v11.i23.</w:t>
      </w:r>
      <w:r w:rsidR="00F0302C" w:rsidRPr="00F0302C">
        <w:rPr>
          <w:rFonts w:ascii="Book Antiqua" w:eastAsia="Book Antiqua" w:hAnsi="Book Antiqua" w:cs="Book Antiqua"/>
        </w:rPr>
        <w:t>5547</w:t>
      </w:r>
    </w:p>
    <w:p w14:paraId="5F1F57FD" w14:textId="77777777" w:rsidR="00103375" w:rsidRPr="00F0302C" w:rsidRDefault="00103375">
      <w:pPr>
        <w:spacing w:line="360" w:lineRule="auto"/>
        <w:jc w:val="both"/>
        <w:rPr>
          <w:rFonts w:ascii="Book Antiqua" w:hAnsi="Book Antiqua"/>
        </w:rPr>
      </w:pPr>
    </w:p>
    <w:p w14:paraId="507F5F93"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lastRenderedPageBreak/>
        <w:t xml:space="preserve">Core Tip: </w:t>
      </w:r>
      <w:r w:rsidRPr="00F0302C">
        <w:rPr>
          <w:rFonts w:ascii="Book Antiqua" w:eastAsia="Book Antiqua" w:hAnsi="Book Antiqua" w:cs="Book Antiqua"/>
        </w:rPr>
        <w:t>In September 2021, a 76-year-old ma</w:t>
      </w:r>
      <w:r w:rsidRPr="00F0302C">
        <w:rPr>
          <w:rFonts w:ascii="Book Antiqua" w:eastAsia="宋体" w:hAnsi="Book Antiqua" w:cs="Book Antiqua" w:hint="eastAsia"/>
          <w:lang w:eastAsia="zh-CN"/>
        </w:rPr>
        <w:t>n</w:t>
      </w:r>
      <w:r w:rsidRPr="00F0302C">
        <w:rPr>
          <w:rFonts w:ascii="Book Antiqua" w:eastAsia="Book Antiqua" w:hAnsi="Book Antiqua" w:cs="Book Antiqua"/>
        </w:rPr>
        <w:t xml:space="preserve"> presented with muscle soreness, limb weakness, and impaired kidney function. He had been taking the anti-prostate cancer drug abiraterone for 14 mo and had added </w:t>
      </w:r>
      <w:r w:rsidRPr="00F0302C">
        <w:rPr>
          <w:rFonts w:ascii="Book Antiqua" w:eastAsia="宋体" w:hAnsi="Book Antiqua" w:cs="Book Antiqua" w:hint="eastAsia"/>
          <w:lang w:eastAsia="zh-CN"/>
        </w:rPr>
        <w:t xml:space="preserve">a </w:t>
      </w:r>
      <w:r w:rsidRPr="00F0302C">
        <w:rPr>
          <w:rFonts w:ascii="Book Antiqua" w:eastAsia="Book Antiqua" w:hAnsi="Book Antiqua" w:cs="Book Antiqua"/>
        </w:rPr>
        <w:t>red yeast rice (RYR) supplement 3 mo before symptom onset. The patient was asked to stop taking these two drugs. He then underwent hemodialysis and hemoperfusion therapy. We measured renal function and muscle damage indicators continuously for 23 d until they returned to normal. The statin content of RYR supplements should be kept in mind, as well as the increased risk of muscle and kidney damage when combined with abiraterone.</w:t>
      </w:r>
    </w:p>
    <w:p w14:paraId="41825C00" w14:textId="77777777" w:rsidR="00103375" w:rsidRPr="00F0302C" w:rsidRDefault="00103375">
      <w:pPr>
        <w:spacing w:line="360" w:lineRule="auto"/>
        <w:jc w:val="both"/>
        <w:rPr>
          <w:rFonts w:ascii="Book Antiqua" w:hAnsi="Book Antiqua"/>
        </w:rPr>
      </w:pPr>
    </w:p>
    <w:p w14:paraId="41103E6C"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aps/>
          <w:color w:val="000000"/>
          <w:u w:val="single"/>
        </w:rPr>
        <w:t>INTRODUCTION</w:t>
      </w:r>
    </w:p>
    <w:p w14:paraId="27378795"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 xml:space="preserve">Abiraterone is an oral 17α-hydroxylase/C17,20-lyase (CYP17) inhibitor that blocks the production of the testosterone precursor dehydroepiandrosterone (DHEA). It was approved by the </w:t>
      </w:r>
      <w:r w:rsidRPr="00F0302C">
        <w:rPr>
          <w:rFonts w:ascii="Book Antiqua" w:eastAsia="Book Antiqua" w:hAnsi="Book Antiqua" w:cs="Book Antiqua" w:hint="eastAsia"/>
          <w:color w:val="000000"/>
        </w:rPr>
        <w:t>Food and Drug Administration</w:t>
      </w:r>
      <w:r w:rsidRPr="00F0302C">
        <w:rPr>
          <w:rFonts w:ascii="Book Antiqua" w:eastAsia="Book Antiqua" w:hAnsi="Book Antiqua" w:cs="Book Antiqua"/>
          <w:color w:val="000000"/>
        </w:rPr>
        <w:t xml:space="preserve"> in 2012 for the treatment of metastatic castration-resistant prostate cancer (mCRPC). Red yeast rice (RYR) is a dietary supplement for patients with dyslipidemia and is widely consumed by the elderly in most countries</w:t>
      </w:r>
      <w:r w:rsidRPr="00F0302C">
        <w:rPr>
          <w:rFonts w:ascii="Book Antiqua" w:eastAsia="Book Antiqua" w:hAnsi="Book Antiqua" w:cs="Book Antiqua"/>
          <w:color w:val="000000"/>
          <w:vertAlign w:val="superscript"/>
        </w:rPr>
        <w:t>[1]</w:t>
      </w:r>
      <w:r w:rsidRPr="00F0302C">
        <w:rPr>
          <w:rFonts w:ascii="Book Antiqua" w:eastAsia="Book Antiqua" w:hAnsi="Book Antiqua" w:cs="Book Antiqua"/>
          <w:color w:val="000000"/>
        </w:rPr>
        <w:t xml:space="preserve">. Its main lipid-lowering component, monacolin K (lovastatin), is a 3-hydroxy-3-methylglutaryl-coenzyme A (HMG-CoA) reductase inhibitor. Lipid-lowering statins, which reduce lipid content in the blood but may impair liver and kidney function or induce muscle damage </w:t>
      </w:r>
      <w:r w:rsidRPr="00F0302C">
        <w:rPr>
          <w:rFonts w:ascii="Book Antiqua" w:eastAsia="宋体" w:hAnsi="Book Antiqua" w:cs="Book Antiqua" w:hint="eastAsia"/>
          <w:color w:val="000000"/>
          <w:lang w:eastAsia="zh-CN"/>
        </w:rPr>
        <w:t xml:space="preserve">when </w:t>
      </w:r>
      <w:r w:rsidRPr="00F0302C">
        <w:rPr>
          <w:rFonts w:ascii="Book Antiqua" w:eastAsia="Book Antiqua" w:hAnsi="Book Antiqua" w:cs="Book Antiqua"/>
          <w:color w:val="000000"/>
        </w:rPr>
        <w:t>in combination with abiraterone, can improve the overall survival of patients with mCRPC</w:t>
      </w:r>
      <w:r w:rsidRPr="00F0302C">
        <w:rPr>
          <w:rFonts w:ascii="Book Antiqua" w:eastAsia="Book Antiqua" w:hAnsi="Book Antiqua" w:cs="Book Antiqua"/>
          <w:color w:val="000000"/>
          <w:vertAlign w:val="superscript"/>
        </w:rPr>
        <w:t>[2]</w:t>
      </w:r>
      <w:r w:rsidRPr="00F0302C">
        <w:rPr>
          <w:rFonts w:ascii="Book Antiqua" w:eastAsia="Book Antiqua" w:hAnsi="Book Antiqua" w:cs="Book Antiqua"/>
          <w:color w:val="000000"/>
        </w:rPr>
        <w:t xml:space="preserve">. The combined lipid reduction and increased survival in mCRPC </w:t>
      </w:r>
      <w:r w:rsidRPr="00F0302C">
        <w:rPr>
          <w:rFonts w:ascii="Book Antiqua" w:eastAsia="宋体" w:hAnsi="Book Antiqua" w:cs="Book Antiqua" w:hint="eastAsia"/>
          <w:color w:val="000000"/>
          <w:lang w:eastAsia="zh-CN"/>
        </w:rPr>
        <w:t>are</w:t>
      </w:r>
      <w:r w:rsidRPr="00F0302C">
        <w:rPr>
          <w:rFonts w:ascii="Book Antiqua" w:eastAsia="Book Antiqua" w:hAnsi="Book Antiqua" w:cs="Book Antiqua"/>
          <w:color w:val="000000"/>
        </w:rPr>
        <w:t xml:space="preserve"> achieved by lowering cholesterol (a DHEA precursor), reducing DHEA transport across cell membranes, and reducing steroid biosynthesis</w:t>
      </w:r>
      <w:r w:rsidRPr="00F0302C">
        <w:rPr>
          <w:rFonts w:ascii="Book Antiqua" w:eastAsia="Book Antiqua" w:hAnsi="Book Antiqua" w:cs="Book Antiqua"/>
          <w:color w:val="000000"/>
          <w:vertAlign w:val="superscript"/>
        </w:rPr>
        <w:t>[3]</w:t>
      </w:r>
      <w:r w:rsidRPr="00F0302C">
        <w:rPr>
          <w:rFonts w:ascii="Book Antiqua" w:eastAsia="Book Antiqua" w:hAnsi="Book Antiqua" w:cs="Book Antiqua"/>
          <w:color w:val="000000"/>
        </w:rPr>
        <w:t>. However, because cytochrome P450 (CYP) is involved in drug metabolism, oral administration of anticancer drugs increases the likelihood of drug–drug interactions. Unlike ketaconazole, an earlier treatment in patients with mCSPC, abiraterone has not been reported to interfere with statin metabolism. However, the present case report suggests that</w:t>
      </w:r>
      <w:r w:rsidRPr="00F0302C">
        <w:rPr>
          <w:rFonts w:ascii="Book Antiqua" w:eastAsia="宋体" w:hAnsi="Book Antiqua" w:cs="Book Antiqua" w:hint="eastAsia"/>
          <w:color w:val="000000"/>
          <w:lang w:eastAsia="zh-CN"/>
        </w:rPr>
        <w:t xml:space="preserve"> </w:t>
      </w:r>
      <w:r w:rsidRPr="00F0302C">
        <w:rPr>
          <w:rFonts w:ascii="Book Antiqua" w:eastAsia="Book Antiqua" w:hAnsi="Book Antiqua" w:cs="Book Antiqua"/>
          <w:color w:val="000000"/>
        </w:rPr>
        <w:t>RYR or the RYR–abiraterone interaction may cause rhabdomyolysis.</w:t>
      </w:r>
    </w:p>
    <w:p w14:paraId="18592A82" w14:textId="77777777" w:rsidR="00103375" w:rsidRPr="00F0302C" w:rsidRDefault="00103375">
      <w:pPr>
        <w:spacing w:line="360" w:lineRule="auto"/>
        <w:jc w:val="both"/>
        <w:rPr>
          <w:rFonts w:ascii="Book Antiqua" w:hAnsi="Book Antiqua"/>
        </w:rPr>
      </w:pPr>
    </w:p>
    <w:p w14:paraId="2FC08CBA"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aps/>
          <w:color w:val="000000"/>
          <w:u w:val="single"/>
        </w:rPr>
        <w:lastRenderedPageBreak/>
        <w:t>CASE PRESENTATION</w:t>
      </w:r>
    </w:p>
    <w:p w14:paraId="08E38AB3"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i/>
          <w:color w:val="000000"/>
        </w:rPr>
        <w:t>Chief complaints</w:t>
      </w:r>
    </w:p>
    <w:p w14:paraId="1C4CA150"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A 76-year-old ma</w:t>
      </w:r>
      <w:r w:rsidRPr="00F0302C">
        <w:rPr>
          <w:rFonts w:ascii="Book Antiqua" w:eastAsia="宋体" w:hAnsi="Book Antiqua" w:cs="Book Antiqua" w:hint="eastAsia"/>
          <w:color w:val="000000"/>
          <w:lang w:eastAsia="zh-CN"/>
        </w:rPr>
        <w:t>n</w:t>
      </w:r>
      <w:r w:rsidRPr="00F0302C">
        <w:rPr>
          <w:rFonts w:ascii="Book Antiqua" w:eastAsia="Book Antiqua" w:hAnsi="Book Antiqua" w:cs="Book Antiqua"/>
          <w:color w:val="000000"/>
        </w:rPr>
        <w:t xml:space="preserve"> was admitted to the Neurology Department of our hospital on September 9, 2021, because of weakness and pain below the waist for 1 mo and weakness in both arms for </w:t>
      </w:r>
      <w:r w:rsidRPr="00F0302C">
        <w:rPr>
          <w:rFonts w:ascii="Book Antiqua" w:eastAsia="宋体" w:hAnsi="Book Antiqua" w:cs="Book Antiqua" w:hint="eastAsia"/>
          <w:color w:val="000000"/>
          <w:lang w:eastAsia="zh-CN"/>
        </w:rPr>
        <w:t>1</w:t>
      </w:r>
      <w:r w:rsidRPr="00F0302C">
        <w:rPr>
          <w:rFonts w:ascii="Book Antiqua" w:eastAsia="Book Antiqua" w:hAnsi="Book Antiqua" w:cs="Book Antiqua"/>
          <w:color w:val="000000"/>
        </w:rPr>
        <w:t xml:space="preserve"> wk. </w:t>
      </w:r>
    </w:p>
    <w:p w14:paraId="42D53AF3" w14:textId="77777777" w:rsidR="00103375" w:rsidRPr="00F0302C" w:rsidRDefault="00103375">
      <w:pPr>
        <w:spacing w:line="360" w:lineRule="auto"/>
        <w:jc w:val="both"/>
        <w:rPr>
          <w:rFonts w:ascii="Book Antiqua" w:hAnsi="Book Antiqua"/>
        </w:rPr>
      </w:pPr>
    </w:p>
    <w:p w14:paraId="094361A9"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i/>
          <w:color w:val="000000"/>
        </w:rPr>
        <w:t>History of present illness</w:t>
      </w:r>
    </w:p>
    <w:p w14:paraId="79063AA7" w14:textId="77777777" w:rsidR="00103375" w:rsidRPr="00F0302C" w:rsidRDefault="00000000">
      <w:pPr>
        <w:spacing w:line="360" w:lineRule="auto"/>
        <w:jc w:val="both"/>
        <w:rPr>
          <w:rFonts w:ascii="Book Antiqua" w:hAnsi="Book Antiqua"/>
        </w:rPr>
      </w:pPr>
      <w:r w:rsidRPr="00F0302C">
        <w:rPr>
          <w:rFonts w:ascii="Book Antiqua" w:eastAsia="宋体" w:hAnsi="Book Antiqua" w:cs="Book Antiqua" w:hint="eastAsia"/>
          <w:color w:val="000000"/>
          <w:lang w:eastAsia="zh-CN"/>
        </w:rPr>
        <w:t>The patient</w:t>
      </w:r>
      <w:r w:rsidRPr="00F0302C">
        <w:rPr>
          <w:rFonts w:ascii="Book Antiqua" w:eastAsia="Book Antiqua" w:hAnsi="Book Antiqua" w:cs="Book Antiqua"/>
          <w:color w:val="000000"/>
        </w:rPr>
        <w:t xml:space="preserve"> was admitted</w:t>
      </w:r>
      <w:r w:rsidRPr="00F0302C">
        <w:rPr>
          <w:rFonts w:ascii="Book Antiqua" w:eastAsia="宋体" w:hAnsi="Book Antiqua" w:cs="Book Antiqua" w:hint="eastAsia"/>
          <w:color w:val="000000"/>
          <w:lang w:eastAsia="zh-CN"/>
        </w:rPr>
        <w:t xml:space="preserve"> </w:t>
      </w:r>
      <w:r w:rsidRPr="00F0302C">
        <w:rPr>
          <w:rFonts w:ascii="Book Antiqua" w:eastAsia="Book Antiqua" w:hAnsi="Book Antiqua" w:cs="Book Antiqua"/>
          <w:color w:val="000000"/>
        </w:rPr>
        <w:t xml:space="preserve">because of weakness and pain below the waist for 1 mo and weakness in both arms for </w:t>
      </w:r>
      <w:r w:rsidRPr="00F0302C">
        <w:rPr>
          <w:rFonts w:ascii="Book Antiqua" w:eastAsia="宋体" w:hAnsi="Book Antiqua" w:cs="Book Antiqua" w:hint="eastAsia"/>
          <w:color w:val="000000"/>
          <w:lang w:eastAsia="zh-CN"/>
        </w:rPr>
        <w:t>1</w:t>
      </w:r>
      <w:r w:rsidRPr="00F0302C">
        <w:rPr>
          <w:rFonts w:ascii="Book Antiqua" w:eastAsia="Book Antiqua" w:hAnsi="Book Antiqua" w:cs="Book Antiqua"/>
          <w:color w:val="000000"/>
        </w:rPr>
        <w:t xml:space="preserve"> wk.</w:t>
      </w:r>
    </w:p>
    <w:p w14:paraId="7F050396" w14:textId="77777777" w:rsidR="00103375" w:rsidRPr="00F0302C" w:rsidRDefault="00103375">
      <w:pPr>
        <w:spacing w:line="360" w:lineRule="auto"/>
        <w:jc w:val="both"/>
        <w:rPr>
          <w:rFonts w:ascii="Book Antiqua" w:hAnsi="Book Antiqua"/>
        </w:rPr>
      </w:pPr>
    </w:p>
    <w:p w14:paraId="7E67997C"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i/>
          <w:color w:val="000000"/>
        </w:rPr>
        <w:t>History of past illness</w:t>
      </w:r>
    </w:p>
    <w:p w14:paraId="67781DF5"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 xml:space="preserve">The patient had been diagnosed with type 2 diabetes mellitus, deep venous thrombosis, and coronary heart disease for over 20 years. He took metformin and betaloc regularly and was injected with aspartic insulin and insulin </w:t>
      </w:r>
      <w:r w:rsidRPr="00F0302C">
        <w:rPr>
          <w:rFonts w:ascii="Book Antiqua" w:eastAsia="Book Antiqua" w:hAnsi="Book Antiqua" w:cs="Book Antiqua" w:hint="eastAsia"/>
          <w:color w:val="000000"/>
        </w:rPr>
        <w:t>glargine</w:t>
      </w:r>
      <w:r w:rsidRPr="00F0302C">
        <w:rPr>
          <w:rFonts w:ascii="Book Antiqua" w:eastAsia="Book Antiqua" w:hAnsi="Book Antiqua" w:cs="Book Antiqua"/>
          <w:color w:val="000000"/>
        </w:rPr>
        <w:t xml:space="preserve">. The patient had been diagnosed with mCRPC 14 mo previously and treated with abiraterone (1 g/d </w:t>
      </w:r>
      <w:r w:rsidRPr="00F0302C">
        <w:rPr>
          <w:rFonts w:ascii="Book Antiqua" w:eastAsia="Book Antiqua" w:hAnsi="Book Antiqua" w:cs="Book Antiqua"/>
          <w:i/>
          <w:iCs/>
          <w:color w:val="000000"/>
        </w:rPr>
        <w:t>po</w:t>
      </w:r>
      <w:r w:rsidRPr="00F0302C">
        <w:rPr>
          <w:rFonts w:ascii="Book Antiqua" w:eastAsia="Book Antiqua" w:hAnsi="Book Antiqua" w:cs="Book Antiqua"/>
          <w:color w:val="000000"/>
        </w:rPr>
        <w:t xml:space="preserve"> </w:t>
      </w:r>
      <w:r w:rsidRPr="00F0302C">
        <w:rPr>
          <w:rFonts w:ascii="Book Antiqua" w:eastAsia="Book Antiqua" w:hAnsi="Book Antiqua" w:cs="Book Antiqua"/>
          <w:i/>
          <w:iCs/>
          <w:color w:val="000000"/>
        </w:rPr>
        <w:t>QD</w:t>
      </w:r>
      <w:r w:rsidRPr="00F0302C">
        <w:rPr>
          <w:rFonts w:ascii="Book Antiqua" w:eastAsia="Book Antiqua" w:hAnsi="Book Antiqua" w:cs="Book Antiqua"/>
          <w:color w:val="000000"/>
        </w:rPr>
        <w:t>). Three months earlier, the patient began to take 1.2 g/d of an oral supplement, RYR/ginseng/ginkgo leaf capsule</w:t>
      </w:r>
      <w:r w:rsidRPr="00F0302C">
        <w:rPr>
          <w:rFonts w:ascii="Book Antiqua" w:eastAsia="宋体" w:hAnsi="Book Antiqua" w:cs="Book Antiqua" w:hint="eastAsia"/>
          <w:color w:val="000000"/>
          <w:lang w:eastAsia="zh-CN"/>
        </w:rPr>
        <w:t>s</w:t>
      </w:r>
      <w:r w:rsidRPr="00F0302C">
        <w:rPr>
          <w:rFonts w:ascii="Book Antiqua" w:eastAsia="Book Antiqua" w:hAnsi="Book Antiqua" w:cs="Book Antiqua"/>
          <w:color w:val="000000"/>
        </w:rPr>
        <w:t xml:space="preserve"> (Shanghai Komen Technology Medicine Co., Ltd.; active ingredient 2000 mg lovastatin per 100 g), thus ingesting </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24 mg/d of lovastatin.</w:t>
      </w:r>
      <w:r w:rsidRPr="00F0302C">
        <w:rPr>
          <w:rFonts w:ascii="Book Antiqua" w:eastAsia="宋体" w:hAnsi="Book Antiqua" w:cs="Book Antiqua"/>
          <w:color w:val="000000"/>
          <w:lang w:eastAsia="zh-CN"/>
        </w:rPr>
        <w:t xml:space="preserve"> </w:t>
      </w:r>
      <w:r w:rsidRPr="00F0302C">
        <w:rPr>
          <w:rFonts w:ascii="Book Antiqua" w:eastAsia="Book Antiqua" w:hAnsi="Book Antiqua" w:cs="Book Antiqua"/>
          <w:color w:val="000000"/>
          <w:lang w:eastAsia="zh-CN"/>
        </w:rPr>
        <w:t>The patient's medical history is shown in Figure 1.</w:t>
      </w:r>
    </w:p>
    <w:p w14:paraId="06224036" w14:textId="77777777" w:rsidR="00103375" w:rsidRPr="00F0302C" w:rsidRDefault="00103375">
      <w:pPr>
        <w:spacing w:line="360" w:lineRule="auto"/>
        <w:jc w:val="both"/>
        <w:rPr>
          <w:rFonts w:ascii="Book Antiqua" w:hAnsi="Book Antiqua"/>
        </w:rPr>
      </w:pPr>
    </w:p>
    <w:p w14:paraId="6B0602EC"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i/>
          <w:color w:val="000000"/>
        </w:rPr>
        <w:t>Personal and family history</w:t>
      </w:r>
    </w:p>
    <w:p w14:paraId="60AB177C"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 xml:space="preserve">Based on a questionnaire survey, no other family members </w:t>
      </w:r>
      <w:r w:rsidRPr="00F0302C">
        <w:rPr>
          <w:rFonts w:ascii="Book Antiqua" w:eastAsia="宋体" w:hAnsi="Book Antiqua" w:cs="Book Antiqua" w:hint="eastAsia"/>
          <w:color w:val="000000"/>
          <w:lang w:eastAsia="zh-CN"/>
        </w:rPr>
        <w:t xml:space="preserve">were found to </w:t>
      </w:r>
      <w:r w:rsidRPr="00F0302C">
        <w:rPr>
          <w:rFonts w:ascii="Book Antiqua" w:eastAsia="Book Antiqua" w:hAnsi="Book Antiqua" w:cs="Book Antiqua"/>
          <w:color w:val="000000"/>
        </w:rPr>
        <w:t>experience</w:t>
      </w:r>
      <w:r w:rsidRPr="00F0302C">
        <w:rPr>
          <w:rFonts w:ascii="Book Antiqua" w:eastAsia="宋体" w:hAnsi="Book Antiqua" w:cs="Book Antiqua" w:hint="eastAsia"/>
          <w:color w:val="000000"/>
          <w:lang w:eastAsia="zh-CN"/>
        </w:rPr>
        <w:t xml:space="preserve"> </w:t>
      </w:r>
      <w:r w:rsidRPr="00F0302C">
        <w:rPr>
          <w:rFonts w:ascii="Book Antiqua" w:eastAsia="Book Antiqua" w:hAnsi="Book Antiqua" w:cs="Book Antiqua"/>
          <w:color w:val="000000"/>
        </w:rPr>
        <w:t>similar symptoms.</w:t>
      </w:r>
    </w:p>
    <w:p w14:paraId="1EB0E4B6" w14:textId="77777777" w:rsidR="00103375" w:rsidRPr="00F0302C" w:rsidRDefault="00103375">
      <w:pPr>
        <w:spacing w:line="360" w:lineRule="auto"/>
        <w:jc w:val="both"/>
        <w:rPr>
          <w:rFonts w:ascii="Book Antiqua" w:hAnsi="Book Antiqua"/>
        </w:rPr>
      </w:pPr>
    </w:p>
    <w:p w14:paraId="0342ECD8"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i/>
          <w:color w:val="000000"/>
        </w:rPr>
        <w:t>Physical examination</w:t>
      </w:r>
    </w:p>
    <w:p w14:paraId="3984BBF6"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Limb muscle tenderness (+), proximal and distal muscle strength of the arms (IV), proximal muscle strength of the lower limbs (II), distal muscle strength of the lower limbs (III), bilateral muscle reflex (++), and bilateral tendon reflex (+).</w:t>
      </w:r>
    </w:p>
    <w:p w14:paraId="342BADA1" w14:textId="77777777" w:rsidR="00103375" w:rsidRPr="00F0302C" w:rsidRDefault="00103375">
      <w:pPr>
        <w:spacing w:line="360" w:lineRule="auto"/>
        <w:jc w:val="both"/>
        <w:rPr>
          <w:rFonts w:ascii="Book Antiqua" w:hAnsi="Book Antiqua"/>
        </w:rPr>
      </w:pPr>
    </w:p>
    <w:p w14:paraId="0AB0BB21"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i/>
          <w:color w:val="000000"/>
        </w:rPr>
        <w:lastRenderedPageBreak/>
        <w:t>Laboratory examinations</w:t>
      </w:r>
    </w:p>
    <w:p w14:paraId="390798F6"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Blood chemical examination (</w:t>
      </w:r>
      <w:r w:rsidRPr="00F0302C">
        <w:rPr>
          <w:rFonts w:ascii="Book Antiqua" w:eastAsia="宋体" w:hAnsi="Book Antiqua" w:cs="Book Antiqua" w:hint="eastAsia"/>
          <w:color w:val="000000"/>
          <w:lang w:eastAsia="zh-CN"/>
        </w:rPr>
        <w:t xml:space="preserve">September 16, </w:t>
      </w:r>
      <w:r w:rsidRPr="00F0302C">
        <w:rPr>
          <w:rFonts w:ascii="Book Antiqua" w:eastAsia="Book Antiqua" w:hAnsi="Book Antiqua" w:cs="Book Antiqua"/>
          <w:color w:val="000000"/>
        </w:rPr>
        <w:t>2021)</w:t>
      </w:r>
      <w:r w:rsidRPr="00F0302C">
        <w:rPr>
          <w:rFonts w:ascii="Book Antiqua" w:eastAsia="宋体" w:hAnsi="Book Antiqua" w:cs="Book Antiqua" w:hint="eastAsia"/>
          <w:color w:val="000000"/>
          <w:lang w:eastAsia="zh-CN"/>
        </w:rPr>
        <w:t xml:space="preserve"> revealed</w:t>
      </w:r>
      <w:r w:rsidRPr="00F0302C">
        <w:rPr>
          <w:rFonts w:ascii="Book Antiqua" w:eastAsia="Book Antiqua" w:hAnsi="Book Antiqua" w:cs="Book Antiqua"/>
          <w:color w:val="000000"/>
        </w:rPr>
        <w:t xml:space="preserve">: Mild anemia (red blood cell </w:t>
      </w:r>
      <w:r w:rsidRPr="00F0302C">
        <w:rPr>
          <w:rFonts w:ascii="Book Antiqua" w:eastAsia="宋体" w:hAnsi="Book Antiqua" w:cs="Book Antiqua" w:hint="eastAsia"/>
          <w:color w:val="000000"/>
          <w:lang w:eastAsia="zh-CN"/>
        </w:rPr>
        <w:t xml:space="preserve">count </w:t>
      </w:r>
      <w:r w:rsidRPr="00F0302C">
        <w:rPr>
          <w:rFonts w:ascii="Book Antiqua" w:eastAsia="Book Antiqua" w:hAnsi="Book Antiqua" w:cs="Book Antiqua"/>
          <w:color w:val="000000"/>
        </w:rPr>
        <w:t>3.39 × 10</w:t>
      </w:r>
      <w:r w:rsidRPr="00F0302C">
        <w:rPr>
          <w:rFonts w:ascii="Book Antiqua" w:eastAsia="Book Antiqua" w:hAnsi="Book Antiqua" w:cs="Book Antiqua"/>
          <w:color w:val="000000"/>
          <w:vertAlign w:val="superscript"/>
        </w:rPr>
        <w:t>12</w:t>
      </w:r>
      <w:r w:rsidRPr="00F0302C">
        <w:rPr>
          <w:rFonts w:ascii="Book Antiqua" w:eastAsia="Book Antiqua" w:hAnsi="Book Antiqua" w:cs="Book Antiqua"/>
          <w:color w:val="000000"/>
        </w:rPr>
        <w:t xml:space="preserve"> L</w:t>
      </w:r>
      <w:r w:rsidRPr="00F0302C">
        <w:rPr>
          <w:rFonts w:ascii="Book Antiqua" w:eastAsia="Book Antiqua" w:hAnsi="Book Antiqua" w:cs="Book Antiqua"/>
          <w:color w:val="000000"/>
          <w:vertAlign w:val="superscript"/>
        </w:rPr>
        <w:t>−1</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xml:space="preserve"> hemoglobin 106 g/L), mild hyponatremia (Na</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xml:space="preserve"> 135 mmol/L), elevated erythrocyte sedimentation rate 62 mm/h, C-reaction protein (CRP) 105 mg/L, complement C3 (C3) 1.57 g/L, reduced immunoglobulin G 7.71 g/L and immunoglobulin M &lt; 0.181 g/L, elevated transaminase</w:t>
      </w:r>
      <w:r w:rsidRPr="00F0302C">
        <w:rPr>
          <w:rFonts w:ascii="Book Antiqua" w:eastAsia="宋体" w:hAnsi="Book Antiqua" w:cs="Book Antiqua" w:hint="eastAsia"/>
          <w:color w:val="000000"/>
          <w:lang w:eastAsia="zh-CN"/>
        </w:rPr>
        <w:t>s</w:t>
      </w:r>
      <w:r w:rsidRPr="00F0302C">
        <w:rPr>
          <w:rFonts w:ascii="Book Antiqua" w:eastAsia="Book Antiqua" w:hAnsi="Book Antiqua" w:cs="Book Antiqua"/>
          <w:color w:val="000000"/>
        </w:rPr>
        <w:t xml:space="preserve"> (alanine aminotransferase 643 U/L</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xml:space="preserve"> aspartate aminotransferase 176 U/L</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kidney injury</w:t>
      </w:r>
      <w:r w:rsidRPr="00F0302C">
        <w:rPr>
          <w:rFonts w:ascii="Book Antiqua" w:eastAsia="宋体" w:hAnsi="Book Antiqua" w:cs="Book Antiqua" w:hint="eastAsia"/>
          <w:color w:val="000000"/>
          <w:lang w:eastAsia="zh-CN"/>
        </w:rPr>
        <w:t xml:space="preserve"> (s</w:t>
      </w:r>
      <w:r w:rsidRPr="00F0302C">
        <w:rPr>
          <w:rFonts w:ascii="Book Antiqua" w:eastAsia="Book Antiqua" w:hAnsi="Book Antiqua" w:cs="Book Antiqua"/>
          <w:color w:val="000000"/>
        </w:rPr>
        <w:t xml:space="preserve">erum creatinine </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Scr</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xml:space="preserve"> 315 μmol/L</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and elevated myocardial enzymes</w:t>
      </w:r>
      <w:r w:rsidRPr="00F0302C">
        <w:rPr>
          <w:rFonts w:ascii="Book Antiqua" w:eastAsia="宋体" w:hAnsi="Book Antiqua" w:cs="Book Antiqua" w:hint="eastAsia"/>
          <w:color w:val="000000"/>
          <w:lang w:eastAsia="zh-CN"/>
        </w:rPr>
        <w:t xml:space="preserve"> (</w:t>
      </w:r>
      <w:r w:rsidRPr="00F0302C">
        <w:rPr>
          <w:rFonts w:ascii="Book Antiqua" w:eastAsia="Book Antiqua" w:hAnsi="Book Antiqua" w:cs="Book Antiqua"/>
          <w:color w:val="000000"/>
        </w:rPr>
        <w:t xml:space="preserve">lactate dehydrogenase </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LDH</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xml:space="preserve"> 1182 U/L</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xml:space="preserve"> and creatine kinase </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CK</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xml:space="preserve"> 18230 U/L</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The cerebrospinal fluid test was normal.</w:t>
      </w:r>
    </w:p>
    <w:p w14:paraId="7383E324" w14:textId="77777777" w:rsidR="00103375" w:rsidRPr="00F0302C" w:rsidRDefault="00103375">
      <w:pPr>
        <w:spacing w:line="360" w:lineRule="auto"/>
        <w:jc w:val="both"/>
        <w:rPr>
          <w:rFonts w:ascii="Book Antiqua" w:hAnsi="Book Antiqua"/>
        </w:rPr>
      </w:pPr>
    </w:p>
    <w:p w14:paraId="25ADCAC0"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i/>
          <w:color w:val="000000"/>
        </w:rPr>
        <w:t>Imaging examinations</w:t>
      </w:r>
    </w:p>
    <w:p w14:paraId="1747E62B"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Three-dimensional computed tomography</w:t>
      </w:r>
      <w:r w:rsidRPr="00F0302C">
        <w:rPr>
          <w:rFonts w:ascii="Book Antiqua" w:eastAsia="宋体" w:hAnsi="Book Antiqua" w:cs="Book Antiqua" w:hint="eastAsia"/>
          <w:color w:val="000000"/>
          <w:lang w:eastAsia="zh-CN"/>
        </w:rPr>
        <w:t xml:space="preserve"> </w:t>
      </w:r>
      <w:r w:rsidRPr="00F0302C">
        <w:rPr>
          <w:rFonts w:ascii="Book Antiqua" w:eastAsia="Book Antiqua" w:hAnsi="Book Antiqua" w:cs="Book Antiqua"/>
          <w:color w:val="000000"/>
        </w:rPr>
        <w:t xml:space="preserve">showed degenerative changes in the lumbar spine as well as L2/3 and L3/4 disk bulge. Electromyography showed neurogenic damage of the upper and lower extremities (peripheral nerve damage of the upper and lower extremities involving sensory and motor fibers as well as L5 and S1 Levels). There was no muscle atrophy or tremor; no skin rash on the eyelids, extensor limbs, </w:t>
      </w:r>
      <w:r w:rsidRPr="00F0302C">
        <w:rPr>
          <w:rFonts w:ascii="Book Antiqua" w:eastAsia="宋体" w:hAnsi="Book Antiqua" w:cs="Book Antiqua" w:hint="eastAsia"/>
          <w:color w:val="000000"/>
          <w:lang w:eastAsia="zh-CN"/>
        </w:rPr>
        <w:t>V</w:t>
      </w:r>
      <w:r w:rsidRPr="00F0302C">
        <w:rPr>
          <w:rFonts w:ascii="Book Antiqua" w:eastAsia="Book Antiqua" w:hAnsi="Book Antiqua" w:cs="Book Antiqua"/>
          <w:color w:val="000000"/>
        </w:rPr>
        <w:t>-</w:t>
      </w:r>
      <w:r w:rsidRPr="00F0302C">
        <w:rPr>
          <w:rFonts w:ascii="Book Antiqua" w:eastAsia="宋体" w:hAnsi="Book Antiqua" w:cs="Book Antiqua" w:hint="eastAsia"/>
          <w:color w:val="000000"/>
          <w:lang w:eastAsia="zh-CN"/>
        </w:rPr>
        <w:t xml:space="preserve">shaped </w:t>
      </w:r>
      <w:r w:rsidRPr="00F0302C">
        <w:rPr>
          <w:rFonts w:ascii="Book Antiqua" w:eastAsia="Book Antiqua" w:hAnsi="Book Antiqua" w:cs="Book Antiqua"/>
          <w:color w:val="000000"/>
        </w:rPr>
        <w:t>zone of the fore-chest</w:t>
      </w:r>
      <w:r w:rsidRPr="00F0302C">
        <w:rPr>
          <w:rFonts w:ascii="Book Antiqua" w:eastAsia="宋体" w:hAnsi="Book Antiqua" w:cs="Book Antiqua" w:hint="eastAsia"/>
          <w:color w:val="000000"/>
          <w:lang w:eastAsia="zh-CN"/>
        </w:rPr>
        <w:t>,</w:t>
      </w:r>
      <w:r w:rsidRPr="00F0302C">
        <w:rPr>
          <w:rFonts w:ascii="Book Antiqua" w:eastAsia="Book Antiqua" w:hAnsi="Book Antiqua" w:cs="Book Antiqua"/>
          <w:color w:val="000000"/>
        </w:rPr>
        <w:t xml:space="preserve"> or shoulder area of the back; and no joint swelling or pain. Magnetic resonance examination revealed diffuse abnormal signals in the erector spinae, with lumbar disc herniation (Figure </w:t>
      </w:r>
      <w:r w:rsidRPr="00F0302C">
        <w:rPr>
          <w:rFonts w:ascii="Book Antiqua" w:eastAsia="宋体" w:hAnsi="Book Antiqua" w:cs="Book Antiqua"/>
          <w:color w:val="000000"/>
          <w:lang w:eastAsia="zh-CN"/>
        </w:rPr>
        <w:t>2</w:t>
      </w:r>
      <w:r w:rsidRPr="00F0302C">
        <w:rPr>
          <w:rFonts w:ascii="Book Antiqua" w:eastAsia="Book Antiqua" w:hAnsi="Book Antiqua" w:cs="Book Antiqua"/>
          <w:color w:val="000000"/>
        </w:rPr>
        <w:t>).</w:t>
      </w:r>
    </w:p>
    <w:p w14:paraId="3C55BEDC" w14:textId="77777777" w:rsidR="00103375" w:rsidRPr="00F0302C" w:rsidRDefault="00103375">
      <w:pPr>
        <w:spacing w:line="360" w:lineRule="auto"/>
        <w:jc w:val="both"/>
        <w:rPr>
          <w:rFonts w:ascii="Book Antiqua" w:hAnsi="Book Antiqua"/>
        </w:rPr>
      </w:pPr>
    </w:p>
    <w:p w14:paraId="4087E373"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aps/>
          <w:color w:val="000000"/>
          <w:u w:val="single"/>
        </w:rPr>
        <w:t>FINAL DIAGNOSIS</w:t>
      </w:r>
    </w:p>
    <w:p w14:paraId="382D9156"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Considering the patient’s symptoms, magnetic resonance imaging findings, and progressively increasing CK and Scr levels, rhabdomyolysis-induced acute kidney injury (AKI) was diagnosed. Unfortunately, the patient refused muscle biopsy, so histopathological evidence was not obtained.</w:t>
      </w:r>
    </w:p>
    <w:p w14:paraId="472D72EC" w14:textId="77777777" w:rsidR="00103375" w:rsidRPr="00F0302C" w:rsidRDefault="00103375">
      <w:pPr>
        <w:spacing w:line="360" w:lineRule="auto"/>
        <w:jc w:val="both"/>
        <w:rPr>
          <w:rFonts w:ascii="Book Antiqua" w:hAnsi="Book Antiqua"/>
        </w:rPr>
      </w:pPr>
    </w:p>
    <w:p w14:paraId="359EAA0B"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aps/>
          <w:color w:val="000000"/>
          <w:u w:val="single"/>
        </w:rPr>
        <w:t>TREATMENT</w:t>
      </w:r>
    </w:p>
    <w:p w14:paraId="22EE2776"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 xml:space="preserve">Abiraterone and </w:t>
      </w:r>
      <w:r w:rsidRPr="00F0302C">
        <w:rPr>
          <w:rFonts w:ascii="Book Antiqua" w:eastAsia="宋体" w:hAnsi="Book Antiqua" w:cs="Book Antiqua" w:hint="eastAsia"/>
          <w:color w:val="000000"/>
          <w:lang w:eastAsia="zh-CN"/>
        </w:rPr>
        <w:t xml:space="preserve">the </w:t>
      </w:r>
      <w:r w:rsidRPr="00F0302C">
        <w:rPr>
          <w:rFonts w:ascii="Book Antiqua" w:eastAsia="Book Antiqua" w:hAnsi="Book Antiqua" w:cs="Book Antiqua"/>
          <w:color w:val="000000"/>
        </w:rPr>
        <w:t xml:space="preserve">supplement were discontinued after admission, and other drugs continued to be administered. The patient responded well to hemodialysis, </w:t>
      </w:r>
      <w:r w:rsidRPr="00F0302C">
        <w:rPr>
          <w:rFonts w:ascii="Book Antiqua" w:eastAsia="Book Antiqua" w:hAnsi="Book Antiqua" w:cs="Book Antiqua"/>
          <w:color w:val="000000"/>
        </w:rPr>
        <w:lastRenderedPageBreak/>
        <w:t xml:space="preserve">hemoperfusion, ATP disodium injections (40 mg </w:t>
      </w:r>
      <w:r w:rsidRPr="00F0302C">
        <w:rPr>
          <w:rFonts w:ascii="Book Antiqua" w:eastAsia="Book Antiqua" w:hAnsi="Book Antiqua" w:cs="Book Antiqua"/>
          <w:i/>
          <w:iCs/>
          <w:color w:val="000000"/>
        </w:rPr>
        <w:t>iv</w:t>
      </w:r>
      <w:r w:rsidRPr="00F0302C">
        <w:rPr>
          <w:rFonts w:ascii="Book Antiqua" w:eastAsia="Book Antiqua" w:hAnsi="Book Antiqua" w:cs="Book Antiqua"/>
          <w:color w:val="000000"/>
        </w:rPr>
        <w:t xml:space="preserve"> drip </w:t>
      </w:r>
      <w:r w:rsidRPr="00F0302C">
        <w:rPr>
          <w:rFonts w:ascii="Book Antiqua" w:eastAsia="Book Antiqua" w:hAnsi="Book Antiqua" w:cs="Book Antiqua"/>
          <w:i/>
          <w:iCs/>
          <w:color w:val="000000"/>
        </w:rPr>
        <w:t>QD</w:t>
      </w:r>
      <w:r w:rsidRPr="00F0302C">
        <w:rPr>
          <w:rFonts w:ascii="Book Antiqua" w:eastAsia="Book Antiqua" w:hAnsi="Book Antiqua" w:cs="Book Antiqua"/>
          <w:color w:val="000000"/>
        </w:rPr>
        <w:t xml:space="preserve">), levocarnitine injection (2 g </w:t>
      </w:r>
      <w:r w:rsidRPr="00F0302C">
        <w:rPr>
          <w:rFonts w:ascii="Book Antiqua" w:eastAsia="Book Antiqua" w:hAnsi="Book Antiqua" w:cs="Book Antiqua"/>
          <w:i/>
          <w:iCs/>
          <w:color w:val="000000"/>
        </w:rPr>
        <w:t>iv</w:t>
      </w:r>
      <w:r w:rsidRPr="00F0302C">
        <w:rPr>
          <w:rFonts w:ascii="Book Antiqua" w:eastAsia="Book Antiqua" w:hAnsi="Book Antiqua" w:cs="Book Antiqua"/>
          <w:color w:val="000000"/>
        </w:rPr>
        <w:t xml:space="preserve"> drip </w:t>
      </w:r>
      <w:r w:rsidRPr="00F0302C">
        <w:rPr>
          <w:rFonts w:ascii="Book Antiqua" w:eastAsia="Book Antiqua" w:hAnsi="Book Antiqua" w:cs="Book Antiqua"/>
          <w:i/>
          <w:iCs/>
          <w:color w:val="000000"/>
        </w:rPr>
        <w:t>QD</w:t>
      </w:r>
      <w:r w:rsidRPr="00F0302C">
        <w:rPr>
          <w:rFonts w:ascii="Book Antiqua" w:eastAsia="Book Antiqua" w:hAnsi="Book Antiqua" w:cs="Book Antiqua"/>
          <w:color w:val="000000"/>
        </w:rPr>
        <w:t xml:space="preserve">), Ringer’s fluid (250 mL </w:t>
      </w:r>
      <w:r w:rsidRPr="00F0302C">
        <w:rPr>
          <w:rFonts w:ascii="Book Antiqua" w:eastAsia="Book Antiqua" w:hAnsi="Book Antiqua" w:cs="Book Antiqua"/>
          <w:i/>
          <w:iCs/>
          <w:color w:val="000000"/>
        </w:rPr>
        <w:t>iv</w:t>
      </w:r>
      <w:r w:rsidRPr="00F0302C">
        <w:rPr>
          <w:rFonts w:ascii="Book Antiqua" w:eastAsia="Book Antiqua" w:hAnsi="Book Antiqua" w:cs="Book Antiqua"/>
          <w:color w:val="000000"/>
        </w:rPr>
        <w:t xml:space="preserve"> drip </w:t>
      </w:r>
      <w:r w:rsidRPr="00F0302C">
        <w:rPr>
          <w:rFonts w:ascii="Book Antiqua" w:eastAsia="Book Antiqua" w:hAnsi="Book Antiqua" w:cs="Book Antiqua"/>
          <w:i/>
          <w:iCs/>
          <w:color w:val="000000"/>
        </w:rPr>
        <w:t>QD</w:t>
      </w:r>
      <w:r w:rsidRPr="00F0302C">
        <w:rPr>
          <w:rFonts w:ascii="Book Antiqua" w:eastAsia="Book Antiqua" w:hAnsi="Book Antiqua" w:cs="Book Antiqua"/>
          <w:color w:val="000000"/>
        </w:rPr>
        <w:t xml:space="preserve">), sodium bicarbonate tablets (1 g </w:t>
      </w:r>
      <w:r w:rsidRPr="00F0302C">
        <w:rPr>
          <w:rFonts w:ascii="Book Antiqua" w:eastAsia="Book Antiqua" w:hAnsi="Book Antiqua" w:cs="Book Antiqua"/>
          <w:i/>
          <w:iCs/>
          <w:color w:val="000000"/>
        </w:rPr>
        <w:t>po</w:t>
      </w:r>
      <w:r w:rsidRPr="00F0302C">
        <w:rPr>
          <w:rFonts w:ascii="Book Antiqua" w:eastAsia="Book Antiqua" w:hAnsi="Book Antiqua" w:cs="Book Antiqua"/>
          <w:color w:val="000000"/>
        </w:rPr>
        <w:t xml:space="preserve"> </w:t>
      </w:r>
      <w:r w:rsidRPr="00F0302C">
        <w:rPr>
          <w:rFonts w:ascii="Book Antiqua" w:eastAsia="Book Antiqua" w:hAnsi="Book Antiqua" w:cs="Book Antiqua"/>
          <w:i/>
          <w:iCs/>
          <w:color w:val="000000"/>
        </w:rPr>
        <w:t>TID</w:t>
      </w:r>
      <w:r w:rsidRPr="00F0302C">
        <w:rPr>
          <w:rFonts w:ascii="Book Antiqua" w:eastAsia="Book Antiqua" w:hAnsi="Book Antiqua" w:cs="Book Antiqua"/>
          <w:color w:val="000000"/>
        </w:rPr>
        <w:t xml:space="preserve">), vitamin B2 (30 mg </w:t>
      </w:r>
      <w:r w:rsidRPr="00F0302C">
        <w:rPr>
          <w:rFonts w:ascii="Book Antiqua" w:eastAsia="Book Antiqua" w:hAnsi="Book Antiqua" w:cs="Book Antiqua"/>
          <w:i/>
          <w:iCs/>
          <w:color w:val="000000"/>
        </w:rPr>
        <w:t>po</w:t>
      </w:r>
      <w:r w:rsidRPr="00F0302C">
        <w:rPr>
          <w:rFonts w:ascii="Book Antiqua" w:eastAsia="Book Antiqua" w:hAnsi="Book Antiqua" w:cs="Book Antiqua"/>
          <w:color w:val="000000"/>
        </w:rPr>
        <w:t xml:space="preserve"> </w:t>
      </w:r>
      <w:r w:rsidRPr="00F0302C">
        <w:rPr>
          <w:rFonts w:ascii="Book Antiqua" w:eastAsia="Book Antiqua" w:hAnsi="Book Antiqua" w:cs="Book Antiqua"/>
          <w:i/>
          <w:iCs/>
          <w:color w:val="000000"/>
        </w:rPr>
        <w:t>TID</w:t>
      </w:r>
      <w:r w:rsidRPr="00F0302C">
        <w:rPr>
          <w:rFonts w:ascii="Book Antiqua" w:eastAsia="Book Antiqua" w:hAnsi="Book Antiqua" w:cs="Book Antiqua"/>
          <w:color w:val="000000"/>
        </w:rPr>
        <w:t xml:space="preserve">), and coenzyme Q10 (10 mg </w:t>
      </w:r>
      <w:r w:rsidRPr="00F0302C">
        <w:rPr>
          <w:rFonts w:ascii="Book Antiqua" w:eastAsia="Book Antiqua" w:hAnsi="Book Antiqua" w:cs="Book Antiqua"/>
          <w:i/>
          <w:iCs/>
          <w:color w:val="000000"/>
        </w:rPr>
        <w:t>po</w:t>
      </w:r>
      <w:r w:rsidRPr="00F0302C">
        <w:rPr>
          <w:rFonts w:ascii="Book Antiqua" w:eastAsia="Book Antiqua" w:hAnsi="Book Antiqua" w:cs="Book Antiqua"/>
          <w:color w:val="000000"/>
        </w:rPr>
        <w:t xml:space="preserve"> </w:t>
      </w:r>
      <w:r w:rsidRPr="00F0302C">
        <w:rPr>
          <w:rFonts w:ascii="Book Antiqua" w:eastAsia="Book Antiqua" w:hAnsi="Book Antiqua" w:cs="Book Antiqua"/>
          <w:i/>
          <w:iCs/>
          <w:color w:val="000000"/>
        </w:rPr>
        <w:t>TID</w:t>
      </w:r>
      <w:r w:rsidRPr="00F0302C">
        <w:rPr>
          <w:rFonts w:ascii="Book Antiqua" w:eastAsia="Book Antiqua" w:hAnsi="Book Antiqua" w:cs="Book Antiqua"/>
          <w:color w:val="000000"/>
        </w:rPr>
        <w:t>). On day 6 of treatment (</w:t>
      </w:r>
      <w:r w:rsidRPr="00F0302C">
        <w:rPr>
          <w:rFonts w:ascii="Book Antiqua" w:eastAsia="宋体" w:hAnsi="Book Antiqua" w:cs="Book Antiqua" w:hint="eastAsia"/>
          <w:color w:val="000000"/>
          <w:lang w:eastAsia="zh-CN"/>
        </w:rPr>
        <w:t xml:space="preserve">September 22, </w:t>
      </w:r>
      <w:r w:rsidRPr="00F0302C">
        <w:rPr>
          <w:rFonts w:ascii="Book Antiqua" w:eastAsia="Book Antiqua" w:hAnsi="Book Antiqua" w:cs="Book Antiqua"/>
          <w:color w:val="000000"/>
        </w:rPr>
        <w:t>2021), CK levels were significantly reduced. The patient was hospitalized for 23 d. Upon discharge (</w:t>
      </w:r>
      <w:r w:rsidRPr="00F0302C">
        <w:rPr>
          <w:rFonts w:ascii="Book Antiqua" w:eastAsia="宋体" w:hAnsi="Book Antiqua" w:cs="Book Antiqua" w:hint="eastAsia"/>
          <w:color w:val="000000"/>
          <w:lang w:eastAsia="zh-CN"/>
        </w:rPr>
        <w:t xml:space="preserve">October 8, </w:t>
      </w:r>
      <w:r w:rsidRPr="00F0302C">
        <w:rPr>
          <w:rFonts w:ascii="Book Antiqua" w:eastAsia="Book Antiqua" w:hAnsi="Book Antiqua" w:cs="Book Antiqua"/>
          <w:color w:val="000000"/>
        </w:rPr>
        <w:t>2021), CK levels were normal (93 U/L), LDH levels were close to normal (290 U/L), and Scr levels (281 μmol/L) required continued monitoring. Changes in the patient’s key laboratory indicators are shown in Figure 3.</w:t>
      </w:r>
    </w:p>
    <w:p w14:paraId="256CADF0" w14:textId="77777777" w:rsidR="00103375" w:rsidRPr="00F0302C" w:rsidRDefault="00103375">
      <w:pPr>
        <w:spacing w:line="360" w:lineRule="auto"/>
        <w:jc w:val="both"/>
        <w:rPr>
          <w:rFonts w:ascii="Book Antiqua" w:hAnsi="Book Antiqua"/>
        </w:rPr>
      </w:pPr>
    </w:p>
    <w:p w14:paraId="5559A262"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aps/>
          <w:color w:val="000000"/>
          <w:u w:val="single"/>
        </w:rPr>
        <w:t>OUTCOME AND FOLLOW-UP</w:t>
      </w:r>
    </w:p>
    <w:p w14:paraId="6AB76D67"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 xml:space="preserve">During hospitalization, no adverse events were observed. The patient received hemodialysis and hemoperfusion every day, tolerated intravenous infusion and oral drug administration well, and was satisfied with the treatment effect. After discharge, the patient resumed all previous medications expect for </w:t>
      </w:r>
      <w:r w:rsidRPr="00F0302C">
        <w:rPr>
          <w:rFonts w:ascii="Book Antiqua" w:eastAsia="宋体" w:hAnsi="Book Antiqua" w:cs="Book Antiqua" w:hint="eastAsia"/>
          <w:color w:val="000000"/>
          <w:lang w:eastAsia="zh-CN"/>
        </w:rPr>
        <w:t xml:space="preserve">the </w:t>
      </w:r>
      <w:r w:rsidRPr="00F0302C">
        <w:rPr>
          <w:rFonts w:ascii="Book Antiqua" w:eastAsia="Book Antiqua" w:hAnsi="Book Antiqua" w:cs="Book Antiqua"/>
          <w:color w:val="000000"/>
        </w:rPr>
        <w:t>RYR supplement. Based on telephonic follow-up, Scr decreased to 190 μmol/L almost 1 mo after discharge, and rhabdomyolysis did not recur. The patient reported no further complaints.</w:t>
      </w:r>
    </w:p>
    <w:p w14:paraId="19ED0686" w14:textId="77777777" w:rsidR="00103375" w:rsidRPr="00F0302C" w:rsidRDefault="00103375">
      <w:pPr>
        <w:spacing w:line="360" w:lineRule="auto"/>
        <w:jc w:val="both"/>
        <w:rPr>
          <w:rFonts w:ascii="Book Antiqua" w:hAnsi="Book Antiqua"/>
        </w:rPr>
      </w:pPr>
    </w:p>
    <w:p w14:paraId="3520110E"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aps/>
          <w:color w:val="000000"/>
          <w:u w:val="single"/>
        </w:rPr>
        <w:t>DISCUSSION</w:t>
      </w:r>
    </w:p>
    <w:p w14:paraId="2A3B1FC7"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We report a case of AKI caused by drug-induced rhabdomyolysis. Muscle pain and weakness occurred 2 mo after administration of the combination of RYR/ginseng/ginkgo leaf capsules (key ingredient: lovastatin) and abiraterone. Although there have been a few reports of abiraterone-induced rhabdomyolysis</w:t>
      </w:r>
      <w:r w:rsidRPr="00F0302C">
        <w:rPr>
          <w:rFonts w:ascii="Book Antiqua" w:eastAsia="Book Antiqua" w:hAnsi="Book Antiqua" w:cs="Book Antiqua"/>
          <w:color w:val="000000"/>
          <w:vertAlign w:val="superscript"/>
        </w:rPr>
        <w:t>[4]</w:t>
      </w:r>
      <w:r w:rsidRPr="00F0302C">
        <w:rPr>
          <w:rFonts w:ascii="Book Antiqua" w:eastAsia="Book Antiqua" w:hAnsi="Book Antiqua" w:cs="Book Antiqua"/>
          <w:color w:val="000000"/>
        </w:rPr>
        <w:t xml:space="preserve">, the patient did not develop symptoms during the first 11 mo of abiraterone treatment and did not undergo dose adjustment. However, the patient </w:t>
      </w:r>
      <w:r w:rsidRPr="00F0302C">
        <w:rPr>
          <w:rFonts w:ascii="Book Antiqua" w:eastAsia="宋体" w:hAnsi="Book Antiqua" w:cs="Book Antiqua" w:hint="eastAsia"/>
          <w:color w:val="000000"/>
          <w:lang w:eastAsia="zh-CN"/>
        </w:rPr>
        <w:t>developed</w:t>
      </w:r>
      <w:r w:rsidRPr="00F0302C">
        <w:rPr>
          <w:rFonts w:ascii="Book Antiqua" w:eastAsia="Book Antiqua" w:hAnsi="Book Antiqua" w:cs="Book Antiqua"/>
          <w:color w:val="000000"/>
        </w:rPr>
        <w:t xml:space="preserve"> progressively aggravated myasthenia and myalgia 2 mo after RYR/ginseng/ginkgo leaf compound supplementation. This supplement contain</w:t>
      </w:r>
      <w:r w:rsidRPr="00F0302C">
        <w:rPr>
          <w:rFonts w:ascii="Book Antiqua" w:eastAsia="宋体" w:hAnsi="Book Antiqua" w:cs="Book Antiqua" w:hint="eastAsia"/>
          <w:color w:val="000000"/>
          <w:lang w:eastAsia="zh-CN"/>
        </w:rPr>
        <w:t>s</w:t>
      </w:r>
      <w:r w:rsidRPr="00F0302C">
        <w:rPr>
          <w:rFonts w:ascii="Book Antiqua" w:eastAsia="Book Antiqua" w:hAnsi="Book Antiqua" w:cs="Book Antiqua"/>
          <w:color w:val="000000"/>
        </w:rPr>
        <w:t xml:space="preserve"> lovastatin, and the daily oral dose exceeded the recommended dose of 20 mg/d. The patient continued taking an immunosuppressant. No other identifiable specific triggers for rhabdomyolysis (such as decompensated hypothyroidism, liver disease, strenuous exercise, or recreational drugs) </w:t>
      </w:r>
      <w:r w:rsidRPr="00F0302C">
        <w:rPr>
          <w:rFonts w:ascii="Book Antiqua" w:eastAsia="Book Antiqua" w:hAnsi="Book Antiqua" w:cs="Book Antiqua"/>
          <w:color w:val="000000"/>
        </w:rPr>
        <w:lastRenderedPageBreak/>
        <w:t>were found in the patient’s medical history or physical examination. In addition, abiraterone therapy was well-tolerated after discharge. Therefore, we believe that the AKI caused by rhabdomyolysis in this patient was caused by an overdose of lovastatin or a drug–drug interaction between lovastatin and abiraterone.</w:t>
      </w:r>
    </w:p>
    <w:p w14:paraId="393ED907" w14:textId="77777777" w:rsidR="00103375" w:rsidRPr="00F0302C" w:rsidRDefault="00000000">
      <w:pPr>
        <w:spacing w:line="360" w:lineRule="auto"/>
        <w:ind w:firstLineChars="200" w:firstLine="480"/>
        <w:jc w:val="both"/>
        <w:rPr>
          <w:rFonts w:ascii="Book Antiqua" w:hAnsi="Book Antiqua"/>
        </w:rPr>
      </w:pPr>
      <w:r w:rsidRPr="00F0302C">
        <w:rPr>
          <w:rFonts w:ascii="Book Antiqua" w:eastAsia="Book Antiqua" w:hAnsi="Book Antiqua" w:cs="Book Antiqua"/>
          <w:color w:val="000000"/>
        </w:rPr>
        <w:t>Abiraterone is an androgen biosynthesis inhibitor that inhibits DHEA, testosterone, and dihydrotestosterone production by inhibiting the activity of the metabolic enzyme CYP17A1. Therefore, it is suitable for the treatment of mCRPC. Abiraterone has side-effects associated with CYP17A1 inhibition, namely, reduced cortisol secretion, increased adrenocorticoid release, increased corticoid secretion, and hypokalemia, all of which are risk factors for rhabdomyolysis</w:t>
      </w:r>
      <w:r w:rsidRPr="00F0302C">
        <w:rPr>
          <w:rFonts w:ascii="Book Antiqua" w:eastAsia="Book Antiqua" w:hAnsi="Book Antiqua" w:cs="Book Antiqua"/>
          <w:color w:val="000000"/>
          <w:vertAlign w:val="superscript"/>
        </w:rPr>
        <w:t>[5]</w:t>
      </w:r>
      <w:r w:rsidRPr="00F0302C">
        <w:rPr>
          <w:rFonts w:ascii="Book Antiqua" w:eastAsia="Book Antiqua" w:hAnsi="Book Antiqua" w:cs="Book Antiqua"/>
          <w:color w:val="000000"/>
        </w:rPr>
        <w:t>. In a large, real-world cohort study, Japanese researchers tracked the safety and efficacy of abiraterone in combination with prednisone in 492 patients with mCRPC who were followed</w:t>
      </w:r>
      <w:r w:rsidRPr="00F0302C">
        <w:rPr>
          <w:rFonts w:ascii="Book Antiqua" w:eastAsia="宋体" w:hAnsi="Book Antiqua" w:cs="Book Antiqua" w:hint="eastAsia"/>
          <w:color w:val="000000"/>
          <w:lang w:eastAsia="zh-CN"/>
        </w:rPr>
        <w:t xml:space="preserve"> </w:t>
      </w:r>
      <w:r w:rsidRPr="00F0302C">
        <w:rPr>
          <w:rFonts w:ascii="Book Antiqua" w:eastAsia="Book Antiqua" w:hAnsi="Book Antiqua" w:cs="Book Antiqua"/>
          <w:color w:val="000000"/>
        </w:rPr>
        <w:t>for 24 mo. No new or unpredictable adverse events were observed in a market-release study of abiraterone</w:t>
      </w:r>
      <w:r w:rsidRPr="00F0302C">
        <w:rPr>
          <w:rFonts w:ascii="Book Antiqua" w:eastAsia="Book Antiqua" w:hAnsi="Book Antiqua" w:cs="Book Antiqua"/>
          <w:color w:val="000000"/>
          <w:vertAlign w:val="superscript"/>
        </w:rPr>
        <w:t>[6]</w:t>
      </w:r>
      <w:r w:rsidRPr="00F0302C">
        <w:rPr>
          <w:rFonts w:ascii="Book Antiqua" w:eastAsia="Book Antiqua" w:hAnsi="Book Antiqua" w:cs="Book Antiqua"/>
          <w:color w:val="000000"/>
        </w:rPr>
        <w:t xml:space="preserve">. The frequent adverse events observed </w:t>
      </w:r>
      <w:r w:rsidRPr="00F0302C">
        <w:rPr>
          <w:rFonts w:ascii="Book Antiqua" w:eastAsia="宋体" w:hAnsi="Book Antiqua" w:cs="Book Antiqua" w:hint="eastAsia"/>
          <w:color w:val="000000"/>
          <w:lang w:eastAsia="zh-CN"/>
        </w:rPr>
        <w:t>in</w:t>
      </w:r>
      <w:r w:rsidRPr="00F0302C">
        <w:rPr>
          <w:rFonts w:ascii="Book Antiqua" w:eastAsia="Book Antiqua" w:hAnsi="Book Antiqua" w:cs="Book Antiqua"/>
          <w:color w:val="000000"/>
        </w:rPr>
        <w:t xml:space="preserve"> </w:t>
      </w:r>
      <w:r w:rsidRPr="00F0302C">
        <w:rPr>
          <w:rFonts w:ascii="Book Antiqua" w:eastAsia="宋体" w:hAnsi="Book Antiqua" w:cs="Book Antiqua" w:hint="eastAsia"/>
          <w:color w:val="000000"/>
          <w:lang w:eastAsia="zh-CN"/>
        </w:rPr>
        <w:t xml:space="preserve">the </w:t>
      </w:r>
      <w:r w:rsidRPr="00F0302C">
        <w:rPr>
          <w:rFonts w:ascii="Book Antiqua" w:eastAsia="Book Antiqua" w:hAnsi="Book Antiqua" w:cs="Book Antiqua"/>
          <w:color w:val="000000"/>
        </w:rPr>
        <w:t xml:space="preserve">follow-up </w:t>
      </w:r>
      <w:r w:rsidRPr="00F0302C">
        <w:rPr>
          <w:rFonts w:ascii="Book Antiqua" w:eastAsia="宋体" w:hAnsi="Book Antiqua" w:cs="Book Antiqua" w:hint="eastAsia"/>
          <w:color w:val="000000"/>
          <w:lang w:eastAsia="zh-CN"/>
        </w:rPr>
        <w:t xml:space="preserve">period </w:t>
      </w:r>
      <w:r w:rsidRPr="00F0302C">
        <w:rPr>
          <w:rFonts w:ascii="Book Antiqua" w:eastAsia="Book Antiqua" w:hAnsi="Book Antiqua" w:cs="Book Antiqua"/>
          <w:color w:val="000000"/>
        </w:rPr>
        <w:t>were similar to those observed in market-release clinical studies, including hypokalemia (3.0%) and abnormal liver function (6.5%)</w:t>
      </w:r>
      <w:r w:rsidRPr="00F0302C">
        <w:rPr>
          <w:rFonts w:ascii="Book Antiqua" w:eastAsia="Book Antiqua" w:hAnsi="Book Antiqua" w:cs="Book Antiqua"/>
          <w:color w:val="000000"/>
          <w:vertAlign w:val="superscript"/>
        </w:rPr>
        <w:t>[6]</w:t>
      </w:r>
      <w:r w:rsidRPr="00F0302C">
        <w:rPr>
          <w:rFonts w:ascii="Book Antiqua" w:eastAsia="Book Antiqua" w:hAnsi="Book Antiqua" w:cs="Book Antiqua"/>
          <w:color w:val="000000"/>
        </w:rPr>
        <w:t>. Hepatotoxicity was the most common adverse drug reaction. Most patients recovered after abiraterone treatment were discontinued</w:t>
      </w:r>
      <w:r w:rsidRPr="00F0302C">
        <w:rPr>
          <w:rFonts w:ascii="Book Antiqua" w:eastAsia="Book Antiqua" w:hAnsi="Book Antiqua" w:cs="Book Antiqua"/>
          <w:color w:val="000000"/>
          <w:vertAlign w:val="superscript"/>
        </w:rPr>
        <w:t>[6]</w:t>
      </w:r>
      <w:r w:rsidRPr="00F0302C">
        <w:rPr>
          <w:rFonts w:ascii="Book Antiqua" w:eastAsia="Book Antiqua" w:hAnsi="Book Antiqua" w:cs="Book Antiqua"/>
          <w:color w:val="000000"/>
        </w:rPr>
        <w:t xml:space="preserve">. In our case, however, the patient did not have hypokalemia upon admission, and did not show symptoms of myopathy during the first 11 mo of abiraterone treatment; therefore, we speculate that rhabdomyolysis and </w:t>
      </w:r>
      <w:r w:rsidRPr="00F0302C">
        <w:rPr>
          <w:rFonts w:ascii="Book Antiqua" w:eastAsia="宋体" w:hAnsi="Book Antiqua" w:cs="Book Antiqua" w:hint="eastAsia"/>
          <w:color w:val="000000"/>
          <w:lang w:eastAsia="zh-CN"/>
        </w:rPr>
        <w:t>AKI</w:t>
      </w:r>
      <w:r w:rsidRPr="00F0302C">
        <w:rPr>
          <w:rFonts w:ascii="Book Antiqua" w:eastAsia="Book Antiqua" w:hAnsi="Book Antiqua" w:cs="Book Antiqua"/>
          <w:color w:val="000000"/>
        </w:rPr>
        <w:t xml:space="preserve"> were not caused by abiraterone alone. </w:t>
      </w:r>
    </w:p>
    <w:p w14:paraId="3B18C32D" w14:textId="77777777" w:rsidR="00103375" w:rsidRPr="00F0302C" w:rsidRDefault="00000000">
      <w:pPr>
        <w:spacing w:line="360" w:lineRule="auto"/>
        <w:ind w:firstLineChars="200" w:firstLine="480"/>
        <w:jc w:val="both"/>
        <w:rPr>
          <w:rFonts w:ascii="Book Antiqua" w:hAnsi="Book Antiqua"/>
        </w:rPr>
      </w:pPr>
      <w:r w:rsidRPr="00F0302C">
        <w:rPr>
          <w:rFonts w:ascii="Book Antiqua" w:eastAsia="Book Antiqua" w:hAnsi="Book Antiqua" w:cs="Book Antiqua"/>
          <w:color w:val="000000"/>
        </w:rPr>
        <w:t xml:space="preserve">Although our patient had no clear history of hyperlipidemia, he had been administered lovastatin 3 mo before hospitalization. To date, there have been no reports on rhabdomyolysis or </w:t>
      </w:r>
      <w:r w:rsidRPr="00F0302C">
        <w:rPr>
          <w:rFonts w:ascii="Book Antiqua" w:eastAsia="宋体" w:hAnsi="Book Antiqua" w:cs="Book Antiqua" w:hint="eastAsia"/>
          <w:color w:val="000000"/>
          <w:lang w:eastAsia="zh-CN"/>
        </w:rPr>
        <w:t>AKI</w:t>
      </w:r>
      <w:r w:rsidRPr="00F0302C">
        <w:rPr>
          <w:rFonts w:ascii="Book Antiqua" w:eastAsia="Book Antiqua" w:hAnsi="Book Antiqua" w:cs="Book Antiqua"/>
          <w:color w:val="000000"/>
        </w:rPr>
        <w:t xml:space="preserve"> caused by ginseng or ginkgo biloba. Although RYR is a traditional medicinal material that can be used in both medicine and food, and its potential for lowering blood lipids has been demonstrated in numerous studies</w:t>
      </w:r>
      <w:r w:rsidRPr="00F0302C">
        <w:rPr>
          <w:rFonts w:ascii="Book Antiqua" w:eastAsia="Book Antiqua" w:hAnsi="Book Antiqua" w:cs="Book Antiqua"/>
          <w:color w:val="000000"/>
          <w:vertAlign w:val="superscript"/>
        </w:rPr>
        <w:t>[7]</w:t>
      </w:r>
      <w:r w:rsidRPr="00F0302C">
        <w:rPr>
          <w:rFonts w:ascii="Book Antiqua" w:eastAsia="Book Antiqua" w:hAnsi="Book Antiqua" w:cs="Book Antiqua"/>
          <w:color w:val="000000"/>
        </w:rPr>
        <w:t xml:space="preserve">, lovastatin is the main active ingredient among its many chemical components. According to the package insert, lovastatin is present at 2000 mg/100 g RYR. Our patient ingested a 1.2 g capsule per day, equivalent to 24 mg of lovastatin. </w:t>
      </w:r>
    </w:p>
    <w:p w14:paraId="400462D3" w14:textId="77777777" w:rsidR="00103375" w:rsidRPr="00F0302C" w:rsidRDefault="00000000">
      <w:pPr>
        <w:spacing w:line="360" w:lineRule="auto"/>
        <w:ind w:firstLineChars="200" w:firstLine="480"/>
        <w:jc w:val="both"/>
        <w:rPr>
          <w:rFonts w:ascii="Book Antiqua" w:hAnsi="Book Antiqua"/>
        </w:rPr>
      </w:pPr>
      <w:r w:rsidRPr="00F0302C">
        <w:rPr>
          <w:rFonts w:ascii="Book Antiqua" w:eastAsia="Book Antiqua" w:hAnsi="Book Antiqua" w:cs="Book Antiqua"/>
          <w:color w:val="000000"/>
        </w:rPr>
        <w:lastRenderedPageBreak/>
        <w:t>Statins prevent cardiovascular diseases by inhibiting HMG-CoA reductase, thus inhibiting cholesterol synthesis, and thereby reducing serum cholesterol levels</w:t>
      </w:r>
      <w:r w:rsidRPr="00F0302C">
        <w:rPr>
          <w:rFonts w:ascii="Book Antiqua" w:eastAsia="Book Antiqua" w:hAnsi="Book Antiqua" w:cs="Book Antiqua"/>
          <w:color w:val="000000"/>
          <w:vertAlign w:val="superscript"/>
        </w:rPr>
        <w:t>[</w:t>
      </w:r>
      <w:r w:rsidRPr="00F0302C">
        <w:rPr>
          <w:rFonts w:ascii="Book Antiqua" w:eastAsia="宋体" w:hAnsi="Book Antiqua" w:cs="Book Antiqua"/>
          <w:color w:val="000000"/>
          <w:vertAlign w:val="superscript"/>
          <w:lang w:eastAsia="zh-CN"/>
        </w:rPr>
        <w:t>2</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There is increasing evidence that statins also play a role in the treatment of cancers, including colon, breast, and prostate cancers</w:t>
      </w:r>
      <w:r w:rsidRPr="00F0302C">
        <w:rPr>
          <w:rFonts w:ascii="Book Antiqua" w:eastAsia="Book Antiqua" w:hAnsi="Book Antiqua" w:cs="Book Antiqua"/>
          <w:color w:val="000000"/>
          <w:vertAlign w:val="superscript"/>
        </w:rPr>
        <w:t>[5,7</w:t>
      </w:r>
      <w:r w:rsidRPr="00F0302C">
        <w:rPr>
          <w:rFonts w:ascii="Book Antiqua" w:eastAsia="宋体" w:hAnsi="Book Antiqua" w:cs="Book Antiqua"/>
          <w:color w:val="000000"/>
          <w:vertAlign w:val="superscript"/>
          <w:lang w:eastAsia="zh-CN"/>
        </w:rPr>
        <w:t>,8</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Laboratory studies have shown that statins can limit cancer progression by promoting apoptosis and inflammatory responses and by inhibiting cancer cell proliferation, adhesion, and angiogenesis</w:t>
      </w:r>
      <w:r w:rsidRPr="00F0302C">
        <w:rPr>
          <w:rFonts w:ascii="Book Antiqua" w:eastAsia="Book Antiqua" w:hAnsi="Book Antiqua" w:cs="Book Antiqua"/>
          <w:color w:val="000000"/>
          <w:vertAlign w:val="superscript"/>
        </w:rPr>
        <w:t>[</w:t>
      </w:r>
      <w:r w:rsidRPr="00F0302C">
        <w:rPr>
          <w:rFonts w:ascii="Book Antiqua" w:eastAsia="宋体" w:hAnsi="Book Antiqua" w:cs="Book Antiqua"/>
          <w:color w:val="000000"/>
          <w:vertAlign w:val="superscript"/>
          <w:lang w:eastAsia="zh-CN"/>
        </w:rPr>
        <w:t>9</w:t>
      </w:r>
      <w:r w:rsidRPr="00F0302C">
        <w:rPr>
          <w:rFonts w:ascii="Book Antiqua" w:eastAsia="Book Antiqua" w:hAnsi="Book Antiqua" w:cs="Book Antiqua"/>
          <w:color w:val="000000"/>
          <w:vertAlign w:val="superscript"/>
        </w:rPr>
        <w:t>-1</w:t>
      </w:r>
      <w:r w:rsidRPr="00F0302C">
        <w:rPr>
          <w:rFonts w:ascii="Book Antiqua" w:eastAsia="宋体" w:hAnsi="Book Antiqua" w:cs="Book Antiqua"/>
          <w:color w:val="000000"/>
          <w:vertAlign w:val="superscript"/>
          <w:lang w:eastAsia="zh-CN"/>
        </w:rPr>
        <w:t>2</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A meta-analysis reported that patients with mCRPC may benefit from treatment with abiraterone or enzalutamide in combination with statins</w:t>
      </w:r>
      <w:r w:rsidRPr="00F0302C">
        <w:rPr>
          <w:rFonts w:ascii="Book Antiqua" w:eastAsia="Book Antiqua" w:hAnsi="Book Antiqua" w:cs="Book Antiqua"/>
          <w:color w:val="000000"/>
          <w:vertAlign w:val="superscript"/>
        </w:rPr>
        <w:t>[</w:t>
      </w:r>
      <w:r w:rsidRPr="00F0302C">
        <w:rPr>
          <w:rFonts w:ascii="Book Antiqua" w:eastAsia="宋体" w:hAnsi="Book Antiqua" w:cs="Book Antiqua"/>
          <w:color w:val="000000"/>
          <w:vertAlign w:val="superscript"/>
          <w:lang w:eastAsia="zh-CN"/>
        </w:rPr>
        <w:t>13</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In addition to lowering cholesterol, statins compete to inhibit DHEA uptake by binding to solute carrier transporters (SLCO2B1), thereby effectively reducing the pool of androgens available in tumors. This may explain why statins reduce the incidence of prostate cancer and improve prognosis</w:t>
      </w:r>
      <w:r w:rsidRPr="00F0302C">
        <w:rPr>
          <w:rFonts w:ascii="Book Antiqua" w:eastAsia="Book Antiqua" w:hAnsi="Book Antiqua" w:cs="Book Antiqua"/>
          <w:color w:val="000000"/>
          <w:vertAlign w:val="superscript"/>
        </w:rPr>
        <w:t>[</w:t>
      </w:r>
      <w:r w:rsidRPr="00F0302C">
        <w:rPr>
          <w:rFonts w:ascii="Book Antiqua" w:eastAsia="宋体" w:hAnsi="Book Antiqua" w:cs="Book Antiqua"/>
          <w:color w:val="000000"/>
          <w:vertAlign w:val="superscript"/>
          <w:lang w:eastAsia="zh-CN"/>
        </w:rPr>
        <w:t>9</w:t>
      </w:r>
      <w:r w:rsidRPr="00F0302C">
        <w:rPr>
          <w:rFonts w:ascii="Book Antiqua" w:eastAsia="Book Antiqua" w:hAnsi="Book Antiqua" w:cs="Book Antiqua"/>
          <w:color w:val="000000"/>
          <w:vertAlign w:val="superscript"/>
        </w:rPr>
        <w:t>,1</w:t>
      </w:r>
      <w:r w:rsidRPr="00F0302C">
        <w:rPr>
          <w:rFonts w:ascii="Book Antiqua" w:eastAsia="宋体" w:hAnsi="Book Antiqua" w:cs="Book Antiqua"/>
          <w:color w:val="000000"/>
          <w:vertAlign w:val="superscript"/>
          <w:lang w:eastAsia="zh-CN"/>
        </w:rPr>
        <w:t>0</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w:t>
      </w:r>
    </w:p>
    <w:p w14:paraId="03500B74" w14:textId="77777777" w:rsidR="00103375" w:rsidRPr="00F0302C" w:rsidRDefault="00000000">
      <w:pPr>
        <w:spacing w:line="360" w:lineRule="auto"/>
        <w:ind w:firstLineChars="200" w:firstLine="480"/>
        <w:jc w:val="both"/>
        <w:rPr>
          <w:rFonts w:ascii="Book Antiqua" w:hAnsi="Book Antiqua"/>
        </w:rPr>
      </w:pPr>
      <w:r w:rsidRPr="00F0302C">
        <w:rPr>
          <w:rFonts w:ascii="Book Antiqua" w:eastAsia="Book Antiqua" w:hAnsi="Book Antiqua" w:cs="Book Antiqua"/>
          <w:color w:val="000000"/>
        </w:rPr>
        <w:t>Furthermore, abiraterone and lovastatin do not exhibit adverse drug–drug interactions in the vast majority of mCRPC patients, and their combined use increases survival and cancer-related mortality in patients with mCRPC</w:t>
      </w:r>
      <w:r w:rsidRPr="00F0302C">
        <w:rPr>
          <w:rFonts w:ascii="Book Antiqua" w:eastAsia="Book Antiqua" w:hAnsi="Book Antiqua" w:cs="Book Antiqua"/>
          <w:color w:val="000000"/>
          <w:vertAlign w:val="superscript"/>
        </w:rPr>
        <w:t>[</w:t>
      </w:r>
      <w:r w:rsidRPr="00F0302C">
        <w:rPr>
          <w:rFonts w:ascii="Book Antiqua" w:eastAsia="宋体" w:hAnsi="Book Antiqua" w:cs="Book Antiqua"/>
          <w:color w:val="000000"/>
          <w:vertAlign w:val="superscript"/>
          <w:lang w:eastAsia="zh-CN"/>
        </w:rPr>
        <w:t>9</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However, in addition to inhibiting cholesterol synthesis, statins can also lead to coenzyme Q10 deficiency, resulting in mitochondrial dysfunction, and thereby inhibiting energy production, reducing cell energy levels, reducing intermediate metabolite synthesis during cholesterol synthesis, affecting the synthesis of important proteins, and reducing the supply of cholesterol to cell membranes</w:t>
      </w:r>
      <w:r w:rsidRPr="00F0302C">
        <w:rPr>
          <w:rFonts w:ascii="Book Antiqua" w:eastAsia="Book Antiqua" w:hAnsi="Book Antiqua" w:cs="Book Antiqua"/>
          <w:color w:val="000000"/>
          <w:vertAlign w:val="superscript"/>
        </w:rPr>
        <w:t>[</w:t>
      </w:r>
      <w:r w:rsidRPr="00F0302C">
        <w:rPr>
          <w:rFonts w:ascii="Book Antiqua" w:eastAsia="宋体" w:hAnsi="Book Antiqua" w:cs="Book Antiqua"/>
          <w:color w:val="000000"/>
          <w:vertAlign w:val="superscript"/>
          <w:lang w:eastAsia="zh-CN"/>
        </w:rPr>
        <w:t>2</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The consequent increase in membrane permeability and instability leads to increased intracellular calcium concentration and cell death. These mechanisms increase the risk of statin-induced rhabdomyolysis</w:t>
      </w:r>
      <w:r w:rsidRPr="00F0302C">
        <w:rPr>
          <w:rFonts w:ascii="Book Antiqua" w:eastAsia="Book Antiqua" w:hAnsi="Book Antiqua" w:cs="Book Antiqua"/>
          <w:color w:val="000000"/>
          <w:vertAlign w:val="superscript"/>
        </w:rPr>
        <w:t>[</w:t>
      </w:r>
      <w:r w:rsidRPr="00F0302C">
        <w:rPr>
          <w:rFonts w:ascii="Book Antiqua" w:eastAsia="宋体" w:hAnsi="Book Antiqua" w:cs="Book Antiqua"/>
          <w:color w:val="000000"/>
          <w:vertAlign w:val="superscript"/>
          <w:lang w:eastAsia="zh-CN"/>
        </w:rPr>
        <w:t>8</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w:t>
      </w:r>
    </w:p>
    <w:p w14:paraId="30D4099A" w14:textId="77777777" w:rsidR="00103375" w:rsidRPr="00F0302C" w:rsidRDefault="00000000">
      <w:pPr>
        <w:spacing w:line="360" w:lineRule="auto"/>
        <w:ind w:firstLineChars="200" w:firstLine="480"/>
        <w:jc w:val="both"/>
        <w:rPr>
          <w:rFonts w:ascii="Book Antiqua" w:hAnsi="Book Antiqua"/>
        </w:rPr>
      </w:pPr>
      <w:r w:rsidRPr="00F0302C">
        <w:rPr>
          <w:rFonts w:ascii="Book Antiqua" w:eastAsia="Book Antiqua" w:hAnsi="Book Antiqua" w:cs="Book Antiqua"/>
          <w:color w:val="000000"/>
        </w:rPr>
        <w:t>Prior to the development of abiraterone and its approval as an adrenal androgen synthesis inhibitor, patients were treated with ketoconazole, a CYP3A4 inhibitor that causes elevated plasma concentrations of statins and increases the risk of rhabdomyolysis</w:t>
      </w:r>
      <w:r w:rsidRPr="00F0302C">
        <w:rPr>
          <w:rFonts w:ascii="Book Antiqua" w:eastAsia="Book Antiqua" w:hAnsi="Book Antiqua" w:cs="Book Antiqua"/>
          <w:color w:val="000000"/>
          <w:vertAlign w:val="superscript"/>
        </w:rPr>
        <w:t>[1</w:t>
      </w:r>
      <w:r w:rsidRPr="00F0302C">
        <w:rPr>
          <w:rFonts w:ascii="Book Antiqua" w:eastAsia="宋体" w:hAnsi="Book Antiqua" w:cs="Book Antiqua"/>
          <w:color w:val="000000"/>
          <w:vertAlign w:val="superscript"/>
          <w:lang w:eastAsia="zh-CN"/>
        </w:rPr>
        <w:t>2</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xml:space="preserve">. In contrast, abiraterone acts only on CYP17A1 without significantly affecting statin metabolism. However, </w:t>
      </w:r>
      <w:r w:rsidRPr="00F0302C">
        <w:rPr>
          <w:rFonts w:ascii="Book Antiqua" w:eastAsia="Book Antiqua" w:hAnsi="Book Antiqua" w:cs="Book Antiqua"/>
          <w:i/>
          <w:iCs/>
          <w:color w:val="000000"/>
        </w:rPr>
        <w:t>in vitro</w:t>
      </w:r>
      <w:r w:rsidRPr="00F0302C">
        <w:rPr>
          <w:rFonts w:ascii="Book Antiqua" w:eastAsia="Book Antiqua" w:hAnsi="Book Antiqua" w:cs="Book Antiqua"/>
          <w:color w:val="000000"/>
        </w:rPr>
        <w:t xml:space="preserve"> studies have shown that abiraterone metabolites inhibit organic anion transport polypeptide 1B1 (OATP1B1). Theoretically, this transporter affects the uptake of multiple exogenous drugs, including lovastatin. OATP1B1 inhibition increases lovastatin levels, resulting in increased drug toxicity</w:t>
      </w:r>
      <w:r w:rsidRPr="00F0302C">
        <w:rPr>
          <w:rFonts w:ascii="Book Antiqua" w:eastAsia="Book Antiqua" w:hAnsi="Book Antiqua" w:cs="Book Antiqua"/>
          <w:color w:val="000000"/>
          <w:vertAlign w:val="superscript"/>
        </w:rPr>
        <w:t>[1</w:t>
      </w:r>
      <w:r w:rsidRPr="00F0302C">
        <w:rPr>
          <w:rFonts w:ascii="Book Antiqua" w:eastAsia="宋体" w:hAnsi="Book Antiqua" w:cs="Book Antiqua"/>
          <w:color w:val="000000"/>
          <w:vertAlign w:val="superscript"/>
          <w:lang w:eastAsia="zh-CN"/>
        </w:rPr>
        <w:t>3</w:t>
      </w:r>
      <w:r w:rsidRPr="00F0302C">
        <w:rPr>
          <w:rFonts w:ascii="Book Antiqua" w:eastAsia="Book Antiqua" w:hAnsi="Book Antiqua" w:cs="Book Antiqua"/>
          <w:color w:val="000000"/>
          <w:vertAlign w:val="superscript"/>
        </w:rPr>
        <w:t>,1</w:t>
      </w:r>
      <w:r w:rsidRPr="00F0302C">
        <w:rPr>
          <w:rFonts w:ascii="Book Antiqua" w:eastAsia="宋体" w:hAnsi="Book Antiqua" w:cs="Book Antiqua"/>
          <w:color w:val="000000"/>
          <w:vertAlign w:val="superscript"/>
          <w:lang w:eastAsia="zh-CN"/>
        </w:rPr>
        <w:t>4</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xml:space="preserve">. </w:t>
      </w:r>
      <w:r w:rsidRPr="00F0302C">
        <w:rPr>
          <w:rFonts w:ascii="Book Antiqua" w:eastAsia="Book Antiqua" w:hAnsi="Book Antiqua" w:cs="Book Antiqua"/>
          <w:color w:val="000000"/>
        </w:rPr>
        <w:lastRenderedPageBreak/>
        <w:t>Statin-induced rhabdomyolysis is dose-dependent, especially when statins are used in conjunction with a muscle-toxic agent or drug that can increase their concentration. However, several reports have suggested that interactions between lovastatin and abiraterone cause rhabdomyolysis and AKI</w:t>
      </w:r>
      <w:r w:rsidRPr="00F0302C">
        <w:rPr>
          <w:rFonts w:ascii="Book Antiqua" w:eastAsia="Book Antiqua" w:hAnsi="Book Antiqua" w:cs="Book Antiqua"/>
          <w:color w:val="000000"/>
          <w:vertAlign w:val="superscript"/>
        </w:rPr>
        <w:t>[1</w:t>
      </w:r>
      <w:r w:rsidRPr="00F0302C">
        <w:rPr>
          <w:rFonts w:ascii="Book Antiqua" w:eastAsia="宋体" w:hAnsi="Book Antiqua" w:cs="Book Antiqua"/>
          <w:color w:val="000000"/>
          <w:vertAlign w:val="superscript"/>
          <w:lang w:eastAsia="zh-CN"/>
        </w:rPr>
        <w:t>5</w:t>
      </w:r>
      <w:r w:rsidRPr="00F0302C">
        <w:rPr>
          <w:rFonts w:ascii="Book Antiqua" w:eastAsia="Book Antiqua" w:hAnsi="Book Antiqua" w:cs="Book Antiqua"/>
          <w:color w:val="000000"/>
          <w:vertAlign w:val="superscript"/>
        </w:rPr>
        <w:t>]</w:t>
      </w:r>
      <w:r w:rsidRPr="00F0302C">
        <w:rPr>
          <w:rFonts w:ascii="Book Antiqua" w:eastAsia="Book Antiqua" w:hAnsi="Book Antiqua" w:cs="Book Antiqua"/>
          <w:color w:val="000000"/>
        </w:rPr>
        <w:t xml:space="preserve">. </w:t>
      </w:r>
    </w:p>
    <w:p w14:paraId="51813615" w14:textId="77777777" w:rsidR="00103375" w:rsidRPr="00F0302C" w:rsidRDefault="00103375">
      <w:pPr>
        <w:spacing w:line="360" w:lineRule="auto"/>
        <w:jc w:val="both"/>
        <w:rPr>
          <w:rFonts w:ascii="Book Antiqua" w:hAnsi="Book Antiqua"/>
        </w:rPr>
      </w:pPr>
    </w:p>
    <w:p w14:paraId="6504AC01"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aps/>
          <w:color w:val="000000"/>
          <w:u w:val="single"/>
        </w:rPr>
        <w:t>CONCLUSION</w:t>
      </w:r>
    </w:p>
    <w:p w14:paraId="7F477D2C"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RYR supplements have been found to reduce low-density lipoprotein cholesterol levels as effectively as medium-dose statins, and they are a good treatment option for patients who are intolerant to statins. However, the daily dose of lovastatin in RYR supplements and the appropriate dose in combination with abiraterone for patients with mCSPC should be carefully considered. This case highlights the possibility of kidney injury resulting from rhabdomyolysis caused by this drug combination. More attention should be paid to drug–drug interactions in clinical treatment.</w:t>
      </w:r>
    </w:p>
    <w:p w14:paraId="749A06E1" w14:textId="77777777" w:rsidR="00103375" w:rsidRPr="00F0302C" w:rsidRDefault="00103375">
      <w:pPr>
        <w:spacing w:line="360" w:lineRule="auto"/>
        <w:jc w:val="both"/>
        <w:rPr>
          <w:rFonts w:ascii="Book Antiqua" w:hAnsi="Book Antiqua"/>
        </w:rPr>
      </w:pPr>
    </w:p>
    <w:p w14:paraId="5406D65B"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aps/>
          <w:color w:val="000000"/>
          <w:u w:val="single"/>
        </w:rPr>
        <w:t>ACKNOWLEDGEMENTS</w:t>
      </w:r>
    </w:p>
    <w:p w14:paraId="255A3B33"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color w:val="000000"/>
        </w:rPr>
        <w:t>We would like to thank Professor Wen-Qiang Cui for his guidance in writing this paper.</w:t>
      </w:r>
    </w:p>
    <w:p w14:paraId="119DDAB6" w14:textId="77777777" w:rsidR="00103375" w:rsidRPr="00F0302C" w:rsidRDefault="00103375">
      <w:pPr>
        <w:spacing w:line="360" w:lineRule="auto"/>
        <w:jc w:val="both"/>
        <w:rPr>
          <w:rFonts w:ascii="Book Antiqua" w:hAnsi="Book Antiqua"/>
        </w:rPr>
      </w:pPr>
    </w:p>
    <w:p w14:paraId="6FDC4105"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t>REFERENCES</w:t>
      </w:r>
    </w:p>
    <w:p w14:paraId="6FB752E7"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 xml:space="preserve">1 </w:t>
      </w:r>
      <w:r w:rsidRPr="00F0302C">
        <w:rPr>
          <w:rFonts w:ascii="Book Antiqua" w:eastAsia="Book Antiqua" w:hAnsi="Book Antiqua" w:cs="Book Antiqua"/>
          <w:b/>
          <w:bCs/>
        </w:rPr>
        <w:t>Yang H</w:t>
      </w:r>
      <w:r w:rsidRPr="00F0302C">
        <w:rPr>
          <w:rFonts w:ascii="Book Antiqua" w:eastAsia="Book Antiqua" w:hAnsi="Book Antiqua" w:cs="Book Antiqua"/>
        </w:rPr>
        <w:t xml:space="preserve">, Pan R, Wang J, Zheng L, Li Z, Guo Q, Wang C. Modulation of the Gut Microbiota and Liver Transcriptome by Red Yeast Rice and Monascus Pigment Fermented by Purple Monascus SHM1105 in Rats Fed with a High-Fat Diet. </w:t>
      </w:r>
      <w:r w:rsidRPr="00F0302C">
        <w:rPr>
          <w:rFonts w:ascii="Book Antiqua" w:eastAsia="Book Antiqua" w:hAnsi="Book Antiqua" w:cs="Book Antiqua"/>
          <w:i/>
          <w:iCs/>
        </w:rPr>
        <w:t>Front Pharmacol</w:t>
      </w:r>
      <w:r w:rsidRPr="00F0302C">
        <w:rPr>
          <w:rFonts w:ascii="Book Antiqua" w:eastAsia="Book Antiqua" w:hAnsi="Book Antiqua" w:cs="Book Antiqua"/>
        </w:rPr>
        <w:t xml:space="preserve"> 2020; </w:t>
      </w:r>
      <w:r w:rsidRPr="00F0302C">
        <w:rPr>
          <w:rFonts w:ascii="Book Antiqua" w:eastAsia="Book Antiqua" w:hAnsi="Book Antiqua" w:cs="Book Antiqua"/>
          <w:b/>
          <w:bCs/>
        </w:rPr>
        <w:t>11</w:t>
      </w:r>
      <w:r w:rsidRPr="00F0302C">
        <w:rPr>
          <w:rFonts w:ascii="Book Antiqua" w:eastAsia="Book Antiqua" w:hAnsi="Book Antiqua" w:cs="Book Antiqua"/>
        </w:rPr>
        <w:t>: 599760 [PMID: 33551805 DOI: 10.3389/fphar.2020.599760]</w:t>
      </w:r>
    </w:p>
    <w:p w14:paraId="66F44BF2"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 xml:space="preserve">2 </w:t>
      </w:r>
      <w:r w:rsidRPr="00F0302C">
        <w:rPr>
          <w:rFonts w:ascii="Book Antiqua" w:eastAsia="Book Antiqua" w:hAnsi="Book Antiqua" w:cs="Book Antiqua"/>
          <w:b/>
          <w:bCs/>
        </w:rPr>
        <w:t>Allott EH</w:t>
      </w:r>
      <w:r w:rsidRPr="00F0302C">
        <w:rPr>
          <w:rFonts w:ascii="Book Antiqua" w:eastAsia="Book Antiqua" w:hAnsi="Book Antiqua" w:cs="Book Antiqua"/>
        </w:rPr>
        <w:t xml:space="preserve">, Ebot EM, Stopsack KH, Gonzalez-Feliciano AG, Markt SC, Wilson KM, Ahearn TU, Gerke TA, Downer MK, Rider JR, Freedland SJ, Lotan TL, Kantoff PW, Platz EA, Loda M, Stampfer MJ, Giovannucci E, Sweeney CJ, Finn SP, Mucci LA. Statin Use Is Associated with Lower Risk of PTEN-Null and Lethal Prostate Cancer. </w:t>
      </w:r>
      <w:r w:rsidRPr="00F0302C">
        <w:rPr>
          <w:rFonts w:ascii="Book Antiqua" w:eastAsia="Book Antiqua" w:hAnsi="Book Antiqua" w:cs="Book Antiqua"/>
          <w:i/>
          <w:iCs/>
        </w:rPr>
        <w:t>Clin Cancer Res</w:t>
      </w:r>
      <w:r w:rsidRPr="00F0302C">
        <w:rPr>
          <w:rFonts w:ascii="Book Antiqua" w:eastAsia="Book Antiqua" w:hAnsi="Book Antiqua" w:cs="Book Antiqua"/>
        </w:rPr>
        <w:t xml:space="preserve"> 2020; </w:t>
      </w:r>
      <w:r w:rsidRPr="00F0302C">
        <w:rPr>
          <w:rFonts w:ascii="Book Antiqua" w:eastAsia="Book Antiqua" w:hAnsi="Book Antiqua" w:cs="Book Antiqua"/>
          <w:b/>
          <w:bCs/>
        </w:rPr>
        <w:t>26</w:t>
      </w:r>
      <w:r w:rsidRPr="00F0302C">
        <w:rPr>
          <w:rFonts w:ascii="Book Antiqua" w:eastAsia="Book Antiqua" w:hAnsi="Book Antiqua" w:cs="Book Antiqua"/>
        </w:rPr>
        <w:t>: 1086-1093 [PMID: 31754047 DOI: 10.1158/1078-0432.CCR-19-2853]</w:t>
      </w:r>
    </w:p>
    <w:p w14:paraId="45126FA3"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 xml:space="preserve">3 </w:t>
      </w:r>
      <w:r w:rsidRPr="00F0302C">
        <w:rPr>
          <w:rFonts w:ascii="Book Antiqua" w:eastAsia="Book Antiqua" w:hAnsi="Book Antiqua" w:cs="Book Antiqua"/>
          <w:b/>
          <w:bCs/>
        </w:rPr>
        <w:t>Mondul AM</w:t>
      </w:r>
      <w:r w:rsidRPr="00F0302C">
        <w:rPr>
          <w:rFonts w:ascii="Book Antiqua" w:eastAsia="Book Antiqua" w:hAnsi="Book Antiqua" w:cs="Book Antiqua"/>
        </w:rPr>
        <w:t xml:space="preserve">, Joshu CE, Barber JR, Prizment AE, Bhavsar NA, Selvin E, Folsom AR, Platz EA. Longer-term Lipid-lowering Drug Use and Risk of Incident and Fatal Prostate </w:t>
      </w:r>
      <w:r w:rsidRPr="00F0302C">
        <w:rPr>
          <w:rFonts w:ascii="Book Antiqua" w:eastAsia="Book Antiqua" w:hAnsi="Book Antiqua" w:cs="Book Antiqua"/>
        </w:rPr>
        <w:lastRenderedPageBreak/>
        <w:t xml:space="preserve">Cancer in Black and White Men in the ARIC Study. </w:t>
      </w:r>
      <w:r w:rsidRPr="00F0302C">
        <w:rPr>
          <w:rFonts w:ascii="Book Antiqua" w:eastAsia="Book Antiqua" w:hAnsi="Book Antiqua" w:cs="Book Antiqua"/>
          <w:i/>
          <w:iCs/>
        </w:rPr>
        <w:t>Cancer Prev Res (Phila)</w:t>
      </w:r>
      <w:r w:rsidRPr="00F0302C">
        <w:rPr>
          <w:rFonts w:ascii="Book Antiqua" w:eastAsia="Book Antiqua" w:hAnsi="Book Antiqua" w:cs="Book Antiqua"/>
        </w:rPr>
        <w:t xml:space="preserve"> 2018; </w:t>
      </w:r>
      <w:r w:rsidRPr="00F0302C">
        <w:rPr>
          <w:rFonts w:ascii="Book Antiqua" w:eastAsia="Book Antiqua" w:hAnsi="Book Antiqua" w:cs="Book Antiqua"/>
          <w:b/>
          <w:bCs/>
        </w:rPr>
        <w:t>11</w:t>
      </w:r>
      <w:r w:rsidRPr="00F0302C">
        <w:rPr>
          <w:rFonts w:ascii="Book Antiqua" w:eastAsia="Book Antiqua" w:hAnsi="Book Antiqua" w:cs="Book Antiqua"/>
        </w:rPr>
        <w:t>: 779-788 [PMID: 30327368 DOI: 10.1158/1940-6207.CAPR-17-0396]</w:t>
      </w:r>
    </w:p>
    <w:p w14:paraId="6F518931"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 xml:space="preserve">4 </w:t>
      </w:r>
      <w:r w:rsidRPr="00F0302C">
        <w:rPr>
          <w:rFonts w:ascii="Book Antiqua" w:eastAsia="Book Antiqua" w:hAnsi="Book Antiqua" w:cs="Book Antiqua"/>
          <w:b/>
          <w:bCs/>
        </w:rPr>
        <w:t>Dineen M</w:t>
      </w:r>
      <w:r w:rsidRPr="00F0302C">
        <w:rPr>
          <w:rFonts w:ascii="Book Antiqua" w:eastAsia="Book Antiqua" w:hAnsi="Book Antiqua" w:cs="Book Antiqua"/>
        </w:rPr>
        <w:t xml:space="preserve">, Hansen E, Guancial E, Sievert L, Sahasrabudhe D. Abiraterone-induced rhabdomyolysis resulting in acute kidney injury: A case report and review of the literature. </w:t>
      </w:r>
      <w:r w:rsidRPr="00F0302C">
        <w:rPr>
          <w:rFonts w:ascii="Book Antiqua" w:eastAsia="Book Antiqua" w:hAnsi="Book Antiqua" w:cs="Book Antiqua"/>
          <w:i/>
          <w:iCs/>
        </w:rPr>
        <w:t>J Oncol Pharm Pract</w:t>
      </w:r>
      <w:r w:rsidRPr="00F0302C">
        <w:rPr>
          <w:rFonts w:ascii="Book Antiqua" w:eastAsia="Book Antiqua" w:hAnsi="Book Antiqua" w:cs="Book Antiqua"/>
        </w:rPr>
        <w:t xml:space="preserve"> 2018; </w:t>
      </w:r>
      <w:r w:rsidRPr="00F0302C">
        <w:rPr>
          <w:rFonts w:ascii="Book Antiqua" w:eastAsia="Book Antiqua" w:hAnsi="Book Antiqua" w:cs="Book Antiqua"/>
          <w:b/>
          <w:bCs/>
        </w:rPr>
        <w:t>24</w:t>
      </w:r>
      <w:r w:rsidRPr="00F0302C">
        <w:rPr>
          <w:rFonts w:ascii="Book Antiqua" w:eastAsia="Book Antiqua" w:hAnsi="Book Antiqua" w:cs="Book Antiqua"/>
        </w:rPr>
        <w:t>: 314-318 [PMID: 28355968 DOI: 10.1177/1078155217701294]</w:t>
      </w:r>
    </w:p>
    <w:p w14:paraId="260919DC"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 xml:space="preserve">5 </w:t>
      </w:r>
      <w:r w:rsidRPr="00F0302C">
        <w:rPr>
          <w:rFonts w:ascii="Book Antiqua" w:eastAsia="Book Antiqua" w:hAnsi="Book Antiqua" w:cs="Book Antiqua"/>
          <w:b/>
          <w:bCs/>
        </w:rPr>
        <w:t>Giatromanolaki A</w:t>
      </w:r>
      <w:r w:rsidRPr="00F0302C">
        <w:rPr>
          <w:rFonts w:ascii="Book Antiqua" w:eastAsia="Book Antiqua" w:hAnsi="Book Antiqua" w:cs="Book Antiqua"/>
        </w:rPr>
        <w:t xml:space="preserve">, Fasoulaki V, Kalamida D, Mitrakas A, Kakouratos C, Lialiaris T, Koukourakis MI. CYP17A1 and Androgen-Receptor Expression in Prostate Carcinoma Tissues and Cancer Cell Lines. </w:t>
      </w:r>
      <w:r w:rsidRPr="00F0302C">
        <w:rPr>
          <w:rFonts w:ascii="Book Antiqua" w:eastAsia="Book Antiqua" w:hAnsi="Book Antiqua" w:cs="Book Antiqua"/>
          <w:i/>
          <w:iCs/>
        </w:rPr>
        <w:t>Curr Urol</w:t>
      </w:r>
      <w:r w:rsidRPr="00F0302C">
        <w:rPr>
          <w:rFonts w:ascii="Book Antiqua" w:eastAsia="Book Antiqua" w:hAnsi="Book Antiqua" w:cs="Book Antiqua"/>
        </w:rPr>
        <w:t xml:space="preserve"> 2019; </w:t>
      </w:r>
      <w:r w:rsidRPr="00F0302C">
        <w:rPr>
          <w:rFonts w:ascii="Book Antiqua" w:eastAsia="Book Antiqua" w:hAnsi="Book Antiqua" w:cs="Book Antiqua"/>
          <w:b/>
          <w:bCs/>
        </w:rPr>
        <w:t>13</w:t>
      </w:r>
      <w:r w:rsidRPr="00F0302C">
        <w:rPr>
          <w:rFonts w:ascii="Book Antiqua" w:eastAsia="Book Antiqua" w:hAnsi="Book Antiqua" w:cs="Book Antiqua"/>
        </w:rPr>
        <w:t>: 157-165 [PMID: 31933595 DOI: 10.1159/000499276]</w:t>
      </w:r>
    </w:p>
    <w:p w14:paraId="4631C68B"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 xml:space="preserve">6 </w:t>
      </w:r>
      <w:r w:rsidRPr="00F0302C">
        <w:rPr>
          <w:rFonts w:ascii="Book Antiqua" w:eastAsia="Book Antiqua" w:hAnsi="Book Antiqua" w:cs="Book Antiqua"/>
          <w:b/>
          <w:bCs/>
        </w:rPr>
        <w:t>Koroki Y</w:t>
      </w:r>
      <w:r w:rsidRPr="00F0302C">
        <w:rPr>
          <w:rFonts w:ascii="Book Antiqua" w:eastAsia="Book Antiqua" w:hAnsi="Book Antiqua" w:cs="Book Antiqua"/>
        </w:rPr>
        <w:t xml:space="preserve">, Imanaka K, Yasuda Y, Harada S, Fujino A. Safety and efficacy of abiraterone acetate plus prednisolone in patients with castration-resistant prostate cancer: a prospective, observational, post-marketing surveillance study. </w:t>
      </w:r>
      <w:r w:rsidRPr="00F0302C">
        <w:rPr>
          <w:rFonts w:ascii="Book Antiqua" w:eastAsia="Book Antiqua" w:hAnsi="Book Antiqua" w:cs="Book Antiqua"/>
          <w:i/>
          <w:iCs/>
        </w:rPr>
        <w:t>Jpn J Clin Oncol</w:t>
      </w:r>
      <w:r w:rsidRPr="00F0302C">
        <w:rPr>
          <w:rFonts w:ascii="Book Antiqua" w:eastAsia="Book Antiqua" w:hAnsi="Book Antiqua" w:cs="Book Antiqua"/>
        </w:rPr>
        <w:t xml:space="preserve"> 2021; </w:t>
      </w:r>
      <w:r w:rsidRPr="00F0302C">
        <w:rPr>
          <w:rFonts w:ascii="Book Antiqua" w:eastAsia="Book Antiqua" w:hAnsi="Book Antiqua" w:cs="Book Antiqua"/>
          <w:b/>
          <w:bCs/>
        </w:rPr>
        <w:t>51</w:t>
      </w:r>
      <w:r w:rsidRPr="00F0302C">
        <w:rPr>
          <w:rFonts w:ascii="Book Antiqua" w:eastAsia="Book Antiqua" w:hAnsi="Book Antiqua" w:cs="Book Antiqua"/>
        </w:rPr>
        <w:t>: 1452-1461 [PMID: 34050660 DOI: 10.1093/jjco/]</w:t>
      </w:r>
    </w:p>
    <w:p w14:paraId="7E9A901E"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 xml:space="preserve">7 </w:t>
      </w:r>
      <w:r w:rsidRPr="00F0302C">
        <w:rPr>
          <w:rFonts w:ascii="Book Antiqua" w:eastAsia="Book Antiqua" w:hAnsi="Book Antiqua" w:cs="Book Antiqua"/>
          <w:b/>
          <w:bCs/>
        </w:rPr>
        <w:t>Zhu B</w:t>
      </w:r>
      <w:r w:rsidRPr="00F0302C">
        <w:rPr>
          <w:rFonts w:ascii="Book Antiqua" w:eastAsia="Book Antiqua" w:hAnsi="Book Antiqua" w:cs="Book Antiqua"/>
        </w:rPr>
        <w:t xml:space="preserve">, Qi F, Wu J, Yin G, Hua J, Zhang Q, Qin L. Red Yeast Rice: A Systematic Review of the Traditional Uses, Chemistry, Pharmacology, and Quality Control of an Important Chinese Folk Medicine. </w:t>
      </w:r>
      <w:r w:rsidRPr="00F0302C">
        <w:rPr>
          <w:rFonts w:ascii="Book Antiqua" w:eastAsia="Book Antiqua" w:hAnsi="Book Antiqua" w:cs="Book Antiqua"/>
          <w:i/>
          <w:iCs/>
        </w:rPr>
        <w:t>Front Pharmacol</w:t>
      </w:r>
      <w:r w:rsidRPr="00F0302C">
        <w:rPr>
          <w:rFonts w:ascii="Book Antiqua" w:eastAsia="Book Antiqua" w:hAnsi="Book Antiqua" w:cs="Book Antiqua"/>
        </w:rPr>
        <w:t xml:space="preserve"> 2019; </w:t>
      </w:r>
      <w:r w:rsidRPr="00F0302C">
        <w:rPr>
          <w:rFonts w:ascii="Book Antiqua" w:eastAsia="Book Antiqua" w:hAnsi="Book Antiqua" w:cs="Book Antiqua"/>
          <w:b/>
          <w:bCs/>
        </w:rPr>
        <w:t>10</w:t>
      </w:r>
      <w:r w:rsidRPr="00F0302C">
        <w:rPr>
          <w:rFonts w:ascii="Book Antiqua" w:eastAsia="Book Antiqua" w:hAnsi="Book Antiqua" w:cs="Book Antiqua"/>
        </w:rPr>
        <w:t>: 1449 [PMID: 31849687 DOI: 10.3389/fphar.2019.01449]</w:t>
      </w:r>
    </w:p>
    <w:p w14:paraId="0A97D5FF" w14:textId="77777777" w:rsidR="00103375" w:rsidRPr="00F0302C" w:rsidRDefault="00000000">
      <w:pPr>
        <w:spacing w:line="360" w:lineRule="auto"/>
        <w:jc w:val="both"/>
        <w:rPr>
          <w:rFonts w:ascii="Book Antiqua" w:hAnsi="Book Antiqua"/>
        </w:rPr>
      </w:pPr>
      <w:r w:rsidRPr="00F0302C">
        <w:rPr>
          <w:rFonts w:ascii="Book Antiqua" w:eastAsia="宋体" w:hAnsi="Book Antiqua" w:cs="Book Antiqua"/>
          <w:lang w:eastAsia="zh-CN"/>
        </w:rPr>
        <w:t>8</w:t>
      </w:r>
      <w:r w:rsidRPr="00F0302C">
        <w:rPr>
          <w:rFonts w:ascii="Book Antiqua" w:eastAsia="Book Antiqua" w:hAnsi="Book Antiqua" w:cs="Book Antiqua"/>
        </w:rPr>
        <w:t xml:space="preserve"> </w:t>
      </w:r>
      <w:r w:rsidRPr="00F0302C">
        <w:rPr>
          <w:rFonts w:ascii="Book Antiqua" w:eastAsia="Book Antiqua" w:hAnsi="Book Antiqua" w:cs="Book Antiqua"/>
          <w:b/>
          <w:bCs/>
        </w:rPr>
        <w:t>Gluba-Brzozka A</w:t>
      </w:r>
      <w:r w:rsidRPr="00F0302C">
        <w:rPr>
          <w:rFonts w:ascii="Book Antiqua" w:eastAsia="Book Antiqua" w:hAnsi="Book Antiqua" w:cs="Book Antiqua"/>
        </w:rPr>
        <w:t xml:space="preserve">, Franczyk B, Toth PP, Rysz J, Banach M. Molecular mechanisms of statin intolerance. </w:t>
      </w:r>
      <w:r w:rsidRPr="00F0302C">
        <w:rPr>
          <w:rFonts w:ascii="Book Antiqua" w:eastAsia="Book Antiqua" w:hAnsi="Book Antiqua" w:cs="Book Antiqua"/>
          <w:i/>
          <w:iCs/>
        </w:rPr>
        <w:t>Arch Med Sci</w:t>
      </w:r>
      <w:r w:rsidRPr="00F0302C">
        <w:rPr>
          <w:rFonts w:ascii="Book Antiqua" w:eastAsia="Book Antiqua" w:hAnsi="Book Antiqua" w:cs="Book Antiqua"/>
        </w:rPr>
        <w:t xml:space="preserve"> 2016; </w:t>
      </w:r>
      <w:r w:rsidRPr="00F0302C">
        <w:rPr>
          <w:rFonts w:ascii="Book Antiqua" w:eastAsia="Book Antiqua" w:hAnsi="Book Antiqua" w:cs="Book Antiqua"/>
          <w:b/>
          <w:bCs/>
        </w:rPr>
        <w:t>12</w:t>
      </w:r>
      <w:r w:rsidRPr="00F0302C">
        <w:rPr>
          <w:rFonts w:ascii="Book Antiqua" w:eastAsia="Book Antiqua" w:hAnsi="Book Antiqua" w:cs="Book Antiqua"/>
        </w:rPr>
        <w:t>: 645-658 [PMID: 27279860 DOI: 10.5114/aoms.2016.59938]</w:t>
      </w:r>
    </w:p>
    <w:p w14:paraId="7DF95E4A" w14:textId="77777777" w:rsidR="00103375" w:rsidRPr="00F0302C" w:rsidRDefault="00000000">
      <w:pPr>
        <w:spacing w:line="360" w:lineRule="auto"/>
        <w:jc w:val="both"/>
        <w:rPr>
          <w:rFonts w:ascii="Book Antiqua" w:hAnsi="Book Antiqua"/>
        </w:rPr>
      </w:pPr>
      <w:r w:rsidRPr="00F0302C">
        <w:rPr>
          <w:rFonts w:ascii="Book Antiqua" w:eastAsia="宋体" w:hAnsi="Book Antiqua" w:cs="Book Antiqua"/>
          <w:lang w:eastAsia="zh-CN"/>
        </w:rPr>
        <w:t>9</w:t>
      </w:r>
      <w:r w:rsidRPr="00F0302C">
        <w:rPr>
          <w:rFonts w:ascii="Book Antiqua" w:eastAsia="Book Antiqua" w:hAnsi="Book Antiqua" w:cs="Book Antiqua"/>
        </w:rPr>
        <w:t xml:space="preserve"> </w:t>
      </w:r>
      <w:r w:rsidRPr="00F0302C">
        <w:rPr>
          <w:rFonts w:ascii="Book Antiqua" w:eastAsia="Book Antiqua" w:hAnsi="Book Antiqua" w:cs="Book Antiqua"/>
          <w:b/>
          <w:bCs/>
        </w:rPr>
        <w:t>Anderson-Carter I</w:t>
      </w:r>
      <w:r w:rsidRPr="00F0302C">
        <w:rPr>
          <w:rFonts w:ascii="Book Antiqua" w:eastAsia="Book Antiqua" w:hAnsi="Book Antiqua" w:cs="Book Antiqua"/>
        </w:rPr>
        <w:t xml:space="preserve">, Posielski N, Liou JI, Khemees TA, Downs TM, Abel EJ, Jarrard DF, Richards KA. The impact of statins in combination with androgen deprivation therapyin patients with advanced prostate cancer: A large observational study. </w:t>
      </w:r>
      <w:r w:rsidRPr="00F0302C">
        <w:rPr>
          <w:rFonts w:ascii="Book Antiqua" w:eastAsia="Book Antiqua" w:hAnsi="Book Antiqua" w:cs="Book Antiqua"/>
          <w:i/>
          <w:iCs/>
        </w:rPr>
        <w:t>Urol Oncol</w:t>
      </w:r>
      <w:r w:rsidRPr="00F0302C">
        <w:rPr>
          <w:rFonts w:ascii="Book Antiqua" w:eastAsia="Book Antiqua" w:hAnsi="Book Antiqua" w:cs="Book Antiqua"/>
        </w:rPr>
        <w:t xml:space="preserve"> 2019; </w:t>
      </w:r>
      <w:r w:rsidRPr="00F0302C">
        <w:rPr>
          <w:rFonts w:ascii="Book Antiqua" w:eastAsia="Book Antiqua" w:hAnsi="Book Antiqua" w:cs="Book Antiqua"/>
          <w:b/>
          <w:bCs/>
        </w:rPr>
        <w:t>37</w:t>
      </w:r>
      <w:r w:rsidRPr="00F0302C">
        <w:rPr>
          <w:rFonts w:ascii="Book Antiqua" w:eastAsia="Book Antiqua" w:hAnsi="Book Antiqua" w:cs="Book Antiqua"/>
        </w:rPr>
        <w:t>: 130-137 [PMID: 30528885 DOI: 10.1016/j.urolonc.2018.11.017]</w:t>
      </w:r>
    </w:p>
    <w:p w14:paraId="62A34819" w14:textId="77777777" w:rsidR="00103375" w:rsidRPr="00F0302C" w:rsidRDefault="00000000">
      <w:pPr>
        <w:spacing w:line="360" w:lineRule="auto"/>
        <w:jc w:val="both"/>
        <w:rPr>
          <w:rFonts w:ascii="Book Antiqua" w:hAnsi="Book Antiqua"/>
        </w:rPr>
      </w:pPr>
      <w:r w:rsidRPr="00F0302C">
        <w:rPr>
          <w:rFonts w:ascii="Book Antiqua" w:eastAsia="宋体" w:hAnsi="Book Antiqua" w:cs="Book Antiqua"/>
          <w:lang w:eastAsia="zh-CN"/>
        </w:rPr>
        <w:t>10</w:t>
      </w:r>
      <w:r w:rsidRPr="00F0302C">
        <w:rPr>
          <w:rFonts w:ascii="Book Antiqua" w:eastAsia="Book Antiqua" w:hAnsi="Book Antiqua" w:cs="Book Antiqua"/>
        </w:rPr>
        <w:t xml:space="preserve"> </w:t>
      </w:r>
      <w:r w:rsidRPr="00F0302C">
        <w:rPr>
          <w:rFonts w:ascii="Book Antiqua" w:eastAsia="Book Antiqua" w:hAnsi="Book Antiqua" w:cs="Book Antiqua"/>
          <w:b/>
          <w:bCs/>
        </w:rPr>
        <w:t>Schnoeller TJ</w:t>
      </w:r>
      <w:r w:rsidRPr="00F0302C">
        <w:rPr>
          <w:rFonts w:ascii="Book Antiqua" w:eastAsia="Book Antiqua" w:hAnsi="Book Antiqua" w:cs="Book Antiqua"/>
        </w:rPr>
        <w:t xml:space="preserve">, Jentzmik F, Schrader AJ, Steinestel J. Influence of serum cholesterol level and statin treatment on prostate cancer aggressiveness. </w:t>
      </w:r>
      <w:r w:rsidRPr="00F0302C">
        <w:rPr>
          <w:rFonts w:ascii="Book Antiqua" w:eastAsia="Book Antiqua" w:hAnsi="Book Antiqua" w:cs="Book Antiqua"/>
          <w:i/>
          <w:iCs/>
        </w:rPr>
        <w:t>Oncotarget</w:t>
      </w:r>
      <w:r w:rsidRPr="00F0302C">
        <w:rPr>
          <w:rFonts w:ascii="Book Antiqua" w:eastAsia="Book Antiqua" w:hAnsi="Book Antiqua" w:cs="Book Antiqua"/>
        </w:rPr>
        <w:t xml:space="preserve"> 2017; </w:t>
      </w:r>
      <w:r w:rsidRPr="00F0302C">
        <w:rPr>
          <w:rFonts w:ascii="Book Antiqua" w:eastAsia="Book Antiqua" w:hAnsi="Book Antiqua" w:cs="Book Antiqua"/>
          <w:b/>
          <w:bCs/>
        </w:rPr>
        <w:t>8</w:t>
      </w:r>
      <w:r w:rsidRPr="00F0302C">
        <w:rPr>
          <w:rFonts w:ascii="Book Antiqua" w:eastAsia="Book Antiqua" w:hAnsi="Book Antiqua" w:cs="Book Antiqua"/>
        </w:rPr>
        <w:t>: 47110-47120 [PMID: 28445145 DOI: 10.18632/oncotarget.16943]</w:t>
      </w:r>
    </w:p>
    <w:p w14:paraId="2D11D3CE" w14:textId="77777777" w:rsidR="00103375" w:rsidRPr="00F0302C" w:rsidRDefault="00000000">
      <w:pPr>
        <w:spacing w:line="360" w:lineRule="auto"/>
        <w:jc w:val="both"/>
        <w:rPr>
          <w:rFonts w:ascii="Book Antiqua" w:hAnsi="Book Antiqua"/>
        </w:rPr>
      </w:pPr>
      <w:r w:rsidRPr="00F0302C">
        <w:rPr>
          <w:rFonts w:ascii="Book Antiqua" w:eastAsia="宋体" w:hAnsi="Book Antiqua" w:cs="Book Antiqua"/>
          <w:lang w:eastAsia="zh-CN"/>
        </w:rPr>
        <w:lastRenderedPageBreak/>
        <w:t>11</w:t>
      </w:r>
      <w:r w:rsidRPr="00F0302C">
        <w:rPr>
          <w:rFonts w:ascii="Book Antiqua" w:eastAsia="Book Antiqua" w:hAnsi="Book Antiqua" w:cs="Book Antiqua"/>
        </w:rPr>
        <w:t xml:space="preserve"> </w:t>
      </w:r>
      <w:r w:rsidRPr="00F0302C">
        <w:rPr>
          <w:rFonts w:ascii="Book Antiqua" w:eastAsia="Book Antiqua" w:hAnsi="Book Antiqua" w:cs="Book Antiqua"/>
          <w:b/>
          <w:bCs/>
        </w:rPr>
        <w:t>Gordon JA</w:t>
      </w:r>
      <w:r w:rsidRPr="00F0302C">
        <w:rPr>
          <w:rFonts w:ascii="Book Antiqua" w:eastAsia="Book Antiqua" w:hAnsi="Book Antiqua" w:cs="Book Antiqua"/>
        </w:rPr>
        <w:t xml:space="preserve">, Buonerba C, Pond G, Crona D, Gillessen S, Lucarelli G, Rossetti S, Dorff T, Artale S, Locke JA, Bosso D, Milowsky MI, Witek MS, Battaglia M, Pignata S, Cherhroudi C, Cox ME, De Placido P, Ribera D, Omlin A, Buonocore G, Chi K, Kollmannsberger C, Khalaf D, Facchini G, Sonpavde G, De Placido S, Eigl BJ, Di Lorenzo G. Statin use and survival in patients with metastatic castration-resistant prostate cancer treated with abiraterone or enzalutamide after docetaxel failure: the international retrospective observational STABEN study. </w:t>
      </w:r>
      <w:r w:rsidRPr="00F0302C">
        <w:rPr>
          <w:rFonts w:ascii="Book Antiqua" w:eastAsia="Book Antiqua" w:hAnsi="Book Antiqua" w:cs="Book Antiqua"/>
          <w:i/>
          <w:iCs/>
        </w:rPr>
        <w:t>Oncotarget</w:t>
      </w:r>
      <w:r w:rsidRPr="00F0302C">
        <w:rPr>
          <w:rFonts w:ascii="Book Antiqua" w:eastAsia="Book Antiqua" w:hAnsi="Book Antiqua" w:cs="Book Antiqua"/>
        </w:rPr>
        <w:t xml:space="preserve"> 2018; </w:t>
      </w:r>
      <w:r w:rsidRPr="00F0302C">
        <w:rPr>
          <w:rFonts w:ascii="Book Antiqua" w:eastAsia="Book Antiqua" w:hAnsi="Book Antiqua" w:cs="Book Antiqua"/>
          <w:b/>
          <w:bCs/>
        </w:rPr>
        <w:t>9</w:t>
      </w:r>
      <w:r w:rsidRPr="00F0302C">
        <w:rPr>
          <w:rFonts w:ascii="Book Antiqua" w:eastAsia="Book Antiqua" w:hAnsi="Book Antiqua" w:cs="Book Antiqua"/>
        </w:rPr>
        <w:t>: 19861-19873 [PMID: 29731989 DOI: 10.18632/oncotarget.24888]</w:t>
      </w:r>
    </w:p>
    <w:p w14:paraId="1FF74ED2" w14:textId="77777777" w:rsidR="00103375" w:rsidRPr="00F0302C" w:rsidRDefault="00000000">
      <w:pPr>
        <w:spacing w:line="360" w:lineRule="auto"/>
        <w:jc w:val="both"/>
        <w:rPr>
          <w:rFonts w:ascii="Book Antiqua" w:hAnsi="Book Antiqua"/>
        </w:rPr>
      </w:pPr>
      <w:r w:rsidRPr="00F0302C">
        <w:rPr>
          <w:rFonts w:ascii="Book Antiqua" w:eastAsia="宋体" w:hAnsi="Book Antiqua" w:cs="Book Antiqua"/>
          <w:lang w:eastAsia="zh-CN"/>
        </w:rPr>
        <w:t>12</w:t>
      </w:r>
      <w:r w:rsidRPr="00F0302C">
        <w:rPr>
          <w:rFonts w:ascii="Book Antiqua" w:eastAsia="Book Antiqua" w:hAnsi="Book Antiqua" w:cs="Book Antiqua"/>
        </w:rPr>
        <w:t xml:space="preserve"> </w:t>
      </w:r>
      <w:r w:rsidRPr="00F0302C">
        <w:rPr>
          <w:rFonts w:ascii="Book Antiqua" w:eastAsia="Book Antiqua" w:hAnsi="Book Antiqua" w:cs="Book Antiqua"/>
          <w:b/>
          <w:bCs/>
        </w:rPr>
        <w:t>Potter GA</w:t>
      </w:r>
      <w:r w:rsidRPr="00F0302C">
        <w:rPr>
          <w:rFonts w:ascii="Book Antiqua" w:eastAsia="Book Antiqua" w:hAnsi="Book Antiqua" w:cs="Book Antiqua"/>
        </w:rPr>
        <w:t xml:space="preserve">, Barrie SE, Jarman M, Rowlands MG. Novel steroidal inhibitors of human cytochrome P45017 alpha (17 alpha-hydroxylase-C17,20-lyase): potential agents for the treatment of prostatic cancer. </w:t>
      </w:r>
      <w:r w:rsidRPr="00F0302C">
        <w:rPr>
          <w:rFonts w:ascii="Book Antiqua" w:eastAsia="Book Antiqua" w:hAnsi="Book Antiqua" w:cs="Book Antiqua"/>
          <w:i/>
          <w:iCs/>
        </w:rPr>
        <w:t>J Med Chem</w:t>
      </w:r>
      <w:r w:rsidRPr="00F0302C">
        <w:rPr>
          <w:rFonts w:ascii="Book Antiqua" w:eastAsia="Book Antiqua" w:hAnsi="Book Antiqua" w:cs="Book Antiqua"/>
        </w:rPr>
        <w:t xml:space="preserve"> 1995; </w:t>
      </w:r>
      <w:r w:rsidRPr="00F0302C">
        <w:rPr>
          <w:rFonts w:ascii="Book Antiqua" w:eastAsia="Book Antiqua" w:hAnsi="Book Antiqua" w:cs="Book Antiqua"/>
          <w:b/>
          <w:bCs/>
        </w:rPr>
        <w:t>38</w:t>
      </w:r>
      <w:r w:rsidRPr="00F0302C">
        <w:rPr>
          <w:rFonts w:ascii="Book Antiqua" w:eastAsia="Book Antiqua" w:hAnsi="Book Antiqua" w:cs="Book Antiqua"/>
        </w:rPr>
        <w:t>: 2463-2471 [PMID: 7608911 DOI: 10.1021/jm00013a022]</w:t>
      </w:r>
    </w:p>
    <w:p w14:paraId="6D977E9E"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1</w:t>
      </w:r>
      <w:r w:rsidRPr="00F0302C">
        <w:rPr>
          <w:rFonts w:ascii="Book Antiqua" w:eastAsia="宋体" w:hAnsi="Book Antiqua" w:cs="Book Antiqua"/>
          <w:lang w:eastAsia="zh-CN"/>
        </w:rPr>
        <w:t>3</w:t>
      </w:r>
      <w:r w:rsidRPr="00F0302C">
        <w:rPr>
          <w:rFonts w:ascii="Book Antiqua" w:eastAsia="Book Antiqua" w:hAnsi="Book Antiqua" w:cs="Book Antiqua"/>
        </w:rPr>
        <w:t xml:space="preserve"> </w:t>
      </w:r>
      <w:r w:rsidRPr="00F0302C">
        <w:rPr>
          <w:rFonts w:ascii="Book Antiqua" w:eastAsia="Book Antiqua" w:hAnsi="Book Antiqua" w:cs="Book Antiqua"/>
          <w:b/>
          <w:bCs/>
        </w:rPr>
        <w:t>Wagner JB</w:t>
      </w:r>
      <w:r w:rsidRPr="00F0302C">
        <w:rPr>
          <w:rFonts w:ascii="Book Antiqua" w:eastAsia="Book Antiqua" w:hAnsi="Book Antiqua" w:cs="Book Antiqua"/>
        </w:rPr>
        <w:t xml:space="preserve">, Ruggiero M, Leeder JS, Hagenbuch B. Functional Consequences of Pravastatin Isomerization on OATP1B1-Mediated Transport. </w:t>
      </w:r>
      <w:r w:rsidRPr="00F0302C">
        <w:rPr>
          <w:rFonts w:ascii="Book Antiqua" w:eastAsia="Book Antiqua" w:hAnsi="Book Antiqua" w:cs="Book Antiqua"/>
          <w:i/>
          <w:iCs/>
        </w:rPr>
        <w:t>Drug Metab Dispos</w:t>
      </w:r>
      <w:r w:rsidRPr="00F0302C">
        <w:rPr>
          <w:rFonts w:ascii="Book Antiqua" w:eastAsia="Book Antiqua" w:hAnsi="Book Antiqua" w:cs="Book Antiqua"/>
        </w:rPr>
        <w:t xml:space="preserve"> 2020; </w:t>
      </w:r>
      <w:r w:rsidRPr="00F0302C">
        <w:rPr>
          <w:rFonts w:ascii="Book Antiqua" w:eastAsia="Book Antiqua" w:hAnsi="Book Antiqua" w:cs="Book Antiqua"/>
          <w:b/>
          <w:bCs/>
        </w:rPr>
        <w:t>48</w:t>
      </w:r>
      <w:r w:rsidRPr="00F0302C">
        <w:rPr>
          <w:rFonts w:ascii="Book Antiqua" w:eastAsia="Book Antiqua" w:hAnsi="Book Antiqua" w:cs="Book Antiqua"/>
        </w:rPr>
        <w:t>: 1192-1198 [PMID: 32892153 DOI: 10.1124/dmd.120.000122]</w:t>
      </w:r>
    </w:p>
    <w:p w14:paraId="67E1534E"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1</w:t>
      </w:r>
      <w:r w:rsidRPr="00F0302C">
        <w:rPr>
          <w:rFonts w:ascii="Book Antiqua" w:eastAsia="宋体" w:hAnsi="Book Antiqua" w:cs="Book Antiqua"/>
          <w:lang w:eastAsia="zh-CN"/>
        </w:rPr>
        <w:t>4</w:t>
      </w:r>
      <w:r w:rsidRPr="00F0302C">
        <w:rPr>
          <w:rFonts w:ascii="Book Antiqua" w:eastAsia="Book Antiqua" w:hAnsi="Book Antiqua" w:cs="Book Antiqua"/>
        </w:rPr>
        <w:t xml:space="preserve"> </w:t>
      </w:r>
      <w:r w:rsidRPr="00F0302C">
        <w:rPr>
          <w:rFonts w:ascii="Book Antiqua" w:eastAsia="Book Antiqua" w:hAnsi="Book Antiqua" w:cs="Book Antiqua"/>
          <w:b/>
          <w:bCs/>
        </w:rPr>
        <w:t>Desikan SP</w:t>
      </w:r>
      <w:r w:rsidRPr="00F0302C">
        <w:rPr>
          <w:rFonts w:ascii="Book Antiqua" w:eastAsia="Book Antiqua" w:hAnsi="Book Antiqua" w:cs="Book Antiqua"/>
        </w:rPr>
        <w:t xml:space="preserve">, Sobash P, Fisher A, Desikan R. Statin-Induced Rhabdomyolysis Due to Pharmacokinetic Changes From Biliary Obstruction in a Patient With Metastatic Prostate Cancer. </w:t>
      </w:r>
      <w:r w:rsidRPr="00F0302C">
        <w:rPr>
          <w:rFonts w:ascii="Book Antiqua" w:eastAsia="Book Antiqua" w:hAnsi="Book Antiqua" w:cs="Book Antiqua"/>
          <w:i/>
          <w:iCs/>
        </w:rPr>
        <w:t>J Investig Med High Impact Case Rep</w:t>
      </w:r>
      <w:r w:rsidRPr="00F0302C">
        <w:rPr>
          <w:rFonts w:ascii="Book Antiqua" w:eastAsia="Book Antiqua" w:hAnsi="Book Antiqua" w:cs="Book Antiqua"/>
        </w:rPr>
        <w:t xml:space="preserve"> 2020; </w:t>
      </w:r>
      <w:r w:rsidRPr="00F0302C">
        <w:rPr>
          <w:rFonts w:ascii="Book Antiqua" w:eastAsia="Book Antiqua" w:hAnsi="Book Antiqua" w:cs="Book Antiqua"/>
          <w:b/>
          <w:bCs/>
        </w:rPr>
        <w:t>8</w:t>
      </w:r>
      <w:r w:rsidRPr="00F0302C">
        <w:rPr>
          <w:rFonts w:ascii="Book Antiqua" w:eastAsia="Book Antiqua" w:hAnsi="Book Antiqua" w:cs="Book Antiqua"/>
        </w:rPr>
        <w:t>: 2324709620947275 [PMID: 32755252 DOI: 10.1177/2324709620947275]</w:t>
      </w:r>
    </w:p>
    <w:p w14:paraId="4A45C45B"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1</w:t>
      </w:r>
      <w:r w:rsidRPr="00F0302C">
        <w:rPr>
          <w:rFonts w:ascii="Book Antiqua" w:eastAsia="宋体" w:hAnsi="Book Antiqua" w:cs="Book Antiqua"/>
          <w:lang w:eastAsia="zh-CN"/>
        </w:rPr>
        <w:t>5</w:t>
      </w:r>
      <w:r w:rsidRPr="00F0302C">
        <w:rPr>
          <w:rFonts w:ascii="Book Antiqua" w:eastAsia="Book Antiqua" w:hAnsi="Book Antiqua" w:cs="Book Antiqua"/>
        </w:rPr>
        <w:t xml:space="preserve"> </w:t>
      </w:r>
      <w:r w:rsidRPr="00F0302C">
        <w:rPr>
          <w:rFonts w:ascii="Book Antiqua" w:eastAsia="Book Antiqua" w:hAnsi="Book Antiqua" w:cs="Book Antiqua"/>
          <w:b/>
          <w:bCs/>
        </w:rPr>
        <w:t>Elam MB</w:t>
      </w:r>
      <w:r w:rsidRPr="00F0302C">
        <w:rPr>
          <w:rFonts w:ascii="Book Antiqua" w:eastAsia="Book Antiqua" w:hAnsi="Book Antiqua" w:cs="Book Antiqua"/>
        </w:rPr>
        <w:t xml:space="preserve">, Majumdar G, Mozhui K, Gerling IC, Vera SR, Fish-Trotter H, Williams RW, Childress RD, Raghow R. Patients experiencing statin-induced myalgia exhibit a unique program of skeletal muscle gene expression following statin re-challenge. </w:t>
      </w:r>
      <w:r w:rsidRPr="00F0302C">
        <w:rPr>
          <w:rFonts w:ascii="Book Antiqua" w:eastAsia="Book Antiqua" w:hAnsi="Book Antiqua" w:cs="Book Antiqua"/>
          <w:i/>
          <w:iCs/>
        </w:rPr>
        <w:t>PLoS One</w:t>
      </w:r>
      <w:r w:rsidRPr="00F0302C">
        <w:rPr>
          <w:rFonts w:ascii="Book Antiqua" w:eastAsia="Book Antiqua" w:hAnsi="Book Antiqua" w:cs="Book Antiqua"/>
        </w:rPr>
        <w:t xml:space="preserve"> 2017; </w:t>
      </w:r>
      <w:r w:rsidRPr="00F0302C">
        <w:rPr>
          <w:rFonts w:ascii="Book Antiqua" w:eastAsia="Book Antiqua" w:hAnsi="Book Antiqua" w:cs="Book Antiqua"/>
          <w:b/>
          <w:bCs/>
        </w:rPr>
        <w:t>12</w:t>
      </w:r>
      <w:r w:rsidRPr="00F0302C">
        <w:rPr>
          <w:rFonts w:ascii="Book Antiqua" w:eastAsia="Book Antiqua" w:hAnsi="Book Antiqua" w:cs="Book Antiqua"/>
        </w:rPr>
        <w:t>: e0181308 [PMID: 28771594 DOI: 10.1371/journal.pone]</w:t>
      </w:r>
    </w:p>
    <w:p w14:paraId="718ABBE9" w14:textId="77777777" w:rsidR="00103375" w:rsidRPr="00F0302C" w:rsidRDefault="00103375">
      <w:pPr>
        <w:spacing w:line="360" w:lineRule="auto"/>
        <w:jc w:val="both"/>
        <w:rPr>
          <w:rFonts w:ascii="Book Antiqua" w:hAnsi="Book Antiqua"/>
        </w:rPr>
        <w:sectPr w:rsidR="00103375" w:rsidRPr="00F0302C">
          <w:pgSz w:w="12240" w:h="15840"/>
          <w:pgMar w:top="1440" w:right="1440" w:bottom="1440" w:left="1440" w:header="720" w:footer="720" w:gutter="0"/>
          <w:cols w:space="720"/>
          <w:docGrid w:linePitch="360"/>
        </w:sectPr>
      </w:pPr>
    </w:p>
    <w:p w14:paraId="7257C636"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lastRenderedPageBreak/>
        <w:t>Footnotes</w:t>
      </w:r>
    </w:p>
    <w:p w14:paraId="2C5C0D77"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t xml:space="preserve">Informed consent statement: </w:t>
      </w:r>
      <w:r w:rsidRPr="00F0302C">
        <w:rPr>
          <w:rFonts w:ascii="Book Antiqua" w:eastAsia="宋体" w:hAnsi="Book Antiqua" w:cs="Book Antiqua" w:hint="eastAsia"/>
          <w:color w:val="000000"/>
          <w:shd w:val="clear" w:color="auto" w:fill="FFFFFF"/>
          <w:lang w:eastAsia="zh-CN"/>
        </w:rPr>
        <w:t>I</w:t>
      </w:r>
      <w:r w:rsidRPr="00F0302C">
        <w:rPr>
          <w:rFonts w:ascii="Book Antiqua" w:eastAsia="Book Antiqua" w:hAnsi="Book Antiqua" w:cs="Book Antiqua"/>
          <w:color w:val="000000"/>
          <w:shd w:val="clear" w:color="auto" w:fill="FFFFFF"/>
        </w:rPr>
        <w:t xml:space="preserve">nformed written consent </w:t>
      </w:r>
      <w:r w:rsidRPr="00F0302C">
        <w:rPr>
          <w:rFonts w:ascii="Book Antiqua" w:eastAsia="宋体" w:hAnsi="Book Antiqua" w:cs="Book Antiqua" w:hint="eastAsia"/>
          <w:color w:val="000000"/>
          <w:shd w:val="clear" w:color="auto" w:fill="FFFFFF"/>
          <w:lang w:eastAsia="zh-CN"/>
        </w:rPr>
        <w:t>was obtained from the patient for the publication of this case report</w:t>
      </w:r>
      <w:r w:rsidRPr="00F0302C">
        <w:rPr>
          <w:rFonts w:ascii="Book Antiqua" w:eastAsia="Book Antiqua" w:hAnsi="Book Antiqua" w:cs="Book Antiqua"/>
          <w:color w:val="000000"/>
          <w:shd w:val="clear" w:color="auto" w:fill="FFFFFF"/>
        </w:rPr>
        <w:t>.</w:t>
      </w:r>
    </w:p>
    <w:p w14:paraId="627D4DD8" w14:textId="77777777" w:rsidR="00103375" w:rsidRPr="00F0302C" w:rsidRDefault="00103375">
      <w:pPr>
        <w:spacing w:line="360" w:lineRule="auto"/>
        <w:jc w:val="both"/>
        <w:rPr>
          <w:rFonts w:ascii="Book Antiqua" w:hAnsi="Book Antiqua"/>
        </w:rPr>
      </w:pPr>
    </w:p>
    <w:p w14:paraId="7C203979"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t xml:space="preserve">Conflict-of-interest statement: </w:t>
      </w:r>
      <w:r w:rsidRPr="00F0302C">
        <w:rPr>
          <w:rFonts w:ascii="Book Antiqua" w:eastAsia="Book Antiqua" w:hAnsi="Book Antiqua" w:cs="Book Antiqua"/>
        </w:rPr>
        <w:t>The authors that they have no conflict of interest to disclose.</w:t>
      </w:r>
    </w:p>
    <w:p w14:paraId="7B49C745" w14:textId="77777777" w:rsidR="00103375" w:rsidRPr="00F0302C" w:rsidRDefault="00103375">
      <w:pPr>
        <w:spacing w:line="360" w:lineRule="auto"/>
        <w:jc w:val="both"/>
        <w:rPr>
          <w:rFonts w:ascii="Book Antiqua" w:hAnsi="Book Antiqua"/>
        </w:rPr>
      </w:pPr>
    </w:p>
    <w:p w14:paraId="586EAD0F"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t xml:space="preserve">CARE Checklist (2016) statement: </w:t>
      </w:r>
      <w:r w:rsidRPr="00F0302C">
        <w:rPr>
          <w:rFonts w:ascii="Book Antiqua" w:eastAsia="Book Antiqua" w:hAnsi="Book Antiqua" w:cs="Book Antiqua"/>
        </w:rPr>
        <w:t>The authors have read the CARE Checklist (2016), and the manuscript was prepared and revised according to the CARE Checklist (2016).</w:t>
      </w:r>
    </w:p>
    <w:p w14:paraId="28F1F031" w14:textId="77777777" w:rsidR="00103375" w:rsidRPr="00F0302C" w:rsidRDefault="00103375">
      <w:pPr>
        <w:spacing w:line="360" w:lineRule="auto"/>
        <w:jc w:val="both"/>
        <w:rPr>
          <w:rFonts w:ascii="Book Antiqua" w:hAnsi="Book Antiqua"/>
        </w:rPr>
      </w:pPr>
    </w:p>
    <w:p w14:paraId="6498562D"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t xml:space="preserve">Open-Access: </w:t>
      </w:r>
      <w:r w:rsidRPr="00F0302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2ED609" w14:textId="77777777" w:rsidR="00103375" w:rsidRPr="00F0302C" w:rsidRDefault="00103375">
      <w:pPr>
        <w:spacing w:line="360" w:lineRule="auto"/>
        <w:jc w:val="both"/>
        <w:rPr>
          <w:rFonts w:ascii="Book Antiqua" w:hAnsi="Book Antiqua"/>
        </w:rPr>
      </w:pPr>
    </w:p>
    <w:p w14:paraId="76D6015D"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t xml:space="preserve">Provenance and peer review: </w:t>
      </w:r>
      <w:r w:rsidRPr="00F0302C">
        <w:rPr>
          <w:rFonts w:ascii="Book Antiqua" w:eastAsia="Book Antiqua" w:hAnsi="Book Antiqua" w:cs="Book Antiqua"/>
        </w:rPr>
        <w:t>Unsolicited article; Externally peer reviewed.</w:t>
      </w:r>
    </w:p>
    <w:p w14:paraId="0AFF54C9"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t xml:space="preserve">Peer-review model: </w:t>
      </w:r>
      <w:r w:rsidRPr="00F0302C">
        <w:rPr>
          <w:rFonts w:ascii="Book Antiqua" w:eastAsia="Book Antiqua" w:hAnsi="Book Antiqua" w:cs="Book Antiqua"/>
        </w:rPr>
        <w:t>Single blind</w:t>
      </w:r>
    </w:p>
    <w:p w14:paraId="00644A36" w14:textId="77777777" w:rsidR="00103375" w:rsidRPr="00F0302C" w:rsidRDefault="00103375">
      <w:pPr>
        <w:spacing w:line="360" w:lineRule="auto"/>
        <w:jc w:val="both"/>
        <w:rPr>
          <w:rFonts w:ascii="Book Antiqua" w:hAnsi="Book Antiqua"/>
        </w:rPr>
      </w:pPr>
    </w:p>
    <w:p w14:paraId="227FAD05"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t xml:space="preserve">Peer-review started: </w:t>
      </w:r>
      <w:r w:rsidRPr="00F0302C">
        <w:rPr>
          <w:rFonts w:ascii="Book Antiqua" w:eastAsia="Book Antiqua" w:hAnsi="Book Antiqua" w:cs="Book Antiqua"/>
        </w:rPr>
        <w:t>April 22, 2023</w:t>
      </w:r>
    </w:p>
    <w:p w14:paraId="171D6386"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t xml:space="preserve">First decision: </w:t>
      </w:r>
      <w:r w:rsidRPr="00F0302C">
        <w:rPr>
          <w:rFonts w:ascii="Book Antiqua" w:eastAsia="Book Antiqua" w:hAnsi="Book Antiqua" w:cs="Book Antiqua"/>
        </w:rPr>
        <w:t>June 12, 2023</w:t>
      </w:r>
    </w:p>
    <w:p w14:paraId="5D7FD136" w14:textId="5BE21F42"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t xml:space="preserve">Article in press: </w:t>
      </w:r>
      <w:r w:rsidR="00447D2B" w:rsidRPr="00F0302C">
        <w:rPr>
          <w:rFonts w:ascii="Book Antiqua" w:eastAsia="Book Antiqua" w:hAnsi="Book Antiqua" w:cs="Book Antiqua"/>
        </w:rPr>
        <w:t>July 17, 2023</w:t>
      </w:r>
    </w:p>
    <w:p w14:paraId="0B89F40A" w14:textId="77777777" w:rsidR="00103375" w:rsidRPr="00F0302C" w:rsidRDefault="00103375">
      <w:pPr>
        <w:spacing w:line="360" w:lineRule="auto"/>
        <w:jc w:val="both"/>
        <w:rPr>
          <w:rFonts w:ascii="Book Antiqua" w:hAnsi="Book Antiqua"/>
        </w:rPr>
      </w:pPr>
    </w:p>
    <w:p w14:paraId="4663DAEE"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t xml:space="preserve">Specialty type: </w:t>
      </w:r>
      <w:r w:rsidRPr="00F0302C">
        <w:rPr>
          <w:rFonts w:ascii="Book Antiqua" w:eastAsia="Book Antiqua" w:hAnsi="Book Antiqua" w:cs="Book Antiqua"/>
        </w:rPr>
        <w:t>Medical informatics</w:t>
      </w:r>
    </w:p>
    <w:p w14:paraId="7FD2B83F"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t xml:space="preserve">Country/Territory of origin: </w:t>
      </w:r>
      <w:r w:rsidRPr="00F0302C">
        <w:rPr>
          <w:rFonts w:ascii="Book Antiqua" w:eastAsia="Book Antiqua" w:hAnsi="Book Antiqua" w:cs="Book Antiqua"/>
        </w:rPr>
        <w:t>China</w:t>
      </w:r>
    </w:p>
    <w:p w14:paraId="51F33648"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color w:val="000000"/>
        </w:rPr>
        <w:t>Peer-review report’s scientific quality classification</w:t>
      </w:r>
    </w:p>
    <w:p w14:paraId="7A76497C"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Grade A (Excellent): 0</w:t>
      </w:r>
    </w:p>
    <w:p w14:paraId="26EE1861"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lastRenderedPageBreak/>
        <w:t>Grade B (Very good): 0</w:t>
      </w:r>
    </w:p>
    <w:p w14:paraId="1729FE4F"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Grade C (Good): C, C</w:t>
      </w:r>
    </w:p>
    <w:p w14:paraId="410DD199"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Grade D (Fair): D</w:t>
      </w:r>
    </w:p>
    <w:p w14:paraId="4A2EBD90"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rPr>
        <w:t>Grade E (Poor): 0</w:t>
      </w:r>
    </w:p>
    <w:p w14:paraId="7E2B1520" w14:textId="77777777" w:rsidR="00103375" w:rsidRPr="00F0302C" w:rsidRDefault="00103375">
      <w:pPr>
        <w:spacing w:line="360" w:lineRule="auto"/>
        <w:jc w:val="both"/>
        <w:rPr>
          <w:rFonts w:ascii="Book Antiqua" w:hAnsi="Book Antiqua"/>
        </w:rPr>
      </w:pPr>
    </w:p>
    <w:p w14:paraId="0A62B2A9" w14:textId="13766F64" w:rsidR="00103375" w:rsidRPr="00F0302C" w:rsidRDefault="00000000">
      <w:pPr>
        <w:spacing w:line="360" w:lineRule="auto"/>
        <w:jc w:val="both"/>
        <w:rPr>
          <w:rFonts w:ascii="Book Antiqua" w:eastAsia="Book Antiqua" w:hAnsi="Book Antiqua" w:cs="Book Antiqua"/>
          <w:b/>
          <w:color w:val="000000"/>
        </w:rPr>
      </w:pPr>
      <w:r w:rsidRPr="00F0302C">
        <w:rPr>
          <w:rFonts w:ascii="Book Antiqua" w:eastAsia="Book Antiqua" w:hAnsi="Book Antiqua" w:cs="Book Antiqua"/>
          <w:b/>
          <w:color w:val="000000"/>
        </w:rPr>
        <w:t xml:space="preserve">P-Reviewer: </w:t>
      </w:r>
      <w:r w:rsidRPr="00F0302C">
        <w:rPr>
          <w:rFonts w:ascii="Book Antiqua" w:eastAsia="Book Antiqua" w:hAnsi="Book Antiqua" w:cs="Book Antiqua"/>
        </w:rPr>
        <w:t>Sangani V, United States; Tang F, China</w:t>
      </w:r>
      <w:r w:rsidRPr="00F0302C">
        <w:rPr>
          <w:rFonts w:ascii="Book Antiqua" w:eastAsia="Book Antiqua" w:hAnsi="Book Antiqua" w:cs="Book Antiqua"/>
          <w:b/>
          <w:color w:val="000000"/>
        </w:rPr>
        <w:t xml:space="preserve"> S-Editor: </w:t>
      </w:r>
      <w:r w:rsidRPr="00F0302C">
        <w:rPr>
          <w:rFonts w:ascii="Book Antiqua" w:eastAsia="Book Antiqua" w:hAnsi="Book Antiqua" w:cs="Book Antiqua"/>
          <w:bCs/>
          <w:color w:val="000000"/>
        </w:rPr>
        <w:t>Liu JH</w:t>
      </w:r>
      <w:r w:rsidRPr="00F0302C">
        <w:rPr>
          <w:rFonts w:ascii="Book Antiqua" w:eastAsia="Book Antiqua" w:hAnsi="Book Antiqua" w:cs="Book Antiqua"/>
          <w:b/>
          <w:color w:val="000000"/>
        </w:rPr>
        <w:t xml:space="preserve"> L-Editor: </w:t>
      </w:r>
      <w:r w:rsidRPr="00F0302C">
        <w:rPr>
          <w:rFonts w:ascii="Book Antiqua" w:eastAsia="宋体" w:hAnsi="Book Antiqua" w:cs="Book Antiqua" w:hint="eastAsia"/>
          <w:bCs/>
          <w:color w:val="000000"/>
          <w:lang w:eastAsia="zh-CN"/>
        </w:rPr>
        <w:t>Wang TQ</w:t>
      </w:r>
      <w:r w:rsidRPr="00F0302C">
        <w:rPr>
          <w:rFonts w:ascii="Book Antiqua" w:eastAsia="宋体" w:hAnsi="Book Antiqua" w:cs="Book Antiqua" w:hint="eastAsia"/>
          <w:b/>
          <w:color w:val="000000"/>
          <w:lang w:eastAsia="zh-CN"/>
        </w:rPr>
        <w:t xml:space="preserve"> </w:t>
      </w:r>
      <w:r w:rsidRPr="00F0302C">
        <w:rPr>
          <w:rFonts w:ascii="Book Antiqua" w:eastAsia="Book Antiqua" w:hAnsi="Book Antiqua" w:cs="Book Antiqua"/>
          <w:b/>
          <w:color w:val="000000"/>
        </w:rPr>
        <w:t xml:space="preserve">P-Editor: </w:t>
      </w:r>
      <w:r w:rsidR="00447D2B" w:rsidRPr="00F0302C">
        <w:rPr>
          <w:rFonts w:ascii="Book Antiqua" w:eastAsia="Book Antiqua" w:hAnsi="Book Antiqua" w:cs="Book Antiqua"/>
          <w:bCs/>
          <w:color w:val="000000"/>
        </w:rPr>
        <w:t>Cai YX</w:t>
      </w:r>
    </w:p>
    <w:p w14:paraId="55D66855" w14:textId="77777777" w:rsidR="00447D2B" w:rsidRPr="00F0302C" w:rsidRDefault="00447D2B">
      <w:pPr>
        <w:spacing w:line="360" w:lineRule="auto"/>
        <w:jc w:val="both"/>
        <w:rPr>
          <w:rFonts w:ascii="Book Antiqua" w:hAnsi="Book Antiqua"/>
        </w:rPr>
        <w:sectPr w:rsidR="00447D2B" w:rsidRPr="00F0302C">
          <w:pgSz w:w="12240" w:h="15840"/>
          <w:pgMar w:top="1440" w:right="1440" w:bottom="1440" w:left="1440" w:header="720" w:footer="720" w:gutter="0"/>
          <w:cols w:space="720"/>
          <w:docGrid w:linePitch="360"/>
        </w:sectPr>
      </w:pPr>
    </w:p>
    <w:p w14:paraId="1D6D5A86" w14:textId="77777777" w:rsidR="00103375" w:rsidRPr="00F0302C" w:rsidRDefault="00000000">
      <w:pPr>
        <w:spacing w:line="360" w:lineRule="auto"/>
        <w:jc w:val="both"/>
        <w:rPr>
          <w:rFonts w:ascii="Book Antiqua" w:eastAsia="Book Antiqua" w:hAnsi="Book Antiqua" w:cs="Book Antiqua"/>
          <w:b/>
          <w:color w:val="000000"/>
        </w:rPr>
      </w:pPr>
      <w:r w:rsidRPr="00F0302C">
        <w:rPr>
          <w:rFonts w:ascii="Book Antiqua" w:eastAsia="Book Antiqua" w:hAnsi="Book Antiqua" w:cs="Book Antiqua"/>
          <w:b/>
          <w:color w:val="000000"/>
        </w:rPr>
        <w:lastRenderedPageBreak/>
        <w:t>Figure</w:t>
      </w:r>
      <w:r w:rsidRPr="00F0302C">
        <w:rPr>
          <w:rFonts w:ascii="Book Antiqua" w:eastAsia="宋体" w:hAnsi="Book Antiqua" w:cs="Book Antiqua"/>
          <w:b/>
          <w:color w:val="000000"/>
          <w:lang w:eastAsia="zh-CN"/>
        </w:rPr>
        <w:t xml:space="preserve"> </w:t>
      </w:r>
      <w:r w:rsidRPr="00F0302C">
        <w:rPr>
          <w:rFonts w:ascii="Book Antiqua" w:eastAsia="Book Antiqua" w:hAnsi="Book Antiqua" w:cs="Book Antiqua"/>
          <w:b/>
          <w:color w:val="000000"/>
        </w:rPr>
        <w:t>Legends</w:t>
      </w:r>
    </w:p>
    <w:p w14:paraId="073691C3" w14:textId="49F636DF" w:rsidR="00103375" w:rsidRPr="00F0302C" w:rsidRDefault="005971C6">
      <w:pPr>
        <w:spacing w:line="360" w:lineRule="auto"/>
        <w:jc w:val="both"/>
        <w:rPr>
          <w:rFonts w:ascii="Book Antiqua" w:hAnsi="Book Antiqua"/>
        </w:rPr>
      </w:pPr>
      <w:r>
        <w:rPr>
          <w:rFonts w:ascii="Book Antiqua" w:eastAsia="宋体" w:hAnsi="Book Antiqua" w:cs="Book Antiqua"/>
          <w:b/>
          <w:noProof/>
          <w:color w:val="000000"/>
          <w:lang w:eastAsia="zh-CN"/>
        </w:rPr>
        <w:drawing>
          <wp:inline distT="0" distB="0" distL="0" distR="0" wp14:anchorId="60CC5454" wp14:editId="7709B1C8">
            <wp:extent cx="5702300" cy="927100"/>
            <wp:effectExtent l="0" t="0" r="0" b="6350"/>
            <wp:docPr id="621332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2300" cy="927100"/>
                    </a:xfrm>
                    <a:prstGeom prst="rect">
                      <a:avLst/>
                    </a:prstGeom>
                    <a:noFill/>
                    <a:ln>
                      <a:noFill/>
                    </a:ln>
                  </pic:spPr>
                </pic:pic>
              </a:graphicData>
            </a:graphic>
          </wp:inline>
        </w:drawing>
      </w:r>
    </w:p>
    <w:p w14:paraId="53829977" w14:textId="77777777" w:rsidR="00103375" w:rsidRDefault="00000000">
      <w:pPr>
        <w:spacing w:line="360" w:lineRule="auto"/>
        <w:jc w:val="both"/>
        <w:rPr>
          <w:rFonts w:ascii="Book Antiqua" w:eastAsia="Book Antiqua" w:hAnsi="Book Antiqua" w:cs="Book Antiqua"/>
          <w:bCs/>
        </w:rPr>
      </w:pPr>
      <w:r w:rsidRPr="00F0302C">
        <w:rPr>
          <w:rFonts w:ascii="Book Antiqua" w:eastAsia="Book Antiqua" w:hAnsi="Book Antiqua" w:cs="Book Antiqua"/>
          <w:b/>
          <w:bCs/>
        </w:rPr>
        <w:t xml:space="preserve">Figure </w:t>
      </w:r>
      <w:r w:rsidRPr="00F0302C">
        <w:rPr>
          <w:rFonts w:ascii="Book Antiqua" w:eastAsia="宋体" w:hAnsi="Book Antiqua" w:cs="Book Antiqua"/>
          <w:b/>
          <w:bCs/>
          <w:lang w:eastAsia="zh-CN"/>
        </w:rPr>
        <w:t>1</w:t>
      </w:r>
      <w:r w:rsidRPr="00F0302C">
        <w:rPr>
          <w:rFonts w:ascii="Book Antiqua" w:eastAsia="Book Antiqua" w:hAnsi="Book Antiqua" w:cs="Book Antiqua"/>
          <w:b/>
          <w:bCs/>
        </w:rPr>
        <w:t xml:space="preserve"> Timeline of </w:t>
      </w:r>
      <w:r w:rsidRPr="00F0302C">
        <w:rPr>
          <w:rFonts w:ascii="Book Antiqua" w:eastAsia="宋体" w:hAnsi="Book Antiqua" w:cs="Book Antiqua" w:hint="eastAsia"/>
          <w:b/>
          <w:bCs/>
          <w:lang w:eastAsia="zh-CN"/>
        </w:rPr>
        <w:t>the</w:t>
      </w:r>
      <w:r w:rsidRPr="00F0302C">
        <w:rPr>
          <w:rFonts w:ascii="Book Antiqua" w:eastAsia="Book Antiqua" w:hAnsi="Book Antiqua" w:cs="Book Antiqua"/>
          <w:b/>
          <w:bCs/>
        </w:rPr>
        <w:t xml:space="preserve"> patient</w:t>
      </w:r>
      <w:r w:rsidRPr="00F0302C">
        <w:rPr>
          <w:rFonts w:ascii="Book Antiqua" w:eastAsia="宋体" w:hAnsi="Book Antiqua" w:cs="Book Antiqua"/>
          <w:b/>
          <w:bCs/>
          <w:lang w:eastAsia="zh-CN"/>
        </w:rPr>
        <w:t>’</w:t>
      </w:r>
      <w:r w:rsidRPr="00F0302C">
        <w:rPr>
          <w:rFonts w:ascii="Book Antiqua" w:eastAsia="宋体" w:hAnsi="Book Antiqua" w:cs="Book Antiqua" w:hint="eastAsia"/>
          <w:b/>
          <w:bCs/>
          <w:lang w:eastAsia="zh-CN"/>
        </w:rPr>
        <w:t>s medical history</w:t>
      </w:r>
      <w:r w:rsidRPr="00F0302C">
        <w:rPr>
          <w:rFonts w:ascii="Book Antiqua" w:eastAsia="Book Antiqua" w:hAnsi="Book Antiqua" w:cs="Book Antiqua"/>
          <w:b/>
          <w:bCs/>
        </w:rPr>
        <w:t xml:space="preserve">. </w:t>
      </w:r>
      <w:r w:rsidRPr="00F0302C">
        <w:rPr>
          <w:rFonts w:ascii="Book Antiqua" w:eastAsia="Book Antiqua" w:hAnsi="Book Antiqua" w:cs="Book Antiqua"/>
          <w:bCs/>
        </w:rPr>
        <w:t>RYR:</w:t>
      </w:r>
      <w:r w:rsidRPr="00F0302C">
        <w:t xml:space="preserve"> </w:t>
      </w:r>
      <w:r w:rsidRPr="00F0302C">
        <w:rPr>
          <w:rFonts w:ascii="Book Antiqua" w:eastAsia="Book Antiqua" w:hAnsi="Book Antiqua" w:cs="Book Antiqua"/>
          <w:bCs/>
        </w:rPr>
        <w:t>Red yeast rice; mCRPC:</w:t>
      </w:r>
      <w:r w:rsidRPr="00F0302C">
        <w:t xml:space="preserve"> </w:t>
      </w:r>
      <w:r w:rsidRPr="00F0302C">
        <w:rPr>
          <w:rFonts w:ascii="Book Antiqua" w:eastAsia="Book Antiqua" w:hAnsi="Book Antiqua" w:cs="Book Antiqua"/>
          <w:bCs/>
        </w:rPr>
        <w:t>Metastatic castration-resistant prostate cancer.</w:t>
      </w:r>
    </w:p>
    <w:p w14:paraId="7DE8F858" w14:textId="77777777" w:rsidR="005971C6" w:rsidRPr="00F0302C" w:rsidRDefault="005971C6">
      <w:pPr>
        <w:spacing w:line="360" w:lineRule="auto"/>
        <w:jc w:val="both"/>
        <w:rPr>
          <w:rFonts w:ascii="Book Antiqua" w:hAnsi="Book Antiqua"/>
        </w:rPr>
      </w:pPr>
    </w:p>
    <w:p w14:paraId="544649D7" w14:textId="6D8C3A3B" w:rsidR="00103375" w:rsidRDefault="00103375">
      <w:pPr>
        <w:spacing w:line="360" w:lineRule="auto"/>
        <w:jc w:val="both"/>
        <w:rPr>
          <w:rFonts w:ascii="Book Antiqua" w:hAnsi="Book Antiqua"/>
          <w:noProof/>
          <w:lang w:eastAsia="zh-CN"/>
        </w:rPr>
      </w:pPr>
    </w:p>
    <w:p w14:paraId="7FEFA3B3" w14:textId="0D3743B2" w:rsidR="005971C6" w:rsidRPr="00F0302C" w:rsidRDefault="005971C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E1D9EA6" wp14:editId="7BD09D80">
            <wp:extent cx="5969000" cy="6134100"/>
            <wp:effectExtent l="0" t="0" r="0" b="0"/>
            <wp:docPr id="5203283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00" cy="6134100"/>
                    </a:xfrm>
                    <a:prstGeom prst="rect">
                      <a:avLst/>
                    </a:prstGeom>
                    <a:noFill/>
                    <a:ln>
                      <a:noFill/>
                    </a:ln>
                  </pic:spPr>
                </pic:pic>
              </a:graphicData>
            </a:graphic>
          </wp:inline>
        </w:drawing>
      </w:r>
    </w:p>
    <w:p w14:paraId="278B8E41" w14:textId="77777777" w:rsidR="00103375" w:rsidRPr="00F0302C" w:rsidRDefault="00000000">
      <w:pPr>
        <w:spacing w:line="360" w:lineRule="auto"/>
        <w:jc w:val="both"/>
        <w:rPr>
          <w:rFonts w:ascii="Book Antiqua" w:hAnsi="Book Antiqua"/>
        </w:rPr>
      </w:pPr>
      <w:r w:rsidRPr="00F0302C">
        <w:rPr>
          <w:rFonts w:ascii="Book Antiqua" w:eastAsia="Book Antiqua" w:hAnsi="Book Antiqua" w:cs="Book Antiqua"/>
          <w:b/>
          <w:bCs/>
        </w:rPr>
        <w:t xml:space="preserve">Figure </w:t>
      </w:r>
      <w:r w:rsidRPr="00F0302C">
        <w:rPr>
          <w:rFonts w:ascii="Book Antiqua" w:eastAsia="宋体" w:hAnsi="Book Antiqua" w:cs="Book Antiqua"/>
          <w:b/>
          <w:bCs/>
          <w:lang w:eastAsia="zh-CN"/>
        </w:rPr>
        <w:t>2</w:t>
      </w:r>
      <w:r w:rsidRPr="00F0302C">
        <w:rPr>
          <w:rFonts w:ascii="Book Antiqua" w:eastAsia="Book Antiqua" w:hAnsi="Book Antiqua" w:cs="Book Antiqua"/>
          <w:b/>
          <w:bCs/>
        </w:rPr>
        <w:t xml:space="preserve"> Magnetic resonance examination.</w:t>
      </w:r>
      <w:r w:rsidRPr="00F0302C">
        <w:rPr>
          <w:rFonts w:ascii="Book Antiqua" w:eastAsia="Book Antiqua" w:hAnsi="Book Antiqua" w:cs="Book Antiqua"/>
        </w:rPr>
        <w:t xml:space="preserve"> A: Sagittal T1 weighted image showing homogeneously intermediate-to-uneven slightly higher signal intensities involving erector spinae (green arrow</w:t>
      </w:r>
      <w:r w:rsidRPr="00F0302C">
        <w:rPr>
          <w:rFonts w:ascii="Book Antiqua" w:eastAsia="宋体" w:hAnsi="Book Antiqua" w:cs="Book Antiqua" w:hint="eastAsia"/>
          <w:lang w:eastAsia="zh-CN"/>
        </w:rPr>
        <w:t>s</w:t>
      </w:r>
      <w:r w:rsidRPr="00F0302C">
        <w:rPr>
          <w:rFonts w:ascii="Book Antiqua" w:eastAsia="Book Antiqua" w:hAnsi="Book Antiqua" w:cs="Book Antiqua"/>
        </w:rPr>
        <w:t>); B: Sagittal T2 weighted image showing diffusely increased signal intensities involving erector spinae (yellow arrow</w:t>
      </w:r>
      <w:r w:rsidRPr="00F0302C">
        <w:rPr>
          <w:rFonts w:ascii="Book Antiqua" w:eastAsia="宋体" w:hAnsi="Book Antiqua" w:cs="Book Antiqua" w:hint="eastAsia"/>
          <w:lang w:eastAsia="zh-CN"/>
        </w:rPr>
        <w:t>s</w:t>
      </w:r>
      <w:r w:rsidRPr="00F0302C">
        <w:rPr>
          <w:rFonts w:ascii="Book Antiqua" w:eastAsia="Book Antiqua" w:hAnsi="Book Antiqua" w:cs="Book Antiqua"/>
        </w:rPr>
        <w:t>); C: Sagittal fat-suppressed T2 weighted image demonstrating diffuse involvement of erector spinae (red arrow</w:t>
      </w:r>
      <w:r w:rsidRPr="00F0302C">
        <w:rPr>
          <w:rFonts w:ascii="Book Antiqua" w:eastAsia="宋体" w:hAnsi="Book Antiqua" w:cs="Book Antiqua" w:hint="eastAsia"/>
          <w:lang w:eastAsia="zh-CN"/>
        </w:rPr>
        <w:t>s</w:t>
      </w:r>
      <w:r w:rsidRPr="00F0302C">
        <w:rPr>
          <w:rFonts w:ascii="Book Antiqua" w:eastAsia="Book Antiqua" w:hAnsi="Book Antiqua" w:cs="Book Antiqua"/>
        </w:rPr>
        <w:t>)</w:t>
      </w:r>
      <w:r w:rsidRPr="00F0302C">
        <w:rPr>
          <w:rFonts w:ascii="Book Antiqua" w:eastAsia="宋体" w:hAnsi="Book Antiqua" w:cs="Book Antiqua"/>
          <w:lang w:eastAsia="zh-CN"/>
        </w:rPr>
        <w:t xml:space="preserve">; </w:t>
      </w:r>
      <w:r w:rsidRPr="00F0302C">
        <w:rPr>
          <w:rFonts w:ascii="Book Antiqua" w:eastAsia="Book Antiqua" w:hAnsi="Book Antiqua" w:cs="Book Antiqua"/>
          <w:lang w:eastAsia="zh-CN"/>
        </w:rPr>
        <w:t xml:space="preserve">D: </w:t>
      </w:r>
      <w:r w:rsidRPr="00F0302C">
        <w:rPr>
          <w:rFonts w:ascii="Book Antiqua" w:eastAsia="Book Antiqua" w:hAnsi="Book Antiqua" w:cs="Book Antiqua"/>
        </w:rPr>
        <w:t xml:space="preserve">Axial fat-suppressed T2 weighted image demonstrating symmetrical </w:t>
      </w:r>
      <w:r w:rsidRPr="00F0302C">
        <w:rPr>
          <w:rFonts w:ascii="Book Antiqua" w:eastAsia="Book Antiqua" w:hAnsi="Book Antiqua" w:cs="Book Antiqua"/>
        </w:rPr>
        <w:lastRenderedPageBreak/>
        <w:t>incomplete involvement of erector spinae on both sides</w:t>
      </w:r>
      <w:r w:rsidRPr="00F0302C">
        <w:rPr>
          <w:rFonts w:ascii="Book Antiqua" w:eastAsia="宋体" w:hAnsi="Book Antiqua" w:cs="Book Antiqua" w:hint="eastAsia"/>
          <w:lang w:eastAsia="zh-CN"/>
        </w:rPr>
        <w:t xml:space="preserve"> and</w:t>
      </w:r>
      <w:r w:rsidRPr="00F0302C">
        <w:rPr>
          <w:rFonts w:ascii="Book Antiqua" w:eastAsia="Book Antiqua" w:hAnsi="Book Antiqua" w:cs="Book Antiqua"/>
        </w:rPr>
        <w:t xml:space="preserve"> patchy signal enhancement (red arrow</w:t>
      </w:r>
      <w:r w:rsidRPr="00F0302C">
        <w:rPr>
          <w:rFonts w:ascii="Book Antiqua" w:eastAsia="宋体" w:hAnsi="Book Antiqua" w:cs="Book Antiqua" w:hint="eastAsia"/>
          <w:lang w:eastAsia="zh-CN"/>
        </w:rPr>
        <w:t>s</w:t>
      </w:r>
      <w:r w:rsidRPr="00F0302C">
        <w:rPr>
          <w:rFonts w:ascii="Book Antiqua" w:eastAsia="Book Antiqua" w:hAnsi="Book Antiqua" w:cs="Book Antiqua"/>
        </w:rPr>
        <w:t>).</w:t>
      </w:r>
    </w:p>
    <w:p w14:paraId="2FDD2297" w14:textId="1C2CB173" w:rsidR="00103375" w:rsidRDefault="00000000">
      <w:pPr>
        <w:spacing w:line="360" w:lineRule="auto"/>
        <w:jc w:val="both"/>
        <w:rPr>
          <w:noProof/>
          <w:lang w:eastAsia="zh-CN"/>
        </w:rPr>
      </w:pPr>
      <w:r w:rsidRPr="00F0302C">
        <w:rPr>
          <w:lang w:eastAsia="zh-CN"/>
        </w:rPr>
        <w:t xml:space="preserve"> </w:t>
      </w:r>
    </w:p>
    <w:p w14:paraId="131A7C74" w14:textId="77777777" w:rsidR="005971C6" w:rsidRDefault="005971C6">
      <w:pPr>
        <w:spacing w:line="360" w:lineRule="auto"/>
        <w:jc w:val="both"/>
        <w:rPr>
          <w:noProof/>
          <w:lang w:eastAsia="zh-CN"/>
        </w:rPr>
      </w:pPr>
    </w:p>
    <w:p w14:paraId="0FD56F4E" w14:textId="07FC28A1" w:rsidR="005971C6" w:rsidRPr="00F0302C" w:rsidRDefault="005971C6">
      <w:pPr>
        <w:spacing w:line="360" w:lineRule="auto"/>
        <w:jc w:val="both"/>
        <w:rPr>
          <w:rFonts w:ascii="Book Antiqua" w:hAnsi="Book Antiqua" w:hint="eastAsia"/>
        </w:rPr>
      </w:pPr>
      <w:r>
        <w:rPr>
          <w:noProof/>
          <w:lang w:eastAsia="zh-CN"/>
        </w:rPr>
        <w:drawing>
          <wp:inline distT="0" distB="0" distL="0" distR="0" wp14:anchorId="04A3AC6E" wp14:editId="712733D3">
            <wp:extent cx="5943600" cy="1422400"/>
            <wp:effectExtent l="0" t="0" r="0" b="6350"/>
            <wp:docPr id="18675646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22400"/>
                    </a:xfrm>
                    <a:prstGeom prst="rect">
                      <a:avLst/>
                    </a:prstGeom>
                    <a:noFill/>
                    <a:ln>
                      <a:noFill/>
                    </a:ln>
                  </pic:spPr>
                </pic:pic>
              </a:graphicData>
            </a:graphic>
          </wp:inline>
        </w:drawing>
      </w:r>
    </w:p>
    <w:p w14:paraId="5184BF90" w14:textId="77777777" w:rsidR="00103375" w:rsidRPr="00F0302C" w:rsidRDefault="00000000">
      <w:pPr>
        <w:spacing w:line="360" w:lineRule="auto"/>
        <w:jc w:val="both"/>
        <w:rPr>
          <w:rFonts w:ascii="Book Antiqua" w:eastAsia="Book Antiqua" w:hAnsi="Book Antiqua" w:cs="Book Antiqua"/>
        </w:rPr>
      </w:pPr>
      <w:r w:rsidRPr="00F0302C">
        <w:rPr>
          <w:rFonts w:ascii="Book Antiqua" w:eastAsia="Book Antiqua" w:hAnsi="Book Antiqua" w:cs="Book Antiqua"/>
          <w:b/>
          <w:bCs/>
        </w:rPr>
        <w:t>Figure 3</w:t>
      </w:r>
      <w:r w:rsidRPr="00F0302C">
        <w:rPr>
          <w:rFonts w:ascii="Book Antiqua" w:eastAsia="Book Antiqua" w:hAnsi="Book Antiqua" w:cs="Book Antiqua"/>
        </w:rPr>
        <w:t xml:space="preserve"> </w:t>
      </w:r>
      <w:r w:rsidRPr="00F0302C">
        <w:rPr>
          <w:rFonts w:ascii="Book Antiqua" w:eastAsia="Book Antiqua" w:hAnsi="Book Antiqua" w:cs="Book Antiqua"/>
          <w:b/>
          <w:bCs/>
        </w:rPr>
        <w:t>Changes in levels of creatine kinase, lactate dehydrogenase, and serum creatinine during hospitalization.</w:t>
      </w:r>
      <w:r w:rsidRPr="00F0302C">
        <w:rPr>
          <w:rFonts w:ascii="Book Antiqua" w:eastAsia="Book Antiqua" w:hAnsi="Book Antiqua" w:cs="Book Antiqua"/>
        </w:rPr>
        <w:t xml:space="preserve"> A: Creatine kinase decreased constantly after hemodialysis and hemoperfusion; B: Lactate dehydrogenase decreased constantly after hemodialysis and hemoperfusion; C: Serum creatinine decreased constantly after hemodialysis and hemoperfusion but fluctuated prior to discharge. CK: </w:t>
      </w:r>
      <w:r w:rsidRPr="00F0302C">
        <w:rPr>
          <w:rFonts w:ascii="Book Antiqua" w:eastAsia="Book Antiqua" w:hAnsi="Book Antiqua" w:cs="Book Antiqua"/>
          <w:color w:val="000000"/>
        </w:rPr>
        <w:t>Creatine kinase;</w:t>
      </w:r>
      <w:r w:rsidRPr="00F0302C">
        <w:rPr>
          <w:rFonts w:ascii="Book Antiqua" w:eastAsia="Book Antiqua" w:hAnsi="Book Antiqua" w:cs="Book Antiqua"/>
        </w:rPr>
        <w:t xml:space="preserve"> LDH:</w:t>
      </w:r>
      <w:r w:rsidRPr="00F0302C">
        <w:t xml:space="preserve"> </w:t>
      </w:r>
      <w:r w:rsidRPr="00F0302C">
        <w:rPr>
          <w:rFonts w:ascii="Book Antiqua" w:eastAsia="Book Antiqua" w:hAnsi="Book Antiqua" w:cs="Book Antiqua"/>
        </w:rPr>
        <w:t>Lactate dehydrogenase.</w:t>
      </w:r>
    </w:p>
    <w:p w14:paraId="2540D3DB" w14:textId="430C2F55" w:rsidR="00F0302C" w:rsidRPr="00F0302C" w:rsidRDefault="00F0302C">
      <w:pPr>
        <w:rPr>
          <w:rFonts w:ascii="Book Antiqua" w:eastAsia="Book Antiqua" w:hAnsi="Book Antiqua" w:cs="Book Antiqua"/>
        </w:rPr>
      </w:pPr>
      <w:r w:rsidRPr="00F0302C">
        <w:rPr>
          <w:rFonts w:ascii="Book Antiqua" w:eastAsia="Book Antiqua" w:hAnsi="Book Antiqua" w:cs="Book Antiqua"/>
        </w:rPr>
        <w:br w:type="page"/>
      </w:r>
    </w:p>
    <w:p w14:paraId="72B6F820" w14:textId="77777777" w:rsidR="00F0302C" w:rsidRPr="00F0302C" w:rsidRDefault="00F0302C" w:rsidP="00F0302C">
      <w:pPr>
        <w:ind w:leftChars="100" w:left="240"/>
        <w:jc w:val="center"/>
        <w:rPr>
          <w:rFonts w:ascii="Book Antiqua" w:hAnsi="Book Antiqua"/>
          <w:lang w:val="pt-BR" w:eastAsia="zh-CN"/>
        </w:rPr>
      </w:pPr>
      <w:bookmarkStart w:id="6" w:name="_Hlk88512952"/>
    </w:p>
    <w:p w14:paraId="7059E8B2" w14:textId="77777777" w:rsidR="00F0302C" w:rsidRPr="00F0302C" w:rsidRDefault="00F0302C" w:rsidP="00F0302C">
      <w:pPr>
        <w:ind w:leftChars="100" w:left="240"/>
        <w:jc w:val="center"/>
        <w:rPr>
          <w:rFonts w:ascii="Book Antiqua" w:hAnsi="Book Antiqua"/>
          <w:lang w:val="pt-BR" w:eastAsia="zh-CN"/>
        </w:rPr>
      </w:pPr>
    </w:p>
    <w:p w14:paraId="4440E548" w14:textId="77777777" w:rsidR="00F0302C" w:rsidRPr="00F0302C" w:rsidRDefault="00F0302C" w:rsidP="00F0302C">
      <w:pPr>
        <w:ind w:leftChars="100" w:left="240"/>
        <w:jc w:val="center"/>
        <w:rPr>
          <w:rFonts w:ascii="Book Antiqua" w:hAnsi="Book Antiqua"/>
          <w:lang w:val="pt-BR" w:eastAsia="zh-CN"/>
        </w:rPr>
      </w:pPr>
    </w:p>
    <w:p w14:paraId="08A8D54C" w14:textId="77777777" w:rsidR="00F0302C" w:rsidRPr="00F0302C" w:rsidRDefault="00F0302C" w:rsidP="00F0302C">
      <w:pPr>
        <w:ind w:leftChars="100" w:left="240"/>
        <w:jc w:val="center"/>
        <w:rPr>
          <w:rFonts w:ascii="Book Antiqua" w:hAnsi="Book Antiqua"/>
          <w:lang w:val="pt-BR" w:eastAsia="zh-CN"/>
        </w:rPr>
      </w:pPr>
    </w:p>
    <w:p w14:paraId="500B8BCA" w14:textId="77777777" w:rsidR="00F0302C" w:rsidRPr="00F0302C" w:rsidRDefault="00F0302C" w:rsidP="00F0302C">
      <w:pPr>
        <w:ind w:leftChars="100" w:left="240"/>
        <w:jc w:val="center"/>
        <w:rPr>
          <w:rFonts w:ascii="Book Antiqua" w:hAnsi="Book Antiqua"/>
          <w:lang w:eastAsia="zh-CN"/>
        </w:rPr>
      </w:pPr>
      <w:r w:rsidRPr="00F0302C">
        <w:rPr>
          <w:rFonts w:ascii="Book Antiqua" w:hAnsi="Book Antiqua"/>
          <w:noProof/>
          <w:lang w:eastAsia="zh-CN"/>
        </w:rPr>
        <w:drawing>
          <wp:inline distT="0" distB="0" distL="0" distR="0" wp14:anchorId="660E48C4" wp14:editId="4D0A646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FEB3A6" w14:textId="77777777" w:rsidR="00F0302C" w:rsidRPr="00F0302C" w:rsidRDefault="00F0302C" w:rsidP="00F0302C">
      <w:pPr>
        <w:ind w:leftChars="100" w:left="240"/>
        <w:jc w:val="center"/>
        <w:rPr>
          <w:rFonts w:ascii="Book Antiqua" w:hAnsi="Book Antiqua"/>
          <w:lang w:eastAsia="zh-CN"/>
        </w:rPr>
      </w:pPr>
    </w:p>
    <w:p w14:paraId="773EDD63" w14:textId="77777777" w:rsidR="00F0302C" w:rsidRPr="00F0302C" w:rsidRDefault="00F0302C" w:rsidP="00F0302C">
      <w:pPr>
        <w:autoSpaceDE w:val="0"/>
        <w:autoSpaceDN w:val="0"/>
        <w:adjustRightInd w:val="0"/>
        <w:ind w:leftChars="100" w:left="240"/>
        <w:jc w:val="center"/>
        <w:rPr>
          <w:rFonts w:ascii="Book Antiqua" w:eastAsia="Garamond-Bold" w:hAnsi="Book Antiqua" w:cs="Garamond-Bold"/>
          <w:b/>
          <w:bCs/>
          <w:color w:val="000000"/>
          <w:sz w:val="28"/>
          <w:szCs w:val="28"/>
        </w:rPr>
      </w:pPr>
      <w:r w:rsidRPr="00F0302C">
        <w:rPr>
          <w:rFonts w:ascii="Book Antiqua" w:eastAsia="TimesNewRomanPSMT" w:hAnsi="Book Antiqua" w:cs="TimesNewRomanPSMT"/>
          <w:color w:val="000000"/>
          <w:sz w:val="28"/>
          <w:szCs w:val="28"/>
        </w:rPr>
        <w:t xml:space="preserve">Published by </w:t>
      </w:r>
      <w:r w:rsidRPr="00F0302C">
        <w:rPr>
          <w:rFonts w:ascii="Book Antiqua" w:eastAsia="Garamond-Bold" w:hAnsi="Book Antiqua" w:cs="Garamond-Bold"/>
          <w:b/>
          <w:bCs/>
          <w:color w:val="000000"/>
          <w:sz w:val="28"/>
          <w:szCs w:val="28"/>
        </w:rPr>
        <w:t>Baishideng Publishing Group Inc</w:t>
      </w:r>
    </w:p>
    <w:p w14:paraId="41C0295C" w14:textId="77777777" w:rsidR="00F0302C" w:rsidRPr="00F0302C" w:rsidRDefault="00F0302C" w:rsidP="00F0302C">
      <w:pPr>
        <w:autoSpaceDE w:val="0"/>
        <w:autoSpaceDN w:val="0"/>
        <w:adjustRightInd w:val="0"/>
        <w:ind w:leftChars="100" w:left="240"/>
        <w:jc w:val="center"/>
        <w:rPr>
          <w:rFonts w:ascii="Book Antiqua" w:eastAsia="TimesNewRomanPSMT" w:hAnsi="Book Antiqua" w:cs="Garamond"/>
          <w:color w:val="000000"/>
          <w:sz w:val="28"/>
          <w:szCs w:val="28"/>
        </w:rPr>
      </w:pPr>
      <w:r w:rsidRPr="00F0302C">
        <w:rPr>
          <w:rFonts w:ascii="Book Antiqua" w:eastAsia="TimesNewRomanPSMT" w:hAnsi="Book Antiqua" w:cs="Garamond"/>
          <w:color w:val="000000"/>
          <w:sz w:val="28"/>
          <w:szCs w:val="28"/>
        </w:rPr>
        <w:t>7041 Koll Center Parkway, Suite 160, Pleasanton, CA 94566, USA</w:t>
      </w:r>
    </w:p>
    <w:p w14:paraId="03FF74C9" w14:textId="77777777" w:rsidR="00F0302C" w:rsidRPr="00F0302C" w:rsidRDefault="00F0302C" w:rsidP="00F0302C">
      <w:pPr>
        <w:autoSpaceDE w:val="0"/>
        <w:autoSpaceDN w:val="0"/>
        <w:adjustRightInd w:val="0"/>
        <w:ind w:leftChars="100" w:left="240"/>
        <w:jc w:val="center"/>
        <w:rPr>
          <w:rFonts w:ascii="Book Antiqua" w:eastAsia="TimesNewRomanPSMT" w:hAnsi="Book Antiqua" w:cs="Garamond"/>
          <w:color w:val="000000"/>
          <w:sz w:val="28"/>
          <w:szCs w:val="28"/>
        </w:rPr>
      </w:pPr>
      <w:r w:rsidRPr="00F0302C">
        <w:rPr>
          <w:rFonts w:ascii="Book Antiqua" w:eastAsia="Garamond-Bold" w:hAnsi="Book Antiqua" w:cs="Garamond-Bold"/>
          <w:b/>
          <w:bCs/>
          <w:color w:val="000000"/>
          <w:sz w:val="28"/>
          <w:szCs w:val="28"/>
        </w:rPr>
        <w:t xml:space="preserve">Telephone: </w:t>
      </w:r>
      <w:r w:rsidRPr="00F0302C">
        <w:rPr>
          <w:rFonts w:ascii="Book Antiqua" w:eastAsia="TimesNewRomanPSMT" w:hAnsi="Book Antiqua" w:cs="Garamond"/>
          <w:color w:val="000000"/>
          <w:sz w:val="28"/>
          <w:szCs w:val="28"/>
        </w:rPr>
        <w:t>+1-925-3991568</w:t>
      </w:r>
    </w:p>
    <w:p w14:paraId="7A2FE5A2" w14:textId="77777777" w:rsidR="00F0302C" w:rsidRPr="00F0302C" w:rsidRDefault="00F0302C" w:rsidP="00F0302C">
      <w:pPr>
        <w:autoSpaceDE w:val="0"/>
        <w:autoSpaceDN w:val="0"/>
        <w:adjustRightInd w:val="0"/>
        <w:ind w:leftChars="100" w:left="240"/>
        <w:jc w:val="center"/>
        <w:rPr>
          <w:rFonts w:ascii="Book Antiqua" w:eastAsia="TimesNewRomanPSMT" w:hAnsi="Book Antiqua" w:cs="Garamond"/>
          <w:color w:val="D56400"/>
          <w:sz w:val="28"/>
          <w:szCs w:val="28"/>
        </w:rPr>
      </w:pPr>
      <w:r w:rsidRPr="00F0302C">
        <w:rPr>
          <w:rFonts w:ascii="Book Antiqua" w:eastAsia="Garamond-Bold" w:hAnsi="Book Antiqua" w:cs="Garamond-Bold"/>
          <w:b/>
          <w:bCs/>
          <w:color w:val="000000"/>
          <w:sz w:val="28"/>
          <w:szCs w:val="28"/>
        </w:rPr>
        <w:t xml:space="preserve">E-mail: </w:t>
      </w:r>
      <w:r w:rsidRPr="00F0302C">
        <w:rPr>
          <w:rFonts w:ascii="Book Antiqua" w:eastAsia="TimesNewRomanPSMT" w:hAnsi="Book Antiqua" w:cs="Garamond"/>
          <w:color w:val="D56400"/>
          <w:sz w:val="28"/>
          <w:szCs w:val="28"/>
        </w:rPr>
        <w:t>bpgoffice@wjgnet.com</w:t>
      </w:r>
    </w:p>
    <w:p w14:paraId="1A8974E9" w14:textId="77777777" w:rsidR="00F0302C" w:rsidRPr="00F0302C" w:rsidRDefault="00F0302C" w:rsidP="00F0302C">
      <w:pPr>
        <w:autoSpaceDE w:val="0"/>
        <w:autoSpaceDN w:val="0"/>
        <w:adjustRightInd w:val="0"/>
        <w:ind w:leftChars="100" w:left="240"/>
        <w:jc w:val="center"/>
        <w:rPr>
          <w:rFonts w:ascii="Book Antiqua" w:eastAsia="TimesNewRomanPSMT" w:hAnsi="Book Antiqua" w:cs="Garamond"/>
          <w:color w:val="D56400"/>
          <w:sz w:val="28"/>
          <w:szCs w:val="28"/>
        </w:rPr>
      </w:pPr>
      <w:r w:rsidRPr="00F0302C">
        <w:rPr>
          <w:rFonts w:ascii="Book Antiqua" w:eastAsia="Garamond-Bold" w:hAnsi="Book Antiqua" w:cs="Garamond-Bold"/>
          <w:b/>
          <w:bCs/>
          <w:color w:val="000000"/>
          <w:sz w:val="28"/>
          <w:szCs w:val="28"/>
        </w:rPr>
        <w:t xml:space="preserve">Help Desk: </w:t>
      </w:r>
      <w:r w:rsidRPr="00F0302C">
        <w:rPr>
          <w:rFonts w:ascii="Book Antiqua" w:eastAsia="TimesNewRomanPSMT" w:hAnsi="Book Antiqua" w:cs="Garamond"/>
          <w:color w:val="D56400"/>
          <w:sz w:val="28"/>
          <w:szCs w:val="28"/>
        </w:rPr>
        <w:t>https://www.f6publishing.com/helpdesk</w:t>
      </w:r>
    </w:p>
    <w:p w14:paraId="2656C844" w14:textId="77777777" w:rsidR="00F0302C" w:rsidRPr="00F0302C" w:rsidRDefault="00F0302C" w:rsidP="00F0302C">
      <w:pPr>
        <w:ind w:leftChars="100" w:left="240"/>
        <w:jc w:val="center"/>
        <w:rPr>
          <w:rFonts w:ascii="Book Antiqua" w:hAnsi="Book Antiqua"/>
          <w:lang w:eastAsia="zh-CN"/>
        </w:rPr>
      </w:pPr>
      <w:r w:rsidRPr="00F0302C">
        <w:rPr>
          <w:rFonts w:ascii="Book Antiqua" w:eastAsia="TimesNewRomanPSMT" w:hAnsi="Book Antiqua" w:cs="Garamond"/>
          <w:color w:val="D56400"/>
          <w:sz w:val="28"/>
          <w:szCs w:val="28"/>
        </w:rPr>
        <w:t>https://www.wjgnet.com</w:t>
      </w:r>
    </w:p>
    <w:p w14:paraId="6A4DA654" w14:textId="77777777" w:rsidR="00F0302C" w:rsidRPr="00F0302C" w:rsidRDefault="00F0302C" w:rsidP="00F0302C">
      <w:pPr>
        <w:ind w:leftChars="100" w:left="240"/>
        <w:jc w:val="center"/>
        <w:rPr>
          <w:rFonts w:ascii="Book Antiqua" w:hAnsi="Book Antiqua"/>
          <w:lang w:eastAsia="zh-CN"/>
        </w:rPr>
      </w:pPr>
    </w:p>
    <w:p w14:paraId="3FF2C540" w14:textId="77777777" w:rsidR="00F0302C" w:rsidRPr="00F0302C" w:rsidRDefault="00F0302C" w:rsidP="00F0302C">
      <w:pPr>
        <w:ind w:leftChars="100" w:left="240"/>
        <w:jc w:val="center"/>
        <w:rPr>
          <w:rFonts w:ascii="Book Antiqua" w:hAnsi="Book Antiqua"/>
          <w:lang w:eastAsia="zh-CN"/>
        </w:rPr>
      </w:pPr>
    </w:p>
    <w:p w14:paraId="5F85EED5" w14:textId="77777777" w:rsidR="00F0302C" w:rsidRPr="00F0302C" w:rsidRDefault="00F0302C" w:rsidP="00F0302C">
      <w:pPr>
        <w:ind w:leftChars="100" w:left="240"/>
        <w:jc w:val="center"/>
        <w:rPr>
          <w:rFonts w:ascii="Book Antiqua" w:hAnsi="Book Antiqua"/>
          <w:lang w:eastAsia="zh-CN"/>
        </w:rPr>
      </w:pPr>
    </w:p>
    <w:p w14:paraId="30283F44" w14:textId="77777777" w:rsidR="00F0302C" w:rsidRPr="00F0302C" w:rsidRDefault="00F0302C" w:rsidP="00F0302C">
      <w:pPr>
        <w:ind w:leftChars="100" w:left="240"/>
        <w:jc w:val="center"/>
        <w:rPr>
          <w:rFonts w:ascii="Book Antiqua" w:hAnsi="Book Antiqua"/>
          <w:lang w:eastAsia="zh-CN"/>
        </w:rPr>
      </w:pPr>
      <w:r w:rsidRPr="00F0302C">
        <w:rPr>
          <w:rFonts w:ascii="Book Antiqua" w:hAnsi="Book Antiqua"/>
          <w:noProof/>
          <w:lang w:eastAsia="zh-CN"/>
        </w:rPr>
        <w:drawing>
          <wp:inline distT="0" distB="0" distL="0" distR="0" wp14:anchorId="22BB1A50" wp14:editId="7EED46C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0FDE09" w14:textId="77777777" w:rsidR="00F0302C" w:rsidRPr="00F0302C" w:rsidRDefault="00F0302C" w:rsidP="00F0302C">
      <w:pPr>
        <w:ind w:leftChars="100" w:left="240"/>
        <w:jc w:val="center"/>
        <w:rPr>
          <w:rFonts w:ascii="Book Antiqua" w:hAnsi="Book Antiqua"/>
          <w:lang w:eastAsia="zh-CN"/>
        </w:rPr>
      </w:pPr>
    </w:p>
    <w:p w14:paraId="62C5B9F0" w14:textId="77777777" w:rsidR="00F0302C" w:rsidRPr="00F0302C" w:rsidRDefault="00F0302C" w:rsidP="00F0302C">
      <w:pPr>
        <w:ind w:leftChars="100" w:left="240"/>
        <w:jc w:val="center"/>
        <w:rPr>
          <w:rFonts w:ascii="Book Antiqua" w:hAnsi="Book Antiqua"/>
          <w:lang w:eastAsia="zh-CN"/>
        </w:rPr>
      </w:pPr>
    </w:p>
    <w:p w14:paraId="567B0EA4" w14:textId="77777777" w:rsidR="00F0302C" w:rsidRPr="00F0302C" w:rsidRDefault="00F0302C" w:rsidP="00F0302C">
      <w:pPr>
        <w:ind w:leftChars="100" w:left="240"/>
        <w:jc w:val="center"/>
        <w:rPr>
          <w:rFonts w:ascii="Book Antiqua" w:hAnsi="Book Antiqua"/>
          <w:lang w:eastAsia="zh-CN"/>
        </w:rPr>
      </w:pPr>
    </w:p>
    <w:p w14:paraId="49ED9D58" w14:textId="77777777" w:rsidR="00F0302C" w:rsidRPr="00F0302C" w:rsidRDefault="00F0302C" w:rsidP="00F0302C">
      <w:pPr>
        <w:ind w:leftChars="100" w:left="240"/>
        <w:jc w:val="center"/>
        <w:rPr>
          <w:rFonts w:ascii="Book Antiqua" w:hAnsi="Book Antiqua"/>
          <w:lang w:eastAsia="zh-CN"/>
        </w:rPr>
      </w:pPr>
    </w:p>
    <w:p w14:paraId="3BBA04CC" w14:textId="77777777" w:rsidR="00F0302C" w:rsidRPr="00F0302C" w:rsidRDefault="00F0302C" w:rsidP="00F0302C">
      <w:pPr>
        <w:ind w:leftChars="100" w:left="240"/>
        <w:jc w:val="center"/>
        <w:rPr>
          <w:rFonts w:ascii="Book Antiqua" w:hAnsi="Book Antiqua"/>
          <w:lang w:eastAsia="zh-CN"/>
        </w:rPr>
      </w:pPr>
    </w:p>
    <w:p w14:paraId="6A56D90E" w14:textId="77777777" w:rsidR="00F0302C" w:rsidRPr="00F0302C" w:rsidRDefault="00F0302C" w:rsidP="00F0302C">
      <w:pPr>
        <w:ind w:leftChars="100" w:left="240"/>
        <w:jc w:val="center"/>
        <w:rPr>
          <w:rFonts w:ascii="Book Antiqua" w:hAnsi="Book Antiqua"/>
          <w:lang w:eastAsia="zh-CN"/>
        </w:rPr>
      </w:pPr>
    </w:p>
    <w:p w14:paraId="20D1CAD9" w14:textId="77777777" w:rsidR="00F0302C" w:rsidRPr="00F0302C" w:rsidRDefault="00F0302C" w:rsidP="00F0302C">
      <w:pPr>
        <w:ind w:leftChars="100" w:left="240"/>
        <w:jc w:val="center"/>
        <w:rPr>
          <w:rFonts w:ascii="Book Antiqua" w:hAnsi="Book Antiqua"/>
          <w:lang w:eastAsia="zh-CN"/>
        </w:rPr>
      </w:pPr>
    </w:p>
    <w:p w14:paraId="2B5FBBBA" w14:textId="77777777" w:rsidR="00F0302C" w:rsidRPr="00F0302C" w:rsidRDefault="00F0302C" w:rsidP="00F0302C">
      <w:pPr>
        <w:ind w:leftChars="100" w:left="240"/>
        <w:jc w:val="center"/>
        <w:rPr>
          <w:rFonts w:ascii="Book Antiqua" w:hAnsi="Book Antiqua"/>
          <w:lang w:eastAsia="zh-CN"/>
        </w:rPr>
      </w:pPr>
    </w:p>
    <w:p w14:paraId="12B1A0B2" w14:textId="77777777" w:rsidR="00F0302C" w:rsidRPr="00F0302C" w:rsidRDefault="00F0302C" w:rsidP="00F0302C">
      <w:pPr>
        <w:ind w:leftChars="100" w:left="240"/>
        <w:jc w:val="center"/>
        <w:rPr>
          <w:rFonts w:ascii="Book Antiqua" w:hAnsi="Book Antiqua"/>
          <w:lang w:eastAsia="zh-CN"/>
        </w:rPr>
      </w:pPr>
    </w:p>
    <w:p w14:paraId="436E8323" w14:textId="77777777" w:rsidR="00F0302C" w:rsidRPr="00F0302C" w:rsidRDefault="00F0302C" w:rsidP="00F0302C">
      <w:pPr>
        <w:ind w:leftChars="100" w:left="240"/>
        <w:jc w:val="right"/>
        <w:rPr>
          <w:rFonts w:ascii="Book Antiqua" w:hAnsi="Book Antiqua"/>
          <w:color w:val="000000" w:themeColor="text1"/>
          <w:lang w:eastAsia="zh-CN"/>
        </w:rPr>
      </w:pPr>
    </w:p>
    <w:p w14:paraId="01A9B195" w14:textId="77777777" w:rsidR="00F0302C" w:rsidRPr="00763D22" w:rsidRDefault="00F0302C" w:rsidP="00F0302C">
      <w:pPr>
        <w:ind w:leftChars="100" w:left="240"/>
        <w:jc w:val="center"/>
        <w:rPr>
          <w:rFonts w:ascii="Book Antiqua" w:hAnsi="Book Antiqua"/>
          <w:color w:val="000000" w:themeColor="text1"/>
          <w:lang w:eastAsia="zh-CN"/>
        </w:rPr>
      </w:pPr>
      <w:r w:rsidRPr="00F0302C">
        <w:rPr>
          <w:rFonts w:ascii="Book Antiqua" w:eastAsia="BookAntiqua-Bold" w:hAnsi="Book Antiqua" w:cs="BookAntiqua-Bold"/>
          <w:b/>
          <w:bCs/>
          <w:color w:val="000000" w:themeColor="text1"/>
        </w:rPr>
        <w:t>© 2023 Baishideng Publishing Group Inc. All rights reserved.</w:t>
      </w:r>
      <w:r w:rsidRPr="00F0302C">
        <w:rPr>
          <w:rFonts w:ascii="Book Antiqua" w:hAnsi="Book Antiqua"/>
          <w:color w:val="000000" w:themeColor="text1"/>
          <w:lang w:eastAsia="zh-CN"/>
        </w:rPr>
        <w:fldChar w:fldCharType="begin"/>
      </w:r>
      <w:r w:rsidRPr="00F0302C">
        <w:rPr>
          <w:rFonts w:ascii="Book Antiqua" w:hAnsi="Book Antiqua"/>
          <w:color w:val="000000" w:themeColor="text1"/>
          <w:lang w:eastAsia="zh-CN"/>
        </w:rPr>
        <w:instrText xml:space="preserve"> ADDIN EN.REFLIST </w:instrText>
      </w:r>
      <w:r w:rsidRPr="00F0302C">
        <w:rPr>
          <w:rFonts w:ascii="Book Antiqua" w:hAnsi="Book Antiqua"/>
          <w:color w:val="000000" w:themeColor="text1"/>
          <w:lang w:eastAsia="zh-CN"/>
        </w:rPr>
        <w:fldChar w:fldCharType="end"/>
      </w:r>
      <w:bookmarkEnd w:id="6"/>
    </w:p>
    <w:p w14:paraId="4580A140" w14:textId="77777777" w:rsidR="00F0302C" w:rsidRDefault="00F0302C">
      <w:pPr>
        <w:spacing w:line="360" w:lineRule="auto"/>
        <w:jc w:val="both"/>
        <w:rPr>
          <w:rFonts w:ascii="Book Antiqua" w:hAnsi="Book Antiqua"/>
        </w:rPr>
      </w:pPr>
    </w:p>
    <w:sectPr w:rsidR="00F030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00984" w14:textId="77777777" w:rsidR="00C65199" w:rsidRDefault="00C65199">
      <w:r>
        <w:separator/>
      </w:r>
    </w:p>
  </w:endnote>
  <w:endnote w:type="continuationSeparator" w:id="0">
    <w:p w14:paraId="20F7F0C7" w14:textId="77777777" w:rsidR="00C65199" w:rsidRDefault="00C6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D045" w14:textId="77777777" w:rsidR="00103375" w:rsidRDefault="00000000">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17</w:t>
    </w:r>
    <w:r>
      <w:rPr>
        <w:rFonts w:ascii="Book Antiqua" w:hAnsi="Book Antiqua"/>
        <w:color w:val="000000" w:themeColor="text1"/>
        <w:sz w:val="24"/>
        <w:szCs w:val="24"/>
      </w:rPr>
      <w:fldChar w:fldCharType="end"/>
    </w:r>
  </w:p>
  <w:p w14:paraId="0806B5D2" w14:textId="77777777" w:rsidR="00103375" w:rsidRDefault="0010337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05E0C" w14:textId="77777777" w:rsidR="00C65199" w:rsidRDefault="00C65199">
      <w:r>
        <w:separator/>
      </w:r>
    </w:p>
  </w:footnote>
  <w:footnote w:type="continuationSeparator" w:id="0">
    <w:p w14:paraId="448F953F" w14:textId="77777777" w:rsidR="00C65199" w:rsidRDefault="00C651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276D"/>
    <w:rsid w:val="00016A2C"/>
    <w:rsid w:val="00036646"/>
    <w:rsid w:val="00052255"/>
    <w:rsid w:val="000746B0"/>
    <w:rsid w:val="00091938"/>
    <w:rsid w:val="000A3E6B"/>
    <w:rsid w:val="000D420D"/>
    <w:rsid w:val="00103375"/>
    <w:rsid w:val="001221C2"/>
    <w:rsid w:val="001502BD"/>
    <w:rsid w:val="00172AC1"/>
    <w:rsid w:val="001B2041"/>
    <w:rsid w:val="001C2349"/>
    <w:rsid w:val="001D4A76"/>
    <w:rsid w:val="001F70D4"/>
    <w:rsid w:val="002122A5"/>
    <w:rsid w:val="00222A7A"/>
    <w:rsid w:val="00233BEB"/>
    <w:rsid w:val="0023492C"/>
    <w:rsid w:val="0026323F"/>
    <w:rsid w:val="002660CF"/>
    <w:rsid w:val="00282F15"/>
    <w:rsid w:val="002A0094"/>
    <w:rsid w:val="002F03DF"/>
    <w:rsid w:val="002F2D0A"/>
    <w:rsid w:val="003171B4"/>
    <w:rsid w:val="0035097D"/>
    <w:rsid w:val="00364A30"/>
    <w:rsid w:val="00365636"/>
    <w:rsid w:val="00373376"/>
    <w:rsid w:val="00396837"/>
    <w:rsid w:val="003C00CD"/>
    <w:rsid w:val="003C3C1C"/>
    <w:rsid w:val="003E5A73"/>
    <w:rsid w:val="003F69D9"/>
    <w:rsid w:val="004455EB"/>
    <w:rsid w:val="00447D2B"/>
    <w:rsid w:val="00463055"/>
    <w:rsid w:val="00490D31"/>
    <w:rsid w:val="00496B78"/>
    <w:rsid w:val="00497E60"/>
    <w:rsid w:val="004A4359"/>
    <w:rsid w:val="004B7974"/>
    <w:rsid w:val="00523A1E"/>
    <w:rsid w:val="0052480B"/>
    <w:rsid w:val="00570F9C"/>
    <w:rsid w:val="0057695C"/>
    <w:rsid w:val="005971C6"/>
    <w:rsid w:val="005B43A3"/>
    <w:rsid w:val="0062613B"/>
    <w:rsid w:val="00627868"/>
    <w:rsid w:val="00677DEB"/>
    <w:rsid w:val="006E1C0D"/>
    <w:rsid w:val="00727A04"/>
    <w:rsid w:val="007A6640"/>
    <w:rsid w:val="007B282F"/>
    <w:rsid w:val="007C1217"/>
    <w:rsid w:val="007D6FEA"/>
    <w:rsid w:val="007F015B"/>
    <w:rsid w:val="007F2F20"/>
    <w:rsid w:val="00841519"/>
    <w:rsid w:val="00865494"/>
    <w:rsid w:val="00874AF0"/>
    <w:rsid w:val="00876765"/>
    <w:rsid w:val="0088263E"/>
    <w:rsid w:val="008A4AF8"/>
    <w:rsid w:val="008B55EB"/>
    <w:rsid w:val="008D2FAD"/>
    <w:rsid w:val="0090496F"/>
    <w:rsid w:val="00943F51"/>
    <w:rsid w:val="00956B00"/>
    <w:rsid w:val="00984BBB"/>
    <w:rsid w:val="009A37BC"/>
    <w:rsid w:val="00A55B8C"/>
    <w:rsid w:val="00A6145D"/>
    <w:rsid w:val="00A77B3E"/>
    <w:rsid w:val="00A83245"/>
    <w:rsid w:val="00AA1968"/>
    <w:rsid w:val="00AA6AA8"/>
    <w:rsid w:val="00AC67F7"/>
    <w:rsid w:val="00B01CD1"/>
    <w:rsid w:val="00B115E9"/>
    <w:rsid w:val="00B24163"/>
    <w:rsid w:val="00B3154E"/>
    <w:rsid w:val="00B417EB"/>
    <w:rsid w:val="00B60D26"/>
    <w:rsid w:val="00B7015A"/>
    <w:rsid w:val="00B736DA"/>
    <w:rsid w:val="00B85378"/>
    <w:rsid w:val="00B93D1C"/>
    <w:rsid w:val="00BA15B3"/>
    <w:rsid w:val="00BD1301"/>
    <w:rsid w:val="00C04620"/>
    <w:rsid w:val="00C04ED1"/>
    <w:rsid w:val="00C31F03"/>
    <w:rsid w:val="00C40563"/>
    <w:rsid w:val="00C5572E"/>
    <w:rsid w:val="00C65199"/>
    <w:rsid w:val="00C666AC"/>
    <w:rsid w:val="00CA2A55"/>
    <w:rsid w:val="00CA67A3"/>
    <w:rsid w:val="00CD3BDB"/>
    <w:rsid w:val="00CD5D97"/>
    <w:rsid w:val="00CD6EEC"/>
    <w:rsid w:val="00CE4172"/>
    <w:rsid w:val="00CE4CBC"/>
    <w:rsid w:val="00CF3D39"/>
    <w:rsid w:val="00D04B42"/>
    <w:rsid w:val="00D07CF5"/>
    <w:rsid w:val="00D24F29"/>
    <w:rsid w:val="00D319FD"/>
    <w:rsid w:val="00D366D9"/>
    <w:rsid w:val="00D73603"/>
    <w:rsid w:val="00D77576"/>
    <w:rsid w:val="00D8753B"/>
    <w:rsid w:val="00DD47D2"/>
    <w:rsid w:val="00E07850"/>
    <w:rsid w:val="00E158E2"/>
    <w:rsid w:val="00E44E11"/>
    <w:rsid w:val="00E931D9"/>
    <w:rsid w:val="00F0302C"/>
    <w:rsid w:val="00F034E1"/>
    <w:rsid w:val="00F731EC"/>
    <w:rsid w:val="00F876F4"/>
    <w:rsid w:val="00FC25E4"/>
    <w:rsid w:val="00FE1E80"/>
    <w:rsid w:val="00FE7F68"/>
    <w:rsid w:val="00FF0FFB"/>
    <w:rsid w:val="00FF1EBB"/>
    <w:rsid w:val="088C017B"/>
    <w:rsid w:val="108B626F"/>
    <w:rsid w:val="23C2596B"/>
    <w:rsid w:val="25545126"/>
    <w:rsid w:val="2FD34D1F"/>
    <w:rsid w:val="41806F69"/>
    <w:rsid w:val="4B6D2EE6"/>
    <w:rsid w:val="55703F3D"/>
    <w:rsid w:val="70814BED"/>
    <w:rsid w:val="70863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8A17E"/>
  <w15:docId w15:val="{A89CE770-7694-4E56-A5ED-B1E5F770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character" w:customStyle="1" w:styleId="a6">
    <w:name w:val="批注框文本 字符"/>
    <w:basedOn w:val="a0"/>
    <w:link w:val="a5"/>
    <w:qFormat/>
    <w:rPr>
      <w:sz w:val="18"/>
      <w:szCs w:val="18"/>
      <w:lang w:eastAsia="en-US"/>
    </w:rPr>
  </w:style>
  <w:style w:type="paragraph" w:customStyle="1" w:styleId="3">
    <w:name w:val="修订3"/>
    <w:hidden/>
    <w:uiPriority w:val="99"/>
    <w:semiHidden/>
    <w:qFormat/>
    <w:rPr>
      <w:sz w:val="24"/>
      <w:szCs w:val="24"/>
      <w:lang w:eastAsia="en-US"/>
    </w:rPr>
  </w:style>
  <w:style w:type="paragraph" w:styleId="ae">
    <w:name w:val="Revision"/>
    <w:hidden/>
    <w:uiPriority w:val="99"/>
    <w:unhideWhenUsed/>
    <w:rsid w:val="00447D2B"/>
    <w:rPr>
      <w:sz w:val="24"/>
      <w:szCs w:val="24"/>
      <w:lang w:eastAsia="en-US"/>
    </w:rPr>
  </w:style>
  <w:style w:type="character" w:styleId="af">
    <w:name w:val="Hyperlink"/>
    <w:basedOn w:val="a0"/>
    <w:rsid w:val="00F0302C"/>
    <w:rPr>
      <w:color w:val="0000FF" w:themeColor="hyperlink"/>
      <w:u w:val="single"/>
    </w:rPr>
  </w:style>
  <w:style w:type="character" w:styleId="af0">
    <w:name w:val="Unresolved Mention"/>
    <w:basedOn w:val="a0"/>
    <w:uiPriority w:val="99"/>
    <w:semiHidden/>
    <w:unhideWhenUsed/>
    <w:rsid w:val="00F03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23/5547.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18</Pages>
  <Words>3475</Words>
  <Characters>19813</Characters>
  <Application>Microsoft Office Word</Application>
  <DocSecurity>0</DocSecurity>
  <Lines>165</Lines>
  <Paragraphs>46</Paragraphs>
  <ScaleCrop>false</ScaleCrop>
  <Company>HP</Company>
  <LinksUpToDate>false</LinksUpToDate>
  <CharactersWithSpaces>23242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wang'ya'han</dc:creator>
  <cp:lastModifiedBy>Li Jia-Hui</cp:lastModifiedBy>
  <cp:revision>167</cp:revision>
  <dcterms:created xsi:type="dcterms:W3CDTF">2023-07-03T01:55:00Z</dcterms:created>
  <dcterms:modified xsi:type="dcterms:W3CDTF">2023-08-14T08:50:00Z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D7882FF673DF4CFD8D7C398B4CF4082B_13</vt:lpwstr>
  </property>
</Properties>
</file>