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032C0" w14:textId="77777777" w:rsidR="00005863" w:rsidRDefault="00000000">
      <w:pPr>
        <w:spacing w:line="360" w:lineRule="auto"/>
        <w:jc w:val="both"/>
        <w:rPr>
          <w:rFonts w:ascii="Book Antiqua" w:hAnsi="Book Antiqua"/>
        </w:rPr>
      </w:pPr>
      <w:bookmarkStart w:id="0" w:name="OLE_LINK1078"/>
      <w:bookmarkStart w:id="1" w:name="OLE_LINK1080"/>
      <w:bookmarkStart w:id="2" w:name="OLE_LINK1079"/>
      <w:bookmarkStart w:id="3" w:name="OLE_LINK1077"/>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FE7C29E" w14:textId="77777777" w:rsidR="00005863"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85034</w:t>
      </w:r>
    </w:p>
    <w:p w14:paraId="2922238E" w14:textId="77777777" w:rsidR="00005863" w:rsidRDefault="00000000">
      <w:pPr>
        <w:spacing w:line="360" w:lineRule="auto"/>
        <w:jc w:val="both"/>
        <w:rPr>
          <w:rFonts w:ascii="Book Antiqua" w:hAnsi="Book Antiqua"/>
          <w:lang w:eastAsia="zh-CN"/>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DBAD7AE" w14:textId="77777777" w:rsidR="00005863" w:rsidRDefault="00005863">
      <w:pPr>
        <w:spacing w:line="360" w:lineRule="auto"/>
        <w:jc w:val="both"/>
        <w:rPr>
          <w:rFonts w:ascii="Book Antiqua" w:hAnsi="Book Antiqua"/>
        </w:rPr>
      </w:pPr>
    </w:p>
    <w:p w14:paraId="23F0E091" w14:textId="77777777" w:rsidR="00005863" w:rsidRDefault="00000000">
      <w:pPr>
        <w:spacing w:line="360" w:lineRule="auto"/>
        <w:jc w:val="both"/>
        <w:rPr>
          <w:rFonts w:ascii="Book Antiqua" w:hAnsi="Book Antiqua"/>
        </w:rPr>
      </w:pPr>
      <w:bookmarkStart w:id="4" w:name="OLE_LINK6411"/>
      <w:r>
        <w:rPr>
          <w:rFonts w:ascii="Book Antiqua" w:eastAsia="Book Antiqua" w:hAnsi="Book Antiqua" w:cs="Book Antiqua"/>
          <w:b/>
          <w:color w:val="000000"/>
        </w:rPr>
        <w:t xml:space="preserve">Gastric </w:t>
      </w:r>
      <w:bookmarkStart w:id="5" w:name="OLE_LINK1089"/>
      <w:r>
        <w:rPr>
          <w:rFonts w:ascii="Book Antiqua" w:eastAsia="Book Antiqua" w:hAnsi="Book Antiqua" w:cs="Book Antiqua"/>
          <w:b/>
          <w:color w:val="000000"/>
        </w:rPr>
        <w:t>neuroendocrine tumors</w:t>
      </w:r>
      <w:bookmarkEnd w:id="5"/>
      <w:r>
        <w:rPr>
          <w:rFonts w:ascii="Book Antiqua" w:eastAsia="Book Antiqua" w:hAnsi="Book Antiqua" w:cs="Book Antiqua"/>
          <w:b/>
          <w:color w:val="000000"/>
        </w:rPr>
        <w:t xml:space="preserve"> in a </w:t>
      </w:r>
      <w:r>
        <w:rPr>
          <w:rFonts w:ascii="Book Antiqua" w:eastAsia="Book Antiqua" w:hAnsi="Book Antiqua" w:cs="Book Antiqua"/>
          <w:b/>
          <w:i/>
          <w:iCs/>
          <w:color w:val="000000"/>
        </w:rPr>
        <w:t>BRCA2</w:t>
      </w:r>
      <w:r>
        <w:rPr>
          <w:rFonts w:ascii="Book Antiqua" w:eastAsia="Book Antiqua" w:hAnsi="Book Antiqua" w:cs="Book Antiqua"/>
          <w:b/>
          <w:color w:val="000000"/>
        </w:rPr>
        <w:t xml:space="preserve"> germline mutation carrier: A case report</w:t>
      </w:r>
    </w:p>
    <w:bookmarkEnd w:id="4"/>
    <w:p w14:paraId="6AE3D08C" w14:textId="77777777" w:rsidR="00005863" w:rsidRDefault="00005863">
      <w:pPr>
        <w:spacing w:line="360" w:lineRule="auto"/>
        <w:jc w:val="both"/>
        <w:rPr>
          <w:rFonts w:ascii="Book Antiqua" w:hAnsi="Book Antiqua"/>
        </w:rPr>
      </w:pPr>
    </w:p>
    <w:p w14:paraId="40C47BB4" w14:textId="77777777" w:rsidR="00005863" w:rsidRDefault="00000000">
      <w:pPr>
        <w:spacing w:line="360" w:lineRule="auto"/>
        <w:jc w:val="both"/>
        <w:rPr>
          <w:rFonts w:ascii="Book Antiqua" w:eastAsia="宋体" w:hAnsi="Book Antiqua"/>
          <w:lang w:eastAsia="zh-CN"/>
        </w:rPr>
      </w:pPr>
      <w:r>
        <w:rPr>
          <w:rFonts w:ascii="Book Antiqua" w:eastAsia="Book Antiqua" w:hAnsi="Book Antiqua" w:cs="Book Antiqua"/>
          <w:color w:val="000000"/>
        </w:rPr>
        <w:t xml:space="preserve">Zhang </w:t>
      </w:r>
      <w:r>
        <w:rPr>
          <w:rFonts w:ascii="Book Antiqua" w:eastAsia="Book Antiqua" w:hAnsi="Book Antiqua" w:cs="Book Antiqua" w:hint="eastAsia"/>
          <w:color w:val="000000"/>
          <w:lang w:eastAsia="zh-CN"/>
        </w:rPr>
        <w:t>HF</w:t>
      </w:r>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w:t>
      </w:r>
      <w:r>
        <w:rPr>
          <w:rFonts w:ascii="Book Antiqua" w:hAnsi="Book Antiqua" w:hint="eastAsia"/>
        </w:rPr>
        <w:t xml:space="preserve"> </w:t>
      </w:r>
      <w:bookmarkStart w:id="6" w:name="OLE_LINK6412"/>
      <w:r>
        <w:rPr>
          <w:rFonts w:ascii="Book Antiqua" w:eastAsia="Book Antiqua" w:hAnsi="Book Antiqua" w:cs="Book Antiqua"/>
          <w:color w:val="000000"/>
        </w:rPr>
        <w:t xml:space="preserve">Gastric NETs in </w:t>
      </w:r>
      <w:bookmarkStart w:id="7" w:name="OLE_LINK1098"/>
      <w:r>
        <w:rPr>
          <w:rFonts w:ascii="Book Antiqua" w:eastAsia="宋体" w:hAnsi="Book Antiqua" w:cs="Book Antiqua" w:hint="eastAsia"/>
          <w:color w:val="000000"/>
          <w:lang w:eastAsia="zh-CN"/>
        </w:rPr>
        <w:t xml:space="preserve">a </w:t>
      </w:r>
      <w:r>
        <w:rPr>
          <w:rFonts w:ascii="Book Antiqua" w:eastAsia="Book Antiqua" w:hAnsi="Book Antiqua" w:cs="Book Antiqua"/>
          <w:i/>
          <w:iCs/>
          <w:color w:val="000000"/>
        </w:rPr>
        <w:t>BRCA2</w:t>
      </w:r>
      <w:bookmarkEnd w:id="7"/>
      <w:r>
        <w:rPr>
          <w:rFonts w:ascii="Book Antiqua" w:eastAsia="Book Antiqua" w:hAnsi="Book Antiqua" w:cs="Book Antiqua"/>
          <w:color w:val="000000"/>
        </w:rPr>
        <w:t xml:space="preserve"> germline mutation</w:t>
      </w:r>
      <w:r>
        <w:rPr>
          <w:rFonts w:ascii="Book Antiqua" w:eastAsia="宋体" w:hAnsi="Book Antiqua" w:cs="Book Antiqua" w:hint="eastAsia"/>
          <w:color w:val="000000"/>
          <w:lang w:eastAsia="zh-CN"/>
        </w:rPr>
        <w:t xml:space="preserve"> carrier</w:t>
      </w:r>
      <w:bookmarkEnd w:id="6"/>
    </w:p>
    <w:p w14:paraId="4CCA7125" w14:textId="77777777" w:rsidR="00005863" w:rsidRDefault="00005863">
      <w:pPr>
        <w:spacing w:line="360" w:lineRule="auto"/>
        <w:jc w:val="both"/>
        <w:rPr>
          <w:rFonts w:ascii="Book Antiqua" w:hAnsi="Book Antiqua"/>
        </w:rPr>
      </w:pPr>
    </w:p>
    <w:p w14:paraId="0D638098"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Hui-Fang Zhang, Yi Zheng, Xue Wen, Jing Zhao, Jun Li,</w:t>
      </w:r>
    </w:p>
    <w:p w14:paraId="3D490D21" w14:textId="77777777" w:rsidR="00005863" w:rsidRDefault="00005863">
      <w:pPr>
        <w:spacing w:line="360" w:lineRule="auto"/>
        <w:jc w:val="both"/>
        <w:rPr>
          <w:rFonts w:ascii="Book Antiqua" w:hAnsi="Book Antiqua"/>
        </w:rPr>
      </w:pPr>
    </w:p>
    <w:p w14:paraId="36897086" w14:textId="77777777" w:rsidR="00005863" w:rsidRDefault="00000000">
      <w:pPr>
        <w:spacing w:line="360" w:lineRule="auto"/>
        <w:jc w:val="both"/>
        <w:rPr>
          <w:rFonts w:ascii="Book Antiqua" w:hAnsi="Book Antiqua"/>
        </w:rPr>
      </w:pPr>
      <w:bookmarkStart w:id="8" w:name="OLE_LINK1081"/>
      <w:bookmarkStart w:id="9" w:name="OLE_LINK1082"/>
      <w:r>
        <w:rPr>
          <w:rFonts w:ascii="Book Antiqua" w:eastAsia="Book Antiqua" w:hAnsi="Book Antiqua" w:cs="Book Antiqua"/>
          <w:b/>
          <w:bCs/>
          <w:color w:val="000000"/>
        </w:rPr>
        <w:t>Hui-Fang Zhang, Yi Zheng, Xue Wen, Jing Zhao, Jun Li,</w:t>
      </w:r>
      <w:bookmarkEnd w:id="8"/>
      <w:r>
        <w:rPr>
          <w:rFonts w:ascii="Book Antiqua" w:eastAsia="Book Antiqua" w:hAnsi="Book Antiqua" w:cs="Book Antiqua"/>
          <w:b/>
          <w:bCs/>
          <w:color w:val="000000"/>
        </w:rPr>
        <w:t xml:space="preserve"> </w:t>
      </w:r>
      <w:bookmarkStart w:id="10" w:name="OLE_LINK1083"/>
      <w:bookmarkStart w:id="11" w:name="OLE_LINK1084"/>
      <w:bookmarkEnd w:id="9"/>
      <w:r>
        <w:rPr>
          <w:rFonts w:ascii="Book Antiqua" w:eastAsia="Book Antiqua" w:hAnsi="Book Antiqua" w:cs="Book Antiqua"/>
          <w:color w:val="000000"/>
        </w:rPr>
        <w:t>D</w:t>
      </w:r>
      <w:r>
        <w:rPr>
          <w:rFonts w:ascii="Book Antiqua" w:eastAsia="Book Antiqua" w:hAnsi="Book Antiqua" w:cs="Book Antiqua"/>
          <w:color w:val="000000"/>
          <w:lang w:eastAsia="zh-CN"/>
        </w:rPr>
        <w:t xml:space="preserve">epartment of </w:t>
      </w:r>
      <w:bookmarkEnd w:id="10"/>
      <w:r>
        <w:rPr>
          <w:rFonts w:ascii="Book Antiqua" w:eastAsia="Book Antiqua" w:hAnsi="Book Antiqua" w:cs="Book Antiqua"/>
          <w:color w:val="000000"/>
        </w:rPr>
        <w:t>Pathology, The First Affiliated Hospital, Medical College, Zhejiang University, Hangzhou 310000, Zhejiang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bookmarkEnd w:id="11"/>
    <w:p w14:paraId="51AE8DBC" w14:textId="77777777" w:rsidR="00005863" w:rsidRDefault="00005863">
      <w:pPr>
        <w:spacing w:line="360" w:lineRule="auto"/>
        <w:jc w:val="both"/>
        <w:rPr>
          <w:rFonts w:ascii="Book Antiqua" w:hAnsi="Book Antiqua"/>
        </w:rPr>
      </w:pPr>
    </w:p>
    <w:p w14:paraId="308042F5" w14:textId="77777777" w:rsidR="00005863"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J designed and wrote the case report and performed the literature search; Z</w:t>
      </w:r>
      <w:r>
        <w:rPr>
          <w:rFonts w:ascii="Book Antiqua" w:eastAsia="Book Antiqua" w:hAnsi="Book Antiqua" w:cs="Book Antiqua" w:hint="eastAsia"/>
          <w:color w:val="000000"/>
          <w:lang w:eastAsia="zh-CN"/>
        </w:rPr>
        <w:t>hang</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HF, Zhen </w:t>
      </w:r>
      <w:r>
        <w:rPr>
          <w:rFonts w:ascii="Book Antiqua" w:eastAsia="Book Antiqua" w:hAnsi="Book Antiqua" w:cs="Book Antiqua" w:hint="eastAsia"/>
          <w:color w:val="000000"/>
          <w:lang w:eastAsia="zh-CN"/>
        </w:rPr>
        <w:t>Y,</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and Wen X assisted in the literature search and wrote the paper; Zhao J participated in the data acquisition and analysis.</w:t>
      </w:r>
    </w:p>
    <w:p w14:paraId="43958CCB" w14:textId="77777777" w:rsidR="00005863" w:rsidRDefault="00005863">
      <w:pPr>
        <w:spacing w:line="360" w:lineRule="auto"/>
        <w:jc w:val="both"/>
        <w:rPr>
          <w:rFonts w:ascii="Book Antiqua" w:eastAsia="Book Antiqua" w:hAnsi="Book Antiqua" w:cs="Book Antiqua"/>
          <w:color w:val="000000"/>
          <w:lang w:eastAsia="zh-CN"/>
        </w:rPr>
      </w:pPr>
    </w:p>
    <w:p w14:paraId="5B470EC7" w14:textId="77777777" w:rsidR="00005863"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bookmarkStart w:id="12" w:name="OLE_LINK6416"/>
      <w:r>
        <w:rPr>
          <w:rFonts w:ascii="Book Antiqua" w:eastAsia="Book Antiqua" w:hAnsi="Book Antiqua" w:cs="Book Antiqua"/>
          <w:color w:val="000000"/>
        </w:rPr>
        <w:t>Natural Science Foundation of Zhejiang Province, N</w:t>
      </w:r>
      <w:r>
        <w:rPr>
          <w:rFonts w:ascii="Book Antiqua" w:eastAsia="Book Antiqua" w:hAnsi="Book Antiqua" w:cs="Book Antiqua" w:hint="eastAsia"/>
          <w:color w:val="000000"/>
          <w:lang w:eastAsia="zh-CN"/>
        </w:rPr>
        <w:t>o</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LQ20H1600036</w:t>
      </w:r>
      <w:bookmarkEnd w:id="12"/>
      <w:r>
        <w:rPr>
          <w:rFonts w:ascii="Book Antiqua" w:eastAsia="Book Antiqua" w:hAnsi="Book Antiqua" w:cs="Book Antiqua"/>
          <w:color w:val="000000"/>
        </w:rPr>
        <w:t xml:space="preserve"> (to Wen X).</w:t>
      </w:r>
    </w:p>
    <w:p w14:paraId="500EC9A0" w14:textId="77777777" w:rsidR="00005863" w:rsidRDefault="00005863">
      <w:pPr>
        <w:spacing w:line="360" w:lineRule="auto"/>
        <w:jc w:val="both"/>
        <w:rPr>
          <w:rFonts w:ascii="Book Antiqua" w:hAnsi="Book Antiqua"/>
        </w:rPr>
      </w:pPr>
    </w:p>
    <w:p w14:paraId="6259D717" w14:textId="77777777" w:rsidR="00005863"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Jun Li, Doctor, Chief Physician, </w:t>
      </w:r>
      <w:bookmarkStart w:id="13" w:name="OLE_LINK6417"/>
      <w:r>
        <w:rPr>
          <w:rFonts w:ascii="Book Antiqua" w:eastAsia="Book Antiqua" w:hAnsi="Book Antiqua" w:cs="Book Antiqua"/>
          <w:color w:val="000000"/>
        </w:rPr>
        <w:t>D</w:t>
      </w:r>
      <w:r>
        <w:rPr>
          <w:rFonts w:ascii="Book Antiqua" w:eastAsia="Book Antiqua" w:hAnsi="Book Antiqua" w:cs="Book Antiqua"/>
          <w:color w:val="000000"/>
          <w:lang w:eastAsia="zh-CN"/>
        </w:rPr>
        <w:t xml:space="preserve">epartment of </w:t>
      </w:r>
      <w:r>
        <w:rPr>
          <w:rFonts w:ascii="Book Antiqua" w:eastAsia="Book Antiqua" w:hAnsi="Book Antiqua" w:cs="Book Antiqua"/>
          <w:color w:val="000000"/>
        </w:rPr>
        <w:t>Pathology</w:t>
      </w:r>
      <w:bookmarkEnd w:id="13"/>
      <w:r>
        <w:rPr>
          <w:rFonts w:ascii="Book Antiqua" w:eastAsia="Book Antiqua" w:hAnsi="Book Antiqua" w:cs="Book Antiqua"/>
          <w:color w:val="000000"/>
        </w:rPr>
        <w:t xml:space="preserve">, The First Affiliated Hospital, Medical College, Zhejiang University, </w:t>
      </w:r>
      <w:bookmarkStart w:id="14" w:name="OLE_LINK6418"/>
      <w:r>
        <w:rPr>
          <w:rFonts w:ascii="Book Antiqua" w:eastAsia="Book Antiqua" w:hAnsi="Book Antiqua" w:cs="Book Antiqua"/>
          <w:color w:val="000000"/>
        </w:rPr>
        <w:t>N</w:t>
      </w:r>
      <w:r>
        <w:rPr>
          <w:rFonts w:ascii="Book Antiqua" w:eastAsia="Book Antiqua" w:hAnsi="Book Antiqua" w:cs="Book Antiqua" w:hint="eastAsia"/>
          <w:color w:val="000000"/>
          <w:lang w:eastAsia="zh-CN"/>
        </w:rPr>
        <w:t>o</w:t>
      </w:r>
      <w:r>
        <w:rPr>
          <w:rFonts w:ascii="Book Antiqua" w:eastAsia="Book Antiqua" w:hAnsi="Book Antiqua" w:cs="Book Antiqua"/>
          <w:color w:val="000000"/>
        </w:rPr>
        <w:t xml:space="preserve">.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w:t>
      </w:r>
      <w:bookmarkEnd w:id="14"/>
      <w:r>
        <w:rPr>
          <w:rFonts w:ascii="Book Antiqua" w:eastAsia="Book Antiqua" w:hAnsi="Book Antiqua" w:cs="Book Antiqua"/>
          <w:color w:val="000000"/>
        </w:rPr>
        <w:t xml:space="preserve">, Hangzhou 310000, </w:t>
      </w:r>
      <w:bookmarkStart w:id="15" w:name="OLE_LINK6419"/>
      <w:r>
        <w:rPr>
          <w:rFonts w:ascii="Book Antiqua" w:eastAsia="Book Antiqua" w:hAnsi="Book Antiqua" w:cs="Book Antiqua"/>
          <w:color w:val="000000"/>
        </w:rPr>
        <w:t>Zhejiang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bookmarkEnd w:id="15"/>
      <w:r>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w:t>
      </w:r>
      <w:r>
        <w:rPr>
          <w:rFonts w:ascii="Book Antiqua" w:hAnsi="Book Antiqua" w:hint="eastAsia"/>
        </w:rPr>
        <w:t xml:space="preserve"> </w:t>
      </w:r>
      <w:r>
        <w:rPr>
          <w:rFonts w:ascii="Book Antiqua" w:eastAsia="Book Antiqua" w:hAnsi="Book Antiqua" w:cs="Book Antiqua"/>
          <w:color w:val="000000"/>
        </w:rPr>
        <w:t>1101025@zju.edu.cn</w:t>
      </w:r>
    </w:p>
    <w:p w14:paraId="2B9D70A3" w14:textId="77777777" w:rsidR="00005863" w:rsidRDefault="00005863">
      <w:pPr>
        <w:spacing w:line="360" w:lineRule="auto"/>
        <w:jc w:val="both"/>
        <w:rPr>
          <w:rFonts w:ascii="Book Antiqua" w:hAnsi="Book Antiqua"/>
          <w:lang w:eastAsia="zh-CN"/>
        </w:rPr>
      </w:pPr>
    </w:p>
    <w:p w14:paraId="51F6EA8A" w14:textId="77777777" w:rsidR="00005863"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8, 2023</w:t>
      </w:r>
    </w:p>
    <w:p w14:paraId="08909B5C" w14:textId="77777777" w:rsidR="00005863" w:rsidRDefault="00000000">
      <w:pPr>
        <w:spacing w:line="360" w:lineRule="auto"/>
        <w:jc w:val="both"/>
        <w:rPr>
          <w:rFonts w:ascii="Book Antiqua" w:hAnsi="Book Antiqua"/>
          <w:lang w:eastAsia="zh-CN"/>
        </w:rPr>
      </w:pPr>
      <w:bookmarkStart w:id="16" w:name="OLE_LINK1087"/>
      <w:r>
        <w:rPr>
          <w:rFonts w:ascii="Book Antiqua" w:eastAsia="Book Antiqua" w:hAnsi="Book Antiqua" w:cs="Book Antiqua"/>
          <w:b/>
          <w:bCs/>
        </w:rPr>
        <w:t xml:space="preserve">Revised: </w:t>
      </w:r>
      <w:r>
        <w:rPr>
          <w:rFonts w:ascii="Book Antiqua" w:eastAsia="Book Antiqua" w:hAnsi="Book Antiqua" w:cs="Book Antiqua"/>
        </w:rPr>
        <w:t>June 7, 2023</w:t>
      </w:r>
    </w:p>
    <w:bookmarkEnd w:id="16"/>
    <w:p w14:paraId="2EA4C920" w14:textId="51618B82" w:rsidR="00005863"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17" w:author="Wang Jin-Lei" w:date="2023-07-18T17:12:00Z">
        <w:r w:rsidR="00834E1E" w:rsidRPr="00834E1E">
          <w:rPr>
            <w:rFonts w:ascii="Book Antiqua" w:eastAsia="Book Antiqua" w:hAnsi="Book Antiqua" w:cs="Book Antiqua"/>
          </w:rPr>
          <w:t>July 18, 2023</w:t>
        </w:r>
      </w:ins>
    </w:p>
    <w:p w14:paraId="02C4AD04" w14:textId="77777777" w:rsidR="00005863"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4E2E2481" w14:textId="77777777" w:rsidR="00005863" w:rsidRDefault="00005863">
      <w:pPr>
        <w:spacing w:line="360" w:lineRule="auto"/>
        <w:jc w:val="both"/>
        <w:rPr>
          <w:rFonts w:ascii="Book Antiqua" w:hAnsi="Book Antiqua"/>
        </w:rPr>
        <w:sectPr w:rsidR="00005863">
          <w:footerReference w:type="default" r:id="rId6"/>
          <w:pgSz w:w="12240" w:h="15840"/>
          <w:pgMar w:top="1440" w:right="1440" w:bottom="1440" w:left="1440" w:header="720" w:footer="720" w:gutter="0"/>
          <w:cols w:space="720"/>
          <w:docGrid w:linePitch="360"/>
        </w:sectPr>
      </w:pPr>
    </w:p>
    <w:p w14:paraId="5B3B4F97"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D6945D3"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1AA86DB2" w14:textId="77777777" w:rsidR="00005863" w:rsidRDefault="00000000">
      <w:pPr>
        <w:spacing w:line="360" w:lineRule="auto"/>
        <w:jc w:val="both"/>
        <w:rPr>
          <w:rFonts w:ascii="Book Antiqua" w:hAnsi="Book Antiqua"/>
        </w:rPr>
      </w:pPr>
      <w:r>
        <w:rPr>
          <w:rFonts w:ascii="Book Antiqua" w:eastAsia="Book Antiqua" w:hAnsi="Book Antiqua" w:cs="Book Antiqua"/>
        </w:rPr>
        <w:t xml:space="preserve">The molecular changes present in gastric </w:t>
      </w:r>
      <w:bookmarkStart w:id="19" w:name="OLE_LINK1096"/>
      <w:r>
        <w:rPr>
          <w:rFonts w:ascii="Book Antiqua" w:eastAsia="Book Antiqua" w:hAnsi="Book Antiqua" w:cs="Book Antiqua"/>
        </w:rPr>
        <w:t>neuroendocrine tumors</w:t>
      </w:r>
      <w:bookmarkEnd w:id="19"/>
      <w:r>
        <w:rPr>
          <w:rFonts w:ascii="Book Antiqua" w:eastAsia="Book Antiqua" w:hAnsi="Book Antiqua" w:cs="Book Antiqua"/>
        </w:rPr>
        <w:t xml:space="preserve"> (NETs) include a loss of heterozygosity or mutation of </w:t>
      </w:r>
      <w:bookmarkStart w:id="20" w:name="OLE_LINK1099"/>
      <w:r>
        <w:rPr>
          <w:rFonts w:ascii="Book Antiqua" w:eastAsia="Book Antiqua" w:hAnsi="Book Antiqua" w:cs="Book Antiqua"/>
          <w:i/>
          <w:iCs/>
        </w:rPr>
        <w:t>MEN1</w:t>
      </w:r>
      <w:bookmarkEnd w:id="20"/>
      <w:r>
        <w:rPr>
          <w:rFonts w:ascii="Book Antiqua" w:eastAsia="Book Antiqua" w:hAnsi="Book Antiqua" w:cs="Book Antiqua"/>
        </w:rPr>
        <w:t xml:space="preserve">, </w:t>
      </w:r>
      <w:bookmarkStart w:id="21" w:name="OLE_LINK1093"/>
      <w:r>
        <w:rPr>
          <w:rFonts w:ascii="Book Antiqua" w:eastAsia="Book Antiqua" w:hAnsi="Book Antiqua" w:cs="Book Antiqua"/>
          <w:i/>
          <w:iCs/>
        </w:rPr>
        <w:t>CDKN1B</w:t>
      </w:r>
      <w:bookmarkEnd w:id="21"/>
      <w:r>
        <w:rPr>
          <w:rFonts w:ascii="Book Antiqua" w:eastAsia="Book Antiqua" w:hAnsi="Book Antiqua" w:cs="Book Antiqua"/>
        </w:rPr>
        <w:t xml:space="preserve"> gene mutation, </w:t>
      </w:r>
      <w:r>
        <w:rPr>
          <w:rFonts w:ascii="Book Antiqua" w:eastAsia="Book Antiqua" w:hAnsi="Book Antiqua" w:cs="Book Antiqua"/>
          <w:i/>
          <w:iCs/>
        </w:rPr>
        <w:t>P27</w:t>
      </w:r>
      <w:r>
        <w:rPr>
          <w:rFonts w:ascii="Book Antiqua" w:eastAsia="Book Antiqua" w:hAnsi="Book Antiqua" w:cs="Book Antiqua"/>
        </w:rPr>
        <w:t xml:space="preserve"> heterozygo</w:t>
      </w:r>
      <w:r>
        <w:rPr>
          <w:rFonts w:ascii="Book Antiqua" w:eastAsia="宋体" w:hAnsi="Book Antiqua" w:cs="Book Antiqua" w:hint="eastAsia"/>
          <w:lang w:eastAsia="zh-CN"/>
        </w:rPr>
        <w:t>us</w:t>
      </w:r>
      <w:r>
        <w:rPr>
          <w:rFonts w:ascii="Book Antiqua" w:eastAsia="Book Antiqua" w:hAnsi="Book Antiqua" w:cs="Book Antiqua"/>
        </w:rPr>
        <w:t xml:space="preserve"> mutation</w:t>
      </w:r>
      <w:r>
        <w:rPr>
          <w:rFonts w:ascii="Book Antiqua" w:eastAsia="宋体" w:hAnsi="Book Antiqua" w:cs="Book Antiqua" w:hint="eastAsia"/>
          <w:lang w:eastAsia="zh-CN"/>
        </w:rPr>
        <w:t>,</w:t>
      </w:r>
      <w:r>
        <w:rPr>
          <w:rFonts w:ascii="Book Antiqua" w:eastAsia="Book Antiqua" w:hAnsi="Book Antiqua" w:cs="Book Antiqua"/>
        </w:rPr>
        <w:t xml:space="preserve"> and </w:t>
      </w:r>
      <w:r>
        <w:rPr>
          <w:rFonts w:ascii="Book Antiqua" w:eastAsia="Book Antiqua" w:hAnsi="Book Antiqua" w:cs="Book Antiqua"/>
          <w:i/>
          <w:iCs/>
        </w:rPr>
        <w:t>ATP4A</w:t>
      </w:r>
      <w:r>
        <w:rPr>
          <w:rFonts w:ascii="Book Antiqua" w:eastAsia="Book Antiqua" w:hAnsi="Book Antiqua" w:cs="Book Antiqua"/>
        </w:rPr>
        <w:t xml:space="preserve"> gene missense mutation. We identified and are the first to report a case of</w:t>
      </w:r>
      <w:r>
        <w:rPr>
          <w:rFonts w:ascii="Book Antiqua" w:eastAsia="宋体" w:hAnsi="Book Antiqua" w:cs="Book Antiqua" w:hint="eastAsia"/>
          <w:lang w:eastAsia="zh-CN"/>
        </w:rPr>
        <w:t xml:space="preserve"> </w:t>
      </w:r>
      <w:r>
        <w:rPr>
          <w:rFonts w:ascii="Book Antiqua" w:eastAsia="Book Antiqua" w:hAnsi="Book Antiqua" w:cs="Book Antiqua"/>
        </w:rPr>
        <w:t>type 1 histamine-producin</w:t>
      </w:r>
      <w:bookmarkStart w:id="22" w:name="OLE_LINK1094"/>
      <w:r>
        <w:rPr>
          <w:rFonts w:ascii="Book Antiqua" w:eastAsia="Book Antiqua" w:hAnsi="Book Antiqua" w:cs="Book Antiqua"/>
        </w:rPr>
        <w:t xml:space="preserve">g </w:t>
      </w:r>
      <w:bookmarkStart w:id="23" w:name="OLE_LINK1095"/>
      <w:r>
        <w:rPr>
          <w:rFonts w:ascii="Book Antiqua" w:eastAsia="Book Antiqua" w:hAnsi="Book Antiqua" w:cs="Book Antiqua"/>
        </w:rPr>
        <w:t>enterochromaffin-like cell</w:t>
      </w:r>
      <w:bookmarkEnd w:id="22"/>
      <w:bookmarkEnd w:id="23"/>
      <w:r>
        <w:rPr>
          <w:rFonts w:ascii="Book Antiqua" w:eastAsia="Book Antiqua" w:hAnsi="Book Antiqua" w:cs="Book Antiqua"/>
        </w:rPr>
        <w:t xml:space="preserve"> NETs (ECL-cell NET</w:t>
      </w:r>
      <w:r>
        <w:rPr>
          <w:rFonts w:ascii="Book Antiqua" w:eastAsia="宋体" w:hAnsi="Book Antiqua" w:cs="Book Antiqua" w:hint="eastAsia"/>
          <w:lang w:eastAsia="zh-CN"/>
        </w:rPr>
        <w:t>s</w:t>
      </w:r>
      <w:r>
        <w:rPr>
          <w:rFonts w:ascii="Book Antiqua" w:eastAsia="Book Antiqua" w:hAnsi="Book Antiqua" w:cs="Book Antiqua"/>
        </w:rPr>
        <w:t xml:space="preserve">) with a </w:t>
      </w:r>
      <w:bookmarkStart w:id="24" w:name="OLE_LINK1100"/>
      <w:r>
        <w:rPr>
          <w:rFonts w:ascii="Book Antiqua" w:eastAsia="Book Antiqua" w:hAnsi="Book Antiqua" w:cs="Book Antiqua"/>
          <w:i/>
          <w:iCs/>
        </w:rPr>
        <w:t>BRCA2</w:t>
      </w:r>
      <w:bookmarkEnd w:id="24"/>
      <w:r>
        <w:rPr>
          <w:rFonts w:ascii="Book Antiqua" w:eastAsia="Book Antiqua" w:hAnsi="Book Antiqua" w:cs="Book Antiqua"/>
        </w:rPr>
        <w:t xml:space="preserve"> gene germline mutation.</w:t>
      </w:r>
    </w:p>
    <w:p w14:paraId="4A85086D" w14:textId="77777777" w:rsidR="00005863" w:rsidRDefault="00005863">
      <w:pPr>
        <w:spacing w:line="360" w:lineRule="auto"/>
        <w:jc w:val="both"/>
        <w:rPr>
          <w:rFonts w:ascii="Book Antiqua" w:hAnsi="Book Antiqua"/>
        </w:rPr>
      </w:pPr>
    </w:p>
    <w:p w14:paraId="6CA1115D"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7A241FD5" w14:textId="77777777" w:rsidR="00005863" w:rsidRDefault="00000000">
      <w:pPr>
        <w:spacing w:line="360" w:lineRule="auto"/>
        <w:jc w:val="both"/>
        <w:rPr>
          <w:rFonts w:ascii="Book Antiqua" w:hAnsi="Book Antiqua"/>
        </w:rPr>
      </w:pPr>
      <w:r>
        <w:rPr>
          <w:rFonts w:ascii="Book Antiqua" w:eastAsia="Book Antiqua" w:hAnsi="Book Antiqua" w:cs="Book Antiqua"/>
        </w:rPr>
        <w:t>The patient had a history of iron-deficient anemia for 5 years, and gastroscop</w:t>
      </w:r>
      <w:r>
        <w:rPr>
          <w:rFonts w:ascii="Book Antiqua" w:eastAsia="宋体" w:hAnsi="Book Antiqua" w:cs="Book Antiqua" w:hint="eastAsia"/>
          <w:lang w:eastAsia="zh-CN"/>
        </w:rPr>
        <w:t>ic examination</w:t>
      </w:r>
      <w:r>
        <w:rPr>
          <w:rFonts w:ascii="Book Antiqua" w:eastAsia="Book Antiqua" w:hAnsi="Book Antiqua" w:cs="Book Antiqua"/>
        </w:rPr>
        <w:t xml:space="preserve"> indicated multiple gastric tumors. Then, the patient underwent distal gastrectomy. Microscopically, multifocal tumor cells were found in the mucosa and submucosa; tumor cells were organoid and arranged in nests and cords, and the stroma was rich in sinusoids. The surrounding gastric mucosa showed atrophy with mild intestinal metaplasia or </w:t>
      </w:r>
      <w:proofErr w:type="spellStart"/>
      <w:r>
        <w:rPr>
          <w:rFonts w:ascii="Book Antiqua" w:eastAsia="Book Antiqua" w:hAnsi="Book Antiqua" w:cs="Book Antiqua"/>
        </w:rPr>
        <w:t>pseudopyloric</w:t>
      </w:r>
      <w:proofErr w:type="spellEnd"/>
      <w:r>
        <w:rPr>
          <w:rFonts w:ascii="Book Antiqua" w:eastAsia="Book Antiqua" w:hAnsi="Book Antiqua" w:cs="Book Antiqua"/>
        </w:rPr>
        <w:t xml:space="preserve"> gland metaplasia. Neuroendocrine cells could be seen with diffuse linear, nodular, and adenomatous hyperplasia. Immunohistochemically, the tumor cells diffusely expressed cytokeratin, chromogranin, synaptophysin, and CD56. Whole-genome high-throughput molecular sequencing revealed a pathogenic germline mutation in the </w:t>
      </w:r>
      <w:bookmarkStart w:id="25" w:name="OLE_LINK1092"/>
      <w:r>
        <w:rPr>
          <w:rFonts w:ascii="Book Antiqua" w:eastAsia="Book Antiqua" w:hAnsi="Book Antiqua" w:cs="Book Antiqua"/>
          <w:i/>
          <w:iCs/>
        </w:rPr>
        <w:t>BRCA2</w:t>
      </w:r>
      <w:bookmarkEnd w:id="25"/>
      <w:r>
        <w:rPr>
          <w:rFonts w:ascii="Book Antiqua" w:eastAsia="Book Antiqua" w:hAnsi="Book Antiqua" w:cs="Book Antiqua"/>
        </w:rPr>
        <w:t xml:space="preserve"> gene, a heterozygous germline frameshift mutation in exon 11, c.6443_6444del (</w:t>
      </w:r>
      <w:proofErr w:type="gramStart"/>
      <w:r>
        <w:rPr>
          <w:rFonts w:ascii="Book Antiqua" w:eastAsia="Book Antiqua" w:hAnsi="Book Antiqua" w:cs="Book Antiqua"/>
        </w:rPr>
        <w:t>p.S</w:t>
      </w:r>
      <w:proofErr w:type="gramEnd"/>
      <w:r>
        <w:rPr>
          <w:rFonts w:ascii="Book Antiqua" w:eastAsia="Book Antiqua" w:hAnsi="Book Antiqua" w:cs="Book Antiqua"/>
        </w:rPr>
        <w:t xml:space="preserve">2148Yfs*2). The final diagnosis was gastric type 1 ECL-cell NETs with a </w:t>
      </w:r>
      <w:bookmarkStart w:id="26" w:name="OLE_LINK1101"/>
      <w:r>
        <w:rPr>
          <w:rFonts w:ascii="Book Antiqua" w:eastAsia="Book Antiqua" w:hAnsi="Book Antiqua" w:cs="Book Antiqua"/>
          <w:i/>
          <w:iCs/>
        </w:rPr>
        <w:t>BRCA2</w:t>
      </w:r>
      <w:bookmarkEnd w:id="26"/>
      <w:r>
        <w:rPr>
          <w:rFonts w:ascii="Book Antiqua" w:eastAsia="Book Antiqua" w:hAnsi="Book Antiqua" w:cs="Book Antiqua"/>
        </w:rPr>
        <w:t xml:space="preserve"> gene germline mutation, accompanied by autoimmune gastritis.</w:t>
      </w:r>
    </w:p>
    <w:p w14:paraId="56E622BE" w14:textId="77777777" w:rsidR="00005863" w:rsidRDefault="00005863">
      <w:pPr>
        <w:spacing w:line="360" w:lineRule="auto"/>
        <w:jc w:val="both"/>
        <w:rPr>
          <w:rFonts w:ascii="Book Antiqua" w:hAnsi="Book Antiqua"/>
        </w:rPr>
      </w:pPr>
    </w:p>
    <w:p w14:paraId="55CFB04F"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BABA603" w14:textId="77777777" w:rsidR="00005863" w:rsidRDefault="00000000">
      <w:pPr>
        <w:spacing w:line="360" w:lineRule="auto"/>
        <w:jc w:val="both"/>
        <w:rPr>
          <w:rFonts w:ascii="Book Antiqua" w:hAnsi="Book Antiqua"/>
        </w:rPr>
      </w:pPr>
      <w:r>
        <w:rPr>
          <w:rFonts w:ascii="Book Antiqua" w:eastAsia="Book Antiqua" w:hAnsi="Book Antiqua" w:cs="Book Antiqua"/>
        </w:rPr>
        <w:t xml:space="preserve">This </w:t>
      </w:r>
      <w:r>
        <w:rPr>
          <w:rFonts w:ascii="Book Antiqua" w:eastAsia="宋体" w:hAnsi="Book Antiqua" w:cs="Book Antiqua" w:hint="eastAsia"/>
          <w:lang w:eastAsia="zh-CN"/>
        </w:rPr>
        <w:t xml:space="preserve">is </w:t>
      </w:r>
      <w:r>
        <w:rPr>
          <w:rFonts w:ascii="Book Antiqua" w:eastAsia="Book Antiqua" w:hAnsi="Book Antiqua" w:cs="Book Antiqua"/>
        </w:rPr>
        <w:t xml:space="preserve">the first </w:t>
      </w:r>
      <w:r>
        <w:rPr>
          <w:rFonts w:ascii="Book Antiqua" w:eastAsia="宋体" w:hAnsi="Book Antiqua" w:cs="Book Antiqua" w:hint="eastAsia"/>
          <w:lang w:eastAsia="zh-CN"/>
        </w:rPr>
        <w:t xml:space="preserve">report </w:t>
      </w:r>
      <w:r>
        <w:rPr>
          <w:rFonts w:ascii="Book Antiqua" w:eastAsia="Book Antiqua" w:hAnsi="Book Antiqua" w:cs="Book Antiqua"/>
        </w:rPr>
        <w:t xml:space="preserve">of a case of type 1 gastric ECL-cell NETs with a pathogenic germline mutation of the </w:t>
      </w:r>
      <w:bookmarkStart w:id="27" w:name="OLE_LINK1102"/>
      <w:r>
        <w:rPr>
          <w:rFonts w:ascii="Book Antiqua" w:eastAsia="Book Antiqua" w:hAnsi="Book Antiqua" w:cs="Book Antiqua"/>
          <w:i/>
          <w:iCs/>
        </w:rPr>
        <w:t>BRCA2</w:t>
      </w:r>
      <w:bookmarkEnd w:id="27"/>
      <w:r>
        <w:rPr>
          <w:rFonts w:ascii="Book Antiqua" w:eastAsia="Book Antiqua" w:hAnsi="Book Antiqua" w:cs="Book Antiqua"/>
        </w:rPr>
        <w:t xml:space="preserve"> gene. The findings of this report will expand the germline mutation spectrum of gastric NETs and increase the understanding of the molecular changes present in these tumors for their improved diagnosis in the future.</w:t>
      </w:r>
    </w:p>
    <w:p w14:paraId="230C765E" w14:textId="77777777" w:rsidR="00005863" w:rsidRDefault="00005863">
      <w:pPr>
        <w:spacing w:line="360" w:lineRule="auto"/>
        <w:jc w:val="both"/>
        <w:rPr>
          <w:rFonts w:ascii="Book Antiqua" w:hAnsi="Book Antiqua"/>
        </w:rPr>
      </w:pPr>
    </w:p>
    <w:p w14:paraId="3025AD3F" w14:textId="77777777" w:rsidR="00005863" w:rsidRDefault="00000000">
      <w:pPr>
        <w:spacing w:line="360" w:lineRule="auto"/>
        <w:jc w:val="both"/>
        <w:rPr>
          <w:rFonts w:ascii="Book Antiqua" w:hAnsi="Book Antiqua"/>
          <w:lang w:eastAsia="zh-CN"/>
        </w:rPr>
      </w:pPr>
      <w:r>
        <w:rPr>
          <w:rFonts w:ascii="Book Antiqua" w:eastAsia="Book Antiqua" w:hAnsi="Book Antiqua" w:cs="Book Antiqua"/>
          <w:b/>
          <w:bCs/>
        </w:rPr>
        <w:lastRenderedPageBreak/>
        <w:t xml:space="preserve">Key Words: </w:t>
      </w:r>
      <w:bookmarkStart w:id="28" w:name="OLE_LINK6413"/>
      <w:r>
        <w:rPr>
          <w:rFonts w:ascii="Book Antiqua" w:eastAsia="Book Antiqua" w:hAnsi="Book Antiqua" w:cs="Book Antiqua"/>
        </w:rPr>
        <w:t xml:space="preserve">Gastric; Neuroendocrine tumor; </w:t>
      </w:r>
      <w:bookmarkStart w:id="29" w:name="OLE_LINK1097"/>
      <w:r>
        <w:rPr>
          <w:rFonts w:ascii="Book Antiqua" w:eastAsia="Book Antiqua" w:hAnsi="Book Antiqua" w:cs="Book Antiqua"/>
        </w:rPr>
        <w:t>Enterochromaffin-like cell neuroendocrine tumors</w:t>
      </w:r>
      <w:bookmarkEnd w:id="29"/>
      <w:r>
        <w:rPr>
          <w:rFonts w:ascii="Book Antiqua" w:eastAsia="Book Antiqua" w:hAnsi="Book Antiqua" w:cs="Book Antiqua"/>
        </w:rPr>
        <w:t xml:space="preserve">; Type 1 enterochromaffin-like cell neuroendocrine tumors; </w:t>
      </w:r>
      <w:bookmarkStart w:id="30" w:name="OLE_LINK1103"/>
      <w:r>
        <w:rPr>
          <w:rFonts w:ascii="Book Antiqua" w:eastAsia="Book Antiqua" w:hAnsi="Book Antiqua" w:cs="Book Antiqua"/>
          <w:i/>
          <w:iCs/>
        </w:rPr>
        <w:t>BRCA2</w:t>
      </w:r>
      <w:bookmarkEnd w:id="30"/>
      <w:r>
        <w:rPr>
          <w:rFonts w:ascii="Book Antiqua" w:eastAsia="Book Antiqua" w:hAnsi="Book Antiqua" w:cs="Book Antiqua"/>
        </w:rPr>
        <w:t>; Germline mutation; C</w:t>
      </w:r>
      <w:r>
        <w:rPr>
          <w:rFonts w:ascii="Book Antiqua" w:eastAsia="Book Antiqua" w:hAnsi="Book Antiqua" w:cs="Book Antiqua" w:hint="eastAsia"/>
          <w:lang w:eastAsia="zh-CN"/>
        </w:rPr>
        <w:t>a</w:t>
      </w:r>
      <w:r>
        <w:rPr>
          <w:rFonts w:ascii="Book Antiqua" w:eastAsia="Book Antiqua" w:hAnsi="Book Antiqua" w:cs="Book Antiqua"/>
          <w:lang w:eastAsia="zh-CN"/>
        </w:rPr>
        <w:t>se report</w:t>
      </w:r>
      <w:bookmarkEnd w:id="28"/>
    </w:p>
    <w:p w14:paraId="30740D19" w14:textId="77777777" w:rsidR="00005863" w:rsidRDefault="00005863">
      <w:pPr>
        <w:spacing w:line="360" w:lineRule="auto"/>
        <w:jc w:val="both"/>
        <w:rPr>
          <w:rFonts w:ascii="Book Antiqua" w:hAnsi="Book Antiqua"/>
        </w:rPr>
      </w:pPr>
    </w:p>
    <w:p w14:paraId="6F274F4C" w14:textId="77777777" w:rsidR="00005863" w:rsidRDefault="00000000">
      <w:pPr>
        <w:spacing w:line="360" w:lineRule="auto"/>
        <w:jc w:val="both"/>
        <w:rPr>
          <w:rFonts w:ascii="Book Antiqua" w:hAnsi="Book Antiqua"/>
        </w:rPr>
      </w:pPr>
      <w:bookmarkStart w:id="31" w:name="OLE_LINK6414"/>
      <w:r>
        <w:rPr>
          <w:rFonts w:ascii="Book Antiqua" w:eastAsia="Book Antiqua" w:hAnsi="Book Antiqua" w:cs="Book Antiqua"/>
        </w:rPr>
        <w:t xml:space="preserve">Zhang HF, Zheng Y, Wen X, Zhao J, Li J. Gastric </w:t>
      </w:r>
      <w:bookmarkStart w:id="32" w:name="OLE_LINK1091"/>
      <w:r>
        <w:rPr>
          <w:rFonts w:ascii="Book Antiqua" w:eastAsia="Book Antiqua" w:hAnsi="Book Antiqua" w:cs="Book Antiqua"/>
        </w:rPr>
        <w:t>neuroendocrine tumors</w:t>
      </w:r>
      <w:bookmarkEnd w:id="32"/>
      <w:r>
        <w:rPr>
          <w:rFonts w:ascii="Book Antiqua" w:eastAsia="Book Antiqua" w:hAnsi="Book Antiqua" w:cs="Book Antiqua"/>
        </w:rPr>
        <w:t xml:space="preserve"> in a </w:t>
      </w:r>
      <w:r>
        <w:rPr>
          <w:rFonts w:ascii="Book Antiqua" w:eastAsia="Book Antiqua" w:hAnsi="Book Antiqua" w:cs="Book Antiqua"/>
          <w:i/>
          <w:iCs/>
        </w:rPr>
        <w:t>BRCA2</w:t>
      </w:r>
      <w:r>
        <w:rPr>
          <w:rFonts w:ascii="Book Antiqua" w:eastAsia="Book Antiqua" w:hAnsi="Book Antiqua" w:cs="Book Antiqua"/>
        </w:rPr>
        <w:t xml:space="preserve"> germline mutation carrier: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bookmarkEnd w:id="31"/>
    <w:p w14:paraId="521A00EF" w14:textId="77777777" w:rsidR="00005863" w:rsidRDefault="00005863">
      <w:pPr>
        <w:spacing w:line="360" w:lineRule="auto"/>
        <w:jc w:val="both"/>
        <w:rPr>
          <w:rFonts w:ascii="Book Antiqua" w:hAnsi="Book Antiqua"/>
        </w:rPr>
      </w:pPr>
    </w:p>
    <w:p w14:paraId="4AA2A112" w14:textId="77777777" w:rsidR="00005863" w:rsidRDefault="00000000">
      <w:pPr>
        <w:spacing w:line="360" w:lineRule="auto"/>
        <w:jc w:val="both"/>
        <w:rPr>
          <w:rFonts w:ascii="Book Antiqua" w:hAnsi="Book Antiqua"/>
        </w:rPr>
      </w:pPr>
      <w:r>
        <w:rPr>
          <w:rFonts w:ascii="Book Antiqua" w:eastAsia="Book Antiqua" w:hAnsi="Book Antiqua" w:cs="Book Antiqua"/>
          <w:b/>
          <w:bCs/>
        </w:rPr>
        <w:t xml:space="preserve">Core Tip: </w:t>
      </w:r>
      <w:bookmarkStart w:id="33" w:name="OLE_LINK6415"/>
      <w:r>
        <w:rPr>
          <w:rFonts w:ascii="Book Antiqua" w:eastAsia="Book Antiqua" w:hAnsi="Book Antiqua" w:cs="Book Antiqua"/>
        </w:rPr>
        <w:t xml:space="preserve">Type 1 enterochromaffin-like neuroendocrine tumors (ECL-cell NETs) occur most frequently and are associated with autoimmune gastritis. In gastric neuroendocrine tumors, molecular changes occur in genes including </w:t>
      </w:r>
      <w:bookmarkStart w:id="34" w:name="OLE_LINK1104"/>
      <w:r>
        <w:rPr>
          <w:rFonts w:ascii="Book Antiqua" w:eastAsia="Book Antiqua" w:hAnsi="Book Antiqua" w:cs="Book Antiqua"/>
          <w:i/>
          <w:iCs/>
        </w:rPr>
        <w:t>MEN1</w:t>
      </w:r>
      <w:bookmarkEnd w:id="34"/>
      <w:r>
        <w:rPr>
          <w:rFonts w:ascii="Book Antiqua" w:eastAsia="Book Antiqua" w:hAnsi="Book Antiqua" w:cs="Book Antiqua"/>
        </w:rPr>
        <w:t xml:space="preserve">, </w:t>
      </w:r>
      <w:bookmarkStart w:id="35" w:name="OLE_LINK1105"/>
      <w:r>
        <w:rPr>
          <w:rFonts w:ascii="Book Antiqua" w:eastAsia="Book Antiqua" w:hAnsi="Book Antiqua" w:cs="Book Antiqua"/>
          <w:i/>
          <w:iCs/>
        </w:rPr>
        <w:t>CDKN1B</w:t>
      </w:r>
      <w:bookmarkEnd w:id="35"/>
      <w:r>
        <w:rPr>
          <w:rFonts w:ascii="Book Antiqua" w:eastAsia="Book Antiqua" w:hAnsi="Book Antiqua" w:cs="Book Antiqua"/>
        </w:rPr>
        <w:t xml:space="preserve">, </w:t>
      </w:r>
      <w:r>
        <w:rPr>
          <w:rFonts w:ascii="Book Antiqua" w:eastAsia="Book Antiqua" w:hAnsi="Book Antiqua" w:cs="Book Antiqua"/>
          <w:i/>
          <w:iCs/>
        </w:rPr>
        <w:t>P27</w:t>
      </w:r>
      <w:r>
        <w:rPr>
          <w:rFonts w:ascii="Book Antiqua" w:eastAsia="宋体" w:hAnsi="Book Antiqua" w:cs="Book Antiqua" w:hint="eastAsia"/>
          <w:lang w:eastAsia="zh-CN"/>
        </w:rPr>
        <w:t xml:space="preserve">, </w:t>
      </w:r>
      <w:r>
        <w:rPr>
          <w:rFonts w:ascii="Book Antiqua" w:eastAsia="Book Antiqua" w:hAnsi="Book Antiqua" w:cs="Book Antiqua"/>
        </w:rPr>
        <w:t xml:space="preserve">and </w:t>
      </w:r>
      <w:r>
        <w:rPr>
          <w:rFonts w:ascii="Book Antiqua" w:eastAsia="Book Antiqua" w:hAnsi="Book Antiqua" w:cs="Book Antiqua"/>
          <w:i/>
          <w:iCs/>
        </w:rPr>
        <w:t>ATP4A</w:t>
      </w:r>
      <w:r>
        <w:rPr>
          <w:rFonts w:ascii="Book Antiqua" w:eastAsia="Book Antiqua" w:hAnsi="Book Antiqua" w:cs="Book Antiqua"/>
        </w:rPr>
        <w:t>. This</w:t>
      </w:r>
      <w:r>
        <w:rPr>
          <w:rFonts w:ascii="Book Antiqua" w:eastAsia="宋体" w:hAnsi="Book Antiqua" w:cs="Book Antiqua" w:hint="eastAsia"/>
          <w:lang w:eastAsia="zh-CN"/>
        </w:rPr>
        <w:t xml:space="preserve"> </w:t>
      </w:r>
      <w:r>
        <w:rPr>
          <w:rFonts w:ascii="Book Antiqua" w:eastAsia="Book Antiqua" w:hAnsi="Book Antiqua" w:cs="Book Antiqua"/>
        </w:rPr>
        <w:t>is the first</w:t>
      </w:r>
      <w:r>
        <w:rPr>
          <w:rFonts w:ascii="Book Antiqua" w:eastAsia="宋体" w:hAnsi="Book Antiqua" w:cs="Book Antiqua" w:hint="eastAsia"/>
          <w:lang w:eastAsia="zh-CN"/>
        </w:rPr>
        <w:t xml:space="preserve"> report</w:t>
      </w:r>
      <w:r>
        <w:rPr>
          <w:rFonts w:ascii="Book Antiqua" w:eastAsia="Book Antiqua" w:hAnsi="Book Antiqua" w:cs="Book Antiqua"/>
        </w:rPr>
        <w:t xml:space="preserve"> of</w:t>
      </w:r>
      <w:r>
        <w:rPr>
          <w:rFonts w:ascii="Book Antiqua" w:eastAsia="宋体" w:hAnsi="Book Antiqua" w:cs="Book Antiqua" w:hint="eastAsia"/>
          <w:lang w:eastAsia="zh-CN"/>
        </w:rPr>
        <w:t xml:space="preserve"> </w:t>
      </w:r>
      <w:r>
        <w:rPr>
          <w:rFonts w:ascii="Book Antiqua" w:eastAsia="Book Antiqua" w:hAnsi="Book Antiqua" w:cs="Book Antiqua"/>
        </w:rPr>
        <w:t xml:space="preserve">type 1 ECL-cell NETs with a pathogenic germline mutation of the </w:t>
      </w:r>
      <w:bookmarkStart w:id="36" w:name="OLE_LINK1106"/>
      <w:r>
        <w:rPr>
          <w:rFonts w:ascii="Book Antiqua" w:eastAsia="Book Antiqua" w:hAnsi="Book Antiqua" w:cs="Book Antiqua"/>
          <w:i/>
          <w:iCs/>
        </w:rPr>
        <w:t>BRCA2</w:t>
      </w:r>
      <w:bookmarkEnd w:id="36"/>
      <w:r>
        <w:rPr>
          <w:rFonts w:ascii="Book Antiqua" w:eastAsia="Book Antiqua" w:hAnsi="Book Antiqua" w:cs="Book Antiqua"/>
        </w:rPr>
        <w:t xml:space="preserve"> gene. </w:t>
      </w:r>
      <w:bookmarkEnd w:id="33"/>
    </w:p>
    <w:p w14:paraId="5C0A1DFB" w14:textId="77777777" w:rsidR="00005863" w:rsidRDefault="00005863">
      <w:pPr>
        <w:spacing w:line="360" w:lineRule="auto"/>
        <w:jc w:val="both"/>
        <w:rPr>
          <w:rFonts w:ascii="Book Antiqua" w:hAnsi="Book Antiqua"/>
        </w:rPr>
      </w:pPr>
    </w:p>
    <w:p w14:paraId="0B2D1C59" w14:textId="77777777" w:rsidR="00005863" w:rsidRDefault="00005863">
      <w:pPr>
        <w:spacing w:line="360" w:lineRule="auto"/>
        <w:jc w:val="both"/>
        <w:rPr>
          <w:rFonts w:ascii="Book Antiqua" w:hAnsi="Book Antiqua"/>
        </w:rPr>
      </w:pPr>
    </w:p>
    <w:p w14:paraId="5CA546F7" w14:textId="77777777" w:rsidR="00005863"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BA05A41" w14:textId="26736E42" w:rsidR="00005863" w:rsidRDefault="00000000">
      <w:pPr>
        <w:spacing w:line="360" w:lineRule="auto"/>
        <w:jc w:val="both"/>
        <w:rPr>
          <w:rFonts w:ascii="Book Antiqua" w:hAnsi="Book Antiqua"/>
        </w:rPr>
      </w:pPr>
      <w:r>
        <w:rPr>
          <w:rFonts w:ascii="Book Antiqua" w:eastAsia="Book Antiqua" w:hAnsi="Book Antiqua" w:cs="Book Antiqua"/>
          <w:color w:val="000000"/>
        </w:rPr>
        <w:t>Among the digestive system tumors of the World Health Organization tumor classification series, gastric neuroendocrine tumors (NETs) include histamine-producing enterochromaffin-like NETs (ECL-cell NETs), somatostatin-producing D-cell NETs, gastrin-producing G-cell NETs, and serotonin-producing enterochromaffin-cell NETs (EC-cell NETs). ECL-cell NETs are divided into type 1, type 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type 3 according to their clinicopathological characteristics. Type 1 ECL-cell NETs account for the highest percentage of gastric NETs</w:t>
      </w:r>
      <w:r>
        <w:rPr>
          <w:rFonts w:ascii="Book Antiqua" w:eastAsia="宋体" w:hAnsi="Book Antiqua" w:cs="Book Antiqua" w:hint="eastAsia"/>
          <w:color w:val="000000"/>
          <w:lang w:eastAsia="zh-CN"/>
        </w:rPr>
        <w:t xml:space="preserve"> (</w:t>
      </w:r>
      <w:r w:rsidR="00A4306C">
        <w:rPr>
          <w:rFonts w:ascii="Book Antiqua" w:eastAsia="宋体" w:hAnsi="Book Antiqua" w:cs="Book Antiqua"/>
          <w:color w:val="000000"/>
          <w:lang w:eastAsia="zh-CN"/>
        </w:rPr>
        <w:t xml:space="preserve">approximately </w:t>
      </w:r>
      <w:r>
        <w:rPr>
          <w:rFonts w:ascii="Book Antiqua" w:eastAsia="Book Antiqua" w:hAnsi="Book Antiqua" w:cs="Book Antiqua"/>
          <w:color w:val="000000"/>
        </w:rPr>
        <w:t>80-90%</w:t>
      </w:r>
      <w:r>
        <w:rPr>
          <w:rFonts w:ascii="Book Antiqua" w:eastAsia="宋体" w:hAnsi="Book Antiqua" w:cs="Book Antiqua" w:hint="eastAsia"/>
          <w:color w:val="000000"/>
          <w:lang w:eastAsia="zh-CN"/>
        </w:rPr>
        <w:t>)</w:t>
      </w:r>
      <w:r>
        <w:rPr>
          <w:rFonts w:ascii="Book Antiqua" w:eastAsia="Book Antiqua" w:hAnsi="Book Antiqua" w:cs="Book Antiqua"/>
          <w:color w:val="000000"/>
        </w:rPr>
        <w:t>, and are associated with autoimmune gastritis (AIG), anti-parietal cell antibodies (</w:t>
      </w:r>
      <w:proofErr w:type="spellStart"/>
      <w:r>
        <w:rPr>
          <w:rFonts w:ascii="Book Antiqua" w:eastAsia="Book Antiqua" w:hAnsi="Book Antiqua" w:cs="Book Antiqua"/>
          <w:color w:val="000000"/>
        </w:rPr>
        <w:t>PCAb</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and/or anti-intrinsic factor antibodies (</w:t>
      </w:r>
      <w:proofErr w:type="spellStart"/>
      <w:r>
        <w:rPr>
          <w:rFonts w:ascii="Book Antiqua" w:eastAsia="Book Antiqua" w:hAnsi="Book Antiqua" w:cs="Book Antiqua"/>
          <w:color w:val="000000"/>
        </w:rPr>
        <w:t>IFAb</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61B3585C"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molecular changes present in gastric NETs include a loss of heterozygosity or mutation of </w:t>
      </w:r>
      <w:r>
        <w:rPr>
          <w:rFonts w:ascii="Book Antiqua" w:eastAsia="Book Antiqua" w:hAnsi="Book Antiqua" w:cs="Book Antiqua"/>
          <w:i/>
          <w:iCs/>
          <w:color w:val="000000"/>
        </w:rPr>
        <w:t>MEN1</w:t>
      </w:r>
      <w:r>
        <w:rPr>
          <w:rFonts w:ascii="Book Antiqua" w:eastAsia="Book Antiqua" w:hAnsi="Book Antiqua" w:cs="Book Antiqua"/>
          <w:color w:val="000000"/>
        </w:rPr>
        <w:t xml:space="preserve">, </w:t>
      </w:r>
      <w:r>
        <w:rPr>
          <w:rFonts w:ascii="Book Antiqua" w:eastAsia="Book Antiqua" w:hAnsi="Book Antiqua" w:cs="Book Antiqua"/>
          <w:i/>
          <w:iCs/>
          <w:color w:val="000000"/>
        </w:rPr>
        <w:t>CDKN1B</w:t>
      </w:r>
      <w:r>
        <w:rPr>
          <w:rFonts w:ascii="Book Antiqua" w:eastAsia="Book Antiqua" w:hAnsi="Book Antiqua" w:cs="Book Antiqua"/>
          <w:color w:val="000000"/>
        </w:rPr>
        <w:t xml:space="preserve"> gene mutation, </w:t>
      </w:r>
      <w:r>
        <w:rPr>
          <w:rFonts w:ascii="Book Antiqua" w:eastAsia="Book Antiqua" w:hAnsi="Book Antiqua" w:cs="Book Antiqua"/>
          <w:i/>
          <w:iCs/>
          <w:color w:val="000000"/>
        </w:rPr>
        <w:t>P27</w:t>
      </w:r>
      <w:r>
        <w:rPr>
          <w:rFonts w:ascii="Book Antiqua" w:eastAsia="Book Antiqua" w:hAnsi="Book Antiqua" w:cs="Book Antiqua"/>
          <w:color w:val="000000"/>
        </w:rPr>
        <w:t xml:space="preserve"> heterozygo</w:t>
      </w:r>
      <w:r>
        <w:rPr>
          <w:rFonts w:ascii="Book Antiqua" w:eastAsia="宋体" w:hAnsi="Book Antiqua" w:cs="Book Antiqua" w:hint="eastAsia"/>
          <w:color w:val="000000"/>
          <w:lang w:eastAsia="zh-CN"/>
        </w:rPr>
        <w:t>us</w:t>
      </w:r>
      <w:r>
        <w:rPr>
          <w:rFonts w:ascii="Book Antiqua" w:eastAsia="Book Antiqua" w:hAnsi="Book Antiqua" w:cs="Book Antiqua"/>
          <w:color w:val="000000"/>
        </w:rPr>
        <w:t xml:space="preserve"> mutation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ATP4A</w:t>
      </w:r>
      <w:r>
        <w:rPr>
          <w:rFonts w:ascii="Book Antiqua" w:eastAsia="Book Antiqua" w:hAnsi="Book Antiqua" w:cs="Book Antiqua"/>
          <w:color w:val="000000"/>
        </w:rPr>
        <w:t xml:space="preserve"> gene missense </w:t>
      </w:r>
      <w:proofErr w:type="gramStart"/>
      <w:r>
        <w:rPr>
          <w:rFonts w:ascii="Book Antiqua" w:eastAsia="Book Antiqua" w:hAnsi="Book Antiqua" w:cs="Book Antiqua"/>
          <w:color w:val="000000"/>
        </w:rPr>
        <w:t>mutation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At present, further research on the molecular mechanisms of gastric NETs is still being conducted.</w:t>
      </w:r>
    </w:p>
    <w:p w14:paraId="3851BF14"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In this research, we identified and are the first to report a case of type 1 ECL-cell NETs with a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gene germline mutation</w:t>
      </w:r>
      <w:r>
        <w:rPr>
          <w:rFonts w:ascii="Book Antiqua" w:eastAsia="宋体" w:hAnsi="Book Antiqua" w:cs="Book Antiqua" w:hint="eastAsia"/>
          <w:color w:val="000000"/>
          <w:lang w:eastAsia="zh-CN"/>
        </w:rPr>
        <w:t>. In addition,</w:t>
      </w:r>
      <w:r>
        <w:rPr>
          <w:rFonts w:ascii="Book Antiqua" w:eastAsia="Book Antiqua" w:hAnsi="Book Antiqua" w:cs="Book Antiqua"/>
          <w:color w:val="000000"/>
        </w:rPr>
        <w:t xml:space="preserve"> we </w:t>
      </w:r>
      <w:r>
        <w:rPr>
          <w:rFonts w:ascii="Book Antiqua" w:eastAsia="宋体" w:hAnsi="Book Antiqua" w:cs="Book Antiqua" w:hint="eastAsia"/>
          <w:color w:val="000000"/>
          <w:lang w:eastAsia="zh-CN"/>
        </w:rPr>
        <w:t xml:space="preserve">performed a </w:t>
      </w:r>
      <w:r>
        <w:rPr>
          <w:rFonts w:ascii="Book Antiqua" w:eastAsia="Book Antiqua" w:hAnsi="Book Antiqua" w:cs="Book Antiqua"/>
          <w:color w:val="000000"/>
        </w:rPr>
        <w:t>review</w:t>
      </w:r>
      <w:r>
        <w:rPr>
          <w:rFonts w:ascii="Book Antiqua" w:eastAsia="宋体" w:hAnsi="Book Antiqua" w:cs="Book Antiqua" w:hint="eastAsia"/>
          <w:color w:val="000000"/>
          <w:lang w:eastAsia="zh-CN"/>
        </w:rPr>
        <w:t xml:space="preserve"> of the </w:t>
      </w:r>
      <w:r>
        <w:rPr>
          <w:rFonts w:ascii="Book Antiqua" w:eastAsia="Book Antiqua" w:hAnsi="Book Antiqua" w:cs="Book Antiqua"/>
          <w:color w:val="000000"/>
        </w:rPr>
        <w:t>relevant literature to expand the understanding of the molecular changes present in gastric NETs.</w:t>
      </w:r>
    </w:p>
    <w:p w14:paraId="331C2D32" w14:textId="77777777" w:rsidR="00005863" w:rsidRDefault="00005863">
      <w:pPr>
        <w:spacing w:line="360" w:lineRule="auto"/>
        <w:jc w:val="both"/>
        <w:rPr>
          <w:rFonts w:ascii="Book Antiqua" w:hAnsi="Book Antiqua"/>
        </w:rPr>
      </w:pPr>
    </w:p>
    <w:p w14:paraId="5AFEA337" w14:textId="77777777" w:rsidR="00005863"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5C85CD4" w14:textId="77777777" w:rsidR="00005863"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229E27C7"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A young woman was admitted to our hospital because of recurrent abdominal discomfort.</w:t>
      </w:r>
    </w:p>
    <w:p w14:paraId="2868D363" w14:textId="77777777" w:rsidR="00005863" w:rsidRDefault="00005863">
      <w:pPr>
        <w:spacing w:line="360" w:lineRule="auto"/>
        <w:jc w:val="both"/>
        <w:rPr>
          <w:rFonts w:ascii="Book Antiqua" w:hAnsi="Book Antiqua"/>
        </w:rPr>
      </w:pPr>
    </w:p>
    <w:p w14:paraId="58824B7D" w14:textId="77777777" w:rsidR="00005863"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996E20A"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The patient's symptoms had lasted for 2 mo.</w:t>
      </w:r>
    </w:p>
    <w:p w14:paraId="4C6A5520" w14:textId="77777777" w:rsidR="00005863" w:rsidRDefault="00005863">
      <w:pPr>
        <w:spacing w:line="360" w:lineRule="auto"/>
        <w:jc w:val="both"/>
        <w:rPr>
          <w:rFonts w:ascii="Book Antiqua" w:hAnsi="Book Antiqua"/>
        </w:rPr>
      </w:pPr>
    </w:p>
    <w:p w14:paraId="26508F02" w14:textId="77777777" w:rsidR="00005863"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B8B0628"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The patient had a history of iron-deficient anemia for 5 years, which was treated with oral iron. The patient had no history of prior surgeries.</w:t>
      </w:r>
    </w:p>
    <w:p w14:paraId="1F7822D8" w14:textId="77777777" w:rsidR="00005863" w:rsidRDefault="00005863">
      <w:pPr>
        <w:spacing w:line="360" w:lineRule="auto"/>
        <w:jc w:val="both"/>
        <w:rPr>
          <w:rFonts w:ascii="Book Antiqua" w:hAnsi="Book Antiqua"/>
        </w:rPr>
      </w:pPr>
    </w:p>
    <w:p w14:paraId="5EDD8B1D" w14:textId="77777777" w:rsidR="00005863"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742EBEC9"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The patient did not disclose any family genetic or aggregation diseases. Other family members had no clear history of cancers.</w:t>
      </w:r>
    </w:p>
    <w:p w14:paraId="405A0A66" w14:textId="77777777" w:rsidR="00005863" w:rsidRDefault="00005863">
      <w:pPr>
        <w:spacing w:line="360" w:lineRule="auto"/>
        <w:jc w:val="both"/>
        <w:rPr>
          <w:rFonts w:ascii="Book Antiqua" w:hAnsi="Book Antiqua"/>
        </w:rPr>
      </w:pPr>
    </w:p>
    <w:p w14:paraId="594DBBC0" w14:textId="77777777" w:rsidR="00005863"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1628A6A5"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The physical examination of the patient showed no abnormalities, and there were no obvious signs or symptoms of anemia, such as pale oral mucosa.</w:t>
      </w:r>
    </w:p>
    <w:p w14:paraId="308DBF04" w14:textId="77777777" w:rsidR="00005863" w:rsidRDefault="00005863">
      <w:pPr>
        <w:spacing w:line="360" w:lineRule="auto"/>
        <w:jc w:val="both"/>
        <w:rPr>
          <w:rFonts w:ascii="Book Antiqua" w:hAnsi="Book Antiqua"/>
        </w:rPr>
      </w:pPr>
    </w:p>
    <w:p w14:paraId="48E5C356" w14:textId="77777777" w:rsidR="00005863"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1838DA3"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 xml:space="preserve">Routine blood test results showed that the patient’s hemoglobin level was 106 g/L (normal range: 113-151 g/L). Biochemical indices were all normal. The levels of tumor markers, such as alpha-fetoprotein, carcinoembryonic antigen, carbohydrate antigen </w:t>
      </w:r>
      <w:r>
        <w:rPr>
          <w:rFonts w:ascii="Book Antiqua" w:eastAsia="Book Antiqua" w:hAnsi="Book Antiqua" w:cs="Book Antiqua"/>
          <w:color w:val="000000"/>
        </w:rPr>
        <w:lastRenderedPageBreak/>
        <w:t>125, and carbohydrate antigen 19-9, were all normal. Serum ferritin was markedly lower than normal at 1.8 U/mL (normal range: 7.0-323.0 U/mL).</w:t>
      </w:r>
    </w:p>
    <w:p w14:paraId="1EDD866D" w14:textId="77777777" w:rsidR="00005863" w:rsidRDefault="00005863">
      <w:pPr>
        <w:spacing w:line="360" w:lineRule="auto"/>
        <w:jc w:val="both"/>
        <w:rPr>
          <w:rFonts w:ascii="Book Antiqua" w:hAnsi="Book Antiqua"/>
        </w:rPr>
      </w:pPr>
    </w:p>
    <w:p w14:paraId="337ABFC4" w14:textId="77777777" w:rsidR="00005863"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071B9694"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next underwent gastroscopy and abdominal ultrasound examination. Gastroscopy showed that there were multiple grain-like protrusions in the great curvature of the stomach,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a hyperemic erosive focus found in the middle of the great curvature of the stomach (Figure 1). Abdominal ultrasound examination showed no abnormalities.</w:t>
      </w:r>
    </w:p>
    <w:p w14:paraId="486C4D1C" w14:textId="77777777" w:rsidR="00005863" w:rsidRDefault="00005863">
      <w:pPr>
        <w:spacing w:line="360" w:lineRule="auto"/>
        <w:jc w:val="both"/>
        <w:rPr>
          <w:rFonts w:ascii="Book Antiqua" w:hAnsi="Book Antiqua"/>
        </w:rPr>
      </w:pPr>
    </w:p>
    <w:p w14:paraId="7DD6FE7D" w14:textId="77777777" w:rsidR="00005863"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BEE0103"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underwent a biopsy after gastroscopy for pathological examination. Tumor cells could be seen in the lamina propria of the gastric mucosa in the pathological analysis of the biopsy sample. Immunohistochemically, the tumor cells diffusely expressed </w:t>
      </w:r>
      <w:bookmarkStart w:id="37" w:name="OLE_LINK1124"/>
      <w:r>
        <w:rPr>
          <w:rFonts w:ascii="Book Antiqua" w:eastAsia="Book Antiqua" w:hAnsi="Book Antiqua" w:cs="Book Antiqua"/>
          <w:color w:val="000000"/>
        </w:rPr>
        <w:t>cytokeratin (CK), chromogranin</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 (CGA), synaptophysin (Syn)</w:t>
      </w:r>
      <w:bookmarkEnd w:id="37"/>
      <w:r>
        <w:rPr>
          <w:rFonts w:ascii="Book Antiqua" w:eastAsia="Book Antiqua" w:hAnsi="Book Antiqua" w:cs="Book Antiqua"/>
          <w:color w:val="000000"/>
        </w:rPr>
        <w:t>, and CD56, indicating that the tumor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gastric NETs.  </w:t>
      </w:r>
    </w:p>
    <w:p w14:paraId="34A9B6D1" w14:textId="77777777" w:rsidR="00005863" w:rsidRDefault="00005863">
      <w:pPr>
        <w:spacing w:line="360" w:lineRule="auto"/>
        <w:jc w:val="both"/>
        <w:rPr>
          <w:rFonts w:ascii="Book Antiqua" w:hAnsi="Book Antiqua"/>
        </w:rPr>
      </w:pPr>
    </w:p>
    <w:p w14:paraId="6DD74AE3" w14:textId="77777777" w:rsidR="00005863"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760D3EF"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Because gastroscopy revealed multiple lesions in the stomach, the patient underwent distal gastrectomy surgery, and the excised distal gastric tissue was sent for pathological examination.</w:t>
      </w:r>
    </w:p>
    <w:p w14:paraId="58AF6033"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Grossly, in distal gastrectomy specimens, several polyps, 4-5 mm in diameter, were found in the antrum. Microscopically, multiple foci of tumor cells were found in the mucosa and submucosa, with tumor cells being organoid and arranged in nests and cords, with mild atypia; mitotic figures were not easily visible, and the stroma was rich in sinusoids (</w:t>
      </w:r>
      <w:bookmarkStart w:id="38" w:name="OLE_LINK570"/>
      <w:r>
        <w:rPr>
          <w:rFonts w:ascii="Book Antiqua" w:eastAsia="Book Antiqua" w:hAnsi="Book Antiqua" w:cs="Book Antiqua"/>
          <w:color w:val="000000"/>
        </w:rPr>
        <w:t>Fig</w:t>
      </w:r>
      <w:bookmarkEnd w:id="38"/>
      <w:r>
        <w:rPr>
          <w:rFonts w:ascii="Book Antiqua" w:eastAsia="Book Antiqua" w:hAnsi="Book Antiqua" w:cs="Book Antiqua"/>
          <w:color w:val="000000"/>
        </w:rPr>
        <w:t xml:space="preserve">ure 2). The surrounding gastric mucosa showed atrophy with mild intestinal metaplasia or </w:t>
      </w:r>
      <w:proofErr w:type="spellStart"/>
      <w:r>
        <w:rPr>
          <w:rFonts w:ascii="Book Antiqua" w:eastAsia="Book Antiqua" w:hAnsi="Book Antiqua" w:cs="Book Antiqua"/>
          <w:color w:val="000000"/>
        </w:rPr>
        <w:t>pseudopyloric</w:t>
      </w:r>
      <w:proofErr w:type="spellEnd"/>
      <w:r>
        <w:rPr>
          <w:rFonts w:ascii="Book Antiqua" w:eastAsia="Book Antiqua" w:hAnsi="Book Antiqua" w:cs="Book Antiqua"/>
          <w:color w:val="000000"/>
        </w:rPr>
        <w:t xml:space="preserve"> gland metaplasia (</w:t>
      </w:r>
      <w:bookmarkStart w:id="39" w:name="OLE_LINK571"/>
      <w:r>
        <w:rPr>
          <w:rFonts w:ascii="Book Antiqua" w:eastAsia="Book Antiqua" w:hAnsi="Book Antiqua" w:cs="Book Antiqua"/>
          <w:color w:val="000000"/>
        </w:rPr>
        <w:t>Fig</w:t>
      </w:r>
      <w:bookmarkEnd w:id="39"/>
      <w:r>
        <w:rPr>
          <w:rFonts w:ascii="Book Antiqua" w:eastAsia="Book Antiqua" w:hAnsi="Book Antiqua" w:cs="Book Antiqua"/>
          <w:color w:val="000000"/>
        </w:rPr>
        <w:t xml:space="preserve">ure 3). Neuroendocrine cells could be seen with diffuse linear, nodular, and adenomatous hyperplasia. Nests of </w:t>
      </w:r>
      <w:r>
        <w:rPr>
          <w:rFonts w:ascii="Book Antiqua" w:eastAsia="Book Antiqua" w:hAnsi="Book Antiqua" w:cs="Book Antiqua"/>
          <w:color w:val="000000"/>
        </w:rPr>
        <w:lastRenderedPageBreak/>
        <w:t>neuroendocrine cells were observed at the upper resection margin but not at the lower margin. No tumor metastasis was observed in the surrounding lymph nodes.</w:t>
      </w:r>
    </w:p>
    <w:p w14:paraId="5B0A5F6A"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Immunohistochemically, the tumor cells diffusely expressed CK, CGA, Syn, and CD56. MLH1, PMS2, MSH2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MSH6 were positive. CK20 and CDX2 were negative (Figure 4).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taining </w:t>
      </w:r>
      <w:r>
        <w:rPr>
          <w:rFonts w:ascii="Book Antiqua" w:eastAsia="宋体" w:hAnsi="Book Antiqua" w:cs="Book Antiqua" w:hint="eastAsia"/>
          <w:color w:val="000000"/>
          <w:lang w:eastAsia="zh-CN"/>
        </w:rPr>
        <w:t>for g</w:t>
      </w:r>
      <w:r>
        <w:rPr>
          <w:rFonts w:ascii="Book Antiqua" w:eastAsia="Book Antiqua" w:hAnsi="Book Antiqua" w:cs="Book Antiqua"/>
          <w:color w:val="000000"/>
        </w:rPr>
        <w:t xml:space="preserve">astrin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 xml:space="preserve">the surrounding gastric mucosa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negative or </w:t>
      </w:r>
      <w:r>
        <w:rPr>
          <w:rFonts w:ascii="Book Antiqua" w:eastAsia="宋体" w:hAnsi="Book Antiqua" w:cs="Book Antiqua" w:hint="eastAsia"/>
          <w:color w:val="000000"/>
          <w:lang w:eastAsia="zh-CN"/>
        </w:rPr>
        <w:t xml:space="preserve">focally </w:t>
      </w:r>
      <w:r>
        <w:rPr>
          <w:rFonts w:ascii="Book Antiqua" w:eastAsia="Book Antiqua" w:hAnsi="Book Antiqua" w:cs="Book Antiqua"/>
          <w:color w:val="000000"/>
        </w:rPr>
        <w:t>positive (Figure 4).</w:t>
      </w:r>
    </w:p>
    <w:p w14:paraId="37FB4C03"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Tumor cells were positive for neuroendocrine markers, with 1 mitotic cell/2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at high magnification, and the Ki-67 index was 1%. The diagnosis was gastric NETs (G1).</w:t>
      </w:r>
    </w:p>
    <w:p w14:paraId="3E9FD526"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Combined with the patient's history and microscopic </w:t>
      </w:r>
      <w:proofErr w:type="spellStart"/>
      <w:r>
        <w:rPr>
          <w:rFonts w:ascii="Book Antiqua" w:eastAsia="Book Antiqua" w:hAnsi="Book Antiqua" w:cs="Book Antiqua"/>
          <w:color w:val="000000"/>
        </w:rPr>
        <w:t>histomorphological</w:t>
      </w:r>
      <w:proofErr w:type="spellEnd"/>
      <w:r>
        <w:rPr>
          <w:rFonts w:ascii="Book Antiqua" w:eastAsia="Book Antiqua" w:hAnsi="Book Antiqua" w:cs="Book Antiqua"/>
          <w:color w:val="000000"/>
        </w:rPr>
        <w:t xml:space="preserve"> changes, it was recommended that the patient undergo a test for anti-parietal cell antibodies and/or anti-intrinsic factor antibodies, and the serum results for anti-parietal cell antibodies were positive. The patient subsequently underwent whole-genome high-throughput molecular sequencing, which revealed a pathogenic germline mutation in the </w:t>
      </w:r>
      <w:bookmarkStart w:id="40" w:name="OLE_LINK1108"/>
      <w:r>
        <w:rPr>
          <w:rFonts w:ascii="Book Antiqua" w:eastAsia="Book Antiqua" w:hAnsi="Book Antiqua" w:cs="Book Antiqua"/>
          <w:i/>
          <w:iCs/>
          <w:color w:val="000000"/>
        </w:rPr>
        <w:t>BRCA2</w:t>
      </w:r>
      <w:bookmarkEnd w:id="40"/>
      <w:r>
        <w:rPr>
          <w:rFonts w:ascii="Book Antiqua" w:eastAsia="Book Antiqua" w:hAnsi="Book Antiqua" w:cs="Book Antiqua"/>
          <w:color w:val="000000"/>
        </w:rPr>
        <w:t xml:space="preserve"> gene, a heterozygous germline frameshift mutation in exon 11, c.6443_6444del (</w:t>
      </w:r>
      <w:proofErr w:type="gramStart"/>
      <w:r>
        <w:rPr>
          <w:rFonts w:ascii="Book Antiqua" w:eastAsia="Book Antiqua" w:hAnsi="Book Antiqua" w:cs="Book Antiqua"/>
          <w:color w:val="000000"/>
        </w:rPr>
        <w:t>p.S</w:t>
      </w:r>
      <w:proofErr w:type="gramEnd"/>
      <w:r>
        <w:rPr>
          <w:rFonts w:ascii="Book Antiqua" w:eastAsia="Book Antiqua" w:hAnsi="Book Antiqua" w:cs="Book Antiqua"/>
          <w:color w:val="000000"/>
        </w:rPr>
        <w:t>2148Yfs</w:t>
      </w:r>
      <w:bookmarkStart w:id="41" w:name="OLE_LINK1107"/>
      <w:r>
        <w:rPr>
          <w:rFonts w:ascii="Book Antiqua" w:eastAsia="Book Antiqua" w:hAnsi="Book Antiqua" w:cs="Book Antiqua"/>
          <w:color w:val="000000"/>
        </w:rPr>
        <w:t>*</w:t>
      </w:r>
      <w:bookmarkEnd w:id="41"/>
      <w:r>
        <w:rPr>
          <w:rFonts w:ascii="Book Antiqua" w:eastAsia="Book Antiqua" w:hAnsi="Book Antiqua" w:cs="Book Antiqua"/>
          <w:color w:val="000000"/>
        </w:rPr>
        <w:t xml:space="preserve">2) (Figure 5). </w:t>
      </w:r>
    </w:p>
    <w:p w14:paraId="14C0E647" w14:textId="77777777" w:rsidR="00005863" w:rsidRDefault="00005863">
      <w:pPr>
        <w:spacing w:line="360" w:lineRule="auto"/>
        <w:jc w:val="both"/>
        <w:rPr>
          <w:rFonts w:ascii="Book Antiqua" w:hAnsi="Book Antiqua"/>
        </w:rPr>
      </w:pPr>
    </w:p>
    <w:p w14:paraId="474EF29B" w14:textId="77777777" w:rsidR="00005863"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OUTCOME AND FOLLOW-UP</w:t>
      </w:r>
    </w:p>
    <w:p w14:paraId="3ABE02B8"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The patient has been followed up to date, with regular routine blood examinations and semiannual gastroscopies</w:t>
      </w:r>
      <w:r>
        <w:rPr>
          <w:rFonts w:ascii="Book Antiqua" w:eastAsia="宋体" w:hAnsi="Book Antiqua" w:cs="Book Antiqua" w:hint="eastAsia"/>
          <w:color w:val="000000"/>
          <w:lang w:eastAsia="zh-CN"/>
        </w:rPr>
        <w:t xml:space="preserve"> performed</w:t>
      </w:r>
      <w:r>
        <w:rPr>
          <w:rFonts w:ascii="Book Antiqua" w:eastAsia="Book Antiqua" w:hAnsi="Book Antiqua" w:cs="Book Antiqua"/>
          <w:color w:val="000000"/>
        </w:rPr>
        <w:t xml:space="preserve">. The patient still has anemia at present, and gastroscopies have shown no abnormalities. The latest routine blood test results showed a hemoglobin </w:t>
      </w:r>
      <w:r>
        <w:rPr>
          <w:rFonts w:ascii="Book Antiqua" w:eastAsia="宋体" w:hAnsi="Book Antiqua" w:cs="Book Antiqua" w:hint="eastAsia"/>
          <w:color w:val="000000"/>
          <w:lang w:eastAsia="zh-CN"/>
        </w:rPr>
        <w:t xml:space="preserve">level </w:t>
      </w:r>
      <w:r>
        <w:rPr>
          <w:rFonts w:ascii="Book Antiqua" w:eastAsia="Book Antiqua" w:hAnsi="Book Antiqua" w:cs="Book Antiqua"/>
          <w:color w:val="000000"/>
        </w:rPr>
        <w:t xml:space="preserve">of 72 g/L (normal range: 113-151 g/L). However, ultrasound examination revealed a cyst in the left ovary, </w:t>
      </w:r>
      <w:r>
        <w:rPr>
          <w:rFonts w:ascii="Book Antiqua" w:eastAsia="宋体" w:hAnsi="Book Antiqua" w:cs="Book Antiqua" w:hint="eastAsia"/>
          <w:color w:val="000000"/>
          <w:lang w:eastAsia="zh-CN"/>
        </w:rPr>
        <w:t>with a</w:t>
      </w:r>
      <w:r>
        <w:rPr>
          <w:rFonts w:ascii="Book Antiqua" w:eastAsia="Book Antiqua" w:hAnsi="Book Antiqua" w:cs="Book Antiqua"/>
          <w:color w:val="000000"/>
        </w:rPr>
        <w:t xml:space="preserve"> diameter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 2 cm, and the cyst was only regularly followed up without further treatment.</w:t>
      </w:r>
    </w:p>
    <w:p w14:paraId="267B2197" w14:textId="77777777" w:rsidR="00005863" w:rsidRDefault="00005863">
      <w:pPr>
        <w:spacing w:line="360" w:lineRule="auto"/>
        <w:jc w:val="both"/>
        <w:rPr>
          <w:rFonts w:ascii="Book Antiqua" w:hAnsi="Book Antiqua"/>
        </w:rPr>
      </w:pPr>
    </w:p>
    <w:p w14:paraId="5CC4620A" w14:textId="77777777" w:rsidR="00005863"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4F1FEB5"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t xml:space="preserve">AIG is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progressive form of chronic gastritis. The histopathological changes that occur in AIG are atrophy of the secretory glands in the gastric body and fundus with intestinal metaplasia or </w:t>
      </w:r>
      <w:proofErr w:type="spellStart"/>
      <w:r>
        <w:rPr>
          <w:rFonts w:ascii="Book Antiqua" w:eastAsia="Book Antiqua" w:hAnsi="Book Antiqua" w:cs="Book Antiqua"/>
          <w:color w:val="000000"/>
        </w:rPr>
        <w:t>pseudopyloric</w:t>
      </w:r>
      <w:proofErr w:type="spellEnd"/>
      <w:r>
        <w:rPr>
          <w:rFonts w:ascii="Book Antiqua" w:eastAsia="Book Antiqua" w:hAnsi="Book Antiqua" w:cs="Book Antiqua"/>
          <w:color w:val="000000"/>
        </w:rPr>
        <w:t xml:space="preserve"> metaplasia, but changes in the gastric antrum mucosa are not obvious. Serological examinations show positivity for parietal cell </w:t>
      </w:r>
      <w:r>
        <w:rPr>
          <w:rFonts w:ascii="Book Antiqua" w:eastAsia="Book Antiqua" w:hAnsi="Book Antiqua" w:cs="Book Antiqua"/>
          <w:color w:val="000000"/>
        </w:rPr>
        <w:lastRenderedPageBreak/>
        <w:t xml:space="preserve">antibodies and/or intrinsic factor antibodies. AIG has no characteristic symptoms in the early stage. Most patients experience dyspepsia or anemia as the first symptoms. Some cases of AIG can evolve to gastric adenocarcinoma or gastric NETs. In one study of 245 AIG patients with pernicious anemia, 28 patients (11.4%) developed type 1 NETs, 24 (9.8%) developed adenocarcinoma, and 52 (21.1%) developed hyperplastic </w:t>
      </w:r>
      <w:proofErr w:type="gramStart"/>
      <w:r>
        <w:rPr>
          <w:rFonts w:ascii="Book Antiqua" w:eastAsia="Book Antiqua" w:hAnsi="Book Antiqua" w:cs="Book Antiqua"/>
          <w:color w:val="000000"/>
        </w:rPr>
        <w:t>polyps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patient in this report had iron-deficiency anemia for 5 years and </w:t>
      </w:r>
      <w:r>
        <w:rPr>
          <w:rFonts w:ascii="Book Antiqua" w:eastAsia="宋体" w:hAnsi="Book Antiqua" w:cs="Book Antiqua" w:hint="eastAsia"/>
          <w:color w:val="000000"/>
          <w:lang w:eastAsia="zh-CN"/>
        </w:rPr>
        <w:t xml:space="preserve">developed </w:t>
      </w:r>
      <w:r>
        <w:rPr>
          <w:rFonts w:ascii="Book Antiqua" w:eastAsia="Book Antiqua" w:hAnsi="Book Antiqua" w:cs="Book Antiqua"/>
          <w:color w:val="000000"/>
        </w:rPr>
        <w:t>type 1 gastric NETs.</w:t>
      </w:r>
    </w:p>
    <w:p w14:paraId="02C5673C"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Gastric anacidity in AIG stimulates the continuous secretion of gastrin by gastric antrum G cells, and hypergastrinemia promotes the proliferation of ECL cells. Histopathological analysis of early AIG shows a linear proliferation of ECL cells, which is manifested by the proliferation of </w:t>
      </w:r>
      <w:r>
        <w:rPr>
          <w:rFonts w:ascii="Book Antiqua" w:eastAsia="宋体" w:hAnsi="Book Antiqua" w:cs="Book Antiqua" w:hint="eastAsia"/>
          <w:color w:val="000000"/>
          <w:lang w:eastAsia="zh-CN"/>
        </w:rPr>
        <w:t>five</w:t>
      </w:r>
      <w:r>
        <w:rPr>
          <w:rFonts w:ascii="Book Antiqua" w:eastAsia="Book Antiqua" w:hAnsi="Book Antiqua" w:cs="Book Antiqua"/>
          <w:color w:val="000000"/>
        </w:rPr>
        <w:t xml:space="preserve"> adjacent ECL cells in the glandular neck region and the expression of CGA </w:t>
      </w:r>
      <w:r>
        <w:rPr>
          <w:rFonts w:ascii="Book Antiqua" w:eastAsia="宋体" w:hAnsi="Book Antiqua" w:cs="Book Antiqua" w:hint="eastAsia"/>
          <w:color w:val="000000"/>
          <w:lang w:eastAsia="zh-CN"/>
        </w:rPr>
        <w:t xml:space="preserve">as detected </w:t>
      </w:r>
      <w:r>
        <w:rPr>
          <w:rFonts w:ascii="Book Antiqua" w:eastAsia="Book Antiqua" w:hAnsi="Book Antiqua" w:cs="Book Antiqua"/>
          <w:color w:val="000000"/>
        </w:rPr>
        <w:t>by immunohistochemi</w:t>
      </w:r>
      <w:r>
        <w:rPr>
          <w:rFonts w:ascii="Book Antiqua" w:eastAsia="宋体" w:hAnsi="Book Antiqua" w:cs="Book Antiqua" w:hint="eastAsia"/>
          <w:color w:val="000000"/>
          <w:lang w:eastAsia="zh-CN"/>
        </w:rPr>
        <w:t>stry</w:t>
      </w:r>
      <w:r>
        <w:rPr>
          <w:rFonts w:ascii="Book Antiqua" w:eastAsia="Book Antiqua" w:hAnsi="Book Antiqua" w:cs="Book Antiqua"/>
          <w:color w:val="000000"/>
        </w:rPr>
        <w:t xml:space="preserve">. With the continuous progression of the disease, ECL cells may proliferate and develop into </w:t>
      </w:r>
      <w:proofErr w:type="gramStart"/>
      <w:r>
        <w:rPr>
          <w:rFonts w:ascii="Book Antiqua" w:eastAsia="Book Antiqua" w:hAnsi="Book Antiqua" w:cs="Book Antiqua"/>
          <w:color w:val="000000"/>
        </w:rPr>
        <w:t>NETs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the patient whose case is presented here, a series of changes, such as linear hyperplasia of neuroendocrine cells and micronodular hyperplasia, could be seen in the glands of the gastric mucosa around the tumor. </w:t>
      </w:r>
    </w:p>
    <w:p w14:paraId="6A16177A"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gene is located on the long arm of chromosome 13 and is normally expressed in breast cells. The </w:t>
      </w:r>
      <w:bookmarkStart w:id="42" w:name="OLE_LINK1110"/>
      <w:r>
        <w:rPr>
          <w:rFonts w:ascii="Book Antiqua" w:eastAsia="Book Antiqua" w:hAnsi="Book Antiqua" w:cs="Book Antiqua"/>
          <w:i/>
          <w:iCs/>
          <w:color w:val="000000"/>
        </w:rPr>
        <w:t>BRCA2</w:t>
      </w:r>
      <w:bookmarkEnd w:id="42"/>
      <w:r>
        <w:rPr>
          <w:rFonts w:ascii="Book Antiqua" w:eastAsia="Book Antiqua" w:hAnsi="Book Antiqua" w:cs="Book Antiqua"/>
          <w:color w:val="000000"/>
        </w:rPr>
        <w:t xml:space="preserve"> gene is involved in DNA damage repair. </w:t>
      </w:r>
      <w:r>
        <w:rPr>
          <w:rFonts w:ascii="Book Antiqua" w:eastAsia="宋体" w:hAnsi="Book Antiqua" w:cs="Book Antiqua" w:hint="eastAsia"/>
          <w:color w:val="000000"/>
          <w:lang w:eastAsia="zh-CN"/>
        </w:rPr>
        <w:t>Germline</w:t>
      </w:r>
      <w:r>
        <w:rPr>
          <w:rFonts w:ascii="Book Antiqua" w:eastAsia="Book Antiqua" w:hAnsi="Book Antiqua" w:cs="Book Antiqua"/>
          <w:color w:val="000000"/>
        </w:rPr>
        <w:t xml:space="preserve"> mutation of the </w:t>
      </w:r>
      <w:bookmarkStart w:id="43" w:name="OLE_LINK1111"/>
      <w:r>
        <w:rPr>
          <w:rFonts w:ascii="Book Antiqua" w:eastAsia="Book Antiqua" w:hAnsi="Book Antiqua" w:cs="Book Antiqua"/>
          <w:i/>
          <w:iCs/>
          <w:color w:val="000000"/>
        </w:rPr>
        <w:t>BRCA2</w:t>
      </w:r>
      <w:bookmarkEnd w:id="43"/>
      <w:r>
        <w:rPr>
          <w:rFonts w:ascii="Book Antiqua" w:eastAsia="Book Antiqua" w:hAnsi="Book Antiqua" w:cs="Book Antiqua"/>
          <w:color w:val="000000"/>
        </w:rPr>
        <w:t xml:space="preserve"> gene can lead to tumors. At present,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gene germline mutations have been reported in prostate neuroendocrine carcinoma, gallbladder neuroendocrine carcinoma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ovarian non-small cell neuroendocrine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8-10]</w:t>
      </w:r>
      <w:r>
        <w:rPr>
          <w:rFonts w:ascii="Book Antiqua" w:eastAsia="Book Antiqua" w:hAnsi="Book Antiqua" w:cs="Book Antiqua"/>
          <w:color w:val="000000"/>
        </w:rPr>
        <w:t xml:space="preserve">.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gene germline mutations can also be seen in hereditary diffuse gastric cancer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The finding of </w:t>
      </w:r>
      <w:bookmarkStart w:id="44" w:name="OLE_LINK1112"/>
      <w:r>
        <w:rPr>
          <w:rFonts w:ascii="Book Antiqua" w:eastAsia="Book Antiqua" w:hAnsi="Book Antiqua" w:cs="Book Antiqua"/>
          <w:i/>
          <w:iCs/>
          <w:color w:val="000000"/>
        </w:rPr>
        <w:t>BRCA2</w:t>
      </w:r>
      <w:bookmarkEnd w:id="44"/>
      <w:r>
        <w:rPr>
          <w:rFonts w:ascii="Book Antiqua" w:eastAsia="Book Antiqua" w:hAnsi="Book Antiqua" w:cs="Book Antiqua"/>
          <w:color w:val="000000"/>
        </w:rPr>
        <w:t xml:space="preserve"> gene germline mutations in gastric NETs has not previously been reported. </w:t>
      </w:r>
      <w:r>
        <w:rPr>
          <w:rFonts w:ascii="Book Antiqua" w:eastAsia="宋体" w:hAnsi="Book Antiqua" w:cs="Book Antiqua" w:hint="eastAsia"/>
          <w:color w:val="000000"/>
          <w:lang w:eastAsia="zh-CN"/>
        </w:rPr>
        <w:t>Our patient</w:t>
      </w:r>
      <w:r>
        <w:rPr>
          <w:rFonts w:ascii="Book Antiqua" w:eastAsia="Book Antiqua" w:hAnsi="Book Antiqua" w:cs="Book Antiqua"/>
          <w:color w:val="000000"/>
        </w:rPr>
        <w:t xml:space="preserve"> was the first </w:t>
      </w:r>
      <w:r>
        <w:rPr>
          <w:rFonts w:ascii="Book Antiqua" w:eastAsia="宋体" w:hAnsi="Book Antiqua" w:cs="Book Antiqua" w:hint="eastAsia"/>
          <w:color w:val="000000"/>
          <w:lang w:eastAsia="zh-CN"/>
        </w:rPr>
        <w:t xml:space="preserve">case </w:t>
      </w:r>
      <w:r>
        <w:rPr>
          <w:rFonts w:ascii="Book Antiqua" w:eastAsia="Book Antiqua" w:hAnsi="Book Antiqua" w:cs="Book Antiqua"/>
          <w:color w:val="000000"/>
        </w:rPr>
        <w:t>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type I gastric NETs with a pathogenic germline mutation in the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review of the literature shows that the homologous recombination pathway (HRD)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involved in DNA repair pathways leads to tumorigenesis in pancreatic NETs with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germline </w:t>
      </w:r>
      <w:proofErr w:type="gramStart"/>
      <w:r>
        <w:rPr>
          <w:rFonts w:ascii="Book Antiqua" w:eastAsia="Book Antiqua" w:hAnsi="Book Antiqua" w:cs="Book Antiqua"/>
          <w:color w:val="000000"/>
        </w:rPr>
        <w:t>mutations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more research is needed on the exact role of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germline mutations in the pathogenesis of gastric NETs.</w:t>
      </w:r>
    </w:p>
    <w:p w14:paraId="6C8F8361"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Some studies have shown that the incidence of type 1 ECL-cell NETs is low (approximately 4.37-11.4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6,14,15]</w:t>
      </w:r>
      <w:r>
        <w:rPr>
          <w:rFonts w:ascii="Book Antiqua" w:eastAsia="Book Antiqua" w:hAnsi="Book Antiqua" w:cs="Book Antiqua"/>
          <w:color w:val="000000"/>
        </w:rPr>
        <w:t>; these NETs are usually small (&lt; 1 cm) and have a median diameter of 5 mm, but they are prone to recurrence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can be complicated by gastric adenocarcinoma</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Metastasis can occur when the tumor diameter is greater than 1 cm. Type 1 ECL-cell NETs are gastrin dependent and are treated by controlling hypergastrinemia. A clinical trial by Lloyd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found that the application of </w:t>
      </w:r>
      <w:proofErr w:type="spellStart"/>
      <w:r>
        <w:rPr>
          <w:rFonts w:ascii="Book Antiqua" w:eastAsia="Book Antiqua" w:hAnsi="Book Antiqua" w:cs="Book Antiqua"/>
          <w:color w:val="000000"/>
        </w:rPr>
        <w:t>netazepide</w:t>
      </w:r>
      <w:proofErr w:type="spellEnd"/>
      <w:r>
        <w:rPr>
          <w:rFonts w:ascii="Book Antiqua" w:eastAsia="Book Antiqua" w:hAnsi="Book Antiqua" w:cs="Book Antiqua"/>
          <w:color w:val="000000"/>
        </w:rPr>
        <w:t xml:space="preserve"> (YF476), a gastrin/CCK-2 receptor antagonist, could eradicate some type 1 ECL-cell NETs after one year of treatment</w:t>
      </w:r>
      <w:bookmarkStart w:id="45" w:name="OLE_LINK1114"/>
      <w:r>
        <w:rPr>
          <w:rFonts w:ascii="Book Antiqua" w:eastAsia="Book Antiqua" w:hAnsi="Book Antiqua" w:cs="Book Antiqua"/>
          <w:color w:val="000000"/>
          <w:vertAlign w:val="superscript"/>
        </w:rPr>
        <w:t>[17]</w:t>
      </w:r>
      <w:bookmarkEnd w:id="45"/>
      <w:r>
        <w:rPr>
          <w:rFonts w:ascii="Book Antiqua" w:eastAsia="Book Antiqua" w:hAnsi="Book Antiqua" w:cs="Book Antiqua"/>
          <w:color w:val="000000"/>
        </w:rPr>
        <w:t xml:space="preserve">. Somatostatin analogs (SSAs) can inhibit gastrin secretion and the proliferation of ECL cells to shrink the tumor and reduce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SSAs have been reported to selectively treat multiple, unresectable, relapse-prone type I gastric </w:t>
      </w:r>
      <w:proofErr w:type="gramStart"/>
      <w:r>
        <w:rPr>
          <w:rFonts w:ascii="Book Antiqua" w:eastAsia="Book Antiqua" w:hAnsi="Book Antiqua" w:cs="Book Antiqua"/>
          <w:color w:val="000000"/>
        </w:rPr>
        <w:t>NETs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Studies have shown that tumors with </w:t>
      </w:r>
      <w:bookmarkStart w:id="46" w:name="OLE_LINK1115"/>
      <w:r>
        <w:rPr>
          <w:rFonts w:ascii="Book Antiqua" w:eastAsia="Book Antiqua" w:hAnsi="Book Antiqua" w:cs="Book Antiqua"/>
          <w:i/>
          <w:iCs/>
          <w:color w:val="000000"/>
        </w:rPr>
        <w:t>BRCA2</w:t>
      </w:r>
      <w:bookmarkEnd w:id="46"/>
      <w:r>
        <w:rPr>
          <w:rFonts w:ascii="Book Antiqua" w:eastAsia="Book Antiqua" w:hAnsi="Book Antiqua" w:cs="Book Antiqua"/>
          <w:color w:val="000000"/>
        </w:rPr>
        <w:t xml:space="preserve"> gene germline mutations are sensitive to PARP </w:t>
      </w:r>
      <w:proofErr w:type="gramStart"/>
      <w:r>
        <w:rPr>
          <w:rFonts w:ascii="Book Antiqua" w:eastAsia="Book Antiqua" w:hAnsi="Book Antiqua" w:cs="Book Antiqua"/>
          <w:color w:val="000000"/>
        </w:rPr>
        <w:t>inhibitors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type 1 ECL-cell NET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with a </w:t>
      </w:r>
      <w:bookmarkStart w:id="47" w:name="OLE_LINK1116"/>
      <w:r>
        <w:rPr>
          <w:rFonts w:ascii="Book Antiqua" w:eastAsia="Book Antiqua" w:hAnsi="Book Antiqua" w:cs="Book Antiqua"/>
          <w:i/>
          <w:iCs/>
          <w:color w:val="000000"/>
        </w:rPr>
        <w:t>BRCA2</w:t>
      </w:r>
      <w:bookmarkEnd w:id="47"/>
      <w:r>
        <w:rPr>
          <w:rFonts w:ascii="Book Antiqua" w:eastAsia="Book Antiqua" w:hAnsi="Book Antiqua" w:cs="Book Antiqua"/>
          <w:color w:val="000000"/>
        </w:rPr>
        <w:t xml:space="preserve"> gene germline mutation, further studies are needed to determine whether a benefit could be achieved with PARP inhibitor treatment.</w:t>
      </w:r>
    </w:p>
    <w:p w14:paraId="58B00BD6" w14:textId="77777777" w:rsidR="00005863"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following</w:t>
      </w:r>
      <w:r>
        <w:rPr>
          <w:rFonts w:ascii="Book Antiqua" w:eastAsia="Book Antiqua" w:hAnsi="Book Antiqua" w:cs="Book Antiqua"/>
          <w:color w:val="000000"/>
        </w:rPr>
        <w:t xml:space="preserve"> appear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be steps for the differential diagnosis of type 1 ECL-cell NETs. First, it is necessary to differentiate gastric adenocarcinoma from type 1 ECL-cell NETs associated with AIG. Immunohistochemical analyses of type 1 ECL-cell NET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show the expression of the neuroendocrine markers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Syn, and CD56, which are not expressed in gastric adenocarcinoma. In addition, in type 1 ECL-cell NETs, the tumor cell heterogeneity and mitotic index are lower than those of gastric adenocarcinoma. Second, type 1 ECL-cell NETs in the stomach need to be differentiated from type 2 ECL-cell NETs and type 3 ECL-cell NETs. Type 1 ECL-cell NETs are highly correlated with AIG and have unique clinical and pathological characteristics, such as changes including atrophic gastritis seen under gastroscopy, anti-intrinsic factor antibody and/or anti-parietal cell antibody positivity, changes in the fundus of the stomach, a decrease in the number of glands</w:t>
      </w:r>
      <w:r>
        <w:rPr>
          <w:rFonts w:ascii="Book Antiqua" w:eastAsia="宋体" w:hAnsi="Book Antiqua" w:cs="Book Antiqua" w:hint="eastAsia"/>
          <w:color w:val="000000"/>
          <w:lang w:eastAsia="zh-CN"/>
        </w:rPr>
        <w:t xml:space="preserve"> in the </w:t>
      </w:r>
      <w:r>
        <w:rPr>
          <w:rFonts w:ascii="Book Antiqua" w:eastAsia="Book Antiqua" w:hAnsi="Book Antiqua" w:cs="Book Antiqua"/>
          <w:color w:val="000000"/>
        </w:rPr>
        <w:t xml:space="preserve">mucosa </w:t>
      </w:r>
      <w:r>
        <w:rPr>
          <w:rFonts w:ascii="Book Antiqua" w:eastAsia="宋体" w:hAnsi="Book Antiqua" w:cs="Book Antiqua" w:hint="eastAsia"/>
          <w:color w:val="000000"/>
          <w:lang w:eastAsia="zh-CN"/>
        </w:rPr>
        <w:t xml:space="preserve">of the </w:t>
      </w:r>
      <w:r>
        <w:rPr>
          <w:rFonts w:ascii="Book Antiqua" w:eastAsia="Book Antiqua" w:hAnsi="Book Antiqua" w:cs="Book Antiqua"/>
          <w:color w:val="000000"/>
        </w:rPr>
        <w:t>gastric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fundus, and pyloric gland or intestinal metaplasia.</w:t>
      </w:r>
    </w:p>
    <w:p w14:paraId="74C2E449" w14:textId="77777777" w:rsidR="00005863" w:rsidRDefault="00005863">
      <w:pPr>
        <w:spacing w:line="360" w:lineRule="auto"/>
        <w:ind w:firstLine="210"/>
        <w:jc w:val="both"/>
        <w:rPr>
          <w:rFonts w:ascii="Book Antiqua" w:hAnsi="Book Antiqua"/>
        </w:rPr>
      </w:pPr>
    </w:p>
    <w:p w14:paraId="73BCB2A9" w14:textId="77777777" w:rsidR="00005863"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91EFE33" w14:textId="77777777" w:rsidR="00005863" w:rsidRDefault="00000000">
      <w:pPr>
        <w:spacing w:line="360" w:lineRule="auto"/>
        <w:jc w:val="both"/>
        <w:rPr>
          <w:rFonts w:ascii="Book Antiqua" w:hAnsi="Book Antiqua"/>
        </w:rPr>
      </w:pPr>
      <w:r>
        <w:rPr>
          <w:rFonts w:ascii="Book Antiqua" w:eastAsia="Book Antiqua" w:hAnsi="Book Antiqua" w:cs="Book Antiqua"/>
          <w:color w:val="000000"/>
        </w:rPr>
        <w:lastRenderedPageBreak/>
        <w:t>Th</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 the first </w:t>
      </w:r>
      <w:r>
        <w:rPr>
          <w:rFonts w:ascii="Book Antiqua" w:eastAsia="宋体" w:hAnsi="Book Antiqua" w:cs="Book Antiqua" w:hint="eastAsia"/>
          <w:color w:val="000000"/>
          <w:lang w:eastAsia="zh-CN"/>
        </w:rPr>
        <w:t xml:space="preserve">case </w:t>
      </w:r>
      <w:r>
        <w:rPr>
          <w:rFonts w:ascii="Book Antiqua" w:eastAsia="Book Antiqua" w:hAnsi="Book Antiqua" w:cs="Book Antiqua"/>
          <w:color w:val="000000"/>
        </w:rPr>
        <w:t>report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gastric NET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(type 1 ECL-cell NET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with a pathogenic germline mutation of the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gene. The findings presented in this report will expand the germline mutation spectrum of gastric NETs and increase the understanding of the molecular changes present in gastric NETs for the improved diagnosis of gastric NETs in the future. </w:t>
      </w:r>
    </w:p>
    <w:p w14:paraId="250AA74C" w14:textId="77777777" w:rsidR="00005863" w:rsidRDefault="00005863">
      <w:pPr>
        <w:spacing w:line="360" w:lineRule="auto"/>
        <w:jc w:val="both"/>
        <w:rPr>
          <w:rFonts w:ascii="Book Antiqua" w:hAnsi="Book Antiqua"/>
        </w:rPr>
      </w:pPr>
    </w:p>
    <w:p w14:paraId="24C0CE00"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13ABA31B" w14:textId="77777777" w:rsidR="00005863" w:rsidRDefault="00000000">
      <w:pPr>
        <w:spacing w:line="360" w:lineRule="auto"/>
        <w:jc w:val="both"/>
        <w:rPr>
          <w:rFonts w:ascii="Book Antiqua" w:hAnsi="Book Antiqua"/>
        </w:rPr>
      </w:pPr>
      <w:bookmarkStart w:id="48" w:name="OLE_LINK1121"/>
      <w:bookmarkStart w:id="49" w:name="OLE_LINK1122"/>
      <w:bookmarkStart w:id="50" w:name="OLE_LINK567"/>
      <w:bookmarkStart w:id="51" w:name="OLE_LINK568"/>
      <w:bookmarkStart w:id="52" w:name="OLE_LINK569"/>
      <w:r>
        <w:rPr>
          <w:rFonts w:ascii="Book Antiqua" w:hAnsi="Book Antiqua"/>
        </w:rPr>
        <w:t xml:space="preserve">1 </w:t>
      </w:r>
      <w:r>
        <w:rPr>
          <w:rFonts w:ascii="Book Antiqua" w:hAnsi="Book Antiqua"/>
          <w:b/>
          <w:bCs/>
        </w:rPr>
        <w:t>La Rosa S</w:t>
      </w:r>
      <w:r>
        <w:rPr>
          <w:rFonts w:ascii="Book Antiqua" w:hAnsi="Book Antiqua"/>
        </w:rPr>
        <w:t xml:space="preserve">, </w:t>
      </w:r>
      <w:proofErr w:type="spellStart"/>
      <w:r>
        <w:rPr>
          <w:rFonts w:ascii="Book Antiqua" w:hAnsi="Book Antiqua"/>
        </w:rPr>
        <w:t>Inzani</w:t>
      </w:r>
      <w:proofErr w:type="spellEnd"/>
      <w:r>
        <w:rPr>
          <w:rFonts w:ascii="Book Antiqua" w:hAnsi="Book Antiqua"/>
        </w:rPr>
        <w:t xml:space="preserve"> F, </w:t>
      </w:r>
      <w:proofErr w:type="spellStart"/>
      <w:r>
        <w:rPr>
          <w:rFonts w:ascii="Book Antiqua" w:hAnsi="Book Antiqua"/>
        </w:rPr>
        <w:t>Vanoli</w:t>
      </w:r>
      <w:proofErr w:type="spellEnd"/>
      <w:r>
        <w:rPr>
          <w:rFonts w:ascii="Book Antiqua" w:hAnsi="Book Antiqua"/>
        </w:rPr>
        <w:t xml:space="preserve"> A, </w:t>
      </w:r>
      <w:proofErr w:type="spellStart"/>
      <w:r>
        <w:rPr>
          <w:rFonts w:ascii="Book Antiqua" w:hAnsi="Book Antiqua"/>
        </w:rPr>
        <w:t>Klersy</w:t>
      </w:r>
      <w:proofErr w:type="spellEnd"/>
      <w:r>
        <w:rPr>
          <w:rFonts w:ascii="Book Antiqua" w:hAnsi="Book Antiqua"/>
        </w:rPr>
        <w:t xml:space="preserve"> C, </w:t>
      </w:r>
      <w:proofErr w:type="spellStart"/>
      <w:r>
        <w:rPr>
          <w:rFonts w:ascii="Book Antiqua" w:hAnsi="Book Antiqua"/>
        </w:rPr>
        <w:t>Dainese</w:t>
      </w:r>
      <w:proofErr w:type="spellEnd"/>
      <w:r>
        <w:rPr>
          <w:rFonts w:ascii="Book Antiqua" w:hAnsi="Book Antiqua"/>
        </w:rPr>
        <w:t xml:space="preserve"> L, </w:t>
      </w:r>
      <w:proofErr w:type="spellStart"/>
      <w:r>
        <w:rPr>
          <w:rFonts w:ascii="Book Antiqua" w:hAnsi="Book Antiqua"/>
        </w:rPr>
        <w:t>Rindi</w:t>
      </w:r>
      <w:proofErr w:type="spellEnd"/>
      <w:r>
        <w:rPr>
          <w:rFonts w:ascii="Book Antiqua" w:hAnsi="Book Antiqua"/>
        </w:rPr>
        <w:t xml:space="preserve"> G, Capella C, </w:t>
      </w:r>
      <w:proofErr w:type="spellStart"/>
      <w:r>
        <w:rPr>
          <w:rFonts w:ascii="Book Antiqua" w:hAnsi="Book Antiqua"/>
        </w:rPr>
        <w:t>Bordi</w:t>
      </w:r>
      <w:proofErr w:type="spellEnd"/>
      <w:r>
        <w:rPr>
          <w:rFonts w:ascii="Book Antiqua" w:hAnsi="Book Antiqua"/>
        </w:rPr>
        <w:t xml:space="preserve"> C, </w:t>
      </w:r>
      <w:proofErr w:type="spellStart"/>
      <w:r>
        <w:rPr>
          <w:rFonts w:ascii="Book Antiqua" w:hAnsi="Book Antiqua"/>
        </w:rPr>
        <w:t>Solcia</w:t>
      </w:r>
      <w:proofErr w:type="spellEnd"/>
      <w:r>
        <w:rPr>
          <w:rFonts w:ascii="Book Antiqua" w:hAnsi="Book Antiqua"/>
        </w:rPr>
        <w:t xml:space="preserve"> E. Histologic characterization and improved prognostic evaluation of 209 gastric neuroendocrine neoplasms.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2011; </w:t>
      </w:r>
      <w:r>
        <w:rPr>
          <w:rFonts w:ascii="Book Antiqua" w:hAnsi="Book Antiqua"/>
          <w:b/>
          <w:bCs/>
        </w:rPr>
        <w:t>42</w:t>
      </w:r>
      <w:r>
        <w:rPr>
          <w:rFonts w:ascii="Book Antiqua" w:hAnsi="Book Antiqua"/>
        </w:rPr>
        <w:t>: 1373-1384 [PMID: 21531442 DOI: 10.1016/j.humpath.2011.01.018]</w:t>
      </w:r>
    </w:p>
    <w:p w14:paraId="3A9CF2C3" w14:textId="77777777" w:rsidR="00005863" w:rsidRDefault="00000000">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Bordi</w:t>
      </w:r>
      <w:proofErr w:type="spellEnd"/>
      <w:r>
        <w:rPr>
          <w:rFonts w:ascii="Book Antiqua" w:hAnsi="Book Antiqua"/>
          <w:b/>
          <w:bCs/>
        </w:rPr>
        <w:t xml:space="preserve"> C</w:t>
      </w:r>
      <w:r>
        <w:rPr>
          <w:rFonts w:ascii="Book Antiqua" w:hAnsi="Book Antiqua"/>
        </w:rPr>
        <w:t xml:space="preserve">. Neuroendocrine pathology of the stomach: the Parma contribution. </w:t>
      </w:r>
      <w:proofErr w:type="spellStart"/>
      <w:r>
        <w:rPr>
          <w:rFonts w:ascii="Book Antiqua" w:hAnsi="Book Antiqua"/>
          <w:i/>
          <w:iCs/>
        </w:rPr>
        <w:t>Endocr</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2014; </w:t>
      </w:r>
      <w:r>
        <w:rPr>
          <w:rFonts w:ascii="Book Antiqua" w:hAnsi="Book Antiqua"/>
          <w:b/>
          <w:bCs/>
        </w:rPr>
        <w:t>25</w:t>
      </w:r>
      <w:r>
        <w:rPr>
          <w:rFonts w:ascii="Book Antiqua" w:hAnsi="Book Antiqua"/>
        </w:rPr>
        <w:t>: 171-180 [PMID: 24782101 DOI: 10.1007/s12022-014-9315-x]</w:t>
      </w:r>
    </w:p>
    <w:p w14:paraId="321A0645" w14:textId="77777777" w:rsidR="00005863"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Malanga D</w:t>
      </w:r>
      <w:r>
        <w:rPr>
          <w:rFonts w:ascii="Book Antiqua" w:hAnsi="Book Antiqua"/>
        </w:rPr>
        <w:t xml:space="preserve">, De </w:t>
      </w:r>
      <w:proofErr w:type="spellStart"/>
      <w:r>
        <w:rPr>
          <w:rFonts w:ascii="Book Antiqua" w:hAnsi="Book Antiqua"/>
        </w:rPr>
        <w:t>Gisi</w:t>
      </w:r>
      <w:proofErr w:type="spellEnd"/>
      <w:r>
        <w:rPr>
          <w:rFonts w:ascii="Book Antiqua" w:hAnsi="Book Antiqua"/>
        </w:rPr>
        <w:t xml:space="preserve"> S, </w:t>
      </w:r>
      <w:proofErr w:type="spellStart"/>
      <w:r>
        <w:rPr>
          <w:rFonts w:ascii="Book Antiqua" w:hAnsi="Book Antiqua"/>
        </w:rPr>
        <w:t>Riccardi</w:t>
      </w:r>
      <w:proofErr w:type="spellEnd"/>
      <w:r>
        <w:rPr>
          <w:rFonts w:ascii="Book Antiqua" w:hAnsi="Book Antiqua"/>
        </w:rPr>
        <w:t xml:space="preserve"> M, </w:t>
      </w:r>
      <w:proofErr w:type="spellStart"/>
      <w:r>
        <w:rPr>
          <w:rFonts w:ascii="Book Antiqua" w:hAnsi="Book Antiqua"/>
        </w:rPr>
        <w:t>Scrima</w:t>
      </w:r>
      <w:proofErr w:type="spellEnd"/>
      <w:r>
        <w:rPr>
          <w:rFonts w:ascii="Book Antiqua" w:hAnsi="Book Antiqua"/>
        </w:rPr>
        <w:t xml:space="preserve"> M, De Marco C, Robledo M, </w:t>
      </w:r>
      <w:proofErr w:type="spellStart"/>
      <w:r>
        <w:rPr>
          <w:rFonts w:ascii="Book Antiqua" w:hAnsi="Book Antiqua"/>
        </w:rPr>
        <w:t>Viglietto</w:t>
      </w:r>
      <w:proofErr w:type="spellEnd"/>
      <w:r>
        <w:rPr>
          <w:rFonts w:ascii="Book Antiqua" w:hAnsi="Book Antiqua"/>
        </w:rPr>
        <w:t xml:space="preserve"> G. Functional characterization of a rare germline mutation in the gene encoding the cyclin-dependent kinase inhibitor p27Kip1 (CDKN1B) in a Spanish patient with multiple endocrine neoplasia-like phenotype. </w:t>
      </w:r>
      <w:proofErr w:type="spellStart"/>
      <w:r>
        <w:rPr>
          <w:rFonts w:ascii="Book Antiqua" w:hAnsi="Book Antiqua"/>
          <w:i/>
          <w:iCs/>
        </w:rPr>
        <w:t>Eur</w:t>
      </w:r>
      <w:proofErr w:type="spellEnd"/>
      <w:r>
        <w:rPr>
          <w:rFonts w:ascii="Book Antiqua" w:hAnsi="Book Antiqua"/>
          <w:i/>
          <w:iCs/>
        </w:rPr>
        <w:t xml:space="preserve"> J Endocrinol</w:t>
      </w:r>
      <w:r>
        <w:rPr>
          <w:rFonts w:ascii="Book Antiqua" w:hAnsi="Book Antiqua"/>
        </w:rPr>
        <w:t xml:space="preserve"> 2012; </w:t>
      </w:r>
      <w:r>
        <w:rPr>
          <w:rFonts w:ascii="Book Antiqua" w:hAnsi="Book Antiqua"/>
          <w:b/>
          <w:bCs/>
        </w:rPr>
        <w:t>166</w:t>
      </w:r>
      <w:r>
        <w:rPr>
          <w:rFonts w:ascii="Book Antiqua" w:hAnsi="Book Antiqua"/>
        </w:rPr>
        <w:t>: 551-560 [PMID: 22129891 DOI: 10.1530/EJE-11-0929]</w:t>
      </w:r>
    </w:p>
    <w:p w14:paraId="2B6F6055" w14:textId="77777777" w:rsidR="00005863"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Lee M</w:t>
      </w:r>
      <w:r>
        <w:rPr>
          <w:rFonts w:ascii="Book Antiqua" w:hAnsi="Book Antiqua"/>
        </w:rPr>
        <w:t xml:space="preserve">, </w:t>
      </w:r>
      <w:proofErr w:type="spellStart"/>
      <w:r>
        <w:rPr>
          <w:rFonts w:ascii="Book Antiqua" w:hAnsi="Book Antiqua"/>
        </w:rPr>
        <w:t>Pellegata</w:t>
      </w:r>
      <w:proofErr w:type="spellEnd"/>
      <w:r>
        <w:rPr>
          <w:rFonts w:ascii="Book Antiqua" w:hAnsi="Book Antiqua"/>
        </w:rPr>
        <w:t xml:space="preserve"> NS. Multiple endocrine neoplasia syndromes associated with mutation of p27. </w:t>
      </w:r>
      <w:r>
        <w:rPr>
          <w:rFonts w:ascii="Book Antiqua" w:hAnsi="Book Antiqua"/>
          <w:i/>
          <w:iCs/>
        </w:rPr>
        <w:t>J Endocrinol Invest</w:t>
      </w:r>
      <w:r>
        <w:rPr>
          <w:rFonts w:ascii="Book Antiqua" w:hAnsi="Book Antiqua"/>
        </w:rPr>
        <w:t xml:space="preserve"> 2013; </w:t>
      </w:r>
      <w:r>
        <w:rPr>
          <w:rFonts w:ascii="Book Antiqua" w:hAnsi="Book Antiqua"/>
          <w:b/>
          <w:bCs/>
        </w:rPr>
        <w:t>36</w:t>
      </w:r>
      <w:r>
        <w:rPr>
          <w:rFonts w:ascii="Book Antiqua" w:hAnsi="Book Antiqua"/>
        </w:rPr>
        <w:t>: 781-787 [PMID: 23800691 DOI: 10.3275/9021]</w:t>
      </w:r>
    </w:p>
    <w:p w14:paraId="6ACF597E" w14:textId="77777777" w:rsidR="00005863" w:rsidRDefault="00000000">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Fossmark</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Calvete</w:t>
      </w:r>
      <w:proofErr w:type="spellEnd"/>
      <w:r>
        <w:rPr>
          <w:rFonts w:ascii="Book Antiqua" w:hAnsi="Book Antiqua"/>
        </w:rPr>
        <w:t xml:space="preserve"> O, </w:t>
      </w:r>
      <w:proofErr w:type="spellStart"/>
      <w:r>
        <w:rPr>
          <w:rFonts w:ascii="Book Antiqua" w:hAnsi="Book Antiqua"/>
        </w:rPr>
        <w:t>Mjønes</w:t>
      </w:r>
      <w:proofErr w:type="spellEnd"/>
      <w:r>
        <w:rPr>
          <w:rFonts w:ascii="Book Antiqua" w:hAnsi="Book Antiqua"/>
        </w:rPr>
        <w:t xml:space="preserve"> P, Benitez J, </w:t>
      </w:r>
      <w:proofErr w:type="spellStart"/>
      <w:r>
        <w:rPr>
          <w:rFonts w:ascii="Book Antiqua" w:hAnsi="Book Antiqua"/>
        </w:rPr>
        <w:t>Waldum</w:t>
      </w:r>
      <w:proofErr w:type="spellEnd"/>
      <w:r>
        <w:rPr>
          <w:rFonts w:ascii="Book Antiqua" w:hAnsi="Book Antiqua"/>
        </w:rPr>
        <w:t xml:space="preserve"> HL. ECL-cell carcinoids and carcinoma in patients homozygous for an inactivating mutation in the gastric </w:t>
      </w:r>
      <w:proofErr w:type="gramStart"/>
      <w:r>
        <w:rPr>
          <w:rFonts w:ascii="Book Antiqua" w:hAnsi="Book Antiqua"/>
        </w:rPr>
        <w:t>H(</w:t>
      </w:r>
      <w:proofErr w:type="gramEnd"/>
      <w:r>
        <w:rPr>
          <w:rFonts w:ascii="Book Antiqua" w:hAnsi="Book Antiqua"/>
        </w:rPr>
        <w:t xml:space="preserve">+) K(+) ATPase alpha subunit. </w:t>
      </w:r>
      <w:r>
        <w:rPr>
          <w:rFonts w:ascii="Book Antiqua" w:hAnsi="Book Antiqua"/>
          <w:i/>
          <w:iCs/>
        </w:rPr>
        <w:t>APMIS</w:t>
      </w:r>
      <w:r>
        <w:rPr>
          <w:rFonts w:ascii="Book Antiqua" w:hAnsi="Book Antiqua"/>
        </w:rPr>
        <w:t xml:space="preserve"> 2016; </w:t>
      </w:r>
      <w:r>
        <w:rPr>
          <w:rFonts w:ascii="Book Antiqua" w:hAnsi="Book Antiqua"/>
          <w:b/>
          <w:bCs/>
        </w:rPr>
        <w:t>124</w:t>
      </w:r>
      <w:r>
        <w:rPr>
          <w:rFonts w:ascii="Book Antiqua" w:hAnsi="Book Antiqua"/>
        </w:rPr>
        <w:t>: 561-566 [PMID: 27150581 DOI: 10.1111/apm.12546]</w:t>
      </w:r>
    </w:p>
    <w:p w14:paraId="2FA934F4" w14:textId="77777777" w:rsidR="00005863" w:rsidRDefault="00000000">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Terao</w:t>
      </w:r>
      <w:proofErr w:type="spellEnd"/>
      <w:r>
        <w:rPr>
          <w:rFonts w:ascii="Book Antiqua" w:hAnsi="Book Antiqua"/>
          <w:b/>
          <w:bCs/>
        </w:rPr>
        <w:t xml:space="preserve"> S</w:t>
      </w:r>
      <w:r>
        <w:rPr>
          <w:rFonts w:ascii="Book Antiqua" w:hAnsi="Book Antiqua"/>
        </w:rPr>
        <w:t xml:space="preserve">, Suzuki S, </w:t>
      </w:r>
      <w:proofErr w:type="spellStart"/>
      <w:r>
        <w:rPr>
          <w:rFonts w:ascii="Book Antiqua" w:hAnsi="Book Antiqua"/>
        </w:rPr>
        <w:t>Yaita</w:t>
      </w:r>
      <w:proofErr w:type="spellEnd"/>
      <w:r>
        <w:rPr>
          <w:rFonts w:ascii="Book Antiqua" w:hAnsi="Book Antiqua"/>
        </w:rPr>
        <w:t xml:space="preserve"> H, </w:t>
      </w:r>
      <w:proofErr w:type="spellStart"/>
      <w:r>
        <w:rPr>
          <w:rFonts w:ascii="Book Antiqua" w:hAnsi="Book Antiqua"/>
        </w:rPr>
        <w:t>Kurahara</w:t>
      </w:r>
      <w:proofErr w:type="spellEnd"/>
      <w:r>
        <w:rPr>
          <w:rFonts w:ascii="Book Antiqua" w:hAnsi="Book Antiqua"/>
        </w:rPr>
        <w:t xml:space="preserve"> K, </w:t>
      </w:r>
      <w:proofErr w:type="spellStart"/>
      <w:r>
        <w:rPr>
          <w:rFonts w:ascii="Book Antiqua" w:hAnsi="Book Antiqua"/>
        </w:rPr>
        <w:t>Shunto</w:t>
      </w:r>
      <w:proofErr w:type="spellEnd"/>
      <w:r>
        <w:rPr>
          <w:rFonts w:ascii="Book Antiqua" w:hAnsi="Book Antiqua"/>
        </w:rPr>
        <w:t xml:space="preserve"> J, </w:t>
      </w:r>
      <w:proofErr w:type="spellStart"/>
      <w:r>
        <w:rPr>
          <w:rFonts w:ascii="Book Antiqua" w:hAnsi="Book Antiqua"/>
        </w:rPr>
        <w:t>Furuta</w:t>
      </w:r>
      <w:proofErr w:type="spellEnd"/>
      <w:r>
        <w:rPr>
          <w:rFonts w:ascii="Book Antiqua" w:hAnsi="Book Antiqua"/>
        </w:rPr>
        <w:t xml:space="preserve"> T, Maruyama Y, Ito M, </w:t>
      </w:r>
      <w:proofErr w:type="spellStart"/>
      <w:r>
        <w:rPr>
          <w:rFonts w:ascii="Book Antiqua" w:hAnsi="Book Antiqua"/>
        </w:rPr>
        <w:t>Kamada</w:t>
      </w:r>
      <w:proofErr w:type="spellEnd"/>
      <w:r>
        <w:rPr>
          <w:rFonts w:ascii="Book Antiqua" w:hAnsi="Book Antiqua"/>
        </w:rPr>
        <w:t xml:space="preserve"> T, Aoki R, Inoue K, Manabe N, </w:t>
      </w:r>
      <w:proofErr w:type="spellStart"/>
      <w:r>
        <w:rPr>
          <w:rFonts w:ascii="Book Antiqua" w:hAnsi="Book Antiqua"/>
        </w:rPr>
        <w:t>Haruma</w:t>
      </w:r>
      <w:proofErr w:type="spellEnd"/>
      <w:r>
        <w:rPr>
          <w:rFonts w:ascii="Book Antiqua" w:hAnsi="Book Antiqua"/>
        </w:rPr>
        <w:t xml:space="preserve"> K. Multicenter study of autoimmune gastritis in Japan: Clinical and endoscopic characteristics.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32</w:t>
      </w:r>
      <w:r>
        <w:rPr>
          <w:rFonts w:ascii="Book Antiqua" w:hAnsi="Book Antiqua"/>
        </w:rPr>
        <w:t>: 364-372 [PMID: 31368581 DOI: 10.1111/den.13500]</w:t>
      </w:r>
    </w:p>
    <w:p w14:paraId="096149FD" w14:textId="77777777" w:rsidR="00005863" w:rsidRDefault="00000000">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Cockburn AN</w:t>
      </w:r>
      <w:r>
        <w:rPr>
          <w:rFonts w:ascii="Book Antiqua" w:hAnsi="Book Antiqua"/>
        </w:rPr>
        <w:t xml:space="preserve">, Morgan CJ, </w:t>
      </w:r>
      <w:proofErr w:type="spellStart"/>
      <w:r>
        <w:rPr>
          <w:rFonts w:ascii="Book Antiqua" w:hAnsi="Book Antiqua"/>
        </w:rPr>
        <w:t>Genta</w:t>
      </w:r>
      <w:proofErr w:type="spellEnd"/>
      <w:r>
        <w:rPr>
          <w:rFonts w:ascii="Book Antiqua" w:hAnsi="Book Antiqua"/>
        </w:rPr>
        <w:t xml:space="preserve"> RM. Neuroendocrine proliferations of the stomach: a pragmatic approach for the perplexed pathologist. </w:t>
      </w:r>
      <w:r>
        <w:rPr>
          <w:rFonts w:ascii="Book Antiqua" w:hAnsi="Book Antiqua"/>
          <w:i/>
          <w:iCs/>
        </w:rPr>
        <w:t xml:space="preserve">Adv </w:t>
      </w:r>
      <w:proofErr w:type="spellStart"/>
      <w:r>
        <w:rPr>
          <w:rFonts w:ascii="Book Antiqua" w:hAnsi="Book Antiqua"/>
          <w:i/>
          <w:iCs/>
        </w:rPr>
        <w:t>Anat</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2013; </w:t>
      </w:r>
      <w:r>
        <w:rPr>
          <w:rFonts w:ascii="Book Antiqua" w:hAnsi="Book Antiqua"/>
          <w:b/>
          <w:bCs/>
        </w:rPr>
        <w:t>20</w:t>
      </w:r>
      <w:r>
        <w:rPr>
          <w:rFonts w:ascii="Book Antiqua" w:hAnsi="Book Antiqua"/>
        </w:rPr>
        <w:t>: 148-157 [PMID: 23574771 DOI: 10.1097/PAP.0b013e31828d185d]</w:t>
      </w:r>
    </w:p>
    <w:p w14:paraId="74601E1D" w14:textId="77777777" w:rsidR="00005863"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Symonds L</w:t>
      </w:r>
      <w:r>
        <w:rPr>
          <w:rFonts w:ascii="Book Antiqua" w:hAnsi="Book Antiqua"/>
        </w:rPr>
        <w:t xml:space="preserve">, </w:t>
      </w:r>
      <w:proofErr w:type="spellStart"/>
      <w:r>
        <w:rPr>
          <w:rFonts w:ascii="Book Antiqua" w:hAnsi="Book Antiqua"/>
        </w:rPr>
        <w:t>Konnick</w:t>
      </w:r>
      <w:proofErr w:type="spellEnd"/>
      <w:r>
        <w:rPr>
          <w:rFonts w:ascii="Book Antiqua" w:hAnsi="Book Antiqua"/>
        </w:rPr>
        <w:t xml:space="preserve"> E, </w:t>
      </w:r>
      <w:proofErr w:type="spellStart"/>
      <w:r>
        <w:rPr>
          <w:rFonts w:ascii="Book Antiqua" w:hAnsi="Book Antiqua"/>
        </w:rPr>
        <w:t>Vakar</w:t>
      </w:r>
      <w:proofErr w:type="spellEnd"/>
      <w:r>
        <w:rPr>
          <w:rFonts w:ascii="Book Antiqua" w:hAnsi="Book Antiqua"/>
        </w:rPr>
        <w:t xml:space="preserve">-Lopez F, Cheng HH, Schweizer MT, Nelson PS, Pritchard CC, Montgomery B. BRCA2 Alterations in Neuroendocrine/Small-Cell Carcinoma Prostate Cancer: A Case Series. </w:t>
      </w:r>
      <w:r>
        <w:rPr>
          <w:rFonts w:ascii="Book Antiqua" w:hAnsi="Book Antiqua"/>
          <w:i/>
          <w:iCs/>
        </w:rPr>
        <w:t>JCO Precis Oncol</w:t>
      </w:r>
      <w:r>
        <w:rPr>
          <w:rFonts w:ascii="Book Antiqua" w:hAnsi="Book Antiqua"/>
        </w:rPr>
        <w:t xml:space="preserve"> 2022; </w:t>
      </w:r>
      <w:r>
        <w:rPr>
          <w:rFonts w:ascii="Book Antiqua" w:hAnsi="Book Antiqua"/>
          <w:b/>
          <w:bCs/>
        </w:rPr>
        <w:t>6</w:t>
      </w:r>
      <w:r>
        <w:rPr>
          <w:rFonts w:ascii="Book Antiqua" w:hAnsi="Book Antiqua"/>
        </w:rPr>
        <w:t>: e2200091 [PMID: 35834759 DOI: 10.1200/PO.22.00091]</w:t>
      </w:r>
    </w:p>
    <w:p w14:paraId="26702903" w14:textId="77777777" w:rsidR="00005863"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Liu F</w:t>
      </w:r>
      <w:r>
        <w:rPr>
          <w:rFonts w:ascii="Book Antiqua" w:hAnsi="Book Antiqua"/>
        </w:rPr>
        <w:t xml:space="preserve">, Li Y, Ying D, Qiu S, He Y, Li M, Liu Y, Zhang Y, Zhu Q, Hu Y, Liu L, Li G, Pan W, </w:t>
      </w:r>
      <w:proofErr w:type="spellStart"/>
      <w:r>
        <w:rPr>
          <w:rFonts w:ascii="Book Antiqua" w:hAnsi="Book Antiqua"/>
        </w:rPr>
        <w:t>Jin</w:t>
      </w:r>
      <w:proofErr w:type="spellEnd"/>
      <w:r>
        <w:rPr>
          <w:rFonts w:ascii="Book Antiqua" w:hAnsi="Book Antiqua"/>
        </w:rPr>
        <w:t xml:space="preserve"> W, Mu J, Cao Y, Liu Y. Whole-exome mutational landscape of neuroendocrine carcinomas of the gallbladder. </w:t>
      </w:r>
      <w:r>
        <w:rPr>
          <w:rFonts w:ascii="Book Antiqua" w:hAnsi="Book Antiqua"/>
          <w:i/>
          <w:iCs/>
        </w:rPr>
        <w:t xml:space="preserve">Signal </w:t>
      </w:r>
      <w:proofErr w:type="spellStart"/>
      <w:r>
        <w:rPr>
          <w:rFonts w:ascii="Book Antiqua" w:hAnsi="Book Antiqua"/>
          <w:i/>
          <w:iCs/>
        </w:rPr>
        <w:t>Transduct</w:t>
      </w:r>
      <w:proofErr w:type="spellEnd"/>
      <w:r>
        <w:rPr>
          <w:rFonts w:ascii="Book Antiqua" w:hAnsi="Book Antiqua"/>
          <w:i/>
          <w:iCs/>
        </w:rPr>
        <w:t xml:space="preserve"> Target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6</w:t>
      </w:r>
      <w:r>
        <w:rPr>
          <w:rFonts w:ascii="Book Antiqua" w:hAnsi="Book Antiqua"/>
        </w:rPr>
        <w:t>: 55 [PMID: 33563892 DOI: 10.1038/s41392-020-00412-3]</w:t>
      </w:r>
    </w:p>
    <w:p w14:paraId="37E20FEA" w14:textId="77777777" w:rsidR="00005863"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Herold N</w:t>
      </w:r>
      <w:r>
        <w:rPr>
          <w:rFonts w:ascii="Book Antiqua" w:hAnsi="Book Antiqua"/>
        </w:rPr>
        <w:t xml:space="preserve">, </w:t>
      </w:r>
      <w:proofErr w:type="spellStart"/>
      <w:r>
        <w:rPr>
          <w:rFonts w:ascii="Book Antiqua" w:hAnsi="Book Antiqua"/>
        </w:rPr>
        <w:t>Wappenschmidt</w:t>
      </w:r>
      <w:proofErr w:type="spellEnd"/>
      <w:r>
        <w:rPr>
          <w:rFonts w:ascii="Book Antiqua" w:hAnsi="Book Antiqua"/>
        </w:rPr>
        <w:t xml:space="preserve"> B, </w:t>
      </w:r>
      <w:proofErr w:type="spellStart"/>
      <w:r>
        <w:rPr>
          <w:rFonts w:ascii="Book Antiqua" w:hAnsi="Book Antiqua"/>
        </w:rPr>
        <w:t>Markiefka</w:t>
      </w:r>
      <w:proofErr w:type="spellEnd"/>
      <w:r>
        <w:rPr>
          <w:rFonts w:ascii="Book Antiqua" w:hAnsi="Book Antiqua"/>
        </w:rPr>
        <w:t xml:space="preserve"> B, </w:t>
      </w:r>
      <w:proofErr w:type="spellStart"/>
      <w:r>
        <w:rPr>
          <w:rFonts w:ascii="Book Antiqua" w:hAnsi="Book Antiqua"/>
        </w:rPr>
        <w:t>Keupp</w:t>
      </w:r>
      <w:proofErr w:type="spellEnd"/>
      <w:r>
        <w:rPr>
          <w:rFonts w:ascii="Book Antiqua" w:hAnsi="Book Antiqua"/>
        </w:rPr>
        <w:t xml:space="preserve"> K, </w:t>
      </w:r>
      <w:proofErr w:type="spellStart"/>
      <w:r>
        <w:rPr>
          <w:rFonts w:ascii="Book Antiqua" w:hAnsi="Book Antiqua"/>
        </w:rPr>
        <w:t>Kröber</w:t>
      </w:r>
      <w:proofErr w:type="spellEnd"/>
      <w:r>
        <w:rPr>
          <w:rFonts w:ascii="Book Antiqua" w:hAnsi="Book Antiqua"/>
        </w:rPr>
        <w:t xml:space="preserve"> S, </w:t>
      </w:r>
      <w:proofErr w:type="spellStart"/>
      <w:r>
        <w:rPr>
          <w:rFonts w:ascii="Book Antiqua" w:hAnsi="Book Antiqua"/>
        </w:rPr>
        <w:t>Hahnen</w:t>
      </w:r>
      <w:proofErr w:type="spellEnd"/>
      <w:r>
        <w:rPr>
          <w:rFonts w:ascii="Book Antiqua" w:hAnsi="Book Antiqua"/>
        </w:rPr>
        <w:t xml:space="preserve"> E, </w:t>
      </w:r>
      <w:proofErr w:type="spellStart"/>
      <w:r>
        <w:rPr>
          <w:rFonts w:ascii="Book Antiqua" w:hAnsi="Book Antiqua"/>
        </w:rPr>
        <w:t>Schmutzler</w:t>
      </w:r>
      <w:proofErr w:type="spellEnd"/>
      <w:r>
        <w:rPr>
          <w:rFonts w:ascii="Book Antiqua" w:hAnsi="Book Antiqua"/>
        </w:rPr>
        <w:t xml:space="preserve"> R, </w:t>
      </w:r>
      <w:proofErr w:type="spellStart"/>
      <w:r>
        <w:rPr>
          <w:rFonts w:ascii="Book Antiqua" w:hAnsi="Book Antiqua"/>
        </w:rPr>
        <w:t>Rhiem</w:t>
      </w:r>
      <w:proofErr w:type="spellEnd"/>
      <w:r>
        <w:rPr>
          <w:rFonts w:ascii="Book Antiqua" w:hAnsi="Book Antiqua"/>
        </w:rPr>
        <w:t xml:space="preserve"> K. Non-small cell neuroendocrine carcinoma of the ovary in a BRCA2-germline mutation carrier: A case report and brief review of the literature. </w:t>
      </w:r>
      <w:r>
        <w:rPr>
          <w:rFonts w:ascii="Book Antiqua" w:hAnsi="Book Antiqua"/>
          <w:i/>
          <w:iCs/>
        </w:rPr>
        <w:t>Oncol Lett</w:t>
      </w:r>
      <w:r>
        <w:rPr>
          <w:rFonts w:ascii="Book Antiqua" w:hAnsi="Book Antiqua"/>
        </w:rPr>
        <w:t xml:space="preserve"> 2018; </w:t>
      </w:r>
      <w:r>
        <w:rPr>
          <w:rFonts w:ascii="Book Antiqua" w:hAnsi="Book Antiqua"/>
          <w:b/>
          <w:bCs/>
        </w:rPr>
        <w:t>15</w:t>
      </w:r>
      <w:r>
        <w:rPr>
          <w:rFonts w:ascii="Book Antiqua" w:hAnsi="Book Antiqua"/>
        </w:rPr>
        <w:t>: 4093-4096 [PMID: 29541174 DOI: 10.3892/ol.2018.7836]</w:t>
      </w:r>
    </w:p>
    <w:p w14:paraId="768943D8" w14:textId="77777777" w:rsidR="00005863"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Hansford S</w:t>
      </w:r>
      <w:r>
        <w:rPr>
          <w:rFonts w:ascii="Book Antiqua" w:hAnsi="Book Antiqua"/>
        </w:rPr>
        <w:t xml:space="preserve">, </w:t>
      </w:r>
      <w:proofErr w:type="spellStart"/>
      <w:r>
        <w:rPr>
          <w:rFonts w:ascii="Book Antiqua" w:hAnsi="Book Antiqua"/>
        </w:rPr>
        <w:t>Kaurah</w:t>
      </w:r>
      <w:proofErr w:type="spellEnd"/>
      <w:r>
        <w:rPr>
          <w:rFonts w:ascii="Book Antiqua" w:hAnsi="Book Antiqua"/>
        </w:rPr>
        <w:t xml:space="preserve"> P, Li-Chang H, Woo M, </w:t>
      </w:r>
      <w:proofErr w:type="spellStart"/>
      <w:r>
        <w:rPr>
          <w:rFonts w:ascii="Book Antiqua" w:hAnsi="Book Antiqua"/>
        </w:rPr>
        <w:t>Senz</w:t>
      </w:r>
      <w:proofErr w:type="spellEnd"/>
      <w:r>
        <w:rPr>
          <w:rFonts w:ascii="Book Antiqua" w:hAnsi="Book Antiqua"/>
        </w:rPr>
        <w:t xml:space="preserve"> J, Pinheiro H, Schrader KA, Schaeffer DF, </w:t>
      </w:r>
      <w:proofErr w:type="spellStart"/>
      <w:r>
        <w:rPr>
          <w:rFonts w:ascii="Book Antiqua" w:hAnsi="Book Antiqua"/>
        </w:rPr>
        <w:t>Shumansky</w:t>
      </w:r>
      <w:proofErr w:type="spellEnd"/>
      <w:r>
        <w:rPr>
          <w:rFonts w:ascii="Book Antiqua" w:hAnsi="Book Antiqua"/>
        </w:rPr>
        <w:t xml:space="preserve"> K, </w:t>
      </w:r>
      <w:proofErr w:type="spellStart"/>
      <w:r>
        <w:rPr>
          <w:rFonts w:ascii="Book Antiqua" w:hAnsi="Book Antiqua"/>
        </w:rPr>
        <w:t>Zogopoulos</w:t>
      </w:r>
      <w:proofErr w:type="spellEnd"/>
      <w:r>
        <w:rPr>
          <w:rFonts w:ascii="Book Antiqua" w:hAnsi="Book Antiqua"/>
        </w:rPr>
        <w:t xml:space="preserve"> G, Santos TA, Claro I, Carvalho J, Nielsen C, Padilla S, Lum A, </w:t>
      </w:r>
      <w:proofErr w:type="spellStart"/>
      <w:r>
        <w:rPr>
          <w:rFonts w:ascii="Book Antiqua" w:hAnsi="Book Antiqua"/>
        </w:rPr>
        <w:t>Talhouk</w:t>
      </w:r>
      <w:proofErr w:type="spellEnd"/>
      <w:r>
        <w:rPr>
          <w:rFonts w:ascii="Book Antiqua" w:hAnsi="Book Antiqua"/>
        </w:rPr>
        <w:t xml:space="preserve"> A, Baker-Lange K, Richardson S, Lewis I, Lindor NM, Pennell E, MacMillan A, Fernandez B, Keller G, Lynch H, Shah SP, Guilford P, </w:t>
      </w:r>
      <w:proofErr w:type="spellStart"/>
      <w:r>
        <w:rPr>
          <w:rFonts w:ascii="Book Antiqua" w:hAnsi="Book Antiqua"/>
        </w:rPr>
        <w:t>Gallinger</w:t>
      </w:r>
      <w:proofErr w:type="spellEnd"/>
      <w:r>
        <w:rPr>
          <w:rFonts w:ascii="Book Antiqua" w:hAnsi="Book Antiqua"/>
        </w:rPr>
        <w:t xml:space="preserve"> S, Corso G, </w:t>
      </w:r>
      <w:proofErr w:type="spellStart"/>
      <w:r>
        <w:rPr>
          <w:rFonts w:ascii="Book Antiqua" w:hAnsi="Book Antiqua"/>
        </w:rPr>
        <w:t>Roviello</w:t>
      </w:r>
      <w:proofErr w:type="spellEnd"/>
      <w:r>
        <w:rPr>
          <w:rFonts w:ascii="Book Antiqua" w:hAnsi="Book Antiqua"/>
        </w:rPr>
        <w:t xml:space="preserve"> F, Caldas C, Oliveira C, Pharoah PD, Huntsman DG. Hereditary Diffuse Gastric Cancer Syndrome: CDH1 Mutations and Beyond. </w:t>
      </w:r>
      <w:r>
        <w:rPr>
          <w:rFonts w:ascii="Book Antiqua" w:hAnsi="Book Antiqua"/>
          <w:i/>
          <w:iCs/>
        </w:rPr>
        <w:t>JAMA Oncol</w:t>
      </w:r>
      <w:r>
        <w:rPr>
          <w:rFonts w:ascii="Book Antiqua" w:hAnsi="Book Antiqua"/>
        </w:rPr>
        <w:t xml:space="preserve"> 2015; </w:t>
      </w:r>
      <w:r>
        <w:rPr>
          <w:rFonts w:ascii="Book Antiqua" w:hAnsi="Book Antiqua"/>
          <w:b/>
          <w:bCs/>
        </w:rPr>
        <w:t>1</w:t>
      </w:r>
      <w:r>
        <w:rPr>
          <w:rFonts w:ascii="Book Antiqua" w:hAnsi="Book Antiqua"/>
        </w:rPr>
        <w:t>: 23-32 [PMID: 26182300 DOI: 10.1001/jamaoncol.2014.168]</w:t>
      </w:r>
    </w:p>
    <w:p w14:paraId="0AFCAC62" w14:textId="77777777" w:rsidR="00005863" w:rsidRDefault="00000000">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Dulskas</w:t>
      </w:r>
      <w:proofErr w:type="spellEnd"/>
      <w:r>
        <w:rPr>
          <w:rFonts w:ascii="Book Antiqua" w:hAnsi="Book Antiqua"/>
          <w:b/>
          <w:bCs/>
        </w:rPr>
        <w:t xml:space="preserve"> A</w:t>
      </w:r>
      <w:r>
        <w:rPr>
          <w:rFonts w:ascii="Book Antiqua" w:hAnsi="Book Antiqua"/>
        </w:rPr>
        <w:t xml:space="preserve">, Al Bandar M, Choi YY, Shin SJ, </w:t>
      </w:r>
      <w:proofErr w:type="spellStart"/>
      <w:r>
        <w:rPr>
          <w:rFonts w:ascii="Book Antiqua" w:hAnsi="Book Antiqua"/>
        </w:rPr>
        <w:t>Beom</w:t>
      </w:r>
      <w:proofErr w:type="spellEnd"/>
      <w:r>
        <w:rPr>
          <w:rFonts w:ascii="Book Antiqua" w:hAnsi="Book Antiqua"/>
        </w:rPr>
        <w:t xml:space="preserve"> SH, Son T, Kim HI, Cheong JH, Hyung WJ, Noh SH. A case of gastric cancer metastasis to the breast in a female with BRCA2 germline mutation and literature review. </w:t>
      </w:r>
      <w:r>
        <w:rPr>
          <w:rFonts w:ascii="Book Antiqua" w:hAnsi="Book Antiqua"/>
          <w:i/>
          <w:iCs/>
        </w:rPr>
        <w:t xml:space="preserve">Acta </w:t>
      </w:r>
      <w:proofErr w:type="spellStart"/>
      <w:r>
        <w:rPr>
          <w:rFonts w:ascii="Book Antiqua" w:hAnsi="Book Antiqua"/>
          <w:i/>
          <w:iCs/>
        </w:rPr>
        <w:t>Chir</w:t>
      </w:r>
      <w:proofErr w:type="spellEnd"/>
      <w:r>
        <w:rPr>
          <w:rFonts w:ascii="Book Antiqua" w:hAnsi="Book Antiqua"/>
          <w:i/>
          <w:iCs/>
        </w:rPr>
        <w:t xml:space="preserve"> </w:t>
      </w:r>
      <w:proofErr w:type="spellStart"/>
      <w:r>
        <w:rPr>
          <w:rFonts w:ascii="Book Antiqua" w:hAnsi="Book Antiqua"/>
          <w:i/>
          <w:iCs/>
        </w:rPr>
        <w:t>Belg</w:t>
      </w:r>
      <w:proofErr w:type="spellEnd"/>
      <w:r>
        <w:rPr>
          <w:rFonts w:ascii="Book Antiqua" w:hAnsi="Book Antiqua"/>
        </w:rPr>
        <w:t xml:space="preserve"> 2019; </w:t>
      </w:r>
      <w:r>
        <w:rPr>
          <w:rFonts w:ascii="Book Antiqua" w:hAnsi="Book Antiqua"/>
          <w:b/>
          <w:bCs/>
        </w:rPr>
        <w:t>119</w:t>
      </w:r>
      <w:r>
        <w:rPr>
          <w:rFonts w:ascii="Book Antiqua" w:hAnsi="Book Antiqua"/>
        </w:rPr>
        <w:t>: 59-63 [PMID: 29202657 DOI: 10.1080/00015458.2017.1411554]</w:t>
      </w:r>
    </w:p>
    <w:p w14:paraId="1A6DE945" w14:textId="77777777" w:rsidR="00005863" w:rsidRDefault="00000000">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Szybowska</w:t>
      </w:r>
      <w:proofErr w:type="spellEnd"/>
      <w:r>
        <w:rPr>
          <w:rFonts w:ascii="Book Antiqua" w:hAnsi="Book Antiqua"/>
          <w:b/>
          <w:bCs/>
        </w:rPr>
        <w:t xml:space="preserve"> M</w:t>
      </w:r>
      <w:r>
        <w:rPr>
          <w:rFonts w:ascii="Book Antiqua" w:hAnsi="Book Antiqua"/>
        </w:rPr>
        <w:t xml:space="preserve">, Mete O, Weber E, Silver J, Kim RH. Neuroendocrine Neoplasms Associated with Germline Pathogenic Variants in the Homologous Recombination </w:t>
      </w:r>
      <w:r>
        <w:rPr>
          <w:rFonts w:ascii="Book Antiqua" w:hAnsi="Book Antiqua"/>
        </w:rPr>
        <w:lastRenderedPageBreak/>
        <w:t xml:space="preserve">Pathway. </w:t>
      </w:r>
      <w:proofErr w:type="spellStart"/>
      <w:r>
        <w:rPr>
          <w:rFonts w:ascii="Book Antiqua" w:hAnsi="Book Antiqua"/>
          <w:i/>
          <w:iCs/>
        </w:rPr>
        <w:t>Endocr</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2019; </w:t>
      </w:r>
      <w:r>
        <w:rPr>
          <w:rFonts w:ascii="Book Antiqua" w:hAnsi="Book Antiqua"/>
          <w:b/>
          <w:bCs/>
        </w:rPr>
        <w:t>30</w:t>
      </w:r>
      <w:r>
        <w:rPr>
          <w:rFonts w:ascii="Book Antiqua" w:hAnsi="Book Antiqua"/>
        </w:rPr>
        <w:t>: 237-245 [PMID: 30772928 DOI: 10.1007/s12022-019-9569-4]</w:t>
      </w:r>
    </w:p>
    <w:p w14:paraId="059AC25A" w14:textId="77777777" w:rsidR="00005863"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Park JY</w:t>
      </w:r>
      <w:r>
        <w:rPr>
          <w:rFonts w:ascii="Book Antiqua" w:hAnsi="Book Antiqua"/>
        </w:rPr>
        <w:t>, Cornish TC, Lam-</w:t>
      </w:r>
      <w:proofErr w:type="spellStart"/>
      <w:r>
        <w:rPr>
          <w:rFonts w:ascii="Book Antiqua" w:hAnsi="Book Antiqua"/>
        </w:rPr>
        <w:t>Himlin</w:t>
      </w:r>
      <w:proofErr w:type="spellEnd"/>
      <w:r>
        <w:rPr>
          <w:rFonts w:ascii="Book Antiqua" w:hAnsi="Book Antiqua"/>
        </w:rPr>
        <w:t xml:space="preserve"> D, Shi C, Montgomery E. Gastric lesions in patients with autoimmune metaplastic atrophic gastritis (AMAG) in a tertiary care setting.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2010; </w:t>
      </w:r>
      <w:r>
        <w:rPr>
          <w:rFonts w:ascii="Book Antiqua" w:hAnsi="Book Antiqua"/>
          <w:b/>
          <w:bCs/>
        </w:rPr>
        <w:t>34</w:t>
      </w:r>
      <w:r>
        <w:rPr>
          <w:rFonts w:ascii="Book Antiqua" w:hAnsi="Book Antiqua"/>
        </w:rPr>
        <w:t>: 1591-1598 [PMID: 20975338 DOI: 10.1097/PAS.0b013e3181f623af]</w:t>
      </w:r>
    </w:p>
    <w:p w14:paraId="1D1EB8B6" w14:textId="77777777" w:rsidR="00005863"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Zhang H</w:t>
      </w:r>
      <w:r>
        <w:rPr>
          <w:rFonts w:ascii="Book Antiqua" w:hAnsi="Book Antiqua"/>
        </w:rPr>
        <w:t xml:space="preserve">, </w:t>
      </w:r>
      <w:proofErr w:type="spellStart"/>
      <w:r>
        <w:rPr>
          <w:rFonts w:ascii="Book Antiqua" w:hAnsi="Book Antiqua"/>
        </w:rPr>
        <w:t>Jin</w:t>
      </w:r>
      <w:proofErr w:type="spellEnd"/>
      <w:r>
        <w:rPr>
          <w:rFonts w:ascii="Book Antiqua" w:hAnsi="Book Antiqua"/>
        </w:rPr>
        <w:t xml:space="preserve"> Z, Cui R, Ding S, Huang Y, Zhou L. Autoimmune metaplastic atrophic gastritis in </w:t>
      </w:r>
      <w:proofErr w:type="spellStart"/>
      <w:r>
        <w:rPr>
          <w:rFonts w:ascii="Book Antiqua" w:hAnsi="Book Antiqua"/>
        </w:rPr>
        <w:t>chinese</w:t>
      </w:r>
      <w:proofErr w:type="spellEnd"/>
      <w:r>
        <w:rPr>
          <w:rFonts w:ascii="Book Antiqua" w:hAnsi="Book Antiqua"/>
        </w:rPr>
        <w:t xml:space="preserve">: a study of 320 patients at a large tertiary medical center.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2017; </w:t>
      </w:r>
      <w:r>
        <w:rPr>
          <w:rFonts w:ascii="Book Antiqua" w:hAnsi="Book Antiqua"/>
          <w:b/>
          <w:bCs/>
        </w:rPr>
        <w:t>52</w:t>
      </w:r>
      <w:r>
        <w:rPr>
          <w:rFonts w:ascii="Book Antiqua" w:hAnsi="Book Antiqua"/>
        </w:rPr>
        <w:t>: 150-156 [PMID: 27652682 DOI: 10.1080/00365521.2016.1236397]</w:t>
      </w:r>
    </w:p>
    <w:p w14:paraId="3EA0D291" w14:textId="77777777" w:rsidR="00005863" w:rsidRDefault="00000000">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Lahner</w:t>
      </w:r>
      <w:proofErr w:type="spellEnd"/>
      <w:r>
        <w:rPr>
          <w:rFonts w:ascii="Book Antiqua" w:hAnsi="Book Antiqua"/>
          <w:b/>
          <w:bCs/>
        </w:rPr>
        <w:t xml:space="preserve"> E</w:t>
      </w:r>
      <w:r>
        <w:rPr>
          <w:rFonts w:ascii="Book Antiqua" w:hAnsi="Book Antiqua"/>
        </w:rPr>
        <w:t xml:space="preserve">, Esposito G, </w:t>
      </w:r>
      <w:proofErr w:type="spellStart"/>
      <w:r>
        <w:rPr>
          <w:rFonts w:ascii="Book Antiqua" w:hAnsi="Book Antiqua"/>
        </w:rPr>
        <w:t>Pilozzi</w:t>
      </w:r>
      <w:proofErr w:type="spellEnd"/>
      <w:r>
        <w:rPr>
          <w:rFonts w:ascii="Book Antiqua" w:hAnsi="Book Antiqua"/>
        </w:rPr>
        <w:t xml:space="preserve"> E, Galli G, </w:t>
      </w:r>
      <w:proofErr w:type="spellStart"/>
      <w:r>
        <w:rPr>
          <w:rFonts w:ascii="Book Antiqua" w:hAnsi="Book Antiqua"/>
        </w:rPr>
        <w:t>Corleto</w:t>
      </w:r>
      <w:proofErr w:type="spellEnd"/>
      <w:r>
        <w:rPr>
          <w:rFonts w:ascii="Book Antiqua" w:hAnsi="Book Antiqua"/>
        </w:rPr>
        <w:t xml:space="preserve"> VD, Di Giulio E, </w:t>
      </w:r>
      <w:proofErr w:type="spellStart"/>
      <w:r>
        <w:rPr>
          <w:rFonts w:ascii="Book Antiqua" w:hAnsi="Book Antiqua"/>
        </w:rPr>
        <w:t>Annibale</w:t>
      </w:r>
      <w:proofErr w:type="spellEnd"/>
      <w:r>
        <w:rPr>
          <w:rFonts w:ascii="Book Antiqua" w:hAnsi="Book Antiqua"/>
        </w:rPr>
        <w:t xml:space="preserve"> B. Gastric cancer in patients with type I gastric carcinoids. </w:t>
      </w:r>
      <w:r>
        <w:rPr>
          <w:rFonts w:ascii="Book Antiqua" w:hAnsi="Book Antiqua"/>
          <w:i/>
          <w:iCs/>
        </w:rPr>
        <w:t>Gastric Cancer</w:t>
      </w:r>
      <w:r>
        <w:rPr>
          <w:rFonts w:ascii="Book Antiqua" w:hAnsi="Book Antiqua"/>
        </w:rPr>
        <w:t xml:space="preserve"> 2015; </w:t>
      </w:r>
      <w:r>
        <w:rPr>
          <w:rFonts w:ascii="Book Antiqua" w:hAnsi="Book Antiqua"/>
          <w:b/>
          <w:bCs/>
        </w:rPr>
        <w:t>18</w:t>
      </w:r>
      <w:r>
        <w:rPr>
          <w:rFonts w:ascii="Book Antiqua" w:hAnsi="Book Antiqua"/>
        </w:rPr>
        <w:t>: 564-570 [PMID: 24890255 DOI: 10.1007/s10120-014-0393-8]</w:t>
      </w:r>
    </w:p>
    <w:p w14:paraId="3ABAE436" w14:textId="77777777" w:rsidR="00005863"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Lloyd KA</w:t>
      </w:r>
      <w:r>
        <w:rPr>
          <w:rFonts w:ascii="Book Antiqua" w:hAnsi="Book Antiqua"/>
        </w:rPr>
        <w:t xml:space="preserve">, Parsons BN, Burkitt MD, Moore AR, </w:t>
      </w:r>
      <w:proofErr w:type="spellStart"/>
      <w:r>
        <w:rPr>
          <w:rFonts w:ascii="Book Antiqua" w:hAnsi="Book Antiqua"/>
        </w:rPr>
        <w:t>Papoutsopoulou</w:t>
      </w:r>
      <w:proofErr w:type="spellEnd"/>
      <w:r>
        <w:rPr>
          <w:rFonts w:ascii="Book Antiqua" w:hAnsi="Book Antiqua"/>
        </w:rPr>
        <w:t xml:space="preserve"> S, Boyce M, Duckworth CA, </w:t>
      </w:r>
      <w:proofErr w:type="spellStart"/>
      <w:r>
        <w:rPr>
          <w:rFonts w:ascii="Book Antiqua" w:hAnsi="Book Antiqua"/>
        </w:rPr>
        <w:t>Exarchou</w:t>
      </w:r>
      <w:proofErr w:type="spellEnd"/>
      <w:r>
        <w:rPr>
          <w:rFonts w:ascii="Book Antiqua" w:hAnsi="Book Antiqua"/>
        </w:rPr>
        <w:t xml:space="preserve"> K, Howes N, Rainbow L, Fang Y, </w:t>
      </w:r>
      <w:proofErr w:type="spellStart"/>
      <w:r>
        <w:rPr>
          <w:rFonts w:ascii="Book Antiqua" w:hAnsi="Book Antiqua"/>
        </w:rPr>
        <w:t>Oxvig</w:t>
      </w:r>
      <w:proofErr w:type="spellEnd"/>
      <w:r>
        <w:rPr>
          <w:rFonts w:ascii="Book Antiqua" w:hAnsi="Book Antiqua"/>
        </w:rPr>
        <w:t xml:space="preserve"> C, Dodd S, Varro A, Hall N, Pritchard DM. </w:t>
      </w:r>
      <w:proofErr w:type="spellStart"/>
      <w:r>
        <w:rPr>
          <w:rFonts w:ascii="Book Antiqua" w:hAnsi="Book Antiqua"/>
        </w:rPr>
        <w:t>Netazepide</w:t>
      </w:r>
      <w:proofErr w:type="spellEnd"/>
      <w:r>
        <w:rPr>
          <w:rFonts w:ascii="Book Antiqua" w:hAnsi="Book Antiqua"/>
        </w:rPr>
        <w:t xml:space="preserve"> Inhibits Expression of Pappalysin 2 in Type 1 Gastric Neuroendocrine Tumors. </w:t>
      </w:r>
      <w:r>
        <w:rPr>
          <w:rFonts w:ascii="Book Antiqua" w:hAnsi="Book Antiqua"/>
          <w:i/>
          <w:iCs/>
        </w:rPr>
        <w:t>Cell Mol Gastroenterol Hepatol</w:t>
      </w:r>
      <w:r>
        <w:rPr>
          <w:rFonts w:ascii="Book Antiqua" w:hAnsi="Book Antiqua"/>
        </w:rPr>
        <w:t xml:space="preserve"> 2020; </w:t>
      </w:r>
      <w:r>
        <w:rPr>
          <w:rFonts w:ascii="Book Antiqua" w:hAnsi="Book Antiqua"/>
          <w:b/>
          <w:bCs/>
        </w:rPr>
        <w:t>10</w:t>
      </w:r>
      <w:r>
        <w:rPr>
          <w:rFonts w:ascii="Book Antiqua" w:hAnsi="Book Antiqua"/>
        </w:rPr>
        <w:t>: 113-132 [PMID: 32004755 DOI: 10.1016/j.jcmgh.2020.01.010]</w:t>
      </w:r>
    </w:p>
    <w:p w14:paraId="2ED1B5CC" w14:textId="77777777" w:rsidR="00005863"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Roberto GA</w:t>
      </w:r>
      <w:r>
        <w:rPr>
          <w:rFonts w:ascii="Book Antiqua" w:hAnsi="Book Antiqua"/>
        </w:rPr>
        <w:t xml:space="preserve">, Rodrigues CMB, Peixoto RD, Younes RN. Gastric neuroendocrine tumor: A practical literature review.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Oncol</w:t>
      </w:r>
      <w:r>
        <w:rPr>
          <w:rFonts w:ascii="Book Antiqua" w:hAnsi="Book Antiqua"/>
        </w:rPr>
        <w:t xml:space="preserve"> 2020; </w:t>
      </w:r>
      <w:r>
        <w:rPr>
          <w:rFonts w:ascii="Book Antiqua" w:hAnsi="Book Antiqua"/>
          <w:b/>
          <w:bCs/>
        </w:rPr>
        <w:t>12</w:t>
      </w:r>
      <w:r>
        <w:rPr>
          <w:rFonts w:ascii="Book Antiqua" w:hAnsi="Book Antiqua"/>
        </w:rPr>
        <w:t>: 850-856 [PMID: 32879663 DOI: 10.4251/</w:t>
      </w:r>
      <w:proofErr w:type="gramStart"/>
      <w:r>
        <w:rPr>
          <w:rFonts w:ascii="Book Antiqua" w:hAnsi="Book Antiqua"/>
        </w:rPr>
        <w:t>wjgo.v12.i</w:t>
      </w:r>
      <w:proofErr w:type="gramEnd"/>
      <w:r>
        <w:rPr>
          <w:rFonts w:ascii="Book Antiqua" w:hAnsi="Book Antiqua"/>
        </w:rPr>
        <w:t>8.850]</w:t>
      </w:r>
    </w:p>
    <w:p w14:paraId="3E382635" w14:textId="77777777" w:rsidR="00005863" w:rsidRDefault="00000000">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Massironi</w:t>
      </w:r>
      <w:proofErr w:type="spellEnd"/>
      <w:r>
        <w:rPr>
          <w:rFonts w:ascii="Book Antiqua" w:hAnsi="Book Antiqua"/>
          <w:b/>
          <w:bCs/>
        </w:rPr>
        <w:t xml:space="preserve"> S</w:t>
      </w:r>
      <w:r>
        <w:rPr>
          <w:rFonts w:ascii="Book Antiqua" w:hAnsi="Book Antiqua"/>
        </w:rPr>
        <w:t xml:space="preserve">, Zilli A, </w:t>
      </w:r>
      <w:proofErr w:type="spellStart"/>
      <w:r>
        <w:rPr>
          <w:rFonts w:ascii="Book Antiqua" w:hAnsi="Book Antiqua"/>
        </w:rPr>
        <w:t>Fanetti</w:t>
      </w:r>
      <w:proofErr w:type="spellEnd"/>
      <w:r>
        <w:rPr>
          <w:rFonts w:ascii="Book Antiqua" w:hAnsi="Book Antiqua"/>
        </w:rPr>
        <w:t xml:space="preserve"> I, </w:t>
      </w:r>
      <w:proofErr w:type="spellStart"/>
      <w:r>
        <w:rPr>
          <w:rFonts w:ascii="Book Antiqua" w:hAnsi="Book Antiqua"/>
        </w:rPr>
        <w:t>Ciafardini</w:t>
      </w:r>
      <w:proofErr w:type="spellEnd"/>
      <w:r>
        <w:rPr>
          <w:rFonts w:ascii="Book Antiqua" w:hAnsi="Book Antiqua"/>
        </w:rPr>
        <w:t xml:space="preserve"> C, Conte D, </w:t>
      </w:r>
      <w:proofErr w:type="spellStart"/>
      <w:r>
        <w:rPr>
          <w:rFonts w:ascii="Book Antiqua" w:hAnsi="Book Antiqua"/>
        </w:rPr>
        <w:t>Peracchi</w:t>
      </w:r>
      <w:proofErr w:type="spellEnd"/>
      <w:r>
        <w:rPr>
          <w:rFonts w:ascii="Book Antiqua" w:hAnsi="Book Antiqua"/>
        </w:rPr>
        <w:t xml:space="preserve"> M. Intermittent treatment of recurrent type-1 gastric carcinoids with somatostatin analogues in patients with chronic autoimmune atrophic gastritis. </w:t>
      </w:r>
      <w:r>
        <w:rPr>
          <w:rFonts w:ascii="Book Antiqua" w:hAnsi="Book Antiqua"/>
          <w:i/>
          <w:iCs/>
        </w:rPr>
        <w:t>Dig Liver Dis</w:t>
      </w:r>
      <w:r>
        <w:rPr>
          <w:rFonts w:ascii="Book Antiqua" w:hAnsi="Book Antiqua"/>
        </w:rPr>
        <w:t xml:space="preserve"> 2015; </w:t>
      </w:r>
      <w:r>
        <w:rPr>
          <w:rFonts w:ascii="Book Antiqua" w:hAnsi="Book Antiqua"/>
          <w:b/>
          <w:bCs/>
        </w:rPr>
        <w:t>47</w:t>
      </w:r>
      <w:r>
        <w:rPr>
          <w:rFonts w:ascii="Book Antiqua" w:hAnsi="Book Antiqua"/>
        </w:rPr>
        <w:t>: 978-983 [PMID: 26321479 DOI: 10.1016/j.dld.2015.07.155]</w:t>
      </w:r>
    </w:p>
    <w:p w14:paraId="0B1E8398" w14:textId="77777777" w:rsidR="00005863"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Rossi RE</w:t>
      </w:r>
      <w:r>
        <w:rPr>
          <w:rFonts w:ascii="Book Antiqua" w:hAnsi="Book Antiqua"/>
        </w:rPr>
        <w:t xml:space="preserve">, </w:t>
      </w:r>
      <w:proofErr w:type="spellStart"/>
      <w:r>
        <w:rPr>
          <w:rFonts w:ascii="Book Antiqua" w:hAnsi="Book Antiqua"/>
        </w:rPr>
        <w:t>Invernizzi</w:t>
      </w:r>
      <w:proofErr w:type="spellEnd"/>
      <w:r>
        <w:rPr>
          <w:rFonts w:ascii="Book Antiqua" w:hAnsi="Book Antiqua"/>
        </w:rPr>
        <w:t xml:space="preserve"> P, Mazzaferro V, </w:t>
      </w:r>
      <w:proofErr w:type="spellStart"/>
      <w:r>
        <w:rPr>
          <w:rFonts w:ascii="Book Antiqua" w:hAnsi="Book Antiqua"/>
        </w:rPr>
        <w:t>Massironi</w:t>
      </w:r>
      <w:proofErr w:type="spellEnd"/>
      <w:r>
        <w:rPr>
          <w:rFonts w:ascii="Book Antiqua" w:hAnsi="Book Antiqua"/>
        </w:rPr>
        <w:t xml:space="preserve"> S. Response and relapse rates after treatment with long-acting somatostatin analogs in multifocal or recurrent type-1 gastric carcinoids: A systematic review and meta-analysis. </w:t>
      </w:r>
      <w:r>
        <w:rPr>
          <w:rFonts w:ascii="Book Antiqua" w:hAnsi="Book Antiqua"/>
          <w:i/>
          <w:iCs/>
        </w:rPr>
        <w:t>United European Gastroenterol J</w:t>
      </w:r>
      <w:r>
        <w:rPr>
          <w:rFonts w:ascii="Book Antiqua" w:hAnsi="Book Antiqua"/>
        </w:rPr>
        <w:t xml:space="preserve"> 2020; </w:t>
      </w:r>
      <w:r>
        <w:rPr>
          <w:rFonts w:ascii="Book Antiqua" w:hAnsi="Book Antiqua"/>
          <w:b/>
          <w:bCs/>
        </w:rPr>
        <w:t>8</w:t>
      </w:r>
      <w:r>
        <w:rPr>
          <w:rFonts w:ascii="Book Antiqua" w:hAnsi="Book Antiqua"/>
        </w:rPr>
        <w:t>: 140-147 [PMID: 32213066 DOI: 10.1177/2050640619890465]</w:t>
      </w:r>
    </w:p>
    <w:p w14:paraId="2CAB0482" w14:textId="77777777" w:rsidR="00005863" w:rsidRDefault="00000000">
      <w:pPr>
        <w:spacing w:line="360" w:lineRule="auto"/>
        <w:jc w:val="both"/>
        <w:rPr>
          <w:rFonts w:ascii="Book Antiqua" w:hAnsi="Book Antiqua"/>
        </w:rPr>
      </w:pPr>
      <w:r>
        <w:rPr>
          <w:rFonts w:ascii="Book Antiqua" w:hAnsi="Book Antiqua"/>
        </w:rPr>
        <w:lastRenderedPageBreak/>
        <w:t xml:space="preserve">21 </w:t>
      </w:r>
      <w:proofErr w:type="spellStart"/>
      <w:r>
        <w:rPr>
          <w:rFonts w:ascii="Book Antiqua" w:hAnsi="Book Antiqua"/>
          <w:b/>
          <w:bCs/>
        </w:rPr>
        <w:t>Massironi</w:t>
      </w:r>
      <w:proofErr w:type="spellEnd"/>
      <w:r>
        <w:rPr>
          <w:rFonts w:ascii="Book Antiqua" w:hAnsi="Book Antiqua"/>
          <w:b/>
          <w:bCs/>
        </w:rPr>
        <w:t xml:space="preserve"> S</w:t>
      </w:r>
      <w:r>
        <w:rPr>
          <w:rFonts w:ascii="Book Antiqua" w:hAnsi="Book Antiqua"/>
        </w:rPr>
        <w:t xml:space="preserve">, Zilli A, Conte D. Somatostatin analogs for gastric carcinoids: For many, but not all.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6785-6793 [PMID: 26078554 DOI: 10.3748/</w:t>
      </w:r>
      <w:proofErr w:type="gramStart"/>
      <w:r>
        <w:rPr>
          <w:rFonts w:ascii="Book Antiqua" w:hAnsi="Book Antiqua"/>
        </w:rPr>
        <w:t>wjg.v21.i</w:t>
      </w:r>
      <w:proofErr w:type="gramEnd"/>
      <w:r>
        <w:rPr>
          <w:rFonts w:ascii="Book Antiqua" w:hAnsi="Book Antiqua"/>
        </w:rPr>
        <w:t>22.6785]</w:t>
      </w:r>
    </w:p>
    <w:p w14:paraId="37D8C219" w14:textId="77777777" w:rsidR="00005863"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Lord CJ</w:t>
      </w:r>
      <w:r>
        <w:rPr>
          <w:rFonts w:ascii="Book Antiqua" w:hAnsi="Book Antiqua"/>
        </w:rPr>
        <w:t xml:space="preserve">, Ashworth A. PARP inhibitors: Synthetic lethality in the clinic. </w:t>
      </w:r>
      <w:r>
        <w:rPr>
          <w:rFonts w:ascii="Book Antiqua" w:hAnsi="Book Antiqua"/>
          <w:i/>
          <w:iCs/>
        </w:rPr>
        <w:t>Science</w:t>
      </w:r>
      <w:r>
        <w:rPr>
          <w:rFonts w:ascii="Book Antiqua" w:hAnsi="Book Antiqua"/>
        </w:rPr>
        <w:t xml:space="preserve"> 2017; </w:t>
      </w:r>
      <w:r>
        <w:rPr>
          <w:rFonts w:ascii="Book Antiqua" w:hAnsi="Book Antiqua"/>
          <w:b/>
          <w:bCs/>
        </w:rPr>
        <w:t>355</w:t>
      </w:r>
      <w:r>
        <w:rPr>
          <w:rFonts w:ascii="Book Antiqua" w:hAnsi="Book Antiqua"/>
        </w:rPr>
        <w:t>: 1152-1158 [PMID: 28302823 DOI: 10.1126/</w:t>
      </w:r>
      <w:proofErr w:type="gramStart"/>
      <w:r>
        <w:rPr>
          <w:rFonts w:ascii="Book Antiqua" w:hAnsi="Book Antiqua"/>
        </w:rPr>
        <w:t>science.aam</w:t>
      </w:r>
      <w:proofErr w:type="gramEnd"/>
      <w:r>
        <w:rPr>
          <w:rFonts w:ascii="Book Antiqua" w:hAnsi="Book Antiqua"/>
        </w:rPr>
        <w:t>7344]</w:t>
      </w:r>
      <w:bookmarkEnd w:id="48"/>
      <w:bookmarkEnd w:id="49"/>
    </w:p>
    <w:p w14:paraId="119B0EE1" w14:textId="77777777" w:rsidR="00005863" w:rsidRDefault="00005863">
      <w:pPr>
        <w:spacing w:line="360" w:lineRule="auto"/>
        <w:jc w:val="both"/>
        <w:rPr>
          <w:rFonts w:ascii="Book Antiqua" w:eastAsia="Book Antiqua" w:hAnsi="Book Antiqua" w:cs="Book Antiqua"/>
          <w:b/>
          <w:bCs/>
          <w:color w:val="000000"/>
        </w:rPr>
      </w:pPr>
    </w:p>
    <w:p w14:paraId="04968065" w14:textId="77777777" w:rsidR="00005863" w:rsidRDefault="00005863">
      <w:pPr>
        <w:spacing w:line="360" w:lineRule="auto"/>
        <w:jc w:val="both"/>
        <w:rPr>
          <w:rFonts w:ascii="Book Antiqua" w:hAnsi="Book Antiqua"/>
        </w:rPr>
      </w:pPr>
    </w:p>
    <w:bookmarkEnd w:id="50"/>
    <w:bookmarkEnd w:id="51"/>
    <w:bookmarkEnd w:id="52"/>
    <w:p w14:paraId="1CC84E14" w14:textId="77777777" w:rsidR="00005863" w:rsidRDefault="00005863">
      <w:pPr>
        <w:spacing w:line="360" w:lineRule="auto"/>
        <w:jc w:val="both"/>
        <w:rPr>
          <w:rFonts w:ascii="Book Antiqua" w:hAnsi="Book Antiqua"/>
        </w:rPr>
        <w:sectPr w:rsidR="00005863">
          <w:pgSz w:w="12240" w:h="15840"/>
          <w:pgMar w:top="1440" w:right="1440" w:bottom="1440" w:left="1440" w:header="720" w:footer="720" w:gutter="0"/>
          <w:cols w:space="720"/>
          <w:docGrid w:linePitch="360"/>
        </w:sectPr>
      </w:pPr>
    </w:p>
    <w:p w14:paraId="4B680F42"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21E4771" w14:textId="77777777" w:rsidR="00005863"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the publication of this report.</w:t>
      </w:r>
    </w:p>
    <w:p w14:paraId="0EA7AC8B" w14:textId="77777777" w:rsidR="00005863" w:rsidRDefault="00005863">
      <w:pPr>
        <w:spacing w:line="360" w:lineRule="auto"/>
        <w:jc w:val="both"/>
        <w:rPr>
          <w:rFonts w:ascii="Book Antiqua" w:hAnsi="Book Antiqua"/>
        </w:rPr>
      </w:pPr>
    </w:p>
    <w:p w14:paraId="519318F3" w14:textId="77777777" w:rsidR="00005863"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No competing financial interests exist.</w:t>
      </w:r>
    </w:p>
    <w:p w14:paraId="133114EC" w14:textId="77777777" w:rsidR="00005863" w:rsidRDefault="00005863">
      <w:pPr>
        <w:spacing w:line="360" w:lineRule="auto"/>
        <w:jc w:val="both"/>
        <w:rPr>
          <w:rFonts w:ascii="Book Antiqua" w:hAnsi="Book Antiqua"/>
        </w:rPr>
      </w:pPr>
    </w:p>
    <w:p w14:paraId="5CFC51C3" w14:textId="77777777" w:rsidR="00005863"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56D9903D" w14:textId="77777777" w:rsidR="00005863" w:rsidRDefault="00005863">
      <w:pPr>
        <w:spacing w:line="360" w:lineRule="auto"/>
        <w:jc w:val="both"/>
        <w:rPr>
          <w:rFonts w:ascii="Book Antiqua" w:hAnsi="Book Antiqua"/>
        </w:rPr>
      </w:pPr>
    </w:p>
    <w:p w14:paraId="737F4B4D" w14:textId="77777777" w:rsidR="00005863"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78AC53" w14:textId="77777777" w:rsidR="00005863" w:rsidRDefault="00005863">
      <w:pPr>
        <w:spacing w:line="360" w:lineRule="auto"/>
        <w:jc w:val="both"/>
        <w:rPr>
          <w:rFonts w:ascii="Book Antiqua" w:hAnsi="Book Antiqua"/>
        </w:rPr>
      </w:pPr>
    </w:p>
    <w:p w14:paraId="3177E6F6"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FE43A1D"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1966711" w14:textId="77777777" w:rsidR="00005863" w:rsidRDefault="00005863">
      <w:pPr>
        <w:spacing w:line="360" w:lineRule="auto"/>
        <w:jc w:val="both"/>
        <w:rPr>
          <w:rFonts w:ascii="Book Antiqua" w:hAnsi="Book Antiqua"/>
        </w:rPr>
      </w:pPr>
    </w:p>
    <w:p w14:paraId="11FCCCAC"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8, 2023</w:t>
      </w:r>
    </w:p>
    <w:p w14:paraId="2A449FA1"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May 27, 2023</w:t>
      </w:r>
    </w:p>
    <w:p w14:paraId="25AC9F5C"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A6A44EA" w14:textId="77777777" w:rsidR="00005863" w:rsidRDefault="00005863">
      <w:pPr>
        <w:spacing w:line="360" w:lineRule="auto"/>
        <w:jc w:val="both"/>
        <w:rPr>
          <w:rFonts w:ascii="Book Antiqua" w:hAnsi="Book Antiqua"/>
        </w:rPr>
      </w:pPr>
    </w:p>
    <w:p w14:paraId="09E2C391"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5B753D22"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BB728AE" w14:textId="77777777" w:rsidR="00005863"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CA06131" w14:textId="77777777" w:rsidR="00005863" w:rsidRDefault="00000000">
      <w:pPr>
        <w:spacing w:line="360" w:lineRule="auto"/>
        <w:jc w:val="both"/>
        <w:rPr>
          <w:rFonts w:ascii="Book Antiqua" w:hAnsi="Book Antiqua"/>
        </w:rPr>
      </w:pPr>
      <w:r>
        <w:rPr>
          <w:rFonts w:ascii="Book Antiqua" w:eastAsia="Book Antiqua" w:hAnsi="Book Antiqua" w:cs="Book Antiqua"/>
        </w:rPr>
        <w:t>Grade A (Excellent): 0</w:t>
      </w:r>
    </w:p>
    <w:p w14:paraId="2FBD87AB" w14:textId="77777777" w:rsidR="00005863" w:rsidRDefault="00000000">
      <w:pPr>
        <w:spacing w:line="360" w:lineRule="auto"/>
        <w:jc w:val="both"/>
        <w:rPr>
          <w:rFonts w:ascii="Book Antiqua" w:hAnsi="Book Antiqua"/>
        </w:rPr>
      </w:pPr>
      <w:r>
        <w:rPr>
          <w:rFonts w:ascii="Book Antiqua" w:eastAsia="Book Antiqua" w:hAnsi="Book Antiqua" w:cs="Book Antiqua"/>
        </w:rPr>
        <w:t>Grade B (Very good): 0</w:t>
      </w:r>
    </w:p>
    <w:p w14:paraId="150A7022" w14:textId="77777777" w:rsidR="00005863" w:rsidRDefault="00000000">
      <w:pPr>
        <w:spacing w:line="360" w:lineRule="auto"/>
        <w:jc w:val="both"/>
        <w:rPr>
          <w:rFonts w:ascii="Book Antiqua" w:hAnsi="Book Antiqua"/>
        </w:rPr>
      </w:pPr>
      <w:r>
        <w:rPr>
          <w:rFonts w:ascii="Book Antiqua" w:eastAsia="Book Antiqua" w:hAnsi="Book Antiqua" w:cs="Book Antiqua"/>
        </w:rPr>
        <w:lastRenderedPageBreak/>
        <w:t>Grade C (Good): C, C</w:t>
      </w:r>
    </w:p>
    <w:p w14:paraId="4C7C86FE" w14:textId="77777777" w:rsidR="00005863" w:rsidRDefault="00000000">
      <w:pPr>
        <w:spacing w:line="360" w:lineRule="auto"/>
        <w:jc w:val="both"/>
        <w:rPr>
          <w:rFonts w:ascii="Book Antiqua" w:hAnsi="Book Antiqua"/>
        </w:rPr>
      </w:pPr>
      <w:r>
        <w:rPr>
          <w:rFonts w:ascii="Book Antiqua" w:eastAsia="Book Antiqua" w:hAnsi="Book Antiqua" w:cs="Book Antiqua"/>
        </w:rPr>
        <w:t>Grade D (Fair): 0</w:t>
      </w:r>
    </w:p>
    <w:p w14:paraId="6053926B" w14:textId="77777777" w:rsidR="00005863" w:rsidRDefault="00000000">
      <w:pPr>
        <w:spacing w:line="360" w:lineRule="auto"/>
        <w:jc w:val="both"/>
        <w:rPr>
          <w:rFonts w:ascii="Book Antiqua" w:hAnsi="Book Antiqua"/>
        </w:rPr>
      </w:pPr>
      <w:r>
        <w:rPr>
          <w:rFonts w:ascii="Book Antiqua" w:eastAsia="Book Antiqua" w:hAnsi="Book Antiqua" w:cs="Book Antiqua"/>
        </w:rPr>
        <w:t>Grade E (Poor): 0</w:t>
      </w:r>
    </w:p>
    <w:p w14:paraId="0124EC0A" w14:textId="77777777" w:rsidR="00005863" w:rsidRDefault="00005863">
      <w:pPr>
        <w:spacing w:line="360" w:lineRule="auto"/>
        <w:jc w:val="both"/>
        <w:rPr>
          <w:rFonts w:ascii="Book Antiqua" w:hAnsi="Book Antiqua"/>
        </w:rPr>
      </w:pPr>
    </w:p>
    <w:p w14:paraId="007FF4F5" w14:textId="77777777" w:rsidR="00005863"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 xml:space="preserve">Dilek ON, Turkey; </w:t>
      </w:r>
      <w:proofErr w:type="spellStart"/>
      <w:r>
        <w:rPr>
          <w:rFonts w:ascii="Book Antiqua" w:eastAsia="Book Antiqua" w:hAnsi="Book Antiqua" w:cs="Book Antiqua"/>
        </w:rPr>
        <w:t>Massironi</w:t>
      </w:r>
      <w:proofErr w:type="spellEnd"/>
      <w:r>
        <w:rPr>
          <w:rFonts w:ascii="Book Antiqua" w:eastAsia="Book Antiqua" w:hAnsi="Book Antiqua" w:cs="Book Antiqua"/>
        </w:rPr>
        <w:t xml:space="preserve"> S, Italy</w:t>
      </w:r>
      <w:r>
        <w:rPr>
          <w:rFonts w:ascii="Book Antiqua" w:eastAsia="Book Antiqua" w:hAnsi="Book Antiqua" w:cs="Book Antiqua"/>
          <w:b/>
          <w:color w:val="000000"/>
        </w:rPr>
        <w:t xml:space="preserve"> S-Editor: </w:t>
      </w:r>
      <w:bookmarkStart w:id="53" w:name="OLE_LINK1123"/>
      <w:r>
        <w:rPr>
          <w:rFonts w:ascii="Book Antiqua" w:eastAsia="Book Antiqua" w:hAnsi="Book Antiqua" w:cs="Book Antiqua"/>
          <w:bCs/>
          <w:color w:val="000000"/>
        </w:rPr>
        <w:t>Yan JP</w:t>
      </w:r>
      <w:bookmarkEnd w:id="53"/>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bookmarkEnd w:id="0"/>
      <w:bookmarkEnd w:id="1"/>
      <w:bookmarkEnd w:id="2"/>
      <w:bookmarkEnd w:id="3"/>
    </w:p>
    <w:p w14:paraId="47E50CC2" w14:textId="77777777" w:rsidR="00005863" w:rsidRDefault="00005863">
      <w:pPr>
        <w:spacing w:line="360" w:lineRule="auto"/>
        <w:jc w:val="both"/>
        <w:rPr>
          <w:rFonts w:ascii="Book Antiqua" w:eastAsia="Book Antiqua" w:hAnsi="Book Antiqua" w:cs="Book Antiqua"/>
          <w:b/>
          <w:color w:val="000000"/>
        </w:rPr>
      </w:pPr>
    </w:p>
    <w:p w14:paraId="392744D4" w14:textId="77777777" w:rsidR="00005863" w:rsidRDefault="00005863">
      <w:pPr>
        <w:spacing w:line="360" w:lineRule="auto"/>
        <w:jc w:val="both"/>
        <w:rPr>
          <w:rFonts w:ascii="Book Antiqua" w:hAnsi="Book Antiqua"/>
        </w:rPr>
        <w:sectPr w:rsidR="00005863">
          <w:pgSz w:w="12240" w:h="15840"/>
          <w:pgMar w:top="1440" w:right="1440" w:bottom="1440" w:left="1440" w:header="720" w:footer="720" w:gutter="0"/>
          <w:cols w:space="720"/>
          <w:docGrid w:linePitch="360"/>
        </w:sectPr>
      </w:pPr>
    </w:p>
    <w:p w14:paraId="32885C26" w14:textId="77777777" w:rsidR="00005863" w:rsidRDefault="00000000">
      <w:pPr>
        <w:spacing w:line="360" w:lineRule="auto"/>
        <w:rPr>
          <w:rFonts w:ascii="Book Antiqua" w:eastAsia="Book Antiqua" w:hAnsi="Book Antiqua" w:cs="Book Antiqua"/>
          <w:b/>
          <w:color w:val="000000"/>
        </w:rPr>
      </w:pPr>
      <w:bookmarkStart w:id="54" w:name="OLE_LINK6367"/>
      <w:bookmarkStart w:id="55" w:name="OLE_LINK5324"/>
      <w:bookmarkStart w:id="56" w:name="OLE_LINK6366"/>
      <w:bookmarkStart w:id="57" w:name="OLE_LINK5728"/>
      <w:bookmarkStart w:id="58" w:name="OLE_LINK5402"/>
      <w:bookmarkStart w:id="59" w:name="OLE_LINK6538"/>
      <w:bookmarkStart w:id="60" w:name="OLE_LINK6320"/>
      <w:bookmarkStart w:id="61" w:name="OLE_LINK3674"/>
      <w:bookmarkStart w:id="62" w:name="OLE_LINK6400"/>
      <w:bookmarkStart w:id="63" w:name="OLE_LINK6316"/>
      <w:bookmarkStart w:id="64" w:name="OLE_LINK6232"/>
      <w:bookmarkStart w:id="65" w:name="OLE_LINK5777"/>
      <w:bookmarkStart w:id="66" w:name="OLE_LINK5829"/>
      <w:bookmarkStart w:id="67" w:name="OLE_LINK3722"/>
      <w:bookmarkStart w:id="68" w:name="OLE_LINK5403"/>
      <w:r>
        <w:rPr>
          <w:rFonts w:ascii="Book Antiqua" w:eastAsia="Book Antiqua" w:hAnsi="Book Antiqua" w:cs="Book Antiqua"/>
          <w:b/>
          <w:color w:val="000000"/>
        </w:rPr>
        <w:lastRenderedPageBreak/>
        <w:t>Figure Legends</w:t>
      </w:r>
    </w:p>
    <w:p w14:paraId="3443DD32" w14:textId="77777777" w:rsidR="00005863" w:rsidRDefault="00000000">
      <w:pPr>
        <w:spacing w:line="360" w:lineRule="auto"/>
        <w:rPr>
          <w:rFonts w:ascii="Book Antiqua" w:eastAsia="Book Antiqua" w:hAnsi="Book Antiqua" w:cs="Book Antiqua"/>
          <w:b/>
          <w:color w:val="000000"/>
          <w:lang w:eastAsia="zh-CN"/>
        </w:rPr>
      </w:pPr>
      <w:r>
        <w:rPr>
          <w:rFonts w:ascii="Book Antiqua" w:eastAsia="Book Antiqua" w:hAnsi="Book Antiqua" w:cs="Book Antiqua" w:hint="eastAsia"/>
          <w:b/>
          <w:noProof/>
          <w:color w:val="000000"/>
          <w:lang w:eastAsia="zh-CN"/>
        </w:rPr>
        <w:drawing>
          <wp:inline distT="0" distB="0" distL="0" distR="0" wp14:anchorId="012AF3DC" wp14:editId="67D9F2D8">
            <wp:extent cx="5943600" cy="3123565"/>
            <wp:effectExtent l="0" t="0" r="0" b="0"/>
            <wp:docPr id="939069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9530"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3123565"/>
                    </a:xfrm>
                    <a:prstGeom prst="rect">
                      <a:avLst/>
                    </a:prstGeom>
                  </pic:spPr>
                </pic:pic>
              </a:graphicData>
            </a:graphic>
          </wp:inline>
        </w:drawing>
      </w:r>
    </w:p>
    <w:p w14:paraId="2A899444" w14:textId="77777777" w:rsidR="00005863" w:rsidRDefault="00005863">
      <w:pPr>
        <w:spacing w:line="360" w:lineRule="auto"/>
        <w:rPr>
          <w:rFonts w:ascii="Book Antiqua" w:hAnsi="Book Antiqua"/>
        </w:rPr>
      </w:pP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14:paraId="7B09CB04" w14:textId="77777777" w:rsidR="00005863" w:rsidRDefault="00000000">
      <w:pPr>
        <w:spacing w:line="360" w:lineRule="auto"/>
        <w:jc w:val="both"/>
        <w:rPr>
          <w:rFonts w:ascii="Book Antiqua" w:hAnsi="Book Antiqua"/>
          <w:lang w:eastAsia="zh-CN"/>
        </w:rPr>
      </w:pPr>
      <w:r>
        <w:rPr>
          <w:rFonts w:ascii="Book Antiqua" w:hAnsi="Book Antiqua"/>
          <w:b/>
          <w:bCs/>
          <w:lang w:eastAsia="zh-CN"/>
        </w:rPr>
        <w:t>Figure 1 Polyp</w:t>
      </w:r>
      <w:r>
        <w:rPr>
          <w:rFonts w:ascii="Book Antiqua" w:hAnsi="Book Antiqua" w:hint="eastAsia"/>
          <w:b/>
          <w:bCs/>
          <w:lang w:eastAsia="zh-CN"/>
        </w:rPr>
        <w:t>s</w:t>
      </w:r>
      <w:r>
        <w:rPr>
          <w:rFonts w:ascii="Book Antiqua" w:hAnsi="Book Antiqua"/>
          <w:b/>
          <w:bCs/>
          <w:lang w:eastAsia="zh-CN"/>
        </w:rPr>
        <w:t xml:space="preserve"> and </w:t>
      </w:r>
      <w:proofErr w:type="gramStart"/>
      <w:r>
        <w:rPr>
          <w:rFonts w:ascii="Book Antiqua" w:hAnsi="Book Antiqua" w:hint="eastAsia"/>
          <w:b/>
          <w:bCs/>
          <w:lang w:eastAsia="zh-CN"/>
        </w:rPr>
        <w:t>a</w:t>
      </w:r>
      <w:proofErr w:type="gramEnd"/>
      <w:r>
        <w:rPr>
          <w:rFonts w:ascii="Book Antiqua" w:hAnsi="Book Antiqua" w:hint="eastAsia"/>
          <w:b/>
          <w:bCs/>
          <w:lang w:eastAsia="zh-CN"/>
        </w:rPr>
        <w:t xml:space="preserve"> </w:t>
      </w:r>
      <w:r>
        <w:rPr>
          <w:rFonts w:ascii="Book Antiqua" w:hAnsi="Book Antiqua"/>
          <w:b/>
          <w:bCs/>
          <w:lang w:eastAsia="zh-CN"/>
        </w:rPr>
        <w:t xml:space="preserve">ulcer of </w:t>
      </w:r>
      <w:r>
        <w:rPr>
          <w:rFonts w:ascii="Book Antiqua" w:hAnsi="Book Antiqua" w:hint="eastAsia"/>
          <w:b/>
          <w:bCs/>
          <w:lang w:eastAsia="zh-CN"/>
        </w:rPr>
        <w:t xml:space="preserve">the </w:t>
      </w:r>
      <w:r>
        <w:rPr>
          <w:rFonts w:ascii="Book Antiqua" w:hAnsi="Book Antiqua"/>
          <w:b/>
          <w:bCs/>
          <w:lang w:eastAsia="zh-CN"/>
        </w:rPr>
        <w:t xml:space="preserve">gastric mucosa could be seen under </w:t>
      </w:r>
      <w:r>
        <w:rPr>
          <w:rFonts w:ascii="Book Antiqua" w:hAnsi="Book Antiqua" w:hint="eastAsia"/>
          <w:b/>
          <w:bCs/>
          <w:lang w:eastAsia="zh-CN"/>
        </w:rPr>
        <w:t xml:space="preserve">an </w:t>
      </w:r>
      <w:r>
        <w:rPr>
          <w:rFonts w:ascii="Book Antiqua" w:hAnsi="Book Antiqua"/>
          <w:b/>
          <w:bCs/>
          <w:lang w:eastAsia="zh-CN"/>
        </w:rPr>
        <w:t xml:space="preserve">endoscope. </w:t>
      </w:r>
      <w:r>
        <w:rPr>
          <w:rFonts w:ascii="Book Antiqua" w:hAnsi="Book Antiqua"/>
          <w:lang w:eastAsia="zh-CN"/>
        </w:rPr>
        <w:t>A: Gastric mucosa atrophy and polyps were seen; B: A superficial ulcer with central scar-like change</w:t>
      </w:r>
      <w:r>
        <w:rPr>
          <w:rFonts w:ascii="Book Antiqua" w:hAnsi="Book Antiqua" w:hint="eastAsia"/>
          <w:lang w:eastAsia="zh-CN"/>
        </w:rPr>
        <w:t>s</w:t>
      </w:r>
      <w:r>
        <w:rPr>
          <w:rFonts w:ascii="Book Antiqua" w:hAnsi="Book Antiqua"/>
          <w:lang w:eastAsia="zh-CN"/>
        </w:rPr>
        <w:t xml:space="preserve"> was seen in the large curvature of the central part of the stomach.</w:t>
      </w:r>
    </w:p>
    <w:p w14:paraId="41BE623F" w14:textId="77777777" w:rsidR="00005863" w:rsidRDefault="00005863">
      <w:pPr>
        <w:spacing w:line="360" w:lineRule="auto"/>
        <w:jc w:val="both"/>
        <w:rPr>
          <w:rFonts w:ascii="Book Antiqua" w:hAnsi="Book Antiqua"/>
          <w:lang w:eastAsia="zh-CN"/>
        </w:rPr>
      </w:pPr>
    </w:p>
    <w:p w14:paraId="3FCBE63A" w14:textId="77777777" w:rsidR="00005863" w:rsidRDefault="00005863">
      <w:pPr>
        <w:spacing w:line="360" w:lineRule="auto"/>
        <w:jc w:val="both"/>
        <w:rPr>
          <w:rFonts w:ascii="Book Antiqua" w:hAnsi="Book Antiqua"/>
          <w:lang w:eastAsia="zh-CN"/>
        </w:rPr>
        <w:sectPr w:rsidR="00005863">
          <w:pgSz w:w="12240" w:h="15840"/>
          <w:pgMar w:top="1440" w:right="1440" w:bottom="1440" w:left="1440" w:header="720" w:footer="720" w:gutter="0"/>
          <w:cols w:space="720"/>
          <w:docGrid w:linePitch="360"/>
        </w:sectPr>
      </w:pPr>
    </w:p>
    <w:p w14:paraId="0C4C02A9" w14:textId="77777777" w:rsidR="00005863" w:rsidRDefault="00000000">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2F4643F4" wp14:editId="35A9B3C5">
            <wp:extent cx="5943600" cy="2987675"/>
            <wp:effectExtent l="0" t="0" r="0" b="0"/>
            <wp:docPr id="4592749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74997"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14:paraId="5B0EBABA" w14:textId="77777777" w:rsidR="00005863" w:rsidRDefault="00000000">
      <w:pPr>
        <w:spacing w:line="360" w:lineRule="auto"/>
        <w:jc w:val="both"/>
        <w:rPr>
          <w:rFonts w:ascii="Book Antiqua" w:hAnsi="Book Antiqua"/>
          <w:lang w:eastAsia="zh-CN"/>
        </w:rPr>
      </w:pPr>
      <w:r>
        <w:rPr>
          <w:rFonts w:ascii="Book Antiqua" w:hAnsi="Book Antiqua"/>
          <w:b/>
          <w:bCs/>
          <w:lang w:eastAsia="zh-CN"/>
        </w:rPr>
        <w:t>Figure 2 Pathological morphology of gastric neuroendocrine tumors.</w:t>
      </w:r>
      <w:r>
        <w:rPr>
          <w:rFonts w:ascii="Book Antiqua" w:hAnsi="Book Antiqua"/>
          <w:lang w:eastAsia="zh-CN"/>
        </w:rPr>
        <w:t xml:space="preserve"> A: Under low-power magnification, a neuroendocrine tumor was shown to infiltrate into the surrounding tissues; B: Under high-power magnification, tumor cells were rich in blood sinuses.</w:t>
      </w:r>
    </w:p>
    <w:p w14:paraId="5F1E4749" w14:textId="77777777" w:rsidR="00005863" w:rsidRDefault="00005863">
      <w:pPr>
        <w:spacing w:line="360" w:lineRule="auto"/>
        <w:jc w:val="both"/>
        <w:rPr>
          <w:rFonts w:ascii="Book Antiqua" w:hAnsi="Book Antiqua"/>
          <w:lang w:eastAsia="zh-CN"/>
        </w:rPr>
      </w:pPr>
    </w:p>
    <w:p w14:paraId="27A1B3EE" w14:textId="77777777" w:rsidR="00005863" w:rsidRDefault="00005863">
      <w:pPr>
        <w:spacing w:line="360" w:lineRule="auto"/>
        <w:jc w:val="both"/>
        <w:rPr>
          <w:rFonts w:ascii="Book Antiqua" w:hAnsi="Book Antiqua"/>
          <w:lang w:eastAsia="zh-CN"/>
        </w:rPr>
        <w:sectPr w:rsidR="00005863">
          <w:pgSz w:w="12240" w:h="15840"/>
          <w:pgMar w:top="1440" w:right="1440" w:bottom="1440" w:left="1440" w:header="720" w:footer="720" w:gutter="0"/>
          <w:cols w:space="720"/>
          <w:docGrid w:linePitch="360"/>
        </w:sectPr>
      </w:pPr>
    </w:p>
    <w:p w14:paraId="01808755" w14:textId="77777777" w:rsidR="00005863" w:rsidRDefault="00000000">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4A625506" wp14:editId="39649375">
            <wp:extent cx="5943600" cy="2961005"/>
            <wp:effectExtent l="0" t="0" r="0" b="0"/>
            <wp:docPr id="3386313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31374"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961005"/>
                    </a:xfrm>
                    <a:prstGeom prst="rect">
                      <a:avLst/>
                    </a:prstGeom>
                  </pic:spPr>
                </pic:pic>
              </a:graphicData>
            </a:graphic>
          </wp:inline>
        </w:drawing>
      </w:r>
    </w:p>
    <w:p w14:paraId="3AD48180" w14:textId="77777777" w:rsidR="00005863" w:rsidRDefault="00000000">
      <w:pPr>
        <w:spacing w:line="360" w:lineRule="auto"/>
        <w:jc w:val="both"/>
        <w:rPr>
          <w:rFonts w:ascii="Book Antiqua" w:hAnsi="Book Antiqua"/>
          <w:lang w:eastAsia="zh-CN"/>
        </w:rPr>
      </w:pPr>
      <w:r>
        <w:rPr>
          <w:rFonts w:ascii="Book Antiqua" w:hAnsi="Book Antiqua"/>
          <w:b/>
          <w:bCs/>
          <w:lang w:eastAsia="zh-CN"/>
        </w:rPr>
        <w:t>Figure 3 Pathological changes of atrophic gastritis in the gastric corpus mucosa.</w:t>
      </w:r>
      <w:r>
        <w:rPr>
          <w:rFonts w:ascii="Book Antiqua" w:hAnsi="Book Antiqua"/>
          <w:lang w:eastAsia="zh-CN"/>
        </w:rPr>
        <w:t xml:space="preserve"> A: Under low-power magnification, </w:t>
      </w:r>
      <w:r>
        <w:rPr>
          <w:rFonts w:ascii="Book Antiqua" w:hAnsi="Book Antiqua" w:hint="eastAsia"/>
          <w:lang w:eastAsia="zh-CN"/>
        </w:rPr>
        <w:t xml:space="preserve">a </w:t>
      </w:r>
      <w:r>
        <w:rPr>
          <w:rFonts w:ascii="Book Antiqua" w:hAnsi="Book Antiqua"/>
          <w:lang w:eastAsia="zh-CN"/>
        </w:rPr>
        <w:t xml:space="preserve">reduction </w:t>
      </w:r>
      <w:r>
        <w:rPr>
          <w:rFonts w:ascii="Book Antiqua" w:hAnsi="Book Antiqua" w:hint="eastAsia"/>
          <w:lang w:eastAsia="zh-CN"/>
        </w:rPr>
        <w:t xml:space="preserve">in the number </w:t>
      </w:r>
      <w:r>
        <w:rPr>
          <w:rFonts w:ascii="Book Antiqua" w:hAnsi="Book Antiqua"/>
          <w:lang w:eastAsia="zh-CN"/>
        </w:rPr>
        <w:t>of gastric fundus glands w</w:t>
      </w:r>
      <w:r>
        <w:rPr>
          <w:rFonts w:ascii="Book Antiqua" w:hAnsi="Book Antiqua" w:hint="eastAsia"/>
          <w:lang w:eastAsia="zh-CN"/>
        </w:rPr>
        <w:t>as</w:t>
      </w:r>
      <w:r>
        <w:rPr>
          <w:rFonts w:ascii="Book Antiqua" w:hAnsi="Book Antiqua"/>
          <w:lang w:eastAsia="zh-CN"/>
        </w:rPr>
        <w:t xml:space="preserve"> seen; B: Under high-power magnification, gland intestinal metaplasia and lymphocyte infiltration were seen.</w:t>
      </w:r>
    </w:p>
    <w:p w14:paraId="0578D921" w14:textId="77777777" w:rsidR="00005863" w:rsidRDefault="00005863">
      <w:pPr>
        <w:spacing w:line="360" w:lineRule="auto"/>
        <w:jc w:val="both"/>
        <w:rPr>
          <w:rFonts w:ascii="Book Antiqua" w:hAnsi="Book Antiqua"/>
          <w:lang w:eastAsia="zh-CN"/>
        </w:rPr>
        <w:sectPr w:rsidR="00005863">
          <w:pgSz w:w="12240" w:h="15840"/>
          <w:pgMar w:top="1440" w:right="1440" w:bottom="1440" w:left="1440" w:header="720" w:footer="720" w:gutter="0"/>
          <w:cols w:space="720"/>
          <w:docGrid w:linePitch="360"/>
        </w:sectPr>
      </w:pPr>
    </w:p>
    <w:p w14:paraId="082E8CD3" w14:textId="77777777" w:rsidR="00005863" w:rsidRDefault="00000000">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6279C5E5" wp14:editId="74A9CC96">
            <wp:extent cx="5176520" cy="5118735"/>
            <wp:effectExtent l="0" t="0" r="0" b="0"/>
            <wp:docPr id="9843047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470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79589" cy="5122038"/>
                    </a:xfrm>
                    <a:prstGeom prst="rect">
                      <a:avLst/>
                    </a:prstGeom>
                  </pic:spPr>
                </pic:pic>
              </a:graphicData>
            </a:graphic>
          </wp:inline>
        </w:drawing>
      </w:r>
    </w:p>
    <w:p w14:paraId="7CDD3937" w14:textId="77777777" w:rsidR="00005863" w:rsidRDefault="00000000">
      <w:pPr>
        <w:spacing w:line="360" w:lineRule="auto"/>
        <w:jc w:val="both"/>
        <w:rPr>
          <w:rFonts w:ascii="Book Antiqua" w:hAnsi="Book Antiqua"/>
          <w:lang w:eastAsia="zh-CN"/>
        </w:rPr>
      </w:pPr>
      <w:r>
        <w:rPr>
          <w:rFonts w:ascii="Book Antiqua" w:hAnsi="Book Antiqua"/>
          <w:b/>
          <w:bCs/>
          <w:lang w:eastAsia="zh-CN"/>
        </w:rPr>
        <w:t>Figure 4 Immunohistochemical</w:t>
      </w:r>
      <w:r>
        <w:rPr>
          <w:rFonts w:ascii="Book Antiqua" w:hAnsi="Book Antiqua" w:hint="eastAsia"/>
          <w:b/>
          <w:bCs/>
          <w:lang w:eastAsia="zh-CN"/>
        </w:rPr>
        <w:t xml:space="preserve"> </w:t>
      </w:r>
      <w:r>
        <w:rPr>
          <w:rFonts w:ascii="Book Antiqua" w:hAnsi="Book Antiqua"/>
          <w:b/>
          <w:bCs/>
          <w:lang w:eastAsia="zh-CN"/>
        </w:rPr>
        <w:t>findings.</w:t>
      </w:r>
      <w:r>
        <w:rPr>
          <w:rFonts w:ascii="Book Antiqua" w:hAnsi="Book Antiqua"/>
          <w:lang w:eastAsia="zh-CN"/>
        </w:rPr>
        <w:t xml:space="preserve"> A</w:t>
      </w:r>
      <w:r>
        <w:rPr>
          <w:rFonts w:ascii="Book Antiqua" w:hAnsi="Book Antiqua" w:hint="eastAsia"/>
          <w:lang w:eastAsia="zh-CN"/>
        </w:rPr>
        <w:t>-C</w:t>
      </w:r>
      <w:r>
        <w:rPr>
          <w:rFonts w:ascii="Book Antiqua" w:hAnsi="Book Antiqua"/>
          <w:lang w:eastAsia="zh-CN"/>
        </w:rPr>
        <w:t xml:space="preserve">: The tumor cells were strongly positive for </w:t>
      </w:r>
      <w:proofErr w:type="spellStart"/>
      <w:r>
        <w:rPr>
          <w:rFonts w:ascii="Book Antiqua" w:hAnsi="Book Antiqua"/>
          <w:lang w:eastAsia="zh-CN"/>
        </w:rPr>
        <w:t>CgA</w:t>
      </w:r>
      <w:proofErr w:type="spellEnd"/>
      <w:r>
        <w:rPr>
          <w:rFonts w:ascii="Book Antiqua" w:hAnsi="Book Antiqua" w:hint="eastAsia"/>
          <w:lang w:eastAsia="zh-CN"/>
        </w:rPr>
        <w:t xml:space="preserve"> (A), </w:t>
      </w:r>
      <w:r>
        <w:rPr>
          <w:rFonts w:ascii="Book Antiqua" w:hAnsi="Book Antiqua"/>
          <w:lang w:eastAsia="zh-CN"/>
        </w:rPr>
        <w:t>Syn</w:t>
      </w:r>
      <w:r>
        <w:rPr>
          <w:rFonts w:ascii="Book Antiqua" w:hAnsi="Book Antiqua" w:hint="eastAsia"/>
          <w:lang w:eastAsia="zh-CN"/>
        </w:rPr>
        <w:t xml:space="preserve"> (B), and </w:t>
      </w:r>
      <w:r>
        <w:rPr>
          <w:rFonts w:ascii="Book Antiqua" w:hAnsi="Book Antiqua"/>
          <w:lang w:eastAsia="zh-CN"/>
        </w:rPr>
        <w:t>CD56</w:t>
      </w:r>
      <w:r>
        <w:rPr>
          <w:rFonts w:ascii="Book Antiqua" w:hAnsi="Book Antiqua" w:hint="eastAsia"/>
          <w:lang w:eastAsia="zh-CN"/>
        </w:rPr>
        <w:t xml:space="preserve"> (C)</w:t>
      </w:r>
      <w:r>
        <w:rPr>
          <w:rFonts w:ascii="Book Antiqua" w:hAnsi="Book Antiqua"/>
          <w:lang w:eastAsia="zh-CN"/>
        </w:rPr>
        <w:t>; D: Immunohistochemical staining</w:t>
      </w:r>
      <w:r>
        <w:rPr>
          <w:rFonts w:ascii="Book Antiqua" w:hAnsi="Book Antiqua" w:hint="eastAsia"/>
          <w:lang w:eastAsia="zh-CN"/>
        </w:rPr>
        <w:t xml:space="preserve"> </w:t>
      </w:r>
      <w:r>
        <w:rPr>
          <w:rFonts w:ascii="Book Antiqua" w:hAnsi="Book Antiqua"/>
          <w:lang w:eastAsia="zh-CN"/>
        </w:rPr>
        <w:t>showed that gastrin was absent. An image showing</w:t>
      </w:r>
      <w:r>
        <w:rPr>
          <w:rFonts w:ascii="Book Antiqua" w:hAnsi="Book Antiqua" w:hint="eastAsia"/>
          <w:lang w:eastAsia="zh-CN"/>
        </w:rPr>
        <w:t xml:space="preserve"> positive </w:t>
      </w:r>
      <w:r>
        <w:rPr>
          <w:rFonts w:ascii="Book Antiqua" w:hAnsi="Book Antiqua"/>
          <w:lang w:eastAsia="zh-CN"/>
        </w:rPr>
        <w:t xml:space="preserve">immunohistochemical staining </w:t>
      </w:r>
      <w:r>
        <w:rPr>
          <w:rFonts w:ascii="Book Antiqua" w:hAnsi="Book Antiqua" w:hint="eastAsia"/>
          <w:lang w:eastAsia="zh-CN"/>
        </w:rPr>
        <w:t xml:space="preserve">for </w:t>
      </w:r>
      <w:r>
        <w:rPr>
          <w:rFonts w:ascii="Book Antiqua" w:hAnsi="Book Antiqua"/>
          <w:lang w:eastAsia="zh-CN"/>
        </w:rPr>
        <w:t>gastrin</w:t>
      </w:r>
      <w:r>
        <w:rPr>
          <w:rFonts w:ascii="Book Antiqua" w:hAnsi="Book Antiqua" w:hint="eastAsia"/>
          <w:lang w:eastAsia="zh-CN"/>
        </w:rPr>
        <w:t xml:space="preserve"> </w:t>
      </w:r>
      <w:r>
        <w:rPr>
          <w:rFonts w:ascii="Book Antiqua" w:hAnsi="Book Antiqua"/>
          <w:lang w:eastAsia="zh-CN"/>
        </w:rPr>
        <w:t xml:space="preserve">is presented in the lower right corner </w:t>
      </w:r>
      <w:r>
        <w:rPr>
          <w:rFonts w:ascii="Book Antiqua" w:hAnsi="Book Antiqua" w:hint="eastAsia"/>
          <w:lang w:eastAsia="zh-CN"/>
        </w:rPr>
        <w:t xml:space="preserve">as a positive control </w:t>
      </w:r>
      <w:r>
        <w:rPr>
          <w:rFonts w:ascii="Book Antiqua" w:hAnsi="Book Antiqua"/>
          <w:lang w:eastAsia="zh-CN"/>
        </w:rPr>
        <w:t>for comparison.</w:t>
      </w:r>
    </w:p>
    <w:p w14:paraId="4DE8E685" w14:textId="77777777" w:rsidR="00005863" w:rsidRDefault="00005863">
      <w:pPr>
        <w:spacing w:line="360" w:lineRule="auto"/>
        <w:jc w:val="both"/>
        <w:rPr>
          <w:rFonts w:ascii="Book Antiqua" w:hAnsi="Book Antiqua"/>
          <w:lang w:eastAsia="zh-CN"/>
        </w:rPr>
        <w:sectPr w:rsidR="00005863">
          <w:pgSz w:w="12240" w:h="15840"/>
          <w:pgMar w:top="1440" w:right="1440" w:bottom="1440" w:left="1440" w:header="720" w:footer="720" w:gutter="0"/>
          <w:cols w:space="720"/>
          <w:docGrid w:linePitch="360"/>
        </w:sectPr>
      </w:pPr>
    </w:p>
    <w:p w14:paraId="7AE059C0" w14:textId="77777777" w:rsidR="00005863" w:rsidRDefault="0000000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11A9400" wp14:editId="63AC8111">
            <wp:extent cx="5943600" cy="4663440"/>
            <wp:effectExtent l="0" t="0" r="0" b="0"/>
            <wp:docPr id="4" name="图片 3" descr="BRC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BRCA2-2"/>
                    <pic:cNvPicPr>
                      <a:picLocks noChangeAspect="1"/>
                    </pic:cNvPicPr>
                  </pic:nvPicPr>
                  <pic:blipFill>
                    <a:blip r:embed="rId11"/>
                    <a:stretch>
                      <a:fillRect/>
                    </a:stretch>
                  </pic:blipFill>
                  <pic:spPr>
                    <a:xfrm>
                      <a:off x="0" y="0"/>
                      <a:ext cx="5943600" cy="4663440"/>
                    </a:xfrm>
                    <a:prstGeom prst="rect">
                      <a:avLst/>
                    </a:prstGeom>
                  </pic:spPr>
                </pic:pic>
              </a:graphicData>
            </a:graphic>
          </wp:inline>
        </w:drawing>
      </w:r>
    </w:p>
    <w:p w14:paraId="0BE00800" w14:textId="77777777" w:rsidR="00005863" w:rsidRDefault="00000000">
      <w:pPr>
        <w:spacing w:line="360" w:lineRule="auto"/>
        <w:jc w:val="both"/>
        <w:rPr>
          <w:rFonts w:ascii="Book Antiqua" w:hAnsi="Book Antiqua"/>
          <w:lang w:eastAsia="zh-CN"/>
        </w:rPr>
      </w:pPr>
      <w:r>
        <w:rPr>
          <w:rFonts w:ascii="Book Antiqua" w:hAnsi="Book Antiqua"/>
          <w:b/>
          <w:bCs/>
          <w:lang w:eastAsia="zh-CN"/>
        </w:rPr>
        <w:t xml:space="preserve">Figure 5 </w:t>
      </w:r>
      <w:r>
        <w:rPr>
          <w:rFonts w:ascii="Book Antiqua" w:hAnsi="Book Antiqua" w:hint="eastAsia"/>
          <w:b/>
          <w:bCs/>
          <w:lang w:eastAsia="zh-CN"/>
        </w:rPr>
        <w:t>Next</w:t>
      </w:r>
      <w:r>
        <w:rPr>
          <w:rFonts w:ascii="Book Antiqua" w:hAnsi="Book Antiqua"/>
          <w:b/>
          <w:bCs/>
          <w:lang w:eastAsia="zh-CN"/>
        </w:rPr>
        <w:t>-generation sequencing</w:t>
      </w:r>
      <w:r>
        <w:rPr>
          <w:rFonts w:ascii="Book Antiqua" w:hAnsi="Book Antiqua" w:hint="eastAsia"/>
          <w:b/>
          <w:bCs/>
          <w:lang w:eastAsia="zh-CN"/>
        </w:rPr>
        <w:t xml:space="preserve"> </w:t>
      </w:r>
      <w:r>
        <w:rPr>
          <w:rFonts w:ascii="Book Antiqua" w:hAnsi="Book Antiqua"/>
          <w:b/>
          <w:bCs/>
          <w:lang w:eastAsia="zh-CN"/>
        </w:rPr>
        <w:t>showed the</w:t>
      </w:r>
      <w:r>
        <w:rPr>
          <w:rFonts w:ascii="Book Antiqua" w:hAnsi="Book Antiqua" w:hint="eastAsia"/>
          <w:b/>
          <w:bCs/>
          <w:lang w:eastAsia="zh-CN"/>
        </w:rPr>
        <w:t xml:space="preserve"> presence of a</w:t>
      </w:r>
      <w:r>
        <w:rPr>
          <w:rFonts w:ascii="Book Antiqua" w:hAnsi="Book Antiqua"/>
          <w:b/>
          <w:bCs/>
          <w:lang w:eastAsia="zh-CN"/>
        </w:rPr>
        <w:t xml:space="preserve"> heterozygous germline mutation in </w:t>
      </w:r>
      <w:r>
        <w:rPr>
          <w:rFonts w:ascii="Book Antiqua" w:hAnsi="Book Antiqua"/>
          <w:b/>
          <w:bCs/>
          <w:i/>
          <w:iCs/>
          <w:lang w:eastAsia="zh-CN"/>
        </w:rPr>
        <w:t>BRCA2</w:t>
      </w:r>
      <w:r>
        <w:rPr>
          <w:rFonts w:ascii="Book Antiqua" w:hAnsi="Book Antiqua"/>
          <w:b/>
          <w:bCs/>
          <w:lang w:eastAsia="zh-CN"/>
        </w:rPr>
        <w:t xml:space="preserve"> exon 11, c.6443_644del, (p_s2148Yfs*2). </w:t>
      </w:r>
      <w:bookmarkStart w:id="69" w:name="OLE_LINK1127"/>
      <w:r>
        <w:rPr>
          <w:rFonts w:ascii="Book Antiqua" w:hAnsi="Book Antiqua"/>
          <w:lang w:eastAsia="zh-CN"/>
        </w:rPr>
        <w:t>The upper and lower parts in the figure are tumor and control</w:t>
      </w:r>
      <w:r>
        <w:rPr>
          <w:rFonts w:ascii="Book Antiqua" w:hAnsi="Book Antiqua" w:hint="eastAsia"/>
          <w:lang w:eastAsia="zh-CN"/>
        </w:rPr>
        <w:t>, respectively</w:t>
      </w:r>
      <w:r>
        <w:rPr>
          <w:rFonts w:ascii="Book Antiqua" w:hAnsi="Book Antiqua"/>
          <w:lang w:eastAsia="zh-CN"/>
        </w:rPr>
        <w:t>.</w:t>
      </w:r>
    </w:p>
    <w:bookmarkEnd w:id="69"/>
    <w:p w14:paraId="2C9F952F" w14:textId="77777777" w:rsidR="00005863" w:rsidRDefault="00005863">
      <w:pPr>
        <w:spacing w:line="360" w:lineRule="auto"/>
        <w:jc w:val="both"/>
        <w:rPr>
          <w:rFonts w:ascii="Book Antiqua" w:hAnsi="Book Antiqua"/>
          <w:lang w:eastAsia="zh-CN"/>
        </w:rPr>
      </w:pPr>
    </w:p>
    <w:sectPr w:rsidR="000058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4763A" w14:textId="77777777" w:rsidR="00275E1D" w:rsidRDefault="00275E1D">
      <w:r>
        <w:separator/>
      </w:r>
    </w:p>
  </w:endnote>
  <w:endnote w:type="continuationSeparator" w:id="0">
    <w:p w14:paraId="377BFEA0" w14:textId="77777777" w:rsidR="00275E1D" w:rsidRDefault="00275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1842" w14:textId="77777777" w:rsidR="00005863" w:rsidRDefault="00000000">
    <w:pPr>
      <w:pStyle w:val="a5"/>
      <w:jc w:val="right"/>
      <w:rPr>
        <w:rFonts w:ascii="Book Antiqua" w:hAnsi="Book Antiqua"/>
        <w:color w:val="000000" w:themeColor="text1"/>
        <w:sz w:val="24"/>
        <w:szCs w:val="24"/>
      </w:rPr>
    </w:pPr>
    <w:bookmarkStart w:id="18" w:name="OLE_LINK1086"/>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bookmarkEnd w:id="18"/>
  <w:p w14:paraId="7EF54795" w14:textId="77777777" w:rsidR="00005863" w:rsidRDefault="000058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EB631" w14:textId="77777777" w:rsidR="00275E1D" w:rsidRDefault="00275E1D">
      <w:r>
        <w:separator/>
      </w:r>
    </w:p>
  </w:footnote>
  <w:footnote w:type="continuationSeparator" w:id="0">
    <w:p w14:paraId="2E2B3A73" w14:textId="77777777" w:rsidR="00275E1D" w:rsidRDefault="00275E1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5863"/>
    <w:rsid w:val="00144EC5"/>
    <w:rsid w:val="00275E1D"/>
    <w:rsid w:val="002B4936"/>
    <w:rsid w:val="0037471C"/>
    <w:rsid w:val="00382A72"/>
    <w:rsid w:val="0041171C"/>
    <w:rsid w:val="00634D23"/>
    <w:rsid w:val="00654C14"/>
    <w:rsid w:val="00680F10"/>
    <w:rsid w:val="00686CCB"/>
    <w:rsid w:val="006F7349"/>
    <w:rsid w:val="00767BFF"/>
    <w:rsid w:val="008225DA"/>
    <w:rsid w:val="00834E1E"/>
    <w:rsid w:val="008D7F9B"/>
    <w:rsid w:val="009F28BD"/>
    <w:rsid w:val="00A140B6"/>
    <w:rsid w:val="00A4306C"/>
    <w:rsid w:val="00A77B3E"/>
    <w:rsid w:val="00A83610"/>
    <w:rsid w:val="00B709CF"/>
    <w:rsid w:val="00B80CB5"/>
    <w:rsid w:val="00B968FD"/>
    <w:rsid w:val="00BA1A91"/>
    <w:rsid w:val="00C31548"/>
    <w:rsid w:val="00CA2A55"/>
    <w:rsid w:val="00D8233B"/>
    <w:rsid w:val="00DE4DB0"/>
    <w:rsid w:val="04E4472E"/>
    <w:rsid w:val="14551D69"/>
    <w:rsid w:val="19BB55B1"/>
    <w:rsid w:val="1CC06B75"/>
    <w:rsid w:val="1FC57F8C"/>
    <w:rsid w:val="202139BF"/>
    <w:rsid w:val="244F1803"/>
    <w:rsid w:val="250A44A9"/>
    <w:rsid w:val="2EB15996"/>
    <w:rsid w:val="2FAB10B6"/>
    <w:rsid w:val="305D3680"/>
    <w:rsid w:val="3F010794"/>
    <w:rsid w:val="4089522A"/>
    <w:rsid w:val="488839F4"/>
    <w:rsid w:val="48B21E5D"/>
    <w:rsid w:val="49092B17"/>
    <w:rsid w:val="4C2F16B5"/>
    <w:rsid w:val="57081D47"/>
    <w:rsid w:val="6C6475C8"/>
    <w:rsid w:val="6E203D46"/>
    <w:rsid w:val="7270316B"/>
    <w:rsid w:val="7F802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FEC8C"/>
  <w15:docId w15:val="{552BC793-F8FA-9E4C-9FCC-EE0015683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Emphasis"/>
    <w:basedOn w:val="a0"/>
    <w:qFormat/>
    <w:rPr>
      <w:i/>
    </w:rPr>
  </w:style>
  <w:style w:type="character" w:styleId="ac">
    <w:name w:val="Hyperlink"/>
    <w:basedOn w:val="a0"/>
    <w:qFormat/>
    <w:rPr>
      <w:color w:val="0000FF"/>
      <w:u w:val="single"/>
    </w:rPr>
  </w:style>
  <w:style w:type="character" w:styleId="ad">
    <w:name w:val="annotation reference"/>
    <w:basedOn w:val="a0"/>
    <w:qFormat/>
    <w:rPr>
      <w:sz w:val="21"/>
      <w:szCs w:val="21"/>
    </w:rPr>
  </w:style>
  <w:style w:type="character" w:customStyle="1" w:styleId="a8">
    <w:name w:val="页眉 字符"/>
    <w:basedOn w:val="a0"/>
    <w:link w:val="a7"/>
    <w:qFormat/>
    <w:rPr>
      <w:rFonts w:eastAsiaTheme="minorEastAsia"/>
      <w:sz w:val="18"/>
      <w:szCs w:val="18"/>
      <w:lang w:eastAsia="en-US"/>
    </w:rPr>
  </w:style>
  <w:style w:type="character" w:customStyle="1" w:styleId="a6">
    <w:name w:val="页脚 字符"/>
    <w:basedOn w:val="a0"/>
    <w:link w:val="a5"/>
    <w:uiPriority w:val="99"/>
    <w:qFormat/>
    <w:rPr>
      <w:rFonts w:eastAsiaTheme="minorEastAsia"/>
      <w:sz w:val="18"/>
      <w:szCs w:val="18"/>
      <w:lang w:eastAsia="en-US"/>
    </w:rPr>
  </w:style>
  <w:style w:type="paragraph" w:customStyle="1" w:styleId="1">
    <w:name w:val="修订1"/>
    <w:hidden/>
    <w:uiPriority w:val="99"/>
    <w:unhideWhenUsed/>
    <w:qFormat/>
    <w:rPr>
      <w:rFonts w:eastAsiaTheme="minorEastAsia"/>
      <w:sz w:val="24"/>
      <w:szCs w:val="24"/>
      <w:lang w:eastAsia="en-US"/>
    </w:rPr>
  </w:style>
  <w:style w:type="character" w:customStyle="1" w:styleId="a4">
    <w:name w:val="批注文字 字符"/>
    <w:basedOn w:val="a0"/>
    <w:link w:val="a3"/>
    <w:qFormat/>
    <w:rPr>
      <w:rFonts w:eastAsiaTheme="minorEastAsia"/>
      <w:sz w:val="24"/>
      <w:szCs w:val="24"/>
      <w:lang w:eastAsia="en-US"/>
    </w:rPr>
  </w:style>
  <w:style w:type="character" w:customStyle="1" w:styleId="aa">
    <w:name w:val="批注主题 字符"/>
    <w:basedOn w:val="a4"/>
    <w:link w:val="a9"/>
    <w:qFormat/>
    <w:rPr>
      <w:rFonts w:eastAsiaTheme="minorEastAsia"/>
      <w:b/>
      <w:bCs/>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styleId="ae">
    <w:name w:val="Revision"/>
    <w:hidden/>
    <w:uiPriority w:val="99"/>
    <w:unhideWhenUsed/>
    <w:rsid w:val="00C31548"/>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3443</Words>
  <Characters>19627</Characters>
  <Application>Microsoft Office Word</Application>
  <DocSecurity>0</DocSecurity>
  <Lines>163</Lines>
  <Paragraphs>46</Paragraphs>
  <ScaleCrop>false</ScaleCrop>
  <Company/>
  <LinksUpToDate>false</LinksUpToDate>
  <CharactersWithSpaces>23024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Wang Jin-Lei</cp:lastModifiedBy>
  <cp:revision>21</cp:revision>
  <dcterms:created xsi:type="dcterms:W3CDTF">2023-06-16T01:37:00Z</dcterms:created>
  <dcterms:modified xsi:type="dcterms:W3CDTF">2023-07-18T09:12:00Z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FCA4D4FFAF1646E3B4AEDBEBDE830001_13</vt:lpwstr>
  </property>
</Properties>
</file>