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032C0" w14:textId="77777777" w:rsidR="00005863" w:rsidRPr="00805A77" w:rsidRDefault="00000000">
      <w:pPr>
        <w:spacing w:line="360" w:lineRule="auto"/>
        <w:jc w:val="both"/>
        <w:rPr>
          <w:rFonts w:ascii="Book Antiqua" w:hAnsi="Book Antiqua"/>
        </w:rPr>
      </w:pPr>
      <w:bookmarkStart w:id="0" w:name="OLE_LINK1078"/>
      <w:bookmarkStart w:id="1" w:name="OLE_LINK1080"/>
      <w:bookmarkStart w:id="2" w:name="OLE_LINK1079"/>
      <w:bookmarkStart w:id="3" w:name="OLE_LINK1077"/>
      <w:r w:rsidRPr="00805A77">
        <w:rPr>
          <w:rFonts w:ascii="Book Antiqua" w:eastAsia="Book Antiqua" w:hAnsi="Book Antiqua" w:cs="Book Antiqua"/>
          <w:b/>
        </w:rPr>
        <w:t xml:space="preserve">Name of Journal: </w:t>
      </w:r>
      <w:r w:rsidRPr="00805A77">
        <w:rPr>
          <w:rFonts w:ascii="Book Antiqua" w:eastAsia="Book Antiqua" w:hAnsi="Book Antiqua" w:cs="Book Antiqua"/>
          <w:i/>
        </w:rPr>
        <w:t>World Journal of Gastrointestinal Oncology</w:t>
      </w:r>
    </w:p>
    <w:p w14:paraId="6FE7C29E"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b/>
        </w:rPr>
        <w:t xml:space="preserve">Manuscript NO: </w:t>
      </w:r>
      <w:r w:rsidRPr="00805A77">
        <w:rPr>
          <w:rFonts w:ascii="Book Antiqua" w:eastAsia="Book Antiqua" w:hAnsi="Book Antiqua" w:cs="Book Antiqua"/>
        </w:rPr>
        <w:t>85034</w:t>
      </w:r>
    </w:p>
    <w:p w14:paraId="2922238E" w14:textId="77777777" w:rsidR="00005863" w:rsidRPr="00805A77" w:rsidRDefault="00000000">
      <w:pPr>
        <w:spacing w:line="360" w:lineRule="auto"/>
        <w:jc w:val="both"/>
        <w:rPr>
          <w:rFonts w:ascii="Book Antiqua" w:hAnsi="Book Antiqua"/>
          <w:lang w:eastAsia="zh-CN"/>
        </w:rPr>
      </w:pPr>
      <w:r w:rsidRPr="00805A77">
        <w:rPr>
          <w:rFonts w:ascii="Book Antiqua" w:eastAsia="Book Antiqua" w:hAnsi="Book Antiqua" w:cs="Book Antiqua"/>
          <w:b/>
        </w:rPr>
        <w:t xml:space="preserve">Manuscript Type: </w:t>
      </w:r>
      <w:r w:rsidRPr="00805A77">
        <w:rPr>
          <w:rFonts w:ascii="Book Antiqua" w:eastAsia="Book Antiqua" w:hAnsi="Book Antiqua" w:cs="Book Antiqua"/>
        </w:rPr>
        <w:t>CASE REPORT</w:t>
      </w:r>
    </w:p>
    <w:p w14:paraId="1DBAD7AE" w14:textId="77777777" w:rsidR="00005863" w:rsidRPr="00805A77" w:rsidRDefault="00005863">
      <w:pPr>
        <w:spacing w:line="360" w:lineRule="auto"/>
        <w:jc w:val="both"/>
        <w:rPr>
          <w:rFonts w:ascii="Book Antiqua" w:hAnsi="Book Antiqua"/>
        </w:rPr>
      </w:pPr>
    </w:p>
    <w:p w14:paraId="23F0E091" w14:textId="77777777" w:rsidR="00005863" w:rsidRPr="00805A77" w:rsidRDefault="00000000">
      <w:pPr>
        <w:spacing w:line="360" w:lineRule="auto"/>
        <w:jc w:val="both"/>
        <w:rPr>
          <w:rFonts w:ascii="Book Antiqua" w:hAnsi="Book Antiqua"/>
        </w:rPr>
      </w:pPr>
      <w:bookmarkStart w:id="4" w:name="OLE_LINK6411"/>
      <w:r w:rsidRPr="00805A77">
        <w:rPr>
          <w:rFonts w:ascii="Book Antiqua" w:eastAsia="Book Antiqua" w:hAnsi="Book Antiqua" w:cs="Book Antiqua"/>
          <w:b/>
          <w:color w:val="000000"/>
        </w:rPr>
        <w:t xml:space="preserve">Gastric </w:t>
      </w:r>
      <w:bookmarkStart w:id="5" w:name="OLE_LINK1089"/>
      <w:r w:rsidRPr="00805A77">
        <w:rPr>
          <w:rFonts w:ascii="Book Antiqua" w:eastAsia="Book Antiqua" w:hAnsi="Book Antiqua" w:cs="Book Antiqua"/>
          <w:b/>
          <w:color w:val="000000"/>
        </w:rPr>
        <w:t>neuroendocrine tumors</w:t>
      </w:r>
      <w:bookmarkEnd w:id="5"/>
      <w:r w:rsidRPr="00805A77">
        <w:rPr>
          <w:rFonts w:ascii="Book Antiqua" w:eastAsia="Book Antiqua" w:hAnsi="Book Antiqua" w:cs="Book Antiqua"/>
          <w:b/>
          <w:color w:val="000000"/>
        </w:rPr>
        <w:t xml:space="preserve"> in a </w:t>
      </w:r>
      <w:r w:rsidRPr="00805A77">
        <w:rPr>
          <w:rFonts w:ascii="Book Antiqua" w:eastAsia="Book Antiqua" w:hAnsi="Book Antiqua" w:cs="Book Antiqua"/>
          <w:b/>
          <w:i/>
          <w:iCs/>
          <w:color w:val="000000"/>
        </w:rPr>
        <w:t>BRCA2</w:t>
      </w:r>
      <w:r w:rsidRPr="00805A77">
        <w:rPr>
          <w:rFonts w:ascii="Book Antiqua" w:eastAsia="Book Antiqua" w:hAnsi="Book Antiqua" w:cs="Book Antiqua"/>
          <w:b/>
          <w:color w:val="000000"/>
        </w:rPr>
        <w:t xml:space="preserve"> germline mutation carrier: A case report</w:t>
      </w:r>
    </w:p>
    <w:bookmarkEnd w:id="4"/>
    <w:p w14:paraId="6AE3D08C" w14:textId="77777777" w:rsidR="00005863" w:rsidRPr="00805A77" w:rsidRDefault="00005863">
      <w:pPr>
        <w:spacing w:line="360" w:lineRule="auto"/>
        <w:jc w:val="both"/>
        <w:rPr>
          <w:rFonts w:ascii="Book Antiqua" w:hAnsi="Book Antiqua"/>
        </w:rPr>
      </w:pPr>
    </w:p>
    <w:p w14:paraId="40C47BB4" w14:textId="77777777" w:rsidR="00005863" w:rsidRPr="00805A77" w:rsidRDefault="00000000">
      <w:pPr>
        <w:spacing w:line="360" w:lineRule="auto"/>
        <w:jc w:val="both"/>
        <w:rPr>
          <w:rFonts w:ascii="Book Antiqua" w:eastAsia="宋体" w:hAnsi="Book Antiqua"/>
          <w:lang w:eastAsia="zh-CN"/>
        </w:rPr>
      </w:pPr>
      <w:r w:rsidRPr="00805A77">
        <w:rPr>
          <w:rFonts w:ascii="Book Antiqua" w:eastAsia="Book Antiqua" w:hAnsi="Book Antiqua" w:cs="Book Antiqua"/>
          <w:color w:val="000000"/>
        </w:rPr>
        <w:t xml:space="preserve">Zhang </w:t>
      </w:r>
      <w:r w:rsidRPr="00805A77">
        <w:rPr>
          <w:rFonts w:ascii="Book Antiqua" w:eastAsia="Book Antiqua" w:hAnsi="Book Antiqua" w:cs="Book Antiqua" w:hint="eastAsia"/>
          <w:color w:val="000000"/>
          <w:lang w:eastAsia="zh-CN"/>
        </w:rPr>
        <w:t>HF</w:t>
      </w:r>
      <w:r w:rsidRPr="00805A77">
        <w:rPr>
          <w:rFonts w:ascii="Book Antiqua" w:eastAsia="Book Antiqua" w:hAnsi="Book Antiqua" w:cs="Book Antiqua"/>
          <w:color w:val="000000"/>
          <w:lang w:eastAsia="zh-CN"/>
        </w:rPr>
        <w:t xml:space="preserve"> </w:t>
      </w:r>
      <w:r w:rsidRPr="00805A77">
        <w:rPr>
          <w:rFonts w:ascii="Book Antiqua" w:eastAsia="Book Antiqua" w:hAnsi="Book Antiqua" w:cs="Book Antiqua"/>
          <w:i/>
          <w:iCs/>
          <w:color w:val="000000"/>
          <w:lang w:eastAsia="zh-CN"/>
        </w:rPr>
        <w:t>et al</w:t>
      </w:r>
      <w:r w:rsidRPr="00805A77">
        <w:rPr>
          <w:rFonts w:ascii="Book Antiqua" w:eastAsia="Book Antiqua" w:hAnsi="Book Antiqua" w:cs="Book Antiqua"/>
          <w:color w:val="000000"/>
          <w:lang w:eastAsia="zh-CN"/>
        </w:rPr>
        <w:t>.</w:t>
      </w:r>
      <w:r w:rsidRPr="00805A77">
        <w:rPr>
          <w:rFonts w:ascii="Book Antiqua" w:hAnsi="Book Antiqua" w:hint="eastAsia"/>
        </w:rPr>
        <w:t xml:space="preserve"> </w:t>
      </w:r>
      <w:bookmarkStart w:id="6" w:name="OLE_LINK6412"/>
      <w:r w:rsidRPr="00805A77">
        <w:rPr>
          <w:rFonts w:ascii="Book Antiqua" w:eastAsia="Book Antiqua" w:hAnsi="Book Antiqua" w:cs="Book Antiqua"/>
          <w:color w:val="000000"/>
        </w:rPr>
        <w:t xml:space="preserve">Gastric NETs in </w:t>
      </w:r>
      <w:bookmarkStart w:id="7" w:name="OLE_LINK1098"/>
      <w:r w:rsidRPr="00805A77">
        <w:rPr>
          <w:rFonts w:ascii="Book Antiqua" w:eastAsia="宋体" w:hAnsi="Book Antiqua" w:cs="Book Antiqua" w:hint="eastAsia"/>
          <w:color w:val="000000"/>
          <w:lang w:eastAsia="zh-CN"/>
        </w:rPr>
        <w:t xml:space="preserve">a </w:t>
      </w:r>
      <w:r w:rsidRPr="00805A77">
        <w:rPr>
          <w:rFonts w:ascii="Book Antiqua" w:eastAsia="Book Antiqua" w:hAnsi="Book Antiqua" w:cs="Book Antiqua"/>
          <w:i/>
          <w:iCs/>
          <w:color w:val="000000"/>
        </w:rPr>
        <w:t>BRCA2</w:t>
      </w:r>
      <w:bookmarkEnd w:id="7"/>
      <w:r w:rsidRPr="00805A77">
        <w:rPr>
          <w:rFonts w:ascii="Book Antiqua" w:eastAsia="Book Antiqua" w:hAnsi="Book Antiqua" w:cs="Book Antiqua"/>
          <w:color w:val="000000"/>
        </w:rPr>
        <w:t xml:space="preserve"> germline mutation</w:t>
      </w:r>
      <w:r w:rsidRPr="00805A77">
        <w:rPr>
          <w:rFonts w:ascii="Book Antiqua" w:eastAsia="宋体" w:hAnsi="Book Antiqua" w:cs="Book Antiqua" w:hint="eastAsia"/>
          <w:color w:val="000000"/>
          <w:lang w:eastAsia="zh-CN"/>
        </w:rPr>
        <w:t xml:space="preserve"> carrier</w:t>
      </w:r>
      <w:bookmarkEnd w:id="6"/>
    </w:p>
    <w:p w14:paraId="4CCA7125" w14:textId="77777777" w:rsidR="00005863" w:rsidRPr="00805A77" w:rsidRDefault="00005863">
      <w:pPr>
        <w:spacing w:line="360" w:lineRule="auto"/>
        <w:jc w:val="both"/>
        <w:rPr>
          <w:rFonts w:ascii="Book Antiqua" w:hAnsi="Book Antiqua"/>
        </w:rPr>
      </w:pPr>
    </w:p>
    <w:p w14:paraId="0D638098" w14:textId="7331C3A0" w:rsidR="00005863" w:rsidRPr="00805A77" w:rsidRDefault="00000000">
      <w:pPr>
        <w:spacing w:line="360" w:lineRule="auto"/>
        <w:jc w:val="both"/>
        <w:rPr>
          <w:rFonts w:ascii="Book Antiqua" w:hAnsi="Book Antiqua"/>
        </w:rPr>
      </w:pPr>
      <w:r w:rsidRPr="00805A77">
        <w:rPr>
          <w:rFonts w:ascii="Book Antiqua" w:eastAsia="Book Antiqua" w:hAnsi="Book Antiqua" w:cs="Book Antiqua"/>
          <w:color w:val="000000"/>
        </w:rPr>
        <w:t>Hui-Fang Zhang, Yi Zheng, Xue Wen, Jing Zhao, Jun Li</w:t>
      </w:r>
    </w:p>
    <w:p w14:paraId="3D490D21" w14:textId="77777777" w:rsidR="00005863" w:rsidRPr="00805A77" w:rsidRDefault="00005863">
      <w:pPr>
        <w:spacing w:line="360" w:lineRule="auto"/>
        <w:jc w:val="both"/>
        <w:rPr>
          <w:rFonts w:ascii="Book Antiqua" w:hAnsi="Book Antiqua"/>
        </w:rPr>
      </w:pPr>
    </w:p>
    <w:p w14:paraId="36897086" w14:textId="77777777" w:rsidR="00005863" w:rsidRPr="00805A77" w:rsidRDefault="00000000">
      <w:pPr>
        <w:spacing w:line="360" w:lineRule="auto"/>
        <w:jc w:val="both"/>
        <w:rPr>
          <w:rFonts w:ascii="Book Antiqua" w:hAnsi="Book Antiqua"/>
        </w:rPr>
      </w:pPr>
      <w:bookmarkStart w:id="8" w:name="OLE_LINK1081"/>
      <w:bookmarkStart w:id="9" w:name="OLE_LINK1082"/>
      <w:r w:rsidRPr="00805A77">
        <w:rPr>
          <w:rFonts w:ascii="Book Antiqua" w:eastAsia="Book Antiqua" w:hAnsi="Book Antiqua" w:cs="Book Antiqua"/>
          <w:b/>
          <w:bCs/>
          <w:color w:val="000000"/>
        </w:rPr>
        <w:t>Hui-Fang Zhang, Yi Zheng, Xue Wen, Jing Zhao, Jun Li,</w:t>
      </w:r>
      <w:bookmarkEnd w:id="8"/>
      <w:r w:rsidRPr="00805A77">
        <w:rPr>
          <w:rFonts w:ascii="Book Antiqua" w:eastAsia="Book Antiqua" w:hAnsi="Book Antiqua" w:cs="Book Antiqua"/>
          <w:b/>
          <w:bCs/>
          <w:color w:val="000000"/>
        </w:rPr>
        <w:t xml:space="preserve"> </w:t>
      </w:r>
      <w:bookmarkStart w:id="10" w:name="OLE_LINK1083"/>
      <w:bookmarkStart w:id="11" w:name="OLE_LINK1084"/>
      <w:bookmarkEnd w:id="9"/>
      <w:r w:rsidRPr="00805A77">
        <w:rPr>
          <w:rFonts w:ascii="Book Antiqua" w:eastAsia="Book Antiqua" w:hAnsi="Book Antiqua" w:cs="Book Antiqua"/>
          <w:color w:val="000000"/>
        </w:rPr>
        <w:t>D</w:t>
      </w:r>
      <w:r w:rsidRPr="00805A77">
        <w:rPr>
          <w:rFonts w:ascii="Book Antiqua" w:eastAsia="Book Antiqua" w:hAnsi="Book Antiqua" w:cs="Book Antiqua"/>
          <w:color w:val="000000"/>
          <w:lang w:eastAsia="zh-CN"/>
        </w:rPr>
        <w:t xml:space="preserve">epartment of </w:t>
      </w:r>
      <w:bookmarkEnd w:id="10"/>
      <w:r w:rsidRPr="00805A77">
        <w:rPr>
          <w:rFonts w:ascii="Book Antiqua" w:eastAsia="Book Antiqua" w:hAnsi="Book Antiqua" w:cs="Book Antiqua"/>
          <w:color w:val="000000"/>
        </w:rPr>
        <w:t>Pathology, The First Affiliated Hospital, Medical College, Zhejiang University, Hangzhou 310000, Zhejiang P</w:t>
      </w:r>
      <w:r w:rsidRPr="00805A77">
        <w:rPr>
          <w:rFonts w:ascii="Book Antiqua" w:eastAsia="Book Antiqua" w:hAnsi="Book Antiqua" w:cs="Book Antiqua" w:hint="eastAsia"/>
          <w:color w:val="000000"/>
          <w:lang w:eastAsia="zh-CN"/>
        </w:rPr>
        <w:t>r</w:t>
      </w:r>
      <w:r w:rsidRPr="00805A77">
        <w:rPr>
          <w:rFonts w:ascii="Book Antiqua" w:eastAsia="Book Antiqua" w:hAnsi="Book Antiqua" w:cs="Book Antiqua"/>
          <w:color w:val="000000"/>
          <w:lang w:eastAsia="zh-CN"/>
        </w:rPr>
        <w:t xml:space="preserve">ovince, </w:t>
      </w:r>
      <w:r w:rsidRPr="00805A77">
        <w:rPr>
          <w:rFonts w:ascii="Book Antiqua" w:eastAsia="Book Antiqua" w:hAnsi="Book Antiqua" w:cs="Book Antiqua"/>
          <w:color w:val="000000"/>
        </w:rPr>
        <w:t>China</w:t>
      </w:r>
    </w:p>
    <w:bookmarkEnd w:id="11"/>
    <w:p w14:paraId="51AE8DBC" w14:textId="77777777" w:rsidR="00005863" w:rsidRPr="00805A77" w:rsidRDefault="00005863">
      <w:pPr>
        <w:spacing w:line="360" w:lineRule="auto"/>
        <w:jc w:val="both"/>
        <w:rPr>
          <w:rFonts w:ascii="Book Antiqua" w:hAnsi="Book Antiqua"/>
        </w:rPr>
      </w:pPr>
    </w:p>
    <w:p w14:paraId="308042F5" w14:textId="77777777" w:rsidR="00005863" w:rsidRPr="00805A77" w:rsidRDefault="00000000">
      <w:pPr>
        <w:spacing w:line="360" w:lineRule="auto"/>
        <w:jc w:val="both"/>
        <w:rPr>
          <w:rFonts w:ascii="Book Antiqua" w:eastAsia="Book Antiqua" w:hAnsi="Book Antiqua" w:cs="Book Antiqua"/>
          <w:color w:val="000000"/>
        </w:rPr>
      </w:pPr>
      <w:r w:rsidRPr="00805A77">
        <w:rPr>
          <w:rFonts w:ascii="Book Antiqua" w:eastAsia="Book Antiqua" w:hAnsi="Book Antiqua" w:cs="Book Antiqua"/>
          <w:b/>
          <w:bCs/>
          <w:color w:val="000000"/>
        </w:rPr>
        <w:t xml:space="preserve">Author contributions: </w:t>
      </w:r>
      <w:r w:rsidRPr="00805A77">
        <w:rPr>
          <w:rFonts w:ascii="Book Antiqua" w:eastAsia="Book Antiqua" w:hAnsi="Book Antiqua" w:cs="Book Antiqua"/>
          <w:color w:val="000000"/>
        </w:rPr>
        <w:t>Li J designed and wrote the case report and performed the literature search; Z</w:t>
      </w:r>
      <w:r w:rsidRPr="00805A77">
        <w:rPr>
          <w:rFonts w:ascii="Book Antiqua" w:eastAsia="Book Antiqua" w:hAnsi="Book Antiqua" w:cs="Book Antiqua" w:hint="eastAsia"/>
          <w:color w:val="000000"/>
          <w:lang w:eastAsia="zh-CN"/>
        </w:rPr>
        <w:t>hang</w:t>
      </w:r>
      <w:r w:rsidRPr="00805A77">
        <w:rPr>
          <w:rFonts w:ascii="Book Antiqua" w:eastAsia="Book Antiqua" w:hAnsi="Book Antiqua" w:cs="Book Antiqua"/>
          <w:color w:val="000000"/>
          <w:lang w:eastAsia="zh-CN"/>
        </w:rPr>
        <w:t xml:space="preserve"> </w:t>
      </w:r>
      <w:r w:rsidRPr="00805A77">
        <w:rPr>
          <w:rFonts w:ascii="Book Antiqua" w:eastAsia="Book Antiqua" w:hAnsi="Book Antiqua" w:cs="Book Antiqua"/>
          <w:color w:val="000000"/>
        </w:rPr>
        <w:t xml:space="preserve">HF, Zhen </w:t>
      </w:r>
      <w:r w:rsidRPr="00805A77">
        <w:rPr>
          <w:rFonts w:ascii="Book Antiqua" w:eastAsia="Book Antiqua" w:hAnsi="Book Antiqua" w:cs="Book Antiqua" w:hint="eastAsia"/>
          <w:color w:val="000000"/>
          <w:lang w:eastAsia="zh-CN"/>
        </w:rPr>
        <w:t>Y,</w:t>
      </w:r>
      <w:r w:rsidRPr="00805A77">
        <w:rPr>
          <w:rFonts w:ascii="Book Antiqua" w:eastAsia="Book Antiqua" w:hAnsi="Book Antiqua" w:cs="Book Antiqua"/>
          <w:color w:val="000000"/>
          <w:lang w:eastAsia="zh-CN"/>
        </w:rPr>
        <w:t xml:space="preserve"> </w:t>
      </w:r>
      <w:r w:rsidRPr="00805A77">
        <w:rPr>
          <w:rFonts w:ascii="Book Antiqua" w:eastAsia="Book Antiqua" w:hAnsi="Book Antiqua" w:cs="Book Antiqua"/>
          <w:color w:val="000000"/>
        </w:rPr>
        <w:t>and Wen X assisted in the literature search and wrote the paper; Zhao J participated in the data acquisition and analysis.</w:t>
      </w:r>
    </w:p>
    <w:p w14:paraId="43958CCB" w14:textId="77777777" w:rsidR="00005863" w:rsidRPr="00805A77" w:rsidRDefault="00005863">
      <w:pPr>
        <w:spacing w:line="360" w:lineRule="auto"/>
        <w:jc w:val="both"/>
        <w:rPr>
          <w:rFonts w:ascii="Book Antiqua" w:eastAsia="Book Antiqua" w:hAnsi="Book Antiqua" w:cs="Book Antiqua"/>
          <w:color w:val="000000"/>
          <w:lang w:eastAsia="zh-CN"/>
        </w:rPr>
      </w:pPr>
    </w:p>
    <w:p w14:paraId="5B470EC7"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b/>
          <w:bCs/>
          <w:color w:val="000000"/>
        </w:rPr>
        <w:t xml:space="preserve">Supported by </w:t>
      </w:r>
      <w:bookmarkStart w:id="12" w:name="OLE_LINK6416"/>
      <w:r w:rsidRPr="00805A77">
        <w:rPr>
          <w:rFonts w:ascii="Book Antiqua" w:eastAsia="Book Antiqua" w:hAnsi="Book Antiqua" w:cs="Book Antiqua"/>
          <w:color w:val="000000"/>
        </w:rPr>
        <w:t>Natural Science Foundation of Zhejiang Province, N</w:t>
      </w:r>
      <w:r w:rsidRPr="00805A77">
        <w:rPr>
          <w:rFonts w:ascii="Book Antiqua" w:eastAsia="Book Antiqua" w:hAnsi="Book Antiqua" w:cs="Book Antiqua" w:hint="eastAsia"/>
          <w:color w:val="000000"/>
          <w:lang w:eastAsia="zh-CN"/>
        </w:rPr>
        <w:t>o</w:t>
      </w:r>
      <w:r w:rsidRPr="00805A77">
        <w:rPr>
          <w:rFonts w:ascii="Book Antiqua" w:eastAsia="Book Antiqua" w:hAnsi="Book Antiqua" w:cs="Book Antiqua"/>
          <w:color w:val="000000"/>
          <w:lang w:eastAsia="zh-CN"/>
        </w:rPr>
        <w:t xml:space="preserve">. </w:t>
      </w:r>
      <w:r w:rsidRPr="00805A77">
        <w:rPr>
          <w:rFonts w:ascii="Book Antiqua" w:eastAsia="Book Antiqua" w:hAnsi="Book Antiqua" w:cs="Book Antiqua"/>
          <w:color w:val="000000"/>
        </w:rPr>
        <w:t>LQ20H1600036</w:t>
      </w:r>
      <w:bookmarkEnd w:id="12"/>
      <w:r w:rsidRPr="00805A77">
        <w:rPr>
          <w:rFonts w:ascii="Book Antiqua" w:eastAsia="Book Antiqua" w:hAnsi="Book Antiqua" w:cs="Book Antiqua"/>
          <w:color w:val="000000"/>
        </w:rPr>
        <w:t xml:space="preserve"> (to Wen X).</w:t>
      </w:r>
    </w:p>
    <w:p w14:paraId="500EC9A0" w14:textId="77777777" w:rsidR="00005863" w:rsidRPr="00805A77" w:rsidRDefault="00005863">
      <w:pPr>
        <w:spacing w:line="360" w:lineRule="auto"/>
        <w:jc w:val="both"/>
        <w:rPr>
          <w:rFonts w:ascii="Book Antiqua" w:hAnsi="Book Antiqua"/>
        </w:rPr>
      </w:pPr>
    </w:p>
    <w:p w14:paraId="6259D717"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b/>
          <w:bCs/>
          <w:color w:val="000000"/>
        </w:rPr>
        <w:t xml:space="preserve">Corresponding author: Jun Li, Doctor, Chief Physician, </w:t>
      </w:r>
      <w:bookmarkStart w:id="13" w:name="OLE_LINK6417"/>
      <w:r w:rsidRPr="00805A77">
        <w:rPr>
          <w:rFonts w:ascii="Book Antiqua" w:eastAsia="Book Antiqua" w:hAnsi="Book Antiqua" w:cs="Book Antiqua"/>
          <w:color w:val="000000"/>
        </w:rPr>
        <w:t>D</w:t>
      </w:r>
      <w:r w:rsidRPr="00805A77">
        <w:rPr>
          <w:rFonts w:ascii="Book Antiqua" w:eastAsia="Book Antiqua" w:hAnsi="Book Antiqua" w:cs="Book Antiqua"/>
          <w:color w:val="000000"/>
          <w:lang w:eastAsia="zh-CN"/>
        </w:rPr>
        <w:t xml:space="preserve">epartment of </w:t>
      </w:r>
      <w:r w:rsidRPr="00805A77">
        <w:rPr>
          <w:rFonts w:ascii="Book Antiqua" w:eastAsia="Book Antiqua" w:hAnsi="Book Antiqua" w:cs="Book Antiqua"/>
          <w:color w:val="000000"/>
        </w:rPr>
        <w:t>Pathology</w:t>
      </w:r>
      <w:bookmarkEnd w:id="13"/>
      <w:r w:rsidRPr="00805A77">
        <w:rPr>
          <w:rFonts w:ascii="Book Antiqua" w:eastAsia="Book Antiqua" w:hAnsi="Book Antiqua" w:cs="Book Antiqua"/>
          <w:color w:val="000000"/>
        </w:rPr>
        <w:t xml:space="preserve">, The First Affiliated Hospital, Medical College, Zhejiang University, </w:t>
      </w:r>
      <w:bookmarkStart w:id="14" w:name="OLE_LINK6418"/>
      <w:r w:rsidRPr="00805A77">
        <w:rPr>
          <w:rFonts w:ascii="Book Antiqua" w:eastAsia="Book Antiqua" w:hAnsi="Book Antiqua" w:cs="Book Antiqua"/>
          <w:color w:val="000000"/>
        </w:rPr>
        <w:t>N</w:t>
      </w:r>
      <w:r w:rsidRPr="00805A77">
        <w:rPr>
          <w:rFonts w:ascii="Book Antiqua" w:eastAsia="Book Antiqua" w:hAnsi="Book Antiqua" w:cs="Book Antiqua" w:hint="eastAsia"/>
          <w:color w:val="000000"/>
          <w:lang w:eastAsia="zh-CN"/>
        </w:rPr>
        <w:t>o</w:t>
      </w:r>
      <w:r w:rsidRPr="00805A77">
        <w:rPr>
          <w:rFonts w:ascii="Book Antiqua" w:eastAsia="Book Antiqua" w:hAnsi="Book Antiqua" w:cs="Book Antiqua"/>
          <w:color w:val="000000"/>
        </w:rPr>
        <w:t>. 79 Qingchun Road</w:t>
      </w:r>
      <w:bookmarkEnd w:id="14"/>
      <w:r w:rsidRPr="00805A77">
        <w:rPr>
          <w:rFonts w:ascii="Book Antiqua" w:eastAsia="Book Antiqua" w:hAnsi="Book Antiqua" w:cs="Book Antiqua"/>
          <w:color w:val="000000"/>
        </w:rPr>
        <w:t xml:space="preserve">, Hangzhou 310000, </w:t>
      </w:r>
      <w:bookmarkStart w:id="15" w:name="OLE_LINK6419"/>
      <w:r w:rsidRPr="00805A77">
        <w:rPr>
          <w:rFonts w:ascii="Book Antiqua" w:eastAsia="Book Antiqua" w:hAnsi="Book Antiqua" w:cs="Book Antiqua"/>
          <w:color w:val="000000"/>
        </w:rPr>
        <w:t>Zhejiang P</w:t>
      </w:r>
      <w:r w:rsidRPr="00805A77">
        <w:rPr>
          <w:rFonts w:ascii="Book Antiqua" w:eastAsia="Book Antiqua" w:hAnsi="Book Antiqua" w:cs="Book Antiqua" w:hint="eastAsia"/>
          <w:color w:val="000000"/>
          <w:lang w:eastAsia="zh-CN"/>
        </w:rPr>
        <w:t>r</w:t>
      </w:r>
      <w:r w:rsidRPr="00805A77">
        <w:rPr>
          <w:rFonts w:ascii="Book Antiqua" w:eastAsia="Book Antiqua" w:hAnsi="Book Antiqua" w:cs="Book Antiqua"/>
          <w:color w:val="000000"/>
          <w:lang w:eastAsia="zh-CN"/>
        </w:rPr>
        <w:t>ovince</w:t>
      </w:r>
      <w:bookmarkEnd w:id="15"/>
      <w:r w:rsidRPr="00805A77">
        <w:rPr>
          <w:rFonts w:ascii="Book Antiqua" w:eastAsia="Book Antiqua" w:hAnsi="Book Antiqua" w:cs="Book Antiqua"/>
          <w:color w:val="000000"/>
          <w:lang w:eastAsia="zh-CN"/>
        </w:rPr>
        <w:t xml:space="preserve">, </w:t>
      </w:r>
      <w:r w:rsidRPr="00805A77">
        <w:rPr>
          <w:rFonts w:ascii="Book Antiqua" w:eastAsia="Book Antiqua" w:hAnsi="Book Antiqua" w:cs="Book Antiqua"/>
          <w:color w:val="000000"/>
        </w:rPr>
        <w:t>China.</w:t>
      </w:r>
      <w:r w:rsidRPr="00805A77">
        <w:rPr>
          <w:rFonts w:ascii="Book Antiqua" w:hAnsi="Book Antiqua" w:hint="eastAsia"/>
        </w:rPr>
        <w:t xml:space="preserve"> </w:t>
      </w:r>
      <w:r w:rsidRPr="00805A77">
        <w:rPr>
          <w:rFonts w:ascii="Book Antiqua" w:eastAsia="Book Antiqua" w:hAnsi="Book Antiqua" w:cs="Book Antiqua"/>
          <w:color w:val="000000"/>
        </w:rPr>
        <w:t>1101025@zju.edu.cn</w:t>
      </w:r>
    </w:p>
    <w:p w14:paraId="2B9D70A3" w14:textId="77777777" w:rsidR="00005863" w:rsidRPr="00805A77" w:rsidRDefault="00005863">
      <w:pPr>
        <w:spacing w:line="360" w:lineRule="auto"/>
        <w:jc w:val="both"/>
        <w:rPr>
          <w:rFonts w:ascii="Book Antiqua" w:hAnsi="Book Antiqua"/>
          <w:lang w:eastAsia="zh-CN"/>
        </w:rPr>
      </w:pPr>
    </w:p>
    <w:p w14:paraId="51F6EA8A"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b/>
          <w:bCs/>
        </w:rPr>
        <w:t xml:space="preserve">Received: </w:t>
      </w:r>
      <w:r w:rsidRPr="00805A77">
        <w:rPr>
          <w:rFonts w:ascii="Book Antiqua" w:eastAsia="Book Antiqua" w:hAnsi="Book Antiqua" w:cs="Book Antiqua"/>
        </w:rPr>
        <w:t>April 8, 2023</w:t>
      </w:r>
    </w:p>
    <w:p w14:paraId="08909B5C" w14:textId="77777777" w:rsidR="00005863" w:rsidRPr="00805A77" w:rsidRDefault="00000000">
      <w:pPr>
        <w:spacing w:line="360" w:lineRule="auto"/>
        <w:jc w:val="both"/>
        <w:rPr>
          <w:rFonts w:ascii="Book Antiqua" w:hAnsi="Book Antiqua"/>
          <w:lang w:eastAsia="zh-CN"/>
        </w:rPr>
      </w:pPr>
      <w:bookmarkStart w:id="16" w:name="OLE_LINK1087"/>
      <w:r w:rsidRPr="00805A77">
        <w:rPr>
          <w:rFonts w:ascii="Book Antiqua" w:eastAsia="Book Antiqua" w:hAnsi="Book Antiqua" w:cs="Book Antiqua"/>
          <w:b/>
          <w:bCs/>
        </w:rPr>
        <w:t xml:space="preserve">Revised: </w:t>
      </w:r>
      <w:r w:rsidRPr="00805A77">
        <w:rPr>
          <w:rFonts w:ascii="Book Antiqua" w:eastAsia="Book Antiqua" w:hAnsi="Book Antiqua" w:cs="Book Antiqua"/>
        </w:rPr>
        <w:t>June 7, 2023</w:t>
      </w:r>
    </w:p>
    <w:bookmarkEnd w:id="16"/>
    <w:p w14:paraId="2EA4C920" w14:textId="51618B82" w:rsidR="00005863" w:rsidRPr="00805A77" w:rsidRDefault="00000000">
      <w:pPr>
        <w:spacing w:line="360" w:lineRule="auto"/>
        <w:jc w:val="both"/>
        <w:rPr>
          <w:rFonts w:ascii="Book Antiqua" w:hAnsi="Book Antiqua"/>
        </w:rPr>
      </w:pPr>
      <w:r w:rsidRPr="00805A77">
        <w:rPr>
          <w:rFonts w:ascii="Book Antiqua" w:eastAsia="Book Antiqua" w:hAnsi="Book Antiqua" w:cs="Book Antiqua"/>
          <w:b/>
          <w:bCs/>
        </w:rPr>
        <w:t xml:space="preserve">Accepted: </w:t>
      </w:r>
      <w:r w:rsidR="00834E1E" w:rsidRPr="00805A77">
        <w:rPr>
          <w:rFonts w:ascii="Book Antiqua" w:eastAsia="Book Antiqua" w:hAnsi="Book Antiqua" w:cs="Book Antiqua"/>
        </w:rPr>
        <w:t>July 18, 2023</w:t>
      </w:r>
    </w:p>
    <w:p w14:paraId="02C4AD04" w14:textId="1AD67761" w:rsidR="00005863" w:rsidRPr="00805A77" w:rsidRDefault="00000000">
      <w:pPr>
        <w:spacing w:line="360" w:lineRule="auto"/>
        <w:jc w:val="both"/>
        <w:rPr>
          <w:rFonts w:ascii="Book Antiqua" w:hAnsi="Book Antiqua"/>
        </w:rPr>
      </w:pPr>
      <w:r w:rsidRPr="00805A77">
        <w:rPr>
          <w:rFonts w:ascii="Book Antiqua" w:eastAsia="Book Antiqua" w:hAnsi="Book Antiqua" w:cs="Book Antiqua"/>
          <w:b/>
          <w:bCs/>
        </w:rPr>
        <w:t xml:space="preserve">Published online: </w:t>
      </w:r>
      <w:r w:rsidR="00C35447" w:rsidRPr="00805A77">
        <w:rPr>
          <w:rFonts w:ascii="Book Antiqua" w:hAnsi="Book Antiqua"/>
          <w:color w:val="000000"/>
          <w:shd w:val="clear" w:color="auto" w:fill="FFFFFF"/>
        </w:rPr>
        <w:t>August 15, 2023</w:t>
      </w:r>
    </w:p>
    <w:p w14:paraId="4E2E2481" w14:textId="77777777" w:rsidR="00005863" w:rsidRPr="00805A77" w:rsidRDefault="00005863">
      <w:pPr>
        <w:spacing w:line="360" w:lineRule="auto"/>
        <w:jc w:val="both"/>
        <w:rPr>
          <w:rFonts w:ascii="Book Antiqua" w:hAnsi="Book Antiqua"/>
        </w:rPr>
        <w:sectPr w:rsidR="00005863" w:rsidRPr="00805A77">
          <w:footerReference w:type="default" r:id="rId6"/>
          <w:pgSz w:w="12240" w:h="15840"/>
          <w:pgMar w:top="1440" w:right="1440" w:bottom="1440" w:left="1440" w:header="720" w:footer="720" w:gutter="0"/>
          <w:cols w:space="720"/>
          <w:docGrid w:linePitch="360"/>
        </w:sectPr>
      </w:pPr>
    </w:p>
    <w:p w14:paraId="5B3B4F97"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b/>
          <w:color w:val="000000"/>
        </w:rPr>
        <w:lastRenderedPageBreak/>
        <w:t>Abstract</w:t>
      </w:r>
    </w:p>
    <w:p w14:paraId="0D6945D3"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color w:val="000000"/>
        </w:rPr>
        <w:t>BACKGROUND</w:t>
      </w:r>
    </w:p>
    <w:p w14:paraId="1AA86DB2"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rPr>
        <w:t xml:space="preserve">The molecular changes present in gastric </w:t>
      </w:r>
      <w:bookmarkStart w:id="18" w:name="OLE_LINK1096"/>
      <w:r w:rsidRPr="00805A77">
        <w:rPr>
          <w:rFonts w:ascii="Book Antiqua" w:eastAsia="Book Antiqua" w:hAnsi="Book Antiqua" w:cs="Book Antiqua"/>
        </w:rPr>
        <w:t>neuroendocrine tumors</w:t>
      </w:r>
      <w:bookmarkEnd w:id="18"/>
      <w:r w:rsidRPr="00805A77">
        <w:rPr>
          <w:rFonts w:ascii="Book Antiqua" w:eastAsia="Book Antiqua" w:hAnsi="Book Antiqua" w:cs="Book Antiqua"/>
        </w:rPr>
        <w:t xml:space="preserve"> (NETs) include a loss of heterozygosity or mutation of </w:t>
      </w:r>
      <w:bookmarkStart w:id="19" w:name="OLE_LINK1099"/>
      <w:r w:rsidRPr="00805A77">
        <w:rPr>
          <w:rFonts w:ascii="Book Antiqua" w:eastAsia="Book Antiqua" w:hAnsi="Book Antiqua" w:cs="Book Antiqua"/>
          <w:i/>
          <w:iCs/>
        </w:rPr>
        <w:t>MEN1</w:t>
      </w:r>
      <w:bookmarkEnd w:id="19"/>
      <w:r w:rsidRPr="00805A77">
        <w:rPr>
          <w:rFonts w:ascii="Book Antiqua" w:eastAsia="Book Antiqua" w:hAnsi="Book Antiqua" w:cs="Book Antiqua"/>
        </w:rPr>
        <w:t xml:space="preserve">, </w:t>
      </w:r>
      <w:bookmarkStart w:id="20" w:name="OLE_LINK1093"/>
      <w:r w:rsidRPr="00805A77">
        <w:rPr>
          <w:rFonts w:ascii="Book Antiqua" w:eastAsia="Book Antiqua" w:hAnsi="Book Antiqua" w:cs="Book Antiqua"/>
          <w:i/>
          <w:iCs/>
        </w:rPr>
        <w:t>CDKN1B</w:t>
      </w:r>
      <w:bookmarkEnd w:id="20"/>
      <w:r w:rsidRPr="00805A77">
        <w:rPr>
          <w:rFonts w:ascii="Book Antiqua" w:eastAsia="Book Antiqua" w:hAnsi="Book Antiqua" w:cs="Book Antiqua"/>
        </w:rPr>
        <w:t xml:space="preserve"> gene mutation, </w:t>
      </w:r>
      <w:r w:rsidRPr="00805A77">
        <w:rPr>
          <w:rFonts w:ascii="Book Antiqua" w:eastAsia="Book Antiqua" w:hAnsi="Book Antiqua" w:cs="Book Antiqua"/>
          <w:i/>
          <w:iCs/>
        </w:rPr>
        <w:t>P27</w:t>
      </w:r>
      <w:r w:rsidRPr="00805A77">
        <w:rPr>
          <w:rFonts w:ascii="Book Antiqua" w:eastAsia="Book Antiqua" w:hAnsi="Book Antiqua" w:cs="Book Antiqua"/>
        </w:rPr>
        <w:t xml:space="preserve"> heterozygo</w:t>
      </w:r>
      <w:r w:rsidRPr="00805A77">
        <w:rPr>
          <w:rFonts w:ascii="Book Antiqua" w:eastAsia="宋体" w:hAnsi="Book Antiqua" w:cs="Book Antiqua" w:hint="eastAsia"/>
          <w:lang w:eastAsia="zh-CN"/>
        </w:rPr>
        <w:t>us</w:t>
      </w:r>
      <w:r w:rsidRPr="00805A77">
        <w:rPr>
          <w:rFonts w:ascii="Book Antiqua" w:eastAsia="Book Antiqua" w:hAnsi="Book Antiqua" w:cs="Book Antiqua"/>
        </w:rPr>
        <w:t xml:space="preserve"> mutation</w:t>
      </w:r>
      <w:r w:rsidRPr="00805A77">
        <w:rPr>
          <w:rFonts w:ascii="Book Antiqua" w:eastAsia="宋体" w:hAnsi="Book Antiqua" w:cs="Book Antiqua" w:hint="eastAsia"/>
          <w:lang w:eastAsia="zh-CN"/>
        </w:rPr>
        <w:t>,</w:t>
      </w:r>
      <w:r w:rsidRPr="00805A77">
        <w:rPr>
          <w:rFonts w:ascii="Book Antiqua" w:eastAsia="Book Antiqua" w:hAnsi="Book Antiqua" w:cs="Book Antiqua"/>
        </w:rPr>
        <w:t xml:space="preserve"> and </w:t>
      </w:r>
      <w:r w:rsidRPr="00805A77">
        <w:rPr>
          <w:rFonts w:ascii="Book Antiqua" w:eastAsia="Book Antiqua" w:hAnsi="Book Antiqua" w:cs="Book Antiqua"/>
          <w:i/>
          <w:iCs/>
        </w:rPr>
        <w:t>ATP4A</w:t>
      </w:r>
      <w:r w:rsidRPr="00805A77">
        <w:rPr>
          <w:rFonts w:ascii="Book Antiqua" w:eastAsia="Book Antiqua" w:hAnsi="Book Antiqua" w:cs="Book Antiqua"/>
        </w:rPr>
        <w:t xml:space="preserve"> gene missense mutation. We identified and are the first to report a case of</w:t>
      </w:r>
      <w:r w:rsidRPr="00805A77">
        <w:rPr>
          <w:rFonts w:ascii="Book Antiqua" w:eastAsia="宋体" w:hAnsi="Book Antiqua" w:cs="Book Antiqua" w:hint="eastAsia"/>
          <w:lang w:eastAsia="zh-CN"/>
        </w:rPr>
        <w:t xml:space="preserve"> </w:t>
      </w:r>
      <w:r w:rsidRPr="00805A77">
        <w:rPr>
          <w:rFonts w:ascii="Book Antiqua" w:eastAsia="Book Antiqua" w:hAnsi="Book Antiqua" w:cs="Book Antiqua"/>
        </w:rPr>
        <w:t>type 1 histamine-producin</w:t>
      </w:r>
      <w:bookmarkStart w:id="21" w:name="OLE_LINK1094"/>
      <w:r w:rsidRPr="00805A77">
        <w:rPr>
          <w:rFonts w:ascii="Book Antiqua" w:eastAsia="Book Antiqua" w:hAnsi="Book Antiqua" w:cs="Book Antiqua"/>
        </w:rPr>
        <w:t xml:space="preserve">g </w:t>
      </w:r>
      <w:bookmarkStart w:id="22" w:name="OLE_LINK1095"/>
      <w:r w:rsidRPr="00805A77">
        <w:rPr>
          <w:rFonts w:ascii="Book Antiqua" w:eastAsia="Book Antiqua" w:hAnsi="Book Antiqua" w:cs="Book Antiqua"/>
        </w:rPr>
        <w:t>enterochromaffin-like cell</w:t>
      </w:r>
      <w:bookmarkEnd w:id="21"/>
      <w:bookmarkEnd w:id="22"/>
      <w:r w:rsidRPr="00805A77">
        <w:rPr>
          <w:rFonts w:ascii="Book Antiqua" w:eastAsia="Book Antiqua" w:hAnsi="Book Antiqua" w:cs="Book Antiqua"/>
        </w:rPr>
        <w:t xml:space="preserve"> NETs (ECL-cell NET</w:t>
      </w:r>
      <w:r w:rsidRPr="00805A77">
        <w:rPr>
          <w:rFonts w:ascii="Book Antiqua" w:eastAsia="宋体" w:hAnsi="Book Antiqua" w:cs="Book Antiqua" w:hint="eastAsia"/>
          <w:lang w:eastAsia="zh-CN"/>
        </w:rPr>
        <w:t>s</w:t>
      </w:r>
      <w:r w:rsidRPr="00805A77">
        <w:rPr>
          <w:rFonts w:ascii="Book Antiqua" w:eastAsia="Book Antiqua" w:hAnsi="Book Antiqua" w:cs="Book Antiqua"/>
        </w:rPr>
        <w:t xml:space="preserve">) with a </w:t>
      </w:r>
      <w:bookmarkStart w:id="23" w:name="OLE_LINK1100"/>
      <w:r w:rsidRPr="00805A77">
        <w:rPr>
          <w:rFonts w:ascii="Book Antiqua" w:eastAsia="Book Antiqua" w:hAnsi="Book Antiqua" w:cs="Book Antiqua"/>
          <w:i/>
          <w:iCs/>
        </w:rPr>
        <w:t>BRCA2</w:t>
      </w:r>
      <w:bookmarkEnd w:id="23"/>
      <w:r w:rsidRPr="00805A77">
        <w:rPr>
          <w:rFonts w:ascii="Book Antiqua" w:eastAsia="Book Antiqua" w:hAnsi="Book Antiqua" w:cs="Book Antiqua"/>
        </w:rPr>
        <w:t xml:space="preserve"> gene germline mutation.</w:t>
      </w:r>
    </w:p>
    <w:p w14:paraId="4A85086D" w14:textId="77777777" w:rsidR="00005863" w:rsidRPr="00805A77" w:rsidRDefault="00005863">
      <w:pPr>
        <w:spacing w:line="360" w:lineRule="auto"/>
        <w:jc w:val="both"/>
        <w:rPr>
          <w:rFonts w:ascii="Book Antiqua" w:hAnsi="Book Antiqua"/>
        </w:rPr>
      </w:pPr>
    </w:p>
    <w:p w14:paraId="6CA1115D"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color w:val="000000"/>
        </w:rPr>
        <w:t>CASE SUMMARY</w:t>
      </w:r>
    </w:p>
    <w:p w14:paraId="7A241FD5"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rPr>
        <w:t>The patient had a history of iron-deficient anemia for 5 years, and gastroscop</w:t>
      </w:r>
      <w:r w:rsidRPr="00805A77">
        <w:rPr>
          <w:rFonts w:ascii="Book Antiqua" w:eastAsia="宋体" w:hAnsi="Book Antiqua" w:cs="Book Antiqua" w:hint="eastAsia"/>
          <w:lang w:eastAsia="zh-CN"/>
        </w:rPr>
        <w:t>ic examination</w:t>
      </w:r>
      <w:r w:rsidRPr="00805A77">
        <w:rPr>
          <w:rFonts w:ascii="Book Antiqua" w:eastAsia="Book Antiqua" w:hAnsi="Book Antiqua" w:cs="Book Antiqua"/>
        </w:rPr>
        <w:t xml:space="preserve"> indicated multiple gastric tumors. Then, the patient underwent distal gastrectomy. Microscopically, multifocal tumor cells were found in the mucosa and submucosa; tumor cells were organoid and arranged in nests and cords, and the stroma was rich in sinusoids. The surrounding gastric mucosa showed atrophy with mild intestinal metaplasia or pseudopyloric gland metaplasia. Neuroendocrine cells could be seen with diffuse linear, nodular, and adenomatous hyperplasia. Immunohistochemically, the tumor cells diffusely expressed cytokeratin, chromogranin, synaptophysin, and CD56. Whole-genome high-throughput molecular sequencing revealed a pathogenic germline mutation in the </w:t>
      </w:r>
      <w:bookmarkStart w:id="24" w:name="OLE_LINK1092"/>
      <w:r w:rsidRPr="00805A77">
        <w:rPr>
          <w:rFonts w:ascii="Book Antiqua" w:eastAsia="Book Antiqua" w:hAnsi="Book Antiqua" w:cs="Book Antiqua"/>
          <w:i/>
          <w:iCs/>
        </w:rPr>
        <w:t>BRCA2</w:t>
      </w:r>
      <w:bookmarkEnd w:id="24"/>
      <w:r w:rsidRPr="00805A77">
        <w:rPr>
          <w:rFonts w:ascii="Book Antiqua" w:eastAsia="Book Antiqua" w:hAnsi="Book Antiqua" w:cs="Book Antiqua"/>
        </w:rPr>
        <w:t xml:space="preserve"> gene, a heterozygous germline frameshift mutation in exon 11, c.6443_6444del (p.S2148Yfs*2). The final diagnosis was gastric type 1 ECL-cell NETs with a </w:t>
      </w:r>
      <w:bookmarkStart w:id="25" w:name="OLE_LINK1101"/>
      <w:r w:rsidRPr="00805A77">
        <w:rPr>
          <w:rFonts w:ascii="Book Antiqua" w:eastAsia="Book Antiqua" w:hAnsi="Book Antiqua" w:cs="Book Antiqua"/>
          <w:i/>
          <w:iCs/>
        </w:rPr>
        <w:t>BRCA2</w:t>
      </w:r>
      <w:bookmarkEnd w:id="25"/>
      <w:r w:rsidRPr="00805A77">
        <w:rPr>
          <w:rFonts w:ascii="Book Antiqua" w:eastAsia="Book Antiqua" w:hAnsi="Book Antiqua" w:cs="Book Antiqua"/>
        </w:rPr>
        <w:t xml:space="preserve"> gene germline mutation, accompanied by autoimmune gastritis.</w:t>
      </w:r>
    </w:p>
    <w:p w14:paraId="56E622BE" w14:textId="77777777" w:rsidR="00005863" w:rsidRPr="00805A77" w:rsidRDefault="00005863">
      <w:pPr>
        <w:spacing w:line="360" w:lineRule="auto"/>
        <w:jc w:val="both"/>
        <w:rPr>
          <w:rFonts w:ascii="Book Antiqua" w:hAnsi="Book Antiqua"/>
        </w:rPr>
      </w:pPr>
    </w:p>
    <w:p w14:paraId="55CFB04F"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color w:val="000000"/>
        </w:rPr>
        <w:t>CONCLUSION</w:t>
      </w:r>
    </w:p>
    <w:p w14:paraId="1BABA603"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rPr>
        <w:t xml:space="preserve">This </w:t>
      </w:r>
      <w:r w:rsidRPr="00805A77">
        <w:rPr>
          <w:rFonts w:ascii="Book Antiqua" w:eastAsia="宋体" w:hAnsi="Book Antiqua" w:cs="Book Antiqua" w:hint="eastAsia"/>
          <w:lang w:eastAsia="zh-CN"/>
        </w:rPr>
        <w:t xml:space="preserve">is </w:t>
      </w:r>
      <w:r w:rsidRPr="00805A77">
        <w:rPr>
          <w:rFonts w:ascii="Book Antiqua" w:eastAsia="Book Antiqua" w:hAnsi="Book Antiqua" w:cs="Book Antiqua"/>
        </w:rPr>
        <w:t xml:space="preserve">the first </w:t>
      </w:r>
      <w:r w:rsidRPr="00805A77">
        <w:rPr>
          <w:rFonts w:ascii="Book Antiqua" w:eastAsia="宋体" w:hAnsi="Book Antiqua" w:cs="Book Antiqua" w:hint="eastAsia"/>
          <w:lang w:eastAsia="zh-CN"/>
        </w:rPr>
        <w:t xml:space="preserve">report </w:t>
      </w:r>
      <w:r w:rsidRPr="00805A77">
        <w:rPr>
          <w:rFonts w:ascii="Book Antiqua" w:eastAsia="Book Antiqua" w:hAnsi="Book Antiqua" w:cs="Book Antiqua"/>
        </w:rPr>
        <w:t xml:space="preserve">of a case of type 1 gastric ECL-cell NETs with a pathogenic germline mutation of the </w:t>
      </w:r>
      <w:bookmarkStart w:id="26" w:name="OLE_LINK1102"/>
      <w:r w:rsidRPr="00805A77">
        <w:rPr>
          <w:rFonts w:ascii="Book Antiqua" w:eastAsia="Book Antiqua" w:hAnsi="Book Antiqua" w:cs="Book Antiqua"/>
          <w:i/>
          <w:iCs/>
        </w:rPr>
        <w:t>BRCA2</w:t>
      </w:r>
      <w:bookmarkEnd w:id="26"/>
      <w:r w:rsidRPr="00805A77">
        <w:rPr>
          <w:rFonts w:ascii="Book Antiqua" w:eastAsia="Book Antiqua" w:hAnsi="Book Antiqua" w:cs="Book Antiqua"/>
        </w:rPr>
        <w:t xml:space="preserve"> gene. The findings of this report will expand the germline mutation spectrum of gastric NETs and increase the understanding of the molecular changes present in these tumors for their improved diagnosis in the future.</w:t>
      </w:r>
    </w:p>
    <w:p w14:paraId="230C765E" w14:textId="77777777" w:rsidR="00005863" w:rsidRPr="00805A77" w:rsidRDefault="00005863">
      <w:pPr>
        <w:spacing w:line="360" w:lineRule="auto"/>
        <w:jc w:val="both"/>
        <w:rPr>
          <w:rFonts w:ascii="Book Antiqua" w:hAnsi="Book Antiqua"/>
        </w:rPr>
      </w:pPr>
    </w:p>
    <w:p w14:paraId="3025AD3F" w14:textId="77777777" w:rsidR="00005863" w:rsidRPr="00805A77" w:rsidRDefault="00000000">
      <w:pPr>
        <w:spacing w:line="360" w:lineRule="auto"/>
        <w:jc w:val="both"/>
        <w:rPr>
          <w:rFonts w:ascii="Book Antiqua" w:hAnsi="Book Antiqua"/>
          <w:lang w:eastAsia="zh-CN"/>
        </w:rPr>
      </w:pPr>
      <w:r w:rsidRPr="00805A77">
        <w:rPr>
          <w:rFonts w:ascii="Book Antiqua" w:eastAsia="Book Antiqua" w:hAnsi="Book Antiqua" w:cs="Book Antiqua"/>
          <w:b/>
          <w:bCs/>
        </w:rPr>
        <w:lastRenderedPageBreak/>
        <w:t xml:space="preserve">Key Words: </w:t>
      </w:r>
      <w:bookmarkStart w:id="27" w:name="OLE_LINK6413"/>
      <w:r w:rsidRPr="00805A77">
        <w:rPr>
          <w:rFonts w:ascii="Book Antiqua" w:eastAsia="Book Antiqua" w:hAnsi="Book Antiqua" w:cs="Book Antiqua"/>
        </w:rPr>
        <w:t xml:space="preserve">Gastric; Neuroendocrine tumor; </w:t>
      </w:r>
      <w:bookmarkStart w:id="28" w:name="OLE_LINK1097"/>
      <w:r w:rsidRPr="00805A77">
        <w:rPr>
          <w:rFonts w:ascii="Book Antiqua" w:eastAsia="Book Antiqua" w:hAnsi="Book Antiqua" w:cs="Book Antiqua"/>
        </w:rPr>
        <w:t>Enterochromaffin-like cell neuroendocrine tumors</w:t>
      </w:r>
      <w:bookmarkEnd w:id="28"/>
      <w:r w:rsidRPr="00805A77">
        <w:rPr>
          <w:rFonts w:ascii="Book Antiqua" w:eastAsia="Book Antiqua" w:hAnsi="Book Antiqua" w:cs="Book Antiqua"/>
        </w:rPr>
        <w:t xml:space="preserve">; Type 1 enterochromaffin-like cell neuroendocrine tumors; </w:t>
      </w:r>
      <w:bookmarkStart w:id="29" w:name="OLE_LINK1103"/>
      <w:r w:rsidRPr="00805A77">
        <w:rPr>
          <w:rFonts w:ascii="Book Antiqua" w:eastAsia="Book Antiqua" w:hAnsi="Book Antiqua" w:cs="Book Antiqua"/>
          <w:i/>
          <w:iCs/>
        </w:rPr>
        <w:t>BRCA2</w:t>
      </w:r>
      <w:bookmarkEnd w:id="29"/>
      <w:r w:rsidRPr="00805A77">
        <w:rPr>
          <w:rFonts w:ascii="Book Antiqua" w:eastAsia="Book Antiqua" w:hAnsi="Book Antiqua" w:cs="Book Antiqua"/>
        </w:rPr>
        <w:t>; Germline mutation; C</w:t>
      </w:r>
      <w:r w:rsidRPr="00805A77">
        <w:rPr>
          <w:rFonts w:ascii="Book Antiqua" w:eastAsia="Book Antiqua" w:hAnsi="Book Antiqua" w:cs="Book Antiqua" w:hint="eastAsia"/>
          <w:lang w:eastAsia="zh-CN"/>
        </w:rPr>
        <w:t>a</w:t>
      </w:r>
      <w:r w:rsidRPr="00805A77">
        <w:rPr>
          <w:rFonts w:ascii="Book Antiqua" w:eastAsia="Book Antiqua" w:hAnsi="Book Antiqua" w:cs="Book Antiqua"/>
          <w:lang w:eastAsia="zh-CN"/>
        </w:rPr>
        <w:t>se report</w:t>
      </w:r>
      <w:bookmarkEnd w:id="27"/>
    </w:p>
    <w:p w14:paraId="30740D19" w14:textId="77777777" w:rsidR="00005863" w:rsidRPr="00805A77" w:rsidRDefault="00005863">
      <w:pPr>
        <w:spacing w:line="360" w:lineRule="auto"/>
        <w:jc w:val="both"/>
        <w:rPr>
          <w:rFonts w:ascii="Book Antiqua" w:hAnsi="Book Antiqua"/>
        </w:rPr>
      </w:pPr>
    </w:p>
    <w:p w14:paraId="678AEDB3" w14:textId="77777777" w:rsidR="00D4697B" w:rsidRPr="00805A77" w:rsidRDefault="00D4697B" w:rsidP="00D4697B">
      <w:pPr>
        <w:spacing w:line="360" w:lineRule="auto"/>
        <w:rPr>
          <w:rFonts w:ascii="Book Antiqua" w:eastAsia="Book Antiqua" w:hAnsi="Book Antiqua" w:cs="Book Antiqua"/>
          <w:color w:val="000000"/>
        </w:rPr>
      </w:pPr>
      <w:r w:rsidRPr="00805A77">
        <w:rPr>
          <w:rFonts w:ascii="Book Antiqua" w:eastAsia="Book Antiqua" w:hAnsi="Book Antiqua" w:cs="Book Antiqua" w:hint="eastAsia"/>
          <w:b/>
          <w:color w:val="000000"/>
        </w:rPr>
        <w:t>©</w:t>
      </w:r>
      <w:r w:rsidRPr="00805A77">
        <w:rPr>
          <w:rFonts w:ascii="Book Antiqua" w:eastAsia="Book Antiqua" w:hAnsi="Book Antiqua" w:cs="Book Antiqua"/>
          <w:b/>
          <w:color w:val="000000"/>
        </w:rPr>
        <w:t>The</w:t>
      </w:r>
      <w:r w:rsidRPr="00805A77">
        <w:rPr>
          <w:rFonts w:ascii="Book Antiqua" w:eastAsia="Book Antiqua" w:hAnsi="Book Antiqua" w:cs="Book Antiqua"/>
          <w:color w:val="000000"/>
        </w:rPr>
        <w:t xml:space="preserve"> </w:t>
      </w:r>
      <w:r w:rsidRPr="00805A77">
        <w:rPr>
          <w:rFonts w:ascii="Book Antiqua" w:eastAsia="Book Antiqua" w:hAnsi="Book Antiqua" w:cs="Book Antiqua"/>
          <w:b/>
          <w:color w:val="000000"/>
        </w:rPr>
        <w:t>Author(s) 202</w:t>
      </w:r>
      <w:r w:rsidRPr="00805A77">
        <w:rPr>
          <w:rFonts w:ascii="Book Antiqua" w:hAnsi="Book Antiqua" w:cs="Book Antiqua"/>
          <w:b/>
          <w:color w:val="000000"/>
        </w:rPr>
        <w:t>3</w:t>
      </w:r>
      <w:r w:rsidRPr="00805A77">
        <w:rPr>
          <w:rFonts w:ascii="Book Antiqua" w:eastAsia="Book Antiqua" w:hAnsi="Book Antiqua" w:cs="Book Antiqua"/>
          <w:b/>
          <w:color w:val="000000"/>
        </w:rPr>
        <w:t xml:space="preserve">. </w:t>
      </w:r>
      <w:r w:rsidRPr="00805A77">
        <w:rPr>
          <w:rFonts w:ascii="Book Antiqua" w:eastAsia="Book Antiqua" w:hAnsi="Book Antiqua" w:cs="Book Antiqua"/>
          <w:color w:val="000000"/>
        </w:rPr>
        <w:t>Published by Baishideng Publishing Group Inc. All rights reserved.</w:t>
      </w:r>
    </w:p>
    <w:p w14:paraId="21609346" w14:textId="77777777" w:rsidR="00D4697B" w:rsidRPr="00805A77" w:rsidRDefault="00D4697B">
      <w:pPr>
        <w:spacing w:line="360" w:lineRule="auto"/>
        <w:jc w:val="both"/>
        <w:rPr>
          <w:rFonts w:ascii="Book Antiqua" w:hAnsi="Book Antiqua"/>
        </w:rPr>
      </w:pPr>
    </w:p>
    <w:p w14:paraId="4479A0F0" w14:textId="7601A70D" w:rsidR="00D4697B" w:rsidRPr="00805A77" w:rsidRDefault="00D4697B">
      <w:pPr>
        <w:spacing w:line="360" w:lineRule="auto"/>
        <w:jc w:val="both"/>
        <w:rPr>
          <w:rFonts w:ascii="Book Antiqua" w:eastAsia="Book Antiqua" w:hAnsi="Book Antiqua" w:cs="Book Antiqua"/>
        </w:rPr>
      </w:pPr>
      <w:bookmarkStart w:id="30" w:name="OLE_LINK6414"/>
      <w:r w:rsidRPr="00805A77">
        <w:rPr>
          <w:rFonts w:ascii="Book Antiqua" w:eastAsia="Book Antiqua" w:hAnsi="Book Antiqua" w:cs="Book Antiqua"/>
          <w:b/>
          <w:bCs/>
          <w:color w:val="000000"/>
        </w:rPr>
        <w:t>C</w:t>
      </w:r>
      <w:r w:rsidRPr="00805A77">
        <w:rPr>
          <w:rFonts w:ascii="Book Antiqua" w:eastAsia="Book Antiqua" w:hAnsi="Book Antiqua" w:cs="Book Antiqua" w:hint="eastAsia"/>
          <w:b/>
          <w:bCs/>
          <w:color w:val="000000"/>
        </w:rPr>
        <w:t>itation</w:t>
      </w:r>
      <w:r w:rsidRPr="00805A77">
        <w:rPr>
          <w:rFonts w:ascii="Book Antiqua" w:eastAsia="Book Antiqua" w:hAnsi="Book Antiqua" w:cs="Book Antiqua"/>
          <w:color w:val="000000"/>
        </w:rPr>
        <w:t xml:space="preserve">: </w:t>
      </w:r>
      <w:r w:rsidRPr="00805A77">
        <w:rPr>
          <w:rFonts w:ascii="Book Antiqua" w:eastAsia="Book Antiqua" w:hAnsi="Book Antiqua" w:cs="Book Antiqua"/>
        </w:rPr>
        <w:t xml:space="preserve">Zhang HF, Zheng Y, Wen X, Zhao J, Li J. Gastric </w:t>
      </w:r>
      <w:bookmarkStart w:id="31" w:name="OLE_LINK1091"/>
      <w:r w:rsidRPr="00805A77">
        <w:rPr>
          <w:rFonts w:ascii="Book Antiqua" w:eastAsia="Book Antiqua" w:hAnsi="Book Antiqua" w:cs="Book Antiqua"/>
        </w:rPr>
        <w:t>neuroendocrine tumors</w:t>
      </w:r>
      <w:bookmarkEnd w:id="31"/>
      <w:r w:rsidRPr="00805A77">
        <w:rPr>
          <w:rFonts w:ascii="Book Antiqua" w:eastAsia="Book Antiqua" w:hAnsi="Book Antiqua" w:cs="Book Antiqua"/>
        </w:rPr>
        <w:t xml:space="preserve"> in a </w:t>
      </w:r>
      <w:r w:rsidRPr="00805A77">
        <w:rPr>
          <w:rFonts w:ascii="Book Antiqua" w:eastAsia="Book Antiqua" w:hAnsi="Book Antiqua" w:cs="Book Antiqua"/>
          <w:i/>
          <w:iCs/>
        </w:rPr>
        <w:t>BRCA2</w:t>
      </w:r>
      <w:r w:rsidRPr="00805A77">
        <w:rPr>
          <w:rFonts w:ascii="Book Antiqua" w:eastAsia="Book Antiqua" w:hAnsi="Book Antiqua" w:cs="Book Antiqua"/>
        </w:rPr>
        <w:t xml:space="preserve"> germline mutation carrier: A case report. </w:t>
      </w:r>
      <w:r w:rsidRPr="00805A77">
        <w:rPr>
          <w:rFonts w:ascii="Book Antiqua" w:eastAsia="Book Antiqua" w:hAnsi="Book Antiqua" w:cs="Book Antiqua"/>
          <w:i/>
          <w:iCs/>
        </w:rPr>
        <w:t>World J Gastrointest Oncol</w:t>
      </w:r>
      <w:r w:rsidRPr="00805A77">
        <w:rPr>
          <w:rFonts w:ascii="Book Antiqua" w:eastAsia="Book Antiqua" w:hAnsi="Book Antiqua" w:cs="Book Antiqua"/>
        </w:rPr>
        <w:t xml:space="preserve"> 2023; </w:t>
      </w:r>
      <w:r w:rsidR="00C35447" w:rsidRPr="00805A77">
        <w:rPr>
          <w:rFonts w:ascii="Book Antiqua" w:eastAsia="Book Antiqua" w:hAnsi="Book Antiqua" w:cs="Book Antiqua"/>
        </w:rPr>
        <w:t xml:space="preserve">15(8): </w:t>
      </w:r>
      <w:r w:rsidRPr="00805A77">
        <w:rPr>
          <w:rFonts w:ascii="Book Antiqua" w:eastAsia="Book Antiqua" w:hAnsi="Book Antiqua" w:cs="Book Antiqua"/>
        </w:rPr>
        <w:t>1497-1504</w:t>
      </w:r>
    </w:p>
    <w:p w14:paraId="5705893B" w14:textId="1676B327" w:rsidR="00D4697B" w:rsidRPr="00805A77" w:rsidRDefault="00C35447">
      <w:pPr>
        <w:spacing w:line="360" w:lineRule="auto"/>
        <w:jc w:val="both"/>
        <w:rPr>
          <w:rFonts w:ascii="Book Antiqua" w:eastAsia="Book Antiqua" w:hAnsi="Book Antiqua" w:cs="Book Antiqua"/>
        </w:rPr>
      </w:pPr>
      <w:r w:rsidRPr="00805A77">
        <w:rPr>
          <w:rFonts w:ascii="Book Antiqua" w:eastAsia="Book Antiqua" w:hAnsi="Book Antiqua" w:cs="Book Antiqua"/>
          <w:b/>
          <w:bCs/>
        </w:rPr>
        <w:t>URL</w:t>
      </w:r>
      <w:r w:rsidRPr="00805A77">
        <w:rPr>
          <w:rFonts w:ascii="Book Antiqua" w:eastAsia="Book Antiqua" w:hAnsi="Book Antiqua" w:cs="Book Antiqua"/>
        </w:rPr>
        <w:t>: https://www.wjgnet.com/1948-5204/full/v15/i8/</w:t>
      </w:r>
      <w:r w:rsidR="00D4697B" w:rsidRPr="00805A77">
        <w:rPr>
          <w:rFonts w:ascii="Book Antiqua" w:eastAsia="Book Antiqua" w:hAnsi="Book Antiqua" w:cs="Book Antiqua"/>
        </w:rPr>
        <w:t>1497</w:t>
      </w:r>
      <w:r w:rsidRPr="00805A77">
        <w:rPr>
          <w:rFonts w:ascii="Book Antiqua" w:eastAsia="Book Antiqua" w:hAnsi="Book Antiqua" w:cs="Book Antiqua"/>
        </w:rPr>
        <w:t>.htm</w:t>
      </w:r>
    </w:p>
    <w:p w14:paraId="6F274F4C" w14:textId="5EC4C06A" w:rsidR="00005863" w:rsidRPr="00805A77" w:rsidRDefault="00C35447">
      <w:pPr>
        <w:spacing w:line="360" w:lineRule="auto"/>
        <w:jc w:val="both"/>
        <w:rPr>
          <w:rFonts w:ascii="Book Antiqua" w:hAnsi="Book Antiqua"/>
        </w:rPr>
      </w:pPr>
      <w:r w:rsidRPr="00805A77">
        <w:rPr>
          <w:rFonts w:ascii="Book Antiqua" w:eastAsia="Book Antiqua" w:hAnsi="Book Antiqua" w:cs="Book Antiqua"/>
          <w:b/>
          <w:bCs/>
        </w:rPr>
        <w:t>DOI</w:t>
      </w:r>
      <w:r w:rsidRPr="00805A77">
        <w:rPr>
          <w:rFonts w:ascii="Book Antiqua" w:eastAsia="Book Antiqua" w:hAnsi="Book Antiqua" w:cs="Book Antiqua"/>
        </w:rPr>
        <w:t>: https://dx.doi.org/10.4251/wjgo.v15.i8.</w:t>
      </w:r>
      <w:r w:rsidR="00D4697B" w:rsidRPr="00805A77">
        <w:rPr>
          <w:rFonts w:ascii="Book Antiqua" w:eastAsia="Book Antiqua" w:hAnsi="Book Antiqua" w:cs="Book Antiqua"/>
        </w:rPr>
        <w:t>1497</w:t>
      </w:r>
    </w:p>
    <w:bookmarkEnd w:id="30"/>
    <w:p w14:paraId="521A00EF" w14:textId="77777777" w:rsidR="00005863" w:rsidRPr="00805A77" w:rsidRDefault="00005863">
      <w:pPr>
        <w:spacing w:line="360" w:lineRule="auto"/>
        <w:jc w:val="both"/>
        <w:rPr>
          <w:rFonts w:ascii="Book Antiqua" w:hAnsi="Book Antiqua"/>
        </w:rPr>
      </w:pPr>
    </w:p>
    <w:p w14:paraId="4AA2A112"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b/>
          <w:bCs/>
        </w:rPr>
        <w:t xml:space="preserve">Core Tip: </w:t>
      </w:r>
      <w:bookmarkStart w:id="32" w:name="OLE_LINK6415"/>
      <w:r w:rsidRPr="00805A77">
        <w:rPr>
          <w:rFonts w:ascii="Book Antiqua" w:eastAsia="Book Antiqua" w:hAnsi="Book Antiqua" w:cs="Book Antiqua"/>
        </w:rPr>
        <w:t xml:space="preserve">Type 1 enterochromaffin-like neuroendocrine tumors (ECL-cell NETs) occur most frequently and are associated with autoimmune gastritis. In gastric neuroendocrine tumors, molecular changes occur in genes including </w:t>
      </w:r>
      <w:bookmarkStart w:id="33" w:name="OLE_LINK1104"/>
      <w:r w:rsidRPr="00805A77">
        <w:rPr>
          <w:rFonts w:ascii="Book Antiqua" w:eastAsia="Book Antiqua" w:hAnsi="Book Antiqua" w:cs="Book Antiqua"/>
          <w:i/>
          <w:iCs/>
        </w:rPr>
        <w:t>MEN1</w:t>
      </w:r>
      <w:bookmarkEnd w:id="33"/>
      <w:r w:rsidRPr="00805A77">
        <w:rPr>
          <w:rFonts w:ascii="Book Antiqua" w:eastAsia="Book Antiqua" w:hAnsi="Book Antiqua" w:cs="Book Antiqua"/>
        </w:rPr>
        <w:t xml:space="preserve">, </w:t>
      </w:r>
      <w:bookmarkStart w:id="34" w:name="OLE_LINK1105"/>
      <w:r w:rsidRPr="00805A77">
        <w:rPr>
          <w:rFonts w:ascii="Book Antiqua" w:eastAsia="Book Antiqua" w:hAnsi="Book Antiqua" w:cs="Book Antiqua"/>
          <w:i/>
          <w:iCs/>
        </w:rPr>
        <w:t>CDKN1B</w:t>
      </w:r>
      <w:bookmarkEnd w:id="34"/>
      <w:r w:rsidRPr="00805A77">
        <w:rPr>
          <w:rFonts w:ascii="Book Antiqua" w:eastAsia="Book Antiqua" w:hAnsi="Book Antiqua" w:cs="Book Antiqua"/>
        </w:rPr>
        <w:t xml:space="preserve">, </w:t>
      </w:r>
      <w:r w:rsidRPr="00805A77">
        <w:rPr>
          <w:rFonts w:ascii="Book Antiqua" w:eastAsia="Book Antiqua" w:hAnsi="Book Antiqua" w:cs="Book Antiqua"/>
          <w:i/>
          <w:iCs/>
        </w:rPr>
        <w:t>P27</w:t>
      </w:r>
      <w:r w:rsidRPr="00805A77">
        <w:rPr>
          <w:rFonts w:ascii="Book Antiqua" w:eastAsia="宋体" w:hAnsi="Book Antiqua" w:cs="Book Antiqua" w:hint="eastAsia"/>
          <w:lang w:eastAsia="zh-CN"/>
        </w:rPr>
        <w:t xml:space="preserve">, </w:t>
      </w:r>
      <w:r w:rsidRPr="00805A77">
        <w:rPr>
          <w:rFonts w:ascii="Book Antiqua" w:eastAsia="Book Antiqua" w:hAnsi="Book Antiqua" w:cs="Book Antiqua"/>
        </w:rPr>
        <w:t xml:space="preserve">and </w:t>
      </w:r>
      <w:r w:rsidRPr="00805A77">
        <w:rPr>
          <w:rFonts w:ascii="Book Antiqua" w:eastAsia="Book Antiqua" w:hAnsi="Book Antiqua" w:cs="Book Antiqua"/>
          <w:i/>
          <w:iCs/>
        </w:rPr>
        <w:t>ATP4A</w:t>
      </w:r>
      <w:r w:rsidRPr="00805A77">
        <w:rPr>
          <w:rFonts w:ascii="Book Antiqua" w:eastAsia="Book Antiqua" w:hAnsi="Book Antiqua" w:cs="Book Antiqua"/>
        </w:rPr>
        <w:t>. This</w:t>
      </w:r>
      <w:r w:rsidRPr="00805A77">
        <w:rPr>
          <w:rFonts w:ascii="Book Antiqua" w:eastAsia="宋体" w:hAnsi="Book Antiqua" w:cs="Book Antiqua" w:hint="eastAsia"/>
          <w:lang w:eastAsia="zh-CN"/>
        </w:rPr>
        <w:t xml:space="preserve"> </w:t>
      </w:r>
      <w:r w:rsidRPr="00805A77">
        <w:rPr>
          <w:rFonts w:ascii="Book Antiqua" w:eastAsia="Book Antiqua" w:hAnsi="Book Antiqua" w:cs="Book Antiqua"/>
        </w:rPr>
        <w:t>is the first</w:t>
      </w:r>
      <w:r w:rsidRPr="00805A77">
        <w:rPr>
          <w:rFonts w:ascii="Book Antiqua" w:eastAsia="宋体" w:hAnsi="Book Antiqua" w:cs="Book Antiqua" w:hint="eastAsia"/>
          <w:lang w:eastAsia="zh-CN"/>
        </w:rPr>
        <w:t xml:space="preserve"> report</w:t>
      </w:r>
      <w:r w:rsidRPr="00805A77">
        <w:rPr>
          <w:rFonts w:ascii="Book Antiqua" w:eastAsia="Book Antiqua" w:hAnsi="Book Antiqua" w:cs="Book Antiqua"/>
        </w:rPr>
        <w:t xml:space="preserve"> of</w:t>
      </w:r>
      <w:r w:rsidRPr="00805A77">
        <w:rPr>
          <w:rFonts w:ascii="Book Antiqua" w:eastAsia="宋体" w:hAnsi="Book Antiqua" w:cs="Book Antiqua" w:hint="eastAsia"/>
          <w:lang w:eastAsia="zh-CN"/>
        </w:rPr>
        <w:t xml:space="preserve"> </w:t>
      </w:r>
      <w:r w:rsidRPr="00805A77">
        <w:rPr>
          <w:rFonts w:ascii="Book Antiqua" w:eastAsia="Book Antiqua" w:hAnsi="Book Antiqua" w:cs="Book Antiqua"/>
        </w:rPr>
        <w:t xml:space="preserve">type 1 ECL-cell NETs with a pathogenic germline mutation of the </w:t>
      </w:r>
      <w:bookmarkStart w:id="35" w:name="OLE_LINK1106"/>
      <w:r w:rsidRPr="00805A77">
        <w:rPr>
          <w:rFonts w:ascii="Book Antiqua" w:eastAsia="Book Antiqua" w:hAnsi="Book Antiqua" w:cs="Book Antiqua"/>
          <w:i/>
          <w:iCs/>
        </w:rPr>
        <w:t>BRCA2</w:t>
      </w:r>
      <w:bookmarkEnd w:id="35"/>
      <w:r w:rsidRPr="00805A77">
        <w:rPr>
          <w:rFonts w:ascii="Book Antiqua" w:eastAsia="Book Antiqua" w:hAnsi="Book Antiqua" w:cs="Book Antiqua"/>
        </w:rPr>
        <w:t xml:space="preserve"> gene. </w:t>
      </w:r>
      <w:bookmarkEnd w:id="32"/>
    </w:p>
    <w:p w14:paraId="5C0A1DFB" w14:textId="77777777" w:rsidR="00005863" w:rsidRPr="00805A77" w:rsidRDefault="00005863">
      <w:pPr>
        <w:spacing w:line="360" w:lineRule="auto"/>
        <w:jc w:val="both"/>
        <w:rPr>
          <w:rFonts w:ascii="Book Antiqua" w:hAnsi="Book Antiqua"/>
        </w:rPr>
      </w:pPr>
    </w:p>
    <w:p w14:paraId="0B2D1C59" w14:textId="77777777" w:rsidR="00005863" w:rsidRPr="00805A77" w:rsidRDefault="00005863">
      <w:pPr>
        <w:spacing w:line="360" w:lineRule="auto"/>
        <w:jc w:val="both"/>
        <w:rPr>
          <w:rFonts w:ascii="Book Antiqua" w:hAnsi="Book Antiqua"/>
        </w:rPr>
      </w:pPr>
    </w:p>
    <w:p w14:paraId="5CA546F7"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b/>
          <w:caps/>
          <w:color w:val="000000"/>
          <w:u w:val="single"/>
        </w:rPr>
        <w:t>INTRODUCTION</w:t>
      </w:r>
    </w:p>
    <w:p w14:paraId="4BA05A41" w14:textId="26736E42" w:rsidR="00005863" w:rsidRPr="00805A77" w:rsidRDefault="00000000">
      <w:pPr>
        <w:spacing w:line="360" w:lineRule="auto"/>
        <w:jc w:val="both"/>
        <w:rPr>
          <w:rFonts w:ascii="Book Antiqua" w:hAnsi="Book Antiqua"/>
        </w:rPr>
      </w:pPr>
      <w:r w:rsidRPr="00805A77">
        <w:rPr>
          <w:rFonts w:ascii="Book Antiqua" w:eastAsia="Book Antiqua" w:hAnsi="Book Antiqua" w:cs="Book Antiqua"/>
          <w:color w:val="000000"/>
        </w:rPr>
        <w:t>Among the digestive system tumors of the World Health Organization tumor classification series, gastric neuroendocrine tumors (NETs) include histamine-producing enterochromaffin-like NETs (ECL-cell NETs), somatostatin-producing D-cell NETs, gastrin-producing G-cell NETs, and serotonin-producing enterochromaffin-cell NETs (EC-cell NETs). ECL-cell NETs are divided into type 1, type 2</w:t>
      </w:r>
      <w:r w:rsidRPr="00805A77">
        <w:rPr>
          <w:rFonts w:ascii="Book Antiqua" w:eastAsia="宋体" w:hAnsi="Book Antiqua" w:cs="Book Antiqua" w:hint="eastAsia"/>
          <w:color w:val="000000"/>
          <w:lang w:eastAsia="zh-CN"/>
        </w:rPr>
        <w:t>,</w:t>
      </w:r>
      <w:r w:rsidRPr="00805A77">
        <w:rPr>
          <w:rFonts w:ascii="Book Antiqua" w:eastAsia="Book Antiqua" w:hAnsi="Book Antiqua" w:cs="Book Antiqua"/>
          <w:color w:val="000000"/>
        </w:rPr>
        <w:t xml:space="preserve"> and type 3 according to their clinicopathological characteristics. Type 1 ECL-cell NETs account for the highest percentage of gastric NETs</w:t>
      </w:r>
      <w:r w:rsidRPr="00805A77">
        <w:rPr>
          <w:rFonts w:ascii="Book Antiqua" w:eastAsia="宋体" w:hAnsi="Book Antiqua" w:cs="Book Antiqua" w:hint="eastAsia"/>
          <w:color w:val="000000"/>
          <w:lang w:eastAsia="zh-CN"/>
        </w:rPr>
        <w:t xml:space="preserve"> (</w:t>
      </w:r>
      <w:r w:rsidR="00A4306C" w:rsidRPr="00805A77">
        <w:rPr>
          <w:rFonts w:ascii="Book Antiqua" w:eastAsia="宋体" w:hAnsi="Book Antiqua" w:cs="Book Antiqua"/>
          <w:color w:val="000000"/>
          <w:lang w:eastAsia="zh-CN"/>
        </w:rPr>
        <w:t xml:space="preserve">approximately </w:t>
      </w:r>
      <w:r w:rsidRPr="00805A77">
        <w:rPr>
          <w:rFonts w:ascii="Book Antiqua" w:eastAsia="Book Antiqua" w:hAnsi="Book Antiqua" w:cs="Book Antiqua"/>
          <w:color w:val="000000"/>
        </w:rPr>
        <w:t>80-90%</w:t>
      </w:r>
      <w:r w:rsidRPr="00805A77">
        <w:rPr>
          <w:rFonts w:ascii="Book Antiqua" w:eastAsia="宋体" w:hAnsi="Book Antiqua" w:cs="Book Antiqua" w:hint="eastAsia"/>
          <w:color w:val="000000"/>
          <w:lang w:eastAsia="zh-CN"/>
        </w:rPr>
        <w:t>)</w:t>
      </w:r>
      <w:r w:rsidRPr="00805A77">
        <w:rPr>
          <w:rFonts w:ascii="Book Antiqua" w:eastAsia="Book Antiqua" w:hAnsi="Book Antiqua" w:cs="Book Antiqua"/>
          <w:color w:val="000000"/>
        </w:rPr>
        <w:t>, and are associated with autoimmune gastritis (AIG), anti-parietal cell antibodies (PCAb)</w:t>
      </w:r>
      <w:r w:rsidRPr="00805A77">
        <w:rPr>
          <w:rFonts w:ascii="Book Antiqua" w:eastAsia="宋体" w:hAnsi="Book Antiqua" w:cs="Book Antiqua" w:hint="eastAsia"/>
          <w:color w:val="000000"/>
          <w:lang w:eastAsia="zh-CN"/>
        </w:rPr>
        <w:t>,</w:t>
      </w:r>
      <w:r w:rsidRPr="00805A77">
        <w:rPr>
          <w:rFonts w:ascii="Book Antiqua" w:eastAsia="Book Antiqua" w:hAnsi="Book Antiqua" w:cs="Book Antiqua"/>
          <w:color w:val="000000"/>
        </w:rPr>
        <w:t xml:space="preserve"> and/or anti-intrinsic factor antibodies (IFAb)</w:t>
      </w:r>
      <w:r w:rsidRPr="00805A77">
        <w:rPr>
          <w:rFonts w:ascii="Book Antiqua" w:eastAsia="Book Antiqua" w:hAnsi="Book Antiqua" w:cs="Book Antiqua"/>
          <w:color w:val="000000"/>
          <w:vertAlign w:val="superscript"/>
        </w:rPr>
        <w:t>[1]</w:t>
      </w:r>
      <w:r w:rsidRPr="00805A77">
        <w:rPr>
          <w:rFonts w:ascii="Book Antiqua" w:eastAsia="Book Antiqua" w:hAnsi="Book Antiqua" w:cs="Book Antiqua"/>
          <w:color w:val="000000"/>
        </w:rPr>
        <w:t>.</w:t>
      </w:r>
    </w:p>
    <w:p w14:paraId="61B3585C" w14:textId="77777777" w:rsidR="00005863" w:rsidRPr="00805A77" w:rsidRDefault="00000000">
      <w:pPr>
        <w:spacing w:line="360" w:lineRule="auto"/>
        <w:ind w:firstLineChars="100" w:firstLine="240"/>
        <w:jc w:val="both"/>
        <w:rPr>
          <w:rFonts w:ascii="Book Antiqua" w:hAnsi="Book Antiqua"/>
        </w:rPr>
      </w:pPr>
      <w:r w:rsidRPr="00805A77">
        <w:rPr>
          <w:rFonts w:ascii="Book Antiqua" w:eastAsia="Book Antiqua" w:hAnsi="Book Antiqua" w:cs="Book Antiqua"/>
          <w:color w:val="000000"/>
        </w:rPr>
        <w:lastRenderedPageBreak/>
        <w:t xml:space="preserve">The molecular changes present in gastric NETs include a loss of heterozygosity or mutation of </w:t>
      </w:r>
      <w:r w:rsidRPr="00805A77">
        <w:rPr>
          <w:rFonts w:ascii="Book Antiqua" w:eastAsia="Book Antiqua" w:hAnsi="Book Antiqua" w:cs="Book Antiqua"/>
          <w:i/>
          <w:iCs/>
          <w:color w:val="000000"/>
        </w:rPr>
        <w:t>MEN1</w:t>
      </w:r>
      <w:r w:rsidRPr="00805A77">
        <w:rPr>
          <w:rFonts w:ascii="Book Antiqua" w:eastAsia="Book Antiqua" w:hAnsi="Book Antiqua" w:cs="Book Antiqua"/>
          <w:color w:val="000000"/>
        </w:rPr>
        <w:t xml:space="preserve">, </w:t>
      </w:r>
      <w:r w:rsidRPr="00805A77">
        <w:rPr>
          <w:rFonts w:ascii="Book Antiqua" w:eastAsia="Book Antiqua" w:hAnsi="Book Antiqua" w:cs="Book Antiqua"/>
          <w:i/>
          <w:iCs/>
          <w:color w:val="000000"/>
        </w:rPr>
        <w:t>CDKN1B</w:t>
      </w:r>
      <w:r w:rsidRPr="00805A77">
        <w:rPr>
          <w:rFonts w:ascii="Book Antiqua" w:eastAsia="Book Antiqua" w:hAnsi="Book Antiqua" w:cs="Book Antiqua"/>
          <w:color w:val="000000"/>
        </w:rPr>
        <w:t xml:space="preserve"> gene mutation, </w:t>
      </w:r>
      <w:r w:rsidRPr="00805A77">
        <w:rPr>
          <w:rFonts w:ascii="Book Antiqua" w:eastAsia="Book Antiqua" w:hAnsi="Book Antiqua" w:cs="Book Antiqua"/>
          <w:i/>
          <w:iCs/>
          <w:color w:val="000000"/>
        </w:rPr>
        <w:t>P27</w:t>
      </w:r>
      <w:r w:rsidRPr="00805A77">
        <w:rPr>
          <w:rFonts w:ascii="Book Antiqua" w:eastAsia="Book Antiqua" w:hAnsi="Book Antiqua" w:cs="Book Antiqua"/>
          <w:color w:val="000000"/>
        </w:rPr>
        <w:t xml:space="preserve"> heterozygo</w:t>
      </w:r>
      <w:r w:rsidRPr="00805A77">
        <w:rPr>
          <w:rFonts w:ascii="Book Antiqua" w:eastAsia="宋体" w:hAnsi="Book Antiqua" w:cs="Book Antiqua" w:hint="eastAsia"/>
          <w:color w:val="000000"/>
          <w:lang w:eastAsia="zh-CN"/>
        </w:rPr>
        <w:t>us</w:t>
      </w:r>
      <w:r w:rsidRPr="00805A77">
        <w:rPr>
          <w:rFonts w:ascii="Book Antiqua" w:eastAsia="Book Antiqua" w:hAnsi="Book Antiqua" w:cs="Book Antiqua"/>
          <w:color w:val="000000"/>
        </w:rPr>
        <w:t xml:space="preserve"> mutation</w:t>
      </w:r>
      <w:r w:rsidRPr="00805A77">
        <w:rPr>
          <w:rFonts w:ascii="Book Antiqua" w:eastAsia="宋体" w:hAnsi="Book Antiqua" w:cs="Book Antiqua" w:hint="eastAsia"/>
          <w:color w:val="000000"/>
          <w:lang w:eastAsia="zh-CN"/>
        </w:rPr>
        <w:t>,</w:t>
      </w:r>
      <w:r w:rsidRPr="00805A77">
        <w:rPr>
          <w:rFonts w:ascii="Book Antiqua" w:eastAsia="Book Antiqua" w:hAnsi="Book Antiqua" w:cs="Book Antiqua"/>
          <w:color w:val="000000"/>
        </w:rPr>
        <w:t xml:space="preserve"> and </w:t>
      </w:r>
      <w:r w:rsidRPr="00805A77">
        <w:rPr>
          <w:rFonts w:ascii="Book Antiqua" w:eastAsia="Book Antiqua" w:hAnsi="Book Antiqua" w:cs="Book Antiqua"/>
          <w:i/>
          <w:iCs/>
          <w:color w:val="000000"/>
        </w:rPr>
        <w:t>ATP4A</w:t>
      </w:r>
      <w:r w:rsidRPr="00805A77">
        <w:rPr>
          <w:rFonts w:ascii="Book Antiqua" w:eastAsia="Book Antiqua" w:hAnsi="Book Antiqua" w:cs="Book Antiqua"/>
          <w:color w:val="000000"/>
        </w:rPr>
        <w:t xml:space="preserve"> gene missense mutation</w:t>
      </w:r>
      <w:r w:rsidRPr="00805A77">
        <w:rPr>
          <w:rFonts w:ascii="Book Antiqua" w:eastAsia="Book Antiqua" w:hAnsi="Book Antiqua" w:cs="Book Antiqua"/>
          <w:color w:val="000000"/>
          <w:vertAlign w:val="superscript"/>
        </w:rPr>
        <w:t>[2-5]</w:t>
      </w:r>
      <w:r w:rsidRPr="00805A77">
        <w:rPr>
          <w:rFonts w:ascii="Book Antiqua" w:eastAsia="Book Antiqua" w:hAnsi="Book Antiqua" w:cs="Book Antiqua"/>
          <w:color w:val="000000"/>
        </w:rPr>
        <w:t>. At present, further research on the molecular mechanisms of gastric NETs is still being conducted.</w:t>
      </w:r>
    </w:p>
    <w:p w14:paraId="3851BF14" w14:textId="77777777" w:rsidR="00005863" w:rsidRPr="00805A77" w:rsidRDefault="00000000">
      <w:pPr>
        <w:spacing w:line="360" w:lineRule="auto"/>
        <w:ind w:firstLineChars="100" w:firstLine="240"/>
        <w:jc w:val="both"/>
        <w:rPr>
          <w:rFonts w:ascii="Book Antiqua" w:hAnsi="Book Antiqua"/>
        </w:rPr>
      </w:pPr>
      <w:r w:rsidRPr="00805A77">
        <w:rPr>
          <w:rFonts w:ascii="Book Antiqua" w:eastAsia="Book Antiqua" w:hAnsi="Book Antiqua" w:cs="Book Antiqua"/>
          <w:color w:val="000000"/>
        </w:rPr>
        <w:t xml:space="preserve">In this research, we identified and are the first to report a case of type 1 ECL-cell NETs with a </w:t>
      </w:r>
      <w:r w:rsidRPr="00805A77">
        <w:rPr>
          <w:rFonts w:ascii="Book Antiqua" w:eastAsia="Book Antiqua" w:hAnsi="Book Antiqua" w:cs="Book Antiqua"/>
          <w:i/>
          <w:iCs/>
          <w:color w:val="000000"/>
        </w:rPr>
        <w:t>BRCA2</w:t>
      </w:r>
      <w:r w:rsidRPr="00805A77">
        <w:rPr>
          <w:rFonts w:ascii="Book Antiqua" w:eastAsia="Book Antiqua" w:hAnsi="Book Antiqua" w:cs="Book Antiqua"/>
          <w:color w:val="000000"/>
        </w:rPr>
        <w:t xml:space="preserve"> gene germline mutation</w:t>
      </w:r>
      <w:r w:rsidRPr="00805A77">
        <w:rPr>
          <w:rFonts w:ascii="Book Antiqua" w:eastAsia="宋体" w:hAnsi="Book Antiqua" w:cs="Book Antiqua" w:hint="eastAsia"/>
          <w:color w:val="000000"/>
          <w:lang w:eastAsia="zh-CN"/>
        </w:rPr>
        <w:t>. In addition,</w:t>
      </w:r>
      <w:r w:rsidRPr="00805A77">
        <w:rPr>
          <w:rFonts w:ascii="Book Antiqua" w:eastAsia="Book Antiqua" w:hAnsi="Book Antiqua" w:cs="Book Antiqua"/>
          <w:color w:val="000000"/>
        </w:rPr>
        <w:t xml:space="preserve"> we </w:t>
      </w:r>
      <w:r w:rsidRPr="00805A77">
        <w:rPr>
          <w:rFonts w:ascii="Book Antiqua" w:eastAsia="宋体" w:hAnsi="Book Antiqua" w:cs="Book Antiqua" w:hint="eastAsia"/>
          <w:color w:val="000000"/>
          <w:lang w:eastAsia="zh-CN"/>
        </w:rPr>
        <w:t xml:space="preserve">performed a </w:t>
      </w:r>
      <w:r w:rsidRPr="00805A77">
        <w:rPr>
          <w:rFonts w:ascii="Book Antiqua" w:eastAsia="Book Antiqua" w:hAnsi="Book Antiqua" w:cs="Book Antiqua"/>
          <w:color w:val="000000"/>
        </w:rPr>
        <w:t>review</w:t>
      </w:r>
      <w:r w:rsidRPr="00805A77">
        <w:rPr>
          <w:rFonts w:ascii="Book Antiqua" w:eastAsia="宋体" w:hAnsi="Book Antiqua" w:cs="Book Antiqua" w:hint="eastAsia"/>
          <w:color w:val="000000"/>
          <w:lang w:eastAsia="zh-CN"/>
        </w:rPr>
        <w:t xml:space="preserve"> of the </w:t>
      </w:r>
      <w:r w:rsidRPr="00805A77">
        <w:rPr>
          <w:rFonts w:ascii="Book Antiqua" w:eastAsia="Book Antiqua" w:hAnsi="Book Antiqua" w:cs="Book Antiqua"/>
          <w:color w:val="000000"/>
        </w:rPr>
        <w:t>relevant literature to expand the understanding of the molecular changes present in gastric NETs.</w:t>
      </w:r>
    </w:p>
    <w:p w14:paraId="331C2D32" w14:textId="77777777" w:rsidR="00005863" w:rsidRPr="00805A77" w:rsidRDefault="00005863">
      <w:pPr>
        <w:spacing w:line="360" w:lineRule="auto"/>
        <w:jc w:val="both"/>
        <w:rPr>
          <w:rFonts w:ascii="Book Antiqua" w:hAnsi="Book Antiqua"/>
        </w:rPr>
      </w:pPr>
    </w:p>
    <w:p w14:paraId="5AFEA337"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b/>
          <w:caps/>
          <w:color w:val="000000"/>
          <w:u w:val="single"/>
        </w:rPr>
        <w:t>CASE PRESENTATION</w:t>
      </w:r>
    </w:p>
    <w:p w14:paraId="75C85CD4"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b/>
          <w:i/>
          <w:color w:val="000000"/>
        </w:rPr>
        <w:t>Chief complaints</w:t>
      </w:r>
    </w:p>
    <w:p w14:paraId="229E27C7"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color w:val="000000"/>
        </w:rPr>
        <w:t>A young woman was admitted to our hospital because of recurrent abdominal discomfort.</w:t>
      </w:r>
    </w:p>
    <w:p w14:paraId="2868D363" w14:textId="77777777" w:rsidR="00005863" w:rsidRPr="00805A77" w:rsidRDefault="00005863">
      <w:pPr>
        <w:spacing w:line="360" w:lineRule="auto"/>
        <w:jc w:val="both"/>
        <w:rPr>
          <w:rFonts w:ascii="Book Antiqua" w:hAnsi="Book Antiqua"/>
        </w:rPr>
      </w:pPr>
    </w:p>
    <w:p w14:paraId="58824B7D"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b/>
          <w:i/>
          <w:color w:val="000000"/>
        </w:rPr>
        <w:t>History of present illness</w:t>
      </w:r>
    </w:p>
    <w:p w14:paraId="1996E20A"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color w:val="000000"/>
        </w:rPr>
        <w:t>The patient's symptoms had lasted for 2 mo.</w:t>
      </w:r>
    </w:p>
    <w:p w14:paraId="4C6A5520" w14:textId="77777777" w:rsidR="00005863" w:rsidRPr="00805A77" w:rsidRDefault="00005863">
      <w:pPr>
        <w:spacing w:line="360" w:lineRule="auto"/>
        <w:jc w:val="both"/>
        <w:rPr>
          <w:rFonts w:ascii="Book Antiqua" w:hAnsi="Book Antiqua"/>
        </w:rPr>
      </w:pPr>
    </w:p>
    <w:p w14:paraId="26508F02"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b/>
          <w:i/>
          <w:color w:val="000000"/>
        </w:rPr>
        <w:t>History of past illness</w:t>
      </w:r>
    </w:p>
    <w:p w14:paraId="7B8B0628"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color w:val="000000"/>
        </w:rPr>
        <w:t>The patient had a history of iron-deficient anemia for 5 years, which was treated with oral iron. The patient had no history of prior surgeries.</w:t>
      </w:r>
    </w:p>
    <w:p w14:paraId="1F7822D8" w14:textId="77777777" w:rsidR="00005863" w:rsidRPr="00805A77" w:rsidRDefault="00005863">
      <w:pPr>
        <w:spacing w:line="360" w:lineRule="auto"/>
        <w:jc w:val="both"/>
        <w:rPr>
          <w:rFonts w:ascii="Book Antiqua" w:hAnsi="Book Antiqua"/>
        </w:rPr>
      </w:pPr>
    </w:p>
    <w:p w14:paraId="5EDD8B1D"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b/>
          <w:i/>
          <w:color w:val="000000"/>
        </w:rPr>
        <w:t>Personal and family history</w:t>
      </w:r>
    </w:p>
    <w:p w14:paraId="742EBEC9"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color w:val="000000"/>
        </w:rPr>
        <w:t>The patient did not disclose any family genetic or aggregation diseases. Other family members had no clear history of cancers.</w:t>
      </w:r>
    </w:p>
    <w:p w14:paraId="405A0A66" w14:textId="77777777" w:rsidR="00005863" w:rsidRPr="00805A77" w:rsidRDefault="00005863">
      <w:pPr>
        <w:spacing w:line="360" w:lineRule="auto"/>
        <w:jc w:val="both"/>
        <w:rPr>
          <w:rFonts w:ascii="Book Antiqua" w:hAnsi="Book Antiqua"/>
        </w:rPr>
      </w:pPr>
    </w:p>
    <w:p w14:paraId="594DBBC0"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b/>
          <w:i/>
          <w:color w:val="000000"/>
        </w:rPr>
        <w:t>Physical examination</w:t>
      </w:r>
    </w:p>
    <w:p w14:paraId="1628A6A5"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color w:val="000000"/>
        </w:rPr>
        <w:t>The physical examination of the patient showed no abnormalities, and there were no obvious signs or symptoms of anemia, such as pale oral mucosa.</w:t>
      </w:r>
    </w:p>
    <w:p w14:paraId="308DBF04" w14:textId="77777777" w:rsidR="00005863" w:rsidRPr="00805A77" w:rsidRDefault="00005863">
      <w:pPr>
        <w:spacing w:line="360" w:lineRule="auto"/>
        <w:jc w:val="both"/>
        <w:rPr>
          <w:rFonts w:ascii="Book Antiqua" w:hAnsi="Book Antiqua"/>
        </w:rPr>
      </w:pPr>
    </w:p>
    <w:p w14:paraId="48E5C356"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b/>
          <w:i/>
          <w:color w:val="000000"/>
        </w:rPr>
        <w:t>Laboratory examinations</w:t>
      </w:r>
    </w:p>
    <w:p w14:paraId="31838DA3"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color w:val="000000"/>
        </w:rPr>
        <w:lastRenderedPageBreak/>
        <w:t>Routine blood test results showed that the patient’s hemoglobin level was 106 g/L (normal range: 113-151 g/L). Biochemical indices were all normal. The levels of tumor markers, such as alpha-fetoprotein, carcinoembryonic antigen, carbohydrate antigen 125, and carbohydrate antigen 19-9, were all normal. Serum ferritin was markedly lower than normal at 1.8 U/mL (normal range: 7.0-323.0 U/mL).</w:t>
      </w:r>
    </w:p>
    <w:p w14:paraId="1EDD866D" w14:textId="77777777" w:rsidR="00005863" w:rsidRPr="00805A77" w:rsidRDefault="00005863">
      <w:pPr>
        <w:spacing w:line="360" w:lineRule="auto"/>
        <w:jc w:val="both"/>
        <w:rPr>
          <w:rFonts w:ascii="Book Antiqua" w:hAnsi="Book Antiqua"/>
        </w:rPr>
      </w:pPr>
    </w:p>
    <w:p w14:paraId="337ABFC4"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b/>
          <w:i/>
          <w:color w:val="000000"/>
        </w:rPr>
        <w:t>Imaging examinations</w:t>
      </w:r>
    </w:p>
    <w:p w14:paraId="071B9694"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color w:val="000000"/>
        </w:rPr>
        <w:t xml:space="preserve">The patient next underwent gastroscopy and abdominal ultrasound examination. Gastroscopy showed that there were multiple grain-like protrusions in the great curvature of the stomach, </w:t>
      </w:r>
      <w:r w:rsidRPr="00805A77">
        <w:rPr>
          <w:rFonts w:ascii="Book Antiqua" w:eastAsia="宋体" w:hAnsi="Book Antiqua" w:cs="Book Antiqua" w:hint="eastAsia"/>
          <w:color w:val="000000"/>
          <w:lang w:eastAsia="zh-CN"/>
        </w:rPr>
        <w:t xml:space="preserve">with </w:t>
      </w:r>
      <w:r w:rsidRPr="00805A77">
        <w:rPr>
          <w:rFonts w:ascii="Book Antiqua" w:eastAsia="Book Antiqua" w:hAnsi="Book Antiqua" w:cs="Book Antiqua"/>
          <w:color w:val="000000"/>
        </w:rPr>
        <w:t>a hyperemic erosive focus found in the middle of the great curvature of the stomach (Figure 1). Abdominal ultrasound examination showed no abnormalities.</w:t>
      </w:r>
    </w:p>
    <w:p w14:paraId="486C4D1C" w14:textId="77777777" w:rsidR="00005863" w:rsidRPr="00805A77" w:rsidRDefault="00005863">
      <w:pPr>
        <w:spacing w:line="360" w:lineRule="auto"/>
        <w:jc w:val="both"/>
        <w:rPr>
          <w:rFonts w:ascii="Book Antiqua" w:hAnsi="Book Antiqua"/>
        </w:rPr>
      </w:pPr>
    </w:p>
    <w:p w14:paraId="7DD6FE7D"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b/>
          <w:caps/>
          <w:color w:val="000000"/>
          <w:u w:val="single"/>
        </w:rPr>
        <w:t>FINAL DIAGNOSIS</w:t>
      </w:r>
    </w:p>
    <w:p w14:paraId="3BEE0103"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color w:val="000000"/>
        </w:rPr>
        <w:t xml:space="preserve">The patient underwent a biopsy after gastroscopy for pathological examination. Tumor cells could be seen in the lamina propria of the gastric mucosa in the pathological analysis of the biopsy sample. Immunohistochemically, the tumor cells diffusely expressed </w:t>
      </w:r>
      <w:bookmarkStart w:id="36" w:name="OLE_LINK1124"/>
      <w:r w:rsidRPr="00805A77">
        <w:rPr>
          <w:rFonts w:ascii="Book Antiqua" w:eastAsia="Book Antiqua" w:hAnsi="Book Antiqua" w:cs="Book Antiqua"/>
          <w:color w:val="000000"/>
        </w:rPr>
        <w:t>cytokeratin (CK), chromogranin</w:t>
      </w:r>
      <w:r w:rsidRPr="00805A77">
        <w:rPr>
          <w:rFonts w:ascii="Book Antiqua" w:eastAsia="宋体" w:hAnsi="Book Antiqua" w:cs="Book Antiqua" w:hint="eastAsia"/>
          <w:color w:val="000000"/>
          <w:lang w:eastAsia="zh-CN"/>
        </w:rPr>
        <w:t xml:space="preserve"> A</w:t>
      </w:r>
      <w:r w:rsidRPr="00805A77">
        <w:rPr>
          <w:rFonts w:ascii="Book Antiqua" w:eastAsia="Book Antiqua" w:hAnsi="Book Antiqua" w:cs="Book Antiqua"/>
          <w:color w:val="000000"/>
        </w:rPr>
        <w:t xml:space="preserve"> (CGA), synaptophysin (Syn)</w:t>
      </w:r>
      <w:bookmarkEnd w:id="36"/>
      <w:r w:rsidRPr="00805A77">
        <w:rPr>
          <w:rFonts w:ascii="Book Antiqua" w:eastAsia="Book Antiqua" w:hAnsi="Book Antiqua" w:cs="Book Antiqua"/>
          <w:color w:val="000000"/>
        </w:rPr>
        <w:t>, and CD56, indicating that the tumor</w:t>
      </w:r>
      <w:r w:rsidRPr="00805A77">
        <w:rPr>
          <w:rFonts w:ascii="Book Antiqua" w:eastAsia="宋体" w:hAnsi="Book Antiqua" w:cs="Book Antiqua" w:hint="eastAsia"/>
          <w:color w:val="000000"/>
          <w:lang w:eastAsia="zh-CN"/>
        </w:rPr>
        <w:t>s</w:t>
      </w:r>
      <w:r w:rsidRPr="00805A77">
        <w:rPr>
          <w:rFonts w:ascii="Book Antiqua" w:eastAsia="Book Antiqua" w:hAnsi="Book Antiqua" w:cs="Book Antiqua"/>
          <w:color w:val="000000"/>
        </w:rPr>
        <w:t xml:space="preserve"> w</w:t>
      </w:r>
      <w:r w:rsidRPr="00805A77">
        <w:rPr>
          <w:rFonts w:ascii="Book Antiqua" w:eastAsia="宋体" w:hAnsi="Book Antiqua" w:cs="Book Antiqua" w:hint="eastAsia"/>
          <w:color w:val="000000"/>
          <w:lang w:eastAsia="zh-CN"/>
        </w:rPr>
        <w:t>ere</w:t>
      </w:r>
      <w:r w:rsidRPr="00805A77">
        <w:rPr>
          <w:rFonts w:ascii="Book Antiqua" w:eastAsia="Book Antiqua" w:hAnsi="Book Antiqua" w:cs="Book Antiqua"/>
          <w:color w:val="000000"/>
        </w:rPr>
        <w:t xml:space="preserve"> gastric NETs.  </w:t>
      </w:r>
    </w:p>
    <w:p w14:paraId="34A9B6D1" w14:textId="77777777" w:rsidR="00005863" w:rsidRPr="00805A77" w:rsidRDefault="00005863">
      <w:pPr>
        <w:spacing w:line="360" w:lineRule="auto"/>
        <w:jc w:val="both"/>
        <w:rPr>
          <w:rFonts w:ascii="Book Antiqua" w:hAnsi="Book Antiqua"/>
        </w:rPr>
      </w:pPr>
    </w:p>
    <w:p w14:paraId="6DD74AE3"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b/>
          <w:caps/>
          <w:color w:val="000000"/>
          <w:u w:val="single"/>
        </w:rPr>
        <w:t>TREATMENT</w:t>
      </w:r>
    </w:p>
    <w:p w14:paraId="7760D3EF"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color w:val="000000"/>
        </w:rPr>
        <w:t>Because gastroscopy revealed multiple lesions in the stomach, the patient underwent distal gastrectomy surgery, and the excised distal gastric tissue was sent for pathological examination.</w:t>
      </w:r>
    </w:p>
    <w:p w14:paraId="58AF6033" w14:textId="77777777" w:rsidR="00005863" w:rsidRPr="00805A77" w:rsidRDefault="00000000">
      <w:pPr>
        <w:spacing w:line="360" w:lineRule="auto"/>
        <w:ind w:firstLineChars="100" w:firstLine="240"/>
        <w:jc w:val="both"/>
        <w:rPr>
          <w:rFonts w:ascii="Book Antiqua" w:hAnsi="Book Antiqua"/>
        </w:rPr>
      </w:pPr>
      <w:r w:rsidRPr="00805A77">
        <w:rPr>
          <w:rFonts w:ascii="Book Antiqua" w:eastAsia="Book Antiqua" w:hAnsi="Book Antiqua" w:cs="Book Antiqua"/>
          <w:color w:val="000000"/>
        </w:rPr>
        <w:t>Grossly, in distal gastrectomy specimens, several polyps, 4-5 mm in diameter, were found in the antrum. Microscopically, multiple foci of tumor cells were found in the mucosa and submucosa, with tumor cells being organoid and arranged in nests and cords, with mild atypia; mitotic figures were not easily visible, and the stroma was rich in sinusoids (</w:t>
      </w:r>
      <w:bookmarkStart w:id="37" w:name="OLE_LINK570"/>
      <w:r w:rsidRPr="00805A77">
        <w:rPr>
          <w:rFonts w:ascii="Book Antiqua" w:eastAsia="Book Antiqua" w:hAnsi="Book Antiqua" w:cs="Book Antiqua"/>
          <w:color w:val="000000"/>
        </w:rPr>
        <w:t>Fig</w:t>
      </w:r>
      <w:bookmarkEnd w:id="37"/>
      <w:r w:rsidRPr="00805A77">
        <w:rPr>
          <w:rFonts w:ascii="Book Antiqua" w:eastAsia="Book Antiqua" w:hAnsi="Book Antiqua" w:cs="Book Antiqua"/>
          <w:color w:val="000000"/>
        </w:rPr>
        <w:t>ure 2). The surrounding gastric mucosa showed atrophy with mild intestinal metaplasia or pseudopyloric gland metaplasia (</w:t>
      </w:r>
      <w:bookmarkStart w:id="38" w:name="OLE_LINK571"/>
      <w:r w:rsidRPr="00805A77">
        <w:rPr>
          <w:rFonts w:ascii="Book Antiqua" w:eastAsia="Book Antiqua" w:hAnsi="Book Antiqua" w:cs="Book Antiqua"/>
          <w:color w:val="000000"/>
        </w:rPr>
        <w:t>Fig</w:t>
      </w:r>
      <w:bookmarkEnd w:id="38"/>
      <w:r w:rsidRPr="00805A77">
        <w:rPr>
          <w:rFonts w:ascii="Book Antiqua" w:eastAsia="Book Antiqua" w:hAnsi="Book Antiqua" w:cs="Book Antiqua"/>
          <w:color w:val="000000"/>
        </w:rPr>
        <w:t xml:space="preserve">ure 3). Neuroendocrine </w:t>
      </w:r>
      <w:r w:rsidRPr="00805A77">
        <w:rPr>
          <w:rFonts w:ascii="Book Antiqua" w:eastAsia="Book Antiqua" w:hAnsi="Book Antiqua" w:cs="Book Antiqua"/>
          <w:color w:val="000000"/>
        </w:rPr>
        <w:lastRenderedPageBreak/>
        <w:t>cells could be seen with diffuse linear, nodular, and adenomatous hyperplasia. Nests of neuroendocrine cells were observed at the upper resection margin but not at the lower margin. No tumor metastasis was observed in the surrounding lymph nodes.</w:t>
      </w:r>
    </w:p>
    <w:p w14:paraId="5B0A5F6A" w14:textId="77777777" w:rsidR="00005863" w:rsidRPr="00805A77" w:rsidRDefault="00000000">
      <w:pPr>
        <w:spacing w:line="360" w:lineRule="auto"/>
        <w:ind w:firstLineChars="100" w:firstLine="240"/>
        <w:jc w:val="both"/>
        <w:rPr>
          <w:rFonts w:ascii="Book Antiqua" w:hAnsi="Book Antiqua"/>
        </w:rPr>
      </w:pPr>
      <w:r w:rsidRPr="00805A77">
        <w:rPr>
          <w:rFonts w:ascii="Book Antiqua" w:eastAsia="Book Antiqua" w:hAnsi="Book Antiqua" w:cs="Book Antiqua"/>
          <w:color w:val="000000"/>
        </w:rPr>
        <w:t>Immunohistochemically, the tumor cells diffusely expressed CK, CGA, Syn, and CD56. MLH1, PMS2, MSH2</w:t>
      </w:r>
      <w:r w:rsidRPr="00805A77">
        <w:rPr>
          <w:rFonts w:ascii="Book Antiqua" w:eastAsia="宋体" w:hAnsi="Book Antiqua" w:cs="Book Antiqua" w:hint="eastAsia"/>
          <w:color w:val="000000"/>
          <w:lang w:eastAsia="zh-CN"/>
        </w:rPr>
        <w:t>,</w:t>
      </w:r>
      <w:r w:rsidRPr="00805A77">
        <w:rPr>
          <w:rFonts w:ascii="Book Antiqua" w:eastAsia="Book Antiqua" w:hAnsi="Book Antiqua" w:cs="Book Antiqua"/>
          <w:color w:val="000000"/>
        </w:rPr>
        <w:t xml:space="preserve"> and MSH6 were positive. CK20 and CDX2 were negative (Figure 4). </w:t>
      </w:r>
      <w:r w:rsidRPr="00805A77">
        <w:rPr>
          <w:rFonts w:ascii="Book Antiqua" w:eastAsia="宋体" w:hAnsi="Book Antiqua" w:cs="Book Antiqua" w:hint="eastAsia"/>
          <w:color w:val="000000"/>
          <w:lang w:eastAsia="zh-CN"/>
        </w:rPr>
        <w:t>S</w:t>
      </w:r>
      <w:r w:rsidRPr="00805A77">
        <w:rPr>
          <w:rFonts w:ascii="Book Antiqua" w:eastAsia="Book Antiqua" w:hAnsi="Book Antiqua" w:cs="Book Antiqua"/>
          <w:color w:val="000000"/>
        </w:rPr>
        <w:t xml:space="preserve">taining </w:t>
      </w:r>
      <w:r w:rsidRPr="00805A77">
        <w:rPr>
          <w:rFonts w:ascii="Book Antiqua" w:eastAsia="宋体" w:hAnsi="Book Antiqua" w:cs="Book Antiqua" w:hint="eastAsia"/>
          <w:color w:val="000000"/>
          <w:lang w:eastAsia="zh-CN"/>
        </w:rPr>
        <w:t>for g</w:t>
      </w:r>
      <w:r w:rsidRPr="00805A77">
        <w:rPr>
          <w:rFonts w:ascii="Book Antiqua" w:eastAsia="Book Antiqua" w:hAnsi="Book Antiqua" w:cs="Book Antiqua"/>
          <w:color w:val="000000"/>
        </w:rPr>
        <w:t xml:space="preserve">astrin </w:t>
      </w:r>
      <w:r w:rsidRPr="00805A77">
        <w:rPr>
          <w:rFonts w:ascii="Book Antiqua" w:eastAsia="宋体" w:hAnsi="Book Antiqua" w:cs="Book Antiqua" w:hint="eastAsia"/>
          <w:color w:val="000000"/>
          <w:lang w:eastAsia="zh-CN"/>
        </w:rPr>
        <w:t xml:space="preserve">in </w:t>
      </w:r>
      <w:r w:rsidRPr="00805A77">
        <w:rPr>
          <w:rFonts w:ascii="Book Antiqua" w:eastAsia="Book Antiqua" w:hAnsi="Book Antiqua" w:cs="Book Antiqua"/>
          <w:color w:val="000000"/>
        </w:rPr>
        <w:t xml:space="preserve">the surrounding gastric mucosa </w:t>
      </w:r>
      <w:r w:rsidRPr="00805A77">
        <w:rPr>
          <w:rFonts w:ascii="Book Antiqua" w:eastAsia="宋体" w:hAnsi="Book Antiqua" w:cs="Book Antiqua" w:hint="eastAsia"/>
          <w:color w:val="000000"/>
          <w:lang w:eastAsia="zh-CN"/>
        </w:rPr>
        <w:t>was</w:t>
      </w:r>
      <w:r w:rsidRPr="00805A77">
        <w:rPr>
          <w:rFonts w:ascii="Book Antiqua" w:eastAsia="Book Antiqua" w:hAnsi="Book Antiqua" w:cs="Book Antiqua"/>
          <w:color w:val="000000"/>
        </w:rPr>
        <w:t xml:space="preserve"> negative or </w:t>
      </w:r>
      <w:r w:rsidRPr="00805A77">
        <w:rPr>
          <w:rFonts w:ascii="Book Antiqua" w:eastAsia="宋体" w:hAnsi="Book Antiqua" w:cs="Book Antiqua" w:hint="eastAsia"/>
          <w:color w:val="000000"/>
          <w:lang w:eastAsia="zh-CN"/>
        </w:rPr>
        <w:t xml:space="preserve">focally </w:t>
      </w:r>
      <w:r w:rsidRPr="00805A77">
        <w:rPr>
          <w:rFonts w:ascii="Book Antiqua" w:eastAsia="Book Antiqua" w:hAnsi="Book Antiqua" w:cs="Book Antiqua"/>
          <w:color w:val="000000"/>
        </w:rPr>
        <w:t>positive (Figure 4).</w:t>
      </w:r>
    </w:p>
    <w:p w14:paraId="37FB4C03" w14:textId="77777777" w:rsidR="00005863" w:rsidRPr="00805A77" w:rsidRDefault="00000000">
      <w:pPr>
        <w:spacing w:line="360" w:lineRule="auto"/>
        <w:ind w:firstLineChars="100" w:firstLine="240"/>
        <w:jc w:val="both"/>
        <w:rPr>
          <w:rFonts w:ascii="Book Antiqua" w:hAnsi="Book Antiqua"/>
        </w:rPr>
      </w:pPr>
      <w:r w:rsidRPr="00805A77">
        <w:rPr>
          <w:rFonts w:ascii="Book Antiqua" w:eastAsia="Book Antiqua" w:hAnsi="Book Antiqua" w:cs="Book Antiqua"/>
          <w:color w:val="000000"/>
        </w:rPr>
        <w:t>Tumor cells were positive for neuroendocrine markers, with 1 mitotic cell/2 mm</w:t>
      </w:r>
      <w:r w:rsidRPr="00805A77">
        <w:rPr>
          <w:rFonts w:ascii="Book Antiqua" w:eastAsia="Book Antiqua" w:hAnsi="Book Antiqua" w:cs="Book Antiqua"/>
          <w:color w:val="000000"/>
          <w:vertAlign w:val="superscript"/>
        </w:rPr>
        <w:t>2</w:t>
      </w:r>
      <w:r w:rsidRPr="00805A77">
        <w:rPr>
          <w:rFonts w:ascii="Book Antiqua" w:eastAsia="Book Antiqua" w:hAnsi="Book Antiqua" w:cs="Book Antiqua"/>
          <w:color w:val="000000"/>
        </w:rPr>
        <w:t xml:space="preserve"> at high magnification, and the Ki-67 index was 1%. The diagnosis was gastric NETs (G1).</w:t>
      </w:r>
    </w:p>
    <w:p w14:paraId="3E9FD526" w14:textId="77777777" w:rsidR="00005863" w:rsidRPr="00805A77" w:rsidRDefault="00000000">
      <w:pPr>
        <w:spacing w:line="360" w:lineRule="auto"/>
        <w:ind w:firstLineChars="100" w:firstLine="240"/>
        <w:jc w:val="both"/>
        <w:rPr>
          <w:rFonts w:ascii="Book Antiqua" w:hAnsi="Book Antiqua"/>
        </w:rPr>
      </w:pPr>
      <w:r w:rsidRPr="00805A77">
        <w:rPr>
          <w:rFonts w:ascii="Book Antiqua" w:eastAsia="Book Antiqua" w:hAnsi="Book Antiqua" w:cs="Book Antiqua"/>
          <w:color w:val="000000"/>
        </w:rPr>
        <w:t xml:space="preserve">Combined with the patient's history and microscopic histomorphological changes, it was recommended that the patient undergo a test for anti-parietal cell antibodies and/or anti-intrinsic factor antibodies, and the serum results for anti-parietal cell antibodies were positive. The patient subsequently underwent whole-genome high-throughput molecular sequencing, which revealed a pathogenic germline mutation in the </w:t>
      </w:r>
      <w:bookmarkStart w:id="39" w:name="OLE_LINK1108"/>
      <w:r w:rsidRPr="00805A77">
        <w:rPr>
          <w:rFonts w:ascii="Book Antiqua" w:eastAsia="Book Antiqua" w:hAnsi="Book Antiqua" w:cs="Book Antiqua"/>
          <w:i/>
          <w:iCs/>
          <w:color w:val="000000"/>
        </w:rPr>
        <w:t>BRCA2</w:t>
      </w:r>
      <w:bookmarkEnd w:id="39"/>
      <w:r w:rsidRPr="00805A77">
        <w:rPr>
          <w:rFonts w:ascii="Book Antiqua" w:eastAsia="Book Antiqua" w:hAnsi="Book Antiqua" w:cs="Book Antiqua"/>
          <w:color w:val="000000"/>
        </w:rPr>
        <w:t xml:space="preserve"> gene, a heterozygous germline frameshift mutation in exon 11, c.6443_6444del (p.S2148Yfs</w:t>
      </w:r>
      <w:bookmarkStart w:id="40" w:name="OLE_LINK1107"/>
      <w:r w:rsidRPr="00805A77">
        <w:rPr>
          <w:rFonts w:ascii="Book Antiqua" w:eastAsia="Book Antiqua" w:hAnsi="Book Antiqua" w:cs="Book Antiqua"/>
          <w:color w:val="000000"/>
        </w:rPr>
        <w:t>*</w:t>
      </w:r>
      <w:bookmarkEnd w:id="40"/>
      <w:r w:rsidRPr="00805A77">
        <w:rPr>
          <w:rFonts w:ascii="Book Antiqua" w:eastAsia="Book Antiqua" w:hAnsi="Book Antiqua" w:cs="Book Antiqua"/>
          <w:color w:val="000000"/>
        </w:rPr>
        <w:t xml:space="preserve">2) (Figure 5). </w:t>
      </w:r>
    </w:p>
    <w:p w14:paraId="14C0E647" w14:textId="77777777" w:rsidR="00005863" w:rsidRPr="00805A77" w:rsidRDefault="00005863">
      <w:pPr>
        <w:spacing w:line="360" w:lineRule="auto"/>
        <w:jc w:val="both"/>
        <w:rPr>
          <w:rFonts w:ascii="Book Antiqua" w:hAnsi="Book Antiqua"/>
        </w:rPr>
      </w:pPr>
    </w:p>
    <w:p w14:paraId="474EF29B" w14:textId="77777777" w:rsidR="00005863" w:rsidRPr="00805A77" w:rsidRDefault="00000000">
      <w:pPr>
        <w:spacing w:line="360" w:lineRule="auto"/>
        <w:jc w:val="both"/>
        <w:rPr>
          <w:rFonts w:ascii="Book Antiqua" w:eastAsia="Book Antiqua" w:hAnsi="Book Antiqua" w:cs="Book Antiqua"/>
          <w:b/>
          <w:caps/>
          <w:color w:val="000000"/>
          <w:u w:val="single"/>
        </w:rPr>
      </w:pPr>
      <w:r w:rsidRPr="00805A77">
        <w:rPr>
          <w:rFonts w:ascii="Book Antiqua" w:eastAsia="Book Antiqua" w:hAnsi="Book Antiqua" w:cs="Book Antiqua"/>
          <w:b/>
          <w:caps/>
          <w:color w:val="000000"/>
          <w:u w:val="single"/>
        </w:rPr>
        <w:t>OUTCOME AND FOLLOW-UP</w:t>
      </w:r>
    </w:p>
    <w:p w14:paraId="3ABE02B8"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color w:val="000000"/>
        </w:rPr>
        <w:t>The patient has been followed up to date, with regular routine blood examinations and semiannual gastroscopies</w:t>
      </w:r>
      <w:r w:rsidRPr="00805A77">
        <w:rPr>
          <w:rFonts w:ascii="Book Antiqua" w:eastAsia="宋体" w:hAnsi="Book Antiqua" w:cs="Book Antiqua" w:hint="eastAsia"/>
          <w:color w:val="000000"/>
          <w:lang w:eastAsia="zh-CN"/>
        </w:rPr>
        <w:t xml:space="preserve"> performed</w:t>
      </w:r>
      <w:r w:rsidRPr="00805A77">
        <w:rPr>
          <w:rFonts w:ascii="Book Antiqua" w:eastAsia="Book Antiqua" w:hAnsi="Book Antiqua" w:cs="Book Antiqua"/>
          <w:color w:val="000000"/>
        </w:rPr>
        <w:t xml:space="preserve">. The patient still has anemia at present, and gastroscopies have shown no abnormalities. The latest routine blood test results showed a hemoglobin </w:t>
      </w:r>
      <w:r w:rsidRPr="00805A77">
        <w:rPr>
          <w:rFonts w:ascii="Book Antiqua" w:eastAsia="宋体" w:hAnsi="Book Antiqua" w:cs="Book Antiqua" w:hint="eastAsia"/>
          <w:color w:val="000000"/>
          <w:lang w:eastAsia="zh-CN"/>
        </w:rPr>
        <w:t xml:space="preserve">level </w:t>
      </w:r>
      <w:r w:rsidRPr="00805A77">
        <w:rPr>
          <w:rFonts w:ascii="Book Antiqua" w:eastAsia="Book Antiqua" w:hAnsi="Book Antiqua" w:cs="Book Antiqua"/>
          <w:color w:val="000000"/>
        </w:rPr>
        <w:t xml:space="preserve">of 72 g/L (normal range: 113-151 g/L). However, ultrasound examination revealed a cyst in the left ovary, </w:t>
      </w:r>
      <w:r w:rsidRPr="00805A77">
        <w:rPr>
          <w:rFonts w:ascii="Book Antiqua" w:eastAsia="宋体" w:hAnsi="Book Antiqua" w:cs="Book Antiqua" w:hint="eastAsia"/>
          <w:color w:val="000000"/>
          <w:lang w:eastAsia="zh-CN"/>
        </w:rPr>
        <w:t>with a</w:t>
      </w:r>
      <w:r w:rsidRPr="00805A77">
        <w:rPr>
          <w:rFonts w:ascii="Book Antiqua" w:eastAsia="Book Antiqua" w:hAnsi="Book Antiqua" w:cs="Book Antiqua"/>
          <w:color w:val="000000"/>
        </w:rPr>
        <w:t xml:space="preserve"> diameter of</w:t>
      </w:r>
      <w:r w:rsidRPr="00805A77">
        <w:rPr>
          <w:rFonts w:ascii="Book Antiqua" w:eastAsia="宋体" w:hAnsi="Book Antiqua" w:cs="Book Antiqua" w:hint="eastAsia"/>
          <w:color w:val="000000"/>
          <w:lang w:eastAsia="zh-CN"/>
        </w:rPr>
        <w:t xml:space="preserve"> </w:t>
      </w:r>
      <w:r w:rsidRPr="00805A77">
        <w:rPr>
          <w:rFonts w:ascii="Book Antiqua" w:eastAsia="Book Antiqua" w:hAnsi="Book Antiqua" w:cs="Book Antiqua"/>
          <w:color w:val="000000"/>
        </w:rPr>
        <w:t>&lt; 2 cm, and the cyst was only regularly followed up without further treatment.</w:t>
      </w:r>
    </w:p>
    <w:p w14:paraId="267B2197" w14:textId="77777777" w:rsidR="00005863" w:rsidRPr="00805A77" w:rsidRDefault="00005863">
      <w:pPr>
        <w:spacing w:line="360" w:lineRule="auto"/>
        <w:jc w:val="both"/>
        <w:rPr>
          <w:rFonts w:ascii="Book Antiqua" w:hAnsi="Book Antiqua"/>
        </w:rPr>
      </w:pPr>
    </w:p>
    <w:p w14:paraId="5CC4620A"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b/>
          <w:caps/>
          <w:color w:val="000000"/>
          <w:u w:val="single"/>
        </w:rPr>
        <w:t>DISCUSSION</w:t>
      </w:r>
    </w:p>
    <w:p w14:paraId="74F1FEB5"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color w:val="000000"/>
        </w:rPr>
        <w:t xml:space="preserve">AIG is </w:t>
      </w:r>
      <w:r w:rsidRPr="00805A77">
        <w:rPr>
          <w:rFonts w:ascii="Book Antiqua" w:eastAsia="宋体" w:hAnsi="Book Antiqua" w:cs="Book Antiqua" w:hint="eastAsia"/>
          <w:color w:val="000000"/>
          <w:lang w:eastAsia="zh-CN"/>
        </w:rPr>
        <w:t xml:space="preserve">a </w:t>
      </w:r>
      <w:r w:rsidRPr="00805A77">
        <w:rPr>
          <w:rFonts w:ascii="Book Antiqua" w:eastAsia="Book Antiqua" w:hAnsi="Book Antiqua" w:cs="Book Antiqua"/>
          <w:color w:val="000000"/>
        </w:rPr>
        <w:t xml:space="preserve">progressive form of chronic gastritis. The histopathological changes that occur in AIG are atrophy of the secretory glands in the gastric body and fundus with intestinal metaplasia or pseudopyloric metaplasia, but changes in the gastric antrum mucosa are not obvious. Serological examinations show positivity for parietal cell </w:t>
      </w:r>
      <w:r w:rsidRPr="00805A77">
        <w:rPr>
          <w:rFonts w:ascii="Book Antiqua" w:eastAsia="Book Antiqua" w:hAnsi="Book Antiqua" w:cs="Book Antiqua"/>
          <w:color w:val="000000"/>
        </w:rPr>
        <w:lastRenderedPageBreak/>
        <w:t>antibodies and/or intrinsic factor antibodies. AIG has no characteristic symptoms in the early stage. Most patients experience dyspepsia or anemia as the first symptoms. Some cases of AIG can evolve to gastric adenocarcinoma or gastric NETs. In one study of 245 AIG patients with pernicious anemia, 28 patients (11.4%) developed type 1 NETs, 24 (9.8%) developed adenocarcinoma, and 52 (21.1%) developed hyperplastic polyps</w:t>
      </w:r>
      <w:r w:rsidRPr="00805A77">
        <w:rPr>
          <w:rFonts w:ascii="Book Antiqua" w:eastAsia="Book Antiqua" w:hAnsi="Book Antiqua" w:cs="Book Antiqua"/>
          <w:color w:val="000000"/>
          <w:vertAlign w:val="superscript"/>
        </w:rPr>
        <w:t>[6]</w:t>
      </w:r>
      <w:r w:rsidRPr="00805A77">
        <w:rPr>
          <w:rFonts w:ascii="Book Antiqua" w:eastAsia="Book Antiqua" w:hAnsi="Book Antiqua" w:cs="Book Antiqua"/>
          <w:color w:val="000000"/>
        </w:rPr>
        <w:t xml:space="preserve">. The patient in this report had iron-deficiency anemia for 5 years and </w:t>
      </w:r>
      <w:r w:rsidRPr="00805A77">
        <w:rPr>
          <w:rFonts w:ascii="Book Antiqua" w:eastAsia="宋体" w:hAnsi="Book Antiqua" w:cs="Book Antiqua" w:hint="eastAsia"/>
          <w:color w:val="000000"/>
          <w:lang w:eastAsia="zh-CN"/>
        </w:rPr>
        <w:t xml:space="preserve">developed </w:t>
      </w:r>
      <w:r w:rsidRPr="00805A77">
        <w:rPr>
          <w:rFonts w:ascii="Book Antiqua" w:eastAsia="Book Antiqua" w:hAnsi="Book Antiqua" w:cs="Book Antiqua"/>
          <w:color w:val="000000"/>
        </w:rPr>
        <w:t>type 1 gastric NETs.</w:t>
      </w:r>
    </w:p>
    <w:p w14:paraId="02C5673C" w14:textId="77777777" w:rsidR="00005863" w:rsidRPr="00805A77" w:rsidRDefault="00000000">
      <w:pPr>
        <w:spacing w:line="360" w:lineRule="auto"/>
        <w:ind w:firstLineChars="100" w:firstLine="240"/>
        <w:jc w:val="both"/>
        <w:rPr>
          <w:rFonts w:ascii="Book Antiqua" w:hAnsi="Book Antiqua"/>
        </w:rPr>
      </w:pPr>
      <w:r w:rsidRPr="00805A77">
        <w:rPr>
          <w:rFonts w:ascii="Book Antiqua" w:eastAsia="Book Antiqua" w:hAnsi="Book Antiqua" w:cs="Book Antiqua"/>
          <w:color w:val="000000"/>
        </w:rPr>
        <w:t xml:space="preserve">Gastric anacidity in AIG stimulates the continuous secretion of gastrin by gastric antrum G cells, and hypergastrinemia promotes the proliferation of ECL cells. Histopathological analysis of early AIG shows a linear proliferation of ECL cells, which is manifested by the proliferation of </w:t>
      </w:r>
      <w:r w:rsidRPr="00805A77">
        <w:rPr>
          <w:rFonts w:ascii="Book Antiqua" w:eastAsia="宋体" w:hAnsi="Book Antiqua" w:cs="Book Antiqua" w:hint="eastAsia"/>
          <w:color w:val="000000"/>
          <w:lang w:eastAsia="zh-CN"/>
        </w:rPr>
        <w:t>five</w:t>
      </w:r>
      <w:r w:rsidRPr="00805A77">
        <w:rPr>
          <w:rFonts w:ascii="Book Antiqua" w:eastAsia="Book Antiqua" w:hAnsi="Book Antiqua" w:cs="Book Antiqua"/>
          <w:color w:val="000000"/>
        </w:rPr>
        <w:t xml:space="preserve"> adjacent ECL cells in the glandular neck region and the expression of CGA </w:t>
      </w:r>
      <w:r w:rsidRPr="00805A77">
        <w:rPr>
          <w:rFonts w:ascii="Book Antiqua" w:eastAsia="宋体" w:hAnsi="Book Antiqua" w:cs="Book Antiqua" w:hint="eastAsia"/>
          <w:color w:val="000000"/>
          <w:lang w:eastAsia="zh-CN"/>
        </w:rPr>
        <w:t xml:space="preserve">as detected </w:t>
      </w:r>
      <w:r w:rsidRPr="00805A77">
        <w:rPr>
          <w:rFonts w:ascii="Book Antiqua" w:eastAsia="Book Antiqua" w:hAnsi="Book Antiqua" w:cs="Book Antiqua"/>
          <w:color w:val="000000"/>
        </w:rPr>
        <w:t>by immunohistochemi</w:t>
      </w:r>
      <w:r w:rsidRPr="00805A77">
        <w:rPr>
          <w:rFonts w:ascii="Book Antiqua" w:eastAsia="宋体" w:hAnsi="Book Antiqua" w:cs="Book Antiqua" w:hint="eastAsia"/>
          <w:color w:val="000000"/>
          <w:lang w:eastAsia="zh-CN"/>
        </w:rPr>
        <w:t>stry</w:t>
      </w:r>
      <w:r w:rsidRPr="00805A77">
        <w:rPr>
          <w:rFonts w:ascii="Book Antiqua" w:eastAsia="Book Antiqua" w:hAnsi="Book Antiqua" w:cs="Book Antiqua"/>
          <w:color w:val="000000"/>
        </w:rPr>
        <w:t>. With the continuous progression of the disease, ECL cells may proliferate and develop into NETs</w:t>
      </w:r>
      <w:r w:rsidRPr="00805A77">
        <w:rPr>
          <w:rFonts w:ascii="Book Antiqua" w:eastAsia="Book Antiqua" w:hAnsi="Book Antiqua" w:cs="Book Antiqua"/>
          <w:color w:val="000000"/>
          <w:vertAlign w:val="superscript"/>
        </w:rPr>
        <w:t>[7]</w:t>
      </w:r>
      <w:r w:rsidRPr="00805A77">
        <w:rPr>
          <w:rFonts w:ascii="Book Antiqua" w:eastAsia="Book Antiqua" w:hAnsi="Book Antiqua" w:cs="Book Antiqua"/>
          <w:color w:val="000000"/>
        </w:rPr>
        <w:t xml:space="preserve">. In the patient whose case is presented here, a series of changes, such as linear hyperplasia of neuroendocrine cells and micronodular hyperplasia, could be seen in the glands of the gastric mucosa around the tumor. </w:t>
      </w:r>
    </w:p>
    <w:p w14:paraId="6A16177A" w14:textId="77777777" w:rsidR="00005863" w:rsidRPr="00805A77" w:rsidRDefault="00000000">
      <w:pPr>
        <w:spacing w:line="360" w:lineRule="auto"/>
        <w:ind w:firstLineChars="100" w:firstLine="240"/>
        <w:jc w:val="both"/>
        <w:rPr>
          <w:rFonts w:ascii="Book Antiqua" w:hAnsi="Book Antiqua"/>
        </w:rPr>
      </w:pPr>
      <w:r w:rsidRPr="00805A77">
        <w:rPr>
          <w:rFonts w:ascii="Book Antiqua" w:eastAsia="Book Antiqua" w:hAnsi="Book Antiqua" w:cs="Book Antiqua"/>
          <w:color w:val="000000"/>
        </w:rPr>
        <w:t xml:space="preserve">The </w:t>
      </w:r>
      <w:r w:rsidRPr="00805A77">
        <w:rPr>
          <w:rFonts w:ascii="Book Antiqua" w:eastAsia="Book Antiqua" w:hAnsi="Book Antiqua" w:cs="Book Antiqua"/>
          <w:i/>
          <w:iCs/>
          <w:color w:val="000000"/>
        </w:rPr>
        <w:t>BRCA2</w:t>
      </w:r>
      <w:r w:rsidRPr="00805A77">
        <w:rPr>
          <w:rFonts w:ascii="Book Antiqua" w:eastAsia="Book Antiqua" w:hAnsi="Book Antiqua" w:cs="Book Antiqua"/>
          <w:color w:val="000000"/>
        </w:rPr>
        <w:t xml:space="preserve"> gene is located on the long arm of chromosome 13 and is normally expressed in breast cells. The </w:t>
      </w:r>
      <w:bookmarkStart w:id="41" w:name="OLE_LINK1110"/>
      <w:r w:rsidRPr="00805A77">
        <w:rPr>
          <w:rFonts w:ascii="Book Antiqua" w:eastAsia="Book Antiqua" w:hAnsi="Book Antiqua" w:cs="Book Antiqua"/>
          <w:i/>
          <w:iCs/>
          <w:color w:val="000000"/>
        </w:rPr>
        <w:t>BRCA2</w:t>
      </w:r>
      <w:bookmarkEnd w:id="41"/>
      <w:r w:rsidRPr="00805A77">
        <w:rPr>
          <w:rFonts w:ascii="Book Antiqua" w:eastAsia="Book Antiqua" w:hAnsi="Book Antiqua" w:cs="Book Antiqua"/>
          <w:color w:val="000000"/>
        </w:rPr>
        <w:t xml:space="preserve"> gene is involved in DNA damage repair. </w:t>
      </w:r>
      <w:r w:rsidRPr="00805A77">
        <w:rPr>
          <w:rFonts w:ascii="Book Antiqua" w:eastAsia="宋体" w:hAnsi="Book Antiqua" w:cs="Book Antiqua" w:hint="eastAsia"/>
          <w:color w:val="000000"/>
          <w:lang w:eastAsia="zh-CN"/>
        </w:rPr>
        <w:t>Germline</w:t>
      </w:r>
      <w:r w:rsidRPr="00805A77">
        <w:rPr>
          <w:rFonts w:ascii="Book Antiqua" w:eastAsia="Book Antiqua" w:hAnsi="Book Antiqua" w:cs="Book Antiqua"/>
          <w:color w:val="000000"/>
        </w:rPr>
        <w:t xml:space="preserve"> mutation of the </w:t>
      </w:r>
      <w:bookmarkStart w:id="42" w:name="OLE_LINK1111"/>
      <w:r w:rsidRPr="00805A77">
        <w:rPr>
          <w:rFonts w:ascii="Book Antiqua" w:eastAsia="Book Antiqua" w:hAnsi="Book Antiqua" w:cs="Book Antiqua"/>
          <w:i/>
          <w:iCs/>
          <w:color w:val="000000"/>
        </w:rPr>
        <w:t>BRCA2</w:t>
      </w:r>
      <w:bookmarkEnd w:id="42"/>
      <w:r w:rsidRPr="00805A77">
        <w:rPr>
          <w:rFonts w:ascii="Book Antiqua" w:eastAsia="Book Antiqua" w:hAnsi="Book Antiqua" w:cs="Book Antiqua"/>
          <w:color w:val="000000"/>
        </w:rPr>
        <w:t xml:space="preserve"> gene can lead to tumors. At present, </w:t>
      </w:r>
      <w:r w:rsidRPr="00805A77">
        <w:rPr>
          <w:rFonts w:ascii="Book Antiqua" w:eastAsia="Book Antiqua" w:hAnsi="Book Antiqua" w:cs="Book Antiqua"/>
          <w:i/>
          <w:iCs/>
          <w:color w:val="000000"/>
        </w:rPr>
        <w:t>BRCA2</w:t>
      </w:r>
      <w:r w:rsidRPr="00805A77">
        <w:rPr>
          <w:rFonts w:ascii="Book Antiqua" w:eastAsia="Book Antiqua" w:hAnsi="Book Antiqua" w:cs="Book Antiqua"/>
          <w:color w:val="000000"/>
        </w:rPr>
        <w:t xml:space="preserve"> gene germline mutations have been reported in prostate neuroendocrine carcinoma, gallbladder neuroendocrine carcinoma</w:t>
      </w:r>
      <w:r w:rsidRPr="00805A77">
        <w:rPr>
          <w:rFonts w:ascii="Book Antiqua" w:eastAsia="宋体" w:hAnsi="Book Antiqua" w:cs="Book Antiqua" w:hint="eastAsia"/>
          <w:color w:val="000000"/>
          <w:lang w:eastAsia="zh-CN"/>
        </w:rPr>
        <w:t>,</w:t>
      </w:r>
      <w:r w:rsidRPr="00805A77">
        <w:rPr>
          <w:rFonts w:ascii="Book Antiqua" w:eastAsia="Book Antiqua" w:hAnsi="Book Antiqua" w:cs="Book Antiqua"/>
          <w:color w:val="000000"/>
        </w:rPr>
        <w:t xml:space="preserve"> and ovarian non-small cell neuroendocrine carcinoma</w:t>
      </w:r>
      <w:r w:rsidRPr="00805A77">
        <w:rPr>
          <w:rFonts w:ascii="Book Antiqua" w:eastAsia="Book Antiqua" w:hAnsi="Book Antiqua" w:cs="Book Antiqua"/>
          <w:color w:val="000000"/>
          <w:vertAlign w:val="superscript"/>
        </w:rPr>
        <w:t>[8-10]</w:t>
      </w:r>
      <w:r w:rsidRPr="00805A77">
        <w:rPr>
          <w:rFonts w:ascii="Book Antiqua" w:eastAsia="Book Antiqua" w:hAnsi="Book Antiqua" w:cs="Book Antiqua"/>
          <w:color w:val="000000"/>
        </w:rPr>
        <w:t xml:space="preserve">. </w:t>
      </w:r>
      <w:r w:rsidRPr="00805A77">
        <w:rPr>
          <w:rFonts w:ascii="Book Antiqua" w:eastAsia="Book Antiqua" w:hAnsi="Book Antiqua" w:cs="Book Antiqua"/>
          <w:i/>
          <w:iCs/>
          <w:color w:val="000000"/>
        </w:rPr>
        <w:t>BRCA2</w:t>
      </w:r>
      <w:r w:rsidRPr="00805A77">
        <w:rPr>
          <w:rFonts w:ascii="Book Antiqua" w:eastAsia="Book Antiqua" w:hAnsi="Book Antiqua" w:cs="Book Antiqua"/>
          <w:color w:val="000000"/>
        </w:rPr>
        <w:t xml:space="preserve"> gene germline mutations can also be seen in hereditary diffuse gastric cancer syndrome</w:t>
      </w:r>
      <w:r w:rsidRPr="00805A77">
        <w:rPr>
          <w:rFonts w:ascii="Book Antiqua" w:eastAsia="Book Antiqua" w:hAnsi="Book Antiqua" w:cs="Book Antiqua"/>
          <w:color w:val="000000"/>
          <w:vertAlign w:val="superscript"/>
        </w:rPr>
        <w:t>[11,12]</w:t>
      </w:r>
      <w:r w:rsidRPr="00805A77">
        <w:rPr>
          <w:rFonts w:ascii="Book Antiqua" w:eastAsia="Book Antiqua" w:hAnsi="Book Antiqua" w:cs="Book Antiqua"/>
          <w:color w:val="000000"/>
        </w:rPr>
        <w:t xml:space="preserve">. The finding of </w:t>
      </w:r>
      <w:bookmarkStart w:id="43" w:name="OLE_LINK1112"/>
      <w:r w:rsidRPr="00805A77">
        <w:rPr>
          <w:rFonts w:ascii="Book Antiqua" w:eastAsia="Book Antiqua" w:hAnsi="Book Antiqua" w:cs="Book Antiqua"/>
          <w:i/>
          <w:iCs/>
          <w:color w:val="000000"/>
        </w:rPr>
        <w:t>BRCA2</w:t>
      </w:r>
      <w:bookmarkEnd w:id="43"/>
      <w:r w:rsidRPr="00805A77">
        <w:rPr>
          <w:rFonts w:ascii="Book Antiqua" w:eastAsia="Book Antiqua" w:hAnsi="Book Antiqua" w:cs="Book Antiqua"/>
          <w:color w:val="000000"/>
        </w:rPr>
        <w:t xml:space="preserve"> gene germline mutations in gastric NETs has not previously been reported. </w:t>
      </w:r>
      <w:r w:rsidRPr="00805A77">
        <w:rPr>
          <w:rFonts w:ascii="Book Antiqua" w:eastAsia="宋体" w:hAnsi="Book Antiqua" w:cs="Book Antiqua" w:hint="eastAsia"/>
          <w:color w:val="000000"/>
          <w:lang w:eastAsia="zh-CN"/>
        </w:rPr>
        <w:t>Our patient</w:t>
      </w:r>
      <w:r w:rsidRPr="00805A77">
        <w:rPr>
          <w:rFonts w:ascii="Book Antiqua" w:eastAsia="Book Antiqua" w:hAnsi="Book Antiqua" w:cs="Book Antiqua"/>
          <w:color w:val="000000"/>
        </w:rPr>
        <w:t xml:space="preserve"> was the first </w:t>
      </w:r>
      <w:r w:rsidRPr="00805A77">
        <w:rPr>
          <w:rFonts w:ascii="Book Antiqua" w:eastAsia="宋体" w:hAnsi="Book Antiqua" w:cs="Book Antiqua" w:hint="eastAsia"/>
          <w:color w:val="000000"/>
          <w:lang w:eastAsia="zh-CN"/>
        </w:rPr>
        <w:t xml:space="preserve">case </w:t>
      </w:r>
      <w:r w:rsidRPr="00805A77">
        <w:rPr>
          <w:rFonts w:ascii="Book Antiqua" w:eastAsia="Book Antiqua" w:hAnsi="Book Antiqua" w:cs="Book Antiqua"/>
          <w:color w:val="000000"/>
        </w:rPr>
        <w:t>of</w:t>
      </w:r>
      <w:r w:rsidRPr="00805A77">
        <w:rPr>
          <w:rFonts w:ascii="Book Antiqua" w:eastAsia="宋体" w:hAnsi="Book Antiqua" w:cs="Book Antiqua" w:hint="eastAsia"/>
          <w:color w:val="000000"/>
          <w:lang w:eastAsia="zh-CN"/>
        </w:rPr>
        <w:t xml:space="preserve"> </w:t>
      </w:r>
      <w:r w:rsidRPr="00805A77">
        <w:rPr>
          <w:rFonts w:ascii="Book Antiqua" w:eastAsia="Book Antiqua" w:hAnsi="Book Antiqua" w:cs="Book Antiqua"/>
          <w:color w:val="000000"/>
        </w:rPr>
        <w:t xml:space="preserve">type I gastric NETs with a pathogenic germline mutation in the </w:t>
      </w:r>
      <w:r w:rsidRPr="00805A77">
        <w:rPr>
          <w:rFonts w:ascii="Book Antiqua" w:eastAsia="Book Antiqua" w:hAnsi="Book Antiqua" w:cs="Book Antiqua"/>
          <w:i/>
          <w:iCs/>
          <w:color w:val="000000"/>
        </w:rPr>
        <w:t>BRCA2</w:t>
      </w:r>
      <w:r w:rsidRPr="00805A77">
        <w:rPr>
          <w:rFonts w:ascii="Book Antiqua" w:eastAsia="Book Antiqua" w:hAnsi="Book Antiqua" w:cs="Book Antiqua"/>
          <w:color w:val="000000"/>
        </w:rPr>
        <w:t xml:space="preserve"> gene.</w:t>
      </w:r>
      <w:r w:rsidRPr="00805A77">
        <w:rPr>
          <w:rFonts w:ascii="Book Antiqua" w:eastAsia="宋体" w:hAnsi="Book Antiqua" w:cs="Book Antiqua" w:hint="eastAsia"/>
          <w:color w:val="000000"/>
          <w:lang w:eastAsia="zh-CN"/>
        </w:rPr>
        <w:t xml:space="preserve"> </w:t>
      </w:r>
      <w:r w:rsidRPr="00805A77">
        <w:rPr>
          <w:rFonts w:ascii="Book Antiqua" w:eastAsia="Book Antiqua" w:hAnsi="Book Antiqua" w:cs="Book Antiqua"/>
          <w:color w:val="000000"/>
        </w:rPr>
        <w:t>A review of the literature shows that the homologous recombination pathway (HRD)</w:t>
      </w:r>
      <w:r w:rsidRPr="00805A77">
        <w:rPr>
          <w:rFonts w:ascii="Book Antiqua" w:eastAsia="宋体" w:hAnsi="Book Antiqua" w:cs="Book Antiqua" w:hint="eastAsia"/>
          <w:color w:val="000000"/>
          <w:lang w:eastAsia="zh-CN"/>
        </w:rPr>
        <w:t xml:space="preserve"> </w:t>
      </w:r>
      <w:r w:rsidRPr="00805A77">
        <w:rPr>
          <w:rFonts w:ascii="Book Antiqua" w:eastAsia="Book Antiqua" w:hAnsi="Book Antiqua" w:cs="Book Antiqua"/>
          <w:color w:val="000000"/>
        </w:rPr>
        <w:t xml:space="preserve">involved in DNA repair pathways leads to tumorigenesis in pancreatic NETs with </w:t>
      </w:r>
      <w:r w:rsidRPr="00805A77">
        <w:rPr>
          <w:rFonts w:ascii="Book Antiqua" w:eastAsia="Book Antiqua" w:hAnsi="Book Antiqua" w:cs="Book Antiqua"/>
          <w:i/>
          <w:iCs/>
          <w:color w:val="000000"/>
        </w:rPr>
        <w:t>BRCA2</w:t>
      </w:r>
      <w:r w:rsidRPr="00805A77">
        <w:rPr>
          <w:rFonts w:ascii="Book Antiqua" w:eastAsia="Book Antiqua" w:hAnsi="Book Antiqua" w:cs="Book Antiqua"/>
          <w:color w:val="000000"/>
        </w:rPr>
        <w:t xml:space="preserve"> germline mutations</w:t>
      </w:r>
      <w:r w:rsidRPr="00805A77">
        <w:rPr>
          <w:rFonts w:ascii="Book Antiqua" w:eastAsia="Book Antiqua" w:hAnsi="Book Antiqua" w:cs="Book Antiqua"/>
          <w:color w:val="000000"/>
          <w:vertAlign w:val="superscript"/>
        </w:rPr>
        <w:t>[13]</w:t>
      </w:r>
      <w:r w:rsidRPr="00805A77">
        <w:rPr>
          <w:rFonts w:ascii="Book Antiqua" w:eastAsia="Book Antiqua" w:hAnsi="Book Antiqua" w:cs="Book Antiqua"/>
          <w:color w:val="000000"/>
        </w:rPr>
        <w:t xml:space="preserve">. However, more research is needed on the exact role of </w:t>
      </w:r>
      <w:r w:rsidRPr="00805A77">
        <w:rPr>
          <w:rFonts w:ascii="Book Antiqua" w:eastAsia="Book Antiqua" w:hAnsi="Book Antiqua" w:cs="Book Antiqua"/>
          <w:i/>
          <w:iCs/>
          <w:color w:val="000000"/>
        </w:rPr>
        <w:t>BRCA2</w:t>
      </w:r>
      <w:r w:rsidRPr="00805A77">
        <w:rPr>
          <w:rFonts w:ascii="Book Antiqua" w:eastAsia="Book Antiqua" w:hAnsi="Book Antiqua" w:cs="Book Antiqua"/>
          <w:color w:val="000000"/>
        </w:rPr>
        <w:t xml:space="preserve"> germline mutations in the pathogenesis of gastric NETs.</w:t>
      </w:r>
    </w:p>
    <w:p w14:paraId="6C8F8361" w14:textId="77777777" w:rsidR="00005863" w:rsidRPr="00805A77" w:rsidRDefault="00000000">
      <w:pPr>
        <w:spacing w:line="360" w:lineRule="auto"/>
        <w:ind w:firstLineChars="100" w:firstLine="240"/>
        <w:jc w:val="both"/>
        <w:rPr>
          <w:rFonts w:ascii="Book Antiqua" w:hAnsi="Book Antiqua"/>
        </w:rPr>
      </w:pPr>
      <w:r w:rsidRPr="00805A77">
        <w:rPr>
          <w:rFonts w:ascii="Book Antiqua" w:eastAsia="Book Antiqua" w:hAnsi="Book Antiqua" w:cs="Book Antiqua"/>
          <w:color w:val="000000"/>
        </w:rPr>
        <w:lastRenderedPageBreak/>
        <w:t>Some studies have shown that the incidence of type 1 ECL-cell NETs is low (approximately 4.37-11.4%)</w:t>
      </w:r>
      <w:r w:rsidRPr="00805A77">
        <w:rPr>
          <w:rFonts w:ascii="Book Antiqua" w:eastAsia="Book Antiqua" w:hAnsi="Book Antiqua" w:cs="Book Antiqua"/>
          <w:color w:val="000000"/>
          <w:vertAlign w:val="superscript"/>
        </w:rPr>
        <w:t>[6,14,15]</w:t>
      </w:r>
      <w:r w:rsidRPr="00805A77">
        <w:rPr>
          <w:rFonts w:ascii="Book Antiqua" w:eastAsia="Book Antiqua" w:hAnsi="Book Antiqua" w:cs="Book Antiqua"/>
          <w:color w:val="000000"/>
        </w:rPr>
        <w:t>; these NETs are usually small (&lt; 1 cm) and have a median diameter of 5 mm, but they are prone to recurrence</w:t>
      </w:r>
      <w:r w:rsidRPr="00805A77">
        <w:rPr>
          <w:rFonts w:ascii="Book Antiqua" w:eastAsia="宋体" w:hAnsi="Book Antiqua" w:cs="Book Antiqua" w:hint="eastAsia"/>
          <w:color w:val="000000"/>
          <w:lang w:eastAsia="zh-CN"/>
        </w:rPr>
        <w:t xml:space="preserve"> </w:t>
      </w:r>
      <w:r w:rsidRPr="00805A77">
        <w:rPr>
          <w:rFonts w:ascii="Book Antiqua" w:eastAsia="Book Antiqua" w:hAnsi="Book Antiqua" w:cs="Book Antiqua"/>
          <w:color w:val="000000"/>
        </w:rPr>
        <w:t>and can be complicated by gastric adenocarcinoma</w:t>
      </w:r>
      <w:r w:rsidRPr="00805A77">
        <w:rPr>
          <w:rFonts w:ascii="Book Antiqua" w:eastAsia="Book Antiqua" w:hAnsi="Book Antiqua" w:cs="Book Antiqua"/>
          <w:color w:val="000000"/>
          <w:vertAlign w:val="superscript"/>
        </w:rPr>
        <w:t>[16]</w:t>
      </w:r>
      <w:r w:rsidRPr="00805A77">
        <w:rPr>
          <w:rFonts w:ascii="Book Antiqua" w:eastAsia="Book Antiqua" w:hAnsi="Book Antiqua" w:cs="Book Antiqua"/>
          <w:color w:val="000000"/>
        </w:rPr>
        <w:t xml:space="preserve">. Metastasis can occur when the tumor diameter is greater than 1 cm. Type 1 ECL-cell NETs are gastrin dependent and are treated by controlling hypergastrinemia. A clinical trial by Lloyd </w:t>
      </w:r>
      <w:r w:rsidRPr="00805A77">
        <w:rPr>
          <w:rFonts w:ascii="Book Antiqua" w:eastAsia="Book Antiqua" w:hAnsi="Book Antiqua" w:cs="Book Antiqua"/>
          <w:i/>
          <w:iCs/>
          <w:color w:val="000000"/>
        </w:rPr>
        <w:t>et al</w:t>
      </w:r>
      <w:r w:rsidRPr="00805A77">
        <w:rPr>
          <w:rFonts w:ascii="Book Antiqua" w:eastAsia="Book Antiqua" w:hAnsi="Book Antiqua" w:cs="Book Antiqua"/>
          <w:color w:val="000000"/>
          <w:vertAlign w:val="superscript"/>
        </w:rPr>
        <w:t>[17]</w:t>
      </w:r>
      <w:r w:rsidRPr="00805A77">
        <w:rPr>
          <w:rFonts w:ascii="Book Antiqua" w:eastAsia="Book Antiqua" w:hAnsi="Book Antiqua" w:cs="Book Antiqua"/>
          <w:color w:val="000000"/>
        </w:rPr>
        <w:t xml:space="preserve"> found that the application of netazepide (YF476), a gastrin/CCK-2 receptor antagonist, could eradicate some type 1 ECL-cell NETs after one year of treatment</w:t>
      </w:r>
      <w:bookmarkStart w:id="44" w:name="OLE_LINK1114"/>
      <w:r w:rsidRPr="00805A77">
        <w:rPr>
          <w:rFonts w:ascii="Book Antiqua" w:eastAsia="Book Antiqua" w:hAnsi="Book Antiqua" w:cs="Book Antiqua"/>
          <w:color w:val="000000"/>
          <w:vertAlign w:val="superscript"/>
        </w:rPr>
        <w:t>[17]</w:t>
      </w:r>
      <w:bookmarkEnd w:id="44"/>
      <w:r w:rsidRPr="00805A77">
        <w:rPr>
          <w:rFonts w:ascii="Book Antiqua" w:eastAsia="Book Antiqua" w:hAnsi="Book Antiqua" w:cs="Book Antiqua"/>
          <w:color w:val="000000"/>
        </w:rPr>
        <w:t>. Somatostatin analogs (SSAs) can inhibit gastrin secretion and the proliferation of ECL cells to shrink the tumor and reduce recurrence</w:t>
      </w:r>
      <w:r w:rsidRPr="00805A77">
        <w:rPr>
          <w:rFonts w:ascii="Book Antiqua" w:eastAsia="Book Antiqua" w:hAnsi="Book Antiqua" w:cs="Book Antiqua"/>
          <w:color w:val="000000"/>
          <w:vertAlign w:val="superscript"/>
        </w:rPr>
        <w:t>[18]</w:t>
      </w:r>
      <w:r w:rsidRPr="00805A77">
        <w:rPr>
          <w:rFonts w:ascii="Book Antiqua" w:eastAsia="Book Antiqua" w:hAnsi="Book Antiqua" w:cs="Book Antiqua"/>
          <w:color w:val="000000"/>
        </w:rPr>
        <w:t>. SSAs have been reported to selectively treat multiple, unresectable, relapse-prone type I gastric NETs</w:t>
      </w:r>
      <w:r w:rsidRPr="00805A77">
        <w:rPr>
          <w:rFonts w:ascii="Book Antiqua" w:eastAsia="Book Antiqua" w:hAnsi="Book Antiqua" w:cs="Book Antiqua"/>
          <w:color w:val="000000"/>
          <w:vertAlign w:val="superscript"/>
        </w:rPr>
        <w:t>[19-21]</w:t>
      </w:r>
      <w:r w:rsidRPr="00805A77">
        <w:rPr>
          <w:rFonts w:ascii="Book Antiqua" w:eastAsia="Book Antiqua" w:hAnsi="Book Antiqua" w:cs="Book Antiqua"/>
          <w:color w:val="000000"/>
        </w:rPr>
        <w:t xml:space="preserve">. Studies have shown that tumors with </w:t>
      </w:r>
      <w:bookmarkStart w:id="45" w:name="OLE_LINK1115"/>
      <w:r w:rsidRPr="00805A77">
        <w:rPr>
          <w:rFonts w:ascii="Book Antiqua" w:eastAsia="Book Antiqua" w:hAnsi="Book Antiqua" w:cs="Book Antiqua"/>
          <w:i/>
          <w:iCs/>
          <w:color w:val="000000"/>
        </w:rPr>
        <w:t>BRCA2</w:t>
      </w:r>
      <w:bookmarkEnd w:id="45"/>
      <w:r w:rsidRPr="00805A77">
        <w:rPr>
          <w:rFonts w:ascii="Book Antiqua" w:eastAsia="Book Antiqua" w:hAnsi="Book Antiqua" w:cs="Book Antiqua"/>
          <w:color w:val="000000"/>
        </w:rPr>
        <w:t xml:space="preserve"> gene germline mutations are sensitive to PARP inhibitors</w:t>
      </w:r>
      <w:r w:rsidRPr="00805A77">
        <w:rPr>
          <w:rFonts w:ascii="Book Antiqua" w:eastAsia="Book Antiqua" w:hAnsi="Book Antiqua" w:cs="Book Antiqua"/>
          <w:color w:val="000000"/>
          <w:vertAlign w:val="superscript"/>
        </w:rPr>
        <w:t>[22]</w:t>
      </w:r>
      <w:r w:rsidRPr="00805A77">
        <w:rPr>
          <w:rFonts w:ascii="Book Antiqua" w:eastAsia="Book Antiqua" w:hAnsi="Book Antiqua" w:cs="Book Antiqua"/>
          <w:color w:val="000000"/>
        </w:rPr>
        <w:t>. In</w:t>
      </w:r>
      <w:r w:rsidRPr="00805A77">
        <w:rPr>
          <w:rFonts w:ascii="Book Antiqua" w:eastAsia="宋体" w:hAnsi="Book Antiqua" w:cs="Book Antiqua" w:hint="eastAsia"/>
          <w:color w:val="000000"/>
          <w:lang w:eastAsia="zh-CN"/>
        </w:rPr>
        <w:t xml:space="preserve"> </w:t>
      </w:r>
      <w:r w:rsidRPr="00805A77">
        <w:rPr>
          <w:rFonts w:ascii="Book Antiqua" w:eastAsia="Book Antiqua" w:hAnsi="Book Antiqua" w:cs="Book Antiqua"/>
          <w:color w:val="000000"/>
        </w:rPr>
        <w:t>patient</w:t>
      </w:r>
      <w:r w:rsidRPr="00805A77">
        <w:rPr>
          <w:rFonts w:ascii="Book Antiqua" w:eastAsia="宋体" w:hAnsi="Book Antiqua" w:cs="Book Antiqua" w:hint="eastAsia"/>
          <w:color w:val="000000"/>
          <w:lang w:eastAsia="zh-CN"/>
        </w:rPr>
        <w:t>s</w:t>
      </w:r>
      <w:r w:rsidRPr="00805A77">
        <w:rPr>
          <w:rFonts w:ascii="Book Antiqua" w:eastAsia="Book Antiqua" w:hAnsi="Book Antiqua" w:cs="Book Antiqua"/>
          <w:color w:val="000000"/>
        </w:rPr>
        <w:t xml:space="preserve"> with</w:t>
      </w:r>
      <w:r w:rsidRPr="00805A77">
        <w:rPr>
          <w:rFonts w:ascii="Book Antiqua" w:eastAsia="宋体" w:hAnsi="Book Antiqua" w:cs="Book Antiqua" w:hint="eastAsia"/>
          <w:color w:val="000000"/>
          <w:lang w:eastAsia="zh-CN"/>
        </w:rPr>
        <w:t xml:space="preserve"> </w:t>
      </w:r>
      <w:r w:rsidRPr="00805A77">
        <w:rPr>
          <w:rFonts w:ascii="Book Antiqua" w:eastAsia="Book Antiqua" w:hAnsi="Book Antiqua" w:cs="Book Antiqua"/>
          <w:color w:val="000000"/>
        </w:rPr>
        <w:t>type 1 ECL-cell NET</w:t>
      </w:r>
      <w:r w:rsidRPr="00805A77">
        <w:rPr>
          <w:rFonts w:ascii="Book Antiqua" w:eastAsia="宋体" w:hAnsi="Book Antiqua" w:cs="Book Antiqua" w:hint="eastAsia"/>
          <w:color w:val="000000"/>
          <w:lang w:eastAsia="zh-CN"/>
        </w:rPr>
        <w:t>s</w:t>
      </w:r>
      <w:r w:rsidRPr="00805A77">
        <w:rPr>
          <w:rFonts w:ascii="Book Antiqua" w:eastAsia="Book Antiqua" w:hAnsi="Book Antiqua" w:cs="Book Antiqua"/>
          <w:color w:val="000000"/>
        </w:rPr>
        <w:t xml:space="preserve"> with a </w:t>
      </w:r>
      <w:bookmarkStart w:id="46" w:name="OLE_LINK1116"/>
      <w:r w:rsidRPr="00805A77">
        <w:rPr>
          <w:rFonts w:ascii="Book Antiqua" w:eastAsia="Book Antiqua" w:hAnsi="Book Antiqua" w:cs="Book Antiqua"/>
          <w:i/>
          <w:iCs/>
          <w:color w:val="000000"/>
        </w:rPr>
        <w:t>BRCA2</w:t>
      </w:r>
      <w:bookmarkEnd w:id="46"/>
      <w:r w:rsidRPr="00805A77">
        <w:rPr>
          <w:rFonts w:ascii="Book Antiqua" w:eastAsia="Book Antiqua" w:hAnsi="Book Antiqua" w:cs="Book Antiqua"/>
          <w:color w:val="000000"/>
        </w:rPr>
        <w:t xml:space="preserve"> gene germline mutation, further studies are needed to determine whether a benefit could be achieved with PARP inhibitor treatment.</w:t>
      </w:r>
    </w:p>
    <w:p w14:paraId="58B00BD6" w14:textId="77777777" w:rsidR="00005863" w:rsidRPr="00805A77" w:rsidRDefault="00000000">
      <w:pPr>
        <w:spacing w:line="360" w:lineRule="auto"/>
        <w:ind w:firstLineChars="100" w:firstLine="240"/>
        <w:jc w:val="both"/>
        <w:rPr>
          <w:rFonts w:ascii="Book Antiqua" w:hAnsi="Book Antiqua"/>
        </w:rPr>
      </w:pPr>
      <w:r w:rsidRPr="00805A77">
        <w:rPr>
          <w:rFonts w:ascii="Book Antiqua" w:eastAsia="Book Antiqua" w:hAnsi="Book Antiqua" w:cs="Book Antiqua"/>
          <w:color w:val="000000"/>
        </w:rPr>
        <w:t>The</w:t>
      </w:r>
      <w:r w:rsidRPr="00805A77">
        <w:rPr>
          <w:rFonts w:ascii="Book Antiqua" w:eastAsia="宋体" w:hAnsi="Book Antiqua" w:cs="Book Antiqua" w:hint="eastAsia"/>
          <w:color w:val="000000"/>
          <w:lang w:eastAsia="zh-CN"/>
        </w:rPr>
        <w:t xml:space="preserve"> following</w:t>
      </w:r>
      <w:r w:rsidRPr="00805A77">
        <w:rPr>
          <w:rFonts w:ascii="Book Antiqua" w:eastAsia="Book Antiqua" w:hAnsi="Book Antiqua" w:cs="Book Antiqua"/>
          <w:color w:val="000000"/>
        </w:rPr>
        <w:t xml:space="preserve"> appear</w:t>
      </w:r>
      <w:r w:rsidRPr="00805A77">
        <w:rPr>
          <w:rFonts w:ascii="Book Antiqua" w:eastAsia="宋体" w:hAnsi="Book Antiqua" w:cs="Book Antiqua" w:hint="eastAsia"/>
          <w:color w:val="000000"/>
          <w:lang w:eastAsia="zh-CN"/>
        </w:rPr>
        <w:t>s</w:t>
      </w:r>
      <w:r w:rsidRPr="00805A77">
        <w:rPr>
          <w:rFonts w:ascii="Book Antiqua" w:eastAsia="Book Antiqua" w:hAnsi="Book Antiqua" w:cs="Book Antiqua"/>
          <w:color w:val="000000"/>
        </w:rPr>
        <w:t xml:space="preserve"> to be steps for the differential diagnosis of type 1 ECL-cell NETs. First, it is necessary to differentiate gastric adenocarcinoma from type 1 ECL-cell NETs associated with AIG. Immunohistochemical analyses of type 1 ECL-cell NET</w:t>
      </w:r>
      <w:r w:rsidRPr="00805A77">
        <w:rPr>
          <w:rFonts w:ascii="Book Antiqua" w:eastAsia="宋体" w:hAnsi="Book Antiqua" w:cs="Book Antiqua" w:hint="eastAsia"/>
          <w:color w:val="000000"/>
          <w:lang w:eastAsia="zh-CN"/>
        </w:rPr>
        <w:t>s</w:t>
      </w:r>
      <w:r w:rsidRPr="00805A77">
        <w:rPr>
          <w:rFonts w:ascii="Book Antiqua" w:eastAsia="Book Antiqua" w:hAnsi="Book Antiqua" w:cs="Book Antiqua"/>
          <w:color w:val="000000"/>
        </w:rPr>
        <w:t xml:space="preserve"> show the expression of the neuroendocrine markers CgA, Syn, and CD56, which are not expressed in gastric adenocarcinoma. In addition, in type 1 ECL-cell NETs, the tumor cell heterogeneity and mitotic index are lower than those of gastric adenocarcinoma. Second, type 1 ECL-cell NETs in the stomach need to be differentiated from type 2 ECL-cell NETs and type 3 ECL-cell NETs. Type 1 ECL-cell NETs are highly correlated with AIG and have unique clinical and pathological characteristics, such as changes including atrophic gastritis seen under gastroscopy, anti-intrinsic factor antibody and/or anti-parietal cell antibody positivity, changes in the fundus of the stomach, a decrease in the number of glands</w:t>
      </w:r>
      <w:r w:rsidRPr="00805A77">
        <w:rPr>
          <w:rFonts w:ascii="Book Antiqua" w:eastAsia="宋体" w:hAnsi="Book Antiqua" w:cs="Book Antiqua" w:hint="eastAsia"/>
          <w:color w:val="000000"/>
          <w:lang w:eastAsia="zh-CN"/>
        </w:rPr>
        <w:t xml:space="preserve"> in the </w:t>
      </w:r>
      <w:r w:rsidRPr="00805A77">
        <w:rPr>
          <w:rFonts w:ascii="Book Antiqua" w:eastAsia="Book Antiqua" w:hAnsi="Book Antiqua" w:cs="Book Antiqua"/>
          <w:color w:val="000000"/>
        </w:rPr>
        <w:t xml:space="preserve">mucosa </w:t>
      </w:r>
      <w:r w:rsidRPr="00805A77">
        <w:rPr>
          <w:rFonts w:ascii="Book Antiqua" w:eastAsia="宋体" w:hAnsi="Book Antiqua" w:cs="Book Antiqua" w:hint="eastAsia"/>
          <w:color w:val="000000"/>
          <w:lang w:eastAsia="zh-CN"/>
        </w:rPr>
        <w:t xml:space="preserve">of the </w:t>
      </w:r>
      <w:r w:rsidRPr="00805A77">
        <w:rPr>
          <w:rFonts w:ascii="Book Antiqua" w:eastAsia="Book Antiqua" w:hAnsi="Book Antiqua" w:cs="Book Antiqua"/>
          <w:color w:val="000000"/>
        </w:rPr>
        <w:t>gastric</w:t>
      </w:r>
      <w:r w:rsidRPr="00805A77">
        <w:rPr>
          <w:rFonts w:ascii="Book Antiqua" w:eastAsia="宋体" w:hAnsi="Book Antiqua" w:cs="Book Antiqua" w:hint="eastAsia"/>
          <w:color w:val="000000"/>
          <w:lang w:eastAsia="zh-CN"/>
        </w:rPr>
        <w:t xml:space="preserve"> </w:t>
      </w:r>
      <w:r w:rsidRPr="00805A77">
        <w:rPr>
          <w:rFonts w:ascii="Book Antiqua" w:eastAsia="Book Antiqua" w:hAnsi="Book Antiqua" w:cs="Book Antiqua"/>
          <w:color w:val="000000"/>
        </w:rPr>
        <w:t>fundus, and pyloric gland or intestinal metaplasia.</w:t>
      </w:r>
    </w:p>
    <w:p w14:paraId="74C2E449" w14:textId="77777777" w:rsidR="00005863" w:rsidRPr="00805A77" w:rsidRDefault="00005863">
      <w:pPr>
        <w:spacing w:line="360" w:lineRule="auto"/>
        <w:ind w:firstLine="210"/>
        <w:jc w:val="both"/>
        <w:rPr>
          <w:rFonts w:ascii="Book Antiqua" w:hAnsi="Book Antiqua"/>
        </w:rPr>
      </w:pPr>
    </w:p>
    <w:p w14:paraId="73BCB2A9"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b/>
          <w:caps/>
          <w:color w:val="000000"/>
          <w:u w:val="single"/>
        </w:rPr>
        <w:t>CONCLUSION</w:t>
      </w:r>
    </w:p>
    <w:p w14:paraId="291EFE33"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color w:val="000000"/>
        </w:rPr>
        <w:lastRenderedPageBreak/>
        <w:t>Th</w:t>
      </w:r>
      <w:r w:rsidRPr="00805A77">
        <w:rPr>
          <w:rFonts w:ascii="Book Antiqua" w:eastAsia="宋体" w:hAnsi="Book Antiqua" w:cs="Book Antiqua" w:hint="eastAsia"/>
          <w:color w:val="000000"/>
          <w:lang w:eastAsia="zh-CN"/>
        </w:rPr>
        <w:t>is</w:t>
      </w:r>
      <w:r w:rsidRPr="00805A77">
        <w:rPr>
          <w:rFonts w:ascii="Book Antiqua" w:eastAsia="Book Antiqua" w:hAnsi="Book Antiqua" w:cs="Book Antiqua"/>
          <w:color w:val="000000"/>
        </w:rPr>
        <w:t xml:space="preserve"> </w:t>
      </w:r>
      <w:r w:rsidRPr="00805A77">
        <w:rPr>
          <w:rFonts w:ascii="Book Antiqua" w:eastAsia="宋体" w:hAnsi="Book Antiqua" w:cs="Book Antiqua" w:hint="eastAsia"/>
          <w:color w:val="000000"/>
          <w:lang w:eastAsia="zh-CN"/>
        </w:rPr>
        <w:t>i</w:t>
      </w:r>
      <w:r w:rsidRPr="00805A77">
        <w:rPr>
          <w:rFonts w:ascii="Book Antiqua" w:eastAsia="Book Antiqua" w:hAnsi="Book Antiqua" w:cs="Book Antiqua"/>
          <w:color w:val="000000"/>
        </w:rPr>
        <w:t xml:space="preserve">s the first </w:t>
      </w:r>
      <w:r w:rsidRPr="00805A77">
        <w:rPr>
          <w:rFonts w:ascii="Book Antiqua" w:eastAsia="宋体" w:hAnsi="Book Antiqua" w:cs="Book Antiqua" w:hint="eastAsia"/>
          <w:color w:val="000000"/>
          <w:lang w:eastAsia="zh-CN"/>
        </w:rPr>
        <w:t xml:space="preserve">case </w:t>
      </w:r>
      <w:r w:rsidRPr="00805A77">
        <w:rPr>
          <w:rFonts w:ascii="Book Antiqua" w:eastAsia="Book Antiqua" w:hAnsi="Book Antiqua" w:cs="Book Antiqua"/>
          <w:color w:val="000000"/>
        </w:rPr>
        <w:t>report of</w:t>
      </w:r>
      <w:r w:rsidRPr="00805A77">
        <w:rPr>
          <w:rFonts w:ascii="Book Antiqua" w:eastAsia="宋体" w:hAnsi="Book Antiqua" w:cs="Book Antiqua" w:hint="eastAsia"/>
          <w:color w:val="000000"/>
          <w:lang w:eastAsia="zh-CN"/>
        </w:rPr>
        <w:t xml:space="preserve"> </w:t>
      </w:r>
      <w:r w:rsidRPr="00805A77">
        <w:rPr>
          <w:rFonts w:ascii="Book Antiqua" w:eastAsia="Book Antiqua" w:hAnsi="Book Antiqua" w:cs="Book Antiqua"/>
          <w:color w:val="000000"/>
        </w:rPr>
        <w:t>gastric NET</w:t>
      </w:r>
      <w:r w:rsidRPr="00805A77">
        <w:rPr>
          <w:rFonts w:ascii="Book Antiqua" w:eastAsia="宋体" w:hAnsi="Book Antiqua" w:cs="Book Antiqua" w:hint="eastAsia"/>
          <w:color w:val="000000"/>
          <w:lang w:eastAsia="zh-CN"/>
        </w:rPr>
        <w:t>s</w:t>
      </w:r>
      <w:r w:rsidRPr="00805A77">
        <w:rPr>
          <w:rFonts w:ascii="Book Antiqua" w:eastAsia="Book Antiqua" w:hAnsi="Book Antiqua" w:cs="Book Antiqua"/>
          <w:color w:val="000000"/>
        </w:rPr>
        <w:t xml:space="preserve"> (type 1 ECL-cell NET</w:t>
      </w:r>
      <w:r w:rsidRPr="00805A77">
        <w:rPr>
          <w:rFonts w:ascii="Book Antiqua" w:eastAsia="宋体" w:hAnsi="Book Antiqua" w:cs="Book Antiqua" w:hint="eastAsia"/>
          <w:color w:val="000000"/>
          <w:lang w:eastAsia="zh-CN"/>
        </w:rPr>
        <w:t>s</w:t>
      </w:r>
      <w:r w:rsidRPr="00805A77">
        <w:rPr>
          <w:rFonts w:ascii="Book Antiqua" w:eastAsia="Book Antiqua" w:hAnsi="Book Antiqua" w:cs="Book Antiqua"/>
          <w:color w:val="000000"/>
        </w:rPr>
        <w:t xml:space="preserve">) with a pathogenic germline mutation of the </w:t>
      </w:r>
      <w:r w:rsidRPr="00805A77">
        <w:rPr>
          <w:rFonts w:ascii="Book Antiqua" w:eastAsia="Book Antiqua" w:hAnsi="Book Antiqua" w:cs="Book Antiqua"/>
          <w:i/>
          <w:iCs/>
          <w:color w:val="000000"/>
        </w:rPr>
        <w:t>BRCA2</w:t>
      </w:r>
      <w:r w:rsidRPr="00805A77">
        <w:rPr>
          <w:rFonts w:ascii="Book Antiqua" w:eastAsia="Book Antiqua" w:hAnsi="Book Antiqua" w:cs="Book Antiqua"/>
          <w:color w:val="000000"/>
        </w:rPr>
        <w:t xml:space="preserve"> gene. The findings presented in this report will expand the germline mutation spectrum of gastric NETs and increase the understanding of the molecular changes present in gastric NETs for the improved diagnosis of gastric NETs in the future. </w:t>
      </w:r>
    </w:p>
    <w:p w14:paraId="250AA74C" w14:textId="77777777" w:rsidR="00005863" w:rsidRPr="00805A77" w:rsidRDefault="00005863">
      <w:pPr>
        <w:spacing w:line="360" w:lineRule="auto"/>
        <w:jc w:val="both"/>
        <w:rPr>
          <w:rFonts w:ascii="Book Antiqua" w:hAnsi="Book Antiqua"/>
        </w:rPr>
      </w:pPr>
    </w:p>
    <w:p w14:paraId="24C0CE00"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b/>
          <w:color w:val="000000"/>
        </w:rPr>
        <w:t>REFERENCES</w:t>
      </w:r>
    </w:p>
    <w:p w14:paraId="13ABA31B" w14:textId="77777777" w:rsidR="00005863" w:rsidRPr="00805A77" w:rsidRDefault="00000000">
      <w:pPr>
        <w:spacing w:line="360" w:lineRule="auto"/>
        <w:jc w:val="both"/>
        <w:rPr>
          <w:rFonts w:ascii="Book Antiqua" w:hAnsi="Book Antiqua"/>
        </w:rPr>
      </w:pPr>
      <w:bookmarkStart w:id="47" w:name="OLE_LINK1121"/>
      <w:bookmarkStart w:id="48" w:name="OLE_LINK1122"/>
      <w:bookmarkStart w:id="49" w:name="OLE_LINK567"/>
      <w:bookmarkStart w:id="50" w:name="OLE_LINK568"/>
      <w:bookmarkStart w:id="51" w:name="OLE_LINK569"/>
      <w:r w:rsidRPr="00805A77">
        <w:rPr>
          <w:rFonts w:ascii="Book Antiqua" w:hAnsi="Book Antiqua"/>
        </w:rPr>
        <w:t xml:space="preserve">1 </w:t>
      </w:r>
      <w:r w:rsidRPr="00805A77">
        <w:rPr>
          <w:rFonts w:ascii="Book Antiqua" w:hAnsi="Book Antiqua"/>
          <w:b/>
          <w:bCs/>
        </w:rPr>
        <w:t>La Rosa S</w:t>
      </w:r>
      <w:r w:rsidRPr="00805A77">
        <w:rPr>
          <w:rFonts w:ascii="Book Antiqua" w:hAnsi="Book Antiqua"/>
        </w:rPr>
        <w:t xml:space="preserve">, Inzani F, Vanoli A, Klersy C, Dainese L, Rindi G, Capella C, Bordi C, Solcia E. Histologic characterization and improved prognostic evaluation of 209 gastric neuroendocrine neoplasms. </w:t>
      </w:r>
      <w:r w:rsidRPr="00805A77">
        <w:rPr>
          <w:rFonts w:ascii="Book Antiqua" w:hAnsi="Book Antiqua"/>
          <w:i/>
          <w:iCs/>
        </w:rPr>
        <w:t>Hum Pathol</w:t>
      </w:r>
      <w:r w:rsidRPr="00805A77">
        <w:rPr>
          <w:rFonts w:ascii="Book Antiqua" w:hAnsi="Book Antiqua"/>
        </w:rPr>
        <w:t xml:space="preserve"> 2011; </w:t>
      </w:r>
      <w:r w:rsidRPr="00805A77">
        <w:rPr>
          <w:rFonts w:ascii="Book Antiqua" w:hAnsi="Book Antiqua"/>
          <w:b/>
          <w:bCs/>
        </w:rPr>
        <w:t>42</w:t>
      </w:r>
      <w:r w:rsidRPr="00805A77">
        <w:rPr>
          <w:rFonts w:ascii="Book Antiqua" w:hAnsi="Book Antiqua"/>
        </w:rPr>
        <w:t>: 1373-1384 [PMID: 21531442 DOI: 10.1016/j.humpath.2011.01.018]</w:t>
      </w:r>
    </w:p>
    <w:p w14:paraId="3A9CF2C3" w14:textId="77777777" w:rsidR="00005863" w:rsidRPr="00805A77" w:rsidRDefault="00000000">
      <w:pPr>
        <w:spacing w:line="360" w:lineRule="auto"/>
        <w:jc w:val="both"/>
        <w:rPr>
          <w:rFonts w:ascii="Book Antiqua" w:hAnsi="Book Antiqua"/>
        </w:rPr>
      </w:pPr>
      <w:r w:rsidRPr="00805A77">
        <w:rPr>
          <w:rFonts w:ascii="Book Antiqua" w:hAnsi="Book Antiqua"/>
        </w:rPr>
        <w:t xml:space="preserve">2 </w:t>
      </w:r>
      <w:r w:rsidRPr="00805A77">
        <w:rPr>
          <w:rFonts w:ascii="Book Antiqua" w:hAnsi="Book Antiqua"/>
          <w:b/>
          <w:bCs/>
        </w:rPr>
        <w:t>Bordi C</w:t>
      </w:r>
      <w:r w:rsidRPr="00805A77">
        <w:rPr>
          <w:rFonts w:ascii="Book Antiqua" w:hAnsi="Book Antiqua"/>
        </w:rPr>
        <w:t xml:space="preserve">. Neuroendocrine pathology of the stomach: the Parma contribution. </w:t>
      </w:r>
      <w:r w:rsidRPr="00805A77">
        <w:rPr>
          <w:rFonts w:ascii="Book Antiqua" w:hAnsi="Book Antiqua"/>
          <w:i/>
          <w:iCs/>
        </w:rPr>
        <w:t>Endocr Pathol</w:t>
      </w:r>
      <w:r w:rsidRPr="00805A77">
        <w:rPr>
          <w:rFonts w:ascii="Book Antiqua" w:hAnsi="Book Antiqua"/>
        </w:rPr>
        <w:t xml:space="preserve"> 2014; </w:t>
      </w:r>
      <w:r w:rsidRPr="00805A77">
        <w:rPr>
          <w:rFonts w:ascii="Book Antiqua" w:hAnsi="Book Antiqua"/>
          <w:b/>
          <w:bCs/>
        </w:rPr>
        <w:t>25</w:t>
      </w:r>
      <w:r w:rsidRPr="00805A77">
        <w:rPr>
          <w:rFonts w:ascii="Book Antiqua" w:hAnsi="Book Antiqua"/>
        </w:rPr>
        <w:t>: 171-180 [PMID: 24782101 DOI: 10.1007/s12022-014-9315-x]</w:t>
      </w:r>
    </w:p>
    <w:p w14:paraId="321A0645" w14:textId="77777777" w:rsidR="00005863" w:rsidRPr="00805A77" w:rsidRDefault="00000000">
      <w:pPr>
        <w:spacing w:line="360" w:lineRule="auto"/>
        <w:jc w:val="both"/>
        <w:rPr>
          <w:rFonts w:ascii="Book Antiqua" w:hAnsi="Book Antiqua"/>
        </w:rPr>
      </w:pPr>
      <w:r w:rsidRPr="00805A77">
        <w:rPr>
          <w:rFonts w:ascii="Book Antiqua" w:hAnsi="Book Antiqua"/>
        </w:rPr>
        <w:t xml:space="preserve">3 </w:t>
      </w:r>
      <w:r w:rsidRPr="00805A77">
        <w:rPr>
          <w:rFonts w:ascii="Book Antiqua" w:hAnsi="Book Antiqua"/>
          <w:b/>
          <w:bCs/>
        </w:rPr>
        <w:t>Malanga D</w:t>
      </w:r>
      <w:r w:rsidRPr="00805A77">
        <w:rPr>
          <w:rFonts w:ascii="Book Antiqua" w:hAnsi="Book Antiqua"/>
        </w:rPr>
        <w:t xml:space="preserve">, De Gisi S, Riccardi M, Scrima M, De Marco C, Robledo M, Viglietto G. Functional characterization of a rare germline mutation in the gene encoding the cyclin-dependent kinase inhibitor p27Kip1 (CDKN1B) in a Spanish patient with multiple endocrine neoplasia-like phenotype. </w:t>
      </w:r>
      <w:r w:rsidRPr="00805A77">
        <w:rPr>
          <w:rFonts w:ascii="Book Antiqua" w:hAnsi="Book Antiqua"/>
          <w:i/>
          <w:iCs/>
        </w:rPr>
        <w:t>Eur J Endocrinol</w:t>
      </w:r>
      <w:r w:rsidRPr="00805A77">
        <w:rPr>
          <w:rFonts w:ascii="Book Antiqua" w:hAnsi="Book Antiqua"/>
        </w:rPr>
        <w:t xml:space="preserve"> 2012; </w:t>
      </w:r>
      <w:r w:rsidRPr="00805A77">
        <w:rPr>
          <w:rFonts w:ascii="Book Antiqua" w:hAnsi="Book Antiqua"/>
          <w:b/>
          <w:bCs/>
        </w:rPr>
        <w:t>166</w:t>
      </w:r>
      <w:r w:rsidRPr="00805A77">
        <w:rPr>
          <w:rFonts w:ascii="Book Antiqua" w:hAnsi="Book Antiqua"/>
        </w:rPr>
        <w:t>: 551-560 [PMID: 22129891 DOI: 10.1530/EJE-11-0929]</w:t>
      </w:r>
    </w:p>
    <w:p w14:paraId="2B6F6055" w14:textId="77777777" w:rsidR="00005863" w:rsidRPr="00805A77" w:rsidRDefault="00000000">
      <w:pPr>
        <w:spacing w:line="360" w:lineRule="auto"/>
        <w:jc w:val="both"/>
        <w:rPr>
          <w:rFonts w:ascii="Book Antiqua" w:hAnsi="Book Antiqua"/>
        </w:rPr>
      </w:pPr>
      <w:r w:rsidRPr="00805A77">
        <w:rPr>
          <w:rFonts w:ascii="Book Antiqua" w:hAnsi="Book Antiqua"/>
        </w:rPr>
        <w:t xml:space="preserve">4 </w:t>
      </w:r>
      <w:r w:rsidRPr="00805A77">
        <w:rPr>
          <w:rFonts w:ascii="Book Antiqua" w:hAnsi="Book Antiqua"/>
          <w:b/>
          <w:bCs/>
        </w:rPr>
        <w:t>Lee M</w:t>
      </w:r>
      <w:r w:rsidRPr="00805A77">
        <w:rPr>
          <w:rFonts w:ascii="Book Antiqua" w:hAnsi="Book Antiqua"/>
        </w:rPr>
        <w:t xml:space="preserve">, Pellegata NS. Multiple endocrine neoplasia syndromes associated with mutation of p27. </w:t>
      </w:r>
      <w:r w:rsidRPr="00805A77">
        <w:rPr>
          <w:rFonts w:ascii="Book Antiqua" w:hAnsi="Book Antiqua"/>
          <w:i/>
          <w:iCs/>
        </w:rPr>
        <w:t>J Endocrinol Invest</w:t>
      </w:r>
      <w:r w:rsidRPr="00805A77">
        <w:rPr>
          <w:rFonts w:ascii="Book Antiqua" w:hAnsi="Book Antiqua"/>
        </w:rPr>
        <w:t xml:space="preserve"> 2013; </w:t>
      </w:r>
      <w:r w:rsidRPr="00805A77">
        <w:rPr>
          <w:rFonts w:ascii="Book Antiqua" w:hAnsi="Book Antiqua"/>
          <w:b/>
          <w:bCs/>
        </w:rPr>
        <w:t>36</w:t>
      </w:r>
      <w:r w:rsidRPr="00805A77">
        <w:rPr>
          <w:rFonts w:ascii="Book Antiqua" w:hAnsi="Book Antiqua"/>
        </w:rPr>
        <w:t>: 781-787 [PMID: 23800691 DOI: 10.3275/9021]</w:t>
      </w:r>
    </w:p>
    <w:p w14:paraId="6ACF597E" w14:textId="77777777" w:rsidR="00005863" w:rsidRPr="00805A77" w:rsidRDefault="00000000">
      <w:pPr>
        <w:spacing w:line="360" w:lineRule="auto"/>
        <w:jc w:val="both"/>
        <w:rPr>
          <w:rFonts w:ascii="Book Antiqua" w:hAnsi="Book Antiqua"/>
        </w:rPr>
      </w:pPr>
      <w:r w:rsidRPr="00805A77">
        <w:rPr>
          <w:rFonts w:ascii="Book Antiqua" w:hAnsi="Book Antiqua"/>
        </w:rPr>
        <w:t xml:space="preserve">5 </w:t>
      </w:r>
      <w:r w:rsidRPr="00805A77">
        <w:rPr>
          <w:rFonts w:ascii="Book Antiqua" w:hAnsi="Book Antiqua"/>
          <w:b/>
          <w:bCs/>
        </w:rPr>
        <w:t>Fossmark R</w:t>
      </w:r>
      <w:r w:rsidRPr="00805A77">
        <w:rPr>
          <w:rFonts w:ascii="Book Antiqua" w:hAnsi="Book Antiqua"/>
        </w:rPr>
        <w:t xml:space="preserve">, Calvete O, Mjønes P, Benitez J, Waldum HL. ECL-cell carcinoids and carcinoma in patients homozygous for an inactivating mutation in the gastric H(+) K(+) ATPase alpha subunit. </w:t>
      </w:r>
      <w:r w:rsidRPr="00805A77">
        <w:rPr>
          <w:rFonts w:ascii="Book Antiqua" w:hAnsi="Book Antiqua"/>
          <w:i/>
          <w:iCs/>
        </w:rPr>
        <w:t>APMIS</w:t>
      </w:r>
      <w:r w:rsidRPr="00805A77">
        <w:rPr>
          <w:rFonts w:ascii="Book Antiqua" w:hAnsi="Book Antiqua"/>
        </w:rPr>
        <w:t xml:space="preserve"> 2016; </w:t>
      </w:r>
      <w:r w:rsidRPr="00805A77">
        <w:rPr>
          <w:rFonts w:ascii="Book Antiqua" w:hAnsi="Book Antiqua"/>
          <w:b/>
          <w:bCs/>
        </w:rPr>
        <w:t>124</w:t>
      </w:r>
      <w:r w:rsidRPr="00805A77">
        <w:rPr>
          <w:rFonts w:ascii="Book Antiqua" w:hAnsi="Book Antiqua"/>
        </w:rPr>
        <w:t>: 561-566 [PMID: 27150581 DOI: 10.1111/apm.12546]</w:t>
      </w:r>
    </w:p>
    <w:p w14:paraId="2FA934F4" w14:textId="77777777" w:rsidR="00005863" w:rsidRPr="00805A77" w:rsidRDefault="00000000">
      <w:pPr>
        <w:spacing w:line="360" w:lineRule="auto"/>
        <w:jc w:val="both"/>
        <w:rPr>
          <w:rFonts w:ascii="Book Antiqua" w:hAnsi="Book Antiqua"/>
        </w:rPr>
      </w:pPr>
      <w:r w:rsidRPr="00805A77">
        <w:rPr>
          <w:rFonts w:ascii="Book Antiqua" w:hAnsi="Book Antiqua"/>
        </w:rPr>
        <w:t xml:space="preserve">6 </w:t>
      </w:r>
      <w:r w:rsidRPr="00805A77">
        <w:rPr>
          <w:rFonts w:ascii="Book Antiqua" w:hAnsi="Book Antiqua"/>
          <w:b/>
          <w:bCs/>
        </w:rPr>
        <w:t>Terao S</w:t>
      </w:r>
      <w:r w:rsidRPr="00805A77">
        <w:rPr>
          <w:rFonts w:ascii="Book Antiqua" w:hAnsi="Book Antiqua"/>
        </w:rPr>
        <w:t xml:space="preserve">, Suzuki S, Yaita H, Kurahara K, Shunto J, Furuta T, Maruyama Y, Ito M, Kamada T, Aoki R, Inoue K, Manabe N, Haruma K. Multicenter study of autoimmune gastritis in Japan: Clinical and endoscopic characteristics. </w:t>
      </w:r>
      <w:r w:rsidRPr="00805A77">
        <w:rPr>
          <w:rFonts w:ascii="Book Antiqua" w:hAnsi="Book Antiqua"/>
          <w:i/>
          <w:iCs/>
        </w:rPr>
        <w:t>Dig Endosc</w:t>
      </w:r>
      <w:r w:rsidRPr="00805A77">
        <w:rPr>
          <w:rFonts w:ascii="Book Antiqua" w:hAnsi="Book Antiqua"/>
        </w:rPr>
        <w:t xml:space="preserve"> 2020; </w:t>
      </w:r>
      <w:r w:rsidRPr="00805A77">
        <w:rPr>
          <w:rFonts w:ascii="Book Antiqua" w:hAnsi="Book Antiqua"/>
          <w:b/>
          <w:bCs/>
        </w:rPr>
        <w:t>32</w:t>
      </w:r>
      <w:r w:rsidRPr="00805A77">
        <w:rPr>
          <w:rFonts w:ascii="Book Antiqua" w:hAnsi="Book Antiqua"/>
        </w:rPr>
        <w:t>: 364-372 [PMID: 31368581 DOI: 10.1111/den.13500]</w:t>
      </w:r>
    </w:p>
    <w:p w14:paraId="096149FD" w14:textId="77777777" w:rsidR="00005863" w:rsidRPr="00805A77" w:rsidRDefault="00000000">
      <w:pPr>
        <w:spacing w:line="360" w:lineRule="auto"/>
        <w:jc w:val="both"/>
        <w:rPr>
          <w:rFonts w:ascii="Book Antiqua" w:hAnsi="Book Antiqua"/>
        </w:rPr>
      </w:pPr>
      <w:r w:rsidRPr="00805A77">
        <w:rPr>
          <w:rFonts w:ascii="Book Antiqua" w:hAnsi="Book Antiqua"/>
        </w:rPr>
        <w:lastRenderedPageBreak/>
        <w:t xml:space="preserve">7 </w:t>
      </w:r>
      <w:r w:rsidRPr="00805A77">
        <w:rPr>
          <w:rFonts w:ascii="Book Antiqua" w:hAnsi="Book Antiqua"/>
          <w:b/>
          <w:bCs/>
        </w:rPr>
        <w:t>Cockburn AN</w:t>
      </w:r>
      <w:r w:rsidRPr="00805A77">
        <w:rPr>
          <w:rFonts w:ascii="Book Antiqua" w:hAnsi="Book Antiqua"/>
        </w:rPr>
        <w:t xml:space="preserve">, Morgan CJ, Genta RM. Neuroendocrine proliferations of the stomach: a pragmatic approach for the perplexed pathologist. </w:t>
      </w:r>
      <w:r w:rsidRPr="00805A77">
        <w:rPr>
          <w:rFonts w:ascii="Book Antiqua" w:hAnsi="Book Antiqua"/>
          <w:i/>
          <w:iCs/>
        </w:rPr>
        <w:t>Adv Anat Pathol</w:t>
      </w:r>
      <w:r w:rsidRPr="00805A77">
        <w:rPr>
          <w:rFonts w:ascii="Book Antiqua" w:hAnsi="Book Antiqua"/>
        </w:rPr>
        <w:t xml:space="preserve"> 2013; </w:t>
      </w:r>
      <w:r w:rsidRPr="00805A77">
        <w:rPr>
          <w:rFonts w:ascii="Book Antiqua" w:hAnsi="Book Antiqua"/>
          <w:b/>
          <w:bCs/>
        </w:rPr>
        <w:t>20</w:t>
      </w:r>
      <w:r w:rsidRPr="00805A77">
        <w:rPr>
          <w:rFonts w:ascii="Book Antiqua" w:hAnsi="Book Antiqua"/>
        </w:rPr>
        <w:t>: 148-157 [PMID: 23574771 DOI: 10.1097/PAP.0b013e31828d185d]</w:t>
      </w:r>
    </w:p>
    <w:p w14:paraId="74601E1D" w14:textId="77777777" w:rsidR="00005863" w:rsidRPr="00805A77" w:rsidRDefault="00000000">
      <w:pPr>
        <w:spacing w:line="360" w:lineRule="auto"/>
        <w:jc w:val="both"/>
        <w:rPr>
          <w:rFonts w:ascii="Book Antiqua" w:hAnsi="Book Antiqua"/>
        </w:rPr>
      </w:pPr>
      <w:r w:rsidRPr="00805A77">
        <w:rPr>
          <w:rFonts w:ascii="Book Antiqua" w:hAnsi="Book Antiqua"/>
        </w:rPr>
        <w:t xml:space="preserve">8 </w:t>
      </w:r>
      <w:r w:rsidRPr="00805A77">
        <w:rPr>
          <w:rFonts w:ascii="Book Antiqua" w:hAnsi="Book Antiqua"/>
          <w:b/>
          <w:bCs/>
        </w:rPr>
        <w:t>Symonds L</w:t>
      </w:r>
      <w:r w:rsidRPr="00805A77">
        <w:rPr>
          <w:rFonts w:ascii="Book Antiqua" w:hAnsi="Book Antiqua"/>
        </w:rPr>
        <w:t xml:space="preserve">, Konnick E, Vakar-Lopez F, Cheng HH, Schweizer MT, Nelson PS, Pritchard CC, Montgomery B. BRCA2 Alterations in Neuroendocrine/Small-Cell Carcinoma Prostate Cancer: A Case Series. </w:t>
      </w:r>
      <w:r w:rsidRPr="00805A77">
        <w:rPr>
          <w:rFonts w:ascii="Book Antiqua" w:hAnsi="Book Antiqua"/>
          <w:i/>
          <w:iCs/>
        </w:rPr>
        <w:t>JCO Precis Oncol</w:t>
      </w:r>
      <w:r w:rsidRPr="00805A77">
        <w:rPr>
          <w:rFonts w:ascii="Book Antiqua" w:hAnsi="Book Antiqua"/>
        </w:rPr>
        <w:t xml:space="preserve"> 2022; </w:t>
      </w:r>
      <w:r w:rsidRPr="00805A77">
        <w:rPr>
          <w:rFonts w:ascii="Book Antiqua" w:hAnsi="Book Antiqua"/>
          <w:b/>
          <w:bCs/>
        </w:rPr>
        <w:t>6</w:t>
      </w:r>
      <w:r w:rsidRPr="00805A77">
        <w:rPr>
          <w:rFonts w:ascii="Book Antiqua" w:hAnsi="Book Antiqua"/>
        </w:rPr>
        <w:t>: e2200091 [PMID: 35834759 DOI: 10.1200/PO.22.00091]</w:t>
      </w:r>
    </w:p>
    <w:p w14:paraId="26702903" w14:textId="77777777" w:rsidR="00005863" w:rsidRPr="00805A77" w:rsidRDefault="00000000">
      <w:pPr>
        <w:spacing w:line="360" w:lineRule="auto"/>
        <w:jc w:val="both"/>
        <w:rPr>
          <w:rFonts w:ascii="Book Antiqua" w:hAnsi="Book Antiqua"/>
        </w:rPr>
      </w:pPr>
      <w:r w:rsidRPr="00805A77">
        <w:rPr>
          <w:rFonts w:ascii="Book Antiqua" w:hAnsi="Book Antiqua"/>
        </w:rPr>
        <w:t xml:space="preserve">9 </w:t>
      </w:r>
      <w:r w:rsidRPr="00805A77">
        <w:rPr>
          <w:rFonts w:ascii="Book Antiqua" w:hAnsi="Book Antiqua"/>
          <w:b/>
          <w:bCs/>
        </w:rPr>
        <w:t>Liu F</w:t>
      </w:r>
      <w:r w:rsidRPr="00805A77">
        <w:rPr>
          <w:rFonts w:ascii="Book Antiqua" w:hAnsi="Book Antiqua"/>
        </w:rPr>
        <w:t xml:space="preserve">, Li Y, Ying D, Qiu S, He Y, Li M, Liu Y, Zhang Y, Zhu Q, Hu Y, Liu L, Li G, Pan W, Jin W, Mu J, Cao Y, Liu Y. Whole-exome mutational landscape of neuroendocrine carcinomas of the gallbladder. </w:t>
      </w:r>
      <w:r w:rsidRPr="00805A77">
        <w:rPr>
          <w:rFonts w:ascii="Book Antiqua" w:hAnsi="Book Antiqua"/>
          <w:i/>
          <w:iCs/>
        </w:rPr>
        <w:t>Signal Transduct Target Ther</w:t>
      </w:r>
      <w:r w:rsidRPr="00805A77">
        <w:rPr>
          <w:rFonts w:ascii="Book Antiqua" w:hAnsi="Book Antiqua"/>
        </w:rPr>
        <w:t xml:space="preserve"> 2021; </w:t>
      </w:r>
      <w:r w:rsidRPr="00805A77">
        <w:rPr>
          <w:rFonts w:ascii="Book Antiqua" w:hAnsi="Book Antiqua"/>
          <w:b/>
          <w:bCs/>
        </w:rPr>
        <w:t>6</w:t>
      </w:r>
      <w:r w:rsidRPr="00805A77">
        <w:rPr>
          <w:rFonts w:ascii="Book Antiqua" w:hAnsi="Book Antiqua"/>
        </w:rPr>
        <w:t>: 55 [PMID: 33563892 DOI: 10.1038/s41392-020-00412-3]</w:t>
      </w:r>
    </w:p>
    <w:p w14:paraId="37E20FEA" w14:textId="77777777" w:rsidR="00005863" w:rsidRPr="00805A77" w:rsidRDefault="00000000">
      <w:pPr>
        <w:spacing w:line="360" w:lineRule="auto"/>
        <w:jc w:val="both"/>
        <w:rPr>
          <w:rFonts w:ascii="Book Antiqua" w:hAnsi="Book Antiqua"/>
        </w:rPr>
      </w:pPr>
      <w:r w:rsidRPr="00805A77">
        <w:rPr>
          <w:rFonts w:ascii="Book Antiqua" w:hAnsi="Book Antiqua"/>
        </w:rPr>
        <w:t xml:space="preserve">10 </w:t>
      </w:r>
      <w:r w:rsidRPr="00805A77">
        <w:rPr>
          <w:rFonts w:ascii="Book Antiqua" w:hAnsi="Book Antiqua"/>
          <w:b/>
          <w:bCs/>
        </w:rPr>
        <w:t>Herold N</w:t>
      </w:r>
      <w:r w:rsidRPr="00805A77">
        <w:rPr>
          <w:rFonts w:ascii="Book Antiqua" w:hAnsi="Book Antiqua"/>
        </w:rPr>
        <w:t xml:space="preserve">, Wappenschmidt B, Markiefka B, Keupp K, Kröber S, Hahnen E, Schmutzler R, Rhiem K. Non-small cell neuroendocrine carcinoma of the ovary in a BRCA2-germline mutation carrier: A case report and brief review of the literature. </w:t>
      </w:r>
      <w:r w:rsidRPr="00805A77">
        <w:rPr>
          <w:rFonts w:ascii="Book Antiqua" w:hAnsi="Book Antiqua"/>
          <w:i/>
          <w:iCs/>
        </w:rPr>
        <w:t>Oncol Lett</w:t>
      </w:r>
      <w:r w:rsidRPr="00805A77">
        <w:rPr>
          <w:rFonts w:ascii="Book Antiqua" w:hAnsi="Book Antiqua"/>
        </w:rPr>
        <w:t xml:space="preserve"> 2018; </w:t>
      </w:r>
      <w:r w:rsidRPr="00805A77">
        <w:rPr>
          <w:rFonts w:ascii="Book Antiqua" w:hAnsi="Book Antiqua"/>
          <w:b/>
          <w:bCs/>
        </w:rPr>
        <w:t>15</w:t>
      </w:r>
      <w:r w:rsidRPr="00805A77">
        <w:rPr>
          <w:rFonts w:ascii="Book Antiqua" w:hAnsi="Book Antiqua"/>
        </w:rPr>
        <w:t>: 4093-4096 [PMID: 29541174 DOI: 10.3892/ol.2018.7836]</w:t>
      </w:r>
    </w:p>
    <w:p w14:paraId="768943D8" w14:textId="77777777" w:rsidR="00005863" w:rsidRPr="00805A77" w:rsidRDefault="00000000">
      <w:pPr>
        <w:spacing w:line="360" w:lineRule="auto"/>
        <w:jc w:val="both"/>
        <w:rPr>
          <w:rFonts w:ascii="Book Antiqua" w:hAnsi="Book Antiqua"/>
        </w:rPr>
      </w:pPr>
      <w:r w:rsidRPr="00805A77">
        <w:rPr>
          <w:rFonts w:ascii="Book Antiqua" w:hAnsi="Book Antiqua"/>
        </w:rPr>
        <w:t xml:space="preserve">11 </w:t>
      </w:r>
      <w:r w:rsidRPr="00805A77">
        <w:rPr>
          <w:rFonts w:ascii="Book Antiqua" w:hAnsi="Book Antiqua"/>
          <w:b/>
          <w:bCs/>
        </w:rPr>
        <w:t>Hansford S</w:t>
      </w:r>
      <w:r w:rsidRPr="00805A77">
        <w:rPr>
          <w:rFonts w:ascii="Book Antiqua" w:hAnsi="Book Antiqua"/>
        </w:rPr>
        <w:t xml:space="preserve">, Kaurah P, Li-Chang H, Woo M, Senz J, Pinheiro H, Schrader KA, Schaeffer DF, Shumansky K, Zogopoulos G, Santos TA, Claro I, Carvalho J, Nielsen C, Padilla S, Lum A, Talhouk A, Baker-Lange K, Richardson S, Lewis I, Lindor NM, Pennell E, MacMillan A, Fernandez B, Keller G, Lynch H, Shah SP, Guilford P, Gallinger S, Corso G, Roviello F, Caldas C, Oliveira C, Pharoah PD, Huntsman DG. Hereditary Diffuse Gastric Cancer Syndrome: CDH1 Mutations and Beyond. </w:t>
      </w:r>
      <w:r w:rsidRPr="00805A77">
        <w:rPr>
          <w:rFonts w:ascii="Book Antiqua" w:hAnsi="Book Antiqua"/>
          <w:i/>
          <w:iCs/>
        </w:rPr>
        <w:t>JAMA Oncol</w:t>
      </w:r>
      <w:r w:rsidRPr="00805A77">
        <w:rPr>
          <w:rFonts w:ascii="Book Antiqua" w:hAnsi="Book Antiqua"/>
        </w:rPr>
        <w:t xml:space="preserve"> 2015; </w:t>
      </w:r>
      <w:r w:rsidRPr="00805A77">
        <w:rPr>
          <w:rFonts w:ascii="Book Antiqua" w:hAnsi="Book Antiqua"/>
          <w:b/>
          <w:bCs/>
        </w:rPr>
        <w:t>1</w:t>
      </w:r>
      <w:r w:rsidRPr="00805A77">
        <w:rPr>
          <w:rFonts w:ascii="Book Antiqua" w:hAnsi="Book Antiqua"/>
        </w:rPr>
        <w:t>: 23-32 [PMID: 26182300 DOI: 10.1001/jamaoncol.2014.168]</w:t>
      </w:r>
    </w:p>
    <w:p w14:paraId="0AFCAC62" w14:textId="77777777" w:rsidR="00005863" w:rsidRPr="00805A77" w:rsidRDefault="00000000">
      <w:pPr>
        <w:spacing w:line="360" w:lineRule="auto"/>
        <w:jc w:val="both"/>
        <w:rPr>
          <w:rFonts w:ascii="Book Antiqua" w:hAnsi="Book Antiqua"/>
        </w:rPr>
      </w:pPr>
      <w:r w:rsidRPr="00805A77">
        <w:rPr>
          <w:rFonts w:ascii="Book Antiqua" w:hAnsi="Book Antiqua"/>
        </w:rPr>
        <w:t xml:space="preserve">12 </w:t>
      </w:r>
      <w:r w:rsidRPr="00805A77">
        <w:rPr>
          <w:rFonts w:ascii="Book Antiqua" w:hAnsi="Book Antiqua"/>
          <w:b/>
          <w:bCs/>
        </w:rPr>
        <w:t>Dulskas A</w:t>
      </w:r>
      <w:r w:rsidRPr="00805A77">
        <w:rPr>
          <w:rFonts w:ascii="Book Antiqua" w:hAnsi="Book Antiqua"/>
        </w:rPr>
        <w:t xml:space="preserve">, Al Bandar M, Choi YY, Shin SJ, Beom SH, Son T, Kim HI, Cheong JH, Hyung WJ, Noh SH. A case of gastric cancer metastasis to the breast in a female with BRCA2 germline mutation and literature review. </w:t>
      </w:r>
      <w:r w:rsidRPr="00805A77">
        <w:rPr>
          <w:rFonts w:ascii="Book Antiqua" w:hAnsi="Book Antiqua"/>
          <w:i/>
          <w:iCs/>
        </w:rPr>
        <w:t>Acta Chir Belg</w:t>
      </w:r>
      <w:r w:rsidRPr="00805A77">
        <w:rPr>
          <w:rFonts w:ascii="Book Antiqua" w:hAnsi="Book Antiqua"/>
        </w:rPr>
        <w:t xml:space="preserve"> 2019; </w:t>
      </w:r>
      <w:r w:rsidRPr="00805A77">
        <w:rPr>
          <w:rFonts w:ascii="Book Antiqua" w:hAnsi="Book Antiqua"/>
          <w:b/>
          <w:bCs/>
        </w:rPr>
        <w:t>119</w:t>
      </w:r>
      <w:r w:rsidRPr="00805A77">
        <w:rPr>
          <w:rFonts w:ascii="Book Antiqua" w:hAnsi="Book Antiqua"/>
        </w:rPr>
        <w:t>: 59-63 [PMID: 29202657 DOI: 10.1080/00015458.2017.1411554]</w:t>
      </w:r>
    </w:p>
    <w:p w14:paraId="1A6DE945" w14:textId="77777777" w:rsidR="00005863" w:rsidRPr="00805A77" w:rsidRDefault="00000000">
      <w:pPr>
        <w:spacing w:line="360" w:lineRule="auto"/>
        <w:jc w:val="both"/>
        <w:rPr>
          <w:rFonts w:ascii="Book Antiqua" w:hAnsi="Book Antiqua"/>
        </w:rPr>
      </w:pPr>
      <w:r w:rsidRPr="00805A77">
        <w:rPr>
          <w:rFonts w:ascii="Book Antiqua" w:hAnsi="Book Antiqua"/>
        </w:rPr>
        <w:t xml:space="preserve">13 </w:t>
      </w:r>
      <w:r w:rsidRPr="00805A77">
        <w:rPr>
          <w:rFonts w:ascii="Book Antiqua" w:hAnsi="Book Antiqua"/>
          <w:b/>
          <w:bCs/>
        </w:rPr>
        <w:t>Szybowska M</w:t>
      </w:r>
      <w:r w:rsidRPr="00805A77">
        <w:rPr>
          <w:rFonts w:ascii="Book Antiqua" w:hAnsi="Book Antiqua"/>
        </w:rPr>
        <w:t xml:space="preserve">, Mete O, Weber E, Silver J, Kim RH. Neuroendocrine Neoplasms Associated with Germline Pathogenic Variants in the Homologous Recombination Pathway. </w:t>
      </w:r>
      <w:r w:rsidRPr="00805A77">
        <w:rPr>
          <w:rFonts w:ascii="Book Antiqua" w:hAnsi="Book Antiqua"/>
          <w:i/>
          <w:iCs/>
        </w:rPr>
        <w:t>Endocr Pathol</w:t>
      </w:r>
      <w:r w:rsidRPr="00805A77">
        <w:rPr>
          <w:rFonts w:ascii="Book Antiqua" w:hAnsi="Book Antiqua"/>
        </w:rPr>
        <w:t xml:space="preserve"> 2019; </w:t>
      </w:r>
      <w:r w:rsidRPr="00805A77">
        <w:rPr>
          <w:rFonts w:ascii="Book Antiqua" w:hAnsi="Book Antiqua"/>
          <w:b/>
          <w:bCs/>
        </w:rPr>
        <w:t>30</w:t>
      </w:r>
      <w:r w:rsidRPr="00805A77">
        <w:rPr>
          <w:rFonts w:ascii="Book Antiqua" w:hAnsi="Book Antiqua"/>
        </w:rPr>
        <w:t>: 237-245 [PMID: 30772928 DOI: 10.1007/s12022-019-9569-4]</w:t>
      </w:r>
    </w:p>
    <w:p w14:paraId="059AC25A" w14:textId="77777777" w:rsidR="00005863" w:rsidRPr="00805A77" w:rsidRDefault="00000000">
      <w:pPr>
        <w:spacing w:line="360" w:lineRule="auto"/>
        <w:jc w:val="both"/>
        <w:rPr>
          <w:rFonts w:ascii="Book Antiqua" w:hAnsi="Book Antiqua"/>
        </w:rPr>
      </w:pPr>
      <w:r w:rsidRPr="00805A77">
        <w:rPr>
          <w:rFonts w:ascii="Book Antiqua" w:hAnsi="Book Antiqua"/>
        </w:rPr>
        <w:lastRenderedPageBreak/>
        <w:t xml:space="preserve">14 </w:t>
      </w:r>
      <w:r w:rsidRPr="00805A77">
        <w:rPr>
          <w:rFonts w:ascii="Book Antiqua" w:hAnsi="Book Antiqua"/>
          <w:b/>
          <w:bCs/>
        </w:rPr>
        <w:t>Park JY</w:t>
      </w:r>
      <w:r w:rsidRPr="00805A77">
        <w:rPr>
          <w:rFonts w:ascii="Book Antiqua" w:hAnsi="Book Antiqua"/>
        </w:rPr>
        <w:t xml:space="preserve">, Cornish TC, Lam-Himlin D, Shi C, Montgomery E. Gastric lesions in patients with autoimmune metaplastic atrophic gastritis (AMAG) in a tertiary care setting. </w:t>
      </w:r>
      <w:r w:rsidRPr="00805A77">
        <w:rPr>
          <w:rFonts w:ascii="Book Antiqua" w:hAnsi="Book Antiqua"/>
          <w:i/>
          <w:iCs/>
        </w:rPr>
        <w:t>Am J Surg Pathol</w:t>
      </w:r>
      <w:r w:rsidRPr="00805A77">
        <w:rPr>
          <w:rFonts w:ascii="Book Antiqua" w:hAnsi="Book Antiqua"/>
        </w:rPr>
        <w:t xml:space="preserve"> 2010; </w:t>
      </w:r>
      <w:r w:rsidRPr="00805A77">
        <w:rPr>
          <w:rFonts w:ascii="Book Antiqua" w:hAnsi="Book Antiqua"/>
          <w:b/>
          <w:bCs/>
        </w:rPr>
        <w:t>34</w:t>
      </w:r>
      <w:r w:rsidRPr="00805A77">
        <w:rPr>
          <w:rFonts w:ascii="Book Antiqua" w:hAnsi="Book Antiqua"/>
        </w:rPr>
        <w:t>: 1591-1598 [PMID: 20975338 DOI: 10.1097/PAS.0b013e3181f623af]</w:t>
      </w:r>
    </w:p>
    <w:p w14:paraId="1D1EB8B6" w14:textId="77777777" w:rsidR="00005863" w:rsidRPr="00805A77" w:rsidRDefault="00000000">
      <w:pPr>
        <w:spacing w:line="360" w:lineRule="auto"/>
        <w:jc w:val="both"/>
        <w:rPr>
          <w:rFonts w:ascii="Book Antiqua" w:hAnsi="Book Antiqua"/>
        </w:rPr>
      </w:pPr>
      <w:r w:rsidRPr="00805A77">
        <w:rPr>
          <w:rFonts w:ascii="Book Antiqua" w:hAnsi="Book Antiqua"/>
        </w:rPr>
        <w:t xml:space="preserve">15 </w:t>
      </w:r>
      <w:r w:rsidRPr="00805A77">
        <w:rPr>
          <w:rFonts w:ascii="Book Antiqua" w:hAnsi="Book Antiqua"/>
          <w:b/>
          <w:bCs/>
        </w:rPr>
        <w:t>Zhang H</w:t>
      </w:r>
      <w:r w:rsidRPr="00805A77">
        <w:rPr>
          <w:rFonts w:ascii="Book Antiqua" w:hAnsi="Book Antiqua"/>
        </w:rPr>
        <w:t xml:space="preserve">, Jin Z, Cui R, Ding S, Huang Y, Zhou L. Autoimmune metaplastic atrophic gastritis in chinese: a study of 320 patients at a large tertiary medical center. </w:t>
      </w:r>
      <w:r w:rsidRPr="00805A77">
        <w:rPr>
          <w:rFonts w:ascii="Book Antiqua" w:hAnsi="Book Antiqua"/>
          <w:i/>
          <w:iCs/>
        </w:rPr>
        <w:t>Scand J Gastroenterol</w:t>
      </w:r>
      <w:r w:rsidRPr="00805A77">
        <w:rPr>
          <w:rFonts w:ascii="Book Antiqua" w:hAnsi="Book Antiqua"/>
        </w:rPr>
        <w:t xml:space="preserve"> 2017; </w:t>
      </w:r>
      <w:r w:rsidRPr="00805A77">
        <w:rPr>
          <w:rFonts w:ascii="Book Antiqua" w:hAnsi="Book Antiqua"/>
          <w:b/>
          <w:bCs/>
        </w:rPr>
        <w:t>52</w:t>
      </w:r>
      <w:r w:rsidRPr="00805A77">
        <w:rPr>
          <w:rFonts w:ascii="Book Antiqua" w:hAnsi="Book Antiqua"/>
        </w:rPr>
        <w:t>: 150-156 [PMID: 27652682 DOI: 10.1080/00365521.2016.1236397]</w:t>
      </w:r>
    </w:p>
    <w:p w14:paraId="3EA0D291" w14:textId="77777777" w:rsidR="00005863" w:rsidRPr="00805A77" w:rsidRDefault="00000000">
      <w:pPr>
        <w:spacing w:line="360" w:lineRule="auto"/>
        <w:jc w:val="both"/>
        <w:rPr>
          <w:rFonts w:ascii="Book Antiqua" w:hAnsi="Book Antiqua"/>
        </w:rPr>
      </w:pPr>
      <w:r w:rsidRPr="00805A77">
        <w:rPr>
          <w:rFonts w:ascii="Book Antiqua" w:hAnsi="Book Antiqua"/>
        </w:rPr>
        <w:t xml:space="preserve">16 </w:t>
      </w:r>
      <w:r w:rsidRPr="00805A77">
        <w:rPr>
          <w:rFonts w:ascii="Book Antiqua" w:hAnsi="Book Antiqua"/>
          <w:b/>
          <w:bCs/>
        </w:rPr>
        <w:t>Lahner E</w:t>
      </w:r>
      <w:r w:rsidRPr="00805A77">
        <w:rPr>
          <w:rFonts w:ascii="Book Antiqua" w:hAnsi="Book Antiqua"/>
        </w:rPr>
        <w:t xml:space="preserve">, Esposito G, Pilozzi E, Galli G, Corleto VD, Di Giulio E, Annibale B. Gastric cancer in patients with type I gastric carcinoids. </w:t>
      </w:r>
      <w:r w:rsidRPr="00805A77">
        <w:rPr>
          <w:rFonts w:ascii="Book Antiqua" w:hAnsi="Book Antiqua"/>
          <w:i/>
          <w:iCs/>
        </w:rPr>
        <w:t>Gastric Cancer</w:t>
      </w:r>
      <w:r w:rsidRPr="00805A77">
        <w:rPr>
          <w:rFonts w:ascii="Book Antiqua" w:hAnsi="Book Antiqua"/>
        </w:rPr>
        <w:t xml:space="preserve"> 2015; </w:t>
      </w:r>
      <w:r w:rsidRPr="00805A77">
        <w:rPr>
          <w:rFonts w:ascii="Book Antiqua" w:hAnsi="Book Antiqua"/>
          <w:b/>
          <w:bCs/>
        </w:rPr>
        <w:t>18</w:t>
      </w:r>
      <w:r w:rsidRPr="00805A77">
        <w:rPr>
          <w:rFonts w:ascii="Book Antiqua" w:hAnsi="Book Antiqua"/>
        </w:rPr>
        <w:t>: 564-570 [PMID: 24890255 DOI: 10.1007/s10120-014-0393-8]</w:t>
      </w:r>
    </w:p>
    <w:p w14:paraId="3ABAE436" w14:textId="77777777" w:rsidR="00005863" w:rsidRPr="00805A77" w:rsidRDefault="00000000">
      <w:pPr>
        <w:spacing w:line="360" w:lineRule="auto"/>
        <w:jc w:val="both"/>
        <w:rPr>
          <w:rFonts w:ascii="Book Antiqua" w:hAnsi="Book Antiqua"/>
        </w:rPr>
      </w:pPr>
      <w:r w:rsidRPr="00805A77">
        <w:rPr>
          <w:rFonts w:ascii="Book Antiqua" w:hAnsi="Book Antiqua"/>
        </w:rPr>
        <w:t xml:space="preserve">17 </w:t>
      </w:r>
      <w:r w:rsidRPr="00805A77">
        <w:rPr>
          <w:rFonts w:ascii="Book Antiqua" w:hAnsi="Book Antiqua"/>
          <w:b/>
          <w:bCs/>
        </w:rPr>
        <w:t>Lloyd KA</w:t>
      </w:r>
      <w:r w:rsidRPr="00805A77">
        <w:rPr>
          <w:rFonts w:ascii="Book Antiqua" w:hAnsi="Book Antiqua"/>
        </w:rPr>
        <w:t xml:space="preserve">, Parsons BN, Burkitt MD, Moore AR, Papoutsopoulou S, Boyce M, Duckworth CA, Exarchou K, Howes N, Rainbow L, Fang Y, Oxvig C, Dodd S, Varro A, Hall N, Pritchard DM. Netazepide Inhibits Expression of Pappalysin 2 in Type 1 Gastric Neuroendocrine Tumors. </w:t>
      </w:r>
      <w:r w:rsidRPr="00805A77">
        <w:rPr>
          <w:rFonts w:ascii="Book Antiqua" w:hAnsi="Book Antiqua"/>
          <w:i/>
          <w:iCs/>
        </w:rPr>
        <w:t>Cell Mol Gastroenterol Hepatol</w:t>
      </w:r>
      <w:r w:rsidRPr="00805A77">
        <w:rPr>
          <w:rFonts w:ascii="Book Antiqua" w:hAnsi="Book Antiqua"/>
        </w:rPr>
        <w:t xml:space="preserve"> 2020; </w:t>
      </w:r>
      <w:r w:rsidRPr="00805A77">
        <w:rPr>
          <w:rFonts w:ascii="Book Antiqua" w:hAnsi="Book Antiqua"/>
          <w:b/>
          <w:bCs/>
        </w:rPr>
        <w:t>10</w:t>
      </w:r>
      <w:r w:rsidRPr="00805A77">
        <w:rPr>
          <w:rFonts w:ascii="Book Antiqua" w:hAnsi="Book Antiqua"/>
        </w:rPr>
        <w:t>: 113-132 [PMID: 32004755 DOI: 10.1016/j.jcmgh.2020.01.010]</w:t>
      </w:r>
    </w:p>
    <w:p w14:paraId="2ED1B5CC" w14:textId="77777777" w:rsidR="00005863" w:rsidRPr="00805A77" w:rsidRDefault="00000000">
      <w:pPr>
        <w:spacing w:line="360" w:lineRule="auto"/>
        <w:jc w:val="both"/>
        <w:rPr>
          <w:rFonts w:ascii="Book Antiqua" w:hAnsi="Book Antiqua"/>
        </w:rPr>
      </w:pPr>
      <w:r w:rsidRPr="00805A77">
        <w:rPr>
          <w:rFonts w:ascii="Book Antiqua" w:hAnsi="Book Antiqua"/>
        </w:rPr>
        <w:t xml:space="preserve">18 </w:t>
      </w:r>
      <w:r w:rsidRPr="00805A77">
        <w:rPr>
          <w:rFonts w:ascii="Book Antiqua" w:hAnsi="Book Antiqua"/>
          <w:b/>
          <w:bCs/>
        </w:rPr>
        <w:t>Roberto GA</w:t>
      </w:r>
      <w:r w:rsidRPr="00805A77">
        <w:rPr>
          <w:rFonts w:ascii="Book Antiqua" w:hAnsi="Book Antiqua"/>
        </w:rPr>
        <w:t xml:space="preserve">, Rodrigues CMB, Peixoto RD, Younes RN. Gastric neuroendocrine tumor: A practical literature review. </w:t>
      </w:r>
      <w:r w:rsidRPr="00805A77">
        <w:rPr>
          <w:rFonts w:ascii="Book Antiqua" w:hAnsi="Book Antiqua"/>
          <w:i/>
          <w:iCs/>
        </w:rPr>
        <w:t>World J Gastrointest Oncol</w:t>
      </w:r>
      <w:r w:rsidRPr="00805A77">
        <w:rPr>
          <w:rFonts w:ascii="Book Antiqua" w:hAnsi="Book Antiqua"/>
        </w:rPr>
        <w:t xml:space="preserve"> 2020; </w:t>
      </w:r>
      <w:r w:rsidRPr="00805A77">
        <w:rPr>
          <w:rFonts w:ascii="Book Antiqua" w:hAnsi="Book Antiqua"/>
          <w:b/>
          <w:bCs/>
        </w:rPr>
        <w:t>12</w:t>
      </w:r>
      <w:r w:rsidRPr="00805A77">
        <w:rPr>
          <w:rFonts w:ascii="Book Antiqua" w:hAnsi="Book Antiqua"/>
        </w:rPr>
        <w:t>: 850-856 [PMID: 32879663 DOI: 10.4251/wjgo.v12.i8.850]</w:t>
      </w:r>
    </w:p>
    <w:p w14:paraId="3E382635" w14:textId="77777777" w:rsidR="00005863" w:rsidRPr="00805A77" w:rsidRDefault="00000000">
      <w:pPr>
        <w:spacing w:line="360" w:lineRule="auto"/>
        <w:jc w:val="both"/>
        <w:rPr>
          <w:rFonts w:ascii="Book Antiqua" w:hAnsi="Book Antiqua"/>
        </w:rPr>
      </w:pPr>
      <w:r w:rsidRPr="00805A77">
        <w:rPr>
          <w:rFonts w:ascii="Book Antiqua" w:hAnsi="Book Antiqua"/>
        </w:rPr>
        <w:t xml:space="preserve">19 </w:t>
      </w:r>
      <w:r w:rsidRPr="00805A77">
        <w:rPr>
          <w:rFonts w:ascii="Book Antiqua" w:hAnsi="Book Antiqua"/>
          <w:b/>
          <w:bCs/>
        </w:rPr>
        <w:t>Massironi S</w:t>
      </w:r>
      <w:r w:rsidRPr="00805A77">
        <w:rPr>
          <w:rFonts w:ascii="Book Antiqua" w:hAnsi="Book Antiqua"/>
        </w:rPr>
        <w:t xml:space="preserve">, Zilli A, Fanetti I, Ciafardini C, Conte D, Peracchi M. Intermittent treatment of recurrent type-1 gastric carcinoids with somatostatin analogues in patients with chronic autoimmune atrophic gastritis. </w:t>
      </w:r>
      <w:r w:rsidRPr="00805A77">
        <w:rPr>
          <w:rFonts w:ascii="Book Antiqua" w:hAnsi="Book Antiqua"/>
          <w:i/>
          <w:iCs/>
        </w:rPr>
        <w:t>Dig Liver Dis</w:t>
      </w:r>
      <w:r w:rsidRPr="00805A77">
        <w:rPr>
          <w:rFonts w:ascii="Book Antiqua" w:hAnsi="Book Antiqua"/>
        </w:rPr>
        <w:t xml:space="preserve"> 2015; </w:t>
      </w:r>
      <w:r w:rsidRPr="00805A77">
        <w:rPr>
          <w:rFonts w:ascii="Book Antiqua" w:hAnsi="Book Antiqua"/>
          <w:b/>
          <w:bCs/>
        </w:rPr>
        <w:t>47</w:t>
      </w:r>
      <w:r w:rsidRPr="00805A77">
        <w:rPr>
          <w:rFonts w:ascii="Book Antiqua" w:hAnsi="Book Antiqua"/>
        </w:rPr>
        <w:t>: 978-983 [PMID: 26321479 DOI: 10.1016/j.dld.2015.07.155]</w:t>
      </w:r>
    </w:p>
    <w:p w14:paraId="0B1E8398" w14:textId="77777777" w:rsidR="00005863" w:rsidRPr="00805A77" w:rsidRDefault="00000000">
      <w:pPr>
        <w:spacing w:line="360" w:lineRule="auto"/>
        <w:jc w:val="both"/>
        <w:rPr>
          <w:rFonts w:ascii="Book Antiqua" w:hAnsi="Book Antiqua"/>
        </w:rPr>
      </w:pPr>
      <w:r w:rsidRPr="00805A77">
        <w:rPr>
          <w:rFonts w:ascii="Book Antiqua" w:hAnsi="Book Antiqua"/>
        </w:rPr>
        <w:t xml:space="preserve">20 </w:t>
      </w:r>
      <w:r w:rsidRPr="00805A77">
        <w:rPr>
          <w:rFonts w:ascii="Book Antiqua" w:hAnsi="Book Antiqua"/>
          <w:b/>
          <w:bCs/>
        </w:rPr>
        <w:t>Rossi RE</w:t>
      </w:r>
      <w:r w:rsidRPr="00805A77">
        <w:rPr>
          <w:rFonts w:ascii="Book Antiqua" w:hAnsi="Book Antiqua"/>
        </w:rPr>
        <w:t xml:space="preserve">, Invernizzi P, Mazzaferro V, Massironi S. Response and relapse rates after treatment with long-acting somatostatin analogs in multifocal or recurrent type-1 gastric carcinoids: A systematic review and meta-analysis. </w:t>
      </w:r>
      <w:r w:rsidRPr="00805A77">
        <w:rPr>
          <w:rFonts w:ascii="Book Antiqua" w:hAnsi="Book Antiqua"/>
          <w:i/>
          <w:iCs/>
        </w:rPr>
        <w:t>United European Gastroenterol J</w:t>
      </w:r>
      <w:r w:rsidRPr="00805A77">
        <w:rPr>
          <w:rFonts w:ascii="Book Antiqua" w:hAnsi="Book Antiqua"/>
        </w:rPr>
        <w:t xml:space="preserve"> 2020; </w:t>
      </w:r>
      <w:r w:rsidRPr="00805A77">
        <w:rPr>
          <w:rFonts w:ascii="Book Antiqua" w:hAnsi="Book Antiqua"/>
          <w:b/>
          <w:bCs/>
        </w:rPr>
        <w:t>8</w:t>
      </w:r>
      <w:r w:rsidRPr="00805A77">
        <w:rPr>
          <w:rFonts w:ascii="Book Antiqua" w:hAnsi="Book Antiqua"/>
        </w:rPr>
        <w:t>: 140-147 [PMID: 32213066 DOI: 10.1177/2050640619890465]</w:t>
      </w:r>
    </w:p>
    <w:p w14:paraId="2CAB0482" w14:textId="77777777" w:rsidR="00005863" w:rsidRPr="00805A77" w:rsidRDefault="00000000">
      <w:pPr>
        <w:spacing w:line="360" w:lineRule="auto"/>
        <w:jc w:val="both"/>
        <w:rPr>
          <w:rFonts w:ascii="Book Antiqua" w:hAnsi="Book Antiqua"/>
        </w:rPr>
      </w:pPr>
      <w:r w:rsidRPr="00805A77">
        <w:rPr>
          <w:rFonts w:ascii="Book Antiqua" w:hAnsi="Book Antiqua"/>
        </w:rPr>
        <w:t xml:space="preserve">21 </w:t>
      </w:r>
      <w:r w:rsidRPr="00805A77">
        <w:rPr>
          <w:rFonts w:ascii="Book Antiqua" w:hAnsi="Book Antiqua"/>
          <w:b/>
          <w:bCs/>
        </w:rPr>
        <w:t>Massironi S</w:t>
      </w:r>
      <w:r w:rsidRPr="00805A77">
        <w:rPr>
          <w:rFonts w:ascii="Book Antiqua" w:hAnsi="Book Antiqua"/>
        </w:rPr>
        <w:t xml:space="preserve">, Zilli A, Conte D. Somatostatin analogs for gastric carcinoids: For many, but not all. </w:t>
      </w:r>
      <w:r w:rsidRPr="00805A77">
        <w:rPr>
          <w:rFonts w:ascii="Book Antiqua" w:hAnsi="Book Antiqua"/>
          <w:i/>
          <w:iCs/>
        </w:rPr>
        <w:t>World J Gastroenterol</w:t>
      </w:r>
      <w:r w:rsidRPr="00805A77">
        <w:rPr>
          <w:rFonts w:ascii="Book Antiqua" w:hAnsi="Book Antiqua"/>
        </w:rPr>
        <w:t xml:space="preserve"> 2015; </w:t>
      </w:r>
      <w:r w:rsidRPr="00805A77">
        <w:rPr>
          <w:rFonts w:ascii="Book Antiqua" w:hAnsi="Book Antiqua"/>
          <w:b/>
          <w:bCs/>
        </w:rPr>
        <w:t>21</w:t>
      </w:r>
      <w:r w:rsidRPr="00805A77">
        <w:rPr>
          <w:rFonts w:ascii="Book Antiqua" w:hAnsi="Book Antiqua"/>
        </w:rPr>
        <w:t>: 6785-6793 [PMID: 26078554 DOI: 10.3748/wjg.v21.i22.6785]</w:t>
      </w:r>
    </w:p>
    <w:p w14:paraId="37D8C219" w14:textId="77777777" w:rsidR="00005863" w:rsidRPr="00805A77" w:rsidRDefault="00000000">
      <w:pPr>
        <w:spacing w:line="360" w:lineRule="auto"/>
        <w:jc w:val="both"/>
        <w:rPr>
          <w:rFonts w:ascii="Book Antiqua" w:hAnsi="Book Antiqua"/>
        </w:rPr>
      </w:pPr>
      <w:r w:rsidRPr="00805A77">
        <w:rPr>
          <w:rFonts w:ascii="Book Antiqua" w:hAnsi="Book Antiqua"/>
        </w:rPr>
        <w:lastRenderedPageBreak/>
        <w:t xml:space="preserve">22 </w:t>
      </w:r>
      <w:r w:rsidRPr="00805A77">
        <w:rPr>
          <w:rFonts w:ascii="Book Antiqua" w:hAnsi="Book Antiqua"/>
          <w:b/>
          <w:bCs/>
        </w:rPr>
        <w:t>Lord CJ</w:t>
      </w:r>
      <w:r w:rsidRPr="00805A77">
        <w:rPr>
          <w:rFonts w:ascii="Book Antiqua" w:hAnsi="Book Antiqua"/>
        </w:rPr>
        <w:t xml:space="preserve">, Ashworth A. PARP inhibitors: Synthetic lethality in the clinic. </w:t>
      </w:r>
      <w:r w:rsidRPr="00805A77">
        <w:rPr>
          <w:rFonts w:ascii="Book Antiqua" w:hAnsi="Book Antiqua"/>
          <w:i/>
          <w:iCs/>
        </w:rPr>
        <w:t>Science</w:t>
      </w:r>
      <w:r w:rsidRPr="00805A77">
        <w:rPr>
          <w:rFonts w:ascii="Book Antiqua" w:hAnsi="Book Antiqua"/>
        </w:rPr>
        <w:t xml:space="preserve"> 2017; </w:t>
      </w:r>
      <w:r w:rsidRPr="00805A77">
        <w:rPr>
          <w:rFonts w:ascii="Book Antiqua" w:hAnsi="Book Antiqua"/>
          <w:b/>
          <w:bCs/>
        </w:rPr>
        <w:t>355</w:t>
      </w:r>
      <w:r w:rsidRPr="00805A77">
        <w:rPr>
          <w:rFonts w:ascii="Book Antiqua" w:hAnsi="Book Antiqua"/>
        </w:rPr>
        <w:t>: 1152-1158 [PMID: 28302823 DOI: 10.1126/science.aam7344]</w:t>
      </w:r>
      <w:bookmarkEnd w:id="47"/>
      <w:bookmarkEnd w:id="48"/>
    </w:p>
    <w:p w14:paraId="119B0EE1" w14:textId="77777777" w:rsidR="00005863" w:rsidRPr="00805A77" w:rsidRDefault="00005863">
      <w:pPr>
        <w:spacing w:line="360" w:lineRule="auto"/>
        <w:jc w:val="both"/>
        <w:rPr>
          <w:rFonts w:ascii="Book Antiqua" w:eastAsia="Book Antiqua" w:hAnsi="Book Antiqua" w:cs="Book Antiqua"/>
          <w:b/>
          <w:bCs/>
          <w:color w:val="000000"/>
        </w:rPr>
      </w:pPr>
    </w:p>
    <w:p w14:paraId="04968065" w14:textId="77777777" w:rsidR="00005863" w:rsidRPr="00805A77" w:rsidRDefault="00005863">
      <w:pPr>
        <w:spacing w:line="360" w:lineRule="auto"/>
        <w:jc w:val="both"/>
        <w:rPr>
          <w:rFonts w:ascii="Book Antiqua" w:hAnsi="Book Antiqua"/>
        </w:rPr>
      </w:pPr>
    </w:p>
    <w:bookmarkEnd w:id="49"/>
    <w:bookmarkEnd w:id="50"/>
    <w:bookmarkEnd w:id="51"/>
    <w:p w14:paraId="1CC84E14" w14:textId="77777777" w:rsidR="00005863" w:rsidRPr="00805A77" w:rsidRDefault="00005863">
      <w:pPr>
        <w:spacing w:line="360" w:lineRule="auto"/>
        <w:jc w:val="both"/>
        <w:rPr>
          <w:rFonts w:ascii="Book Antiqua" w:hAnsi="Book Antiqua"/>
        </w:rPr>
        <w:sectPr w:rsidR="00005863" w:rsidRPr="00805A77">
          <w:pgSz w:w="12240" w:h="15840"/>
          <w:pgMar w:top="1440" w:right="1440" w:bottom="1440" w:left="1440" w:header="720" w:footer="720" w:gutter="0"/>
          <w:cols w:space="720"/>
          <w:docGrid w:linePitch="360"/>
        </w:sectPr>
      </w:pPr>
    </w:p>
    <w:p w14:paraId="4B680F42"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b/>
          <w:color w:val="000000"/>
        </w:rPr>
        <w:lastRenderedPageBreak/>
        <w:t>Footnotes</w:t>
      </w:r>
    </w:p>
    <w:p w14:paraId="721E4771"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b/>
          <w:bCs/>
        </w:rPr>
        <w:t xml:space="preserve">Informed consent statement: </w:t>
      </w:r>
      <w:r w:rsidRPr="00805A77">
        <w:rPr>
          <w:rFonts w:ascii="Book Antiqua" w:eastAsia="Book Antiqua" w:hAnsi="Book Antiqua" w:cs="Book Antiqua"/>
        </w:rPr>
        <w:t>Informed written consent was obtained from the patient for the publication of this report.</w:t>
      </w:r>
    </w:p>
    <w:p w14:paraId="0EA7AC8B" w14:textId="77777777" w:rsidR="00005863" w:rsidRPr="00805A77" w:rsidRDefault="00005863">
      <w:pPr>
        <w:spacing w:line="360" w:lineRule="auto"/>
        <w:jc w:val="both"/>
        <w:rPr>
          <w:rFonts w:ascii="Book Antiqua" w:hAnsi="Book Antiqua"/>
        </w:rPr>
      </w:pPr>
    </w:p>
    <w:p w14:paraId="519318F3"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b/>
          <w:bCs/>
        </w:rPr>
        <w:t xml:space="preserve">Conflict-of-interest statement: </w:t>
      </w:r>
      <w:r w:rsidRPr="00805A77">
        <w:rPr>
          <w:rFonts w:ascii="Book Antiqua" w:eastAsia="Book Antiqua" w:hAnsi="Book Antiqua" w:cs="Book Antiqua"/>
        </w:rPr>
        <w:t>No competing financial interests exist.</w:t>
      </w:r>
    </w:p>
    <w:p w14:paraId="133114EC" w14:textId="77777777" w:rsidR="00005863" w:rsidRPr="00805A77" w:rsidRDefault="00005863">
      <w:pPr>
        <w:spacing w:line="360" w:lineRule="auto"/>
        <w:jc w:val="both"/>
        <w:rPr>
          <w:rFonts w:ascii="Book Antiqua" w:hAnsi="Book Antiqua"/>
        </w:rPr>
      </w:pPr>
    </w:p>
    <w:p w14:paraId="5CFC51C3"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b/>
          <w:bCs/>
        </w:rPr>
        <w:t xml:space="preserve">CARE Checklist (2016) statement: </w:t>
      </w:r>
      <w:r w:rsidRPr="00805A77">
        <w:rPr>
          <w:rFonts w:ascii="Book Antiqua" w:eastAsia="Book Antiqua" w:hAnsi="Book Antiqua" w:cs="Book Antiqua"/>
        </w:rPr>
        <w:t>The authors have read the CARE Checklist (2016), and the manuscript was prepared and revised according to the CARE Checklist (2016).</w:t>
      </w:r>
    </w:p>
    <w:p w14:paraId="56D9903D" w14:textId="77777777" w:rsidR="00005863" w:rsidRPr="00805A77" w:rsidRDefault="00005863">
      <w:pPr>
        <w:spacing w:line="360" w:lineRule="auto"/>
        <w:jc w:val="both"/>
        <w:rPr>
          <w:rFonts w:ascii="Book Antiqua" w:hAnsi="Book Antiqua"/>
        </w:rPr>
      </w:pPr>
    </w:p>
    <w:p w14:paraId="737F4B4D"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b/>
          <w:bCs/>
        </w:rPr>
        <w:t xml:space="preserve">Open-Access: </w:t>
      </w:r>
      <w:r w:rsidRPr="00805A77">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578AC53" w14:textId="77777777" w:rsidR="00005863" w:rsidRPr="00805A77" w:rsidRDefault="00005863">
      <w:pPr>
        <w:spacing w:line="360" w:lineRule="auto"/>
        <w:jc w:val="both"/>
        <w:rPr>
          <w:rFonts w:ascii="Book Antiqua" w:hAnsi="Book Antiqua"/>
        </w:rPr>
      </w:pPr>
    </w:p>
    <w:p w14:paraId="3177E6F6"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b/>
          <w:color w:val="000000"/>
        </w:rPr>
        <w:t xml:space="preserve">Provenance and peer review: </w:t>
      </w:r>
      <w:r w:rsidRPr="00805A77">
        <w:rPr>
          <w:rFonts w:ascii="Book Antiqua" w:eastAsia="Book Antiqua" w:hAnsi="Book Antiqua" w:cs="Book Antiqua"/>
        </w:rPr>
        <w:t>Unsolicited article; Externally peer reviewed.</w:t>
      </w:r>
    </w:p>
    <w:p w14:paraId="5FE43A1D"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b/>
          <w:color w:val="000000"/>
        </w:rPr>
        <w:t xml:space="preserve">Peer-review model: </w:t>
      </w:r>
      <w:r w:rsidRPr="00805A77">
        <w:rPr>
          <w:rFonts w:ascii="Book Antiqua" w:eastAsia="Book Antiqua" w:hAnsi="Book Antiqua" w:cs="Book Antiqua"/>
        </w:rPr>
        <w:t>Single blind</w:t>
      </w:r>
    </w:p>
    <w:p w14:paraId="51966711" w14:textId="77777777" w:rsidR="00005863" w:rsidRPr="00805A77" w:rsidRDefault="00005863">
      <w:pPr>
        <w:spacing w:line="360" w:lineRule="auto"/>
        <w:jc w:val="both"/>
        <w:rPr>
          <w:rFonts w:ascii="Book Antiqua" w:hAnsi="Book Antiqua"/>
        </w:rPr>
      </w:pPr>
    </w:p>
    <w:p w14:paraId="11FCCCAC"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b/>
          <w:color w:val="000000"/>
        </w:rPr>
        <w:t xml:space="preserve">Peer-review started: </w:t>
      </w:r>
      <w:r w:rsidRPr="00805A77">
        <w:rPr>
          <w:rFonts w:ascii="Book Antiqua" w:eastAsia="Book Antiqua" w:hAnsi="Book Antiqua" w:cs="Book Antiqua"/>
        </w:rPr>
        <w:t>April 8, 2023</w:t>
      </w:r>
    </w:p>
    <w:p w14:paraId="2A449FA1"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b/>
          <w:color w:val="000000"/>
        </w:rPr>
        <w:t xml:space="preserve">First decision: </w:t>
      </w:r>
      <w:r w:rsidRPr="00805A77">
        <w:rPr>
          <w:rFonts w:ascii="Book Antiqua" w:eastAsia="Book Antiqua" w:hAnsi="Book Antiqua" w:cs="Book Antiqua"/>
        </w:rPr>
        <w:t>May 27, 2023</w:t>
      </w:r>
    </w:p>
    <w:p w14:paraId="25AC9F5C" w14:textId="6D8CDD72" w:rsidR="00005863" w:rsidRPr="00805A77" w:rsidRDefault="00000000">
      <w:pPr>
        <w:spacing w:line="360" w:lineRule="auto"/>
        <w:jc w:val="both"/>
        <w:rPr>
          <w:rFonts w:ascii="Book Antiqua" w:hAnsi="Book Antiqua"/>
        </w:rPr>
      </w:pPr>
      <w:r w:rsidRPr="00805A77">
        <w:rPr>
          <w:rFonts w:ascii="Book Antiqua" w:eastAsia="Book Antiqua" w:hAnsi="Book Antiqua" w:cs="Book Antiqua"/>
          <w:b/>
          <w:color w:val="000000"/>
        </w:rPr>
        <w:t xml:space="preserve">Article in press: </w:t>
      </w:r>
      <w:r w:rsidR="00C35447" w:rsidRPr="00805A77">
        <w:rPr>
          <w:rFonts w:ascii="Book Antiqua" w:eastAsia="Book Antiqua" w:hAnsi="Book Antiqua" w:cs="Book Antiqua"/>
        </w:rPr>
        <w:t>July 18, 2023</w:t>
      </w:r>
    </w:p>
    <w:p w14:paraId="6A6A44EA" w14:textId="77777777" w:rsidR="00005863" w:rsidRPr="00805A77" w:rsidRDefault="00005863">
      <w:pPr>
        <w:spacing w:line="360" w:lineRule="auto"/>
        <w:jc w:val="both"/>
        <w:rPr>
          <w:rFonts w:ascii="Book Antiqua" w:hAnsi="Book Antiqua"/>
        </w:rPr>
      </w:pPr>
    </w:p>
    <w:p w14:paraId="09E2C391"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b/>
          <w:color w:val="000000"/>
        </w:rPr>
        <w:t xml:space="preserve">Specialty type: </w:t>
      </w:r>
      <w:r w:rsidRPr="00805A77">
        <w:rPr>
          <w:rFonts w:ascii="Book Antiqua" w:eastAsia="Book Antiqua" w:hAnsi="Book Antiqua" w:cs="Book Antiqua"/>
        </w:rPr>
        <w:t>Oncology</w:t>
      </w:r>
    </w:p>
    <w:p w14:paraId="5B753D22"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b/>
          <w:color w:val="000000"/>
        </w:rPr>
        <w:t xml:space="preserve">Country/Territory of origin: </w:t>
      </w:r>
      <w:r w:rsidRPr="00805A77">
        <w:rPr>
          <w:rFonts w:ascii="Book Antiqua" w:eastAsia="Book Antiqua" w:hAnsi="Book Antiqua" w:cs="Book Antiqua"/>
        </w:rPr>
        <w:t>China</w:t>
      </w:r>
    </w:p>
    <w:p w14:paraId="3BB728AE"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b/>
          <w:color w:val="000000"/>
        </w:rPr>
        <w:t>Peer-review report’s scientific quality classification</w:t>
      </w:r>
    </w:p>
    <w:p w14:paraId="7CA06131"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rPr>
        <w:t>Grade A (Excellent): 0</w:t>
      </w:r>
    </w:p>
    <w:p w14:paraId="2FBD87AB"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rPr>
        <w:t>Grade B (Very good): 0</w:t>
      </w:r>
    </w:p>
    <w:p w14:paraId="150A7022"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rPr>
        <w:t>Grade C (Good): C, C</w:t>
      </w:r>
    </w:p>
    <w:p w14:paraId="4C7C86FE"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rPr>
        <w:lastRenderedPageBreak/>
        <w:t>Grade D (Fair): 0</w:t>
      </w:r>
    </w:p>
    <w:p w14:paraId="6053926B" w14:textId="77777777" w:rsidR="00005863" w:rsidRPr="00805A77" w:rsidRDefault="00000000">
      <w:pPr>
        <w:spacing w:line="360" w:lineRule="auto"/>
        <w:jc w:val="both"/>
        <w:rPr>
          <w:rFonts w:ascii="Book Antiqua" w:hAnsi="Book Antiqua"/>
        </w:rPr>
      </w:pPr>
      <w:r w:rsidRPr="00805A77">
        <w:rPr>
          <w:rFonts w:ascii="Book Antiqua" w:eastAsia="Book Antiqua" w:hAnsi="Book Antiqua" w:cs="Book Antiqua"/>
        </w:rPr>
        <w:t>Grade E (Poor): 0</w:t>
      </w:r>
    </w:p>
    <w:p w14:paraId="0124EC0A" w14:textId="77777777" w:rsidR="00005863" w:rsidRPr="00805A77" w:rsidRDefault="00005863">
      <w:pPr>
        <w:spacing w:line="360" w:lineRule="auto"/>
        <w:jc w:val="both"/>
        <w:rPr>
          <w:rFonts w:ascii="Book Antiqua" w:hAnsi="Book Antiqua"/>
        </w:rPr>
      </w:pPr>
    </w:p>
    <w:p w14:paraId="007FF4F5" w14:textId="54E0CAE2" w:rsidR="00005863" w:rsidRPr="00805A77" w:rsidRDefault="00000000">
      <w:pPr>
        <w:spacing w:line="360" w:lineRule="auto"/>
        <w:jc w:val="both"/>
        <w:rPr>
          <w:rFonts w:ascii="Book Antiqua" w:eastAsia="Book Antiqua" w:hAnsi="Book Antiqua" w:cs="Book Antiqua"/>
          <w:b/>
          <w:color w:val="000000"/>
        </w:rPr>
      </w:pPr>
      <w:r w:rsidRPr="00805A77">
        <w:rPr>
          <w:rFonts w:ascii="Book Antiqua" w:eastAsia="Book Antiqua" w:hAnsi="Book Antiqua" w:cs="Book Antiqua"/>
          <w:b/>
          <w:color w:val="000000"/>
        </w:rPr>
        <w:t xml:space="preserve">P-Reviewer: </w:t>
      </w:r>
      <w:r w:rsidRPr="00805A77">
        <w:rPr>
          <w:rFonts w:ascii="Book Antiqua" w:eastAsia="Book Antiqua" w:hAnsi="Book Antiqua" w:cs="Book Antiqua"/>
        </w:rPr>
        <w:t>Dilek ON, Turkey; Massironi S, Italy</w:t>
      </w:r>
      <w:r w:rsidRPr="00805A77">
        <w:rPr>
          <w:rFonts w:ascii="Book Antiqua" w:eastAsia="Book Antiqua" w:hAnsi="Book Antiqua" w:cs="Book Antiqua"/>
          <w:b/>
          <w:color w:val="000000"/>
        </w:rPr>
        <w:t xml:space="preserve"> S-Editor: </w:t>
      </w:r>
      <w:bookmarkStart w:id="52" w:name="OLE_LINK1123"/>
      <w:r w:rsidRPr="00805A77">
        <w:rPr>
          <w:rFonts w:ascii="Book Antiqua" w:eastAsia="Book Antiqua" w:hAnsi="Book Antiqua" w:cs="Book Antiqua"/>
          <w:bCs/>
          <w:color w:val="000000"/>
        </w:rPr>
        <w:t>Yan JP</w:t>
      </w:r>
      <w:bookmarkEnd w:id="52"/>
      <w:r w:rsidRPr="00805A77">
        <w:rPr>
          <w:rFonts w:ascii="Book Antiqua" w:eastAsia="Book Antiqua" w:hAnsi="Book Antiqua" w:cs="Book Antiqua"/>
          <w:b/>
          <w:color w:val="000000"/>
        </w:rPr>
        <w:t xml:space="preserve"> L-Editor: </w:t>
      </w:r>
      <w:r w:rsidRPr="00805A77">
        <w:rPr>
          <w:rFonts w:ascii="Book Antiqua" w:eastAsia="宋体" w:hAnsi="Book Antiqua" w:cs="Book Antiqua" w:hint="eastAsia"/>
          <w:bCs/>
          <w:color w:val="000000"/>
          <w:lang w:eastAsia="zh-CN"/>
        </w:rPr>
        <w:t>Wang TQ</w:t>
      </w:r>
      <w:r w:rsidRPr="00805A77">
        <w:rPr>
          <w:rFonts w:ascii="Book Antiqua" w:eastAsia="Book Antiqua" w:hAnsi="Book Antiqua" w:cs="Book Antiqua"/>
          <w:b/>
          <w:color w:val="000000"/>
        </w:rPr>
        <w:t xml:space="preserve"> P-Editor: </w:t>
      </w:r>
      <w:bookmarkEnd w:id="0"/>
      <w:bookmarkEnd w:id="1"/>
      <w:bookmarkEnd w:id="2"/>
      <w:bookmarkEnd w:id="3"/>
      <w:r w:rsidR="00C35447" w:rsidRPr="00805A77">
        <w:rPr>
          <w:rFonts w:ascii="Book Antiqua" w:eastAsia="Book Antiqua" w:hAnsi="Book Antiqua" w:cs="Book Antiqua"/>
          <w:bCs/>
          <w:color w:val="000000"/>
        </w:rPr>
        <w:t>Cai YX</w:t>
      </w:r>
    </w:p>
    <w:p w14:paraId="47E50CC2" w14:textId="77777777" w:rsidR="00005863" w:rsidRPr="00805A77" w:rsidRDefault="00005863">
      <w:pPr>
        <w:spacing w:line="360" w:lineRule="auto"/>
        <w:jc w:val="both"/>
        <w:rPr>
          <w:rFonts w:ascii="Book Antiqua" w:eastAsia="Book Antiqua" w:hAnsi="Book Antiqua" w:cs="Book Antiqua"/>
          <w:b/>
          <w:color w:val="000000"/>
        </w:rPr>
      </w:pPr>
    </w:p>
    <w:p w14:paraId="392744D4" w14:textId="77777777" w:rsidR="00005863" w:rsidRPr="00805A77" w:rsidRDefault="00005863">
      <w:pPr>
        <w:spacing w:line="360" w:lineRule="auto"/>
        <w:jc w:val="both"/>
        <w:rPr>
          <w:rFonts w:ascii="Book Antiqua" w:hAnsi="Book Antiqua"/>
        </w:rPr>
        <w:sectPr w:rsidR="00005863" w:rsidRPr="00805A77">
          <w:pgSz w:w="12240" w:h="15840"/>
          <w:pgMar w:top="1440" w:right="1440" w:bottom="1440" w:left="1440" w:header="720" w:footer="720" w:gutter="0"/>
          <w:cols w:space="720"/>
          <w:docGrid w:linePitch="360"/>
        </w:sectPr>
      </w:pPr>
    </w:p>
    <w:p w14:paraId="32885C26" w14:textId="77777777" w:rsidR="00005863" w:rsidRPr="00805A77" w:rsidRDefault="00000000">
      <w:pPr>
        <w:spacing w:line="360" w:lineRule="auto"/>
        <w:rPr>
          <w:rFonts w:ascii="Book Antiqua" w:eastAsia="Book Antiqua" w:hAnsi="Book Antiqua" w:cs="Book Antiqua"/>
          <w:b/>
          <w:color w:val="000000"/>
        </w:rPr>
      </w:pPr>
      <w:bookmarkStart w:id="53" w:name="OLE_LINK6367"/>
      <w:bookmarkStart w:id="54" w:name="OLE_LINK5324"/>
      <w:bookmarkStart w:id="55" w:name="OLE_LINK6366"/>
      <w:bookmarkStart w:id="56" w:name="OLE_LINK5728"/>
      <w:bookmarkStart w:id="57" w:name="OLE_LINK5402"/>
      <w:bookmarkStart w:id="58" w:name="OLE_LINK6538"/>
      <w:bookmarkStart w:id="59" w:name="OLE_LINK6320"/>
      <w:bookmarkStart w:id="60" w:name="OLE_LINK3674"/>
      <w:bookmarkStart w:id="61" w:name="OLE_LINK6400"/>
      <w:bookmarkStart w:id="62" w:name="OLE_LINK6316"/>
      <w:bookmarkStart w:id="63" w:name="OLE_LINK6232"/>
      <w:bookmarkStart w:id="64" w:name="OLE_LINK5777"/>
      <w:bookmarkStart w:id="65" w:name="OLE_LINK5829"/>
      <w:bookmarkStart w:id="66" w:name="OLE_LINK3722"/>
      <w:bookmarkStart w:id="67" w:name="OLE_LINK5403"/>
      <w:r w:rsidRPr="00805A77">
        <w:rPr>
          <w:rFonts w:ascii="Book Antiqua" w:eastAsia="Book Antiqua" w:hAnsi="Book Antiqua" w:cs="Book Antiqua"/>
          <w:b/>
          <w:color w:val="000000"/>
        </w:rPr>
        <w:lastRenderedPageBreak/>
        <w:t>Figure Legends</w:t>
      </w:r>
    </w:p>
    <w:p w14:paraId="3443DD32" w14:textId="5FE517F5" w:rsidR="00005863" w:rsidRPr="00805A77" w:rsidRDefault="00F1155B">
      <w:pPr>
        <w:spacing w:line="360" w:lineRule="auto"/>
        <w:rPr>
          <w:rFonts w:ascii="Book Antiqua" w:eastAsia="Book Antiqua" w:hAnsi="Book Antiqua" w:cs="Book Antiqua"/>
          <w:b/>
          <w:color w:val="000000"/>
          <w:lang w:eastAsia="zh-CN"/>
        </w:rPr>
      </w:pPr>
      <w:r w:rsidRPr="00805A77">
        <w:rPr>
          <w:rFonts w:ascii="Book Antiqua" w:eastAsia="Book Antiqua" w:hAnsi="Book Antiqua" w:cs="Book Antiqua"/>
          <w:b/>
          <w:noProof/>
          <w:color w:val="000000"/>
          <w:lang w:eastAsia="zh-CN"/>
        </w:rPr>
        <w:drawing>
          <wp:inline distT="0" distB="0" distL="0" distR="0" wp14:anchorId="72D509A9" wp14:editId="10434799">
            <wp:extent cx="5016500" cy="2616200"/>
            <wp:effectExtent l="0" t="0" r="0" b="0"/>
            <wp:docPr id="873847493" name="图片 1" descr="人手里拿着苹果&#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47493" name="图片 1" descr="人手里拿着苹果&#10;&#10;中度可信度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16500" cy="2616200"/>
                    </a:xfrm>
                    <a:prstGeom prst="rect">
                      <a:avLst/>
                    </a:prstGeom>
                  </pic:spPr>
                </pic:pic>
              </a:graphicData>
            </a:graphic>
          </wp:inline>
        </w:drawing>
      </w:r>
    </w:p>
    <w:p w14:paraId="2A899444" w14:textId="77777777" w:rsidR="00005863" w:rsidRPr="00805A77" w:rsidRDefault="00005863">
      <w:pPr>
        <w:spacing w:line="360" w:lineRule="auto"/>
        <w:rPr>
          <w:rFonts w:ascii="Book Antiqua" w:hAnsi="Book Antiqua"/>
        </w:rPr>
      </w:pPr>
    </w:p>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14:paraId="7B09CB04" w14:textId="77777777" w:rsidR="00005863" w:rsidRPr="00805A77" w:rsidRDefault="00000000">
      <w:pPr>
        <w:spacing w:line="360" w:lineRule="auto"/>
        <w:jc w:val="both"/>
        <w:rPr>
          <w:rFonts w:ascii="Book Antiqua" w:hAnsi="Book Antiqua"/>
          <w:lang w:eastAsia="zh-CN"/>
        </w:rPr>
      </w:pPr>
      <w:r w:rsidRPr="00805A77">
        <w:rPr>
          <w:rFonts w:ascii="Book Antiqua" w:hAnsi="Book Antiqua"/>
          <w:b/>
          <w:bCs/>
          <w:lang w:eastAsia="zh-CN"/>
        </w:rPr>
        <w:t>Figure 1 Polyp</w:t>
      </w:r>
      <w:r w:rsidRPr="00805A77">
        <w:rPr>
          <w:rFonts w:ascii="Book Antiqua" w:hAnsi="Book Antiqua" w:hint="eastAsia"/>
          <w:b/>
          <w:bCs/>
          <w:lang w:eastAsia="zh-CN"/>
        </w:rPr>
        <w:t>s</w:t>
      </w:r>
      <w:r w:rsidRPr="00805A77">
        <w:rPr>
          <w:rFonts w:ascii="Book Antiqua" w:hAnsi="Book Antiqua"/>
          <w:b/>
          <w:bCs/>
          <w:lang w:eastAsia="zh-CN"/>
        </w:rPr>
        <w:t xml:space="preserve"> and </w:t>
      </w:r>
      <w:r w:rsidRPr="00805A77">
        <w:rPr>
          <w:rFonts w:ascii="Book Antiqua" w:hAnsi="Book Antiqua" w:hint="eastAsia"/>
          <w:b/>
          <w:bCs/>
          <w:lang w:eastAsia="zh-CN"/>
        </w:rPr>
        <w:t xml:space="preserve">a </w:t>
      </w:r>
      <w:r w:rsidRPr="00805A77">
        <w:rPr>
          <w:rFonts w:ascii="Book Antiqua" w:hAnsi="Book Antiqua"/>
          <w:b/>
          <w:bCs/>
          <w:lang w:eastAsia="zh-CN"/>
        </w:rPr>
        <w:t xml:space="preserve">ulcer of </w:t>
      </w:r>
      <w:r w:rsidRPr="00805A77">
        <w:rPr>
          <w:rFonts w:ascii="Book Antiqua" w:hAnsi="Book Antiqua" w:hint="eastAsia"/>
          <w:b/>
          <w:bCs/>
          <w:lang w:eastAsia="zh-CN"/>
        </w:rPr>
        <w:t xml:space="preserve">the </w:t>
      </w:r>
      <w:r w:rsidRPr="00805A77">
        <w:rPr>
          <w:rFonts w:ascii="Book Antiqua" w:hAnsi="Book Antiqua"/>
          <w:b/>
          <w:bCs/>
          <w:lang w:eastAsia="zh-CN"/>
        </w:rPr>
        <w:t xml:space="preserve">gastric mucosa could be seen under </w:t>
      </w:r>
      <w:r w:rsidRPr="00805A77">
        <w:rPr>
          <w:rFonts w:ascii="Book Antiqua" w:hAnsi="Book Antiqua" w:hint="eastAsia"/>
          <w:b/>
          <w:bCs/>
          <w:lang w:eastAsia="zh-CN"/>
        </w:rPr>
        <w:t xml:space="preserve">an </w:t>
      </w:r>
      <w:r w:rsidRPr="00805A77">
        <w:rPr>
          <w:rFonts w:ascii="Book Antiqua" w:hAnsi="Book Antiqua"/>
          <w:b/>
          <w:bCs/>
          <w:lang w:eastAsia="zh-CN"/>
        </w:rPr>
        <w:t xml:space="preserve">endoscope. </w:t>
      </w:r>
      <w:r w:rsidRPr="00805A77">
        <w:rPr>
          <w:rFonts w:ascii="Book Antiqua" w:hAnsi="Book Antiqua"/>
          <w:lang w:eastAsia="zh-CN"/>
        </w:rPr>
        <w:t>A: Gastric mucosa atrophy and polyps were seen; B: A superficial ulcer with central scar-like change</w:t>
      </w:r>
      <w:r w:rsidRPr="00805A77">
        <w:rPr>
          <w:rFonts w:ascii="Book Antiqua" w:hAnsi="Book Antiqua" w:hint="eastAsia"/>
          <w:lang w:eastAsia="zh-CN"/>
        </w:rPr>
        <w:t>s</w:t>
      </w:r>
      <w:r w:rsidRPr="00805A77">
        <w:rPr>
          <w:rFonts w:ascii="Book Antiqua" w:hAnsi="Book Antiqua"/>
          <w:lang w:eastAsia="zh-CN"/>
        </w:rPr>
        <w:t xml:space="preserve"> was seen in the large curvature of the central part of the stomach.</w:t>
      </w:r>
    </w:p>
    <w:p w14:paraId="41BE623F" w14:textId="77777777" w:rsidR="00005863" w:rsidRPr="00805A77" w:rsidRDefault="00005863">
      <w:pPr>
        <w:spacing w:line="360" w:lineRule="auto"/>
        <w:jc w:val="both"/>
        <w:rPr>
          <w:rFonts w:ascii="Book Antiqua" w:hAnsi="Book Antiqua"/>
          <w:lang w:eastAsia="zh-CN"/>
        </w:rPr>
      </w:pPr>
    </w:p>
    <w:p w14:paraId="3FCBE63A" w14:textId="77777777" w:rsidR="00005863" w:rsidRPr="00805A77" w:rsidRDefault="00005863">
      <w:pPr>
        <w:spacing w:line="360" w:lineRule="auto"/>
        <w:jc w:val="both"/>
        <w:rPr>
          <w:rFonts w:ascii="Book Antiqua" w:hAnsi="Book Antiqua"/>
          <w:lang w:eastAsia="zh-CN"/>
        </w:rPr>
        <w:sectPr w:rsidR="00005863" w:rsidRPr="00805A77">
          <w:pgSz w:w="12240" w:h="15840"/>
          <w:pgMar w:top="1440" w:right="1440" w:bottom="1440" w:left="1440" w:header="720" w:footer="720" w:gutter="0"/>
          <w:cols w:space="720"/>
          <w:docGrid w:linePitch="360"/>
        </w:sectPr>
      </w:pPr>
    </w:p>
    <w:p w14:paraId="0C4C02A9" w14:textId="67049E04" w:rsidR="00005863" w:rsidRPr="00805A77" w:rsidRDefault="00F1155B">
      <w:pPr>
        <w:spacing w:line="360" w:lineRule="auto"/>
        <w:jc w:val="both"/>
        <w:rPr>
          <w:rFonts w:ascii="Book Antiqua" w:hAnsi="Book Antiqua"/>
          <w:lang w:eastAsia="zh-CN"/>
        </w:rPr>
      </w:pPr>
      <w:r w:rsidRPr="00805A77">
        <w:rPr>
          <w:rFonts w:ascii="Book Antiqua" w:hAnsi="Book Antiqua"/>
          <w:noProof/>
          <w:lang w:eastAsia="zh-CN"/>
        </w:rPr>
        <w:lastRenderedPageBreak/>
        <w:drawing>
          <wp:inline distT="0" distB="0" distL="0" distR="0" wp14:anchorId="372EEB47" wp14:editId="383642BB">
            <wp:extent cx="5016500" cy="2628900"/>
            <wp:effectExtent l="0" t="0" r="0" b="0"/>
            <wp:docPr id="700306359" name="图片 2" descr="图片包含 游戏机, 地毯, 布&#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06359" name="图片 2" descr="图片包含 游戏机, 地毯, 布&#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16500" cy="2628900"/>
                    </a:xfrm>
                    <a:prstGeom prst="rect">
                      <a:avLst/>
                    </a:prstGeom>
                  </pic:spPr>
                </pic:pic>
              </a:graphicData>
            </a:graphic>
          </wp:inline>
        </w:drawing>
      </w:r>
    </w:p>
    <w:p w14:paraId="5B0EBABA" w14:textId="77777777" w:rsidR="00005863" w:rsidRPr="00805A77" w:rsidRDefault="00000000">
      <w:pPr>
        <w:spacing w:line="360" w:lineRule="auto"/>
        <w:jc w:val="both"/>
        <w:rPr>
          <w:rFonts w:ascii="Book Antiqua" w:hAnsi="Book Antiqua"/>
          <w:lang w:eastAsia="zh-CN"/>
        </w:rPr>
      </w:pPr>
      <w:r w:rsidRPr="00805A77">
        <w:rPr>
          <w:rFonts w:ascii="Book Antiqua" w:hAnsi="Book Antiqua"/>
          <w:b/>
          <w:bCs/>
          <w:lang w:eastAsia="zh-CN"/>
        </w:rPr>
        <w:t>Figure 2 Pathological morphology of gastric neuroendocrine tumors.</w:t>
      </w:r>
      <w:r w:rsidRPr="00805A77">
        <w:rPr>
          <w:rFonts w:ascii="Book Antiqua" w:hAnsi="Book Antiqua"/>
          <w:lang w:eastAsia="zh-CN"/>
        </w:rPr>
        <w:t xml:space="preserve"> A: Under low-power magnification, a neuroendocrine tumor was shown to infiltrate into the surrounding tissues; B: Under high-power magnification, tumor cells were rich in blood sinuses.</w:t>
      </w:r>
    </w:p>
    <w:p w14:paraId="5F1E4749" w14:textId="77777777" w:rsidR="00005863" w:rsidRPr="00805A77" w:rsidRDefault="00005863">
      <w:pPr>
        <w:spacing w:line="360" w:lineRule="auto"/>
        <w:jc w:val="both"/>
        <w:rPr>
          <w:rFonts w:ascii="Book Antiqua" w:hAnsi="Book Antiqua"/>
          <w:lang w:eastAsia="zh-CN"/>
        </w:rPr>
      </w:pPr>
    </w:p>
    <w:p w14:paraId="27A1B3EE" w14:textId="77777777" w:rsidR="00005863" w:rsidRPr="00805A77" w:rsidRDefault="00005863">
      <w:pPr>
        <w:spacing w:line="360" w:lineRule="auto"/>
        <w:jc w:val="both"/>
        <w:rPr>
          <w:rFonts w:ascii="Book Antiqua" w:hAnsi="Book Antiqua"/>
          <w:lang w:eastAsia="zh-CN"/>
        </w:rPr>
        <w:sectPr w:rsidR="00005863" w:rsidRPr="00805A77">
          <w:pgSz w:w="12240" w:h="15840"/>
          <w:pgMar w:top="1440" w:right="1440" w:bottom="1440" w:left="1440" w:header="720" w:footer="720" w:gutter="0"/>
          <w:cols w:space="720"/>
          <w:docGrid w:linePitch="360"/>
        </w:sectPr>
      </w:pPr>
    </w:p>
    <w:p w14:paraId="01808755" w14:textId="2B5E55A4" w:rsidR="00005863" w:rsidRPr="00805A77" w:rsidRDefault="00F1155B">
      <w:pPr>
        <w:spacing w:line="360" w:lineRule="auto"/>
        <w:jc w:val="both"/>
        <w:rPr>
          <w:rFonts w:ascii="Book Antiqua" w:hAnsi="Book Antiqua"/>
          <w:lang w:eastAsia="zh-CN"/>
        </w:rPr>
      </w:pPr>
      <w:r w:rsidRPr="00805A77">
        <w:rPr>
          <w:rFonts w:ascii="Book Antiqua" w:hAnsi="Book Antiqua"/>
          <w:noProof/>
          <w:lang w:eastAsia="zh-CN"/>
        </w:rPr>
        <w:lastRenderedPageBreak/>
        <w:drawing>
          <wp:inline distT="0" distB="0" distL="0" distR="0" wp14:anchorId="5D08432D" wp14:editId="5C145D46">
            <wp:extent cx="5016500" cy="2628900"/>
            <wp:effectExtent l="0" t="0" r="0" b="0"/>
            <wp:docPr id="7576953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95330" name="图片 7576953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16500" cy="2628900"/>
                    </a:xfrm>
                    <a:prstGeom prst="rect">
                      <a:avLst/>
                    </a:prstGeom>
                  </pic:spPr>
                </pic:pic>
              </a:graphicData>
            </a:graphic>
          </wp:inline>
        </w:drawing>
      </w:r>
    </w:p>
    <w:p w14:paraId="3AD48180" w14:textId="77777777" w:rsidR="00005863" w:rsidRPr="00805A77" w:rsidRDefault="00000000">
      <w:pPr>
        <w:spacing w:line="360" w:lineRule="auto"/>
        <w:jc w:val="both"/>
        <w:rPr>
          <w:rFonts w:ascii="Book Antiqua" w:hAnsi="Book Antiqua"/>
          <w:lang w:eastAsia="zh-CN"/>
        </w:rPr>
      </w:pPr>
      <w:r w:rsidRPr="00805A77">
        <w:rPr>
          <w:rFonts w:ascii="Book Antiqua" w:hAnsi="Book Antiqua"/>
          <w:b/>
          <w:bCs/>
          <w:lang w:eastAsia="zh-CN"/>
        </w:rPr>
        <w:t>Figure 3 Pathological changes of atrophic gastritis in the gastric corpus mucosa.</w:t>
      </w:r>
      <w:r w:rsidRPr="00805A77">
        <w:rPr>
          <w:rFonts w:ascii="Book Antiqua" w:hAnsi="Book Antiqua"/>
          <w:lang w:eastAsia="zh-CN"/>
        </w:rPr>
        <w:t xml:space="preserve"> A: Under low-power magnification, </w:t>
      </w:r>
      <w:r w:rsidRPr="00805A77">
        <w:rPr>
          <w:rFonts w:ascii="Book Antiqua" w:hAnsi="Book Antiqua" w:hint="eastAsia"/>
          <w:lang w:eastAsia="zh-CN"/>
        </w:rPr>
        <w:t xml:space="preserve">a </w:t>
      </w:r>
      <w:r w:rsidRPr="00805A77">
        <w:rPr>
          <w:rFonts w:ascii="Book Antiqua" w:hAnsi="Book Antiqua"/>
          <w:lang w:eastAsia="zh-CN"/>
        </w:rPr>
        <w:t xml:space="preserve">reduction </w:t>
      </w:r>
      <w:r w:rsidRPr="00805A77">
        <w:rPr>
          <w:rFonts w:ascii="Book Antiqua" w:hAnsi="Book Antiqua" w:hint="eastAsia"/>
          <w:lang w:eastAsia="zh-CN"/>
        </w:rPr>
        <w:t xml:space="preserve">in the number </w:t>
      </w:r>
      <w:r w:rsidRPr="00805A77">
        <w:rPr>
          <w:rFonts w:ascii="Book Antiqua" w:hAnsi="Book Antiqua"/>
          <w:lang w:eastAsia="zh-CN"/>
        </w:rPr>
        <w:t>of gastric fundus glands w</w:t>
      </w:r>
      <w:r w:rsidRPr="00805A77">
        <w:rPr>
          <w:rFonts w:ascii="Book Antiqua" w:hAnsi="Book Antiqua" w:hint="eastAsia"/>
          <w:lang w:eastAsia="zh-CN"/>
        </w:rPr>
        <w:t>as</w:t>
      </w:r>
      <w:r w:rsidRPr="00805A77">
        <w:rPr>
          <w:rFonts w:ascii="Book Antiqua" w:hAnsi="Book Antiqua"/>
          <w:lang w:eastAsia="zh-CN"/>
        </w:rPr>
        <w:t xml:space="preserve"> seen; B: Under high-power magnification, gland intestinal metaplasia and lymphocyte infiltration were seen.</w:t>
      </w:r>
    </w:p>
    <w:p w14:paraId="0578D921" w14:textId="77777777" w:rsidR="00005863" w:rsidRPr="00805A77" w:rsidRDefault="00005863">
      <w:pPr>
        <w:spacing w:line="360" w:lineRule="auto"/>
        <w:jc w:val="both"/>
        <w:rPr>
          <w:rFonts w:ascii="Book Antiqua" w:hAnsi="Book Antiqua"/>
          <w:lang w:eastAsia="zh-CN"/>
        </w:rPr>
        <w:sectPr w:rsidR="00005863" w:rsidRPr="00805A77">
          <w:pgSz w:w="12240" w:h="15840"/>
          <w:pgMar w:top="1440" w:right="1440" w:bottom="1440" w:left="1440" w:header="720" w:footer="720" w:gutter="0"/>
          <w:cols w:space="720"/>
          <w:docGrid w:linePitch="360"/>
        </w:sectPr>
      </w:pPr>
    </w:p>
    <w:p w14:paraId="082E8CD3" w14:textId="64C80986" w:rsidR="00005863" w:rsidRPr="00805A77" w:rsidRDefault="00F1155B">
      <w:pPr>
        <w:spacing w:line="360" w:lineRule="auto"/>
        <w:jc w:val="both"/>
        <w:rPr>
          <w:rFonts w:ascii="Book Antiqua" w:hAnsi="Book Antiqua"/>
          <w:lang w:eastAsia="zh-CN"/>
        </w:rPr>
      </w:pPr>
      <w:r w:rsidRPr="00805A77">
        <w:rPr>
          <w:rFonts w:ascii="Book Antiqua" w:hAnsi="Book Antiqua"/>
          <w:noProof/>
          <w:lang w:eastAsia="zh-CN"/>
        </w:rPr>
        <w:lastRenderedPageBreak/>
        <w:drawing>
          <wp:inline distT="0" distB="0" distL="0" distR="0" wp14:anchorId="69224EB7" wp14:editId="7BECDECC">
            <wp:extent cx="5016500" cy="5118100"/>
            <wp:effectExtent l="0" t="0" r="0" b="0"/>
            <wp:docPr id="529836153" name="图片 4" descr="图片包含 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36153" name="图片 4" descr="图片包含 背景图案&#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16500" cy="5118100"/>
                    </a:xfrm>
                    <a:prstGeom prst="rect">
                      <a:avLst/>
                    </a:prstGeom>
                  </pic:spPr>
                </pic:pic>
              </a:graphicData>
            </a:graphic>
          </wp:inline>
        </w:drawing>
      </w:r>
    </w:p>
    <w:p w14:paraId="7CDD3937" w14:textId="77777777" w:rsidR="00005863" w:rsidRPr="00805A77" w:rsidRDefault="00000000">
      <w:pPr>
        <w:spacing w:line="360" w:lineRule="auto"/>
        <w:jc w:val="both"/>
        <w:rPr>
          <w:rFonts w:ascii="Book Antiqua" w:hAnsi="Book Antiqua"/>
          <w:lang w:eastAsia="zh-CN"/>
        </w:rPr>
      </w:pPr>
      <w:r w:rsidRPr="00805A77">
        <w:rPr>
          <w:rFonts w:ascii="Book Antiqua" w:hAnsi="Book Antiqua"/>
          <w:b/>
          <w:bCs/>
          <w:lang w:eastAsia="zh-CN"/>
        </w:rPr>
        <w:t>Figure 4 Immunohistochemical</w:t>
      </w:r>
      <w:r w:rsidRPr="00805A77">
        <w:rPr>
          <w:rFonts w:ascii="Book Antiqua" w:hAnsi="Book Antiqua" w:hint="eastAsia"/>
          <w:b/>
          <w:bCs/>
          <w:lang w:eastAsia="zh-CN"/>
        </w:rPr>
        <w:t xml:space="preserve"> </w:t>
      </w:r>
      <w:r w:rsidRPr="00805A77">
        <w:rPr>
          <w:rFonts w:ascii="Book Antiqua" w:hAnsi="Book Antiqua"/>
          <w:b/>
          <w:bCs/>
          <w:lang w:eastAsia="zh-CN"/>
        </w:rPr>
        <w:t>findings.</w:t>
      </w:r>
      <w:r w:rsidRPr="00805A77">
        <w:rPr>
          <w:rFonts w:ascii="Book Antiqua" w:hAnsi="Book Antiqua"/>
          <w:lang w:eastAsia="zh-CN"/>
        </w:rPr>
        <w:t xml:space="preserve"> A</w:t>
      </w:r>
      <w:r w:rsidRPr="00805A77">
        <w:rPr>
          <w:rFonts w:ascii="Book Antiqua" w:hAnsi="Book Antiqua" w:hint="eastAsia"/>
          <w:lang w:eastAsia="zh-CN"/>
        </w:rPr>
        <w:t>-C</w:t>
      </w:r>
      <w:r w:rsidRPr="00805A77">
        <w:rPr>
          <w:rFonts w:ascii="Book Antiqua" w:hAnsi="Book Antiqua"/>
          <w:lang w:eastAsia="zh-CN"/>
        </w:rPr>
        <w:t>: The tumor cells were strongly positive for CgA</w:t>
      </w:r>
      <w:r w:rsidRPr="00805A77">
        <w:rPr>
          <w:rFonts w:ascii="Book Antiqua" w:hAnsi="Book Antiqua" w:hint="eastAsia"/>
          <w:lang w:eastAsia="zh-CN"/>
        </w:rPr>
        <w:t xml:space="preserve"> (A), </w:t>
      </w:r>
      <w:r w:rsidRPr="00805A77">
        <w:rPr>
          <w:rFonts w:ascii="Book Antiqua" w:hAnsi="Book Antiqua"/>
          <w:lang w:eastAsia="zh-CN"/>
        </w:rPr>
        <w:t>Syn</w:t>
      </w:r>
      <w:r w:rsidRPr="00805A77">
        <w:rPr>
          <w:rFonts w:ascii="Book Antiqua" w:hAnsi="Book Antiqua" w:hint="eastAsia"/>
          <w:lang w:eastAsia="zh-CN"/>
        </w:rPr>
        <w:t xml:space="preserve"> (B), and </w:t>
      </w:r>
      <w:r w:rsidRPr="00805A77">
        <w:rPr>
          <w:rFonts w:ascii="Book Antiqua" w:hAnsi="Book Antiqua"/>
          <w:lang w:eastAsia="zh-CN"/>
        </w:rPr>
        <w:t>CD56</w:t>
      </w:r>
      <w:r w:rsidRPr="00805A77">
        <w:rPr>
          <w:rFonts w:ascii="Book Antiqua" w:hAnsi="Book Antiqua" w:hint="eastAsia"/>
          <w:lang w:eastAsia="zh-CN"/>
        </w:rPr>
        <w:t xml:space="preserve"> (C)</w:t>
      </w:r>
      <w:r w:rsidRPr="00805A77">
        <w:rPr>
          <w:rFonts w:ascii="Book Antiqua" w:hAnsi="Book Antiqua"/>
          <w:lang w:eastAsia="zh-CN"/>
        </w:rPr>
        <w:t>; D: Immunohistochemical staining</w:t>
      </w:r>
      <w:r w:rsidRPr="00805A77">
        <w:rPr>
          <w:rFonts w:ascii="Book Antiqua" w:hAnsi="Book Antiqua" w:hint="eastAsia"/>
          <w:lang w:eastAsia="zh-CN"/>
        </w:rPr>
        <w:t xml:space="preserve"> </w:t>
      </w:r>
      <w:r w:rsidRPr="00805A77">
        <w:rPr>
          <w:rFonts w:ascii="Book Antiqua" w:hAnsi="Book Antiqua"/>
          <w:lang w:eastAsia="zh-CN"/>
        </w:rPr>
        <w:t>showed that gastrin was absent. An image showing</w:t>
      </w:r>
      <w:r w:rsidRPr="00805A77">
        <w:rPr>
          <w:rFonts w:ascii="Book Antiqua" w:hAnsi="Book Antiqua" w:hint="eastAsia"/>
          <w:lang w:eastAsia="zh-CN"/>
        </w:rPr>
        <w:t xml:space="preserve"> positive </w:t>
      </w:r>
      <w:r w:rsidRPr="00805A77">
        <w:rPr>
          <w:rFonts w:ascii="Book Antiqua" w:hAnsi="Book Antiqua"/>
          <w:lang w:eastAsia="zh-CN"/>
        </w:rPr>
        <w:t xml:space="preserve">immunohistochemical staining </w:t>
      </w:r>
      <w:r w:rsidRPr="00805A77">
        <w:rPr>
          <w:rFonts w:ascii="Book Antiqua" w:hAnsi="Book Antiqua" w:hint="eastAsia"/>
          <w:lang w:eastAsia="zh-CN"/>
        </w:rPr>
        <w:t xml:space="preserve">for </w:t>
      </w:r>
      <w:r w:rsidRPr="00805A77">
        <w:rPr>
          <w:rFonts w:ascii="Book Antiqua" w:hAnsi="Book Antiqua"/>
          <w:lang w:eastAsia="zh-CN"/>
        </w:rPr>
        <w:t>gastrin</w:t>
      </w:r>
      <w:r w:rsidRPr="00805A77">
        <w:rPr>
          <w:rFonts w:ascii="Book Antiqua" w:hAnsi="Book Antiqua" w:hint="eastAsia"/>
          <w:lang w:eastAsia="zh-CN"/>
        </w:rPr>
        <w:t xml:space="preserve"> </w:t>
      </w:r>
      <w:r w:rsidRPr="00805A77">
        <w:rPr>
          <w:rFonts w:ascii="Book Antiqua" w:hAnsi="Book Antiqua"/>
          <w:lang w:eastAsia="zh-CN"/>
        </w:rPr>
        <w:t xml:space="preserve">is presented in the lower right corner </w:t>
      </w:r>
      <w:r w:rsidRPr="00805A77">
        <w:rPr>
          <w:rFonts w:ascii="Book Antiqua" w:hAnsi="Book Antiqua" w:hint="eastAsia"/>
          <w:lang w:eastAsia="zh-CN"/>
        </w:rPr>
        <w:t xml:space="preserve">as a positive control </w:t>
      </w:r>
      <w:r w:rsidRPr="00805A77">
        <w:rPr>
          <w:rFonts w:ascii="Book Antiqua" w:hAnsi="Book Antiqua"/>
          <w:lang w:eastAsia="zh-CN"/>
        </w:rPr>
        <w:t>for comparison.</w:t>
      </w:r>
    </w:p>
    <w:p w14:paraId="4DE8E685" w14:textId="77777777" w:rsidR="00005863" w:rsidRPr="00805A77" w:rsidRDefault="00005863">
      <w:pPr>
        <w:spacing w:line="360" w:lineRule="auto"/>
        <w:jc w:val="both"/>
        <w:rPr>
          <w:rFonts w:ascii="Book Antiqua" w:hAnsi="Book Antiqua"/>
          <w:lang w:eastAsia="zh-CN"/>
        </w:rPr>
        <w:sectPr w:rsidR="00005863" w:rsidRPr="00805A77">
          <w:pgSz w:w="12240" w:h="15840"/>
          <w:pgMar w:top="1440" w:right="1440" w:bottom="1440" w:left="1440" w:header="720" w:footer="720" w:gutter="0"/>
          <w:cols w:space="720"/>
          <w:docGrid w:linePitch="360"/>
        </w:sectPr>
      </w:pPr>
    </w:p>
    <w:p w14:paraId="7AE059C0" w14:textId="008B984E" w:rsidR="00005863" w:rsidRPr="00805A77" w:rsidRDefault="00F1155B">
      <w:pPr>
        <w:spacing w:line="360" w:lineRule="auto"/>
        <w:jc w:val="both"/>
        <w:rPr>
          <w:rFonts w:ascii="Book Antiqua" w:hAnsi="Book Antiqua"/>
          <w:lang w:eastAsia="zh-CN"/>
        </w:rPr>
      </w:pPr>
      <w:r w:rsidRPr="00805A77">
        <w:rPr>
          <w:rFonts w:ascii="Book Antiqua" w:hAnsi="Book Antiqua"/>
          <w:noProof/>
          <w:lang w:eastAsia="zh-CN"/>
        </w:rPr>
        <w:lastRenderedPageBreak/>
        <w:drawing>
          <wp:inline distT="0" distB="0" distL="0" distR="0" wp14:anchorId="065EA568" wp14:editId="2AFF4AC6">
            <wp:extent cx="5943600" cy="4719955"/>
            <wp:effectExtent l="0" t="0" r="0" b="4445"/>
            <wp:docPr id="373157653" name="图片 5" descr="图形用户界面, 应用程序, 表格, Excel&#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57653" name="图片 5" descr="图形用户界面, 应用程序, 表格, Excel&#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719955"/>
                    </a:xfrm>
                    <a:prstGeom prst="rect">
                      <a:avLst/>
                    </a:prstGeom>
                  </pic:spPr>
                </pic:pic>
              </a:graphicData>
            </a:graphic>
          </wp:inline>
        </w:drawing>
      </w:r>
    </w:p>
    <w:p w14:paraId="0BE00800" w14:textId="77777777" w:rsidR="00005863" w:rsidRPr="00805A77" w:rsidRDefault="00000000">
      <w:pPr>
        <w:spacing w:line="360" w:lineRule="auto"/>
        <w:jc w:val="both"/>
        <w:rPr>
          <w:rFonts w:ascii="Book Antiqua" w:hAnsi="Book Antiqua"/>
          <w:lang w:eastAsia="zh-CN"/>
        </w:rPr>
      </w:pPr>
      <w:r w:rsidRPr="00805A77">
        <w:rPr>
          <w:rFonts w:ascii="Book Antiqua" w:hAnsi="Book Antiqua"/>
          <w:b/>
          <w:bCs/>
          <w:lang w:eastAsia="zh-CN"/>
        </w:rPr>
        <w:t xml:space="preserve">Figure 5 </w:t>
      </w:r>
      <w:r w:rsidRPr="00805A77">
        <w:rPr>
          <w:rFonts w:ascii="Book Antiqua" w:hAnsi="Book Antiqua" w:hint="eastAsia"/>
          <w:b/>
          <w:bCs/>
          <w:lang w:eastAsia="zh-CN"/>
        </w:rPr>
        <w:t>Next</w:t>
      </w:r>
      <w:r w:rsidRPr="00805A77">
        <w:rPr>
          <w:rFonts w:ascii="Book Antiqua" w:hAnsi="Book Antiqua"/>
          <w:b/>
          <w:bCs/>
          <w:lang w:eastAsia="zh-CN"/>
        </w:rPr>
        <w:t>-generation sequencing</w:t>
      </w:r>
      <w:r w:rsidRPr="00805A77">
        <w:rPr>
          <w:rFonts w:ascii="Book Antiqua" w:hAnsi="Book Antiqua" w:hint="eastAsia"/>
          <w:b/>
          <w:bCs/>
          <w:lang w:eastAsia="zh-CN"/>
        </w:rPr>
        <w:t xml:space="preserve"> </w:t>
      </w:r>
      <w:r w:rsidRPr="00805A77">
        <w:rPr>
          <w:rFonts w:ascii="Book Antiqua" w:hAnsi="Book Antiqua"/>
          <w:b/>
          <w:bCs/>
          <w:lang w:eastAsia="zh-CN"/>
        </w:rPr>
        <w:t>showed the</w:t>
      </w:r>
      <w:r w:rsidRPr="00805A77">
        <w:rPr>
          <w:rFonts w:ascii="Book Antiqua" w:hAnsi="Book Antiqua" w:hint="eastAsia"/>
          <w:b/>
          <w:bCs/>
          <w:lang w:eastAsia="zh-CN"/>
        </w:rPr>
        <w:t xml:space="preserve"> presence of a</w:t>
      </w:r>
      <w:r w:rsidRPr="00805A77">
        <w:rPr>
          <w:rFonts w:ascii="Book Antiqua" w:hAnsi="Book Antiqua"/>
          <w:b/>
          <w:bCs/>
          <w:lang w:eastAsia="zh-CN"/>
        </w:rPr>
        <w:t xml:space="preserve"> heterozygous germline mutation in </w:t>
      </w:r>
      <w:r w:rsidRPr="00805A77">
        <w:rPr>
          <w:rFonts w:ascii="Book Antiqua" w:hAnsi="Book Antiqua"/>
          <w:b/>
          <w:bCs/>
          <w:i/>
          <w:iCs/>
          <w:lang w:eastAsia="zh-CN"/>
        </w:rPr>
        <w:t>BRCA2</w:t>
      </w:r>
      <w:r w:rsidRPr="00805A77">
        <w:rPr>
          <w:rFonts w:ascii="Book Antiqua" w:hAnsi="Book Antiqua"/>
          <w:b/>
          <w:bCs/>
          <w:lang w:eastAsia="zh-CN"/>
        </w:rPr>
        <w:t xml:space="preserve"> exon 11, c.6443_644del, (p_s2148Yfs*2). </w:t>
      </w:r>
      <w:bookmarkStart w:id="68" w:name="OLE_LINK1127"/>
      <w:r w:rsidRPr="00805A77">
        <w:rPr>
          <w:rFonts w:ascii="Book Antiqua" w:hAnsi="Book Antiqua"/>
          <w:lang w:eastAsia="zh-CN"/>
        </w:rPr>
        <w:t>The upper and lower parts in the figure are tumor and control</w:t>
      </w:r>
      <w:r w:rsidRPr="00805A77">
        <w:rPr>
          <w:rFonts w:ascii="Book Antiqua" w:hAnsi="Book Antiqua" w:hint="eastAsia"/>
          <w:lang w:eastAsia="zh-CN"/>
        </w:rPr>
        <w:t>, respectively</w:t>
      </w:r>
      <w:r w:rsidRPr="00805A77">
        <w:rPr>
          <w:rFonts w:ascii="Book Antiqua" w:hAnsi="Book Antiqua"/>
          <w:lang w:eastAsia="zh-CN"/>
        </w:rPr>
        <w:t>.</w:t>
      </w:r>
    </w:p>
    <w:bookmarkEnd w:id="68"/>
    <w:p w14:paraId="2C9F952F" w14:textId="62EF0A80" w:rsidR="00D4697B" w:rsidRPr="00805A77" w:rsidRDefault="00D4697B">
      <w:pPr>
        <w:spacing w:line="360" w:lineRule="auto"/>
        <w:jc w:val="both"/>
        <w:rPr>
          <w:rFonts w:ascii="Book Antiqua" w:hAnsi="Book Antiqua"/>
          <w:lang w:eastAsia="zh-CN"/>
        </w:rPr>
      </w:pPr>
    </w:p>
    <w:p w14:paraId="0772AA0B" w14:textId="77777777" w:rsidR="00D4697B" w:rsidRPr="00805A77" w:rsidRDefault="00D4697B">
      <w:pPr>
        <w:rPr>
          <w:rFonts w:ascii="Book Antiqua" w:hAnsi="Book Antiqua"/>
          <w:lang w:eastAsia="zh-CN"/>
        </w:rPr>
      </w:pPr>
      <w:r w:rsidRPr="00805A77">
        <w:rPr>
          <w:rFonts w:ascii="Book Antiqua" w:hAnsi="Book Antiqua"/>
          <w:lang w:eastAsia="zh-CN"/>
        </w:rPr>
        <w:br w:type="page"/>
      </w:r>
    </w:p>
    <w:p w14:paraId="54F21DCB" w14:textId="77777777" w:rsidR="00D4697B" w:rsidRPr="00805A77" w:rsidRDefault="00D4697B" w:rsidP="00D4697B">
      <w:pPr>
        <w:snapToGrid w:val="0"/>
        <w:ind w:leftChars="100" w:left="240"/>
        <w:jc w:val="center"/>
        <w:rPr>
          <w:rFonts w:ascii="Book Antiqua" w:hAnsi="Book Antiqua"/>
        </w:rPr>
      </w:pPr>
    </w:p>
    <w:p w14:paraId="676DDE9E" w14:textId="77777777" w:rsidR="00D4697B" w:rsidRPr="00805A77" w:rsidRDefault="00D4697B" w:rsidP="00D4697B">
      <w:pPr>
        <w:snapToGrid w:val="0"/>
        <w:ind w:leftChars="100" w:left="240"/>
        <w:jc w:val="center"/>
        <w:rPr>
          <w:rFonts w:ascii="Book Antiqua" w:hAnsi="Book Antiqua"/>
        </w:rPr>
      </w:pPr>
    </w:p>
    <w:p w14:paraId="7D02467C" w14:textId="77777777" w:rsidR="00D4697B" w:rsidRPr="00805A77" w:rsidRDefault="00D4697B" w:rsidP="00D4697B">
      <w:pPr>
        <w:snapToGrid w:val="0"/>
        <w:ind w:leftChars="100" w:left="240"/>
        <w:jc w:val="center"/>
        <w:rPr>
          <w:rFonts w:ascii="Book Antiqua" w:hAnsi="Book Antiqua"/>
        </w:rPr>
      </w:pPr>
    </w:p>
    <w:p w14:paraId="5B57033F" w14:textId="77777777" w:rsidR="00D4697B" w:rsidRPr="00805A77" w:rsidRDefault="00D4697B" w:rsidP="00D4697B">
      <w:pPr>
        <w:snapToGrid w:val="0"/>
        <w:ind w:leftChars="100" w:left="240"/>
        <w:jc w:val="center"/>
        <w:rPr>
          <w:rFonts w:ascii="Book Antiqua" w:hAnsi="Book Antiqua"/>
        </w:rPr>
      </w:pPr>
    </w:p>
    <w:p w14:paraId="34247FFF" w14:textId="77777777" w:rsidR="00D4697B" w:rsidRPr="00805A77" w:rsidRDefault="00D4697B" w:rsidP="00D4697B">
      <w:pPr>
        <w:snapToGrid w:val="0"/>
        <w:ind w:leftChars="100" w:left="240"/>
        <w:jc w:val="center"/>
        <w:rPr>
          <w:rFonts w:ascii="Book Antiqua" w:hAnsi="Book Antiqua"/>
        </w:rPr>
      </w:pPr>
      <w:r w:rsidRPr="00805A77">
        <w:rPr>
          <w:rFonts w:ascii="Book Antiqua" w:hAnsi="Book Antiqua"/>
          <w:noProof/>
        </w:rPr>
        <w:drawing>
          <wp:inline distT="0" distB="0" distL="0" distR="0" wp14:anchorId="467BBF9F" wp14:editId="147312A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74F39FE" w14:textId="77777777" w:rsidR="00D4697B" w:rsidRPr="00805A77" w:rsidRDefault="00D4697B" w:rsidP="00D4697B">
      <w:pPr>
        <w:snapToGrid w:val="0"/>
        <w:ind w:leftChars="100" w:left="240"/>
        <w:jc w:val="center"/>
        <w:rPr>
          <w:rFonts w:ascii="Book Antiqua" w:hAnsi="Book Antiqua"/>
        </w:rPr>
      </w:pPr>
    </w:p>
    <w:p w14:paraId="3570B5BE" w14:textId="77777777" w:rsidR="00D4697B" w:rsidRPr="00805A77" w:rsidRDefault="00D4697B" w:rsidP="00D4697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805A77">
        <w:rPr>
          <w:rFonts w:ascii="Book Antiqua" w:eastAsia="TimesNewRomanPSMT" w:hAnsi="Book Antiqua" w:cs="TimesNewRomanPSMT"/>
          <w:color w:val="000000"/>
          <w:sz w:val="28"/>
          <w:szCs w:val="28"/>
        </w:rPr>
        <w:t xml:space="preserve">Published by </w:t>
      </w:r>
      <w:r w:rsidRPr="00805A77">
        <w:rPr>
          <w:rFonts w:ascii="Book Antiqua" w:eastAsia="Garamond-Bold" w:hAnsi="Book Antiqua" w:cs="Garamond-Bold"/>
          <w:b/>
          <w:bCs/>
          <w:color w:val="000000"/>
          <w:sz w:val="28"/>
          <w:szCs w:val="28"/>
        </w:rPr>
        <w:t>Baishideng Publishing Group Inc</w:t>
      </w:r>
    </w:p>
    <w:p w14:paraId="3FF9063A" w14:textId="77777777" w:rsidR="00D4697B" w:rsidRPr="00805A77" w:rsidRDefault="00D4697B" w:rsidP="00D4697B">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805A77">
        <w:rPr>
          <w:rFonts w:ascii="Book Antiqua" w:eastAsia="TimesNewRomanPSMT" w:hAnsi="Book Antiqua" w:cs="Garamond"/>
          <w:color w:val="000000"/>
          <w:sz w:val="28"/>
          <w:szCs w:val="28"/>
        </w:rPr>
        <w:t>7041 Koll Center Parkway, Suite 160, Pleasanton, CA 94566, USA</w:t>
      </w:r>
    </w:p>
    <w:p w14:paraId="4F70AE7E" w14:textId="77777777" w:rsidR="00D4697B" w:rsidRPr="00805A77" w:rsidRDefault="00D4697B" w:rsidP="00D4697B">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805A77">
        <w:rPr>
          <w:rFonts w:ascii="Book Antiqua" w:eastAsia="Garamond-Bold" w:hAnsi="Book Antiqua" w:cs="Garamond-Bold"/>
          <w:b/>
          <w:bCs/>
          <w:color w:val="000000"/>
          <w:sz w:val="28"/>
          <w:szCs w:val="28"/>
        </w:rPr>
        <w:t xml:space="preserve">Telephone: </w:t>
      </w:r>
      <w:r w:rsidRPr="00805A77">
        <w:rPr>
          <w:rFonts w:ascii="Book Antiqua" w:eastAsia="TimesNewRomanPSMT" w:hAnsi="Book Antiqua" w:cs="Garamond"/>
          <w:color w:val="000000"/>
          <w:sz w:val="28"/>
          <w:szCs w:val="28"/>
        </w:rPr>
        <w:t>+1-925-3991568</w:t>
      </w:r>
    </w:p>
    <w:p w14:paraId="30E3064B" w14:textId="77777777" w:rsidR="00D4697B" w:rsidRPr="00805A77" w:rsidRDefault="00D4697B" w:rsidP="00D4697B">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805A77">
        <w:rPr>
          <w:rFonts w:ascii="Book Antiqua" w:eastAsia="Garamond-Bold" w:hAnsi="Book Antiqua" w:cs="Garamond-Bold"/>
          <w:b/>
          <w:bCs/>
          <w:color w:val="000000"/>
          <w:sz w:val="28"/>
          <w:szCs w:val="28"/>
        </w:rPr>
        <w:t xml:space="preserve">E-mail: </w:t>
      </w:r>
      <w:r w:rsidRPr="00805A77">
        <w:rPr>
          <w:rFonts w:ascii="Book Antiqua" w:eastAsia="TimesNewRomanPSMT" w:hAnsi="Book Antiqua" w:cs="Garamond"/>
          <w:color w:val="D56400"/>
          <w:sz w:val="28"/>
          <w:szCs w:val="28"/>
        </w:rPr>
        <w:t>bpgoffice@wjgnet.com</w:t>
      </w:r>
    </w:p>
    <w:p w14:paraId="10754204" w14:textId="77777777" w:rsidR="00D4697B" w:rsidRPr="00805A77" w:rsidRDefault="00D4697B" w:rsidP="00D4697B">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805A77">
        <w:rPr>
          <w:rFonts w:ascii="Book Antiqua" w:eastAsia="Garamond-Bold" w:hAnsi="Book Antiqua" w:cs="Garamond-Bold"/>
          <w:b/>
          <w:bCs/>
          <w:color w:val="000000"/>
          <w:sz w:val="28"/>
          <w:szCs w:val="28"/>
        </w:rPr>
        <w:t xml:space="preserve">Help Desk: </w:t>
      </w:r>
      <w:r w:rsidRPr="00805A77">
        <w:rPr>
          <w:rFonts w:ascii="Book Antiqua" w:eastAsia="TimesNewRomanPSMT" w:hAnsi="Book Antiqua" w:cs="Garamond"/>
          <w:color w:val="D56400"/>
          <w:sz w:val="28"/>
          <w:szCs w:val="28"/>
        </w:rPr>
        <w:t>https://www.f6publishing.com/helpdesk</w:t>
      </w:r>
    </w:p>
    <w:p w14:paraId="7D7253F7" w14:textId="77777777" w:rsidR="00D4697B" w:rsidRPr="00805A77" w:rsidRDefault="00D4697B" w:rsidP="00D4697B">
      <w:pPr>
        <w:snapToGrid w:val="0"/>
        <w:ind w:leftChars="100" w:left="240"/>
        <w:jc w:val="center"/>
        <w:rPr>
          <w:rFonts w:ascii="Book Antiqua" w:hAnsi="Book Antiqua"/>
        </w:rPr>
      </w:pPr>
      <w:r w:rsidRPr="00805A77">
        <w:rPr>
          <w:rFonts w:ascii="Book Antiqua" w:eastAsia="TimesNewRomanPSMT" w:hAnsi="Book Antiqua" w:cs="Garamond"/>
          <w:color w:val="D56400"/>
          <w:sz w:val="28"/>
          <w:szCs w:val="28"/>
        </w:rPr>
        <w:t>https://www.wjgnet.com</w:t>
      </w:r>
    </w:p>
    <w:p w14:paraId="260C13A2" w14:textId="77777777" w:rsidR="00D4697B" w:rsidRPr="00805A77" w:rsidRDefault="00D4697B" w:rsidP="00D4697B">
      <w:pPr>
        <w:snapToGrid w:val="0"/>
        <w:ind w:leftChars="100" w:left="240"/>
        <w:jc w:val="center"/>
        <w:rPr>
          <w:rFonts w:ascii="Book Antiqua" w:hAnsi="Book Antiqua"/>
        </w:rPr>
      </w:pPr>
    </w:p>
    <w:p w14:paraId="3859ECB8" w14:textId="77777777" w:rsidR="00D4697B" w:rsidRPr="00805A77" w:rsidRDefault="00D4697B" w:rsidP="00D4697B">
      <w:pPr>
        <w:snapToGrid w:val="0"/>
        <w:ind w:leftChars="100" w:left="240"/>
        <w:jc w:val="center"/>
        <w:rPr>
          <w:rFonts w:ascii="Book Antiqua" w:hAnsi="Book Antiqua"/>
        </w:rPr>
      </w:pPr>
    </w:p>
    <w:p w14:paraId="6CDB1187" w14:textId="77777777" w:rsidR="00D4697B" w:rsidRPr="00805A77" w:rsidRDefault="00D4697B" w:rsidP="00D4697B">
      <w:pPr>
        <w:snapToGrid w:val="0"/>
        <w:ind w:leftChars="100" w:left="240"/>
        <w:jc w:val="center"/>
        <w:rPr>
          <w:rFonts w:ascii="Book Antiqua" w:hAnsi="Book Antiqua"/>
        </w:rPr>
      </w:pPr>
    </w:p>
    <w:p w14:paraId="2B3C5B36" w14:textId="77777777" w:rsidR="00D4697B" w:rsidRPr="00805A77" w:rsidRDefault="00D4697B" w:rsidP="00D4697B">
      <w:pPr>
        <w:snapToGrid w:val="0"/>
        <w:ind w:leftChars="100" w:left="240"/>
        <w:jc w:val="center"/>
        <w:rPr>
          <w:rFonts w:ascii="Book Antiqua" w:hAnsi="Book Antiqua"/>
        </w:rPr>
      </w:pPr>
      <w:r w:rsidRPr="00805A77">
        <w:rPr>
          <w:rFonts w:ascii="Book Antiqua" w:hAnsi="Book Antiqua"/>
          <w:noProof/>
        </w:rPr>
        <w:drawing>
          <wp:inline distT="0" distB="0" distL="0" distR="0" wp14:anchorId="1D9E5221" wp14:editId="5DC172D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583E123" w14:textId="77777777" w:rsidR="00D4697B" w:rsidRPr="00805A77" w:rsidRDefault="00D4697B" w:rsidP="00D4697B">
      <w:pPr>
        <w:snapToGrid w:val="0"/>
        <w:ind w:leftChars="100" w:left="240"/>
        <w:jc w:val="center"/>
        <w:rPr>
          <w:rFonts w:ascii="Book Antiqua" w:hAnsi="Book Antiqua"/>
        </w:rPr>
      </w:pPr>
    </w:p>
    <w:p w14:paraId="6F60D03B" w14:textId="77777777" w:rsidR="00D4697B" w:rsidRPr="00805A77" w:rsidRDefault="00D4697B" w:rsidP="00D4697B">
      <w:pPr>
        <w:snapToGrid w:val="0"/>
        <w:ind w:leftChars="100" w:left="240"/>
        <w:jc w:val="center"/>
        <w:rPr>
          <w:rFonts w:ascii="Book Antiqua" w:hAnsi="Book Antiqua"/>
        </w:rPr>
      </w:pPr>
    </w:p>
    <w:p w14:paraId="70216370" w14:textId="77777777" w:rsidR="00D4697B" w:rsidRPr="00805A77" w:rsidRDefault="00D4697B" w:rsidP="00D4697B">
      <w:pPr>
        <w:snapToGrid w:val="0"/>
        <w:ind w:leftChars="100" w:left="240"/>
        <w:jc w:val="center"/>
        <w:rPr>
          <w:rFonts w:ascii="Book Antiqua" w:hAnsi="Book Antiqua"/>
        </w:rPr>
      </w:pPr>
    </w:p>
    <w:p w14:paraId="4BF0B134" w14:textId="77777777" w:rsidR="00D4697B" w:rsidRPr="00805A77" w:rsidRDefault="00D4697B" w:rsidP="00D4697B">
      <w:pPr>
        <w:snapToGrid w:val="0"/>
        <w:ind w:leftChars="100" w:left="240"/>
        <w:jc w:val="center"/>
        <w:rPr>
          <w:rFonts w:ascii="Book Antiqua" w:hAnsi="Book Antiqua"/>
        </w:rPr>
      </w:pPr>
    </w:p>
    <w:p w14:paraId="6BCAF8EC" w14:textId="77777777" w:rsidR="00D4697B" w:rsidRPr="00805A77" w:rsidRDefault="00D4697B" w:rsidP="00D4697B">
      <w:pPr>
        <w:snapToGrid w:val="0"/>
        <w:ind w:leftChars="100" w:left="240"/>
        <w:jc w:val="center"/>
        <w:rPr>
          <w:rFonts w:ascii="Book Antiqua" w:hAnsi="Book Antiqua"/>
        </w:rPr>
      </w:pPr>
    </w:p>
    <w:p w14:paraId="64BC5830" w14:textId="77777777" w:rsidR="00D4697B" w:rsidRPr="00805A77" w:rsidRDefault="00D4697B" w:rsidP="00D4697B">
      <w:pPr>
        <w:snapToGrid w:val="0"/>
        <w:ind w:leftChars="100" w:left="240"/>
        <w:jc w:val="center"/>
        <w:rPr>
          <w:rFonts w:ascii="Book Antiqua" w:hAnsi="Book Antiqua"/>
        </w:rPr>
      </w:pPr>
    </w:p>
    <w:p w14:paraId="28901D34" w14:textId="77777777" w:rsidR="00D4697B" w:rsidRPr="00805A77" w:rsidRDefault="00D4697B" w:rsidP="00D4697B">
      <w:pPr>
        <w:snapToGrid w:val="0"/>
        <w:ind w:leftChars="100" w:left="240"/>
        <w:jc w:val="center"/>
        <w:rPr>
          <w:rFonts w:ascii="Book Antiqua" w:hAnsi="Book Antiqua"/>
        </w:rPr>
      </w:pPr>
    </w:p>
    <w:p w14:paraId="3BBD1FB8" w14:textId="77777777" w:rsidR="00D4697B" w:rsidRPr="00805A77" w:rsidRDefault="00D4697B" w:rsidP="00D4697B">
      <w:pPr>
        <w:snapToGrid w:val="0"/>
        <w:ind w:leftChars="100" w:left="240"/>
        <w:jc w:val="center"/>
        <w:rPr>
          <w:rFonts w:ascii="Book Antiqua" w:hAnsi="Book Antiqua"/>
        </w:rPr>
      </w:pPr>
    </w:p>
    <w:p w14:paraId="6176A8CA" w14:textId="77777777" w:rsidR="00D4697B" w:rsidRPr="00805A77" w:rsidRDefault="00D4697B" w:rsidP="00D4697B">
      <w:pPr>
        <w:snapToGrid w:val="0"/>
        <w:ind w:leftChars="100" w:left="240"/>
        <w:jc w:val="center"/>
        <w:rPr>
          <w:rFonts w:ascii="Book Antiqua" w:hAnsi="Book Antiqua"/>
        </w:rPr>
      </w:pPr>
    </w:p>
    <w:p w14:paraId="20362A25" w14:textId="77777777" w:rsidR="00D4697B" w:rsidRPr="00805A77" w:rsidRDefault="00D4697B" w:rsidP="00D4697B">
      <w:pPr>
        <w:snapToGrid w:val="0"/>
        <w:ind w:leftChars="100" w:left="240"/>
        <w:jc w:val="right"/>
        <w:rPr>
          <w:rFonts w:ascii="Book Antiqua" w:hAnsi="Book Antiqua"/>
          <w:color w:val="000000" w:themeColor="text1"/>
        </w:rPr>
      </w:pPr>
    </w:p>
    <w:p w14:paraId="58FBA255" w14:textId="77777777" w:rsidR="00D4697B" w:rsidRDefault="00D4697B" w:rsidP="00D4697B">
      <w:pPr>
        <w:snapToGrid w:val="0"/>
        <w:jc w:val="center"/>
        <w:rPr>
          <w:rFonts w:ascii="Book Antiqua" w:hAnsi="Book Antiqua"/>
          <w:shd w:val="clear" w:color="auto" w:fill="FFFFFF"/>
        </w:rPr>
      </w:pPr>
      <w:r w:rsidRPr="00805A77">
        <w:rPr>
          <w:rFonts w:ascii="Book Antiqua" w:eastAsia="BookAntiqua-Bold" w:hAnsi="Book Antiqua" w:cs="BookAntiqua-Bold"/>
          <w:b/>
          <w:bCs/>
          <w:color w:val="000000" w:themeColor="text1"/>
        </w:rPr>
        <w:t>© 202</w:t>
      </w:r>
      <w:r w:rsidRPr="00805A77">
        <w:rPr>
          <w:rFonts w:ascii="Book Antiqua" w:hAnsi="Book Antiqua" w:cs="BookAntiqua-Bold"/>
          <w:b/>
          <w:bCs/>
          <w:color w:val="000000" w:themeColor="text1"/>
        </w:rPr>
        <w:t>3</w:t>
      </w:r>
      <w:r w:rsidRPr="00805A77">
        <w:rPr>
          <w:rFonts w:ascii="Book Antiqua" w:eastAsia="BookAntiqua-Bold" w:hAnsi="Book Antiqua" w:cs="BookAntiqua-Bold"/>
          <w:b/>
          <w:bCs/>
          <w:color w:val="000000" w:themeColor="text1"/>
        </w:rPr>
        <w:t xml:space="preserve"> Baishideng Publishing Group Inc. All rights reserved.</w:t>
      </w:r>
    </w:p>
    <w:p w14:paraId="488F8F5D" w14:textId="77777777" w:rsidR="00D4697B" w:rsidRDefault="00D4697B" w:rsidP="00D4697B">
      <w:pPr>
        <w:rPr>
          <w:rFonts w:ascii="Book Antiqua" w:hAnsi="Book Antiqua" w:cs="Book Antiqua"/>
          <w:b/>
          <w:bCs/>
          <w:color w:val="000000"/>
        </w:rPr>
      </w:pPr>
    </w:p>
    <w:p w14:paraId="0B3748C3" w14:textId="77777777" w:rsidR="00005863" w:rsidRDefault="00005863">
      <w:pPr>
        <w:spacing w:line="360" w:lineRule="auto"/>
        <w:jc w:val="both"/>
        <w:rPr>
          <w:rFonts w:ascii="Book Antiqua" w:hAnsi="Book Antiqua"/>
          <w:lang w:eastAsia="zh-CN"/>
        </w:rPr>
      </w:pPr>
    </w:p>
    <w:sectPr w:rsidR="000058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8DBF8" w14:textId="77777777" w:rsidR="00710087" w:rsidRDefault="00710087">
      <w:r>
        <w:separator/>
      </w:r>
    </w:p>
  </w:endnote>
  <w:endnote w:type="continuationSeparator" w:id="0">
    <w:p w14:paraId="39FEF1FE" w14:textId="77777777" w:rsidR="00710087" w:rsidRDefault="00710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E1842" w14:textId="77777777" w:rsidR="00005863" w:rsidRDefault="00000000">
    <w:pPr>
      <w:pStyle w:val="a5"/>
      <w:jc w:val="right"/>
      <w:rPr>
        <w:rFonts w:ascii="Book Antiqua" w:hAnsi="Book Antiqua"/>
        <w:color w:val="000000" w:themeColor="text1"/>
        <w:sz w:val="24"/>
        <w:szCs w:val="24"/>
      </w:rPr>
    </w:pPr>
    <w:bookmarkStart w:id="17" w:name="OLE_LINK1086"/>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p>
  <w:bookmarkEnd w:id="17"/>
  <w:p w14:paraId="7EF54795" w14:textId="77777777" w:rsidR="00005863" w:rsidRDefault="0000586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7C5D7" w14:textId="77777777" w:rsidR="00710087" w:rsidRDefault="00710087">
      <w:r>
        <w:separator/>
      </w:r>
    </w:p>
  </w:footnote>
  <w:footnote w:type="continuationSeparator" w:id="0">
    <w:p w14:paraId="3F001719" w14:textId="77777777" w:rsidR="00710087" w:rsidRDefault="007100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05863"/>
    <w:rsid w:val="00125F3E"/>
    <w:rsid w:val="00144EC5"/>
    <w:rsid w:val="00275E1D"/>
    <w:rsid w:val="002B4936"/>
    <w:rsid w:val="0037471C"/>
    <w:rsid w:val="00382A72"/>
    <w:rsid w:val="0041171C"/>
    <w:rsid w:val="00634D23"/>
    <w:rsid w:val="00654C14"/>
    <w:rsid w:val="00680F10"/>
    <w:rsid w:val="00686CCB"/>
    <w:rsid w:val="006F7349"/>
    <w:rsid w:val="00710087"/>
    <w:rsid w:val="00767BFF"/>
    <w:rsid w:val="00805A77"/>
    <w:rsid w:val="008225DA"/>
    <w:rsid w:val="00834E1E"/>
    <w:rsid w:val="008D7F9B"/>
    <w:rsid w:val="009F28BD"/>
    <w:rsid w:val="00A140B6"/>
    <w:rsid w:val="00A4306C"/>
    <w:rsid w:val="00A77B3E"/>
    <w:rsid w:val="00A83610"/>
    <w:rsid w:val="00B6366C"/>
    <w:rsid w:val="00B709CF"/>
    <w:rsid w:val="00B80CB5"/>
    <w:rsid w:val="00B968FD"/>
    <w:rsid w:val="00B97152"/>
    <w:rsid w:val="00BA1A91"/>
    <w:rsid w:val="00C31548"/>
    <w:rsid w:val="00C35447"/>
    <w:rsid w:val="00CA2A55"/>
    <w:rsid w:val="00CE58E1"/>
    <w:rsid w:val="00D4697B"/>
    <w:rsid w:val="00D8233B"/>
    <w:rsid w:val="00DE4DB0"/>
    <w:rsid w:val="00F1155B"/>
    <w:rsid w:val="00FD1E6C"/>
    <w:rsid w:val="04E4472E"/>
    <w:rsid w:val="14551D69"/>
    <w:rsid w:val="19BB55B1"/>
    <w:rsid w:val="1CC06B75"/>
    <w:rsid w:val="1FC57F8C"/>
    <w:rsid w:val="202139BF"/>
    <w:rsid w:val="244F1803"/>
    <w:rsid w:val="250A44A9"/>
    <w:rsid w:val="2EB15996"/>
    <w:rsid w:val="2FAB10B6"/>
    <w:rsid w:val="305D3680"/>
    <w:rsid w:val="3F010794"/>
    <w:rsid w:val="4089522A"/>
    <w:rsid w:val="488839F4"/>
    <w:rsid w:val="48B21E5D"/>
    <w:rsid w:val="49092B17"/>
    <w:rsid w:val="4C2F16B5"/>
    <w:rsid w:val="57081D47"/>
    <w:rsid w:val="6C6475C8"/>
    <w:rsid w:val="6E203D46"/>
    <w:rsid w:val="7270316B"/>
    <w:rsid w:val="7F8025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5FEC8C"/>
  <w15:docId w15:val="{552BC793-F8FA-9E4C-9FCC-EE0015683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lsdException w:name="caption" w:semiHidden="1" w:unhideWhenUsed="1" w:qFormat="1"/>
    <w:lsdException w:name="annotation reference" w:qFormat="1"/>
    <w:lsdException w:name="Title" w:qFormat="1"/>
    <w:lsdException w:name="Default Paragraph Font"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rPr>
      <w:b/>
      <w:bCs/>
    </w:rPr>
  </w:style>
  <w:style w:type="character" w:styleId="ab">
    <w:name w:val="Emphasis"/>
    <w:basedOn w:val="a0"/>
    <w:qFormat/>
    <w:rPr>
      <w:i/>
    </w:rPr>
  </w:style>
  <w:style w:type="character" w:styleId="ac">
    <w:name w:val="Hyperlink"/>
    <w:basedOn w:val="a0"/>
    <w:qFormat/>
    <w:rPr>
      <w:color w:val="0000FF"/>
      <w:u w:val="single"/>
    </w:rPr>
  </w:style>
  <w:style w:type="character" w:styleId="ad">
    <w:name w:val="annotation reference"/>
    <w:basedOn w:val="a0"/>
    <w:qFormat/>
    <w:rPr>
      <w:sz w:val="21"/>
      <w:szCs w:val="21"/>
    </w:rPr>
  </w:style>
  <w:style w:type="character" w:customStyle="1" w:styleId="a8">
    <w:name w:val="页眉 字符"/>
    <w:basedOn w:val="a0"/>
    <w:link w:val="a7"/>
    <w:qFormat/>
    <w:rPr>
      <w:rFonts w:eastAsiaTheme="minorEastAsia"/>
      <w:sz w:val="18"/>
      <w:szCs w:val="18"/>
      <w:lang w:eastAsia="en-US"/>
    </w:rPr>
  </w:style>
  <w:style w:type="character" w:customStyle="1" w:styleId="a6">
    <w:name w:val="页脚 字符"/>
    <w:basedOn w:val="a0"/>
    <w:link w:val="a5"/>
    <w:uiPriority w:val="99"/>
    <w:qFormat/>
    <w:rPr>
      <w:rFonts w:eastAsiaTheme="minorEastAsia"/>
      <w:sz w:val="18"/>
      <w:szCs w:val="18"/>
      <w:lang w:eastAsia="en-US"/>
    </w:rPr>
  </w:style>
  <w:style w:type="paragraph" w:customStyle="1" w:styleId="1">
    <w:name w:val="修订1"/>
    <w:hidden/>
    <w:uiPriority w:val="99"/>
    <w:unhideWhenUsed/>
    <w:qFormat/>
    <w:rPr>
      <w:rFonts w:eastAsiaTheme="minorEastAsia"/>
      <w:sz w:val="24"/>
      <w:szCs w:val="24"/>
      <w:lang w:eastAsia="en-US"/>
    </w:rPr>
  </w:style>
  <w:style w:type="character" w:customStyle="1" w:styleId="a4">
    <w:name w:val="批注文字 字符"/>
    <w:basedOn w:val="a0"/>
    <w:link w:val="a3"/>
    <w:qFormat/>
    <w:rPr>
      <w:rFonts w:eastAsiaTheme="minorEastAsia"/>
      <w:sz w:val="24"/>
      <w:szCs w:val="24"/>
      <w:lang w:eastAsia="en-US"/>
    </w:rPr>
  </w:style>
  <w:style w:type="character" w:customStyle="1" w:styleId="aa">
    <w:name w:val="批注主题 字符"/>
    <w:basedOn w:val="a4"/>
    <w:link w:val="a9"/>
    <w:qFormat/>
    <w:rPr>
      <w:rFonts w:eastAsiaTheme="minorEastAsia"/>
      <w:b/>
      <w:bCs/>
      <w:sz w:val="24"/>
      <w:szCs w:val="24"/>
      <w:lang w:eastAsia="en-US"/>
    </w:rPr>
  </w:style>
  <w:style w:type="paragraph" w:customStyle="1" w:styleId="2">
    <w:name w:val="修订2"/>
    <w:hidden/>
    <w:uiPriority w:val="99"/>
    <w:unhideWhenUsed/>
    <w:qFormat/>
    <w:rPr>
      <w:rFonts w:eastAsiaTheme="minorEastAsia"/>
      <w:sz w:val="24"/>
      <w:szCs w:val="24"/>
      <w:lang w:eastAsia="en-US"/>
    </w:rPr>
  </w:style>
  <w:style w:type="paragraph" w:styleId="ae">
    <w:name w:val="Revision"/>
    <w:hidden/>
    <w:uiPriority w:val="99"/>
    <w:unhideWhenUsed/>
    <w:rsid w:val="00C31548"/>
    <w:rPr>
      <w:rFonts w:eastAsiaTheme="minorEastAsia"/>
      <w:sz w:val="24"/>
      <w:szCs w:val="24"/>
      <w:lang w:eastAsia="en-US"/>
    </w:rPr>
  </w:style>
  <w:style w:type="character" w:styleId="af">
    <w:name w:val="Unresolved Mention"/>
    <w:basedOn w:val="a0"/>
    <w:uiPriority w:val="99"/>
    <w:semiHidden/>
    <w:unhideWhenUsed/>
    <w:rsid w:val="00D469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20</Pages>
  <Words>3528</Words>
  <Characters>20112</Characters>
  <Application>Microsoft Office Word</Application>
  <DocSecurity>0</DocSecurity>
  <Lines>167</Lines>
  <Paragraphs>47</Paragraphs>
  <ScaleCrop>false</ScaleCrop>
  <Company/>
  <LinksUpToDate>false</LinksUpToDate>
  <CharactersWithSpaces>23593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M18955</cp:lastModifiedBy>
  <cp:revision>26</cp:revision>
  <dcterms:created xsi:type="dcterms:W3CDTF">2023-06-16T01:37:00Z</dcterms:created>
  <dcterms:modified xsi:type="dcterms:W3CDTF">2023-08-09T03:23:00Z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FCA4D4FFAF1646E3B4AEDBEBDE830001_13</vt:lpwstr>
  </property>
</Properties>
</file>