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D0" w:rsidRPr="00A903DD" w:rsidRDefault="00174CD0" w:rsidP="00A903DD">
      <w:pPr>
        <w:adjustRightInd w:val="0"/>
        <w:snapToGrid w:val="0"/>
        <w:spacing w:after="0" w:line="360" w:lineRule="auto"/>
        <w:jc w:val="both"/>
        <w:rPr>
          <w:rFonts w:ascii="Book Antiqua" w:hAnsi="Book Antiqua"/>
          <w:i/>
          <w:sz w:val="24"/>
          <w:szCs w:val="24"/>
          <w:lang w:eastAsia="zh-CN"/>
        </w:rPr>
      </w:pPr>
      <w:bookmarkStart w:id="0" w:name="OLE_LINK19"/>
      <w:bookmarkStart w:id="1" w:name="OLE_LINK20"/>
      <w:r w:rsidRPr="00A903DD">
        <w:rPr>
          <w:rFonts w:ascii="Book Antiqua" w:eastAsia="BatangChe" w:hAnsi="Book Antiqua"/>
          <w:sz w:val="24"/>
          <w:szCs w:val="24"/>
        </w:rPr>
        <w:t xml:space="preserve">Name of journal: </w:t>
      </w:r>
      <w:r w:rsidRPr="00A903DD">
        <w:rPr>
          <w:rFonts w:ascii="Book Antiqua" w:eastAsia="BatangChe" w:hAnsi="Book Antiqua"/>
          <w:i/>
          <w:sz w:val="24"/>
          <w:szCs w:val="24"/>
        </w:rPr>
        <w:t>World Journal of Orthopedics</w:t>
      </w:r>
    </w:p>
    <w:p w:rsidR="00174CD0" w:rsidRPr="00A903DD" w:rsidRDefault="00174CD0" w:rsidP="00A903DD">
      <w:pPr>
        <w:adjustRightInd w:val="0"/>
        <w:snapToGrid w:val="0"/>
        <w:spacing w:after="0" w:line="360" w:lineRule="auto"/>
        <w:jc w:val="both"/>
        <w:rPr>
          <w:rFonts w:ascii="Book Antiqua" w:hAnsi="Book Antiqua"/>
          <w:sz w:val="24"/>
          <w:szCs w:val="24"/>
        </w:rPr>
      </w:pPr>
      <w:r w:rsidRPr="00A903DD">
        <w:rPr>
          <w:rFonts w:ascii="Book Antiqua" w:eastAsia="BatangChe" w:hAnsi="Book Antiqua"/>
          <w:sz w:val="24"/>
          <w:szCs w:val="24"/>
        </w:rPr>
        <w:t>ESPS Manuscript NO:</w:t>
      </w:r>
      <w:r w:rsidRPr="00A903DD">
        <w:rPr>
          <w:rFonts w:ascii="Book Antiqua" w:hAnsi="Book Antiqua"/>
          <w:sz w:val="24"/>
          <w:szCs w:val="24"/>
        </w:rPr>
        <w:t xml:space="preserve"> </w:t>
      </w:r>
      <w:r w:rsidRPr="00A903DD">
        <w:rPr>
          <w:rFonts w:ascii="Book Antiqua" w:eastAsia="宋体" w:hAnsi="Book Antiqua"/>
          <w:sz w:val="24"/>
          <w:szCs w:val="24"/>
          <w:lang w:eastAsia="zh-CN"/>
        </w:rPr>
        <w:t>8</w:t>
      </w:r>
      <w:r w:rsidRPr="00A903DD">
        <w:rPr>
          <w:rFonts w:ascii="Book Antiqua" w:hAnsi="Book Antiqua"/>
          <w:sz w:val="24"/>
          <w:szCs w:val="24"/>
          <w:lang w:eastAsia="zh-CN"/>
        </w:rPr>
        <w:t>509</w:t>
      </w:r>
    </w:p>
    <w:p w:rsidR="00174CD0" w:rsidRDefault="00174CD0" w:rsidP="00A903DD">
      <w:pPr>
        <w:spacing w:after="0" w:line="360" w:lineRule="auto"/>
        <w:jc w:val="both"/>
        <w:rPr>
          <w:rFonts w:ascii="Book Antiqua" w:hAnsi="Book Antiqua"/>
          <w:color w:val="000000"/>
          <w:sz w:val="24"/>
          <w:szCs w:val="24"/>
          <w:lang w:eastAsia="zh-CN"/>
        </w:rPr>
      </w:pPr>
      <w:r w:rsidRPr="00A903DD">
        <w:rPr>
          <w:rFonts w:ascii="Book Antiqua" w:eastAsia="BatangChe" w:hAnsi="Book Antiqua"/>
          <w:sz w:val="24"/>
          <w:szCs w:val="24"/>
        </w:rPr>
        <w:t>Columns:</w:t>
      </w:r>
      <w:bookmarkEnd w:id="0"/>
      <w:bookmarkEnd w:id="1"/>
      <w:r w:rsidRPr="00A903DD">
        <w:rPr>
          <w:rFonts w:ascii="Book Antiqua" w:eastAsia="宋体" w:hAnsi="Book Antiqua"/>
          <w:sz w:val="24"/>
          <w:szCs w:val="24"/>
          <w:lang w:eastAsia="zh-CN"/>
        </w:rPr>
        <w:t xml:space="preserve"> </w:t>
      </w:r>
      <w:r w:rsidRPr="00A903DD">
        <w:rPr>
          <w:rFonts w:ascii="Book Antiqua" w:hAnsi="Book Antiqua"/>
          <w:color w:val="000000"/>
          <w:sz w:val="24"/>
          <w:szCs w:val="24"/>
        </w:rPr>
        <w:t>TOPIC HIGHLIGHT</w:t>
      </w:r>
    </w:p>
    <w:p w:rsidR="00583604" w:rsidRPr="00A903DD" w:rsidRDefault="00583604" w:rsidP="00A903DD">
      <w:pPr>
        <w:spacing w:after="0" w:line="360" w:lineRule="auto"/>
        <w:jc w:val="both"/>
        <w:rPr>
          <w:rFonts w:ascii="Book Antiqua" w:eastAsia="宋体" w:hAnsi="Book Antiqua"/>
          <w:sz w:val="24"/>
          <w:szCs w:val="24"/>
          <w:lang w:eastAsia="zh-CN"/>
        </w:rPr>
      </w:pPr>
    </w:p>
    <w:p w:rsidR="00174CD0" w:rsidRDefault="00583604" w:rsidP="00A903DD">
      <w:pPr>
        <w:spacing w:after="0" w:line="360" w:lineRule="auto"/>
        <w:jc w:val="both"/>
        <w:rPr>
          <w:rFonts w:ascii="Book Antiqua" w:hAnsi="Book Antiqua" w:cs="TwCenMT-Bold"/>
          <w:bCs/>
          <w:sz w:val="24"/>
          <w:lang w:eastAsia="zh-CN"/>
        </w:rPr>
      </w:pPr>
      <w:r w:rsidRPr="00583604">
        <w:rPr>
          <w:rFonts w:ascii="Book Antiqua" w:hAnsi="Book Antiqua" w:cs="TwCenMT-Bold"/>
          <w:bCs/>
          <w:sz w:val="24"/>
        </w:rPr>
        <w:t>WJO 5th</w:t>
      </w:r>
      <w:r w:rsidRPr="00B0503E">
        <w:rPr>
          <w:rFonts w:ascii="Book Antiqua" w:hAnsi="Book Antiqua" w:cs="TwCenMT-Bold"/>
          <w:bCs/>
          <w:sz w:val="24"/>
        </w:rPr>
        <w:t xml:space="preserve"> Anniversary Special Issues</w:t>
      </w:r>
      <w:r w:rsidRPr="00583604">
        <w:rPr>
          <w:rFonts w:ascii="Book Antiqua" w:hAnsi="Book Antiqua" w:cs="TwCenMT-Bold"/>
          <w:bCs/>
          <w:sz w:val="24"/>
        </w:rPr>
        <w:t xml:space="preserve"> (4): </w:t>
      </w:r>
      <w:r w:rsidR="004B6A03" w:rsidRPr="00583604">
        <w:rPr>
          <w:rFonts w:ascii="Book Antiqua" w:hAnsi="Book Antiqua" w:cs="TwCenMT-Bold"/>
          <w:bCs/>
          <w:sz w:val="24"/>
        </w:rPr>
        <w:t>H</w:t>
      </w:r>
      <w:r w:rsidRPr="00583604">
        <w:rPr>
          <w:rFonts w:ascii="Book Antiqua" w:hAnsi="Book Antiqua" w:cs="TwCenMT-Bold"/>
          <w:bCs/>
          <w:sz w:val="24"/>
        </w:rPr>
        <w:t>ip</w:t>
      </w:r>
    </w:p>
    <w:p w:rsidR="00583604" w:rsidRPr="00583604" w:rsidRDefault="00583604" w:rsidP="00A903DD">
      <w:pPr>
        <w:spacing w:after="0" w:line="360" w:lineRule="auto"/>
        <w:jc w:val="both"/>
        <w:rPr>
          <w:rFonts w:ascii="Book Antiqua" w:hAnsi="Book Antiqua" w:cs="TwCenMT-Bold"/>
          <w:bCs/>
          <w:sz w:val="24"/>
          <w:lang w:eastAsia="zh-CN"/>
        </w:rPr>
      </w:pPr>
    </w:p>
    <w:p w:rsidR="00174CD0" w:rsidRPr="00A903DD" w:rsidRDefault="00174CD0" w:rsidP="00A903DD">
      <w:pPr>
        <w:spacing w:after="0" w:line="360" w:lineRule="auto"/>
        <w:jc w:val="both"/>
        <w:rPr>
          <w:rFonts w:ascii="Book Antiqua" w:hAnsi="Book Antiqua"/>
          <w:b/>
          <w:sz w:val="24"/>
          <w:szCs w:val="24"/>
          <w:lang w:eastAsia="zh-CN"/>
        </w:rPr>
      </w:pPr>
      <w:r w:rsidRPr="00A903DD">
        <w:rPr>
          <w:rFonts w:ascii="Book Antiqua" w:hAnsi="Book Antiqua"/>
          <w:b/>
          <w:sz w:val="24"/>
          <w:szCs w:val="24"/>
        </w:rPr>
        <w:t>New oral pharmacotherapeutic agents for venous thromboprophylaxis after total hip arthroplasty</w:t>
      </w:r>
    </w:p>
    <w:p w:rsidR="00174CD0" w:rsidRPr="00A903DD" w:rsidRDefault="00174CD0" w:rsidP="00A903DD">
      <w:pPr>
        <w:spacing w:after="0" w:line="360" w:lineRule="auto"/>
        <w:jc w:val="both"/>
        <w:rPr>
          <w:rFonts w:ascii="Book Antiqua" w:hAnsi="Book Antiqua"/>
          <w:b/>
          <w:sz w:val="24"/>
          <w:szCs w:val="24"/>
          <w:lang w:eastAsia="zh-CN"/>
        </w:rPr>
      </w:pPr>
    </w:p>
    <w:p w:rsidR="00174CD0" w:rsidRPr="00A903DD" w:rsidRDefault="00174CD0" w:rsidP="00A903DD">
      <w:pPr>
        <w:spacing w:after="0" w:line="360" w:lineRule="auto"/>
        <w:jc w:val="both"/>
        <w:rPr>
          <w:rFonts w:ascii="Book Antiqua" w:hAnsi="Book Antiqua"/>
          <w:sz w:val="24"/>
          <w:szCs w:val="24"/>
          <w:lang w:eastAsia="zh-CN"/>
        </w:rPr>
      </w:pPr>
      <w:proofErr w:type="gramStart"/>
      <w:r w:rsidRPr="00A903DD">
        <w:rPr>
          <w:rFonts w:ascii="Book Antiqua" w:hAnsi="Book Antiqua"/>
          <w:sz w:val="24"/>
          <w:szCs w:val="24"/>
        </w:rPr>
        <w:t>Aikens</w:t>
      </w:r>
      <w:r w:rsidRPr="00A903DD">
        <w:rPr>
          <w:rFonts w:ascii="Book Antiqua" w:hAnsi="Book Antiqua"/>
          <w:sz w:val="24"/>
          <w:szCs w:val="24"/>
          <w:lang w:eastAsia="zh-CN"/>
        </w:rPr>
        <w:t xml:space="preserve"> GB </w:t>
      </w:r>
      <w:r w:rsidRPr="00A903DD">
        <w:rPr>
          <w:rFonts w:ascii="Book Antiqua" w:hAnsi="Book Antiqua"/>
          <w:i/>
          <w:sz w:val="24"/>
          <w:szCs w:val="24"/>
          <w:lang w:eastAsia="zh-CN"/>
        </w:rPr>
        <w:t>et al.</w:t>
      </w:r>
      <w:proofErr w:type="gramEnd"/>
      <w:r w:rsidRPr="00A903DD">
        <w:rPr>
          <w:rFonts w:ascii="Book Antiqua" w:hAnsi="Book Antiqua"/>
          <w:sz w:val="24"/>
          <w:szCs w:val="24"/>
        </w:rPr>
        <w:t xml:space="preserve"> New oral agents for thromboprophylaxis after THA</w:t>
      </w:r>
    </w:p>
    <w:p w:rsidR="00174CD0" w:rsidRPr="00A903DD" w:rsidRDefault="00174CD0" w:rsidP="00A903DD">
      <w:pPr>
        <w:spacing w:after="0" w:line="360" w:lineRule="auto"/>
        <w:jc w:val="both"/>
        <w:rPr>
          <w:rFonts w:ascii="Book Antiqua" w:hAnsi="Book Antiqua"/>
          <w:b/>
          <w:sz w:val="24"/>
          <w:szCs w:val="24"/>
          <w:lang w:eastAsia="zh-CN"/>
        </w:rPr>
      </w:pPr>
    </w:p>
    <w:p w:rsidR="00174CD0" w:rsidRPr="00A903DD" w:rsidRDefault="00174CD0" w:rsidP="00A903DD">
      <w:pPr>
        <w:spacing w:after="0" w:line="360" w:lineRule="auto"/>
        <w:jc w:val="both"/>
        <w:rPr>
          <w:rFonts w:ascii="Book Antiqua" w:hAnsi="Book Antiqua"/>
          <w:sz w:val="24"/>
          <w:szCs w:val="24"/>
          <w:lang w:eastAsia="zh-CN"/>
        </w:rPr>
      </w:pPr>
      <w:r w:rsidRPr="00A903DD">
        <w:rPr>
          <w:rFonts w:ascii="Book Antiqua" w:hAnsi="Book Antiqua"/>
          <w:sz w:val="24"/>
          <w:szCs w:val="24"/>
        </w:rPr>
        <w:t xml:space="preserve">Garrett B Aikens, Jacob R Osmundson, Michael P Rivey </w:t>
      </w:r>
    </w:p>
    <w:p w:rsidR="00174CD0" w:rsidRPr="00A903DD" w:rsidRDefault="00174CD0" w:rsidP="00A903DD">
      <w:pPr>
        <w:spacing w:after="0" w:line="360" w:lineRule="auto"/>
        <w:jc w:val="both"/>
        <w:rPr>
          <w:rFonts w:ascii="Book Antiqua" w:hAnsi="Book Antiqua"/>
          <w:sz w:val="24"/>
          <w:szCs w:val="24"/>
          <w:lang w:eastAsia="zh-CN"/>
        </w:rPr>
      </w:pPr>
    </w:p>
    <w:p w:rsidR="00F9707F" w:rsidRDefault="00174CD0" w:rsidP="00A903DD">
      <w:pPr>
        <w:spacing w:after="0" w:line="360" w:lineRule="auto"/>
        <w:jc w:val="both"/>
        <w:rPr>
          <w:rFonts w:ascii="Book Antiqua" w:hAnsi="Book Antiqua"/>
          <w:sz w:val="24"/>
          <w:szCs w:val="24"/>
          <w:lang w:eastAsia="zh-CN"/>
        </w:rPr>
      </w:pPr>
      <w:r w:rsidRPr="00A903DD">
        <w:rPr>
          <w:rFonts w:ascii="Book Antiqua" w:hAnsi="Book Antiqua"/>
          <w:b/>
          <w:sz w:val="24"/>
          <w:szCs w:val="24"/>
        </w:rPr>
        <w:t>Garrett B</w:t>
      </w:r>
      <w:r w:rsidR="000E61CB" w:rsidRPr="00A903DD">
        <w:rPr>
          <w:rFonts w:ascii="Book Antiqua" w:hAnsi="Book Antiqua"/>
          <w:b/>
          <w:sz w:val="24"/>
          <w:szCs w:val="24"/>
        </w:rPr>
        <w:t xml:space="preserve"> Aikens</w:t>
      </w:r>
      <w:r w:rsidR="000E61CB" w:rsidRPr="00A903DD">
        <w:rPr>
          <w:rFonts w:ascii="Book Antiqua" w:hAnsi="Book Antiqua"/>
          <w:sz w:val="24"/>
          <w:szCs w:val="24"/>
        </w:rPr>
        <w:t xml:space="preserve">, </w:t>
      </w:r>
      <w:r w:rsidR="0045524F" w:rsidRPr="00A903DD">
        <w:rPr>
          <w:rFonts w:ascii="Book Antiqua" w:hAnsi="Book Antiqua"/>
          <w:sz w:val="24"/>
          <w:szCs w:val="24"/>
        </w:rPr>
        <w:t xml:space="preserve">Department of </w:t>
      </w:r>
      <w:r w:rsidR="000E61CB" w:rsidRPr="00A903DD">
        <w:rPr>
          <w:rFonts w:ascii="Book Antiqua" w:hAnsi="Book Antiqua"/>
          <w:sz w:val="24"/>
          <w:szCs w:val="24"/>
        </w:rPr>
        <w:t xml:space="preserve">Pharmacy, Central Alabama Veterans Healthcare System, Montgomery, AL 36109, </w:t>
      </w:r>
      <w:r w:rsidR="00EE7CDF" w:rsidRPr="00A903DD">
        <w:rPr>
          <w:rFonts w:ascii="Book Antiqua" w:hAnsi="Book Antiqua"/>
          <w:sz w:val="24"/>
          <w:szCs w:val="24"/>
        </w:rPr>
        <w:t>U</w:t>
      </w:r>
      <w:r w:rsidRPr="00A903DD">
        <w:rPr>
          <w:rFonts w:ascii="Book Antiqua" w:hAnsi="Book Antiqua"/>
          <w:sz w:val="24"/>
          <w:szCs w:val="24"/>
          <w:lang w:eastAsia="zh-CN"/>
        </w:rPr>
        <w:t xml:space="preserve">nited </w:t>
      </w:r>
      <w:r w:rsidR="00EE7CDF" w:rsidRPr="00A903DD">
        <w:rPr>
          <w:rFonts w:ascii="Book Antiqua" w:hAnsi="Book Antiqua"/>
          <w:sz w:val="24"/>
          <w:szCs w:val="24"/>
        </w:rPr>
        <w:t>S</w:t>
      </w:r>
      <w:r w:rsidRPr="00A903DD">
        <w:rPr>
          <w:rFonts w:ascii="Book Antiqua" w:hAnsi="Book Antiqua"/>
          <w:sz w:val="24"/>
          <w:szCs w:val="24"/>
          <w:lang w:eastAsia="zh-CN"/>
        </w:rPr>
        <w:t>tates</w:t>
      </w:r>
    </w:p>
    <w:p w:rsidR="00A903DD" w:rsidRPr="00A903DD" w:rsidRDefault="00A903DD" w:rsidP="00A903DD">
      <w:pPr>
        <w:spacing w:after="0" w:line="360" w:lineRule="auto"/>
        <w:jc w:val="both"/>
        <w:rPr>
          <w:rFonts w:ascii="Book Antiqua" w:hAnsi="Book Antiqua"/>
          <w:sz w:val="24"/>
          <w:szCs w:val="24"/>
          <w:lang w:eastAsia="zh-CN"/>
        </w:rPr>
      </w:pPr>
    </w:p>
    <w:p w:rsidR="00F9707F" w:rsidRDefault="00F9707F" w:rsidP="00A903DD">
      <w:pPr>
        <w:spacing w:after="0" w:line="360" w:lineRule="auto"/>
        <w:jc w:val="both"/>
        <w:rPr>
          <w:rFonts w:ascii="Book Antiqua" w:hAnsi="Book Antiqua"/>
          <w:sz w:val="24"/>
          <w:szCs w:val="24"/>
          <w:lang w:eastAsia="zh-CN"/>
        </w:rPr>
      </w:pPr>
      <w:r w:rsidRPr="00A903DD">
        <w:rPr>
          <w:rFonts w:ascii="Book Antiqua" w:hAnsi="Book Antiqua"/>
          <w:b/>
          <w:sz w:val="24"/>
          <w:szCs w:val="24"/>
        </w:rPr>
        <w:t>Garrett B Aikens</w:t>
      </w:r>
      <w:r w:rsidRPr="00A903DD">
        <w:rPr>
          <w:rFonts w:ascii="Book Antiqua" w:hAnsi="Book Antiqua"/>
          <w:sz w:val="24"/>
          <w:szCs w:val="24"/>
        </w:rPr>
        <w:t xml:space="preserve">, Department of Pharmacy Practice, Auburn University Harrison School of Pharmacy, Auburn University, </w:t>
      </w:r>
      <w:r w:rsidR="004B6A03" w:rsidRPr="004B6A03">
        <w:rPr>
          <w:rFonts w:ascii="Book Antiqua" w:hAnsi="Book Antiqua"/>
          <w:sz w:val="24"/>
          <w:szCs w:val="24"/>
        </w:rPr>
        <w:t>Auburn</w:t>
      </w:r>
      <w:r w:rsidR="004B6A03">
        <w:rPr>
          <w:rFonts w:ascii="Book Antiqua" w:hAnsi="Book Antiqua" w:hint="eastAsia"/>
          <w:sz w:val="24"/>
          <w:szCs w:val="24"/>
          <w:lang w:eastAsia="zh-CN"/>
        </w:rPr>
        <w:t>,</w:t>
      </w:r>
      <w:r w:rsidR="004B6A03" w:rsidRPr="00A903DD">
        <w:rPr>
          <w:rFonts w:ascii="Book Antiqua" w:hAnsi="Book Antiqua"/>
          <w:sz w:val="24"/>
          <w:szCs w:val="24"/>
        </w:rPr>
        <w:t xml:space="preserve"> </w:t>
      </w:r>
      <w:r w:rsidRPr="00A903DD">
        <w:rPr>
          <w:rFonts w:ascii="Book Antiqua" w:hAnsi="Book Antiqua"/>
          <w:sz w:val="24"/>
          <w:szCs w:val="24"/>
        </w:rPr>
        <w:t>AL 36849, U</w:t>
      </w:r>
      <w:r w:rsidRPr="00A903DD">
        <w:rPr>
          <w:rFonts w:ascii="Book Antiqua" w:hAnsi="Book Antiqua"/>
          <w:sz w:val="24"/>
          <w:szCs w:val="24"/>
          <w:lang w:eastAsia="zh-CN"/>
        </w:rPr>
        <w:t xml:space="preserve">nited </w:t>
      </w:r>
      <w:r w:rsidRPr="00A903DD">
        <w:rPr>
          <w:rFonts w:ascii="Book Antiqua" w:hAnsi="Book Antiqua"/>
          <w:sz w:val="24"/>
          <w:szCs w:val="24"/>
        </w:rPr>
        <w:t>S</w:t>
      </w:r>
      <w:r w:rsidR="00A903DD">
        <w:rPr>
          <w:rFonts w:ascii="Book Antiqua" w:hAnsi="Book Antiqua"/>
          <w:sz w:val="24"/>
          <w:szCs w:val="24"/>
          <w:lang w:eastAsia="zh-CN"/>
        </w:rPr>
        <w:t>tate</w:t>
      </w:r>
      <w:r w:rsidR="00A903DD">
        <w:rPr>
          <w:rFonts w:ascii="Book Antiqua" w:hAnsi="Book Antiqua" w:hint="eastAsia"/>
          <w:sz w:val="24"/>
          <w:szCs w:val="24"/>
          <w:lang w:eastAsia="zh-CN"/>
        </w:rPr>
        <w:t>s</w:t>
      </w:r>
    </w:p>
    <w:p w:rsidR="00A903DD" w:rsidRPr="00A903DD" w:rsidRDefault="00A903DD" w:rsidP="00A903DD">
      <w:pPr>
        <w:spacing w:after="0" w:line="360" w:lineRule="auto"/>
        <w:jc w:val="both"/>
        <w:rPr>
          <w:rFonts w:ascii="Book Antiqua" w:hAnsi="Book Antiqua"/>
          <w:sz w:val="24"/>
          <w:szCs w:val="24"/>
          <w:lang w:eastAsia="zh-CN"/>
        </w:rPr>
      </w:pPr>
    </w:p>
    <w:p w:rsidR="00F9707F" w:rsidRDefault="00174CD0" w:rsidP="00A903DD">
      <w:pPr>
        <w:spacing w:after="0" w:line="360" w:lineRule="auto"/>
        <w:jc w:val="both"/>
        <w:rPr>
          <w:rFonts w:ascii="Book Antiqua" w:hAnsi="Book Antiqua"/>
          <w:sz w:val="24"/>
          <w:szCs w:val="24"/>
          <w:lang w:eastAsia="zh-CN"/>
        </w:rPr>
      </w:pPr>
      <w:r w:rsidRPr="00A903DD">
        <w:rPr>
          <w:rFonts w:ascii="Book Antiqua" w:hAnsi="Book Antiqua"/>
          <w:b/>
          <w:sz w:val="24"/>
          <w:szCs w:val="24"/>
        </w:rPr>
        <w:t>Jacob R</w:t>
      </w:r>
      <w:r w:rsidR="000E61CB" w:rsidRPr="00A903DD">
        <w:rPr>
          <w:rFonts w:ascii="Book Antiqua" w:hAnsi="Book Antiqua"/>
          <w:b/>
          <w:sz w:val="24"/>
          <w:szCs w:val="24"/>
        </w:rPr>
        <w:t xml:space="preserve"> Osmundson</w:t>
      </w:r>
      <w:r w:rsidR="000E61CB" w:rsidRPr="00A903DD">
        <w:rPr>
          <w:rFonts w:ascii="Book Antiqua" w:hAnsi="Book Antiqua"/>
          <w:sz w:val="24"/>
          <w:szCs w:val="24"/>
        </w:rPr>
        <w:t>,</w:t>
      </w:r>
      <w:r w:rsidR="00F9707F" w:rsidRPr="00A903DD">
        <w:rPr>
          <w:rFonts w:ascii="Book Antiqua" w:hAnsi="Book Antiqua"/>
          <w:b/>
          <w:sz w:val="24"/>
          <w:szCs w:val="24"/>
        </w:rPr>
        <w:t xml:space="preserve"> Michael P Rivey</w:t>
      </w:r>
      <w:r w:rsidR="00F9707F" w:rsidRPr="00A903DD">
        <w:rPr>
          <w:rFonts w:ascii="Book Antiqua" w:hAnsi="Book Antiqua"/>
          <w:sz w:val="24"/>
          <w:szCs w:val="24"/>
        </w:rPr>
        <w:t>,</w:t>
      </w:r>
      <w:r w:rsidR="000E61CB" w:rsidRPr="00A903DD">
        <w:rPr>
          <w:rFonts w:ascii="Book Antiqua" w:hAnsi="Book Antiqua"/>
          <w:sz w:val="24"/>
          <w:szCs w:val="24"/>
        </w:rPr>
        <w:t xml:space="preserve"> </w:t>
      </w:r>
      <w:r w:rsidR="00A16BDA" w:rsidRPr="00A903DD">
        <w:rPr>
          <w:rFonts w:ascii="Book Antiqua" w:hAnsi="Book Antiqua"/>
          <w:sz w:val="24"/>
          <w:szCs w:val="24"/>
        </w:rPr>
        <w:t xml:space="preserve">Department of Pharmacy Practice, University of Montana </w:t>
      </w:r>
      <w:r w:rsidR="000E61CB" w:rsidRPr="00A903DD">
        <w:rPr>
          <w:rFonts w:ascii="Book Antiqua" w:hAnsi="Book Antiqua"/>
          <w:sz w:val="24"/>
          <w:szCs w:val="24"/>
        </w:rPr>
        <w:t>Ska</w:t>
      </w:r>
      <w:r w:rsidR="00A16BDA" w:rsidRPr="00A903DD">
        <w:rPr>
          <w:rFonts w:ascii="Book Antiqua" w:hAnsi="Book Antiqua"/>
          <w:sz w:val="24"/>
          <w:szCs w:val="24"/>
        </w:rPr>
        <w:t>ggs School of Pharmacy, Missoula, MT</w:t>
      </w:r>
      <w:r w:rsidR="000E61CB" w:rsidRPr="00A903DD">
        <w:rPr>
          <w:rFonts w:ascii="Book Antiqua" w:hAnsi="Book Antiqua"/>
          <w:sz w:val="24"/>
          <w:szCs w:val="24"/>
        </w:rPr>
        <w:t xml:space="preserve"> 59812, </w:t>
      </w:r>
      <w:r w:rsidR="00F9707F" w:rsidRPr="00A903DD">
        <w:rPr>
          <w:rFonts w:ascii="Book Antiqua" w:hAnsi="Book Antiqua"/>
          <w:sz w:val="24"/>
          <w:szCs w:val="24"/>
        </w:rPr>
        <w:t>U</w:t>
      </w:r>
      <w:r w:rsidR="00F9707F" w:rsidRPr="00A903DD">
        <w:rPr>
          <w:rFonts w:ascii="Book Antiqua" w:hAnsi="Book Antiqua"/>
          <w:sz w:val="24"/>
          <w:szCs w:val="24"/>
          <w:lang w:eastAsia="zh-CN"/>
        </w:rPr>
        <w:t xml:space="preserve">nited </w:t>
      </w:r>
      <w:r w:rsidR="00F9707F" w:rsidRPr="00A903DD">
        <w:rPr>
          <w:rFonts w:ascii="Book Antiqua" w:hAnsi="Book Antiqua"/>
          <w:sz w:val="24"/>
          <w:szCs w:val="24"/>
        </w:rPr>
        <w:t>S</w:t>
      </w:r>
      <w:r w:rsidR="00F9707F" w:rsidRPr="00A903DD">
        <w:rPr>
          <w:rFonts w:ascii="Book Antiqua" w:hAnsi="Book Antiqua"/>
          <w:sz w:val="24"/>
          <w:szCs w:val="24"/>
          <w:lang w:eastAsia="zh-CN"/>
        </w:rPr>
        <w:t xml:space="preserve">tates </w:t>
      </w:r>
    </w:p>
    <w:p w:rsidR="00A903DD" w:rsidRPr="00A903DD" w:rsidRDefault="00A903DD" w:rsidP="00A903DD">
      <w:pPr>
        <w:spacing w:after="0" w:line="360" w:lineRule="auto"/>
        <w:jc w:val="both"/>
        <w:rPr>
          <w:rFonts w:ascii="Book Antiqua" w:hAnsi="Book Antiqua"/>
          <w:sz w:val="24"/>
          <w:szCs w:val="24"/>
          <w:lang w:eastAsia="zh-CN"/>
        </w:rPr>
      </w:pPr>
    </w:p>
    <w:p w:rsidR="00F9707F" w:rsidRPr="00A903DD" w:rsidRDefault="00F9707F" w:rsidP="00A903DD">
      <w:pPr>
        <w:spacing w:after="0" w:line="360" w:lineRule="auto"/>
        <w:jc w:val="both"/>
        <w:rPr>
          <w:rFonts w:ascii="Book Antiqua" w:hAnsi="Book Antiqua"/>
          <w:sz w:val="24"/>
          <w:szCs w:val="24"/>
          <w:lang w:eastAsia="zh-CN"/>
        </w:rPr>
      </w:pPr>
      <w:r w:rsidRPr="00A903DD">
        <w:rPr>
          <w:rFonts w:ascii="Book Antiqua" w:hAnsi="Book Antiqua"/>
          <w:b/>
          <w:sz w:val="24"/>
          <w:szCs w:val="24"/>
        </w:rPr>
        <w:t>Jacob R Osmundson</w:t>
      </w:r>
      <w:r w:rsidRPr="00A903DD">
        <w:rPr>
          <w:rFonts w:ascii="Book Antiqua" w:hAnsi="Book Antiqua"/>
          <w:sz w:val="24"/>
          <w:szCs w:val="24"/>
        </w:rPr>
        <w:t xml:space="preserve">, </w:t>
      </w:r>
      <w:r w:rsidRPr="00A903DD">
        <w:rPr>
          <w:rFonts w:ascii="Book Antiqua" w:hAnsi="Book Antiqua"/>
          <w:b/>
          <w:sz w:val="24"/>
          <w:szCs w:val="24"/>
        </w:rPr>
        <w:t>Michael P Rivey</w:t>
      </w:r>
      <w:r w:rsidRPr="00A903DD">
        <w:rPr>
          <w:rFonts w:ascii="Book Antiqua" w:hAnsi="Book Antiqua"/>
          <w:sz w:val="24"/>
          <w:szCs w:val="24"/>
        </w:rPr>
        <w:t>,</w:t>
      </w:r>
      <w:r w:rsidRPr="00A903DD">
        <w:rPr>
          <w:rFonts w:ascii="Book Antiqua" w:hAnsi="Book Antiqua"/>
          <w:sz w:val="24"/>
          <w:szCs w:val="24"/>
          <w:lang w:eastAsia="zh-CN"/>
        </w:rPr>
        <w:t xml:space="preserve"> </w:t>
      </w:r>
      <w:r w:rsidRPr="00A903DD">
        <w:rPr>
          <w:rFonts w:ascii="Book Antiqua" w:hAnsi="Book Antiqua"/>
          <w:sz w:val="24"/>
          <w:szCs w:val="24"/>
        </w:rPr>
        <w:t>Department of Pharmacy, Community Medical Center, Missoula, MT 59804, U</w:t>
      </w:r>
      <w:r w:rsidRPr="00A903DD">
        <w:rPr>
          <w:rFonts w:ascii="Book Antiqua" w:hAnsi="Book Antiqua"/>
          <w:sz w:val="24"/>
          <w:szCs w:val="24"/>
          <w:lang w:eastAsia="zh-CN"/>
        </w:rPr>
        <w:t xml:space="preserve">nited </w:t>
      </w:r>
      <w:r w:rsidRPr="00A903DD">
        <w:rPr>
          <w:rFonts w:ascii="Book Antiqua" w:hAnsi="Book Antiqua"/>
          <w:sz w:val="24"/>
          <w:szCs w:val="24"/>
        </w:rPr>
        <w:t>S</w:t>
      </w:r>
      <w:r w:rsidRPr="00A903DD">
        <w:rPr>
          <w:rFonts w:ascii="Book Antiqua" w:hAnsi="Book Antiqua"/>
          <w:sz w:val="24"/>
          <w:szCs w:val="24"/>
          <w:lang w:eastAsia="zh-CN"/>
        </w:rPr>
        <w:t>tates</w:t>
      </w:r>
    </w:p>
    <w:p w:rsidR="00174CD0" w:rsidRPr="00A903DD" w:rsidRDefault="00174CD0" w:rsidP="00A903DD">
      <w:pPr>
        <w:spacing w:after="0" w:line="360" w:lineRule="auto"/>
        <w:jc w:val="both"/>
        <w:rPr>
          <w:rFonts w:ascii="Book Antiqua" w:hAnsi="Book Antiqua"/>
          <w:b/>
          <w:sz w:val="24"/>
          <w:szCs w:val="24"/>
          <w:lang w:eastAsia="zh-CN"/>
        </w:rPr>
      </w:pPr>
    </w:p>
    <w:p w:rsidR="000E61CB" w:rsidRPr="00A903DD" w:rsidRDefault="00174CD0" w:rsidP="00A903DD">
      <w:pPr>
        <w:spacing w:after="0" w:line="360" w:lineRule="auto"/>
        <w:jc w:val="both"/>
        <w:rPr>
          <w:rFonts w:ascii="Book Antiqua" w:hAnsi="Book Antiqua"/>
          <w:sz w:val="24"/>
          <w:szCs w:val="24"/>
        </w:rPr>
      </w:pPr>
      <w:r w:rsidRPr="00A903DD">
        <w:rPr>
          <w:rFonts w:ascii="Book Antiqua" w:hAnsi="Book Antiqua"/>
          <w:b/>
          <w:sz w:val="24"/>
          <w:szCs w:val="24"/>
        </w:rPr>
        <w:t xml:space="preserve">Author contributions: </w:t>
      </w:r>
      <w:r w:rsidR="00D028D3">
        <w:rPr>
          <w:rFonts w:ascii="Book Antiqua" w:hAnsi="Book Antiqua"/>
          <w:sz w:val="24"/>
          <w:szCs w:val="24"/>
        </w:rPr>
        <w:t>Aikens GB, Osmundson JR</w:t>
      </w:r>
      <w:r w:rsidR="000E61CB" w:rsidRPr="00A903DD">
        <w:rPr>
          <w:rFonts w:ascii="Book Antiqua" w:hAnsi="Book Antiqua"/>
          <w:sz w:val="24"/>
          <w:szCs w:val="24"/>
        </w:rPr>
        <w:t xml:space="preserve"> and Rivey MP were all involved in the conception and writing of the manuscript.</w:t>
      </w:r>
    </w:p>
    <w:p w:rsidR="00174CD0" w:rsidRPr="00A903DD" w:rsidRDefault="00174CD0" w:rsidP="00A903DD">
      <w:pPr>
        <w:spacing w:after="0" w:line="360" w:lineRule="auto"/>
        <w:jc w:val="both"/>
        <w:rPr>
          <w:rFonts w:ascii="Book Antiqua" w:hAnsi="Book Antiqua"/>
          <w:b/>
          <w:sz w:val="24"/>
          <w:szCs w:val="24"/>
          <w:lang w:eastAsia="zh-CN"/>
        </w:rPr>
      </w:pPr>
    </w:p>
    <w:p w:rsidR="00174CD0" w:rsidRPr="00A903DD" w:rsidRDefault="00174CD0" w:rsidP="00A903DD">
      <w:pPr>
        <w:spacing w:after="0" w:line="360" w:lineRule="auto"/>
        <w:jc w:val="both"/>
        <w:rPr>
          <w:rFonts w:ascii="Book Antiqua" w:hAnsi="Book Antiqua"/>
          <w:sz w:val="24"/>
          <w:szCs w:val="24"/>
          <w:lang w:eastAsia="zh-CN"/>
        </w:rPr>
      </w:pPr>
      <w:r w:rsidRPr="00A903DD">
        <w:rPr>
          <w:rFonts w:ascii="Book Antiqua" w:hAnsi="Book Antiqua"/>
          <w:b/>
          <w:sz w:val="24"/>
          <w:szCs w:val="24"/>
        </w:rPr>
        <w:t>Correspondence to: Garrett B Aikens, PhD</w:t>
      </w:r>
      <w:r w:rsidR="000E61CB" w:rsidRPr="00A903DD">
        <w:rPr>
          <w:rFonts w:ascii="Book Antiqua" w:hAnsi="Book Antiqua"/>
          <w:b/>
          <w:sz w:val="24"/>
          <w:szCs w:val="24"/>
        </w:rPr>
        <w:t>, BCACP</w:t>
      </w:r>
      <w:r w:rsidR="0045524F" w:rsidRPr="00A903DD">
        <w:rPr>
          <w:rFonts w:ascii="Book Antiqua" w:hAnsi="Book Antiqua"/>
          <w:sz w:val="24"/>
          <w:szCs w:val="24"/>
        </w:rPr>
        <w:t>, Department of</w:t>
      </w:r>
      <w:r w:rsidR="000E61CB" w:rsidRPr="00A903DD">
        <w:rPr>
          <w:rFonts w:ascii="Book Antiqua" w:hAnsi="Book Antiqua"/>
          <w:sz w:val="24"/>
          <w:szCs w:val="24"/>
        </w:rPr>
        <w:t xml:space="preserve"> Pharmacy, Central Alabama Veterans Health Care System, </w:t>
      </w:r>
      <w:r w:rsidRPr="00A903DD">
        <w:rPr>
          <w:rFonts w:ascii="Book Antiqua" w:hAnsi="Book Antiqua"/>
          <w:sz w:val="24"/>
          <w:szCs w:val="24"/>
        </w:rPr>
        <w:t>Montgomery,</w:t>
      </w:r>
      <w:r w:rsidRPr="00A903DD">
        <w:rPr>
          <w:rFonts w:ascii="Book Antiqua" w:hAnsi="Book Antiqua"/>
          <w:sz w:val="24"/>
          <w:szCs w:val="24"/>
          <w:lang w:eastAsia="zh-CN"/>
        </w:rPr>
        <w:t xml:space="preserve"> </w:t>
      </w:r>
      <w:r w:rsidR="000E61CB" w:rsidRPr="00A903DD">
        <w:rPr>
          <w:rFonts w:ascii="Book Antiqua" w:hAnsi="Book Antiqua"/>
          <w:sz w:val="24"/>
          <w:szCs w:val="24"/>
        </w:rPr>
        <w:t>Columbus CBOC, 1310 13</w:t>
      </w:r>
      <w:r w:rsidR="000E61CB" w:rsidRPr="00A903DD">
        <w:rPr>
          <w:rFonts w:ascii="Book Antiqua" w:hAnsi="Book Antiqua"/>
          <w:sz w:val="24"/>
          <w:szCs w:val="24"/>
          <w:vertAlign w:val="superscript"/>
        </w:rPr>
        <w:t>th</w:t>
      </w:r>
      <w:r w:rsidR="000E61CB" w:rsidRPr="00A903DD">
        <w:rPr>
          <w:rFonts w:ascii="Book Antiqua" w:hAnsi="Book Antiqua"/>
          <w:sz w:val="24"/>
          <w:szCs w:val="24"/>
        </w:rPr>
        <w:t xml:space="preserve"> Avenue, Columbus, GA 31901, United States</w:t>
      </w:r>
      <w:r w:rsidR="00F9707F" w:rsidRPr="00A903DD">
        <w:rPr>
          <w:rFonts w:ascii="Book Antiqua" w:hAnsi="Book Antiqua"/>
          <w:sz w:val="24"/>
          <w:szCs w:val="24"/>
          <w:lang w:eastAsia="zh-CN"/>
        </w:rPr>
        <w:t xml:space="preserve">. </w:t>
      </w:r>
      <w:hyperlink r:id="rId9" w:history="1">
        <w:r w:rsidR="00F9707F" w:rsidRPr="00A903DD">
          <w:rPr>
            <w:rStyle w:val="a4"/>
            <w:rFonts w:ascii="Book Antiqua" w:hAnsi="Book Antiqua"/>
            <w:sz w:val="24"/>
            <w:szCs w:val="24"/>
            <w:lang w:eastAsia="zh-CN"/>
          </w:rPr>
          <w:t>garrett.aikens@va.gov</w:t>
        </w:r>
      </w:hyperlink>
    </w:p>
    <w:p w:rsidR="00F9707F" w:rsidRPr="00A903DD" w:rsidRDefault="00F9707F" w:rsidP="00A903DD">
      <w:pPr>
        <w:spacing w:after="0" w:line="360" w:lineRule="auto"/>
        <w:jc w:val="both"/>
        <w:rPr>
          <w:rFonts w:ascii="Book Antiqua" w:hAnsi="Book Antiqua"/>
          <w:sz w:val="24"/>
          <w:szCs w:val="24"/>
          <w:lang w:eastAsia="zh-CN"/>
        </w:rPr>
      </w:pPr>
    </w:p>
    <w:p w:rsidR="000E61CB" w:rsidRPr="00A903DD" w:rsidRDefault="000E61CB" w:rsidP="00A903DD">
      <w:pPr>
        <w:spacing w:after="0" w:line="360" w:lineRule="auto"/>
        <w:jc w:val="both"/>
        <w:rPr>
          <w:rFonts w:ascii="Book Antiqua" w:hAnsi="Book Antiqua"/>
          <w:sz w:val="24"/>
          <w:szCs w:val="24"/>
        </w:rPr>
      </w:pPr>
      <w:r w:rsidRPr="00A903DD">
        <w:rPr>
          <w:rFonts w:ascii="Book Antiqua" w:hAnsi="Book Antiqua"/>
          <w:b/>
          <w:sz w:val="24"/>
          <w:szCs w:val="24"/>
        </w:rPr>
        <w:t>Telephone:</w:t>
      </w:r>
      <w:r w:rsidR="00174CD0" w:rsidRPr="00A903DD">
        <w:rPr>
          <w:rFonts w:ascii="Book Antiqua" w:hAnsi="Book Antiqua"/>
          <w:sz w:val="24"/>
          <w:szCs w:val="24"/>
        </w:rPr>
        <w:t xml:space="preserve">  +1-706-257</w:t>
      </w:r>
      <w:r w:rsidRPr="00A903DD">
        <w:rPr>
          <w:rFonts w:ascii="Book Antiqua" w:hAnsi="Book Antiqua"/>
          <w:sz w:val="24"/>
          <w:szCs w:val="24"/>
        </w:rPr>
        <w:t>7200</w:t>
      </w:r>
      <w:r w:rsidR="00F9707F" w:rsidRPr="00A903DD">
        <w:rPr>
          <w:rFonts w:ascii="Book Antiqua" w:hAnsi="Book Antiqua"/>
          <w:sz w:val="24"/>
          <w:szCs w:val="24"/>
          <w:lang w:eastAsia="zh-CN"/>
        </w:rPr>
        <w:t xml:space="preserve"> </w:t>
      </w:r>
      <w:r w:rsidRPr="00A903DD">
        <w:rPr>
          <w:rFonts w:ascii="Book Antiqua" w:hAnsi="Book Antiqua"/>
          <w:b/>
          <w:sz w:val="24"/>
          <w:szCs w:val="24"/>
        </w:rPr>
        <w:t>Fax:</w:t>
      </w:r>
      <w:r w:rsidR="00174CD0" w:rsidRPr="00A903DD">
        <w:rPr>
          <w:rFonts w:ascii="Book Antiqua" w:hAnsi="Book Antiqua"/>
          <w:sz w:val="24"/>
          <w:szCs w:val="24"/>
        </w:rPr>
        <w:t xml:space="preserve"> +1-706-653</w:t>
      </w:r>
      <w:r w:rsidRPr="00A903DD">
        <w:rPr>
          <w:rFonts w:ascii="Book Antiqua" w:hAnsi="Book Antiqua"/>
          <w:sz w:val="24"/>
          <w:szCs w:val="24"/>
        </w:rPr>
        <w:t>6645</w:t>
      </w:r>
    </w:p>
    <w:p w:rsidR="000532A3" w:rsidRPr="00A903DD" w:rsidRDefault="000532A3" w:rsidP="00A903DD">
      <w:pPr>
        <w:spacing w:after="0" w:line="360" w:lineRule="auto"/>
        <w:jc w:val="both"/>
        <w:rPr>
          <w:rFonts w:ascii="Book Antiqua" w:hAnsi="Book Antiqua"/>
          <w:sz w:val="24"/>
          <w:szCs w:val="24"/>
          <w:vertAlign w:val="superscript"/>
        </w:rPr>
      </w:pPr>
    </w:p>
    <w:p w:rsidR="00174CD0" w:rsidRPr="00A903DD" w:rsidRDefault="00174CD0" w:rsidP="00A903DD">
      <w:pPr>
        <w:spacing w:after="0" w:line="360" w:lineRule="auto"/>
        <w:jc w:val="both"/>
        <w:rPr>
          <w:rFonts w:ascii="Book Antiqua" w:hAnsi="Book Antiqua"/>
          <w:b/>
          <w:sz w:val="24"/>
          <w:szCs w:val="24"/>
          <w:lang w:eastAsia="zh-CN"/>
        </w:rPr>
      </w:pPr>
      <w:r w:rsidRPr="00A903DD">
        <w:rPr>
          <w:rFonts w:ascii="Book Antiqua" w:hAnsi="Book Antiqua"/>
          <w:b/>
          <w:sz w:val="24"/>
          <w:szCs w:val="24"/>
        </w:rPr>
        <w:t xml:space="preserve">Received: </w:t>
      </w:r>
      <w:r w:rsidRPr="00A903DD">
        <w:rPr>
          <w:rFonts w:ascii="Book Antiqua" w:hAnsi="Book Antiqua"/>
          <w:sz w:val="24"/>
          <w:szCs w:val="24"/>
          <w:lang w:eastAsia="zh-CN"/>
        </w:rPr>
        <w:t>December 28, 2013</w:t>
      </w:r>
      <w:r w:rsidRPr="00A903DD">
        <w:rPr>
          <w:rFonts w:ascii="Book Antiqua" w:hAnsi="Book Antiqua"/>
          <w:b/>
          <w:sz w:val="24"/>
          <w:szCs w:val="24"/>
          <w:lang w:eastAsia="zh-CN"/>
        </w:rPr>
        <w:t xml:space="preserve"> </w:t>
      </w:r>
      <w:r w:rsidRPr="00A903DD">
        <w:rPr>
          <w:rFonts w:ascii="Book Antiqua" w:hAnsi="Book Antiqua"/>
          <w:b/>
          <w:sz w:val="24"/>
          <w:szCs w:val="24"/>
        </w:rPr>
        <w:t xml:space="preserve">Revised: </w:t>
      </w:r>
      <w:r w:rsidRPr="00A903DD">
        <w:rPr>
          <w:rFonts w:ascii="Book Antiqua" w:hAnsi="Book Antiqua"/>
          <w:sz w:val="24"/>
          <w:szCs w:val="24"/>
          <w:lang w:eastAsia="zh-CN"/>
        </w:rPr>
        <w:t>March 4, 2014</w:t>
      </w:r>
    </w:p>
    <w:p w:rsidR="001612BB" w:rsidRPr="00B02D87" w:rsidRDefault="00174CD0" w:rsidP="001612BB">
      <w:pPr>
        <w:rPr>
          <w:rFonts w:ascii="Book Antiqua" w:hAnsi="Book Antiqua"/>
          <w:sz w:val="24"/>
          <w:szCs w:val="24"/>
        </w:rPr>
      </w:pPr>
      <w:r w:rsidRPr="00A903DD">
        <w:rPr>
          <w:rFonts w:ascii="Book Antiqua" w:hAnsi="Book Antiqua"/>
          <w:b/>
          <w:sz w:val="24"/>
          <w:szCs w:val="24"/>
        </w:rPr>
        <w:t>Accepted:</w:t>
      </w:r>
      <w:r w:rsidR="001612BB" w:rsidRPr="001612BB">
        <w:rPr>
          <w:rFonts w:ascii="Book Antiqua" w:hAnsi="Book Antiqua"/>
          <w:sz w:val="24"/>
          <w:szCs w:val="24"/>
        </w:rPr>
        <w:t xml:space="preserve"> </w:t>
      </w:r>
      <w:r w:rsidR="001612BB" w:rsidRPr="00B02D87">
        <w:rPr>
          <w:rFonts w:ascii="Book Antiqua" w:hAnsi="Book Antiqua"/>
          <w:sz w:val="24"/>
          <w:szCs w:val="24"/>
        </w:rPr>
        <w:t>May 14, 2014</w:t>
      </w:r>
    </w:p>
    <w:p w:rsidR="00174CD0" w:rsidRPr="00A903DD" w:rsidRDefault="00174CD0" w:rsidP="00A903DD">
      <w:pPr>
        <w:spacing w:after="0" w:line="360" w:lineRule="auto"/>
        <w:jc w:val="both"/>
        <w:rPr>
          <w:rFonts w:ascii="Book Antiqua" w:hAnsi="Book Antiqua"/>
          <w:b/>
          <w:sz w:val="24"/>
          <w:szCs w:val="24"/>
          <w:lang w:eastAsia="zh-CN"/>
        </w:rPr>
      </w:pPr>
      <w:bookmarkStart w:id="2" w:name="_GoBack"/>
      <w:bookmarkEnd w:id="2"/>
      <w:r w:rsidRPr="00A903DD">
        <w:rPr>
          <w:rFonts w:ascii="Book Antiqua" w:hAnsi="Book Antiqua"/>
          <w:b/>
          <w:sz w:val="24"/>
          <w:szCs w:val="24"/>
        </w:rPr>
        <w:lastRenderedPageBreak/>
        <w:t xml:space="preserve">  </w:t>
      </w:r>
    </w:p>
    <w:p w:rsidR="00174CD0" w:rsidRPr="00A903DD" w:rsidRDefault="00174CD0" w:rsidP="00A903DD">
      <w:pPr>
        <w:spacing w:after="0" w:line="360" w:lineRule="auto"/>
        <w:jc w:val="both"/>
        <w:rPr>
          <w:rFonts w:ascii="Book Antiqua" w:hAnsi="Book Antiqua"/>
          <w:sz w:val="24"/>
          <w:szCs w:val="24"/>
        </w:rPr>
      </w:pPr>
      <w:r w:rsidRPr="00A903DD">
        <w:rPr>
          <w:rFonts w:ascii="Book Antiqua" w:hAnsi="Book Antiqua"/>
          <w:b/>
          <w:sz w:val="24"/>
          <w:szCs w:val="24"/>
        </w:rPr>
        <w:t xml:space="preserve">Published online: </w:t>
      </w:r>
    </w:p>
    <w:p w:rsidR="00174CD0" w:rsidRPr="00A903DD" w:rsidRDefault="00174CD0" w:rsidP="00A903DD">
      <w:pPr>
        <w:spacing w:after="0" w:line="360" w:lineRule="auto"/>
        <w:jc w:val="both"/>
        <w:rPr>
          <w:rFonts w:ascii="Book Antiqua" w:hAnsi="Book Antiqua"/>
          <w:sz w:val="24"/>
          <w:szCs w:val="24"/>
          <w:lang w:eastAsia="zh-CN"/>
        </w:rPr>
      </w:pPr>
    </w:p>
    <w:p w:rsidR="000E61CB" w:rsidRPr="00A903DD" w:rsidRDefault="000E61CB" w:rsidP="00A903DD">
      <w:pPr>
        <w:spacing w:after="0" w:line="360" w:lineRule="auto"/>
        <w:jc w:val="both"/>
        <w:rPr>
          <w:rFonts w:ascii="Book Antiqua" w:hAnsi="Book Antiqua"/>
          <w:b/>
          <w:sz w:val="24"/>
          <w:szCs w:val="24"/>
        </w:rPr>
      </w:pPr>
      <w:r w:rsidRPr="00A903DD">
        <w:rPr>
          <w:rFonts w:ascii="Book Antiqua" w:hAnsi="Book Antiqua"/>
          <w:b/>
          <w:sz w:val="24"/>
          <w:szCs w:val="24"/>
        </w:rPr>
        <w:t>Abstract</w:t>
      </w:r>
    </w:p>
    <w:p w:rsidR="000E61CB" w:rsidRPr="00A903DD" w:rsidRDefault="000E61CB" w:rsidP="00A903DD">
      <w:pPr>
        <w:spacing w:after="0" w:line="360" w:lineRule="auto"/>
        <w:contextualSpacing/>
        <w:jc w:val="both"/>
        <w:rPr>
          <w:rFonts w:ascii="Book Antiqua" w:hAnsi="Book Antiqua"/>
          <w:sz w:val="24"/>
          <w:szCs w:val="24"/>
        </w:rPr>
      </w:pPr>
      <w:r w:rsidRPr="00A903DD">
        <w:rPr>
          <w:rFonts w:ascii="Book Antiqua" w:hAnsi="Book Antiqua"/>
          <w:sz w:val="24"/>
          <w:szCs w:val="24"/>
        </w:rPr>
        <w:t xml:space="preserve">Patients undergoing total hip arthroplasty (THA) are at high risk for developing venous thromboembolism and, therefore, require short term prophylaxis with antithrombotic agents. Recently, target specific oral anticoagulants (TSOA) </w:t>
      </w:r>
      <w:r w:rsidR="002B29EF" w:rsidRPr="00A903DD">
        <w:rPr>
          <w:rFonts w:ascii="Book Antiqua" w:hAnsi="Book Antiqua"/>
          <w:sz w:val="24"/>
          <w:szCs w:val="24"/>
        </w:rPr>
        <w:t xml:space="preserve">including </w:t>
      </w:r>
      <w:r w:rsidRPr="00A903DD">
        <w:rPr>
          <w:rFonts w:ascii="Book Antiqua" w:hAnsi="Book Antiqua"/>
          <w:sz w:val="24"/>
          <w:szCs w:val="24"/>
        </w:rPr>
        <w:t>the direct thrombin inhibitor, dabigatran, and the factor Xa inhibitors rivaroxaban, apixaban, and edoxaban have been</w:t>
      </w:r>
      <w:r w:rsidR="00431953" w:rsidRPr="00A903DD">
        <w:rPr>
          <w:rFonts w:ascii="Book Antiqua" w:hAnsi="Book Antiqua"/>
          <w:sz w:val="24"/>
          <w:szCs w:val="24"/>
        </w:rPr>
        <w:t xml:space="preserve"> </w:t>
      </w:r>
      <w:r w:rsidRPr="00A903DD">
        <w:rPr>
          <w:rFonts w:ascii="Book Antiqua" w:hAnsi="Book Antiqua"/>
          <w:sz w:val="24"/>
          <w:szCs w:val="24"/>
        </w:rPr>
        <w:t xml:space="preserve">approved </w:t>
      </w:r>
      <w:r w:rsidR="002B29EF" w:rsidRPr="00A903DD">
        <w:rPr>
          <w:rFonts w:ascii="Book Antiqua" w:hAnsi="Book Antiqua"/>
          <w:sz w:val="24"/>
          <w:szCs w:val="24"/>
        </w:rPr>
        <w:t xml:space="preserve">for THA thrombopropylaxis </w:t>
      </w:r>
      <w:r w:rsidRPr="00A903DD">
        <w:rPr>
          <w:rFonts w:ascii="Book Antiqua" w:hAnsi="Book Antiqua"/>
          <w:sz w:val="24"/>
          <w:szCs w:val="24"/>
        </w:rPr>
        <w:t xml:space="preserve">in </w:t>
      </w:r>
      <w:r w:rsidR="002B29EF" w:rsidRPr="00A903DD">
        <w:rPr>
          <w:rFonts w:ascii="Book Antiqua" w:hAnsi="Book Antiqua"/>
          <w:sz w:val="24"/>
          <w:szCs w:val="24"/>
        </w:rPr>
        <w:t>various</w:t>
      </w:r>
      <w:r w:rsidRPr="00A903DD">
        <w:rPr>
          <w:rFonts w:ascii="Book Antiqua" w:hAnsi="Book Antiqua"/>
          <w:sz w:val="24"/>
          <w:szCs w:val="24"/>
        </w:rPr>
        <w:t xml:space="preserve"> countries. The TSOAs provide a rapid acting, oral alternative to parenteral agents </w:t>
      </w:r>
      <w:r w:rsidR="002B29EF" w:rsidRPr="00A903DD">
        <w:rPr>
          <w:rFonts w:ascii="Book Antiqua" w:hAnsi="Book Antiqua"/>
          <w:sz w:val="24"/>
          <w:szCs w:val="24"/>
        </w:rPr>
        <w:t>including</w:t>
      </w:r>
      <w:r w:rsidRPr="00A903DD">
        <w:rPr>
          <w:rFonts w:ascii="Book Antiqua" w:hAnsi="Book Antiqua"/>
          <w:sz w:val="24"/>
          <w:szCs w:val="24"/>
        </w:rPr>
        <w:t xml:space="preserve"> low-molecular weight heparins (LMWH) and fondaparinux</w:t>
      </w:r>
      <w:r w:rsidR="00431953" w:rsidRPr="00A903DD">
        <w:rPr>
          <w:rFonts w:ascii="Book Antiqua" w:hAnsi="Book Antiqua"/>
          <w:sz w:val="24"/>
          <w:szCs w:val="24"/>
        </w:rPr>
        <w:t>;</w:t>
      </w:r>
      <w:r w:rsidRPr="00A903DD">
        <w:rPr>
          <w:rFonts w:ascii="Book Antiqua" w:hAnsi="Book Antiqua"/>
          <w:sz w:val="24"/>
          <w:szCs w:val="24"/>
        </w:rPr>
        <w:t xml:space="preserve"> and </w:t>
      </w:r>
      <w:r w:rsidR="002B29EF" w:rsidRPr="00A903DD">
        <w:rPr>
          <w:rFonts w:ascii="Book Antiqua" w:hAnsi="Book Antiqua"/>
          <w:sz w:val="24"/>
          <w:szCs w:val="24"/>
        </w:rPr>
        <w:t>compared to</w:t>
      </w:r>
      <w:r w:rsidRPr="00A903DD">
        <w:rPr>
          <w:rFonts w:ascii="Book Antiqua" w:hAnsi="Book Antiqua"/>
          <w:sz w:val="24"/>
          <w:szCs w:val="24"/>
        </w:rPr>
        <w:t xml:space="preserve"> warfarin, </w:t>
      </w:r>
      <w:r w:rsidR="002B29EF" w:rsidRPr="00A903DD">
        <w:rPr>
          <w:rFonts w:ascii="Book Antiqua" w:hAnsi="Book Antiqua"/>
          <w:sz w:val="24"/>
          <w:szCs w:val="24"/>
        </w:rPr>
        <w:t xml:space="preserve">they </w:t>
      </w:r>
      <w:r w:rsidRPr="00A903DD">
        <w:rPr>
          <w:rFonts w:ascii="Book Antiqua" w:hAnsi="Book Antiqua"/>
          <w:sz w:val="24"/>
          <w:szCs w:val="24"/>
        </w:rPr>
        <w:t xml:space="preserve">do not require routine laboratory monitoring and possess </w:t>
      </w:r>
      <w:r w:rsidR="002B29EF" w:rsidRPr="00A903DD">
        <w:rPr>
          <w:rFonts w:ascii="Book Antiqua" w:hAnsi="Book Antiqua"/>
          <w:sz w:val="24"/>
          <w:szCs w:val="24"/>
        </w:rPr>
        <w:t>much fewer</w:t>
      </w:r>
      <w:r w:rsidR="00174CD0" w:rsidRPr="00A903DD">
        <w:rPr>
          <w:rFonts w:ascii="Book Antiqua" w:hAnsi="Book Antiqua"/>
          <w:sz w:val="24"/>
          <w:szCs w:val="24"/>
        </w:rPr>
        <w:t xml:space="preserve"> drug-drug interactions. </w:t>
      </w:r>
      <w:r w:rsidRPr="00A903DD">
        <w:rPr>
          <w:rFonts w:ascii="Book Antiqua" w:hAnsi="Book Antiqua"/>
          <w:sz w:val="24"/>
          <w:szCs w:val="24"/>
        </w:rPr>
        <w:t>Based on phase III clinical studies, TSOAs have established themselves as a</w:t>
      </w:r>
      <w:r w:rsidR="000376A9" w:rsidRPr="00A903DD">
        <w:rPr>
          <w:rFonts w:ascii="Book Antiqua" w:hAnsi="Book Antiqua"/>
          <w:sz w:val="24"/>
          <w:szCs w:val="24"/>
        </w:rPr>
        <w:t>n effective and</w:t>
      </w:r>
      <w:r w:rsidRPr="00A903DD">
        <w:rPr>
          <w:rFonts w:ascii="Book Antiqua" w:hAnsi="Book Antiqua"/>
          <w:sz w:val="24"/>
          <w:szCs w:val="24"/>
        </w:rPr>
        <w:t xml:space="preserve"> safe option for thromboprophylaxis after THA compared to LMWH, particularly enoxaparin, but require </w:t>
      </w:r>
      <w:r w:rsidR="002B29EF" w:rsidRPr="00A903DD">
        <w:rPr>
          <w:rFonts w:ascii="Book Antiqua" w:hAnsi="Book Antiqua"/>
          <w:sz w:val="24"/>
          <w:szCs w:val="24"/>
        </w:rPr>
        <w:t>additional</w:t>
      </w:r>
      <w:r w:rsidRPr="00A903DD">
        <w:rPr>
          <w:rFonts w:ascii="Book Antiqua" w:hAnsi="Book Antiqua"/>
          <w:sz w:val="24"/>
          <w:szCs w:val="24"/>
        </w:rPr>
        <w:t xml:space="preserve"> evaluation in specific population</w:t>
      </w:r>
      <w:r w:rsidR="002B29EF" w:rsidRPr="00A903DD">
        <w:rPr>
          <w:rFonts w:ascii="Book Antiqua" w:hAnsi="Book Antiqua"/>
          <w:sz w:val="24"/>
          <w:szCs w:val="24"/>
        </w:rPr>
        <w:t>s</w:t>
      </w:r>
      <w:r w:rsidRPr="00A903DD">
        <w:rPr>
          <w:rFonts w:ascii="Book Antiqua" w:hAnsi="Book Antiqua"/>
          <w:sz w:val="24"/>
          <w:szCs w:val="24"/>
        </w:rPr>
        <w:t xml:space="preserve"> such as the renally impaired or elderly.  The ability to monitor and reverse these TSOAs in the case of bleeding complications or suspected sub- or supra-therapeutic anticoagulation is of importanc</w:t>
      </w:r>
      <w:r w:rsidR="00174CD0" w:rsidRPr="00A903DD">
        <w:rPr>
          <w:rFonts w:ascii="Book Antiqua" w:hAnsi="Book Antiqua"/>
          <w:sz w:val="24"/>
          <w:szCs w:val="24"/>
        </w:rPr>
        <w:t>e, but remains investigational.</w:t>
      </w:r>
      <w:r w:rsidR="00174CD0" w:rsidRPr="00A903DD">
        <w:rPr>
          <w:rFonts w:ascii="Book Antiqua" w:hAnsi="Book Antiqua"/>
          <w:sz w:val="24"/>
          <w:szCs w:val="24"/>
          <w:lang w:eastAsia="zh-CN"/>
        </w:rPr>
        <w:t xml:space="preserve"> </w:t>
      </w:r>
      <w:r w:rsidRPr="00A903DD">
        <w:rPr>
          <w:rFonts w:ascii="Book Antiqua" w:hAnsi="Book Antiqua"/>
          <w:sz w:val="24"/>
          <w:szCs w:val="24"/>
        </w:rPr>
        <w:t>This review will focus on the drug-specific characteristics, efficacy, safety, and economic impact of the TSOAs for thromboprophylaxis following THA, as well as the aspects of therapeutic monitoring and anticoagulation reversal in the event of bleeding complications or a need for urgent reversal.</w:t>
      </w:r>
    </w:p>
    <w:p w:rsidR="00142826" w:rsidRPr="00A903DD" w:rsidRDefault="00142826" w:rsidP="00A903DD">
      <w:pPr>
        <w:spacing w:after="0" w:line="360" w:lineRule="auto"/>
        <w:contextualSpacing/>
        <w:jc w:val="both"/>
        <w:rPr>
          <w:rFonts w:ascii="Book Antiqua" w:hAnsi="Book Antiqua"/>
          <w:sz w:val="24"/>
          <w:szCs w:val="24"/>
        </w:rPr>
      </w:pPr>
    </w:p>
    <w:p w:rsidR="000E61CB" w:rsidRDefault="00816B3B" w:rsidP="00A903DD">
      <w:pPr>
        <w:spacing w:after="0" w:line="360" w:lineRule="auto"/>
        <w:jc w:val="both"/>
        <w:rPr>
          <w:rFonts w:ascii="Book Antiqua" w:hAnsi="Book Antiqua"/>
          <w:sz w:val="24"/>
          <w:szCs w:val="24"/>
          <w:lang w:val="en-GB" w:eastAsia="zh-CN"/>
        </w:rPr>
      </w:pPr>
      <w:r w:rsidRPr="000632FC">
        <w:rPr>
          <w:rFonts w:ascii="Book Antiqua" w:hAnsi="Book Antiqua"/>
          <w:sz w:val="24"/>
          <w:szCs w:val="24"/>
        </w:rPr>
        <w:t xml:space="preserve">© </w:t>
      </w:r>
      <w:r w:rsidRPr="000632FC">
        <w:rPr>
          <w:rFonts w:ascii="Book Antiqua" w:hAnsi="Book Antiqua"/>
          <w:sz w:val="24"/>
          <w:szCs w:val="24"/>
          <w:lang w:val="en-GB"/>
        </w:rPr>
        <w:t xml:space="preserve">2014 Baishideng Publishing Group </w:t>
      </w:r>
      <w:r w:rsidRPr="000632FC">
        <w:rPr>
          <w:rFonts w:ascii="Book Antiqua" w:hAnsi="Book Antiqua"/>
          <w:sz w:val="24"/>
          <w:szCs w:val="24"/>
          <w:lang w:val="en-GB" w:eastAsia="zh-CN"/>
        </w:rPr>
        <w:t>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rsidR="00816B3B" w:rsidRPr="00A903DD" w:rsidRDefault="00816B3B" w:rsidP="00A903DD">
      <w:pPr>
        <w:spacing w:after="0" w:line="360" w:lineRule="auto"/>
        <w:jc w:val="both"/>
        <w:rPr>
          <w:rFonts w:ascii="Book Antiqua" w:hAnsi="Book Antiqua"/>
          <w:sz w:val="24"/>
          <w:szCs w:val="24"/>
          <w:lang w:eastAsia="zh-CN"/>
        </w:rPr>
      </w:pPr>
    </w:p>
    <w:p w:rsidR="00A903DD" w:rsidRPr="00A903DD" w:rsidRDefault="00A903DD" w:rsidP="00A903DD">
      <w:pPr>
        <w:spacing w:after="0" w:line="360" w:lineRule="auto"/>
        <w:jc w:val="both"/>
        <w:rPr>
          <w:rFonts w:ascii="Book Antiqua" w:hAnsi="Book Antiqua"/>
          <w:sz w:val="24"/>
          <w:szCs w:val="24"/>
          <w:lang w:eastAsia="zh-CN"/>
        </w:rPr>
      </w:pPr>
      <w:r w:rsidRPr="00A903DD">
        <w:rPr>
          <w:rFonts w:ascii="Book Antiqua" w:hAnsi="Book Antiqua"/>
          <w:b/>
          <w:sz w:val="24"/>
          <w:szCs w:val="24"/>
        </w:rPr>
        <w:t>Key words</w:t>
      </w:r>
      <w:r w:rsidRPr="00A903DD">
        <w:rPr>
          <w:rFonts w:ascii="Book Antiqua" w:hAnsi="Book Antiqua"/>
          <w:sz w:val="24"/>
          <w:szCs w:val="24"/>
        </w:rPr>
        <w:t>: Oral</w:t>
      </w:r>
      <w:r>
        <w:rPr>
          <w:rFonts w:ascii="Book Antiqua" w:hAnsi="Book Antiqua" w:hint="eastAsia"/>
          <w:sz w:val="24"/>
          <w:szCs w:val="24"/>
          <w:lang w:eastAsia="zh-CN"/>
        </w:rPr>
        <w:t xml:space="preserve">; </w:t>
      </w:r>
      <w:r w:rsidRPr="00A903DD">
        <w:rPr>
          <w:rFonts w:ascii="Book Antiqua" w:hAnsi="Book Antiqua"/>
          <w:sz w:val="24"/>
          <w:szCs w:val="24"/>
        </w:rPr>
        <w:t>Thromboprophylaxis</w:t>
      </w:r>
      <w:r>
        <w:rPr>
          <w:rFonts w:ascii="Book Antiqua" w:hAnsi="Book Antiqua" w:hint="eastAsia"/>
          <w:sz w:val="24"/>
          <w:szCs w:val="24"/>
          <w:lang w:eastAsia="zh-CN"/>
        </w:rPr>
        <w:t xml:space="preserve">; </w:t>
      </w:r>
      <w:r w:rsidRPr="00A903DD">
        <w:rPr>
          <w:rFonts w:ascii="Book Antiqua" w:hAnsi="Book Antiqua"/>
          <w:sz w:val="24"/>
          <w:szCs w:val="24"/>
        </w:rPr>
        <w:t>Venous thromboembolism</w:t>
      </w:r>
      <w:r>
        <w:rPr>
          <w:rFonts w:ascii="Book Antiqua" w:hAnsi="Book Antiqua" w:hint="eastAsia"/>
          <w:sz w:val="24"/>
          <w:szCs w:val="24"/>
          <w:lang w:eastAsia="zh-CN"/>
        </w:rPr>
        <w:t xml:space="preserve">; </w:t>
      </w:r>
      <w:r w:rsidRPr="00A903DD">
        <w:rPr>
          <w:rFonts w:ascii="Book Antiqua" w:hAnsi="Book Antiqua"/>
          <w:sz w:val="24"/>
          <w:szCs w:val="24"/>
        </w:rPr>
        <w:t>Hip</w:t>
      </w:r>
      <w:r>
        <w:rPr>
          <w:rFonts w:ascii="Book Antiqua" w:hAnsi="Book Antiqua" w:hint="eastAsia"/>
          <w:sz w:val="24"/>
          <w:szCs w:val="24"/>
          <w:lang w:eastAsia="zh-CN"/>
        </w:rPr>
        <w:t>;</w:t>
      </w:r>
      <w:r>
        <w:rPr>
          <w:rFonts w:ascii="Book Antiqua" w:hAnsi="Book Antiqua"/>
          <w:sz w:val="24"/>
          <w:szCs w:val="24"/>
          <w:lang w:eastAsia="zh-CN"/>
        </w:rPr>
        <w:t xml:space="preserve"> </w:t>
      </w:r>
      <w:r w:rsidRPr="00A903DD">
        <w:rPr>
          <w:rFonts w:ascii="Book Antiqua" w:hAnsi="Book Antiqua"/>
          <w:sz w:val="24"/>
          <w:szCs w:val="24"/>
        </w:rPr>
        <w:t>Arthroplasty</w:t>
      </w:r>
    </w:p>
    <w:p w:rsidR="00A903DD" w:rsidRPr="00A903DD" w:rsidRDefault="00A903DD" w:rsidP="00A903DD">
      <w:pPr>
        <w:spacing w:after="0" w:line="360" w:lineRule="auto"/>
        <w:jc w:val="both"/>
        <w:rPr>
          <w:rFonts w:ascii="Book Antiqua" w:hAnsi="Book Antiqua"/>
          <w:sz w:val="24"/>
          <w:szCs w:val="24"/>
          <w:lang w:eastAsia="zh-CN"/>
        </w:rPr>
      </w:pPr>
    </w:p>
    <w:p w:rsidR="00A903DD" w:rsidRPr="00A903DD" w:rsidRDefault="00A903DD" w:rsidP="00A903DD">
      <w:pPr>
        <w:spacing w:after="0" w:line="360" w:lineRule="auto"/>
        <w:jc w:val="both"/>
        <w:rPr>
          <w:rFonts w:ascii="Book Antiqua" w:hAnsi="Book Antiqua"/>
          <w:b/>
          <w:sz w:val="24"/>
          <w:szCs w:val="24"/>
          <w:lang w:eastAsia="zh-CN"/>
        </w:rPr>
      </w:pPr>
      <w:r w:rsidRPr="00A903DD">
        <w:rPr>
          <w:rFonts w:ascii="Book Antiqua" w:hAnsi="Book Antiqua"/>
          <w:b/>
          <w:sz w:val="24"/>
          <w:szCs w:val="24"/>
        </w:rPr>
        <w:t>Core tip</w:t>
      </w:r>
      <w:r w:rsidRPr="00A903DD">
        <w:rPr>
          <w:rFonts w:ascii="Book Antiqua" w:hAnsi="Book Antiqua"/>
          <w:sz w:val="24"/>
          <w:szCs w:val="24"/>
        </w:rPr>
        <w:t xml:space="preserve">: This review focuses on the drug-specific characteristics, efficacy, safety, and economic impact of the target specific oral anticoagulants including dabigatran, rivaroxaban, apixaban, and edoxaban for thromboprophylaxis following total hip arthroplasty </w:t>
      </w:r>
      <w:r>
        <w:rPr>
          <w:rFonts w:ascii="Book Antiqua" w:hAnsi="Book Antiqua" w:hint="eastAsia"/>
          <w:sz w:val="24"/>
          <w:szCs w:val="24"/>
          <w:lang w:eastAsia="zh-CN"/>
        </w:rPr>
        <w:t>(</w:t>
      </w:r>
      <w:r w:rsidRPr="00A903DD">
        <w:rPr>
          <w:rFonts w:ascii="Book Antiqua" w:hAnsi="Book Antiqua"/>
          <w:sz w:val="24"/>
          <w:szCs w:val="24"/>
        </w:rPr>
        <w:t>THA</w:t>
      </w:r>
      <w:r>
        <w:rPr>
          <w:rFonts w:ascii="Book Antiqua" w:hAnsi="Book Antiqua" w:hint="eastAsia"/>
          <w:sz w:val="24"/>
          <w:szCs w:val="24"/>
          <w:lang w:eastAsia="zh-CN"/>
        </w:rPr>
        <w:t>)</w:t>
      </w:r>
      <w:r w:rsidRPr="00A903DD">
        <w:rPr>
          <w:rFonts w:ascii="Book Antiqua" w:hAnsi="Book Antiqua"/>
          <w:sz w:val="24"/>
          <w:szCs w:val="24"/>
        </w:rPr>
        <w:t>, as well as the aspects of therapeutic monitoring and anticoagulation reversal in the event of bleeding complications or a need for urgent reversal.</w:t>
      </w:r>
    </w:p>
    <w:p w:rsidR="00A903DD" w:rsidRPr="00A903DD" w:rsidRDefault="00A903DD" w:rsidP="00A903DD">
      <w:pPr>
        <w:spacing w:after="0" w:line="360" w:lineRule="auto"/>
        <w:jc w:val="both"/>
        <w:rPr>
          <w:rFonts w:ascii="Book Antiqua" w:hAnsi="Book Antiqua"/>
          <w:b/>
          <w:sz w:val="24"/>
          <w:szCs w:val="24"/>
          <w:lang w:eastAsia="zh-CN"/>
        </w:rPr>
      </w:pPr>
    </w:p>
    <w:p w:rsidR="00A903DD" w:rsidRPr="00D8100D" w:rsidRDefault="00A903DD" w:rsidP="00816B3B">
      <w:pPr>
        <w:spacing w:after="0" w:line="360" w:lineRule="auto"/>
        <w:jc w:val="both"/>
        <w:rPr>
          <w:rFonts w:ascii="Book Antiqua" w:hAnsi="Book Antiqua"/>
          <w:sz w:val="24"/>
          <w:szCs w:val="24"/>
          <w:lang w:eastAsia="zh-CN"/>
        </w:rPr>
      </w:pPr>
      <w:r w:rsidRPr="00A903DD">
        <w:rPr>
          <w:rFonts w:ascii="Book Antiqua" w:hAnsi="Book Antiqua"/>
          <w:sz w:val="24"/>
          <w:szCs w:val="24"/>
        </w:rPr>
        <w:t>Aikens</w:t>
      </w:r>
      <w:r w:rsidRPr="00A903DD">
        <w:rPr>
          <w:rFonts w:ascii="Book Antiqua" w:hAnsi="Book Antiqua"/>
          <w:sz w:val="24"/>
          <w:szCs w:val="24"/>
          <w:lang w:eastAsia="zh-CN"/>
        </w:rPr>
        <w:t xml:space="preserve"> GB</w:t>
      </w:r>
      <w:r w:rsidR="00816B3B">
        <w:rPr>
          <w:rFonts w:ascii="Book Antiqua" w:hAnsi="Book Antiqua" w:hint="eastAsia"/>
          <w:sz w:val="24"/>
          <w:szCs w:val="24"/>
          <w:lang w:eastAsia="zh-CN"/>
        </w:rPr>
        <w:t>,</w:t>
      </w:r>
      <w:r w:rsidRPr="00A903DD">
        <w:rPr>
          <w:rFonts w:ascii="Book Antiqua" w:hAnsi="Book Antiqua"/>
          <w:sz w:val="24"/>
          <w:szCs w:val="24"/>
          <w:lang w:eastAsia="zh-CN"/>
        </w:rPr>
        <w:t xml:space="preserve"> </w:t>
      </w:r>
      <w:r w:rsidRPr="00A903DD">
        <w:rPr>
          <w:rFonts w:ascii="Book Antiqua" w:hAnsi="Book Antiqua"/>
          <w:sz w:val="24"/>
          <w:szCs w:val="24"/>
        </w:rPr>
        <w:t>Osmundson</w:t>
      </w:r>
      <w:r w:rsidRPr="00A903DD">
        <w:rPr>
          <w:rFonts w:ascii="Book Antiqua" w:hAnsi="Book Antiqua"/>
          <w:sz w:val="24"/>
          <w:szCs w:val="24"/>
          <w:lang w:eastAsia="zh-CN"/>
        </w:rPr>
        <w:t xml:space="preserve"> JR, </w:t>
      </w:r>
      <w:r w:rsidRPr="00A903DD">
        <w:rPr>
          <w:rFonts w:ascii="Book Antiqua" w:hAnsi="Book Antiqua"/>
          <w:sz w:val="24"/>
          <w:szCs w:val="24"/>
        </w:rPr>
        <w:t>Rivey</w:t>
      </w:r>
      <w:r w:rsidRPr="00A903DD">
        <w:rPr>
          <w:rFonts w:ascii="Book Antiqua" w:hAnsi="Book Antiqua"/>
          <w:sz w:val="24"/>
          <w:szCs w:val="24"/>
          <w:lang w:eastAsia="zh-CN"/>
        </w:rPr>
        <w:t xml:space="preserve"> MP.</w:t>
      </w:r>
      <w:r w:rsidRPr="00A903DD">
        <w:rPr>
          <w:rFonts w:ascii="Book Antiqua" w:hAnsi="Book Antiqua"/>
          <w:sz w:val="24"/>
          <w:szCs w:val="24"/>
        </w:rPr>
        <w:t xml:space="preserve"> </w:t>
      </w:r>
      <w:proofErr w:type="gramStart"/>
      <w:r w:rsidRPr="00A903DD">
        <w:rPr>
          <w:rFonts w:ascii="Book Antiqua" w:hAnsi="Book Antiqua"/>
          <w:sz w:val="24"/>
          <w:szCs w:val="24"/>
        </w:rPr>
        <w:t>New oral pharmacotherapeutic agents for venous thromboprophylaxis after total hip arthroplasty</w:t>
      </w:r>
      <w:r w:rsidRPr="00A903DD">
        <w:rPr>
          <w:rFonts w:ascii="Book Antiqua" w:hAnsi="Book Antiqua"/>
          <w:sz w:val="24"/>
          <w:szCs w:val="24"/>
          <w:lang w:eastAsia="zh-CN"/>
        </w:rPr>
        <w:t>.</w:t>
      </w:r>
      <w:proofErr w:type="gramEnd"/>
      <w:r w:rsidR="00D8100D" w:rsidRPr="00D8100D">
        <w:rPr>
          <w:rFonts w:ascii="Book Antiqua" w:eastAsia="BatangChe" w:hAnsi="Book Antiqua"/>
          <w:i/>
          <w:sz w:val="24"/>
          <w:szCs w:val="24"/>
        </w:rPr>
        <w:t xml:space="preserve"> </w:t>
      </w:r>
      <w:r w:rsidR="00D8100D" w:rsidRPr="00A903DD">
        <w:rPr>
          <w:rFonts w:ascii="Book Antiqua" w:eastAsia="BatangChe" w:hAnsi="Book Antiqua"/>
          <w:i/>
          <w:sz w:val="24"/>
          <w:szCs w:val="24"/>
        </w:rPr>
        <w:t>World J Orthop</w:t>
      </w:r>
      <w:r w:rsidR="00D8100D">
        <w:rPr>
          <w:rFonts w:ascii="Book Antiqua" w:hAnsi="Book Antiqua" w:hint="eastAsia"/>
          <w:sz w:val="24"/>
          <w:szCs w:val="24"/>
          <w:lang w:eastAsia="zh-CN"/>
        </w:rPr>
        <w:t xml:space="preserve"> 2014; </w:t>
      </w:r>
      <w:proofErr w:type="gramStart"/>
      <w:r w:rsidR="00D8100D">
        <w:rPr>
          <w:rFonts w:ascii="Book Antiqua" w:hAnsi="Book Antiqua" w:hint="eastAsia"/>
          <w:sz w:val="24"/>
          <w:szCs w:val="24"/>
          <w:lang w:eastAsia="zh-CN"/>
        </w:rPr>
        <w:t>In</w:t>
      </w:r>
      <w:proofErr w:type="gramEnd"/>
      <w:r w:rsidR="00D8100D">
        <w:rPr>
          <w:rFonts w:ascii="Book Antiqua" w:hAnsi="Book Antiqua" w:hint="eastAsia"/>
          <w:sz w:val="24"/>
          <w:szCs w:val="24"/>
          <w:lang w:eastAsia="zh-CN"/>
        </w:rPr>
        <w:t xml:space="preserve"> press</w:t>
      </w:r>
    </w:p>
    <w:p w:rsidR="00A903DD" w:rsidRPr="00A903DD" w:rsidRDefault="00A903DD" w:rsidP="00A903DD">
      <w:pPr>
        <w:spacing w:after="0" w:line="360" w:lineRule="auto"/>
        <w:jc w:val="both"/>
        <w:rPr>
          <w:rFonts w:ascii="Book Antiqua" w:hAnsi="Book Antiqua"/>
          <w:sz w:val="24"/>
          <w:szCs w:val="24"/>
          <w:lang w:eastAsia="zh-CN"/>
        </w:rPr>
      </w:pPr>
    </w:p>
    <w:p w:rsidR="00431953" w:rsidRPr="00A903DD" w:rsidRDefault="00174CD0" w:rsidP="00A903DD">
      <w:pPr>
        <w:spacing w:after="0" w:line="360" w:lineRule="auto"/>
        <w:contextualSpacing/>
        <w:jc w:val="both"/>
        <w:rPr>
          <w:rFonts w:ascii="Book Antiqua" w:hAnsi="Book Antiqua"/>
          <w:b/>
          <w:sz w:val="24"/>
          <w:szCs w:val="24"/>
        </w:rPr>
      </w:pPr>
      <w:r w:rsidRPr="00A903DD">
        <w:rPr>
          <w:rFonts w:ascii="Book Antiqua" w:hAnsi="Book Antiqua"/>
          <w:b/>
          <w:sz w:val="24"/>
          <w:szCs w:val="24"/>
        </w:rPr>
        <w:t>INTRODUCTION</w:t>
      </w:r>
    </w:p>
    <w:p w:rsidR="00C500AA" w:rsidRPr="00A903DD" w:rsidRDefault="002F0E14" w:rsidP="00A903DD">
      <w:pPr>
        <w:spacing w:after="0" w:line="360" w:lineRule="auto"/>
        <w:contextualSpacing/>
        <w:jc w:val="both"/>
        <w:rPr>
          <w:rFonts w:ascii="Book Antiqua" w:hAnsi="Book Antiqua"/>
          <w:sz w:val="24"/>
          <w:szCs w:val="24"/>
        </w:rPr>
      </w:pPr>
      <w:r w:rsidRPr="00A903DD">
        <w:rPr>
          <w:rFonts w:ascii="Book Antiqua" w:hAnsi="Book Antiqua"/>
          <w:sz w:val="24"/>
          <w:szCs w:val="24"/>
        </w:rPr>
        <w:t>Patients undergoing major o</w:t>
      </w:r>
      <w:r w:rsidR="00C500AA" w:rsidRPr="00A903DD">
        <w:rPr>
          <w:rFonts w:ascii="Book Antiqua" w:hAnsi="Book Antiqua"/>
          <w:sz w:val="24"/>
          <w:szCs w:val="24"/>
        </w:rPr>
        <w:t>rthopedic surgery including total hip arthroplasty (THA) are at increased risk for developing venous thromboembolism (VTE)</w:t>
      </w:r>
      <w:r w:rsidR="005C74A6" w:rsidRPr="00A903DD">
        <w:rPr>
          <w:rFonts w:ascii="Book Antiqua" w:hAnsi="Book Antiqua"/>
          <w:sz w:val="24"/>
          <w:szCs w:val="24"/>
        </w:rPr>
        <w:t xml:space="preserve"> that includes</w:t>
      </w:r>
      <w:r w:rsidR="00C500AA" w:rsidRPr="00A903DD">
        <w:rPr>
          <w:rFonts w:ascii="Book Antiqua" w:hAnsi="Book Antiqua"/>
          <w:sz w:val="24"/>
          <w:szCs w:val="24"/>
        </w:rPr>
        <w:t xml:space="preserve"> deep vein thrombosis (DVT) and pulmonary embolism (PE).  </w:t>
      </w:r>
      <w:r w:rsidR="005C74A6" w:rsidRPr="00A903DD">
        <w:rPr>
          <w:rFonts w:ascii="Book Antiqua" w:hAnsi="Book Antiqua"/>
          <w:sz w:val="24"/>
          <w:szCs w:val="24"/>
        </w:rPr>
        <w:t>Methods of mechanical and/or pharmacologic thromboprophylaxis have greatly reduced the VTE risk</w:t>
      </w:r>
      <w:r w:rsidR="0038734F" w:rsidRPr="00A903DD">
        <w:rPr>
          <w:rFonts w:ascii="Book Antiqua" w:hAnsi="Book Antiqua"/>
          <w:sz w:val="24"/>
          <w:szCs w:val="24"/>
        </w:rPr>
        <w:t>.</w:t>
      </w:r>
      <w:r w:rsidR="0038734F" w:rsidRPr="00A903DD">
        <w:rPr>
          <w:rFonts w:ascii="Book Antiqua" w:hAnsi="Book Antiqua"/>
          <w:sz w:val="24"/>
          <w:szCs w:val="24"/>
          <w:lang w:eastAsia="zh-CN"/>
        </w:rPr>
        <w:t xml:space="preserve"> </w:t>
      </w:r>
      <w:r w:rsidR="00C500AA" w:rsidRPr="00A903DD">
        <w:rPr>
          <w:rFonts w:ascii="Book Antiqua" w:hAnsi="Book Antiqua"/>
          <w:sz w:val="24"/>
          <w:szCs w:val="24"/>
        </w:rPr>
        <w:t xml:space="preserve">The historical risk of </w:t>
      </w:r>
      <w:r w:rsidR="00C500AA" w:rsidRPr="00A903DD">
        <w:rPr>
          <w:rFonts w:ascii="Book Antiqua" w:hAnsi="Book Antiqua"/>
          <w:sz w:val="24"/>
          <w:szCs w:val="24"/>
        </w:rPr>
        <w:lastRenderedPageBreak/>
        <w:t>symptomatic VTE following orthopedic surgery without thromboprophylaxis ranged from 15</w:t>
      </w:r>
      <w:r w:rsidR="0038734F" w:rsidRPr="00A903DD">
        <w:rPr>
          <w:rFonts w:ascii="Book Antiqua" w:hAnsi="Book Antiqua"/>
          <w:sz w:val="24"/>
          <w:szCs w:val="24"/>
        </w:rPr>
        <w:t>%</w:t>
      </w:r>
      <w:r w:rsidR="00C500AA" w:rsidRPr="00A903DD">
        <w:rPr>
          <w:rFonts w:ascii="Book Antiqua" w:hAnsi="Book Antiqua"/>
          <w:sz w:val="24"/>
          <w:szCs w:val="24"/>
        </w:rPr>
        <w:t>–30%</w:t>
      </w:r>
      <w:r w:rsidR="00090888" w:rsidRPr="00A903DD">
        <w:rPr>
          <w:rFonts w:ascii="Book Antiqua" w:hAnsi="Book Antiqua"/>
          <w:sz w:val="24"/>
          <w:szCs w:val="24"/>
        </w:rPr>
        <w:t xml:space="preserve"> but more recent analysis </w:t>
      </w:r>
      <w:r w:rsidR="000A1C39" w:rsidRPr="00A903DD">
        <w:rPr>
          <w:rFonts w:ascii="Book Antiqua" w:hAnsi="Book Antiqua"/>
          <w:sz w:val="24"/>
          <w:szCs w:val="24"/>
        </w:rPr>
        <w:t>suggest a cumulative VTE rate of 4.3% in the 35 d following major orthopedic surgery</w:t>
      </w:r>
      <w:r w:rsidR="00C42BF0" w:rsidRPr="00A903DD">
        <w:rPr>
          <w:rFonts w:ascii="Book Antiqua" w:hAnsi="Book Antiqua"/>
          <w:sz w:val="24"/>
          <w:szCs w:val="24"/>
        </w:rPr>
        <w:t xml:space="preserve"> including THA, hip fracture repair, and total knee arthroplasty (TKA)</w:t>
      </w:r>
      <w:r w:rsidR="00C500AA" w:rsidRPr="00A903DD">
        <w:rPr>
          <w:rFonts w:ascii="Book Antiqua" w:hAnsi="Book Antiqua"/>
          <w:sz w:val="24"/>
          <w:szCs w:val="24"/>
          <w:vertAlign w:val="superscript"/>
        </w:rPr>
        <w:t>[1]</w:t>
      </w:r>
      <w:r w:rsidR="0038734F" w:rsidRPr="00A903DD">
        <w:rPr>
          <w:rFonts w:ascii="Book Antiqua" w:hAnsi="Book Antiqua"/>
          <w:sz w:val="24"/>
          <w:szCs w:val="24"/>
          <w:lang w:eastAsia="zh-CN"/>
        </w:rPr>
        <w:t xml:space="preserve">. </w:t>
      </w:r>
      <w:r w:rsidR="002F59B3" w:rsidRPr="00A903DD">
        <w:rPr>
          <w:rFonts w:ascii="Book Antiqua" w:hAnsi="Book Antiqua"/>
          <w:sz w:val="24"/>
          <w:szCs w:val="24"/>
        </w:rPr>
        <w:t>In contrast, t</w:t>
      </w:r>
      <w:r w:rsidR="00C500AA" w:rsidRPr="00A903DD">
        <w:rPr>
          <w:rFonts w:ascii="Book Antiqua" w:hAnsi="Book Antiqua"/>
          <w:sz w:val="24"/>
          <w:szCs w:val="24"/>
        </w:rPr>
        <w:t xml:space="preserve">he rate of symptomatic VTE in the presence of thromboprophylaxis prior to hospital discharge has recently been </w:t>
      </w:r>
      <w:r w:rsidR="001A5502" w:rsidRPr="00A903DD">
        <w:rPr>
          <w:rFonts w:ascii="Book Antiqua" w:hAnsi="Book Antiqua"/>
          <w:sz w:val="24"/>
          <w:szCs w:val="24"/>
        </w:rPr>
        <w:t>determined</w:t>
      </w:r>
      <w:r w:rsidR="00C500AA" w:rsidRPr="00A903DD">
        <w:rPr>
          <w:rFonts w:ascii="Book Antiqua" w:hAnsi="Book Antiqua"/>
          <w:sz w:val="24"/>
          <w:szCs w:val="24"/>
        </w:rPr>
        <w:t xml:space="preserve"> </w:t>
      </w:r>
      <w:r w:rsidR="002F59B3" w:rsidRPr="00A903DD">
        <w:rPr>
          <w:rFonts w:ascii="Book Antiqua" w:hAnsi="Book Antiqua"/>
          <w:sz w:val="24"/>
          <w:szCs w:val="24"/>
        </w:rPr>
        <w:t xml:space="preserve">to be as low </w:t>
      </w:r>
      <w:r w:rsidR="00C500AA" w:rsidRPr="00A903DD">
        <w:rPr>
          <w:rFonts w:ascii="Book Antiqua" w:hAnsi="Book Antiqua"/>
          <w:sz w:val="24"/>
          <w:szCs w:val="24"/>
        </w:rPr>
        <w:t xml:space="preserve">as 0.53% following orthopedic </w:t>
      </w:r>
      <w:proofErr w:type="gramStart"/>
      <w:r w:rsidR="00C500AA" w:rsidRPr="00A903DD">
        <w:rPr>
          <w:rFonts w:ascii="Book Antiqua" w:hAnsi="Book Antiqua"/>
          <w:sz w:val="24"/>
          <w:szCs w:val="24"/>
        </w:rPr>
        <w:t>surgery</w:t>
      </w:r>
      <w:r w:rsidR="0038734F" w:rsidRPr="00A903DD">
        <w:rPr>
          <w:rFonts w:ascii="Book Antiqua" w:hAnsi="Book Antiqua"/>
          <w:sz w:val="24"/>
          <w:szCs w:val="24"/>
          <w:vertAlign w:val="superscript"/>
        </w:rPr>
        <w:t>[</w:t>
      </w:r>
      <w:proofErr w:type="gramEnd"/>
      <w:r w:rsidR="0038734F" w:rsidRPr="00A903DD">
        <w:rPr>
          <w:rFonts w:ascii="Book Antiqua" w:hAnsi="Book Antiqua"/>
          <w:sz w:val="24"/>
          <w:szCs w:val="24"/>
          <w:vertAlign w:val="superscript"/>
        </w:rPr>
        <w:t>2]</w:t>
      </w:r>
      <w:r w:rsidR="00C500AA" w:rsidRPr="00A903DD">
        <w:rPr>
          <w:rFonts w:ascii="Book Antiqua" w:hAnsi="Book Antiqua"/>
          <w:sz w:val="24"/>
          <w:szCs w:val="24"/>
        </w:rPr>
        <w:t>.</w:t>
      </w:r>
      <w:r w:rsidR="002F59B3" w:rsidRPr="00A903DD">
        <w:rPr>
          <w:rFonts w:ascii="Book Antiqua" w:hAnsi="Book Antiqua"/>
          <w:sz w:val="24"/>
          <w:szCs w:val="24"/>
          <w:vertAlign w:val="superscript"/>
        </w:rPr>
        <w:t xml:space="preserve"> </w:t>
      </w:r>
      <w:r w:rsidR="007E6EEA" w:rsidRPr="00A903DD">
        <w:rPr>
          <w:rFonts w:ascii="Book Antiqua" w:hAnsi="Book Antiqua"/>
          <w:sz w:val="24"/>
          <w:szCs w:val="24"/>
        </w:rPr>
        <w:t>Th</w:t>
      </w:r>
      <w:r w:rsidR="002F59B3" w:rsidRPr="00A903DD">
        <w:rPr>
          <w:rFonts w:ascii="Book Antiqua" w:hAnsi="Book Antiqua"/>
          <w:sz w:val="24"/>
          <w:szCs w:val="24"/>
        </w:rPr>
        <w:t>e</w:t>
      </w:r>
      <w:r w:rsidR="007E6EEA" w:rsidRPr="00A903DD">
        <w:rPr>
          <w:rFonts w:ascii="Book Antiqua" w:hAnsi="Book Antiqua"/>
          <w:sz w:val="24"/>
          <w:szCs w:val="24"/>
        </w:rPr>
        <w:t xml:space="preserve"> rate of VTE </w:t>
      </w:r>
      <w:r w:rsidR="001B6921" w:rsidRPr="00A903DD">
        <w:rPr>
          <w:rFonts w:ascii="Book Antiqua" w:hAnsi="Book Antiqua"/>
          <w:sz w:val="24"/>
          <w:szCs w:val="24"/>
        </w:rPr>
        <w:t xml:space="preserve">is </w:t>
      </w:r>
      <w:r w:rsidR="007E6EEA" w:rsidRPr="00A903DD">
        <w:rPr>
          <w:rFonts w:ascii="Book Antiqua" w:hAnsi="Book Antiqua"/>
          <w:sz w:val="24"/>
          <w:szCs w:val="24"/>
        </w:rPr>
        <w:t xml:space="preserve">increased when followed </w:t>
      </w:r>
      <w:r w:rsidR="00C500AA" w:rsidRPr="00A903DD">
        <w:rPr>
          <w:rFonts w:ascii="Book Antiqua" w:hAnsi="Book Antiqua"/>
          <w:sz w:val="24"/>
          <w:szCs w:val="24"/>
        </w:rPr>
        <w:t>up to 35 d post-surgery with a 1</w:t>
      </w:r>
      <w:r w:rsidR="0038734F" w:rsidRPr="00A903DD">
        <w:rPr>
          <w:rFonts w:ascii="Book Antiqua" w:hAnsi="Book Antiqua"/>
          <w:sz w:val="24"/>
          <w:szCs w:val="24"/>
        </w:rPr>
        <w:t>%</w:t>
      </w:r>
      <w:r w:rsidR="00C500AA" w:rsidRPr="00A903DD">
        <w:rPr>
          <w:rFonts w:ascii="Book Antiqua" w:hAnsi="Book Antiqua"/>
          <w:sz w:val="24"/>
          <w:szCs w:val="24"/>
        </w:rPr>
        <w:t>–3% incidence of symptomatic DVT and 0.2</w:t>
      </w:r>
      <w:r w:rsidR="0038734F" w:rsidRPr="00A903DD">
        <w:rPr>
          <w:rFonts w:ascii="Book Antiqua" w:hAnsi="Book Antiqua"/>
          <w:sz w:val="24"/>
          <w:szCs w:val="24"/>
        </w:rPr>
        <w:t>%</w:t>
      </w:r>
      <w:r w:rsidR="00C500AA" w:rsidRPr="00A903DD">
        <w:rPr>
          <w:rFonts w:ascii="Book Antiqua" w:hAnsi="Book Antiqua"/>
          <w:sz w:val="24"/>
          <w:szCs w:val="24"/>
        </w:rPr>
        <w:t>–1.1% incidence of PE</w:t>
      </w:r>
      <w:r w:rsidR="00570D3C" w:rsidRPr="00A903DD">
        <w:rPr>
          <w:rFonts w:ascii="Book Antiqua" w:hAnsi="Book Antiqua"/>
          <w:sz w:val="24"/>
          <w:szCs w:val="24"/>
        </w:rPr>
        <w:t xml:space="preserve"> after orthopedic </w:t>
      </w:r>
      <w:proofErr w:type="gramStart"/>
      <w:r w:rsidR="00570D3C" w:rsidRPr="00A903DD">
        <w:rPr>
          <w:rFonts w:ascii="Book Antiqua" w:hAnsi="Book Antiqua"/>
          <w:sz w:val="24"/>
          <w:szCs w:val="24"/>
        </w:rPr>
        <w:t>surgery</w:t>
      </w:r>
      <w:r w:rsidR="0038734F" w:rsidRPr="00A903DD">
        <w:rPr>
          <w:rFonts w:ascii="Book Antiqua" w:hAnsi="Book Antiqua"/>
          <w:sz w:val="24"/>
          <w:szCs w:val="24"/>
          <w:vertAlign w:val="superscript"/>
        </w:rPr>
        <w:t>[</w:t>
      </w:r>
      <w:proofErr w:type="gramEnd"/>
      <w:r w:rsidR="0038734F" w:rsidRPr="00A903DD">
        <w:rPr>
          <w:rFonts w:ascii="Book Antiqua" w:hAnsi="Book Antiqua"/>
          <w:sz w:val="24"/>
          <w:szCs w:val="24"/>
          <w:vertAlign w:val="superscript"/>
        </w:rPr>
        <w:t>1]</w:t>
      </w:r>
      <w:r w:rsidR="00C500AA" w:rsidRPr="00A903DD">
        <w:rPr>
          <w:rFonts w:ascii="Book Antiqua" w:hAnsi="Book Antiqua"/>
          <w:sz w:val="24"/>
          <w:szCs w:val="24"/>
        </w:rPr>
        <w:t>.</w:t>
      </w:r>
      <w:r w:rsidR="000A1C39" w:rsidRPr="00A903DD">
        <w:rPr>
          <w:rFonts w:ascii="Book Antiqua" w:hAnsi="Book Antiqua"/>
          <w:sz w:val="24"/>
          <w:szCs w:val="24"/>
        </w:rPr>
        <w:t xml:space="preserve"> </w:t>
      </w:r>
      <w:r w:rsidR="0038734F" w:rsidRPr="00A903DD">
        <w:rPr>
          <w:rFonts w:ascii="Book Antiqua" w:hAnsi="Book Antiqua"/>
          <w:sz w:val="24"/>
          <w:szCs w:val="24"/>
        </w:rPr>
        <w:t>The 90-d</w:t>
      </w:r>
      <w:r w:rsidR="00570D3C" w:rsidRPr="00A903DD">
        <w:rPr>
          <w:rFonts w:ascii="Book Antiqua" w:hAnsi="Book Antiqua"/>
          <w:sz w:val="24"/>
          <w:szCs w:val="24"/>
        </w:rPr>
        <w:t xml:space="preserve"> symptomatic VTE rate after THA using thromboprophylaxis for the indicated duration ranges from 2.4</w:t>
      </w:r>
      <w:r w:rsidR="0038734F" w:rsidRPr="00A903DD">
        <w:rPr>
          <w:rFonts w:ascii="Book Antiqua" w:hAnsi="Book Antiqua"/>
          <w:sz w:val="24"/>
          <w:szCs w:val="24"/>
        </w:rPr>
        <w:t>%</w:t>
      </w:r>
      <w:r w:rsidR="00570D3C" w:rsidRPr="00A903DD">
        <w:rPr>
          <w:rFonts w:ascii="Book Antiqua" w:hAnsi="Book Antiqua"/>
          <w:sz w:val="24"/>
          <w:szCs w:val="24"/>
        </w:rPr>
        <w:t>-2.8</w:t>
      </w:r>
      <w:proofErr w:type="gramStart"/>
      <w:r w:rsidR="00570D3C" w:rsidRPr="00A903DD">
        <w:rPr>
          <w:rFonts w:ascii="Book Antiqua" w:hAnsi="Book Antiqua"/>
          <w:sz w:val="24"/>
          <w:szCs w:val="24"/>
        </w:rPr>
        <w:t>%</w:t>
      </w:r>
      <w:r w:rsidR="0038734F" w:rsidRPr="00A903DD">
        <w:rPr>
          <w:rFonts w:ascii="Book Antiqua" w:hAnsi="Book Antiqua"/>
          <w:sz w:val="24"/>
          <w:szCs w:val="24"/>
          <w:vertAlign w:val="superscript"/>
        </w:rPr>
        <w:t>[</w:t>
      </w:r>
      <w:proofErr w:type="gramEnd"/>
      <w:r w:rsidR="0038734F" w:rsidRPr="00A903DD">
        <w:rPr>
          <w:rFonts w:ascii="Book Antiqua" w:hAnsi="Book Antiqua"/>
          <w:sz w:val="24"/>
          <w:szCs w:val="24"/>
          <w:vertAlign w:val="superscript"/>
        </w:rPr>
        <w:t>1]</w:t>
      </w:r>
      <w:r w:rsidR="00570D3C" w:rsidRPr="00A903DD">
        <w:rPr>
          <w:rFonts w:ascii="Book Antiqua" w:hAnsi="Book Antiqua"/>
          <w:sz w:val="24"/>
          <w:szCs w:val="24"/>
        </w:rPr>
        <w:t>.</w:t>
      </w:r>
      <w:r w:rsidR="00570D3C" w:rsidRPr="00A903DD">
        <w:rPr>
          <w:rFonts w:ascii="Book Antiqua" w:hAnsi="Book Antiqua"/>
          <w:sz w:val="24"/>
          <w:szCs w:val="24"/>
          <w:vertAlign w:val="superscript"/>
        </w:rPr>
        <w:t xml:space="preserve"> </w:t>
      </w:r>
      <w:r w:rsidR="000A1C39" w:rsidRPr="00A903DD">
        <w:rPr>
          <w:rFonts w:ascii="Book Antiqua" w:hAnsi="Book Antiqua"/>
          <w:sz w:val="24"/>
          <w:szCs w:val="24"/>
        </w:rPr>
        <w:t xml:space="preserve"> </w:t>
      </w:r>
      <w:r w:rsidR="002C159A" w:rsidRPr="00A903DD">
        <w:rPr>
          <w:rFonts w:ascii="Book Antiqua" w:hAnsi="Book Antiqua"/>
          <w:sz w:val="24"/>
          <w:szCs w:val="24"/>
        </w:rPr>
        <w:t>Also, p</w:t>
      </w:r>
      <w:r w:rsidR="000A1C39" w:rsidRPr="00A903DD">
        <w:rPr>
          <w:rFonts w:ascii="Book Antiqua" w:hAnsi="Book Antiqua"/>
          <w:sz w:val="24"/>
          <w:szCs w:val="24"/>
        </w:rPr>
        <w:t>harmacologic thromboprophylaxis was significantly associated with a decrease in</w:t>
      </w:r>
      <w:r w:rsidR="0038734F" w:rsidRPr="00A903DD">
        <w:rPr>
          <w:rFonts w:ascii="Book Antiqua" w:hAnsi="Book Antiqua"/>
          <w:sz w:val="24"/>
          <w:szCs w:val="24"/>
        </w:rPr>
        <w:t xml:space="preserve"> 90-d</w:t>
      </w:r>
      <w:r w:rsidR="002C159A" w:rsidRPr="00A903DD">
        <w:rPr>
          <w:rFonts w:ascii="Book Antiqua" w:hAnsi="Book Antiqua"/>
          <w:sz w:val="24"/>
          <w:szCs w:val="24"/>
        </w:rPr>
        <w:t xml:space="preserve"> mortality in a recent</w:t>
      </w:r>
      <w:r w:rsidR="000A1C39" w:rsidRPr="00A903DD">
        <w:rPr>
          <w:rFonts w:ascii="Book Antiqua" w:hAnsi="Book Antiqua"/>
          <w:sz w:val="24"/>
          <w:szCs w:val="24"/>
        </w:rPr>
        <w:t xml:space="preserve"> analysis of</w:t>
      </w:r>
      <w:r w:rsidR="0038734F" w:rsidRPr="00A903DD">
        <w:rPr>
          <w:rFonts w:ascii="Book Antiqua" w:hAnsi="Book Antiqua"/>
          <w:sz w:val="24"/>
          <w:szCs w:val="24"/>
        </w:rPr>
        <w:t xml:space="preserve"> over 400</w:t>
      </w:r>
      <w:r w:rsidR="002C159A" w:rsidRPr="00A903DD">
        <w:rPr>
          <w:rFonts w:ascii="Book Antiqua" w:hAnsi="Book Antiqua"/>
          <w:sz w:val="24"/>
          <w:szCs w:val="24"/>
        </w:rPr>
        <w:t>000 THA patients</w:t>
      </w:r>
      <w:r w:rsidR="000A1C39" w:rsidRPr="00A903DD">
        <w:rPr>
          <w:rFonts w:ascii="Book Antiqua" w:hAnsi="Book Antiqua"/>
          <w:sz w:val="24"/>
          <w:szCs w:val="24"/>
        </w:rPr>
        <w:t xml:space="preserve"> </w:t>
      </w:r>
      <w:r w:rsidR="002C159A" w:rsidRPr="00A903DD">
        <w:rPr>
          <w:rFonts w:ascii="Book Antiqua" w:hAnsi="Book Antiqua"/>
          <w:sz w:val="24"/>
          <w:szCs w:val="24"/>
        </w:rPr>
        <w:t xml:space="preserve">from the National Joint Registry for England and </w:t>
      </w:r>
      <w:proofErr w:type="gramStart"/>
      <w:r w:rsidR="002C159A" w:rsidRPr="00A903DD">
        <w:rPr>
          <w:rFonts w:ascii="Book Antiqua" w:hAnsi="Book Antiqua"/>
          <w:sz w:val="24"/>
          <w:szCs w:val="24"/>
        </w:rPr>
        <w:t>Wales</w:t>
      </w:r>
      <w:r w:rsidR="0038734F" w:rsidRPr="00A903DD">
        <w:rPr>
          <w:rFonts w:ascii="Book Antiqua" w:hAnsi="Book Antiqua"/>
          <w:sz w:val="24"/>
          <w:szCs w:val="24"/>
          <w:vertAlign w:val="superscript"/>
        </w:rPr>
        <w:t>[</w:t>
      </w:r>
      <w:proofErr w:type="gramEnd"/>
      <w:r w:rsidR="0038734F" w:rsidRPr="00A903DD">
        <w:rPr>
          <w:rFonts w:ascii="Book Antiqua" w:hAnsi="Book Antiqua"/>
          <w:sz w:val="24"/>
          <w:szCs w:val="24"/>
          <w:vertAlign w:val="superscript"/>
        </w:rPr>
        <w:t>3]</w:t>
      </w:r>
      <w:r w:rsidR="002C159A" w:rsidRPr="00A903DD">
        <w:rPr>
          <w:rFonts w:ascii="Book Antiqua" w:hAnsi="Book Antiqua"/>
          <w:sz w:val="24"/>
          <w:szCs w:val="24"/>
        </w:rPr>
        <w:t>.</w:t>
      </w:r>
    </w:p>
    <w:p w:rsidR="002241B2" w:rsidRPr="00A903DD" w:rsidRDefault="002241B2" w:rsidP="00A903DD">
      <w:pPr>
        <w:spacing w:after="0" w:line="360" w:lineRule="auto"/>
        <w:contextualSpacing/>
        <w:jc w:val="both"/>
        <w:rPr>
          <w:rFonts w:ascii="Book Antiqua" w:hAnsi="Book Antiqua"/>
          <w:b/>
          <w:sz w:val="24"/>
          <w:szCs w:val="24"/>
        </w:rPr>
      </w:pPr>
    </w:p>
    <w:p w:rsidR="002F59B3" w:rsidRPr="00A903DD" w:rsidRDefault="00A903DD" w:rsidP="00A903DD">
      <w:pPr>
        <w:spacing w:after="0" w:line="360" w:lineRule="auto"/>
        <w:contextualSpacing/>
        <w:jc w:val="both"/>
        <w:rPr>
          <w:rFonts w:ascii="Book Antiqua" w:hAnsi="Book Antiqua"/>
          <w:b/>
          <w:sz w:val="24"/>
          <w:szCs w:val="24"/>
        </w:rPr>
      </w:pPr>
      <w:r w:rsidRPr="00A903DD">
        <w:rPr>
          <w:rFonts w:ascii="Book Antiqua" w:hAnsi="Book Antiqua"/>
          <w:b/>
          <w:sz w:val="24"/>
          <w:szCs w:val="24"/>
        </w:rPr>
        <w:t>THROMBOPROPHYLAXIS FOR THA</w:t>
      </w:r>
    </w:p>
    <w:p w:rsidR="00C500AA" w:rsidRPr="00A903DD" w:rsidRDefault="00C500AA" w:rsidP="00A903DD">
      <w:pPr>
        <w:spacing w:after="0" w:line="360" w:lineRule="auto"/>
        <w:contextualSpacing/>
        <w:jc w:val="both"/>
        <w:rPr>
          <w:rFonts w:ascii="Book Antiqua" w:hAnsi="Book Antiqua"/>
          <w:sz w:val="24"/>
          <w:szCs w:val="24"/>
        </w:rPr>
      </w:pPr>
      <w:r w:rsidRPr="00A903DD">
        <w:rPr>
          <w:rFonts w:ascii="Book Antiqua" w:hAnsi="Book Antiqua"/>
          <w:sz w:val="24"/>
          <w:szCs w:val="24"/>
        </w:rPr>
        <w:t xml:space="preserve">The </w:t>
      </w:r>
      <w:r w:rsidR="00BA3456" w:rsidRPr="00A903DD">
        <w:rPr>
          <w:rFonts w:ascii="Book Antiqua" w:hAnsi="Book Antiqua"/>
          <w:sz w:val="24"/>
          <w:szCs w:val="24"/>
        </w:rPr>
        <w:t>value of</w:t>
      </w:r>
      <w:r w:rsidRPr="00A903DD">
        <w:rPr>
          <w:rFonts w:ascii="Book Antiqua" w:hAnsi="Book Antiqua"/>
          <w:sz w:val="24"/>
          <w:szCs w:val="24"/>
        </w:rPr>
        <w:t xml:space="preserve"> pharmacologic thromboprophylaxis </w:t>
      </w:r>
      <w:r w:rsidR="00BA3456" w:rsidRPr="00A903DD">
        <w:rPr>
          <w:rFonts w:ascii="Book Antiqua" w:hAnsi="Book Antiqua"/>
          <w:sz w:val="24"/>
          <w:szCs w:val="24"/>
        </w:rPr>
        <w:t xml:space="preserve">in THA </w:t>
      </w:r>
      <w:r w:rsidRPr="00A903DD">
        <w:rPr>
          <w:rFonts w:ascii="Book Antiqua" w:hAnsi="Book Antiqua"/>
          <w:sz w:val="24"/>
          <w:szCs w:val="24"/>
        </w:rPr>
        <w:t xml:space="preserve">has been </w:t>
      </w:r>
      <w:r w:rsidR="002F59B3" w:rsidRPr="00A903DD">
        <w:rPr>
          <w:rFonts w:ascii="Book Antiqua" w:hAnsi="Book Antiqua"/>
          <w:sz w:val="24"/>
          <w:szCs w:val="24"/>
        </w:rPr>
        <w:t>recognized</w:t>
      </w:r>
      <w:r w:rsidRPr="00A903DD">
        <w:rPr>
          <w:rFonts w:ascii="Book Antiqua" w:hAnsi="Book Antiqua"/>
          <w:sz w:val="24"/>
          <w:szCs w:val="24"/>
        </w:rPr>
        <w:t xml:space="preserve"> </w:t>
      </w:r>
      <w:r w:rsidR="00BA3456" w:rsidRPr="00A903DD">
        <w:rPr>
          <w:rFonts w:ascii="Book Antiqua" w:hAnsi="Book Antiqua"/>
          <w:sz w:val="24"/>
          <w:szCs w:val="24"/>
        </w:rPr>
        <w:t xml:space="preserve">in evidenced-based treatment guidelines </w:t>
      </w:r>
      <w:r w:rsidRPr="00A903DD">
        <w:rPr>
          <w:rFonts w:ascii="Book Antiqua" w:hAnsi="Book Antiqua"/>
          <w:sz w:val="24"/>
          <w:szCs w:val="24"/>
        </w:rPr>
        <w:t>by several grou</w:t>
      </w:r>
      <w:r w:rsidR="00157337" w:rsidRPr="00A903DD">
        <w:rPr>
          <w:rFonts w:ascii="Book Antiqua" w:hAnsi="Book Antiqua"/>
          <w:sz w:val="24"/>
          <w:szCs w:val="24"/>
        </w:rPr>
        <w:t>ps including the American College of Chest Physicians (AC</w:t>
      </w:r>
      <w:r w:rsidRPr="00A903DD">
        <w:rPr>
          <w:rFonts w:ascii="Book Antiqua" w:hAnsi="Book Antiqua"/>
          <w:sz w:val="24"/>
          <w:szCs w:val="24"/>
        </w:rPr>
        <w:t>CP)</w:t>
      </w:r>
      <w:r w:rsidR="00157337" w:rsidRPr="00A903DD">
        <w:rPr>
          <w:rFonts w:ascii="Book Antiqua" w:hAnsi="Book Antiqua"/>
          <w:sz w:val="24"/>
          <w:szCs w:val="24"/>
          <w:vertAlign w:val="superscript"/>
        </w:rPr>
        <w:t>[1]</w:t>
      </w:r>
      <w:r w:rsidR="00157337" w:rsidRPr="00A903DD">
        <w:rPr>
          <w:rFonts w:ascii="Book Antiqua" w:hAnsi="Book Antiqua"/>
          <w:sz w:val="24"/>
          <w:szCs w:val="24"/>
        </w:rPr>
        <w:t>, the American Academy of Orthopedic Surgeons (AA</w:t>
      </w:r>
      <w:r w:rsidRPr="00A903DD">
        <w:rPr>
          <w:rFonts w:ascii="Book Antiqua" w:hAnsi="Book Antiqua"/>
          <w:sz w:val="24"/>
          <w:szCs w:val="24"/>
        </w:rPr>
        <w:t>OS)</w:t>
      </w:r>
      <w:r w:rsidR="00157337" w:rsidRPr="00A903DD">
        <w:rPr>
          <w:rFonts w:ascii="Book Antiqua" w:hAnsi="Book Antiqua"/>
          <w:sz w:val="24"/>
          <w:szCs w:val="24"/>
          <w:vertAlign w:val="superscript"/>
        </w:rPr>
        <w:t>[4]</w:t>
      </w:r>
      <w:r w:rsidRPr="00A903DD">
        <w:rPr>
          <w:rFonts w:ascii="Book Antiqua" w:hAnsi="Book Antiqua"/>
          <w:sz w:val="24"/>
          <w:szCs w:val="24"/>
        </w:rPr>
        <w:t>, and the National Institute for Health and Clinical Excellence (NICE)</w:t>
      </w:r>
      <w:r w:rsidR="00157337" w:rsidRPr="00A903DD">
        <w:rPr>
          <w:rFonts w:ascii="Book Antiqua" w:hAnsi="Book Antiqua"/>
          <w:sz w:val="24"/>
          <w:szCs w:val="24"/>
          <w:vertAlign w:val="superscript"/>
        </w:rPr>
        <w:t>[5,6]</w:t>
      </w:r>
      <w:r w:rsidRPr="00A903DD">
        <w:rPr>
          <w:rFonts w:ascii="Book Antiqua" w:hAnsi="Book Antiqua"/>
          <w:sz w:val="24"/>
          <w:szCs w:val="24"/>
        </w:rPr>
        <w:t>. Low-molecular weight heparins (LMWH</w:t>
      </w:r>
      <w:r w:rsidR="00FD1A57" w:rsidRPr="00A903DD">
        <w:rPr>
          <w:rFonts w:ascii="Book Antiqua" w:hAnsi="Book Antiqua"/>
          <w:sz w:val="24"/>
          <w:szCs w:val="24"/>
        </w:rPr>
        <w:t>s</w:t>
      </w:r>
      <w:r w:rsidRPr="00A903DD">
        <w:rPr>
          <w:rFonts w:ascii="Book Antiqua" w:hAnsi="Book Antiqua"/>
          <w:sz w:val="24"/>
          <w:szCs w:val="24"/>
        </w:rPr>
        <w:t>), fondaparinux, warfarin, and a</w:t>
      </w:r>
      <w:r w:rsidR="002F59B3" w:rsidRPr="00A903DD">
        <w:rPr>
          <w:rFonts w:ascii="Book Antiqua" w:hAnsi="Book Antiqua"/>
          <w:sz w:val="24"/>
          <w:szCs w:val="24"/>
        </w:rPr>
        <w:t>cetyl</w:t>
      </w:r>
      <w:r w:rsidRPr="00A903DD">
        <w:rPr>
          <w:rFonts w:ascii="Book Antiqua" w:hAnsi="Book Antiqua"/>
          <w:sz w:val="24"/>
          <w:szCs w:val="24"/>
        </w:rPr>
        <w:t>sal</w:t>
      </w:r>
      <w:r w:rsidR="00BA3456" w:rsidRPr="00A903DD">
        <w:rPr>
          <w:rFonts w:ascii="Book Antiqua" w:hAnsi="Book Antiqua"/>
          <w:sz w:val="24"/>
          <w:szCs w:val="24"/>
        </w:rPr>
        <w:t>i</w:t>
      </w:r>
      <w:r w:rsidRPr="00A903DD">
        <w:rPr>
          <w:rFonts w:ascii="Book Antiqua" w:hAnsi="Book Antiqua"/>
          <w:sz w:val="24"/>
          <w:szCs w:val="24"/>
        </w:rPr>
        <w:t xml:space="preserve">cylic acid (aspirin) </w:t>
      </w:r>
      <w:r w:rsidR="00BA3456" w:rsidRPr="00A903DD">
        <w:rPr>
          <w:rFonts w:ascii="Book Antiqua" w:hAnsi="Book Antiqua"/>
          <w:sz w:val="24"/>
          <w:szCs w:val="24"/>
        </w:rPr>
        <w:t>are</w:t>
      </w:r>
      <w:r w:rsidRPr="00A903DD">
        <w:rPr>
          <w:rFonts w:ascii="Book Antiqua" w:hAnsi="Book Antiqua"/>
          <w:sz w:val="24"/>
          <w:szCs w:val="24"/>
        </w:rPr>
        <w:t xml:space="preserve"> recommended as options for routine thromboprophylaxis</w:t>
      </w:r>
      <w:r w:rsidR="00356EF0" w:rsidRPr="00A903DD">
        <w:rPr>
          <w:rFonts w:ascii="Book Antiqua" w:hAnsi="Book Antiqua"/>
          <w:sz w:val="24"/>
          <w:szCs w:val="24"/>
        </w:rPr>
        <w:t>, with</w:t>
      </w:r>
      <w:r w:rsidR="00FD1A57" w:rsidRPr="00A903DD">
        <w:rPr>
          <w:rFonts w:ascii="Book Antiqua" w:hAnsi="Book Antiqua"/>
          <w:sz w:val="24"/>
          <w:szCs w:val="24"/>
        </w:rPr>
        <w:t xml:space="preserve"> a</w:t>
      </w:r>
      <w:r w:rsidR="00356EF0" w:rsidRPr="00A903DD">
        <w:rPr>
          <w:rFonts w:ascii="Book Antiqua" w:hAnsi="Book Antiqua"/>
          <w:sz w:val="24"/>
          <w:szCs w:val="24"/>
        </w:rPr>
        <w:t xml:space="preserve"> LMWH </w:t>
      </w:r>
      <w:r w:rsidR="00BA3456" w:rsidRPr="00A903DD">
        <w:rPr>
          <w:rFonts w:ascii="Book Antiqua" w:hAnsi="Book Antiqua"/>
          <w:sz w:val="24"/>
          <w:szCs w:val="24"/>
        </w:rPr>
        <w:t>currently</w:t>
      </w:r>
      <w:r w:rsidR="00356EF0" w:rsidRPr="00A903DD">
        <w:rPr>
          <w:rFonts w:ascii="Book Antiqua" w:hAnsi="Book Antiqua"/>
          <w:sz w:val="24"/>
          <w:szCs w:val="24"/>
        </w:rPr>
        <w:t xml:space="preserve"> the most widely used agent</w:t>
      </w:r>
      <w:r w:rsidR="00504798" w:rsidRPr="00A903DD">
        <w:rPr>
          <w:rFonts w:ascii="Book Antiqua" w:hAnsi="Book Antiqua"/>
          <w:sz w:val="24"/>
          <w:szCs w:val="24"/>
        </w:rPr>
        <w:t xml:space="preserve"> </w:t>
      </w:r>
      <w:proofErr w:type="gramStart"/>
      <w:r w:rsidR="00504798" w:rsidRPr="00A903DD">
        <w:rPr>
          <w:rFonts w:ascii="Book Antiqua" w:hAnsi="Book Antiqua"/>
          <w:sz w:val="24"/>
          <w:szCs w:val="24"/>
        </w:rPr>
        <w:t>worldwide</w:t>
      </w:r>
      <w:r w:rsidR="00504798" w:rsidRPr="00A903DD">
        <w:rPr>
          <w:rFonts w:ascii="Book Antiqua" w:hAnsi="Book Antiqua"/>
          <w:sz w:val="24"/>
          <w:szCs w:val="24"/>
          <w:vertAlign w:val="superscript"/>
        </w:rPr>
        <w:t>[</w:t>
      </w:r>
      <w:proofErr w:type="gramEnd"/>
      <w:r w:rsidR="002C159A" w:rsidRPr="00A903DD">
        <w:rPr>
          <w:rFonts w:ascii="Book Antiqua" w:hAnsi="Book Antiqua"/>
          <w:sz w:val="24"/>
          <w:szCs w:val="24"/>
          <w:vertAlign w:val="superscript"/>
        </w:rPr>
        <w:t>7</w:t>
      </w:r>
      <w:r w:rsidR="00504798" w:rsidRPr="00A903DD">
        <w:rPr>
          <w:rFonts w:ascii="Book Antiqua" w:hAnsi="Book Antiqua"/>
          <w:sz w:val="24"/>
          <w:szCs w:val="24"/>
          <w:vertAlign w:val="superscript"/>
        </w:rPr>
        <w:t>]</w:t>
      </w:r>
      <w:r w:rsidR="00A903DD" w:rsidRPr="00A903DD">
        <w:rPr>
          <w:rFonts w:ascii="Book Antiqua" w:hAnsi="Book Antiqua" w:hint="eastAsia"/>
          <w:sz w:val="24"/>
          <w:szCs w:val="24"/>
          <w:lang w:eastAsia="zh-CN"/>
        </w:rPr>
        <w:t>.</w:t>
      </w:r>
      <w:r w:rsidR="00A903DD">
        <w:rPr>
          <w:rFonts w:ascii="Book Antiqua" w:hAnsi="Book Antiqua" w:hint="eastAsia"/>
          <w:sz w:val="24"/>
          <w:szCs w:val="24"/>
          <w:vertAlign w:val="subscript"/>
          <w:lang w:eastAsia="zh-CN"/>
        </w:rPr>
        <w:t xml:space="preserve"> </w:t>
      </w:r>
      <w:r w:rsidR="00BA3456" w:rsidRPr="00A903DD">
        <w:rPr>
          <w:rFonts w:ascii="Book Antiqua" w:hAnsi="Book Antiqua"/>
          <w:sz w:val="24"/>
          <w:szCs w:val="24"/>
        </w:rPr>
        <w:t>However, d</w:t>
      </w:r>
      <w:r w:rsidRPr="00A903DD">
        <w:rPr>
          <w:rFonts w:ascii="Book Antiqua" w:hAnsi="Book Antiqua"/>
          <w:sz w:val="24"/>
          <w:szCs w:val="24"/>
        </w:rPr>
        <w:t xml:space="preserve">isadvantages </w:t>
      </w:r>
      <w:r w:rsidR="00BA3456" w:rsidRPr="00A903DD">
        <w:rPr>
          <w:rFonts w:ascii="Book Antiqua" w:hAnsi="Book Antiqua"/>
          <w:sz w:val="24"/>
          <w:szCs w:val="24"/>
        </w:rPr>
        <w:t>that may lead to</w:t>
      </w:r>
      <w:r w:rsidR="00155860" w:rsidRPr="00A903DD">
        <w:rPr>
          <w:rFonts w:ascii="Book Antiqua" w:hAnsi="Book Antiqua"/>
          <w:sz w:val="24"/>
          <w:szCs w:val="24"/>
        </w:rPr>
        <w:t xml:space="preserve"> patient nonadherence and consequently</w:t>
      </w:r>
      <w:r w:rsidR="00BA3456" w:rsidRPr="00A903DD">
        <w:rPr>
          <w:rFonts w:ascii="Book Antiqua" w:hAnsi="Book Antiqua"/>
          <w:sz w:val="24"/>
          <w:szCs w:val="24"/>
        </w:rPr>
        <w:t xml:space="preserve"> an increased</w:t>
      </w:r>
      <w:r w:rsidR="00FD1A57" w:rsidRPr="00A903DD">
        <w:rPr>
          <w:rFonts w:ascii="Book Antiqua" w:hAnsi="Book Antiqua"/>
          <w:sz w:val="24"/>
          <w:szCs w:val="24"/>
        </w:rPr>
        <w:t xml:space="preserve"> risk of thrombot</w:t>
      </w:r>
      <w:r w:rsidR="00BA3456" w:rsidRPr="00A903DD">
        <w:rPr>
          <w:rFonts w:ascii="Book Antiqua" w:hAnsi="Book Antiqua"/>
          <w:sz w:val="24"/>
          <w:szCs w:val="24"/>
        </w:rPr>
        <w:t>ic events are associated</w:t>
      </w:r>
      <w:r w:rsidR="00A903DD">
        <w:rPr>
          <w:rFonts w:ascii="Book Antiqua" w:hAnsi="Book Antiqua"/>
          <w:sz w:val="24"/>
          <w:szCs w:val="24"/>
        </w:rPr>
        <w:t xml:space="preserve"> with these </w:t>
      </w:r>
      <w:r w:rsidR="00A903DD">
        <w:rPr>
          <w:rFonts w:ascii="Book Antiqua" w:hAnsi="Book Antiqua"/>
          <w:sz w:val="24"/>
          <w:szCs w:val="24"/>
        </w:rPr>
        <w:lastRenderedPageBreak/>
        <w:t>agents.</w:t>
      </w:r>
      <w:r w:rsidR="00A903DD">
        <w:rPr>
          <w:rFonts w:ascii="Book Antiqua" w:hAnsi="Book Antiqua" w:hint="eastAsia"/>
          <w:sz w:val="24"/>
          <w:szCs w:val="24"/>
          <w:lang w:eastAsia="zh-CN"/>
        </w:rPr>
        <w:t xml:space="preserve"> </w:t>
      </w:r>
      <w:r w:rsidRPr="00A903DD">
        <w:rPr>
          <w:rFonts w:ascii="Book Antiqua" w:hAnsi="Book Antiqua"/>
          <w:sz w:val="24"/>
          <w:szCs w:val="24"/>
        </w:rPr>
        <w:t>LMWH</w:t>
      </w:r>
      <w:r w:rsidR="00FD1A57" w:rsidRPr="00A903DD">
        <w:rPr>
          <w:rFonts w:ascii="Book Antiqua" w:hAnsi="Book Antiqua"/>
          <w:sz w:val="24"/>
          <w:szCs w:val="24"/>
        </w:rPr>
        <w:t>s</w:t>
      </w:r>
      <w:r w:rsidRPr="00A903DD">
        <w:rPr>
          <w:rFonts w:ascii="Book Antiqua" w:hAnsi="Book Antiqua"/>
          <w:sz w:val="24"/>
          <w:szCs w:val="24"/>
        </w:rPr>
        <w:t xml:space="preserve"> and fondaparinux are parenteral agents that require daily injections</w:t>
      </w:r>
      <w:r w:rsidR="00BA3456" w:rsidRPr="00A903DD">
        <w:rPr>
          <w:rFonts w:ascii="Book Antiqua" w:hAnsi="Book Antiqua"/>
          <w:sz w:val="24"/>
          <w:szCs w:val="24"/>
        </w:rPr>
        <w:t xml:space="preserve"> </w:t>
      </w:r>
      <w:r w:rsidR="00155860" w:rsidRPr="00A903DD">
        <w:rPr>
          <w:rFonts w:ascii="Book Antiqua" w:hAnsi="Book Antiqua"/>
          <w:sz w:val="24"/>
          <w:szCs w:val="24"/>
        </w:rPr>
        <w:t xml:space="preserve">by the patient </w:t>
      </w:r>
      <w:r w:rsidR="00BA3456" w:rsidRPr="00A903DD">
        <w:rPr>
          <w:rFonts w:ascii="Book Antiqua" w:hAnsi="Book Antiqua"/>
          <w:sz w:val="24"/>
          <w:szCs w:val="24"/>
        </w:rPr>
        <w:t>and are costly.  W</w:t>
      </w:r>
      <w:r w:rsidRPr="00A903DD">
        <w:rPr>
          <w:rFonts w:ascii="Book Antiqua" w:hAnsi="Book Antiqua"/>
          <w:sz w:val="24"/>
          <w:szCs w:val="24"/>
        </w:rPr>
        <w:t xml:space="preserve">arfarin </w:t>
      </w:r>
      <w:r w:rsidR="00C46D27" w:rsidRPr="00A903DD">
        <w:rPr>
          <w:rFonts w:ascii="Book Antiqua" w:hAnsi="Book Antiqua"/>
          <w:sz w:val="24"/>
          <w:szCs w:val="24"/>
        </w:rPr>
        <w:t xml:space="preserve">takes several days to weeks to achieve stable therapeutic effects, thereby </w:t>
      </w:r>
      <w:r w:rsidRPr="00A903DD">
        <w:rPr>
          <w:rFonts w:ascii="Book Antiqua" w:hAnsi="Book Antiqua"/>
          <w:sz w:val="24"/>
          <w:szCs w:val="24"/>
        </w:rPr>
        <w:t>requir</w:t>
      </w:r>
      <w:r w:rsidR="00C46D27" w:rsidRPr="00A903DD">
        <w:rPr>
          <w:rFonts w:ascii="Book Antiqua" w:hAnsi="Book Antiqua"/>
          <w:sz w:val="24"/>
          <w:szCs w:val="24"/>
        </w:rPr>
        <w:t>ing</w:t>
      </w:r>
      <w:r w:rsidRPr="00A903DD">
        <w:rPr>
          <w:rFonts w:ascii="Book Antiqua" w:hAnsi="Book Antiqua"/>
          <w:sz w:val="24"/>
          <w:szCs w:val="24"/>
        </w:rPr>
        <w:t xml:space="preserve"> </w:t>
      </w:r>
      <w:r w:rsidR="00155860" w:rsidRPr="00A903DD">
        <w:rPr>
          <w:rFonts w:ascii="Book Antiqua" w:hAnsi="Book Antiqua"/>
          <w:sz w:val="24"/>
          <w:szCs w:val="24"/>
        </w:rPr>
        <w:t xml:space="preserve">a patient to comply with </w:t>
      </w:r>
      <w:r w:rsidRPr="00A903DD">
        <w:rPr>
          <w:rFonts w:ascii="Book Antiqua" w:hAnsi="Book Antiqua"/>
          <w:sz w:val="24"/>
          <w:szCs w:val="24"/>
        </w:rPr>
        <w:t xml:space="preserve">frequent </w:t>
      </w:r>
      <w:r w:rsidR="00BA3456" w:rsidRPr="00A903DD">
        <w:rPr>
          <w:rFonts w:ascii="Book Antiqua" w:hAnsi="Book Antiqua"/>
          <w:sz w:val="24"/>
          <w:szCs w:val="24"/>
        </w:rPr>
        <w:t xml:space="preserve">laboratory </w:t>
      </w:r>
      <w:r w:rsidR="002F0E14" w:rsidRPr="00A903DD">
        <w:rPr>
          <w:rFonts w:ascii="Book Antiqua" w:hAnsi="Book Antiqua"/>
          <w:sz w:val="24"/>
          <w:szCs w:val="24"/>
        </w:rPr>
        <w:t>monitoring</w:t>
      </w:r>
      <w:r w:rsidR="00155860" w:rsidRPr="00A903DD">
        <w:rPr>
          <w:rFonts w:ascii="Book Antiqua" w:hAnsi="Book Antiqua"/>
          <w:sz w:val="24"/>
          <w:szCs w:val="24"/>
        </w:rPr>
        <w:t>. Moreover</w:t>
      </w:r>
      <w:r w:rsidR="00BA3456" w:rsidRPr="00A903DD">
        <w:rPr>
          <w:rFonts w:ascii="Book Antiqua" w:hAnsi="Book Antiqua"/>
          <w:sz w:val="24"/>
          <w:szCs w:val="24"/>
        </w:rPr>
        <w:t xml:space="preserve">, </w:t>
      </w:r>
      <w:r w:rsidR="00C46D27" w:rsidRPr="00A903DD">
        <w:rPr>
          <w:rFonts w:ascii="Book Antiqua" w:hAnsi="Book Antiqua"/>
          <w:sz w:val="24"/>
          <w:szCs w:val="24"/>
        </w:rPr>
        <w:t xml:space="preserve">whether the </w:t>
      </w:r>
      <w:r w:rsidRPr="00A903DD">
        <w:rPr>
          <w:rFonts w:ascii="Book Antiqua" w:hAnsi="Book Antiqua"/>
          <w:sz w:val="24"/>
          <w:szCs w:val="24"/>
        </w:rPr>
        <w:t xml:space="preserve">efficacy of </w:t>
      </w:r>
      <w:r w:rsidR="00C46D27" w:rsidRPr="00A903DD">
        <w:rPr>
          <w:rFonts w:ascii="Book Antiqua" w:hAnsi="Book Antiqua"/>
          <w:sz w:val="24"/>
          <w:szCs w:val="24"/>
        </w:rPr>
        <w:t xml:space="preserve">a simple oral </w:t>
      </w:r>
      <w:r w:rsidRPr="00A903DD">
        <w:rPr>
          <w:rFonts w:ascii="Book Antiqua" w:hAnsi="Book Antiqua"/>
          <w:sz w:val="24"/>
          <w:szCs w:val="24"/>
        </w:rPr>
        <w:t xml:space="preserve">aspirin </w:t>
      </w:r>
      <w:r w:rsidR="00C46D27" w:rsidRPr="00A903DD">
        <w:rPr>
          <w:rFonts w:ascii="Book Antiqua" w:hAnsi="Book Antiqua"/>
          <w:sz w:val="24"/>
          <w:szCs w:val="24"/>
        </w:rPr>
        <w:t xml:space="preserve">regimen is </w:t>
      </w:r>
      <w:r w:rsidRPr="00A903DD">
        <w:rPr>
          <w:rFonts w:ascii="Book Antiqua" w:hAnsi="Book Antiqua"/>
          <w:sz w:val="24"/>
          <w:szCs w:val="24"/>
        </w:rPr>
        <w:t>compar</w:t>
      </w:r>
      <w:r w:rsidR="00C46D27" w:rsidRPr="00A903DD">
        <w:rPr>
          <w:rFonts w:ascii="Book Antiqua" w:hAnsi="Book Antiqua"/>
          <w:sz w:val="24"/>
          <w:szCs w:val="24"/>
        </w:rPr>
        <w:t>able</w:t>
      </w:r>
      <w:r w:rsidRPr="00A903DD">
        <w:rPr>
          <w:rFonts w:ascii="Book Antiqua" w:hAnsi="Book Antiqua"/>
          <w:sz w:val="24"/>
          <w:szCs w:val="24"/>
        </w:rPr>
        <w:t xml:space="preserve"> to </w:t>
      </w:r>
      <w:r w:rsidR="00155860" w:rsidRPr="00A903DD">
        <w:rPr>
          <w:rFonts w:ascii="Book Antiqua" w:hAnsi="Book Antiqua"/>
          <w:sz w:val="24"/>
          <w:szCs w:val="24"/>
        </w:rPr>
        <w:t xml:space="preserve">that of the </w:t>
      </w:r>
      <w:r w:rsidRPr="00A903DD">
        <w:rPr>
          <w:rFonts w:ascii="Book Antiqua" w:hAnsi="Book Antiqua"/>
          <w:sz w:val="24"/>
          <w:szCs w:val="24"/>
        </w:rPr>
        <w:t>oth</w:t>
      </w:r>
      <w:r w:rsidR="00B87109" w:rsidRPr="00A903DD">
        <w:rPr>
          <w:rFonts w:ascii="Book Antiqua" w:hAnsi="Book Antiqua"/>
          <w:sz w:val="24"/>
          <w:szCs w:val="24"/>
        </w:rPr>
        <w:t xml:space="preserve">er agents remains </w:t>
      </w:r>
      <w:proofErr w:type="gramStart"/>
      <w:r w:rsidR="00B87109" w:rsidRPr="00A903DD">
        <w:rPr>
          <w:rFonts w:ascii="Book Antiqua" w:hAnsi="Book Antiqua"/>
          <w:sz w:val="24"/>
          <w:szCs w:val="24"/>
        </w:rPr>
        <w:t>controversial</w:t>
      </w:r>
      <w:r w:rsidR="00B87109" w:rsidRPr="00A903DD">
        <w:rPr>
          <w:rFonts w:ascii="Book Antiqua" w:hAnsi="Book Antiqua"/>
          <w:sz w:val="24"/>
          <w:szCs w:val="24"/>
          <w:vertAlign w:val="superscript"/>
        </w:rPr>
        <w:t>[</w:t>
      </w:r>
      <w:proofErr w:type="gramEnd"/>
      <w:r w:rsidR="002C159A" w:rsidRPr="00A903DD">
        <w:rPr>
          <w:rFonts w:ascii="Book Antiqua" w:hAnsi="Book Antiqua"/>
          <w:sz w:val="24"/>
          <w:szCs w:val="24"/>
          <w:vertAlign w:val="superscript"/>
        </w:rPr>
        <w:t>8-11</w:t>
      </w:r>
      <w:r w:rsidRPr="00A903DD">
        <w:rPr>
          <w:rFonts w:ascii="Book Antiqua" w:hAnsi="Book Antiqua"/>
          <w:sz w:val="24"/>
          <w:szCs w:val="24"/>
          <w:vertAlign w:val="superscript"/>
        </w:rPr>
        <w:t>]</w:t>
      </w:r>
      <w:r w:rsidR="00B87109" w:rsidRPr="00A903DD">
        <w:rPr>
          <w:rFonts w:ascii="Book Antiqua" w:hAnsi="Book Antiqua"/>
          <w:sz w:val="24"/>
          <w:szCs w:val="24"/>
        </w:rPr>
        <w:t>.</w:t>
      </w:r>
    </w:p>
    <w:p w:rsidR="00C500AA" w:rsidRPr="00A903DD" w:rsidRDefault="00C500AA" w:rsidP="003C75F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 xml:space="preserve">The benefit of pharmacologic thromboprophylaxis must be weighed against </w:t>
      </w:r>
      <w:r w:rsidR="002C159A" w:rsidRPr="00A903DD">
        <w:rPr>
          <w:rFonts w:ascii="Book Antiqua" w:hAnsi="Book Antiqua"/>
          <w:sz w:val="24"/>
          <w:szCs w:val="24"/>
        </w:rPr>
        <w:t>an increased</w:t>
      </w:r>
      <w:r w:rsidRPr="00A903DD">
        <w:rPr>
          <w:rFonts w:ascii="Book Antiqua" w:hAnsi="Book Antiqua"/>
          <w:sz w:val="24"/>
          <w:szCs w:val="24"/>
        </w:rPr>
        <w:t xml:space="preserve"> risk of major bleeding</w:t>
      </w:r>
      <w:r w:rsidR="001A5502" w:rsidRPr="00A903DD">
        <w:rPr>
          <w:rFonts w:ascii="Book Antiqua" w:hAnsi="Book Antiqua"/>
          <w:sz w:val="24"/>
          <w:szCs w:val="24"/>
        </w:rPr>
        <w:t xml:space="preserve"> </w:t>
      </w:r>
      <w:r w:rsidR="007E6EEA" w:rsidRPr="00A903DD">
        <w:rPr>
          <w:rFonts w:ascii="Book Antiqua" w:hAnsi="Book Antiqua"/>
          <w:sz w:val="24"/>
          <w:szCs w:val="24"/>
        </w:rPr>
        <w:t xml:space="preserve">estimated </w:t>
      </w:r>
      <w:r w:rsidR="00C46D27" w:rsidRPr="00A903DD">
        <w:rPr>
          <w:rFonts w:ascii="Book Antiqua" w:hAnsi="Book Antiqua"/>
          <w:sz w:val="24"/>
          <w:szCs w:val="24"/>
        </w:rPr>
        <w:t xml:space="preserve">to be </w:t>
      </w:r>
      <w:r w:rsidR="007E6EEA" w:rsidRPr="00A903DD">
        <w:rPr>
          <w:rFonts w:ascii="Book Antiqua" w:hAnsi="Book Antiqua"/>
          <w:sz w:val="24"/>
          <w:szCs w:val="24"/>
        </w:rPr>
        <w:t>as high as</w:t>
      </w:r>
      <w:r w:rsidRPr="00A903DD">
        <w:rPr>
          <w:rFonts w:ascii="Book Antiqua" w:hAnsi="Book Antiqua"/>
          <w:sz w:val="24"/>
          <w:szCs w:val="24"/>
        </w:rPr>
        <w:t xml:space="preserve"> 5.4% </w:t>
      </w:r>
      <w:r w:rsidR="00636CA6" w:rsidRPr="00A903DD">
        <w:rPr>
          <w:rFonts w:ascii="Book Antiqua" w:hAnsi="Book Antiqua"/>
          <w:sz w:val="24"/>
          <w:szCs w:val="24"/>
        </w:rPr>
        <w:t xml:space="preserve">compared to 1.5% without thromboprophylaxis </w:t>
      </w:r>
      <w:r w:rsidR="00C46D27" w:rsidRPr="00A903DD">
        <w:rPr>
          <w:rFonts w:ascii="Book Antiqua" w:hAnsi="Book Antiqua"/>
          <w:sz w:val="24"/>
          <w:szCs w:val="24"/>
        </w:rPr>
        <w:t xml:space="preserve">in orthopedic surgery </w:t>
      </w:r>
      <w:proofErr w:type="gramStart"/>
      <w:r w:rsidR="00C46D27" w:rsidRPr="00A903DD">
        <w:rPr>
          <w:rFonts w:ascii="Book Antiqua" w:hAnsi="Book Antiqua"/>
          <w:sz w:val="24"/>
          <w:szCs w:val="24"/>
        </w:rPr>
        <w:t>patients</w:t>
      </w:r>
      <w:r w:rsidR="00504798" w:rsidRPr="00A903DD">
        <w:rPr>
          <w:rFonts w:ascii="Book Antiqua" w:hAnsi="Book Antiqua"/>
          <w:sz w:val="24"/>
          <w:szCs w:val="24"/>
          <w:vertAlign w:val="superscript"/>
        </w:rPr>
        <w:t>[</w:t>
      </w:r>
      <w:proofErr w:type="gramEnd"/>
      <w:r w:rsidR="00636CA6" w:rsidRPr="00A903DD">
        <w:rPr>
          <w:rFonts w:ascii="Book Antiqua" w:hAnsi="Book Antiqua"/>
          <w:sz w:val="24"/>
          <w:szCs w:val="24"/>
          <w:vertAlign w:val="superscript"/>
        </w:rPr>
        <w:t>1</w:t>
      </w:r>
      <w:r w:rsidR="00504798" w:rsidRPr="00A903DD">
        <w:rPr>
          <w:rFonts w:ascii="Book Antiqua" w:hAnsi="Book Antiqua"/>
          <w:sz w:val="24"/>
          <w:szCs w:val="24"/>
          <w:vertAlign w:val="superscript"/>
        </w:rPr>
        <w:t>,12</w:t>
      </w:r>
      <w:r w:rsidR="00636CA6" w:rsidRPr="00A903DD">
        <w:rPr>
          <w:rFonts w:ascii="Book Antiqua" w:hAnsi="Book Antiqua"/>
          <w:sz w:val="24"/>
          <w:szCs w:val="24"/>
          <w:vertAlign w:val="superscript"/>
        </w:rPr>
        <w:t>,13</w:t>
      </w:r>
      <w:r w:rsidRPr="00A903DD">
        <w:rPr>
          <w:rFonts w:ascii="Book Antiqua" w:hAnsi="Book Antiqua"/>
          <w:sz w:val="24"/>
          <w:szCs w:val="24"/>
          <w:vertAlign w:val="superscript"/>
        </w:rPr>
        <w:t>]</w:t>
      </w:r>
      <w:r w:rsidR="00B87109" w:rsidRPr="00A903DD">
        <w:rPr>
          <w:rFonts w:ascii="Book Antiqua" w:hAnsi="Book Antiqua"/>
          <w:sz w:val="24"/>
          <w:szCs w:val="24"/>
        </w:rPr>
        <w:t>.</w:t>
      </w:r>
      <w:r w:rsidR="007E6EEA" w:rsidRPr="00A903DD">
        <w:rPr>
          <w:rFonts w:ascii="Book Antiqua" w:hAnsi="Book Antiqua"/>
          <w:sz w:val="24"/>
          <w:szCs w:val="24"/>
        </w:rPr>
        <w:t xml:space="preserve"> </w:t>
      </w:r>
      <w:r w:rsidR="002F0E14" w:rsidRPr="00A903DD">
        <w:rPr>
          <w:rFonts w:ascii="Book Antiqua" w:hAnsi="Book Antiqua"/>
          <w:sz w:val="24"/>
          <w:szCs w:val="24"/>
        </w:rPr>
        <w:t>Bleeding</w:t>
      </w:r>
      <w:r w:rsidR="007E6EEA" w:rsidRPr="00A903DD">
        <w:rPr>
          <w:rFonts w:ascii="Book Antiqua" w:hAnsi="Book Antiqua"/>
          <w:sz w:val="24"/>
          <w:szCs w:val="24"/>
        </w:rPr>
        <w:t xml:space="preserve"> at the surgical site</w:t>
      </w:r>
      <w:r w:rsidR="002F0E14" w:rsidRPr="00A903DD">
        <w:rPr>
          <w:rFonts w:ascii="Book Antiqua" w:hAnsi="Book Antiqua"/>
          <w:sz w:val="24"/>
          <w:szCs w:val="24"/>
        </w:rPr>
        <w:t xml:space="preserve"> and neuraxial </w:t>
      </w:r>
      <w:r w:rsidR="00D00CBA" w:rsidRPr="00A903DD">
        <w:rPr>
          <w:rFonts w:ascii="Book Antiqua" w:hAnsi="Book Antiqua"/>
          <w:sz w:val="24"/>
          <w:szCs w:val="24"/>
        </w:rPr>
        <w:t>hematoma</w:t>
      </w:r>
      <w:r w:rsidR="007E6EEA" w:rsidRPr="00A903DD">
        <w:rPr>
          <w:rFonts w:ascii="Book Antiqua" w:hAnsi="Book Antiqua"/>
          <w:sz w:val="24"/>
          <w:szCs w:val="24"/>
        </w:rPr>
        <w:t xml:space="preserve"> are </w:t>
      </w:r>
      <w:r w:rsidR="0061522F" w:rsidRPr="00A903DD">
        <w:rPr>
          <w:rFonts w:ascii="Book Antiqua" w:hAnsi="Book Antiqua"/>
          <w:sz w:val="24"/>
          <w:szCs w:val="24"/>
        </w:rPr>
        <w:t xml:space="preserve">of particular </w:t>
      </w:r>
      <w:proofErr w:type="gramStart"/>
      <w:r w:rsidR="0061522F" w:rsidRPr="00A903DD">
        <w:rPr>
          <w:rFonts w:ascii="Book Antiqua" w:hAnsi="Book Antiqua"/>
          <w:sz w:val="24"/>
          <w:szCs w:val="24"/>
        </w:rPr>
        <w:t>concern</w:t>
      </w:r>
      <w:r w:rsidR="00504798" w:rsidRPr="00A903DD">
        <w:rPr>
          <w:rFonts w:ascii="Book Antiqua" w:hAnsi="Book Antiqua"/>
          <w:sz w:val="24"/>
          <w:szCs w:val="24"/>
          <w:vertAlign w:val="superscript"/>
        </w:rPr>
        <w:t>[</w:t>
      </w:r>
      <w:proofErr w:type="gramEnd"/>
      <w:r w:rsidR="00504798" w:rsidRPr="00A903DD">
        <w:rPr>
          <w:rFonts w:ascii="Book Antiqua" w:hAnsi="Book Antiqua"/>
          <w:sz w:val="24"/>
          <w:szCs w:val="24"/>
          <w:vertAlign w:val="superscript"/>
        </w:rPr>
        <w:t>12</w:t>
      </w:r>
      <w:r w:rsidR="0061522F" w:rsidRPr="00A903DD">
        <w:rPr>
          <w:rFonts w:ascii="Book Antiqua" w:hAnsi="Book Antiqua"/>
          <w:sz w:val="24"/>
          <w:szCs w:val="24"/>
          <w:vertAlign w:val="superscript"/>
        </w:rPr>
        <w:t>]</w:t>
      </w:r>
      <w:r w:rsidR="00B87109" w:rsidRPr="00A903DD">
        <w:rPr>
          <w:rFonts w:ascii="Book Antiqua" w:hAnsi="Book Antiqua"/>
          <w:sz w:val="24"/>
          <w:szCs w:val="24"/>
        </w:rPr>
        <w:t>.</w:t>
      </w:r>
      <w:r w:rsidR="00C46D27" w:rsidRPr="00A903DD">
        <w:rPr>
          <w:rFonts w:ascii="Book Antiqua" w:hAnsi="Book Antiqua"/>
          <w:sz w:val="24"/>
          <w:szCs w:val="24"/>
        </w:rPr>
        <w:t xml:space="preserve"> </w:t>
      </w:r>
      <w:r w:rsidRPr="00A903DD">
        <w:rPr>
          <w:rFonts w:ascii="Book Antiqua" w:hAnsi="Book Antiqua"/>
          <w:sz w:val="24"/>
          <w:szCs w:val="24"/>
        </w:rPr>
        <w:t xml:space="preserve">The incidence of surgical site bleeding has been found to </w:t>
      </w:r>
      <w:r w:rsidR="00C46D27" w:rsidRPr="00A903DD">
        <w:rPr>
          <w:rFonts w:ascii="Book Antiqua" w:hAnsi="Book Antiqua"/>
          <w:sz w:val="24"/>
          <w:szCs w:val="24"/>
        </w:rPr>
        <w:t>be</w:t>
      </w:r>
      <w:r w:rsidR="00155860" w:rsidRPr="00A903DD">
        <w:rPr>
          <w:rFonts w:ascii="Book Antiqua" w:hAnsi="Book Antiqua"/>
          <w:sz w:val="24"/>
          <w:szCs w:val="24"/>
        </w:rPr>
        <w:t xml:space="preserve"> 1</w:t>
      </w:r>
      <w:r w:rsidR="003C75F4" w:rsidRPr="00A903DD">
        <w:rPr>
          <w:rFonts w:ascii="Book Antiqua" w:hAnsi="Book Antiqua"/>
          <w:sz w:val="24"/>
          <w:szCs w:val="24"/>
        </w:rPr>
        <w:t>%</w:t>
      </w:r>
      <w:r w:rsidR="00155860" w:rsidRPr="00A903DD">
        <w:rPr>
          <w:rFonts w:ascii="Book Antiqua" w:hAnsi="Book Antiqua"/>
          <w:sz w:val="24"/>
          <w:szCs w:val="24"/>
        </w:rPr>
        <w:t>–</w:t>
      </w:r>
      <w:r w:rsidRPr="00A903DD">
        <w:rPr>
          <w:rFonts w:ascii="Book Antiqua" w:hAnsi="Book Antiqua"/>
          <w:sz w:val="24"/>
          <w:szCs w:val="24"/>
        </w:rPr>
        <w:t xml:space="preserve">2% </w:t>
      </w:r>
      <w:r w:rsidR="00C46D27" w:rsidRPr="00A903DD">
        <w:rPr>
          <w:rFonts w:ascii="Book Antiqua" w:hAnsi="Book Antiqua"/>
          <w:sz w:val="24"/>
          <w:szCs w:val="24"/>
        </w:rPr>
        <w:t>in</w:t>
      </w:r>
      <w:r w:rsidRPr="00A903DD">
        <w:rPr>
          <w:rFonts w:ascii="Book Antiqua" w:hAnsi="Book Antiqua"/>
          <w:sz w:val="24"/>
          <w:szCs w:val="24"/>
        </w:rPr>
        <w:t xml:space="preserve"> patients receiving anticoagulation following orthopedic surgery, an event that increases pain, inflammation, the ris</w:t>
      </w:r>
      <w:r w:rsidR="00B87109" w:rsidRPr="00A903DD">
        <w:rPr>
          <w:rFonts w:ascii="Book Antiqua" w:hAnsi="Book Antiqua"/>
          <w:sz w:val="24"/>
          <w:szCs w:val="24"/>
        </w:rPr>
        <w:t xml:space="preserve">k of infection, and </w:t>
      </w:r>
      <w:proofErr w:type="gramStart"/>
      <w:r w:rsidR="00B87109" w:rsidRPr="00A903DD">
        <w:rPr>
          <w:rFonts w:ascii="Book Antiqua" w:hAnsi="Book Antiqua"/>
          <w:sz w:val="24"/>
          <w:szCs w:val="24"/>
        </w:rPr>
        <w:t>readmission</w:t>
      </w:r>
      <w:r w:rsidR="00504798" w:rsidRPr="00A903DD">
        <w:rPr>
          <w:rFonts w:ascii="Book Antiqua" w:hAnsi="Book Antiqua"/>
          <w:sz w:val="24"/>
          <w:szCs w:val="24"/>
          <w:vertAlign w:val="superscript"/>
        </w:rPr>
        <w:t>[</w:t>
      </w:r>
      <w:proofErr w:type="gramEnd"/>
      <w:r w:rsidR="00504798" w:rsidRPr="00A903DD">
        <w:rPr>
          <w:rFonts w:ascii="Book Antiqua" w:hAnsi="Book Antiqua"/>
          <w:sz w:val="24"/>
          <w:szCs w:val="24"/>
          <w:vertAlign w:val="superscript"/>
        </w:rPr>
        <w:t>1</w:t>
      </w:r>
      <w:r w:rsidR="00636CA6" w:rsidRPr="00A903DD">
        <w:rPr>
          <w:rFonts w:ascii="Book Antiqua" w:hAnsi="Book Antiqua"/>
          <w:sz w:val="24"/>
          <w:szCs w:val="24"/>
          <w:vertAlign w:val="superscript"/>
        </w:rPr>
        <w:t>4</w:t>
      </w:r>
      <w:r w:rsidRPr="00A903DD">
        <w:rPr>
          <w:rFonts w:ascii="Book Antiqua" w:hAnsi="Book Antiqua"/>
          <w:sz w:val="24"/>
          <w:szCs w:val="24"/>
          <w:vertAlign w:val="superscript"/>
        </w:rPr>
        <w:t>]</w:t>
      </w:r>
      <w:r w:rsidR="00B87109" w:rsidRPr="00A903DD">
        <w:rPr>
          <w:rFonts w:ascii="Book Antiqua" w:hAnsi="Book Antiqua"/>
          <w:sz w:val="24"/>
          <w:szCs w:val="24"/>
        </w:rPr>
        <w:t>.</w:t>
      </w:r>
      <w:r w:rsidR="00F62365" w:rsidRPr="00A903DD">
        <w:rPr>
          <w:rFonts w:ascii="Book Antiqua" w:hAnsi="Book Antiqua"/>
          <w:sz w:val="24"/>
          <w:szCs w:val="24"/>
        </w:rPr>
        <w:t xml:space="preserve"> </w:t>
      </w:r>
      <w:r w:rsidR="00155860" w:rsidRPr="00A903DD">
        <w:rPr>
          <w:rFonts w:ascii="Book Antiqua" w:hAnsi="Book Antiqua"/>
          <w:sz w:val="24"/>
          <w:szCs w:val="24"/>
        </w:rPr>
        <w:t>Alt</w:t>
      </w:r>
      <w:r w:rsidR="001A3D9F" w:rsidRPr="00A903DD">
        <w:rPr>
          <w:rFonts w:ascii="Book Antiqua" w:hAnsi="Book Antiqua"/>
          <w:sz w:val="24"/>
          <w:szCs w:val="24"/>
        </w:rPr>
        <w:t>hough rare, the risk of n</w:t>
      </w:r>
      <w:r w:rsidR="00D00CBA" w:rsidRPr="00A903DD">
        <w:rPr>
          <w:rFonts w:ascii="Book Antiqua" w:hAnsi="Book Antiqua"/>
          <w:sz w:val="24"/>
          <w:szCs w:val="24"/>
        </w:rPr>
        <w:t>euraxial hematoma</w:t>
      </w:r>
      <w:r w:rsidR="001A3D9F" w:rsidRPr="00A903DD">
        <w:rPr>
          <w:rFonts w:ascii="Book Antiqua" w:hAnsi="Book Antiqua"/>
          <w:sz w:val="24"/>
          <w:szCs w:val="24"/>
        </w:rPr>
        <w:t xml:space="preserve">s is increased with the use of anticoagulants and </w:t>
      </w:r>
      <w:r w:rsidR="00D00CBA" w:rsidRPr="00A903DD">
        <w:rPr>
          <w:rFonts w:ascii="Book Antiqua" w:hAnsi="Book Antiqua"/>
          <w:sz w:val="24"/>
          <w:szCs w:val="24"/>
        </w:rPr>
        <w:t>can lead to</w:t>
      </w:r>
      <w:r w:rsidR="001A3D9F" w:rsidRPr="00A903DD">
        <w:rPr>
          <w:rFonts w:ascii="Book Antiqua" w:hAnsi="Book Antiqua"/>
          <w:sz w:val="24"/>
          <w:szCs w:val="24"/>
        </w:rPr>
        <w:t xml:space="preserve"> severe neurolog</w:t>
      </w:r>
      <w:r w:rsidR="00B87109" w:rsidRPr="00A903DD">
        <w:rPr>
          <w:rFonts w:ascii="Book Antiqua" w:hAnsi="Book Antiqua"/>
          <w:sz w:val="24"/>
          <w:szCs w:val="24"/>
        </w:rPr>
        <w:t xml:space="preserve">ical complications and/or </w:t>
      </w:r>
      <w:proofErr w:type="gramStart"/>
      <w:r w:rsidR="00B87109" w:rsidRPr="00A903DD">
        <w:rPr>
          <w:rFonts w:ascii="Book Antiqua" w:hAnsi="Book Antiqua"/>
          <w:sz w:val="24"/>
          <w:szCs w:val="24"/>
        </w:rPr>
        <w:t>death</w:t>
      </w:r>
      <w:r w:rsidR="009E7265" w:rsidRPr="00A903DD">
        <w:rPr>
          <w:rFonts w:ascii="Book Antiqua" w:hAnsi="Book Antiqua"/>
          <w:sz w:val="24"/>
          <w:szCs w:val="24"/>
          <w:vertAlign w:val="superscript"/>
        </w:rPr>
        <w:t>[</w:t>
      </w:r>
      <w:proofErr w:type="gramEnd"/>
      <w:r w:rsidR="009E7265" w:rsidRPr="00A903DD">
        <w:rPr>
          <w:rFonts w:ascii="Book Antiqua" w:hAnsi="Book Antiqua"/>
          <w:sz w:val="24"/>
          <w:szCs w:val="24"/>
          <w:vertAlign w:val="superscript"/>
        </w:rPr>
        <w:t>1</w:t>
      </w:r>
      <w:r w:rsidR="00636CA6" w:rsidRPr="00A903DD">
        <w:rPr>
          <w:rFonts w:ascii="Book Antiqua" w:hAnsi="Book Antiqua"/>
          <w:sz w:val="24"/>
          <w:szCs w:val="24"/>
          <w:vertAlign w:val="superscript"/>
        </w:rPr>
        <w:t>5</w:t>
      </w:r>
      <w:r w:rsidR="009E7265" w:rsidRPr="00A903DD">
        <w:rPr>
          <w:rFonts w:ascii="Book Antiqua" w:hAnsi="Book Antiqua"/>
          <w:sz w:val="24"/>
          <w:szCs w:val="24"/>
          <w:vertAlign w:val="superscript"/>
        </w:rPr>
        <w:t>]</w:t>
      </w:r>
      <w:r w:rsidR="00B87109" w:rsidRPr="00A903DD">
        <w:rPr>
          <w:rFonts w:ascii="Book Antiqua" w:hAnsi="Book Antiqua"/>
          <w:sz w:val="24"/>
          <w:szCs w:val="24"/>
        </w:rPr>
        <w:t>.</w:t>
      </w:r>
    </w:p>
    <w:p w:rsidR="00C500AA" w:rsidRPr="00A903DD" w:rsidRDefault="00636CA6" w:rsidP="003C75F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T</w:t>
      </w:r>
      <w:r w:rsidR="00C500AA" w:rsidRPr="00A903DD">
        <w:rPr>
          <w:rFonts w:ascii="Book Antiqua" w:hAnsi="Book Antiqua"/>
          <w:sz w:val="24"/>
          <w:szCs w:val="24"/>
        </w:rPr>
        <w:t xml:space="preserve">hromboprophylaxis </w:t>
      </w:r>
      <w:r w:rsidRPr="00A903DD">
        <w:rPr>
          <w:rFonts w:ascii="Book Antiqua" w:hAnsi="Book Antiqua"/>
          <w:sz w:val="24"/>
          <w:szCs w:val="24"/>
        </w:rPr>
        <w:t xml:space="preserve">is recommended </w:t>
      </w:r>
      <w:r w:rsidR="003725F0" w:rsidRPr="00A903DD">
        <w:rPr>
          <w:rFonts w:ascii="Book Antiqua" w:hAnsi="Book Antiqua"/>
          <w:sz w:val="24"/>
          <w:szCs w:val="24"/>
        </w:rPr>
        <w:t xml:space="preserve">to be continued </w:t>
      </w:r>
      <w:r w:rsidR="00C500AA" w:rsidRPr="00A903DD">
        <w:rPr>
          <w:rFonts w:ascii="Book Antiqua" w:hAnsi="Book Antiqua"/>
          <w:sz w:val="24"/>
          <w:szCs w:val="24"/>
        </w:rPr>
        <w:t xml:space="preserve">up </w:t>
      </w:r>
      <w:r w:rsidR="007E6EEA" w:rsidRPr="00A903DD">
        <w:rPr>
          <w:rFonts w:ascii="Book Antiqua" w:hAnsi="Book Antiqua"/>
          <w:sz w:val="24"/>
          <w:szCs w:val="24"/>
        </w:rPr>
        <w:t>to</w:t>
      </w:r>
      <w:r w:rsidR="003C75F4">
        <w:rPr>
          <w:rFonts w:ascii="Book Antiqua" w:hAnsi="Book Antiqua"/>
          <w:sz w:val="24"/>
          <w:szCs w:val="24"/>
        </w:rPr>
        <w:t xml:space="preserve"> 35 d</w:t>
      </w:r>
      <w:r w:rsidR="007E6EEA" w:rsidRPr="00A903DD">
        <w:rPr>
          <w:rFonts w:ascii="Book Antiqua" w:hAnsi="Book Antiqua"/>
          <w:sz w:val="24"/>
          <w:szCs w:val="24"/>
        </w:rPr>
        <w:t xml:space="preserve"> following THA,</w:t>
      </w:r>
      <w:r w:rsidR="00C500AA" w:rsidRPr="00A903DD">
        <w:rPr>
          <w:rFonts w:ascii="Book Antiqua" w:hAnsi="Book Antiqua"/>
          <w:sz w:val="24"/>
          <w:szCs w:val="24"/>
        </w:rPr>
        <w:t xml:space="preserve"> making </w:t>
      </w:r>
      <w:r w:rsidR="00F13D4B" w:rsidRPr="00A903DD">
        <w:rPr>
          <w:rFonts w:ascii="Book Antiqua" w:hAnsi="Book Antiqua"/>
          <w:sz w:val="24"/>
          <w:szCs w:val="24"/>
        </w:rPr>
        <w:t xml:space="preserve">both </w:t>
      </w:r>
      <w:r w:rsidR="00C500AA" w:rsidRPr="00A903DD">
        <w:rPr>
          <w:rFonts w:ascii="Book Antiqua" w:hAnsi="Book Antiqua"/>
          <w:sz w:val="24"/>
          <w:szCs w:val="24"/>
        </w:rPr>
        <w:t xml:space="preserve">outpatient </w:t>
      </w:r>
      <w:r w:rsidR="003725F0" w:rsidRPr="00A903DD">
        <w:rPr>
          <w:rFonts w:ascii="Book Antiqua" w:hAnsi="Book Antiqua"/>
          <w:sz w:val="24"/>
          <w:szCs w:val="24"/>
        </w:rPr>
        <w:t xml:space="preserve">medication </w:t>
      </w:r>
      <w:r w:rsidR="00C500AA" w:rsidRPr="00A903DD">
        <w:rPr>
          <w:rFonts w:ascii="Book Antiqua" w:hAnsi="Book Antiqua"/>
          <w:sz w:val="24"/>
          <w:szCs w:val="24"/>
        </w:rPr>
        <w:t xml:space="preserve">compliance and </w:t>
      </w:r>
      <w:r w:rsidR="00640601" w:rsidRPr="00A903DD">
        <w:rPr>
          <w:rFonts w:ascii="Book Antiqua" w:hAnsi="Book Antiqua"/>
          <w:sz w:val="24"/>
          <w:szCs w:val="24"/>
        </w:rPr>
        <w:t xml:space="preserve">the risk of </w:t>
      </w:r>
      <w:r w:rsidR="001A5502" w:rsidRPr="00A903DD">
        <w:rPr>
          <w:rFonts w:ascii="Book Antiqua" w:hAnsi="Book Antiqua"/>
          <w:sz w:val="24"/>
          <w:szCs w:val="24"/>
        </w:rPr>
        <w:t xml:space="preserve">anticoagulant </w:t>
      </w:r>
      <w:r w:rsidR="00C500AA" w:rsidRPr="00A903DD">
        <w:rPr>
          <w:rFonts w:ascii="Book Antiqua" w:hAnsi="Book Antiqua"/>
          <w:sz w:val="24"/>
          <w:szCs w:val="24"/>
        </w:rPr>
        <w:t>adverse e</w:t>
      </w:r>
      <w:r w:rsidR="00F13D4B" w:rsidRPr="00A903DD">
        <w:rPr>
          <w:rFonts w:ascii="Book Antiqua" w:hAnsi="Book Antiqua"/>
          <w:sz w:val="24"/>
          <w:szCs w:val="24"/>
        </w:rPr>
        <w:t>ffects</w:t>
      </w:r>
      <w:r w:rsidR="00C500AA" w:rsidRPr="00A903DD">
        <w:rPr>
          <w:rFonts w:ascii="Book Antiqua" w:hAnsi="Book Antiqua"/>
          <w:sz w:val="24"/>
          <w:szCs w:val="24"/>
        </w:rPr>
        <w:t xml:space="preserve"> area</w:t>
      </w:r>
      <w:r w:rsidR="00640601" w:rsidRPr="00A903DD">
        <w:rPr>
          <w:rFonts w:ascii="Book Antiqua" w:hAnsi="Book Antiqua"/>
          <w:sz w:val="24"/>
          <w:szCs w:val="24"/>
        </w:rPr>
        <w:t>s</w:t>
      </w:r>
      <w:r w:rsidR="00B87109" w:rsidRPr="00A903DD">
        <w:rPr>
          <w:rFonts w:ascii="Book Antiqua" w:hAnsi="Book Antiqua"/>
          <w:sz w:val="24"/>
          <w:szCs w:val="24"/>
        </w:rPr>
        <w:t xml:space="preserve"> of </w:t>
      </w:r>
      <w:proofErr w:type="gramStart"/>
      <w:r w:rsidR="00B87109" w:rsidRPr="00A903DD">
        <w:rPr>
          <w:rFonts w:ascii="Book Antiqua" w:hAnsi="Book Antiqua"/>
          <w:sz w:val="24"/>
          <w:szCs w:val="24"/>
        </w:rPr>
        <w:t>concern</w:t>
      </w:r>
      <w:r w:rsidR="00155860" w:rsidRPr="00A903DD">
        <w:rPr>
          <w:rFonts w:ascii="Book Antiqua" w:hAnsi="Book Antiqua"/>
          <w:sz w:val="24"/>
          <w:szCs w:val="24"/>
          <w:vertAlign w:val="superscript"/>
        </w:rPr>
        <w:t>[</w:t>
      </w:r>
      <w:proofErr w:type="gramEnd"/>
      <w:r w:rsidR="00155860" w:rsidRPr="00A903DD">
        <w:rPr>
          <w:rFonts w:ascii="Book Antiqua" w:hAnsi="Book Antiqua"/>
          <w:sz w:val="24"/>
          <w:szCs w:val="24"/>
          <w:vertAlign w:val="superscript"/>
        </w:rPr>
        <w:t>1]</w:t>
      </w:r>
      <w:r w:rsidR="00B87109" w:rsidRPr="00A903DD">
        <w:rPr>
          <w:rFonts w:ascii="Book Antiqua" w:hAnsi="Book Antiqua"/>
          <w:sz w:val="24"/>
          <w:szCs w:val="24"/>
        </w:rPr>
        <w:t>.</w:t>
      </w:r>
      <w:r w:rsidR="00155860" w:rsidRPr="00A903DD">
        <w:rPr>
          <w:rFonts w:ascii="Book Antiqua" w:hAnsi="Book Antiqua"/>
          <w:sz w:val="24"/>
          <w:szCs w:val="24"/>
        </w:rPr>
        <w:t xml:space="preserve"> </w:t>
      </w:r>
      <w:r w:rsidR="003725F0" w:rsidRPr="00A903DD">
        <w:rPr>
          <w:rFonts w:ascii="Book Antiqua" w:hAnsi="Book Antiqua"/>
          <w:sz w:val="24"/>
          <w:szCs w:val="24"/>
        </w:rPr>
        <w:t xml:space="preserve">The </w:t>
      </w:r>
      <w:r w:rsidR="00C500AA" w:rsidRPr="00A903DD">
        <w:rPr>
          <w:rFonts w:ascii="Book Antiqua" w:hAnsi="Book Antiqua"/>
          <w:sz w:val="24"/>
          <w:szCs w:val="24"/>
        </w:rPr>
        <w:t xml:space="preserve">need for </w:t>
      </w:r>
      <w:r w:rsidR="00640601" w:rsidRPr="00A903DD">
        <w:rPr>
          <w:rFonts w:ascii="Book Antiqua" w:hAnsi="Book Antiqua"/>
          <w:sz w:val="24"/>
          <w:szCs w:val="24"/>
        </w:rPr>
        <w:t>an improved</w:t>
      </w:r>
      <w:r w:rsidR="00C500AA" w:rsidRPr="00A903DD">
        <w:rPr>
          <w:rFonts w:ascii="Book Antiqua" w:hAnsi="Book Antiqua"/>
          <w:sz w:val="24"/>
          <w:szCs w:val="24"/>
        </w:rPr>
        <w:t xml:space="preserve"> agent for thromboprophylaxis </w:t>
      </w:r>
      <w:r w:rsidR="00640601" w:rsidRPr="00A903DD">
        <w:rPr>
          <w:rFonts w:ascii="Book Antiqua" w:hAnsi="Book Antiqua"/>
          <w:sz w:val="24"/>
          <w:szCs w:val="24"/>
        </w:rPr>
        <w:t>for THA as well as other</w:t>
      </w:r>
      <w:r w:rsidR="00155860" w:rsidRPr="00A903DD">
        <w:rPr>
          <w:rFonts w:ascii="Book Antiqua" w:hAnsi="Book Antiqua"/>
          <w:sz w:val="24"/>
          <w:szCs w:val="24"/>
        </w:rPr>
        <w:t xml:space="preserve"> thrombotic disorders</w:t>
      </w:r>
      <w:r w:rsidR="00640601" w:rsidRPr="00A903DD">
        <w:rPr>
          <w:rFonts w:ascii="Book Antiqua" w:hAnsi="Book Antiqua"/>
          <w:sz w:val="24"/>
          <w:szCs w:val="24"/>
        </w:rPr>
        <w:t xml:space="preserve"> </w:t>
      </w:r>
      <w:r w:rsidR="00155860" w:rsidRPr="00A903DD">
        <w:rPr>
          <w:rFonts w:ascii="Book Antiqua" w:hAnsi="Book Antiqua"/>
          <w:sz w:val="24"/>
          <w:szCs w:val="24"/>
        </w:rPr>
        <w:t xml:space="preserve">has driven the development of </w:t>
      </w:r>
      <w:r w:rsidR="003725F0" w:rsidRPr="00A903DD">
        <w:rPr>
          <w:rFonts w:ascii="Book Antiqua" w:hAnsi="Book Antiqua"/>
          <w:sz w:val="24"/>
          <w:szCs w:val="24"/>
        </w:rPr>
        <w:t>rapid</w:t>
      </w:r>
      <w:r w:rsidR="00C500AA" w:rsidRPr="00A903DD">
        <w:rPr>
          <w:rFonts w:ascii="Book Antiqua" w:hAnsi="Book Antiqua"/>
          <w:sz w:val="24"/>
          <w:szCs w:val="24"/>
        </w:rPr>
        <w:t xml:space="preserve"> acting, </w:t>
      </w:r>
      <w:r w:rsidR="00F62365" w:rsidRPr="00A903DD">
        <w:rPr>
          <w:rFonts w:ascii="Book Antiqua" w:hAnsi="Book Antiqua"/>
          <w:sz w:val="24"/>
          <w:szCs w:val="24"/>
        </w:rPr>
        <w:t xml:space="preserve">effective and </w:t>
      </w:r>
      <w:r w:rsidR="00C500AA" w:rsidRPr="00A903DD">
        <w:rPr>
          <w:rFonts w:ascii="Book Antiqua" w:hAnsi="Book Antiqua"/>
          <w:sz w:val="24"/>
          <w:szCs w:val="24"/>
        </w:rPr>
        <w:t>safe oral anticoagulant</w:t>
      </w:r>
      <w:r w:rsidR="00155860" w:rsidRPr="00A903DD">
        <w:rPr>
          <w:rFonts w:ascii="Book Antiqua" w:hAnsi="Book Antiqua"/>
          <w:sz w:val="24"/>
          <w:szCs w:val="24"/>
        </w:rPr>
        <w:t>s</w:t>
      </w:r>
      <w:r w:rsidR="00C500AA" w:rsidRPr="00A903DD">
        <w:rPr>
          <w:rFonts w:ascii="Book Antiqua" w:hAnsi="Book Antiqua"/>
          <w:sz w:val="24"/>
          <w:szCs w:val="24"/>
        </w:rPr>
        <w:t xml:space="preserve"> w</w:t>
      </w:r>
      <w:r w:rsidR="00155860" w:rsidRPr="00A903DD">
        <w:rPr>
          <w:rFonts w:ascii="Book Antiqua" w:hAnsi="Book Antiqua"/>
          <w:sz w:val="24"/>
          <w:szCs w:val="24"/>
        </w:rPr>
        <w:t>ith predictable pharmacokinetics and pharmacodynamics</w:t>
      </w:r>
      <w:r w:rsidR="002F38D6" w:rsidRPr="00A903DD">
        <w:rPr>
          <w:rFonts w:ascii="Book Antiqua" w:hAnsi="Book Antiqua"/>
          <w:sz w:val="24"/>
          <w:szCs w:val="24"/>
        </w:rPr>
        <w:t xml:space="preserve"> </w:t>
      </w:r>
      <w:r w:rsidR="00155860" w:rsidRPr="00A903DD">
        <w:rPr>
          <w:rFonts w:ascii="Book Antiqua" w:hAnsi="Book Antiqua"/>
          <w:sz w:val="24"/>
          <w:szCs w:val="24"/>
        </w:rPr>
        <w:t xml:space="preserve">that alleviate the need for </w:t>
      </w:r>
      <w:r w:rsidR="00EC5DAE" w:rsidRPr="00A903DD">
        <w:rPr>
          <w:rFonts w:ascii="Book Antiqua" w:hAnsi="Book Antiqua"/>
          <w:sz w:val="24"/>
          <w:szCs w:val="24"/>
        </w:rPr>
        <w:t>frequent</w:t>
      </w:r>
      <w:r w:rsidR="00C500AA" w:rsidRPr="00A903DD">
        <w:rPr>
          <w:rFonts w:ascii="Book Antiqua" w:hAnsi="Book Antiqua"/>
          <w:sz w:val="24"/>
          <w:szCs w:val="24"/>
        </w:rPr>
        <w:t xml:space="preserve"> </w:t>
      </w:r>
      <w:r w:rsidR="00EC5DAE" w:rsidRPr="00A903DD">
        <w:rPr>
          <w:rFonts w:ascii="Book Antiqua" w:hAnsi="Book Antiqua"/>
          <w:sz w:val="24"/>
          <w:szCs w:val="24"/>
        </w:rPr>
        <w:t xml:space="preserve">laboratory </w:t>
      </w:r>
      <w:r w:rsidR="003C75F4">
        <w:rPr>
          <w:rFonts w:ascii="Book Antiqua" w:hAnsi="Book Antiqua"/>
          <w:sz w:val="24"/>
          <w:szCs w:val="24"/>
        </w:rPr>
        <w:t>monitoring.</w:t>
      </w:r>
      <w:r w:rsidR="003C75F4">
        <w:rPr>
          <w:rFonts w:ascii="Book Antiqua" w:hAnsi="Book Antiqua" w:hint="eastAsia"/>
          <w:sz w:val="24"/>
          <w:szCs w:val="24"/>
          <w:lang w:eastAsia="zh-CN"/>
        </w:rPr>
        <w:t xml:space="preserve"> </w:t>
      </w:r>
      <w:r w:rsidR="00EC5DAE" w:rsidRPr="00A903DD">
        <w:rPr>
          <w:rFonts w:ascii="Book Antiqua" w:hAnsi="Book Antiqua"/>
          <w:sz w:val="24"/>
          <w:szCs w:val="24"/>
        </w:rPr>
        <w:t>New oral anti</w:t>
      </w:r>
      <w:r w:rsidR="00D0426A" w:rsidRPr="00A903DD">
        <w:rPr>
          <w:rFonts w:ascii="Book Antiqua" w:hAnsi="Book Antiqua"/>
          <w:sz w:val="24"/>
          <w:szCs w:val="24"/>
        </w:rPr>
        <w:t>coagulant agents</w:t>
      </w:r>
      <w:r w:rsidR="002F38D6" w:rsidRPr="00A903DD">
        <w:rPr>
          <w:rFonts w:ascii="Book Antiqua" w:hAnsi="Book Antiqua"/>
          <w:sz w:val="24"/>
          <w:szCs w:val="24"/>
        </w:rPr>
        <w:t xml:space="preserve"> </w:t>
      </w:r>
      <w:r w:rsidR="00D0426A" w:rsidRPr="00A903DD">
        <w:rPr>
          <w:rFonts w:ascii="Book Antiqua" w:hAnsi="Book Antiqua"/>
          <w:sz w:val="24"/>
          <w:szCs w:val="24"/>
        </w:rPr>
        <w:t xml:space="preserve">(NOACs) </w:t>
      </w:r>
      <w:r w:rsidR="002F38D6" w:rsidRPr="00A903DD">
        <w:rPr>
          <w:rFonts w:ascii="Book Antiqua" w:hAnsi="Book Antiqua"/>
          <w:sz w:val="24"/>
          <w:szCs w:val="24"/>
        </w:rPr>
        <w:t>include</w:t>
      </w:r>
      <w:r w:rsidR="00EC5DAE" w:rsidRPr="00A903DD">
        <w:rPr>
          <w:rFonts w:ascii="Book Antiqua" w:hAnsi="Book Antiqua"/>
          <w:sz w:val="24"/>
          <w:szCs w:val="24"/>
        </w:rPr>
        <w:t xml:space="preserve"> </w:t>
      </w:r>
      <w:r w:rsidR="00C500AA" w:rsidRPr="00A903DD">
        <w:rPr>
          <w:rFonts w:ascii="Book Antiqua" w:hAnsi="Book Antiqua"/>
          <w:sz w:val="24"/>
          <w:szCs w:val="24"/>
        </w:rPr>
        <w:t xml:space="preserve">agents </w:t>
      </w:r>
      <w:r w:rsidR="00EC5DAE" w:rsidRPr="00A903DD">
        <w:rPr>
          <w:rFonts w:ascii="Book Antiqua" w:hAnsi="Book Antiqua"/>
          <w:sz w:val="24"/>
          <w:szCs w:val="24"/>
        </w:rPr>
        <w:t>that</w:t>
      </w:r>
      <w:r w:rsidR="00C500AA" w:rsidRPr="00A903DD">
        <w:rPr>
          <w:rFonts w:ascii="Book Antiqua" w:hAnsi="Book Antiqua"/>
          <w:sz w:val="24"/>
          <w:szCs w:val="24"/>
        </w:rPr>
        <w:t xml:space="preserve"> target the inhibition of one of two critical elements of the clotting cascade, </w:t>
      </w:r>
      <w:r w:rsidR="00EC5DAE" w:rsidRPr="00A903DD">
        <w:rPr>
          <w:rFonts w:ascii="Book Antiqua" w:hAnsi="Book Antiqua"/>
          <w:sz w:val="24"/>
          <w:szCs w:val="24"/>
        </w:rPr>
        <w:t xml:space="preserve">factor II (thrombin) and </w:t>
      </w:r>
      <w:r w:rsidR="0094649F" w:rsidRPr="00A903DD">
        <w:rPr>
          <w:rFonts w:ascii="Book Antiqua" w:hAnsi="Book Antiqua"/>
          <w:sz w:val="24"/>
          <w:szCs w:val="24"/>
        </w:rPr>
        <w:t xml:space="preserve">factor </w:t>
      </w:r>
      <w:r w:rsidR="007E6EEA" w:rsidRPr="00A903DD">
        <w:rPr>
          <w:rFonts w:ascii="Book Antiqua" w:hAnsi="Book Antiqua"/>
          <w:sz w:val="24"/>
          <w:szCs w:val="24"/>
        </w:rPr>
        <w:t>Xa</w:t>
      </w:r>
      <w:r w:rsidR="0094649F" w:rsidRPr="00A903DD">
        <w:rPr>
          <w:rFonts w:ascii="Book Antiqua" w:hAnsi="Book Antiqua"/>
          <w:sz w:val="24"/>
          <w:szCs w:val="24"/>
        </w:rPr>
        <w:t xml:space="preserve"> (FXa)</w:t>
      </w:r>
      <w:r w:rsidR="00C500AA" w:rsidRPr="00A903DD">
        <w:rPr>
          <w:rFonts w:ascii="Book Antiqua" w:hAnsi="Book Antiqua"/>
          <w:sz w:val="24"/>
          <w:szCs w:val="24"/>
        </w:rPr>
        <w:t xml:space="preserve">.  </w:t>
      </w:r>
      <w:r w:rsidR="0094649F" w:rsidRPr="00A903DD">
        <w:rPr>
          <w:rFonts w:ascii="Book Antiqua" w:hAnsi="Book Antiqua"/>
          <w:sz w:val="24"/>
          <w:szCs w:val="24"/>
        </w:rPr>
        <w:t>Since the agents have now been available for a period of time, they are also termed target-specific</w:t>
      </w:r>
      <w:r w:rsidR="003C75F4">
        <w:rPr>
          <w:rFonts w:ascii="Book Antiqua" w:hAnsi="Book Antiqua"/>
          <w:sz w:val="24"/>
          <w:szCs w:val="24"/>
        </w:rPr>
        <w:t xml:space="preserve"> oral anticoagulants (TSOAs). </w:t>
      </w:r>
      <w:r w:rsidR="0094649F" w:rsidRPr="00A903DD">
        <w:rPr>
          <w:rFonts w:ascii="Book Antiqua" w:hAnsi="Book Antiqua"/>
          <w:sz w:val="24"/>
          <w:szCs w:val="24"/>
        </w:rPr>
        <w:t>Regardless, th</w:t>
      </w:r>
      <w:r w:rsidR="0056455C" w:rsidRPr="00A903DD">
        <w:rPr>
          <w:rFonts w:ascii="Book Antiqua" w:hAnsi="Book Antiqua"/>
          <w:sz w:val="24"/>
          <w:szCs w:val="24"/>
        </w:rPr>
        <w:t>e</w:t>
      </w:r>
      <w:r w:rsidR="0094649F" w:rsidRPr="00A903DD">
        <w:rPr>
          <w:rFonts w:ascii="Book Antiqua" w:hAnsi="Book Antiqua"/>
          <w:sz w:val="24"/>
          <w:szCs w:val="24"/>
        </w:rPr>
        <w:t xml:space="preserve"> class of </w:t>
      </w:r>
      <w:r w:rsidR="0056455C" w:rsidRPr="00A903DD">
        <w:rPr>
          <w:rFonts w:ascii="Book Antiqua" w:hAnsi="Book Antiqua"/>
          <w:sz w:val="24"/>
          <w:szCs w:val="24"/>
        </w:rPr>
        <w:lastRenderedPageBreak/>
        <w:t xml:space="preserve">new </w:t>
      </w:r>
      <w:r w:rsidR="00362BFE" w:rsidRPr="00A903DD">
        <w:rPr>
          <w:rFonts w:ascii="Book Antiqua" w:hAnsi="Book Antiqua"/>
          <w:sz w:val="24"/>
          <w:szCs w:val="24"/>
        </w:rPr>
        <w:t xml:space="preserve">oral </w:t>
      </w:r>
      <w:r w:rsidR="0094649F" w:rsidRPr="00A903DD">
        <w:rPr>
          <w:rFonts w:ascii="Book Antiqua" w:hAnsi="Book Antiqua"/>
          <w:sz w:val="24"/>
          <w:szCs w:val="24"/>
        </w:rPr>
        <w:t xml:space="preserve">anticoagulant agents </w:t>
      </w:r>
      <w:r w:rsidR="00D0426A" w:rsidRPr="00A903DD">
        <w:rPr>
          <w:rFonts w:ascii="Book Antiqua" w:hAnsi="Book Antiqua"/>
          <w:sz w:val="24"/>
          <w:szCs w:val="24"/>
        </w:rPr>
        <w:t xml:space="preserve">presently </w:t>
      </w:r>
      <w:r w:rsidR="0094649F" w:rsidRPr="00A903DD">
        <w:rPr>
          <w:rFonts w:ascii="Book Antiqua" w:hAnsi="Book Antiqua"/>
          <w:sz w:val="24"/>
          <w:szCs w:val="24"/>
        </w:rPr>
        <w:t>includes the direct thrombin inhibitor dabigatran and t</w:t>
      </w:r>
      <w:r w:rsidR="00C500AA" w:rsidRPr="00A903DD">
        <w:rPr>
          <w:rFonts w:ascii="Book Antiqua" w:hAnsi="Book Antiqua"/>
          <w:sz w:val="24"/>
          <w:szCs w:val="24"/>
        </w:rPr>
        <w:t>he</w:t>
      </w:r>
      <w:r w:rsidR="00D0426A" w:rsidRPr="00A903DD">
        <w:rPr>
          <w:rFonts w:ascii="Book Antiqua" w:hAnsi="Book Antiqua"/>
          <w:sz w:val="24"/>
          <w:szCs w:val="24"/>
        </w:rPr>
        <w:t xml:space="preserve"> FXa inhibitors rivaroxaban, </w:t>
      </w:r>
      <w:r w:rsidR="00C500AA" w:rsidRPr="00A903DD">
        <w:rPr>
          <w:rFonts w:ascii="Book Antiqua" w:hAnsi="Book Antiqua"/>
          <w:sz w:val="24"/>
          <w:szCs w:val="24"/>
        </w:rPr>
        <w:t>apixaban</w:t>
      </w:r>
      <w:r w:rsidR="00D0426A" w:rsidRPr="00A903DD">
        <w:rPr>
          <w:rFonts w:ascii="Book Antiqua" w:hAnsi="Book Antiqua"/>
          <w:sz w:val="24"/>
          <w:szCs w:val="24"/>
        </w:rPr>
        <w:t>, and edoxaban;</w:t>
      </w:r>
      <w:r w:rsidR="0094649F" w:rsidRPr="00A903DD">
        <w:rPr>
          <w:rFonts w:ascii="Book Antiqua" w:hAnsi="Book Antiqua"/>
          <w:sz w:val="24"/>
          <w:szCs w:val="24"/>
        </w:rPr>
        <w:t xml:space="preserve"> each agent has</w:t>
      </w:r>
      <w:r w:rsidR="00C500AA" w:rsidRPr="00A903DD">
        <w:rPr>
          <w:rFonts w:ascii="Book Antiqua" w:hAnsi="Book Antiqua"/>
          <w:sz w:val="24"/>
          <w:szCs w:val="24"/>
        </w:rPr>
        <w:t xml:space="preserve"> been approv</w:t>
      </w:r>
      <w:r w:rsidR="00D0426A" w:rsidRPr="00A903DD">
        <w:rPr>
          <w:rFonts w:ascii="Book Antiqua" w:hAnsi="Book Antiqua"/>
          <w:sz w:val="24"/>
          <w:szCs w:val="24"/>
        </w:rPr>
        <w:t xml:space="preserve">ed in </w:t>
      </w:r>
      <w:r w:rsidR="00677919" w:rsidRPr="00A903DD">
        <w:rPr>
          <w:rFonts w:ascii="Book Antiqua" w:hAnsi="Book Antiqua"/>
          <w:sz w:val="24"/>
          <w:szCs w:val="24"/>
        </w:rPr>
        <w:t>various</w:t>
      </w:r>
      <w:r w:rsidR="00C500AA" w:rsidRPr="00A903DD">
        <w:rPr>
          <w:rFonts w:ascii="Book Antiqua" w:hAnsi="Book Antiqua"/>
          <w:sz w:val="24"/>
          <w:szCs w:val="24"/>
        </w:rPr>
        <w:t xml:space="preserve"> countries for primary pr</w:t>
      </w:r>
      <w:r w:rsidR="007E6EEA" w:rsidRPr="00A903DD">
        <w:rPr>
          <w:rFonts w:ascii="Book Antiqua" w:hAnsi="Book Antiqua"/>
          <w:sz w:val="24"/>
          <w:szCs w:val="24"/>
        </w:rPr>
        <w:t xml:space="preserve">evention of VTE following THA. </w:t>
      </w:r>
    </w:p>
    <w:p w:rsidR="007A3EA9" w:rsidRPr="00A903DD" w:rsidRDefault="00C500AA" w:rsidP="003C75F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 xml:space="preserve">This review will focus on the </w:t>
      </w:r>
      <w:r w:rsidR="00D32B62" w:rsidRPr="00A903DD">
        <w:rPr>
          <w:rFonts w:ascii="Book Antiqua" w:hAnsi="Book Antiqua"/>
          <w:sz w:val="24"/>
          <w:szCs w:val="24"/>
        </w:rPr>
        <w:t xml:space="preserve">drug-specific characteristics, </w:t>
      </w:r>
      <w:r w:rsidRPr="00A903DD">
        <w:rPr>
          <w:rFonts w:ascii="Book Antiqua" w:hAnsi="Book Antiqua"/>
          <w:sz w:val="24"/>
          <w:szCs w:val="24"/>
        </w:rPr>
        <w:t>efficacy,</w:t>
      </w:r>
      <w:r w:rsidR="00FA696B" w:rsidRPr="00A903DD">
        <w:rPr>
          <w:rFonts w:ascii="Book Antiqua" w:hAnsi="Book Antiqua"/>
          <w:sz w:val="24"/>
          <w:szCs w:val="24"/>
        </w:rPr>
        <w:t xml:space="preserve"> </w:t>
      </w:r>
      <w:r w:rsidRPr="00A903DD">
        <w:rPr>
          <w:rFonts w:ascii="Book Antiqua" w:hAnsi="Book Antiqua"/>
          <w:sz w:val="24"/>
          <w:szCs w:val="24"/>
        </w:rPr>
        <w:t xml:space="preserve">safety, </w:t>
      </w:r>
      <w:r w:rsidR="00FA696B" w:rsidRPr="00A903DD">
        <w:rPr>
          <w:rFonts w:ascii="Book Antiqua" w:hAnsi="Book Antiqua"/>
          <w:sz w:val="24"/>
          <w:szCs w:val="24"/>
        </w:rPr>
        <w:t xml:space="preserve">and economic impact </w:t>
      </w:r>
      <w:r w:rsidRPr="00A903DD">
        <w:rPr>
          <w:rFonts w:ascii="Book Antiqua" w:hAnsi="Book Antiqua"/>
          <w:sz w:val="24"/>
          <w:szCs w:val="24"/>
        </w:rPr>
        <w:t xml:space="preserve">of </w:t>
      </w:r>
      <w:r w:rsidR="002A3B2B" w:rsidRPr="00A903DD">
        <w:rPr>
          <w:rFonts w:ascii="Book Antiqua" w:hAnsi="Book Antiqua"/>
          <w:sz w:val="24"/>
          <w:szCs w:val="24"/>
        </w:rPr>
        <w:t xml:space="preserve">the </w:t>
      </w:r>
      <w:r w:rsidR="0094649F" w:rsidRPr="00A903DD">
        <w:rPr>
          <w:rFonts w:ascii="Book Antiqua" w:hAnsi="Book Antiqua"/>
          <w:sz w:val="24"/>
          <w:szCs w:val="24"/>
        </w:rPr>
        <w:t>TSOAs</w:t>
      </w:r>
      <w:r w:rsidRPr="00A903DD">
        <w:rPr>
          <w:rFonts w:ascii="Book Antiqua" w:hAnsi="Book Antiqua"/>
          <w:sz w:val="24"/>
          <w:szCs w:val="24"/>
        </w:rPr>
        <w:t xml:space="preserve"> for thromboprophylaxis following </w:t>
      </w:r>
      <w:r w:rsidR="0094649F" w:rsidRPr="00A903DD">
        <w:rPr>
          <w:rFonts w:ascii="Book Antiqua" w:hAnsi="Book Antiqua"/>
          <w:sz w:val="24"/>
          <w:szCs w:val="24"/>
        </w:rPr>
        <w:t>THA</w:t>
      </w:r>
      <w:r w:rsidR="003C75F4">
        <w:rPr>
          <w:rFonts w:ascii="Book Antiqua" w:hAnsi="Book Antiqua"/>
          <w:sz w:val="24"/>
          <w:szCs w:val="24"/>
        </w:rPr>
        <w:t>.</w:t>
      </w:r>
      <w:r w:rsidR="003C75F4">
        <w:rPr>
          <w:rFonts w:ascii="Book Antiqua" w:hAnsi="Book Antiqua" w:hint="eastAsia"/>
          <w:sz w:val="24"/>
          <w:szCs w:val="24"/>
          <w:lang w:eastAsia="zh-CN"/>
        </w:rPr>
        <w:t xml:space="preserve"> </w:t>
      </w:r>
      <w:r w:rsidR="00AF6478" w:rsidRPr="00A903DD">
        <w:rPr>
          <w:rFonts w:ascii="Book Antiqua" w:hAnsi="Book Antiqua"/>
          <w:sz w:val="24"/>
          <w:szCs w:val="24"/>
        </w:rPr>
        <w:t xml:space="preserve">Also, </w:t>
      </w:r>
      <w:r w:rsidR="00D32B62" w:rsidRPr="00A903DD">
        <w:rPr>
          <w:rFonts w:ascii="Book Antiqua" w:hAnsi="Book Antiqua"/>
          <w:sz w:val="24"/>
          <w:szCs w:val="24"/>
        </w:rPr>
        <w:t xml:space="preserve">aspects </w:t>
      </w:r>
      <w:r w:rsidR="00FA696B" w:rsidRPr="00A903DD">
        <w:rPr>
          <w:rFonts w:ascii="Book Antiqua" w:hAnsi="Book Antiqua"/>
          <w:sz w:val="24"/>
          <w:szCs w:val="24"/>
        </w:rPr>
        <w:t>related to</w:t>
      </w:r>
      <w:r w:rsidR="00D32B62" w:rsidRPr="00A903DD">
        <w:rPr>
          <w:rFonts w:ascii="Book Antiqua" w:hAnsi="Book Antiqua"/>
          <w:sz w:val="24"/>
          <w:szCs w:val="24"/>
        </w:rPr>
        <w:t xml:space="preserve"> </w:t>
      </w:r>
      <w:r w:rsidR="002A3B2B" w:rsidRPr="00A903DD">
        <w:rPr>
          <w:rFonts w:ascii="Book Antiqua" w:hAnsi="Book Antiqua"/>
          <w:sz w:val="24"/>
          <w:szCs w:val="24"/>
        </w:rPr>
        <w:t xml:space="preserve">therapeutic monitoring </w:t>
      </w:r>
      <w:r w:rsidR="00D32B62" w:rsidRPr="00A903DD">
        <w:rPr>
          <w:rFonts w:ascii="Book Antiqua" w:hAnsi="Book Antiqua"/>
          <w:sz w:val="24"/>
          <w:szCs w:val="24"/>
        </w:rPr>
        <w:t xml:space="preserve">of suspected sub- or supra-therapeutic anticoagulation </w:t>
      </w:r>
      <w:r w:rsidR="002A3B2B" w:rsidRPr="00A903DD">
        <w:rPr>
          <w:rFonts w:ascii="Book Antiqua" w:hAnsi="Book Antiqua"/>
          <w:sz w:val="24"/>
          <w:szCs w:val="24"/>
        </w:rPr>
        <w:t xml:space="preserve">and </w:t>
      </w:r>
      <w:r w:rsidR="00AF6478" w:rsidRPr="00A903DD">
        <w:rPr>
          <w:rFonts w:ascii="Book Antiqua" w:hAnsi="Book Antiqua"/>
          <w:sz w:val="24"/>
          <w:szCs w:val="24"/>
        </w:rPr>
        <w:t xml:space="preserve">the issue of </w:t>
      </w:r>
      <w:r w:rsidR="00D32B62" w:rsidRPr="00A903DD">
        <w:rPr>
          <w:rFonts w:ascii="Book Antiqua" w:hAnsi="Book Antiqua"/>
          <w:sz w:val="24"/>
          <w:szCs w:val="24"/>
        </w:rPr>
        <w:t xml:space="preserve">anticoagulation </w:t>
      </w:r>
      <w:r w:rsidR="002A3B2B" w:rsidRPr="00A903DD">
        <w:rPr>
          <w:rFonts w:ascii="Book Antiqua" w:hAnsi="Book Antiqua"/>
          <w:sz w:val="24"/>
          <w:szCs w:val="24"/>
        </w:rPr>
        <w:t xml:space="preserve">reversal in </w:t>
      </w:r>
      <w:r w:rsidR="00E735DC" w:rsidRPr="00A903DD">
        <w:rPr>
          <w:rFonts w:ascii="Book Antiqua" w:hAnsi="Book Antiqua"/>
          <w:sz w:val="24"/>
          <w:szCs w:val="24"/>
        </w:rPr>
        <w:t>the event of</w:t>
      </w:r>
      <w:r w:rsidR="002F38D6" w:rsidRPr="00A903DD">
        <w:rPr>
          <w:rFonts w:ascii="Book Antiqua" w:hAnsi="Book Antiqua"/>
          <w:sz w:val="24"/>
          <w:szCs w:val="24"/>
        </w:rPr>
        <w:t xml:space="preserve"> </w:t>
      </w:r>
      <w:r w:rsidR="002A3B2B" w:rsidRPr="00A903DD">
        <w:rPr>
          <w:rFonts w:ascii="Book Antiqua" w:hAnsi="Book Antiqua"/>
          <w:sz w:val="24"/>
          <w:szCs w:val="24"/>
        </w:rPr>
        <w:t>bleeding complications</w:t>
      </w:r>
      <w:r w:rsidR="002F38D6" w:rsidRPr="00A903DD">
        <w:rPr>
          <w:rFonts w:ascii="Book Antiqua" w:hAnsi="Book Antiqua"/>
          <w:sz w:val="24"/>
          <w:szCs w:val="24"/>
        </w:rPr>
        <w:t xml:space="preserve"> or</w:t>
      </w:r>
      <w:r w:rsidR="00D32B62" w:rsidRPr="00A903DD">
        <w:rPr>
          <w:rFonts w:ascii="Book Antiqua" w:hAnsi="Book Antiqua"/>
          <w:sz w:val="24"/>
          <w:szCs w:val="24"/>
        </w:rPr>
        <w:t xml:space="preserve"> </w:t>
      </w:r>
      <w:r w:rsidR="0056455C" w:rsidRPr="00A903DD">
        <w:rPr>
          <w:rFonts w:ascii="Book Antiqua" w:hAnsi="Book Antiqua"/>
          <w:sz w:val="24"/>
          <w:szCs w:val="24"/>
        </w:rPr>
        <w:t xml:space="preserve">a </w:t>
      </w:r>
      <w:r w:rsidR="00D32B62" w:rsidRPr="00A903DD">
        <w:rPr>
          <w:rFonts w:ascii="Book Antiqua" w:hAnsi="Book Antiqua"/>
          <w:sz w:val="24"/>
          <w:szCs w:val="24"/>
        </w:rPr>
        <w:t xml:space="preserve">need for urgent reversal </w:t>
      </w:r>
      <w:r w:rsidR="00AF6478" w:rsidRPr="00A903DD">
        <w:rPr>
          <w:rFonts w:ascii="Book Antiqua" w:hAnsi="Book Antiqua"/>
          <w:sz w:val="24"/>
          <w:szCs w:val="24"/>
        </w:rPr>
        <w:t>will be discussed.</w:t>
      </w:r>
    </w:p>
    <w:p w:rsidR="00984A64" w:rsidRPr="00A903DD" w:rsidRDefault="00984A64" w:rsidP="00A903DD">
      <w:pPr>
        <w:spacing w:after="0" w:line="360" w:lineRule="auto"/>
        <w:jc w:val="both"/>
        <w:rPr>
          <w:rFonts w:ascii="Book Antiqua" w:hAnsi="Book Antiqua"/>
          <w:b/>
          <w:sz w:val="24"/>
          <w:szCs w:val="24"/>
        </w:rPr>
      </w:pPr>
    </w:p>
    <w:p w:rsidR="002A3B2B" w:rsidRPr="00A903DD" w:rsidRDefault="003C75F4" w:rsidP="00A903DD">
      <w:pPr>
        <w:spacing w:after="0" w:line="360" w:lineRule="auto"/>
        <w:jc w:val="both"/>
        <w:rPr>
          <w:rFonts w:ascii="Book Antiqua" w:hAnsi="Book Antiqua"/>
          <w:b/>
          <w:sz w:val="24"/>
          <w:szCs w:val="24"/>
        </w:rPr>
      </w:pPr>
      <w:r w:rsidRPr="00A903DD">
        <w:rPr>
          <w:rFonts w:ascii="Book Antiqua" w:hAnsi="Book Antiqua"/>
          <w:b/>
          <w:sz w:val="24"/>
          <w:szCs w:val="24"/>
        </w:rPr>
        <w:t>OVERVIEW OF TSOAS</w:t>
      </w:r>
    </w:p>
    <w:p w:rsidR="00775AE9" w:rsidRPr="00A903DD" w:rsidRDefault="00B36A23" w:rsidP="00A903DD">
      <w:pPr>
        <w:spacing w:after="0" w:line="360" w:lineRule="auto"/>
        <w:jc w:val="both"/>
        <w:rPr>
          <w:rFonts w:ascii="Book Antiqua" w:hAnsi="Book Antiqua"/>
          <w:sz w:val="24"/>
          <w:szCs w:val="24"/>
        </w:rPr>
      </w:pPr>
      <w:r w:rsidRPr="00A903DD">
        <w:rPr>
          <w:rFonts w:ascii="Book Antiqua" w:hAnsi="Book Antiqua"/>
          <w:sz w:val="24"/>
          <w:szCs w:val="24"/>
        </w:rPr>
        <w:t>Each of the TSOAs has</w:t>
      </w:r>
      <w:r w:rsidR="00362BFE" w:rsidRPr="00A903DD">
        <w:rPr>
          <w:rFonts w:ascii="Book Antiqua" w:hAnsi="Book Antiqua"/>
          <w:sz w:val="24"/>
          <w:szCs w:val="24"/>
        </w:rPr>
        <w:t>, or is being studied for</w:t>
      </w:r>
      <w:r w:rsidRPr="00A903DD">
        <w:rPr>
          <w:rFonts w:ascii="Book Antiqua" w:hAnsi="Book Antiqua"/>
          <w:sz w:val="24"/>
          <w:szCs w:val="24"/>
        </w:rPr>
        <w:t xml:space="preserve"> </w:t>
      </w:r>
      <w:r w:rsidR="00362BFE" w:rsidRPr="00A903DD">
        <w:rPr>
          <w:rFonts w:ascii="Book Antiqua" w:hAnsi="Book Antiqua"/>
          <w:sz w:val="24"/>
          <w:szCs w:val="24"/>
        </w:rPr>
        <w:t xml:space="preserve">therapeutic </w:t>
      </w:r>
      <w:r w:rsidRPr="00A903DD">
        <w:rPr>
          <w:rFonts w:ascii="Book Antiqua" w:hAnsi="Book Antiqua"/>
          <w:sz w:val="24"/>
          <w:szCs w:val="24"/>
        </w:rPr>
        <w:t>indications beyond thromboprophylaxis for THA.</w:t>
      </w:r>
      <w:r w:rsidR="00362BFE" w:rsidRPr="00A903DD">
        <w:rPr>
          <w:rFonts w:ascii="Book Antiqua" w:hAnsi="Book Antiqua"/>
          <w:sz w:val="24"/>
          <w:szCs w:val="24"/>
        </w:rPr>
        <w:t xml:space="preserve">  </w:t>
      </w:r>
      <w:r w:rsidR="00683B6E" w:rsidRPr="00A903DD">
        <w:rPr>
          <w:rFonts w:ascii="Book Antiqua" w:hAnsi="Book Antiqua"/>
          <w:sz w:val="24"/>
          <w:szCs w:val="24"/>
        </w:rPr>
        <w:t>Dabigatran</w:t>
      </w:r>
      <w:r w:rsidR="00A754FB" w:rsidRPr="00A903DD">
        <w:rPr>
          <w:rFonts w:ascii="Book Antiqua" w:hAnsi="Book Antiqua"/>
          <w:sz w:val="24"/>
          <w:szCs w:val="24"/>
        </w:rPr>
        <w:t xml:space="preserve"> </w:t>
      </w:r>
      <w:r w:rsidR="00D0426A" w:rsidRPr="00A903DD">
        <w:rPr>
          <w:rFonts w:ascii="Book Antiqua" w:hAnsi="Book Antiqua"/>
          <w:sz w:val="24"/>
          <w:szCs w:val="24"/>
        </w:rPr>
        <w:t xml:space="preserve">was originally </w:t>
      </w:r>
      <w:r w:rsidR="00683B6E" w:rsidRPr="00A903DD">
        <w:rPr>
          <w:rFonts w:ascii="Book Antiqua" w:hAnsi="Book Antiqua"/>
          <w:sz w:val="24"/>
          <w:szCs w:val="24"/>
        </w:rPr>
        <w:t xml:space="preserve">approved in the </w:t>
      </w:r>
      <w:r w:rsidR="003C75F4">
        <w:rPr>
          <w:rFonts w:ascii="Book Antiqua" w:hAnsi="Book Antiqua"/>
          <w:sz w:val="24"/>
          <w:szCs w:val="24"/>
        </w:rPr>
        <w:t>United States</w:t>
      </w:r>
      <w:r w:rsidR="00683B6E" w:rsidRPr="00A903DD">
        <w:rPr>
          <w:rFonts w:ascii="Book Antiqua" w:hAnsi="Book Antiqua"/>
          <w:sz w:val="24"/>
          <w:szCs w:val="24"/>
        </w:rPr>
        <w:t xml:space="preserve"> </w:t>
      </w:r>
      <w:r w:rsidR="00A83F94" w:rsidRPr="00A903DD">
        <w:rPr>
          <w:rFonts w:ascii="Book Antiqua" w:hAnsi="Book Antiqua"/>
          <w:sz w:val="24"/>
          <w:szCs w:val="24"/>
        </w:rPr>
        <w:t>by the Food and Drug Administration (FDA)</w:t>
      </w:r>
      <w:r w:rsidR="00A754FB" w:rsidRPr="00A903DD">
        <w:rPr>
          <w:rFonts w:ascii="Book Antiqua" w:hAnsi="Book Antiqua"/>
          <w:sz w:val="24"/>
          <w:szCs w:val="24"/>
        </w:rPr>
        <w:t xml:space="preserve"> </w:t>
      </w:r>
      <w:r w:rsidR="00683B6E" w:rsidRPr="00A903DD">
        <w:rPr>
          <w:rFonts w:ascii="Book Antiqua" w:hAnsi="Book Antiqua"/>
          <w:sz w:val="24"/>
          <w:szCs w:val="24"/>
        </w:rPr>
        <w:t>in 2010 for the prevention of stroke in patients with non-valvular atrial fibrillation</w:t>
      </w:r>
      <w:r w:rsidR="00A20F3D" w:rsidRPr="00A903DD">
        <w:rPr>
          <w:rFonts w:ascii="Book Antiqua" w:hAnsi="Book Antiqua"/>
          <w:sz w:val="24"/>
          <w:szCs w:val="24"/>
        </w:rPr>
        <w:t xml:space="preserve"> and </w:t>
      </w:r>
      <w:r w:rsidR="00157337" w:rsidRPr="00A903DD">
        <w:rPr>
          <w:rFonts w:ascii="Book Antiqua" w:hAnsi="Book Antiqua"/>
          <w:sz w:val="24"/>
          <w:szCs w:val="24"/>
        </w:rPr>
        <w:t xml:space="preserve">again </w:t>
      </w:r>
      <w:r w:rsidR="00A20F3D" w:rsidRPr="00A903DD">
        <w:rPr>
          <w:rFonts w:ascii="Book Antiqua" w:hAnsi="Book Antiqua"/>
          <w:sz w:val="24"/>
          <w:szCs w:val="24"/>
        </w:rPr>
        <w:t xml:space="preserve">in 2014 for the treatment and secondary prevention of </w:t>
      </w:r>
      <w:proofErr w:type="gramStart"/>
      <w:r w:rsidR="00A20F3D" w:rsidRPr="00A903DD">
        <w:rPr>
          <w:rFonts w:ascii="Book Antiqua" w:hAnsi="Book Antiqua"/>
          <w:sz w:val="24"/>
          <w:szCs w:val="24"/>
        </w:rPr>
        <w:t>VTE</w:t>
      </w:r>
      <w:r w:rsidR="00B95B8D" w:rsidRPr="00A903DD">
        <w:rPr>
          <w:rFonts w:ascii="Book Antiqua" w:hAnsi="Book Antiqua"/>
          <w:sz w:val="24"/>
          <w:szCs w:val="24"/>
          <w:vertAlign w:val="superscript"/>
        </w:rPr>
        <w:t>[</w:t>
      </w:r>
      <w:proofErr w:type="gramEnd"/>
      <w:r w:rsidR="00B95B8D" w:rsidRPr="00A903DD">
        <w:rPr>
          <w:rFonts w:ascii="Book Antiqua" w:hAnsi="Book Antiqua"/>
          <w:sz w:val="24"/>
          <w:szCs w:val="24"/>
          <w:vertAlign w:val="superscript"/>
        </w:rPr>
        <w:t>16]</w:t>
      </w:r>
      <w:r w:rsidR="00B87109" w:rsidRPr="00A903DD">
        <w:rPr>
          <w:rFonts w:ascii="Book Antiqua" w:hAnsi="Book Antiqua"/>
          <w:sz w:val="24"/>
          <w:szCs w:val="24"/>
        </w:rPr>
        <w:t>.</w:t>
      </w:r>
      <w:r w:rsidR="00394311" w:rsidRPr="00A903DD">
        <w:rPr>
          <w:rFonts w:ascii="Book Antiqua" w:hAnsi="Book Antiqua"/>
          <w:sz w:val="24"/>
          <w:szCs w:val="24"/>
        </w:rPr>
        <w:t xml:space="preserve"> </w:t>
      </w:r>
      <w:r w:rsidR="00683B6E" w:rsidRPr="00A903DD">
        <w:rPr>
          <w:rFonts w:ascii="Book Antiqua" w:hAnsi="Book Antiqua"/>
          <w:sz w:val="24"/>
          <w:szCs w:val="24"/>
        </w:rPr>
        <w:t xml:space="preserve">It </w:t>
      </w:r>
      <w:r w:rsidR="00394311" w:rsidRPr="00A903DD">
        <w:rPr>
          <w:rFonts w:ascii="Book Antiqua" w:hAnsi="Book Antiqua"/>
          <w:sz w:val="24"/>
          <w:szCs w:val="24"/>
        </w:rPr>
        <w:t>currently is</w:t>
      </w:r>
      <w:r w:rsidR="002F38D6" w:rsidRPr="00A903DD">
        <w:rPr>
          <w:rFonts w:ascii="Book Antiqua" w:hAnsi="Book Antiqua"/>
          <w:sz w:val="24"/>
          <w:szCs w:val="24"/>
        </w:rPr>
        <w:t xml:space="preserve"> </w:t>
      </w:r>
      <w:r w:rsidR="00683B6E" w:rsidRPr="00A903DD">
        <w:rPr>
          <w:rFonts w:ascii="Book Antiqua" w:hAnsi="Book Antiqua"/>
          <w:sz w:val="24"/>
          <w:szCs w:val="24"/>
        </w:rPr>
        <w:t xml:space="preserve">approved in Europe and Canada, and used off-label in the </w:t>
      </w:r>
      <w:r w:rsidR="003C75F4">
        <w:rPr>
          <w:rFonts w:ascii="Book Antiqua" w:hAnsi="Book Antiqua"/>
          <w:sz w:val="24"/>
          <w:szCs w:val="24"/>
        </w:rPr>
        <w:t>United States</w:t>
      </w:r>
      <w:r w:rsidR="00683B6E" w:rsidRPr="00A903DD">
        <w:rPr>
          <w:rFonts w:ascii="Book Antiqua" w:hAnsi="Book Antiqua"/>
          <w:sz w:val="24"/>
          <w:szCs w:val="24"/>
        </w:rPr>
        <w:t xml:space="preserve"> for </w:t>
      </w:r>
      <w:r w:rsidR="00A83F94" w:rsidRPr="00A903DD">
        <w:rPr>
          <w:rFonts w:ascii="Book Antiqua" w:hAnsi="Book Antiqua"/>
          <w:sz w:val="24"/>
          <w:szCs w:val="24"/>
        </w:rPr>
        <w:t>thromboprophylaxis</w:t>
      </w:r>
      <w:r w:rsidR="00683B6E" w:rsidRPr="00A903DD">
        <w:rPr>
          <w:rFonts w:ascii="Book Antiqua" w:hAnsi="Book Antiqua"/>
          <w:sz w:val="24"/>
          <w:szCs w:val="24"/>
        </w:rPr>
        <w:t xml:space="preserve"> </w:t>
      </w:r>
      <w:r w:rsidR="00A83F94" w:rsidRPr="00A903DD">
        <w:rPr>
          <w:rFonts w:ascii="Book Antiqua" w:hAnsi="Book Antiqua"/>
          <w:sz w:val="24"/>
          <w:szCs w:val="24"/>
        </w:rPr>
        <w:t xml:space="preserve">of orthopedic surgery including </w:t>
      </w:r>
      <w:proofErr w:type="gramStart"/>
      <w:r w:rsidR="0056455C" w:rsidRPr="00A903DD">
        <w:rPr>
          <w:rFonts w:ascii="Book Antiqua" w:hAnsi="Book Antiqua"/>
          <w:sz w:val="24"/>
          <w:szCs w:val="24"/>
        </w:rPr>
        <w:t>THA</w:t>
      </w:r>
      <w:r w:rsidR="00B95B8D" w:rsidRPr="00A903DD">
        <w:rPr>
          <w:rFonts w:ascii="Book Antiqua" w:hAnsi="Book Antiqua"/>
          <w:sz w:val="24"/>
          <w:szCs w:val="24"/>
          <w:vertAlign w:val="superscript"/>
        </w:rPr>
        <w:t>[</w:t>
      </w:r>
      <w:proofErr w:type="gramEnd"/>
      <w:r w:rsidR="00B95B8D" w:rsidRPr="00A903DD">
        <w:rPr>
          <w:rFonts w:ascii="Book Antiqua" w:hAnsi="Book Antiqua"/>
          <w:sz w:val="24"/>
          <w:szCs w:val="24"/>
          <w:vertAlign w:val="superscript"/>
        </w:rPr>
        <w:t>17]</w:t>
      </w:r>
      <w:r w:rsidR="00B87109" w:rsidRPr="00A903DD">
        <w:rPr>
          <w:rFonts w:ascii="Book Antiqua" w:hAnsi="Book Antiqua"/>
          <w:sz w:val="24"/>
          <w:szCs w:val="24"/>
        </w:rPr>
        <w:t>.</w:t>
      </w:r>
      <w:r w:rsidR="00157337" w:rsidRPr="00A903DD">
        <w:rPr>
          <w:rFonts w:ascii="Book Antiqua" w:hAnsi="Book Antiqua"/>
          <w:sz w:val="24"/>
          <w:szCs w:val="24"/>
        </w:rPr>
        <w:t xml:space="preserve"> </w:t>
      </w:r>
      <w:r w:rsidR="00394311" w:rsidRPr="00A903DD">
        <w:rPr>
          <w:rFonts w:ascii="Book Antiqua" w:hAnsi="Book Antiqua"/>
          <w:sz w:val="24"/>
          <w:szCs w:val="24"/>
        </w:rPr>
        <w:t xml:space="preserve">Rivaroxaban is approved in the </w:t>
      </w:r>
      <w:r w:rsidR="003C75F4">
        <w:rPr>
          <w:rFonts w:ascii="Book Antiqua" w:hAnsi="Book Antiqua"/>
          <w:sz w:val="24"/>
          <w:szCs w:val="24"/>
        </w:rPr>
        <w:t>United States</w:t>
      </w:r>
      <w:r w:rsidR="003C75F4">
        <w:rPr>
          <w:rFonts w:ascii="Book Antiqua" w:hAnsi="Book Antiqua" w:hint="eastAsia"/>
          <w:sz w:val="24"/>
          <w:szCs w:val="24"/>
          <w:lang w:eastAsia="zh-CN"/>
        </w:rPr>
        <w:t xml:space="preserve"> </w:t>
      </w:r>
      <w:r w:rsidR="00394311" w:rsidRPr="00A903DD">
        <w:rPr>
          <w:rFonts w:ascii="Book Antiqua" w:hAnsi="Book Antiqua"/>
          <w:sz w:val="24"/>
          <w:szCs w:val="24"/>
        </w:rPr>
        <w:t>for thro</w:t>
      </w:r>
      <w:r w:rsidR="00A83F94" w:rsidRPr="00A903DD">
        <w:rPr>
          <w:rFonts w:ascii="Book Antiqua" w:hAnsi="Book Antiqua"/>
          <w:sz w:val="24"/>
          <w:szCs w:val="24"/>
        </w:rPr>
        <w:t>mboprophylaxis in orthopedic surgery</w:t>
      </w:r>
      <w:r w:rsidR="00F62365" w:rsidRPr="00A903DD">
        <w:rPr>
          <w:rFonts w:ascii="Book Antiqua" w:hAnsi="Book Antiqua"/>
          <w:sz w:val="24"/>
          <w:szCs w:val="24"/>
        </w:rPr>
        <w:t xml:space="preserve">, </w:t>
      </w:r>
      <w:r w:rsidR="00A20F3D" w:rsidRPr="00A903DD">
        <w:rPr>
          <w:rFonts w:ascii="Book Antiqua" w:hAnsi="Book Antiqua"/>
          <w:sz w:val="24"/>
          <w:szCs w:val="24"/>
        </w:rPr>
        <w:t xml:space="preserve">as well </w:t>
      </w:r>
      <w:proofErr w:type="gramStart"/>
      <w:r w:rsidR="00A20F3D" w:rsidRPr="00A903DD">
        <w:rPr>
          <w:rFonts w:ascii="Book Antiqua" w:hAnsi="Book Antiqua"/>
          <w:sz w:val="24"/>
          <w:szCs w:val="24"/>
        </w:rPr>
        <w:t xml:space="preserve">as </w:t>
      </w:r>
      <w:r w:rsidR="00A754FB" w:rsidRPr="00A903DD">
        <w:rPr>
          <w:rFonts w:ascii="Book Antiqua" w:hAnsi="Book Antiqua"/>
          <w:sz w:val="24"/>
          <w:szCs w:val="24"/>
        </w:rPr>
        <w:t xml:space="preserve"> treatment</w:t>
      </w:r>
      <w:proofErr w:type="gramEnd"/>
      <w:r w:rsidR="00A754FB" w:rsidRPr="00A903DD">
        <w:rPr>
          <w:rFonts w:ascii="Book Antiqua" w:hAnsi="Book Antiqua"/>
          <w:sz w:val="24"/>
          <w:szCs w:val="24"/>
        </w:rPr>
        <w:t xml:space="preserve"> of VTE and </w:t>
      </w:r>
      <w:r w:rsidR="00394311" w:rsidRPr="00A903DD">
        <w:rPr>
          <w:rFonts w:ascii="Book Antiqua" w:hAnsi="Book Antiqua"/>
          <w:sz w:val="24"/>
          <w:szCs w:val="24"/>
        </w:rPr>
        <w:t>for stroke prevention in patients with n</w:t>
      </w:r>
      <w:r w:rsidR="00B87109" w:rsidRPr="00A903DD">
        <w:rPr>
          <w:rFonts w:ascii="Book Antiqua" w:hAnsi="Book Antiqua"/>
          <w:sz w:val="24"/>
          <w:szCs w:val="24"/>
        </w:rPr>
        <w:t>on-valvular atrial fibrillation</w:t>
      </w:r>
      <w:r w:rsidR="003C75F4">
        <w:rPr>
          <w:rFonts w:ascii="Book Antiqua" w:hAnsi="Book Antiqua"/>
          <w:sz w:val="24"/>
          <w:szCs w:val="24"/>
          <w:vertAlign w:val="superscript"/>
        </w:rPr>
        <w:t>[18</w:t>
      </w:r>
      <w:r w:rsidR="003C75F4">
        <w:rPr>
          <w:rFonts w:ascii="Book Antiqua" w:hAnsi="Book Antiqua" w:hint="eastAsia"/>
          <w:sz w:val="24"/>
          <w:szCs w:val="24"/>
          <w:vertAlign w:val="superscript"/>
          <w:lang w:eastAsia="zh-CN"/>
        </w:rPr>
        <w:t>,</w:t>
      </w:r>
      <w:r w:rsidR="00B95B8D" w:rsidRPr="00A903DD">
        <w:rPr>
          <w:rFonts w:ascii="Book Antiqua" w:hAnsi="Book Antiqua"/>
          <w:sz w:val="24"/>
          <w:szCs w:val="24"/>
          <w:vertAlign w:val="superscript"/>
        </w:rPr>
        <w:t>19]</w:t>
      </w:r>
      <w:r w:rsidR="00B87109" w:rsidRPr="00A903DD">
        <w:rPr>
          <w:rFonts w:ascii="Book Antiqua" w:hAnsi="Book Antiqua"/>
          <w:sz w:val="24"/>
          <w:szCs w:val="24"/>
        </w:rPr>
        <w:t>.</w:t>
      </w:r>
      <w:r w:rsidR="00394311" w:rsidRPr="00A903DD">
        <w:rPr>
          <w:rFonts w:ascii="Book Antiqua" w:hAnsi="Book Antiqua"/>
          <w:sz w:val="24"/>
          <w:szCs w:val="24"/>
        </w:rPr>
        <w:t xml:space="preserve"> </w:t>
      </w:r>
      <w:r w:rsidR="00A83F94" w:rsidRPr="00A903DD">
        <w:rPr>
          <w:rFonts w:ascii="Book Antiqua" w:hAnsi="Book Antiqua"/>
          <w:sz w:val="24"/>
          <w:szCs w:val="24"/>
        </w:rPr>
        <w:t>Apixaban is indicated for thromboprophylaxis after orthopedic surgery by the European Medicine Agency (EMA)</w:t>
      </w:r>
      <w:r w:rsidR="00A20F3D" w:rsidRPr="00A903DD">
        <w:rPr>
          <w:rFonts w:ascii="Book Antiqua" w:hAnsi="Book Antiqua"/>
          <w:sz w:val="24"/>
          <w:szCs w:val="24"/>
        </w:rPr>
        <w:t xml:space="preserve"> and mo</w:t>
      </w:r>
      <w:r w:rsidR="00187CBE" w:rsidRPr="00A903DD">
        <w:rPr>
          <w:rFonts w:ascii="Book Antiqua" w:hAnsi="Book Antiqua"/>
          <w:sz w:val="24"/>
          <w:szCs w:val="24"/>
        </w:rPr>
        <w:t>re</w:t>
      </w:r>
      <w:r w:rsidR="00A20F3D" w:rsidRPr="00A903DD">
        <w:rPr>
          <w:rFonts w:ascii="Book Antiqua" w:hAnsi="Book Antiqua"/>
          <w:sz w:val="24"/>
          <w:szCs w:val="24"/>
        </w:rPr>
        <w:t xml:space="preserve"> recently the FDA in 2014,</w:t>
      </w:r>
      <w:r w:rsidR="00A83F94" w:rsidRPr="00A903DD">
        <w:rPr>
          <w:rFonts w:ascii="Book Antiqua" w:hAnsi="Book Antiqua"/>
          <w:sz w:val="24"/>
          <w:szCs w:val="24"/>
        </w:rPr>
        <w:t xml:space="preserve"> and for the prevention of stroke and systemic embolism in patients </w:t>
      </w:r>
      <w:r w:rsidR="00A83F94" w:rsidRPr="00A903DD">
        <w:rPr>
          <w:rFonts w:ascii="Book Antiqua" w:hAnsi="Book Antiqua"/>
          <w:sz w:val="24"/>
          <w:szCs w:val="24"/>
        </w:rPr>
        <w:lastRenderedPageBreak/>
        <w:t xml:space="preserve">with nonvalvular atrial </w:t>
      </w:r>
      <w:r w:rsidR="00B87109" w:rsidRPr="00A903DD">
        <w:rPr>
          <w:rFonts w:ascii="Book Antiqua" w:hAnsi="Book Antiqua"/>
          <w:sz w:val="24"/>
          <w:szCs w:val="24"/>
        </w:rPr>
        <w:t xml:space="preserve">fibrillation by the FDA and </w:t>
      </w:r>
      <w:proofErr w:type="gramStart"/>
      <w:r w:rsidR="00B87109" w:rsidRPr="00A903DD">
        <w:rPr>
          <w:rFonts w:ascii="Book Antiqua" w:hAnsi="Book Antiqua"/>
          <w:sz w:val="24"/>
          <w:szCs w:val="24"/>
        </w:rPr>
        <w:t>EMA</w:t>
      </w:r>
      <w:r w:rsidR="00A83F94" w:rsidRPr="00A903DD">
        <w:rPr>
          <w:rFonts w:ascii="Book Antiqua" w:hAnsi="Book Antiqua"/>
          <w:sz w:val="24"/>
          <w:szCs w:val="24"/>
          <w:vertAlign w:val="superscript"/>
        </w:rPr>
        <w:t>[</w:t>
      </w:r>
      <w:proofErr w:type="gramEnd"/>
      <w:r w:rsidR="00B95B8D" w:rsidRPr="00A903DD">
        <w:rPr>
          <w:rFonts w:ascii="Book Antiqua" w:hAnsi="Book Antiqua"/>
          <w:sz w:val="24"/>
          <w:szCs w:val="24"/>
          <w:vertAlign w:val="superscript"/>
        </w:rPr>
        <w:t>20,21</w:t>
      </w:r>
      <w:r w:rsidR="00A83F94" w:rsidRPr="00A903DD">
        <w:rPr>
          <w:rFonts w:ascii="Book Antiqua" w:hAnsi="Book Antiqua"/>
          <w:sz w:val="24"/>
          <w:szCs w:val="24"/>
          <w:vertAlign w:val="superscript"/>
        </w:rPr>
        <w:t>]</w:t>
      </w:r>
      <w:r w:rsidR="00B87109" w:rsidRPr="00A903DD">
        <w:rPr>
          <w:rFonts w:ascii="Book Antiqua" w:hAnsi="Book Antiqua"/>
          <w:sz w:val="24"/>
          <w:szCs w:val="24"/>
        </w:rPr>
        <w:t>.</w:t>
      </w:r>
      <w:r w:rsidR="003C75F4">
        <w:rPr>
          <w:rFonts w:ascii="Book Antiqua" w:hAnsi="Book Antiqua" w:hint="eastAsia"/>
          <w:sz w:val="24"/>
          <w:szCs w:val="24"/>
          <w:lang w:eastAsia="zh-CN"/>
        </w:rPr>
        <w:t xml:space="preserve"> </w:t>
      </w:r>
      <w:r w:rsidR="00340E8A" w:rsidRPr="00A903DD">
        <w:rPr>
          <w:rFonts w:ascii="Book Antiqua" w:hAnsi="Book Antiqua"/>
          <w:sz w:val="24"/>
          <w:szCs w:val="24"/>
        </w:rPr>
        <w:t>Edoxaban</w:t>
      </w:r>
      <w:r w:rsidR="00BA4B7E" w:rsidRPr="00A903DD">
        <w:rPr>
          <w:rFonts w:ascii="Book Antiqua" w:hAnsi="Book Antiqua"/>
          <w:sz w:val="24"/>
          <w:szCs w:val="24"/>
        </w:rPr>
        <w:t xml:space="preserve"> is approved in Japan for VTE thromboprophylaxis in major orthopedic surgery, and is under current investigation for other i</w:t>
      </w:r>
      <w:r w:rsidR="00B87109" w:rsidRPr="00A903DD">
        <w:rPr>
          <w:rFonts w:ascii="Book Antiqua" w:hAnsi="Book Antiqua"/>
          <w:sz w:val="24"/>
          <w:szCs w:val="24"/>
        </w:rPr>
        <w:t xml:space="preserve">ndications in several </w:t>
      </w:r>
      <w:proofErr w:type="gramStart"/>
      <w:r w:rsidR="00B87109" w:rsidRPr="00A903DD">
        <w:rPr>
          <w:rFonts w:ascii="Book Antiqua" w:hAnsi="Book Antiqua"/>
          <w:sz w:val="24"/>
          <w:szCs w:val="24"/>
        </w:rPr>
        <w:t>countries</w:t>
      </w:r>
      <w:r w:rsidR="00BA4B7E" w:rsidRPr="00A903DD">
        <w:rPr>
          <w:rFonts w:ascii="Book Antiqua" w:hAnsi="Book Antiqua"/>
          <w:sz w:val="24"/>
          <w:szCs w:val="24"/>
          <w:vertAlign w:val="superscript"/>
        </w:rPr>
        <w:t>[</w:t>
      </w:r>
      <w:proofErr w:type="gramEnd"/>
      <w:r w:rsidR="00BA4B7E" w:rsidRPr="00A903DD">
        <w:rPr>
          <w:rFonts w:ascii="Book Antiqua" w:hAnsi="Book Antiqua"/>
          <w:sz w:val="24"/>
          <w:szCs w:val="24"/>
          <w:vertAlign w:val="superscript"/>
        </w:rPr>
        <w:t>22-</w:t>
      </w:r>
      <w:r w:rsidR="00EC3BCB" w:rsidRPr="00A903DD">
        <w:rPr>
          <w:rFonts w:ascii="Book Antiqua" w:hAnsi="Book Antiqua"/>
          <w:sz w:val="24"/>
          <w:szCs w:val="24"/>
          <w:vertAlign w:val="superscript"/>
        </w:rPr>
        <w:t>2</w:t>
      </w:r>
      <w:r w:rsidR="005002CA" w:rsidRPr="00A903DD">
        <w:rPr>
          <w:rFonts w:ascii="Book Antiqua" w:hAnsi="Book Antiqua"/>
          <w:sz w:val="24"/>
          <w:szCs w:val="24"/>
          <w:vertAlign w:val="superscript"/>
        </w:rPr>
        <w:t>5</w:t>
      </w:r>
      <w:r w:rsidR="00BA4B7E" w:rsidRPr="00A903DD">
        <w:rPr>
          <w:rFonts w:ascii="Book Antiqua" w:hAnsi="Book Antiqua"/>
          <w:sz w:val="24"/>
          <w:szCs w:val="24"/>
          <w:vertAlign w:val="superscript"/>
        </w:rPr>
        <w:t>]</w:t>
      </w:r>
      <w:r w:rsidR="00B87109" w:rsidRPr="00A903DD">
        <w:rPr>
          <w:rFonts w:ascii="Book Antiqua" w:hAnsi="Book Antiqua"/>
          <w:sz w:val="24"/>
          <w:szCs w:val="24"/>
        </w:rPr>
        <w:t>.</w:t>
      </w:r>
      <w:r w:rsidR="003C75F4">
        <w:rPr>
          <w:rFonts w:ascii="Book Antiqua" w:hAnsi="Book Antiqua" w:hint="eastAsia"/>
          <w:sz w:val="24"/>
          <w:szCs w:val="24"/>
          <w:lang w:eastAsia="zh-CN"/>
        </w:rPr>
        <w:t xml:space="preserve"> </w:t>
      </w:r>
      <w:r w:rsidR="00E10966" w:rsidRPr="00A903DD">
        <w:rPr>
          <w:rFonts w:ascii="Book Antiqua" w:hAnsi="Book Antiqua"/>
          <w:sz w:val="24"/>
          <w:szCs w:val="24"/>
        </w:rPr>
        <w:t>Betrixaban is a</w:t>
      </w:r>
      <w:r w:rsidR="00956619" w:rsidRPr="00A903DD">
        <w:rPr>
          <w:rFonts w:ascii="Book Antiqua" w:hAnsi="Book Antiqua"/>
          <w:sz w:val="24"/>
          <w:szCs w:val="24"/>
        </w:rPr>
        <w:t xml:space="preserve"> fourth</w:t>
      </w:r>
      <w:r w:rsidR="00E10966" w:rsidRPr="00A903DD">
        <w:rPr>
          <w:rFonts w:ascii="Book Antiqua" w:hAnsi="Book Antiqua"/>
          <w:sz w:val="24"/>
          <w:szCs w:val="24"/>
        </w:rPr>
        <w:t xml:space="preserve"> FXa inhibitor that is currently under investigation fo</w:t>
      </w:r>
      <w:r w:rsidR="00B87109" w:rsidRPr="00A903DD">
        <w:rPr>
          <w:rFonts w:ascii="Book Antiqua" w:hAnsi="Book Antiqua"/>
          <w:sz w:val="24"/>
          <w:szCs w:val="24"/>
        </w:rPr>
        <w:t xml:space="preserve">r orthopedic </w:t>
      </w:r>
      <w:proofErr w:type="gramStart"/>
      <w:r w:rsidR="00B87109" w:rsidRPr="00A903DD">
        <w:rPr>
          <w:rFonts w:ascii="Book Antiqua" w:hAnsi="Book Antiqua"/>
          <w:sz w:val="24"/>
          <w:szCs w:val="24"/>
        </w:rPr>
        <w:t>thromboprophylaxis</w:t>
      </w:r>
      <w:r w:rsidR="00E10966" w:rsidRPr="00A903DD">
        <w:rPr>
          <w:rFonts w:ascii="Book Antiqua" w:hAnsi="Book Antiqua"/>
          <w:sz w:val="24"/>
          <w:szCs w:val="24"/>
          <w:vertAlign w:val="superscript"/>
        </w:rPr>
        <w:t>[</w:t>
      </w:r>
      <w:proofErr w:type="gramEnd"/>
      <w:r w:rsidR="00E10966" w:rsidRPr="00A903DD">
        <w:rPr>
          <w:rFonts w:ascii="Book Antiqua" w:hAnsi="Book Antiqua"/>
          <w:sz w:val="24"/>
          <w:szCs w:val="24"/>
          <w:vertAlign w:val="superscript"/>
        </w:rPr>
        <w:t>2</w:t>
      </w:r>
      <w:r w:rsidR="005002CA" w:rsidRPr="00A903DD">
        <w:rPr>
          <w:rFonts w:ascii="Book Antiqua" w:hAnsi="Book Antiqua"/>
          <w:sz w:val="24"/>
          <w:szCs w:val="24"/>
          <w:vertAlign w:val="superscript"/>
        </w:rPr>
        <w:t>6</w:t>
      </w:r>
      <w:r w:rsidR="00E10966" w:rsidRPr="00A903DD">
        <w:rPr>
          <w:rFonts w:ascii="Book Antiqua" w:hAnsi="Book Antiqua"/>
          <w:sz w:val="24"/>
          <w:szCs w:val="24"/>
          <w:vertAlign w:val="superscript"/>
        </w:rPr>
        <w:t>]</w:t>
      </w:r>
      <w:r w:rsidR="00B87109" w:rsidRPr="00A903DD">
        <w:rPr>
          <w:rFonts w:ascii="Book Antiqua" w:hAnsi="Book Antiqua"/>
          <w:sz w:val="24"/>
          <w:szCs w:val="24"/>
        </w:rPr>
        <w:t>.</w:t>
      </w:r>
      <w:r w:rsidR="00E10966" w:rsidRPr="00A903DD">
        <w:rPr>
          <w:rFonts w:ascii="Book Antiqua" w:hAnsi="Book Antiqua"/>
          <w:sz w:val="24"/>
          <w:szCs w:val="24"/>
        </w:rPr>
        <w:t xml:space="preserve"> </w:t>
      </w:r>
      <w:r w:rsidR="00FA2EB3" w:rsidRPr="00A903DD">
        <w:rPr>
          <w:rFonts w:ascii="Book Antiqua" w:hAnsi="Book Antiqua"/>
          <w:sz w:val="24"/>
          <w:szCs w:val="24"/>
        </w:rPr>
        <w:t xml:space="preserve">It is important to note that the recommended dosage for each of the drugs varies according to the treatment indication and that the recommended dosage for </w:t>
      </w:r>
      <w:r w:rsidR="00362BFE" w:rsidRPr="00A903DD">
        <w:rPr>
          <w:rFonts w:ascii="Book Antiqua" w:hAnsi="Book Antiqua"/>
          <w:sz w:val="24"/>
          <w:szCs w:val="24"/>
        </w:rPr>
        <w:t xml:space="preserve">orthopedic </w:t>
      </w:r>
      <w:r w:rsidR="00FA2EB3" w:rsidRPr="00A903DD">
        <w:rPr>
          <w:rFonts w:ascii="Book Antiqua" w:hAnsi="Book Antiqua"/>
          <w:sz w:val="24"/>
          <w:szCs w:val="24"/>
        </w:rPr>
        <w:t>thromboprophylaxis is lower than that used for</w:t>
      </w:r>
      <w:r w:rsidR="00B723F0" w:rsidRPr="00A903DD">
        <w:rPr>
          <w:rFonts w:ascii="Book Antiqua" w:hAnsi="Book Antiqua"/>
          <w:sz w:val="24"/>
          <w:szCs w:val="24"/>
        </w:rPr>
        <w:t xml:space="preserve"> VTE</w:t>
      </w:r>
      <w:r w:rsidR="00FA2EB3" w:rsidRPr="00A903DD">
        <w:rPr>
          <w:rFonts w:ascii="Book Antiqua" w:hAnsi="Book Antiqua"/>
          <w:sz w:val="24"/>
          <w:szCs w:val="24"/>
        </w:rPr>
        <w:t xml:space="preserve"> treatment or stroke prophylaxis in </w:t>
      </w:r>
      <w:r w:rsidR="00E10966" w:rsidRPr="00A903DD">
        <w:rPr>
          <w:rFonts w:ascii="Book Antiqua" w:hAnsi="Book Antiqua"/>
          <w:sz w:val="24"/>
          <w:szCs w:val="24"/>
        </w:rPr>
        <w:t xml:space="preserve">patients with </w:t>
      </w:r>
      <w:r w:rsidR="00FA2EB3" w:rsidRPr="00A903DD">
        <w:rPr>
          <w:rFonts w:ascii="Book Antiqua" w:hAnsi="Book Antiqua"/>
          <w:sz w:val="24"/>
          <w:szCs w:val="24"/>
        </w:rPr>
        <w:t>atrial fibrillation.</w:t>
      </w:r>
    </w:p>
    <w:p w:rsidR="00964E7D" w:rsidRPr="00A903DD" w:rsidRDefault="00116763" w:rsidP="003C75F4">
      <w:pPr>
        <w:spacing w:after="0" w:line="360" w:lineRule="auto"/>
        <w:ind w:firstLineChars="100" w:firstLine="240"/>
        <w:jc w:val="both"/>
        <w:rPr>
          <w:rFonts w:ascii="Book Antiqua" w:hAnsi="Book Antiqua"/>
          <w:sz w:val="24"/>
          <w:szCs w:val="24"/>
          <w:lang w:eastAsia="zh-CN"/>
        </w:rPr>
      </w:pPr>
      <w:r w:rsidRPr="00A903DD">
        <w:rPr>
          <w:rFonts w:ascii="Book Antiqua" w:hAnsi="Book Antiqua"/>
          <w:sz w:val="24"/>
          <w:szCs w:val="24"/>
        </w:rPr>
        <w:t>Dabigatran directly</w:t>
      </w:r>
      <w:r w:rsidR="00904A44" w:rsidRPr="00A903DD">
        <w:rPr>
          <w:rFonts w:ascii="Book Antiqua" w:hAnsi="Book Antiqua"/>
          <w:sz w:val="24"/>
          <w:szCs w:val="24"/>
        </w:rPr>
        <w:t xml:space="preserve"> binds to </w:t>
      </w:r>
      <w:r w:rsidR="00775AE9" w:rsidRPr="00A903DD">
        <w:rPr>
          <w:rFonts w:ascii="Book Antiqua" w:hAnsi="Book Antiqua"/>
          <w:sz w:val="24"/>
          <w:szCs w:val="24"/>
        </w:rPr>
        <w:t xml:space="preserve">the </w:t>
      </w:r>
      <w:r w:rsidR="00904A44" w:rsidRPr="00A903DD">
        <w:rPr>
          <w:rFonts w:ascii="Book Antiqua" w:hAnsi="Book Antiqua"/>
          <w:sz w:val="24"/>
          <w:szCs w:val="24"/>
        </w:rPr>
        <w:t xml:space="preserve">active catalytic site </w:t>
      </w:r>
      <w:r w:rsidR="00775AE9" w:rsidRPr="00A903DD">
        <w:rPr>
          <w:rFonts w:ascii="Book Antiqua" w:hAnsi="Book Antiqua"/>
          <w:sz w:val="24"/>
          <w:szCs w:val="24"/>
        </w:rPr>
        <w:t xml:space="preserve">and </w:t>
      </w:r>
      <w:r w:rsidR="00033A71" w:rsidRPr="00A903DD">
        <w:rPr>
          <w:rFonts w:ascii="Book Antiqua" w:hAnsi="Book Antiqua"/>
          <w:sz w:val="24"/>
          <w:szCs w:val="24"/>
        </w:rPr>
        <w:t>reversibly</w:t>
      </w:r>
      <w:r w:rsidRPr="00A903DD">
        <w:rPr>
          <w:rFonts w:ascii="Book Antiqua" w:hAnsi="Book Antiqua"/>
          <w:sz w:val="24"/>
          <w:szCs w:val="24"/>
        </w:rPr>
        <w:t xml:space="preserve"> inhibits </w:t>
      </w:r>
      <w:r w:rsidR="00033A71" w:rsidRPr="00A903DD">
        <w:rPr>
          <w:rFonts w:ascii="Book Antiqua" w:hAnsi="Book Antiqua"/>
          <w:sz w:val="24"/>
          <w:szCs w:val="24"/>
        </w:rPr>
        <w:t>both free and clot-</w:t>
      </w:r>
      <w:r w:rsidRPr="00A903DD">
        <w:rPr>
          <w:rFonts w:ascii="Book Antiqua" w:hAnsi="Book Antiqua"/>
          <w:sz w:val="24"/>
          <w:szCs w:val="24"/>
        </w:rPr>
        <w:t>bound thrombin</w:t>
      </w:r>
      <w:r w:rsidR="00914C02" w:rsidRPr="00A903DD">
        <w:rPr>
          <w:rFonts w:ascii="Book Antiqua" w:hAnsi="Book Antiqua"/>
          <w:sz w:val="24"/>
          <w:szCs w:val="24"/>
        </w:rPr>
        <w:t xml:space="preserve">.  </w:t>
      </w:r>
      <w:r w:rsidR="00775AE9" w:rsidRPr="00A903DD">
        <w:rPr>
          <w:rFonts w:ascii="Book Antiqua" w:hAnsi="Book Antiqua"/>
          <w:sz w:val="24"/>
          <w:szCs w:val="24"/>
        </w:rPr>
        <w:t xml:space="preserve">Inhibition of thrombin </w:t>
      </w:r>
      <w:r w:rsidR="00033A71" w:rsidRPr="00A903DD">
        <w:rPr>
          <w:rFonts w:ascii="Book Antiqua" w:hAnsi="Book Antiqua"/>
          <w:sz w:val="24"/>
          <w:szCs w:val="24"/>
        </w:rPr>
        <w:t>disabl</w:t>
      </w:r>
      <w:r w:rsidR="00904A44" w:rsidRPr="00A903DD">
        <w:rPr>
          <w:rFonts w:ascii="Book Antiqua" w:hAnsi="Book Antiqua"/>
          <w:sz w:val="24"/>
          <w:szCs w:val="24"/>
        </w:rPr>
        <w:t>es</w:t>
      </w:r>
      <w:r w:rsidR="00914C02" w:rsidRPr="00A903DD">
        <w:rPr>
          <w:rFonts w:ascii="Book Antiqua" w:hAnsi="Book Antiqua"/>
          <w:sz w:val="24"/>
          <w:szCs w:val="24"/>
        </w:rPr>
        <w:t xml:space="preserve"> </w:t>
      </w:r>
      <w:r w:rsidR="00033A71" w:rsidRPr="00A903DD">
        <w:rPr>
          <w:rFonts w:ascii="Book Antiqua" w:hAnsi="Book Antiqua"/>
          <w:sz w:val="24"/>
          <w:szCs w:val="24"/>
        </w:rPr>
        <w:t>conversion of fibrinogen to fibrin</w:t>
      </w:r>
      <w:r w:rsidR="00362BFE" w:rsidRPr="00A903DD">
        <w:rPr>
          <w:rFonts w:ascii="Book Antiqua" w:hAnsi="Book Antiqua"/>
          <w:sz w:val="24"/>
          <w:szCs w:val="24"/>
        </w:rPr>
        <w:t>,</w:t>
      </w:r>
      <w:r w:rsidR="00775AE9" w:rsidRPr="00A903DD">
        <w:rPr>
          <w:rFonts w:ascii="Book Antiqua" w:hAnsi="Book Antiqua"/>
          <w:sz w:val="24"/>
          <w:szCs w:val="24"/>
        </w:rPr>
        <w:t xml:space="preserve"> </w:t>
      </w:r>
      <w:r w:rsidR="00904A44" w:rsidRPr="00A903DD">
        <w:rPr>
          <w:rFonts w:ascii="Book Antiqua" w:hAnsi="Book Antiqua"/>
          <w:sz w:val="24"/>
          <w:szCs w:val="24"/>
        </w:rPr>
        <w:t>inhibits activation of factors V,</w:t>
      </w:r>
      <w:r w:rsidR="0046392D" w:rsidRPr="00A903DD">
        <w:rPr>
          <w:rFonts w:ascii="Book Antiqua" w:hAnsi="Book Antiqua"/>
          <w:sz w:val="24"/>
          <w:szCs w:val="24"/>
        </w:rPr>
        <w:t xml:space="preserve"> </w:t>
      </w:r>
      <w:r w:rsidR="00904A44" w:rsidRPr="00A903DD">
        <w:rPr>
          <w:rFonts w:ascii="Book Antiqua" w:hAnsi="Book Antiqua"/>
          <w:sz w:val="24"/>
          <w:szCs w:val="24"/>
        </w:rPr>
        <w:t xml:space="preserve">VIII, </w:t>
      </w:r>
      <w:r w:rsidR="002A0244" w:rsidRPr="00A903DD">
        <w:rPr>
          <w:rFonts w:ascii="Book Antiqua" w:hAnsi="Book Antiqua"/>
          <w:sz w:val="24"/>
          <w:szCs w:val="24"/>
        </w:rPr>
        <w:t xml:space="preserve">XI </w:t>
      </w:r>
      <w:r w:rsidR="00362BFE" w:rsidRPr="00A903DD">
        <w:rPr>
          <w:rFonts w:ascii="Book Antiqua" w:hAnsi="Book Antiqua"/>
          <w:sz w:val="24"/>
          <w:szCs w:val="24"/>
        </w:rPr>
        <w:t xml:space="preserve">(factors </w:t>
      </w:r>
      <w:r w:rsidR="002A0244" w:rsidRPr="00A903DD">
        <w:rPr>
          <w:rFonts w:ascii="Book Antiqua" w:hAnsi="Book Antiqua"/>
          <w:sz w:val="24"/>
          <w:szCs w:val="24"/>
        </w:rPr>
        <w:t xml:space="preserve">that </w:t>
      </w:r>
      <w:r w:rsidR="00775AE9" w:rsidRPr="00A903DD">
        <w:rPr>
          <w:rFonts w:ascii="Book Antiqua" w:hAnsi="Book Antiqua"/>
          <w:sz w:val="24"/>
          <w:szCs w:val="24"/>
        </w:rPr>
        <w:t xml:space="preserve">further </w:t>
      </w:r>
      <w:r w:rsidR="002A0244" w:rsidRPr="00A903DD">
        <w:rPr>
          <w:rFonts w:ascii="Book Antiqua" w:hAnsi="Book Antiqua"/>
          <w:sz w:val="24"/>
          <w:szCs w:val="24"/>
        </w:rPr>
        <w:t>promote thrombin generation</w:t>
      </w:r>
      <w:r w:rsidR="00362BFE" w:rsidRPr="00A903DD">
        <w:rPr>
          <w:rFonts w:ascii="Book Antiqua" w:hAnsi="Book Antiqua"/>
          <w:sz w:val="24"/>
          <w:szCs w:val="24"/>
        </w:rPr>
        <w:t>)</w:t>
      </w:r>
      <w:r w:rsidR="002A0244" w:rsidRPr="00A903DD">
        <w:rPr>
          <w:rFonts w:ascii="Book Antiqua" w:hAnsi="Book Antiqua"/>
          <w:sz w:val="24"/>
          <w:szCs w:val="24"/>
        </w:rPr>
        <w:t xml:space="preserve">, and </w:t>
      </w:r>
      <w:r w:rsidR="00775AE9" w:rsidRPr="00A903DD">
        <w:rPr>
          <w:rFonts w:ascii="Book Antiqua" w:hAnsi="Book Antiqua"/>
          <w:sz w:val="24"/>
          <w:szCs w:val="24"/>
        </w:rPr>
        <w:t xml:space="preserve">inhibits </w:t>
      </w:r>
      <w:r w:rsidR="002A0244" w:rsidRPr="00A903DD">
        <w:rPr>
          <w:rFonts w:ascii="Book Antiqua" w:hAnsi="Book Antiqua"/>
          <w:sz w:val="24"/>
          <w:szCs w:val="24"/>
        </w:rPr>
        <w:t>factor XIII that promotes clot</w:t>
      </w:r>
      <w:r w:rsidR="00775AE9" w:rsidRPr="00A903DD">
        <w:rPr>
          <w:rFonts w:ascii="Book Antiqua" w:hAnsi="Book Antiqua"/>
          <w:sz w:val="24"/>
          <w:szCs w:val="24"/>
        </w:rPr>
        <w:t xml:space="preserve"> </w:t>
      </w:r>
      <w:proofErr w:type="gramStart"/>
      <w:r w:rsidR="00775AE9" w:rsidRPr="00A903DD">
        <w:rPr>
          <w:rFonts w:ascii="Book Antiqua" w:hAnsi="Book Antiqua"/>
          <w:sz w:val="24"/>
          <w:szCs w:val="24"/>
        </w:rPr>
        <w:t>stab</w:t>
      </w:r>
      <w:r w:rsidR="00AF6478" w:rsidRPr="00A903DD">
        <w:rPr>
          <w:rFonts w:ascii="Book Antiqua" w:hAnsi="Book Antiqua"/>
          <w:sz w:val="24"/>
          <w:szCs w:val="24"/>
        </w:rPr>
        <w:t>i</w:t>
      </w:r>
      <w:r w:rsidR="00775AE9" w:rsidRPr="00A903DD">
        <w:rPr>
          <w:rFonts w:ascii="Book Antiqua" w:hAnsi="Book Antiqua"/>
          <w:sz w:val="24"/>
          <w:szCs w:val="24"/>
        </w:rPr>
        <w:t>lization</w:t>
      </w:r>
      <w:r w:rsidR="00AF6478" w:rsidRPr="00A903DD">
        <w:rPr>
          <w:rFonts w:ascii="Book Antiqua" w:hAnsi="Book Antiqua"/>
          <w:sz w:val="24"/>
          <w:szCs w:val="24"/>
          <w:vertAlign w:val="superscript"/>
        </w:rPr>
        <w:t>[</w:t>
      </w:r>
      <w:proofErr w:type="gramEnd"/>
      <w:r w:rsidR="00AF6478" w:rsidRPr="00A903DD">
        <w:rPr>
          <w:rFonts w:ascii="Book Antiqua" w:hAnsi="Book Antiqua"/>
          <w:sz w:val="24"/>
          <w:szCs w:val="24"/>
          <w:vertAlign w:val="superscript"/>
        </w:rPr>
        <w:t>26-28]</w:t>
      </w:r>
      <w:r w:rsidR="00B87109" w:rsidRPr="00A903DD">
        <w:rPr>
          <w:rFonts w:ascii="Book Antiqua" w:hAnsi="Book Antiqua"/>
          <w:sz w:val="24"/>
          <w:szCs w:val="24"/>
        </w:rPr>
        <w:t>.</w:t>
      </w:r>
      <w:r w:rsidR="00033A71" w:rsidRPr="00A903DD">
        <w:rPr>
          <w:rFonts w:ascii="Book Antiqua" w:hAnsi="Book Antiqua"/>
          <w:sz w:val="24"/>
          <w:szCs w:val="24"/>
        </w:rPr>
        <w:t xml:space="preserve"> </w:t>
      </w:r>
      <w:r w:rsidRPr="00A903DD">
        <w:rPr>
          <w:rFonts w:ascii="Book Antiqua" w:hAnsi="Book Antiqua"/>
          <w:sz w:val="24"/>
          <w:szCs w:val="24"/>
        </w:rPr>
        <w:t>Rivaroxaban</w:t>
      </w:r>
      <w:r w:rsidR="002A0244" w:rsidRPr="00A903DD">
        <w:rPr>
          <w:rFonts w:ascii="Book Antiqua" w:hAnsi="Book Antiqua"/>
          <w:sz w:val="24"/>
          <w:szCs w:val="24"/>
        </w:rPr>
        <w:t>,</w:t>
      </w:r>
      <w:r w:rsidR="00914C02" w:rsidRPr="00A903DD">
        <w:rPr>
          <w:rFonts w:ascii="Book Antiqua" w:hAnsi="Book Antiqua"/>
          <w:sz w:val="24"/>
          <w:szCs w:val="24"/>
        </w:rPr>
        <w:t xml:space="preserve"> </w:t>
      </w:r>
      <w:r w:rsidRPr="00A903DD">
        <w:rPr>
          <w:rFonts w:ascii="Book Antiqua" w:hAnsi="Book Antiqua"/>
          <w:sz w:val="24"/>
          <w:szCs w:val="24"/>
        </w:rPr>
        <w:t>a</w:t>
      </w:r>
      <w:r w:rsidR="003A52A7" w:rsidRPr="00A903DD">
        <w:rPr>
          <w:rFonts w:ascii="Book Antiqua" w:hAnsi="Book Antiqua"/>
          <w:sz w:val="24"/>
          <w:szCs w:val="24"/>
        </w:rPr>
        <w:t>pixaban</w:t>
      </w:r>
      <w:r w:rsidR="002A0244" w:rsidRPr="00A903DD">
        <w:rPr>
          <w:rFonts w:ascii="Book Antiqua" w:hAnsi="Book Antiqua"/>
          <w:sz w:val="24"/>
          <w:szCs w:val="24"/>
        </w:rPr>
        <w:t>, and edoxaban</w:t>
      </w:r>
      <w:r w:rsidR="00775AE9" w:rsidRPr="00A903DD">
        <w:rPr>
          <w:rFonts w:ascii="Book Antiqua" w:hAnsi="Book Antiqua"/>
          <w:sz w:val="24"/>
          <w:szCs w:val="24"/>
        </w:rPr>
        <w:t xml:space="preserve"> </w:t>
      </w:r>
      <w:r w:rsidRPr="00A903DD">
        <w:rPr>
          <w:rFonts w:ascii="Book Antiqua" w:hAnsi="Book Antiqua"/>
          <w:sz w:val="24"/>
          <w:szCs w:val="24"/>
        </w:rPr>
        <w:t>directly inhibit</w:t>
      </w:r>
      <w:r w:rsidR="00033A71" w:rsidRPr="00A903DD">
        <w:rPr>
          <w:rFonts w:ascii="Book Antiqua" w:hAnsi="Book Antiqua"/>
          <w:sz w:val="24"/>
          <w:szCs w:val="24"/>
        </w:rPr>
        <w:t xml:space="preserve"> both free and clot-</w:t>
      </w:r>
      <w:r w:rsidRPr="00A903DD">
        <w:rPr>
          <w:rFonts w:ascii="Book Antiqua" w:hAnsi="Book Antiqua"/>
          <w:sz w:val="24"/>
          <w:szCs w:val="24"/>
        </w:rPr>
        <w:t>bound F</w:t>
      </w:r>
      <w:r w:rsidR="003A52A7" w:rsidRPr="00A903DD">
        <w:rPr>
          <w:rFonts w:ascii="Book Antiqua" w:hAnsi="Book Antiqua"/>
          <w:sz w:val="24"/>
          <w:szCs w:val="24"/>
        </w:rPr>
        <w:t>Xa, as well as prothrombinase activity.</w:t>
      </w:r>
      <w:r w:rsidR="00033A71" w:rsidRPr="00A903DD">
        <w:rPr>
          <w:rFonts w:ascii="Book Antiqua" w:hAnsi="Book Antiqua"/>
          <w:sz w:val="24"/>
          <w:szCs w:val="24"/>
        </w:rPr>
        <w:t xml:space="preserve"> </w:t>
      </w:r>
      <w:r w:rsidR="003A52A7" w:rsidRPr="00A903DD">
        <w:rPr>
          <w:rFonts w:ascii="Book Antiqua" w:hAnsi="Book Antiqua"/>
          <w:sz w:val="24"/>
          <w:szCs w:val="24"/>
        </w:rPr>
        <w:t xml:space="preserve"> </w:t>
      </w:r>
      <w:r w:rsidRPr="00A903DD">
        <w:rPr>
          <w:rFonts w:ascii="Book Antiqua" w:hAnsi="Book Antiqua"/>
          <w:sz w:val="24"/>
          <w:szCs w:val="24"/>
        </w:rPr>
        <w:t xml:space="preserve">Inhibition of FXa in turn prevents the </w:t>
      </w:r>
      <w:r w:rsidR="00AF6478" w:rsidRPr="00A903DD">
        <w:rPr>
          <w:rFonts w:ascii="Book Antiqua" w:hAnsi="Book Antiqua"/>
          <w:sz w:val="24"/>
          <w:szCs w:val="24"/>
        </w:rPr>
        <w:t xml:space="preserve">formation of thrombin.  </w:t>
      </w:r>
      <w:r w:rsidR="003A52A7" w:rsidRPr="00A903DD">
        <w:rPr>
          <w:rFonts w:ascii="Book Antiqua" w:hAnsi="Book Antiqua"/>
          <w:sz w:val="24"/>
          <w:szCs w:val="24"/>
        </w:rPr>
        <w:t xml:space="preserve">Platelet aggregation </w:t>
      </w:r>
      <w:r w:rsidR="00033A71" w:rsidRPr="00A903DD">
        <w:rPr>
          <w:rFonts w:ascii="Book Antiqua" w:hAnsi="Book Antiqua"/>
          <w:sz w:val="24"/>
          <w:szCs w:val="24"/>
        </w:rPr>
        <w:t>is directly inhibited by dabigatran and</w:t>
      </w:r>
      <w:r w:rsidR="003A52A7" w:rsidRPr="00A903DD">
        <w:rPr>
          <w:rFonts w:ascii="Book Antiqua" w:hAnsi="Book Antiqua"/>
          <w:sz w:val="24"/>
          <w:szCs w:val="24"/>
        </w:rPr>
        <w:t xml:space="preserve"> indirectly inhibited</w:t>
      </w:r>
      <w:r w:rsidR="00033A71" w:rsidRPr="00A903DD">
        <w:rPr>
          <w:rFonts w:ascii="Book Antiqua" w:hAnsi="Book Antiqua"/>
          <w:sz w:val="24"/>
          <w:szCs w:val="24"/>
        </w:rPr>
        <w:t xml:space="preserve"> by </w:t>
      </w:r>
      <w:r w:rsidR="002A0244" w:rsidRPr="00A903DD">
        <w:rPr>
          <w:rFonts w:ascii="Book Antiqua" w:hAnsi="Book Antiqua"/>
          <w:sz w:val="24"/>
          <w:szCs w:val="24"/>
        </w:rPr>
        <w:t>the FXa inhibitors</w:t>
      </w:r>
      <w:r w:rsidR="003A52A7" w:rsidRPr="00A903DD">
        <w:rPr>
          <w:rFonts w:ascii="Book Antiqua" w:hAnsi="Book Antiqua"/>
          <w:sz w:val="24"/>
          <w:szCs w:val="24"/>
        </w:rPr>
        <w:t xml:space="preserve"> due to</w:t>
      </w:r>
      <w:r w:rsidR="00033A71" w:rsidRPr="00A903DD">
        <w:rPr>
          <w:rFonts w:ascii="Book Antiqua" w:hAnsi="Book Antiqua"/>
          <w:sz w:val="24"/>
          <w:szCs w:val="24"/>
        </w:rPr>
        <w:t xml:space="preserve"> their</w:t>
      </w:r>
      <w:r w:rsidR="002A0244" w:rsidRPr="00A903DD">
        <w:rPr>
          <w:rFonts w:ascii="Book Antiqua" w:hAnsi="Book Antiqua"/>
          <w:sz w:val="24"/>
          <w:szCs w:val="24"/>
        </w:rPr>
        <w:t xml:space="preserve"> effects to </w:t>
      </w:r>
      <w:r w:rsidR="003A52A7" w:rsidRPr="00A903DD">
        <w:rPr>
          <w:rFonts w:ascii="Book Antiqua" w:hAnsi="Book Antiqua"/>
          <w:sz w:val="24"/>
          <w:szCs w:val="24"/>
        </w:rPr>
        <w:t>red</w:t>
      </w:r>
      <w:r w:rsidR="00E31FB3" w:rsidRPr="00A903DD">
        <w:rPr>
          <w:rFonts w:ascii="Book Antiqua" w:hAnsi="Book Antiqua"/>
          <w:sz w:val="24"/>
          <w:szCs w:val="24"/>
        </w:rPr>
        <w:t>uc</w:t>
      </w:r>
      <w:r w:rsidR="002A0244" w:rsidRPr="00A903DD">
        <w:rPr>
          <w:rFonts w:ascii="Book Antiqua" w:hAnsi="Book Antiqua"/>
          <w:sz w:val="24"/>
          <w:szCs w:val="24"/>
        </w:rPr>
        <w:t>e</w:t>
      </w:r>
      <w:r w:rsidR="00B87109" w:rsidRPr="00A903DD">
        <w:rPr>
          <w:rFonts w:ascii="Book Antiqua" w:hAnsi="Book Antiqua"/>
          <w:sz w:val="24"/>
          <w:szCs w:val="24"/>
        </w:rPr>
        <w:t xml:space="preserve"> thrombin </w:t>
      </w:r>
      <w:proofErr w:type="gramStart"/>
      <w:r w:rsidR="00B87109" w:rsidRPr="00A903DD">
        <w:rPr>
          <w:rFonts w:ascii="Book Antiqua" w:hAnsi="Book Antiqua"/>
          <w:sz w:val="24"/>
          <w:szCs w:val="24"/>
        </w:rPr>
        <w:t>production</w:t>
      </w:r>
      <w:r w:rsidR="00AF6478" w:rsidRPr="00A903DD">
        <w:rPr>
          <w:rFonts w:ascii="Book Antiqua" w:hAnsi="Book Antiqua"/>
          <w:sz w:val="24"/>
          <w:szCs w:val="24"/>
          <w:vertAlign w:val="superscript"/>
        </w:rPr>
        <w:t>[</w:t>
      </w:r>
      <w:proofErr w:type="gramEnd"/>
      <w:r w:rsidR="00E05E96" w:rsidRPr="00A903DD">
        <w:rPr>
          <w:rFonts w:ascii="Book Antiqua" w:hAnsi="Book Antiqua"/>
          <w:sz w:val="24"/>
          <w:szCs w:val="24"/>
          <w:vertAlign w:val="superscript"/>
        </w:rPr>
        <w:t>29-31</w:t>
      </w:r>
      <w:r w:rsidR="002A0244" w:rsidRPr="00A903DD">
        <w:rPr>
          <w:rFonts w:ascii="Book Antiqua" w:hAnsi="Book Antiqua"/>
          <w:sz w:val="24"/>
          <w:szCs w:val="24"/>
          <w:vertAlign w:val="superscript"/>
        </w:rPr>
        <w:t>]</w:t>
      </w:r>
      <w:r w:rsidR="00B87109" w:rsidRPr="00A903DD">
        <w:rPr>
          <w:rFonts w:ascii="Book Antiqua" w:hAnsi="Book Antiqua"/>
          <w:sz w:val="24"/>
          <w:szCs w:val="24"/>
        </w:rPr>
        <w:t xml:space="preserve"> </w:t>
      </w:r>
      <w:r w:rsidR="00956619" w:rsidRPr="00A903DD">
        <w:rPr>
          <w:rFonts w:ascii="Book Antiqua" w:hAnsi="Book Antiqua"/>
          <w:sz w:val="24"/>
          <w:szCs w:val="24"/>
        </w:rPr>
        <w:t>(Figure 1)</w:t>
      </w:r>
      <w:r w:rsidR="003C75F4">
        <w:rPr>
          <w:rFonts w:ascii="Book Antiqua" w:hAnsi="Book Antiqua" w:hint="eastAsia"/>
          <w:sz w:val="24"/>
          <w:szCs w:val="24"/>
          <w:lang w:eastAsia="zh-CN"/>
        </w:rPr>
        <w:t>.</w:t>
      </w:r>
    </w:p>
    <w:p w:rsidR="00444EF0" w:rsidRPr="00A903DD" w:rsidRDefault="00444EF0" w:rsidP="00A903DD">
      <w:pPr>
        <w:spacing w:after="0" w:line="360" w:lineRule="auto"/>
        <w:jc w:val="both"/>
        <w:rPr>
          <w:rFonts w:ascii="Book Antiqua" w:hAnsi="Book Antiqua"/>
          <w:sz w:val="24"/>
          <w:szCs w:val="24"/>
          <w:vertAlign w:val="superscript"/>
        </w:rPr>
      </w:pPr>
    </w:p>
    <w:p w:rsidR="00A83F94" w:rsidRPr="00A903DD" w:rsidRDefault="00A83F94" w:rsidP="00A903DD">
      <w:pPr>
        <w:spacing w:after="0" w:line="360" w:lineRule="auto"/>
        <w:jc w:val="both"/>
        <w:rPr>
          <w:rFonts w:ascii="Book Antiqua" w:hAnsi="Book Antiqua"/>
          <w:b/>
          <w:i/>
          <w:sz w:val="24"/>
          <w:szCs w:val="24"/>
        </w:rPr>
      </w:pPr>
      <w:r w:rsidRPr="00A903DD">
        <w:rPr>
          <w:rFonts w:ascii="Book Antiqua" w:hAnsi="Book Antiqua"/>
          <w:b/>
          <w:i/>
          <w:sz w:val="24"/>
          <w:szCs w:val="24"/>
        </w:rPr>
        <w:t>Pharmacokinetics and pharmacodynamics of the TSOAs</w:t>
      </w:r>
    </w:p>
    <w:p w:rsidR="00B27723" w:rsidRPr="00A903DD" w:rsidRDefault="00D842AE" w:rsidP="00A903DD">
      <w:pPr>
        <w:spacing w:after="0" w:line="360" w:lineRule="auto"/>
        <w:contextualSpacing/>
        <w:jc w:val="both"/>
        <w:rPr>
          <w:rFonts w:ascii="Book Antiqua" w:hAnsi="Book Antiqua"/>
          <w:sz w:val="24"/>
          <w:szCs w:val="24"/>
          <w:lang w:eastAsia="zh-CN"/>
        </w:rPr>
      </w:pPr>
      <w:r w:rsidRPr="00A903DD">
        <w:rPr>
          <w:rFonts w:ascii="Book Antiqua" w:hAnsi="Book Antiqua"/>
          <w:sz w:val="24"/>
          <w:szCs w:val="24"/>
        </w:rPr>
        <w:t>Because dabigatran is poorly absorbed after oral administration, the drug product is formulated as a pro-drug dabigatran etexilate that is rapidl</w:t>
      </w:r>
      <w:r w:rsidR="00B87109" w:rsidRPr="00A903DD">
        <w:rPr>
          <w:rFonts w:ascii="Book Antiqua" w:hAnsi="Book Antiqua"/>
          <w:sz w:val="24"/>
          <w:szCs w:val="24"/>
        </w:rPr>
        <w:t xml:space="preserve">y hydrolyzed to its active </w:t>
      </w:r>
      <w:proofErr w:type="gramStart"/>
      <w:r w:rsidR="00B87109" w:rsidRPr="00A903DD">
        <w:rPr>
          <w:rFonts w:ascii="Book Antiqua" w:hAnsi="Book Antiqua"/>
          <w:sz w:val="24"/>
          <w:szCs w:val="24"/>
        </w:rPr>
        <w:t>form</w:t>
      </w:r>
      <w:r w:rsidRPr="00A903DD">
        <w:rPr>
          <w:rFonts w:ascii="Book Antiqua" w:hAnsi="Book Antiqua"/>
          <w:sz w:val="24"/>
          <w:szCs w:val="24"/>
          <w:vertAlign w:val="superscript"/>
        </w:rPr>
        <w:t>[</w:t>
      </w:r>
      <w:proofErr w:type="gramEnd"/>
      <w:r w:rsidRPr="00A903DD">
        <w:rPr>
          <w:rFonts w:ascii="Book Antiqua" w:hAnsi="Book Antiqua"/>
          <w:sz w:val="24"/>
          <w:szCs w:val="24"/>
          <w:vertAlign w:val="superscript"/>
        </w:rPr>
        <w:t>16]</w:t>
      </w:r>
      <w:r w:rsidR="00B87109" w:rsidRPr="00A903DD">
        <w:rPr>
          <w:rFonts w:ascii="Book Antiqua" w:hAnsi="Book Antiqua"/>
          <w:sz w:val="24"/>
          <w:szCs w:val="24"/>
        </w:rPr>
        <w:t>.</w:t>
      </w:r>
      <w:r w:rsidR="003C75F4">
        <w:rPr>
          <w:rFonts w:ascii="Book Antiqua" w:hAnsi="Book Antiqua"/>
          <w:sz w:val="24"/>
          <w:szCs w:val="24"/>
        </w:rPr>
        <w:t xml:space="preserve"> </w:t>
      </w:r>
      <w:r w:rsidRPr="00A903DD">
        <w:rPr>
          <w:rFonts w:ascii="Book Antiqua" w:hAnsi="Book Antiqua"/>
          <w:sz w:val="24"/>
          <w:szCs w:val="24"/>
        </w:rPr>
        <w:t xml:space="preserve">Dabigatran undergoes hepatic glucouronidation to form 4 active acyl glucuronides, each accounting for &lt; 10% </w:t>
      </w:r>
      <w:r w:rsidR="003C75F4">
        <w:rPr>
          <w:rFonts w:ascii="Book Antiqua" w:hAnsi="Book Antiqua"/>
          <w:sz w:val="24"/>
          <w:szCs w:val="24"/>
        </w:rPr>
        <w:t xml:space="preserve">of total dabigatran in plasma. </w:t>
      </w:r>
      <w:r w:rsidR="00BC0374" w:rsidRPr="00A903DD">
        <w:rPr>
          <w:rFonts w:ascii="Book Antiqua" w:hAnsi="Book Antiqua"/>
          <w:sz w:val="24"/>
          <w:szCs w:val="24"/>
        </w:rPr>
        <w:t xml:space="preserve">Peak plasma </w:t>
      </w:r>
      <w:r w:rsidR="00841E8D" w:rsidRPr="00A903DD">
        <w:rPr>
          <w:rFonts w:ascii="Book Antiqua" w:hAnsi="Book Antiqua"/>
          <w:sz w:val="24"/>
          <w:szCs w:val="24"/>
        </w:rPr>
        <w:t xml:space="preserve">concentration </w:t>
      </w:r>
      <w:r w:rsidR="008B7F63" w:rsidRPr="00A903DD">
        <w:rPr>
          <w:rFonts w:ascii="Book Antiqua" w:hAnsi="Book Antiqua"/>
          <w:sz w:val="24"/>
          <w:szCs w:val="24"/>
        </w:rPr>
        <w:t>is</w:t>
      </w:r>
      <w:r w:rsidR="00841E8D" w:rsidRPr="00A903DD">
        <w:rPr>
          <w:rFonts w:ascii="Book Antiqua" w:hAnsi="Book Antiqua"/>
          <w:sz w:val="24"/>
          <w:szCs w:val="24"/>
        </w:rPr>
        <w:t xml:space="preserve"> seen in 1 h in a </w:t>
      </w:r>
      <w:r w:rsidR="00841E8D" w:rsidRPr="00A903DD">
        <w:rPr>
          <w:rFonts w:ascii="Book Antiqua" w:hAnsi="Book Antiqua"/>
          <w:sz w:val="24"/>
          <w:szCs w:val="24"/>
        </w:rPr>
        <w:lastRenderedPageBreak/>
        <w:t>fast</w:t>
      </w:r>
      <w:r w:rsidR="008B7F63" w:rsidRPr="00A903DD">
        <w:rPr>
          <w:rFonts w:ascii="Book Antiqua" w:hAnsi="Book Antiqua"/>
          <w:sz w:val="24"/>
          <w:szCs w:val="24"/>
        </w:rPr>
        <w:t>ing</w:t>
      </w:r>
      <w:r w:rsidR="00841E8D" w:rsidRPr="00A903DD">
        <w:rPr>
          <w:rFonts w:ascii="Book Antiqua" w:hAnsi="Book Antiqua"/>
          <w:sz w:val="24"/>
          <w:szCs w:val="24"/>
        </w:rPr>
        <w:t xml:space="preserve"> state but prolonged up to 3 h if administered with a meal high in fat.</w:t>
      </w:r>
      <w:r w:rsidR="00683B6E" w:rsidRPr="00A903DD">
        <w:rPr>
          <w:rFonts w:ascii="Book Antiqua" w:hAnsi="Book Antiqua"/>
          <w:sz w:val="24"/>
          <w:szCs w:val="24"/>
        </w:rPr>
        <w:t xml:space="preserve"> Once absorbed, dabigatran is </w:t>
      </w:r>
      <w:r w:rsidR="003C75F4">
        <w:rPr>
          <w:rFonts w:ascii="Book Antiqua" w:hAnsi="Book Antiqua"/>
          <w:sz w:val="24"/>
          <w:szCs w:val="24"/>
        </w:rPr>
        <w:t>only 35% plasma protein bound.</w:t>
      </w:r>
      <w:r w:rsidR="003C75F4">
        <w:rPr>
          <w:rFonts w:ascii="Book Antiqua" w:hAnsi="Book Antiqua" w:hint="eastAsia"/>
          <w:sz w:val="24"/>
          <w:szCs w:val="24"/>
          <w:lang w:eastAsia="zh-CN"/>
        </w:rPr>
        <w:t xml:space="preserve"> </w:t>
      </w:r>
      <w:r w:rsidR="00A83F94" w:rsidRPr="00A903DD">
        <w:rPr>
          <w:rFonts w:ascii="Book Antiqua" w:hAnsi="Book Antiqua"/>
          <w:sz w:val="24"/>
          <w:szCs w:val="24"/>
        </w:rPr>
        <w:t>Dabigatran primarily undergoes renal elimination and approximately 80% is excreted as unchanged acti</w:t>
      </w:r>
      <w:r w:rsidR="003C75F4">
        <w:rPr>
          <w:rFonts w:ascii="Book Antiqua" w:hAnsi="Book Antiqua"/>
          <w:sz w:val="24"/>
          <w:szCs w:val="24"/>
        </w:rPr>
        <w:t xml:space="preserve">ve drug. </w:t>
      </w:r>
      <w:r w:rsidR="008B7F63" w:rsidRPr="00A903DD">
        <w:rPr>
          <w:rFonts w:ascii="Book Antiqua" w:hAnsi="Book Antiqua"/>
          <w:sz w:val="24"/>
          <w:szCs w:val="24"/>
        </w:rPr>
        <w:t>As with all</w:t>
      </w:r>
      <w:r w:rsidR="00FA2EB3" w:rsidRPr="00A903DD">
        <w:rPr>
          <w:rFonts w:ascii="Book Antiqua" w:hAnsi="Book Antiqua"/>
          <w:sz w:val="24"/>
          <w:szCs w:val="24"/>
        </w:rPr>
        <w:t xml:space="preserve"> TSOAs, dabigatran’s </w:t>
      </w:r>
      <w:r w:rsidR="00683B6E" w:rsidRPr="00A903DD">
        <w:rPr>
          <w:rFonts w:ascii="Book Antiqua" w:hAnsi="Book Antiqua"/>
          <w:sz w:val="24"/>
          <w:szCs w:val="24"/>
        </w:rPr>
        <w:t xml:space="preserve">half-life </w:t>
      </w:r>
      <w:r w:rsidR="00FA2EB3" w:rsidRPr="00A903DD">
        <w:rPr>
          <w:rFonts w:ascii="Book Antiqua" w:hAnsi="Book Antiqua"/>
          <w:sz w:val="24"/>
          <w:szCs w:val="24"/>
        </w:rPr>
        <w:t>of</w:t>
      </w:r>
      <w:r w:rsidR="00683B6E" w:rsidRPr="00A903DD">
        <w:rPr>
          <w:rFonts w:ascii="Book Antiqua" w:hAnsi="Book Antiqua"/>
          <w:sz w:val="24"/>
          <w:szCs w:val="24"/>
        </w:rPr>
        <w:t xml:space="preserve"> 12–17 h in healthy adults </w:t>
      </w:r>
      <w:r w:rsidR="00FA2EB3" w:rsidRPr="00A903DD">
        <w:rPr>
          <w:rFonts w:ascii="Book Antiqua" w:hAnsi="Book Antiqua"/>
          <w:sz w:val="24"/>
          <w:szCs w:val="24"/>
        </w:rPr>
        <w:t>is much short</w:t>
      </w:r>
      <w:r w:rsidR="00B87109" w:rsidRPr="00A903DD">
        <w:rPr>
          <w:rFonts w:ascii="Book Antiqua" w:hAnsi="Book Antiqua"/>
          <w:sz w:val="24"/>
          <w:szCs w:val="24"/>
        </w:rPr>
        <w:t xml:space="preserve">er than that seen with </w:t>
      </w:r>
      <w:proofErr w:type="gramStart"/>
      <w:r w:rsidR="00B87109" w:rsidRPr="00A903DD">
        <w:rPr>
          <w:rFonts w:ascii="Book Antiqua" w:hAnsi="Book Antiqua"/>
          <w:sz w:val="24"/>
          <w:szCs w:val="24"/>
        </w:rPr>
        <w:t>warfarin</w:t>
      </w:r>
      <w:r w:rsidR="00B27723" w:rsidRPr="00A903DD">
        <w:rPr>
          <w:rFonts w:ascii="Book Antiqua" w:hAnsi="Book Antiqua"/>
          <w:sz w:val="24"/>
          <w:szCs w:val="24"/>
          <w:vertAlign w:val="superscript"/>
        </w:rPr>
        <w:t>[</w:t>
      </w:r>
      <w:proofErr w:type="gramEnd"/>
      <w:r w:rsidR="00B27723" w:rsidRPr="00A903DD">
        <w:rPr>
          <w:rFonts w:ascii="Book Antiqua" w:hAnsi="Book Antiqua"/>
          <w:sz w:val="24"/>
          <w:szCs w:val="24"/>
          <w:vertAlign w:val="superscript"/>
        </w:rPr>
        <w:t>32-35]</w:t>
      </w:r>
      <w:r w:rsidR="00B87109" w:rsidRPr="00A903DD">
        <w:rPr>
          <w:rFonts w:ascii="Book Antiqua" w:hAnsi="Book Antiqua"/>
          <w:sz w:val="24"/>
          <w:szCs w:val="24"/>
        </w:rPr>
        <w:t xml:space="preserve"> </w:t>
      </w:r>
      <w:r w:rsidR="00F347D6" w:rsidRPr="00A903DD">
        <w:rPr>
          <w:rFonts w:ascii="Book Antiqua" w:hAnsi="Book Antiqua"/>
          <w:sz w:val="24"/>
          <w:szCs w:val="24"/>
        </w:rPr>
        <w:t>(Table 1)</w:t>
      </w:r>
      <w:r w:rsidR="003C75F4">
        <w:rPr>
          <w:rFonts w:ascii="Book Antiqua" w:hAnsi="Book Antiqua" w:hint="eastAsia"/>
          <w:sz w:val="24"/>
          <w:szCs w:val="24"/>
          <w:lang w:eastAsia="zh-CN"/>
        </w:rPr>
        <w:t>.</w:t>
      </w:r>
    </w:p>
    <w:p w:rsidR="00B87109" w:rsidRPr="00A903DD" w:rsidRDefault="00D842AE" w:rsidP="003C75F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As would be expected, the half-life of dabigatran is prolonged to approximately 27-28 h in the presence of significant renal impairment, defined as a cr</w:t>
      </w:r>
      <w:r w:rsidR="0046392D" w:rsidRPr="00A903DD">
        <w:rPr>
          <w:rFonts w:ascii="Book Antiqua" w:hAnsi="Book Antiqua"/>
          <w:sz w:val="24"/>
          <w:szCs w:val="24"/>
        </w:rPr>
        <w:t xml:space="preserve">eatinine clearance (CrCl) of &lt; </w:t>
      </w:r>
      <w:r w:rsidR="00B87109" w:rsidRPr="00A903DD">
        <w:rPr>
          <w:rFonts w:ascii="Book Antiqua" w:hAnsi="Book Antiqua"/>
          <w:sz w:val="24"/>
          <w:szCs w:val="24"/>
        </w:rPr>
        <w:t>30 mL/</w:t>
      </w:r>
      <w:proofErr w:type="gramStart"/>
      <w:r w:rsidR="00B87109" w:rsidRPr="00A903DD">
        <w:rPr>
          <w:rFonts w:ascii="Book Antiqua" w:hAnsi="Book Antiqua"/>
          <w:sz w:val="24"/>
          <w:szCs w:val="24"/>
        </w:rPr>
        <w:t>min</w:t>
      </w:r>
      <w:r w:rsidRPr="00A903DD">
        <w:rPr>
          <w:rFonts w:ascii="Book Antiqua" w:hAnsi="Book Antiqua"/>
          <w:sz w:val="24"/>
          <w:szCs w:val="24"/>
          <w:vertAlign w:val="superscript"/>
        </w:rPr>
        <w:t>[</w:t>
      </w:r>
      <w:proofErr w:type="gramEnd"/>
      <w:r w:rsidRPr="00A903DD">
        <w:rPr>
          <w:rFonts w:ascii="Book Antiqua" w:hAnsi="Book Antiqua"/>
          <w:sz w:val="24"/>
          <w:szCs w:val="24"/>
          <w:vertAlign w:val="superscript"/>
        </w:rPr>
        <w:t>36]</w:t>
      </w:r>
      <w:r w:rsidR="00B87109" w:rsidRPr="00A903DD">
        <w:rPr>
          <w:rFonts w:ascii="Book Antiqua" w:hAnsi="Book Antiqua"/>
          <w:sz w:val="24"/>
          <w:szCs w:val="24"/>
        </w:rPr>
        <w:t>.</w:t>
      </w:r>
      <w:r w:rsidR="003C75F4">
        <w:rPr>
          <w:rFonts w:ascii="Book Antiqua" w:hAnsi="Book Antiqua"/>
          <w:sz w:val="24"/>
          <w:szCs w:val="24"/>
        </w:rPr>
        <w:t xml:space="preserve"> </w:t>
      </w:r>
      <w:r w:rsidRPr="00A903DD">
        <w:rPr>
          <w:rFonts w:ascii="Book Antiqua" w:hAnsi="Book Antiqua"/>
          <w:sz w:val="24"/>
          <w:szCs w:val="24"/>
        </w:rPr>
        <w:t>A dose reduction from 220 mg to 150 mg daily has been recommended for patients with moderate renal impairment (CrCl 30-50 m</w:t>
      </w:r>
      <w:r w:rsidR="00985904">
        <w:rPr>
          <w:rFonts w:ascii="Book Antiqua" w:hAnsi="Book Antiqua" w:hint="eastAsia"/>
          <w:sz w:val="24"/>
          <w:szCs w:val="24"/>
          <w:lang w:eastAsia="zh-CN"/>
        </w:rPr>
        <w:t>L</w:t>
      </w:r>
      <w:r w:rsidRPr="00A903DD">
        <w:rPr>
          <w:rFonts w:ascii="Book Antiqua" w:hAnsi="Book Antiqua"/>
          <w:sz w:val="24"/>
          <w:szCs w:val="24"/>
        </w:rPr>
        <w:t>/min) based on a post hoc analysis of phase III clinical</w:t>
      </w:r>
      <w:r w:rsidR="00B87109" w:rsidRPr="00A903DD">
        <w:rPr>
          <w:rFonts w:ascii="Book Antiqua" w:hAnsi="Book Antiqua"/>
          <w:sz w:val="24"/>
          <w:szCs w:val="24"/>
        </w:rPr>
        <w:t xml:space="preserve"> studies in orthopedic </w:t>
      </w:r>
      <w:proofErr w:type="gramStart"/>
      <w:r w:rsidR="00B87109" w:rsidRPr="00A903DD">
        <w:rPr>
          <w:rFonts w:ascii="Book Antiqua" w:hAnsi="Book Antiqua"/>
          <w:sz w:val="24"/>
          <w:szCs w:val="24"/>
        </w:rPr>
        <w:t>patients</w:t>
      </w:r>
      <w:r w:rsidRPr="00A903DD">
        <w:rPr>
          <w:rFonts w:ascii="Book Antiqua" w:hAnsi="Book Antiqua"/>
          <w:sz w:val="24"/>
          <w:szCs w:val="24"/>
          <w:vertAlign w:val="superscript"/>
        </w:rPr>
        <w:t>[</w:t>
      </w:r>
      <w:proofErr w:type="gramEnd"/>
      <w:r w:rsidRPr="00A903DD">
        <w:rPr>
          <w:rFonts w:ascii="Book Antiqua" w:hAnsi="Book Antiqua"/>
          <w:sz w:val="24"/>
          <w:szCs w:val="24"/>
          <w:vertAlign w:val="superscript"/>
        </w:rPr>
        <w:t>37]</w:t>
      </w:r>
      <w:r w:rsidR="00B87109" w:rsidRPr="00A903DD">
        <w:rPr>
          <w:rFonts w:ascii="Book Antiqua" w:hAnsi="Book Antiqua"/>
          <w:sz w:val="24"/>
          <w:szCs w:val="24"/>
        </w:rPr>
        <w:t>.</w:t>
      </w:r>
      <w:r w:rsidRPr="00A903DD">
        <w:rPr>
          <w:rFonts w:ascii="Book Antiqua" w:hAnsi="Book Antiqua"/>
          <w:sz w:val="24"/>
          <w:szCs w:val="24"/>
        </w:rPr>
        <w:t xml:space="preserve"> It has also been recommended to avoid use of dabigatran following THA in the case of severe renal impairment (CrCl &lt; 30 m</w:t>
      </w:r>
      <w:r w:rsidR="00985904">
        <w:rPr>
          <w:rFonts w:ascii="Book Antiqua" w:hAnsi="Book Antiqua" w:hint="eastAsia"/>
          <w:sz w:val="24"/>
          <w:szCs w:val="24"/>
          <w:lang w:eastAsia="zh-CN"/>
        </w:rPr>
        <w:t>L</w:t>
      </w:r>
      <w:r w:rsidRPr="00A903DD">
        <w:rPr>
          <w:rFonts w:ascii="Book Antiqua" w:hAnsi="Book Antiqua"/>
          <w:sz w:val="24"/>
          <w:szCs w:val="24"/>
        </w:rPr>
        <w:t>/min), although a reduced dose of 150 mg daily in two divided doses down to a CrCl of 15 m</w:t>
      </w:r>
      <w:r w:rsidR="00985904">
        <w:rPr>
          <w:rFonts w:ascii="Book Antiqua" w:hAnsi="Book Antiqua" w:hint="eastAsia"/>
          <w:sz w:val="24"/>
          <w:szCs w:val="24"/>
          <w:lang w:eastAsia="zh-CN"/>
        </w:rPr>
        <w:t>L</w:t>
      </w:r>
      <w:r w:rsidRPr="00A903DD">
        <w:rPr>
          <w:rFonts w:ascii="Book Antiqua" w:hAnsi="Book Antiqua"/>
          <w:sz w:val="24"/>
          <w:szCs w:val="24"/>
        </w:rPr>
        <w:t>/min has been approved for other therapeutic indications ba</w:t>
      </w:r>
      <w:r w:rsidR="00B87109" w:rsidRPr="00A903DD">
        <w:rPr>
          <w:rFonts w:ascii="Book Antiqua" w:hAnsi="Book Antiqua"/>
          <w:sz w:val="24"/>
          <w:szCs w:val="24"/>
        </w:rPr>
        <w:t xml:space="preserve">sed on pharmacokinetic </w:t>
      </w:r>
      <w:proofErr w:type="gramStart"/>
      <w:r w:rsidR="00B87109" w:rsidRPr="00A903DD">
        <w:rPr>
          <w:rFonts w:ascii="Book Antiqua" w:hAnsi="Book Antiqua"/>
          <w:sz w:val="24"/>
          <w:szCs w:val="24"/>
        </w:rPr>
        <w:t>analysis</w:t>
      </w:r>
      <w:r w:rsidRPr="00A903DD">
        <w:rPr>
          <w:rFonts w:ascii="Book Antiqua" w:hAnsi="Book Antiqua"/>
          <w:sz w:val="24"/>
          <w:szCs w:val="24"/>
          <w:vertAlign w:val="superscript"/>
        </w:rPr>
        <w:t>[</w:t>
      </w:r>
      <w:proofErr w:type="gramEnd"/>
      <w:r w:rsidRPr="00A903DD">
        <w:rPr>
          <w:rFonts w:ascii="Book Antiqua" w:hAnsi="Book Antiqua"/>
          <w:sz w:val="24"/>
          <w:szCs w:val="24"/>
          <w:vertAlign w:val="superscript"/>
        </w:rPr>
        <w:t>38]</w:t>
      </w:r>
      <w:r w:rsidR="00985904">
        <w:rPr>
          <w:rFonts w:ascii="Book Antiqua" w:hAnsi="Book Antiqua"/>
          <w:sz w:val="24"/>
          <w:szCs w:val="24"/>
        </w:rPr>
        <w:t>.</w:t>
      </w:r>
      <w:r w:rsidR="00985904">
        <w:rPr>
          <w:rFonts w:ascii="Book Antiqua" w:hAnsi="Book Antiqua" w:hint="eastAsia"/>
          <w:sz w:val="24"/>
          <w:szCs w:val="24"/>
          <w:lang w:eastAsia="zh-CN"/>
        </w:rPr>
        <w:t xml:space="preserve"> </w:t>
      </w:r>
      <w:r w:rsidRPr="00A903DD">
        <w:rPr>
          <w:rFonts w:ascii="Book Antiqua" w:hAnsi="Book Antiqua"/>
          <w:sz w:val="24"/>
          <w:szCs w:val="24"/>
        </w:rPr>
        <w:t xml:space="preserve">Additionally, due to its lack of CYP450 involvement, no dosing adjustment is necessary in </w:t>
      </w:r>
      <w:r w:rsidR="00B87109" w:rsidRPr="00A903DD">
        <w:rPr>
          <w:rFonts w:ascii="Book Antiqua" w:hAnsi="Book Antiqua"/>
          <w:sz w:val="24"/>
          <w:szCs w:val="24"/>
        </w:rPr>
        <w:t xml:space="preserve">the case of hepatic </w:t>
      </w:r>
      <w:proofErr w:type="gramStart"/>
      <w:r w:rsidR="00B87109" w:rsidRPr="00A903DD">
        <w:rPr>
          <w:rFonts w:ascii="Book Antiqua" w:hAnsi="Book Antiqua"/>
          <w:sz w:val="24"/>
          <w:szCs w:val="24"/>
        </w:rPr>
        <w:t>dysfunction</w:t>
      </w:r>
      <w:r w:rsidRPr="00A903DD">
        <w:rPr>
          <w:rFonts w:ascii="Book Antiqua" w:hAnsi="Book Antiqua"/>
          <w:sz w:val="24"/>
          <w:szCs w:val="24"/>
          <w:vertAlign w:val="superscript"/>
        </w:rPr>
        <w:t>[</w:t>
      </w:r>
      <w:proofErr w:type="gramEnd"/>
      <w:r w:rsidRPr="00A903DD">
        <w:rPr>
          <w:rFonts w:ascii="Book Antiqua" w:hAnsi="Book Antiqua"/>
          <w:sz w:val="24"/>
          <w:szCs w:val="24"/>
          <w:vertAlign w:val="superscript"/>
        </w:rPr>
        <w:t>16]</w:t>
      </w:r>
      <w:r w:rsidR="00B87109" w:rsidRPr="00A903DD">
        <w:rPr>
          <w:rFonts w:ascii="Book Antiqua" w:hAnsi="Book Antiqua"/>
          <w:sz w:val="24"/>
          <w:szCs w:val="24"/>
        </w:rPr>
        <w:t>.</w:t>
      </w:r>
    </w:p>
    <w:p w:rsidR="00B87109" w:rsidRPr="00A903DD" w:rsidRDefault="00C36AE1" w:rsidP="0098590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The pharmacokinetics of rivaroxaban have been described for t</w:t>
      </w:r>
      <w:r w:rsidR="00D0426A" w:rsidRPr="00A903DD">
        <w:rPr>
          <w:rFonts w:ascii="Book Antiqua" w:hAnsi="Book Antiqua"/>
          <w:sz w:val="24"/>
          <w:szCs w:val="24"/>
        </w:rPr>
        <w:t xml:space="preserve">he </w:t>
      </w:r>
      <w:r w:rsidRPr="00A903DD">
        <w:rPr>
          <w:rFonts w:ascii="Book Antiqua" w:hAnsi="Book Antiqua"/>
          <w:sz w:val="24"/>
          <w:szCs w:val="24"/>
        </w:rPr>
        <w:t xml:space="preserve">THA thromboprophylaxis </w:t>
      </w:r>
      <w:r w:rsidR="00C33677" w:rsidRPr="00A903DD">
        <w:rPr>
          <w:rFonts w:ascii="Book Antiqua" w:hAnsi="Book Antiqua"/>
          <w:sz w:val="24"/>
          <w:szCs w:val="24"/>
        </w:rPr>
        <w:t>dosage of 10</w:t>
      </w:r>
      <w:r w:rsidR="00E148C7" w:rsidRPr="00A903DD">
        <w:rPr>
          <w:rFonts w:ascii="Book Antiqua" w:hAnsi="Book Antiqua"/>
          <w:sz w:val="24"/>
          <w:szCs w:val="24"/>
        </w:rPr>
        <w:t xml:space="preserve"> </w:t>
      </w:r>
      <w:r w:rsidR="00C33677" w:rsidRPr="00A903DD">
        <w:rPr>
          <w:rFonts w:ascii="Book Antiqua" w:hAnsi="Book Antiqua"/>
          <w:sz w:val="24"/>
          <w:szCs w:val="24"/>
        </w:rPr>
        <w:t xml:space="preserve">mg </w:t>
      </w:r>
      <w:r w:rsidR="00D0426A" w:rsidRPr="00A903DD">
        <w:rPr>
          <w:rFonts w:ascii="Book Antiqua" w:hAnsi="Book Antiqua"/>
          <w:sz w:val="24"/>
          <w:szCs w:val="24"/>
        </w:rPr>
        <w:t xml:space="preserve">once </w:t>
      </w:r>
      <w:proofErr w:type="gramStart"/>
      <w:r w:rsidR="00D0426A" w:rsidRPr="00A903DD">
        <w:rPr>
          <w:rFonts w:ascii="Book Antiqua" w:hAnsi="Book Antiqua"/>
          <w:sz w:val="24"/>
          <w:szCs w:val="24"/>
        </w:rPr>
        <w:t>daily</w:t>
      </w:r>
      <w:r w:rsidR="00670AD5" w:rsidRPr="00A903DD">
        <w:rPr>
          <w:rFonts w:ascii="Book Antiqua" w:hAnsi="Book Antiqua"/>
          <w:sz w:val="24"/>
          <w:szCs w:val="24"/>
          <w:vertAlign w:val="superscript"/>
        </w:rPr>
        <w:t>[</w:t>
      </w:r>
      <w:proofErr w:type="gramEnd"/>
      <w:r w:rsidR="00C33677" w:rsidRPr="00A903DD">
        <w:rPr>
          <w:rFonts w:ascii="Book Antiqua" w:hAnsi="Book Antiqua"/>
          <w:sz w:val="24"/>
          <w:szCs w:val="24"/>
          <w:vertAlign w:val="superscript"/>
        </w:rPr>
        <w:t>18,</w:t>
      </w:r>
      <w:r w:rsidR="00670AD5" w:rsidRPr="00A903DD">
        <w:rPr>
          <w:rFonts w:ascii="Book Antiqua" w:hAnsi="Book Antiqua"/>
          <w:sz w:val="24"/>
          <w:szCs w:val="24"/>
          <w:vertAlign w:val="superscript"/>
        </w:rPr>
        <w:t>19</w:t>
      </w:r>
      <w:r w:rsidR="00C33677" w:rsidRPr="00A903DD">
        <w:rPr>
          <w:rFonts w:ascii="Book Antiqua" w:hAnsi="Book Antiqua"/>
          <w:sz w:val="24"/>
          <w:szCs w:val="24"/>
          <w:vertAlign w:val="superscript"/>
        </w:rPr>
        <w:t>,39,40</w:t>
      </w:r>
      <w:r w:rsidR="00670AD5" w:rsidRPr="00A903DD">
        <w:rPr>
          <w:rFonts w:ascii="Book Antiqua" w:hAnsi="Book Antiqua"/>
          <w:sz w:val="24"/>
          <w:szCs w:val="24"/>
          <w:vertAlign w:val="superscript"/>
        </w:rPr>
        <w:t>]</w:t>
      </w:r>
      <w:r w:rsidR="00B87109" w:rsidRPr="00A903DD">
        <w:rPr>
          <w:rFonts w:ascii="Book Antiqua" w:hAnsi="Book Antiqua"/>
          <w:sz w:val="24"/>
          <w:szCs w:val="24"/>
        </w:rPr>
        <w:t>.</w:t>
      </w:r>
      <w:r w:rsidRPr="00A903DD">
        <w:rPr>
          <w:rFonts w:ascii="Book Antiqua" w:hAnsi="Book Antiqua"/>
          <w:sz w:val="24"/>
          <w:szCs w:val="24"/>
        </w:rPr>
        <w:t xml:space="preserve"> </w:t>
      </w:r>
      <w:r w:rsidR="00C844C1" w:rsidRPr="00A903DD">
        <w:rPr>
          <w:rFonts w:ascii="Book Antiqua" w:hAnsi="Book Antiqua"/>
          <w:sz w:val="24"/>
          <w:szCs w:val="24"/>
        </w:rPr>
        <w:t>The drug is rapidly and nearly completely absorbed (</w:t>
      </w:r>
      <w:r w:rsidR="002241B2" w:rsidRPr="00A903DD">
        <w:rPr>
          <w:rFonts w:ascii="Book Antiqua" w:hAnsi="Book Antiqua"/>
          <w:sz w:val="24"/>
          <w:szCs w:val="24"/>
        </w:rPr>
        <w:t>80</w:t>
      </w:r>
      <w:r w:rsidR="00985904" w:rsidRPr="00A903DD">
        <w:rPr>
          <w:rFonts w:ascii="Book Antiqua" w:hAnsi="Book Antiqua"/>
          <w:sz w:val="24"/>
          <w:szCs w:val="24"/>
        </w:rPr>
        <w:t>%</w:t>
      </w:r>
      <w:r w:rsidR="002241B2" w:rsidRPr="00A903DD">
        <w:rPr>
          <w:rFonts w:ascii="Book Antiqua" w:hAnsi="Book Antiqua"/>
          <w:sz w:val="24"/>
          <w:szCs w:val="24"/>
        </w:rPr>
        <w:t>-100%</w:t>
      </w:r>
      <w:r w:rsidR="00C844C1" w:rsidRPr="00A903DD">
        <w:rPr>
          <w:rFonts w:ascii="Book Antiqua" w:hAnsi="Book Antiqua"/>
          <w:sz w:val="24"/>
          <w:szCs w:val="24"/>
        </w:rPr>
        <w:t>)</w:t>
      </w:r>
      <w:r w:rsidR="002241B2" w:rsidRPr="00A903DD">
        <w:rPr>
          <w:rFonts w:ascii="Book Antiqua" w:hAnsi="Book Antiqua"/>
          <w:sz w:val="24"/>
          <w:szCs w:val="24"/>
        </w:rPr>
        <w:t xml:space="preserve"> without regard to food</w:t>
      </w:r>
      <w:r w:rsidR="00C844C1" w:rsidRPr="00A903DD">
        <w:rPr>
          <w:rFonts w:ascii="Book Antiqua" w:hAnsi="Book Antiqua"/>
          <w:sz w:val="24"/>
          <w:szCs w:val="24"/>
        </w:rPr>
        <w:t xml:space="preserve">, with a peak </w:t>
      </w:r>
      <w:r w:rsidR="008B7F63" w:rsidRPr="00A903DD">
        <w:rPr>
          <w:rFonts w:ascii="Book Antiqua" w:hAnsi="Book Antiqua"/>
          <w:sz w:val="24"/>
          <w:szCs w:val="24"/>
        </w:rPr>
        <w:t>concentration</w:t>
      </w:r>
      <w:r w:rsidR="00C844C1" w:rsidRPr="00A903DD">
        <w:rPr>
          <w:rFonts w:ascii="Book Antiqua" w:hAnsi="Book Antiqua"/>
          <w:sz w:val="24"/>
          <w:szCs w:val="24"/>
        </w:rPr>
        <w:t xml:space="preserve"> seen in 2-4 h. </w:t>
      </w:r>
      <w:r w:rsidRPr="00A903DD">
        <w:rPr>
          <w:rFonts w:ascii="Book Antiqua" w:hAnsi="Book Antiqua"/>
          <w:sz w:val="24"/>
          <w:szCs w:val="24"/>
        </w:rPr>
        <w:t>Unlike dabigatran, the drug</w:t>
      </w:r>
      <w:r w:rsidR="002241B2" w:rsidRPr="00A903DD">
        <w:rPr>
          <w:rFonts w:ascii="Book Antiqua" w:hAnsi="Book Antiqua"/>
          <w:sz w:val="24"/>
          <w:szCs w:val="24"/>
        </w:rPr>
        <w:t xml:space="preserve"> is almost entirely protein bound</w:t>
      </w:r>
      <w:r w:rsidR="00C844C1" w:rsidRPr="00A903DD">
        <w:rPr>
          <w:rFonts w:ascii="Book Antiqua" w:hAnsi="Book Antiqua"/>
          <w:sz w:val="24"/>
          <w:szCs w:val="24"/>
        </w:rPr>
        <w:t xml:space="preserve"> (92</w:t>
      </w:r>
      <w:r w:rsidR="00985904" w:rsidRPr="00A903DD">
        <w:rPr>
          <w:rFonts w:ascii="Book Antiqua" w:hAnsi="Book Antiqua"/>
          <w:sz w:val="24"/>
          <w:szCs w:val="24"/>
        </w:rPr>
        <w:t>%</w:t>
      </w:r>
      <w:r w:rsidR="00C844C1" w:rsidRPr="00A903DD">
        <w:rPr>
          <w:rFonts w:ascii="Book Antiqua" w:hAnsi="Book Antiqua"/>
          <w:sz w:val="24"/>
          <w:szCs w:val="24"/>
        </w:rPr>
        <w:t>-95%)</w:t>
      </w:r>
      <w:r w:rsidR="00985904">
        <w:rPr>
          <w:rFonts w:ascii="Book Antiqua" w:hAnsi="Book Antiqua"/>
          <w:sz w:val="24"/>
          <w:szCs w:val="24"/>
        </w:rPr>
        <w:t xml:space="preserve">. </w:t>
      </w:r>
      <w:r w:rsidR="00CF1AA9" w:rsidRPr="00A903DD">
        <w:rPr>
          <w:rFonts w:ascii="Book Antiqua" w:hAnsi="Book Antiqua"/>
          <w:sz w:val="24"/>
          <w:szCs w:val="24"/>
        </w:rPr>
        <w:t xml:space="preserve">Approximately one-third of a rivaroxaban dose is eliminated unchanged through the kidneys while the remaining parent drug is metabolized </w:t>
      </w:r>
      <w:r w:rsidR="00CF1AA9" w:rsidRPr="00A903DD">
        <w:rPr>
          <w:rFonts w:ascii="Book Antiqua" w:hAnsi="Book Antiqua"/>
          <w:sz w:val="24"/>
          <w:szCs w:val="24"/>
        </w:rPr>
        <w:lastRenderedPageBreak/>
        <w:t xml:space="preserve">to inactive metabolites by </w:t>
      </w:r>
      <w:r w:rsidR="00EB6AC9" w:rsidRPr="00A903DD">
        <w:rPr>
          <w:rFonts w:ascii="Book Antiqua" w:hAnsi="Book Antiqua"/>
          <w:sz w:val="24"/>
          <w:szCs w:val="24"/>
        </w:rPr>
        <w:t xml:space="preserve">cytochrome P-450 (CYP450) isoenzymes </w:t>
      </w:r>
      <w:r w:rsidR="00CF1AA9" w:rsidRPr="00A903DD">
        <w:rPr>
          <w:rFonts w:ascii="Book Antiqua" w:hAnsi="Book Antiqua"/>
          <w:sz w:val="24"/>
          <w:szCs w:val="24"/>
        </w:rPr>
        <w:t xml:space="preserve">CYP3A4/5, and </w:t>
      </w:r>
      <w:r w:rsidR="00670AD5" w:rsidRPr="00A903DD">
        <w:rPr>
          <w:rFonts w:ascii="Book Antiqua" w:hAnsi="Book Antiqua"/>
          <w:sz w:val="24"/>
          <w:szCs w:val="24"/>
        </w:rPr>
        <w:t>CYP</w:t>
      </w:r>
      <w:r w:rsidR="00CF1AA9" w:rsidRPr="00A903DD">
        <w:rPr>
          <w:rFonts w:ascii="Book Antiqua" w:hAnsi="Book Antiqua"/>
          <w:sz w:val="24"/>
          <w:szCs w:val="24"/>
        </w:rPr>
        <w:t>2J2</w:t>
      </w:r>
      <w:r w:rsidR="00677919" w:rsidRPr="00A903DD">
        <w:rPr>
          <w:rFonts w:ascii="Book Antiqua" w:hAnsi="Book Antiqua"/>
          <w:sz w:val="24"/>
          <w:szCs w:val="24"/>
        </w:rPr>
        <w:t xml:space="preserve">.  </w:t>
      </w:r>
      <w:r w:rsidR="00CF1AA9" w:rsidRPr="00A903DD">
        <w:rPr>
          <w:rFonts w:ascii="Book Antiqua" w:hAnsi="Book Antiqua"/>
          <w:sz w:val="24"/>
          <w:szCs w:val="24"/>
        </w:rPr>
        <w:t xml:space="preserve">A half-life of 5-9 h </w:t>
      </w:r>
      <w:r w:rsidR="00037644" w:rsidRPr="00A903DD">
        <w:rPr>
          <w:rFonts w:ascii="Book Antiqua" w:hAnsi="Book Antiqua"/>
          <w:sz w:val="24"/>
          <w:szCs w:val="24"/>
        </w:rPr>
        <w:t>in healthy young adults (age 25–</w:t>
      </w:r>
      <w:r w:rsidR="00CF1AA9" w:rsidRPr="00A903DD">
        <w:rPr>
          <w:rFonts w:ascii="Book Antiqua" w:hAnsi="Book Antiqua"/>
          <w:sz w:val="24"/>
          <w:szCs w:val="24"/>
        </w:rPr>
        <w:t xml:space="preserve">45 years) is </w:t>
      </w:r>
      <w:r w:rsidR="00F347D6" w:rsidRPr="00A903DD">
        <w:rPr>
          <w:rFonts w:ascii="Book Antiqua" w:hAnsi="Book Antiqua"/>
          <w:sz w:val="24"/>
          <w:szCs w:val="24"/>
        </w:rPr>
        <w:t>prolonged</w:t>
      </w:r>
      <w:r w:rsidR="00CF1AA9" w:rsidRPr="00A903DD">
        <w:rPr>
          <w:rFonts w:ascii="Book Antiqua" w:hAnsi="Book Antiqua"/>
          <w:sz w:val="24"/>
          <w:szCs w:val="24"/>
        </w:rPr>
        <w:t xml:space="preserve"> to </w:t>
      </w:r>
      <w:r w:rsidR="00C33677" w:rsidRPr="00A903DD">
        <w:rPr>
          <w:rFonts w:ascii="Book Antiqua" w:hAnsi="Book Antiqua"/>
          <w:sz w:val="24"/>
          <w:szCs w:val="24"/>
        </w:rPr>
        <w:t>approximately 11-13</w:t>
      </w:r>
      <w:r w:rsidR="00CF1AA9" w:rsidRPr="00A903DD">
        <w:rPr>
          <w:rFonts w:ascii="Book Antiqua" w:hAnsi="Book Antiqua"/>
          <w:sz w:val="24"/>
          <w:szCs w:val="24"/>
        </w:rPr>
        <w:t xml:space="preserve"> </w:t>
      </w:r>
      <w:proofErr w:type="gramStart"/>
      <w:r w:rsidR="00B87109" w:rsidRPr="00A903DD">
        <w:rPr>
          <w:rFonts w:ascii="Book Antiqua" w:hAnsi="Book Antiqua"/>
          <w:sz w:val="24"/>
          <w:szCs w:val="24"/>
        </w:rPr>
        <w:t>h</w:t>
      </w:r>
      <w:r w:rsidR="00985904">
        <w:rPr>
          <w:rFonts w:ascii="Book Antiqua" w:hAnsi="Book Antiqua" w:hint="eastAsia"/>
          <w:sz w:val="24"/>
          <w:szCs w:val="24"/>
          <w:lang w:eastAsia="zh-CN"/>
        </w:rPr>
        <w:t xml:space="preserve"> </w:t>
      </w:r>
      <w:r w:rsidR="00B87109" w:rsidRPr="00A903DD">
        <w:rPr>
          <w:rFonts w:ascii="Book Antiqua" w:hAnsi="Book Antiqua"/>
          <w:sz w:val="24"/>
          <w:szCs w:val="24"/>
        </w:rPr>
        <w:t xml:space="preserve"> in</w:t>
      </w:r>
      <w:proofErr w:type="gramEnd"/>
      <w:r w:rsidR="00B87109" w:rsidRPr="00A903DD">
        <w:rPr>
          <w:rFonts w:ascii="Book Antiqua" w:hAnsi="Book Antiqua"/>
          <w:sz w:val="24"/>
          <w:szCs w:val="24"/>
        </w:rPr>
        <w:t xml:space="preserve"> the elderly population</w:t>
      </w:r>
      <w:r w:rsidR="00115D97" w:rsidRPr="00A903DD">
        <w:rPr>
          <w:rFonts w:ascii="Book Antiqua" w:hAnsi="Book Antiqua"/>
          <w:sz w:val="24"/>
          <w:szCs w:val="24"/>
          <w:vertAlign w:val="superscript"/>
        </w:rPr>
        <w:t>[</w:t>
      </w:r>
      <w:r w:rsidR="00C33677" w:rsidRPr="00A903DD">
        <w:rPr>
          <w:rFonts w:ascii="Book Antiqua" w:hAnsi="Book Antiqua"/>
          <w:sz w:val="24"/>
          <w:szCs w:val="24"/>
          <w:vertAlign w:val="superscript"/>
        </w:rPr>
        <w:t>18,19,</w:t>
      </w:r>
      <w:r w:rsidR="00115D97" w:rsidRPr="00A903DD">
        <w:rPr>
          <w:rFonts w:ascii="Book Antiqua" w:hAnsi="Book Antiqua"/>
          <w:sz w:val="24"/>
          <w:szCs w:val="24"/>
          <w:vertAlign w:val="superscript"/>
        </w:rPr>
        <w:t>2</w:t>
      </w:r>
      <w:r w:rsidR="00B87109" w:rsidRPr="00A903DD">
        <w:rPr>
          <w:rFonts w:ascii="Book Antiqua" w:hAnsi="Book Antiqua"/>
          <w:sz w:val="24"/>
          <w:szCs w:val="24"/>
          <w:vertAlign w:val="superscript"/>
        </w:rPr>
        <w:t>7]</w:t>
      </w:r>
      <w:r w:rsidR="00B87109" w:rsidRPr="00A903DD">
        <w:rPr>
          <w:rFonts w:ascii="Book Antiqua" w:hAnsi="Book Antiqua"/>
          <w:sz w:val="24"/>
          <w:szCs w:val="24"/>
        </w:rPr>
        <w:t>.</w:t>
      </w:r>
    </w:p>
    <w:p w:rsidR="00683B6E" w:rsidRPr="00A903DD" w:rsidRDefault="00115D97" w:rsidP="00985904">
      <w:pPr>
        <w:spacing w:after="0" w:line="360" w:lineRule="auto"/>
        <w:ind w:firstLineChars="100" w:firstLine="240"/>
        <w:contextualSpacing/>
        <w:jc w:val="both"/>
        <w:rPr>
          <w:rFonts w:ascii="Book Antiqua" w:hAnsi="Book Antiqua"/>
          <w:sz w:val="24"/>
          <w:szCs w:val="24"/>
          <w:vertAlign w:val="superscript"/>
        </w:rPr>
      </w:pPr>
      <w:r w:rsidRPr="00A903DD">
        <w:rPr>
          <w:rFonts w:ascii="Book Antiqua" w:hAnsi="Book Antiqua"/>
          <w:sz w:val="24"/>
          <w:szCs w:val="24"/>
        </w:rPr>
        <w:t>As noted, rivaroxaban concentrations may be increased in patients with moderate to</w:t>
      </w:r>
      <w:r w:rsidR="00985904">
        <w:rPr>
          <w:rFonts w:ascii="Book Antiqua" w:hAnsi="Book Antiqua"/>
          <w:sz w:val="24"/>
          <w:szCs w:val="24"/>
        </w:rPr>
        <w:t xml:space="preserve"> severe renal impairment. </w:t>
      </w:r>
      <w:r w:rsidRPr="00A903DD">
        <w:rPr>
          <w:rFonts w:ascii="Book Antiqua" w:hAnsi="Book Antiqua"/>
          <w:sz w:val="24"/>
          <w:szCs w:val="24"/>
        </w:rPr>
        <w:t xml:space="preserve">Based on outcomes from </w:t>
      </w:r>
      <w:r w:rsidR="00F13D4B" w:rsidRPr="00A903DD">
        <w:rPr>
          <w:rFonts w:ascii="Book Antiqua" w:hAnsi="Book Antiqua"/>
          <w:sz w:val="24"/>
          <w:szCs w:val="24"/>
        </w:rPr>
        <w:t>phase III</w:t>
      </w:r>
      <w:r w:rsidR="00322E30" w:rsidRPr="00A903DD">
        <w:rPr>
          <w:rFonts w:ascii="Book Antiqua" w:hAnsi="Book Antiqua"/>
          <w:sz w:val="24"/>
          <w:szCs w:val="24"/>
        </w:rPr>
        <w:t xml:space="preserve"> studies</w:t>
      </w:r>
      <w:r w:rsidRPr="00A903DD">
        <w:rPr>
          <w:rFonts w:ascii="Book Antiqua" w:hAnsi="Book Antiqua"/>
          <w:sz w:val="24"/>
          <w:szCs w:val="24"/>
        </w:rPr>
        <w:t>, no dosing adjustment is required in patients with moderate renal impairment (CrCl 30-50</w:t>
      </w:r>
      <w:r w:rsidR="00A035D1" w:rsidRPr="00A903DD">
        <w:rPr>
          <w:rFonts w:ascii="Book Antiqua" w:hAnsi="Book Antiqua"/>
          <w:sz w:val="24"/>
          <w:szCs w:val="24"/>
        </w:rPr>
        <w:t xml:space="preserve"> m</w:t>
      </w:r>
      <w:r w:rsidR="00985904">
        <w:rPr>
          <w:rFonts w:ascii="Book Antiqua" w:hAnsi="Book Antiqua" w:hint="eastAsia"/>
          <w:sz w:val="24"/>
          <w:szCs w:val="24"/>
          <w:lang w:eastAsia="zh-CN"/>
        </w:rPr>
        <w:t>L</w:t>
      </w:r>
      <w:r w:rsidR="00A035D1" w:rsidRPr="00A903DD">
        <w:rPr>
          <w:rFonts w:ascii="Book Antiqua" w:hAnsi="Book Antiqua"/>
          <w:sz w:val="24"/>
          <w:szCs w:val="24"/>
        </w:rPr>
        <w:t>/min</w:t>
      </w:r>
      <w:r w:rsidR="007170F0" w:rsidRPr="00A903DD">
        <w:rPr>
          <w:rFonts w:ascii="Book Antiqua" w:hAnsi="Book Antiqua"/>
          <w:sz w:val="24"/>
          <w:szCs w:val="24"/>
        </w:rPr>
        <w:t xml:space="preserve">).  </w:t>
      </w:r>
      <w:r w:rsidR="00322E30" w:rsidRPr="00A903DD">
        <w:rPr>
          <w:rFonts w:ascii="Book Antiqua" w:hAnsi="Book Antiqua"/>
          <w:sz w:val="24"/>
          <w:szCs w:val="24"/>
        </w:rPr>
        <w:t>In the case of severe renal impairment, rivaroxaban has been considered contraind</w:t>
      </w:r>
      <w:r w:rsidR="00E148C7" w:rsidRPr="00A903DD">
        <w:rPr>
          <w:rFonts w:ascii="Book Antiqua" w:hAnsi="Book Antiqua"/>
          <w:sz w:val="24"/>
          <w:szCs w:val="24"/>
        </w:rPr>
        <w:t xml:space="preserve">icated in the </w:t>
      </w:r>
      <w:r w:rsidR="00985904">
        <w:rPr>
          <w:rFonts w:ascii="Book Antiqua" w:hAnsi="Book Antiqua"/>
          <w:sz w:val="24"/>
          <w:szCs w:val="24"/>
        </w:rPr>
        <w:t>United States</w:t>
      </w:r>
      <w:r w:rsidR="00E148C7" w:rsidRPr="00A903DD">
        <w:rPr>
          <w:rFonts w:ascii="Book Antiqua" w:hAnsi="Book Antiqua"/>
          <w:sz w:val="24"/>
          <w:szCs w:val="24"/>
        </w:rPr>
        <w:t xml:space="preserve"> at a CrCl &lt; 30</w:t>
      </w:r>
      <w:r w:rsidR="00322E30" w:rsidRPr="00A903DD">
        <w:rPr>
          <w:rFonts w:ascii="Book Antiqua" w:hAnsi="Book Antiqua"/>
          <w:sz w:val="24"/>
          <w:szCs w:val="24"/>
        </w:rPr>
        <w:t>, and in Euro</w:t>
      </w:r>
      <w:r w:rsidR="00E148C7" w:rsidRPr="00A903DD">
        <w:rPr>
          <w:rFonts w:ascii="Book Antiqua" w:hAnsi="Book Antiqua"/>
          <w:sz w:val="24"/>
          <w:szCs w:val="24"/>
        </w:rPr>
        <w:t>pe at a CrCl &lt; 15</w:t>
      </w:r>
      <w:r w:rsidRPr="00A903DD">
        <w:rPr>
          <w:rFonts w:ascii="Book Antiqua" w:hAnsi="Book Antiqua"/>
          <w:sz w:val="24"/>
          <w:szCs w:val="24"/>
          <w:vertAlign w:val="superscript"/>
        </w:rPr>
        <w:t>[</w:t>
      </w:r>
      <w:r w:rsidR="00AB747A" w:rsidRPr="00A903DD">
        <w:rPr>
          <w:rFonts w:ascii="Book Antiqua" w:hAnsi="Book Antiqua"/>
          <w:sz w:val="24"/>
          <w:szCs w:val="24"/>
          <w:vertAlign w:val="superscript"/>
        </w:rPr>
        <w:t>18</w:t>
      </w:r>
      <w:proofErr w:type="gramStart"/>
      <w:r w:rsidR="00AB747A" w:rsidRPr="00A903DD">
        <w:rPr>
          <w:rFonts w:ascii="Book Antiqua" w:hAnsi="Book Antiqua"/>
          <w:sz w:val="24"/>
          <w:szCs w:val="24"/>
          <w:vertAlign w:val="superscript"/>
        </w:rPr>
        <w:t>,19</w:t>
      </w:r>
      <w:proofErr w:type="gramEnd"/>
      <w:r w:rsidRPr="00A903DD">
        <w:rPr>
          <w:rFonts w:ascii="Book Antiqua" w:hAnsi="Book Antiqua"/>
          <w:sz w:val="24"/>
          <w:szCs w:val="24"/>
          <w:vertAlign w:val="superscript"/>
        </w:rPr>
        <w:t>]</w:t>
      </w:r>
      <w:r w:rsidR="00B87109" w:rsidRPr="00A903DD">
        <w:rPr>
          <w:rFonts w:ascii="Book Antiqua" w:hAnsi="Book Antiqua"/>
          <w:sz w:val="24"/>
          <w:szCs w:val="24"/>
        </w:rPr>
        <w:t>.</w:t>
      </w:r>
      <w:r w:rsidR="00AA23C2" w:rsidRPr="00A903DD">
        <w:rPr>
          <w:rFonts w:ascii="Book Antiqua" w:hAnsi="Book Antiqua"/>
          <w:sz w:val="24"/>
          <w:szCs w:val="24"/>
        </w:rPr>
        <w:t xml:space="preserve"> </w:t>
      </w:r>
      <w:r w:rsidR="007170F0" w:rsidRPr="00A903DD">
        <w:rPr>
          <w:rFonts w:ascii="Book Antiqua" w:hAnsi="Book Antiqua"/>
          <w:sz w:val="24"/>
          <w:szCs w:val="24"/>
        </w:rPr>
        <w:t xml:space="preserve">Rivaroxaban </w:t>
      </w:r>
      <w:r w:rsidR="00AA23C2" w:rsidRPr="00A903DD">
        <w:rPr>
          <w:rFonts w:ascii="Book Antiqua" w:hAnsi="Book Antiqua"/>
          <w:sz w:val="24"/>
          <w:szCs w:val="24"/>
        </w:rPr>
        <w:t xml:space="preserve">dose reduction </w:t>
      </w:r>
      <w:r w:rsidR="007170F0" w:rsidRPr="00A903DD">
        <w:rPr>
          <w:rFonts w:ascii="Book Antiqua" w:hAnsi="Book Antiqua"/>
          <w:sz w:val="24"/>
          <w:szCs w:val="24"/>
        </w:rPr>
        <w:t xml:space="preserve">is </w:t>
      </w:r>
      <w:r w:rsidRPr="00A903DD">
        <w:rPr>
          <w:rFonts w:ascii="Book Antiqua" w:hAnsi="Book Antiqua"/>
          <w:sz w:val="24"/>
          <w:szCs w:val="24"/>
        </w:rPr>
        <w:t>approved for use</w:t>
      </w:r>
      <w:r w:rsidR="007170F0" w:rsidRPr="00A903DD">
        <w:rPr>
          <w:rFonts w:ascii="Book Antiqua" w:hAnsi="Book Antiqua"/>
          <w:sz w:val="24"/>
          <w:szCs w:val="24"/>
        </w:rPr>
        <w:t xml:space="preserve"> </w:t>
      </w:r>
      <w:r w:rsidRPr="00A903DD">
        <w:rPr>
          <w:rFonts w:ascii="Book Antiqua" w:hAnsi="Book Antiqua"/>
          <w:sz w:val="24"/>
          <w:szCs w:val="24"/>
        </w:rPr>
        <w:t>in patients with atrial fibrillation</w:t>
      </w:r>
      <w:r w:rsidR="00AA23C2" w:rsidRPr="00A903DD">
        <w:rPr>
          <w:rFonts w:ascii="Book Antiqua" w:hAnsi="Book Antiqua"/>
          <w:sz w:val="24"/>
          <w:szCs w:val="24"/>
        </w:rPr>
        <w:t xml:space="preserve"> and</w:t>
      </w:r>
      <w:r w:rsidR="00AB747A" w:rsidRPr="00A903DD">
        <w:rPr>
          <w:rFonts w:ascii="Book Antiqua" w:hAnsi="Book Antiqua"/>
          <w:sz w:val="24"/>
          <w:szCs w:val="24"/>
        </w:rPr>
        <w:t xml:space="preserve"> </w:t>
      </w:r>
      <w:r w:rsidR="00A035D1" w:rsidRPr="00A903DD">
        <w:rPr>
          <w:rFonts w:ascii="Book Antiqua" w:hAnsi="Book Antiqua"/>
          <w:sz w:val="24"/>
          <w:szCs w:val="24"/>
        </w:rPr>
        <w:t xml:space="preserve">who have a </w:t>
      </w:r>
      <w:r w:rsidR="00AB747A" w:rsidRPr="00A903DD">
        <w:rPr>
          <w:rFonts w:ascii="Book Antiqua" w:hAnsi="Book Antiqua"/>
          <w:sz w:val="24"/>
          <w:szCs w:val="24"/>
        </w:rPr>
        <w:t>CrCl 15</w:t>
      </w:r>
      <w:r w:rsidR="00AA23C2" w:rsidRPr="00A903DD">
        <w:rPr>
          <w:rFonts w:ascii="Book Antiqua" w:hAnsi="Book Antiqua"/>
          <w:sz w:val="24"/>
          <w:szCs w:val="24"/>
        </w:rPr>
        <w:t>-50</w:t>
      </w:r>
      <w:r w:rsidR="00A035D1" w:rsidRPr="00A903DD">
        <w:rPr>
          <w:rFonts w:ascii="Book Antiqua" w:hAnsi="Book Antiqua"/>
          <w:sz w:val="24"/>
          <w:szCs w:val="24"/>
        </w:rPr>
        <w:t xml:space="preserve"> m</w:t>
      </w:r>
      <w:r w:rsidR="00985904">
        <w:rPr>
          <w:rFonts w:ascii="Book Antiqua" w:hAnsi="Book Antiqua" w:hint="eastAsia"/>
          <w:sz w:val="24"/>
          <w:szCs w:val="24"/>
          <w:lang w:eastAsia="zh-CN"/>
        </w:rPr>
        <w:t>L</w:t>
      </w:r>
      <w:r w:rsidR="00A035D1" w:rsidRPr="00A903DD">
        <w:rPr>
          <w:rFonts w:ascii="Book Antiqua" w:hAnsi="Book Antiqua"/>
          <w:sz w:val="24"/>
          <w:szCs w:val="24"/>
        </w:rPr>
        <w:t>/min</w:t>
      </w:r>
      <w:r w:rsidRPr="00A903DD">
        <w:rPr>
          <w:rFonts w:ascii="Book Antiqua" w:hAnsi="Book Antiqua"/>
          <w:sz w:val="24"/>
          <w:szCs w:val="24"/>
        </w:rPr>
        <w:t xml:space="preserve">; </w:t>
      </w:r>
      <w:r w:rsidR="00AA23C2" w:rsidRPr="00A903DD">
        <w:rPr>
          <w:rFonts w:ascii="Book Antiqua" w:hAnsi="Book Antiqua"/>
          <w:sz w:val="24"/>
          <w:szCs w:val="24"/>
        </w:rPr>
        <w:t>the</w:t>
      </w:r>
      <w:r w:rsidR="00E148C7" w:rsidRPr="00A903DD">
        <w:rPr>
          <w:rFonts w:ascii="Book Antiqua" w:hAnsi="Book Antiqua"/>
          <w:sz w:val="24"/>
          <w:szCs w:val="24"/>
        </w:rPr>
        <w:t xml:space="preserve"> drug is not recommended for any indication if the CrCl &lt; 15 m</w:t>
      </w:r>
      <w:r w:rsidR="00985904">
        <w:rPr>
          <w:rFonts w:ascii="Book Antiqua" w:hAnsi="Book Antiqua" w:hint="eastAsia"/>
          <w:sz w:val="24"/>
          <w:szCs w:val="24"/>
          <w:lang w:eastAsia="zh-CN"/>
        </w:rPr>
        <w:t>L</w:t>
      </w:r>
      <w:r w:rsidR="00E148C7" w:rsidRPr="00A903DD">
        <w:rPr>
          <w:rFonts w:ascii="Book Antiqua" w:hAnsi="Book Antiqua"/>
          <w:sz w:val="24"/>
          <w:szCs w:val="24"/>
        </w:rPr>
        <w:t>/</w:t>
      </w:r>
      <w:proofErr w:type="gramStart"/>
      <w:r w:rsidR="00E148C7" w:rsidRPr="00A903DD">
        <w:rPr>
          <w:rFonts w:ascii="Book Antiqua" w:hAnsi="Book Antiqua"/>
          <w:sz w:val="24"/>
          <w:szCs w:val="24"/>
        </w:rPr>
        <w:t>min</w:t>
      </w:r>
      <w:r w:rsidR="00AB747A" w:rsidRPr="00A903DD">
        <w:rPr>
          <w:rFonts w:ascii="Book Antiqua" w:hAnsi="Book Antiqua"/>
          <w:sz w:val="24"/>
          <w:szCs w:val="24"/>
          <w:vertAlign w:val="superscript"/>
        </w:rPr>
        <w:t>[</w:t>
      </w:r>
      <w:proofErr w:type="gramEnd"/>
      <w:r w:rsidR="00BD5672" w:rsidRPr="00A903DD">
        <w:rPr>
          <w:rFonts w:ascii="Book Antiqua" w:hAnsi="Book Antiqua"/>
          <w:sz w:val="24"/>
          <w:szCs w:val="24"/>
          <w:vertAlign w:val="superscript"/>
        </w:rPr>
        <w:t>18,19</w:t>
      </w:r>
      <w:r w:rsidR="00B879FE" w:rsidRPr="00A903DD">
        <w:rPr>
          <w:rFonts w:ascii="Book Antiqua" w:hAnsi="Book Antiqua"/>
          <w:sz w:val="24"/>
          <w:szCs w:val="24"/>
          <w:vertAlign w:val="superscript"/>
        </w:rPr>
        <w:t>,</w:t>
      </w:r>
      <w:r w:rsidR="00AB747A" w:rsidRPr="00A903DD">
        <w:rPr>
          <w:rFonts w:ascii="Book Antiqua" w:hAnsi="Book Antiqua"/>
          <w:sz w:val="24"/>
          <w:szCs w:val="24"/>
          <w:vertAlign w:val="superscript"/>
        </w:rPr>
        <w:t>39]</w:t>
      </w:r>
      <w:r w:rsidR="00B87109" w:rsidRPr="00A903DD">
        <w:rPr>
          <w:rFonts w:ascii="Book Antiqua" w:hAnsi="Book Antiqua"/>
          <w:sz w:val="24"/>
          <w:szCs w:val="24"/>
        </w:rPr>
        <w:t>.</w:t>
      </w:r>
      <w:r w:rsidR="00BD5672" w:rsidRPr="00A903DD">
        <w:rPr>
          <w:rFonts w:ascii="Book Antiqua" w:hAnsi="Book Antiqua"/>
          <w:sz w:val="24"/>
          <w:szCs w:val="24"/>
        </w:rPr>
        <w:t xml:space="preserve"> </w:t>
      </w:r>
      <w:r w:rsidRPr="00A903DD">
        <w:rPr>
          <w:rFonts w:ascii="Book Antiqua" w:hAnsi="Book Antiqua"/>
          <w:sz w:val="24"/>
          <w:szCs w:val="24"/>
        </w:rPr>
        <w:t xml:space="preserve">Additionally, rivaroxaban use is not recommended </w:t>
      </w:r>
      <w:r w:rsidR="007F2EA0" w:rsidRPr="00A903DD">
        <w:rPr>
          <w:rFonts w:ascii="Book Antiqua" w:hAnsi="Book Antiqua"/>
          <w:sz w:val="24"/>
          <w:szCs w:val="24"/>
        </w:rPr>
        <w:t>for use in</w:t>
      </w:r>
      <w:r w:rsidR="00BD5672" w:rsidRPr="00A903DD">
        <w:rPr>
          <w:rFonts w:ascii="Book Antiqua" w:hAnsi="Book Antiqua"/>
          <w:sz w:val="24"/>
          <w:szCs w:val="24"/>
        </w:rPr>
        <w:t xml:space="preserve"> the presence of</w:t>
      </w:r>
      <w:r w:rsidRPr="00A903DD">
        <w:rPr>
          <w:rFonts w:ascii="Book Antiqua" w:hAnsi="Book Antiqua"/>
          <w:sz w:val="24"/>
          <w:szCs w:val="24"/>
        </w:rPr>
        <w:t xml:space="preserve"> moderate to se</w:t>
      </w:r>
      <w:r w:rsidR="00BD5672" w:rsidRPr="00A903DD">
        <w:rPr>
          <w:rFonts w:ascii="Book Antiqua" w:hAnsi="Book Antiqua"/>
          <w:sz w:val="24"/>
          <w:szCs w:val="24"/>
        </w:rPr>
        <w:t xml:space="preserve">vere hepatic dysfunction or </w:t>
      </w:r>
      <w:r w:rsidRPr="00A903DD">
        <w:rPr>
          <w:rFonts w:ascii="Book Antiqua" w:hAnsi="Book Antiqua"/>
          <w:sz w:val="24"/>
          <w:szCs w:val="24"/>
        </w:rPr>
        <w:t xml:space="preserve">hepatic disease that is associated with </w:t>
      </w:r>
      <w:proofErr w:type="gramStart"/>
      <w:r w:rsidRPr="00A903DD">
        <w:rPr>
          <w:rFonts w:ascii="Book Antiqua" w:hAnsi="Book Antiqua"/>
          <w:sz w:val="24"/>
          <w:szCs w:val="24"/>
        </w:rPr>
        <w:t>coa</w:t>
      </w:r>
      <w:r w:rsidR="00B87109" w:rsidRPr="00A903DD">
        <w:rPr>
          <w:rFonts w:ascii="Book Antiqua" w:hAnsi="Book Antiqua"/>
          <w:sz w:val="24"/>
          <w:szCs w:val="24"/>
        </w:rPr>
        <w:t>gulopathy</w:t>
      </w:r>
      <w:r w:rsidR="00AB747A" w:rsidRPr="00A903DD">
        <w:rPr>
          <w:rFonts w:ascii="Book Antiqua" w:hAnsi="Book Antiqua"/>
          <w:sz w:val="24"/>
          <w:szCs w:val="24"/>
          <w:vertAlign w:val="superscript"/>
        </w:rPr>
        <w:t>[</w:t>
      </w:r>
      <w:proofErr w:type="gramEnd"/>
      <w:r w:rsidR="00AB747A" w:rsidRPr="00A903DD">
        <w:rPr>
          <w:rFonts w:ascii="Book Antiqua" w:hAnsi="Book Antiqua"/>
          <w:sz w:val="24"/>
          <w:szCs w:val="24"/>
          <w:vertAlign w:val="superscript"/>
        </w:rPr>
        <w:t>40</w:t>
      </w:r>
      <w:r w:rsidRPr="00A903DD">
        <w:rPr>
          <w:rFonts w:ascii="Book Antiqua" w:hAnsi="Book Antiqua"/>
          <w:sz w:val="24"/>
          <w:szCs w:val="24"/>
          <w:vertAlign w:val="superscript"/>
        </w:rPr>
        <w:t>]</w:t>
      </w:r>
      <w:r w:rsidR="00B87109" w:rsidRPr="00A903DD">
        <w:rPr>
          <w:rFonts w:ascii="Book Antiqua" w:hAnsi="Book Antiqua"/>
          <w:sz w:val="24"/>
          <w:szCs w:val="24"/>
        </w:rPr>
        <w:t>.</w:t>
      </w:r>
      <w:r w:rsidR="007F2EA0" w:rsidRPr="00A903DD">
        <w:rPr>
          <w:rFonts w:ascii="Book Antiqua" w:hAnsi="Book Antiqua"/>
          <w:sz w:val="24"/>
          <w:szCs w:val="24"/>
        </w:rPr>
        <w:t xml:space="preserve"> </w:t>
      </w:r>
    </w:p>
    <w:p w:rsidR="00526AF6" w:rsidRPr="00A903DD" w:rsidRDefault="003A52A7" w:rsidP="00985904">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While</w:t>
      </w:r>
      <w:r w:rsidR="00E148C7" w:rsidRPr="00A903DD">
        <w:rPr>
          <w:rFonts w:ascii="Book Antiqua" w:hAnsi="Book Antiqua"/>
          <w:sz w:val="24"/>
          <w:szCs w:val="24"/>
        </w:rPr>
        <w:t xml:space="preserve"> it might be expected that apixa</w:t>
      </w:r>
      <w:r w:rsidRPr="00A903DD">
        <w:rPr>
          <w:rFonts w:ascii="Book Antiqua" w:hAnsi="Book Antiqua"/>
          <w:sz w:val="24"/>
          <w:szCs w:val="24"/>
        </w:rPr>
        <w:t>ban pharmacokinetics are s</w:t>
      </w:r>
      <w:r w:rsidR="004824FD" w:rsidRPr="00A903DD">
        <w:rPr>
          <w:rFonts w:ascii="Book Antiqua" w:hAnsi="Book Antiqua"/>
          <w:sz w:val="24"/>
          <w:szCs w:val="24"/>
        </w:rPr>
        <w:t>imilar to those of rivaroxaban, such</w:t>
      </w:r>
      <w:r w:rsidRPr="00A903DD">
        <w:rPr>
          <w:rFonts w:ascii="Book Antiqua" w:hAnsi="Book Antiqua"/>
          <w:sz w:val="24"/>
          <w:szCs w:val="24"/>
        </w:rPr>
        <w:t xml:space="preserve"> is not </w:t>
      </w:r>
      <w:r w:rsidR="00B723F0" w:rsidRPr="00A903DD">
        <w:rPr>
          <w:rFonts w:ascii="Book Antiqua" w:hAnsi="Book Antiqua"/>
          <w:sz w:val="24"/>
          <w:szCs w:val="24"/>
        </w:rPr>
        <w:t>en</w:t>
      </w:r>
      <w:r w:rsidR="00DE4991" w:rsidRPr="00A903DD">
        <w:rPr>
          <w:rFonts w:ascii="Book Antiqua" w:hAnsi="Book Antiqua"/>
          <w:sz w:val="24"/>
          <w:szCs w:val="24"/>
        </w:rPr>
        <w:t>t</w:t>
      </w:r>
      <w:r w:rsidR="00B723F0" w:rsidRPr="00A903DD">
        <w:rPr>
          <w:rFonts w:ascii="Book Antiqua" w:hAnsi="Book Antiqua"/>
          <w:sz w:val="24"/>
          <w:szCs w:val="24"/>
        </w:rPr>
        <w:t>ir</w:t>
      </w:r>
      <w:r w:rsidR="00DE4991" w:rsidRPr="00A903DD">
        <w:rPr>
          <w:rFonts w:ascii="Book Antiqua" w:hAnsi="Book Antiqua"/>
          <w:sz w:val="24"/>
          <w:szCs w:val="24"/>
        </w:rPr>
        <w:t>ely the case.</w:t>
      </w:r>
      <w:r w:rsidR="00985904">
        <w:rPr>
          <w:rFonts w:ascii="Book Antiqua" w:hAnsi="Book Antiqua"/>
          <w:sz w:val="24"/>
          <w:szCs w:val="24"/>
        </w:rPr>
        <w:t xml:space="preserve"> </w:t>
      </w:r>
      <w:r w:rsidRPr="00A903DD">
        <w:rPr>
          <w:rFonts w:ascii="Book Antiqua" w:hAnsi="Book Antiqua"/>
          <w:sz w:val="24"/>
          <w:szCs w:val="24"/>
        </w:rPr>
        <w:t xml:space="preserve">The drug is rapidly </w:t>
      </w:r>
      <w:r w:rsidR="00DE4991" w:rsidRPr="00A903DD">
        <w:rPr>
          <w:rFonts w:ascii="Book Antiqua" w:hAnsi="Book Antiqua"/>
          <w:sz w:val="24"/>
          <w:szCs w:val="24"/>
        </w:rPr>
        <w:t>absorbed with a peak effect in 3-4 h</w:t>
      </w:r>
      <w:r w:rsidR="00CF1AA9" w:rsidRPr="00A903DD">
        <w:rPr>
          <w:rFonts w:ascii="Book Antiqua" w:hAnsi="Book Antiqua"/>
          <w:sz w:val="24"/>
          <w:szCs w:val="24"/>
        </w:rPr>
        <w:t xml:space="preserve">; however, </w:t>
      </w:r>
      <w:r w:rsidR="00DE4991" w:rsidRPr="00A903DD">
        <w:rPr>
          <w:rFonts w:ascii="Book Antiqua" w:hAnsi="Book Antiqua"/>
          <w:sz w:val="24"/>
          <w:szCs w:val="24"/>
        </w:rPr>
        <w:t>only 50% of a dose reaches circulation</w:t>
      </w:r>
      <w:r w:rsidR="00CF1AA9" w:rsidRPr="00A903DD">
        <w:rPr>
          <w:rFonts w:ascii="Book Antiqua" w:hAnsi="Book Antiqua"/>
          <w:sz w:val="24"/>
          <w:szCs w:val="24"/>
        </w:rPr>
        <w:t xml:space="preserve"> while the remainder is excreted unchanged in the feces</w:t>
      </w:r>
      <w:r w:rsidR="00985904">
        <w:rPr>
          <w:rFonts w:ascii="Book Antiqua" w:hAnsi="Book Antiqua"/>
          <w:sz w:val="24"/>
          <w:szCs w:val="24"/>
        </w:rPr>
        <w:t>.</w:t>
      </w:r>
      <w:r w:rsidR="00985904">
        <w:rPr>
          <w:rFonts w:ascii="Book Antiqua" w:hAnsi="Book Antiqua" w:hint="eastAsia"/>
          <w:sz w:val="24"/>
          <w:szCs w:val="24"/>
          <w:lang w:eastAsia="zh-CN"/>
        </w:rPr>
        <w:t xml:space="preserve"> </w:t>
      </w:r>
      <w:r w:rsidR="00DE4991" w:rsidRPr="00A903DD">
        <w:rPr>
          <w:rFonts w:ascii="Book Antiqua" w:hAnsi="Book Antiqua"/>
          <w:sz w:val="24"/>
          <w:szCs w:val="24"/>
        </w:rPr>
        <w:t>The drug is approxim</w:t>
      </w:r>
      <w:r w:rsidR="00BD5672" w:rsidRPr="00A903DD">
        <w:rPr>
          <w:rFonts w:ascii="Book Antiqua" w:hAnsi="Book Antiqua"/>
          <w:sz w:val="24"/>
          <w:szCs w:val="24"/>
        </w:rPr>
        <w:t xml:space="preserve">ately 87% protein bound and </w:t>
      </w:r>
      <w:r w:rsidR="00DE4991" w:rsidRPr="00A903DD">
        <w:rPr>
          <w:rFonts w:ascii="Book Antiqua" w:hAnsi="Book Antiqua"/>
          <w:sz w:val="24"/>
          <w:szCs w:val="24"/>
        </w:rPr>
        <w:t xml:space="preserve">like rivaroxaban, </w:t>
      </w:r>
      <w:r w:rsidR="00BD5672" w:rsidRPr="00A903DD">
        <w:rPr>
          <w:rFonts w:ascii="Book Antiqua" w:hAnsi="Book Antiqua"/>
          <w:sz w:val="24"/>
          <w:szCs w:val="24"/>
        </w:rPr>
        <w:t xml:space="preserve">is </w:t>
      </w:r>
      <w:r w:rsidR="00DE4991" w:rsidRPr="00A903DD">
        <w:rPr>
          <w:rFonts w:ascii="Book Antiqua" w:hAnsi="Book Antiqua"/>
          <w:sz w:val="24"/>
          <w:szCs w:val="24"/>
        </w:rPr>
        <w:t>eliminated by both</w:t>
      </w:r>
      <w:r w:rsidR="00985904">
        <w:rPr>
          <w:rFonts w:ascii="Book Antiqua" w:hAnsi="Book Antiqua"/>
          <w:sz w:val="24"/>
          <w:szCs w:val="24"/>
        </w:rPr>
        <w:t xml:space="preserve"> hepatic and renal mechanisms.</w:t>
      </w:r>
      <w:r w:rsidR="00985904">
        <w:rPr>
          <w:rFonts w:ascii="Book Antiqua" w:hAnsi="Book Antiqua" w:hint="eastAsia"/>
          <w:sz w:val="24"/>
          <w:szCs w:val="24"/>
          <w:lang w:eastAsia="zh-CN"/>
        </w:rPr>
        <w:t xml:space="preserve"> </w:t>
      </w:r>
      <w:r w:rsidR="00D842AE" w:rsidRPr="00A903DD">
        <w:rPr>
          <w:rFonts w:ascii="Book Antiqua" w:hAnsi="Book Antiqua"/>
          <w:sz w:val="24"/>
          <w:szCs w:val="24"/>
        </w:rPr>
        <w:t>Apixaban</w:t>
      </w:r>
      <w:r w:rsidR="004824FD" w:rsidRPr="00A903DD">
        <w:rPr>
          <w:rFonts w:ascii="Book Antiqua" w:hAnsi="Book Antiqua"/>
          <w:sz w:val="24"/>
          <w:szCs w:val="24"/>
        </w:rPr>
        <w:t xml:space="preserve"> is </w:t>
      </w:r>
      <w:r w:rsidR="00CF1AA9" w:rsidRPr="00A903DD">
        <w:rPr>
          <w:rFonts w:ascii="Book Antiqua" w:hAnsi="Book Antiqua"/>
          <w:sz w:val="24"/>
          <w:szCs w:val="24"/>
        </w:rPr>
        <w:t>primarily</w:t>
      </w:r>
      <w:r w:rsidR="004824FD" w:rsidRPr="00A903DD">
        <w:rPr>
          <w:rFonts w:ascii="Book Antiqua" w:hAnsi="Book Antiqua"/>
          <w:sz w:val="24"/>
          <w:szCs w:val="24"/>
        </w:rPr>
        <w:t xml:space="preserve"> metabolized via CYP3A4 with minor contribution by other CYP enzymes and there are no active circulating metabolites.  </w:t>
      </w:r>
    </w:p>
    <w:p w:rsidR="004F542A" w:rsidRPr="00A903DD" w:rsidRDefault="00726557" w:rsidP="00985904">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Because</w:t>
      </w:r>
      <w:r w:rsidR="007F2EA0" w:rsidRPr="00A903DD">
        <w:rPr>
          <w:rFonts w:ascii="Book Antiqua" w:hAnsi="Book Antiqua"/>
          <w:sz w:val="24"/>
          <w:szCs w:val="24"/>
        </w:rPr>
        <w:t xml:space="preserve"> </w:t>
      </w:r>
      <w:r w:rsidR="00DE4991" w:rsidRPr="00A903DD">
        <w:rPr>
          <w:rFonts w:ascii="Book Antiqua" w:hAnsi="Book Antiqua"/>
          <w:sz w:val="24"/>
          <w:szCs w:val="24"/>
        </w:rPr>
        <w:t>only 25% of a dose is eliminated unchanged through t</w:t>
      </w:r>
      <w:r w:rsidR="004550EC" w:rsidRPr="00A903DD">
        <w:rPr>
          <w:rFonts w:ascii="Book Antiqua" w:hAnsi="Book Antiqua"/>
          <w:sz w:val="24"/>
          <w:szCs w:val="24"/>
        </w:rPr>
        <w:t>he kidneys, renal impairment do</w:t>
      </w:r>
      <w:r w:rsidR="007F2EA0" w:rsidRPr="00A903DD">
        <w:rPr>
          <w:rFonts w:ascii="Book Antiqua" w:hAnsi="Book Antiqua"/>
          <w:sz w:val="24"/>
          <w:szCs w:val="24"/>
        </w:rPr>
        <w:t>es not significant</w:t>
      </w:r>
      <w:r w:rsidR="00DE4991" w:rsidRPr="00A903DD">
        <w:rPr>
          <w:rFonts w:ascii="Book Antiqua" w:hAnsi="Book Antiqua"/>
          <w:sz w:val="24"/>
          <w:szCs w:val="24"/>
        </w:rPr>
        <w:t xml:space="preserve">ly prolong the </w:t>
      </w:r>
      <w:r w:rsidR="00B87109" w:rsidRPr="00A903DD">
        <w:rPr>
          <w:rFonts w:ascii="Book Antiqua" w:hAnsi="Book Antiqua"/>
          <w:sz w:val="24"/>
          <w:szCs w:val="24"/>
        </w:rPr>
        <w:t xml:space="preserve">average half-life of 8-15 </w:t>
      </w:r>
      <w:proofErr w:type="gramStart"/>
      <w:r w:rsidR="00B87109" w:rsidRPr="00A903DD">
        <w:rPr>
          <w:rFonts w:ascii="Book Antiqua" w:hAnsi="Book Antiqua"/>
          <w:sz w:val="24"/>
          <w:szCs w:val="24"/>
        </w:rPr>
        <w:t>h</w:t>
      </w:r>
      <w:r w:rsidR="007F2EA0" w:rsidRPr="00A903DD">
        <w:rPr>
          <w:rFonts w:ascii="Book Antiqua" w:hAnsi="Book Antiqua"/>
          <w:sz w:val="24"/>
          <w:szCs w:val="24"/>
          <w:vertAlign w:val="superscript"/>
        </w:rPr>
        <w:t>[</w:t>
      </w:r>
      <w:proofErr w:type="gramEnd"/>
      <w:r w:rsidR="007F2EA0" w:rsidRPr="00A903DD">
        <w:rPr>
          <w:rFonts w:ascii="Book Antiqua" w:hAnsi="Book Antiqua"/>
          <w:sz w:val="24"/>
          <w:szCs w:val="24"/>
          <w:vertAlign w:val="superscript"/>
        </w:rPr>
        <w:t>27,41,42]</w:t>
      </w:r>
      <w:r w:rsidR="00B87109" w:rsidRPr="00A903DD">
        <w:rPr>
          <w:rFonts w:ascii="Book Antiqua" w:hAnsi="Book Antiqua"/>
          <w:sz w:val="24"/>
          <w:szCs w:val="24"/>
        </w:rPr>
        <w:t>.</w:t>
      </w:r>
      <w:r w:rsidR="00815116" w:rsidRPr="00A903DD">
        <w:rPr>
          <w:rFonts w:ascii="Book Antiqua" w:hAnsi="Book Antiqua"/>
          <w:sz w:val="24"/>
          <w:szCs w:val="24"/>
        </w:rPr>
        <w:t xml:space="preserve"> However, due to limited clinical evidence, apixaban should be used with caution in </w:t>
      </w:r>
      <w:r w:rsidR="000A62BF" w:rsidRPr="00A903DD">
        <w:rPr>
          <w:rFonts w:ascii="Book Antiqua" w:hAnsi="Book Antiqua"/>
          <w:sz w:val="24"/>
          <w:szCs w:val="24"/>
        </w:rPr>
        <w:t xml:space="preserve">patients with </w:t>
      </w:r>
      <w:r w:rsidR="00815116" w:rsidRPr="00A903DD">
        <w:rPr>
          <w:rFonts w:ascii="Book Antiqua" w:hAnsi="Book Antiqua"/>
          <w:sz w:val="24"/>
          <w:szCs w:val="24"/>
        </w:rPr>
        <w:t xml:space="preserve">severe renal </w:t>
      </w:r>
      <w:r w:rsidR="00C346A4" w:rsidRPr="00A903DD">
        <w:rPr>
          <w:rFonts w:ascii="Book Antiqua" w:hAnsi="Book Antiqua"/>
          <w:sz w:val="24"/>
          <w:szCs w:val="24"/>
        </w:rPr>
        <w:t>impairment (CrCl</w:t>
      </w:r>
      <w:r w:rsidR="00815116" w:rsidRPr="00A903DD">
        <w:rPr>
          <w:rFonts w:ascii="Book Antiqua" w:hAnsi="Book Antiqua"/>
          <w:sz w:val="24"/>
          <w:szCs w:val="24"/>
        </w:rPr>
        <w:t xml:space="preserve"> 15-</w:t>
      </w:r>
      <w:r w:rsidR="000A62BF" w:rsidRPr="00A903DD">
        <w:rPr>
          <w:rFonts w:ascii="Book Antiqua" w:hAnsi="Book Antiqua"/>
          <w:sz w:val="24"/>
          <w:szCs w:val="24"/>
        </w:rPr>
        <w:t>30</w:t>
      </w:r>
      <w:r w:rsidR="00815116" w:rsidRPr="00A903DD">
        <w:rPr>
          <w:rFonts w:ascii="Book Antiqua" w:hAnsi="Book Antiqua"/>
          <w:sz w:val="24"/>
          <w:szCs w:val="24"/>
        </w:rPr>
        <w:t xml:space="preserve"> mL/min) and is not recommended </w:t>
      </w:r>
      <w:r w:rsidR="000A62BF" w:rsidRPr="00A903DD">
        <w:rPr>
          <w:rFonts w:ascii="Book Antiqua" w:hAnsi="Book Antiqua"/>
          <w:sz w:val="24"/>
          <w:szCs w:val="24"/>
        </w:rPr>
        <w:t xml:space="preserve">in those </w:t>
      </w:r>
      <w:r w:rsidR="00815116" w:rsidRPr="00A903DD">
        <w:rPr>
          <w:rFonts w:ascii="Book Antiqua" w:hAnsi="Book Antiqua"/>
          <w:sz w:val="24"/>
          <w:szCs w:val="24"/>
        </w:rPr>
        <w:t xml:space="preserve">with a </w:t>
      </w:r>
      <w:r w:rsidR="00C346A4" w:rsidRPr="00A903DD">
        <w:rPr>
          <w:rFonts w:ascii="Book Antiqua" w:hAnsi="Book Antiqua"/>
          <w:sz w:val="24"/>
          <w:szCs w:val="24"/>
        </w:rPr>
        <w:t>CrCl &lt;</w:t>
      </w:r>
      <w:r w:rsidR="00037644" w:rsidRPr="00A903DD">
        <w:rPr>
          <w:rFonts w:ascii="Book Antiqua" w:hAnsi="Book Antiqua"/>
          <w:sz w:val="24"/>
          <w:szCs w:val="24"/>
        </w:rPr>
        <w:t xml:space="preserve"> </w:t>
      </w:r>
      <w:r w:rsidR="00815116" w:rsidRPr="00A903DD">
        <w:rPr>
          <w:rFonts w:ascii="Book Antiqua" w:hAnsi="Book Antiqua"/>
          <w:sz w:val="24"/>
          <w:szCs w:val="24"/>
        </w:rPr>
        <w:t xml:space="preserve">15 </w:t>
      </w:r>
      <w:r w:rsidR="00815116" w:rsidRPr="00A903DD">
        <w:rPr>
          <w:rFonts w:ascii="Book Antiqua" w:hAnsi="Book Antiqua"/>
          <w:sz w:val="24"/>
          <w:szCs w:val="24"/>
        </w:rPr>
        <w:lastRenderedPageBreak/>
        <w:t>mL/min or undergoing dialysis.</w:t>
      </w:r>
      <w:r w:rsidR="00985904">
        <w:rPr>
          <w:rFonts w:ascii="Book Antiqua" w:hAnsi="Book Antiqua" w:hint="eastAsia"/>
          <w:sz w:val="24"/>
          <w:szCs w:val="24"/>
          <w:lang w:eastAsia="zh-CN"/>
        </w:rPr>
        <w:t xml:space="preserve"> </w:t>
      </w:r>
      <w:r w:rsidR="004550EC" w:rsidRPr="00A903DD">
        <w:rPr>
          <w:rFonts w:ascii="Book Antiqua" w:hAnsi="Book Antiqua"/>
          <w:sz w:val="24"/>
          <w:szCs w:val="24"/>
        </w:rPr>
        <w:t xml:space="preserve">No </w:t>
      </w:r>
      <w:r w:rsidR="00D842AE" w:rsidRPr="00A903DD">
        <w:rPr>
          <w:rFonts w:ascii="Book Antiqua" w:hAnsi="Book Antiqua"/>
          <w:sz w:val="24"/>
          <w:szCs w:val="24"/>
        </w:rPr>
        <w:t>apixaban</w:t>
      </w:r>
      <w:r w:rsidR="004824FD" w:rsidRPr="00A903DD">
        <w:rPr>
          <w:rFonts w:ascii="Book Antiqua" w:hAnsi="Book Antiqua"/>
          <w:sz w:val="24"/>
          <w:szCs w:val="24"/>
        </w:rPr>
        <w:t xml:space="preserve"> </w:t>
      </w:r>
      <w:r w:rsidR="004550EC" w:rsidRPr="00A903DD">
        <w:rPr>
          <w:rFonts w:ascii="Book Antiqua" w:hAnsi="Book Antiqua"/>
          <w:sz w:val="24"/>
          <w:szCs w:val="24"/>
        </w:rPr>
        <w:t>dosing adjustments are required for patients with moderate hepatic</w:t>
      </w:r>
      <w:r w:rsidR="004824FD" w:rsidRPr="00A903DD">
        <w:rPr>
          <w:rFonts w:ascii="Book Antiqua" w:hAnsi="Book Antiqua"/>
          <w:sz w:val="24"/>
          <w:szCs w:val="24"/>
        </w:rPr>
        <w:t xml:space="preserve"> impairment although the drug </w:t>
      </w:r>
      <w:r w:rsidR="004550EC" w:rsidRPr="00A903DD">
        <w:rPr>
          <w:rFonts w:ascii="Book Antiqua" w:hAnsi="Book Antiqua"/>
          <w:sz w:val="24"/>
          <w:szCs w:val="24"/>
        </w:rPr>
        <w:t>is not recommended for patients w</w:t>
      </w:r>
      <w:r w:rsidR="00B87109" w:rsidRPr="00A903DD">
        <w:rPr>
          <w:rFonts w:ascii="Book Antiqua" w:hAnsi="Book Antiqua"/>
          <w:sz w:val="24"/>
          <w:szCs w:val="24"/>
        </w:rPr>
        <w:t xml:space="preserve">ith severe hepatic </w:t>
      </w:r>
      <w:proofErr w:type="gramStart"/>
      <w:r w:rsidR="00B87109" w:rsidRPr="00A903DD">
        <w:rPr>
          <w:rFonts w:ascii="Book Antiqua" w:hAnsi="Book Antiqua"/>
          <w:sz w:val="24"/>
          <w:szCs w:val="24"/>
        </w:rPr>
        <w:t>dysfunction</w:t>
      </w:r>
      <w:r w:rsidR="00C346A4" w:rsidRPr="00A903DD">
        <w:rPr>
          <w:rFonts w:ascii="Book Antiqua" w:hAnsi="Book Antiqua"/>
          <w:sz w:val="24"/>
          <w:szCs w:val="24"/>
          <w:vertAlign w:val="superscript"/>
        </w:rPr>
        <w:t>[</w:t>
      </w:r>
      <w:proofErr w:type="gramEnd"/>
      <w:r w:rsidR="00C346A4" w:rsidRPr="00A903DD">
        <w:rPr>
          <w:rFonts w:ascii="Book Antiqua" w:hAnsi="Book Antiqua"/>
          <w:sz w:val="24"/>
          <w:szCs w:val="24"/>
          <w:vertAlign w:val="superscript"/>
        </w:rPr>
        <w:t>21]</w:t>
      </w:r>
      <w:r w:rsidR="00B87109" w:rsidRPr="00A903DD">
        <w:rPr>
          <w:rFonts w:ascii="Book Antiqua" w:hAnsi="Book Antiqua"/>
          <w:sz w:val="24"/>
          <w:szCs w:val="24"/>
        </w:rPr>
        <w:t>.</w:t>
      </w:r>
      <w:r w:rsidR="00C346A4" w:rsidRPr="00A903DD">
        <w:rPr>
          <w:rFonts w:ascii="Book Antiqua" w:hAnsi="Book Antiqua"/>
          <w:sz w:val="24"/>
          <w:szCs w:val="24"/>
        </w:rPr>
        <w:t xml:space="preserve"> </w:t>
      </w:r>
    </w:p>
    <w:p w:rsidR="0019042E" w:rsidRPr="00A903DD" w:rsidRDefault="004F542A" w:rsidP="00985904">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Edoxaban </w:t>
      </w:r>
      <w:r w:rsidR="00210F8E" w:rsidRPr="00A903DD">
        <w:rPr>
          <w:rFonts w:ascii="Book Antiqua" w:hAnsi="Book Antiqua"/>
          <w:sz w:val="24"/>
          <w:szCs w:val="24"/>
        </w:rPr>
        <w:t xml:space="preserve">is </w:t>
      </w:r>
      <w:r w:rsidRPr="00A903DD">
        <w:rPr>
          <w:rFonts w:ascii="Book Antiqua" w:hAnsi="Book Antiqua"/>
          <w:sz w:val="24"/>
          <w:szCs w:val="24"/>
        </w:rPr>
        <w:t>rapidly absorbed</w:t>
      </w:r>
      <w:r w:rsidR="00964E7D" w:rsidRPr="00A903DD">
        <w:rPr>
          <w:rFonts w:ascii="Book Antiqua" w:hAnsi="Book Antiqua"/>
          <w:sz w:val="24"/>
          <w:szCs w:val="24"/>
        </w:rPr>
        <w:t xml:space="preserve"> with 60% bioavailability, and</w:t>
      </w:r>
      <w:r w:rsidRPr="00A903DD">
        <w:rPr>
          <w:rFonts w:ascii="Book Antiqua" w:hAnsi="Book Antiqua"/>
          <w:sz w:val="24"/>
          <w:szCs w:val="24"/>
        </w:rPr>
        <w:t xml:space="preserve"> reaches peak plasma</w:t>
      </w:r>
      <w:r w:rsidR="00037644" w:rsidRPr="00A903DD">
        <w:rPr>
          <w:rFonts w:ascii="Book Antiqua" w:hAnsi="Book Antiqua"/>
          <w:sz w:val="24"/>
          <w:szCs w:val="24"/>
        </w:rPr>
        <w:t xml:space="preserve"> concentrations in 1–</w:t>
      </w:r>
      <w:r w:rsidR="006B3D48" w:rsidRPr="00A903DD">
        <w:rPr>
          <w:rFonts w:ascii="Book Antiqua" w:hAnsi="Book Antiqua"/>
          <w:sz w:val="24"/>
          <w:szCs w:val="24"/>
        </w:rPr>
        <w:t xml:space="preserve">2 </w:t>
      </w:r>
      <w:proofErr w:type="gramStart"/>
      <w:r w:rsidR="006B3D48" w:rsidRPr="00A903DD">
        <w:rPr>
          <w:rFonts w:ascii="Book Antiqua" w:hAnsi="Book Antiqua"/>
          <w:sz w:val="24"/>
          <w:szCs w:val="24"/>
        </w:rPr>
        <w:t>h</w:t>
      </w:r>
      <w:r w:rsidR="00284FD6" w:rsidRPr="00A903DD">
        <w:rPr>
          <w:rFonts w:ascii="Book Antiqua" w:hAnsi="Book Antiqua"/>
          <w:sz w:val="24"/>
          <w:szCs w:val="24"/>
          <w:vertAlign w:val="superscript"/>
        </w:rPr>
        <w:t>[</w:t>
      </w:r>
      <w:proofErr w:type="gramEnd"/>
      <w:r w:rsidR="00284FD6" w:rsidRPr="00A903DD">
        <w:rPr>
          <w:rFonts w:ascii="Book Antiqua" w:hAnsi="Book Antiqua"/>
          <w:sz w:val="24"/>
          <w:szCs w:val="24"/>
          <w:vertAlign w:val="superscript"/>
        </w:rPr>
        <w:t>43,44</w:t>
      </w:r>
      <w:r w:rsidR="006B3D48" w:rsidRPr="00A903DD">
        <w:rPr>
          <w:rFonts w:ascii="Book Antiqua" w:hAnsi="Book Antiqua"/>
          <w:sz w:val="24"/>
          <w:szCs w:val="24"/>
          <w:vertAlign w:val="superscript"/>
        </w:rPr>
        <w:t>]</w:t>
      </w:r>
      <w:r w:rsidR="00985904">
        <w:rPr>
          <w:rFonts w:ascii="Book Antiqua" w:hAnsi="Book Antiqua"/>
          <w:sz w:val="24"/>
          <w:szCs w:val="24"/>
        </w:rPr>
        <w:t xml:space="preserve">. </w:t>
      </w:r>
      <w:r w:rsidR="00964E7D" w:rsidRPr="00A903DD">
        <w:rPr>
          <w:rFonts w:ascii="Book Antiqua" w:hAnsi="Book Antiqua"/>
          <w:sz w:val="24"/>
          <w:szCs w:val="24"/>
        </w:rPr>
        <w:t>Most</w:t>
      </w:r>
      <w:r w:rsidRPr="00A903DD">
        <w:rPr>
          <w:rFonts w:ascii="Book Antiqua" w:hAnsi="Book Antiqua"/>
          <w:sz w:val="24"/>
          <w:szCs w:val="24"/>
        </w:rPr>
        <w:t xml:space="preserve"> of </w:t>
      </w:r>
      <w:r w:rsidR="00964E7D" w:rsidRPr="00A903DD">
        <w:rPr>
          <w:rFonts w:ascii="Book Antiqua" w:hAnsi="Book Antiqua"/>
          <w:sz w:val="24"/>
          <w:szCs w:val="24"/>
        </w:rPr>
        <w:t xml:space="preserve">an </w:t>
      </w:r>
      <w:r w:rsidRPr="00A903DD">
        <w:rPr>
          <w:rFonts w:ascii="Book Antiqua" w:hAnsi="Book Antiqua"/>
          <w:sz w:val="24"/>
          <w:szCs w:val="24"/>
        </w:rPr>
        <w:t xml:space="preserve">edoxaban </w:t>
      </w:r>
      <w:r w:rsidR="00964E7D" w:rsidRPr="00A903DD">
        <w:rPr>
          <w:rFonts w:ascii="Book Antiqua" w:hAnsi="Book Antiqua"/>
          <w:sz w:val="24"/>
          <w:szCs w:val="24"/>
        </w:rPr>
        <w:t xml:space="preserve">dose is excreted unchanged in </w:t>
      </w:r>
      <w:r w:rsidR="00037644" w:rsidRPr="00A903DD">
        <w:rPr>
          <w:rFonts w:ascii="Book Antiqua" w:hAnsi="Book Antiqua"/>
          <w:sz w:val="24"/>
          <w:szCs w:val="24"/>
        </w:rPr>
        <w:t xml:space="preserve">either the urine or </w:t>
      </w:r>
      <w:r w:rsidR="00985904">
        <w:rPr>
          <w:rFonts w:ascii="Book Antiqua" w:hAnsi="Book Antiqua"/>
          <w:sz w:val="24"/>
          <w:szCs w:val="24"/>
        </w:rPr>
        <w:t xml:space="preserve">feces. </w:t>
      </w:r>
      <w:r w:rsidRPr="00A903DD">
        <w:rPr>
          <w:rFonts w:ascii="Book Antiqua" w:hAnsi="Book Antiqua"/>
          <w:sz w:val="24"/>
          <w:szCs w:val="24"/>
        </w:rPr>
        <w:t>Edoxaban appears to be eliminated th</w:t>
      </w:r>
      <w:r w:rsidR="00037644" w:rsidRPr="00A903DD">
        <w:rPr>
          <w:rFonts w:ascii="Book Antiqua" w:hAnsi="Book Antiqua"/>
          <w:sz w:val="24"/>
          <w:szCs w:val="24"/>
        </w:rPr>
        <w:t>r</w:t>
      </w:r>
      <w:r w:rsidRPr="00A903DD">
        <w:rPr>
          <w:rFonts w:ascii="Book Antiqua" w:hAnsi="Book Antiqua"/>
          <w:sz w:val="24"/>
          <w:szCs w:val="24"/>
        </w:rPr>
        <w:t>ough a mu</w:t>
      </w:r>
      <w:r w:rsidR="00BD5672" w:rsidRPr="00A903DD">
        <w:rPr>
          <w:rFonts w:ascii="Book Antiqua" w:hAnsi="Book Antiqua"/>
          <w:sz w:val="24"/>
          <w:szCs w:val="24"/>
        </w:rPr>
        <w:t>ltitude of pathways with negligi</w:t>
      </w:r>
      <w:r w:rsidRPr="00A903DD">
        <w:rPr>
          <w:rFonts w:ascii="Book Antiqua" w:hAnsi="Book Antiqua"/>
          <w:sz w:val="24"/>
          <w:szCs w:val="24"/>
        </w:rPr>
        <w:t>ble contribution from CYP</w:t>
      </w:r>
      <w:r w:rsidR="00E148C7" w:rsidRPr="00A903DD">
        <w:rPr>
          <w:rFonts w:ascii="Book Antiqua" w:hAnsi="Book Antiqua"/>
          <w:sz w:val="24"/>
          <w:szCs w:val="24"/>
        </w:rPr>
        <w:t>450</w:t>
      </w:r>
      <w:r w:rsidRPr="00A903DD">
        <w:rPr>
          <w:rFonts w:ascii="Book Antiqua" w:hAnsi="Book Antiqua"/>
          <w:sz w:val="24"/>
          <w:szCs w:val="24"/>
        </w:rPr>
        <w:t xml:space="preserve"> </w:t>
      </w:r>
      <w:proofErr w:type="gramStart"/>
      <w:r w:rsidR="006B3D48" w:rsidRPr="00A903DD">
        <w:rPr>
          <w:rFonts w:ascii="Book Antiqua" w:hAnsi="Book Antiqua"/>
          <w:sz w:val="24"/>
          <w:szCs w:val="24"/>
        </w:rPr>
        <w:t>isoenzymes</w:t>
      </w:r>
      <w:r w:rsidR="00210F8E" w:rsidRPr="00A903DD">
        <w:rPr>
          <w:rFonts w:ascii="Book Antiqua" w:hAnsi="Book Antiqua"/>
          <w:sz w:val="24"/>
          <w:szCs w:val="24"/>
          <w:vertAlign w:val="superscript"/>
        </w:rPr>
        <w:t>[</w:t>
      </w:r>
      <w:proofErr w:type="gramEnd"/>
      <w:r w:rsidR="00210F8E" w:rsidRPr="00A903DD">
        <w:rPr>
          <w:rFonts w:ascii="Book Antiqua" w:hAnsi="Book Antiqua"/>
          <w:sz w:val="24"/>
          <w:szCs w:val="24"/>
          <w:vertAlign w:val="superscript"/>
        </w:rPr>
        <w:t>44</w:t>
      </w:r>
      <w:r w:rsidRPr="00A903DD">
        <w:rPr>
          <w:rFonts w:ascii="Book Antiqua" w:hAnsi="Book Antiqua"/>
          <w:sz w:val="24"/>
          <w:szCs w:val="24"/>
          <w:vertAlign w:val="superscript"/>
        </w:rPr>
        <w:t>]</w:t>
      </w:r>
      <w:r w:rsidR="006B3D48" w:rsidRPr="00A903DD">
        <w:rPr>
          <w:rFonts w:ascii="Book Antiqua" w:hAnsi="Book Antiqua"/>
          <w:sz w:val="24"/>
          <w:szCs w:val="24"/>
        </w:rPr>
        <w:t xml:space="preserve">. </w:t>
      </w:r>
      <w:r w:rsidRPr="00A903DD">
        <w:rPr>
          <w:rFonts w:ascii="Book Antiqua" w:hAnsi="Book Antiqua"/>
          <w:sz w:val="24"/>
          <w:szCs w:val="24"/>
        </w:rPr>
        <w:t xml:space="preserve">Roughly half of edoxaban </w:t>
      </w:r>
      <w:r w:rsidR="00964E7D" w:rsidRPr="00A903DD">
        <w:rPr>
          <w:rFonts w:ascii="Book Antiqua" w:hAnsi="Book Antiqua"/>
          <w:sz w:val="24"/>
          <w:szCs w:val="24"/>
        </w:rPr>
        <w:t xml:space="preserve">present in plasma </w:t>
      </w:r>
      <w:r w:rsidR="00BD5672" w:rsidRPr="00A903DD">
        <w:rPr>
          <w:rFonts w:ascii="Book Antiqua" w:hAnsi="Book Antiqua"/>
          <w:sz w:val="24"/>
          <w:szCs w:val="24"/>
        </w:rPr>
        <w:t>is eliminated by the kidneys</w:t>
      </w:r>
      <w:r w:rsidRPr="00A903DD">
        <w:rPr>
          <w:rFonts w:ascii="Book Antiqua" w:hAnsi="Book Antiqua"/>
          <w:sz w:val="24"/>
          <w:szCs w:val="24"/>
        </w:rPr>
        <w:t xml:space="preserve">, causing prolonged drug exposure in </w:t>
      </w:r>
      <w:r w:rsidR="00985904">
        <w:rPr>
          <w:rFonts w:ascii="Book Antiqua" w:hAnsi="Book Antiqua"/>
          <w:sz w:val="24"/>
          <w:szCs w:val="24"/>
        </w:rPr>
        <w:t xml:space="preserve">those with renal dysfunction. </w:t>
      </w:r>
      <w:r w:rsidRPr="00A903DD">
        <w:rPr>
          <w:rFonts w:ascii="Book Antiqua" w:hAnsi="Book Antiqua"/>
          <w:sz w:val="24"/>
          <w:szCs w:val="24"/>
        </w:rPr>
        <w:t>In healthy individuals, repeated doses of edoxaban demonst</w:t>
      </w:r>
      <w:r w:rsidR="00964E7D" w:rsidRPr="00A903DD">
        <w:rPr>
          <w:rFonts w:ascii="Book Antiqua" w:hAnsi="Book Antiqua"/>
          <w:sz w:val="24"/>
          <w:szCs w:val="24"/>
        </w:rPr>
        <w:t>rate a half-life of 9-10 h</w:t>
      </w:r>
      <w:r w:rsidR="00985904">
        <w:rPr>
          <w:rFonts w:ascii="Book Antiqua" w:hAnsi="Book Antiqua" w:hint="eastAsia"/>
          <w:sz w:val="24"/>
          <w:szCs w:val="24"/>
          <w:lang w:eastAsia="zh-CN"/>
        </w:rPr>
        <w:t xml:space="preserve"> </w:t>
      </w:r>
      <w:r w:rsidR="00D83523" w:rsidRPr="00A903DD">
        <w:rPr>
          <w:rFonts w:ascii="Book Antiqua" w:hAnsi="Book Antiqua"/>
          <w:sz w:val="24"/>
          <w:szCs w:val="24"/>
        </w:rPr>
        <w:t>and would likely be prolonged with ren</w:t>
      </w:r>
      <w:r w:rsidR="00EC3BCB" w:rsidRPr="00A903DD">
        <w:rPr>
          <w:rFonts w:ascii="Book Antiqua" w:hAnsi="Book Antiqua"/>
          <w:sz w:val="24"/>
          <w:szCs w:val="24"/>
        </w:rPr>
        <w:t>a</w:t>
      </w:r>
      <w:r w:rsidR="00D83523" w:rsidRPr="00A903DD">
        <w:rPr>
          <w:rFonts w:ascii="Book Antiqua" w:hAnsi="Book Antiqua"/>
          <w:sz w:val="24"/>
          <w:szCs w:val="24"/>
        </w:rPr>
        <w:t xml:space="preserve">l impairment, </w:t>
      </w:r>
      <w:r w:rsidR="000A708B" w:rsidRPr="00A903DD">
        <w:rPr>
          <w:rFonts w:ascii="Book Antiqua" w:hAnsi="Book Antiqua"/>
          <w:sz w:val="24"/>
          <w:szCs w:val="24"/>
        </w:rPr>
        <w:t>al</w:t>
      </w:r>
      <w:r w:rsidR="00D83523" w:rsidRPr="00A903DD">
        <w:rPr>
          <w:rFonts w:ascii="Book Antiqua" w:hAnsi="Book Antiqua"/>
          <w:sz w:val="24"/>
          <w:szCs w:val="24"/>
        </w:rPr>
        <w:t xml:space="preserve">though to what extent has not been </w:t>
      </w:r>
      <w:r w:rsidR="00F347D6" w:rsidRPr="00A903DD">
        <w:rPr>
          <w:rFonts w:ascii="Book Antiqua" w:hAnsi="Book Antiqua"/>
          <w:sz w:val="24"/>
          <w:szCs w:val="24"/>
        </w:rPr>
        <w:t xml:space="preserve">fully </w:t>
      </w:r>
      <w:r w:rsidR="00526AF6" w:rsidRPr="00A903DD">
        <w:rPr>
          <w:rFonts w:ascii="Book Antiqua" w:hAnsi="Book Antiqua"/>
          <w:sz w:val="24"/>
          <w:szCs w:val="24"/>
        </w:rPr>
        <w:t>de</w:t>
      </w:r>
      <w:r w:rsidR="00F347D6" w:rsidRPr="00A903DD">
        <w:rPr>
          <w:rFonts w:ascii="Book Antiqua" w:hAnsi="Book Antiqua"/>
          <w:sz w:val="24"/>
          <w:szCs w:val="24"/>
        </w:rPr>
        <w:t>lineated</w:t>
      </w:r>
      <w:r w:rsidR="00526AF6" w:rsidRPr="00A903DD">
        <w:rPr>
          <w:rFonts w:ascii="Book Antiqua" w:hAnsi="Book Antiqua"/>
          <w:sz w:val="24"/>
          <w:szCs w:val="24"/>
          <w:vertAlign w:val="superscript"/>
        </w:rPr>
        <w:t>[</w:t>
      </w:r>
      <w:r w:rsidR="00284FD6" w:rsidRPr="00A903DD">
        <w:rPr>
          <w:rFonts w:ascii="Book Antiqua" w:hAnsi="Book Antiqua"/>
          <w:sz w:val="24"/>
          <w:szCs w:val="24"/>
          <w:vertAlign w:val="superscript"/>
        </w:rPr>
        <w:t>4</w:t>
      </w:r>
      <w:r w:rsidR="00210F8E" w:rsidRPr="00A903DD">
        <w:rPr>
          <w:rFonts w:ascii="Book Antiqua" w:hAnsi="Book Antiqua"/>
          <w:sz w:val="24"/>
          <w:szCs w:val="24"/>
          <w:vertAlign w:val="superscript"/>
        </w:rPr>
        <w:t>4,45</w:t>
      </w:r>
      <w:r w:rsidRPr="00A903DD">
        <w:rPr>
          <w:rFonts w:ascii="Book Antiqua" w:hAnsi="Book Antiqua"/>
          <w:sz w:val="24"/>
          <w:szCs w:val="24"/>
          <w:vertAlign w:val="superscript"/>
        </w:rPr>
        <w:t>]</w:t>
      </w:r>
      <w:r w:rsidR="00B87109" w:rsidRPr="00A903DD">
        <w:rPr>
          <w:rFonts w:ascii="Book Antiqua" w:hAnsi="Book Antiqua"/>
          <w:sz w:val="24"/>
          <w:szCs w:val="24"/>
        </w:rPr>
        <w:t>.</w:t>
      </w:r>
    </w:p>
    <w:p w:rsidR="00F80CD5" w:rsidRPr="00A903DD" w:rsidRDefault="00F80CD5" w:rsidP="00A903DD">
      <w:pPr>
        <w:spacing w:after="0" w:line="360" w:lineRule="auto"/>
        <w:jc w:val="both"/>
        <w:rPr>
          <w:rFonts w:ascii="Book Antiqua" w:hAnsi="Book Antiqua"/>
          <w:sz w:val="24"/>
          <w:szCs w:val="24"/>
        </w:rPr>
      </w:pPr>
    </w:p>
    <w:p w:rsidR="00C36AE1" w:rsidRPr="00A903DD" w:rsidRDefault="00C36AE1" w:rsidP="00A903DD">
      <w:pPr>
        <w:spacing w:after="0" w:line="360" w:lineRule="auto"/>
        <w:jc w:val="both"/>
        <w:rPr>
          <w:rFonts w:ascii="Book Antiqua" w:hAnsi="Book Antiqua"/>
          <w:b/>
          <w:i/>
          <w:sz w:val="24"/>
          <w:szCs w:val="24"/>
        </w:rPr>
      </w:pPr>
      <w:r w:rsidRPr="00A903DD">
        <w:rPr>
          <w:rFonts w:ascii="Book Antiqua" w:hAnsi="Book Antiqua"/>
          <w:b/>
          <w:i/>
          <w:sz w:val="24"/>
          <w:szCs w:val="24"/>
        </w:rPr>
        <w:t>Drug interactions with TSOAs</w:t>
      </w:r>
    </w:p>
    <w:p w:rsidR="00526AF6" w:rsidRPr="00A903DD" w:rsidRDefault="00F90542" w:rsidP="00A903DD">
      <w:pPr>
        <w:spacing w:after="0" w:line="360" w:lineRule="auto"/>
        <w:contextualSpacing/>
        <w:jc w:val="both"/>
        <w:rPr>
          <w:rFonts w:ascii="Book Antiqua" w:hAnsi="Book Antiqua"/>
          <w:sz w:val="24"/>
          <w:szCs w:val="24"/>
        </w:rPr>
      </w:pPr>
      <w:r w:rsidRPr="00A903DD">
        <w:rPr>
          <w:rFonts w:ascii="Book Antiqua" w:hAnsi="Book Antiqua"/>
          <w:sz w:val="24"/>
          <w:szCs w:val="24"/>
        </w:rPr>
        <w:t xml:space="preserve">Drug interactions with TSOAs can occur </w:t>
      </w:r>
      <w:r w:rsidR="002D55C8" w:rsidRPr="00A903DD">
        <w:rPr>
          <w:rFonts w:ascii="Book Antiqua" w:hAnsi="Book Antiqua"/>
          <w:sz w:val="24"/>
          <w:szCs w:val="24"/>
        </w:rPr>
        <w:t>when an</w:t>
      </w:r>
      <w:r w:rsidR="000A62BF" w:rsidRPr="00A903DD">
        <w:rPr>
          <w:rFonts w:ascii="Book Antiqua" w:hAnsi="Book Antiqua"/>
          <w:sz w:val="24"/>
          <w:szCs w:val="24"/>
        </w:rPr>
        <w:t>other</w:t>
      </w:r>
      <w:r w:rsidR="002D55C8" w:rsidRPr="00A903DD">
        <w:rPr>
          <w:rFonts w:ascii="Book Antiqua" w:hAnsi="Book Antiqua"/>
          <w:sz w:val="24"/>
          <w:szCs w:val="24"/>
        </w:rPr>
        <w:t xml:space="preserve"> drug alters the </w:t>
      </w:r>
      <w:r w:rsidRPr="00A903DD">
        <w:rPr>
          <w:rFonts w:ascii="Book Antiqua" w:hAnsi="Book Antiqua"/>
          <w:sz w:val="24"/>
          <w:szCs w:val="24"/>
        </w:rPr>
        <w:t xml:space="preserve">pharmacokinetics of the anticoagulant or as a result of additive </w:t>
      </w:r>
      <w:r w:rsidR="002D55C8" w:rsidRPr="00A903DD">
        <w:rPr>
          <w:rFonts w:ascii="Book Antiqua" w:hAnsi="Book Antiqua"/>
          <w:sz w:val="24"/>
          <w:szCs w:val="24"/>
        </w:rPr>
        <w:t>pharmacodynamic</w:t>
      </w:r>
      <w:r w:rsidRPr="00A903DD">
        <w:rPr>
          <w:rFonts w:ascii="Book Antiqua" w:hAnsi="Book Antiqua"/>
          <w:sz w:val="24"/>
          <w:szCs w:val="24"/>
        </w:rPr>
        <w:t xml:space="preserve"> effects on coagulation.</w:t>
      </w:r>
      <w:r w:rsidR="00985904">
        <w:rPr>
          <w:rFonts w:ascii="Book Antiqua" w:hAnsi="Book Antiqua"/>
          <w:sz w:val="24"/>
          <w:szCs w:val="24"/>
        </w:rPr>
        <w:t xml:space="preserve"> </w:t>
      </w:r>
      <w:r w:rsidR="002D55C8" w:rsidRPr="00A903DD">
        <w:rPr>
          <w:rFonts w:ascii="Book Antiqua" w:hAnsi="Book Antiqua"/>
          <w:sz w:val="24"/>
          <w:szCs w:val="24"/>
        </w:rPr>
        <w:t>Either type of drug interaction can affect the predictable effects on c</w:t>
      </w:r>
      <w:r w:rsidR="00985904">
        <w:rPr>
          <w:rFonts w:ascii="Book Antiqua" w:hAnsi="Book Antiqua"/>
          <w:sz w:val="24"/>
          <w:szCs w:val="24"/>
        </w:rPr>
        <w:t xml:space="preserve">oagulation of the newer agent. </w:t>
      </w:r>
      <w:r w:rsidR="002D55C8" w:rsidRPr="00A903DD">
        <w:rPr>
          <w:rFonts w:ascii="Book Antiqua" w:hAnsi="Book Antiqua"/>
          <w:sz w:val="24"/>
          <w:szCs w:val="24"/>
        </w:rPr>
        <w:t>Pharmacokinetic-based interactions may lead to de</w:t>
      </w:r>
      <w:r w:rsidR="00A72C4A" w:rsidRPr="00A903DD">
        <w:rPr>
          <w:rFonts w:ascii="Book Antiqua" w:hAnsi="Book Antiqua"/>
          <w:sz w:val="24"/>
          <w:szCs w:val="24"/>
        </w:rPr>
        <w:t>creased or increased exposure of</w:t>
      </w:r>
      <w:r w:rsidR="002D55C8" w:rsidRPr="00A903DD">
        <w:rPr>
          <w:rFonts w:ascii="Book Antiqua" w:hAnsi="Book Antiqua"/>
          <w:sz w:val="24"/>
          <w:szCs w:val="24"/>
        </w:rPr>
        <w:t xml:space="preserve"> the TSOA</w:t>
      </w:r>
      <w:r w:rsidR="00D55580" w:rsidRPr="00A903DD">
        <w:rPr>
          <w:rFonts w:ascii="Book Antiqua" w:hAnsi="Book Antiqua"/>
          <w:sz w:val="24"/>
          <w:szCs w:val="24"/>
        </w:rPr>
        <w:t>,</w:t>
      </w:r>
      <w:r w:rsidR="002D55C8" w:rsidRPr="00A903DD">
        <w:rPr>
          <w:rFonts w:ascii="Book Antiqua" w:hAnsi="Book Antiqua"/>
          <w:sz w:val="24"/>
          <w:szCs w:val="24"/>
        </w:rPr>
        <w:t xml:space="preserve"> resulting in </w:t>
      </w:r>
      <w:r w:rsidR="00D55580" w:rsidRPr="00A903DD">
        <w:rPr>
          <w:rFonts w:ascii="Book Antiqua" w:hAnsi="Book Antiqua"/>
          <w:sz w:val="24"/>
          <w:szCs w:val="24"/>
        </w:rPr>
        <w:t>greater risk of thrombo</w:t>
      </w:r>
      <w:r w:rsidR="00985904">
        <w:rPr>
          <w:rFonts w:ascii="Book Antiqua" w:hAnsi="Book Antiqua"/>
          <w:sz w:val="24"/>
          <w:szCs w:val="24"/>
        </w:rPr>
        <w:t xml:space="preserve">sis or bleeding, respectively. </w:t>
      </w:r>
      <w:r w:rsidR="00D55580" w:rsidRPr="00A903DD">
        <w:rPr>
          <w:rFonts w:ascii="Book Antiqua" w:hAnsi="Book Antiqua"/>
          <w:sz w:val="24"/>
          <w:szCs w:val="24"/>
        </w:rPr>
        <w:t>Pharmacodynamic-based interactions are of concern because of an enhanced bleeding risk.</w:t>
      </w:r>
      <w:r w:rsidR="00985904">
        <w:rPr>
          <w:rFonts w:ascii="Book Antiqua" w:hAnsi="Book Antiqua"/>
          <w:sz w:val="24"/>
          <w:szCs w:val="24"/>
        </w:rPr>
        <w:t xml:space="preserve"> </w:t>
      </w:r>
      <w:r w:rsidR="005F0A1D" w:rsidRPr="00A903DD">
        <w:rPr>
          <w:rFonts w:ascii="Book Antiqua" w:hAnsi="Book Antiqua"/>
          <w:sz w:val="24"/>
          <w:szCs w:val="24"/>
        </w:rPr>
        <w:t xml:space="preserve">Because of the </w:t>
      </w:r>
      <w:r w:rsidR="001261EB" w:rsidRPr="00A903DD">
        <w:rPr>
          <w:rFonts w:ascii="Book Antiqua" w:hAnsi="Book Antiqua"/>
          <w:sz w:val="24"/>
          <w:szCs w:val="24"/>
        </w:rPr>
        <w:t xml:space="preserve">lower dosage and </w:t>
      </w:r>
      <w:r w:rsidR="005F0A1D" w:rsidRPr="00A903DD">
        <w:rPr>
          <w:rFonts w:ascii="Book Antiqua" w:hAnsi="Book Antiqua"/>
          <w:sz w:val="24"/>
          <w:szCs w:val="24"/>
        </w:rPr>
        <w:t>shorter durat</w:t>
      </w:r>
      <w:r w:rsidR="001261EB" w:rsidRPr="00A903DD">
        <w:rPr>
          <w:rFonts w:ascii="Book Antiqua" w:hAnsi="Book Antiqua"/>
          <w:sz w:val="24"/>
          <w:szCs w:val="24"/>
        </w:rPr>
        <w:t xml:space="preserve">ion of therapy </w:t>
      </w:r>
      <w:r w:rsidR="005F0A1D" w:rsidRPr="00A903DD">
        <w:rPr>
          <w:rFonts w:ascii="Book Antiqua" w:hAnsi="Book Antiqua"/>
          <w:sz w:val="24"/>
          <w:szCs w:val="24"/>
        </w:rPr>
        <w:t xml:space="preserve">of the TSOA used for THA thromboprophylaxis, drug interactions </w:t>
      </w:r>
      <w:r w:rsidR="00561EB2" w:rsidRPr="00A903DD">
        <w:rPr>
          <w:rFonts w:ascii="Book Antiqua" w:hAnsi="Book Antiqua"/>
          <w:sz w:val="24"/>
          <w:szCs w:val="24"/>
        </w:rPr>
        <w:t>contributing to</w:t>
      </w:r>
      <w:r w:rsidR="005F0A1D" w:rsidRPr="00A903DD">
        <w:rPr>
          <w:rFonts w:ascii="Book Antiqua" w:hAnsi="Book Antiqua"/>
          <w:sz w:val="24"/>
          <w:szCs w:val="24"/>
        </w:rPr>
        <w:t xml:space="preserve"> an increased bleeding risk may </w:t>
      </w:r>
      <w:r w:rsidR="005F0A1D" w:rsidRPr="00A903DD">
        <w:rPr>
          <w:rFonts w:ascii="Book Antiqua" w:hAnsi="Book Antiqua"/>
          <w:sz w:val="24"/>
          <w:szCs w:val="24"/>
        </w:rPr>
        <w:lastRenderedPageBreak/>
        <w:t xml:space="preserve">be </w:t>
      </w:r>
      <w:r w:rsidR="001261EB" w:rsidRPr="00A903DD">
        <w:rPr>
          <w:rFonts w:ascii="Book Antiqua" w:hAnsi="Book Antiqua"/>
          <w:sz w:val="24"/>
          <w:szCs w:val="24"/>
        </w:rPr>
        <w:t>less important</w:t>
      </w:r>
      <w:r w:rsidR="005F0A1D" w:rsidRPr="00A903DD">
        <w:rPr>
          <w:rFonts w:ascii="Book Antiqua" w:hAnsi="Book Antiqua"/>
          <w:sz w:val="24"/>
          <w:szCs w:val="24"/>
        </w:rPr>
        <w:t xml:space="preserve"> compared to other patient populations. On the other hand, drug interactions resulting in a diminished TSOA effect almost certainly represent a clinically significant concern.</w:t>
      </w:r>
    </w:p>
    <w:p w:rsidR="00561EB2" w:rsidRPr="00A903DD" w:rsidRDefault="00FB1B3C" w:rsidP="0098590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The p</w:t>
      </w:r>
      <w:r w:rsidR="00A1752F" w:rsidRPr="00A903DD">
        <w:rPr>
          <w:rFonts w:ascii="Book Antiqua" w:hAnsi="Book Antiqua"/>
          <w:sz w:val="24"/>
          <w:szCs w:val="24"/>
        </w:rPr>
        <w:t>ermeability glycoprotein (P-gp) is a</w:t>
      </w:r>
      <w:r w:rsidR="00037644" w:rsidRPr="00A903DD">
        <w:rPr>
          <w:rFonts w:ascii="Book Antiqua" w:hAnsi="Book Antiqua"/>
          <w:sz w:val="24"/>
          <w:szCs w:val="24"/>
        </w:rPr>
        <w:t>n</w:t>
      </w:r>
      <w:r w:rsidR="00A1752F" w:rsidRPr="00A903DD">
        <w:rPr>
          <w:rFonts w:ascii="Book Antiqua" w:hAnsi="Book Antiqua"/>
          <w:sz w:val="24"/>
          <w:szCs w:val="24"/>
        </w:rPr>
        <w:t xml:space="preserve"> efflux transporter protein that is primarily expressed in the small intestines, hepatocytes, and the renal pr</w:t>
      </w:r>
      <w:r w:rsidR="00985904">
        <w:rPr>
          <w:rFonts w:ascii="Book Antiqua" w:hAnsi="Book Antiqua"/>
          <w:sz w:val="24"/>
          <w:szCs w:val="24"/>
        </w:rPr>
        <w:t xml:space="preserve">oximal tubules of the kidneys. </w:t>
      </w:r>
      <w:r w:rsidR="00A1752F" w:rsidRPr="00A903DD">
        <w:rPr>
          <w:rFonts w:ascii="Book Antiqua" w:hAnsi="Book Antiqua"/>
          <w:sz w:val="24"/>
          <w:szCs w:val="24"/>
        </w:rPr>
        <w:t>P-gp mediates the transportation of many medications and endogenous compounds ac</w:t>
      </w:r>
      <w:r w:rsidR="0019042E" w:rsidRPr="00A903DD">
        <w:rPr>
          <w:rFonts w:ascii="Book Antiqua" w:hAnsi="Book Antiqua"/>
          <w:sz w:val="24"/>
          <w:szCs w:val="24"/>
        </w:rPr>
        <w:t>ross the cell membranes.  D</w:t>
      </w:r>
      <w:r w:rsidR="00A1752F" w:rsidRPr="00A903DD">
        <w:rPr>
          <w:rFonts w:ascii="Book Antiqua" w:hAnsi="Book Antiqua"/>
          <w:sz w:val="24"/>
          <w:szCs w:val="24"/>
        </w:rPr>
        <w:t>rugs can either induce or inhibit the action of the P-gp transporter, resulting</w:t>
      </w:r>
      <w:r w:rsidR="00037644" w:rsidRPr="00A903DD">
        <w:rPr>
          <w:rFonts w:ascii="Book Antiqua" w:hAnsi="Book Antiqua"/>
          <w:sz w:val="24"/>
          <w:szCs w:val="24"/>
        </w:rPr>
        <w:t xml:space="preserve"> in</w:t>
      </w:r>
      <w:r w:rsidR="00985904">
        <w:rPr>
          <w:rFonts w:ascii="Book Antiqua" w:hAnsi="Book Antiqua"/>
          <w:sz w:val="24"/>
          <w:szCs w:val="24"/>
        </w:rPr>
        <w:t xml:space="preserve"> drug-drug interactions.</w:t>
      </w:r>
      <w:r w:rsidR="00985904">
        <w:rPr>
          <w:rFonts w:ascii="Book Antiqua" w:hAnsi="Book Antiqua" w:hint="eastAsia"/>
          <w:sz w:val="24"/>
          <w:szCs w:val="24"/>
          <w:lang w:eastAsia="zh-CN"/>
        </w:rPr>
        <w:t xml:space="preserve"> </w:t>
      </w:r>
      <w:r w:rsidR="00F90542" w:rsidRPr="00A903DD">
        <w:rPr>
          <w:rFonts w:ascii="Book Antiqua" w:hAnsi="Book Antiqua"/>
          <w:sz w:val="24"/>
          <w:szCs w:val="24"/>
        </w:rPr>
        <w:t xml:space="preserve">Regarding </w:t>
      </w:r>
      <w:r w:rsidR="000A62BF" w:rsidRPr="00A903DD">
        <w:rPr>
          <w:rFonts w:ascii="Book Antiqua" w:hAnsi="Book Antiqua"/>
          <w:sz w:val="24"/>
          <w:szCs w:val="24"/>
        </w:rPr>
        <w:t>some TSOAs</w:t>
      </w:r>
      <w:r w:rsidRPr="00A903DD">
        <w:rPr>
          <w:rFonts w:ascii="Book Antiqua" w:hAnsi="Book Antiqua"/>
          <w:sz w:val="24"/>
          <w:szCs w:val="24"/>
        </w:rPr>
        <w:t>, i</w:t>
      </w:r>
      <w:r w:rsidR="0019042E" w:rsidRPr="00A903DD">
        <w:rPr>
          <w:rFonts w:ascii="Book Antiqua" w:hAnsi="Book Antiqua"/>
          <w:sz w:val="24"/>
          <w:szCs w:val="24"/>
        </w:rPr>
        <w:t xml:space="preserve">nducing P-gp can </w:t>
      </w:r>
      <w:r w:rsidRPr="00A903DD">
        <w:rPr>
          <w:rFonts w:ascii="Book Antiqua" w:hAnsi="Book Antiqua"/>
          <w:sz w:val="24"/>
          <w:szCs w:val="24"/>
        </w:rPr>
        <w:t>lead to reduced</w:t>
      </w:r>
      <w:r w:rsidR="00A1752F" w:rsidRPr="00A903DD">
        <w:rPr>
          <w:rFonts w:ascii="Book Antiqua" w:hAnsi="Book Antiqua"/>
          <w:sz w:val="24"/>
          <w:szCs w:val="24"/>
        </w:rPr>
        <w:t xml:space="preserve"> plasma drug concentrations and</w:t>
      </w:r>
      <w:r w:rsidR="0019042E" w:rsidRPr="00A903DD">
        <w:rPr>
          <w:rFonts w:ascii="Book Antiqua" w:hAnsi="Book Antiqua"/>
          <w:sz w:val="24"/>
          <w:szCs w:val="24"/>
        </w:rPr>
        <w:t xml:space="preserve"> </w:t>
      </w:r>
      <w:r w:rsidRPr="00A903DD">
        <w:rPr>
          <w:rFonts w:ascii="Book Antiqua" w:hAnsi="Book Antiqua"/>
          <w:sz w:val="24"/>
          <w:szCs w:val="24"/>
        </w:rPr>
        <w:t xml:space="preserve">a greater risk of thrombosis, </w:t>
      </w:r>
      <w:r w:rsidR="0019042E" w:rsidRPr="00A903DD">
        <w:rPr>
          <w:rFonts w:ascii="Book Antiqua" w:hAnsi="Book Antiqua"/>
          <w:sz w:val="24"/>
          <w:szCs w:val="24"/>
        </w:rPr>
        <w:t>while i</w:t>
      </w:r>
      <w:r w:rsidRPr="00A903DD">
        <w:rPr>
          <w:rFonts w:ascii="Book Antiqua" w:hAnsi="Book Antiqua"/>
          <w:sz w:val="24"/>
          <w:szCs w:val="24"/>
        </w:rPr>
        <w:t>nhibiting</w:t>
      </w:r>
      <w:r w:rsidR="00A1752F" w:rsidRPr="00A903DD">
        <w:rPr>
          <w:rFonts w:ascii="Book Antiqua" w:hAnsi="Book Antiqua"/>
          <w:sz w:val="24"/>
          <w:szCs w:val="24"/>
        </w:rPr>
        <w:t xml:space="preserve"> P-gp will e</w:t>
      </w:r>
      <w:r w:rsidRPr="00A903DD">
        <w:rPr>
          <w:rFonts w:ascii="Book Antiqua" w:hAnsi="Book Antiqua"/>
          <w:sz w:val="24"/>
          <w:szCs w:val="24"/>
        </w:rPr>
        <w:t>levate serum drug concentration</w:t>
      </w:r>
      <w:r w:rsidR="00A1752F" w:rsidRPr="00A903DD">
        <w:rPr>
          <w:rFonts w:ascii="Book Antiqua" w:hAnsi="Book Antiqua"/>
          <w:sz w:val="24"/>
          <w:szCs w:val="24"/>
        </w:rPr>
        <w:t xml:space="preserve"> and</w:t>
      </w:r>
      <w:r w:rsidRPr="00A903DD">
        <w:rPr>
          <w:rFonts w:ascii="Book Antiqua" w:hAnsi="Book Antiqua"/>
          <w:sz w:val="24"/>
          <w:szCs w:val="24"/>
        </w:rPr>
        <w:t xml:space="preserve"> </w:t>
      </w:r>
      <w:r w:rsidR="00985904">
        <w:rPr>
          <w:rFonts w:ascii="Book Antiqua" w:hAnsi="Book Antiqua"/>
          <w:sz w:val="24"/>
          <w:szCs w:val="24"/>
        </w:rPr>
        <w:t xml:space="preserve">increase the risk of bleeding. </w:t>
      </w:r>
      <w:r w:rsidRPr="00A903DD">
        <w:rPr>
          <w:rFonts w:ascii="Book Antiqua" w:hAnsi="Book Antiqua"/>
          <w:sz w:val="24"/>
          <w:szCs w:val="24"/>
        </w:rPr>
        <w:t xml:space="preserve">Alteration of one or more of the CYP450 </w:t>
      </w:r>
      <w:r w:rsidR="00037644" w:rsidRPr="00A903DD">
        <w:rPr>
          <w:rFonts w:ascii="Book Antiqua" w:hAnsi="Book Antiqua"/>
          <w:sz w:val="24"/>
          <w:szCs w:val="24"/>
        </w:rPr>
        <w:t>iso</w:t>
      </w:r>
      <w:r w:rsidRPr="00A903DD">
        <w:rPr>
          <w:rFonts w:ascii="Book Antiqua" w:hAnsi="Book Antiqua"/>
          <w:sz w:val="24"/>
          <w:szCs w:val="24"/>
        </w:rPr>
        <w:t>enzymes is</w:t>
      </w:r>
      <w:r w:rsidR="00A1752F" w:rsidRPr="00A903DD">
        <w:rPr>
          <w:rFonts w:ascii="Book Antiqua" w:hAnsi="Book Antiqua"/>
          <w:sz w:val="24"/>
          <w:szCs w:val="24"/>
        </w:rPr>
        <w:t xml:space="preserve"> another </w:t>
      </w:r>
      <w:r w:rsidRPr="00A903DD">
        <w:rPr>
          <w:rFonts w:ascii="Book Antiqua" w:hAnsi="Book Antiqua"/>
          <w:sz w:val="24"/>
          <w:szCs w:val="24"/>
        </w:rPr>
        <w:t xml:space="preserve">common source of </w:t>
      </w:r>
      <w:r w:rsidR="00A1752F" w:rsidRPr="00A903DD">
        <w:rPr>
          <w:rFonts w:ascii="Book Antiqua" w:hAnsi="Book Antiqua"/>
          <w:sz w:val="24"/>
          <w:szCs w:val="24"/>
        </w:rPr>
        <w:t>drug-drug interaction</w:t>
      </w:r>
      <w:r w:rsidR="00EB6AC9" w:rsidRPr="00A903DD">
        <w:rPr>
          <w:rFonts w:ascii="Book Antiqua" w:hAnsi="Book Antiqua"/>
          <w:sz w:val="24"/>
          <w:szCs w:val="24"/>
        </w:rPr>
        <w:t>, since m</w:t>
      </w:r>
      <w:r w:rsidR="00A1752F" w:rsidRPr="00A903DD">
        <w:rPr>
          <w:rFonts w:ascii="Book Antiqua" w:hAnsi="Book Antiqua"/>
          <w:sz w:val="24"/>
          <w:szCs w:val="24"/>
        </w:rPr>
        <w:t>any medications have the potential for either inducing or inhibiting CYP</w:t>
      </w:r>
      <w:r w:rsidR="00AE7600" w:rsidRPr="00A903DD">
        <w:rPr>
          <w:rFonts w:ascii="Book Antiqua" w:hAnsi="Book Antiqua"/>
          <w:sz w:val="24"/>
          <w:szCs w:val="24"/>
        </w:rPr>
        <w:t>450</w:t>
      </w:r>
      <w:r w:rsidR="00A1752F" w:rsidRPr="00A903DD">
        <w:rPr>
          <w:rFonts w:ascii="Book Antiqua" w:hAnsi="Book Antiqua"/>
          <w:sz w:val="24"/>
          <w:szCs w:val="24"/>
        </w:rPr>
        <w:t xml:space="preserve"> </w:t>
      </w:r>
      <w:r w:rsidR="00526AF6" w:rsidRPr="00A903DD">
        <w:rPr>
          <w:rFonts w:ascii="Book Antiqua" w:hAnsi="Book Antiqua"/>
          <w:sz w:val="24"/>
          <w:szCs w:val="24"/>
        </w:rPr>
        <w:t>iso</w:t>
      </w:r>
      <w:r w:rsidR="00A1752F" w:rsidRPr="00A903DD">
        <w:rPr>
          <w:rFonts w:ascii="Book Antiqua" w:hAnsi="Book Antiqua"/>
          <w:sz w:val="24"/>
          <w:szCs w:val="24"/>
        </w:rPr>
        <w:t xml:space="preserve">enzymes, thus </w:t>
      </w:r>
      <w:r w:rsidR="00EB6AC9" w:rsidRPr="00A903DD">
        <w:rPr>
          <w:rFonts w:ascii="Book Antiqua" w:hAnsi="Book Antiqua"/>
          <w:sz w:val="24"/>
          <w:szCs w:val="24"/>
        </w:rPr>
        <w:t xml:space="preserve">affecting </w:t>
      </w:r>
      <w:r w:rsidR="00A1752F" w:rsidRPr="00A903DD">
        <w:rPr>
          <w:rFonts w:ascii="Book Antiqua" w:hAnsi="Book Antiqua"/>
          <w:sz w:val="24"/>
          <w:szCs w:val="24"/>
        </w:rPr>
        <w:t>t</w:t>
      </w:r>
      <w:r w:rsidRPr="00A903DD">
        <w:rPr>
          <w:rFonts w:ascii="Book Antiqua" w:hAnsi="Book Antiqua"/>
          <w:sz w:val="24"/>
          <w:szCs w:val="24"/>
        </w:rPr>
        <w:t>he metabolism of certain</w:t>
      </w:r>
      <w:r w:rsidR="00EB6AC9" w:rsidRPr="00A903DD">
        <w:rPr>
          <w:rFonts w:ascii="Book Antiqua" w:hAnsi="Book Antiqua"/>
          <w:sz w:val="24"/>
          <w:szCs w:val="24"/>
        </w:rPr>
        <w:t xml:space="preserve"> other</w:t>
      </w:r>
      <w:r w:rsidR="00561EB2" w:rsidRPr="00A903DD">
        <w:rPr>
          <w:rFonts w:ascii="Book Antiqua" w:hAnsi="Book Antiqua"/>
          <w:sz w:val="24"/>
          <w:szCs w:val="24"/>
        </w:rPr>
        <w:t xml:space="preserve"> drugs</w:t>
      </w:r>
      <w:r w:rsidRPr="00A903DD">
        <w:rPr>
          <w:rFonts w:ascii="Book Antiqua" w:hAnsi="Book Antiqua"/>
          <w:sz w:val="24"/>
          <w:szCs w:val="24"/>
          <w:vertAlign w:val="superscript"/>
        </w:rPr>
        <w:t>[42]</w:t>
      </w:r>
      <w:r w:rsidR="00561EB2" w:rsidRPr="00A903DD">
        <w:rPr>
          <w:rFonts w:ascii="Book Antiqua" w:hAnsi="Book Antiqua"/>
          <w:sz w:val="24"/>
          <w:szCs w:val="24"/>
        </w:rPr>
        <w:t>.</w:t>
      </w:r>
    </w:p>
    <w:p w:rsidR="00C36AE1" w:rsidRPr="00A903DD" w:rsidRDefault="00C36AE1" w:rsidP="0098590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 xml:space="preserve">Dabigatran is a substrate for the </w:t>
      </w:r>
      <w:r w:rsidR="00BF2CF7" w:rsidRPr="00A903DD">
        <w:rPr>
          <w:rFonts w:ascii="Book Antiqua" w:hAnsi="Book Antiqua"/>
          <w:sz w:val="24"/>
          <w:szCs w:val="24"/>
        </w:rPr>
        <w:t>P-</w:t>
      </w:r>
      <w:r w:rsidRPr="00A903DD">
        <w:rPr>
          <w:rFonts w:ascii="Book Antiqua" w:hAnsi="Book Antiqua"/>
          <w:sz w:val="24"/>
          <w:szCs w:val="24"/>
        </w:rPr>
        <w:t xml:space="preserve">gp efflux transporter </w:t>
      </w:r>
      <w:r w:rsidR="00A1752F" w:rsidRPr="00A903DD">
        <w:rPr>
          <w:rFonts w:ascii="Book Antiqua" w:hAnsi="Book Antiqua"/>
          <w:sz w:val="24"/>
          <w:szCs w:val="24"/>
        </w:rPr>
        <w:t>that</w:t>
      </w:r>
      <w:r w:rsidRPr="00A903DD">
        <w:rPr>
          <w:rFonts w:ascii="Book Antiqua" w:hAnsi="Book Antiqua"/>
          <w:sz w:val="24"/>
          <w:szCs w:val="24"/>
        </w:rPr>
        <w:t xml:space="preserve"> is</w:t>
      </w:r>
      <w:r w:rsidR="00BF2CF7" w:rsidRPr="00A903DD">
        <w:rPr>
          <w:rFonts w:ascii="Book Antiqua" w:hAnsi="Book Antiqua"/>
          <w:sz w:val="24"/>
          <w:szCs w:val="24"/>
        </w:rPr>
        <w:t xml:space="preserve"> </w:t>
      </w:r>
      <w:r w:rsidRPr="00A903DD">
        <w:rPr>
          <w:rFonts w:ascii="Book Antiqua" w:hAnsi="Book Antiqua"/>
          <w:sz w:val="24"/>
          <w:szCs w:val="24"/>
        </w:rPr>
        <w:t xml:space="preserve">responsible for </w:t>
      </w:r>
      <w:r w:rsidR="00BF2CF7" w:rsidRPr="00A903DD">
        <w:rPr>
          <w:rFonts w:ascii="Book Antiqua" w:hAnsi="Book Antiqua"/>
          <w:sz w:val="24"/>
          <w:szCs w:val="24"/>
        </w:rPr>
        <w:t xml:space="preserve">most of its clinically </w:t>
      </w:r>
      <w:r w:rsidRPr="00A903DD">
        <w:rPr>
          <w:rFonts w:ascii="Book Antiqua" w:hAnsi="Book Antiqua"/>
          <w:sz w:val="24"/>
          <w:szCs w:val="24"/>
        </w:rPr>
        <w:t>significant drug interactions</w:t>
      </w:r>
      <w:r w:rsidR="008D4CF1" w:rsidRPr="00A903DD">
        <w:rPr>
          <w:rFonts w:ascii="Book Antiqua" w:hAnsi="Book Antiqua"/>
          <w:sz w:val="24"/>
          <w:szCs w:val="24"/>
        </w:rPr>
        <w:t xml:space="preserve">; the drug is not a substrate for any CYP450 </w:t>
      </w:r>
      <w:r w:rsidR="00E148C7" w:rsidRPr="00A903DD">
        <w:rPr>
          <w:rFonts w:ascii="Book Antiqua" w:hAnsi="Book Antiqua"/>
          <w:sz w:val="24"/>
          <w:szCs w:val="24"/>
        </w:rPr>
        <w:t>iso</w:t>
      </w:r>
      <w:r w:rsidR="008D4CF1" w:rsidRPr="00A903DD">
        <w:rPr>
          <w:rFonts w:ascii="Book Antiqua" w:hAnsi="Book Antiqua"/>
          <w:sz w:val="24"/>
          <w:szCs w:val="24"/>
        </w:rPr>
        <w:t>enzymes</w:t>
      </w:r>
      <w:r w:rsidRPr="00A903DD">
        <w:rPr>
          <w:rFonts w:ascii="Book Antiqua" w:hAnsi="Book Antiqua"/>
          <w:sz w:val="24"/>
          <w:szCs w:val="24"/>
        </w:rPr>
        <w:t>.</w:t>
      </w:r>
      <w:r w:rsidR="00985904">
        <w:rPr>
          <w:rFonts w:ascii="Book Antiqua" w:hAnsi="Book Antiqua"/>
          <w:sz w:val="24"/>
          <w:szCs w:val="24"/>
        </w:rPr>
        <w:t xml:space="preserve"> </w:t>
      </w:r>
      <w:r w:rsidR="008D4CF1" w:rsidRPr="00A903DD">
        <w:rPr>
          <w:rFonts w:ascii="Book Antiqua" w:hAnsi="Book Antiqua"/>
          <w:sz w:val="24"/>
          <w:szCs w:val="24"/>
        </w:rPr>
        <w:t>Only moderate (</w:t>
      </w:r>
      <w:r w:rsidR="008D4CF1" w:rsidRPr="00985904">
        <w:rPr>
          <w:rFonts w:ascii="Book Antiqua" w:hAnsi="Book Antiqua"/>
          <w:i/>
          <w:sz w:val="24"/>
          <w:szCs w:val="24"/>
        </w:rPr>
        <w:t>e.g.</w:t>
      </w:r>
      <w:r w:rsidR="00985904">
        <w:rPr>
          <w:rFonts w:ascii="Book Antiqua" w:hAnsi="Book Antiqua" w:hint="eastAsia"/>
          <w:sz w:val="24"/>
          <w:szCs w:val="24"/>
          <w:lang w:eastAsia="zh-CN"/>
        </w:rPr>
        <w:t>,</w:t>
      </w:r>
      <w:r w:rsidR="008D4CF1" w:rsidRPr="00A903DD">
        <w:rPr>
          <w:rFonts w:ascii="Book Antiqua" w:hAnsi="Book Antiqua"/>
          <w:sz w:val="24"/>
          <w:szCs w:val="24"/>
        </w:rPr>
        <w:t xml:space="preserve"> amiodarone, quinidine, and verapamil) and strong (</w:t>
      </w:r>
      <w:r w:rsidR="008D4CF1" w:rsidRPr="00985904">
        <w:rPr>
          <w:rFonts w:ascii="Book Antiqua" w:hAnsi="Book Antiqua"/>
          <w:i/>
          <w:sz w:val="24"/>
          <w:szCs w:val="24"/>
        </w:rPr>
        <w:t>e.g.</w:t>
      </w:r>
      <w:r w:rsidR="00985904">
        <w:rPr>
          <w:rFonts w:ascii="Book Antiqua" w:hAnsi="Book Antiqua" w:hint="eastAsia"/>
          <w:sz w:val="24"/>
          <w:szCs w:val="24"/>
          <w:lang w:eastAsia="zh-CN"/>
        </w:rPr>
        <w:t>,</w:t>
      </w:r>
      <w:r w:rsidR="008D4CF1" w:rsidRPr="00A903DD">
        <w:rPr>
          <w:rFonts w:ascii="Book Antiqua" w:hAnsi="Book Antiqua"/>
          <w:sz w:val="24"/>
          <w:szCs w:val="24"/>
        </w:rPr>
        <w:t xml:space="preserve"> cyclosporine, dronedarone, itraconazole, </w:t>
      </w:r>
      <w:r w:rsidR="00D842AE" w:rsidRPr="00A903DD">
        <w:rPr>
          <w:rFonts w:ascii="Book Antiqua" w:hAnsi="Book Antiqua"/>
          <w:sz w:val="24"/>
          <w:szCs w:val="24"/>
        </w:rPr>
        <w:t>systemic</w:t>
      </w:r>
      <w:r w:rsidR="008D4CF1" w:rsidRPr="00A903DD">
        <w:rPr>
          <w:rFonts w:ascii="Book Antiqua" w:hAnsi="Book Antiqua"/>
          <w:sz w:val="24"/>
          <w:szCs w:val="24"/>
        </w:rPr>
        <w:t xml:space="preserve"> ketoconazole, and tacrolimus) </w:t>
      </w:r>
      <w:r w:rsidR="00660C0E" w:rsidRPr="00A903DD">
        <w:rPr>
          <w:rFonts w:ascii="Book Antiqua" w:hAnsi="Book Antiqua"/>
          <w:sz w:val="24"/>
          <w:szCs w:val="24"/>
        </w:rPr>
        <w:t xml:space="preserve">P-gp inhibitors </w:t>
      </w:r>
      <w:r w:rsidR="008D4CF1" w:rsidRPr="00A903DD">
        <w:rPr>
          <w:rFonts w:ascii="Book Antiqua" w:hAnsi="Book Antiqua"/>
          <w:sz w:val="24"/>
          <w:szCs w:val="24"/>
        </w:rPr>
        <w:t>impact the serum concentration of dabigatran</w:t>
      </w:r>
      <w:r w:rsidR="00F90542" w:rsidRPr="00A903DD">
        <w:rPr>
          <w:rFonts w:ascii="Book Antiqua" w:hAnsi="Book Antiqua"/>
          <w:sz w:val="24"/>
          <w:szCs w:val="24"/>
        </w:rPr>
        <w:t xml:space="preserve"> </w:t>
      </w:r>
      <w:r w:rsidR="00D55580" w:rsidRPr="00A903DD">
        <w:rPr>
          <w:rFonts w:ascii="Book Antiqua" w:hAnsi="Book Antiqua"/>
          <w:sz w:val="24"/>
          <w:szCs w:val="24"/>
        </w:rPr>
        <w:t>and potentiate</w:t>
      </w:r>
      <w:r w:rsidR="00F90542" w:rsidRPr="00A903DD">
        <w:rPr>
          <w:rFonts w:ascii="Book Antiqua" w:hAnsi="Book Antiqua"/>
          <w:sz w:val="24"/>
          <w:szCs w:val="24"/>
        </w:rPr>
        <w:t xml:space="preserve"> its effects</w:t>
      </w:r>
      <w:r w:rsidR="008D4CF1" w:rsidRPr="00A903DD">
        <w:rPr>
          <w:rFonts w:ascii="Book Antiqua" w:hAnsi="Book Antiqua"/>
          <w:sz w:val="24"/>
          <w:szCs w:val="24"/>
        </w:rPr>
        <w:t>.</w:t>
      </w:r>
      <w:r w:rsidR="00432B14" w:rsidRPr="00A903DD">
        <w:rPr>
          <w:rFonts w:ascii="Book Antiqua" w:hAnsi="Book Antiqua"/>
          <w:sz w:val="24"/>
          <w:szCs w:val="24"/>
        </w:rPr>
        <w:t xml:space="preserve"> </w:t>
      </w:r>
      <w:r w:rsidR="005A475A" w:rsidRPr="00A903DD">
        <w:rPr>
          <w:rFonts w:ascii="Book Antiqua" w:hAnsi="Book Antiqua"/>
          <w:sz w:val="24"/>
          <w:szCs w:val="24"/>
        </w:rPr>
        <w:t xml:space="preserve">Dabigatran use should be avoided in patients requiring the use of strong P-gp inhibitors. </w:t>
      </w:r>
      <w:r w:rsidR="00432B14" w:rsidRPr="00A903DD">
        <w:rPr>
          <w:rFonts w:ascii="Book Antiqua" w:hAnsi="Book Antiqua"/>
          <w:sz w:val="24"/>
          <w:szCs w:val="24"/>
        </w:rPr>
        <w:t>Renal dysfunction, in addition to concomitant use of a P-gp inhibitor, can greatly increa</w:t>
      </w:r>
      <w:r w:rsidR="00985904">
        <w:rPr>
          <w:rFonts w:ascii="Book Antiqua" w:hAnsi="Book Antiqua"/>
          <w:sz w:val="24"/>
          <w:szCs w:val="24"/>
        </w:rPr>
        <w:t xml:space="preserve">se the exposure to dabigatran. </w:t>
      </w:r>
      <w:r w:rsidR="00CD2092" w:rsidRPr="00A903DD">
        <w:rPr>
          <w:rFonts w:ascii="Book Antiqua" w:hAnsi="Book Antiqua"/>
          <w:sz w:val="24"/>
          <w:szCs w:val="24"/>
        </w:rPr>
        <w:t>Consequently,</w:t>
      </w:r>
      <w:r w:rsidR="008D4CF1" w:rsidRPr="00A903DD">
        <w:rPr>
          <w:rFonts w:ascii="Book Antiqua" w:hAnsi="Book Antiqua"/>
          <w:sz w:val="24"/>
          <w:szCs w:val="24"/>
        </w:rPr>
        <w:t xml:space="preserve"> a reduced dose of </w:t>
      </w:r>
      <w:r w:rsidR="00BD5672" w:rsidRPr="00A903DD">
        <w:rPr>
          <w:rFonts w:ascii="Book Antiqua" w:hAnsi="Book Antiqua"/>
          <w:sz w:val="24"/>
          <w:szCs w:val="24"/>
        </w:rPr>
        <w:t xml:space="preserve">dabigatran </w:t>
      </w:r>
      <w:r w:rsidR="008D4CF1" w:rsidRPr="00A903DD">
        <w:rPr>
          <w:rFonts w:ascii="Book Antiqua" w:hAnsi="Book Antiqua"/>
          <w:sz w:val="24"/>
          <w:szCs w:val="24"/>
        </w:rPr>
        <w:t xml:space="preserve">has been recommended </w:t>
      </w:r>
      <w:r w:rsidR="00BD5672" w:rsidRPr="00A903DD">
        <w:rPr>
          <w:rFonts w:ascii="Book Antiqua" w:hAnsi="Book Antiqua"/>
          <w:sz w:val="24"/>
          <w:szCs w:val="24"/>
        </w:rPr>
        <w:t>if co-administered</w:t>
      </w:r>
      <w:r w:rsidR="008D4CF1" w:rsidRPr="00A903DD">
        <w:rPr>
          <w:rFonts w:ascii="Book Antiqua" w:hAnsi="Book Antiqua"/>
          <w:sz w:val="24"/>
          <w:szCs w:val="24"/>
        </w:rPr>
        <w:t xml:space="preserve"> wit</w:t>
      </w:r>
      <w:r w:rsidR="00CD2092" w:rsidRPr="00A903DD">
        <w:rPr>
          <w:rFonts w:ascii="Book Antiqua" w:hAnsi="Book Antiqua"/>
          <w:sz w:val="24"/>
          <w:szCs w:val="24"/>
        </w:rPr>
        <w:t xml:space="preserve">h </w:t>
      </w:r>
      <w:r w:rsidR="005A475A" w:rsidRPr="00A903DD">
        <w:rPr>
          <w:rFonts w:ascii="Book Antiqua" w:hAnsi="Book Antiqua"/>
          <w:sz w:val="24"/>
          <w:szCs w:val="24"/>
        </w:rPr>
        <w:t>moderate</w:t>
      </w:r>
      <w:r w:rsidR="00CD2092" w:rsidRPr="00A903DD">
        <w:rPr>
          <w:rFonts w:ascii="Book Antiqua" w:hAnsi="Book Antiqua"/>
          <w:sz w:val="24"/>
          <w:szCs w:val="24"/>
        </w:rPr>
        <w:t xml:space="preserve"> P-gp inhibitor</w:t>
      </w:r>
      <w:r w:rsidR="005A475A" w:rsidRPr="00A903DD">
        <w:rPr>
          <w:rFonts w:ascii="Book Antiqua" w:hAnsi="Book Antiqua"/>
          <w:sz w:val="24"/>
          <w:szCs w:val="24"/>
        </w:rPr>
        <w:t xml:space="preserve">s such as amiodarone </w:t>
      </w:r>
      <w:r w:rsidR="00AE7600" w:rsidRPr="00A903DD">
        <w:rPr>
          <w:rFonts w:ascii="Book Antiqua" w:hAnsi="Book Antiqua"/>
          <w:sz w:val="24"/>
          <w:szCs w:val="24"/>
        </w:rPr>
        <w:t xml:space="preserve">or </w:t>
      </w:r>
      <w:r w:rsidR="00D83523" w:rsidRPr="00A903DD">
        <w:rPr>
          <w:rFonts w:ascii="Book Antiqua" w:hAnsi="Book Antiqua"/>
          <w:sz w:val="24"/>
          <w:szCs w:val="24"/>
        </w:rPr>
        <w:t>quinidine</w:t>
      </w:r>
      <w:r w:rsidR="00C47FCA" w:rsidRPr="00A903DD">
        <w:rPr>
          <w:rFonts w:ascii="Book Antiqua" w:hAnsi="Book Antiqua"/>
          <w:sz w:val="24"/>
          <w:szCs w:val="24"/>
        </w:rPr>
        <w:t xml:space="preserve"> (</w:t>
      </w:r>
      <w:r w:rsidR="00AE7600" w:rsidRPr="00A903DD">
        <w:rPr>
          <w:rFonts w:ascii="Book Antiqua" w:hAnsi="Book Antiqua"/>
          <w:sz w:val="24"/>
          <w:szCs w:val="24"/>
        </w:rPr>
        <w:t xml:space="preserve">each </w:t>
      </w:r>
      <w:r w:rsidR="00C47FCA" w:rsidRPr="00A903DD">
        <w:rPr>
          <w:rFonts w:ascii="Book Antiqua" w:hAnsi="Book Antiqua"/>
          <w:sz w:val="24"/>
          <w:szCs w:val="24"/>
        </w:rPr>
        <w:t>reduced to 150 mg daily</w:t>
      </w:r>
      <w:r w:rsidR="00E148C7" w:rsidRPr="00A903DD">
        <w:rPr>
          <w:rFonts w:ascii="Book Antiqua" w:hAnsi="Book Antiqua"/>
          <w:sz w:val="24"/>
          <w:szCs w:val="24"/>
        </w:rPr>
        <w:t>)</w:t>
      </w:r>
      <w:r w:rsidR="00C47FCA" w:rsidRPr="00A903DD">
        <w:rPr>
          <w:rFonts w:ascii="Book Antiqua" w:hAnsi="Book Antiqua"/>
          <w:sz w:val="24"/>
          <w:szCs w:val="24"/>
        </w:rPr>
        <w:t xml:space="preserve">, </w:t>
      </w:r>
      <w:r w:rsidR="00AE7600" w:rsidRPr="00A903DD">
        <w:rPr>
          <w:rFonts w:ascii="Book Antiqua" w:hAnsi="Book Antiqua"/>
          <w:sz w:val="24"/>
          <w:szCs w:val="24"/>
        </w:rPr>
        <w:t xml:space="preserve">or </w:t>
      </w:r>
      <w:r w:rsidR="00C47FCA" w:rsidRPr="00A903DD">
        <w:rPr>
          <w:rFonts w:ascii="Book Antiqua" w:hAnsi="Book Antiqua"/>
          <w:sz w:val="24"/>
          <w:szCs w:val="24"/>
        </w:rPr>
        <w:lastRenderedPageBreak/>
        <w:t>verapamil (reduced to 75 mg daily)</w:t>
      </w:r>
      <w:r w:rsidR="00CD2092" w:rsidRPr="00A903DD">
        <w:rPr>
          <w:rFonts w:ascii="Book Antiqua" w:hAnsi="Book Antiqua"/>
          <w:sz w:val="24"/>
          <w:szCs w:val="24"/>
        </w:rPr>
        <w:t xml:space="preserve"> in a patient with a CrCl 30-50 m</w:t>
      </w:r>
      <w:r w:rsidR="00985904">
        <w:rPr>
          <w:rFonts w:ascii="Book Antiqua" w:hAnsi="Book Antiqua" w:hint="eastAsia"/>
          <w:sz w:val="24"/>
          <w:szCs w:val="24"/>
          <w:lang w:eastAsia="zh-CN"/>
        </w:rPr>
        <w:t>L</w:t>
      </w:r>
      <w:r w:rsidR="00CD2092" w:rsidRPr="00A903DD">
        <w:rPr>
          <w:rFonts w:ascii="Book Antiqua" w:hAnsi="Book Antiqua"/>
          <w:sz w:val="24"/>
          <w:szCs w:val="24"/>
        </w:rPr>
        <w:t>/min</w:t>
      </w:r>
      <w:r w:rsidR="00985904">
        <w:rPr>
          <w:rFonts w:ascii="Book Antiqua" w:hAnsi="Book Antiqua"/>
          <w:sz w:val="24"/>
          <w:szCs w:val="24"/>
        </w:rPr>
        <w:t xml:space="preserve">. </w:t>
      </w:r>
      <w:r w:rsidR="005A475A" w:rsidRPr="00A903DD">
        <w:rPr>
          <w:rFonts w:ascii="Book Antiqua" w:hAnsi="Book Antiqua"/>
          <w:sz w:val="24"/>
          <w:szCs w:val="24"/>
        </w:rPr>
        <w:t>C</w:t>
      </w:r>
      <w:r w:rsidR="00CD2092" w:rsidRPr="00A903DD">
        <w:rPr>
          <w:rFonts w:ascii="Book Antiqua" w:hAnsi="Book Antiqua"/>
          <w:sz w:val="24"/>
          <w:szCs w:val="24"/>
        </w:rPr>
        <w:t>oncomitant use of dabigatran and</w:t>
      </w:r>
      <w:r w:rsidR="005A475A" w:rsidRPr="00A903DD">
        <w:rPr>
          <w:rFonts w:ascii="Book Antiqua" w:hAnsi="Book Antiqua"/>
          <w:sz w:val="24"/>
          <w:szCs w:val="24"/>
        </w:rPr>
        <w:t xml:space="preserve"> moderate or strong</w:t>
      </w:r>
      <w:r w:rsidR="00CD2092" w:rsidRPr="00A903DD">
        <w:rPr>
          <w:rFonts w:ascii="Book Antiqua" w:hAnsi="Book Antiqua"/>
          <w:sz w:val="24"/>
          <w:szCs w:val="24"/>
        </w:rPr>
        <w:t xml:space="preserve"> P-gp inhibitors </w:t>
      </w:r>
      <w:r w:rsidR="008D4CF1" w:rsidRPr="00A903DD">
        <w:rPr>
          <w:rFonts w:ascii="Book Antiqua" w:hAnsi="Book Antiqua"/>
          <w:sz w:val="24"/>
          <w:szCs w:val="24"/>
        </w:rPr>
        <w:t xml:space="preserve">should be </w:t>
      </w:r>
      <w:r w:rsidR="00CD2092" w:rsidRPr="00A903DD">
        <w:rPr>
          <w:rFonts w:ascii="Book Antiqua" w:hAnsi="Book Antiqua"/>
          <w:sz w:val="24"/>
          <w:szCs w:val="24"/>
        </w:rPr>
        <w:t xml:space="preserve">avoided in patients with severe renal dysfunction (CrCl </w:t>
      </w:r>
      <w:r w:rsidR="00852E98" w:rsidRPr="00A903DD">
        <w:rPr>
          <w:rFonts w:ascii="Book Antiqua" w:hAnsi="Book Antiqua"/>
          <w:sz w:val="24"/>
          <w:szCs w:val="24"/>
        </w:rPr>
        <w:t xml:space="preserve">&lt; </w:t>
      </w:r>
      <w:r w:rsidR="00CD2092" w:rsidRPr="00A903DD">
        <w:rPr>
          <w:rFonts w:ascii="Book Antiqua" w:hAnsi="Book Antiqua"/>
          <w:sz w:val="24"/>
          <w:szCs w:val="24"/>
        </w:rPr>
        <w:t>30 m</w:t>
      </w:r>
      <w:r w:rsidR="00985904">
        <w:rPr>
          <w:rFonts w:ascii="Book Antiqua" w:hAnsi="Book Antiqua" w:hint="eastAsia"/>
          <w:sz w:val="24"/>
          <w:szCs w:val="24"/>
          <w:lang w:eastAsia="zh-CN"/>
        </w:rPr>
        <w:t>L</w:t>
      </w:r>
      <w:r w:rsidR="00985904">
        <w:rPr>
          <w:rFonts w:ascii="Book Antiqua" w:hAnsi="Book Antiqua"/>
          <w:sz w:val="24"/>
          <w:szCs w:val="24"/>
        </w:rPr>
        <w:t xml:space="preserve">/min). </w:t>
      </w:r>
      <w:r w:rsidR="00CD2092" w:rsidRPr="00A903DD">
        <w:rPr>
          <w:rFonts w:ascii="Book Antiqua" w:hAnsi="Book Antiqua"/>
          <w:sz w:val="24"/>
          <w:szCs w:val="24"/>
        </w:rPr>
        <w:t>Similarly</w:t>
      </w:r>
      <w:r w:rsidR="008D4CF1" w:rsidRPr="00A903DD">
        <w:rPr>
          <w:rFonts w:ascii="Book Antiqua" w:hAnsi="Book Antiqua"/>
          <w:sz w:val="24"/>
          <w:szCs w:val="24"/>
        </w:rPr>
        <w:t xml:space="preserve">, </w:t>
      </w:r>
      <w:r w:rsidR="00CD2092" w:rsidRPr="00A903DD">
        <w:rPr>
          <w:rFonts w:ascii="Book Antiqua" w:hAnsi="Book Antiqua"/>
          <w:sz w:val="24"/>
          <w:szCs w:val="24"/>
        </w:rPr>
        <w:t xml:space="preserve">dabigatran co-administration with </w:t>
      </w:r>
      <w:r w:rsidR="00AE7600" w:rsidRPr="00A903DD">
        <w:rPr>
          <w:rFonts w:ascii="Book Antiqua" w:hAnsi="Book Antiqua"/>
          <w:sz w:val="24"/>
          <w:szCs w:val="24"/>
        </w:rPr>
        <w:t xml:space="preserve">all </w:t>
      </w:r>
      <w:r w:rsidR="008D4CF1" w:rsidRPr="00A903DD">
        <w:rPr>
          <w:rFonts w:ascii="Book Antiqua" w:hAnsi="Book Antiqua"/>
          <w:sz w:val="24"/>
          <w:szCs w:val="24"/>
        </w:rPr>
        <w:t xml:space="preserve">moderate to strong inducers of P-gp </w:t>
      </w:r>
      <w:r w:rsidR="00D55580" w:rsidRPr="00A903DD">
        <w:rPr>
          <w:rFonts w:ascii="Book Antiqua" w:hAnsi="Book Antiqua"/>
          <w:sz w:val="24"/>
          <w:szCs w:val="24"/>
        </w:rPr>
        <w:t xml:space="preserve">should be avoided, as they can </w:t>
      </w:r>
      <w:r w:rsidR="008D4CF1" w:rsidRPr="00A903DD">
        <w:rPr>
          <w:rFonts w:ascii="Book Antiqua" w:hAnsi="Book Antiqua"/>
          <w:sz w:val="24"/>
          <w:szCs w:val="24"/>
        </w:rPr>
        <w:t xml:space="preserve">decrease serum </w:t>
      </w:r>
      <w:r w:rsidR="00D55580" w:rsidRPr="00A903DD">
        <w:rPr>
          <w:rFonts w:ascii="Book Antiqua" w:hAnsi="Book Antiqua"/>
          <w:sz w:val="24"/>
          <w:szCs w:val="24"/>
        </w:rPr>
        <w:t xml:space="preserve">dabigatran </w:t>
      </w:r>
      <w:r w:rsidR="008D4CF1" w:rsidRPr="00A903DD">
        <w:rPr>
          <w:rFonts w:ascii="Book Antiqua" w:hAnsi="Book Antiqua"/>
          <w:sz w:val="24"/>
          <w:szCs w:val="24"/>
        </w:rPr>
        <w:t>concentrations and potentiall</w:t>
      </w:r>
      <w:r w:rsidR="00D55580" w:rsidRPr="00A903DD">
        <w:rPr>
          <w:rFonts w:ascii="Book Antiqua" w:hAnsi="Book Antiqua"/>
          <w:sz w:val="24"/>
          <w:szCs w:val="24"/>
        </w:rPr>
        <w:t xml:space="preserve">y decrease </w:t>
      </w:r>
      <w:proofErr w:type="gramStart"/>
      <w:r w:rsidR="00D55580" w:rsidRPr="00A903DD">
        <w:rPr>
          <w:rFonts w:ascii="Book Antiqua" w:hAnsi="Book Antiqua"/>
          <w:sz w:val="24"/>
          <w:szCs w:val="24"/>
        </w:rPr>
        <w:t>efficacy</w:t>
      </w:r>
      <w:r w:rsidR="00432B14" w:rsidRPr="00A903DD">
        <w:rPr>
          <w:rFonts w:ascii="Book Antiqua" w:hAnsi="Book Antiqua"/>
          <w:sz w:val="24"/>
          <w:szCs w:val="24"/>
          <w:vertAlign w:val="superscript"/>
        </w:rPr>
        <w:t>[</w:t>
      </w:r>
      <w:proofErr w:type="gramEnd"/>
      <w:r w:rsidR="00C47FCA" w:rsidRPr="00A903DD">
        <w:rPr>
          <w:rFonts w:ascii="Book Antiqua" w:hAnsi="Book Antiqua"/>
          <w:sz w:val="24"/>
          <w:szCs w:val="24"/>
          <w:vertAlign w:val="superscript"/>
        </w:rPr>
        <w:t>17</w:t>
      </w:r>
      <w:r w:rsidR="00CD2092" w:rsidRPr="00A903DD">
        <w:rPr>
          <w:rFonts w:ascii="Book Antiqua" w:hAnsi="Book Antiqua"/>
          <w:sz w:val="24"/>
          <w:szCs w:val="24"/>
          <w:vertAlign w:val="superscript"/>
        </w:rPr>
        <w:t>,</w:t>
      </w:r>
      <w:r w:rsidR="00432B14" w:rsidRPr="00A903DD">
        <w:rPr>
          <w:rFonts w:ascii="Book Antiqua" w:hAnsi="Book Antiqua"/>
          <w:sz w:val="24"/>
          <w:szCs w:val="24"/>
          <w:vertAlign w:val="superscript"/>
        </w:rPr>
        <w:t>42,46,47]</w:t>
      </w:r>
      <w:r w:rsidR="00985904">
        <w:rPr>
          <w:rFonts w:ascii="Book Antiqua" w:hAnsi="Book Antiqua" w:hint="eastAsia"/>
          <w:sz w:val="24"/>
          <w:szCs w:val="24"/>
          <w:lang w:eastAsia="zh-CN"/>
        </w:rPr>
        <w:t xml:space="preserve"> </w:t>
      </w:r>
      <w:r w:rsidR="00D55580" w:rsidRPr="00A903DD">
        <w:rPr>
          <w:rFonts w:ascii="Book Antiqua" w:hAnsi="Book Antiqua"/>
          <w:sz w:val="24"/>
          <w:szCs w:val="24"/>
        </w:rPr>
        <w:t>(</w:t>
      </w:r>
      <w:r w:rsidR="00432B14" w:rsidRPr="00A903DD">
        <w:rPr>
          <w:rFonts w:ascii="Book Antiqua" w:hAnsi="Book Antiqua"/>
          <w:sz w:val="24"/>
          <w:szCs w:val="24"/>
        </w:rPr>
        <w:t>Table 2</w:t>
      </w:r>
      <w:r w:rsidR="00D55580" w:rsidRPr="00A903DD">
        <w:rPr>
          <w:rFonts w:ascii="Book Antiqua" w:hAnsi="Book Antiqua"/>
          <w:sz w:val="24"/>
          <w:szCs w:val="24"/>
        </w:rPr>
        <w:t>)</w:t>
      </w:r>
      <w:r w:rsidR="00985904">
        <w:rPr>
          <w:rFonts w:ascii="Book Antiqua" w:hAnsi="Book Antiqua" w:hint="eastAsia"/>
          <w:sz w:val="24"/>
          <w:szCs w:val="24"/>
          <w:lang w:eastAsia="zh-CN"/>
        </w:rPr>
        <w:t>.</w:t>
      </w:r>
      <w:r w:rsidR="008D4CF1" w:rsidRPr="00A903DD">
        <w:rPr>
          <w:rFonts w:ascii="Book Antiqua" w:hAnsi="Book Antiqua"/>
          <w:sz w:val="24"/>
          <w:szCs w:val="24"/>
        </w:rPr>
        <w:t xml:space="preserve"> </w:t>
      </w:r>
    </w:p>
    <w:p w:rsidR="00A1752F" w:rsidRPr="00A903DD" w:rsidRDefault="00C346A4" w:rsidP="00985904">
      <w:pPr>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Both r</w:t>
      </w:r>
      <w:r w:rsidR="003B0B75" w:rsidRPr="00A903DD">
        <w:rPr>
          <w:rFonts w:ascii="Book Antiqua" w:hAnsi="Book Antiqua"/>
          <w:sz w:val="24"/>
          <w:szCs w:val="24"/>
        </w:rPr>
        <w:t xml:space="preserve">ivaroxaban </w:t>
      </w:r>
      <w:r w:rsidR="00E148C7" w:rsidRPr="00A903DD">
        <w:rPr>
          <w:rFonts w:ascii="Book Antiqua" w:hAnsi="Book Antiqua"/>
          <w:sz w:val="24"/>
          <w:szCs w:val="24"/>
        </w:rPr>
        <w:t>and apixa</w:t>
      </w:r>
      <w:r w:rsidRPr="00A903DD">
        <w:rPr>
          <w:rFonts w:ascii="Book Antiqua" w:hAnsi="Book Antiqua"/>
          <w:sz w:val="24"/>
          <w:szCs w:val="24"/>
        </w:rPr>
        <w:t>ban are</w:t>
      </w:r>
      <w:r w:rsidR="003B0B75" w:rsidRPr="00A903DD">
        <w:rPr>
          <w:rFonts w:ascii="Book Antiqua" w:hAnsi="Book Antiqua"/>
          <w:sz w:val="24"/>
          <w:szCs w:val="24"/>
        </w:rPr>
        <w:t xml:space="preserve"> </w:t>
      </w:r>
      <w:r w:rsidR="00A1752F" w:rsidRPr="00A903DD">
        <w:rPr>
          <w:rFonts w:ascii="Book Antiqua" w:hAnsi="Book Antiqua"/>
          <w:sz w:val="24"/>
          <w:szCs w:val="24"/>
        </w:rPr>
        <w:t>metabolized via CYP</w:t>
      </w:r>
      <w:r w:rsidR="00AE7600" w:rsidRPr="00A903DD">
        <w:rPr>
          <w:rFonts w:ascii="Book Antiqua" w:hAnsi="Book Antiqua"/>
          <w:sz w:val="24"/>
          <w:szCs w:val="24"/>
        </w:rPr>
        <w:t>450</w:t>
      </w:r>
      <w:r w:rsidRPr="00A903DD">
        <w:rPr>
          <w:rFonts w:ascii="Book Antiqua" w:hAnsi="Book Antiqua"/>
          <w:sz w:val="24"/>
          <w:szCs w:val="24"/>
        </w:rPr>
        <w:t xml:space="preserve"> </w:t>
      </w:r>
      <w:r w:rsidR="00234A77" w:rsidRPr="00A903DD">
        <w:rPr>
          <w:rFonts w:ascii="Book Antiqua" w:hAnsi="Book Antiqua"/>
          <w:sz w:val="24"/>
          <w:szCs w:val="24"/>
        </w:rPr>
        <w:t>iso</w:t>
      </w:r>
      <w:r w:rsidRPr="00A903DD">
        <w:rPr>
          <w:rFonts w:ascii="Book Antiqua" w:hAnsi="Book Antiqua"/>
          <w:sz w:val="24"/>
          <w:szCs w:val="24"/>
        </w:rPr>
        <w:t xml:space="preserve">enzymes and </w:t>
      </w:r>
      <w:r w:rsidR="003B0B75" w:rsidRPr="00A903DD">
        <w:rPr>
          <w:rFonts w:ascii="Book Antiqua" w:hAnsi="Book Antiqua"/>
          <w:sz w:val="24"/>
          <w:szCs w:val="24"/>
        </w:rPr>
        <w:t xml:space="preserve">also </w:t>
      </w:r>
      <w:r w:rsidRPr="00A903DD">
        <w:rPr>
          <w:rFonts w:ascii="Book Antiqua" w:hAnsi="Book Antiqua"/>
          <w:sz w:val="24"/>
          <w:szCs w:val="24"/>
        </w:rPr>
        <w:t xml:space="preserve">are </w:t>
      </w:r>
      <w:r w:rsidR="003B0B75" w:rsidRPr="00A903DD">
        <w:rPr>
          <w:rFonts w:ascii="Book Antiqua" w:hAnsi="Book Antiqua"/>
          <w:sz w:val="24"/>
          <w:szCs w:val="24"/>
        </w:rPr>
        <w:t>s</w:t>
      </w:r>
      <w:r w:rsidR="00BF2CF7" w:rsidRPr="00A903DD">
        <w:rPr>
          <w:rFonts w:ascii="Book Antiqua" w:hAnsi="Book Antiqua"/>
          <w:sz w:val="24"/>
          <w:szCs w:val="24"/>
        </w:rPr>
        <w:t>ubstrate</w:t>
      </w:r>
      <w:r w:rsidRPr="00A903DD">
        <w:rPr>
          <w:rFonts w:ascii="Book Antiqua" w:hAnsi="Book Antiqua"/>
          <w:sz w:val="24"/>
          <w:szCs w:val="24"/>
        </w:rPr>
        <w:t>s</w:t>
      </w:r>
      <w:r w:rsidR="00BF2CF7" w:rsidRPr="00A903DD">
        <w:rPr>
          <w:rFonts w:ascii="Book Antiqua" w:hAnsi="Book Antiqua"/>
          <w:sz w:val="24"/>
          <w:szCs w:val="24"/>
        </w:rPr>
        <w:t xml:space="preserve"> of the P-gp</w:t>
      </w:r>
      <w:r w:rsidR="003B0B75" w:rsidRPr="00A903DD">
        <w:rPr>
          <w:rFonts w:ascii="Book Antiqua" w:hAnsi="Book Antiqua"/>
          <w:sz w:val="24"/>
          <w:szCs w:val="24"/>
        </w:rPr>
        <w:t xml:space="preserve"> efflux transporter leading to several significant drug-drug interactions, particularly with agents that are strong inhibitors or inducers of both CYP3A4 an</w:t>
      </w:r>
      <w:r w:rsidR="003C6FEA" w:rsidRPr="00A903DD">
        <w:rPr>
          <w:rFonts w:ascii="Book Antiqua" w:hAnsi="Book Antiqua"/>
          <w:sz w:val="24"/>
          <w:szCs w:val="24"/>
        </w:rPr>
        <w:t>d P-</w:t>
      </w:r>
      <w:proofErr w:type="gramStart"/>
      <w:r w:rsidR="003C6FEA" w:rsidRPr="00A903DD">
        <w:rPr>
          <w:rFonts w:ascii="Book Antiqua" w:hAnsi="Book Antiqua"/>
          <w:sz w:val="24"/>
          <w:szCs w:val="24"/>
        </w:rPr>
        <w:t>gp</w:t>
      </w:r>
      <w:r w:rsidR="00432B14" w:rsidRPr="00A903DD">
        <w:rPr>
          <w:rFonts w:ascii="Book Antiqua" w:hAnsi="Book Antiqua"/>
          <w:sz w:val="24"/>
          <w:szCs w:val="24"/>
          <w:vertAlign w:val="superscript"/>
        </w:rPr>
        <w:t>[</w:t>
      </w:r>
      <w:proofErr w:type="gramEnd"/>
      <w:r w:rsidR="00432B14" w:rsidRPr="00A903DD">
        <w:rPr>
          <w:rFonts w:ascii="Book Antiqua" w:hAnsi="Book Antiqua"/>
          <w:sz w:val="24"/>
          <w:szCs w:val="24"/>
          <w:vertAlign w:val="superscript"/>
        </w:rPr>
        <w:t>42,46</w:t>
      </w:r>
      <w:r w:rsidR="003B0B75" w:rsidRPr="00A903DD">
        <w:rPr>
          <w:rFonts w:ascii="Book Antiqua" w:hAnsi="Book Antiqua"/>
          <w:sz w:val="24"/>
          <w:szCs w:val="24"/>
          <w:vertAlign w:val="superscript"/>
        </w:rPr>
        <w:t>]</w:t>
      </w:r>
      <w:r w:rsidR="003C6FEA" w:rsidRPr="00A903DD">
        <w:rPr>
          <w:rFonts w:ascii="Book Antiqua" w:hAnsi="Book Antiqua"/>
          <w:sz w:val="24"/>
          <w:szCs w:val="24"/>
        </w:rPr>
        <w:t>.</w:t>
      </w:r>
      <w:r w:rsidR="00985904">
        <w:rPr>
          <w:rFonts w:ascii="Book Antiqua" w:hAnsi="Book Antiqua" w:hint="eastAsia"/>
          <w:sz w:val="24"/>
          <w:szCs w:val="24"/>
          <w:lang w:eastAsia="zh-CN"/>
        </w:rPr>
        <w:t xml:space="preserve"> </w:t>
      </w:r>
      <w:r w:rsidR="003B0B75" w:rsidRPr="00A903DD">
        <w:rPr>
          <w:rFonts w:ascii="Book Antiqua" w:hAnsi="Book Antiqua"/>
          <w:sz w:val="24"/>
          <w:szCs w:val="24"/>
        </w:rPr>
        <w:t xml:space="preserve">Strong </w:t>
      </w:r>
      <w:r w:rsidR="00782AB1" w:rsidRPr="00A903DD">
        <w:rPr>
          <w:rFonts w:ascii="Book Antiqua" w:hAnsi="Book Antiqua"/>
          <w:sz w:val="24"/>
          <w:szCs w:val="24"/>
        </w:rPr>
        <w:t xml:space="preserve">“combined” </w:t>
      </w:r>
      <w:r w:rsidR="003B0B75" w:rsidRPr="00A903DD">
        <w:rPr>
          <w:rFonts w:ascii="Book Antiqua" w:hAnsi="Book Antiqua"/>
          <w:sz w:val="24"/>
          <w:szCs w:val="24"/>
        </w:rPr>
        <w:t>inhibitors of both CYP3A4 and P-gp (</w:t>
      </w:r>
      <w:r w:rsidR="003B0B75" w:rsidRPr="00985904">
        <w:rPr>
          <w:rFonts w:ascii="Book Antiqua" w:hAnsi="Book Antiqua"/>
          <w:i/>
          <w:sz w:val="24"/>
          <w:szCs w:val="24"/>
        </w:rPr>
        <w:t>e.g.</w:t>
      </w:r>
      <w:r w:rsidR="00985904">
        <w:rPr>
          <w:rFonts w:ascii="Book Antiqua" w:hAnsi="Book Antiqua" w:hint="eastAsia"/>
          <w:sz w:val="24"/>
          <w:szCs w:val="24"/>
          <w:lang w:eastAsia="zh-CN"/>
        </w:rPr>
        <w:t>,</w:t>
      </w:r>
      <w:r w:rsidR="003B0B75" w:rsidRPr="00A903DD">
        <w:rPr>
          <w:rFonts w:ascii="Book Antiqua" w:hAnsi="Book Antiqua"/>
          <w:sz w:val="24"/>
          <w:szCs w:val="24"/>
        </w:rPr>
        <w:t xml:space="preserve"> ketoconazole, itraconazole, ritonavir, and conivaptan) can significantly incr</w:t>
      </w:r>
      <w:r w:rsidR="00F90542" w:rsidRPr="00A903DD">
        <w:rPr>
          <w:rFonts w:ascii="Book Antiqua" w:hAnsi="Book Antiqua"/>
          <w:sz w:val="24"/>
          <w:szCs w:val="24"/>
        </w:rPr>
        <w:t xml:space="preserve">ease rivaroxaban </w:t>
      </w:r>
      <w:r w:rsidR="000327E9" w:rsidRPr="00A903DD">
        <w:rPr>
          <w:rFonts w:ascii="Book Antiqua" w:hAnsi="Book Antiqua"/>
          <w:sz w:val="24"/>
          <w:szCs w:val="24"/>
        </w:rPr>
        <w:t>or apixa</w:t>
      </w:r>
      <w:r w:rsidR="00887BBC" w:rsidRPr="00A903DD">
        <w:rPr>
          <w:rFonts w:ascii="Book Antiqua" w:hAnsi="Book Antiqua"/>
          <w:sz w:val="24"/>
          <w:szCs w:val="24"/>
        </w:rPr>
        <w:t xml:space="preserve">ban </w:t>
      </w:r>
      <w:r w:rsidR="00F90542" w:rsidRPr="00A903DD">
        <w:rPr>
          <w:rFonts w:ascii="Book Antiqua" w:hAnsi="Book Antiqua"/>
          <w:sz w:val="24"/>
          <w:szCs w:val="24"/>
        </w:rPr>
        <w:t>concentrations</w:t>
      </w:r>
      <w:r w:rsidR="00985904">
        <w:rPr>
          <w:rFonts w:ascii="Book Antiqua" w:hAnsi="Book Antiqua"/>
          <w:sz w:val="24"/>
          <w:szCs w:val="24"/>
        </w:rPr>
        <w:t xml:space="preserve">. </w:t>
      </w:r>
      <w:r w:rsidR="00C072F4" w:rsidRPr="00A903DD">
        <w:rPr>
          <w:rFonts w:ascii="Book Antiqua" w:hAnsi="Book Antiqua"/>
          <w:sz w:val="24"/>
          <w:szCs w:val="24"/>
        </w:rPr>
        <w:t>In contrast</w:t>
      </w:r>
      <w:r w:rsidR="003B0B75" w:rsidRPr="00A903DD">
        <w:rPr>
          <w:rFonts w:ascii="Book Antiqua" w:hAnsi="Book Antiqua"/>
          <w:sz w:val="24"/>
          <w:szCs w:val="24"/>
        </w:rPr>
        <w:t>, strong inducers of both CYP3A4 and P-gp (</w:t>
      </w:r>
      <w:r w:rsidR="003B0B75" w:rsidRPr="00985904">
        <w:rPr>
          <w:rFonts w:ascii="Book Antiqua" w:hAnsi="Book Antiqua"/>
          <w:i/>
          <w:sz w:val="24"/>
          <w:szCs w:val="24"/>
        </w:rPr>
        <w:t>e.g</w:t>
      </w:r>
      <w:r w:rsidR="003B0B75" w:rsidRPr="00A903DD">
        <w:rPr>
          <w:rFonts w:ascii="Book Antiqua" w:hAnsi="Book Antiqua"/>
          <w:sz w:val="24"/>
          <w:szCs w:val="24"/>
        </w:rPr>
        <w:t>.</w:t>
      </w:r>
      <w:r w:rsidR="00985904">
        <w:rPr>
          <w:rFonts w:ascii="Book Antiqua" w:hAnsi="Book Antiqua" w:hint="eastAsia"/>
          <w:sz w:val="24"/>
          <w:szCs w:val="24"/>
          <w:lang w:eastAsia="zh-CN"/>
        </w:rPr>
        <w:t>,</w:t>
      </w:r>
      <w:r w:rsidR="003B0B75" w:rsidRPr="00A903DD">
        <w:rPr>
          <w:rFonts w:ascii="Book Antiqua" w:hAnsi="Book Antiqua"/>
          <w:sz w:val="24"/>
          <w:szCs w:val="24"/>
        </w:rPr>
        <w:t xml:space="preserve"> carbamazepine, phenytoin, rifampin, and St. John’s wort) may decrease t</w:t>
      </w:r>
      <w:r w:rsidR="00887BBC" w:rsidRPr="00A903DD">
        <w:rPr>
          <w:rFonts w:ascii="Book Antiqua" w:hAnsi="Book Antiqua"/>
          <w:sz w:val="24"/>
          <w:szCs w:val="24"/>
        </w:rPr>
        <w:t xml:space="preserve">he serum concentration of rivaroxaban or </w:t>
      </w:r>
      <w:r w:rsidR="00D842AE" w:rsidRPr="00A903DD">
        <w:rPr>
          <w:rFonts w:ascii="Book Antiqua" w:hAnsi="Book Antiqua"/>
          <w:sz w:val="24"/>
          <w:szCs w:val="24"/>
        </w:rPr>
        <w:t>apixaban</w:t>
      </w:r>
      <w:r w:rsidR="00985904">
        <w:rPr>
          <w:rFonts w:ascii="Book Antiqua" w:hAnsi="Book Antiqua"/>
          <w:sz w:val="24"/>
          <w:szCs w:val="24"/>
        </w:rPr>
        <w:t xml:space="preserve">. </w:t>
      </w:r>
      <w:r w:rsidR="00F90542" w:rsidRPr="00A903DD">
        <w:rPr>
          <w:rFonts w:ascii="Book Antiqua" w:hAnsi="Book Antiqua"/>
          <w:sz w:val="24"/>
          <w:szCs w:val="24"/>
        </w:rPr>
        <w:t>Therefore, co-</w:t>
      </w:r>
      <w:r w:rsidR="003B0B75" w:rsidRPr="00A903DD">
        <w:rPr>
          <w:rFonts w:ascii="Book Antiqua" w:hAnsi="Book Antiqua"/>
          <w:sz w:val="24"/>
          <w:szCs w:val="24"/>
        </w:rPr>
        <w:t>administ</w:t>
      </w:r>
      <w:r w:rsidR="00887BBC" w:rsidRPr="00A903DD">
        <w:rPr>
          <w:rFonts w:ascii="Book Antiqua" w:hAnsi="Book Antiqua"/>
          <w:sz w:val="24"/>
          <w:szCs w:val="24"/>
        </w:rPr>
        <w:t xml:space="preserve">ration of either of </w:t>
      </w:r>
      <w:r w:rsidR="00234A77" w:rsidRPr="00A903DD">
        <w:rPr>
          <w:rFonts w:ascii="Book Antiqua" w:hAnsi="Book Antiqua"/>
          <w:sz w:val="24"/>
          <w:szCs w:val="24"/>
        </w:rPr>
        <w:t>rivaroxaban or apixaban</w:t>
      </w:r>
      <w:r w:rsidR="00C072F4" w:rsidRPr="00A903DD">
        <w:rPr>
          <w:rFonts w:ascii="Book Antiqua" w:hAnsi="Book Antiqua"/>
          <w:sz w:val="24"/>
          <w:szCs w:val="24"/>
        </w:rPr>
        <w:t xml:space="preserve"> with</w:t>
      </w:r>
      <w:r w:rsidR="003B0B75" w:rsidRPr="00A903DD">
        <w:rPr>
          <w:rFonts w:ascii="Book Antiqua" w:hAnsi="Book Antiqua"/>
          <w:sz w:val="24"/>
          <w:szCs w:val="24"/>
        </w:rPr>
        <w:t xml:space="preserve"> strong </w:t>
      </w:r>
      <w:r w:rsidR="00C072F4" w:rsidRPr="00A903DD">
        <w:rPr>
          <w:rFonts w:ascii="Book Antiqua" w:hAnsi="Book Antiqua"/>
          <w:sz w:val="24"/>
          <w:szCs w:val="24"/>
        </w:rPr>
        <w:t>combined CYP3A4 plus P-gp inhibitors or</w:t>
      </w:r>
      <w:r w:rsidR="003B0B75" w:rsidRPr="00A903DD">
        <w:rPr>
          <w:rFonts w:ascii="Book Antiqua" w:hAnsi="Book Antiqua"/>
          <w:sz w:val="24"/>
          <w:szCs w:val="24"/>
        </w:rPr>
        <w:t xml:space="preserve"> inducers shou</w:t>
      </w:r>
      <w:r w:rsidR="003C6FEA" w:rsidRPr="00A903DD">
        <w:rPr>
          <w:rFonts w:ascii="Book Antiqua" w:hAnsi="Book Antiqua"/>
          <w:sz w:val="24"/>
          <w:szCs w:val="24"/>
        </w:rPr>
        <w:t xml:space="preserve">ld be </w:t>
      </w:r>
      <w:proofErr w:type="gramStart"/>
      <w:r w:rsidR="003C6FEA" w:rsidRPr="00A903DD">
        <w:rPr>
          <w:rFonts w:ascii="Book Antiqua" w:hAnsi="Book Antiqua"/>
          <w:sz w:val="24"/>
          <w:szCs w:val="24"/>
        </w:rPr>
        <w:t>avoided</w:t>
      </w:r>
      <w:r w:rsidR="00C072F4" w:rsidRPr="00A903DD">
        <w:rPr>
          <w:rFonts w:ascii="Book Antiqua" w:hAnsi="Book Antiqua"/>
          <w:sz w:val="24"/>
          <w:szCs w:val="24"/>
          <w:vertAlign w:val="superscript"/>
        </w:rPr>
        <w:t>[</w:t>
      </w:r>
      <w:proofErr w:type="gramEnd"/>
      <w:r w:rsidR="00C072F4" w:rsidRPr="00A903DD">
        <w:rPr>
          <w:rFonts w:ascii="Book Antiqua" w:hAnsi="Book Antiqua"/>
          <w:sz w:val="24"/>
          <w:szCs w:val="24"/>
          <w:vertAlign w:val="superscript"/>
        </w:rPr>
        <w:t>18]</w:t>
      </w:r>
      <w:r w:rsidR="003C6FEA" w:rsidRPr="00A903DD">
        <w:rPr>
          <w:rFonts w:ascii="Book Antiqua" w:hAnsi="Book Antiqua"/>
          <w:sz w:val="24"/>
          <w:szCs w:val="24"/>
        </w:rPr>
        <w:t>.</w:t>
      </w:r>
      <w:r w:rsidR="00C072F4" w:rsidRPr="00A903DD">
        <w:rPr>
          <w:rFonts w:ascii="Book Antiqua" w:hAnsi="Book Antiqua"/>
          <w:sz w:val="24"/>
          <w:szCs w:val="24"/>
          <w:vertAlign w:val="superscript"/>
        </w:rPr>
        <w:t xml:space="preserve">  </w:t>
      </w:r>
      <w:r w:rsidR="00A1752F" w:rsidRPr="00A903DD">
        <w:rPr>
          <w:rFonts w:ascii="Book Antiqua" w:hAnsi="Book Antiqua"/>
          <w:sz w:val="24"/>
          <w:szCs w:val="24"/>
        </w:rPr>
        <w:t xml:space="preserve">It has been determined however, that inhibition </w:t>
      </w:r>
      <w:r w:rsidR="00660C0E" w:rsidRPr="00A903DD">
        <w:rPr>
          <w:rFonts w:ascii="Book Antiqua" w:hAnsi="Book Antiqua"/>
          <w:sz w:val="24"/>
          <w:szCs w:val="24"/>
        </w:rPr>
        <w:t>of</w:t>
      </w:r>
      <w:r w:rsidR="00A1752F" w:rsidRPr="00A903DD">
        <w:rPr>
          <w:rFonts w:ascii="Book Antiqua" w:hAnsi="Book Antiqua"/>
          <w:sz w:val="24"/>
          <w:szCs w:val="24"/>
        </w:rPr>
        <w:t xml:space="preserve"> P-gp alone will caus</w:t>
      </w:r>
      <w:r w:rsidR="00C072F4" w:rsidRPr="00A903DD">
        <w:rPr>
          <w:rFonts w:ascii="Book Antiqua" w:hAnsi="Book Antiqua"/>
          <w:sz w:val="24"/>
          <w:szCs w:val="24"/>
        </w:rPr>
        <w:t xml:space="preserve">e </w:t>
      </w:r>
      <w:r w:rsidR="00545333" w:rsidRPr="00A903DD">
        <w:rPr>
          <w:rFonts w:ascii="Book Antiqua" w:hAnsi="Book Antiqua"/>
          <w:sz w:val="24"/>
          <w:szCs w:val="24"/>
        </w:rPr>
        <w:t>only modest</w:t>
      </w:r>
      <w:r w:rsidR="00C072F4" w:rsidRPr="00A903DD">
        <w:rPr>
          <w:rFonts w:ascii="Book Antiqua" w:hAnsi="Book Antiqua"/>
          <w:sz w:val="24"/>
          <w:szCs w:val="24"/>
        </w:rPr>
        <w:t xml:space="preserve"> changes to the pharmacokinetic</w:t>
      </w:r>
      <w:r w:rsidR="00A1752F" w:rsidRPr="00A903DD">
        <w:rPr>
          <w:rFonts w:ascii="Book Antiqua" w:hAnsi="Book Antiqua"/>
          <w:sz w:val="24"/>
          <w:szCs w:val="24"/>
        </w:rPr>
        <w:t xml:space="preserve"> properties of rivaroxaban</w:t>
      </w:r>
      <w:r w:rsidR="00887BBC" w:rsidRPr="00A903DD">
        <w:rPr>
          <w:rFonts w:ascii="Book Antiqua" w:hAnsi="Book Antiqua"/>
          <w:sz w:val="24"/>
          <w:szCs w:val="24"/>
        </w:rPr>
        <w:t xml:space="preserve"> </w:t>
      </w:r>
      <w:r w:rsidR="00660C0E" w:rsidRPr="00A903DD">
        <w:rPr>
          <w:rFonts w:ascii="Book Antiqua" w:hAnsi="Book Antiqua"/>
          <w:sz w:val="24"/>
          <w:szCs w:val="24"/>
        </w:rPr>
        <w:t>o</w:t>
      </w:r>
      <w:r w:rsidR="000327E9" w:rsidRPr="00A903DD">
        <w:rPr>
          <w:rFonts w:ascii="Book Antiqua" w:hAnsi="Book Antiqua"/>
          <w:sz w:val="24"/>
          <w:szCs w:val="24"/>
        </w:rPr>
        <w:t xml:space="preserve">r </w:t>
      </w:r>
      <w:proofErr w:type="gramStart"/>
      <w:r w:rsidR="000327E9" w:rsidRPr="00A903DD">
        <w:rPr>
          <w:rFonts w:ascii="Book Antiqua" w:hAnsi="Book Antiqua"/>
          <w:sz w:val="24"/>
          <w:szCs w:val="24"/>
        </w:rPr>
        <w:t>apixa</w:t>
      </w:r>
      <w:r w:rsidR="00887BBC" w:rsidRPr="00A903DD">
        <w:rPr>
          <w:rFonts w:ascii="Book Antiqua" w:hAnsi="Book Antiqua"/>
          <w:sz w:val="24"/>
          <w:szCs w:val="24"/>
        </w:rPr>
        <w:t>ban</w:t>
      </w:r>
      <w:r w:rsidR="00C072F4" w:rsidRPr="00A903DD">
        <w:rPr>
          <w:rFonts w:ascii="Book Antiqua" w:hAnsi="Book Antiqua"/>
          <w:sz w:val="24"/>
          <w:szCs w:val="24"/>
          <w:vertAlign w:val="superscript"/>
        </w:rPr>
        <w:t>[</w:t>
      </w:r>
      <w:proofErr w:type="gramEnd"/>
      <w:r w:rsidR="00C072F4" w:rsidRPr="00A903DD">
        <w:rPr>
          <w:rFonts w:ascii="Book Antiqua" w:hAnsi="Book Antiqua"/>
          <w:sz w:val="24"/>
          <w:szCs w:val="24"/>
          <w:vertAlign w:val="superscript"/>
        </w:rPr>
        <w:t>42</w:t>
      </w:r>
      <w:r w:rsidR="00A1752F" w:rsidRPr="00A903DD">
        <w:rPr>
          <w:rFonts w:ascii="Book Antiqua" w:hAnsi="Book Antiqua"/>
          <w:sz w:val="24"/>
          <w:szCs w:val="24"/>
          <w:vertAlign w:val="superscript"/>
        </w:rPr>
        <w:t>]</w:t>
      </w:r>
      <w:r w:rsidR="003C6FEA" w:rsidRPr="00A903DD">
        <w:rPr>
          <w:rFonts w:ascii="Book Antiqua" w:hAnsi="Book Antiqua"/>
          <w:sz w:val="24"/>
          <w:szCs w:val="24"/>
        </w:rPr>
        <w:t>.</w:t>
      </w:r>
      <w:r w:rsidR="00A1752F" w:rsidRPr="00A903DD">
        <w:rPr>
          <w:rFonts w:ascii="Book Antiqua" w:hAnsi="Book Antiqua"/>
          <w:sz w:val="24"/>
          <w:szCs w:val="24"/>
          <w:vertAlign w:val="superscript"/>
        </w:rPr>
        <w:t xml:space="preserve"> </w:t>
      </w:r>
    </w:p>
    <w:p w:rsidR="00A1752F" w:rsidRPr="00A903DD" w:rsidRDefault="00887BBC" w:rsidP="00A903DD">
      <w:pPr>
        <w:spacing w:after="0" w:line="360" w:lineRule="auto"/>
        <w:jc w:val="both"/>
        <w:rPr>
          <w:rFonts w:ascii="Book Antiqua" w:hAnsi="Book Antiqua"/>
          <w:sz w:val="24"/>
          <w:szCs w:val="24"/>
        </w:rPr>
      </w:pPr>
      <w:r w:rsidRPr="00A903DD">
        <w:rPr>
          <w:rFonts w:ascii="Book Antiqua" w:hAnsi="Book Antiqua"/>
          <w:sz w:val="24"/>
          <w:szCs w:val="24"/>
        </w:rPr>
        <w:t xml:space="preserve"> </w:t>
      </w:r>
      <w:r w:rsidR="00985904">
        <w:rPr>
          <w:rFonts w:ascii="Book Antiqua" w:hAnsi="Book Antiqua" w:hint="eastAsia"/>
          <w:sz w:val="24"/>
          <w:szCs w:val="24"/>
          <w:lang w:eastAsia="zh-CN"/>
        </w:rPr>
        <w:t xml:space="preserve">  </w:t>
      </w:r>
      <w:r w:rsidR="00A1752F" w:rsidRPr="00A903DD">
        <w:rPr>
          <w:rFonts w:ascii="Book Antiqua" w:hAnsi="Book Antiqua"/>
          <w:sz w:val="24"/>
          <w:szCs w:val="24"/>
        </w:rPr>
        <w:t>A</w:t>
      </w:r>
      <w:r w:rsidRPr="00A903DD">
        <w:rPr>
          <w:rFonts w:ascii="Book Antiqua" w:hAnsi="Book Antiqua"/>
          <w:sz w:val="24"/>
          <w:szCs w:val="24"/>
        </w:rPr>
        <w:t>s is the case with other TSOAs</w:t>
      </w:r>
      <w:r w:rsidR="00A1752F" w:rsidRPr="00A903DD">
        <w:rPr>
          <w:rFonts w:ascii="Book Antiqua" w:hAnsi="Book Antiqua"/>
          <w:sz w:val="24"/>
          <w:szCs w:val="24"/>
        </w:rPr>
        <w:t>, edoxaban is a substrate of P-gp. Both inducers and inhibitors of the P-gp will influence the serum concentrations of edoxaban</w:t>
      </w:r>
      <w:r w:rsidR="00F3103C" w:rsidRPr="00A903DD">
        <w:rPr>
          <w:rFonts w:ascii="Book Antiqua" w:hAnsi="Book Antiqua"/>
          <w:sz w:val="24"/>
          <w:szCs w:val="24"/>
        </w:rPr>
        <w:t>.</w:t>
      </w:r>
      <w:r w:rsidR="00985904">
        <w:rPr>
          <w:rFonts w:ascii="Book Antiqua" w:hAnsi="Book Antiqua"/>
          <w:sz w:val="24"/>
          <w:szCs w:val="24"/>
        </w:rPr>
        <w:t xml:space="preserve"> </w:t>
      </w:r>
      <w:r w:rsidR="00A1752F" w:rsidRPr="00A903DD">
        <w:rPr>
          <w:rFonts w:ascii="Book Antiqua" w:hAnsi="Book Antiqua"/>
          <w:sz w:val="24"/>
          <w:szCs w:val="24"/>
        </w:rPr>
        <w:t>Increased edoxaban exposure has been demonstrated with the co-administration of P-gp inhibitors verapamil, quinidine, and dronedarone.</w:t>
      </w:r>
      <w:r w:rsidR="00985904">
        <w:rPr>
          <w:rFonts w:ascii="Book Antiqua" w:hAnsi="Book Antiqua"/>
          <w:sz w:val="24"/>
          <w:szCs w:val="24"/>
        </w:rPr>
        <w:t xml:space="preserve"> </w:t>
      </w:r>
      <w:r w:rsidR="00F90542" w:rsidRPr="00A903DD">
        <w:rPr>
          <w:rFonts w:ascii="Book Antiqua" w:hAnsi="Book Antiqua"/>
          <w:sz w:val="24"/>
          <w:szCs w:val="24"/>
        </w:rPr>
        <w:t>However, unlike other FXa inhibitors</w:t>
      </w:r>
      <w:r w:rsidR="00A1752F" w:rsidRPr="00A903DD">
        <w:rPr>
          <w:rFonts w:ascii="Book Antiqua" w:hAnsi="Book Antiqua"/>
          <w:sz w:val="24"/>
          <w:szCs w:val="24"/>
        </w:rPr>
        <w:t>, there is m</w:t>
      </w:r>
      <w:r w:rsidR="00F90542" w:rsidRPr="00A903DD">
        <w:rPr>
          <w:rFonts w:ascii="Book Antiqua" w:hAnsi="Book Antiqua"/>
          <w:sz w:val="24"/>
          <w:szCs w:val="24"/>
        </w:rPr>
        <w:t xml:space="preserve">inimal CYP </w:t>
      </w:r>
      <w:r w:rsidR="00F90542" w:rsidRPr="00A903DD">
        <w:rPr>
          <w:rFonts w:ascii="Book Antiqua" w:hAnsi="Book Antiqua"/>
          <w:sz w:val="24"/>
          <w:szCs w:val="24"/>
        </w:rPr>
        <w:lastRenderedPageBreak/>
        <w:t>enzyme involvement and d</w:t>
      </w:r>
      <w:r w:rsidR="00A1752F" w:rsidRPr="00A903DD">
        <w:rPr>
          <w:rFonts w:ascii="Book Antiqua" w:hAnsi="Book Antiqua"/>
          <w:sz w:val="24"/>
          <w:szCs w:val="24"/>
        </w:rPr>
        <w:t>rugs influencing CYP enzymes theoretically pose little ri</w:t>
      </w:r>
      <w:r w:rsidR="003C6FEA" w:rsidRPr="00A903DD">
        <w:rPr>
          <w:rFonts w:ascii="Book Antiqua" w:hAnsi="Book Antiqua"/>
          <w:sz w:val="24"/>
          <w:szCs w:val="24"/>
        </w:rPr>
        <w:t xml:space="preserve">sk of interacting with </w:t>
      </w:r>
      <w:proofErr w:type="gramStart"/>
      <w:r w:rsidR="003C6FEA" w:rsidRPr="00A903DD">
        <w:rPr>
          <w:rFonts w:ascii="Book Antiqua" w:hAnsi="Book Antiqua"/>
          <w:sz w:val="24"/>
          <w:szCs w:val="24"/>
        </w:rPr>
        <w:t>edoxaban</w:t>
      </w:r>
      <w:r w:rsidR="00A1752F" w:rsidRPr="00A903DD">
        <w:rPr>
          <w:rFonts w:ascii="Book Antiqua" w:hAnsi="Book Antiqua"/>
          <w:sz w:val="24"/>
          <w:szCs w:val="24"/>
          <w:vertAlign w:val="superscript"/>
        </w:rPr>
        <w:t>[</w:t>
      </w:r>
      <w:proofErr w:type="gramEnd"/>
      <w:r w:rsidR="00A1752F" w:rsidRPr="00A903DD">
        <w:rPr>
          <w:rFonts w:ascii="Book Antiqua" w:hAnsi="Book Antiqua"/>
          <w:sz w:val="24"/>
          <w:szCs w:val="24"/>
          <w:vertAlign w:val="superscript"/>
        </w:rPr>
        <w:t>1,2</w:t>
      </w:r>
      <w:r w:rsidR="00815116" w:rsidRPr="00A903DD">
        <w:rPr>
          <w:rFonts w:ascii="Book Antiqua" w:hAnsi="Book Antiqua"/>
          <w:sz w:val="24"/>
          <w:szCs w:val="24"/>
          <w:vertAlign w:val="superscript"/>
        </w:rPr>
        <w:t>,42,48</w:t>
      </w:r>
      <w:r w:rsidR="00A1752F" w:rsidRPr="00A903DD">
        <w:rPr>
          <w:rFonts w:ascii="Book Antiqua" w:hAnsi="Book Antiqua"/>
          <w:sz w:val="24"/>
          <w:szCs w:val="24"/>
          <w:vertAlign w:val="superscript"/>
        </w:rPr>
        <w:t>]</w:t>
      </w:r>
      <w:r w:rsidR="003C6FEA" w:rsidRPr="00A903DD">
        <w:rPr>
          <w:rFonts w:ascii="Book Antiqua" w:hAnsi="Book Antiqua"/>
          <w:sz w:val="24"/>
          <w:szCs w:val="24"/>
        </w:rPr>
        <w:t>.</w:t>
      </w:r>
      <w:r w:rsidR="00A1752F" w:rsidRPr="00A903DD">
        <w:rPr>
          <w:rFonts w:ascii="Book Antiqua" w:hAnsi="Book Antiqua"/>
          <w:sz w:val="24"/>
          <w:szCs w:val="24"/>
        </w:rPr>
        <w:t xml:space="preserve"> </w:t>
      </w:r>
    </w:p>
    <w:p w:rsidR="00F80CD5" w:rsidRPr="00A903DD" w:rsidRDefault="00D55580" w:rsidP="00985904">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Regarding pharmacodynamic</w:t>
      </w:r>
      <w:r w:rsidR="001D1C57" w:rsidRPr="00A903DD">
        <w:rPr>
          <w:rFonts w:ascii="Book Antiqua" w:hAnsi="Book Antiqua"/>
          <w:sz w:val="24"/>
          <w:szCs w:val="24"/>
        </w:rPr>
        <w:t xml:space="preserve"> interactions resulting in an</w:t>
      </w:r>
      <w:r w:rsidRPr="00A903DD">
        <w:rPr>
          <w:rFonts w:ascii="Book Antiqua" w:hAnsi="Book Antiqua"/>
          <w:sz w:val="24"/>
          <w:szCs w:val="24"/>
        </w:rPr>
        <w:t xml:space="preserve"> increased bleeding risk, t</w:t>
      </w:r>
      <w:r w:rsidR="00A1752F" w:rsidRPr="00A903DD">
        <w:rPr>
          <w:rFonts w:ascii="Book Antiqua" w:hAnsi="Book Antiqua"/>
          <w:sz w:val="24"/>
          <w:szCs w:val="24"/>
        </w:rPr>
        <w:t xml:space="preserve">here is a clear </w:t>
      </w:r>
      <w:r w:rsidR="001D1C57" w:rsidRPr="00A903DD">
        <w:rPr>
          <w:rFonts w:ascii="Book Antiqua" w:hAnsi="Book Antiqua"/>
          <w:sz w:val="24"/>
          <w:szCs w:val="24"/>
        </w:rPr>
        <w:t xml:space="preserve">theoretical </w:t>
      </w:r>
      <w:r w:rsidR="00F80CD5" w:rsidRPr="00A903DD">
        <w:rPr>
          <w:rFonts w:ascii="Book Antiqua" w:hAnsi="Book Antiqua"/>
          <w:sz w:val="24"/>
          <w:szCs w:val="24"/>
        </w:rPr>
        <w:t>additive risk when a TSOA is concomitantly used</w:t>
      </w:r>
      <w:r w:rsidR="00A1752F" w:rsidRPr="00A903DD">
        <w:rPr>
          <w:rFonts w:ascii="Book Antiqua" w:hAnsi="Book Antiqua"/>
          <w:sz w:val="24"/>
          <w:szCs w:val="24"/>
        </w:rPr>
        <w:t xml:space="preserve"> </w:t>
      </w:r>
      <w:r w:rsidR="00F80CD5" w:rsidRPr="00A903DD">
        <w:rPr>
          <w:rFonts w:ascii="Book Antiqua" w:hAnsi="Book Antiqua"/>
          <w:sz w:val="24"/>
          <w:szCs w:val="24"/>
        </w:rPr>
        <w:t xml:space="preserve">with </w:t>
      </w:r>
      <w:r w:rsidR="00DA445B" w:rsidRPr="00A903DD">
        <w:rPr>
          <w:rFonts w:ascii="Book Antiqua" w:hAnsi="Book Antiqua"/>
          <w:sz w:val="24"/>
          <w:szCs w:val="24"/>
        </w:rPr>
        <w:t>an antiplatelet agent, a nonsteroidal anti-inflammatory drug (NSAI</w:t>
      </w:r>
      <w:r w:rsidR="00985904">
        <w:rPr>
          <w:rFonts w:ascii="Book Antiqua" w:hAnsi="Book Antiqua"/>
          <w:sz w:val="24"/>
          <w:szCs w:val="24"/>
        </w:rPr>
        <w:t xml:space="preserve">D), or another anticoagulant. </w:t>
      </w:r>
      <w:r w:rsidR="001D1C57" w:rsidRPr="00A903DD">
        <w:rPr>
          <w:rFonts w:ascii="Book Antiqua" w:hAnsi="Book Antiqua"/>
          <w:sz w:val="24"/>
          <w:szCs w:val="24"/>
        </w:rPr>
        <w:t xml:space="preserve">While it is preferred to avoid or limit simultaneous use of </w:t>
      </w:r>
      <w:r w:rsidR="001C40D2" w:rsidRPr="00A903DD">
        <w:rPr>
          <w:rFonts w:ascii="Book Antiqua" w:hAnsi="Book Antiqua"/>
          <w:sz w:val="24"/>
          <w:szCs w:val="24"/>
        </w:rPr>
        <w:t xml:space="preserve">a </w:t>
      </w:r>
      <w:r w:rsidR="001D1C57" w:rsidRPr="00A903DD">
        <w:rPr>
          <w:rFonts w:ascii="Book Antiqua" w:hAnsi="Book Antiqua"/>
          <w:sz w:val="24"/>
          <w:szCs w:val="24"/>
        </w:rPr>
        <w:t>TSOA</w:t>
      </w:r>
      <w:r w:rsidR="00A1752F" w:rsidRPr="00A903DD">
        <w:rPr>
          <w:rFonts w:ascii="Book Antiqua" w:hAnsi="Book Antiqua"/>
          <w:sz w:val="24"/>
          <w:szCs w:val="24"/>
        </w:rPr>
        <w:t xml:space="preserve"> w</w:t>
      </w:r>
      <w:r w:rsidR="001C40D2" w:rsidRPr="00A903DD">
        <w:rPr>
          <w:rFonts w:ascii="Book Antiqua" w:hAnsi="Book Antiqua"/>
          <w:sz w:val="24"/>
          <w:szCs w:val="24"/>
        </w:rPr>
        <w:t>ith any of these agents</w:t>
      </w:r>
      <w:r w:rsidR="001D1C57" w:rsidRPr="00A903DD">
        <w:rPr>
          <w:rFonts w:ascii="Book Antiqua" w:hAnsi="Book Antiqua"/>
          <w:sz w:val="24"/>
          <w:szCs w:val="24"/>
        </w:rPr>
        <w:t>, many THA patients are taking antiplatelet agents for cardiovascular disease</w:t>
      </w:r>
      <w:r w:rsidR="00A1752F" w:rsidRPr="00A903DD">
        <w:rPr>
          <w:rFonts w:ascii="Book Antiqua" w:hAnsi="Book Antiqua"/>
          <w:sz w:val="24"/>
          <w:szCs w:val="24"/>
        </w:rPr>
        <w:t xml:space="preserve"> </w:t>
      </w:r>
      <w:r w:rsidR="001C40D2" w:rsidRPr="00A903DD">
        <w:rPr>
          <w:rFonts w:ascii="Book Antiqua" w:hAnsi="Book Antiqua"/>
          <w:sz w:val="24"/>
          <w:szCs w:val="24"/>
        </w:rPr>
        <w:t>and approximately 50</w:t>
      </w:r>
      <w:r w:rsidR="00985904" w:rsidRPr="00A903DD">
        <w:rPr>
          <w:rFonts w:ascii="Book Antiqua" w:hAnsi="Book Antiqua"/>
          <w:sz w:val="24"/>
          <w:szCs w:val="24"/>
        </w:rPr>
        <w:t>%</w:t>
      </w:r>
      <w:r w:rsidR="001C40D2" w:rsidRPr="00A903DD">
        <w:rPr>
          <w:rFonts w:ascii="Book Antiqua" w:hAnsi="Book Antiqua"/>
          <w:sz w:val="24"/>
          <w:szCs w:val="24"/>
        </w:rPr>
        <w:t xml:space="preserve">-70% of orthopedic surgery patients received concurrent NSAID or aspirin therapy </w:t>
      </w:r>
      <w:r w:rsidR="00D623C9" w:rsidRPr="00A903DD">
        <w:rPr>
          <w:rFonts w:ascii="Book Antiqua" w:hAnsi="Book Antiqua"/>
          <w:sz w:val="24"/>
          <w:szCs w:val="24"/>
        </w:rPr>
        <w:t>during</w:t>
      </w:r>
      <w:r w:rsidR="003C6FEA" w:rsidRPr="00A903DD">
        <w:rPr>
          <w:rFonts w:ascii="Book Antiqua" w:hAnsi="Book Antiqua"/>
          <w:sz w:val="24"/>
          <w:szCs w:val="24"/>
        </w:rPr>
        <w:t xml:space="preserve"> the major clinical </w:t>
      </w:r>
      <w:proofErr w:type="gramStart"/>
      <w:r w:rsidR="003C6FEA" w:rsidRPr="00A903DD">
        <w:rPr>
          <w:rFonts w:ascii="Book Antiqua" w:hAnsi="Book Antiqua"/>
          <w:sz w:val="24"/>
          <w:szCs w:val="24"/>
        </w:rPr>
        <w:t>trials</w:t>
      </w:r>
      <w:r w:rsidR="001C40D2" w:rsidRPr="00A903DD">
        <w:rPr>
          <w:rFonts w:ascii="Book Antiqua" w:hAnsi="Book Antiqua"/>
          <w:sz w:val="24"/>
          <w:szCs w:val="24"/>
          <w:vertAlign w:val="superscript"/>
        </w:rPr>
        <w:t>[</w:t>
      </w:r>
      <w:proofErr w:type="gramEnd"/>
      <w:r w:rsidR="00D30397" w:rsidRPr="00A903DD">
        <w:rPr>
          <w:rFonts w:ascii="Book Antiqua" w:hAnsi="Book Antiqua"/>
          <w:sz w:val="24"/>
          <w:szCs w:val="24"/>
          <w:vertAlign w:val="superscript"/>
        </w:rPr>
        <w:t>49-51]</w:t>
      </w:r>
      <w:r w:rsidR="003C6FEA" w:rsidRPr="00A903DD">
        <w:rPr>
          <w:rFonts w:ascii="Book Antiqua" w:hAnsi="Book Antiqua"/>
          <w:sz w:val="24"/>
          <w:szCs w:val="24"/>
        </w:rPr>
        <w:t>.</w:t>
      </w:r>
      <w:r w:rsidR="00A1752F" w:rsidRPr="00A903DD">
        <w:rPr>
          <w:rFonts w:ascii="Book Antiqua" w:hAnsi="Book Antiqua"/>
          <w:sz w:val="24"/>
          <w:szCs w:val="24"/>
        </w:rPr>
        <w:t xml:space="preserve"> </w:t>
      </w:r>
    </w:p>
    <w:p w:rsidR="00DA445B" w:rsidRPr="00A903DD" w:rsidRDefault="00F80CD5" w:rsidP="00985904">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Friedma</w:t>
      </w:r>
      <w:r w:rsidR="001431D4" w:rsidRPr="00A903DD">
        <w:rPr>
          <w:rFonts w:ascii="Book Antiqua" w:hAnsi="Book Antiqua"/>
          <w:sz w:val="24"/>
          <w:szCs w:val="24"/>
        </w:rPr>
        <w:t>n</w:t>
      </w:r>
      <w:r w:rsidRPr="00A903DD">
        <w:rPr>
          <w:rFonts w:ascii="Book Antiqua" w:hAnsi="Book Antiqua"/>
          <w:sz w:val="24"/>
          <w:szCs w:val="24"/>
        </w:rPr>
        <w:t xml:space="preserve"> </w:t>
      </w:r>
      <w:r w:rsidRPr="00985904">
        <w:rPr>
          <w:rFonts w:ascii="Book Antiqua" w:hAnsi="Book Antiqua"/>
          <w:i/>
          <w:sz w:val="24"/>
          <w:szCs w:val="24"/>
        </w:rPr>
        <w:t xml:space="preserve">et </w:t>
      </w:r>
      <w:proofErr w:type="gramStart"/>
      <w:r w:rsidRPr="00985904">
        <w:rPr>
          <w:rFonts w:ascii="Book Antiqua" w:hAnsi="Book Antiqua"/>
          <w:i/>
          <w:sz w:val="24"/>
          <w:szCs w:val="24"/>
        </w:rPr>
        <w:t>al</w:t>
      </w:r>
      <w:r w:rsidR="003C6FEA" w:rsidRPr="00A903DD">
        <w:rPr>
          <w:rFonts w:ascii="Book Antiqua" w:hAnsi="Book Antiqua"/>
          <w:sz w:val="24"/>
          <w:szCs w:val="24"/>
          <w:vertAlign w:val="superscript"/>
        </w:rPr>
        <w:t>[</w:t>
      </w:r>
      <w:proofErr w:type="gramEnd"/>
      <w:r w:rsidR="003C6FEA" w:rsidRPr="00A903DD">
        <w:rPr>
          <w:rFonts w:ascii="Book Antiqua" w:hAnsi="Book Antiqua"/>
          <w:sz w:val="24"/>
          <w:szCs w:val="24"/>
          <w:vertAlign w:val="superscript"/>
        </w:rPr>
        <w:t>50]</w:t>
      </w:r>
      <w:r w:rsidRPr="00A903DD">
        <w:rPr>
          <w:rFonts w:ascii="Book Antiqua" w:hAnsi="Book Antiqua"/>
          <w:sz w:val="24"/>
          <w:szCs w:val="24"/>
        </w:rPr>
        <w:t xml:space="preserve"> conducted a post-hoc analysis of </w:t>
      </w:r>
      <w:r w:rsidR="00EF2A5C" w:rsidRPr="00A903DD">
        <w:rPr>
          <w:rFonts w:ascii="Book Antiqua" w:hAnsi="Book Antiqua"/>
          <w:sz w:val="24"/>
          <w:szCs w:val="24"/>
        </w:rPr>
        <w:t>major bleeding rates from pooled data of</w:t>
      </w:r>
      <w:r w:rsidRPr="00A903DD">
        <w:rPr>
          <w:rFonts w:ascii="Book Antiqua" w:hAnsi="Book Antiqua"/>
          <w:sz w:val="24"/>
          <w:szCs w:val="24"/>
        </w:rPr>
        <w:t xml:space="preserve"> three major orthopedic thromboprophylaxis trials </w:t>
      </w:r>
      <w:r w:rsidR="00D623C9" w:rsidRPr="00A903DD">
        <w:rPr>
          <w:rFonts w:ascii="Book Antiqua" w:hAnsi="Book Antiqua"/>
          <w:sz w:val="24"/>
          <w:szCs w:val="24"/>
        </w:rPr>
        <w:t>of</w:t>
      </w:r>
      <w:r w:rsidRPr="00A903DD">
        <w:rPr>
          <w:rFonts w:ascii="Book Antiqua" w:hAnsi="Book Antiqua"/>
          <w:sz w:val="24"/>
          <w:szCs w:val="24"/>
        </w:rPr>
        <w:t xml:space="preserve"> dabi</w:t>
      </w:r>
      <w:r w:rsidR="001431D4" w:rsidRPr="00A903DD">
        <w:rPr>
          <w:rFonts w:ascii="Book Antiqua" w:hAnsi="Book Antiqua"/>
          <w:sz w:val="24"/>
          <w:szCs w:val="24"/>
        </w:rPr>
        <w:t xml:space="preserve">gatran compared to enoxaparin; </w:t>
      </w:r>
      <w:r w:rsidR="00985904">
        <w:rPr>
          <w:rFonts w:ascii="Book Antiqua" w:hAnsi="Book Antiqua"/>
          <w:sz w:val="24"/>
          <w:szCs w:val="24"/>
        </w:rPr>
        <w:t>42% of the 8</w:t>
      </w:r>
      <w:r w:rsidR="00EF2A5C" w:rsidRPr="00A903DD">
        <w:rPr>
          <w:rFonts w:ascii="Book Antiqua" w:hAnsi="Book Antiqua"/>
          <w:sz w:val="24"/>
          <w:szCs w:val="24"/>
        </w:rPr>
        <w:t xml:space="preserve">135 patients </w:t>
      </w:r>
      <w:r w:rsidR="001431D4" w:rsidRPr="00A903DD">
        <w:rPr>
          <w:rFonts w:ascii="Book Antiqua" w:hAnsi="Book Antiqua"/>
          <w:sz w:val="24"/>
          <w:szCs w:val="24"/>
        </w:rPr>
        <w:t>studied</w:t>
      </w:r>
      <w:r w:rsidR="00EF2A5C" w:rsidRPr="00A903DD">
        <w:rPr>
          <w:rFonts w:ascii="Book Antiqua" w:hAnsi="Book Antiqua"/>
          <w:sz w:val="24"/>
          <w:szCs w:val="24"/>
        </w:rPr>
        <w:t xml:space="preserve"> had undergone THA.  </w:t>
      </w:r>
      <w:r w:rsidRPr="00A903DD">
        <w:rPr>
          <w:rFonts w:ascii="Book Antiqua" w:hAnsi="Book Antiqua"/>
          <w:sz w:val="24"/>
          <w:szCs w:val="24"/>
        </w:rPr>
        <w:t xml:space="preserve"> </w:t>
      </w:r>
      <w:r w:rsidR="00EF2A5C" w:rsidRPr="00A903DD">
        <w:rPr>
          <w:rFonts w:ascii="Book Antiqua" w:hAnsi="Book Antiqua"/>
          <w:sz w:val="24"/>
          <w:szCs w:val="24"/>
        </w:rPr>
        <w:t>The investigators separately analyzed the bleeding rates for concomitant anticoagulant plus either aspi</w:t>
      </w:r>
      <w:r w:rsidR="00985904">
        <w:rPr>
          <w:rFonts w:ascii="Book Antiqua" w:hAnsi="Book Antiqua"/>
          <w:sz w:val="24"/>
          <w:szCs w:val="24"/>
        </w:rPr>
        <w:t>rin (4.7%) or a NSAID (54.1%).</w:t>
      </w:r>
      <w:r w:rsidR="00985904">
        <w:rPr>
          <w:rFonts w:ascii="Book Antiqua" w:hAnsi="Book Antiqua" w:hint="eastAsia"/>
          <w:sz w:val="24"/>
          <w:szCs w:val="24"/>
          <w:lang w:eastAsia="zh-CN"/>
        </w:rPr>
        <w:t xml:space="preserve"> </w:t>
      </w:r>
      <w:r w:rsidR="00EF2A5C" w:rsidRPr="00A903DD">
        <w:rPr>
          <w:rFonts w:ascii="Book Antiqua" w:hAnsi="Book Antiqua"/>
          <w:sz w:val="24"/>
          <w:szCs w:val="24"/>
        </w:rPr>
        <w:t xml:space="preserve">Results demonstrated no significant difference in major bleeding risk when either dabigatran or enoxaparin was combined with either aspirin or </w:t>
      </w:r>
      <w:r w:rsidR="003C6FEA" w:rsidRPr="00A903DD">
        <w:rPr>
          <w:rFonts w:ascii="Book Antiqua" w:hAnsi="Book Antiqua"/>
          <w:sz w:val="24"/>
          <w:szCs w:val="24"/>
        </w:rPr>
        <w:t>a NSAID.</w:t>
      </w:r>
      <w:r w:rsidR="001431D4" w:rsidRPr="00A903DD">
        <w:rPr>
          <w:rFonts w:ascii="Book Antiqua" w:hAnsi="Book Antiqua"/>
          <w:sz w:val="24"/>
          <w:szCs w:val="24"/>
        </w:rPr>
        <w:t xml:space="preserve"> </w:t>
      </w:r>
      <w:r w:rsidR="00EF2A5C" w:rsidRPr="00A903DD">
        <w:rPr>
          <w:rFonts w:ascii="Book Antiqua" w:hAnsi="Book Antiqua"/>
          <w:sz w:val="24"/>
          <w:szCs w:val="24"/>
        </w:rPr>
        <w:t xml:space="preserve"> </w:t>
      </w:r>
      <w:r w:rsidR="001431D4" w:rsidRPr="00A903DD">
        <w:rPr>
          <w:rFonts w:ascii="Book Antiqua" w:hAnsi="Book Antiqua"/>
          <w:sz w:val="24"/>
          <w:szCs w:val="24"/>
        </w:rPr>
        <w:t xml:space="preserve">A similar analysis by Eriksson </w:t>
      </w:r>
      <w:r w:rsidR="001431D4" w:rsidRPr="00985904">
        <w:rPr>
          <w:rFonts w:ascii="Book Antiqua" w:hAnsi="Book Antiqua"/>
          <w:i/>
          <w:sz w:val="24"/>
          <w:szCs w:val="24"/>
        </w:rPr>
        <w:t xml:space="preserve">et </w:t>
      </w:r>
      <w:proofErr w:type="gramStart"/>
      <w:r w:rsidR="001431D4" w:rsidRPr="00985904">
        <w:rPr>
          <w:rFonts w:ascii="Book Antiqua" w:hAnsi="Book Antiqua"/>
          <w:i/>
          <w:sz w:val="24"/>
          <w:szCs w:val="24"/>
        </w:rPr>
        <w:t>al</w:t>
      </w:r>
      <w:r w:rsidR="003C6FEA" w:rsidRPr="00A903DD">
        <w:rPr>
          <w:rFonts w:ascii="Book Antiqua" w:hAnsi="Book Antiqua"/>
          <w:sz w:val="24"/>
          <w:szCs w:val="24"/>
          <w:vertAlign w:val="superscript"/>
        </w:rPr>
        <w:t>[</w:t>
      </w:r>
      <w:proofErr w:type="gramEnd"/>
      <w:r w:rsidR="003C6FEA" w:rsidRPr="00A903DD">
        <w:rPr>
          <w:rFonts w:ascii="Book Antiqua" w:hAnsi="Book Antiqua"/>
          <w:sz w:val="24"/>
          <w:szCs w:val="24"/>
          <w:vertAlign w:val="superscript"/>
        </w:rPr>
        <w:t>51]</w:t>
      </w:r>
      <w:r w:rsidR="001431D4" w:rsidRPr="00A903DD">
        <w:rPr>
          <w:rFonts w:ascii="Book Antiqua" w:hAnsi="Book Antiqua"/>
          <w:sz w:val="24"/>
          <w:szCs w:val="24"/>
        </w:rPr>
        <w:t xml:space="preserve"> used rivaroxaban versus enoxaparin pooled data from </w:t>
      </w:r>
      <w:r w:rsidR="00545333" w:rsidRPr="00A903DD">
        <w:rPr>
          <w:rFonts w:ascii="Book Antiqua" w:hAnsi="Book Antiqua"/>
          <w:sz w:val="24"/>
          <w:szCs w:val="24"/>
        </w:rPr>
        <w:t xml:space="preserve">phase III </w:t>
      </w:r>
      <w:r w:rsidR="00985904">
        <w:rPr>
          <w:rFonts w:ascii="Book Antiqua" w:hAnsi="Book Antiqua"/>
          <w:sz w:val="24"/>
          <w:szCs w:val="24"/>
        </w:rPr>
        <w:t>studies;</w:t>
      </w:r>
      <w:r w:rsidR="00985904">
        <w:rPr>
          <w:rFonts w:ascii="Book Antiqua" w:hAnsi="Book Antiqua" w:hint="eastAsia"/>
          <w:sz w:val="24"/>
          <w:szCs w:val="24"/>
          <w:lang w:eastAsia="zh-CN"/>
        </w:rPr>
        <w:t xml:space="preserve"> </w:t>
      </w:r>
      <w:r w:rsidR="001431D4" w:rsidRPr="00A903DD">
        <w:rPr>
          <w:rFonts w:ascii="Book Antiqua" w:hAnsi="Book Antiqua"/>
          <w:sz w:val="24"/>
          <w:szCs w:val="24"/>
        </w:rPr>
        <w:t>57% of t</w:t>
      </w:r>
      <w:r w:rsidR="00985904">
        <w:rPr>
          <w:rFonts w:ascii="Book Antiqua" w:hAnsi="Book Antiqua"/>
          <w:sz w:val="24"/>
          <w:szCs w:val="24"/>
        </w:rPr>
        <w:t>he 12</w:t>
      </w:r>
      <w:r w:rsidR="001431D4" w:rsidRPr="00A903DD">
        <w:rPr>
          <w:rFonts w:ascii="Book Antiqua" w:hAnsi="Book Antiqua"/>
          <w:sz w:val="24"/>
          <w:szCs w:val="24"/>
        </w:rPr>
        <w:t>220 patie</w:t>
      </w:r>
      <w:r w:rsidR="00985904">
        <w:rPr>
          <w:rFonts w:ascii="Book Antiqua" w:hAnsi="Book Antiqua"/>
          <w:sz w:val="24"/>
          <w:szCs w:val="24"/>
        </w:rPr>
        <w:t xml:space="preserve">nts studied had undergone THA. </w:t>
      </w:r>
      <w:r w:rsidR="00D4312D" w:rsidRPr="00A903DD">
        <w:rPr>
          <w:rFonts w:ascii="Book Antiqua" w:hAnsi="Book Antiqua"/>
          <w:sz w:val="24"/>
          <w:szCs w:val="24"/>
        </w:rPr>
        <w:t xml:space="preserve">Co-administration of the anticoagulant with a </w:t>
      </w:r>
      <w:r w:rsidR="000327E9" w:rsidRPr="00A903DD">
        <w:rPr>
          <w:rFonts w:ascii="Book Antiqua" w:hAnsi="Book Antiqua"/>
          <w:sz w:val="24"/>
          <w:szCs w:val="24"/>
        </w:rPr>
        <w:t xml:space="preserve">either a </w:t>
      </w:r>
      <w:r w:rsidR="00D4312D" w:rsidRPr="00A903DD">
        <w:rPr>
          <w:rFonts w:ascii="Book Antiqua" w:hAnsi="Book Antiqua"/>
          <w:sz w:val="24"/>
          <w:szCs w:val="24"/>
        </w:rPr>
        <w:t>NSAID</w:t>
      </w:r>
      <w:r w:rsidR="000327E9" w:rsidRPr="00A903DD">
        <w:rPr>
          <w:rFonts w:ascii="Book Antiqua" w:hAnsi="Book Antiqua"/>
          <w:sz w:val="24"/>
          <w:szCs w:val="24"/>
        </w:rPr>
        <w:t xml:space="preserve"> or an antiplatelet agent occurred in 72.3% </w:t>
      </w:r>
      <w:r w:rsidR="00D4312D" w:rsidRPr="00A903DD">
        <w:rPr>
          <w:rFonts w:ascii="Book Antiqua" w:hAnsi="Book Antiqua"/>
          <w:sz w:val="24"/>
          <w:szCs w:val="24"/>
        </w:rPr>
        <w:t>and 8.9%of pat</w:t>
      </w:r>
      <w:r w:rsidR="000327E9" w:rsidRPr="00A903DD">
        <w:rPr>
          <w:rFonts w:ascii="Book Antiqua" w:hAnsi="Book Antiqua"/>
          <w:sz w:val="24"/>
          <w:szCs w:val="24"/>
        </w:rPr>
        <w:t>ients, respectively</w:t>
      </w:r>
      <w:r w:rsidR="00D4312D" w:rsidRPr="00A903DD">
        <w:rPr>
          <w:rFonts w:ascii="Book Antiqua" w:hAnsi="Book Antiqua"/>
          <w:sz w:val="24"/>
          <w:szCs w:val="24"/>
        </w:rPr>
        <w:t>.  Rate ratios (RR</w:t>
      </w:r>
      <w:r w:rsidR="00234A77" w:rsidRPr="00A903DD">
        <w:rPr>
          <w:rFonts w:ascii="Book Antiqua" w:hAnsi="Book Antiqua"/>
          <w:sz w:val="24"/>
          <w:szCs w:val="24"/>
        </w:rPr>
        <w:t>s</w:t>
      </w:r>
      <w:r w:rsidR="00D4312D" w:rsidRPr="00A903DD">
        <w:rPr>
          <w:rFonts w:ascii="Book Antiqua" w:hAnsi="Book Antiqua"/>
          <w:sz w:val="24"/>
          <w:szCs w:val="24"/>
        </w:rPr>
        <w:t>) for any bleeding event and for major bleeding were not significantly increased in patients with concomitant anticoagulant plus NSAID or antiplatelet drug use, and there was no difference between RRs for rivar</w:t>
      </w:r>
      <w:r w:rsidR="00C00EFA" w:rsidRPr="00A903DD">
        <w:rPr>
          <w:rFonts w:ascii="Book Antiqua" w:hAnsi="Book Antiqua"/>
          <w:sz w:val="24"/>
          <w:szCs w:val="24"/>
        </w:rPr>
        <w:t xml:space="preserve">oxaban </w:t>
      </w:r>
      <w:r w:rsidR="00C00EFA" w:rsidRPr="00A903DD">
        <w:rPr>
          <w:rFonts w:ascii="Book Antiqua" w:hAnsi="Book Antiqua"/>
          <w:sz w:val="24"/>
          <w:szCs w:val="24"/>
        </w:rPr>
        <w:lastRenderedPageBreak/>
        <w:t>compared to enoxaparin.</w:t>
      </w:r>
      <w:r w:rsidR="00D4312D" w:rsidRPr="00A903DD">
        <w:rPr>
          <w:rFonts w:ascii="Book Antiqua" w:hAnsi="Book Antiqua"/>
          <w:sz w:val="24"/>
          <w:szCs w:val="24"/>
        </w:rPr>
        <w:t xml:space="preserve">  </w:t>
      </w:r>
      <w:r w:rsidR="00C00EFA" w:rsidRPr="00A903DD">
        <w:rPr>
          <w:rFonts w:ascii="Book Antiqua" w:hAnsi="Book Antiqua"/>
          <w:sz w:val="24"/>
          <w:szCs w:val="24"/>
        </w:rPr>
        <w:t>Nevertheless, it is prudent</w:t>
      </w:r>
      <w:r w:rsidR="00A1752F" w:rsidRPr="00A903DD">
        <w:rPr>
          <w:rFonts w:ascii="Book Antiqua" w:hAnsi="Book Antiqua"/>
          <w:sz w:val="24"/>
          <w:szCs w:val="24"/>
        </w:rPr>
        <w:t xml:space="preserve"> to evaluate the signs and symptoms of blood loss frequently when concomitant use of a TS</w:t>
      </w:r>
      <w:r w:rsidR="00C00EFA" w:rsidRPr="00A903DD">
        <w:rPr>
          <w:rFonts w:ascii="Book Antiqua" w:hAnsi="Book Antiqua"/>
          <w:sz w:val="24"/>
          <w:szCs w:val="24"/>
        </w:rPr>
        <w:t>OA and an antiplatelet or NSAID</w:t>
      </w:r>
      <w:r w:rsidR="003C6FEA" w:rsidRPr="00A903DD">
        <w:rPr>
          <w:rFonts w:ascii="Book Antiqua" w:hAnsi="Book Antiqua"/>
          <w:sz w:val="24"/>
          <w:szCs w:val="24"/>
        </w:rPr>
        <w:t xml:space="preserve"> is </w:t>
      </w:r>
      <w:proofErr w:type="gramStart"/>
      <w:r w:rsidR="003C6FEA" w:rsidRPr="00A903DD">
        <w:rPr>
          <w:rFonts w:ascii="Book Antiqua" w:hAnsi="Book Antiqua"/>
          <w:sz w:val="24"/>
          <w:szCs w:val="24"/>
        </w:rPr>
        <w:t>warranted</w:t>
      </w:r>
      <w:r w:rsidR="00C00EFA" w:rsidRPr="00A903DD">
        <w:rPr>
          <w:rFonts w:ascii="Book Antiqua" w:hAnsi="Book Antiqua"/>
          <w:sz w:val="24"/>
          <w:szCs w:val="24"/>
          <w:vertAlign w:val="superscript"/>
        </w:rPr>
        <w:t>[</w:t>
      </w:r>
      <w:proofErr w:type="gramEnd"/>
      <w:r w:rsidR="00C00EFA" w:rsidRPr="00A903DD">
        <w:rPr>
          <w:rFonts w:ascii="Book Antiqua" w:hAnsi="Book Antiqua"/>
          <w:sz w:val="24"/>
          <w:szCs w:val="24"/>
          <w:vertAlign w:val="superscript"/>
        </w:rPr>
        <w:t>1,16,18,20</w:t>
      </w:r>
      <w:r w:rsidR="003C6FEA" w:rsidRPr="00A903DD">
        <w:rPr>
          <w:rFonts w:ascii="Book Antiqua" w:hAnsi="Book Antiqua"/>
          <w:sz w:val="24"/>
          <w:szCs w:val="24"/>
          <w:vertAlign w:val="superscript"/>
        </w:rPr>
        <w:t>]</w:t>
      </w:r>
      <w:r w:rsidR="003C6FEA" w:rsidRPr="00A903DD">
        <w:rPr>
          <w:rFonts w:ascii="Book Antiqua" w:hAnsi="Book Antiqua"/>
          <w:sz w:val="24"/>
          <w:szCs w:val="24"/>
        </w:rPr>
        <w:t>.</w:t>
      </w:r>
    </w:p>
    <w:p w:rsidR="003C6FEA" w:rsidRPr="00A903DD" w:rsidRDefault="003C6FEA" w:rsidP="00A903DD">
      <w:pPr>
        <w:spacing w:after="0" w:line="360" w:lineRule="auto"/>
        <w:jc w:val="both"/>
        <w:rPr>
          <w:rFonts w:ascii="Book Antiqua" w:hAnsi="Book Antiqua"/>
          <w:sz w:val="24"/>
          <w:szCs w:val="24"/>
        </w:rPr>
      </w:pPr>
    </w:p>
    <w:p w:rsidR="002D3D87" w:rsidRPr="00A903DD" w:rsidRDefault="00985904" w:rsidP="00A903DD">
      <w:pPr>
        <w:autoSpaceDE w:val="0"/>
        <w:autoSpaceDN w:val="0"/>
        <w:adjustRightInd w:val="0"/>
        <w:spacing w:after="0" w:line="360" w:lineRule="auto"/>
        <w:contextualSpacing/>
        <w:jc w:val="both"/>
        <w:rPr>
          <w:rFonts w:ascii="Book Antiqua" w:hAnsi="Book Antiqua"/>
          <w:b/>
          <w:sz w:val="24"/>
          <w:szCs w:val="24"/>
        </w:rPr>
      </w:pPr>
      <w:r w:rsidRPr="00A903DD">
        <w:rPr>
          <w:rFonts w:ascii="Book Antiqua" w:hAnsi="Book Antiqua"/>
          <w:b/>
          <w:sz w:val="24"/>
          <w:szCs w:val="24"/>
        </w:rPr>
        <w:t>CLINICAL STUDIES OF TSOAS IN THA PATIENTS</w:t>
      </w:r>
    </w:p>
    <w:p w:rsidR="00B36A23" w:rsidRPr="00A903DD" w:rsidRDefault="002D3D87" w:rsidP="00A903DD">
      <w:pPr>
        <w:autoSpaceDE w:val="0"/>
        <w:autoSpaceDN w:val="0"/>
        <w:adjustRightInd w:val="0"/>
        <w:spacing w:after="0" w:line="360" w:lineRule="auto"/>
        <w:contextualSpacing/>
        <w:jc w:val="both"/>
        <w:rPr>
          <w:rFonts w:ascii="Book Antiqua" w:hAnsi="Book Antiqua"/>
          <w:b/>
          <w:i/>
          <w:sz w:val="24"/>
          <w:szCs w:val="24"/>
        </w:rPr>
      </w:pPr>
      <w:r w:rsidRPr="00A903DD">
        <w:rPr>
          <w:rFonts w:ascii="Book Antiqua" w:hAnsi="Book Antiqua"/>
          <w:b/>
          <w:i/>
          <w:sz w:val="24"/>
          <w:szCs w:val="24"/>
        </w:rPr>
        <w:t>D</w:t>
      </w:r>
      <w:r w:rsidR="00B36A23" w:rsidRPr="00A903DD">
        <w:rPr>
          <w:rFonts w:ascii="Book Antiqua" w:hAnsi="Book Antiqua"/>
          <w:b/>
          <w:i/>
          <w:sz w:val="24"/>
          <w:szCs w:val="24"/>
        </w:rPr>
        <w:t>abigatran in THA</w:t>
      </w:r>
    </w:p>
    <w:p w:rsidR="00887BBC" w:rsidRPr="00A903DD" w:rsidRDefault="00887BBC" w:rsidP="00A903DD">
      <w:pPr>
        <w:autoSpaceDE w:val="0"/>
        <w:autoSpaceDN w:val="0"/>
        <w:adjustRightInd w:val="0"/>
        <w:spacing w:after="0" w:line="360" w:lineRule="auto"/>
        <w:contextualSpacing/>
        <w:jc w:val="both"/>
        <w:rPr>
          <w:rFonts w:ascii="Book Antiqua" w:hAnsi="Book Antiqua"/>
          <w:sz w:val="24"/>
          <w:szCs w:val="24"/>
        </w:rPr>
      </w:pPr>
      <w:r w:rsidRPr="00A903DD">
        <w:rPr>
          <w:rFonts w:ascii="Book Antiqua" w:hAnsi="Book Antiqua"/>
          <w:sz w:val="24"/>
          <w:szCs w:val="24"/>
        </w:rPr>
        <w:t xml:space="preserve">Dabigatran was first evaluated in THA patients in the phase II studies </w:t>
      </w:r>
      <w:r w:rsidR="0002604B" w:rsidRPr="00A903DD">
        <w:rPr>
          <w:rStyle w:val="ad"/>
          <w:rFonts w:ascii="Book Antiqua" w:hAnsi="Book Antiqua"/>
          <w:sz w:val="24"/>
          <w:szCs w:val="24"/>
        </w:rPr>
        <w:t>B</w:t>
      </w:r>
      <w:r w:rsidR="0002604B" w:rsidRPr="00A903DD">
        <w:rPr>
          <w:rFonts w:ascii="Book Antiqua" w:hAnsi="Book Antiqua"/>
          <w:sz w:val="24"/>
          <w:szCs w:val="24"/>
        </w:rPr>
        <w:t xml:space="preserve">oehringer </w:t>
      </w:r>
      <w:r w:rsidR="0002604B" w:rsidRPr="00A903DD">
        <w:rPr>
          <w:rStyle w:val="ad"/>
          <w:rFonts w:ascii="Book Antiqua" w:hAnsi="Book Antiqua"/>
          <w:sz w:val="24"/>
          <w:szCs w:val="24"/>
        </w:rPr>
        <w:t>I</w:t>
      </w:r>
      <w:r w:rsidR="0002604B" w:rsidRPr="00A903DD">
        <w:rPr>
          <w:rFonts w:ascii="Book Antiqua" w:hAnsi="Book Antiqua"/>
          <w:sz w:val="24"/>
          <w:szCs w:val="24"/>
        </w:rPr>
        <w:t xml:space="preserve">ngelheim </w:t>
      </w:r>
      <w:r w:rsidR="0002604B" w:rsidRPr="00A903DD">
        <w:rPr>
          <w:rStyle w:val="ad"/>
          <w:rFonts w:ascii="Book Antiqua" w:hAnsi="Book Antiqua"/>
          <w:sz w:val="24"/>
          <w:szCs w:val="24"/>
        </w:rPr>
        <w:t>S</w:t>
      </w:r>
      <w:r w:rsidR="0002604B" w:rsidRPr="00A903DD">
        <w:rPr>
          <w:rFonts w:ascii="Book Antiqua" w:hAnsi="Book Antiqua"/>
          <w:sz w:val="24"/>
          <w:szCs w:val="24"/>
        </w:rPr>
        <w:t>tudy in Th</w:t>
      </w:r>
      <w:r w:rsidR="0002604B" w:rsidRPr="00A903DD">
        <w:rPr>
          <w:rStyle w:val="ad"/>
          <w:rFonts w:ascii="Book Antiqua" w:hAnsi="Book Antiqua"/>
          <w:sz w:val="24"/>
          <w:szCs w:val="24"/>
        </w:rPr>
        <w:t>RO</w:t>
      </w:r>
      <w:r w:rsidR="0002604B" w:rsidRPr="00A903DD">
        <w:rPr>
          <w:rFonts w:ascii="Book Antiqua" w:hAnsi="Book Antiqua"/>
          <w:sz w:val="24"/>
          <w:szCs w:val="24"/>
        </w:rPr>
        <w:t>mbosis (</w:t>
      </w:r>
      <w:r w:rsidRPr="00A903DD">
        <w:rPr>
          <w:rFonts w:ascii="Book Antiqua" w:hAnsi="Book Antiqua"/>
          <w:sz w:val="24"/>
          <w:szCs w:val="24"/>
        </w:rPr>
        <w:t>BISTRO</w:t>
      </w:r>
      <w:r w:rsidR="00234A77" w:rsidRPr="00A903DD">
        <w:rPr>
          <w:rFonts w:ascii="Book Antiqua" w:hAnsi="Book Antiqua"/>
          <w:sz w:val="24"/>
          <w:szCs w:val="24"/>
        </w:rPr>
        <w:t>)</w:t>
      </w:r>
      <w:r w:rsidRPr="00A903DD">
        <w:rPr>
          <w:rFonts w:ascii="Book Antiqua" w:hAnsi="Book Antiqua"/>
          <w:sz w:val="24"/>
          <w:szCs w:val="24"/>
        </w:rPr>
        <w:t xml:space="preserve"> I and BISTRO II.  </w:t>
      </w:r>
      <w:r w:rsidR="00D623C9" w:rsidRPr="00A903DD">
        <w:rPr>
          <w:rFonts w:ascii="Book Antiqua" w:hAnsi="Book Antiqua"/>
          <w:sz w:val="24"/>
          <w:szCs w:val="24"/>
        </w:rPr>
        <w:t xml:space="preserve">Results of </w:t>
      </w:r>
      <w:r w:rsidR="00922027" w:rsidRPr="00A903DD">
        <w:rPr>
          <w:rFonts w:ascii="Book Antiqua" w:hAnsi="Book Antiqua"/>
          <w:sz w:val="24"/>
          <w:szCs w:val="24"/>
        </w:rPr>
        <w:t>the dose-</w:t>
      </w:r>
      <w:r w:rsidR="00F87C9C" w:rsidRPr="00A903DD">
        <w:rPr>
          <w:rFonts w:ascii="Book Antiqua" w:hAnsi="Book Antiqua"/>
          <w:sz w:val="24"/>
          <w:szCs w:val="24"/>
        </w:rPr>
        <w:t xml:space="preserve">ranging </w:t>
      </w:r>
      <w:r w:rsidRPr="00A903DD">
        <w:rPr>
          <w:rFonts w:ascii="Book Antiqua" w:hAnsi="Book Antiqua"/>
          <w:sz w:val="24"/>
          <w:szCs w:val="24"/>
        </w:rPr>
        <w:t>BISTRO I</w:t>
      </w:r>
      <w:r w:rsidR="00F87C9C" w:rsidRPr="00A903DD">
        <w:rPr>
          <w:rFonts w:ascii="Book Antiqua" w:hAnsi="Book Antiqua"/>
          <w:sz w:val="24"/>
          <w:szCs w:val="24"/>
        </w:rPr>
        <w:t xml:space="preserve"> study</w:t>
      </w:r>
      <w:r w:rsidR="00F87C9C" w:rsidRPr="00A903DD">
        <w:rPr>
          <w:rFonts w:ascii="Book Antiqua" w:hAnsi="Book Antiqua"/>
          <w:sz w:val="24"/>
          <w:szCs w:val="24"/>
          <w:vertAlign w:val="superscript"/>
        </w:rPr>
        <w:t>[52]</w:t>
      </w:r>
      <w:r w:rsidR="00D623C9" w:rsidRPr="00A903DD">
        <w:rPr>
          <w:rFonts w:ascii="Book Antiqua" w:hAnsi="Book Antiqua"/>
          <w:sz w:val="24"/>
          <w:szCs w:val="24"/>
        </w:rPr>
        <w:t xml:space="preserve"> demonstrated</w:t>
      </w:r>
      <w:r w:rsidRPr="00A903DD">
        <w:rPr>
          <w:rFonts w:ascii="Book Antiqua" w:hAnsi="Book Antiqua"/>
          <w:sz w:val="24"/>
          <w:szCs w:val="24"/>
        </w:rPr>
        <w:t xml:space="preserve"> </w:t>
      </w:r>
      <w:r w:rsidR="000327E9" w:rsidRPr="00A903DD">
        <w:rPr>
          <w:rFonts w:ascii="Book Antiqua" w:hAnsi="Book Antiqua"/>
          <w:sz w:val="24"/>
          <w:szCs w:val="24"/>
        </w:rPr>
        <w:t xml:space="preserve">that </w:t>
      </w:r>
      <w:r w:rsidRPr="00A903DD">
        <w:rPr>
          <w:rFonts w:ascii="Book Antiqua" w:hAnsi="Book Antiqua"/>
          <w:sz w:val="24"/>
          <w:szCs w:val="24"/>
        </w:rPr>
        <w:t>an acceptable safety profile would be seen with dabigatran dos</w:t>
      </w:r>
      <w:r w:rsidR="00D623C9" w:rsidRPr="00A903DD">
        <w:rPr>
          <w:rFonts w:ascii="Book Antiqua" w:hAnsi="Book Antiqua"/>
          <w:sz w:val="24"/>
          <w:szCs w:val="24"/>
        </w:rPr>
        <w:t>ages of</w:t>
      </w:r>
      <w:r w:rsidRPr="00A903DD">
        <w:rPr>
          <w:rFonts w:ascii="Book Antiqua" w:hAnsi="Book Antiqua"/>
          <w:sz w:val="24"/>
          <w:szCs w:val="24"/>
        </w:rPr>
        <w:t xml:space="preserve"> 12.5 mg to 300 mg daily after THA or TKA, but </w:t>
      </w:r>
      <w:r w:rsidR="00D623C9" w:rsidRPr="00A903DD">
        <w:rPr>
          <w:rFonts w:ascii="Book Antiqua" w:hAnsi="Book Antiqua"/>
          <w:sz w:val="24"/>
          <w:szCs w:val="24"/>
        </w:rPr>
        <w:t xml:space="preserve">the study </w:t>
      </w:r>
      <w:r w:rsidRPr="00A903DD">
        <w:rPr>
          <w:rFonts w:ascii="Book Antiqua" w:hAnsi="Book Antiqua"/>
          <w:sz w:val="24"/>
          <w:szCs w:val="24"/>
        </w:rPr>
        <w:t>was no</w:t>
      </w:r>
      <w:r w:rsidR="003C6FEA" w:rsidRPr="00A903DD">
        <w:rPr>
          <w:rFonts w:ascii="Book Antiqua" w:hAnsi="Book Antiqua"/>
          <w:sz w:val="24"/>
          <w:szCs w:val="24"/>
        </w:rPr>
        <w:t xml:space="preserve">t powered to determine efficacy. </w:t>
      </w:r>
      <w:r w:rsidR="00D623C9" w:rsidRPr="00A903DD">
        <w:rPr>
          <w:rFonts w:ascii="Book Antiqua" w:hAnsi="Book Antiqua"/>
          <w:sz w:val="24"/>
          <w:szCs w:val="24"/>
        </w:rPr>
        <w:t>Invest</w:t>
      </w:r>
      <w:r w:rsidR="000327E9" w:rsidRPr="00A903DD">
        <w:rPr>
          <w:rFonts w:ascii="Book Antiqua" w:hAnsi="Book Antiqua"/>
          <w:sz w:val="24"/>
          <w:szCs w:val="24"/>
        </w:rPr>
        <w:t xml:space="preserve">igators in the larger </w:t>
      </w:r>
      <w:r w:rsidRPr="00A903DD">
        <w:rPr>
          <w:rFonts w:ascii="Book Antiqua" w:hAnsi="Book Antiqua"/>
          <w:sz w:val="24"/>
          <w:szCs w:val="24"/>
        </w:rPr>
        <w:t>BISTRO II</w:t>
      </w:r>
      <w:r w:rsidR="00DA445B" w:rsidRPr="00A903DD">
        <w:rPr>
          <w:rFonts w:ascii="Book Antiqua" w:hAnsi="Book Antiqua"/>
          <w:sz w:val="24"/>
          <w:szCs w:val="24"/>
        </w:rPr>
        <w:t xml:space="preserve"> </w:t>
      </w:r>
      <w:r w:rsidRPr="00A903DD">
        <w:rPr>
          <w:rFonts w:ascii="Book Antiqua" w:hAnsi="Book Antiqua"/>
          <w:sz w:val="24"/>
          <w:szCs w:val="24"/>
        </w:rPr>
        <w:t>study</w:t>
      </w:r>
      <w:r w:rsidR="00F87C9C" w:rsidRPr="00A903DD">
        <w:rPr>
          <w:rFonts w:ascii="Book Antiqua" w:hAnsi="Book Antiqua"/>
          <w:sz w:val="24"/>
          <w:szCs w:val="24"/>
          <w:vertAlign w:val="superscript"/>
        </w:rPr>
        <w:t>[53]</w:t>
      </w:r>
      <w:r w:rsidRPr="00A903DD">
        <w:rPr>
          <w:rFonts w:ascii="Book Antiqua" w:hAnsi="Book Antiqua"/>
          <w:sz w:val="24"/>
          <w:szCs w:val="24"/>
        </w:rPr>
        <w:t xml:space="preserve"> determined that a dose dependent relationship existed for both </w:t>
      </w:r>
      <w:r w:rsidR="00DA445B" w:rsidRPr="00A903DD">
        <w:rPr>
          <w:rFonts w:ascii="Book Antiqua" w:hAnsi="Book Antiqua"/>
          <w:sz w:val="24"/>
          <w:szCs w:val="24"/>
        </w:rPr>
        <w:t xml:space="preserve">dabigatran </w:t>
      </w:r>
      <w:r w:rsidRPr="00A903DD">
        <w:rPr>
          <w:rFonts w:ascii="Book Antiqua" w:hAnsi="Book Antiqua"/>
          <w:sz w:val="24"/>
          <w:szCs w:val="24"/>
        </w:rPr>
        <w:t xml:space="preserve">efficacy and safety, with significantly fewer VTE </w:t>
      </w:r>
      <w:r w:rsidR="00D623C9" w:rsidRPr="00A903DD">
        <w:rPr>
          <w:rFonts w:ascii="Book Antiqua" w:hAnsi="Book Antiqua"/>
          <w:sz w:val="24"/>
          <w:szCs w:val="24"/>
        </w:rPr>
        <w:t>events</w:t>
      </w:r>
      <w:r w:rsidR="00DA445B" w:rsidRPr="00A903DD">
        <w:rPr>
          <w:rFonts w:ascii="Book Antiqua" w:hAnsi="Book Antiqua"/>
          <w:sz w:val="24"/>
          <w:szCs w:val="24"/>
        </w:rPr>
        <w:t xml:space="preserve"> at higher doses</w:t>
      </w:r>
      <w:r w:rsidR="000A7316" w:rsidRPr="00A903DD">
        <w:rPr>
          <w:rFonts w:ascii="Book Antiqua" w:hAnsi="Book Antiqua"/>
          <w:sz w:val="24"/>
          <w:szCs w:val="24"/>
        </w:rPr>
        <w:t xml:space="preserve"> </w:t>
      </w:r>
      <w:r w:rsidR="00D623C9" w:rsidRPr="00A903DD">
        <w:rPr>
          <w:rFonts w:ascii="Book Antiqua" w:hAnsi="Book Antiqua"/>
          <w:sz w:val="24"/>
          <w:szCs w:val="24"/>
        </w:rPr>
        <w:t>compared</w:t>
      </w:r>
      <w:r w:rsidRPr="00A903DD">
        <w:rPr>
          <w:rFonts w:ascii="Book Antiqua" w:hAnsi="Book Antiqua"/>
          <w:sz w:val="24"/>
          <w:szCs w:val="24"/>
        </w:rPr>
        <w:t xml:space="preserve"> </w:t>
      </w:r>
      <w:r w:rsidR="000A7316" w:rsidRPr="00A903DD">
        <w:rPr>
          <w:rFonts w:ascii="Book Antiqua" w:hAnsi="Book Antiqua"/>
          <w:sz w:val="24"/>
          <w:szCs w:val="24"/>
        </w:rPr>
        <w:t xml:space="preserve">to </w:t>
      </w:r>
      <w:r w:rsidR="00DA445B" w:rsidRPr="00A903DD">
        <w:rPr>
          <w:rFonts w:ascii="Book Antiqua" w:hAnsi="Book Antiqua"/>
          <w:sz w:val="24"/>
          <w:szCs w:val="24"/>
        </w:rPr>
        <w:t xml:space="preserve">enoxaparin 40mg after THA or TKA, and a </w:t>
      </w:r>
      <w:r w:rsidR="0002604B" w:rsidRPr="00A903DD">
        <w:rPr>
          <w:rFonts w:ascii="Book Antiqua" w:hAnsi="Book Antiqua"/>
          <w:sz w:val="24"/>
          <w:szCs w:val="24"/>
        </w:rPr>
        <w:t xml:space="preserve">strong trend towards an </w:t>
      </w:r>
      <w:r w:rsidR="00DA445B" w:rsidRPr="00A903DD">
        <w:rPr>
          <w:rFonts w:ascii="Book Antiqua" w:hAnsi="Book Antiqua"/>
          <w:sz w:val="24"/>
          <w:szCs w:val="24"/>
        </w:rPr>
        <w:t>increased rate</w:t>
      </w:r>
      <w:r w:rsidR="00C47FCA" w:rsidRPr="00A903DD">
        <w:rPr>
          <w:rFonts w:ascii="Book Antiqua" w:hAnsi="Book Antiqua"/>
          <w:sz w:val="24"/>
          <w:szCs w:val="24"/>
        </w:rPr>
        <w:t xml:space="preserve"> of</w:t>
      </w:r>
      <w:r w:rsidRPr="00A903DD">
        <w:rPr>
          <w:rFonts w:ascii="Book Antiqua" w:hAnsi="Book Antiqua"/>
          <w:sz w:val="24"/>
          <w:szCs w:val="24"/>
        </w:rPr>
        <w:t xml:space="preserve"> major bleeding </w:t>
      </w:r>
      <w:r w:rsidR="00DA445B" w:rsidRPr="00A903DD">
        <w:rPr>
          <w:rFonts w:ascii="Book Antiqua" w:hAnsi="Book Antiqua"/>
          <w:sz w:val="24"/>
          <w:szCs w:val="24"/>
        </w:rPr>
        <w:t>with</w:t>
      </w:r>
      <w:r w:rsidRPr="00A903DD">
        <w:rPr>
          <w:rFonts w:ascii="Book Antiqua" w:hAnsi="Book Antiqua"/>
          <w:sz w:val="24"/>
          <w:szCs w:val="24"/>
        </w:rPr>
        <w:t xml:space="preserve"> </w:t>
      </w:r>
      <w:r w:rsidR="00453BC4" w:rsidRPr="00A903DD">
        <w:rPr>
          <w:rFonts w:ascii="Book Antiqua" w:hAnsi="Book Antiqua"/>
          <w:sz w:val="24"/>
          <w:szCs w:val="24"/>
        </w:rPr>
        <w:t xml:space="preserve">the highest </w:t>
      </w:r>
      <w:r w:rsidRPr="00A903DD">
        <w:rPr>
          <w:rFonts w:ascii="Book Antiqua" w:hAnsi="Book Antiqua"/>
          <w:sz w:val="24"/>
          <w:szCs w:val="24"/>
        </w:rPr>
        <w:t>dabigatran</w:t>
      </w:r>
      <w:r w:rsidR="00453BC4" w:rsidRPr="00A903DD">
        <w:rPr>
          <w:rFonts w:ascii="Book Antiqua" w:hAnsi="Book Antiqua"/>
          <w:sz w:val="24"/>
          <w:szCs w:val="24"/>
        </w:rPr>
        <w:t xml:space="preserve"> dose</w:t>
      </w:r>
      <w:r w:rsidRPr="00A903DD">
        <w:rPr>
          <w:rFonts w:ascii="Book Antiqua" w:hAnsi="Book Antiqua"/>
          <w:sz w:val="24"/>
          <w:szCs w:val="24"/>
        </w:rPr>
        <w:t xml:space="preserve"> </w:t>
      </w:r>
      <w:r w:rsidR="00453BC4" w:rsidRPr="00A903DD">
        <w:rPr>
          <w:rFonts w:ascii="Book Antiqua" w:hAnsi="Book Antiqua"/>
          <w:sz w:val="24"/>
          <w:szCs w:val="24"/>
        </w:rPr>
        <w:t>(</w:t>
      </w:r>
      <w:r w:rsidRPr="00A903DD">
        <w:rPr>
          <w:rFonts w:ascii="Book Antiqua" w:hAnsi="Book Antiqua"/>
          <w:sz w:val="24"/>
          <w:szCs w:val="24"/>
        </w:rPr>
        <w:t>300 mg daily</w:t>
      </w:r>
      <w:r w:rsidR="00453BC4" w:rsidRPr="00A903DD">
        <w:rPr>
          <w:rFonts w:ascii="Book Antiqua" w:hAnsi="Book Antiqua"/>
          <w:sz w:val="24"/>
          <w:szCs w:val="24"/>
        </w:rPr>
        <w:t>)</w:t>
      </w:r>
      <w:r w:rsidR="00DA445B" w:rsidRPr="00A903DD">
        <w:rPr>
          <w:rFonts w:ascii="Book Antiqua" w:hAnsi="Book Antiqua"/>
          <w:sz w:val="24"/>
          <w:szCs w:val="24"/>
        </w:rPr>
        <w:t xml:space="preserve"> versus enoxaparin (</w:t>
      </w:r>
      <w:r w:rsidR="00DA445B" w:rsidRPr="00321ECF">
        <w:rPr>
          <w:rFonts w:ascii="Book Antiqua" w:hAnsi="Book Antiqua"/>
          <w:i/>
          <w:sz w:val="24"/>
          <w:szCs w:val="24"/>
        </w:rPr>
        <w:t>P</w:t>
      </w:r>
      <w:r w:rsidR="00321ECF">
        <w:rPr>
          <w:rFonts w:ascii="Book Antiqua" w:hAnsi="Book Antiqua" w:hint="eastAsia"/>
          <w:sz w:val="24"/>
          <w:szCs w:val="24"/>
          <w:lang w:eastAsia="zh-CN"/>
        </w:rPr>
        <w:t xml:space="preserve"> </w:t>
      </w:r>
      <w:r w:rsidR="00DA445B" w:rsidRPr="00A903DD">
        <w:rPr>
          <w:rFonts w:ascii="Book Antiqua" w:hAnsi="Book Antiqua"/>
          <w:sz w:val="24"/>
          <w:szCs w:val="24"/>
        </w:rPr>
        <w:t>=</w:t>
      </w:r>
      <w:r w:rsidR="00321ECF">
        <w:rPr>
          <w:rFonts w:ascii="Book Antiqua" w:hAnsi="Book Antiqua" w:hint="eastAsia"/>
          <w:sz w:val="24"/>
          <w:szCs w:val="24"/>
          <w:lang w:eastAsia="zh-CN"/>
        </w:rPr>
        <w:t xml:space="preserve"> </w:t>
      </w:r>
      <w:r w:rsidR="00DA445B" w:rsidRPr="00A903DD">
        <w:rPr>
          <w:rFonts w:ascii="Book Antiqua" w:hAnsi="Book Antiqua"/>
          <w:sz w:val="24"/>
          <w:szCs w:val="24"/>
        </w:rPr>
        <w:t>0.</w:t>
      </w:r>
      <w:r w:rsidR="00234A77" w:rsidRPr="00A903DD">
        <w:rPr>
          <w:rFonts w:ascii="Book Antiqua" w:hAnsi="Book Antiqua"/>
          <w:sz w:val="24"/>
          <w:szCs w:val="24"/>
        </w:rPr>
        <w:t>0</w:t>
      </w:r>
      <w:r w:rsidR="00DA445B" w:rsidRPr="00A903DD">
        <w:rPr>
          <w:rFonts w:ascii="Book Antiqua" w:hAnsi="Book Antiqua"/>
          <w:sz w:val="24"/>
          <w:szCs w:val="24"/>
        </w:rPr>
        <w:t>51)</w:t>
      </w:r>
      <w:r w:rsidR="003C6FEA" w:rsidRPr="00A903DD">
        <w:rPr>
          <w:rFonts w:ascii="Book Antiqua" w:hAnsi="Book Antiqua"/>
          <w:sz w:val="24"/>
          <w:szCs w:val="24"/>
        </w:rPr>
        <w:t>.</w:t>
      </w:r>
      <w:r w:rsidRPr="00A903DD">
        <w:rPr>
          <w:rFonts w:ascii="Book Antiqua" w:hAnsi="Book Antiqua"/>
          <w:sz w:val="24"/>
          <w:szCs w:val="24"/>
        </w:rPr>
        <w:t xml:space="preserve"> Collectively, </w:t>
      </w:r>
      <w:r w:rsidR="000A7316" w:rsidRPr="00A903DD">
        <w:rPr>
          <w:rFonts w:ascii="Book Antiqua" w:hAnsi="Book Antiqua"/>
          <w:sz w:val="24"/>
          <w:szCs w:val="24"/>
        </w:rPr>
        <w:t xml:space="preserve">data from </w:t>
      </w:r>
      <w:r w:rsidRPr="00A903DD">
        <w:rPr>
          <w:rFonts w:ascii="Book Antiqua" w:hAnsi="Book Antiqua"/>
          <w:sz w:val="24"/>
          <w:szCs w:val="24"/>
        </w:rPr>
        <w:t xml:space="preserve">the BISTRO studies established </w:t>
      </w:r>
      <w:r w:rsidR="000A7316" w:rsidRPr="00A903DD">
        <w:rPr>
          <w:rFonts w:ascii="Book Antiqua" w:hAnsi="Book Antiqua"/>
          <w:sz w:val="24"/>
          <w:szCs w:val="24"/>
        </w:rPr>
        <w:t>dabigatran 150 mg and 220 mg daily</w:t>
      </w:r>
      <w:r w:rsidR="000A7316" w:rsidRPr="00A903DD" w:rsidDel="000A7316">
        <w:rPr>
          <w:rFonts w:ascii="Book Antiqua" w:hAnsi="Book Antiqua"/>
          <w:sz w:val="24"/>
          <w:szCs w:val="24"/>
        </w:rPr>
        <w:t xml:space="preserve"> </w:t>
      </w:r>
      <w:r w:rsidR="000A7316" w:rsidRPr="00A903DD">
        <w:rPr>
          <w:rFonts w:ascii="Book Antiqua" w:hAnsi="Book Antiqua"/>
          <w:sz w:val="24"/>
          <w:szCs w:val="24"/>
        </w:rPr>
        <w:t xml:space="preserve">as </w:t>
      </w:r>
      <w:r w:rsidRPr="00A903DD">
        <w:rPr>
          <w:rFonts w:ascii="Book Antiqua" w:hAnsi="Book Antiqua"/>
          <w:sz w:val="24"/>
          <w:szCs w:val="24"/>
        </w:rPr>
        <w:t>the two most eff</w:t>
      </w:r>
      <w:r w:rsidR="000A7316" w:rsidRPr="00A903DD">
        <w:rPr>
          <w:rFonts w:ascii="Book Antiqua" w:hAnsi="Book Antiqua"/>
          <w:sz w:val="24"/>
          <w:szCs w:val="24"/>
        </w:rPr>
        <w:t xml:space="preserve">ective thrombopropylaxis </w:t>
      </w:r>
      <w:r w:rsidRPr="00A903DD">
        <w:rPr>
          <w:rFonts w:ascii="Book Antiqua" w:hAnsi="Book Antiqua"/>
          <w:sz w:val="24"/>
          <w:szCs w:val="24"/>
        </w:rPr>
        <w:t>dos</w:t>
      </w:r>
      <w:r w:rsidR="000A7316" w:rsidRPr="00A903DD">
        <w:rPr>
          <w:rFonts w:ascii="Book Antiqua" w:hAnsi="Book Antiqua"/>
          <w:sz w:val="24"/>
          <w:szCs w:val="24"/>
        </w:rPr>
        <w:t>ag</w:t>
      </w:r>
      <w:r w:rsidRPr="00A903DD">
        <w:rPr>
          <w:rFonts w:ascii="Book Antiqua" w:hAnsi="Book Antiqua"/>
          <w:sz w:val="24"/>
          <w:szCs w:val="24"/>
        </w:rPr>
        <w:t xml:space="preserve">es, while maintaining a </w:t>
      </w:r>
      <w:r w:rsidR="000A7316" w:rsidRPr="00A903DD">
        <w:rPr>
          <w:rFonts w:ascii="Book Antiqua" w:hAnsi="Book Antiqua"/>
          <w:sz w:val="24"/>
          <w:szCs w:val="24"/>
        </w:rPr>
        <w:t>comparable</w:t>
      </w:r>
      <w:r w:rsidRPr="00A903DD">
        <w:rPr>
          <w:rFonts w:ascii="Book Antiqua" w:hAnsi="Book Antiqua"/>
          <w:sz w:val="24"/>
          <w:szCs w:val="24"/>
        </w:rPr>
        <w:t xml:space="preserve"> safety profile to enoxaparin</w:t>
      </w:r>
      <w:r w:rsidR="00DA445B" w:rsidRPr="00A903DD">
        <w:rPr>
          <w:rFonts w:ascii="Book Antiqua" w:hAnsi="Book Antiqua"/>
          <w:sz w:val="24"/>
          <w:szCs w:val="24"/>
        </w:rPr>
        <w:t>.</w:t>
      </w:r>
    </w:p>
    <w:p w:rsidR="00B36A23" w:rsidRPr="00A903DD" w:rsidRDefault="00F13D4B" w:rsidP="00321ECF">
      <w:pPr>
        <w:autoSpaceDE w:val="0"/>
        <w:autoSpaceDN w:val="0"/>
        <w:adjustRightInd w:val="0"/>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 xml:space="preserve">The </w:t>
      </w:r>
      <w:r w:rsidR="00B16051" w:rsidRPr="00A903DD">
        <w:rPr>
          <w:rFonts w:ascii="Book Antiqua" w:hAnsi="Book Antiqua" w:cs="Arial"/>
          <w:sz w:val="24"/>
          <w:szCs w:val="24"/>
        </w:rPr>
        <w:t>extended thromboembolism prevention after hip surgery</w:t>
      </w:r>
      <w:r w:rsidR="00823E9D" w:rsidRPr="00A903DD">
        <w:rPr>
          <w:rFonts w:ascii="Book Antiqua" w:hAnsi="Book Antiqua"/>
          <w:sz w:val="24"/>
          <w:szCs w:val="24"/>
        </w:rPr>
        <w:t xml:space="preserve"> </w:t>
      </w:r>
      <w:r w:rsidRPr="00A903DD">
        <w:rPr>
          <w:rFonts w:ascii="Book Antiqua" w:hAnsi="Book Antiqua"/>
          <w:sz w:val="24"/>
          <w:szCs w:val="24"/>
        </w:rPr>
        <w:t>(</w:t>
      </w:r>
      <w:r w:rsidR="00B36A23" w:rsidRPr="00A903DD">
        <w:rPr>
          <w:rFonts w:ascii="Book Antiqua" w:hAnsi="Book Antiqua"/>
          <w:sz w:val="24"/>
          <w:szCs w:val="24"/>
        </w:rPr>
        <w:t>RE-NOVATE</w:t>
      </w:r>
      <w:proofErr w:type="gramStart"/>
      <w:r w:rsidR="00444EF0" w:rsidRPr="00A903DD">
        <w:rPr>
          <w:rFonts w:ascii="Book Antiqua" w:hAnsi="Book Antiqua"/>
          <w:sz w:val="24"/>
          <w:szCs w:val="24"/>
        </w:rPr>
        <w:t>)</w:t>
      </w:r>
      <w:r w:rsidR="00F87C9C" w:rsidRPr="00A903DD">
        <w:rPr>
          <w:rFonts w:ascii="Book Antiqua" w:hAnsi="Book Antiqua"/>
          <w:sz w:val="24"/>
          <w:szCs w:val="24"/>
          <w:vertAlign w:val="superscript"/>
        </w:rPr>
        <w:t>[</w:t>
      </w:r>
      <w:proofErr w:type="gramEnd"/>
      <w:r w:rsidR="00F87C9C" w:rsidRPr="00A903DD">
        <w:rPr>
          <w:rFonts w:ascii="Book Antiqua" w:hAnsi="Book Antiqua"/>
          <w:sz w:val="24"/>
          <w:szCs w:val="24"/>
          <w:vertAlign w:val="superscript"/>
        </w:rPr>
        <w:t>54]</w:t>
      </w:r>
      <w:r w:rsidR="004550EC" w:rsidRPr="00A903DD">
        <w:rPr>
          <w:rFonts w:ascii="Book Antiqua" w:hAnsi="Book Antiqua"/>
          <w:sz w:val="24"/>
          <w:szCs w:val="24"/>
        </w:rPr>
        <w:t xml:space="preserve"> and RE-NOVATE II</w:t>
      </w:r>
      <w:r w:rsidR="00F87C9C" w:rsidRPr="00A903DD">
        <w:rPr>
          <w:rFonts w:ascii="Book Antiqua" w:hAnsi="Book Antiqua"/>
          <w:sz w:val="24"/>
          <w:szCs w:val="24"/>
          <w:vertAlign w:val="superscript"/>
        </w:rPr>
        <w:t>[47]</w:t>
      </w:r>
      <w:r w:rsidR="004550EC" w:rsidRPr="00A903DD">
        <w:rPr>
          <w:rFonts w:ascii="Book Antiqua" w:hAnsi="Book Antiqua"/>
          <w:sz w:val="24"/>
          <w:szCs w:val="24"/>
        </w:rPr>
        <w:t xml:space="preserve"> </w:t>
      </w:r>
      <w:r w:rsidRPr="00A903DD">
        <w:rPr>
          <w:rFonts w:ascii="Book Antiqua" w:hAnsi="Book Antiqua"/>
          <w:sz w:val="24"/>
          <w:szCs w:val="24"/>
        </w:rPr>
        <w:t xml:space="preserve">studies </w:t>
      </w:r>
      <w:r w:rsidR="004550EC" w:rsidRPr="00A903DD">
        <w:rPr>
          <w:rFonts w:ascii="Book Antiqua" w:hAnsi="Book Antiqua"/>
          <w:sz w:val="24"/>
          <w:szCs w:val="24"/>
        </w:rPr>
        <w:t>were</w:t>
      </w:r>
      <w:r w:rsidR="00B36A23" w:rsidRPr="00A903DD">
        <w:rPr>
          <w:rFonts w:ascii="Book Antiqua" w:hAnsi="Book Antiqua"/>
          <w:sz w:val="24"/>
          <w:szCs w:val="24"/>
        </w:rPr>
        <w:t xml:space="preserve"> randomized, double-blind, n</w:t>
      </w:r>
      <w:r w:rsidR="00926138" w:rsidRPr="00A903DD">
        <w:rPr>
          <w:rFonts w:ascii="Book Antiqua" w:hAnsi="Book Antiqua"/>
          <w:sz w:val="24"/>
          <w:szCs w:val="24"/>
        </w:rPr>
        <w:t>on-inferiority</w:t>
      </w:r>
      <w:r w:rsidR="00C53476" w:rsidRPr="00A903DD">
        <w:rPr>
          <w:rFonts w:ascii="Book Antiqua" w:hAnsi="Book Antiqua"/>
          <w:sz w:val="24"/>
          <w:szCs w:val="24"/>
        </w:rPr>
        <w:t xml:space="preserve"> Phase III</w:t>
      </w:r>
      <w:r w:rsidR="00926138" w:rsidRPr="00A903DD">
        <w:rPr>
          <w:rFonts w:ascii="Book Antiqua" w:hAnsi="Book Antiqua"/>
          <w:sz w:val="24"/>
          <w:szCs w:val="24"/>
        </w:rPr>
        <w:t xml:space="preserve"> studies </w:t>
      </w:r>
      <w:r w:rsidR="00823E9D" w:rsidRPr="00A903DD">
        <w:rPr>
          <w:rFonts w:ascii="Book Antiqua" w:hAnsi="Book Antiqua"/>
          <w:sz w:val="24"/>
          <w:szCs w:val="24"/>
        </w:rPr>
        <w:t xml:space="preserve">of 3494 and 2055 patients, respectively, designed </w:t>
      </w:r>
      <w:r w:rsidR="00926138" w:rsidRPr="00A903DD">
        <w:rPr>
          <w:rFonts w:ascii="Book Antiqua" w:hAnsi="Book Antiqua"/>
          <w:sz w:val="24"/>
          <w:szCs w:val="24"/>
        </w:rPr>
        <w:t xml:space="preserve">to evaluate the efficacy and safety of </w:t>
      </w:r>
      <w:r w:rsidR="00B36A23" w:rsidRPr="00A903DD">
        <w:rPr>
          <w:rFonts w:ascii="Book Antiqua" w:hAnsi="Book Antiqua"/>
          <w:sz w:val="24"/>
          <w:szCs w:val="24"/>
        </w:rPr>
        <w:t xml:space="preserve">dabigatran </w:t>
      </w:r>
      <w:r w:rsidR="00926138" w:rsidRPr="00A903DD">
        <w:rPr>
          <w:rFonts w:ascii="Book Antiqua" w:hAnsi="Book Antiqua"/>
          <w:sz w:val="24"/>
          <w:szCs w:val="24"/>
        </w:rPr>
        <w:t xml:space="preserve">compared to </w:t>
      </w:r>
      <w:r w:rsidR="00B36A23" w:rsidRPr="00A903DD">
        <w:rPr>
          <w:rFonts w:ascii="Book Antiqua" w:hAnsi="Book Antiqua"/>
          <w:sz w:val="24"/>
          <w:szCs w:val="24"/>
        </w:rPr>
        <w:t>enoxaparin for VTE prophylaxis</w:t>
      </w:r>
      <w:r w:rsidR="00BD4069" w:rsidRPr="00A903DD">
        <w:rPr>
          <w:rFonts w:ascii="Book Antiqua" w:hAnsi="Book Antiqua"/>
          <w:sz w:val="24"/>
          <w:szCs w:val="24"/>
        </w:rPr>
        <w:t xml:space="preserve"> </w:t>
      </w:r>
      <w:r w:rsidR="00B36A23" w:rsidRPr="00A903DD">
        <w:rPr>
          <w:rFonts w:ascii="Book Antiqua" w:hAnsi="Book Antiqua"/>
          <w:sz w:val="24"/>
          <w:szCs w:val="24"/>
        </w:rPr>
        <w:t>after THA</w:t>
      </w:r>
      <w:r w:rsidR="006C1DB1">
        <w:rPr>
          <w:rFonts w:ascii="Book Antiqua" w:hAnsi="Book Antiqua"/>
          <w:sz w:val="24"/>
          <w:szCs w:val="24"/>
        </w:rPr>
        <w:t xml:space="preserve"> (Table 3)</w:t>
      </w:r>
      <w:r w:rsidR="00B36A23" w:rsidRPr="00A903DD">
        <w:rPr>
          <w:rFonts w:ascii="Book Antiqua" w:hAnsi="Book Antiqua"/>
          <w:sz w:val="24"/>
          <w:szCs w:val="24"/>
        </w:rPr>
        <w:t xml:space="preserve">. RE-NOVATE </w:t>
      </w:r>
      <w:r w:rsidR="00BD4069" w:rsidRPr="00A903DD">
        <w:rPr>
          <w:rFonts w:ascii="Book Antiqua" w:hAnsi="Book Antiqua"/>
          <w:sz w:val="24"/>
          <w:szCs w:val="24"/>
        </w:rPr>
        <w:lastRenderedPageBreak/>
        <w:t>randomized patients to either</w:t>
      </w:r>
      <w:r w:rsidR="00B36A23" w:rsidRPr="00A903DD">
        <w:rPr>
          <w:rFonts w:ascii="Book Antiqua" w:hAnsi="Book Antiqua"/>
          <w:sz w:val="24"/>
          <w:szCs w:val="24"/>
        </w:rPr>
        <w:t xml:space="preserve"> dabigatran 150 mg </w:t>
      </w:r>
      <w:r w:rsidR="00BD4069" w:rsidRPr="00A903DD">
        <w:rPr>
          <w:rFonts w:ascii="Book Antiqua" w:hAnsi="Book Antiqua"/>
          <w:sz w:val="24"/>
          <w:szCs w:val="24"/>
        </w:rPr>
        <w:t>or</w:t>
      </w:r>
      <w:r w:rsidR="00B36A23" w:rsidRPr="00A903DD">
        <w:rPr>
          <w:rFonts w:ascii="Book Antiqua" w:hAnsi="Book Antiqua"/>
          <w:sz w:val="24"/>
          <w:szCs w:val="24"/>
        </w:rPr>
        <w:t xml:space="preserve"> 220 mg </w:t>
      </w:r>
      <w:r w:rsidR="004550EC" w:rsidRPr="00A903DD">
        <w:rPr>
          <w:rFonts w:ascii="Book Antiqua" w:hAnsi="Book Antiqua"/>
          <w:sz w:val="24"/>
          <w:szCs w:val="24"/>
        </w:rPr>
        <w:t xml:space="preserve">given </w:t>
      </w:r>
      <w:r w:rsidR="00BD4069" w:rsidRPr="00A903DD">
        <w:rPr>
          <w:rFonts w:ascii="Book Antiqua" w:hAnsi="Book Antiqua"/>
          <w:sz w:val="24"/>
          <w:szCs w:val="24"/>
        </w:rPr>
        <w:t xml:space="preserve">orally </w:t>
      </w:r>
      <w:r w:rsidR="004550EC" w:rsidRPr="00A903DD">
        <w:rPr>
          <w:rFonts w:ascii="Book Antiqua" w:hAnsi="Book Antiqua"/>
          <w:sz w:val="24"/>
          <w:szCs w:val="24"/>
        </w:rPr>
        <w:t xml:space="preserve">once </w:t>
      </w:r>
      <w:r w:rsidR="00B36A23" w:rsidRPr="00A903DD">
        <w:rPr>
          <w:rFonts w:ascii="Book Antiqua" w:hAnsi="Book Antiqua"/>
          <w:sz w:val="24"/>
          <w:szCs w:val="24"/>
        </w:rPr>
        <w:t xml:space="preserve">daily, </w:t>
      </w:r>
      <w:r w:rsidR="00BD4069" w:rsidRPr="00A903DD">
        <w:rPr>
          <w:rFonts w:ascii="Book Antiqua" w:hAnsi="Book Antiqua"/>
          <w:sz w:val="24"/>
          <w:szCs w:val="24"/>
        </w:rPr>
        <w:t>or</w:t>
      </w:r>
      <w:r w:rsidR="00B36A23" w:rsidRPr="00A903DD">
        <w:rPr>
          <w:rFonts w:ascii="Book Antiqua" w:hAnsi="Book Antiqua"/>
          <w:sz w:val="24"/>
          <w:szCs w:val="24"/>
        </w:rPr>
        <w:t xml:space="preserve"> enoxaparin 40 mg </w:t>
      </w:r>
      <w:r w:rsidR="00BD4069" w:rsidRPr="00A903DD">
        <w:rPr>
          <w:rFonts w:ascii="Book Antiqua" w:hAnsi="Book Antiqua"/>
          <w:sz w:val="24"/>
          <w:szCs w:val="24"/>
        </w:rPr>
        <w:t xml:space="preserve">subcutaneously </w:t>
      </w:r>
      <w:r w:rsidR="00F8042E" w:rsidRPr="00A903DD">
        <w:rPr>
          <w:rFonts w:ascii="Book Antiqua" w:hAnsi="Book Antiqua"/>
          <w:sz w:val="24"/>
          <w:szCs w:val="24"/>
        </w:rPr>
        <w:t xml:space="preserve">once </w:t>
      </w:r>
      <w:r w:rsidR="00B36A23" w:rsidRPr="00A903DD">
        <w:rPr>
          <w:rFonts w:ascii="Book Antiqua" w:hAnsi="Book Antiqua"/>
          <w:sz w:val="24"/>
          <w:szCs w:val="24"/>
        </w:rPr>
        <w:t>daily.  RE-NOVATE II focused solely on dabigatran 220 mg daily</w:t>
      </w:r>
      <w:r w:rsidR="00BD4069" w:rsidRPr="00A903DD">
        <w:rPr>
          <w:rFonts w:ascii="Book Antiqua" w:hAnsi="Book Antiqua"/>
          <w:sz w:val="24"/>
          <w:szCs w:val="24"/>
        </w:rPr>
        <w:t xml:space="preserve"> compared to enoxaparin</w:t>
      </w:r>
      <w:r w:rsidR="00321ECF">
        <w:rPr>
          <w:rFonts w:ascii="Book Antiqua" w:hAnsi="Book Antiqua"/>
          <w:sz w:val="24"/>
          <w:szCs w:val="24"/>
        </w:rPr>
        <w:t xml:space="preserve">. </w:t>
      </w:r>
      <w:r w:rsidR="00B36A23" w:rsidRPr="00A903DD">
        <w:rPr>
          <w:rFonts w:ascii="Book Antiqua" w:hAnsi="Book Antiqua"/>
          <w:sz w:val="24"/>
          <w:szCs w:val="24"/>
        </w:rPr>
        <w:t xml:space="preserve">In </w:t>
      </w:r>
      <w:r w:rsidR="00BD4069" w:rsidRPr="00A903DD">
        <w:rPr>
          <w:rFonts w:ascii="Book Antiqua" w:hAnsi="Book Antiqua"/>
          <w:sz w:val="24"/>
          <w:szCs w:val="24"/>
        </w:rPr>
        <w:t>each</w:t>
      </w:r>
      <w:r w:rsidR="00B36A23" w:rsidRPr="00A903DD">
        <w:rPr>
          <w:rFonts w:ascii="Book Antiqua" w:hAnsi="Book Antiqua"/>
          <w:sz w:val="24"/>
          <w:szCs w:val="24"/>
        </w:rPr>
        <w:t xml:space="preserve"> stud</w:t>
      </w:r>
      <w:r w:rsidR="00BD4069" w:rsidRPr="00A903DD">
        <w:rPr>
          <w:rFonts w:ascii="Book Antiqua" w:hAnsi="Book Antiqua"/>
          <w:sz w:val="24"/>
          <w:szCs w:val="24"/>
        </w:rPr>
        <w:t>y</w:t>
      </w:r>
      <w:r w:rsidR="00BF2CF7" w:rsidRPr="00A903DD">
        <w:rPr>
          <w:rFonts w:ascii="Book Antiqua" w:hAnsi="Book Antiqua"/>
          <w:sz w:val="24"/>
          <w:szCs w:val="24"/>
        </w:rPr>
        <w:t>, dabigatran was started 1–</w:t>
      </w:r>
      <w:r w:rsidR="00B36A23" w:rsidRPr="00A903DD">
        <w:rPr>
          <w:rFonts w:ascii="Book Antiqua" w:hAnsi="Book Antiqua"/>
          <w:sz w:val="24"/>
          <w:szCs w:val="24"/>
        </w:rPr>
        <w:t>4 h after surgery at a half-dose then continued at its full dose daily beginning post-operative day</w:t>
      </w:r>
      <w:r w:rsidR="00BF2CF7" w:rsidRPr="00A903DD">
        <w:rPr>
          <w:rFonts w:ascii="Book Antiqua" w:hAnsi="Book Antiqua"/>
          <w:sz w:val="24"/>
          <w:szCs w:val="24"/>
        </w:rPr>
        <w:t xml:space="preserve"> </w:t>
      </w:r>
      <w:r w:rsidR="00321ECF">
        <w:rPr>
          <w:rFonts w:ascii="Book Antiqua" w:hAnsi="Book Antiqua"/>
          <w:sz w:val="24"/>
          <w:szCs w:val="24"/>
        </w:rPr>
        <w:t>1.</w:t>
      </w:r>
      <w:r w:rsidR="00321ECF">
        <w:rPr>
          <w:rFonts w:ascii="Book Antiqua" w:hAnsi="Book Antiqua" w:hint="eastAsia"/>
          <w:sz w:val="24"/>
          <w:szCs w:val="24"/>
          <w:lang w:eastAsia="zh-CN"/>
        </w:rPr>
        <w:t xml:space="preserve"> </w:t>
      </w:r>
      <w:r w:rsidR="00B36A23" w:rsidRPr="00A903DD">
        <w:rPr>
          <w:rFonts w:ascii="Book Antiqua" w:hAnsi="Book Antiqua"/>
          <w:sz w:val="24"/>
          <w:szCs w:val="24"/>
        </w:rPr>
        <w:t xml:space="preserve">Enoxaparin was started the evening before surgery, and then continued once daily following surgery, </w:t>
      </w:r>
      <w:r w:rsidR="00BD4069" w:rsidRPr="00A903DD">
        <w:rPr>
          <w:rFonts w:ascii="Book Antiqua" w:hAnsi="Book Antiqua"/>
          <w:sz w:val="24"/>
          <w:szCs w:val="24"/>
        </w:rPr>
        <w:t xml:space="preserve">although </w:t>
      </w:r>
      <w:r w:rsidR="00B36A23" w:rsidRPr="00A903DD">
        <w:rPr>
          <w:rFonts w:ascii="Book Antiqua" w:hAnsi="Book Antiqua"/>
          <w:sz w:val="24"/>
          <w:szCs w:val="24"/>
        </w:rPr>
        <w:t xml:space="preserve">the investigators did allow for enoxaparin to be initiated post-operatively if consistent with local practice. Thromboprophylaxis was continued for either agent </w:t>
      </w:r>
      <w:r w:rsidR="00BD4069" w:rsidRPr="00A903DD">
        <w:rPr>
          <w:rFonts w:ascii="Book Antiqua" w:hAnsi="Book Antiqua"/>
          <w:sz w:val="24"/>
          <w:szCs w:val="24"/>
        </w:rPr>
        <w:t xml:space="preserve">for </w:t>
      </w:r>
      <w:r w:rsidR="00321ECF">
        <w:rPr>
          <w:rFonts w:ascii="Book Antiqua" w:hAnsi="Book Antiqua"/>
          <w:sz w:val="24"/>
          <w:szCs w:val="24"/>
        </w:rPr>
        <w:t xml:space="preserve">28–35 d. </w:t>
      </w:r>
      <w:r w:rsidR="00B36A23" w:rsidRPr="00A903DD">
        <w:rPr>
          <w:rFonts w:ascii="Book Antiqua" w:hAnsi="Book Antiqua"/>
          <w:sz w:val="24"/>
          <w:szCs w:val="24"/>
        </w:rPr>
        <w:t xml:space="preserve">A primacy efficacy outcome of any VTE or all-cause mortality </w:t>
      </w:r>
      <w:r w:rsidR="00BD4069" w:rsidRPr="00A903DD">
        <w:rPr>
          <w:rFonts w:ascii="Book Antiqua" w:hAnsi="Book Antiqua"/>
          <w:sz w:val="24"/>
          <w:szCs w:val="24"/>
        </w:rPr>
        <w:t xml:space="preserve">and </w:t>
      </w:r>
      <w:r w:rsidR="00B36A23" w:rsidRPr="00A903DD">
        <w:rPr>
          <w:rFonts w:ascii="Book Antiqua" w:hAnsi="Book Antiqua"/>
          <w:sz w:val="24"/>
          <w:szCs w:val="24"/>
        </w:rPr>
        <w:t>a primary safety outcome of major bleeding during the treatment period</w:t>
      </w:r>
      <w:r w:rsidR="00BD4069" w:rsidRPr="00A903DD">
        <w:rPr>
          <w:rFonts w:ascii="Book Antiqua" w:hAnsi="Book Antiqua"/>
          <w:sz w:val="24"/>
          <w:szCs w:val="24"/>
        </w:rPr>
        <w:t xml:space="preserve"> </w:t>
      </w:r>
      <w:r w:rsidR="00D842AE" w:rsidRPr="00A903DD">
        <w:rPr>
          <w:rFonts w:ascii="Book Antiqua" w:hAnsi="Book Antiqua"/>
          <w:sz w:val="24"/>
          <w:szCs w:val="24"/>
        </w:rPr>
        <w:t>were</w:t>
      </w:r>
      <w:r w:rsidR="00BD4069" w:rsidRPr="00A903DD">
        <w:rPr>
          <w:rFonts w:ascii="Book Antiqua" w:hAnsi="Book Antiqua"/>
          <w:sz w:val="24"/>
          <w:szCs w:val="24"/>
        </w:rPr>
        <w:t xml:space="preserve"> established</w:t>
      </w:r>
      <w:r w:rsidR="00321ECF">
        <w:rPr>
          <w:rFonts w:ascii="Book Antiqua" w:hAnsi="Book Antiqua"/>
          <w:sz w:val="24"/>
          <w:szCs w:val="24"/>
        </w:rPr>
        <w:t xml:space="preserve">. </w:t>
      </w:r>
      <w:r w:rsidR="00B36A23" w:rsidRPr="00A903DD">
        <w:rPr>
          <w:rFonts w:ascii="Book Antiqua" w:hAnsi="Book Antiqua"/>
          <w:sz w:val="24"/>
          <w:szCs w:val="24"/>
        </w:rPr>
        <w:t>Both studies evaluated major VTE as defined by proximal DVT, non-fatal PE, or VTE-relat</w:t>
      </w:r>
      <w:r w:rsidR="00F87C9C" w:rsidRPr="00A903DD">
        <w:rPr>
          <w:rFonts w:ascii="Book Antiqua" w:hAnsi="Book Antiqua"/>
          <w:sz w:val="24"/>
          <w:szCs w:val="24"/>
        </w:rPr>
        <w:t xml:space="preserve">ed death as a secondary </w:t>
      </w:r>
      <w:proofErr w:type="gramStart"/>
      <w:r w:rsidR="00F87C9C" w:rsidRPr="00A903DD">
        <w:rPr>
          <w:rFonts w:ascii="Book Antiqua" w:hAnsi="Book Antiqua"/>
          <w:sz w:val="24"/>
          <w:szCs w:val="24"/>
        </w:rPr>
        <w:t>outcome</w:t>
      </w:r>
      <w:r w:rsidR="00926138" w:rsidRPr="00A903DD">
        <w:rPr>
          <w:rFonts w:ascii="Book Antiqua" w:hAnsi="Book Antiqua"/>
          <w:sz w:val="24"/>
          <w:szCs w:val="24"/>
          <w:vertAlign w:val="superscript"/>
        </w:rPr>
        <w:t>[</w:t>
      </w:r>
      <w:proofErr w:type="gramEnd"/>
      <w:r w:rsidR="00926138" w:rsidRPr="00A903DD">
        <w:rPr>
          <w:rFonts w:ascii="Book Antiqua" w:hAnsi="Book Antiqua"/>
          <w:sz w:val="24"/>
          <w:szCs w:val="24"/>
          <w:vertAlign w:val="superscript"/>
        </w:rPr>
        <w:t>47,5</w:t>
      </w:r>
      <w:r w:rsidR="000223CA" w:rsidRPr="00A903DD">
        <w:rPr>
          <w:rFonts w:ascii="Book Antiqua" w:hAnsi="Book Antiqua"/>
          <w:sz w:val="24"/>
          <w:szCs w:val="24"/>
          <w:vertAlign w:val="superscript"/>
        </w:rPr>
        <w:t>4</w:t>
      </w:r>
      <w:r w:rsidR="00926138" w:rsidRPr="00A903DD">
        <w:rPr>
          <w:rFonts w:ascii="Book Antiqua" w:hAnsi="Book Antiqua"/>
          <w:sz w:val="24"/>
          <w:szCs w:val="24"/>
          <w:vertAlign w:val="superscript"/>
        </w:rPr>
        <w:t>]</w:t>
      </w:r>
      <w:r w:rsidR="00F87C9C" w:rsidRPr="00A903DD">
        <w:rPr>
          <w:rFonts w:ascii="Book Antiqua" w:hAnsi="Book Antiqua"/>
          <w:sz w:val="24"/>
          <w:szCs w:val="24"/>
        </w:rPr>
        <w:t>.</w:t>
      </w:r>
    </w:p>
    <w:p w:rsidR="00B36A23" w:rsidRPr="00A903DD" w:rsidRDefault="00B36A23" w:rsidP="00321ECF">
      <w:pPr>
        <w:autoSpaceDE w:val="0"/>
        <w:autoSpaceDN w:val="0"/>
        <w:adjustRightInd w:val="0"/>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 xml:space="preserve">The RE-NOVATE investigators </w:t>
      </w:r>
      <w:r w:rsidR="00BD4069" w:rsidRPr="00A903DD">
        <w:rPr>
          <w:rFonts w:ascii="Book Antiqua" w:hAnsi="Book Antiqua"/>
          <w:sz w:val="24"/>
          <w:szCs w:val="24"/>
        </w:rPr>
        <w:t>found</w:t>
      </w:r>
      <w:r w:rsidRPr="00A903DD">
        <w:rPr>
          <w:rFonts w:ascii="Book Antiqua" w:hAnsi="Book Antiqua"/>
          <w:sz w:val="24"/>
          <w:szCs w:val="24"/>
        </w:rPr>
        <w:t xml:space="preserve"> the incidence of primary efficacy outcome </w:t>
      </w:r>
      <w:r w:rsidR="00BD4069" w:rsidRPr="00A903DD">
        <w:rPr>
          <w:rFonts w:ascii="Book Antiqua" w:hAnsi="Book Antiqua"/>
          <w:sz w:val="24"/>
          <w:szCs w:val="24"/>
        </w:rPr>
        <w:t xml:space="preserve">occurred in </w:t>
      </w:r>
      <w:r w:rsidRPr="00A903DD">
        <w:rPr>
          <w:rFonts w:ascii="Book Antiqua" w:hAnsi="Book Antiqua"/>
          <w:sz w:val="24"/>
          <w:szCs w:val="24"/>
        </w:rPr>
        <w:t xml:space="preserve">8.6% (75/874) of </w:t>
      </w:r>
      <w:r w:rsidR="00D842AE" w:rsidRPr="00A903DD">
        <w:rPr>
          <w:rFonts w:ascii="Book Antiqua" w:hAnsi="Book Antiqua"/>
          <w:sz w:val="24"/>
          <w:szCs w:val="24"/>
        </w:rPr>
        <w:t>dabigatran</w:t>
      </w:r>
      <w:r w:rsidRPr="00A903DD">
        <w:rPr>
          <w:rFonts w:ascii="Book Antiqua" w:hAnsi="Book Antiqua"/>
          <w:sz w:val="24"/>
          <w:szCs w:val="24"/>
        </w:rPr>
        <w:t xml:space="preserve"> 150 mg, 6.0% (53/880) of dabigatran 220 mg, and 6.7% (60/897) of enoxaparin 40 mg</w:t>
      </w:r>
      <w:r w:rsidR="000327E9" w:rsidRPr="00A903DD">
        <w:rPr>
          <w:rFonts w:ascii="Book Antiqua" w:hAnsi="Book Antiqua"/>
          <w:sz w:val="24"/>
          <w:szCs w:val="24"/>
        </w:rPr>
        <w:t xml:space="preserve"> patients, respectively</w:t>
      </w:r>
      <w:r w:rsidRPr="00A903DD">
        <w:rPr>
          <w:rFonts w:ascii="Book Antiqua" w:hAnsi="Book Antiqua"/>
          <w:sz w:val="24"/>
          <w:szCs w:val="24"/>
        </w:rPr>
        <w:t>.</w:t>
      </w:r>
      <w:r w:rsidR="0050377C" w:rsidRPr="00A903DD">
        <w:rPr>
          <w:rFonts w:ascii="Book Antiqua" w:hAnsi="Book Antiqua"/>
          <w:sz w:val="24"/>
          <w:szCs w:val="24"/>
        </w:rPr>
        <w:t xml:space="preserve">  </w:t>
      </w:r>
      <w:r w:rsidRPr="00A903DD">
        <w:rPr>
          <w:rFonts w:ascii="Book Antiqua" w:hAnsi="Book Antiqua"/>
          <w:sz w:val="24"/>
          <w:szCs w:val="24"/>
        </w:rPr>
        <w:t>Both doses of dabigatran achieved non-inferiority (</w:t>
      </w:r>
      <w:r w:rsidRPr="00321ECF">
        <w:rPr>
          <w:rFonts w:ascii="Book Antiqua" w:hAnsi="Book Antiqua"/>
          <w:i/>
          <w:sz w:val="24"/>
          <w:szCs w:val="24"/>
        </w:rPr>
        <w:t>P</w:t>
      </w:r>
      <w:r w:rsidRPr="00A903DD">
        <w:rPr>
          <w:rFonts w:ascii="Book Antiqua" w:hAnsi="Book Antiqua"/>
          <w:sz w:val="24"/>
          <w:szCs w:val="24"/>
        </w:rPr>
        <w:t xml:space="preserve"> &lt; 0.0001) with no difference</w:t>
      </w:r>
      <w:r w:rsidR="0050377C" w:rsidRPr="00A903DD">
        <w:rPr>
          <w:rFonts w:ascii="Book Antiqua" w:hAnsi="Book Antiqua"/>
          <w:sz w:val="24"/>
          <w:szCs w:val="24"/>
        </w:rPr>
        <w:t>s</w:t>
      </w:r>
      <w:r w:rsidRPr="00A903DD">
        <w:rPr>
          <w:rFonts w:ascii="Book Antiqua" w:hAnsi="Book Antiqua"/>
          <w:sz w:val="24"/>
          <w:szCs w:val="24"/>
        </w:rPr>
        <w:t xml:space="preserve"> in the rate</w:t>
      </w:r>
      <w:r w:rsidR="0050377C" w:rsidRPr="00A903DD">
        <w:rPr>
          <w:rFonts w:ascii="Book Antiqua" w:hAnsi="Book Antiqua"/>
          <w:sz w:val="24"/>
          <w:szCs w:val="24"/>
        </w:rPr>
        <w:t>s</w:t>
      </w:r>
      <w:r w:rsidRPr="00A903DD">
        <w:rPr>
          <w:rFonts w:ascii="Book Antiqua" w:hAnsi="Book Antiqua"/>
          <w:sz w:val="24"/>
          <w:szCs w:val="24"/>
        </w:rPr>
        <w:t xml:space="preserve"> of major VTE for e</w:t>
      </w:r>
      <w:r w:rsidR="00BD4069" w:rsidRPr="00A903DD">
        <w:rPr>
          <w:rFonts w:ascii="Book Antiqua" w:hAnsi="Book Antiqua"/>
          <w:sz w:val="24"/>
          <w:szCs w:val="24"/>
        </w:rPr>
        <w:t>ither</w:t>
      </w:r>
      <w:r w:rsidRPr="00A903DD">
        <w:rPr>
          <w:rFonts w:ascii="Book Antiqua" w:hAnsi="Book Antiqua"/>
          <w:sz w:val="24"/>
          <w:szCs w:val="24"/>
        </w:rPr>
        <w:t xml:space="preserve"> dabigatran group compared to enoxaparin.  Major and minor bleeding </w:t>
      </w:r>
      <w:r w:rsidR="00A72C4A" w:rsidRPr="00A903DD">
        <w:rPr>
          <w:rFonts w:ascii="Book Antiqua" w:hAnsi="Book Antiqua"/>
          <w:sz w:val="24"/>
          <w:szCs w:val="24"/>
        </w:rPr>
        <w:t>rates</w:t>
      </w:r>
      <w:r w:rsidR="00BD4069" w:rsidRPr="00A903DD">
        <w:rPr>
          <w:rFonts w:ascii="Book Antiqua" w:hAnsi="Book Antiqua"/>
          <w:sz w:val="24"/>
          <w:szCs w:val="24"/>
        </w:rPr>
        <w:t xml:space="preserve"> </w:t>
      </w:r>
      <w:r w:rsidRPr="00A903DD">
        <w:rPr>
          <w:rFonts w:ascii="Book Antiqua" w:hAnsi="Book Antiqua"/>
          <w:sz w:val="24"/>
          <w:szCs w:val="24"/>
        </w:rPr>
        <w:t>were</w:t>
      </w:r>
      <w:r w:rsidR="00A72C4A" w:rsidRPr="00A903DD">
        <w:rPr>
          <w:rFonts w:ascii="Book Antiqua" w:hAnsi="Book Antiqua"/>
          <w:sz w:val="24"/>
          <w:szCs w:val="24"/>
        </w:rPr>
        <w:t xml:space="preserve"> also</w:t>
      </w:r>
      <w:r w:rsidR="00F87C9C" w:rsidRPr="00A903DD">
        <w:rPr>
          <w:rFonts w:ascii="Book Antiqua" w:hAnsi="Book Antiqua"/>
          <w:sz w:val="24"/>
          <w:szCs w:val="24"/>
        </w:rPr>
        <w:t xml:space="preserve"> similar between all </w:t>
      </w:r>
      <w:proofErr w:type="gramStart"/>
      <w:r w:rsidR="00F87C9C" w:rsidRPr="00A903DD">
        <w:rPr>
          <w:rFonts w:ascii="Book Antiqua" w:hAnsi="Book Antiqua"/>
          <w:sz w:val="24"/>
          <w:szCs w:val="24"/>
        </w:rPr>
        <w:t>groups</w:t>
      </w:r>
      <w:r w:rsidR="00243C72" w:rsidRPr="00A903DD">
        <w:rPr>
          <w:rFonts w:ascii="Book Antiqua" w:hAnsi="Book Antiqua"/>
          <w:sz w:val="24"/>
          <w:szCs w:val="24"/>
          <w:vertAlign w:val="superscript"/>
        </w:rPr>
        <w:t>[</w:t>
      </w:r>
      <w:proofErr w:type="gramEnd"/>
      <w:r w:rsidR="00243C72" w:rsidRPr="00A903DD">
        <w:rPr>
          <w:rFonts w:ascii="Book Antiqua" w:hAnsi="Book Antiqua"/>
          <w:sz w:val="24"/>
          <w:szCs w:val="24"/>
          <w:vertAlign w:val="superscript"/>
        </w:rPr>
        <w:t>54]</w:t>
      </w:r>
      <w:r w:rsidR="00F87C9C" w:rsidRPr="00A903DD">
        <w:rPr>
          <w:rFonts w:ascii="Book Antiqua" w:hAnsi="Book Antiqua"/>
          <w:sz w:val="24"/>
          <w:szCs w:val="24"/>
        </w:rPr>
        <w:t>.</w:t>
      </w:r>
      <w:r w:rsidRPr="00A903DD">
        <w:rPr>
          <w:rFonts w:ascii="Book Antiqua" w:hAnsi="Book Antiqua"/>
          <w:sz w:val="24"/>
          <w:szCs w:val="24"/>
        </w:rPr>
        <w:t xml:space="preserve"> </w:t>
      </w:r>
    </w:p>
    <w:p w:rsidR="00B36A23" w:rsidRPr="00A903DD" w:rsidRDefault="00B36A23" w:rsidP="00321ECF">
      <w:pPr>
        <w:autoSpaceDE w:val="0"/>
        <w:autoSpaceDN w:val="0"/>
        <w:adjustRightInd w:val="0"/>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RE-NOVATE II</w:t>
      </w:r>
      <w:r w:rsidR="00032589" w:rsidRPr="00A903DD">
        <w:rPr>
          <w:rFonts w:ascii="Book Antiqua" w:hAnsi="Book Antiqua"/>
          <w:sz w:val="24"/>
          <w:szCs w:val="24"/>
        </w:rPr>
        <w:t xml:space="preserve"> was f</w:t>
      </w:r>
      <w:r w:rsidRPr="00A903DD">
        <w:rPr>
          <w:rFonts w:ascii="Book Antiqua" w:hAnsi="Book Antiqua"/>
          <w:sz w:val="24"/>
          <w:szCs w:val="24"/>
        </w:rPr>
        <w:t>ocus</w:t>
      </w:r>
      <w:r w:rsidR="00032589" w:rsidRPr="00A903DD">
        <w:rPr>
          <w:rFonts w:ascii="Book Antiqua" w:hAnsi="Book Antiqua"/>
          <w:sz w:val="24"/>
          <w:szCs w:val="24"/>
        </w:rPr>
        <w:t>ed</w:t>
      </w:r>
      <w:r w:rsidRPr="00A903DD">
        <w:rPr>
          <w:rFonts w:ascii="Book Antiqua" w:hAnsi="Book Antiqua"/>
          <w:sz w:val="24"/>
          <w:szCs w:val="24"/>
        </w:rPr>
        <w:t xml:space="preserve"> solely on dabigatran 220 mg </w:t>
      </w:r>
      <w:r w:rsidR="00032589" w:rsidRPr="00A903DD">
        <w:rPr>
          <w:rFonts w:ascii="Book Antiqua" w:hAnsi="Book Antiqua"/>
          <w:sz w:val="24"/>
          <w:szCs w:val="24"/>
        </w:rPr>
        <w:t xml:space="preserve">orally once </w:t>
      </w:r>
      <w:r w:rsidRPr="00A903DD">
        <w:rPr>
          <w:rFonts w:ascii="Book Antiqua" w:hAnsi="Book Antiqua"/>
          <w:sz w:val="24"/>
          <w:szCs w:val="24"/>
        </w:rPr>
        <w:t xml:space="preserve">daily </w:t>
      </w:r>
      <w:r w:rsidR="00032589" w:rsidRPr="00A903DD">
        <w:rPr>
          <w:rFonts w:ascii="Book Antiqua" w:hAnsi="Book Antiqua"/>
          <w:sz w:val="24"/>
          <w:szCs w:val="24"/>
        </w:rPr>
        <w:t>compared to</w:t>
      </w:r>
      <w:r w:rsidRPr="00A903DD">
        <w:rPr>
          <w:rFonts w:ascii="Book Antiqua" w:hAnsi="Book Antiqua"/>
          <w:sz w:val="24"/>
          <w:szCs w:val="24"/>
        </w:rPr>
        <w:t xml:space="preserve"> enoxaparin 40 mg </w:t>
      </w:r>
      <w:r w:rsidR="00032589" w:rsidRPr="00A903DD">
        <w:rPr>
          <w:rFonts w:ascii="Book Antiqua" w:hAnsi="Book Antiqua"/>
          <w:sz w:val="24"/>
          <w:szCs w:val="24"/>
        </w:rPr>
        <w:t xml:space="preserve">subcutaneously </w:t>
      </w:r>
      <w:r w:rsidRPr="00A903DD">
        <w:rPr>
          <w:rFonts w:ascii="Book Antiqua" w:hAnsi="Book Antiqua"/>
          <w:sz w:val="24"/>
          <w:szCs w:val="24"/>
        </w:rPr>
        <w:t>daily</w:t>
      </w:r>
      <w:r w:rsidR="00321ECF">
        <w:rPr>
          <w:rFonts w:ascii="Book Antiqua" w:hAnsi="Book Antiqua"/>
          <w:sz w:val="24"/>
          <w:szCs w:val="24"/>
        </w:rPr>
        <w:t xml:space="preserve">. </w:t>
      </w:r>
      <w:r w:rsidR="00032589" w:rsidRPr="00A903DD">
        <w:rPr>
          <w:rFonts w:ascii="Book Antiqua" w:hAnsi="Book Antiqua"/>
          <w:sz w:val="24"/>
          <w:szCs w:val="24"/>
        </w:rPr>
        <w:t>Results showed</w:t>
      </w:r>
      <w:r w:rsidRPr="00A903DD">
        <w:rPr>
          <w:rFonts w:ascii="Book Antiqua" w:hAnsi="Book Antiqua"/>
          <w:sz w:val="24"/>
          <w:szCs w:val="24"/>
        </w:rPr>
        <w:t xml:space="preserve"> any VTE or death occurred in 7.7% (61/792) of dabigatran </w:t>
      </w:r>
      <w:r w:rsidR="00032589" w:rsidRPr="00A903DD">
        <w:rPr>
          <w:rFonts w:ascii="Book Antiqua" w:hAnsi="Book Antiqua"/>
          <w:sz w:val="24"/>
          <w:szCs w:val="24"/>
        </w:rPr>
        <w:t>compared to</w:t>
      </w:r>
      <w:r w:rsidRPr="00A903DD">
        <w:rPr>
          <w:rFonts w:ascii="Book Antiqua" w:hAnsi="Book Antiqua"/>
          <w:sz w:val="24"/>
          <w:szCs w:val="24"/>
        </w:rPr>
        <w:t xml:space="preserve"> 8.8% (69/785) of </w:t>
      </w:r>
      <w:r w:rsidR="00032589" w:rsidRPr="00A903DD">
        <w:rPr>
          <w:rFonts w:ascii="Book Antiqua" w:hAnsi="Book Antiqua"/>
          <w:sz w:val="24"/>
          <w:szCs w:val="24"/>
        </w:rPr>
        <w:t xml:space="preserve">enoxaparin </w:t>
      </w:r>
      <w:r w:rsidRPr="00A903DD">
        <w:rPr>
          <w:rFonts w:ascii="Book Antiqua" w:hAnsi="Book Antiqua"/>
          <w:sz w:val="24"/>
          <w:szCs w:val="24"/>
        </w:rPr>
        <w:t>patients</w:t>
      </w:r>
      <w:r w:rsidR="0050377C" w:rsidRPr="00A903DD">
        <w:rPr>
          <w:rFonts w:ascii="Book Antiqua" w:hAnsi="Book Antiqua"/>
          <w:sz w:val="24"/>
          <w:szCs w:val="24"/>
        </w:rPr>
        <w:t xml:space="preserve"> </w:t>
      </w:r>
      <w:r w:rsidRPr="00A903DD">
        <w:rPr>
          <w:rFonts w:ascii="Book Antiqua" w:hAnsi="Book Antiqua"/>
          <w:sz w:val="24"/>
          <w:szCs w:val="24"/>
        </w:rPr>
        <w:t>(</w:t>
      </w:r>
      <w:r w:rsidRPr="00321ECF">
        <w:rPr>
          <w:rFonts w:ascii="Book Antiqua" w:hAnsi="Book Antiqua"/>
          <w:i/>
          <w:sz w:val="24"/>
          <w:szCs w:val="24"/>
        </w:rPr>
        <w:t>P</w:t>
      </w:r>
      <w:r w:rsidRPr="00A903DD">
        <w:rPr>
          <w:rFonts w:ascii="Book Antiqua" w:hAnsi="Book Antiqua"/>
          <w:sz w:val="24"/>
          <w:szCs w:val="24"/>
        </w:rPr>
        <w:t xml:space="preserve"> = 0.43)</w:t>
      </w:r>
      <w:r w:rsidR="0050377C" w:rsidRPr="00A903DD">
        <w:rPr>
          <w:rFonts w:ascii="Book Antiqua" w:hAnsi="Book Antiqua"/>
          <w:sz w:val="24"/>
          <w:szCs w:val="24"/>
        </w:rPr>
        <w:t>,</w:t>
      </w:r>
      <w:r w:rsidRPr="00A903DD">
        <w:rPr>
          <w:rFonts w:ascii="Book Antiqua" w:hAnsi="Book Antiqua"/>
          <w:sz w:val="24"/>
          <w:szCs w:val="24"/>
        </w:rPr>
        <w:t xml:space="preserve"> establishing non-inferiority with dabigatran.  There was, however, a significant difference in the rate of major VTE between dabigatran and</w:t>
      </w:r>
      <w:r w:rsidR="00321ECF">
        <w:rPr>
          <w:rFonts w:ascii="Book Antiqua" w:hAnsi="Book Antiqua"/>
          <w:sz w:val="24"/>
          <w:szCs w:val="24"/>
        </w:rPr>
        <w:t xml:space="preserve"> enoxaparin (2.2% </w:t>
      </w:r>
      <w:r w:rsidR="00321ECF" w:rsidRPr="00321ECF">
        <w:rPr>
          <w:rFonts w:ascii="Book Antiqua" w:hAnsi="Book Antiqua"/>
          <w:i/>
          <w:sz w:val="24"/>
          <w:szCs w:val="24"/>
        </w:rPr>
        <w:t>vs</w:t>
      </w:r>
      <w:r w:rsidR="000327E9" w:rsidRPr="00A903DD">
        <w:rPr>
          <w:rFonts w:ascii="Book Antiqua" w:hAnsi="Book Antiqua"/>
          <w:sz w:val="24"/>
          <w:szCs w:val="24"/>
        </w:rPr>
        <w:t xml:space="preserve"> 4.2%, </w:t>
      </w:r>
      <w:r w:rsidR="000327E9" w:rsidRPr="00321ECF">
        <w:rPr>
          <w:rFonts w:ascii="Book Antiqua" w:hAnsi="Book Antiqua"/>
          <w:i/>
          <w:sz w:val="24"/>
          <w:szCs w:val="24"/>
        </w:rPr>
        <w:t>P</w:t>
      </w:r>
      <w:r w:rsidR="00321ECF">
        <w:rPr>
          <w:rFonts w:ascii="Book Antiqua" w:hAnsi="Book Antiqua" w:hint="eastAsia"/>
          <w:sz w:val="24"/>
          <w:szCs w:val="24"/>
          <w:lang w:eastAsia="zh-CN"/>
        </w:rPr>
        <w:t xml:space="preserve"> </w:t>
      </w:r>
      <w:r w:rsidR="000327E9" w:rsidRPr="00A903DD">
        <w:rPr>
          <w:rFonts w:ascii="Book Antiqua" w:hAnsi="Book Antiqua"/>
          <w:sz w:val="24"/>
          <w:szCs w:val="24"/>
        </w:rPr>
        <w:t>=</w:t>
      </w:r>
      <w:r w:rsidR="00321ECF">
        <w:rPr>
          <w:rFonts w:ascii="Book Antiqua" w:hAnsi="Book Antiqua" w:hint="eastAsia"/>
          <w:sz w:val="24"/>
          <w:szCs w:val="24"/>
          <w:lang w:eastAsia="zh-CN"/>
        </w:rPr>
        <w:t xml:space="preserve"> </w:t>
      </w:r>
      <w:r w:rsidR="00F87C9C" w:rsidRPr="00A903DD">
        <w:rPr>
          <w:rFonts w:ascii="Book Antiqua" w:hAnsi="Book Antiqua"/>
          <w:sz w:val="24"/>
          <w:szCs w:val="24"/>
        </w:rPr>
        <w:t>0.03</w:t>
      </w:r>
      <w:proofErr w:type="gramStart"/>
      <w:r w:rsidR="00F87C9C" w:rsidRPr="00A903DD">
        <w:rPr>
          <w:rFonts w:ascii="Book Antiqua" w:hAnsi="Book Antiqua"/>
          <w:sz w:val="24"/>
          <w:szCs w:val="24"/>
        </w:rPr>
        <w:t>)</w:t>
      </w:r>
      <w:r w:rsidR="00243C72" w:rsidRPr="00A903DD">
        <w:rPr>
          <w:rFonts w:ascii="Book Antiqua" w:hAnsi="Book Antiqua"/>
          <w:sz w:val="24"/>
          <w:szCs w:val="24"/>
          <w:vertAlign w:val="superscript"/>
        </w:rPr>
        <w:t>[</w:t>
      </w:r>
      <w:proofErr w:type="gramEnd"/>
      <w:r w:rsidR="00243C72" w:rsidRPr="00A903DD">
        <w:rPr>
          <w:rFonts w:ascii="Book Antiqua" w:hAnsi="Book Antiqua"/>
          <w:sz w:val="24"/>
          <w:szCs w:val="24"/>
          <w:vertAlign w:val="superscript"/>
        </w:rPr>
        <w:t>47]</w:t>
      </w:r>
      <w:r w:rsidR="00F87C9C" w:rsidRPr="00A903DD">
        <w:rPr>
          <w:rFonts w:ascii="Book Antiqua" w:hAnsi="Book Antiqua"/>
          <w:sz w:val="24"/>
          <w:szCs w:val="24"/>
        </w:rPr>
        <w:t>.</w:t>
      </w:r>
      <w:r w:rsidRPr="00A903DD">
        <w:rPr>
          <w:rFonts w:ascii="Book Antiqua" w:hAnsi="Book Antiqua"/>
          <w:sz w:val="24"/>
          <w:szCs w:val="24"/>
        </w:rPr>
        <w:t xml:space="preserve"> </w:t>
      </w:r>
    </w:p>
    <w:p w:rsidR="00B36A23" w:rsidRPr="00A903DD" w:rsidRDefault="000223CA" w:rsidP="00321ECF">
      <w:pPr>
        <w:autoSpaceDE w:val="0"/>
        <w:autoSpaceDN w:val="0"/>
        <w:adjustRightInd w:val="0"/>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lastRenderedPageBreak/>
        <w:t>Results of b</w:t>
      </w:r>
      <w:r w:rsidR="00B36A23" w:rsidRPr="00A903DD">
        <w:rPr>
          <w:rFonts w:ascii="Book Antiqua" w:hAnsi="Book Antiqua"/>
          <w:sz w:val="24"/>
          <w:szCs w:val="24"/>
        </w:rPr>
        <w:t>oth RE-NOVATE and RE-NOVATE II studies demonstrated similar rate</w:t>
      </w:r>
      <w:r w:rsidR="0050377C" w:rsidRPr="00A903DD">
        <w:rPr>
          <w:rFonts w:ascii="Book Antiqua" w:hAnsi="Book Antiqua"/>
          <w:sz w:val="24"/>
          <w:szCs w:val="24"/>
        </w:rPr>
        <w:t>s</w:t>
      </w:r>
      <w:r w:rsidR="00B36A23" w:rsidRPr="00A903DD">
        <w:rPr>
          <w:rFonts w:ascii="Book Antiqua" w:hAnsi="Book Antiqua"/>
          <w:sz w:val="24"/>
          <w:szCs w:val="24"/>
        </w:rPr>
        <w:t xml:space="preserve"> of major and minor bleeding be</w:t>
      </w:r>
      <w:r w:rsidR="00F87C9C" w:rsidRPr="00A903DD">
        <w:rPr>
          <w:rFonts w:ascii="Book Antiqua" w:hAnsi="Book Antiqua"/>
          <w:sz w:val="24"/>
          <w:szCs w:val="24"/>
        </w:rPr>
        <w:t xml:space="preserve">tween dabigatran and </w:t>
      </w:r>
      <w:proofErr w:type="gramStart"/>
      <w:r w:rsidR="00F87C9C" w:rsidRPr="00A903DD">
        <w:rPr>
          <w:rFonts w:ascii="Book Antiqua" w:hAnsi="Book Antiqua"/>
          <w:sz w:val="24"/>
          <w:szCs w:val="24"/>
        </w:rPr>
        <w:t>enoxaparin</w:t>
      </w:r>
      <w:r w:rsidR="00243C72" w:rsidRPr="00A903DD">
        <w:rPr>
          <w:rFonts w:ascii="Book Antiqua" w:hAnsi="Book Antiqua"/>
          <w:sz w:val="24"/>
          <w:szCs w:val="24"/>
          <w:vertAlign w:val="superscript"/>
        </w:rPr>
        <w:t>[</w:t>
      </w:r>
      <w:proofErr w:type="gramEnd"/>
      <w:r w:rsidR="00243C72" w:rsidRPr="00A903DD">
        <w:rPr>
          <w:rFonts w:ascii="Book Antiqua" w:hAnsi="Book Antiqua"/>
          <w:sz w:val="24"/>
          <w:szCs w:val="24"/>
          <w:vertAlign w:val="superscript"/>
        </w:rPr>
        <w:t>47,54]</w:t>
      </w:r>
      <w:r w:rsidR="00F87C9C" w:rsidRPr="00A903DD">
        <w:rPr>
          <w:rFonts w:ascii="Book Antiqua" w:hAnsi="Book Antiqua"/>
          <w:sz w:val="24"/>
          <w:szCs w:val="24"/>
        </w:rPr>
        <w:t>.</w:t>
      </w:r>
      <w:r w:rsidR="00243C72" w:rsidRPr="00A903DD">
        <w:rPr>
          <w:rFonts w:ascii="Book Antiqua" w:hAnsi="Book Antiqua"/>
          <w:sz w:val="24"/>
          <w:szCs w:val="24"/>
          <w:vertAlign w:val="superscript"/>
        </w:rPr>
        <w:t xml:space="preserve"> </w:t>
      </w:r>
      <w:r w:rsidR="00B36A23" w:rsidRPr="00A903DD">
        <w:rPr>
          <w:rFonts w:ascii="Book Antiqua" w:hAnsi="Book Antiqua"/>
          <w:sz w:val="24"/>
          <w:szCs w:val="24"/>
        </w:rPr>
        <w:t xml:space="preserve">A pooled analysis of phase III studies </w:t>
      </w:r>
      <w:r w:rsidRPr="00A903DD">
        <w:rPr>
          <w:rFonts w:ascii="Book Antiqua" w:hAnsi="Book Antiqua"/>
          <w:sz w:val="24"/>
          <w:szCs w:val="24"/>
        </w:rPr>
        <w:t xml:space="preserve">of orthopedic thromboprophylaxis </w:t>
      </w:r>
      <w:r w:rsidR="00B36A23" w:rsidRPr="00A903DD">
        <w:rPr>
          <w:rFonts w:ascii="Book Antiqua" w:hAnsi="Book Antiqua"/>
          <w:sz w:val="24"/>
          <w:szCs w:val="24"/>
        </w:rPr>
        <w:t>(excluding RE-NOVATE II) found no difference</w:t>
      </w:r>
      <w:r w:rsidR="0050377C" w:rsidRPr="00A903DD">
        <w:rPr>
          <w:rFonts w:ascii="Book Antiqua" w:hAnsi="Book Antiqua"/>
          <w:sz w:val="24"/>
          <w:szCs w:val="24"/>
        </w:rPr>
        <w:t>s</w:t>
      </w:r>
      <w:r w:rsidR="00B36A23" w:rsidRPr="00A903DD">
        <w:rPr>
          <w:rFonts w:ascii="Book Antiqua" w:hAnsi="Book Antiqua"/>
          <w:sz w:val="24"/>
          <w:szCs w:val="24"/>
        </w:rPr>
        <w:t xml:space="preserve"> in surgical site bleeding or </w:t>
      </w:r>
      <w:r w:rsidR="00C53476" w:rsidRPr="00A903DD">
        <w:rPr>
          <w:rFonts w:ascii="Book Antiqua" w:hAnsi="Book Antiqua"/>
          <w:sz w:val="24"/>
          <w:szCs w:val="24"/>
        </w:rPr>
        <w:t xml:space="preserve">wound infection </w:t>
      </w:r>
      <w:r w:rsidR="00B36A23" w:rsidRPr="00A903DD">
        <w:rPr>
          <w:rFonts w:ascii="Book Antiqua" w:hAnsi="Book Antiqua"/>
          <w:sz w:val="24"/>
          <w:szCs w:val="24"/>
        </w:rPr>
        <w:t xml:space="preserve">although smaller independent investigations have since </w:t>
      </w:r>
      <w:r w:rsidRPr="00A903DD">
        <w:rPr>
          <w:rFonts w:ascii="Book Antiqua" w:hAnsi="Book Antiqua"/>
          <w:sz w:val="24"/>
          <w:szCs w:val="24"/>
        </w:rPr>
        <w:t>suggested a possible</w:t>
      </w:r>
      <w:r w:rsidR="0050377C" w:rsidRPr="00A903DD">
        <w:rPr>
          <w:rFonts w:ascii="Book Antiqua" w:hAnsi="Book Antiqua"/>
          <w:sz w:val="24"/>
          <w:szCs w:val="24"/>
        </w:rPr>
        <w:t xml:space="preserve"> </w:t>
      </w:r>
      <w:r w:rsidR="00B36A23" w:rsidRPr="00A903DD">
        <w:rPr>
          <w:rFonts w:ascii="Book Antiqua" w:hAnsi="Book Antiqua"/>
          <w:sz w:val="24"/>
          <w:szCs w:val="24"/>
        </w:rPr>
        <w:t>increased risk of post-operative wound complications with da</w:t>
      </w:r>
      <w:r w:rsidR="00C53476" w:rsidRPr="00A903DD">
        <w:rPr>
          <w:rFonts w:ascii="Book Antiqua" w:hAnsi="Book Antiqua"/>
          <w:sz w:val="24"/>
          <w:szCs w:val="24"/>
        </w:rPr>
        <w:t>bigatran compared to LMWH</w:t>
      </w:r>
      <w:r w:rsidR="00C53476" w:rsidRPr="00A903DD">
        <w:rPr>
          <w:rFonts w:ascii="Book Antiqua" w:hAnsi="Book Antiqua"/>
          <w:sz w:val="24"/>
          <w:szCs w:val="24"/>
          <w:vertAlign w:val="superscript"/>
        </w:rPr>
        <w:t>[55,56]</w:t>
      </w:r>
      <w:r w:rsidR="00F87C9C" w:rsidRPr="00A903DD">
        <w:rPr>
          <w:rFonts w:ascii="Book Antiqua" w:hAnsi="Book Antiqua"/>
          <w:sz w:val="24"/>
          <w:szCs w:val="24"/>
        </w:rPr>
        <w:t>.</w:t>
      </w:r>
      <w:r w:rsidR="00321ECF">
        <w:rPr>
          <w:rFonts w:ascii="Book Antiqua" w:hAnsi="Book Antiqua" w:hint="eastAsia"/>
          <w:sz w:val="24"/>
          <w:szCs w:val="24"/>
          <w:lang w:eastAsia="zh-CN"/>
        </w:rPr>
        <w:t xml:space="preserve"> </w:t>
      </w:r>
      <w:r w:rsidR="00B36A23" w:rsidRPr="00A903DD">
        <w:rPr>
          <w:rFonts w:ascii="Book Antiqua" w:hAnsi="Book Antiqua"/>
          <w:sz w:val="24"/>
          <w:szCs w:val="24"/>
        </w:rPr>
        <w:t>No incidence of spinal hematoma was observe</w:t>
      </w:r>
      <w:r w:rsidR="00BF2CF7" w:rsidRPr="00A903DD">
        <w:rPr>
          <w:rFonts w:ascii="Book Antiqua" w:hAnsi="Book Antiqua"/>
          <w:sz w:val="24"/>
          <w:szCs w:val="24"/>
        </w:rPr>
        <w:t>d</w:t>
      </w:r>
      <w:r w:rsidR="00B36A23" w:rsidRPr="00A903DD">
        <w:rPr>
          <w:rFonts w:ascii="Book Antiqua" w:hAnsi="Book Antiqua"/>
          <w:sz w:val="24"/>
          <w:szCs w:val="24"/>
        </w:rPr>
        <w:t xml:space="preserve"> in p</w:t>
      </w:r>
      <w:r w:rsidR="000327E9" w:rsidRPr="00A903DD">
        <w:rPr>
          <w:rFonts w:ascii="Book Antiqua" w:hAnsi="Book Antiqua"/>
          <w:sz w:val="24"/>
          <w:szCs w:val="24"/>
        </w:rPr>
        <w:t>atients receiving both</w:t>
      </w:r>
      <w:r w:rsidR="00B36A23" w:rsidRPr="00A903DD">
        <w:rPr>
          <w:rFonts w:ascii="Book Antiqua" w:hAnsi="Book Antiqua"/>
          <w:sz w:val="24"/>
          <w:szCs w:val="24"/>
        </w:rPr>
        <w:t xml:space="preserve"> dabigatran and neuraxial</w:t>
      </w:r>
      <w:r w:rsidR="00BF2CF7" w:rsidRPr="00A903DD">
        <w:rPr>
          <w:rFonts w:ascii="Book Antiqua" w:hAnsi="Book Antiqua"/>
          <w:sz w:val="24"/>
          <w:szCs w:val="24"/>
        </w:rPr>
        <w:t xml:space="preserve"> anesthesia</w:t>
      </w:r>
      <w:r w:rsidR="00B36A23" w:rsidRPr="00A903DD">
        <w:rPr>
          <w:rFonts w:ascii="Book Antiqua" w:hAnsi="Book Antiqua"/>
          <w:sz w:val="24"/>
          <w:szCs w:val="24"/>
        </w:rPr>
        <w:t xml:space="preserve"> during three of four phase III studies (excluded</w:t>
      </w:r>
      <w:r w:rsidR="00F87C9C" w:rsidRPr="00A903DD">
        <w:rPr>
          <w:rFonts w:ascii="Book Antiqua" w:hAnsi="Book Antiqua"/>
          <w:sz w:val="24"/>
          <w:szCs w:val="24"/>
        </w:rPr>
        <w:t xml:space="preserve"> RE-NOVATE II</w:t>
      </w:r>
      <w:proofErr w:type="gramStart"/>
      <w:r w:rsidR="00F87C9C" w:rsidRPr="00A903DD">
        <w:rPr>
          <w:rFonts w:ascii="Book Antiqua" w:hAnsi="Book Antiqua"/>
          <w:sz w:val="24"/>
          <w:szCs w:val="24"/>
        </w:rPr>
        <w:t>)</w:t>
      </w:r>
      <w:r w:rsidR="00C53476" w:rsidRPr="00A903DD">
        <w:rPr>
          <w:rFonts w:ascii="Book Antiqua" w:hAnsi="Book Antiqua"/>
          <w:sz w:val="24"/>
          <w:szCs w:val="24"/>
          <w:vertAlign w:val="superscript"/>
        </w:rPr>
        <w:t>[</w:t>
      </w:r>
      <w:proofErr w:type="gramEnd"/>
      <w:r w:rsidR="00C53476" w:rsidRPr="00A903DD">
        <w:rPr>
          <w:rFonts w:ascii="Book Antiqua" w:hAnsi="Book Antiqua"/>
          <w:sz w:val="24"/>
          <w:szCs w:val="24"/>
          <w:vertAlign w:val="superscript"/>
        </w:rPr>
        <w:t>57]</w:t>
      </w:r>
      <w:r w:rsidR="00F87C9C" w:rsidRPr="00A903DD">
        <w:rPr>
          <w:rFonts w:ascii="Book Antiqua" w:hAnsi="Book Antiqua"/>
          <w:sz w:val="24"/>
          <w:szCs w:val="24"/>
        </w:rPr>
        <w:t>.</w:t>
      </w:r>
      <w:r w:rsidR="00321ECF">
        <w:rPr>
          <w:rFonts w:ascii="Book Antiqua" w:hAnsi="Book Antiqua"/>
          <w:sz w:val="24"/>
          <w:szCs w:val="24"/>
        </w:rPr>
        <w:t xml:space="preserve"> </w:t>
      </w:r>
      <w:r w:rsidR="00C53476" w:rsidRPr="00A903DD">
        <w:rPr>
          <w:rFonts w:ascii="Book Antiqua" w:hAnsi="Book Antiqua"/>
          <w:sz w:val="24"/>
          <w:szCs w:val="24"/>
        </w:rPr>
        <w:t>As previously noted, the risk of bleeding in Phase III studies of dabigatran in orthopedic  surgery patients was not increased by concurrent</w:t>
      </w:r>
      <w:r w:rsidR="00F87C9C" w:rsidRPr="00A903DD">
        <w:rPr>
          <w:rFonts w:ascii="Book Antiqua" w:hAnsi="Book Antiqua"/>
          <w:sz w:val="24"/>
          <w:szCs w:val="24"/>
        </w:rPr>
        <w:t xml:space="preserve"> NSAID or antiplatelet drug use</w:t>
      </w:r>
      <w:r w:rsidR="00C53476" w:rsidRPr="00A903DD">
        <w:rPr>
          <w:rFonts w:ascii="Book Antiqua" w:hAnsi="Book Antiqua"/>
          <w:sz w:val="24"/>
          <w:szCs w:val="24"/>
          <w:vertAlign w:val="superscript"/>
        </w:rPr>
        <w:t>[50]</w:t>
      </w:r>
      <w:r w:rsidR="00F87C9C" w:rsidRPr="00A903DD">
        <w:rPr>
          <w:rFonts w:ascii="Book Antiqua" w:hAnsi="Book Antiqua"/>
          <w:sz w:val="24"/>
          <w:szCs w:val="24"/>
        </w:rPr>
        <w:t>.</w:t>
      </w:r>
    </w:p>
    <w:p w:rsidR="002A3B2B" w:rsidRPr="00A903DD" w:rsidRDefault="002A3B2B" w:rsidP="00A903DD">
      <w:pPr>
        <w:spacing w:after="0" w:line="360" w:lineRule="auto"/>
        <w:jc w:val="both"/>
        <w:rPr>
          <w:rFonts w:ascii="Book Antiqua" w:hAnsi="Book Antiqua"/>
          <w:sz w:val="24"/>
          <w:szCs w:val="24"/>
        </w:rPr>
      </w:pPr>
    </w:p>
    <w:p w:rsidR="00C500AA" w:rsidRPr="00A903DD" w:rsidRDefault="002D3D87" w:rsidP="00A903DD">
      <w:pPr>
        <w:spacing w:after="0" w:line="360" w:lineRule="auto"/>
        <w:contextualSpacing/>
        <w:jc w:val="both"/>
        <w:rPr>
          <w:rFonts w:ascii="Book Antiqua" w:hAnsi="Book Antiqua"/>
          <w:b/>
          <w:i/>
          <w:sz w:val="24"/>
          <w:szCs w:val="24"/>
        </w:rPr>
      </w:pPr>
      <w:r w:rsidRPr="00A903DD">
        <w:rPr>
          <w:rFonts w:ascii="Book Antiqua" w:hAnsi="Book Antiqua"/>
          <w:b/>
          <w:i/>
          <w:sz w:val="24"/>
          <w:szCs w:val="24"/>
        </w:rPr>
        <w:t>R</w:t>
      </w:r>
      <w:r w:rsidR="00D32B62" w:rsidRPr="00A903DD">
        <w:rPr>
          <w:rFonts w:ascii="Book Antiqua" w:hAnsi="Book Antiqua"/>
          <w:b/>
          <w:i/>
          <w:sz w:val="24"/>
          <w:szCs w:val="24"/>
        </w:rPr>
        <w:t>ivaroxaban in THA</w:t>
      </w:r>
    </w:p>
    <w:p w:rsidR="00B04ABA" w:rsidRPr="00A903DD" w:rsidRDefault="00B04ABA" w:rsidP="00A903DD">
      <w:pPr>
        <w:autoSpaceDE w:val="0"/>
        <w:autoSpaceDN w:val="0"/>
        <w:adjustRightInd w:val="0"/>
        <w:spacing w:after="0" w:line="360" w:lineRule="auto"/>
        <w:contextualSpacing/>
        <w:jc w:val="both"/>
        <w:rPr>
          <w:rFonts w:ascii="Book Antiqua" w:hAnsi="Book Antiqua"/>
          <w:sz w:val="24"/>
          <w:szCs w:val="24"/>
        </w:rPr>
      </w:pPr>
      <w:r w:rsidRPr="00A903DD">
        <w:rPr>
          <w:rFonts w:ascii="Book Antiqua" w:hAnsi="Book Antiqua"/>
          <w:sz w:val="24"/>
          <w:szCs w:val="24"/>
        </w:rPr>
        <w:t xml:space="preserve">Rivaroxaban was </w:t>
      </w:r>
      <w:r w:rsidR="00243C72" w:rsidRPr="00A903DD">
        <w:rPr>
          <w:rFonts w:ascii="Book Antiqua" w:hAnsi="Book Antiqua"/>
          <w:sz w:val="24"/>
          <w:szCs w:val="24"/>
        </w:rPr>
        <w:t>initially</w:t>
      </w:r>
      <w:r w:rsidRPr="00A903DD">
        <w:rPr>
          <w:rFonts w:ascii="Book Antiqua" w:hAnsi="Book Antiqua"/>
          <w:sz w:val="24"/>
          <w:szCs w:val="24"/>
        </w:rPr>
        <w:t xml:space="preserve"> evaluated in the THA</w:t>
      </w:r>
      <w:r w:rsidR="00161C0E" w:rsidRPr="00A903DD">
        <w:rPr>
          <w:rFonts w:ascii="Book Antiqua" w:hAnsi="Book Antiqua"/>
          <w:sz w:val="24"/>
          <w:szCs w:val="24"/>
        </w:rPr>
        <w:t xml:space="preserve"> population </w:t>
      </w:r>
      <w:r w:rsidR="00321ECF">
        <w:rPr>
          <w:rFonts w:ascii="Book Antiqua" w:hAnsi="Book Antiqua"/>
          <w:sz w:val="24"/>
          <w:szCs w:val="24"/>
        </w:rPr>
        <w:t xml:space="preserve">in three phase II studies. </w:t>
      </w:r>
      <w:r w:rsidR="00D842AE" w:rsidRPr="00A903DD">
        <w:rPr>
          <w:rFonts w:ascii="Book Antiqua" w:hAnsi="Book Antiqua"/>
          <w:sz w:val="24"/>
          <w:szCs w:val="24"/>
        </w:rPr>
        <w:t xml:space="preserve">A dose-ranging </w:t>
      </w:r>
      <w:proofErr w:type="gramStart"/>
      <w:r w:rsidR="00D842AE" w:rsidRPr="00A903DD">
        <w:rPr>
          <w:rFonts w:ascii="Book Antiqua" w:hAnsi="Book Antiqua"/>
          <w:sz w:val="24"/>
          <w:szCs w:val="24"/>
        </w:rPr>
        <w:t>study</w:t>
      </w:r>
      <w:r w:rsidR="00F87C9C" w:rsidRPr="00A903DD">
        <w:rPr>
          <w:rFonts w:ascii="Book Antiqua" w:hAnsi="Book Antiqua"/>
          <w:sz w:val="24"/>
          <w:szCs w:val="24"/>
          <w:vertAlign w:val="superscript"/>
        </w:rPr>
        <w:t>[</w:t>
      </w:r>
      <w:proofErr w:type="gramEnd"/>
      <w:r w:rsidR="00F87C9C" w:rsidRPr="00A903DD">
        <w:rPr>
          <w:rFonts w:ascii="Book Antiqua" w:hAnsi="Book Antiqua"/>
          <w:sz w:val="24"/>
          <w:szCs w:val="24"/>
          <w:vertAlign w:val="superscript"/>
        </w:rPr>
        <w:t>58]</w:t>
      </w:r>
      <w:r w:rsidR="00D842AE" w:rsidRPr="00A903DD">
        <w:rPr>
          <w:rFonts w:ascii="Book Antiqua" w:hAnsi="Book Antiqua"/>
          <w:sz w:val="24"/>
          <w:szCs w:val="24"/>
        </w:rPr>
        <w:t xml:space="preserve"> determined an acceptable safety profile for rivaroxaban when orally dosed between 2.5 mg to 30 mg twice dail</w:t>
      </w:r>
      <w:r w:rsidR="00F87C9C" w:rsidRPr="00A903DD">
        <w:rPr>
          <w:rFonts w:ascii="Book Antiqua" w:hAnsi="Book Antiqua"/>
          <w:sz w:val="24"/>
          <w:szCs w:val="24"/>
        </w:rPr>
        <w:t>y or 30 mg once daily after THA.</w:t>
      </w:r>
      <w:r w:rsidR="00321ECF">
        <w:rPr>
          <w:rFonts w:ascii="Book Antiqua" w:hAnsi="Book Antiqua" w:hint="eastAsia"/>
          <w:sz w:val="24"/>
          <w:szCs w:val="24"/>
          <w:lang w:eastAsia="zh-CN"/>
        </w:rPr>
        <w:t xml:space="preserve"> </w:t>
      </w:r>
      <w:r w:rsidR="00D842AE" w:rsidRPr="00A903DD">
        <w:rPr>
          <w:rFonts w:ascii="Book Antiqua" w:hAnsi="Book Antiqua"/>
          <w:sz w:val="24"/>
          <w:szCs w:val="24"/>
        </w:rPr>
        <w:t>A phase IIb study</w:t>
      </w:r>
      <w:r w:rsidR="00F87C9C" w:rsidRPr="00A903DD">
        <w:rPr>
          <w:rFonts w:ascii="Book Antiqua" w:hAnsi="Book Antiqua"/>
          <w:sz w:val="24"/>
          <w:szCs w:val="24"/>
          <w:vertAlign w:val="superscript"/>
        </w:rPr>
        <w:t>[59]</w:t>
      </w:r>
      <w:r w:rsidR="00D842AE" w:rsidRPr="00A903DD">
        <w:rPr>
          <w:rFonts w:ascii="Book Antiqua" w:hAnsi="Book Antiqua"/>
          <w:sz w:val="24"/>
          <w:szCs w:val="24"/>
        </w:rPr>
        <w:t xml:space="preserve"> evaluated rivaroxaban 2.5 mg to 30 mg twice daily versus enoxaparin 40mg subcutaneously once daily after THA and found that only rivaroxaban 2.5 to 10 mg twice daily c</w:t>
      </w:r>
      <w:r w:rsidR="00F87C9C" w:rsidRPr="00A903DD">
        <w:rPr>
          <w:rFonts w:ascii="Book Antiqua" w:hAnsi="Book Antiqua"/>
          <w:sz w:val="24"/>
          <w:szCs w:val="24"/>
        </w:rPr>
        <w:t>ompared favorably to enoxaparin.</w:t>
      </w:r>
      <w:r w:rsidR="00D842AE" w:rsidRPr="00A903DD">
        <w:rPr>
          <w:rFonts w:ascii="Book Antiqua" w:hAnsi="Book Antiqua"/>
          <w:sz w:val="24"/>
          <w:szCs w:val="24"/>
        </w:rPr>
        <w:t xml:space="preserve"> A second phase IIb </w:t>
      </w:r>
      <w:proofErr w:type="gramStart"/>
      <w:r w:rsidR="00D842AE" w:rsidRPr="00A903DD">
        <w:rPr>
          <w:rFonts w:ascii="Book Antiqua" w:hAnsi="Book Antiqua"/>
          <w:sz w:val="24"/>
          <w:szCs w:val="24"/>
        </w:rPr>
        <w:t>study</w:t>
      </w:r>
      <w:r w:rsidR="00F87C9C" w:rsidRPr="00A903DD">
        <w:rPr>
          <w:rFonts w:ascii="Book Antiqua" w:hAnsi="Book Antiqua"/>
          <w:sz w:val="24"/>
          <w:szCs w:val="24"/>
          <w:vertAlign w:val="superscript"/>
        </w:rPr>
        <w:t>[</w:t>
      </w:r>
      <w:proofErr w:type="gramEnd"/>
      <w:r w:rsidR="00F87C9C" w:rsidRPr="00A903DD">
        <w:rPr>
          <w:rFonts w:ascii="Book Antiqua" w:hAnsi="Book Antiqua"/>
          <w:sz w:val="24"/>
          <w:szCs w:val="24"/>
          <w:vertAlign w:val="superscript"/>
        </w:rPr>
        <w:t>60]</w:t>
      </w:r>
      <w:r w:rsidR="00D842AE" w:rsidRPr="00A903DD">
        <w:rPr>
          <w:rFonts w:ascii="Book Antiqua" w:hAnsi="Book Antiqua"/>
          <w:sz w:val="24"/>
          <w:szCs w:val="24"/>
        </w:rPr>
        <w:t xml:space="preserve"> evaluated rivaroxaban 5 mg to 40 mg once daily versus enoxaparin 40 mg daily.  No dose-dependent response was seen with rivaroxaban and the rate of VTE; however, the incidence of bleeding did correlate with rivarox</w:t>
      </w:r>
      <w:r w:rsidR="00F87C9C" w:rsidRPr="00A903DD">
        <w:rPr>
          <w:rFonts w:ascii="Book Antiqua" w:hAnsi="Book Antiqua"/>
          <w:sz w:val="24"/>
          <w:szCs w:val="24"/>
        </w:rPr>
        <w:t>aban in a dose-dependent manner.</w:t>
      </w:r>
      <w:r w:rsidR="00321ECF">
        <w:rPr>
          <w:rFonts w:ascii="Book Antiqua" w:hAnsi="Book Antiqua" w:hint="eastAsia"/>
          <w:sz w:val="24"/>
          <w:szCs w:val="24"/>
          <w:lang w:eastAsia="zh-CN"/>
        </w:rPr>
        <w:t xml:space="preserve"> </w:t>
      </w:r>
      <w:r w:rsidR="00D842AE" w:rsidRPr="00A903DD">
        <w:rPr>
          <w:rFonts w:ascii="Book Antiqua" w:hAnsi="Book Antiqua"/>
          <w:sz w:val="24"/>
          <w:szCs w:val="24"/>
        </w:rPr>
        <w:t xml:space="preserve">Based on these results, investigators recommended that </w:t>
      </w:r>
      <w:r w:rsidR="00D842AE" w:rsidRPr="00A903DD">
        <w:rPr>
          <w:rFonts w:ascii="Book Antiqua" w:hAnsi="Book Antiqua"/>
          <w:sz w:val="24"/>
          <w:szCs w:val="24"/>
        </w:rPr>
        <w:lastRenderedPageBreak/>
        <w:t>rivaroxaban given as 10 mg once daily be evalu</w:t>
      </w:r>
      <w:r w:rsidR="00321ECF">
        <w:rPr>
          <w:rFonts w:ascii="Book Antiqua" w:hAnsi="Book Antiqua"/>
          <w:sz w:val="24"/>
          <w:szCs w:val="24"/>
        </w:rPr>
        <w:t xml:space="preserve">ated in phase III studies. </w:t>
      </w:r>
      <w:r w:rsidRPr="00A903DD">
        <w:rPr>
          <w:rFonts w:ascii="Book Antiqua" w:hAnsi="Book Antiqua"/>
          <w:sz w:val="24"/>
          <w:szCs w:val="24"/>
        </w:rPr>
        <w:t>Th</w:t>
      </w:r>
      <w:r w:rsidR="00906474" w:rsidRPr="00A903DD">
        <w:rPr>
          <w:rFonts w:ascii="Book Antiqua" w:hAnsi="Book Antiqua"/>
          <w:sz w:val="24"/>
          <w:szCs w:val="24"/>
        </w:rPr>
        <w:t>e</w:t>
      </w:r>
      <w:r w:rsidRPr="00A903DD">
        <w:rPr>
          <w:rFonts w:ascii="Book Antiqua" w:hAnsi="Book Antiqua"/>
          <w:sz w:val="24"/>
          <w:szCs w:val="24"/>
        </w:rPr>
        <w:t xml:space="preserve"> recommendation was </w:t>
      </w:r>
      <w:r w:rsidR="00906474" w:rsidRPr="00A903DD">
        <w:rPr>
          <w:rFonts w:ascii="Book Antiqua" w:hAnsi="Book Antiqua"/>
          <w:sz w:val="24"/>
          <w:szCs w:val="24"/>
        </w:rPr>
        <w:t>corroborated</w:t>
      </w:r>
      <w:r w:rsidRPr="00A903DD">
        <w:rPr>
          <w:rFonts w:ascii="Book Antiqua" w:hAnsi="Book Antiqua"/>
          <w:sz w:val="24"/>
          <w:szCs w:val="24"/>
        </w:rPr>
        <w:t xml:space="preserve"> by </w:t>
      </w:r>
      <w:r w:rsidR="00906474" w:rsidRPr="00A903DD">
        <w:rPr>
          <w:rFonts w:ascii="Book Antiqua" w:hAnsi="Book Antiqua"/>
          <w:sz w:val="24"/>
          <w:szCs w:val="24"/>
        </w:rPr>
        <w:t xml:space="preserve">a </w:t>
      </w:r>
      <w:r w:rsidRPr="00A903DD">
        <w:rPr>
          <w:rFonts w:ascii="Book Antiqua" w:hAnsi="Book Antiqua"/>
          <w:sz w:val="24"/>
          <w:szCs w:val="24"/>
        </w:rPr>
        <w:t>pharmacokinetic and pharmacodynamics analysis</w:t>
      </w:r>
      <w:r w:rsidR="00906474" w:rsidRPr="00A903DD">
        <w:rPr>
          <w:rFonts w:ascii="Book Antiqua" w:hAnsi="Book Antiqua"/>
          <w:sz w:val="24"/>
          <w:szCs w:val="24"/>
        </w:rPr>
        <w:t xml:space="preserve"> conducted by Mueck</w:t>
      </w:r>
      <w:r w:rsidR="00906474" w:rsidRPr="00CB1915">
        <w:rPr>
          <w:rFonts w:ascii="Book Antiqua" w:hAnsi="Book Antiqua"/>
          <w:i/>
          <w:sz w:val="24"/>
          <w:szCs w:val="24"/>
        </w:rPr>
        <w:t xml:space="preserve"> et </w:t>
      </w:r>
      <w:proofErr w:type="gramStart"/>
      <w:r w:rsidR="00906474" w:rsidRPr="00CB1915">
        <w:rPr>
          <w:rFonts w:ascii="Book Antiqua" w:hAnsi="Book Antiqua"/>
          <w:i/>
          <w:sz w:val="24"/>
          <w:szCs w:val="24"/>
        </w:rPr>
        <w:t>al</w:t>
      </w:r>
      <w:r w:rsidR="00F87C9C" w:rsidRPr="00A903DD">
        <w:rPr>
          <w:rFonts w:ascii="Book Antiqua" w:hAnsi="Book Antiqua"/>
          <w:sz w:val="24"/>
          <w:szCs w:val="24"/>
          <w:vertAlign w:val="superscript"/>
        </w:rPr>
        <w:t>[</w:t>
      </w:r>
      <w:proofErr w:type="gramEnd"/>
      <w:r w:rsidR="00F87C9C" w:rsidRPr="00A903DD">
        <w:rPr>
          <w:rFonts w:ascii="Book Antiqua" w:hAnsi="Book Antiqua"/>
          <w:sz w:val="24"/>
          <w:szCs w:val="24"/>
          <w:vertAlign w:val="superscript"/>
        </w:rPr>
        <w:t>61]</w:t>
      </w:r>
      <w:r w:rsidR="00906474" w:rsidRPr="00A903DD">
        <w:rPr>
          <w:rFonts w:ascii="Book Antiqua" w:hAnsi="Book Antiqua"/>
          <w:sz w:val="24"/>
          <w:szCs w:val="24"/>
        </w:rPr>
        <w:t xml:space="preserve"> in THA patients</w:t>
      </w:r>
      <w:r w:rsidRPr="00A903DD">
        <w:rPr>
          <w:rFonts w:ascii="Book Antiqua" w:hAnsi="Book Antiqua"/>
          <w:sz w:val="24"/>
          <w:szCs w:val="24"/>
        </w:rPr>
        <w:t>.</w:t>
      </w:r>
    </w:p>
    <w:p w:rsidR="00C500AA" w:rsidRPr="00A903DD" w:rsidRDefault="00C500AA" w:rsidP="00321ECF">
      <w:pPr>
        <w:autoSpaceDE w:val="0"/>
        <w:autoSpaceDN w:val="0"/>
        <w:adjustRightInd w:val="0"/>
        <w:spacing w:after="0" w:line="360" w:lineRule="auto"/>
        <w:ind w:firstLineChars="100" w:firstLine="240"/>
        <w:contextualSpacing/>
        <w:jc w:val="both"/>
        <w:rPr>
          <w:rFonts w:ascii="Book Antiqua" w:hAnsi="Book Antiqua"/>
          <w:sz w:val="24"/>
          <w:szCs w:val="24"/>
        </w:rPr>
      </w:pPr>
      <w:proofErr w:type="gramStart"/>
      <w:r w:rsidRPr="00A903DD">
        <w:rPr>
          <w:rFonts w:ascii="Book Antiqua" w:hAnsi="Book Antiqua"/>
          <w:sz w:val="24"/>
          <w:szCs w:val="24"/>
        </w:rPr>
        <w:t>The four</w:t>
      </w:r>
      <w:r w:rsidRPr="00A903DD">
        <w:rPr>
          <w:rFonts w:ascii="Book Antiqua" w:hAnsi="Book Antiqua" w:cs="Minion-Regular"/>
          <w:color w:val="231F20"/>
          <w:sz w:val="24"/>
          <w:szCs w:val="24"/>
        </w:rPr>
        <w:t xml:space="preserve"> </w:t>
      </w:r>
      <w:r w:rsidRPr="00321ECF">
        <w:rPr>
          <w:rFonts w:ascii="Book Antiqua" w:hAnsi="Book Antiqua" w:cs="Minion-Regular"/>
          <w:color w:val="231F20"/>
          <w:sz w:val="24"/>
          <w:szCs w:val="24"/>
        </w:rPr>
        <w:t>R</w:t>
      </w:r>
      <w:r w:rsidR="00234A77" w:rsidRPr="00321ECF">
        <w:rPr>
          <w:rFonts w:ascii="Book Antiqua" w:hAnsi="Book Antiqua" w:cs="Minion-Regular"/>
          <w:color w:val="231F20"/>
          <w:sz w:val="24"/>
          <w:szCs w:val="24"/>
        </w:rPr>
        <w:t>e</w:t>
      </w:r>
      <w:r w:rsidRPr="00321ECF">
        <w:rPr>
          <w:rFonts w:ascii="Book Antiqua" w:hAnsi="Book Antiqua" w:cs="Minion-Regular"/>
          <w:color w:val="231F20"/>
          <w:sz w:val="24"/>
          <w:szCs w:val="24"/>
        </w:rPr>
        <w:t>gulation of Coagulation in Ort</w:t>
      </w:r>
      <w:r w:rsidRPr="00A903DD">
        <w:rPr>
          <w:rFonts w:ascii="Book Antiqua" w:hAnsi="Book Antiqua" w:cs="Minion-Regular"/>
          <w:color w:val="231F20"/>
          <w:sz w:val="24"/>
          <w:szCs w:val="24"/>
        </w:rPr>
        <w:t xml:space="preserve">hopedic </w:t>
      </w:r>
      <w:r w:rsidR="00234A77" w:rsidRPr="00A903DD">
        <w:rPr>
          <w:rFonts w:ascii="Book Antiqua" w:hAnsi="Book Antiqua" w:cs="Minion-Regular"/>
          <w:i/>
          <w:color w:val="231F20"/>
          <w:sz w:val="24"/>
          <w:szCs w:val="24"/>
        </w:rPr>
        <w:t>S</w:t>
      </w:r>
      <w:r w:rsidRPr="00A903DD">
        <w:rPr>
          <w:rFonts w:ascii="Book Antiqua" w:hAnsi="Book Antiqua" w:cs="Minion-Regular"/>
          <w:color w:val="231F20"/>
          <w:sz w:val="24"/>
          <w:szCs w:val="24"/>
        </w:rPr>
        <w:t xml:space="preserve">urgery to Prevent </w:t>
      </w:r>
      <w:r w:rsidRPr="00321ECF">
        <w:rPr>
          <w:rFonts w:ascii="Book Antiqua" w:hAnsi="Book Antiqua" w:cs="Minion-Regular"/>
          <w:color w:val="231F20"/>
          <w:sz w:val="24"/>
          <w:szCs w:val="24"/>
        </w:rPr>
        <w:t>DV</w:t>
      </w:r>
      <w:r w:rsidRPr="00A903DD">
        <w:rPr>
          <w:rFonts w:ascii="Book Antiqua" w:hAnsi="Book Antiqua" w:cs="Minion-Regular"/>
          <w:color w:val="231F20"/>
          <w:sz w:val="24"/>
          <w:szCs w:val="24"/>
        </w:rPr>
        <w:t>T and PE (RECORD</w:t>
      </w:r>
      <w:r w:rsidRPr="00A903DD">
        <w:rPr>
          <w:rFonts w:ascii="Book Antiqua" w:hAnsi="Book Antiqua"/>
          <w:sz w:val="24"/>
          <w:szCs w:val="24"/>
        </w:rPr>
        <w:t>) studies</w:t>
      </w:r>
      <w:proofErr w:type="gramEnd"/>
      <w:r w:rsidRPr="00A903DD">
        <w:rPr>
          <w:rFonts w:ascii="Book Antiqua" w:hAnsi="Book Antiqua"/>
          <w:sz w:val="24"/>
          <w:szCs w:val="24"/>
        </w:rPr>
        <w:t xml:space="preserve"> provided the basis for rivaroxaban’s approval for VTE prophylaxis following orthopedic s</w:t>
      </w:r>
      <w:r w:rsidR="00321ECF">
        <w:rPr>
          <w:rFonts w:ascii="Book Antiqua" w:hAnsi="Book Antiqua"/>
          <w:sz w:val="24"/>
          <w:szCs w:val="24"/>
        </w:rPr>
        <w:t>urgery.</w:t>
      </w:r>
      <w:r w:rsidR="00321ECF">
        <w:rPr>
          <w:rFonts w:ascii="Book Antiqua" w:hAnsi="Book Antiqua" w:hint="eastAsia"/>
          <w:sz w:val="24"/>
          <w:szCs w:val="24"/>
          <w:lang w:eastAsia="zh-CN"/>
        </w:rPr>
        <w:t xml:space="preserve"> </w:t>
      </w:r>
      <w:r w:rsidR="002A3B2B" w:rsidRPr="00A903DD">
        <w:rPr>
          <w:rFonts w:ascii="Book Antiqua" w:hAnsi="Book Antiqua"/>
          <w:sz w:val="24"/>
          <w:szCs w:val="24"/>
        </w:rPr>
        <w:t>RECORD 1</w:t>
      </w:r>
      <w:r w:rsidR="00F87C9C" w:rsidRPr="00A903DD">
        <w:rPr>
          <w:rFonts w:ascii="Book Antiqua" w:hAnsi="Book Antiqua"/>
          <w:sz w:val="24"/>
          <w:szCs w:val="24"/>
          <w:vertAlign w:val="superscript"/>
        </w:rPr>
        <w:t>[62]</w:t>
      </w:r>
      <w:r w:rsidR="002A3B2B" w:rsidRPr="00A903DD">
        <w:rPr>
          <w:rFonts w:ascii="Book Antiqua" w:hAnsi="Book Antiqua"/>
          <w:sz w:val="24"/>
          <w:szCs w:val="24"/>
        </w:rPr>
        <w:t xml:space="preserve"> (</w:t>
      </w:r>
      <w:r w:rsidR="002A3B2B" w:rsidRPr="00321ECF">
        <w:rPr>
          <w:rFonts w:ascii="Book Antiqua" w:hAnsi="Book Antiqua"/>
          <w:i/>
          <w:sz w:val="24"/>
          <w:szCs w:val="24"/>
        </w:rPr>
        <w:t>n</w:t>
      </w:r>
      <w:r w:rsidR="002A3B2B" w:rsidRPr="00A903DD">
        <w:rPr>
          <w:rFonts w:ascii="Book Antiqua" w:hAnsi="Book Antiqua"/>
          <w:sz w:val="24"/>
          <w:szCs w:val="24"/>
        </w:rPr>
        <w:t xml:space="preserve"> = 4541) and RECORD </w:t>
      </w:r>
      <w:r w:rsidRPr="00A903DD">
        <w:rPr>
          <w:rFonts w:ascii="Book Antiqua" w:hAnsi="Book Antiqua"/>
          <w:sz w:val="24"/>
          <w:szCs w:val="24"/>
        </w:rPr>
        <w:t>2</w:t>
      </w:r>
      <w:r w:rsidR="00F87C9C" w:rsidRPr="00A903DD">
        <w:rPr>
          <w:rFonts w:ascii="Book Antiqua" w:hAnsi="Book Antiqua"/>
          <w:sz w:val="24"/>
          <w:szCs w:val="24"/>
          <w:vertAlign w:val="superscript"/>
        </w:rPr>
        <w:t>[63]</w:t>
      </w:r>
      <w:r w:rsidRPr="00A903DD">
        <w:rPr>
          <w:rFonts w:ascii="Book Antiqua" w:hAnsi="Book Antiqua"/>
          <w:sz w:val="24"/>
          <w:szCs w:val="24"/>
        </w:rPr>
        <w:t xml:space="preserve"> (</w:t>
      </w:r>
      <w:r w:rsidRPr="00321ECF">
        <w:rPr>
          <w:rFonts w:ascii="Book Antiqua" w:hAnsi="Book Antiqua"/>
          <w:i/>
          <w:sz w:val="24"/>
          <w:szCs w:val="24"/>
        </w:rPr>
        <w:t>n</w:t>
      </w:r>
      <w:r w:rsidRPr="00A903DD">
        <w:rPr>
          <w:rFonts w:ascii="Book Antiqua" w:hAnsi="Book Antiqua"/>
          <w:sz w:val="24"/>
          <w:szCs w:val="24"/>
        </w:rPr>
        <w:t xml:space="preserve"> = 2509) evaluated the efficacy and safety of rivaroxaban following THA</w:t>
      </w:r>
      <w:r w:rsidR="006C1DB1">
        <w:rPr>
          <w:rFonts w:ascii="Book Antiqua" w:hAnsi="Book Antiqua"/>
          <w:sz w:val="24"/>
          <w:szCs w:val="24"/>
        </w:rPr>
        <w:t xml:space="preserve"> (Table 3)</w:t>
      </w:r>
      <w:r w:rsidRPr="00A903DD">
        <w:rPr>
          <w:rFonts w:ascii="Book Antiqua" w:hAnsi="Book Antiqua"/>
          <w:sz w:val="24"/>
          <w:szCs w:val="24"/>
        </w:rPr>
        <w:t xml:space="preserve">. Both studies were randomized and double-blinded in comparing </w:t>
      </w:r>
      <w:r w:rsidR="00941C58" w:rsidRPr="00A903DD">
        <w:rPr>
          <w:rFonts w:ascii="Book Antiqua" w:hAnsi="Book Antiqua"/>
          <w:sz w:val="24"/>
          <w:szCs w:val="24"/>
        </w:rPr>
        <w:t xml:space="preserve">oral </w:t>
      </w:r>
      <w:r w:rsidRPr="00A903DD">
        <w:rPr>
          <w:rFonts w:ascii="Book Antiqua" w:hAnsi="Book Antiqua"/>
          <w:sz w:val="24"/>
          <w:szCs w:val="24"/>
        </w:rPr>
        <w:t>rivaroxaban 10</w:t>
      </w:r>
      <w:r w:rsidR="00C144D6" w:rsidRPr="00A903DD">
        <w:rPr>
          <w:rFonts w:ascii="Book Antiqua" w:hAnsi="Book Antiqua"/>
          <w:sz w:val="24"/>
          <w:szCs w:val="24"/>
        </w:rPr>
        <w:t xml:space="preserve"> </w:t>
      </w:r>
      <w:r w:rsidRPr="00A903DD">
        <w:rPr>
          <w:rFonts w:ascii="Book Antiqua" w:hAnsi="Book Antiqua"/>
          <w:sz w:val="24"/>
          <w:szCs w:val="24"/>
        </w:rPr>
        <w:t xml:space="preserve">mg </w:t>
      </w:r>
      <w:r w:rsidR="00941C58" w:rsidRPr="00A903DD">
        <w:rPr>
          <w:rFonts w:ascii="Book Antiqua" w:hAnsi="Book Antiqua"/>
          <w:sz w:val="24"/>
          <w:szCs w:val="24"/>
        </w:rPr>
        <w:t xml:space="preserve">once </w:t>
      </w:r>
      <w:r w:rsidRPr="00A903DD">
        <w:rPr>
          <w:rFonts w:ascii="Book Antiqua" w:hAnsi="Book Antiqua"/>
          <w:sz w:val="24"/>
          <w:szCs w:val="24"/>
        </w:rPr>
        <w:t xml:space="preserve">daily started </w:t>
      </w:r>
      <w:r w:rsidR="00161C0E" w:rsidRPr="00A903DD">
        <w:rPr>
          <w:rFonts w:ascii="Book Antiqua" w:hAnsi="Book Antiqua"/>
          <w:sz w:val="24"/>
          <w:szCs w:val="24"/>
        </w:rPr>
        <w:t xml:space="preserve">6-8 </w:t>
      </w:r>
      <w:r w:rsidRPr="00A903DD">
        <w:rPr>
          <w:rFonts w:ascii="Book Antiqua" w:hAnsi="Book Antiqua"/>
          <w:sz w:val="24"/>
          <w:szCs w:val="24"/>
        </w:rPr>
        <w:t>h after surgery to enoxaparin 40</w:t>
      </w:r>
      <w:r w:rsidR="00C144D6" w:rsidRPr="00A903DD">
        <w:rPr>
          <w:rFonts w:ascii="Book Antiqua" w:hAnsi="Book Antiqua"/>
          <w:sz w:val="24"/>
          <w:szCs w:val="24"/>
        </w:rPr>
        <w:t xml:space="preserve"> </w:t>
      </w:r>
      <w:r w:rsidRPr="00A903DD">
        <w:rPr>
          <w:rFonts w:ascii="Book Antiqua" w:hAnsi="Book Antiqua"/>
          <w:sz w:val="24"/>
          <w:szCs w:val="24"/>
        </w:rPr>
        <w:t xml:space="preserve">mg subcutaneously started the evening prior to surgery then continued once </w:t>
      </w:r>
      <w:r w:rsidR="002A3B2B" w:rsidRPr="00A903DD">
        <w:rPr>
          <w:rFonts w:ascii="Book Antiqua" w:hAnsi="Book Antiqua"/>
          <w:sz w:val="24"/>
          <w:szCs w:val="24"/>
        </w:rPr>
        <w:t xml:space="preserve">daily following surgery. </w:t>
      </w:r>
      <w:r w:rsidR="00941C58" w:rsidRPr="00A903DD">
        <w:rPr>
          <w:rFonts w:ascii="Book Antiqua" w:hAnsi="Book Antiqua"/>
          <w:sz w:val="24"/>
          <w:szCs w:val="24"/>
        </w:rPr>
        <w:t xml:space="preserve">The study protocol for </w:t>
      </w:r>
      <w:r w:rsidR="002A3B2B" w:rsidRPr="00A903DD">
        <w:rPr>
          <w:rFonts w:ascii="Book Antiqua" w:hAnsi="Book Antiqua"/>
          <w:sz w:val="24"/>
          <w:szCs w:val="24"/>
        </w:rPr>
        <w:t xml:space="preserve">RECORD </w:t>
      </w:r>
      <w:r w:rsidRPr="00A903DD">
        <w:rPr>
          <w:rFonts w:ascii="Book Antiqua" w:hAnsi="Book Antiqua"/>
          <w:sz w:val="24"/>
          <w:szCs w:val="24"/>
        </w:rPr>
        <w:t xml:space="preserve">1 </w:t>
      </w:r>
      <w:r w:rsidR="00941C58" w:rsidRPr="00A903DD">
        <w:rPr>
          <w:rFonts w:ascii="Book Antiqua" w:hAnsi="Book Antiqua"/>
          <w:sz w:val="24"/>
          <w:szCs w:val="24"/>
        </w:rPr>
        <w:t xml:space="preserve">provided for </w:t>
      </w:r>
      <w:r w:rsidR="004C1EFE" w:rsidRPr="00A903DD">
        <w:rPr>
          <w:rFonts w:ascii="Book Antiqua" w:hAnsi="Book Antiqua"/>
          <w:sz w:val="24"/>
          <w:szCs w:val="24"/>
        </w:rPr>
        <w:t>continuation</w:t>
      </w:r>
      <w:r w:rsidRPr="00A903DD">
        <w:rPr>
          <w:rFonts w:ascii="Book Antiqua" w:hAnsi="Book Antiqua"/>
          <w:sz w:val="24"/>
          <w:szCs w:val="24"/>
        </w:rPr>
        <w:t xml:space="preserve"> </w:t>
      </w:r>
      <w:r w:rsidR="004C1EFE" w:rsidRPr="00A903DD">
        <w:rPr>
          <w:rFonts w:ascii="Book Antiqua" w:hAnsi="Book Antiqua"/>
          <w:sz w:val="24"/>
          <w:szCs w:val="24"/>
        </w:rPr>
        <w:t>of</w:t>
      </w:r>
      <w:r w:rsidR="00941C58" w:rsidRPr="00A903DD">
        <w:rPr>
          <w:rFonts w:ascii="Book Antiqua" w:hAnsi="Book Antiqua"/>
          <w:sz w:val="24"/>
          <w:szCs w:val="24"/>
        </w:rPr>
        <w:t xml:space="preserve"> each </w:t>
      </w:r>
      <w:r w:rsidRPr="00A903DD">
        <w:rPr>
          <w:rFonts w:ascii="Book Antiqua" w:hAnsi="Book Antiqua"/>
          <w:sz w:val="24"/>
          <w:szCs w:val="24"/>
        </w:rPr>
        <w:t>treatment for</w:t>
      </w:r>
      <w:r w:rsidR="002A3B2B" w:rsidRPr="00A903DD">
        <w:rPr>
          <w:rFonts w:ascii="Book Antiqua" w:hAnsi="Book Antiqua"/>
          <w:sz w:val="24"/>
          <w:szCs w:val="24"/>
        </w:rPr>
        <w:t xml:space="preserve"> 31–39 d while </w:t>
      </w:r>
      <w:r w:rsidR="00941C58" w:rsidRPr="00A903DD">
        <w:rPr>
          <w:rFonts w:ascii="Book Antiqua" w:hAnsi="Book Antiqua"/>
          <w:sz w:val="24"/>
          <w:szCs w:val="24"/>
        </w:rPr>
        <w:t xml:space="preserve">in </w:t>
      </w:r>
      <w:r w:rsidR="002A3B2B" w:rsidRPr="00A903DD">
        <w:rPr>
          <w:rFonts w:ascii="Book Antiqua" w:hAnsi="Book Antiqua"/>
          <w:sz w:val="24"/>
          <w:szCs w:val="24"/>
        </w:rPr>
        <w:t xml:space="preserve">the RECORD </w:t>
      </w:r>
      <w:r w:rsidRPr="00A903DD">
        <w:rPr>
          <w:rFonts w:ascii="Book Antiqua" w:hAnsi="Book Antiqua"/>
          <w:sz w:val="24"/>
          <w:szCs w:val="24"/>
        </w:rPr>
        <w:t>2 study</w:t>
      </w:r>
      <w:r w:rsidR="004C1EFE" w:rsidRPr="00A903DD">
        <w:rPr>
          <w:rFonts w:ascii="Book Antiqua" w:hAnsi="Book Antiqua"/>
          <w:sz w:val="24"/>
          <w:szCs w:val="24"/>
        </w:rPr>
        <w:t>,</w:t>
      </w:r>
      <w:r w:rsidR="002A3B2B" w:rsidRPr="00A903DD">
        <w:rPr>
          <w:rFonts w:ascii="Book Antiqua" w:hAnsi="Book Antiqua"/>
          <w:sz w:val="24"/>
          <w:szCs w:val="24"/>
        </w:rPr>
        <w:t xml:space="preserve"> r</w:t>
      </w:r>
      <w:r w:rsidRPr="00A903DD">
        <w:rPr>
          <w:rFonts w:ascii="Book Antiqua" w:hAnsi="Book Antiqua"/>
          <w:sz w:val="24"/>
          <w:szCs w:val="24"/>
        </w:rPr>
        <w:t xml:space="preserve">ivaroxaban </w:t>
      </w:r>
      <w:r w:rsidR="00941C58" w:rsidRPr="00A903DD">
        <w:rPr>
          <w:rFonts w:ascii="Book Antiqua" w:hAnsi="Book Antiqua"/>
          <w:sz w:val="24"/>
          <w:szCs w:val="24"/>
        </w:rPr>
        <w:t xml:space="preserve">was given </w:t>
      </w:r>
      <w:r w:rsidRPr="00A903DD">
        <w:rPr>
          <w:rFonts w:ascii="Book Antiqua" w:hAnsi="Book Antiqua"/>
          <w:sz w:val="24"/>
          <w:szCs w:val="24"/>
        </w:rPr>
        <w:t xml:space="preserve">for 31–39 d </w:t>
      </w:r>
      <w:r w:rsidR="00941C58" w:rsidRPr="00A903DD">
        <w:rPr>
          <w:rFonts w:ascii="Book Antiqua" w:hAnsi="Book Antiqua"/>
          <w:sz w:val="24"/>
          <w:szCs w:val="24"/>
        </w:rPr>
        <w:t xml:space="preserve">compared to a </w:t>
      </w:r>
      <w:r w:rsidRPr="00A903DD">
        <w:rPr>
          <w:rFonts w:ascii="Book Antiqua" w:hAnsi="Book Antiqua"/>
          <w:sz w:val="24"/>
          <w:szCs w:val="24"/>
        </w:rPr>
        <w:t>shorter course of enoxapar</w:t>
      </w:r>
      <w:r w:rsidR="002A3B2B" w:rsidRPr="00A903DD">
        <w:rPr>
          <w:rFonts w:ascii="Book Antiqua" w:hAnsi="Book Antiqua"/>
          <w:sz w:val="24"/>
          <w:szCs w:val="24"/>
        </w:rPr>
        <w:t>in</w:t>
      </w:r>
      <w:r w:rsidRPr="00A903DD">
        <w:rPr>
          <w:rFonts w:ascii="Book Antiqua" w:hAnsi="Book Antiqua"/>
          <w:sz w:val="24"/>
          <w:szCs w:val="24"/>
        </w:rPr>
        <w:t xml:space="preserve"> </w:t>
      </w:r>
      <w:r w:rsidR="00941C58" w:rsidRPr="00A903DD">
        <w:rPr>
          <w:rFonts w:ascii="Book Antiqua" w:hAnsi="Book Antiqua"/>
          <w:sz w:val="24"/>
          <w:szCs w:val="24"/>
        </w:rPr>
        <w:t xml:space="preserve">given for </w:t>
      </w:r>
      <w:r w:rsidRPr="00A903DD">
        <w:rPr>
          <w:rFonts w:ascii="Book Antiqua" w:hAnsi="Book Antiqua"/>
          <w:sz w:val="24"/>
          <w:szCs w:val="24"/>
        </w:rPr>
        <w:t>10–14 d</w:t>
      </w:r>
      <w:r w:rsidR="00321ECF">
        <w:rPr>
          <w:rFonts w:ascii="Book Antiqua" w:hAnsi="Book Antiqua"/>
          <w:sz w:val="24"/>
          <w:szCs w:val="24"/>
        </w:rPr>
        <w:t xml:space="preserve">. </w:t>
      </w:r>
      <w:r w:rsidRPr="00A903DD">
        <w:rPr>
          <w:rFonts w:ascii="Book Antiqua" w:hAnsi="Book Antiqua"/>
          <w:sz w:val="24"/>
          <w:szCs w:val="24"/>
        </w:rPr>
        <w:t xml:space="preserve">Both studies </w:t>
      </w:r>
      <w:r w:rsidR="00941C58" w:rsidRPr="00A903DD">
        <w:rPr>
          <w:rFonts w:ascii="Book Antiqua" w:hAnsi="Book Antiqua"/>
          <w:sz w:val="24"/>
          <w:szCs w:val="24"/>
        </w:rPr>
        <w:t>used</w:t>
      </w:r>
      <w:r w:rsidR="00C47FCA" w:rsidRPr="00A903DD">
        <w:rPr>
          <w:rFonts w:ascii="Book Antiqua" w:hAnsi="Book Antiqua"/>
          <w:sz w:val="24"/>
          <w:szCs w:val="24"/>
        </w:rPr>
        <w:t xml:space="preserve"> a primary efficacy outcome </w:t>
      </w:r>
      <w:r w:rsidR="00941C58" w:rsidRPr="00A903DD">
        <w:rPr>
          <w:rFonts w:ascii="Book Antiqua" w:hAnsi="Book Antiqua"/>
          <w:sz w:val="24"/>
          <w:szCs w:val="24"/>
        </w:rPr>
        <w:t xml:space="preserve">measure </w:t>
      </w:r>
      <w:r w:rsidRPr="00A903DD">
        <w:rPr>
          <w:rFonts w:ascii="Book Antiqua" w:hAnsi="Book Antiqua"/>
          <w:sz w:val="24"/>
          <w:szCs w:val="24"/>
        </w:rPr>
        <w:t>of total VTE</w:t>
      </w:r>
      <w:r w:rsidR="002A3B2B" w:rsidRPr="00A903DD">
        <w:rPr>
          <w:rFonts w:ascii="Book Antiqua" w:hAnsi="Book Antiqua"/>
          <w:sz w:val="24"/>
          <w:szCs w:val="24"/>
        </w:rPr>
        <w:t>, including asymptomatic VTE detected with venography,</w:t>
      </w:r>
      <w:r w:rsidRPr="00A903DD">
        <w:rPr>
          <w:rFonts w:ascii="Book Antiqua" w:hAnsi="Book Antiqua"/>
          <w:sz w:val="24"/>
          <w:szCs w:val="24"/>
        </w:rPr>
        <w:t xml:space="preserve"> plus all-cause mortality, and a primary safety outcome </w:t>
      </w:r>
      <w:r w:rsidR="00941C58" w:rsidRPr="00A903DD">
        <w:rPr>
          <w:rFonts w:ascii="Book Antiqua" w:hAnsi="Book Antiqua"/>
          <w:sz w:val="24"/>
          <w:szCs w:val="24"/>
        </w:rPr>
        <w:t xml:space="preserve">measure </w:t>
      </w:r>
      <w:r w:rsidRPr="00A903DD">
        <w:rPr>
          <w:rFonts w:ascii="Book Antiqua" w:hAnsi="Book Antiqua"/>
          <w:sz w:val="24"/>
          <w:szCs w:val="24"/>
        </w:rPr>
        <w:t>of major bleeding.</w:t>
      </w:r>
      <w:r w:rsidR="00321ECF">
        <w:rPr>
          <w:rFonts w:ascii="Book Antiqua" w:hAnsi="Book Antiqua"/>
          <w:sz w:val="24"/>
          <w:szCs w:val="24"/>
        </w:rPr>
        <w:t xml:space="preserve"> </w:t>
      </w:r>
      <w:r w:rsidR="002A3B2B" w:rsidRPr="00A903DD">
        <w:rPr>
          <w:rFonts w:ascii="Book Antiqua" w:hAnsi="Book Antiqua"/>
          <w:sz w:val="24"/>
          <w:szCs w:val="24"/>
        </w:rPr>
        <w:t xml:space="preserve">A secondary efficacy outcome of major VTE </w:t>
      </w:r>
      <w:r w:rsidR="00FF07B9" w:rsidRPr="00A903DD">
        <w:rPr>
          <w:rFonts w:ascii="Book Antiqua" w:hAnsi="Book Antiqua"/>
          <w:sz w:val="24"/>
          <w:szCs w:val="24"/>
        </w:rPr>
        <w:t>including</w:t>
      </w:r>
      <w:r w:rsidR="002A3B2B" w:rsidRPr="00A903DD">
        <w:rPr>
          <w:rFonts w:ascii="Book Antiqua" w:hAnsi="Book Antiqua"/>
          <w:sz w:val="24"/>
          <w:szCs w:val="24"/>
        </w:rPr>
        <w:t xml:space="preserve"> proximal DVT, non-fatal PE, and VTE-related death </w:t>
      </w:r>
      <w:r w:rsidR="00941C58" w:rsidRPr="00A903DD">
        <w:rPr>
          <w:rFonts w:ascii="Book Antiqua" w:hAnsi="Book Antiqua"/>
          <w:sz w:val="24"/>
          <w:szCs w:val="24"/>
        </w:rPr>
        <w:t xml:space="preserve">also </w:t>
      </w:r>
      <w:r w:rsidR="002A3B2B" w:rsidRPr="00A903DD">
        <w:rPr>
          <w:rFonts w:ascii="Book Antiqua" w:hAnsi="Book Antiqua"/>
          <w:sz w:val="24"/>
          <w:szCs w:val="24"/>
        </w:rPr>
        <w:t>was pre-def</w:t>
      </w:r>
      <w:r w:rsidR="00F87C9C" w:rsidRPr="00A903DD">
        <w:rPr>
          <w:rFonts w:ascii="Book Antiqua" w:hAnsi="Book Antiqua"/>
          <w:sz w:val="24"/>
          <w:szCs w:val="24"/>
        </w:rPr>
        <w:t xml:space="preserve">ined in both </w:t>
      </w:r>
      <w:proofErr w:type="gramStart"/>
      <w:r w:rsidR="00F87C9C" w:rsidRPr="00A903DD">
        <w:rPr>
          <w:rFonts w:ascii="Book Antiqua" w:hAnsi="Book Antiqua"/>
          <w:sz w:val="24"/>
          <w:szCs w:val="24"/>
        </w:rPr>
        <w:t>studies</w:t>
      </w:r>
      <w:r w:rsidR="00E42379" w:rsidRPr="00A903DD">
        <w:rPr>
          <w:rFonts w:ascii="Book Antiqua" w:hAnsi="Book Antiqua"/>
          <w:sz w:val="24"/>
          <w:szCs w:val="24"/>
          <w:vertAlign w:val="superscript"/>
        </w:rPr>
        <w:t>[</w:t>
      </w:r>
      <w:proofErr w:type="gramEnd"/>
      <w:r w:rsidR="00E42379" w:rsidRPr="00A903DD">
        <w:rPr>
          <w:rFonts w:ascii="Book Antiqua" w:hAnsi="Book Antiqua"/>
          <w:sz w:val="24"/>
          <w:szCs w:val="24"/>
          <w:vertAlign w:val="superscript"/>
        </w:rPr>
        <w:t>62,63]</w:t>
      </w:r>
      <w:r w:rsidR="00F87C9C" w:rsidRPr="00A903DD">
        <w:rPr>
          <w:rFonts w:ascii="Book Antiqua" w:hAnsi="Book Antiqua"/>
          <w:sz w:val="24"/>
          <w:szCs w:val="24"/>
        </w:rPr>
        <w:t>.</w:t>
      </w:r>
    </w:p>
    <w:p w:rsidR="00C500AA" w:rsidRPr="00A903DD" w:rsidRDefault="00FF07B9" w:rsidP="00321ECF">
      <w:pPr>
        <w:autoSpaceDE w:val="0"/>
        <w:autoSpaceDN w:val="0"/>
        <w:adjustRightInd w:val="0"/>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 xml:space="preserve">In RECORD </w:t>
      </w:r>
      <w:r w:rsidR="00C500AA" w:rsidRPr="00A903DD">
        <w:rPr>
          <w:rFonts w:ascii="Book Antiqua" w:hAnsi="Book Antiqua"/>
          <w:sz w:val="24"/>
          <w:szCs w:val="24"/>
        </w:rPr>
        <w:t>1</w:t>
      </w:r>
      <w:r w:rsidR="00941C58" w:rsidRPr="00A903DD">
        <w:rPr>
          <w:rFonts w:ascii="Book Antiqua" w:hAnsi="Book Antiqua"/>
          <w:sz w:val="24"/>
          <w:szCs w:val="24"/>
        </w:rPr>
        <w:t xml:space="preserve"> that </w:t>
      </w:r>
      <w:r w:rsidR="00C500AA" w:rsidRPr="00A903DD">
        <w:rPr>
          <w:rFonts w:ascii="Book Antiqua" w:hAnsi="Book Antiqua"/>
          <w:sz w:val="24"/>
          <w:szCs w:val="24"/>
        </w:rPr>
        <w:t>compar</w:t>
      </w:r>
      <w:r w:rsidR="00941C58" w:rsidRPr="00A903DD">
        <w:rPr>
          <w:rFonts w:ascii="Book Antiqua" w:hAnsi="Book Antiqua"/>
          <w:sz w:val="24"/>
          <w:szCs w:val="24"/>
        </w:rPr>
        <w:t>ed</w:t>
      </w:r>
      <w:r w:rsidR="00C500AA" w:rsidRPr="00A903DD">
        <w:rPr>
          <w:rFonts w:ascii="Book Antiqua" w:hAnsi="Book Antiqua"/>
          <w:sz w:val="24"/>
          <w:szCs w:val="24"/>
        </w:rPr>
        <w:t xml:space="preserve"> rivaroxaban and enoxaparin for </w:t>
      </w:r>
      <w:r w:rsidRPr="00A903DD">
        <w:rPr>
          <w:rFonts w:ascii="Book Antiqua" w:hAnsi="Book Antiqua"/>
          <w:sz w:val="24"/>
          <w:szCs w:val="24"/>
        </w:rPr>
        <w:t>the same extended duration</w:t>
      </w:r>
      <w:r w:rsidR="00941C58" w:rsidRPr="00A903DD">
        <w:rPr>
          <w:rFonts w:ascii="Book Antiqua" w:hAnsi="Book Antiqua"/>
          <w:sz w:val="24"/>
          <w:szCs w:val="24"/>
        </w:rPr>
        <w:t xml:space="preserve"> of treatment</w:t>
      </w:r>
      <w:r w:rsidRPr="00A903DD">
        <w:rPr>
          <w:rFonts w:ascii="Book Antiqua" w:hAnsi="Book Antiqua"/>
          <w:sz w:val="24"/>
          <w:szCs w:val="24"/>
        </w:rPr>
        <w:t xml:space="preserve">, total VTE or death occurred </w:t>
      </w:r>
      <w:r w:rsidR="00C500AA" w:rsidRPr="00A903DD">
        <w:rPr>
          <w:rFonts w:ascii="Book Antiqua" w:hAnsi="Book Antiqua"/>
          <w:sz w:val="24"/>
          <w:szCs w:val="24"/>
        </w:rPr>
        <w:t>in 1.1% (18/1595) and 3.7% (58/1558) of patients receiving rivaroxaban and enoxaparin</w:t>
      </w:r>
      <w:r w:rsidRPr="00A903DD">
        <w:rPr>
          <w:rFonts w:ascii="Book Antiqua" w:hAnsi="Book Antiqua"/>
          <w:sz w:val="24"/>
          <w:szCs w:val="24"/>
        </w:rPr>
        <w:t>,</w:t>
      </w:r>
      <w:r w:rsidR="00C500AA" w:rsidRPr="00A903DD">
        <w:rPr>
          <w:rFonts w:ascii="Book Antiqua" w:hAnsi="Book Antiqua"/>
          <w:sz w:val="24"/>
          <w:szCs w:val="24"/>
        </w:rPr>
        <w:t xml:space="preserve"> respectively (</w:t>
      </w:r>
      <w:r w:rsidR="00C500AA" w:rsidRPr="00321ECF">
        <w:rPr>
          <w:rFonts w:ascii="Book Antiqua" w:hAnsi="Book Antiqua"/>
          <w:i/>
          <w:sz w:val="24"/>
          <w:szCs w:val="24"/>
        </w:rPr>
        <w:t xml:space="preserve">P </w:t>
      </w:r>
      <w:r w:rsidR="00C500AA" w:rsidRPr="00A903DD">
        <w:rPr>
          <w:rFonts w:ascii="Book Antiqua" w:hAnsi="Book Antiqua"/>
          <w:sz w:val="24"/>
          <w:szCs w:val="24"/>
        </w:rPr>
        <w:t xml:space="preserve">&lt; 0.001). Furthermore, major VTE was observed in 0.2% (4/1686) and 2% (33/1678) in the rivaroxaban versus enoxaparin </w:t>
      </w:r>
      <w:r w:rsidR="00941C58" w:rsidRPr="00A903DD">
        <w:rPr>
          <w:rFonts w:ascii="Book Antiqua" w:hAnsi="Book Antiqua"/>
          <w:sz w:val="24"/>
          <w:szCs w:val="24"/>
        </w:rPr>
        <w:t>groups</w:t>
      </w:r>
      <w:r w:rsidR="00C500AA" w:rsidRPr="00A903DD">
        <w:rPr>
          <w:rFonts w:ascii="Book Antiqua" w:hAnsi="Book Antiqua"/>
          <w:sz w:val="24"/>
          <w:szCs w:val="24"/>
        </w:rPr>
        <w:t xml:space="preserve"> (</w:t>
      </w:r>
      <w:r w:rsidR="00C500AA" w:rsidRPr="00321ECF">
        <w:rPr>
          <w:rFonts w:ascii="Book Antiqua" w:hAnsi="Book Antiqua"/>
          <w:i/>
          <w:sz w:val="24"/>
          <w:szCs w:val="24"/>
        </w:rPr>
        <w:t>P</w:t>
      </w:r>
      <w:r w:rsidR="00C500AA" w:rsidRPr="00A903DD">
        <w:rPr>
          <w:rFonts w:ascii="Book Antiqua" w:hAnsi="Book Antiqua"/>
          <w:sz w:val="24"/>
          <w:szCs w:val="24"/>
        </w:rPr>
        <w:t xml:space="preserve"> &lt; 0.001).</w:t>
      </w:r>
      <w:r w:rsidR="00321ECF">
        <w:rPr>
          <w:rFonts w:ascii="Book Antiqua" w:hAnsi="Book Antiqua"/>
          <w:sz w:val="24"/>
          <w:szCs w:val="24"/>
        </w:rPr>
        <w:t xml:space="preserve"> </w:t>
      </w:r>
      <w:r w:rsidR="00C500AA" w:rsidRPr="00A903DD">
        <w:rPr>
          <w:rFonts w:ascii="Book Antiqua" w:hAnsi="Book Antiqua"/>
          <w:sz w:val="24"/>
          <w:szCs w:val="24"/>
        </w:rPr>
        <w:t xml:space="preserve">Rivaroxaban efficacy was determined to be superior to </w:t>
      </w:r>
      <w:r w:rsidR="00D842AE" w:rsidRPr="00A903DD">
        <w:rPr>
          <w:rFonts w:ascii="Book Antiqua" w:hAnsi="Book Antiqua"/>
          <w:sz w:val="24"/>
          <w:szCs w:val="24"/>
        </w:rPr>
        <w:t>enoxaparin</w:t>
      </w:r>
      <w:r w:rsidR="00C500AA" w:rsidRPr="00A903DD">
        <w:rPr>
          <w:rFonts w:ascii="Book Antiqua" w:hAnsi="Book Antiqua"/>
          <w:sz w:val="24"/>
          <w:szCs w:val="24"/>
        </w:rPr>
        <w:t xml:space="preserve"> in both the intention-to-treat and per protocol analyses with similar ra</w:t>
      </w:r>
      <w:r w:rsidR="00F87C9C" w:rsidRPr="00A903DD">
        <w:rPr>
          <w:rFonts w:ascii="Book Antiqua" w:hAnsi="Book Antiqua"/>
          <w:sz w:val="24"/>
          <w:szCs w:val="24"/>
        </w:rPr>
        <w:t xml:space="preserve">tes of major and minor </w:t>
      </w:r>
      <w:proofErr w:type="gramStart"/>
      <w:r w:rsidR="00F87C9C" w:rsidRPr="00A903DD">
        <w:rPr>
          <w:rFonts w:ascii="Book Antiqua" w:hAnsi="Book Antiqua"/>
          <w:sz w:val="24"/>
          <w:szCs w:val="24"/>
        </w:rPr>
        <w:t>bleeding</w:t>
      </w:r>
      <w:r w:rsidR="00E42379" w:rsidRPr="00A903DD">
        <w:rPr>
          <w:rFonts w:ascii="Book Antiqua" w:hAnsi="Book Antiqua"/>
          <w:sz w:val="24"/>
          <w:szCs w:val="24"/>
          <w:vertAlign w:val="superscript"/>
        </w:rPr>
        <w:t>[</w:t>
      </w:r>
      <w:proofErr w:type="gramEnd"/>
      <w:r w:rsidR="00E42379" w:rsidRPr="00A903DD">
        <w:rPr>
          <w:rFonts w:ascii="Book Antiqua" w:hAnsi="Book Antiqua"/>
          <w:sz w:val="24"/>
          <w:szCs w:val="24"/>
          <w:vertAlign w:val="superscript"/>
        </w:rPr>
        <w:t>62]</w:t>
      </w:r>
      <w:r w:rsidR="00F87C9C" w:rsidRPr="00A903DD">
        <w:rPr>
          <w:rFonts w:ascii="Book Antiqua" w:hAnsi="Book Antiqua"/>
          <w:sz w:val="24"/>
          <w:szCs w:val="24"/>
        </w:rPr>
        <w:t>.</w:t>
      </w:r>
    </w:p>
    <w:p w:rsidR="00C500AA" w:rsidRPr="00321ECF" w:rsidRDefault="004C1EFE" w:rsidP="00321ECF">
      <w:pPr>
        <w:autoSpaceDE w:val="0"/>
        <w:autoSpaceDN w:val="0"/>
        <w:adjustRightInd w:val="0"/>
        <w:spacing w:after="0" w:line="360" w:lineRule="auto"/>
        <w:ind w:firstLineChars="100" w:firstLine="240"/>
        <w:contextualSpacing/>
        <w:jc w:val="both"/>
        <w:rPr>
          <w:rFonts w:ascii="Book Antiqua" w:hAnsi="Book Antiqua"/>
          <w:sz w:val="24"/>
          <w:szCs w:val="24"/>
          <w:lang w:eastAsia="zh-CN"/>
        </w:rPr>
      </w:pPr>
      <w:r w:rsidRPr="00A903DD">
        <w:rPr>
          <w:rFonts w:ascii="Book Antiqua" w:hAnsi="Book Antiqua"/>
          <w:sz w:val="24"/>
          <w:szCs w:val="24"/>
        </w:rPr>
        <w:lastRenderedPageBreak/>
        <w:t>C</w:t>
      </w:r>
      <w:r w:rsidR="00C500AA" w:rsidRPr="00A903DD">
        <w:rPr>
          <w:rFonts w:ascii="Book Antiqua" w:hAnsi="Book Antiqua"/>
          <w:sz w:val="24"/>
          <w:szCs w:val="24"/>
        </w:rPr>
        <w:t>ompar</w:t>
      </w:r>
      <w:r w:rsidRPr="00A903DD">
        <w:rPr>
          <w:rFonts w:ascii="Book Antiqua" w:hAnsi="Book Antiqua"/>
          <w:sz w:val="24"/>
          <w:szCs w:val="24"/>
        </w:rPr>
        <w:t>ing</w:t>
      </w:r>
      <w:r w:rsidR="00C500AA" w:rsidRPr="00A903DD">
        <w:rPr>
          <w:rFonts w:ascii="Book Antiqua" w:hAnsi="Book Antiqua"/>
          <w:sz w:val="24"/>
          <w:szCs w:val="24"/>
        </w:rPr>
        <w:t xml:space="preserve"> extended duration rivaroxaban versus short-term enoxaparin, </w:t>
      </w:r>
      <w:r w:rsidRPr="00A903DD">
        <w:rPr>
          <w:rFonts w:ascii="Book Antiqua" w:hAnsi="Book Antiqua"/>
          <w:sz w:val="24"/>
          <w:szCs w:val="24"/>
        </w:rPr>
        <w:t xml:space="preserve">RECORD 2 </w:t>
      </w:r>
      <w:r w:rsidR="00C500AA" w:rsidRPr="00A903DD">
        <w:rPr>
          <w:rFonts w:ascii="Book Antiqua" w:hAnsi="Book Antiqua"/>
          <w:sz w:val="24"/>
          <w:szCs w:val="24"/>
        </w:rPr>
        <w:t>observed a r</w:t>
      </w:r>
      <w:r w:rsidR="00FF07B9" w:rsidRPr="00A903DD">
        <w:rPr>
          <w:rFonts w:ascii="Book Antiqua" w:hAnsi="Book Antiqua"/>
          <w:sz w:val="24"/>
          <w:szCs w:val="24"/>
        </w:rPr>
        <w:t xml:space="preserve">ate in any VTE or death </w:t>
      </w:r>
      <w:r w:rsidR="00C500AA" w:rsidRPr="00A903DD">
        <w:rPr>
          <w:rFonts w:ascii="Book Antiqua" w:hAnsi="Book Antiqua"/>
          <w:sz w:val="24"/>
          <w:szCs w:val="24"/>
        </w:rPr>
        <w:t>of 2% (17/864) and 9.3% (81/869) with rivaroxaban and enoxaparin</w:t>
      </w:r>
      <w:r w:rsidR="00FF07B9" w:rsidRPr="00A903DD">
        <w:rPr>
          <w:rFonts w:ascii="Book Antiqua" w:hAnsi="Book Antiqua"/>
          <w:sz w:val="24"/>
          <w:szCs w:val="24"/>
        </w:rPr>
        <w:t>,</w:t>
      </w:r>
      <w:r w:rsidR="00C500AA" w:rsidRPr="00A903DD">
        <w:rPr>
          <w:rFonts w:ascii="Book Antiqua" w:hAnsi="Book Antiqua"/>
          <w:sz w:val="24"/>
          <w:szCs w:val="24"/>
        </w:rPr>
        <w:t xml:space="preserve"> respectively (</w:t>
      </w:r>
      <w:r w:rsidR="00C500AA" w:rsidRPr="00321ECF">
        <w:rPr>
          <w:rFonts w:ascii="Book Antiqua" w:hAnsi="Book Antiqua"/>
          <w:i/>
          <w:sz w:val="24"/>
          <w:szCs w:val="24"/>
        </w:rPr>
        <w:t>P</w:t>
      </w:r>
      <w:r w:rsidR="00C500AA" w:rsidRPr="00A903DD">
        <w:rPr>
          <w:rFonts w:ascii="Book Antiqua" w:hAnsi="Book Antiqua"/>
          <w:sz w:val="24"/>
          <w:szCs w:val="24"/>
        </w:rPr>
        <w:t xml:space="preserve"> &lt; 0.0001). Major VTE was observed in 0.6% (6/961) patients receiving rivaroxaban and 5.1% receiving enoxaparin (</w:t>
      </w:r>
      <w:r w:rsidR="00C500AA" w:rsidRPr="00321ECF">
        <w:rPr>
          <w:rFonts w:ascii="Book Antiqua" w:hAnsi="Book Antiqua"/>
          <w:i/>
          <w:sz w:val="24"/>
          <w:szCs w:val="24"/>
        </w:rPr>
        <w:t>P</w:t>
      </w:r>
      <w:r w:rsidR="00321ECF">
        <w:rPr>
          <w:rFonts w:ascii="Book Antiqua" w:hAnsi="Book Antiqua"/>
          <w:sz w:val="24"/>
          <w:szCs w:val="24"/>
        </w:rPr>
        <w:t xml:space="preserve"> &lt; 0.0001).</w:t>
      </w:r>
      <w:r w:rsidR="00321ECF">
        <w:rPr>
          <w:rFonts w:ascii="Book Antiqua" w:hAnsi="Book Antiqua" w:hint="eastAsia"/>
          <w:sz w:val="24"/>
          <w:szCs w:val="24"/>
          <w:lang w:eastAsia="zh-CN"/>
        </w:rPr>
        <w:t xml:space="preserve"> </w:t>
      </w:r>
      <w:r w:rsidR="00C500AA" w:rsidRPr="00A903DD">
        <w:rPr>
          <w:rFonts w:ascii="Book Antiqua" w:hAnsi="Book Antiqua"/>
          <w:sz w:val="24"/>
          <w:szCs w:val="24"/>
        </w:rPr>
        <w:t>Rivaroxaban superiority was again determined</w:t>
      </w:r>
      <w:r w:rsidR="00321ECF">
        <w:rPr>
          <w:rFonts w:ascii="Book Antiqua" w:hAnsi="Book Antiqua"/>
          <w:sz w:val="24"/>
          <w:szCs w:val="24"/>
        </w:rPr>
        <w:t xml:space="preserve">. </w:t>
      </w:r>
      <w:r w:rsidR="007800E7" w:rsidRPr="00A903DD">
        <w:rPr>
          <w:rFonts w:ascii="Book Antiqua" w:hAnsi="Book Antiqua"/>
          <w:sz w:val="24"/>
          <w:szCs w:val="24"/>
        </w:rPr>
        <w:t>M</w:t>
      </w:r>
      <w:r w:rsidR="00C500AA" w:rsidRPr="00A903DD">
        <w:rPr>
          <w:rFonts w:ascii="Book Antiqua" w:hAnsi="Book Antiqua"/>
          <w:sz w:val="24"/>
          <w:szCs w:val="24"/>
        </w:rPr>
        <w:t>oreover, the results of the RECORD-2 study add</w:t>
      </w:r>
      <w:r w:rsidR="007800E7" w:rsidRPr="00A903DD">
        <w:rPr>
          <w:rFonts w:ascii="Book Antiqua" w:hAnsi="Book Antiqua"/>
          <w:sz w:val="24"/>
          <w:szCs w:val="24"/>
        </w:rPr>
        <w:t>ed</w:t>
      </w:r>
      <w:r w:rsidR="00C500AA" w:rsidRPr="00A903DD">
        <w:rPr>
          <w:rFonts w:ascii="Book Antiqua" w:hAnsi="Book Antiqua"/>
          <w:sz w:val="24"/>
          <w:szCs w:val="24"/>
        </w:rPr>
        <w:t xml:space="preserve"> further evidence supporting the use of extended</w:t>
      </w:r>
      <w:r w:rsidR="00444EF0" w:rsidRPr="00A903DD">
        <w:rPr>
          <w:rFonts w:ascii="Book Antiqua" w:hAnsi="Book Antiqua"/>
          <w:sz w:val="24"/>
          <w:szCs w:val="24"/>
        </w:rPr>
        <w:t xml:space="preserve"> thromboprophylaxis beyond 10–</w:t>
      </w:r>
      <w:r w:rsidR="00321ECF">
        <w:rPr>
          <w:rFonts w:ascii="Book Antiqua" w:hAnsi="Book Antiqua"/>
          <w:sz w:val="24"/>
          <w:szCs w:val="24"/>
        </w:rPr>
        <w:t xml:space="preserve">14 d after </w:t>
      </w:r>
      <w:proofErr w:type="gramStart"/>
      <w:r w:rsidR="00321ECF">
        <w:rPr>
          <w:rFonts w:ascii="Book Antiqua" w:hAnsi="Book Antiqua"/>
          <w:sz w:val="24"/>
          <w:szCs w:val="24"/>
        </w:rPr>
        <w:t>THA</w:t>
      </w:r>
      <w:r w:rsidR="00E42379" w:rsidRPr="00A903DD">
        <w:rPr>
          <w:rFonts w:ascii="Book Antiqua" w:hAnsi="Book Antiqua"/>
          <w:sz w:val="24"/>
          <w:szCs w:val="24"/>
          <w:vertAlign w:val="superscript"/>
        </w:rPr>
        <w:t>[</w:t>
      </w:r>
      <w:proofErr w:type="gramEnd"/>
      <w:r w:rsidR="00E42379" w:rsidRPr="00A903DD">
        <w:rPr>
          <w:rFonts w:ascii="Book Antiqua" w:hAnsi="Book Antiqua"/>
          <w:sz w:val="24"/>
          <w:szCs w:val="24"/>
          <w:vertAlign w:val="superscript"/>
        </w:rPr>
        <w:t>63]</w:t>
      </w:r>
      <w:r w:rsidR="00321ECF">
        <w:rPr>
          <w:rFonts w:ascii="Book Antiqua" w:hAnsi="Book Antiqua" w:hint="eastAsia"/>
          <w:sz w:val="24"/>
          <w:szCs w:val="24"/>
          <w:lang w:eastAsia="zh-CN"/>
        </w:rPr>
        <w:t>.</w:t>
      </w:r>
    </w:p>
    <w:p w:rsidR="00884C3A" w:rsidRPr="00A903DD" w:rsidRDefault="00C500AA" w:rsidP="00321ECF">
      <w:pPr>
        <w:autoSpaceDE w:val="0"/>
        <w:autoSpaceDN w:val="0"/>
        <w:adjustRightInd w:val="0"/>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An additional prospective non-interventional study has been conducted to validate the f</w:t>
      </w:r>
      <w:r w:rsidR="00321ECF">
        <w:rPr>
          <w:rFonts w:ascii="Book Antiqua" w:hAnsi="Book Antiqua"/>
          <w:sz w:val="24"/>
          <w:szCs w:val="24"/>
        </w:rPr>
        <w:t xml:space="preserve">indings of the RECORD program. </w:t>
      </w:r>
      <w:r w:rsidRPr="00A903DD">
        <w:rPr>
          <w:rFonts w:ascii="Book Antiqua" w:hAnsi="Book Antiqua"/>
          <w:sz w:val="24"/>
          <w:szCs w:val="24"/>
        </w:rPr>
        <w:t xml:space="preserve">The </w:t>
      </w:r>
      <w:r w:rsidR="004919C8" w:rsidRPr="00A903DD">
        <w:rPr>
          <w:rFonts w:ascii="Book Antiqua" w:hAnsi="Book Antiqua"/>
          <w:i/>
          <w:sz w:val="24"/>
          <w:szCs w:val="24"/>
        </w:rPr>
        <w:t>Xa</w:t>
      </w:r>
      <w:r w:rsidR="004919C8" w:rsidRPr="00A903DD">
        <w:rPr>
          <w:rFonts w:ascii="Book Antiqua" w:hAnsi="Book Antiqua"/>
          <w:sz w:val="24"/>
          <w:szCs w:val="24"/>
        </w:rPr>
        <w:t>relto</w:t>
      </w:r>
      <w:r w:rsidR="004919C8" w:rsidRPr="00A903DD">
        <w:rPr>
          <w:rFonts w:ascii="Book Antiqua" w:hAnsi="Book Antiqua"/>
          <w:sz w:val="24"/>
          <w:szCs w:val="24"/>
          <w:vertAlign w:val="superscript"/>
        </w:rPr>
        <w:t>®</w:t>
      </w:r>
      <w:r w:rsidR="004919C8" w:rsidRPr="00A903DD">
        <w:rPr>
          <w:rFonts w:ascii="Book Antiqua" w:hAnsi="Book Antiqua"/>
          <w:sz w:val="24"/>
          <w:szCs w:val="24"/>
        </w:rPr>
        <w:t xml:space="preserve"> in the Prophylaxis of Post-surgical </w:t>
      </w:r>
      <w:r w:rsidR="0038734F" w:rsidRPr="00A903DD">
        <w:rPr>
          <w:rFonts w:ascii="Book Antiqua" w:hAnsi="Book Antiqua"/>
          <w:sz w:val="24"/>
          <w:szCs w:val="24"/>
          <w:lang w:eastAsia="zh-CN"/>
        </w:rPr>
        <w:t>VTE</w:t>
      </w:r>
      <w:r w:rsidR="004919C8" w:rsidRPr="00A903DD">
        <w:rPr>
          <w:rFonts w:ascii="Book Antiqua" w:hAnsi="Book Antiqua"/>
          <w:sz w:val="24"/>
          <w:szCs w:val="24"/>
        </w:rPr>
        <w:t xml:space="preserve"> after Elective </w:t>
      </w:r>
      <w:r w:rsidR="004919C8" w:rsidRPr="00A903DD">
        <w:rPr>
          <w:rFonts w:ascii="Book Antiqua" w:hAnsi="Book Antiqua"/>
          <w:i/>
          <w:sz w:val="24"/>
          <w:szCs w:val="24"/>
        </w:rPr>
        <w:t>M</w:t>
      </w:r>
      <w:r w:rsidR="004919C8" w:rsidRPr="00A903DD">
        <w:rPr>
          <w:rFonts w:ascii="Book Antiqua" w:hAnsi="Book Antiqua"/>
          <w:sz w:val="24"/>
          <w:szCs w:val="24"/>
        </w:rPr>
        <w:t xml:space="preserve">ajor </w:t>
      </w:r>
      <w:r w:rsidR="004919C8" w:rsidRPr="00A903DD">
        <w:rPr>
          <w:rFonts w:ascii="Book Antiqua" w:hAnsi="Book Antiqua"/>
          <w:i/>
          <w:sz w:val="24"/>
          <w:szCs w:val="24"/>
        </w:rPr>
        <w:t>O</w:t>
      </w:r>
      <w:r w:rsidR="004919C8" w:rsidRPr="00A903DD">
        <w:rPr>
          <w:rFonts w:ascii="Book Antiqua" w:hAnsi="Book Antiqua"/>
          <w:sz w:val="24"/>
          <w:szCs w:val="24"/>
        </w:rPr>
        <w:t xml:space="preserve">rthopedic </w:t>
      </w:r>
      <w:r w:rsidR="004919C8" w:rsidRPr="00A903DD">
        <w:rPr>
          <w:rFonts w:ascii="Book Antiqua" w:hAnsi="Book Antiqua"/>
          <w:i/>
          <w:sz w:val="24"/>
          <w:szCs w:val="24"/>
        </w:rPr>
        <w:t>S</w:t>
      </w:r>
      <w:r w:rsidR="004919C8" w:rsidRPr="00A903DD">
        <w:rPr>
          <w:rFonts w:ascii="Book Antiqua" w:hAnsi="Book Antiqua"/>
          <w:sz w:val="24"/>
          <w:szCs w:val="24"/>
        </w:rPr>
        <w:t xml:space="preserve">urgery of Hip or Knee </w:t>
      </w:r>
      <w:r w:rsidR="006066AD" w:rsidRPr="00A903DD">
        <w:rPr>
          <w:rFonts w:ascii="Book Antiqua" w:hAnsi="Book Antiqua"/>
          <w:sz w:val="24"/>
          <w:szCs w:val="24"/>
        </w:rPr>
        <w:t>(</w:t>
      </w:r>
      <w:r w:rsidRPr="00A903DD">
        <w:rPr>
          <w:rFonts w:ascii="Book Antiqua" w:hAnsi="Book Antiqua"/>
          <w:sz w:val="24"/>
          <w:szCs w:val="24"/>
        </w:rPr>
        <w:t>XAMOS</w:t>
      </w:r>
      <w:r w:rsidR="00234A77" w:rsidRPr="00A903DD">
        <w:rPr>
          <w:rFonts w:ascii="Book Antiqua" w:hAnsi="Book Antiqua"/>
          <w:sz w:val="24"/>
          <w:szCs w:val="24"/>
        </w:rPr>
        <w:t>)</w:t>
      </w:r>
      <w:r w:rsidRPr="00A903DD">
        <w:rPr>
          <w:rFonts w:ascii="Book Antiqua" w:hAnsi="Book Antiqua"/>
          <w:sz w:val="24"/>
          <w:szCs w:val="24"/>
        </w:rPr>
        <w:t xml:space="preserve"> investigation </w:t>
      </w:r>
      <w:r w:rsidR="007800E7" w:rsidRPr="00A903DD">
        <w:rPr>
          <w:rFonts w:ascii="Book Antiqua" w:hAnsi="Book Antiqua"/>
          <w:sz w:val="24"/>
          <w:szCs w:val="24"/>
        </w:rPr>
        <w:t xml:space="preserve">by Turpie </w:t>
      </w:r>
      <w:r w:rsidR="007800E7" w:rsidRPr="00321ECF">
        <w:rPr>
          <w:rFonts w:ascii="Book Antiqua" w:hAnsi="Book Antiqua"/>
          <w:i/>
          <w:sz w:val="24"/>
          <w:szCs w:val="24"/>
        </w:rPr>
        <w:t xml:space="preserve">et </w:t>
      </w:r>
      <w:proofErr w:type="gramStart"/>
      <w:r w:rsidR="007800E7" w:rsidRPr="00321ECF">
        <w:rPr>
          <w:rFonts w:ascii="Book Antiqua" w:hAnsi="Book Antiqua"/>
          <w:i/>
          <w:sz w:val="24"/>
          <w:szCs w:val="24"/>
        </w:rPr>
        <w:t>al</w:t>
      </w:r>
      <w:r w:rsidR="00EF0784" w:rsidRPr="00A903DD">
        <w:rPr>
          <w:rFonts w:ascii="Book Antiqua" w:hAnsi="Book Antiqua"/>
          <w:sz w:val="24"/>
          <w:szCs w:val="24"/>
          <w:vertAlign w:val="superscript"/>
        </w:rPr>
        <w:t>[</w:t>
      </w:r>
      <w:proofErr w:type="gramEnd"/>
      <w:r w:rsidR="00EF0784" w:rsidRPr="00A903DD">
        <w:rPr>
          <w:rFonts w:ascii="Book Antiqua" w:hAnsi="Book Antiqua"/>
          <w:sz w:val="24"/>
          <w:szCs w:val="24"/>
          <w:vertAlign w:val="superscript"/>
        </w:rPr>
        <w:t>64]</w:t>
      </w:r>
      <w:r w:rsidR="007800E7" w:rsidRPr="00A903DD">
        <w:rPr>
          <w:rFonts w:ascii="Book Antiqua" w:hAnsi="Book Antiqua"/>
          <w:sz w:val="24"/>
          <w:szCs w:val="24"/>
        </w:rPr>
        <w:t xml:space="preserve"> </w:t>
      </w:r>
      <w:r w:rsidR="00321ECF">
        <w:rPr>
          <w:rFonts w:ascii="Book Antiqua" w:hAnsi="Book Antiqua"/>
          <w:sz w:val="24"/>
          <w:szCs w:val="24"/>
        </w:rPr>
        <w:t>included 17</w:t>
      </w:r>
      <w:r w:rsidRPr="00A903DD">
        <w:rPr>
          <w:rFonts w:ascii="Book Antiqua" w:hAnsi="Book Antiqua"/>
          <w:sz w:val="24"/>
          <w:szCs w:val="24"/>
        </w:rPr>
        <w:t xml:space="preserve">413 patients undergoing orthopedic surgery including both </w:t>
      </w:r>
      <w:r w:rsidR="007800E7" w:rsidRPr="00A903DD">
        <w:rPr>
          <w:rFonts w:ascii="Book Antiqua" w:hAnsi="Book Antiqua"/>
          <w:sz w:val="24"/>
          <w:szCs w:val="24"/>
        </w:rPr>
        <w:t>THA</w:t>
      </w:r>
      <w:r w:rsidRPr="00A903DD">
        <w:rPr>
          <w:rFonts w:ascii="Book Antiqua" w:hAnsi="Book Antiqua"/>
          <w:sz w:val="24"/>
          <w:szCs w:val="24"/>
        </w:rPr>
        <w:t xml:space="preserve"> and </w:t>
      </w:r>
      <w:r w:rsidR="007800E7" w:rsidRPr="00A903DD">
        <w:rPr>
          <w:rFonts w:ascii="Book Antiqua" w:hAnsi="Book Antiqua"/>
          <w:sz w:val="24"/>
          <w:szCs w:val="24"/>
        </w:rPr>
        <w:t>TKA</w:t>
      </w:r>
      <w:r w:rsidRPr="00A903DD">
        <w:rPr>
          <w:rFonts w:ascii="Book Antiqua" w:hAnsi="Book Antiqua"/>
          <w:sz w:val="24"/>
          <w:szCs w:val="24"/>
        </w:rPr>
        <w:t xml:space="preserve"> who received either rivaroxaban 10 mg </w:t>
      </w:r>
      <w:r w:rsidR="007800E7" w:rsidRPr="00A903DD">
        <w:rPr>
          <w:rFonts w:ascii="Book Antiqua" w:hAnsi="Book Antiqua"/>
          <w:sz w:val="24"/>
          <w:szCs w:val="24"/>
        </w:rPr>
        <w:t xml:space="preserve">once </w:t>
      </w:r>
      <w:r w:rsidRPr="00A903DD">
        <w:rPr>
          <w:rFonts w:ascii="Book Antiqua" w:hAnsi="Book Antiqua"/>
          <w:sz w:val="24"/>
          <w:szCs w:val="24"/>
        </w:rPr>
        <w:t>daily or conventional thromboprophylaxis, the majority o</w:t>
      </w:r>
      <w:r w:rsidR="00321ECF">
        <w:rPr>
          <w:rFonts w:ascii="Book Antiqua" w:hAnsi="Book Antiqua"/>
          <w:sz w:val="24"/>
          <w:szCs w:val="24"/>
        </w:rPr>
        <w:t>f which included LMWH (81.7%).</w:t>
      </w:r>
      <w:r w:rsidR="00321ECF">
        <w:rPr>
          <w:rFonts w:ascii="Book Antiqua" w:hAnsi="Book Antiqua" w:hint="eastAsia"/>
          <w:sz w:val="24"/>
          <w:szCs w:val="24"/>
          <w:lang w:eastAsia="zh-CN"/>
        </w:rPr>
        <w:t xml:space="preserve"> </w:t>
      </w:r>
      <w:r w:rsidRPr="00A903DD">
        <w:rPr>
          <w:rFonts w:ascii="Book Antiqua" w:hAnsi="Book Antiqua"/>
          <w:sz w:val="24"/>
          <w:szCs w:val="24"/>
        </w:rPr>
        <w:t xml:space="preserve">A </w:t>
      </w:r>
      <w:r w:rsidR="00FF07B9" w:rsidRPr="00A903DD">
        <w:rPr>
          <w:rFonts w:ascii="Book Antiqua" w:hAnsi="Book Antiqua"/>
          <w:sz w:val="24"/>
          <w:szCs w:val="24"/>
        </w:rPr>
        <w:t xml:space="preserve">focused </w:t>
      </w:r>
      <w:r w:rsidRPr="00A903DD">
        <w:rPr>
          <w:rFonts w:ascii="Book Antiqua" w:hAnsi="Book Antiqua"/>
          <w:sz w:val="24"/>
          <w:szCs w:val="24"/>
        </w:rPr>
        <w:t>comparison was made between those receiving rivarox</w:t>
      </w:r>
      <w:r w:rsidR="00321ECF">
        <w:rPr>
          <w:rFonts w:ascii="Book Antiqua" w:hAnsi="Book Antiqua"/>
          <w:sz w:val="24"/>
          <w:szCs w:val="24"/>
        </w:rPr>
        <w:t xml:space="preserve">aban and those receiving LMWH. </w:t>
      </w:r>
      <w:r w:rsidRPr="00A903DD">
        <w:rPr>
          <w:rFonts w:ascii="Book Antiqua" w:hAnsi="Book Antiqua"/>
          <w:sz w:val="24"/>
          <w:szCs w:val="24"/>
        </w:rPr>
        <w:t xml:space="preserve">The investigators </w:t>
      </w:r>
      <w:r w:rsidR="007800E7" w:rsidRPr="00A903DD">
        <w:rPr>
          <w:rFonts w:ascii="Book Antiqua" w:hAnsi="Book Antiqua"/>
          <w:sz w:val="24"/>
          <w:szCs w:val="24"/>
        </w:rPr>
        <w:t>determined</w:t>
      </w:r>
      <w:r w:rsidRPr="00A903DD">
        <w:rPr>
          <w:rFonts w:ascii="Book Antiqua" w:hAnsi="Book Antiqua"/>
          <w:sz w:val="24"/>
          <w:szCs w:val="24"/>
        </w:rPr>
        <w:t xml:space="preserve"> a rate of symptomatic VTE in 0.9% of patients receiving rivaroxaban and 1.5% of patients receiving LMWH.  This correlated with a</w:t>
      </w:r>
      <w:r w:rsidR="004C1EFE" w:rsidRPr="00A903DD">
        <w:rPr>
          <w:rFonts w:ascii="Book Antiqua" w:hAnsi="Book Antiqua"/>
          <w:sz w:val="24"/>
          <w:szCs w:val="24"/>
        </w:rPr>
        <w:t xml:space="preserve"> statistically</w:t>
      </w:r>
      <w:r w:rsidRPr="00A903DD">
        <w:rPr>
          <w:rFonts w:ascii="Book Antiqua" w:hAnsi="Book Antiqua"/>
          <w:sz w:val="24"/>
          <w:szCs w:val="24"/>
        </w:rPr>
        <w:t xml:space="preserve"> signif</w:t>
      </w:r>
      <w:r w:rsidR="00321ECF">
        <w:rPr>
          <w:rFonts w:ascii="Book Antiqua" w:hAnsi="Book Antiqua"/>
          <w:sz w:val="24"/>
          <w:szCs w:val="24"/>
        </w:rPr>
        <w:t>icant hazard ratio of 0.57 (95%</w:t>
      </w:r>
      <w:r w:rsidRPr="00A903DD">
        <w:rPr>
          <w:rFonts w:ascii="Book Antiqua" w:hAnsi="Book Antiqua"/>
          <w:sz w:val="24"/>
          <w:szCs w:val="24"/>
        </w:rPr>
        <w:t>CI</w:t>
      </w:r>
      <w:r w:rsidR="00C919AD">
        <w:rPr>
          <w:rFonts w:ascii="Book Antiqua" w:hAnsi="Book Antiqua" w:hint="eastAsia"/>
          <w:sz w:val="24"/>
          <w:szCs w:val="24"/>
          <w:lang w:eastAsia="zh-CN"/>
        </w:rPr>
        <w:t>:</w:t>
      </w:r>
      <w:r w:rsidRPr="00A903DD">
        <w:rPr>
          <w:rFonts w:ascii="Book Antiqua" w:hAnsi="Book Antiqua"/>
          <w:sz w:val="24"/>
          <w:szCs w:val="24"/>
        </w:rPr>
        <w:t xml:space="preserve"> 0.41</w:t>
      </w:r>
      <w:r w:rsidR="00124EB4" w:rsidRPr="00A903DD">
        <w:rPr>
          <w:rFonts w:ascii="Book Antiqua" w:hAnsi="Book Antiqua"/>
          <w:sz w:val="24"/>
          <w:szCs w:val="24"/>
        </w:rPr>
        <w:t>–</w:t>
      </w:r>
      <w:r w:rsidRPr="00A903DD">
        <w:rPr>
          <w:rFonts w:ascii="Book Antiqua" w:hAnsi="Book Antiqua"/>
          <w:sz w:val="24"/>
          <w:szCs w:val="24"/>
        </w:rPr>
        <w:t xml:space="preserve">0.81).  </w:t>
      </w:r>
    </w:p>
    <w:p w:rsidR="00985C92" w:rsidRPr="00A903DD" w:rsidRDefault="00917001" w:rsidP="00321ECF">
      <w:pPr>
        <w:autoSpaceDE w:val="0"/>
        <w:autoSpaceDN w:val="0"/>
        <w:adjustRightInd w:val="0"/>
        <w:spacing w:after="0" w:line="360" w:lineRule="auto"/>
        <w:ind w:firstLineChars="100" w:firstLine="240"/>
        <w:contextualSpacing/>
        <w:jc w:val="both"/>
        <w:rPr>
          <w:rFonts w:ascii="Book Antiqua" w:hAnsi="Book Antiqua"/>
          <w:sz w:val="24"/>
          <w:szCs w:val="24"/>
        </w:rPr>
      </w:pPr>
      <w:r w:rsidRPr="00A903DD">
        <w:rPr>
          <w:rFonts w:ascii="Book Antiqua" w:hAnsi="Book Antiqua"/>
          <w:sz w:val="24"/>
          <w:szCs w:val="24"/>
        </w:rPr>
        <w:t>Major and minor bleeding rates were similar between ri</w:t>
      </w:r>
      <w:r w:rsidR="00884C3A" w:rsidRPr="00A903DD">
        <w:rPr>
          <w:rFonts w:ascii="Book Antiqua" w:hAnsi="Book Antiqua"/>
          <w:sz w:val="24"/>
          <w:szCs w:val="24"/>
        </w:rPr>
        <w:t>varoxaban and enoxaparin in each of the</w:t>
      </w:r>
      <w:r w:rsidRPr="00A903DD">
        <w:rPr>
          <w:rFonts w:ascii="Book Antiqua" w:hAnsi="Book Antiqua"/>
          <w:sz w:val="24"/>
          <w:szCs w:val="24"/>
        </w:rPr>
        <w:t xml:space="preserve"> RECORD studies </w:t>
      </w:r>
      <w:r w:rsidR="007800E7" w:rsidRPr="00A903DD">
        <w:rPr>
          <w:rFonts w:ascii="Book Antiqua" w:hAnsi="Book Antiqua"/>
          <w:sz w:val="24"/>
          <w:szCs w:val="24"/>
        </w:rPr>
        <w:t>as well as</w:t>
      </w:r>
      <w:r w:rsidRPr="00A903DD">
        <w:rPr>
          <w:rFonts w:ascii="Book Antiqua" w:hAnsi="Book Antiqua"/>
          <w:sz w:val="24"/>
          <w:szCs w:val="24"/>
        </w:rPr>
        <w:t xml:space="preserve"> the</w:t>
      </w:r>
      <w:r w:rsidR="00321ECF">
        <w:rPr>
          <w:rFonts w:ascii="Book Antiqua" w:hAnsi="Book Antiqua"/>
          <w:sz w:val="24"/>
          <w:szCs w:val="24"/>
        </w:rPr>
        <w:t xml:space="preserve"> non-interventional XAMOS </w:t>
      </w:r>
      <w:proofErr w:type="gramStart"/>
      <w:r w:rsidR="00321ECF">
        <w:rPr>
          <w:rFonts w:ascii="Book Antiqua" w:hAnsi="Book Antiqua"/>
          <w:sz w:val="24"/>
          <w:szCs w:val="24"/>
        </w:rPr>
        <w:t>study</w:t>
      </w:r>
      <w:r w:rsidR="007800E7" w:rsidRPr="00A903DD">
        <w:rPr>
          <w:rFonts w:ascii="Book Antiqua" w:hAnsi="Book Antiqua"/>
          <w:sz w:val="24"/>
          <w:szCs w:val="24"/>
          <w:vertAlign w:val="superscript"/>
        </w:rPr>
        <w:t>[</w:t>
      </w:r>
      <w:proofErr w:type="gramEnd"/>
      <w:r w:rsidR="007800E7" w:rsidRPr="00A903DD">
        <w:rPr>
          <w:rFonts w:ascii="Book Antiqua" w:hAnsi="Book Antiqua"/>
          <w:sz w:val="24"/>
          <w:szCs w:val="24"/>
          <w:vertAlign w:val="superscript"/>
        </w:rPr>
        <w:t>6</w:t>
      </w:r>
      <w:r w:rsidR="00E42379" w:rsidRPr="00A903DD">
        <w:rPr>
          <w:rFonts w:ascii="Book Antiqua" w:hAnsi="Book Antiqua"/>
          <w:sz w:val="24"/>
          <w:szCs w:val="24"/>
          <w:vertAlign w:val="superscript"/>
        </w:rPr>
        <w:t>2-64]</w:t>
      </w:r>
      <w:r w:rsidR="00321ECF">
        <w:rPr>
          <w:rFonts w:ascii="Book Antiqua" w:hAnsi="Book Antiqua" w:hint="eastAsia"/>
          <w:sz w:val="24"/>
          <w:szCs w:val="24"/>
          <w:lang w:eastAsia="zh-CN"/>
        </w:rPr>
        <w:t>.</w:t>
      </w:r>
      <w:r w:rsidRPr="00A903DD">
        <w:rPr>
          <w:rFonts w:ascii="Book Antiqua" w:hAnsi="Book Antiqua"/>
          <w:sz w:val="24"/>
          <w:szCs w:val="24"/>
        </w:rPr>
        <w:t xml:space="preserve"> </w:t>
      </w:r>
      <w:r w:rsidR="004A2FAC" w:rsidRPr="00A903DD">
        <w:rPr>
          <w:rFonts w:ascii="Book Antiqua" w:hAnsi="Book Antiqua"/>
          <w:sz w:val="24"/>
          <w:szCs w:val="24"/>
        </w:rPr>
        <w:t xml:space="preserve">Wound complications including excessive wound hematoma, surgical site bleeding, and post-surgical wound infection were similar between rivaroxaban and enoxaparin in </w:t>
      </w:r>
      <w:r w:rsidR="00180699" w:rsidRPr="00A903DD">
        <w:rPr>
          <w:rFonts w:ascii="Book Antiqua" w:hAnsi="Book Antiqua"/>
          <w:sz w:val="24"/>
          <w:szCs w:val="24"/>
        </w:rPr>
        <w:t xml:space="preserve">a </w:t>
      </w:r>
      <w:r w:rsidR="004A2FAC" w:rsidRPr="00A903DD">
        <w:rPr>
          <w:rFonts w:ascii="Book Antiqua" w:hAnsi="Book Antiqua"/>
          <w:sz w:val="24"/>
          <w:szCs w:val="24"/>
        </w:rPr>
        <w:t xml:space="preserve">pooled </w:t>
      </w:r>
      <w:r w:rsidR="00180699" w:rsidRPr="00A903DD">
        <w:rPr>
          <w:rFonts w:ascii="Book Antiqua" w:hAnsi="Book Antiqua"/>
          <w:sz w:val="24"/>
          <w:szCs w:val="24"/>
        </w:rPr>
        <w:t>analysis of</w:t>
      </w:r>
      <w:r w:rsidR="00EF0784" w:rsidRPr="00A903DD">
        <w:rPr>
          <w:rFonts w:ascii="Book Antiqua" w:hAnsi="Book Antiqua"/>
          <w:sz w:val="24"/>
          <w:szCs w:val="24"/>
        </w:rPr>
        <w:t xml:space="preserve"> RECORD 1 and 2</w:t>
      </w:r>
      <w:r w:rsidR="00E42379" w:rsidRPr="00A903DD">
        <w:rPr>
          <w:rFonts w:ascii="Book Antiqua" w:hAnsi="Book Antiqua"/>
          <w:sz w:val="24"/>
          <w:szCs w:val="24"/>
          <w:vertAlign w:val="superscript"/>
        </w:rPr>
        <w:t>[65]</w:t>
      </w:r>
      <w:r w:rsidR="00EF0784" w:rsidRPr="00A903DD">
        <w:rPr>
          <w:rFonts w:ascii="Book Antiqua" w:hAnsi="Book Antiqua"/>
          <w:sz w:val="24"/>
          <w:szCs w:val="24"/>
        </w:rPr>
        <w:t>.</w:t>
      </w:r>
      <w:r w:rsidR="004A2FAC" w:rsidRPr="00A903DD">
        <w:rPr>
          <w:rFonts w:ascii="Book Antiqua" w:hAnsi="Book Antiqua"/>
          <w:sz w:val="24"/>
          <w:szCs w:val="24"/>
        </w:rPr>
        <w:t xml:space="preserve"> </w:t>
      </w:r>
      <w:r w:rsidR="00985C92" w:rsidRPr="00A903DD">
        <w:rPr>
          <w:rFonts w:ascii="Book Antiqua" w:hAnsi="Book Antiqua"/>
          <w:sz w:val="24"/>
          <w:szCs w:val="24"/>
        </w:rPr>
        <w:t>However, t</w:t>
      </w:r>
      <w:r w:rsidR="00180699" w:rsidRPr="00A903DD">
        <w:rPr>
          <w:rFonts w:ascii="Book Antiqua" w:hAnsi="Book Antiqua"/>
          <w:sz w:val="24"/>
          <w:szCs w:val="24"/>
        </w:rPr>
        <w:t>he potential for an increased risk of wound complications associated with rivaroxaban has been brought into question</w:t>
      </w:r>
      <w:r w:rsidR="0019042E" w:rsidRPr="00A903DD">
        <w:rPr>
          <w:rFonts w:ascii="Book Antiqua" w:hAnsi="Book Antiqua"/>
          <w:sz w:val="24"/>
          <w:szCs w:val="24"/>
        </w:rPr>
        <w:t xml:space="preserve"> by several </w:t>
      </w:r>
      <w:r w:rsidR="007800E7" w:rsidRPr="00A903DD">
        <w:rPr>
          <w:rFonts w:ascii="Book Antiqua" w:hAnsi="Book Antiqua"/>
          <w:sz w:val="24"/>
          <w:szCs w:val="24"/>
        </w:rPr>
        <w:t xml:space="preserve">recent </w:t>
      </w:r>
      <w:r w:rsidR="0019042E" w:rsidRPr="00A903DD">
        <w:rPr>
          <w:rFonts w:ascii="Book Antiqua" w:hAnsi="Book Antiqua"/>
          <w:sz w:val="24"/>
          <w:szCs w:val="24"/>
        </w:rPr>
        <w:t xml:space="preserve">institutional </w:t>
      </w:r>
      <w:proofErr w:type="gramStart"/>
      <w:r w:rsidR="0019042E" w:rsidRPr="00A903DD">
        <w:rPr>
          <w:rFonts w:ascii="Book Antiqua" w:hAnsi="Book Antiqua"/>
          <w:sz w:val="24"/>
          <w:szCs w:val="24"/>
        </w:rPr>
        <w:t>studies</w:t>
      </w:r>
      <w:r w:rsidR="00F02666" w:rsidRPr="00A903DD">
        <w:rPr>
          <w:rFonts w:ascii="Book Antiqua" w:hAnsi="Book Antiqua"/>
          <w:sz w:val="24"/>
          <w:szCs w:val="24"/>
          <w:vertAlign w:val="superscript"/>
        </w:rPr>
        <w:t>[</w:t>
      </w:r>
      <w:proofErr w:type="gramEnd"/>
      <w:r w:rsidR="00F02666" w:rsidRPr="00A903DD">
        <w:rPr>
          <w:rFonts w:ascii="Book Antiqua" w:hAnsi="Book Antiqua"/>
          <w:sz w:val="24"/>
          <w:szCs w:val="24"/>
          <w:vertAlign w:val="superscript"/>
        </w:rPr>
        <w:t>66-70]</w:t>
      </w:r>
      <w:r w:rsidR="00EF0784" w:rsidRPr="00A903DD">
        <w:rPr>
          <w:rFonts w:ascii="Book Antiqua" w:hAnsi="Book Antiqua"/>
          <w:sz w:val="24"/>
          <w:szCs w:val="24"/>
        </w:rPr>
        <w:t>.</w:t>
      </w:r>
      <w:r w:rsidR="00321ECF">
        <w:rPr>
          <w:rFonts w:ascii="Book Antiqua" w:hAnsi="Book Antiqua" w:hint="eastAsia"/>
          <w:sz w:val="24"/>
          <w:szCs w:val="24"/>
          <w:lang w:eastAsia="zh-CN"/>
        </w:rPr>
        <w:t xml:space="preserve"> </w:t>
      </w:r>
      <w:r w:rsidR="00321ECF">
        <w:rPr>
          <w:rFonts w:ascii="Book Antiqua" w:hAnsi="Book Antiqua"/>
          <w:sz w:val="24"/>
          <w:szCs w:val="24"/>
        </w:rPr>
        <w:t>In a multicenter analysis of 13</w:t>
      </w:r>
      <w:r w:rsidR="00C44288" w:rsidRPr="00A903DD">
        <w:rPr>
          <w:rFonts w:ascii="Book Antiqua" w:hAnsi="Book Antiqua"/>
          <w:sz w:val="24"/>
          <w:szCs w:val="24"/>
        </w:rPr>
        <w:t xml:space="preserve">123 </w:t>
      </w:r>
      <w:r w:rsidR="00460631" w:rsidRPr="00A903DD">
        <w:rPr>
          <w:rFonts w:ascii="Book Antiqua" w:hAnsi="Book Antiqua"/>
          <w:sz w:val="24"/>
          <w:szCs w:val="24"/>
        </w:rPr>
        <w:t xml:space="preserve">major </w:t>
      </w:r>
      <w:r w:rsidR="00460631" w:rsidRPr="00A903DD">
        <w:rPr>
          <w:rFonts w:ascii="Book Antiqua" w:hAnsi="Book Antiqua"/>
          <w:sz w:val="24"/>
          <w:szCs w:val="24"/>
        </w:rPr>
        <w:lastRenderedPageBreak/>
        <w:t>orthopedic surgery</w:t>
      </w:r>
      <w:r w:rsidR="00C44288" w:rsidRPr="00A903DD">
        <w:rPr>
          <w:rFonts w:ascii="Book Antiqua" w:hAnsi="Book Antiqua"/>
          <w:sz w:val="24"/>
          <w:szCs w:val="24"/>
        </w:rPr>
        <w:t xml:space="preserve"> patients (</w:t>
      </w:r>
      <w:r w:rsidR="00460631" w:rsidRPr="00A903DD">
        <w:rPr>
          <w:rFonts w:ascii="Book Antiqua" w:hAnsi="Book Antiqua"/>
          <w:sz w:val="24"/>
          <w:szCs w:val="24"/>
        </w:rPr>
        <w:t>including 5974 THA)</w:t>
      </w:r>
      <w:r w:rsidR="00C44288" w:rsidRPr="00A903DD">
        <w:rPr>
          <w:rFonts w:ascii="Book Antiqua" w:hAnsi="Book Antiqua"/>
          <w:sz w:val="24"/>
          <w:szCs w:val="24"/>
        </w:rPr>
        <w:t xml:space="preserve">, Jameson </w:t>
      </w:r>
      <w:r w:rsidR="00C44288" w:rsidRPr="00321ECF">
        <w:rPr>
          <w:rFonts w:ascii="Book Antiqua" w:hAnsi="Book Antiqua"/>
          <w:i/>
          <w:sz w:val="24"/>
          <w:szCs w:val="24"/>
        </w:rPr>
        <w:t>et al</w:t>
      </w:r>
      <w:r w:rsidR="00EF0784" w:rsidRPr="00A903DD">
        <w:rPr>
          <w:rFonts w:ascii="Book Antiqua" w:hAnsi="Book Antiqua"/>
          <w:sz w:val="24"/>
          <w:szCs w:val="24"/>
          <w:vertAlign w:val="superscript"/>
        </w:rPr>
        <w:t>[69]</w:t>
      </w:r>
      <w:r w:rsidR="00C44288" w:rsidRPr="00A903DD">
        <w:rPr>
          <w:rFonts w:ascii="Book Antiqua" w:hAnsi="Book Antiqua"/>
          <w:sz w:val="24"/>
          <w:szCs w:val="24"/>
        </w:rPr>
        <w:t xml:space="preserve"> found an increased rate of wound complications including hemato</w:t>
      </w:r>
      <w:r w:rsidR="00460631" w:rsidRPr="00A903DD">
        <w:rPr>
          <w:rFonts w:ascii="Book Antiqua" w:hAnsi="Book Antiqua"/>
          <w:sz w:val="24"/>
          <w:szCs w:val="24"/>
        </w:rPr>
        <w:t>ma, superficial wound infection</w:t>
      </w:r>
      <w:r w:rsidR="00C44288" w:rsidRPr="00A903DD">
        <w:rPr>
          <w:rFonts w:ascii="Book Antiqua" w:hAnsi="Book Antiqua"/>
          <w:sz w:val="24"/>
          <w:szCs w:val="24"/>
        </w:rPr>
        <w:t>, and deep infection requiring return to surgery, with rivaroxaban compared to enoxaparin</w:t>
      </w:r>
      <w:r w:rsidR="00460631" w:rsidRPr="00A903DD">
        <w:rPr>
          <w:rFonts w:ascii="Book Antiqua" w:hAnsi="Book Antiqua"/>
          <w:sz w:val="24"/>
          <w:szCs w:val="24"/>
        </w:rPr>
        <w:t xml:space="preserve"> use</w:t>
      </w:r>
      <w:r w:rsidR="00C44288" w:rsidRPr="00A903DD">
        <w:rPr>
          <w:rFonts w:ascii="Book Antiqua" w:hAnsi="Book Antiqua"/>
          <w:sz w:val="24"/>
          <w:szCs w:val="24"/>
        </w:rPr>
        <w:t xml:space="preserve"> (3.85%</w:t>
      </w:r>
      <w:r w:rsidR="00C44288" w:rsidRPr="00321ECF">
        <w:rPr>
          <w:rFonts w:ascii="Book Antiqua" w:hAnsi="Book Antiqua"/>
          <w:i/>
          <w:sz w:val="24"/>
          <w:szCs w:val="24"/>
        </w:rPr>
        <w:t xml:space="preserve"> vs</w:t>
      </w:r>
      <w:r w:rsidR="00C44288" w:rsidRPr="00A903DD">
        <w:rPr>
          <w:rFonts w:ascii="Book Antiqua" w:hAnsi="Book Antiqua"/>
          <w:sz w:val="24"/>
          <w:szCs w:val="24"/>
        </w:rPr>
        <w:t xml:space="preserve"> 2.81%, </w:t>
      </w:r>
      <w:r w:rsidR="00321ECF" w:rsidRPr="00321ECF">
        <w:rPr>
          <w:rFonts w:ascii="Book Antiqua" w:hAnsi="Book Antiqua"/>
          <w:i/>
          <w:sz w:val="24"/>
          <w:szCs w:val="24"/>
        </w:rPr>
        <w:t>P</w:t>
      </w:r>
      <w:r w:rsidR="00321ECF">
        <w:rPr>
          <w:rFonts w:ascii="Book Antiqua" w:hAnsi="Book Antiqua" w:hint="eastAsia"/>
          <w:sz w:val="24"/>
          <w:szCs w:val="24"/>
          <w:lang w:eastAsia="zh-CN"/>
        </w:rPr>
        <w:t xml:space="preserve"> </w:t>
      </w:r>
      <w:r w:rsidR="00C44288" w:rsidRPr="00A903DD">
        <w:rPr>
          <w:rFonts w:ascii="Book Antiqua" w:hAnsi="Book Antiqua"/>
          <w:sz w:val="24"/>
          <w:szCs w:val="24"/>
        </w:rPr>
        <w:t>=</w:t>
      </w:r>
      <w:r w:rsidR="00321ECF">
        <w:rPr>
          <w:rFonts w:ascii="Book Antiqua" w:hAnsi="Book Antiqua" w:hint="eastAsia"/>
          <w:sz w:val="24"/>
          <w:szCs w:val="24"/>
          <w:lang w:eastAsia="zh-CN"/>
        </w:rPr>
        <w:t xml:space="preserve"> </w:t>
      </w:r>
      <w:r w:rsidR="00C44288" w:rsidRPr="00A903DD">
        <w:rPr>
          <w:rFonts w:ascii="Book Antiqua" w:hAnsi="Book Antiqua"/>
          <w:sz w:val="24"/>
          <w:szCs w:val="24"/>
        </w:rPr>
        <w:t xml:space="preserve">0.005).  </w:t>
      </w:r>
      <w:r w:rsidRPr="00A903DD">
        <w:rPr>
          <w:rFonts w:ascii="Book Antiqua" w:hAnsi="Book Antiqua"/>
          <w:sz w:val="24"/>
          <w:szCs w:val="24"/>
        </w:rPr>
        <w:t>Additio</w:t>
      </w:r>
      <w:r w:rsidR="00884C3A" w:rsidRPr="00A903DD">
        <w:rPr>
          <w:rFonts w:ascii="Book Antiqua" w:hAnsi="Book Antiqua"/>
          <w:sz w:val="24"/>
          <w:szCs w:val="24"/>
        </w:rPr>
        <w:t>nally, no incidence of spinal</w:t>
      </w:r>
      <w:r w:rsidRPr="00A903DD">
        <w:rPr>
          <w:rFonts w:ascii="Book Antiqua" w:hAnsi="Book Antiqua"/>
          <w:sz w:val="24"/>
          <w:szCs w:val="24"/>
        </w:rPr>
        <w:t xml:space="preserve"> hematoma was </w:t>
      </w:r>
      <w:r w:rsidR="004C1EFE" w:rsidRPr="00A903DD">
        <w:rPr>
          <w:rFonts w:ascii="Book Antiqua" w:hAnsi="Book Antiqua"/>
          <w:sz w:val="24"/>
          <w:szCs w:val="24"/>
        </w:rPr>
        <w:t xml:space="preserve">observed </w:t>
      </w:r>
      <w:r w:rsidRPr="00A903DD">
        <w:rPr>
          <w:rFonts w:ascii="Book Antiqua" w:hAnsi="Book Antiqua"/>
          <w:sz w:val="24"/>
          <w:szCs w:val="24"/>
        </w:rPr>
        <w:t xml:space="preserve">with the use of rivaroxaban </w:t>
      </w:r>
      <w:r w:rsidR="00884C3A" w:rsidRPr="00A903DD">
        <w:rPr>
          <w:rFonts w:ascii="Book Antiqua" w:hAnsi="Book Antiqua"/>
          <w:sz w:val="24"/>
          <w:szCs w:val="24"/>
        </w:rPr>
        <w:t xml:space="preserve">and neuraxial anesthesia </w:t>
      </w:r>
      <w:r w:rsidRPr="00A903DD">
        <w:rPr>
          <w:rFonts w:ascii="Book Antiqua" w:hAnsi="Book Antiqua"/>
          <w:sz w:val="24"/>
          <w:szCs w:val="24"/>
        </w:rPr>
        <w:t>in the RECORD program</w:t>
      </w:r>
      <w:r w:rsidR="00884C3A" w:rsidRPr="00A903DD">
        <w:rPr>
          <w:rFonts w:ascii="Book Antiqua" w:hAnsi="Book Antiqua"/>
          <w:sz w:val="24"/>
          <w:szCs w:val="24"/>
        </w:rPr>
        <w:t xml:space="preserve"> (</w:t>
      </w:r>
      <w:r w:rsidR="00884C3A" w:rsidRPr="00321ECF">
        <w:rPr>
          <w:rFonts w:ascii="Book Antiqua" w:hAnsi="Book Antiqua"/>
          <w:i/>
          <w:sz w:val="24"/>
          <w:szCs w:val="24"/>
        </w:rPr>
        <w:t>n</w:t>
      </w:r>
      <w:r w:rsidR="00884C3A" w:rsidRPr="00A903DD">
        <w:rPr>
          <w:rFonts w:ascii="Book Antiqua" w:hAnsi="Book Antiqua"/>
          <w:sz w:val="24"/>
          <w:szCs w:val="24"/>
        </w:rPr>
        <w:t xml:space="preserve"> = 4086</w:t>
      </w:r>
      <w:proofErr w:type="gramStart"/>
      <w:r w:rsidR="00884C3A" w:rsidRPr="00A903DD">
        <w:rPr>
          <w:rFonts w:ascii="Book Antiqua" w:hAnsi="Book Antiqua"/>
          <w:sz w:val="24"/>
          <w:szCs w:val="24"/>
        </w:rPr>
        <w:t>)</w:t>
      </w:r>
      <w:r w:rsidR="00D12129" w:rsidRPr="00A903DD">
        <w:rPr>
          <w:rFonts w:ascii="Book Antiqua" w:hAnsi="Book Antiqua"/>
          <w:sz w:val="24"/>
          <w:szCs w:val="24"/>
          <w:vertAlign w:val="superscript"/>
        </w:rPr>
        <w:t>[</w:t>
      </w:r>
      <w:proofErr w:type="gramEnd"/>
      <w:r w:rsidR="00D12129" w:rsidRPr="00A903DD">
        <w:rPr>
          <w:rFonts w:ascii="Book Antiqua" w:hAnsi="Book Antiqua"/>
          <w:sz w:val="24"/>
          <w:szCs w:val="24"/>
          <w:vertAlign w:val="superscript"/>
        </w:rPr>
        <w:t>71]</w:t>
      </w:r>
      <w:r w:rsidR="00EF0784" w:rsidRPr="00A903DD">
        <w:rPr>
          <w:rFonts w:ascii="Book Antiqua" w:hAnsi="Book Antiqua"/>
          <w:sz w:val="24"/>
          <w:szCs w:val="24"/>
        </w:rPr>
        <w:t>.</w:t>
      </w:r>
    </w:p>
    <w:p w:rsidR="002D3D87" w:rsidRPr="00A903DD" w:rsidRDefault="002D3D87" w:rsidP="00A903DD">
      <w:pPr>
        <w:autoSpaceDE w:val="0"/>
        <w:autoSpaceDN w:val="0"/>
        <w:adjustRightInd w:val="0"/>
        <w:spacing w:after="0" w:line="360" w:lineRule="auto"/>
        <w:contextualSpacing/>
        <w:jc w:val="both"/>
        <w:rPr>
          <w:rFonts w:ascii="Book Antiqua" w:hAnsi="Book Antiqua"/>
          <w:i/>
          <w:sz w:val="24"/>
          <w:szCs w:val="24"/>
        </w:rPr>
      </w:pPr>
    </w:p>
    <w:p w:rsidR="00C500AA" w:rsidRPr="00A903DD" w:rsidRDefault="002D3D87" w:rsidP="00A903DD">
      <w:pPr>
        <w:autoSpaceDE w:val="0"/>
        <w:autoSpaceDN w:val="0"/>
        <w:adjustRightInd w:val="0"/>
        <w:spacing w:after="0" w:line="360" w:lineRule="auto"/>
        <w:contextualSpacing/>
        <w:jc w:val="both"/>
        <w:rPr>
          <w:rFonts w:ascii="Book Antiqua" w:hAnsi="Book Antiqua"/>
          <w:b/>
          <w:i/>
          <w:sz w:val="24"/>
          <w:szCs w:val="24"/>
        </w:rPr>
      </w:pPr>
      <w:r w:rsidRPr="00A903DD">
        <w:rPr>
          <w:rFonts w:ascii="Book Antiqua" w:hAnsi="Book Antiqua"/>
          <w:b/>
          <w:i/>
          <w:sz w:val="24"/>
          <w:szCs w:val="24"/>
        </w:rPr>
        <w:t>A</w:t>
      </w:r>
      <w:r w:rsidR="00683B6E" w:rsidRPr="00A903DD">
        <w:rPr>
          <w:rFonts w:ascii="Book Antiqua" w:hAnsi="Book Antiqua"/>
          <w:b/>
          <w:i/>
          <w:sz w:val="24"/>
          <w:szCs w:val="24"/>
        </w:rPr>
        <w:t>pixaban in THA</w:t>
      </w:r>
    </w:p>
    <w:p w:rsidR="00D12129" w:rsidRPr="00A903DD" w:rsidRDefault="00816CF7" w:rsidP="00A903DD">
      <w:pPr>
        <w:spacing w:after="0" w:line="360" w:lineRule="auto"/>
        <w:jc w:val="both"/>
        <w:rPr>
          <w:rFonts w:ascii="Book Antiqua" w:hAnsi="Book Antiqua"/>
          <w:sz w:val="24"/>
          <w:szCs w:val="24"/>
        </w:rPr>
      </w:pPr>
      <w:r w:rsidRPr="00A903DD">
        <w:rPr>
          <w:rFonts w:ascii="Book Antiqua" w:hAnsi="Book Antiqua"/>
          <w:sz w:val="24"/>
          <w:szCs w:val="24"/>
        </w:rPr>
        <w:t>Apixaban was not studied for use after THA in the</w:t>
      </w:r>
      <w:r w:rsidR="00470304" w:rsidRPr="00A903DD">
        <w:rPr>
          <w:rFonts w:ascii="Book Antiqua" w:hAnsi="Book Antiqua"/>
          <w:sz w:val="24"/>
          <w:szCs w:val="24"/>
        </w:rPr>
        <w:t xml:space="preserve"> phase II format; however, the</w:t>
      </w:r>
      <w:r w:rsidRPr="00A903DD">
        <w:rPr>
          <w:rFonts w:ascii="Book Antiqua" w:hAnsi="Book Antiqua"/>
          <w:sz w:val="24"/>
          <w:szCs w:val="24"/>
        </w:rPr>
        <w:t xml:space="preserve"> results of </w:t>
      </w:r>
      <w:r w:rsidR="008C5828" w:rsidRPr="00A903DD">
        <w:rPr>
          <w:rFonts w:ascii="Book Antiqua" w:hAnsi="Book Antiqua"/>
          <w:sz w:val="24"/>
          <w:szCs w:val="24"/>
        </w:rPr>
        <w:t xml:space="preserve">the </w:t>
      </w:r>
      <w:r w:rsidRPr="00A903DD">
        <w:rPr>
          <w:rFonts w:ascii="Book Antiqua" w:hAnsi="Book Antiqua"/>
          <w:sz w:val="24"/>
          <w:szCs w:val="24"/>
        </w:rPr>
        <w:t xml:space="preserve">phase </w:t>
      </w:r>
      <w:r w:rsidR="008C5828" w:rsidRPr="00A903DD">
        <w:rPr>
          <w:rFonts w:ascii="Book Antiqua" w:hAnsi="Book Antiqua"/>
          <w:sz w:val="24"/>
          <w:szCs w:val="24"/>
        </w:rPr>
        <w:t xml:space="preserve">II study </w:t>
      </w:r>
      <w:r w:rsidR="008C5828" w:rsidRPr="00A903DD">
        <w:rPr>
          <w:rFonts w:ascii="Book Antiqua" w:hAnsi="Book Antiqua"/>
          <w:i/>
          <w:sz w:val="24"/>
          <w:szCs w:val="24"/>
        </w:rPr>
        <w:t>A</w:t>
      </w:r>
      <w:r w:rsidR="008C5828" w:rsidRPr="00A903DD">
        <w:rPr>
          <w:rFonts w:ascii="Book Antiqua" w:hAnsi="Book Antiqua"/>
          <w:sz w:val="24"/>
          <w:szCs w:val="24"/>
        </w:rPr>
        <w:t xml:space="preserve">pixaban </w:t>
      </w:r>
      <w:r w:rsidR="00321ECF" w:rsidRPr="00321ECF">
        <w:rPr>
          <w:rFonts w:ascii="Book Antiqua" w:hAnsi="Book Antiqua"/>
          <w:sz w:val="24"/>
          <w:szCs w:val="24"/>
        </w:rPr>
        <w:t>p</w:t>
      </w:r>
      <w:r w:rsidR="008C5828" w:rsidRPr="00321ECF">
        <w:rPr>
          <w:rFonts w:ascii="Book Antiqua" w:hAnsi="Book Antiqua"/>
          <w:sz w:val="24"/>
          <w:szCs w:val="24"/>
        </w:rPr>
        <w:t>ro</w:t>
      </w:r>
      <w:r w:rsidR="008C5828" w:rsidRPr="00A903DD">
        <w:rPr>
          <w:rFonts w:ascii="Book Antiqua" w:hAnsi="Book Antiqua"/>
          <w:sz w:val="24"/>
          <w:szCs w:val="24"/>
        </w:rPr>
        <w:t xml:space="preserve">phylaxis in </w:t>
      </w:r>
      <w:r w:rsidR="00321ECF" w:rsidRPr="00321ECF">
        <w:rPr>
          <w:rFonts w:ascii="Book Antiqua" w:hAnsi="Book Antiqua"/>
          <w:sz w:val="24"/>
          <w:szCs w:val="24"/>
        </w:rPr>
        <w:t>p</w:t>
      </w:r>
      <w:r w:rsidR="008C5828" w:rsidRPr="00A903DD">
        <w:rPr>
          <w:rFonts w:ascii="Book Antiqua" w:hAnsi="Book Antiqua"/>
          <w:sz w:val="24"/>
          <w:szCs w:val="24"/>
        </w:rPr>
        <w:t xml:space="preserve">atients </w:t>
      </w:r>
      <w:r w:rsidR="00321ECF" w:rsidRPr="00A903DD">
        <w:rPr>
          <w:rFonts w:ascii="Book Antiqua" w:hAnsi="Book Antiqua"/>
          <w:sz w:val="24"/>
          <w:szCs w:val="24"/>
        </w:rPr>
        <w:t>u</w:t>
      </w:r>
      <w:r w:rsidR="008C5828" w:rsidRPr="00A903DD">
        <w:rPr>
          <w:rFonts w:ascii="Book Antiqua" w:hAnsi="Book Antiqua"/>
          <w:sz w:val="24"/>
          <w:szCs w:val="24"/>
        </w:rPr>
        <w:t xml:space="preserve">ndergoing </w:t>
      </w:r>
      <w:r w:rsidR="00321ECF" w:rsidRPr="00321ECF">
        <w:rPr>
          <w:rFonts w:ascii="Book Antiqua" w:hAnsi="Book Antiqua"/>
          <w:sz w:val="24"/>
          <w:szCs w:val="24"/>
        </w:rPr>
        <w:t>total knee replacement su</w:t>
      </w:r>
      <w:r w:rsidR="008C5828" w:rsidRPr="00A903DD">
        <w:rPr>
          <w:rFonts w:ascii="Book Antiqua" w:hAnsi="Book Antiqua"/>
          <w:sz w:val="24"/>
          <w:szCs w:val="24"/>
        </w:rPr>
        <w:t>rgery (APROPROS</w:t>
      </w:r>
      <w:proofErr w:type="gramStart"/>
      <w:r w:rsidR="008C5828" w:rsidRPr="00A903DD">
        <w:rPr>
          <w:rFonts w:ascii="Book Antiqua" w:hAnsi="Book Antiqua"/>
          <w:sz w:val="24"/>
          <w:szCs w:val="24"/>
        </w:rPr>
        <w:t>)</w:t>
      </w:r>
      <w:r w:rsidR="00EF0784" w:rsidRPr="00A903DD">
        <w:rPr>
          <w:rFonts w:ascii="Book Antiqua" w:hAnsi="Book Antiqua"/>
          <w:sz w:val="24"/>
          <w:szCs w:val="24"/>
          <w:vertAlign w:val="superscript"/>
        </w:rPr>
        <w:t>[</w:t>
      </w:r>
      <w:proofErr w:type="gramEnd"/>
      <w:r w:rsidR="00EF0784" w:rsidRPr="00A903DD">
        <w:rPr>
          <w:rFonts w:ascii="Book Antiqua" w:hAnsi="Book Antiqua"/>
          <w:sz w:val="24"/>
          <w:szCs w:val="24"/>
          <w:vertAlign w:val="superscript"/>
        </w:rPr>
        <w:t>72]</w:t>
      </w:r>
      <w:r w:rsidRPr="00A903DD">
        <w:rPr>
          <w:rFonts w:ascii="Book Antiqua" w:hAnsi="Book Antiqua"/>
          <w:sz w:val="24"/>
          <w:szCs w:val="24"/>
        </w:rPr>
        <w:t xml:space="preserve"> concluded that apixaban 2.5 mg twice daily</w:t>
      </w:r>
      <w:r w:rsidR="008C5828" w:rsidRPr="00A903DD">
        <w:rPr>
          <w:rFonts w:ascii="Book Antiqua" w:hAnsi="Book Antiqua"/>
          <w:sz w:val="24"/>
          <w:szCs w:val="24"/>
        </w:rPr>
        <w:t xml:space="preserve"> had a similar efficacy and safety profile compared to enoxaparin</w:t>
      </w:r>
      <w:r w:rsidR="00DB12A0" w:rsidRPr="00A903DD">
        <w:rPr>
          <w:rFonts w:ascii="Book Antiqua" w:hAnsi="Book Antiqua"/>
          <w:sz w:val="24"/>
          <w:szCs w:val="24"/>
        </w:rPr>
        <w:t xml:space="preserve"> for this indication</w:t>
      </w:r>
      <w:r w:rsidR="008C5828" w:rsidRPr="00A903DD">
        <w:rPr>
          <w:rFonts w:ascii="Book Antiqua" w:hAnsi="Book Antiqua"/>
          <w:sz w:val="24"/>
          <w:szCs w:val="24"/>
        </w:rPr>
        <w:t xml:space="preserve"> and should be investigated in phase III clinical studies for use after orthopedic surgery.</w:t>
      </w:r>
      <w:r w:rsidR="00321ECF">
        <w:rPr>
          <w:rFonts w:ascii="Book Antiqua" w:hAnsi="Book Antiqua" w:hint="eastAsia"/>
          <w:sz w:val="24"/>
          <w:szCs w:val="24"/>
          <w:lang w:eastAsia="zh-CN"/>
        </w:rPr>
        <w:t xml:space="preserve"> </w:t>
      </w:r>
      <w:r w:rsidR="00124EB4" w:rsidRPr="00A903DD">
        <w:rPr>
          <w:rFonts w:ascii="Book Antiqua" w:hAnsi="Book Antiqua"/>
          <w:sz w:val="24"/>
          <w:szCs w:val="24"/>
        </w:rPr>
        <w:t xml:space="preserve">The </w:t>
      </w:r>
      <w:r w:rsidR="00124EB4" w:rsidRPr="00A903DD">
        <w:rPr>
          <w:rFonts w:ascii="Book Antiqua" w:hAnsi="Book Antiqua"/>
          <w:i/>
          <w:sz w:val="24"/>
          <w:szCs w:val="24"/>
        </w:rPr>
        <w:t>A</w:t>
      </w:r>
      <w:r w:rsidR="00124EB4" w:rsidRPr="00A903DD">
        <w:rPr>
          <w:rFonts w:ascii="Book Antiqua" w:hAnsi="Book Antiqua"/>
          <w:sz w:val="24"/>
          <w:szCs w:val="24"/>
        </w:rPr>
        <w:t xml:space="preserve">pixaban </w:t>
      </w:r>
      <w:r w:rsidR="00321ECF" w:rsidRPr="00321ECF">
        <w:rPr>
          <w:rFonts w:ascii="Book Antiqua" w:hAnsi="Book Antiqua"/>
          <w:sz w:val="24"/>
          <w:szCs w:val="24"/>
        </w:rPr>
        <w:t>do</w:t>
      </w:r>
      <w:r w:rsidR="00321ECF" w:rsidRPr="00A903DD">
        <w:rPr>
          <w:rFonts w:ascii="Book Antiqua" w:hAnsi="Book Antiqua"/>
          <w:sz w:val="24"/>
          <w:szCs w:val="24"/>
        </w:rPr>
        <w:t>sed o</w:t>
      </w:r>
      <w:r w:rsidR="0054290E" w:rsidRPr="00A903DD">
        <w:rPr>
          <w:rFonts w:ascii="Book Antiqua" w:hAnsi="Book Antiqua"/>
          <w:sz w:val="24"/>
          <w:szCs w:val="24"/>
        </w:rPr>
        <w:t xml:space="preserve">rally </w:t>
      </w:r>
      <w:r w:rsidR="00321ECF" w:rsidRPr="00321ECF">
        <w:rPr>
          <w:rFonts w:ascii="Book Antiqua" w:hAnsi="Book Antiqua"/>
          <w:i/>
          <w:sz w:val="24"/>
          <w:szCs w:val="24"/>
        </w:rPr>
        <w:t>v</w:t>
      </w:r>
      <w:r w:rsidR="0054290E" w:rsidRPr="00321ECF">
        <w:rPr>
          <w:rFonts w:ascii="Book Antiqua" w:hAnsi="Book Antiqua"/>
          <w:i/>
          <w:sz w:val="24"/>
          <w:szCs w:val="24"/>
        </w:rPr>
        <w:t xml:space="preserve">s </w:t>
      </w:r>
      <w:r w:rsidR="008C5828" w:rsidRPr="00A903DD">
        <w:rPr>
          <w:rFonts w:ascii="Book Antiqua" w:hAnsi="Book Antiqua"/>
          <w:i/>
          <w:sz w:val="24"/>
          <w:szCs w:val="24"/>
        </w:rPr>
        <w:t>An</w:t>
      </w:r>
      <w:r w:rsidR="0054290E" w:rsidRPr="00A903DD">
        <w:rPr>
          <w:rFonts w:ascii="Book Antiqua" w:hAnsi="Book Antiqua"/>
          <w:sz w:val="24"/>
          <w:szCs w:val="24"/>
        </w:rPr>
        <w:t>ti</w:t>
      </w:r>
      <w:r w:rsidR="008C5828" w:rsidRPr="00A903DD">
        <w:rPr>
          <w:rFonts w:ascii="Book Antiqua" w:hAnsi="Book Antiqua"/>
          <w:i/>
          <w:sz w:val="24"/>
          <w:szCs w:val="24"/>
        </w:rPr>
        <w:t>c</w:t>
      </w:r>
      <w:r w:rsidR="008C5828" w:rsidRPr="00A903DD">
        <w:rPr>
          <w:rFonts w:ascii="Book Antiqua" w:hAnsi="Book Antiqua"/>
          <w:sz w:val="24"/>
          <w:szCs w:val="24"/>
        </w:rPr>
        <w:t xml:space="preserve">oagulation with </w:t>
      </w:r>
      <w:r w:rsidR="00321ECF" w:rsidRPr="00A903DD">
        <w:rPr>
          <w:rFonts w:ascii="Book Antiqua" w:hAnsi="Book Antiqua"/>
          <w:sz w:val="24"/>
          <w:szCs w:val="24"/>
        </w:rPr>
        <w:t xml:space="preserve">injectable </w:t>
      </w:r>
      <w:r w:rsidR="00321ECF" w:rsidRPr="00A903DD">
        <w:rPr>
          <w:rFonts w:ascii="Book Antiqua" w:hAnsi="Book Antiqua"/>
          <w:i/>
          <w:sz w:val="24"/>
          <w:szCs w:val="24"/>
        </w:rPr>
        <w:t>e</w:t>
      </w:r>
      <w:r w:rsidR="00321ECF" w:rsidRPr="00A903DD">
        <w:rPr>
          <w:rFonts w:ascii="Book Antiqua" w:hAnsi="Book Antiqua"/>
          <w:sz w:val="24"/>
          <w:szCs w:val="24"/>
        </w:rPr>
        <w:t>noxaparin to p</w:t>
      </w:r>
      <w:r w:rsidR="0054290E" w:rsidRPr="00A903DD">
        <w:rPr>
          <w:rFonts w:ascii="Book Antiqua" w:hAnsi="Book Antiqua"/>
          <w:sz w:val="24"/>
          <w:szCs w:val="24"/>
        </w:rPr>
        <w:t xml:space="preserve">revent </w:t>
      </w:r>
      <w:r w:rsidR="0038734F" w:rsidRPr="00A903DD">
        <w:rPr>
          <w:rFonts w:ascii="Book Antiqua" w:hAnsi="Book Antiqua"/>
          <w:sz w:val="24"/>
          <w:szCs w:val="24"/>
          <w:lang w:eastAsia="zh-CN"/>
        </w:rPr>
        <w:t>VTE</w:t>
      </w:r>
      <w:r w:rsidR="0054290E" w:rsidRPr="00A903DD">
        <w:rPr>
          <w:rFonts w:ascii="Book Antiqua" w:hAnsi="Book Antiqua"/>
          <w:sz w:val="24"/>
          <w:szCs w:val="24"/>
        </w:rPr>
        <w:t xml:space="preserve"> </w:t>
      </w:r>
      <w:r w:rsidR="000A708B" w:rsidRPr="00A903DD">
        <w:rPr>
          <w:rFonts w:ascii="Book Antiqua" w:hAnsi="Book Antiqua"/>
          <w:sz w:val="24"/>
          <w:szCs w:val="24"/>
        </w:rPr>
        <w:t xml:space="preserve">(ADVANCE-3) </w:t>
      </w:r>
      <w:proofErr w:type="gramStart"/>
      <w:r w:rsidR="00F02666" w:rsidRPr="00A903DD">
        <w:rPr>
          <w:rFonts w:ascii="Book Antiqua" w:hAnsi="Book Antiqua"/>
          <w:sz w:val="24"/>
          <w:szCs w:val="24"/>
        </w:rPr>
        <w:t>study</w:t>
      </w:r>
      <w:r w:rsidR="00EF0784" w:rsidRPr="00A903DD">
        <w:rPr>
          <w:rFonts w:ascii="Book Antiqua" w:hAnsi="Book Antiqua"/>
          <w:sz w:val="24"/>
          <w:szCs w:val="24"/>
          <w:vertAlign w:val="superscript"/>
        </w:rPr>
        <w:t>[</w:t>
      </w:r>
      <w:proofErr w:type="gramEnd"/>
      <w:r w:rsidR="00EF0784" w:rsidRPr="00A903DD">
        <w:rPr>
          <w:rFonts w:ascii="Book Antiqua" w:hAnsi="Book Antiqua"/>
          <w:sz w:val="24"/>
          <w:szCs w:val="24"/>
          <w:vertAlign w:val="superscript"/>
        </w:rPr>
        <w:t>73]</w:t>
      </w:r>
      <w:r w:rsidR="00F02666" w:rsidRPr="00A903DD">
        <w:rPr>
          <w:rFonts w:ascii="Book Antiqua" w:hAnsi="Book Antiqua"/>
          <w:sz w:val="24"/>
          <w:szCs w:val="24"/>
        </w:rPr>
        <w:t xml:space="preserve"> wa</w:t>
      </w:r>
      <w:r w:rsidR="00C500AA" w:rsidRPr="00A903DD">
        <w:rPr>
          <w:rFonts w:ascii="Book Antiqua" w:hAnsi="Book Antiqua"/>
          <w:sz w:val="24"/>
          <w:szCs w:val="24"/>
        </w:rPr>
        <w:t xml:space="preserve">s a </w:t>
      </w:r>
      <w:r w:rsidR="00DB12A0" w:rsidRPr="00A903DD">
        <w:rPr>
          <w:rFonts w:ascii="Book Antiqua" w:hAnsi="Book Antiqua"/>
          <w:sz w:val="24"/>
          <w:szCs w:val="24"/>
        </w:rPr>
        <w:t>phase III double-blinded study</w:t>
      </w:r>
      <w:r w:rsidR="00C500AA" w:rsidRPr="00A903DD">
        <w:rPr>
          <w:rFonts w:ascii="Book Antiqua" w:hAnsi="Book Antiqua"/>
          <w:sz w:val="24"/>
          <w:szCs w:val="24"/>
        </w:rPr>
        <w:t xml:space="preserve"> that randomly assigned 5407 patients to either </w:t>
      </w:r>
      <w:r w:rsidR="007800E7" w:rsidRPr="00A903DD">
        <w:rPr>
          <w:rFonts w:ascii="Book Antiqua" w:hAnsi="Book Antiqua"/>
          <w:sz w:val="24"/>
          <w:szCs w:val="24"/>
        </w:rPr>
        <w:t xml:space="preserve">oral </w:t>
      </w:r>
      <w:r w:rsidR="00C500AA" w:rsidRPr="00A903DD">
        <w:rPr>
          <w:rFonts w:ascii="Book Antiqua" w:hAnsi="Book Antiqua"/>
          <w:sz w:val="24"/>
          <w:szCs w:val="24"/>
        </w:rPr>
        <w:t xml:space="preserve">apixaban </w:t>
      </w:r>
      <w:r w:rsidR="007800E7" w:rsidRPr="00A903DD">
        <w:rPr>
          <w:rFonts w:ascii="Book Antiqua" w:hAnsi="Book Antiqua"/>
          <w:sz w:val="24"/>
          <w:szCs w:val="24"/>
        </w:rPr>
        <w:t xml:space="preserve">2.5 mg </w:t>
      </w:r>
      <w:r w:rsidR="00C500AA" w:rsidRPr="00A903DD">
        <w:rPr>
          <w:rFonts w:ascii="Book Antiqua" w:hAnsi="Book Antiqua"/>
          <w:sz w:val="24"/>
          <w:szCs w:val="24"/>
        </w:rPr>
        <w:t xml:space="preserve">twice daily or </w:t>
      </w:r>
      <w:r w:rsidR="007800E7" w:rsidRPr="00A903DD">
        <w:rPr>
          <w:rFonts w:ascii="Book Antiqua" w:hAnsi="Book Antiqua"/>
          <w:sz w:val="24"/>
          <w:szCs w:val="24"/>
        </w:rPr>
        <w:t>subcutaneous</w:t>
      </w:r>
      <w:r w:rsidR="00C500AA" w:rsidRPr="00A903DD">
        <w:rPr>
          <w:rFonts w:ascii="Book Antiqua" w:hAnsi="Book Antiqua"/>
          <w:sz w:val="24"/>
          <w:szCs w:val="24"/>
        </w:rPr>
        <w:t xml:space="preserve"> enoxaparin </w:t>
      </w:r>
      <w:r w:rsidR="007800E7" w:rsidRPr="00A903DD">
        <w:rPr>
          <w:rFonts w:ascii="Book Antiqua" w:hAnsi="Book Antiqua"/>
          <w:sz w:val="24"/>
          <w:szCs w:val="24"/>
        </w:rPr>
        <w:t xml:space="preserve">40 mg once </w:t>
      </w:r>
      <w:r w:rsidR="00C500AA" w:rsidRPr="00A903DD">
        <w:rPr>
          <w:rFonts w:ascii="Book Antiqua" w:hAnsi="Book Antiqua"/>
          <w:sz w:val="24"/>
          <w:szCs w:val="24"/>
        </w:rPr>
        <w:t>daily follo</w:t>
      </w:r>
      <w:r w:rsidR="00F02666" w:rsidRPr="00A903DD">
        <w:rPr>
          <w:rFonts w:ascii="Book Antiqua" w:hAnsi="Book Antiqua"/>
          <w:sz w:val="24"/>
          <w:szCs w:val="24"/>
        </w:rPr>
        <w:t>wing an elective THA</w:t>
      </w:r>
      <w:r w:rsidR="00C500AA" w:rsidRPr="00A903DD">
        <w:rPr>
          <w:rFonts w:ascii="Book Antiqua" w:hAnsi="Book Antiqua"/>
          <w:sz w:val="24"/>
          <w:szCs w:val="24"/>
        </w:rPr>
        <w:t xml:space="preserve"> or a revision of a prev</w:t>
      </w:r>
      <w:r w:rsidR="00D12129" w:rsidRPr="00A903DD">
        <w:rPr>
          <w:rFonts w:ascii="Book Antiqua" w:hAnsi="Book Antiqua"/>
          <w:sz w:val="24"/>
          <w:szCs w:val="24"/>
        </w:rPr>
        <w:t>i</w:t>
      </w:r>
      <w:r w:rsidR="00321ECF">
        <w:rPr>
          <w:rFonts w:ascii="Book Antiqua" w:hAnsi="Book Antiqua"/>
          <w:sz w:val="24"/>
          <w:szCs w:val="24"/>
        </w:rPr>
        <w:t>ously inserted hip prosthesis</w:t>
      </w:r>
      <w:r w:rsidR="006C1DB1">
        <w:rPr>
          <w:rFonts w:ascii="Book Antiqua" w:hAnsi="Book Antiqua"/>
          <w:sz w:val="24"/>
          <w:szCs w:val="24"/>
        </w:rPr>
        <w:t xml:space="preserve"> (Table 3)</w:t>
      </w:r>
      <w:r w:rsidR="00321ECF">
        <w:rPr>
          <w:rFonts w:ascii="Book Antiqua" w:hAnsi="Book Antiqua"/>
          <w:sz w:val="24"/>
          <w:szCs w:val="24"/>
        </w:rPr>
        <w:t xml:space="preserve">. </w:t>
      </w:r>
      <w:r w:rsidR="00D12129" w:rsidRPr="00A903DD">
        <w:rPr>
          <w:rFonts w:ascii="Book Antiqua" w:hAnsi="Book Antiqua"/>
          <w:sz w:val="24"/>
          <w:szCs w:val="24"/>
        </w:rPr>
        <w:t xml:space="preserve">For those randomized to apixaban, </w:t>
      </w:r>
      <w:r w:rsidR="00BA79F7" w:rsidRPr="00A903DD">
        <w:rPr>
          <w:rFonts w:ascii="Book Antiqua" w:hAnsi="Book Antiqua"/>
          <w:sz w:val="24"/>
          <w:szCs w:val="24"/>
        </w:rPr>
        <w:t>therapy was initiated 12-</w:t>
      </w:r>
      <w:r w:rsidR="00D12129" w:rsidRPr="00A903DD">
        <w:rPr>
          <w:rFonts w:ascii="Book Antiqua" w:hAnsi="Book Antiqua"/>
          <w:sz w:val="24"/>
          <w:szCs w:val="24"/>
        </w:rPr>
        <w:t>24 h following the closure of the surgical site, where</w:t>
      </w:r>
      <w:r w:rsidR="00124EB4" w:rsidRPr="00A903DD">
        <w:rPr>
          <w:rFonts w:ascii="Book Antiqua" w:hAnsi="Book Antiqua"/>
          <w:sz w:val="24"/>
          <w:szCs w:val="24"/>
        </w:rPr>
        <w:t xml:space="preserve"> </w:t>
      </w:r>
      <w:r w:rsidR="00D12129" w:rsidRPr="00A903DD">
        <w:rPr>
          <w:rFonts w:ascii="Book Antiqua" w:hAnsi="Book Antiqua"/>
          <w:sz w:val="24"/>
          <w:szCs w:val="24"/>
        </w:rPr>
        <w:t>as enoxaparin therapy was initiated 12 h</w:t>
      </w:r>
      <w:r w:rsidR="00321ECF">
        <w:rPr>
          <w:rFonts w:ascii="Book Antiqua" w:hAnsi="Book Antiqua"/>
          <w:sz w:val="24"/>
          <w:szCs w:val="24"/>
        </w:rPr>
        <w:t xml:space="preserve"> prior to surgery. </w:t>
      </w:r>
      <w:r w:rsidR="003B37E6" w:rsidRPr="00A903DD">
        <w:rPr>
          <w:rFonts w:ascii="Book Antiqua" w:hAnsi="Book Antiqua"/>
          <w:sz w:val="24"/>
          <w:szCs w:val="24"/>
        </w:rPr>
        <w:t>Similar to other TSOA studies, t</w:t>
      </w:r>
      <w:r w:rsidR="00D12129" w:rsidRPr="00A903DD">
        <w:rPr>
          <w:rFonts w:ascii="Book Antiqua" w:hAnsi="Book Antiqua"/>
          <w:sz w:val="24"/>
          <w:szCs w:val="24"/>
        </w:rPr>
        <w:t xml:space="preserve">he primary efficacy outcome </w:t>
      </w:r>
      <w:r w:rsidR="003B37E6" w:rsidRPr="00A903DD">
        <w:rPr>
          <w:rFonts w:ascii="Book Antiqua" w:hAnsi="Book Antiqua"/>
          <w:sz w:val="24"/>
          <w:szCs w:val="24"/>
        </w:rPr>
        <w:t>included</w:t>
      </w:r>
      <w:r w:rsidR="00124EB4" w:rsidRPr="00A903DD">
        <w:rPr>
          <w:rFonts w:ascii="Book Antiqua" w:hAnsi="Book Antiqua"/>
          <w:sz w:val="24"/>
          <w:szCs w:val="24"/>
        </w:rPr>
        <w:t xml:space="preserve"> </w:t>
      </w:r>
      <w:r w:rsidR="00D12129" w:rsidRPr="00A903DD">
        <w:rPr>
          <w:rFonts w:ascii="Book Antiqua" w:hAnsi="Book Antiqua"/>
          <w:sz w:val="24"/>
          <w:szCs w:val="24"/>
        </w:rPr>
        <w:t xml:space="preserve">the occurrence </w:t>
      </w:r>
      <w:r w:rsidR="00570D3C" w:rsidRPr="00A903DD">
        <w:rPr>
          <w:rFonts w:ascii="Book Antiqua" w:hAnsi="Book Antiqua"/>
          <w:sz w:val="24"/>
          <w:szCs w:val="24"/>
        </w:rPr>
        <w:t xml:space="preserve">of </w:t>
      </w:r>
      <w:r w:rsidR="00124EB4" w:rsidRPr="00A903DD">
        <w:rPr>
          <w:rFonts w:ascii="Book Antiqua" w:hAnsi="Book Antiqua"/>
          <w:sz w:val="24"/>
          <w:szCs w:val="24"/>
        </w:rPr>
        <w:t xml:space="preserve">any VTE or death by any cause, and the primary safety outcome was </w:t>
      </w:r>
      <w:r w:rsidR="00142826" w:rsidRPr="00A903DD">
        <w:rPr>
          <w:rFonts w:ascii="Book Antiqua" w:hAnsi="Book Antiqua"/>
          <w:sz w:val="24"/>
          <w:szCs w:val="24"/>
        </w:rPr>
        <w:t>a bleeding event categorized into major, clinically relevant non-major, and minor bleeding.</w:t>
      </w:r>
      <w:r w:rsidR="00124EB4" w:rsidRPr="00A903DD">
        <w:rPr>
          <w:rFonts w:ascii="Book Antiqua" w:hAnsi="Book Antiqua"/>
          <w:sz w:val="24"/>
          <w:szCs w:val="24"/>
        </w:rPr>
        <w:t xml:space="preserve">  A</w:t>
      </w:r>
      <w:r w:rsidR="00D12129" w:rsidRPr="00A903DD">
        <w:rPr>
          <w:rFonts w:ascii="Book Antiqua" w:hAnsi="Book Antiqua"/>
          <w:sz w:val="24"/>
          <w:szCs w:val="24"/>
        </w:rPr>
        <w:t xml:space="preserve"> secondary efficacy outcome measured the occurrence of major </w:t>
      </w:r>
      <w:r w:rsidR="0038734F" w:rsidRPr="00A903DD">
        <w:rPr>
          <w:rFonts w:ascii="Book Antiqua" w:hAnsi="Book Antiqua"/>
          <w:sz w:val="24"/>
          <w:szCs w:val="24"/>
          <w:lang w:eastAsia="zh-CN"/>
        </w:rPr>
        <w:t>VTE</w:t>
      </w:r>
      <w:r w:rsidR="00D12129" w:rsidRPr="00A903DD">
        <w:rPr>
          <w:rFonts w:ascii="Book Antiqua" w:hAnsi="Book Antiqua"/>
          <w:sz w:val="24"/>
          <w:szCs w:val="24"/>
        </w:rPr>
        <w:t>.</w:t>
      </w:r>
    </w:p>
    <w:p w:rsidR="00C500AA" w:rsidRPr="00A903DD" w:rsidRDefault="00C500AA" w:rsidP="00321ECF">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lastRenderedPageBreak/>
        <w:t>ADVA</w:t>
      </w:r>
      <w:r w:rsidR="00985C92" w:rsidRPr="00A903DD">
        <w:rPr>
          <w:rFonts w:ascii="Book Antiqua" w:hAnsi="Book Antiqua"/>
          <w:sz w:val="24"/>
          <w:szCs w:val="24"/>
        </w:rPr>
        <w:t>N</w:t>
      </w:r>
      <w:r w:rsidRPr="00A903DD">
        <w:rPr>
          <w:rFonts w:ascii="Book Antiqua" w:hAnsi="Book Antiqua"/>
          <w:sz w:val="24"/>
          <w:szCs w:val="24"/>
        </w:rPr>
        <w:t xml:space="preserve">CE-3 demonstrated apixaban therapy to be more effective compared to enoxaparin in preventing </w:t>
      </w:r>
      <w:r w:rsidR="0038734F" w:rsidRPr="00A903DD">
        <w:rPr>
          <w:rFonts w:ascii="Book Antiqua" w:hAnsi="Book Antiqua"/>
          <w:sz w:val="24"/>
          <w:szCs w:val="24"/>
        </w:rPr>
        <w:t>DVT</w:t>
      </w:r>
      <w:r w:rsidRPr="00A903DD">
        <w:rPr>
          <w:rFonts w:ascii="Book Antiqua" w:hAnsi="Book Antiqua"/>
          <w:sz w:val="24"/>
          <w:szCs w:val="24"/>
        </w:rPr>
        <w:t>, no</w:t>
      </w:r>
      <w:r w:rsidR="00C47FCA" w:rsidRPr="00A903DD">
        <w:rPr>
          <w:rFonts w:ascii="Book Antiqua" w:hAnsi="Book Antiqua"/>
          <w:sz w:val="24"/>
          <w:szCs w:val="24"/>
        </w:rPr>
        <w:t xml:space="preserve">nfatal </w:t>
      </w:r>
      <w:r w:rsidR="0038734F" w:rsidRPr="00A903DD">
        <w:rPr>
          <w:rFonts w:ascii="Book Antiqua" w:hAnsi="Book Antiqua"/>
          <w:sz w:val="24"/>
          <w:szCs w:val="24"/>
          <w:lang w:eastAsia="zh-CN"/>
        </w:rPr>
        <w:t>PE</w:t>
      </w:r>
      <w:r w:rsidR="00C47FCA" w:rsidRPr="00A903DD">
        <w:rPr>
          <w:rFonts w:ascii="Book Antiqua" w:hAnsi="Book Antiqua"/>
          <w:sz w:val="24"/>
          <w:szCs w:val="24"/>
        </w:rPr>
        <w:t>, o</w:t>
      </w:r>
      <w:r w:rsidRPr="00A903DD">
        <w:rPr>
          <w:rFonts w:ascii="Book Antiqua" w:hAnsi="Book Antiqua"/>
          <w:sz w:val="24"/>
          <w:szCs w:val="24"/>
        </w:rPr>
        <w:t>r death from any cause in patients</w:t>
      </w:r>
      <w:r w:rsidR="003B37E6" w:rsidRPr="00A903DD">
        <w:rPr>
          <w:rFonts w:ascii="Book Antiqua" w:hAnsi="Book Antiqua"/>
          <w:sz w:val="24"/>
          <w:szCs w:val="24"/>
        </w:rPr>
        <w:t xml:space="preserve"> after </w:t>
      </w:r>
      <w:proofErr w:type="gramStart"/>
      <w:r w:rsidR="003B37E6" w:rsidRPr="00A903DD">
        <w:rPr>
          <w:rFonts w:ascii="Book Antiqua" w:hAnsi="Book Antiqua"/>
          <w:sz w:val="24"/>
          <w:szCs w:val="24"/>
        </w:rPr>
        <w:t>an averag</w:t>
      </w:r>
      <w:r w:rsidR="00124EB4" w:rsidRPr="00A903DD">
        <w:rPr>
          <w:rFonts w:ascii="Book Antiqua" w:hAnsi="Book Antiqua"/>
          <w:sz w:val="24"/>
          <w:szCs w:val="24"/>
        </w:rPr>
        <w:t>e</w:t>
      </w:r>
      <w:proofErr w:type="gramEnd"/>
      <w:r w:rsidR="00124EB4" w:rsidRPr="00A903DD">
        <w:rPr>
          <w:rFonts w:ascii="Book Antiqua" w:hAnsi="Book Antiqua"/>
          <w:sz w:val="24"/>
          <w:szCs w:val="24"/>
        </w:rPr>
        <w:t xml:space="preserve"> treatment duration of 34 d</w:t>
      </w:r>
      <w:r w:rsidR="003B37E6" w:rsidRPr="00A903DD">
        <w:rPr>
          <w:rFonts w:ascii="Book Antiqua" w:hAnsi="Book Antiqua"/>
          <w:sz w:val="24"/>
          <w:szCs w:val="24"/>
        </w:rPr>
        <w:t>.</w:t>
      </w:r>
      <w:r w:rsidR="00321ECF">
        <w:rPr>
          <w:rFonts w:ascii="Book Antiqua" w:hAnsi="Book Antiqua" w:hint="eastAsia"/>
          <w:sz w:val="24"/>
          <w:szCs w:val="24"/>
          <w:lang w:eastAsia="zh-CN"/>
        </w:rPr>
        <w:t xml:space="preserve"> </w:t>
      </w:r>
      <w:r w:rsidRPr="00A903DD">
        <w:rPr>
          <w:rFonts w:ascii="Book Antiqua" w:hAnsi="Book Antiqua"/>
          <w:sz w:val="24"/>
          <w:szCs w:val="24"/>
        </w:rPr>
        <w:t xml:space="preserve">Superiority analysis was </w:t>
      </w:r>
      <w:r w:rsidR="00321ECF">
        <w:rPr>
          <w:rFonts w:ascii="Book Antiqua" w:hAnsi="Book Antiqua"/>
          <w:sz w:val="24"/>
          <w:szCs w:val="24"/>
        </w:rPr>
        <w:t xml:space="preserve">conducted regarding apixaban </w:t>
      </w:r>
      <w:r w:rsidR="00321ECF" w:rsidRPr="00321ECF">
        <w:rPr>
          <w:rFonts w:ascii="Book Antiqua" w:hAnsi="Book Antiqua"/>
          <w:i/>
          <w:sz w:val="24"/>
          <w:szCs w:val="24"/>
        </w:rPr>
        <w:t>vs</w:t>
      </w:r>
      <w:r w:rsidRPr="00A903DD">
        <w:rPr>
          <w:rFonts w:ascii="Book Antiqua" w:hAnsi="Book Antiqua"/>
          <w:sz w:val="24"/>
          <w:szCs w:val="24"/>
        </w:rPr>
        <w:t xml:space="preserve"> enoxaparin after non-inferio</w:t>
      </w:r>
      <w:r w:rsidR="00321ECF">
        <w:rPr>
          <w:rFonts w:ascii="Book Antiqua" w:hAnsi="Book Antiqua"/>
          <w:sz w:val="24"/>
          <w:szCs w:val="24"/>
        </w:rPr>
        <w:t>rity was established.</w:t>
      </w:r>
      <w:r w:rsidR="00321ECF">
        <w:rPr>
          <w:rFonts w:ascii="Book Antiqua" w:hAnsi="Book Antiqua" w:hint="eastAsia"/>
          <w:sz w:val="24"/>
          <w:szCs w:val="24"/>
          <w:lang w:eastAsia="zh-CN"/>
        </w:rPr>
        <w:t xml:space="preserve"> </w:t>
      </w:r>
      <w:r w:rsidRPr="00A903DD">
        <w:rPr>
          <w:rFonts w:ascii="Book Antiqua" w:hAnsi="Book Antiqua"/>
          <w:sz w:val="24"/>
          <w:szCs w:val="24"/>
        </w:rPr>
        <w:t>Among the patients that were evaluated (</w:t>
      </w:r>
      <w:r w:rsidRPr="00321ECF">
        <w:rPr>
          <w:rFonts w:ascii="Book Antiqua" w:hAnsi="Book Antiqua"/>
          <w:i/>
          <w:sz w:val="24"/>
          <w:szCs w:val="24"/>
        </w:rPr>
        <w:t>n</w:t>
      </w:r>
      <w:r w:rsidR="00321ECF">
        <w:rPr>
          <w:rFonts w:ascii="Book Antiqua" w:hAnsi="Book Antiqua" w:hint="eastAsia"/>
          <w:sz w:val="24"/>
          <w:szCs w:val="24"/>
          <w:lang w:eastAsia="zh-CN"/>
        </w:rPr>
        <w:t xml:space="preserve"> </w:t>
      </w:r>
      <w:r w:rsidRPr="00A903DD">
        <w:rPr>
          <w:rFonts w:ascii="Book Antiqua" w:hAnsi="Book Antiqua"/>
          <w:sz w:val="24"/>
          <w:szCs w:val="24"/>
        </w:rPr>
        <w:t>=</w:t>
      </w:r>
      <w:r w:rsidR="00321ECF">
        <w:rPr>
          <w:rFonts w:ascii="Book Antiqua" w:hAnsi="Book Antiqua" w:hint="eastAsia"/>
          <w:sz w:val="24"/>
          <w:szCs w:val="24"/>
          <w:lang w:eastAsia="zh-CN"/>
        </w:rPr>
        <w:t xml:space="preserve"> </w:t>
      </w:r>
      <w:r w:rsidRPr="00A903DD">
        <w:rPr>
          <w:rFonts w:ascii="Book Antiqua" w:hAnsi="Book Antiqua"/>
          <w:sz w:val="24"/>
          <w:szCs w:val="24"/>
        </w:rPr>
        <w:t xml:space="preserve">3866), the composite primary endpoint of adjudicated asymptomatic or symptomatic DVT, nonfatal </w:t>
      </w:r>
      <w:r w:rsidR="0038734F" w:rsidRPr="00A903DD">
        <w:rPr>
          <w:rFonts w:ascii="Book Antiqua" w:hAnsi="Book Antiqua"/>
          <w:sz w:val="24"/>
          <w:szCs w:val="24"/>
          <w:lang w:eastAsia="zh-CN"/>
        </w:rPr>
        <w:t>PE</w:t>
      </w:r>
      <w:r w:rsidRPr="00A903DD">
        <w:rPr>
          <w:rFonts w:ascii="Book Antiqua" w:hAnsi="Book Antiqua"/>
          <w:sz w:val="24"/>
          <w:szCs w:val="24"/>
        </w:rPr>
        <w:t>, or death from any cause during the treatment period occurred in 1.4%</w:t>
      </w:r>
      <w:r w:rsidR="00124EB4" w:rsidRPr="00A903DD">
        <w:rPr>
          <w:rFonts w:ascii="Book Antiqua" w:hAnsi="Book Antiqua"/>
          <w:sz w:val="24"/>
          <w:szCs w:val="24"/>
        </w:rPr>
        <w:t xml:space="preserve"> (27/1949)</w:t>
      </w:r>
      <w:r w:rsidR="00985C92" w:rsidRPr="00A903DD">
        <w:rPr>
          <w:rFonts w:ascii="Book Antiqua" w:hAnsi="Book Antiqua"/>
          <w:sz w:val="24"/>
          <w:szCs w:val="24"/>
        </w:rPr>
        <w:t xml:space="preserve"> </w:t>
      </w:r>
      <w:r w:rsidR="00124EB4" w:rsidRPr="00A903DD">
        <w:rPr>
          <w:rFonts w:ascii="Book Antiqua" w:hAnsi="Book Antiqua"/>
          <w:sz w:val="24"/>
          <w:szCs w:val="24"/>
        </w:rPr>
        <w:t xml:space="preserve">apixaban </w:t>
      </w:r>
      <w:r w:rsidR="00985C92" w:rsidRPr="00A903DD">
        <w:rPr>
          <w:rFonts w:ascii="Book Antiqua" w:hAnsi="Book Antiqua"/>
          <w:sz w:val="24"/>
          <w:szCs w:val="24"/>
        </w:rPr>
        <w:t xml:space="preserve">compared to </w:t>
      </w:r>
      <w:r w:rsidR="00124EB4" w:rsidRPr="00A903DD">
        <w:rPr>
          <w:rFonts w:ascii="Book Antiqua" w:hAnsi="Book Antiqua"/>
          <w:sz w:val="24"/>
          <w:szCs w:val="24"/>
        </w:rPr>
        <w:t>3.9% (74/1917</w:t>
      </w:r>
      <w:r w:rsidR="00985C92" w:rsidRPr="00A903DD">
        <w:rPr>
          <w:rFonts w:ascii="Book Antiqua" w:hAnsi="Book Antiqua"/>
          <w:sz w:val="24"/>
          <w:szCs w:val="24"/>
        </w:rPr>
        <w:t>)</w:t>
      </w:r>
      <w:r w:rsidRPr="00A903DD">
        <w:rPr>
          <w:rFonts w:ascii="Book Antiqua" w:hAnsi="Book Antiqua"/>
          <w:sz w:val="24"/>
          <w:szCs w:val="24"/>
        </w:rPr>
        <w:t xml:space="preserve"> </w:t>
      </w:r>
      <w:r w:rsidR="003B37E6" w:rsidRPr="00A903DD">
        <w:rPr>
          <w:rFonts w:ascii="Book Antiqua" w:hAnsi="Book Antiqua"/>
          <w:sz w:val="24"/>
          <w:szCs w:val="24"/>
        </w:rPr>
        <w:t>enoxaparin</w:t>
      </w:r>
      <w:r w:rsidRPr="00A903DD">
        <w:rPr>
          <w:rFonts w:ascii="Book Antiqua" w:hAnsi="Book Antiqua"/>
          <w:sz w:val="24"/>
          <w:szCs w:val="24"/>
        </w:rPr>
        <w:t xml:space="preserve"> patient</w:t>
      </w:r>
      <w:r w:rsidR="009654DB" w:rsidRPr="00A903DD">
        <w:rPr>
          <w:rFonts w:ascii="Book Antiqua" w:hAnsi="Book Antiqua"/>
          <w:sz w:val="24"/>
          <w:szCs w:val="24"/>
        </w:rPr>
        <w:t>s</w:t>
      </w:r>
      <w:r w:rsidR="00321ECF">
        <w:rPr>
          <w:rFonts w:ascii="Book Antiqua" w:hAnsi="Book Antiqua"/>
          <w:sz w:val="24"/>
          <w:szCs w:val="24"/>
        </w:rPr>
        <w:t xml:space="preserve">, respectively. </w:t>
      </w:r>
      <w:r w:rsidR="00124EB4" w:rsidRPr="00A903DD">
        <w:rPr>
          <w:rFonts w:ascii="Book Antiqua" w:hAnsi="Book Antiqua"/>
          <w:sz w:val="24"/>
          <w:szCs w:val="24"/>
        </w:rPr>
        <w:t>R</w:t>
      </w:r>
      <w:r w:rsidR="00985C92" w:rsidRPr="00A903DD">
        <w:rPr>
          <w:rFonts w:ascii="Book Antiqua" w:hAnsi="Book Antiqua"/>
          <w:sz w:val="24"/>
          <w:szCs w:val="24"/>
        </w:rPr>
        <w:t xml:space="preserve">esults demonstrated that apixaban was </w:t>
      </w:r>
      <w:r w:rsidRPr="00A903DD">
        <w:rPr>
          <w:rFonts w:ascii="Book Antiqua" w:hAnsi="Book Antiqua"/>
          <w:sz w:val="24"/>
          <w:szCs w:val="24"/>
        </w:rPr>
        <w:t>non</w:t>
      </w:r>
      <w:r w:rsidR="00815116" w:rsidRPr="00A903DD">
        <w:rPr>
          <w:rFonts w:ascii="Book Antiqua" w:hAnsi="Book Antiqua"/>
          <w:sz w:val="24"/>
          <w:szCs w:val="24"/>
        </w:rPr>
        <w:t>-inferior (</w:t>
      </w:r>
      <w:r w:rsidR="00321ECF" w:rsidRPr="00321ECF">
        <w:rPr>
          <w:rFonts w:ascii="Book Antiqua" w:hAnsi="Book Antiqua"/>
          <w:i/>
          <w:sz w:val="24"/>
          <w:szCs w:val="24"/>
        </w:rPr>
        <w:t>P</w:t>
      </w:r>
      <w:r w:rsidR="00321ECF">
        <w:rPr>
          <w:rFonts w:ascii="Book Antiqua" w:hAnsi="Book Antiqua" w:hint="eastAsia"/>
          <w:sz w:val="24"/>
          <w:szCs w:val="24"/>
          <w:lang w:eastAsia="zh-CN"/>
        </w:rPr>
        <w:t xml:space="preserve"> </w:t>
      </w:r>
      <w:r w:rsidR="00815116" w:rsidRPr="00A903DD">
        <w:rPr>
          <w:rFonts w:ascii="Book Antiqua" w:hAnsi="Book Antiqua"/>
          <w:sz w:val="24"/>
          <w:szCs w:val="24"/>
        </w:rPr>
        <w:t>&lt;</w:t>
      </w:r>
      <w:r w:rsidR="00321ECF">
        <w:rPr>
          <w:rFonts w:ascii="Book Antiqua" w:hAnsi="Book Antiqua" w:hint="eastAsia"/>
          <w:sz w:val="24"/>
          <w:szCs w:val="24"/>
          <w:lang w:eastAsia="zh-CN"/>
        </w:rPr>
        <w:t xml:space="preserve"> </w:t>
      </w:r>
      <w:r w:rsidR="00815116" w:rsidRPr="00A903DD">
        <w:rPr>
          <w:rFonts w:ascii="Book Antiqua" w:hAnsi="Book Antiqua"/>
          <w:sz w:val="24"/>
          <w:szCs w:val="24"/>
        </w:rPr>
        <w:t>0.0001) as well as</w:t>
      </w:r>
      <w:r w:rsidR="009654DB" w:rsidRPr="00A903DD">
        <w:rPr>
          <w:rFonts w:ascii="Book Antiqua" w:hAnsi="Book Antiqua"/>
          <w:sz w:val="24"/>
          <w:szCs w:val="24"/>
        </w:rPr>
        <w:t xml:space="preserve"> </w:t>
      </w:r>
      <w:r w:rsidRPr="00A903DD">
        <w:rPr>
          <w:rFonts w:ascii="Book Antiqua" w:hAnsi="Book Antiqua"/>
          <w:sz w:val="24"/>
          <w:szCs w:val="24"/>
        </w:rPr>
        <w:t>super</w:t>
      </w:r>
      <w:r w:rsidR="009654DB" w:rsidRPr="00A903DD">
        <w:rPr>
          <w:rFonts w:ascii="Book Antiqua" w:hAnsi="Book Antiqua"/>
          <w:sz w:val="24"/>
          <w:szCs w:val="24"/>
        </w:rPr>
        <w:t>ior (</w:t>
      </w:r>
      <w:r w:rsidR="00321ECF" w:rsidRPr="00321ECF">
        <w:rPr>
          <w:rFonts w:ascii="Book Antiqua" w:hAnsi="Book Antiqua"/>
          <w:i/>
          <w:sz w:val="24"/>
          <w:szCs w:val="24"/>
        </w:rPr>
        <w:t>P</w:t>
      </w:r>
      <w:r w:rsidR="00321ECF" w:rsidRPr="00A903DD">
        <w:rPr>
          <w:rFonts w:ascii="Book Antiqua" w:hAnsi="Book Antiqua"/>
          <w:sz w:val="24"/>
          <w:szCs w:val="24"/>
        </w:rPr>
        <w:t xml:space="preserve"> </w:t>
      </w:r>
      <w:r w:rsidR="009654DB" w:rsidRPr="00A903DD">
        <w:rPr>
          <w:rFonts w:ascii="Book Antiqua" w:hAnsi="Book Antiqua"/>
          <w:sz w:val="24"/>
          <w:szCs w:val="24"/>
        </w:rPr>
        <w:t>&lt;</w:t>
      </w:r>
      <w:r w:rsidR="00321ECF">
        <w:rPr>
          <w:rFonts w:ascii="Book Antiqua" w:hAnsi="Book Antiqua" w:hint="eastAsia"/>
          <w:sz w:val="24"/>
          <w:szCs w:val="24"/>
          <w:lang w:eastAsia="zh-CN"/>
        </w:rPr>
        <w:t xml:space="preserve"> </w:t>
      </w:r>
      <w:r w:rsidR="009654DB" w:rsidRPr="00A903DD">
        <w:rPr>
          <w:rFonts w:ascii="Book Antiqua" w:hAnsi="Book Antiqua"/>
          <w:sz w:val="24"/>
          <w:szCs w:val="24"/>
        </w:rPr>
        <w:t>0.001) to enoxaparin</w:t>
      </w:r>
      <w:r w:rsidR="00321ECF">
        <w:rPr>
          <w:rFonts w:ascii="Book Antiqua" w:hAnsi="Book Antiqua"/>
          <w:sz w:val="24"/>
          <w:szCs w:val="24"/>
        </w:rPr>
        <w:t xml:space="preserve">. </w:t>
      </w:r>
      <w:r w:rsidRPr="00A903DD">
        <w:rPr>
          <w:rFonts w:ascii="Book Antiqua" w:hAnsi="Book Antiqua"/>
          <w:sz w:val="24"/>
          <w:szCs w:val="24"/>
        </w:rPr>
        <w:t xml:space="preserve">Apixaban </w:t>
      </w:r>
      <w:r w:rsidR="003B37E6" w:rsidRPr="00A903DD">
        <w:rPr>
          <w:rFonts w:ascii="Book Antiqua" w:hAnsi="Book Antiqua"/>
          <w:sz w:val="24"/>
          <w:szCs w:val="24"/>
        </w:rPr>
        <w:t xml:space="preserve">also </w:t>
      </w:r>
      <w:r w:rsidRPr="00A903DD">
        <w:rPr>
          <w:rFonts w:ascii="Book Antiqua" w:hAnsi="Book Antiqua"/>
          <w:sz w:val="24"/>
          <w:szCs w:val="24"/>
        </w:rPr>
        <w:t>was fou</w:t>
      </w:r>
      <w:r w:rsidR="009654DB" w:rsidRPr="00A903DD">
        <w:rPr>
          <w:rFonts w:ascii="Book Antiqua" w:hAnsi="Book Antiqua"/>
          <w:sz w:val="24"/>
          <w:szCs w:val="24"/>
        </w:rPr>
        <w:t>nd to be</w:t>
      </w:r>
      <w:r w:rsidRPr="00A903DD">
        <w:rPr>
          <w:rFonts w:ascii="Book Antiqua" w:hAnsi="Book Antiqua"/>
          <w:sz w:val="24"/>
          <w:szCs w:val="24"/>
        </w:rPr>
        <w:t xml:space="preserve"> superior to enoxaparin in preventi</w:t>
      </w:r>
      <w:r w:rsidR="009654DB" w:rsidRPr="00A903DD">
        <w:rPr>
          <w:rFonts w:ascii="Book Antiqua" w:hAnsi="Book Antiqua"/>
          <w:sz w:val="24"/>
          <w:szCs w:val="24"/>
        </w:rPr>
        <w:t>ng major VTE defined as proximal DVT, non-fata</w:t>
      </w:r>
      <w:r w:rsidR="00C47FCA" w:rsidRPr="00A903DD">
        <w:rPr>
          <w:rFonts w:ascii="Book Antiqua" w:hAnsi="Book Antiqua"/>
          <w:sz w:val="24"/>
          <w:szCs w:val="24"/>
        </w:rPr>
        <w:t>l PE</w:t>
      </w:r>
      <w:r w:rsidR="00321ECF">
        <w:rPr>
          <w:rFonts w:ascii="Book Antiqua" w:hAnsi="Book Antiqua"/>
          <w:sz w:val="24"/>
          <w:szCs w:val="24"/>
        </w:rPr>
        <w:t xml:space="preserve">, or VTE-related death (0.5% </w:t>
      </w:r>
      <w:r w:rsidR="00321ECF" w:rsidRPr="00321ECF">
        <w:rPr>
          <w:rFonts w:ascii="Book Antiqua" w:hAnsi="Book Antiqua"/>
          <w:i/>
          <w:sz w:val="24"/>
          <w:szCs w:val="24"/>
        </w:rPr>
        <w:t>vs</w:t>
      </w:r>
      <w:r w:rsidR="00C47FCA" w:rsidRPr="00A903DD">
        <w:rPr>
          <w:rFonts w:ascii="Book Antiqua" w:hAnsi="Book Antiqua"/>
          <w:sz w:val="24"/>
          <w:szCs w:val="24"/>
        </w:rPr>
        <w:t xml:space="preserve"> 1.1% </w:t>
      </w:r>
      <w:r w:rsidR="00321ECF" w:rsidRPr="00321ECF">
        <w:rPr>
          <w:rFonts w:ascii="Book Antiqua" w:hAnsi="Book Antiqua"/>
          <w:i/>
          <w:sz w:val="24"/>
          <w:szCs w:val="24"/>
        </w:rPr>
        <w:t>P</w:t>
      </w:r>
      <w:r w:rsidR="00321ECF" w:rsidRPr="00A903DD">
        <w:rPr>
          <w:rFonts w:ascii="Book Antiqua" w:hAnsi="Book Antiqua"/>
          <w:sz w:val="24"/>
          <w:szCs w:val="24"/>
        </w:rPr>
        <w:t xml:space="preserve"> </w:t>
      </w:r>
      <w:r w:rsidR="00C47FCA" w:rsidRPr="00A903DD">
        <w:rPr>
          <w:rFonts w:ascii="Book Antiqua" w:hAnsi="Book Antiqua"/>
          <w:sz w:val="24"/>
          <w:szCs w:val="24"/>
        </w:rPr>
        <w:t>=</w:t>
      </w:r>
      <w:r w:rsidR="00321ECF">
        <w:rPr>
          <w:rFonts w:ascii="Book Antiqua" w:hAnsi="Book Antiqua" w:hint="eastAsia"/>
          <w:sz w:val="24"/>
          <w:szCs w:val="24"/>
          <w:lang w:eastAsia="zh-CN"/>
        </w:rPr>
        <w:t xml:space="preserve"> </w:t>
      </w:r>
      <w:r w:rsidR="009654DB" w:rsidRPr="00A903DD">
        <w:rPr>
          <w:rFonts w:ascii="Book Antiqua" w:hAnsi="Book Antiqua"/>
          <w:sz w:val="24"/>
          <w:szCs w:val="24"/>
        </w:rPr>
        <w:t>0.01</w:t>
      </w:r>
      <w:r w:rsidR="00321ECF">
        <w:rPr>
          <w:rFonts w:ascii="Book Antiqua" w:hAnsi="Book Antiqua"/>
          <w:sz w:val="24"/>
          <w:szCs w:val="24"/>
        </w:rPr>
        <w:t xml:space="preserve">). </w:t>
      </w:r>
      <w:r w:rsidRPr="00A903DD">
        <w:rPr>
          <w:rFonts w:ascii="Book Antiqua" w:hAnsi="Book Antiqua"/>
          <w:sz w:val="24"/>
          <w:szCs w:val="24"/>
        </w:rPr>
        <w:t>There was no significa</w:t>
      </w:r>
      <w:r w:rsidR="009654DB" w:rsidRPr="00A903DD">
        <w:rPr>
          <w:rFonts w:ascii="Book Antiqua" w:hAnsi="Book Antiqua"/>
          <w:sz w:val="24"/>
          <w:szCs w:val="24"/>
        </w:rPr>
        <w:t xml:space="preserve">nt difference in major </w:t>
      </w:r>
      <w:r w:rsidR="00815116" w:rsidRPr="00A903DD">
        <w:rPr>
          <w:rFonts w:ascii="Book Antiqua" w:hAnsi="Book Antiqua"/>
          <w:sz w:val="24"/>
          <w:szCs w:val="24"/>
        </w:rPr>
        <w:t xml:space="preserve">and nonmajor clinically relevant </w:t>
      </w:r>
      <w:r w:rsidRPr="00A903DD">
        <w:rPr>
          <w:rFonts w:ascii="Book Antiqua" w:hAnsi="Book Antiqua"/>
          <w:sz w:val="24"/>
          <w:szCs w:val="24"/>
        </w:rPr>
        <w:t xml:space="preserve">bleeding between </w:t>
      </w:r>
      <w:r w:rsidR="00D12129" w:rsidRPr="00A903DD">
        <w:rPr>
          <w:rFonts w:ascii="Book Antiqua" w:hAnsi="Book Antiqua"/>
          <w:sz w:val="24"/>
          <w:szCs w:val="24"/>
        </w:rPr>
        <w:t>apixaban and enox</w:t>
      </w:r>
      <w:r w:rsidR="00EF0784" w:rsidRPr="00A903DD">
        <w:rPr>
          <w:rFonts w:ascii="Book Antiqua" w:hAnsi="Book Antiqua"/>
          <w:sz w:val="24"/>
          <w:szCs w:val="24"/>
        </w:rPr>
        <w:t xml:space="preserve">aparin </w:t>
      </w:r>
      <w:proofErr w:type="gramStart"/>
      <w:r w:rsidR="00EF0784" w:rsidRPr="00A903DD">
        <w:rPr>
          <w:rFonts w:ascii="Book Antiqua" w:hAnsi="Book Antiqua"/>
          <w:sz w:val="24"/>
          <w:szCs w:val="24"/>
        </w:rPr>
        <w:t>groups</w:t>
      </w:r>
      <w:r w:rsidR="00EF0784" w:rsidRPr="00A903DD">
        <w:rPr>
          <w:rFonts w:ascii="Book Antiqua" w:hAnsi="Book Antiqua"/>
          <w:sz w:val="24"/>
          <w:szCs w:val="24"/>
          <w:vertAlign w:val="superscript"/>
        </w:rPr>
        <w:t>[</w:t>
      </w:r>
      <w:proofErr w:type="gramEnd"/>
      <w:r w:rsidR="00D12129" w:rsidRPr="00A903DD">
        <w:rPr>
          <w:rFonts w:ascii="Book Antiqua" w:hAnsi="Book Antiqua"/>
          <w:sz w:val="24"/>
          <w:szCs w:val="24"/>
          <w:vertAlign w:val="superscript"/>
        </w:rPr>
        <w:t>7</w:t>
      </w:r>
      <w:r w:rsidR="00C144D6" w:rsidRPr="00A903DD">
        <w:rPr>
          <w:rFonts w:ascii="Book Antiqua" w:hAnsi="Book Antiqua"/>
          <w:sz w:val="24"/>
          <w:szCs w:val="24"/>
          <w:vertAlign w:val="superscript"/>
        </w:rPr>
        <w:t>3</w:t>
      </w:r>
      <w:r w:rsidR="00D12129" w:rsidRPr="00A903DD">
        <w:rPr>
          <w:rFonts w:ascii="Book Antiqua" w:hAnsi="Book Antiqua"/>
          <w:sz w:val="24"/>
          <w:szCs w:val="24"/>
          <w:vertAlign w:val="superscript"/>
        </w:rPr>
        <w:t>]</w:t>
      </w:r>
      <w:r w:rsidR="00EF0784" w:rsidRPr="00A903DD">
        <w:rPr>
          <w:rFonts w:ascii="Book Antiqua" w:hAnsi="Book Antiqua"/>
          <w:sz w:val="24"/>
          <w:szCs w:val="24"/>
        </w:rPr>
        <w:t>.</w:t>
      </w:r>
    </w:p>
    <w:p w:rsidR="000840E3" w:rsidRPr="00A903DD" w:rsidRDefault="000840E3" w:rsidP="00A903DD">
      <w:pPr>
        <w:autoSpaceDE w:val="0"/>
        <w:autoSpaceDN w:val="0"/>
        <w:adjustRightInd w:val="0"/>
        <w:spacing w:after="0" w:line="360" w:lineRule="auto"/>
        <w:jc w:val="both"/>
        <w:rPr>
          <w:rFonts w:ascii="Book Antiqua" w:hAnsi="Book Antiqua" w:cs="Tahoma"/>
          <w:sz w:val="24"/>
          <w:szCs w:val="24"/>
        </w:rPr>
      </w:pPr>
    </w:p>
    <w:p w:rsidR="00775AE9" w:rsidRPr="00A903DD" w:rsidRDefault="002D3D87" w:rsidP="00A903DD">
      <w:pPr>
        <w:spacing w:after="0" w:line="360" w:lineRule="auto"/>
        <w:jc w:val="both"/>
        <w:rPr>
          <w:rFonts w:ascii="Book Antiqua" w:hAnsi="Book Antiqua"/>
          <w:b/>
          <w:i/>
          <w:sz w:val="24"/>
          <w:szCs w:val="24"/>
        </w:rPr>
      </w:pPr>
      <w:r w:rsidRPr="00A903DD">
        <w:rPr>
          <w:rFonts w:ascii="Book Antiqua" w:hAnsi="Book Antiqua"/>
          <w:b/>
          <w:i/>
          <w:sz w:val="24"/>
          <w:szCs w:val="24"/>
        </w:rPr>
        <w:t>E</w:t>
      </w:r>
      <w:r w:rsidR="00775AE9" w:rsidRPr="00A903DD">
        <w:rPr>
          <w:rFonts w:ascii="Book Antiqua" w:hAnsi="Book Antiqua"/>
          <w:b/>
          <w:i/>
          <w:sz w:val="24"/>
          <w:szCs w:val="24"/>
        </w:rPr>
        <w:t>doxaban in THA</w:t>
      </w:r>
    </w:p>
    <w:p w:rsidR="007F48F1" w:rsidRPr="00A903DD" w:rsidRDefault="00C144D6" w:rsidP="00A903DD">
      <w:pPr>
        <w:spacing w:after="0" w:line="360" w:lineRule="auto"/>
        <w:jc w:val="both"/>
        <w:rPr>
          <w:rFonts w:ascii="Book Antiqua" w:hAnsi="Book Antiqua"/>
          <w:sz w:val="24"/>
          <w:szCs w:val="24"/>
        </w:rPr>
      </w:pPr>
      <w:r w:rsidRPr="00A903DD">
        <w:rPr>
          <w:rFonts w:ascii="Book Antiqua" w:hAnsi="Book Antiqua"/>
          <w:sz w:val="24"/>
          <w:szCs w:val="24"/>
        </w:rPr>
        <w:t xml:space="preserve">Edoxaban like </w:t>
      </w:r>
      <w:proofErr w:type="gramStart"/>
      <w:r w:rsidRPr="00A903DD">
        <w:rPr>
          <w:rFonts w:ascii="Book Antiqua" w:hAnsi="Book Antiqua"/>
          <w:sz w:val="24"/>
          <w:szCs w:val="24"/>
        </w:rPr>
        <w:t>apixa</w:t>
      </w:r>
      <w:r w:rsidR="00775AE9" w:rsidRPr="00A903DD">
        <w:rPr>
          <w:rFonts w:ascii="Book Antiqua" w:hAnsi="Book Antiqua"/>
          <w:sz w:val="24"/>
          <w:szCs w:val="24"/>
        </w:rPr>
        <w:t>ban,</w:t>
      </w:r>
      <w:proofErr w:type="gramEnd"/>
      <w:r w:rsidR="00775AE9" w:rsidRPr="00A903DD">
        <w:rPr>
          <w:rFonts w:ascii="Book Antiqua" w:hAnsi="Book Antiqua"/>
          <w:sz w:val="24"/>
          <w:szCs w:val="24"/>
        </w:rPr>
        <w:t xml:space="preserve"> has been modestly stu</w:t>
      </w:r>
      <w:r w:rsidR="0084287E" w:rsidRPr="00A903DD">
        <w:rPr>
          <w:rFonts w:ascii="Book Antiqua" w:hAnsi="Book Antiqua"/>
          <w:sz w:val="24"/>
          <w:szCs w:val="24"/>
        </w:rPr>
        <w:t>died for VTE thromboprophylaxis</w:t>
      </w:r>
      <w:r w:rsidR="003B37E6" w:rsidRPr="00A903DD">
        <w:rPr>
          <w:rFonts w:ascii="Book Antiqua" w:hAnsi="Book Antiqua"/>
          <w:sz w:val="24"/>
          <w:szCs w:val="24"/>
        </w:rPr>
        <w:t xml:space="preserve"> in THA patients</w:t>
      </w:r>
      <w:r w:rsidR="00321ECF">
        <w:rPr>
          <w:rFonts w:ascii="Book Antiqua" w:hAnsi="Book Antiqua"/>
          <w:sz w:val="24"/>
          <w:szCs w:val="24"/>
        </w:rPr>
        <w:t xml:space="preserve">. </w:t>
      </w:r>
      <w:r w:rsidR="007777E4" w:rsidRPr="00A903DD">
        <w:rPr>
          <w:rFonts w:ascii="Book Antiqua" w:hAnsi="Book Antiqua"/>
          <w:sz w:val="24"/>
          <w:szCs w:val="24"/>
        </w:rPr>
        <w:t xml:space="preserve">Two </w:t>
      </w:r>
      <w:proofErr w:type="gramStart"/>
      <w:r w:rsidR="00321ECF" w:rsidRPr="00A903DD">
        <w:rPr>
          <w:rFonts w:ascii="Book Antiqua" w:hAnsi="Book Antiqua"/>
          <w:sz w:val="24"/>
          <w:szCs w:val="24"/>
        </w:rPr>
        <w:t>p</w:t>
      </w:r>
      <w:r w:rsidR="007777E4" w:rsidRPr="00A903DD">
        <w:rPr>
          <w:rFonts w:ascii="Book Antiqua" w:hAnsi="Book Antiqua"/>
          <w:sz w:val="24"/>
          <w:szCs w:val="24"/>
        </w:rPr>
        <w:t>hase</w:t>
      </w:r>
      <w:proofErr w:type="gramEnd"/>
      <w:r w:rsidR="007777E4" w:rsidRPr="00A903DD">
        <w:rPr>
          <w:rFonts w:ascii="Book Antiqua" w:hAnsi="Book Antiqua"/>
          <w:sz w:val="24"/>
          <w:szCs w:val="24"/>
        </w:rPr>
        <w:t xml:space="preserve"> II and one </w:t>
      </w:r>
      <w:r w:rsidR="00321ECF" w:rsidRPr="00A903DD">
        <w:rPr>
          <w:rFonts w:ascii="Book Antiqua" w:hAnsi="Book Antiqua"/>
          <w:sz w:val="24"/>
          <w:szCs w:val="24"/>
        </w:rPr>
        <w:t>p</w:t>
      </w:r>
      <w:r w:rsidR="007777E4" w:rsidRPr="00A903DD">
        <w:rPr>
          <w:rFonts w:ascii="Book Antiqua" w:hAnsi="Book Antiqua"/>
          <w:sz w:val="24"/>
          <w:szCs w:val="24"/>
        </w:rPr>
        <w:t xml:space="preserve">hase III </w:t>
      </w:r>
      <w:r w:rsidR="00922027" w:rsidRPr="00A903DD">
        <w:rPr>
          <w:rFonts w:ascii="Book Antiqua" w:hAnsi="Book Antiqua"/>
          <w:sz w:val="24"/>
          <w:szCs w:val="24"/>
        </w:rPr>
        <w:t xml:space="preserve">THA </w:t>
      </w:r>
      <w:r w:rsidR="007777E4" w:rsidRPr="00A903DD">
        <w:rPr>
          <w:rFonts w:ascii="Book Antiqua" w:hAnsi="Book Antiqua"/>
          <w:sz w:val="24"/>
          <w:szCs w:val="24"/>
        </w:rPr>
        <w:t>studies</w:t>
      </w:r>
      <w:r w:rsidR="00C42BF0" w:rsidRPr="00A903DD">
        <w:rPr>
          <w:rFonts w:ascii="Book Antiqua" w:hAnsi="Book Antiqua"/>
          <w:sz w:val="24"/>
          <w:szCs w:val="24"/>
        </w:rPr>
        <w:t xml:space="preserve"> provided data that were combined with additional data in TKA patients to substantiate the drug approval</w:t>
      </w:r>
      <w:r w:rsidR="004944EE" w:rsidRPr="00A903DD">
        <w:rPr>
          <w:rFonts w:ascii="Book Antiqua" w:hAnsi="Book Antiqua"/>
          <w:sz w:val="24"/>
          <w:szCs w:val="24"/>
        </w:rPr>
        <w:t xml:space="preserve"> in Japan</w:t>
      </w:r>
      <w:r w:rsidR="00A33C21">
        <w:rPr>
          <w:rFonts w:ascii="Book Antiqua" w:hAnsi="Book Antiqua"/>
          <w:sz w:val="24"/>
          <w:szCs w:val="24"/>
        </w:rPr>
        <w:t xml:space="preserve">. </w:t>
      </w:r>
      <w:r w:rsidR="007F48F1" w:rsidRPr="00A903DD">
        <w:rPr>
          <w:rFonts w:ascii="Book Antiqua" w:hAnsi="Book Antiqua"/>
          <w:sz w:val="24"/>
          <w:szCs w:val="24"/>
        </w:rPr>
        <w:t xml:space="preserve">Each of the studies evaluated the same primary efficacy endpoint of total VTE during the treatment period, composed of asymptomatic DVT determined by venography at the end of the treatment period and any symptomatic VTE </w:t>
      </w:r>
      <w:r w:rsidR="00A33C21">
        <w:rPr>
          <w:rFonts w:ascii="Book Antiqua" w:hAnsi="Book Antiqua"/>
          <w:sz w:val="24"/>
          <w:szCs w:val="24"/>
        </w:rPr>
        <w:t xml:space="preserve">determined by objective means. </w:t>
      </w:r>
      <w:r w:rsidR="007F48F1" w:rsidRPr="00A903DD">
        <w:rPr>
          <w:rFonts w:ascii="Book Antiqua" w:hAnsi="Book Antiqua"/>
          <w:sz w:val="24"/>
          <w:szCs w:val="24"/>
        </w:rPr>
        <w:t>The primary safety endpoint was major or clinically relevan</w:t>
      </w:r>
      <w:r w:rsidR="00EF0784" w:rsidRPr="00A903DD">
        <w:rPr>
          <w:rFonts w:ascii="Book Antiqua" w:hAnsi="Book Antiqua"/>
          <w:sz w:val="24"/>
          <w:szCs w:val="24"/>
        </w:rPr>
        <w:t xml:space="preserve">t but non-major bleeding </w:t>
      </w:r>
      <w:proofErr w:type="gramStart"/>
      <w:r w:rsidR="00EF0784" w:rsidRPr="00A903DD">
        <w:rPr>
          <w:rFonts w:ascii="Book Antiqua" w:hAnsi="Book Antiqua"/>
          <w:sz w:val="24"/>
          <w:szCs w:val="24"/>
        </w:rPr>
        <w:t>events</w:t>
      </w:r>
      <w:r w:rsidR="007F48F1" w:rsidRPr="00A903DD">
        <w:rPr>
          <w:rFonts w:ascii="Book Antiqua" w:hAnsi="Book Antiqua"/>
          <w:sz w:val="24"/>
          <w:szCs w:val="24"/>
          <w:vertAlign w:val="superscript"/>
        </w:rPr>
        <w:t>[</w:t>
      </w:r>
      <w:proofErr w:type="gramEnd"/>
      <w:r w:rsidR="007F48F1" w:rsidRPr="00A903DD">
        <w:rPr>
          <w:rFonts w:ascii="Book Antiqua" w:hAnsi="Book Antiqua"/>
          <w:sz w:val="24"/>
          <w:szCs w:val="24"/>
          <w:vertAlign w:val="superscript"/>
        </w:rPr>
        <w:t>23]</w:t>
      </w:r>
      <w:r w:rsidR="00EF0784" w:rsidRPr="00A903DD">
        <w:rPr>
          <w:rFonts w:ascii="Book Antiqua" w:hAnsi="Book Antiqua"/>
          <w:sz w:val="24"/>
          <w:szCs w:val="24"/>
        </w:rPr>
        <w:t>.</w:t>
      </w:r>
      <w:r w:rsidR="007F48F1" w:rsidRPr="00A903DD">
        <w:rPr>
          <w:rFonts w:ascii="Book Antiqua" w:hAnsi="Book Antiqua"/>
          <w:sz w:val="24"/>
          <w:szCs w:val="24"/>
        </w:rPr>
        <w:t xml:space="preserve"> </w:t>
      </w:r>
    </w:p>
    <w:p w:rsidR="00775AE9" w:rsidRPr="00A903DD" w:rsidRDefault="007777E4"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lastRenderedPageBreak/>
        <w:t>Raskob</w:t>
      </w:r>
      <w:r w:rsidRPr="00A33C21">
        <w:rPr>
          <w:rFonts w:ascii="Book Antiqua" w:hAnsi="Book Antiqua"/>
          <w:i/>
          <w:sz w:val="24"/>
          <w:szCs w:val="24"/>
        </w:rPr>
        <w:t xml:space="preserve"> et </w:t>
      </w:r>
      <w:proofErr w:type="gramStart"/>
      <w:r w:rsidRPr="00A33C21">
        <w:rPr>
          <w:rFonts w:ascii="Book Antiqua" w:hAnsi="Book Antiqua"/>
          <w:i/>
          <w:sz w:val="24"/>
          <w:szCs w:val="24"/>
        </w:rPr>
        <w:t>al</w:t>
      </w:r>
      <w:r w:rsidR="00EF0784" w:rsidRPr="00A903DD">
        <w:rPr>
          <w:rFonts w:ascii="Book Antiqua" w:hAnsi="Book Antiqua"/>
          <w:sz w:val="24"/>
          <w:szCs w:val="24"/>
          <w:vertAlign w:val="superscript"/>
        </w:rPr>
        <w:t>[</w:t>
      </w:r>
      <w:proofErr w:type="gramEnd"/>
      <w:r w:rsidR="00EF0784" w:rsidRPr="00A903DD">
        <w:rPr>
          <w:rFonts w:ascii="Book Antiqua" w:hAnsi="Book Antiqua"/>
          <w:sz w:val="24"/>
          <w:szCs w:val="24"/>
          <w:vertAlign w:val="superscript"/>
        </w:rPr>
        <w:t>74]</w:t>
      </w:r>
      <w:r w:rsidRPr="00A903DD">
        <w:rPr>
          <w:rFonts w:ascii="Book Antiqua" w:hAnsi="Book Antiqua"/>
          <w:sz w:val="24"/>
          <w:szCs w:val="24"/>
        </w:rPr>
        <w:t xml:space="preserve"> </w:t>
      </w:r>
      <w:r w:rsidR="004944EE" w:rsidRPr="00A903DD">
        <w:rPr>
          <w:rFonts w:ascii="Book Antiqua" w:hAnsi="Book Antiqua"/>
          <w:sz w:val="24"/>
          <w:szCs w:val="24"/>
        </w:rPr>
        <w:t>conducted a</w:t>
      </w:r>
      <w:r w:rsidR="00C42BF0" w:rsidRPr="00A903DD">
        <w:rPr>
          <w:rFonts w:ascii="Book Antiqua" w:hAnsi="Book Antiqua"/>
          <w:sz w:val="24"/>
          <w:szCs w:val="24"/>
        </w:rPr>
        <w:t xml:space="preserve"> multicenter </w:t>
      </w:r>
      <w:r w:rsidR="00A33C21" w:rsidRPr="00A903DD">
        <w:rPr>
          <w:rFonts w:ascii="Book Antiqua" w:hAnsi="Book Antiqua"/>
          <w:sz w:val="24"/>
          <w:szCs w:val="24"/>
        </w:rPr>
        <w:t>p</w:t>
      </w:r>
      <w:r w:rsidR="00C42BF0" w:rsidRPr="00A903DD">
        <w:rPr>
          <w:rFonts w:ascii="Book Antiqua" w:hAnsi="Book Antiqua"/>
          <w:sz w:val="24"/>
          <w:szCs w:val="24"/>
        </w:rPr>
        <w:t xml:space="preserve">hase II </w:t>
      </w:r>
      <w:r w:rsidR="004944EE" w:rsidRPr="00A903DD">
        <w:rPr>
          <w:rFonts w:ascii="Book Antiqua" w:hAnsi="Book Antiqua"/>
          <w:sz w:val="24"/>
          <w:szCs w:val="24"/>
        </w:rPr>
        <w:t xml:space="preserve">dose-ranging study of 903 THA patients. Patients were randomized to receive </w:t>
      </w:r>
      <w:r w:rsidR="00922027" w:rsidRPr="00A903DD">
        <w:rPr>
          <w:rFonts w:ascii="Book Antiqua" w:hAnsi="Book Antiqua"/>
          <w:sz w:val="24"/>
          <w:szCs w:val="24"/>
        </w:rPr>
        <w:t xml:space="preserve">oral </w:t>
      </w:r>
      <w:r w:rsidR="004944EE" w:rsidRPr="00A903DD">
        <w:rPr>
          <w:rFonts w:ascii="Book Antiqua" w:hAnsi="Book Antiqua"/>
          <w:sz w:val="24"/>
          <w:szCs w:val="24"/>
        </w:rPr>
        <w:t>edoxaban in dosages of either 15, 30, 60, or 90 mg g</w:t>
      </w:r>
      <w:r w:rsidR="00A33C21">
        <w:rPr>
          <w:rFonts w:ascii="Book Antiqua" w:hAnsi="Book Antiqua"/>
          <w:sz w:val="24"/>
          <w:szCs w:val="24"/>
        </w:rPr>
        <w:t>iven once daily or dalteparin 2</w:t>
      </w:r>
      <w:r w:rsidR="004944EE" w:rsidRPr="00A903DD">
        <w:rPr>
          <w:rFonts w:ascii="Book Antiqua" w:hAnsi="Book Antiqua"/>
          <w:sz w:val="24"/>
          <w:szCs w:val="24"/>
        </w:rPr>
        <w:t xml:space="preserve">500 IU </w:t>
      </w:r>
      <w:r w:rsidR="00FA5B6C" w:rsidRPr="00A903DD">
        <w:rPr>
          <w:rFonts w:ascii="Book Antiqua" w:hAnsi="Book Antiqua"/>
          <w:sz w:val="24"/>
          <w:szCs w:val="24"/>
        </w:rPr>
        <w:t xml:space="preserve">subcutaneously </w:t>
      </w:r>
      <w:r w:rsidR="00A33C21">
        <w:rPr>
          <w:rFonts w:ascii="Book Antiqua" w:hAnsi="Book Antiqua"/>
          <w:sz w:val="24"/>
          <w:szCs w:val="24"/>
        </w:rPr>
        <w:t>initially, followed by 5</w:t>
      </w:r>
      <w:r w:rsidR="004944EE" w:rsidRPr="00A903DD">
        <w:rPr>
          <w:rFonts w:ascii="Book Antiqua" w:hAnsi="Book Antiqua"/>
          <w:sz w:val="24"/>
          <w:szCs w:val="24"/>
        </w:rPr>
        <w:t xml:space="preserve">000 IU </w:t>
      </w:r>
      <w:r w:rsidR="00922027" w:rsidRPr="00A903DD">
        <w:rPr>
          <w:rFonts w:ascii="Book Antiqua" w:hAnsi="Book Antiqua"/>
          <w:sz w:val="24"/>
          <w:szCs w:val="24"/>
        </w:rPr>
        <w:t xml:space="preserve">once </w:t>
      </w:r>
      <w:r w:rsidR="00A33C21">
        <w:rPr>
          <w:rFonts w:ascii="Book Antiqua" w:hAnsi="Book Antiqua"/>
          <w:sz w:val="24"/>
          <w:szCs w:val="24"/>
        </w:rPr>
        <w:t xml:space="preserve">daily. </w:t>
      </w:r>
      <w:r w:rsidR="004944EE" w:rsidRPr="00A903DD">
        <w:rPr>
          <w:rFonts w:ascii="Book Antiqua" w:hAnsi="Book Antiqua"/>
          <w:sz w:val="24"/>
          <w:szCs w:val="24"/>
        </w:rPr>
        <w:t>Either drug therapy was started within 6-8 h postoperatively and continued for only 7-10 d</w:t>
      </w:r>
      <w:r w:rsidR="00A33C21">
        <w:rPr>
          <w:rFonts w:ascii="Book Antiqua" w:hAnsi="Book Antiqua"/>
          <w:sz w:val="24"/>
          <w:szCs w:val="24"/>
        </w:rPr>
        <w:t xml:space="preserve">. </w:t>
      </w:r>
      <w:r w:rsidR="00FA5B6C" w:rsidRPr="00A903DD">
        <w:rPr>
          <w:rFonts w:ascii="Book Antiqua" w:hAnsi="Book Antiqua"/>
          <w:sz w:val="24"/>
          <w:szCs w:val="24"/>
        </w:rPr>
        <w:t>Edoxaban was associated with a significant (</w:t>
      </w:r>
      <w:r w:rsidR="00A33C21" w:rsidRPr="00A33C21">
        <w:rPr>
          <w:rFonts w:ascii="Book Antiqua" w:hAnsi="Book Antiqua"/>
          <w:i/>
          <w:sz w:val="24"/>
          <w:szCs w:val="24"/>
        </w:rPr>
        <w:t>P</w:t>
      </w:r>
      <w:r w:rsidR="00A33C21">
        <w:rPr>
          <w:rFonts w:ascii="Book Antiqua" w:hAnsi="Book Antiqua" w:hint="eastAsia"/>
          <w:i/>
          <w:sz w:val="24"/>
          <w:szCs w:val="24"/>
          <w:lang w:eastAsia="zh-CN"/>
        </w:rPr>
        <w:t xml:space="preserve"> </w:t>
      </w:r>
      <w:r w:rsidR="00FA5B6C" w:rsidRPr="00A903DD">
        <w:rPr>
          <w:rFonts w:ascii="Book Antiqua" w:hAnsi="Book Antiqua"/>
          <w:sz w:val="24"/>
          <w:szCs w:val="24"/>
        </w:rPr>
        <w:t>&lt;</w:t>
      </w:r>
      <w:r w:rsidR="00A33C21">
        <w:rPr>
          <w:rFonts w:ascii="Book Antiqua" w:hAnsi="Book Antiqua" w:hint="eastAsia"/>
          <w:sz w:val="24"/>
          <w:szCs w:val="24"/>
          <w:lang w:eastAsia="zh-CN"/>
        </w:rPr>
        <w:t xml:space="preserve"> </w:t>
      </w:r>
      <w:r w:rsidR="00FA5B6C" w:rsidRPr="00A903DD">
        <w:rPr>
          <w:rFonts w:ascii="Book Antiqua" w:hAnsi="Book Antiqua"/>
          <w:sz w:val="24"/>
          <w:szCs w:val="24"/>
        </w:rPr>
        <w:t>0.001) dose-response</w:t>
      </w:r>
      <w:r w:rsidR="00034E96" w:rsidRPr="00A903DD">
        <w:rPr>
          <w:rFonts w:ascii="Book Antiqua" w:hAnsi="Book Antiqua"/>
          <w:sz w:val="24"/>
          <w:szCs w:val="24"/>
        </w:rPr>
        <w:t xml:space="preserve"> effect</w:t>
      </w:r>
      <w:r w:rsidR="00FA5B6C" w:rsidRPr="00A903DD">
        <w:rPr>
          <w:rFonts w:ascii="Book Antiqua" w:hAnsi="Book Antiqua"/>
          <w:sz w:val="24"/>
          <w:szCs w:val="24"/>
        </w:rPr>
        <w:t>, with VTE occurring in 28.2%, 21.2%, 21.2%, and 15.2% for the 15, 30, 60, and 90</w:t>
      </w:r>
      <w:r w:rsidR="00A33C21">
        <w:rPr>
          <w:rFonts w:ascii="Book Antiqua" w:hAnsi="Book Antiqua"/>
          <w:sz w:val="24"/>
          <w:szCs w:val="24"/>
        </w:rPr>
        <w:t xml:space="preserve"> mg daily doses, respectively. </w:t>
      </w:r>
      <w:r w:rsidR="004944EE" w:rsidRPr="00A903DD">
        <w:rPr>
          <w:rFonts w:ascii="Book Antiqua" w:hAnsi="Book Antiqua"/>
          <w:sz w:val="24"/>
          <w:szCs w:val="24"/>
        </w:rPr>
        <w:t>Each dose of edoxaban was associated with a significantly (</w:t>
      </w:r>
      <w:r w:rsidR="004944EE" w:rsidRPr="00A33C21">
        <w:rPr>
          <w:rFonts w:ascii="Book Antiqua" w:hAnsi="Book Antiqua"/>
          <w:i/>
          <w:sz w:val="24"/>
          <w:szCs w:val="24"/>
        </w:rPr>
        <w:t>P</w:t>
      </w:r>
      <w:r w:rsidR="00A33C21">
        <w:rPr>
          <w:rFonts w:ascii="Book Antiqua" w:hAnsi="Book Antiqua" w:hint="eastAsia"/>
          <w:sz w:val="24"/>
          <w:szCs w:val="24"/>
          <w:lang w:eastAsia="zh-CN"/>
        </w:rPr>
        <w:t xml:space="preserve"> </w:t>
      </w:r>
      <w:r w:rsidR="004944EE" w:rsidRPr="00A903DD">
        <w:rPr>
          <w:rFonts w:ascii="Book Antiqua" w:hAnsi="Book Antiqua"/>
          <w:sz w:val="24"/>
          <w:szCs w:val="24"/>
        </w:rPr>
        <w:t>&lt;</w:t>
      </w:r>
      <w:r w:rsidR="00A33C21">
        <w:rPr>
          <w:rFonts w:ascii="Book Antiqua" w:hAnsi="Book Antiqua" w:hint="eastAsia"/>
          <w:sz w:val="24"/>
          <w:szCs w:val="24"/>
          <w:lang w:eastAsia="zh-CN"/>
        </w:rPr>
        <w:t xml:space="preserve"> </w:t>
      </w:r>
      <w:r w:rsidR="004944EE" w:rsidRPr="00A903DD">
        <w:rPr>
          <w:rFonts w:ascii="Book Antiqua" w:hAnsi="Book Antiqua"/>
          <w:sz w:val="24"/>
          <w:szCs w:val="24"/>
        </w:rPr>
        <w:t xml:space="preserve">0.005) lower incidence </w:t>
      </w:r>
      <w:r w:rsidR="00FA5B6C" w:rsidRPr="00A903DD">
        <w:rPr>
          <w:rFonts w:ascii="Book Antiqua" w:hAnsi="Book Antiqua"/>
          <w:sz w:val="24"/>
          <w:szCs w:val="24"/>
        </w:rPr>
        <w:t>of VTE, compared to dalteparin (43.8%).</w:t>
      </w:r>
      <w:r w:rsidR="004944EE" w:rsidRPr="00A903DD">
        <w:rPr>
          <w:rFonts w:ascii="Book Antiqua" w:hAnsi="Book Antiqua"/>
          <w:sz w:val="24"/>
          <w:szCs w:val="24"/>
        </w:rPr>
        <w:t xml:space="preserve"> </w:t>
      </w:r>
      <w:r w:rsidR="00FA5B6C" w:rsidRPr="00A903DD">
        <w:rPr>
          <w:rFonts w:ascii="Book Antiqua" w:hAnsi="Book Antiqua"/>
          <w:sz w:val="24"/>
          <w:szCs w:val="24"/>
        </w:rPr>
        <w:t>The incidence of bleeding was similar for all groups.</w:t>
      </w:r>
    </w:p>
    <w:p w:rsidR="007777E4" w:rsidRPr="00A903DD" w:rsidRDefault="007777E4"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A smaller </w:t>
      </w:r>
      <w:r w:rsidR="00A33C21" w:rsidRPr="00A903DD">
        <w:rPr>
          <w:rFonts w:ascii="Book Antiqua" w:hAnsi="Book Antiqua"/>
          <w:sz w:val="24"/>
          <w:szCs w:val="24"/>
        </w:rPr>
        <w:t>p</w:t>
      </w:r>
      <w:r w:rsidRPr="00A903DD">
        <w:rPr>
          <w:rFonts w:ascii="Book Antiqua" w:hAnsi="Book Antiqua"/>
          <w:sz w:val="24"/>
          <w:szCs w:val="24"/>
        </w:rPr>
        <w:t>hase II</w:t>
      </w:r>
      <w:r w:rsidR="009D7A67" w:rsidRPr="00A903DD">
        <w:rPr>
          <w:rFonts w:ascii="Book Antiqua" w:hAnsi="Book Antiqua"/>
          <w:sz w:val="24"/>
          <w:szCs w:val="24"/>
        </w:rPr>
        <w:t>b</w:t>
      </w:r>
      <w:r w:rsidRPr="00A903DD">
        <w:rPr>
          <w:rFonts w:ascii="Book Antiqua" w:hAnsi="Book Antiqua"/>
          <w:sz w:val="24"/>
          <w:szCs w:val="24"/>
        </w:rPr>
        <w:t xml:space="preserve"> </w:t>
      </w:r>
      <w:r w:rsidR="00DB7FC9" w:rsidRPr="00A903DD">
        <w:rPr>
          <w:rFonts w:ascii="Book Antiqua" w:hAnsi="Book Antiqua"/>
          <w:sz w:val="24"/>
          <w:szCs w:val="24"/>
        </w:rPr>
        <w:t>trial</w:t>
      </w:r>
      <w:r w:rsidRPr="00A903DD">
        <w:rPr>
          <w:rFonts w:ascii="Book Antiqua" w:hAnsi="Book Antiqua"/>
          <w:sz w:val="24"/>
          <w:szCs w:val="24"/>
        </w:rPr>
        <w:t xml:space="preserve"> entitled</w:t>
      </w:r>
      <w:r w:rsidR="00A33C21" w:rsidRPr="00A33C21">
        <w:rPr>
          <w:rFonts w:ascii="Book Antiqua" w:hAnsi="Book Antiqua"/>
          <w:sz w:val="24"/>
          <w:szCs w:val="24"/>
        </w:rPr>
        <w:t xml:space="preserve"> </w:t>
      </w:r>
      <w:r w:rsidR="00A33C21" w:rsidRPr="00A33C21">
        <w:rPr>
          <w:rFonts w:ascii="Book Antiqua" w:hAnsi="Book Antiqua" w:cs="Minion-Semibold"/>
          <w:bCs/>
          <w:color w:val="231F20"/>
          <w:sz w:val="24"/>
          <w:szCs w:val="24"/>
        </w:rPr>
        <w:t>s</w:t>
      </w:r>
      <w:r w:rsidR="00A33C21" w:rsidRPr="00A33C21">
        <w:rPr>
          <w:rFonts w:ascii="Book Antiqua" w:hAnsi="Book Antiqua" w:cs="Minion-Regular"/>
          <w:color w:val="231F20"/>
          <w:sz w:val="24"/>
          <w:szCs w:val="24"/>
        </w:rPr>
        <w:t xml:space="preserve">tudying </w:t>
      </w:r>
      <w:r w:rsidR="00A33C21" w:rsidRPr="00A33C21">
        <w:rPr>
          <w:rFonts w:ascii="Book Antiqua" w:hAnsi="Book Antiqua" w:cs="Minion-Semibold"/>
          <w:bCs/>
          <w:color w:val="231F20"/>
          <w:sz w:val="24"/>
          <w:szCs w:val="24"/>
        </w:rPr>
        <w:t>t</w:t>
      </w:r>
      <w:r w:rsidR="00A33C21" w:rsidRPr="00A33C21">
        <w:rPr>
          <w:rFonts w:ascii="Book Antiqua" w:hAnsi="Book Antiqua" w:cs="Minion-Regular"/>
          <w:color w:val="231F20"/>
          <w:sz w:val="24"/>
          <w:szCs w:val="24"/>
        </w:rPr>
        <w:t xml:space="preserve">hrombosis </w:t>
      </w:r>
      <w:r w:rsidR="00A33C21" w:rsidRPr="00A33C21">
        <w:rPr>
          <w:rFonts w:ascii="Book Antiqua" w:hAnsi="Book Antiqua" w:cs="Minion-Semibold"/>
          <w:bCs/>
          <w:color w:val="231F20"/>
          <w:sz w:val="24"/>
          <w:szCs w:val="24"/>
        </w:rPr>
        <w:t>a</w:t>
      </w:r>
      <w:r w:rsidR="00A33C21" w:rsidRPr="00A33C21">
        <w:rPr>
          <w:rFonts w:ascii="Book Antiqua" w:hAnsi="Book Antiqua" w:cs="Minion-Regular"/>
          <w:color w:val="231F20"/>
          <w:sz w:val="24"/>
          <w:szCs w:val="24"/>
        </w:rPr>
        <w:t xml:space="preserve">fter </w:t>
      </w:r>
      <w:r w:rsidR="00A33C21" w:rsidRPr="00A33C21">
        <w:rPr>
          <w:rFonts w:ascii="Book Antiqua" w:hAnsi="Book Antiqua" w:cs="Minion-Semibold"/>
          <w:bCs/>
          <w:color w:val="231F20"/>
          <w:sz w:val="24"/>
          <w:szCs w:val="24"/>
        </w:rPr>
        <w:t>r</w:t>
      </w:r>
      <w:r w:rsidR="00A33C21" w:rsidRPr="00A33C21">
        <w:rPr>
          <w:rFonts w:ascii="Book Antiqua" w:hAnsi="Book Antiqua" w:cs="Minion-Regular"/>
          <w:color w:val="231F20"/>
          <w:sz w:val="24"/>
          <w:szCs w:val="24"/>
        </w:rPr>
        <w:t xml:space="preserve">eplacement </w:t>
      </w:r>
      <w:r w:rsidR="00A33C21" w:rsidRPr="00A33C21">
        <w:rPr>
          <w:rFonts w:ascii="Book Antiqua" w:hAnsi="Book Antiqua" w:cs="Minion-Semibold"/>
          <w:bCs/>
          <w:color w:val="231F20"/>
          <w:sz w:val="24"/>
          <w:szCs w:val="24"/>
        </w:rPr>
        <w:t>s</w:t>
      </w:r>
      <w:r w:rsidR="00A33C21" w:rsidRPr="00A33C21">
        <w:rPr>
          <w:rFonts w:ascii="Book Antiqua" w:hAnsi="Book Antiqua" w:cs="Minion-Regular"/>
          <w:color w:val="231F20"/>
          <w:sz w:val="24"/>
          <w:szCs w:val="24"/>
        </w:rPr>
        <w:t>ur</w:t>
      </w:r>
      <w:r w:rsidR="00DB7FC9" w:rsidRPr="00A903DD">
        <w:rPr>
          <w:rFonts w:ascii="Book Antiqua" w:hAnsi="Book Antiqua" w:cs="Minion-Regular"/>
          <w:color w:val="231F20"/>
          <w:sz w:val="24"/>
          <w:szCs w:val="24"/>
        </w:rPr>
        <w:t>gery</w:t>
      </w:r>
      <w:r w:rsidR="00DB7FC9" w:rsidRPr="00A903DD">
        <w:rPr>
          <w:rFonts w:ascii="Book Antiqua" w:hAnsi="Book Antiqua"/>
          <w:sz w:val="24"/>
          <w:szCs w:val="24"/>
        </w:rPr>
        <w:t xml:space="preserve"> (</w:t>
      </w:r>
      <w:r w:rsidRPr="00A903DD">
        <w:rPr>
          <w:rFonts w:ascii="Book Antiqua" w:hAnsi="Book Antiqua"/>
          <w:sz w:val="24"/>
          <w:szCs w:val="24"/>
        </w:rPr>
        <w:t>STARS</w:t>
      </w:r>
      <w:r w:rsidR="00B03BF4" w:rsidRPr="00A903DD">
        <w:rPr>
          <w:rFonts w:ascii="Book Antiqua" w:hAnsi="Book Antiqua"/>
          <w:sz w:val="24"/>
          <w:szCs w:val="24"/>
        </w:rPr>
        <w:t>)</w:t>
      </w:r>
      <w:r w:rsidRPr="00A903DD">
        <w:rPr>
          <w:rFonts w:ascii="Book Antiqua" w:hAnsi="Book Antiqua"/>
          <w:sz w:val="24"/>
          <w:szCs w:val="24"/>
        </w:rPr>
        <w:t xml:space="preserve"> J-</w:t>
      </w:r>
      <w:r w:rsidR="009D7A67" w:rsidRPr="00A903DD">
        <w:rPr>
          <w:rFonts w:ascii="Book Antiqua" w:hAnsi="Book Antiqua"/>
          <w:sz w:val="24"/>
          <w:szCs w:val="24"/>
        </w:rPr>
        <w:t>2</w:t>
      </w:r>
      <w:r w:rsidR="00201832" w:rsidRPr="00A903DD">
        <w:rPr>
          <w:rFonts w:ascii="Book Antiqua" w:hAnsi="Book Antiqua"/>
          <w:sz w:val="24"/>
          <w:szCs w:val="24"/>
          <w:vertAlign w:val="superscript"/>
        </w:rPr>
        <w:t>[75]</w:t>
      </w:r>
      <w:r w:rsidR="009D7A67" w:rsidRPr="00A903DD">
        <w:rPr>
          <w:rFonts w:ascii="Book Antiqua" w:hAnsi="Book Antiqua"/>
          <w:sz w:val="24"/>
          <w:szCs w:val="24"/>
        </w:rPr>
        <w:t xml:space="preserve"> was a similar study in 264 THA patients but compared </w:t>
      </w:r>
      <w:r w:rsidR="007E5150" w:rsidRPr="00A903DD">
        <w:rPr>
          <w:rFonts w:ascii="Book Antiqua" w:hAnsi="Book Antiqua"/>
          <w:sz w:val="24"/>
          <w:szCs w:val="24"/>
        </w:rPr>
        <w:t xml:space="preserve">only </w:t>
      </w:r>
      <w:r w:rsidR="00034E96" w:rsidRPr="00A903DD">
        <w:rPr>
          <w:rFonts w:ascii="Book Antiqua" w:hAnsi="Book Antiqua"/>
          <w:sz w:val="24"/>
          <w:szCs w:val="24"/>
        </w:rPr>
        <w:t xml:space="preserve">oral </w:t>
      </w:r>
      <w:r w:rsidR="00C144D6" w:rsidRPr="00A903DD">
        <w:rPr>
          <w:rFonts w:ascii="Book Antiqua" w:hAnsi="Book Antiqua"/>
          <w:sz w:val="24"/>
          <w:szCs w:val="24"/>
        </w:rPr>
        <w:t>ed</w:t>
      </w:r>
      <w:r w:rsidR="009D7A67" w:rsidRPr="00A903DD">
        <w:rPr>
          <w:rFonts w:ascii="Book Antiqua" w:hAnsi="Book Antiqua"/>
          <w:sz w:val="24"/>
          <w:szCs w:val="24"/>
        </w:rPr>
        <w:t>oxaban 15 or 30</w:t>
      </w:r>
      <w:r w:rsidR="00F23175" w:rsidRPr="00A903DD">
        <w:rPr>
          <w:rFonts w:ascii="Book Antiqua" w:hAnsi="Book Antiqua"/>
          <w:sz w:val="24"/>
          <w:szCs w:val="24"/>
        </w:rPr>
        <w:t xml:space="preserve"> </w:t>
      </w:r>
      <w:r w:rsidR="009D7A67" w:rsidRPr="00A903DD">
        <w:rPr>
          <w:rFonts w:ascii="Book Antiqua" w:hAnsi="Book Antiqua"/>
          <w:sz w:val="24"/>
          <w:szCs w:val="24"/>
        </w:rPr>
        <w:t>mg once daily to enoxaparin 20</w:t>
      </w:r>
      <w:r w:rsidR="00F23175" w:rsidRPr="00A903DD">
        <w:rPr>
          <w:rFonts w:ascii="Book Antiqua" w:hAnsi="Book Antiqua"/>
          <w:sz w:val="24"/>
          <w:szCs w:val="24"/>
        </w:rPr>
        <w:t xml:space="preserve"> </w:t>
      </w:r>
      <w:r w:rsidR="009D7A67" w:rsidRPr="00A903DD">
        <w:rPr>
          <w:rFonts w:ascii="Book Antiqua" w:hAnsi="Book Antiqua"/>
          <w:sz w:val="24"/>
          <w:szCs w:val="24"/>
        </w:rPr>
        <w:t xml:space="preserve">mg subcutaneously twice daily </w:t>
      </w:r>
      <w:r w:rsidR="00094A97" w:rsidRPr="00A903DD">
        <w:rPr>
          <w:rFonts w:ascii="Book Antiqua" w:hAnsi="Book Antiqua"/>
          <w:sz w:val="24"/>
          <w:szCs w:val="24"/>
        </w:rPr>
        <w:t xml:space="preserve">(standard orthopedic prophylaxis dosage in Japan) </w:t>
      </w:r>
      <w:r w:rsidR="00A33C21">
        <w:rPr>
          <w:rFonts w:ascii="Book Antiqua" w:hAnsi="Book Antiqua"/>
          <w:sz w:val="24"/>
          <w:szCs w:val="24"/>
        </w:rPr>
        <w:t xml:space="preserve">for 11-14 d. </w:t>
      </w:r>
      <w:r w:rsidR="00034E96" w:rsidRPr="00A903DD">
        <w:rPr>
          <w:rFonts w:ascii="Book Antiqua" w:hAnsi="Book Antiqua"/>
          <w:sz w:val="24"/>
          <w:szCs w:val="24"/>
        </w:rPr>
        <w:t>The first dose of edoxaban was given within 6-8 h while enoxaparin was started 24-36 h</w:t>
      </w:r>
      <w:r w:rsidR="00A33C21">
        <w:rPr>
          <w:rFonts w:ascii="Book Antiqua" w:hAnsi="Book Antiqua"/>
          <w:sz w:val="24"/>
          <w:szCs w:val="24"/>
        </w:rPr>
        <w:t xml:space="preserve"> postoperatively. </w:t>
      </w:r>
      <w:r w:rsidR="00034E96" w:rsidRPr="00A903DD">
        <w:rPr>
          <w:rFonts w:ascii="Book Antiqua" w:hAnsi="Book Antiqua"/>
          <w:sz w:val="24"/>
          <w:szCs w:val="24"/>
        </w:rPr>
        <w:t>Interestingly, all VTE events in this stu</w:t>
      </w:r>
      <w:r w:rsidR="00C144D6" w:rsidRPr="00A903DD">
        <w:rPr>
          <w:rFonts w:ascii="Book Antiqua" w:hAnsi="Book Antiqua"/>
          <w:sz w:val="24"/>
          <w:szCs w:val="24"/>
        </w:rPr>
        <w:t>dy were asymptomatic distal</w:t>
      </w:r>
      <w:r w:rsidR="00034E96" w:rsidRPr="00A903DD">
        <w:rPr>
          <w:rFonts w:ascii="Book Antiqua" w:hAnsi="Book Antiqua"/>
          <w:sz w:val="24"/>
          <w:szCs w:val="24"/>
        </w:rPr>
        <w:t xml:space="preserve"> DVT.</w:t>
      </w:r>
      <w:r w:rsidR="00A33C21">
        <w:rPr>
          <w:rFonts w:ascii="Book Antiqua" w:hAnsi="Book Antiqua"/>
          <w:sz w:val="24"/>
          <w:szCs w:val="24"/>
        </w:rPr>
        <w:t xml:space="preserve"> </w:t>
      </w:r>
      <w:r w:rsidR="009D7A67" w:rsidRPr="00A903DD">
        <w:rPr>
          <w:rFonts w:ascii="Book Antiqua" w:hAnsi="Book Antiqua"/>
          <w:sz w:val="24"/>
          <w:szCs w:val="24"/>
        </w:rPr>
        <w:t>Results of the study demonstrated low VTE incidence</w:t>
      </w:r>
      <w:r w:rsidR="00453BC4" w:rsidRPr="00A903DD">
        <w:rPr>
          <w:rFonts w:ascii="Book Antiqua" w:hAnsi="Book Antiqua"/>
          <w:sz w:val="24"/>
          <w:szCs w:val="24"/>
        </w:rPr>
        <w:t>s</w:t>
      </w:r>
      <w:r w:rsidR="009D7A67" w:rsidRPr="00A903DD">
        <w:rPr>
          <w:rFonts w:ascii="Book Antiqua" w:hAnsi="Book Antiqua"/>
          <w:sz w:val="24"/>
          <w:szCs w:val="24"/>
        </w:rPr>
        <w:t xml:space="preserve"> in all groups</w:t>
      </w:r>
      <w:r w:rsidR="007E5150" w:rsidRPr="00A903DD">
        <w:rPr>
          <w:rFonts w:ascii="Book Antiqua" w:hAnsi="Book Antiqua"/>
          <w:sz w:val="24"/>
          <w:szCs w:val="24"/>
        </w:rPr>
        <w:t xml:space="preserve"> that w</w:t>
      </w:r>
      <w:r w:rsidR="00034E96" w:rsidRPr="00A903DD">
        <w:rPr>
          <w:rFonts w:ascii="Book Antiqua" w:hAnsi="Book Antiqua"/>
          <w:sz w:val="24"/>
          <w:szCs w:val="24"/>
        </w:rPr>
        <w:t>ere</w:t>
      </w:r>
      <w:r w:rsidR="007E5150" w:rsidRPr="00A903DD">
        <w:rPr>
          <w:rFonts w:ascii="Book Antiqua" w:hAnsi="Book Antiqua"/>
          <w:sz w:val="24"/>
          <w:szCs w:val="24"/>
        </w:rPr>
        <w:t xml:space="preserve"> not significantly different (</w:t>
      </w:r>
      <w:r w:rsidR="00A33C21" w:rsidRPr="00A33C21">
        <w:rPr>
          <w:rFonts w:ascii="Book Antiqua" w:hAnsi="Book Antiqua"/>
          <w:i/>
          <w:sz w:val="24"/>
          <w:szCs w:val="24"/>
        </w:rPr>
        <w:t>P</w:t>
      </w:r>
      <w:r w:rsidR="00A33C21">
        <w:rPr>
          <w:rFonts w:ascii="Book Antiqua" w:hAnsi="Book Antiqua" w:hint="eastAsia"/>
          <w:sz w:val="24"/>
          <w:szCs w:val="24"/>
          <w:lang w:eastAsia="zh-CN"/>
        </w:rPr>
        <w:t xml:space="preserve"> </w:t>
      </w:r>
      <w:r w:rsidR="007E5150" w:rsidRPr="00A903DD">
        <w:rPr>
          <w:rFonts w:ascii="Book Antiqua" w:hAnsi="Book Antiqua"/>
          <w:sz w:val="24"/>
          <w:szCs w:val="24"/>
        </w:rPr>
        <w:t>&gt;</w:t>
      </w:r>
      <w:r w:rsidR="00A33C21">
        <w:rPr>
          <w:rFonts w:ascii="Book Antiqua" w:hAnsi="Book Antiqua" w:hint="eastAsia"/>
          <w:sz w:val="24"/>
          <w:szCs w:val="24"/>
          <w:lang w:eastAsia="zh-CN"/>
        </w:rPr>
        <w:t xml:space="preserve"> </w:t>
      </w:r>
      <w:r w:rsidR="007E5150" w:rsidRPr="00A903DD">
        <w:rPr>
          <w:rFonts w:ascii="Book Antiqua" w:hAnsi="Book Antiqua"/>
          <w:sz w:val="24"/>
          <w:szCs w:val="24"/>
        </w:rPr>
        <w:t>0.05)</w:t>
      </w:r>
      <w:r w:rsidR="009D7A67" w:rsidRPr="00A903DD">
        <w:rPr>
          <w:rFonts w:ascii="Book Antiqua" w:hAnsi="Book Antiqua"/>
          <w:sz w:val="24"/>
          <w:szCs w:val="24"/>
        </w:rPr>
        <w:t>, occurring in 3.8%, 2.8%, and 4.1% in the edoxaban 15mg, edoxaban 30</w:t>
      </w:r>
      <w:r w:rsidR="00F23175" w:rsidRPr="00A903DD">
        <w:rPr>
          <w:rFonts w:ascii="Book Antiqua" w:hAnsi="Book Antiqua"/>
          <w:sz w:val="24"/>
          <w:szCs w:val="24"/>
        </w:rPr>
        <w:t xml:space="preserve"> </w:t>
      </w:r>
      <w:r w:rsidR="009D7A67" w:rsidRPr="00A903DD">
        <w:rPr>
          <w:rFonts w:ascii="Book Antiqua" w:hAnsi="Book Antiqua"/>
          <w:sz w:val="24"/>
          <w:szCs w:val="24"/>
        </w:rPr>
        <w:t>mg , and enoxap</w:t>
      </w:r>
      <w:r w:rsidR="00186FC1" w:rsidRPr="00A903DD">
        <w:rPr>
          <w:rFonts w:ascii="Book Antiqua" w:hAnsi="Book Antiqua"/>
          <w:sz w:val="24"/>
          <w:szCs w:val="24"/>
        </w:rPr>
        <w:t>arin groups, respectively.</w:t>
      </w:r>
      <w:r w:rsidR="007E5150" w:rsidRPr="00A903DD">
        <w:rPr>
          <w:rFonts w:ascii="Book Antiqua" w:hAnsi="Book Antiqua"/>
          <w:sz w:val="24"/>
          <w:szCs w:val="24"/>
        </w:rPr>
        <w:t xml:space="preserve">  Bleeding events also did not differ between groups, with only one major bleeding event </w:t>
      </w:r>
      <w:r w:rsidR="00034E96" w:rsidRPr="00A903DD">
        <w:rPr>
          <w:rFonts w:ascii="Book Antiqua" w:hAnsi="Book Antiqua"/>
          <w:sz w:val="24"/>
          <w:szCs w:val="24"/>
        </w:rPr>
        <w:t>(edoxaban 30</w:t>
      </w:r>
      <w:r w:rsidR="00F23175" w:rsidRPr="00A903DD">
        <w:rPr>
          <w:rFonts w:ascii="Book Antiqua" w:hAnsi="Book Antiqua"/>
          <w:sz w:val="24"/>
          <w:szCs w:val="24"/>
        </w:rPr>
        <w:t xml:space="preserve"> </w:t>
      </w:r>
      <w:r w:rsidR="00034E96" w:rsidRPr="00A903DD">
        <w:rPr>
          <w:rFonts w:ascii="Book Antiqua" w:hAnsi="Book Antiqua"/>
          <w:sz w:val="24"/>
          <w:szCs w:val="24"/>
        </w:rPr>
        <w:t xml:space="preserve">mg group) </w:t>
      </w:r>
      <w:r w:rsidR="00201832" w:rsidRPr="00A903DD">
        <w:rPr>
          <w:rFonts w:ascii="Book Antiqua" w:hAnsi="Book Antiqua"/>
          <w:sz w:val="24"/>
          <w:szCs w:val="24"/>
        </w:rPr>
        <w:t xml:space="preserve">occurring in the </w:t>
      </w:r>
      <w:proofErr w:type="gramStart"/>
      <w:r w:rsidR="00201832" w:rsidRPr="00A903DD">
        <w:rPr>
          <w:rFonts w:ascii="Book Antiqua" w:hAnsi="Book Antiqua"/>
          <w:sz w:val="24"/>
          <w:szCs w:val="24"/>
        </w:rPr>
        <w:t>study</w:t>
      </w:r>
      <w:r w:rsidR="00405F4B" w:rsidRPr="00A903DD">
        <w:rPr>
          <w:rFonts w:ascii="Book Antiqua" w:hAnsi="Book Antiqua"/>
          <w:sz w:val="24"/>
          <w:szCs w:val="24"/>
          <w:vertAlign w:val="superscript"/>
        </w:rPr>
        <w:t>[</w:t>
      </w:r>
      <w:proofErr w:type="gramEnd"/>
      <w:r w:rsidR="00405F4B" w:rsidRPr="00A903DD">
        <w:rPr>
          <w:rFonts w:ascii="Book Antiqua" w:hAnsi="Book Antiqua"/>
          <w:sz w:val="24"/>
          <w:szCs w:val="24"/>
          <w:vertAlign w:val="superscript"/>
        </w:rPr>
        <w:t>23,7</w:t>
      </w:r>
      <w:r w:rsidR="00F23175" w:rsidRPr="00A903DD">
        <w:rPr>
          <w:rFonts w:ascii="Book Antiqua" w:hAnsi="Book Antiqua"/>
          <w:sz w:val="24"/>
          <w:szCs w:val="24"/>
          <w:vertAlign w:val="superscript"/>
        </w:rPr>
        <w:t>5</w:t>
      </w:r>
      <w:r w:rsidR="007E5150" w:rsidRPr="00A903DD">
        <w:rPr>
          <w:rFonts w:ascii="Book Antiqua" w:hAnsi="Book Antiqua"/>
          <w:sz w:val="24"/>
          <w:szCs w:val="24"/>
          <w:vertAlign w:val="superscript"/>
        </w:rPr>
        <w:t>]</w:t>
      </w:r>
      <w:r w:rsidR="00201832" w:rsidRPr="00A903DD">
        <w:rPr>
          <w:rFonts w:ascii="Book Antiqua" w:hAnsi="Book Antiqua"/>
          <w:sz w:val="24"/>
          <w:szCs w:val="24"/>
        </w:rPr>
        <w:t>.</w:t>
      </w:r>
      <w:r w:rsidR="009D7A67" w:rsidRPr="00A903DD">
        <w:rPr>
          <w:rFonts w:ascii="Book Antiqua" w:hAnsi="Book Antiqua"/>
          <w:sz w:val="24"/>
          <w:szCs w:val="24"/>
        </w:rPr>
        <w:t xml:space="preserve"> </w:t>
      </w:r>
    </w:p>
    <w:p w:rsidR="00FA5B6C" w:rsidRPr="00A903DD" w:rsidRDefault="009D7A67"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The STARS J-5</w:t>
      </w:r>
      <w:r w:rsidR="00FA5B6C" w:rsidRPr="00A903DD">
        <w:rPr>
          <w:rFonts w:ascii="Book Antiqua" w:hAnsi="Book Antiqua"/>
          <w:sz w:val="24"/>
          <w:szCs w:val="24"/>
        </w:rPr>
        <w:t xml:space="preserve"> </w:t>
      </w:r>
      <w:proofErr w:type="gramStart"/>
      <w:r w:rsidR="00FA5B6C" w:rsidRPr="00A903DD">
        <w:rPr>
          <w:rFonts w:ascii="Book Antiqua" w:hAnsi="Book Antiqua"/>
          <w:sz w:val="24"/>
          <w:szCs w:val="24"/>
        </w:rPr>
        <w:t>trial</w:t>
      </w:r>
      <w:r w:rsidR="00201832" w:rsidRPr="00A903DD">
        <w:rPr>
          <w:rFonts w:ascii="Book Antiqua" w:hAnsi="Book Antiqua"/>
          <w:sz w:val="24"/>
          <w:szCs w:val="24"/>
          <w:vertAlign w:val="superscript"/>
        </w:rPr>
        <w:t>[</w:t>
      </w:r>
      <w:proofErr w:type="gramEnd"/>
      <w:r w:rsidR="00201832" w:rsidRPr="00A903DD">
        <w:rPr>
          <w:rFonts w:ascii="Book Antiqua" w:hAnsi="Book Antiqua"/>
          <w:sz w:val="24"/>
          <w:szCs w:val="24"/>
          <w:vertAlign w:val="superscript"/>
        </w:rPr>
        <w:t>76]</w:t>
      </w:r>
      <w:r w:rsidR="00FA5B6C" w:rsidRPr="00A903DD">
        <w:rPr>
          <w:rFonts w:ascii="Book Antiqua" w:hAnsi="Book Antiqua"/>
          <w:sz w:val="24"/>
          <w:szCs w:val="24"/>
        </w:rPr>
        <w:t xml:space="preserve"> was a </w:t>
      </w:r>
      <w:r w:rsidR="00895999" w:rsidRPr="00A903DD">
        <w:rPr>
          <w:rFonts w:ascii="Book Antiqua" w:hAnsi="Book Antiqua"/>
          <w:sz w:val="24"/>
          <w:szCs w:val="24"/>
        </w:rPr>
        <w:t>p</w:t>
      </w:r>
      <w:r w:rsidR="00FA5B6C" w:rsidRPr="00A903DD">
        <w:rPr>
          <w:rFonts w:ascii="Book Antiqua" w:hAnsi="Book Antiqua"/>
          <w:sz w:val="24"/>
          <w:szCs w:val="24"/>
        </w:rPr>
        <w:t xml:space="preserve">hase III study of </w:t>
      </w:r>
      <w:r w:rsidR="00034E96" w:rsidRPr="00A903DD">
        <w:rPr>
          <w:rFonts w:ascii="Book Antiqua" w:hAnsi="Book Antiqua"/>
          <w:sz w:val="24"/>
          <w:szCs w:val="24"/>
        </w:rPr>
        <w:t xml:space="preserve">oral </w:t>
      </w:r>
      <w:r w:rsidR="00FA5B6C" w:rsidRPr="00A903DD">
        <w:rPr>
          <w:rFonts w:ascii="Book Antiqua" w:hAnsi="Book Antiqua"/>
          <w:sz w:val="24"/>
          <w:szCs w:val="24"/>
        </w:rPr>
        <w:t xml:space="preserve">edoxaban </w:t>
      </w:r>
      <w:r w:rsidR="00186FC1" w:rsidRPr="00A903DD">
        <w:rPr>
          <w:rFonts w:ascii="Book Antiqua" w:hAnsi="Book Antiqua"/>
          <w:sz w:val="24"/>
          <w:szCs w:val="24"/>
        </w:rPr>
        <w:t>3</w:t>
      </w:r>
      <w:r w:rsidR="00FA5B6C" w:rsidRPr="00A903DD">
        <w:rPr>
          <w:rFonts w:ascii="Book Antiqua" w:hAnsi="Book Antiqua"/>
          <w:sz w:val="24"/>
          <w:szCs w:val="24"/>
        </w:rPr>
        <w:t>0</w:t>
      </w:r>
      <w:r w:rsidR="00F23175" w:rsidRPr="00A903DD">
        <w:rPr>
          <w:rFonts w:ascii="Book Antiqua" w:hAnsi="Book Antiqua"/>
          <w:sz w:val="24"/>
          <w:szCs w:val="24"/>
        </w:rPr>
        <w:t xml:space="preserve"> </w:t>
      </w:r>
      <w:r w:rsidR="00FA5B6C" w:rsidRPr="00A903DD">
        <w:rPr>
          <w:rFonts w:ascii="Book Antiqua" w:hAnsi="Book Antiqua"/>
          <w:sz w:val="24"/>
          <w:szCs w:val="24"/>
        </w:rPr>
        <w:t xml:space="preserve">mg </w:t>
      </w:r>
      <w:r w:rsidR="00186FC1" w:rsidRPr="00A903DD">
        <w:rPr>
          <w:rFonts w:ascii="Book Antiqua" w:hAnsi="Book Antiqua"/>
          <w:sz w:val="24"/>
          <w:szCs w:val="24"/>
        </w:rPr>
        <w:t>once</w:t>
      </w:r>
      <w:r w:rsidR="00FA5B6C" w:rsidRPr="00A903DD">
        <w:rPr>
          <w:rFonts w:ascii="Book Antiqua" w:hAnsi="Book Antiqua"/>
          <w:sz w:val="24"/>
          <w:szCs w:val="24"/>
        </w:rPr>
        <w:t xml:space="preserve"> daily </w:t>
      </w:r>
      <w:r w:rsidR="007777E4" w:rsidRPr="00A903DD">
        <w:rPr>
          <w:rFonts w:ascii="Book Antiqua" w:hAnsi="Book Antiqua"/>
          <w:sz w:val="24"/>
          <w:szCs w:val="24"/>
        </w:rPr>
        <w:t>compared to enoxaparin 20mg subcutane</w:t>
      </w:r>
      <w:r w:rsidR="00A33C21">
        <w:rPr>
          <w:rFonts w:ascii="Book Antiqua" w:hAnsi="Book Antiqua"/>
          <w:sz w:val="24"/>
          <w:szCs w:val="24"/>
        </w:rPr>
        <w:t>ously twice daily for 11-14 d</w:t>
      </w:r>
      <w:r w:rsidR="00607AF0">
        <w:rPr>
          <w:rFonts w:ascii="Book Antiqua" w:hAnsi="Book Antiqua"/>
          <w:sz w:val="24"/>
          <w:szCs w:val="24"/>
        </w:rPr>
        <w:t xml:space="preserve"> (Table 3)</w:t>
      </w:r>
      <w:r w:rsidR="007777E4" w:rsidRPr="00A903DD">
        <w:rPr>
          <w:rFonts w:ascii="Book Antiqua" w:hAnsi="Book Antiqua"/>
          <w:sz w:val="24"/>
          <w:szCs w:val="24"/>
        </w:rPr>
        <w:t>.</w:t>
      </w:r>
      <w:r w:rsidR="00A33C21">
        <w:rPr>
          <w:rFonts w:ascii="Book Antiqua" w:hAnsi="Book Antiqua"/>
          <w:sz w:val="24"/>
          <w:szCs w:val="24"/>
        </w:rPr>
        <w:t xml:space="preserve"> </w:t>
      </w:r>
      <w:r w:rsidR="007E5150" w:rsidRPr="00A903DD">
        <w:rPr>
          <w:rFonts w:ascii="Book Antiqua" w:hAnsi="Book Antiqua"/>
          <w:sz w:val="24"/>
          <w:szCs w:val="24"/>
        </w:rPr>
        <w:t xml:space="preserve">Results of the study in 610 THA patients demonstrated </w:t>
      </w:r>
      <w:r w:rsidR="00186FC1" w:rsidRPr="00A903DD">
        <w:rPr>
          <w:rFonts w:ascii="Book Antiqua" w:hAnsi="Book Antiqua"/>
          <w:sz w:val="24"/>
          <w:szCs w:val="24"/>
        </w:rPr>
        <w:t xml:space="preserve">a significantly </w:t>
      </w:r>
      <w:r w:rsidR="00186FC1" w:rsidRPr="00A903DD">
        <w:rPr>
          <w:rFonts w:ascii="Book Antiqua" w:hAnsi="Book Antiqua"/>
          <w:sz w:val="24"/>
          <w:szCs w:val="24"/>
        </w:rPr>
        <w:lastRenderedPageBreak/>
        <w:t xml:space="preserve">lower incidence of VTE </w:t>
      </w:r>
      <w:r w:rsidR="00034E96" w:rsidRPr="00A903DD">
        <w:rPr>
          <w:rFonts w:ascii="Book Antiqua" w:hAnsi="Book Antiqua"/>
          <w:sz w:val="24"/>
          <w:szCs w:val="24"/>
        </w:rPr>
        <w:t>of 2.4%</w:t>
      </w:r>
      <w:r w:rsidR="00186FC1" w:rsidRPr="00A903DD">
        <w:rPr>
          <w:rFonts w:ascii="Book Antiqua" w:hAnsi="Book Antiqua"/>
          <w:sz w:val="24"/>
          <w:szCs w:val="24"/>
        </w:rPr>
        <w:t xml:space="preserve">in the edoxaban </w:t>
      </w:r>
      <w:r w:rsidR="00094A97" w:rsidRPr="00A903DD">
        <w:rPr>
          <w:rFonts w:ascii="Book Antiqua" w:hAnsi="Book Antiqua"/>
          <w:sz w:val="24"/>
          <w:szCs w:val="24"/>
        </w:rPr>
        <w:t>compared to 6.9% in the enoxaparin group</w:t>
      </w:r>
      <w:r w:rsidR="00453BC4" w:rsidRPr="00A903DD">
        <w:rPr>
          <w:rFonts w:ascii="Book Antiqua" w:hAnsi="Book Antiqua"/>
          <w:sz w:val="24"/>
          <w:szCs w:val="24"/>
        </w:rPr>
        <w:t>s</w:t>
      </w:r>
      <w:r w:rsidR="00094A97" w:rsidRPr="00A903DD">
        <w:rPr>
          <w:rFonts w:ascii="Book Antiqua" w:hAnsi="Book Antiqua"/>
          <w:sz w:val="24"/>
          <w:szCs w:val="24"/>
        </w:rPr>
        <w:t xml:space="preserve"> (</w:t>
      </w:r>
      <w:r w:rsidR="00A33C21" w:rsidRPr="00A33C21">
        <w:rPr>
          <w:rFonts w:ascii="Book Antiqua" w:hAnsi="Book Antiqua"/>
          <w:i/>
          <w:sz w:val="24"/>
          <w:szCs w:val="24"/>
        </w:rPr>
        <w:t>P</w:t>
      </w:r>
      <w:r w:rsidR="00A33C21">
        <w:rPr>
          <w:rFonts w:ascii="Book Antiqua" w:hAnsi="Book Antiqua" w:hint="eastAsia"/>
          <w:sz w:val="24"/>
          <w:szCs w:val="24"/>
          <w:lang w:eastAsia="zh-CN"/>
        </w:rPr>
        <w:t xml:space="preserve"> </w:t>
      </w:r>
      <w:r w:rsidR="00094A97" w:rsidRPr="00A903DD">
        <w:rPr>
          <w:rFonts w:ascii="Book Antiqua" w:hAnsi="Book Antiqua"/>
          <w:sz w:val="24"/>
          <w:szCs w:val="24"/>
        </w:rPr>
        <w:t>&lt;</w:t>
      </w:r>
      <w:r w:rsidR="00A33C21">
        <w:rPr>
          <w:rFonts w:ascii="Book Antiqua" w:hAnsi="Book Antiqua" w:hint="eastAsia"/>
          <w:sz w:val="24"/>
          <w:szCs w:val="24"/>
          <w:lang w:eastAsia="zh-CN"/>
        </w:rPr>
        <w:t xml:space="preserve"> </w:t>
      </w:r>
      <w:r w:rsidR="00094A97" w:rsidRPr="00A903DD">
        <w:rPr>
          <w:rFonts w:ascii="Book Antiqua" w:hAnsi="Book Antiqua"/>
          <w:sz w:val="24"/>
          <w:szCs w:val="24"/>
        </w:rPr>
        <w:t>0.001 for n</w:t>
      </w:r>
      <w:r w:rsidR="00444EF0" w:rsidRPr="00A903DD">
        <w:rPr>
          <w:rFonts w:ascii="Book Antiqua" w:hAnsi="Book Antiqua"/>
          <w:sz w:val="24"/>
          <w:szCs w:val="24"/>
        </w:rPr>
        <w:t xml:space="preserve">oninferiority and </w:t>
      </w:r>
      <w:r w:rsidR="00A33C21" w:rsidRPr="00A33C21">
        <w:rPr>
          <w:rFonts w:ascii="Book Antiqua" w:hAnsi="Book Antiqua"/>
          <w:i/>
          <w:sz w:val="24"/>
          <w:szCs w:val="24"/>
        </w:rPr>
        <w:t>P</w:t>
      </w:r>
      <w:r w:rsidR="00A33C21">
        <w:rPr>
          <w:rFonts w:ascii="Book Antiqua" w:hAnsi="Book Antiqua" w:hint="eastAsia"/>
          <w:i/>
          <w:sz w:val="24"/>
          <w:szCs w:val="24"/>
          <w:lang w:eastAsia="zh-CN"/>
        </w:rPr>
        <w:t xml:space="preserve"> </w:t>
      </w:r>
      <w:r w:rsidR="00444EF0" w:rsidRPr="00A903DD">
        <w:rPr>
          <w:rFonts w:ascii="Book Antiqua" w:hAnsi="Book Antiqua"/>
          <w:sz w:val="24"/>
          <w:szCs w:val="24"/>
        </w:rPr>
        <w:t>=</w:t>
      </w:r>
      <w:r w:rsidR="00A33C21">
        <w:rPr>
          <w:rFonts w:ascii="Book Antiqua" w:hAnsi="Book Antiqua" w:hint="eastAsia"/>
          <w:sz w:val="24"/>
          <w:szCs w:val="24"/>
          <w:lang w:eastAsia="zh-CN"/>
        </w:rPr>
        <w:t xml:space="preserve"> </w:t>
      </w:r>
      <w:r w:rsidR="00094A97" w:rsidRPr="00A903DD">
        <w:rPr>
          <w:rFonts w:ascii="Book Antiqua" w:hAnsi="Book Antiqua"/>
          <w:sz w:val="24"/>
          <w:szCs w:val="24"/>
        </w:rPr>
        <w:t>0.0157 for superiority).  However, like STARS J-2, all VTE detected in the study were asymptomatic and primarily distal DVT</w:t>
      </w:r>
      <w:r w:rsidR="00453BC4" w:rsidRPr="00A903DD">
        <w:rPr>
          <w:rFonts w:ascii="Book Antiqua" w:hAnsi="Book Antiqua"/>
          <w:sz w:val="24"/>
          <w:szCs w:val="24"/>
        </w:rPr>
        <w:t>, possibly due to a relatively small sample size</w:t>
      </w:r>
      <w:r w:rsidR="00A33C21">
        <w:rPr>
          <w:rFonts w:ascii="Book Antiqua" w:hAnsi="Book Antiqua"/>
          <w:sz w:val="24"/>
          <w:szCs w:val="24"/>
        </w:rPr>
        <w:t xml:space="preserve">. </w:t>
      </w:r>
      <w:r w:rsidR="00094A97" w:rsidRPr="00A903DD">
        <w:rPr>
          <w:rFonts w:ascii="Book Antiqua" w:hAnsi="Book Antiqua"/>
          <w:sz w:val="24"/>
          <w:szCs w:val="24"/>
        </w:rPr>
        <w:t>No difference was observed between the groups for major and clinically significant bleeding, occurring in 2.4% of edoxaban and 3.7% of enoxaparin pat</w:t>
      </w:r>
      <w:r w:rsidR="00201832" w:rsidRPr="00A903DD">
        <w:rPr>
          <w:rFonts w:ascii="Book Antiqua" w:hAnsi="Book Antiqua"/>
          <w:sz w:val="24"/>
          <w:szCs w:val="24"/>
        </w:rPr>
        <w:t>ients, respectively (</w:t>
      </w:r>
      <w:r w:rsidR="00A33C21" w:rsidRPr="00A33C21">
        <w:rPr>
          <w:rFonts w:ascii="Book Antiqua" w:hAnsi="Book Antiqua"/>
          <w:i/>
          <w:sz w:val="24"/>
          <w:szCs w:val="24"/>
        </w:rPr>
        <w:t>P</w:t>
      </w:r>
      <w:r w:rsidR="00201832" w:rsidRPr="00A903DD">
        <w:rPr>
          <w:rFonts w:ascii="Book Antiqua" w:hAnsi="Book Antiqua"/>
          <w:sz w:val="24"/>
          <w:szCs w:val="24"/>
        </w:rPr>
        <w:t xml:space="preserve"> = 0.475</w:t>
      </w:r>
      <w:proofErr w:type="gramStart"/>
      <w:r w:rsidR="00201832" w:rsidRPr="00A903DD">
        <w:rPr>
          <w:rFonts w:ascii="Book Antiqua" w:hAnsi="Book Antiqua"/>
          <w:sz w:val="24"/>
          <w:szCs w:val="24"/>
        </w:rPr>
        <w:t>)</w:t>
      </w:r>
      <w:r w:rsidR="00405F4B" w:rsidRPr="00A903DD">
        <w:rPr>
          <w:rFonts w:ascii="Book Antiqua" w:hAnsi="Book Antiqua"/>
          <w:sz w:val="24"/>
          <w:szCs w:val="24"/>
          <w:vertAlign w:val="superscript"/>
        </w:rPr>
        <w:t>[</w:t>
      </w:r>
      <w:proofErr w:type="gramEnd"/>
      <w:r w:rsidR="00405F4B" w:rsidRPr="00A903DD">
        <w:rPr>
          <w:rFonts w:ascii="Book Antiqua" w:hAnsi="Book Antiqua"/>
          <w:sz w:val="24"/>
          <w:szCs w:val="24"/>
          <w:vertAlign w:val="superscript"/>
        </w:rPr>
        <w:t>23,7</w:t>
      </w:r>
      <w:r w:rsidR="00F23175" w:rsidRPr="00A903DD">
        <w:rPr>
          <w:rFonts w:ascii="Book Antiqua" w:hAnsi="Book Antiqua"/>
          <w:sz w:val="24"/>
          <w:szCs w:val="24"/>
          <w:vertAlign w:val="superscript"/>
        </w:rPr>
        <w:t>6</w:t>
      </w:r>
      <w:r w:rsidR="007F48F1" w:rsidRPr="00A903DD">
        <w:rPr>
          <w:rFonts w:ascii="Book Antiqua" w:hAnsi="Book Antiqua"/>
          <w:sz w:val="24"/>
          <w:szCs w:val="24"/>
          <w:vertAlign w:val="superscript"/>
        </w:rPr>
        <w:t>]</w:t>
      </w:r>
      <w:r w:rsidR="00201832" w:rsidRPr="00A903DD">
        <w:rPr>
          <w:rFonts w:ascii="Book Antiqua" w:hAnsi="Book Antiqua"/>
          <w:sz w:val="24"/>
          <w:szCs w:val="24"/>
        </w:rPr>
        <w:t>.</w:t>
      </w:r>
      <w:r w:rsidR="007777E4" w:rsidRPr="00A903DD">
        <w:rPr>
          <w:rFonts w:ascii="Book Antiqua" w:hAnsi="Book Antiqua"/>
          <w:sz w:val="24"/>
          <w:szCs w:val="24"/>
        </w:rPr>
        <w:t xml:space="preserve"> </w:t>
      </w:r>
    </w:p>
    <w:p w:rsidR="00E10966" w:rsidRPr="00A903DD" w:rsidRDefault="00E10966" w:rsidP="00A903DD">
      <w:pPr>
        <w:spacing w:after="0" w:line="360" w:lineRule="auto"/>
        <w:jc w:val="both"/>
        <w:rPr>
          <w:rFonts w:ascii="Book Antiqua" w:hAnsi="Book Antiqua"/>
          <w:b/>
          <w:sz w:val="24"/>
          <w:szCs w:val="24"/>
        </w:rPr>
      </w:pPr>
    </w:p>
    <w:p w:rsidR="00E10966" w:rsidRPr="00A903DD" w:rsidRDefault="00E10966" w:rsidP="00A903DD">
      <w:pPr>
        <w:spacing w:after="0" w:line="360" w:lineRule="auto"/>
        <w:jc w:val="both"/>
        <w:rPr>
          <w:rFonts w:ascii="Book Antiqua" w:hAnsi="Book Antiqua"/>
          <w:b/>
          <w:i/>
          <w:sz w:val="24"/>
          <w:szCs w:val="24"/>
        </w:rPr>
      </w:pPr>
      <w:r w:rsidRPr="00A903DD">
        <w:rPr>
          <w:rFonts w:ascii="Book Antiqua" w:hAnsi="Book Antiqua"/>
          <w:b/>
          <w:i/>
          <w:sz w:val="24"/>
          <w:szCs w:val="24"/>
        </w:rPr>
        <w:t>Comparison of TSOAs in THA</w:t>
      </w:r>
    </w:p>
    <w:p w:rsidR="00296F3D" w:rsidRPr="00A903DD" w:rsidRDefault="00AC108E" w:rsidP="00A903DD">
      <w:pPr>
        <w:spacing w:after="0" w:line="360" w:lineRule="auto"/>
        <w:jc w:val="both"/>
        <w:rPr>
          <w:rFonts w:ascii="Book Antiqua" w:hAnsi="Book Antiqua"/>
          <w:sz w:val="24"/>
          <w:szCs w:val="24"/>
        </w:rPr>
      </w:pPr>
      <w:r w:rsidRPr="00A903DD">
        <w:rPr>
          <w:rFonts w:ascii="Book Antiqua" w:hAnsi="Book Antiqua"/>
          <w:sz w:val="24"/>
          <w:szCs w:val="24"/>
        </w:rPr>
        <w:t>It is important to note that t</w:t>
      </w:r>
      <w:r w:rsidR="0089377F" w:rsidRPr="00A903DD">
        <w:rPr>
          <w:rFonts w:ascii="Book Antiqua" w:hAnsi="Book Antiqua"/>
          <w:sz w:val="24"/>
          <w:szCs w:val="24"/>
        </w:rPr>
        <w:t>here have</w:t>
      </w:r>
      <w:r w:rsidR="006E5E4B" w:rsidRPr="00A903DD">
        <w:rPr>
          <w:rFonts w:ascii="Book Antiqua" w:hAnsi="Book Antiqua"/>
          <w:sz w:val="24"/>
          <w:szCs w:val="24"/>
        </w:rPr>
        <w:t xml:space="preserve"> been no direct comparisons between TSOAs for thromboprophylaxis in THA.  However, several investigators h</w:t>
      </w:r>
      <w:r w:rsidR="00887E44" w:rsidRPr="00A903DD">
        <w:rPr>
          <w:rFonts w:ascii="Book Antiqua" w:hAnsi="Book Antiqua"/>
          <w:sz w:val="24"/>
          <w:szCs w:val="24"/>
        </w:rPr>
        <w:t>ave published systematic analyses</w:t>
      </w:r>
      <w:r w:rsidR="006E5E4B" w:rsidRPr="00A903DD">
        <w:rPr>
          <w:rFonts w:ascii="Book Antiqua" w:hAnsi="Book Antiqua"/>
          <w:sz w:val="24"/>
          <w:szCs w:val="24"/>
        </w:rPr>
        <w:t xml:space="preserve"> that attempt to give perspective regarding the comparable efficacy and/or bleeding risk of</w:t>
      </w:r>
      <w:r w:rsidR="00453BC4" w:rsidRPr="00A903DD">
        <w:rPr>
          <w:rFonts w:ascii="Book Antiqua" w:hAnsi="Book Antiqua"/>
          <w:sz w:val="24"/>
          <w:szCs w:val="24"/>
        </w:rPr>
        <w:t xml:space="preserve"> </w:t>
      </w:r>
      <w:r w:rsidR="00201832" w:rsidRPr="00A903DD">
        <w:rPr>
          <w:rFonts w:ascii="Book Antiqua" w:hAnsi="Book Antiqua"/>
          <w:sz w:val="24"/>
          <w:szCs w:val="24"/>
        </w:rPr>
        <w:t xml:space="preserve">individual new </w:t>
      </w:r>
      <w:proofErr w:type="gramStart"/>
      <w:r w:rsidR="00201832" w:rsidRPr="00A903DD">
        <w:rPr>
          <w:rFonts w:ascii="Book Antiqua" w:hAnsi="Book Antiqua"/>
          <w:sz w:val="24"/>
          <w:szCs w:val="24"/>
        </w:rPr>
        <w:t>agents</w:t>
      </w:r>
      <w:r w:rsidR="006E5E4B" w:rsidRPr="00A903DD">
        <w:rPr>
          <w:rFonts w:ascii="Book Antiqua" w:hAnsi="Book Antiqua"/>
          <w:sz w:val="24"/>
          <w:szCs w:val="24"/>
          <w:vertAlign w:val="superscript"/>
        </w:rPr>
        <w:t>[</w:t>
      </w:r>
      <w:proofErr w:type="gramEnd"/>
      <w:r w:rsidR="0042140B" w:rsidRPr="00A903DD">
        <w:rPr>
          <w:rFonts w:ascii="Book Antiqua" w:hAnsi="Book Antiqua"/>
          <w:sz w:val="24"/>
          <w:szCs w:val="24"/>
          <w:vertAlign w:val="superscript"/>
        </w:rPr>
        <w:t>7</w:t>
      </w:r>
      <w:r w:rsidR="00F23175" w:rsidRPr="00A903DD">
        <w:rPr>
          <w:rFonts w:ascii="Book Antiqua" w:hAnsi="Book Antiqua"/>
          <w:sz w:val="24"/>
          <w:szCs w:val="24"/>
          <w:vertAlign w:val="superscript"/>
        </w:rPr>
        <w:t>7</w:t>
      </w:r>
      <w:r w:rsidR="0042140B" w:rsidRPr="00A903DD">
        <w:rPr>
          <w:rFonts w:ascii="Book Antiqua" w:hAnsi="Book Antiqua"/>
          <w:sz w:val="24"/>
          <w:szCs w:val="24"/>
          <w:vertAlign w:val="superscript"/>
        </w:rPr>
        <w:t>-</w:t>
      </w:r>
      <w:r w:rsidR="00F23175" w:rsidRPr="00A903DD">
        <w:rPr>
          <w:rFonts w:ascii="Book Antiqua" w:hAnsi="Book Antiqua"/>
          <w:sz w:val="24"/>
          <w:szCs w:val="24"/>
          <w:vertAlign w:val="superscript"/>
        </w:rPr>
        <w:t>80</w:t>
      </w:r>
      <w:r w:rsidR="00887E44" w:rsidRPr="00A903DD">
        <w:rPr>
          <w:rFonts w:ascii="Book Antiqua" w:hAnsi="Book Antiqua"/>
          <w:sz w:val="24"/>
          <w:szCs w:val="24"/>
          <w:vertAlign w:val="superscript"/>
        </w:rPr>
        <w:t>]</w:t>
      </w:r>
      <w:r w:rsidR="00201832" w:rsidRPr="00A903DD">
        <w:rPr>
          <w:rFonts w:ascii="Book Antiqua" w:hAnsi="Book Antiqua"/>
          <w:sz w:val="24"/>
          <w:szCs w:val="24"/>
        </w:rPr>
        <w:t>.</w:t>
      </w:r>
      <w:r w:rsidR="00A33C21">
        <w:rPr>
          <w:rFonts w:ascii="Book Antiqua" w:hAnsi="Book Antiqua"/>
          <w:sz w:val="24"/>
          <w:szCs w:val="24"/>
        </w:rPr>
        <w:t xml:space="preserve"> </w:t>
      </w:r>
      <w:r w:rsidR="006E5E4B" w:rsidRPr="00A903DD">
        <w:rPr>
          <w:rFonts w:ascii="Book Antiqua" w:hAnsi="Book Antiqua"/>
          <w:sz w:val="24"/>
          <w:szCs w:val="24"/>
        </w:rPr>
        <w:t xml:space="preserve">At </w:t>
      </w:r>
      <w:r w:rsidR="00887E44" w:rsidRPr="00A903DD">
        <w:rPr>
          <w:rFonts w:ascii="Book Antiqua" w:hAnsi="Book Antiqua"/>
          <w:sz w:val="24"/>
          <w:szCs w:val="24"/>
        </w:rPr>
        <w:t>least two meta-analyses have</w:t>
      </w:r>
      <w:r w:rsidR="00296F3D" w:rsidRPr="00A903DD">
        <w:rPr>
          <w:rFonts w:ascii="Book Antiqua" w:hAnsi="Book Antiqua"/>
          <w:sz w:val="24"/>
          <w:szCs w:val="24"/>
        </w:rPr>
        <w:t xml:space="preserve"> provided results that indirectly compared</w:t>
      </w:r>
      <w:r w:rsidR="00887E44" w:rsidRPr="00A903DD">
        <w:rPr>
          <w:rFonts w:ascii="Book Antiqua" w:hAnsi="Book Antiqua"/>
          <w:sz w:val="24"/>
          <w:szCs w:val="24"/>
        </w:rPr>
        <w:t xml:space="preserve"> the </w:t>
      </w:r>
      <w:r w:rsidR="00296F3D" w:rsidRPr="00A903DD">
        <w:rPr>
          <w:rFonts w:ascii="Book Antiqua" w:hAnsi="Book Antiqua"/>
          <w:sz w:val="24"/>
          <w:szCs w:val="24"/>
        </w:rPr>
        <w:t>efficacy and safety of the TSOAs, while one other meta-analys</w:t>
      </w:r>
      <w:r w:rsidR="00201832" w:rsidRPr="00A903DD">
        <w:rPr>
          <w:rFonts w:ascii="Book Antiqua" w:hAnsi="Book Antiqua"/>
          <w:sz w:val="24"/>
          <w:szCs w:val="24"/>
        </w:rPr>
        <w:t xml:space="preserve">is focused solely on the </w:t>
      </w:r>
      <w:proofErr w:type="gramStart"/>
      <w:r w:rsidR="00201832" w:rsidRPr="00A903DD">
        <w:rPr>
          <w:rFonts w:ascii="Book Antiqua" w:hAnsi="Book Antiqua"/>
          <w:sz w:val="24"/>
          <w:szCs w:val="24"/>
        </w:rPr>
        <w:t>safety</w:t>
      </w:r>
      <w:r w:rsidR="0042140B" w:rsidRPr="00A903DD">
        <w:rPr>
          <w:rFonts w:ascii="Book Antiqua" w:hAnsi="Book Antiqua"/>
          <w:sz w:val="24"/>
          <w:szCs w:val="24"/>
          <w:vertAlign w:val="superscript"/>
        </w:rPr>
        <w:t>[</w:t>
      </w:r>
      <w:proofErr w:type="gramEnd"/>
      <w:r w:rsidR="0042140B" w:rsidRPr="00A903DD">
        <w:rPr>
          <w:rFonts w:ascii="Book Antiqua" w:hAnsi="Book Antiqua"/>
          <w:sz w:val="24"/>
          <w:szCs w:val="24"/>
          <w:vertAlign w:val="superscript"/>
        </w:rPr>
        <w:t>7</w:t>
      </w:r>
      <w:r w:rsidR="00F23175" w:rsidRPr="00A903DD">
        <w:rPr>
          <w:rFonts w:ascii="Book Antiqua" w:hAnsi="Book Antiqua"/>
          <w:sz w:val="24"/>
          <w:szCs w:val="24"/>
          <w:vertAlign w:val="superscript"/>
        </w:rPr>
        <w:t>7</w:t>
      </w:r>
      <w:r w:rsidR="0042140B" w:rsidRPr="00A903DD">
        <w:rPr>
          <w:rFonts w:ascii="Book Antiqua" w:hAnsi="Book Antiqua"/>
          <w:sz w:val="24"/>
          <w:szCs w:val="24"/>
          <w:vertAlign w:val="superscript"/>
        </w:rPr>
        <w:t>-8</w:t>
      </w:r>
      <w:r w:rsidR="00F23175" w:rsidRPr="00A903DD">
        <w:rPr>
          <w:rFonts w:ascii="Book Antiqua" w:hAnsi="Book Antiqua"/>
          <w:sz w:val="24"/>
          <w:szCs w:val="24"/>
          <w:vertAlign w:val="superscript"/>
        </w:rPr>
        <w:t>1</w:t>
      </w:r>
      <w:r w:rsidR="00296F3D" w:rsidRPr="00A903DD">
        <w:rPr>
          <w:rFonts w:ascii="Book Antiqua" w:hAnsi="Book Antiqua"/>
          <w:sz w:val="24"/>
          <w:szCs w:val="24"/>
          <w:vertAlign w:val="superscript"/>
        </w:rPr>
        <w:t>]</w:t>
      </w:r>
      <w:r w:rsidR="00201832" w:rsidRPr="00A903DD">
        <w:rPr>
          <w:rFonts w:ascii="Book Antiqua" w:hAnsi="Book Antiqua"/>
          <w:sz w:val="24"/>
          <w:szCs w:val="24"/>
        </w:rPr>
        <w:t>.</w:t>
      </w:r>
      <w:r w:rsidR="00887E44" w:rsidRPr="00A903DD">
        <w:rPr>
          <w:rFonts w:ascii="Book Antiqua" w:hAnsi="Book Antiqua"/>
          <w:sz w:val="24"/>
          <w:szCs w:val="24"/>
        </w:rPr>
        <w:t xml:space="preserve"> </w:t>
      </w:r>
    </w:p>
    <w:p w:rsidR="00EF477A" w:rsidRPr="00A903DD" w:rsidRDefault="00296F3D"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Da</w:t>
      </w:r>
      <w:r w:rsidR="00F23175" w:rsidRPr="00A903DD">
        <w:rPr>
          <w:rFonts w:ascii="Book Antiqua" w:hAnsi="Book Antiqua"/>
          <w:sz w:val="24"/>
          <w:szCs w:val="24"/>
        </w:rPr>
        <w:t>bigatran, rivaroxaban, and apixa</w:t>
      </w:r>
      <w:r w:rsidRPr="00A903DD">
        <w:rPr>
          <w:rFonts w:ascii="Book Antiqua" w:hAnsi="Book Antiqua"/>
          <w:sz w:val="24"/>
          <w:szCs w:val="24"/>
        </w:rPr>
        <w:t>ban were i</w:t>
      </w:r>
      <w:r w:rsidR="00F23175" w:rsidRPr="00A903DD">
        <w:rPr>
          <w:rFonts w:ascii="Book Antiqua" w:hAnsi="Book Antiqua"/>
          <w:sz w:val="24"/>
          <w:szCs w:val="24"/>
        </w:rPr>
        <w:t>ndirectly compared by Gó</w:t>
      </w:r>
      <w:r w:rsidRPr="00A903DD">
        <w:rPr>
          <w:rFonts w:ascii="Book Antiqua" w:hAnsi="Book Antiqua"/>
          <w:sz w:val="24"/>
          <w:szCs w:val="24"/>
        </w:rPr>
        <w:t xml:space="preserve">mez-Outes </w:t>
      </w:r>
      <w:r w:rsidRPr="00A33C21">
        <w:rPr>
          <w:rFonts w:ascii="Book Antiqua" w:hAnsi="Book Antiqua"/>
          <w:i/>
          <w:sz w:val="24"/>
          <w:szCs w:val="24"/>
        </w:rPr>
        <w:t xml:space="preserve">et </w:t>
      </w:r>
      <w:proofErr w:type="gramStart"/>
      <w:r w:rsidRPr="00A33C21">
        <w:rPr>
          <w:rFonts w:ascii="Book Antiqua" w:hAnsi="Book Antiqua"/>
          <w:i/>
          <w:sz w:val="24"/>
          <w:szCs w:val="24"/>
        </w:rPr>
        <w:t>al</w:t>
      </w:r>
      <w:r w:rsidR="00201832" w:rsidRPr="00A903DD">
        <w:rPr>
          <w:rFonts w:ascii="Book Antiqua" w:hAnsi="Book Antiqua"/>
          <w:sz w:val="24"/>
          <w:szCs w:val="24"/>
          <w:vertAlign w:val="superscript"/>
        </w:rPr>
        <w:t>[</w:t>
      </w:r>
      <w:proofErr w:type="gramEnd"/>
      <w:r w:rsidR="00201832" w:rsidRPr="00A903DD">
        <w:rPr>
          <w:rFonts w:ascii="Book Antiqua" w:hAnsi="Book Antiqua"/>
          <w:sz w:val="24"/>
          <w:szCs w:val="24"/>
          <w:vertAlign w:val="superscript"/>
        </w:rPr>
        <w:t>78]</w:t>
      </w:r>
      <w:r w:rsidRPr="00A903DD">
        <w:rPr>
          <w:rFonts w:ascii="Book Antiqua" w:hAnsi="Book Antiqua"/>
          <w:sz w:val="24"/>
          <w:szCs w:val="24"/>
        </w:rPr>
        <w:t xml:space="preserve"> based on study results that compared the given TSOA to enoxaparin</w:t>
      </w:r>
      <w:r w:rsidR="00A33C21">
        <w:rPr>
          <w:rFonts w:ascii="Book Antiqua" w:hAnsi="Book Antiqua"/>
          <w:sz w:val="24"/>
          <w:szCs w:val="24"/>
        </w:rPr>
        <w:t xml:space="preserve">. </w:t>
      </w:r>
      <w:r w:rsidR="00AC108E" w:rsidRPr="00A903DD">
        <w:rPr>
          <w:rFonts w:ascii="Book Antiqua" w:hAnsi="Book Antiqua"/>
          <w:sz w:val="24"/>
          <w:szCs w:val="24"/>
        </w:rPr>
        <w:t>E</w:t>
      </w:r>
      <w:r w:rsidRPr="00A903DD">
        <w:rPr>
          <w:rFonts w:ascii="Book Antiqua" w:hAnsi="Book Antiqua"/>
          <w:sz w:val="24"/>
          <w:szCs w:val="24"/>
        </w:rPr>
        <w:t xml:space="preserve">ight </w:t>
      </w:r>
      <w:r w:rsidR="00AC108E" w:rsidRPr="00A903DD">
        <w:rPr>
          <w:rFonts w:ascii="Book Antiqua" w:hAnsi="Book Antiqua"/>
          <w:sz w:val="24"/>
          <w:szCs w:val="24"/>
        </w:rPr>
        <w:t xml:space="preserve">of 16 included </w:t>
      </w:r>
      <w:r w:rsidRPr="00A903DD">
        <w:rPr>
          <w:rFonts w:ascii="Book Antiqua" w:hAnsi="Book Antiqua"/>
          <w:sz w:val="24"/>
          <w:szCs w:val="24"/>
        </w:rPr>
        <w:t xml:space="preserve">studies </w:t>
      </w:r>
      <w:r w:rsidR="00AC108E" w:rsidRPr="00A903DD">
        <w:rPr>
          <w:rFonts w:ascii="Book Antiqua" w:hAnsi="Book Antiqua"/>
          <w:sz w:val="24"/>
          <w:szCs w:val="24"/>
        </w:rPr>
        <w:t xml:space="preserve">were in THA patients but results of the indirect comparisons were not separated by </w:t>
      </w:r>
      <w:r w:rsidR="00034E96" w:rsidRPr="00A903DD">
        <w:rPr>
          <w:rFonts w:ascii="Book Antiqua" w:hAnsi="Book Antiqua"/>
          <w:sz w:val="24"/>
          <w:szCs w:val="24"/>
        </w:rPr>
        <w:t xml:space="preserve">orthopedic </w:t>
      </w:r>
      <w:r w:rsidR="00A33C21">
        <w:rPr>
          <w:rFonts w:ascii="Book Antiqua" w:hAnsi="Book Antiqua"/>
          <w:sz w:val="24"/>
          <w:szCs w:val="24"/>
        </w:rPr>
        <w:t xml:space="preserve">surgery type. </w:t>
      </w:r>
      <w:r w:rsidR="00AC108E" w:rsidRPr="00A903DD">
        <w:rPr>
          <w:rFonts w:ascii="Book Antiqua" w:hAnsi="Book Antiqua"/>
          <w:sz w:val="24"/>
          <w:szCs w:val="24"/>
        </w:rPr>
        <w:t xml:space="preserve">In this analysis, rivaroxaban tended to be associated with a lower relative risk (RR) for symptomatic VTE but also a greater RR for clinically relevant and major bleeding, </w:t>
      </w:r>
      <w:r w:rsidR="00034E96" w:rsidRPr="00A903DD">
        <w:rPr>
          <w:rFonts w:ascii="Book Antiqua" w:hAnsi="Book Antiqua"/>
          <w:sz w:val="24"/>
          <w:szCs w:val="24"/>
        </w:rPr>
        <w:t>although</w:t>
      </w:r>
      <w:r w:rsidR="00AC108E" w:rsidRPr="00A903DD">
        <w:rPr>
          <w:rFonts w:ascii="Book Antiqua" w:hAnsi="Book Antiqua"/>
          <w:sz w:val="24"/>
          <w:szCs w:val="24"/>
        </w:rPr>
        <w:t xml:space="preserve"> no differences were statistically significant.</w:t>
      </w:r>
      <w:r w:rsidR="00A33C21">
        <w:rPr>
          <w:rFonts w:ascii="Book Antiqua" w:hAnsi="Book Antiqua"/>
          <w:sz w:val="24"/>
          <w:szCs w:val="24"/>
        </w:rPr>
        <w:t xml:space="preserve"> </w:t>
      </w:r>
      <w:r w:rsidR="00AC108E" w:rsidRPr="00A903DD">
        <w:rPr>
          <w:rFonts w:ascii="Book Antiqua" w:hAnsi="Book Antiqua"/>
          <w:sz w:val="24"/>
          <w:szCs w:val="24"/>
        </w:rPr>
        <w:t xml:space="preserve">A </w:t>
      </w:r>
      <w:r w:rsidR="00887E44" w:rsidRPr="00A903DD">
        <w:rPr>
          <w:rFonts w:ascii="Book Antiqua" w:hAnsi="Book Antiqua"/>
          <w:sz w:val="24"/>
          <w:szCs w:val="24"/>
        </w:rPr>
        <w:t>random effe</w:t>
      </w:r>
      <w:r w:rsidR="00201832" w:rsidRPr="00A903DD">
        <w:rPr>
          <w:rFonts w:ascii="Book Antiqua" w:hAnsi="Book Antiqua"/>
          <w:sz w:val="24"/>
          <w:szCs w:val="24"/>
        </w:rPr>
        <w:t>cts meta-analysis performed by L</w:t>
      </w:r>
      <w:r w:rsidR="00887E44" w:rsidRPr="00A903DD">
        <w:rPr>
          <w:rFonts w:ascii="Book Antiqua" w:hAnsi="Book Antiqua"/>
          <w:sz w:val="24"/>
          <w:szCs w:val="24"/>
        </w:rPr>
        <w:t xml:space="preserve">oke </w:t>
      </w:r>
      <w:r w:rsidR="00887E44" w:rsidRPr="00A33C21">
        <w:rPr>
          <w:rFonts w:ascii="Book Antiqua" w:hAnsi="Book Antiqua"/>
          <w:i/>
          <w:sz w:val="24"/>
          <w:szCs w:val="24"/>
        </w:rPr>
        <w:t xml:space="preserve">et </w:t>
      </w:r>
      <w:proofErr w:type="gramStart"/>
      <w:r w:rsidR="00887E44" w:rsidRPr="00A33C21">
        <w:rPr>
          <w:rFonts w:ascii="Book Antiqua" w:hAnsi="Book Antiqua"/>
          <w:i/>
          <w:sz w:val="24"/>
          <w:szCs w:val="24"/>
        </w:rPr>
        <w:t>al</w:t>
      </w:r>
      <w:r w:rsidR="00201832" w:rsidRPr="00A903DD">
        <w:rPr>
          <w:rFonts w:ascii="Book Antiqua" w:hAnsi="Book Antiqua"/>
          <w:sz w:val="24"/>
          <w:szCs w:val="24"/>
          <w:vertAlign w:val="superscript"/>
        </w:rPr>
        <w:t>[</w:t>
      </w:r>
      <w:proofErr w:type="gramEnd"/>
      <w:r w:rsidR="00201832" w:rsidRPr="00A903DD">
        <w:rPr>
          <w:rFonts w:ascii="Book Antiqua" w:hAnsi="Book Antiqua"/>
          <w:sz w:val="24"/>
          <w:szCs w:val="24"/>
          <w:vertAlign w:val="superscript"/>
        </w:rPr>
        <w:t>79]</w:t>
      </w:r>
      <w:r w:rsidR="00887E44" w:rsidRPr="00A903DD">
        <w:rPr>
          <w:rFonts w:ascii="Book Antiqua" w:hAnsi="Book Antiqua"/>
          <w:sz w:val="24"/>
          <w:szCs w:val="24"/>
        </w:rPr>
        <w:t xml:space="preserve"> included nine studies</w:t>
      </w:r>
      <w:r w:rsidR="00453BC4" w:rsidRPr="00A903DD">
        <w:rPr>
          <w:rFonts w:ascii="Book Antiqua" w:hAnsi="Book Antiqua"/>
          <w:sz w:val="24"/>
          <w:szCs w:val="24"/>
        </w:rPr>
        <w:t xml:space="preserve"> </w:t>
      </w:r>
      <w:r w:rsidR="00887E44" w:rsidRPr="00A903DD">
        <w:rPr>
          <w:rFonts w:ascii="Book Antiqua" w:hAnsi="Book Antiqua"/>
          <w:sz w:val="24"/>
          <w:szCs w:val="24"/>
        </w:rPr>
        <w:lastRenderedPageBreak/>
        <w:t>thr</w:t>
      </w:r>
      <w:r w:rsidR="00453BC4" w:rsidRPr="00A903DD">
        <w:rPr>
          <w:rFonts w:ascii="Book Antiqua" w:hAnsi="Book Antiqua"/>
          <w:sz w:val="24"/>
          <w:szCs w:val="24"/>
        </w:rPr>
        <w:t>ee of which</w:t>
      </w:r>
      <w:r w:rsidR="00887E44" w:rsidRPr="00A903DD">
        <w:rPr>
          <w:rFonts w:ascii="Book Antiqua" w:hAnsi="Book Antiqua"/>
          <w:sz w:val="24"/>
          <w:szCs w:val="24"/>
        </w:rPr>
        <w:t xml:space="preserve"> were condu</w:t>
      </w:r>
      <w:r w:rsidR="00A33C21">
        <w:rPr>
          <w:rFonts w:ascii="Book Antiqua" w:hAnsi="Book Antiqua"/>
          <w:sz w:val="24"/>
          <w:szCs w:val="24"/>
        </w:rPr>
        <w:t xml:space="preserve">cted in elective THA patients. </w:t>
      </w:r>
      <w:r w:rsidR="00887E44" w:rsidRPr="00A903DD">
        <w:rPr>
          <w:rFonts w:ascii="Book Antiqua" w:hAnsi="Book Antiqua"/>
          <w:sz w:val="24"/>
          <w:szCs w:val="24"/>
        </w:rPr>
        <w:t>The</w:t>
      </w:r>
      <w:r w:rsidRPr="00A903DD">
        <w:rPr>
          <w:rFonts w:ascii="Book Antiqua" w:hAnsi="Book Antiqua"/>
          <w:sz w:val="24"/>
          <w:szCs w:val="24"/>
        </w:rPr>
        <w:t>y</w:t>
      </w:r>
      <w:r w:rsidR="00887E44" w:rsidRPr="00A903DD">
        <w:rPr>
          <w:rFonts w:ascii="Book Antiqua" w:hAnsi="Book Antiqua"/>
          <w:sz w:val="24"/>
          <w:szCs w:val="24"/>
        </w:rPr>
        <w:t xml:space="preserve"> found that in THA patients, rivaroxaban </w:t>
      </w:r>
      <w:r w:rsidR="00EF477A" w:rsidRPr="00A903DD">
        <w:rPr>
          <w:rFonts w:ascii="Book Antiqua" w:hAnsi="Book Antiqua"/>
          <w:sz w:val="24"/>
          <w:szCs w:val="24"/>
        </w:rPr>
        <w:t xml:space="preserve">10mg daily </w:t>
      </w:r>
      <w:r w:rsidR="00887E44" w:rsidRPr="00A903DD">
        <w:rPr>
          <w:rFonts w:ascii="Book Antiqua" w:hAnsi="Book Antiqua"/>
          <w:sz w:val="24"/>
          <w:szCs w:val="24"/>
        </w:rPr>
        <w:t>compared to dabigatran</w:t>
      </w:r>
      <w:r w:rsidR="00EF477A" w:rsidRPr="00A903DD">
        <w:rPr>
          <w:rFonts w:ascii="Book Antiqua" w:hAnsi="Book Antiqua"/>
          <w:sz w:val="24"/>
          <w:szCs w:val="24"/>
        </w:rPr>
        <w:t xml:space="preserve"> 150 or 220</w:t>
      </w:r>
      <w:r w:rsidR="00F23175" w:rsidRPr="00A903DD">
        <w:rPr>
          <w:rFonts w:ascii="Book Antiqua" w:hAnsi="Book Antiqua"/>
          <w:sz w:val="24"/>
          <w:szCs w:val="24"/>
        </w:rPr>
        <w:t xml:space="preserve"> </w:t>
      </w:r>
      <w:r w:rsidR="00EF477A" w:rsidRPr="00A903DD">
        <w:rPr>
          <w:rFonts w:ascii="Book Antiqua" w:hAnsi="Book Antiqua"/>
          <w:sz w:val="24"/>
          <w:szCs w:val="24"/>
        </w:rPr>
        <w:t>mg daily</w:t>
      </w:r>
      <w:r w:rsidR="00887E44" w:rsidRPr="00A903DD">
        <w:rPr>
          <w:rFonts w:ascii="Book Antiqua" w:hAnsi="Book Antiqua"/>
          <w:sz w:val="24"/>
          <w:szCs w:val="24"/>
        </w:rPr>
        <w:t xml:space="preserve"> was more effective in preventing VTE (</w:t>
      </w:r>
      <w:r w:rsidR="00034E96" w:rsidRPr="00A903DD">
        <w:rPr>
          <w:rFonts w:ascii="Book Antiqua" w:hAnsi="Book Antiqua"/>
          <w:sz w:val="24"/>
          <w:szCs w:val="24"/>
        </w:rPr>
        <w:t>RR</w:t>
      </w:r>
      <w:r w:rsidR="00887E44" w:rsidRPr="00A903DD">
        <w:rPr>
          <w:rFonts w:ascii="Book Antiqua" w:hAnsi="Book Antiqua"/>
          <w:sz w:val="24"/>
          <w:szCs w:val="24"/>
        </w:rPr>
        <w:t xml:space="preserve"> 0.46) but </w:t>
      </w:r>
      <w:r w:rsidR="00EF477A" w:rsidRPr="00A903DD">
        <w:rPr>
          <w:rFonts w:ascii="Book Antiqua" w:hAnsi="Book Antiqua"/>
          <w:sz w:val="24"/>
          <w:szCs w:val="24"/>
        </w:rPr>
        <w:t>caused more bleeding (RR = 1.1</w:t>
      </w:r>
      <w:r w:rsidR="00A33C21">
        <w:rPr>
          <w:rFonts w:ascii="Book Antiqua" w:hAnsi="Book Antiqua"/>
          <w:sz w:val="24"/>
          <w:szCs w:val="24"/>
        </w:rPr>
        <w:t>4)</w:t>
      </w:r>
      <w:r w:rsidR="0042140B" w:rsidRPr="00A903DD">
        <w:rPr>
          <w:rFonts w:ascii="Book Antiqua" w:hAnsi="Book Antiqua"/>
          <w:sz w:val="24"/>
          <w:szCs w:val="24"/>
          <w:vertAlign w:val="superscript"/>
        </w:rPr>
        <w:t>[7</w:t>
      </w:r>
      <w:r w:rsidR="00F23175" w:rsidRPr="00A903DD">
        <w:rPr>
          <w:rFonts w:ascii="Book Antiqua" w:hAnsi="Book Antiqua"/>
          <w:sz w:val="24"/>
          <w:szCs w:val="24"/>
          <w:vertAlign w:val="superscript"/>
        </w:rPr>
        <w:t>9</w:t>
      </w:r>
      <w:r w:rsidR="00EF477A" w:rsidRPr="00A903DD">
        <w:rPr>
          <w:rFonts w:ascii="Book Antiqua" w:hAnsi="Book Antiqua"/>
          <w:sz w:val="24"/>
          <w:szCs w:val="24"/>
          <w:vertAlign w:val="superscript"/>
        </w:rPr>
        <w:t>]</w:t>
      </w:r>
      <w:r w:rsidR="00A33C21">
        <w:rPr>
          <w:rFonts w:ascii="Book Antiqua" w:hAnsi="Book Antiqua" w:hint="eastAsia"/>
          <w:sz w:val="24"/>
          <w:szCs w:val="24"/>
          <w:lang w:eastAsia="zh-CN"/>
        </w:rPr>
        <w:t>.</w:t>
      </w:r>
      <w:r w:rsidR="00EF477A" w:rsidRPr="00A903DD">
        <w:rPr>
          <w:rFonts w:ascii="Book Antiqua" w:hAnsi="Book Antiqua"/>
          <w:sz w:val="24"/>
          <w:szCs w:val="24"/>
        </w:rPr>
        <w:t xml:space="preserve"> In a similar indirect comparison, Alves </w:t>
      </w:r>
      <w:r w:rsidR="00EF477A" w:rsidRPr="00A33C21">
        <w:rPr>
          <w:rFonts w:ascii="Book Antiqua" w:hAnsi="Book Antiqua"/>
          <w:i/>
          <w:sz w:val="24"/>
          <w:szCs w:val="24"/>
        </w:rPr>
        <w:t xml:space="preserve">et </w:t>
      </w:r>
      <w:proofErr w:type="gramStart"/>
      <w:r w:rsidR="00EF477A" w:rsidRPr="00A33C21">
        <w:rPr>
          <w:rFonts w:ascii="Book Antiqua" w:hAnsi="Book Antiqua"/>
          <w:i/>
          <w:sz w:val="24"/>
          <w:szCs w:val="24"/>
        </w:rPr>
        <w:t>al</w:t>
      </w:r>
      <w:r w:rsidR="00201832" w:rsidRPr="00A903DD">
        <w:rPr>
          <w:rFonts w:ascii="Book Antiqua" w:hAnsi="Book Antiqua"/>
          <w:sz w:val="24"/>
          <w:szCs w:val="24"/>
          <w:vertAlign w:val="superscript"/>
        </w:rPr>
        <w:t>[</w:t>
      </w:r>
      <w:proofErr w:type="gramEnd"/>
      <w:r w:rsidR="00201832" w:rsidRPr="00A903DD">
        <w:rPr>
          <w:rFonts w:ascii="Book Antiqua" w:hAnsi="Book Antiqua"/>
          <w:sz w:val="24"/>
          <w:szCs w:val="24"/>
          <w:vertAlign w:val="superscript"/>
        </w:rPr>
        <w:t>80]</w:t>
      </w:r>
      <w:r w:rsidR="00EF477A" w:rsidRPr="00A903DD">
        <w:rPr>
          <w:rFonts w:ascii="Book Antiqua" w:hAnsi="Book Antiqua"/>
          <w:sz w:val="24"/>
          <w:szCs w:val="24"/>
        </w:rPr>
        <w:t xml:space="preserve"> reported no differences between rivaroxaban and </w:t>
      </w:r>
      <w:r w:rsidR="00F23175" w:rsidRPr="00A903DD">
        <w:rPr>
          <w:rFonts w:ascii="Book Antiqua" w:hAnsi="Book Antiqua"/>
          <w:sz w:val="24"/>
          <w:szCs w:val="24"/>
        </w:rPr>
        <w:t>apixa</w:t>
      </w:r>
      <w:r w:rsidR="00C925C2" w:rsidRPr="00A903DD">
        <w:rPr>
          <w:rFonts w:ascii="Book Antiqua" w:hAnsi="Book Antiqua"/>
          <w:sz w:val="24"/>
          <w:szCs w:val="24"/>
        </w:rPr>
        <w:t xml:space="preserve">ban for </w:t>
      </w:r>
      <w:r w:rsidRPr="00A903DD">
        <w:rPr>
          <w:rFonts w:ascii="Book Antiqua" w:hAnsi="Book Antiqua"/>
          <w:sz w:val="24"/>
          <w:szCs w:val="24"/>
        </w:rPr>
        <w:t xml:space="preserve">total or major bleeding </w:t>
      </w:r>
      <w:r w:rsidR="00EF477A" w:rsidRPr="00A903DD">
        <w:rPr>
          <w:rFonts w:ascii="Book Antiqua" w:hAnsi="Book Antiqua"/>
          <w:sz w:val="24"/>
          <w:szCs w:val="24"/>
        </w:rPr>
        <w:t>safety in the subgroup of patients undergoing THA.</w:t>
      </w:r>
    </w:p>
    <w:p w:rsidR="002D3D87" w:rsidRPr="00A903DD" w:rsidRDefault="00EF477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A recent </w:t>
      </w:r>
      <w:r w:rsidR="0089377F" w:rsidRPr="00A903DD">
        <w:rPr>
          <w:rFonts w:ascii="Book Antiqua" w:hAnsi="Book Antiqua"/>
          <w:sz w:val="24"/>
          <w:szCs w:val="24"/>
        </w:rPr>
        <w:t>meta</w:t>
      </w:r>
      <w:r w:rsidR="00453BC4" w:rsidRPr="00A903DD">
        <w:rPr>
          <w:rFonts w:ascii="Book Antiqua" w:hAnsi="Book Antiqua"/>
          <w:sz w:val="24"/>
          <w:szCs w:val="24"/>
        </w:rPr>
        <w:t>-</w:t>
      </w:r>
      <w:r w:rsidR="0089377F" w:rsidRPr="00A903DD">
        <w:rPr>
          <w:rFonts w:ascii="Book Antiqua" w:hAnsi="Book Antiqua"/>
          <w:sz w:val="24"/>
          <w:szCs w:val="24"/>
        </w:rPr>
        <w:t xml:space="preserve">synthesis </w:t>
      </w:r>
      <w:r w:rsidRPr="00A903DD">
        <w:rPr>
          <w:rFonts w:ascii="Book Antiqua" w:hAnsi="Book Antiqua"/>
          <w:sz w:val="24"/>
          <w:szCs w:val="24"/>
        </w:rPr>
        <w:t xml:space="preserve">by Adam </w:t>
      </w:r>
      <w:r w:rsidRPr="00A33C21">
        <w:rPr>
          <w:rFonts w:ascii="Book Antiqua" w:hAnsi="Book Antiqua"/>
          <w:i/>
          <w:sz w:val="24"/>
          <w:szCs w:val="24"/>
        </w:rPr>
        <w:t xml:space="preserve">et </w:t>
      </w:r>
      <w:proofErr w:type="gramStart"/>
      <w:r w:rsidRPr="00A33C21">
        <w:rPr>
          <w:rFonts w:ascii="Book Antiqua" w:hAnsi="Book Antiqua"/>
          <w:i/>
          <w:sz w:val="24"/>
          <w:szCs w:val="24"/>
        </w:rPr>
        <w:t>al</w:t>
      </w:r>
      <w:r w:rsidR="00201832" w:rsidRPr="00A903DD">
        <w:rPr>
          <w:rFonts w:ascii="Book Antiqua" w:hAnsi="Book Antiqua"/>
          <w:sz w:val="24"/>
          <w:szCs w:val="24"/>
          <w:vertAlign w:val="superscript"/>
        </w:rPr>
        <w:t>[</w:t>
      </w:r>
      <w:proofErr w:type="gramEnd"/>
      <w:r w:rsidR="00201832" w:rsidRPr="00A903DD">
        <w:rPr>
          <w:rFonts w:ascii="Book Antiqua" w:hAnsi="Book Antiqua"/>
          <w:sz w:val="24"/>
          <w:szCs w:val="24"/>
          <w:vertAlign w:val="superscript"/>
        </w:rPr>
        <w:t>81]</w:t>
      </w:r>
      <w:r w:rsidRPr="00A903DD">
        <w:rPr>
          <w:rFonts w:ascii="Book Antiqua" w:hAnsi="Book Antiqua"/>
          <w:sz w:val="24"/>
          <w:szCs w:val="24"/>
        </w:rPr>
        <w:t xml:space="preserve"> </w:t>
      </w:r>
      <w:r w:rsidR="00453BC4" w:rsidRPr="00A903DD">
        <w:rPr>
          <w:rFonts w:ascii="Book Antiqua" w:hAnsi="Book Antiqua"/>
          <w:sz w:val="24"/>
          <w:szCs w:val="24"/>
        </w:rPr>
        <w:t>analyzed</w:t>
      </w:r>
      <w:r w:rsidR="0089377F" w:rsidRPr="00A903DD">
        <w:rPr>
          <w:rFonts w:ascii="Book Antiqua" w:hAnsi="Book Antiqua"/>
          <w:sz w:val="24"/>
          <w:szCs w:val="24"/>
        </w:rPr>
        <w:t xml:space="preserve"> six previous systematic reviews that compared the TSOAs to other thromboprophy</w:t>
      </w:r>
      <w:r w:rsidR="00A33C21">
        <w:rPr>
          <w:rFonts w:ascii="Book Antiqua" w:hAnsi="Book Antiqua"/>
          <w:sz w:val="24"/>
          <w:szCs w:val="24"/>
        </w:rPr>
        <w:t>laxis agents, primarily LMWHs.</w:t>
      </w:r>
      <w:r w:rsidR="00A33C21">
        <w:rPr>
          <w:rFonts w:ascii="Book Antiqua" w:hAnsi="Book Antiqua" w:hint="eastAsia"/>
          <w:sz w:val="24"/>
          <w:szCs w:val="24"/>
          <w:lang w:eastAsia="zh-CN"/>
        </w:rPr>
        <w:t xml:space="preserve"> </w:t>
      </w:r>
      <w:r w:rsidR="00AC108E" w:rsidRPr="00A903DD">
        <w:rPr>
          <w:rFonts w:ascii="Book Antiqua" w:hAnsi="Book Antiqua"/>
          <w:sz w:val="24"/>
          <w:szCs w:val="24"/>
        </w:rPr>
        <w:t>As would be expected, their findings mirror previous conclusions regarding the individual TSOA</w:t>
      </w:r>
      <w:r w:rsidR="00F23175" w:rsidRPr="00A903DD">
        <w:rPr>
          <w:rFonts w:ascii="Book Antiqua" w:hAnsi="Book Antiqua"/>
          <w:sz w:val="24"/>
          <w:szCs w:val="24"/>
        </w:rPr>
        <w:t>s</w:t>
      </w:r>
      <w:r w:rsidR="00A33C21">
        <w:rPr>
          <w:rFonts w:ascii="Book Antiqua" w:hAnsi="Book Antiqua"/>
          <w:sz w:val="24"/>
          <w:szCs w:val="24"/>
        </w:rPr>
        <w:t xml:space="preserve">. </w:t>
      </w:r>
      <w:r w:rsidR="00AC108E" w:rsidRPr="00A903DD">
        <w:rPr>
          <w:rFonts w:ascii="Book Antiqua" w:hAnsi="Book Antiqua"/>
          <w:sz w:val="24"/>
          <w:szCs w:val="24"/>
        </w:rPr>
        <w:t>However, they also noted that the strength of evidence was greater for FXa inhibitors than for dabigatran comparisons to LMWH.</w:t>
      </w:r>
      <w:r w:rsidR="0089377F" w:rsidRPr="00A903DD">
        <w:rPr>
          <w:rFonts w:ascii="Book Antiqua" w:hAnsi="Book Antiqua"/>
          <w:sz w:val="24"/>
          <w:szCs w:val="24"/>
        </w:rPr>
        <w:t xml:space="preserve">  </w:t>
      </w:r>
      <w:r w:rsidR="00887E44" w:rsidRPr="00A903DD">
        <w:rPr>
          <w:rFonts w:ascii="Book Antiqua" w:hAnsi="Book Antiqua"/>
          <w:sz w:val="24"/>
          <w:szCs w:val="24"/>
        </w:rPr>
        <w:t xml:space="preserve"> </w:t>
      </w:r>
      <w:r w:rsidR="006E5E4B" w:rsidRPr="00A903DD">
        <w:rPr>
          <w:rFonts w:ascii="Book Antiqua" w:hAnsi="Book Antiqua"/>
          <w:sz w:val="24"/>
          <w:szCs w:val="24"/>
        </w:rPr>
        <w:t xml:space="preserve">  </w:t>
      </w:r>
    </w:p>
    <w:p w:rsidR="00E10966" w:rsidRPr="00A903DD" w:rsidRDefault="00E10966" w:rsidP="00A903DD">
      <w:pPr>
        <w:spacing w:after="0" w:line="360" w:lineRule="auto"/>
        <w:jc w:val="both"/>
        <w:rPr>
          <w:rFonts w:ascii="Book Antiqua" w:hAnsi="Book Antiqua"/>
          <w:b/>
          <w:sz w:val="24"/>
          <w:szCs w:val="24"/>
        </w:rPr>
      </w:pPr>
      <w:r w:rsidRPr="00A903DD">
        <w:rPr>
          <w:rFonts w:ascii="Book Antiqua" w:hAnsi="Book Antiqua"/>
          <w:b/>
          <w:sz w:val="24"/>
          <w:szCs w:val="24"/>
        </w:rPr>
        <w:tab/>
        <w:t xml:space="preserve"> </w:t>
      </w:r>
    </w:p>
    <w:p w:rsidR="00D76554" w:rsidRPr="00A903DD" w:rsidRDefault="00A33C21" w:rsidP="00A903DD">
      <w:pPr>
        <w:spacing w:after="0" w:line="360" w:lineRule="auto"/>
        <w:jc w:val="both"/>
        <w:rPr>
          <w:rFonts w:ascii="Book Antiqua" w:hAnsi="Book Antiqua"/>
          <w:b/>
          <w:sz w:val="24"/>
          <w:szCs w:val="24"/>
        </w:rPr>
      </w:pPr>
      <w:r w:rsidRPr="00A903DD">
        <w:rPr>
          <w:rFonts w:ascii="Book Antiqua" w:hAnsi="Book Antiqua"/>
          <w:b/>
          <w:sz w:val="24"/>
          <w:szCs w:val="24"/>
        </w:rPr>
        <w:t>PHARMACOECONOMIC CONSIDERATIONS OF TSOA USE IN THA</w:t>
      </w:r>
    </w:p>
    <w:p w:rsidR="00D76554" w:rsidRPr="00A903DD" w:rsidRDefault="00D76554" w:rsidP="00A903DD">
      <w:pPr>
        <w:spacing w:after="0" w:line="360" w:lineRule="auto"/>
        <w:jc w:val="both"/>
        <w:rPr>
          <w:rFonts w:ascii="Book Antiqua" w:hAnsi="Book Antiqua"/>
          <w:sz w:val="24"/>
          <w:szCs w:val="24"/>
        </w:rPr>
      </w:pPr>
      <w:r w:rsidRPr="00A903DD">
        <w:rPr>
          <w:rFonts w:ascii="Book Antiqua" w:hAnsi="Book Antiqua"/>
          <w:sz w:val="24"/>
          <w:szCs w:val="24"/>
        </w:rPr>
        <w:t>The economic burden associated with VTE has been w</w:t>
      </w:r>
      <w:r w:rsidR="00761B13" w:rsidRPr="00A903DD">
        <w:rPr>
          <w:rFonts w:ascii="Book Antiqua" w:hAnsi="Book Antiqua"/>
          <w:sz w:val="24"/>
          <w:szCs w:val="24"/>
        </w:rPr>
        <w:t xml:space="preserve">ell established </w:t>
      </w:r>
      <w:r w:rsidRPr="00A903DD">
        <w:rPr>
          <w:rFonts w:ascii="Book Antiqua" w:hAnsi="Book Antiqua"/>
          <w:sz w:val="24"/>
          <w:szCs w:val="24"/>
        </w:rPr>
        <w:t xml:space="preserve">and the use of thromboprophylaxis has </w:t>
      </w:r>
      <w:r w:rsidR="007A3EA9" w:rsidRPr="00A903DD">
        <w:rPr>
          <w:rFonts w:ascii="Book Antiqua" w:hAnsi="Book Antiqua"/>
          <w:sz w:val="24"/>
          <w:szCs w:val="24"/>
        </w:rPr>
        <w:t>lessened</w:t>
      </w:r>
      <w:r w:rsidRPr="00A903DD">
        <w:rPr>
          <w:rFonts w:ascii="Book Antiqua" w:hAnsi="Book Antiqua"/>
          <w:sz w:val="24"/>
          <w:szCs w:val="24"/>
        </w:rPr>
        <w:t xml:space="preserve"> this burden following major orthopedic</w:t>
      </w:r>
      <w:r w:rsidR="00201832" w:rsidRPr="00A903DD">
        <w:rPr>
          <w:rFonts w:ascii="Book Antiqua" w:hAnsi="Book Antiqua"/>
          <w:sz w:val="24"/>
          <w:szCs w:val="24"/>
        </w:rPr>
        <w:t xml:space="preserve"> </w:t>
      </w:r>
      <w:proofErr w:type="gramStart"/>
      <w:r w:rsidR="00201832" w:rsidRPr="00A903DD">
        <w:rPr>
          <w:rFonts w:ascii="Book Antiqua" w:hAnsi="Book Antiqua"/>
          <w:sz w:val="24"/>
          <w:szCs w:val="24"/>
        </w:rPr>
        <w:t>surgery</w:t>
      </w:r>
      <w:r w:rsidR="00761B13" w:rsidRPr="00A903DD">
        <w:rPr>
          <w:rFonts w:ascii="Book Antiqua" w:hAnsi="Book Antiqua"/>
          <w:sz w:val="24"/>
          <w:szCs w:val="24"/>
          <w:vertAlign w:val="superscript"/>
        </w:rPr>
        <w:t>[</w:t>
      </w:r>
      <w:proofErr w:type="gramEnd"/>
      <w:r w:rsidR="00761B13" w:rsidRPr="00A903DD">
        <w:rPr>
          <w:rFonts w:ascii="Book Antiqua" w:hAnsi="Book Antiqua"/>
          <w:sz w:val="24"/>
          <w:szCs w:val="24"/>
          <w:vertAlign w:val="superscript"/>
        </w:rPr>
        <w:t>8</w:t>
      </w:r>
      <w:r w:rsidR="00F23175" w:rsidRPr="00A903DD">
        <w:rPr>
          <w:rFonts w:ascii="Book Antiqua" w:hAnsi="Book Antiqua"/>
          <w:sz w:val="24"/>
          <w:szCs w:val="24"/>
          <w:vertAlign w:val="superscript"/>
        </w:rPr>
        <w:t>2</w:t>
      </w:r>
      <w:r w:rsidR="00761B13" w:rsidRPr="00A903DD">
        <w:rPr>
          <w:rFonts w:ascii="Book Antiqua" w:hAnsi="Book Antiqua"/>
          <w:sz w:val="24"/>
          <w:szCs w:val="24"/>
          <w:vertAlign w:val="superscript"/>
        </w:rPr>
        <w:t>-8</w:t>
      </w:r>
      <w:r w:rsidR="00F23175" w:rsidRPr="00A903DD">
        <w:rPr>
          <w:rFonts w:ascii="Book Antiqua" w:hAnsi="Book Antiqua"/>
          <w:sz w:val="24"/>
          <w:szCs w:val="24"/>
          <w:vertAlign w:val="superscript"/>
        </w:rPr>
        <w:t>4</w:t>
      </w:r>
      <w:r w:rsidR="00761B13" w:rsidRPr="00A903DD">
        <w:rPr>
          <w:rFonts w:ascii="Book Antiqua" w:hAnsi="Book Antiqua"/>
          <w:sz w:val="24"/>
          <w:szCs w:val="24"/>
          <w:vertAlign w:val="superscript"/>
        </w:rPr>
        <w:t>]</w:t>
      </w:r>
      <w:r w:rsidR="00201832" w:rsidRPr="00A903DD">
        <w:rPr>
          <w:rFonts w:ascii="Book Antiqua" w:hAnsi="Book Antiqua"/>
          <w:sz w:val="24"/>
          <w:szCs w:val="24"/>
        </w:rPr>
        <w:t>.</w:t>
      </w:r>
      <w:r w:rsidR="00A33C21">
        <w:rPr>
          <w:rFonts w:ascii="Book Antiqua" w:hAnsi="Book Antiqua"/>
          <w:sz w:val="24"/>
          <w:szCs w:val="24"/>
        </w:rPr>
        <w:t xml:space="preserve"> </w:t>
      </w:r>
      <w:r w:rsidRPr="00A903DD">
        <w:rPr>
          <w:rFonts w:ascii="Book Antiqua" w:hAnsi="Book Antiqua"/>
          <w:sz w:val="24"/>
          <w:szCs w:val="24"/>
        </w:rPr>
        <w:t xml:space="preserve">LMWH </w:t>
      </w:r>
      <w:r w:rsidR="007A3EA9" w:rsidRPr="00A903DD">
        <w:rPr>
          <w:rFonts w:ascii="Book Antiqua" w:hAnsi="Book Antiqua"/>
          <w:sz w:val="24"/>
          <w:szCs w:val="24"/>
        </w:rPr>
        <w:t>was</w:t>
      </w:r>
      <w:r w:rsidRPr="00A903DD">
        <w:rPr>
          <w:rFonts w:ascii="Book Antiqua" w:hAnsi="Book Antiqua"/>
          <w:sz w:val="24"/>
          <w:szCs w:val="24"/>
        </w:rPr>
        <w:t xml:space="preserve"> </w:t>
      </w:r>
      <w:r w:rsidR="007A3EA9" w:rsidRPr="00A903DD">
        <w:rPr>
          <w:rFonts w:ascii="Book Antiqua" w:hAnsi="Book Antiqua"/>
          <w:sz w:val="24"/>
          <w:szCs w:val="24"/>
        </w:rPr>
        <w:t>determined to be</w:t>
      </w:r>
      <w:r w:rsidRPr="00A903DD">
        <w:rPr>
          <w:rFonts w:ascii="Book Antiqua" w:hAnsi="Book Antiqua"/>
          <w:sz w:val="24"/>
          <w:szCs w:val="24"/>
        </w:rPr>
        <w:t xml:space="preserve"> a cost-effective alternative to warfarin largely due to </w:t>
      </w:r>
      <w:r w:rsidR="003D5425" w:rsidRPr="00A903DD">
        <w:rPr>
          <w:rFonts w:ascii="Book Antiqua" w:hAnsi="Book Antiqua"/>
          <w:sz w:val="24"/>
          <w:szCs w:val="24"/>
        </w:rPr>
        <w:t xml:space="preserve">a significant comparative </w:t>
      </w:r>
      <w:r w:rsidRPr="00A903DD">
        <w:rPr>
          <w:rFonts w:ascii="Book Antiqua" w:hAnsi="Book Antiqua"/>
          <w:sz w:val="24"/>
          <w:szCs w:val="24"/>
        </w:rPr>
        <w:t xml:space="preserve">reduction in VTE </w:t>
      </w:r>
      <w:r w:rsidR="007A3EA9" w:rsidRPr="00A903DD">
        <w:rPr>
          <w:rFonts w:ascii="Book Antiqua" w:hAnsi="Book Antiqua"/>
          <w:sz w:val="24"/>
          <w:szCs w:val="24"/>
        </w:rPr>
        <w:t xml:space="preserve">with LMWH </w:t>
      </w:r>
      <w:r w:rsidRPr="00A903DD">
        <w:rPr>
          <w:rFonts w:ascii="Book Antiqua" w:hAnsi="Book Antiqua"/>
          <w:sz w:val="24"/>
          <w:szCs w:val="24"/>
        </w:rPr>
        <w:t xml:space="preserve">and </w:t>
      </w:r>
      <w:r w:rsidR="007A3EA9" w:rsidRPr="00A903DD">
        <w:rPr>
          <w:rFonts w:ascii="Book Antiqua" w:hAnsi="Book Antiqua"/>
          <w:sz w:val="24"/>
          <w:szCs w:val="24"/>
        </w:rPr>
        <w:t xml:space="preserve">the avoidance of </w:t>
      </w:r>
      <w:r w:rsidRPr="00A903DD">
        <w:rPr>
          <w:rFonts w:ascii="Book Antiqua" w:hAnsi="Book Antiqua"/>
          <w:sz w:val="24"/>
          <w:szCs w:val="24"/>
        </w:rPr>
        <w:t xml:space="preserve">monitoring costs associated with </w:t>
      </w:r>
      <w:proofErr w:type="gramStart"/>
      <w:r w:rsidRPr="00A903DD">
        <w:rPr>
          <w:rFonts w:ascii="Book Antiqua" w:hAnsi="Book Antiqua"/>
          <w:sz w:val="24"/>
          <w:szCs w:val="24"/>
        </w:rPr>
        <w:t>war</w:t>
      </w:r>
      <w:r w:rsidR="00A33C21">
        <w:rPr>
          <w:rFonts w:ascii="Book Antiqua" w:hAnsi="Book Antiqua"/>
          <w:sz w:val="24"/>
          <w:szCs w:val="24"/>
        </w:rPr>
        <w:t>farin</w:t>
      </w:r>
      <w:r w:rsidR="00761B13" w:rsidRPr="00A903DD">
        <w:rPr>
          <w:rFonts w:ascii="Book Antiqua" w:hAnsi="Book Antiqua"/>
          <w:sz w:val="24"/>
          <w:szCs w:val="24"/>
          <w:vertAlign w:val="superscript"/>
        </w:rPr>
        <w:t>[</w:t>
      </w:r>
      <w:proofErr w:type="gramEnd"/>
      <w:r w:rsidR="00761B13" w:rsidRPr="00A903DD">
        <w:rPr>
          <w:rFonts w:ascii="Book Antiqua" w:hAnsi="Book Antiqua"/>
          <w:sz w:val="24"/>
          <w:szCs w:val="24"/>
          <w:vertAlign w:val="superscript"/>
        </w:rPr>
        <w:t>8</w:t>
      </w:r>
      <w:r w:rsidR="00F23175" w:rsidRPr="00A903DD">
        <w:rPr>
          <w:rFonts w:ascii="Book Antiqua" w:hAnsi="Book Antiqua"/>
          <w:sz w:val="24"/>
          <w:szCs w:val="24"/>
          <w:vertAlign w:val="superscript"/>
        </w:rPr>
        <w:t>5</w:t>
      </w:r>
      <w:r w:rsidR="00761B13" w:rsidRPr="00A903DD">
        <w:rPr>
          <w:rFonts w:ascii="Book Antiqua" w:hAnsi="Book Antiqua"/>
          <w:sz w:val="24"/>
          <w:szCs w:val="24"/>
          <w:vertAlign w:val="superscript"/>
        </w:rPr>
        <w:t>]</w:t>
      </w:r>
      <w:r w:rsidR="00A33C21">
        <w:rPr>
          <w:rFonts w:ascii="Book Antiqua" w:hAnsi="Book Antiqua" w:hint="eastAsia"/>
          <w:sz w:val="24"/>
          <w:szCs w:val="24"/>
          <w:lang w:eastAsia="zh-CN"/>
        </w:rPr>
        <w:t xml:space="preserve">. </w:t>
      </w:r>
      <w:r w:rsidRPr="00A903DD">
        <w:rPr>
          <w:rFonts w:ascii="Book Antiqua" w:hAnsi="Book Antiqua"/>
          <w:sz w:val="24"/>
          <w:szCs w:val="24"/>
        </w:rPr>
        <w:t xml:space="preserve">With the approval of TSOAs, newer pharmacoeconomic analyses comparing TSOAs to LMWH have been performed to </w:t>
      </w:r>
      <w:r w:rsidR="007A3EA9" w:rsidRPr="00A903DD">
        <w:rPr>
          <w:rFonts w:ascii="Book Antiqua" w:hAnsi="Book Antiqua"/>
          <w:sz w:val="24"/>
          <w:szCs w:val="24"/>
        </w:rPr>
        <w:t>assess</w:t>
      </w:r>
      <w:r w:rsidRPr="00A903DD">
        <w:rPr>
          <w:rFonts w:ascii="Book Antiqua" w:hAnsi="Book Antiqua"/>
          <w:sz w:val="24"/>
          <w:szCs w:val="24"/>
        </w:rPr>
        <w:t xml:space="preserve"> their potential economic impact.  </w:t>
      </w:r>
    </w:p>
    <w:p w:rsidR="00D76554" w:rsidRPr="00A903DD" w:rsidRDefault="00D76554"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Despite a similar incidence of VTE and bleeding in the </w:t>
      </w:r>
      <w:r w:rsidR="001C155E" w:rsidRPr="00A903DD">
        <w:rPr>
          <w:rFonts w:ascii="Book Antiqua" w:hAnsi="Book Antiqua"/>
          <w:sz w:val="24"/>
          <w:szCs w:val="24"/>
        </w:rPr>
        <w:t xml:space="preserve">RE-NOVATE study, Walawacz </w:t>
      </w:r>
      <w:r w:rsidR="001C155E" w:rsidRPr="00A33C21">
        <w:rPr>
          <w:rFonts w:ascii="Book Antiqua" w:hAnsi="Book Antiqua"/>
          <w:i/>
          <w:sz w:val="24"/>
          <w:szCs w:val="24"/>
        </w:rPr>
        <w:t xml:space="preserve">et </w:t>
      </w:r>
      <w:proofErr w:type="gramStart"/>
      <w:r w:rsidR="001C155E" w:rsidRPr="00A33C21">
        <w:rPr>
          <w:rFonts w:ascii="Book Antiqua" w:hAnsi="Book Antiqua"/>
          <w:i/>
          <w:sz w:val="24"/>
          <w:szCs w:val="24"/>
        </w:rPr>
        <w:t>al</w:t>
      </w:r>
      <w:r w:rsidR="00201832" w:rsidRPr="00A903DD">
        <w:rPr>
          <w:rFonts w:ascii="Book Antiqua" w:hAnsi="Book Antiqua"/>
          <w:sz w:val="24"/>
          <w:szCs w:val="24"/>
          <w:vertAlign w:val="superscript"/>
        </w:rPr>
        <w:t>[</w:t>
      </w:r>
      <w:proofErr w:type="gramEnd"/>
      <w:r w:rsidR="00201832" w:rsidRPr="00A903DD">
        <w:rPr>
          <w:rFonts w:ascii="Book Antiqua" w:hAnsi="Book Antiqua"/>
          <w:sz w:val="24"/>
          <w:szCs w:val="24"/>
          <w:vertAlign w:val="superscript"/>
        </w:rPr>
        <w:t>86]</w:t>
      </w:r>
      <w:r w:rsidRPr="00A903DD">
        <w:rPr>
          <w:rFonts w:ascii="Book Antiqua" w:hAnsi="Book Antiqua"/>
          <w:sz w:val="24"/>
          <w:szCs w:val="24"/>
        </w:rPr>
        <w:t xml:space="preserve"> determined that dabigatran was less costly than enoxaparin, largely due to </w:t>
      </w:r>
      <w:r w:rsidR="007A3EA9" w:rsidRPr="00A903DD">
        <w:rPr>
          <w:rFonts w:ascii="Book Antiqua" w:hAnsi="Book Antiqua"/>
          <w:sz w:val="24"/>
          <w:szCs w:val="24"/>
        </w:rPr>
        <w:t xml:space="preserve">comparative </w:t>
      </w:r>
      <w:r w:rsidRPr="00A903DD">
        <w:rPr>
          <w:rFonts w:ascii="Book Antiqua" w:hAnsi="Book Antiqua"/>
          <w:sz w:val="24"/>
          <w:szCs w:val="24"/>
        </w:rPr>
        <w:t xml:space="preserve">medication costs associated with each agent in the </w:t>
      </w:r>
      <w:r w:rsidRPr="00A903DD">
        <w:rPr>
          <w:rFonts w:ascii="Book Antiqua" w:hAnsi="Book Antiqua"/>
          <w:sz w:val="24"/>
          <w:szCs w:val="24"/>
        </w:rPr>
        <w:lastRenderedPageBreak/>
        <w:t xml:space="preserve">British Health Service, providing a potential advantage for </w:t>
      </w:r>
      <w:r w:rsidR="003D5425" w:rsidRPr="00A903DD">
        <w:rPr>
          <w:rFonts w:ascii="Book Antiqua" w:hAnsi="Book Antiqua"/>
          <w:sz w:val="24"/>
          <w:szCs w:val="24"/>
        </w:rPr>
        <w:t xml:space="preserve">dabigatran </w:t>
      </w:r>
      <w:r w:rsidRPr="00A903DD">
        <w:rPr>
          <w:rFonts w:ascii="Book Antiqua" w:hAnsi="Book Antiqua"/>
          <w:sz w:val="24"/>
          <w:szCs w:val="24"/>
        </w:rPr>
        <w:t>use over LMWH after THA.</w:t>
      </w:r>
      <w:r w:rsidR="00761B13" w:rsidRPr="00A903DD">
        <w:rPr>
          <w:rFonts w:ascii="Book Antiqua" w:hAnsi="Book Antiqua"/>
          <w:sz w:val="24"/>
          <w:szCs w:val="24"/>
          <w:vertAlign w:val="superscript"/>
        </w:rPr>
        <w:t xml:space="preserve"> </w:t>
      </w:r>
      <w:r w:rsidR="00201832" w:rsidRPr="00A903DD">
        <w:rPr>
          <w:rFonts w:ascii="Book Antiqua" w:hAnsi="Book Antiqua"/>
          <w:sz w:val="24"/>
          <w:szCs w:val="24"/>
        </w:rPr>
        <w:t xml:space="preserve">McCullagh </w:t>
      </w:r>
      <w:r w:rsidR="00201832" w:rsidRPr="00A33C21">
        <w:rPr>
          <w:rFonts w:ascii="Book Antiqua" w:hAnsi="Book Antiqua"/>
          <w:i/>
          <w:sz w:val="24"/>
          <w:szCs w:val="24"/>
        </w:rPr>
        <w:t xml:space="preserve">et </w:t>
      </w:r>
      <w:proofErr w:type="gramStart"/>
      <w:r w:rsidR="00201832" w:rsidRPr="00A33C21">
        <w:rPr>
          <w:rFonts w:ascii="Book Antiqua" w:hAnsi="Book Antiqua"/>
          <w:i/>
          <w:sz w:val="24"/>
          <w:szCs w:val="24"/>
        </w:rPr>
        <w:t>al</w:t>
      </w:r>
      <w:r w:rsidR="00201832" w:rsidRPr="00A903DD">
        <w:rPr>
          <w:rFonts w:ascii="Book Antiqua" w:hAnsi="Book Antiqua"/>
          <w:sz w:val="24"/>
          <w:szCs w:val="24"/>
          <w:vertAlign w:val="superscript"/>
        </w:rPr>
        <w:t>[</w:t>
      </w:r>
      <w:proofErr w:type="gramEnd"/>
      <w:r w:rsidR="00201832" w:rsidRPr="00A903DD">
        <w:rPr>
          <w:rFonts w:ascii="Book Antiqua" w:hAnsi="Book Antiqua"/>
          <w:sz w:val="24"/>
          <w:szCs w:val="24"/>
          <w:vertAlign w:val="superscript"/>
        </w:rPr>
        <w:t>87]</w:t>
      </w:r>
      <w:r w:rsidRPr="00A903DD">
        <w:rPr>
          <w:rFonts w:ascii="Book Antiqua" w:hAnsi="Book Antiqua"/>
          <w:sz w:val="24"/>
          <w:szCs w:val="24"/>
        </w:rPr>
        <w:t xml:space="preserve"> sought to determine the cost-effectiveness of both dabigatran and rivaroxaban compared to enoxaparin in the Irish </w:t>
      </w:r>
      <w:r w:rsidR="00A33C21">
        <w:rPr>
          <w:rFonts w:ascii="Book Antiqua" w:hAnsi="Book Antiqua"/>
          <w:sz w:val="24"/>
          <w:szCs w:val="24"/>
        </w:rPr>
        <w:t xml:space="preserve">Healthcare System. </w:t>
      </w:r>
      <w:r w:rsidRPr="00A903DD">
        <w:rPr>
          <w:rFonts w:ascii="Book Antiqua" w:hAnsi="Book Antiqua"/>
          <w:sz w:val="24"/>
          <w:szCs w:val="24"/>
        </w:rPr>
        <w:t>The results of the RE-NOVATE and RECORD 2 studies were used to estimate the expected efficacy and safety outcomes after THA associated with the use of</w:t>
      </w:r>
      <w:r w:rsidR="00A33C21">
        <w:rPr>
          <w:rFonts w:ascii="Book Antiqua" w:hAnsi="Book Antiqua"/>
          <w:sz w:val="24"/>
          <w:szCs w:val="24"/>
        </w:rPr>
        <w:t xml:space="preserve"> each TSOA, respectively. </w:t>
      </w:r>
      <w:r w:rsidRPr="00A903DD">
        <w:rPr>
          <w:rFonts w:ascii="Book Antiqua" w:hAnsi="Book Antiqua"/>
          <w:sz w:val="24"/>
          <w:szCs w:val="24"/>
        </w:rPr>
        <w:t>A base-case</w:t>
      </w:r>
      <w:r w:rsidR="00A33C21">
        <w:rPr>
          <w:rFonts w:ascii="Book Antiqua" w:hAnsi="Book Antiqua"/>
          <w:sz w:val="24"/>
          <w:szCs w:val="24"/>
        </w:rPr>
        <w:t xml:space="preserve"> analysis showed that the 35 d</w:t>
      </w:r>
      <w:r w:rsidRPr="00A903DD">
        <w:rPr>
          <w:rFonts w:ascii="Book Antiqua" w:hAnsi="Book Antiqua"/>
          <w:sz w:val="24"/>
          <w:szCs w:val="24"/>
        </w:rPr>
        <w:t xml:space="preserve"> use of rivaroxaban was more co</w:t>
      </w:r>
      <w:r w:rsidR="00A33C21">
        <w:rPr>
          <w:rFonts w:ascii="Book Antiqua" w:hAnsi="Book Antiqua"/>
          <w:sz w:val="24"/>
          <w:szCs w:val="24"/>
        </w:rPr>
        <w:t>st-effective than either 35 d of dabigatran or 10–14 d of enoxaparin.</w:t>
      </w:r>
      <w:r w:rsidRPr="00A903DD">
        <w:rPr>
          <w:rFonts w:ascii="Book Antiqua" w:hAnsi="Book Antiqua"/>
          <w:sz w:val="24"/>
          <w:szCs w:val="24"/>
        </w:rPr>
        <w:t xml:space="preserve"> The results were not significantly affected by sensitivity analyses.</w:t>
      </w:r>
    </w:p>
    <w:p w:rsidR="00D76554" w:rsidRPr="00A903DD" w:rsidRDefault="00D76554" w:rsidP="00A33C21">
      <w:pPr>
        <w:spacing w:after="0" w:line="360" w:lineRule="auto"/>
        <w:ind w:firstLineChars="100" w:firstLine="240"/>
        <w:jc w:val="both"/>
        <w:rPr>
          <w:rFonts w:ascii="Book Antiqua" w:hAnsi="Book Antiqua" w:cs="AGaramond"/>
          <w:color w:val="000000"/>
          <w:sz w:val="24"/>
          <w:szCs w:val="24"/>
        </w:rPr>
      </w:pPr>
      <w:r w:rsidRPr="00A903DD">
        <w:rPr>
          <w:rFonts w:ascii="Book Antiqua" w:hAnsi="Book Antiqua" w:cs="AGaramond"/>
          <w:color w:val="000000"/>
          <w:sz w:val="24"/>
          <w:szCs w:val="24"/>
        </w:rPr>
        <w:t xml:space="preserve">In a pharmacoeconomic model utilizing the pooled results from the RECORD 1 and </w:t>
      </w:r>
      <w:r w:rsidR="007A3EA9" w:rsidRPr="00A903DD">
        <w:rPr>
          <w:rFonts w:ascii="Book Antiqua" w:hAnsi="Book Antiqua" w:cs="AGaramond"/>
          <w:color w:val="000000"/>
          <w:sz w:val="24"/>
          <w:szCs w:val="24"/>
        </w:rPr>
        <w:t xml:space="preserve">RECORD </w:t>
      </w:r>
      <w:r w:rsidR="001C155E" w:rsidRPr="00A903DD">
        <w:rPr>
          <w:rFonts w:ascii="Book Antiqua" w:hAnsi="Book Antiqua" w:cs="AGaramond"/>
          <w:color w:val="000000"/>
          <w:sz w:val="24"/>
          <w:szCs w:val="24"/>
        </w:rPr>
        <w:t xml:space="preserve">2 studies, Duran </w:t>
      </w:r>
      <w:r w:rsidR="001C155E" w:rsidRPr="00A33C21">
        <w:rPr>
          <w:rFonts w:ascii="Book Antiqua" w:hAnsi="Book Antiqua" w:cs="AGaramond"/>
          <w:i/>
          <w:color w:val="000000"/>
          <w:sz w:val="24"/>
          <w:szCs w:val="24"/>
        </w:rPr>
        <w:t xml:space="preserve">et </w:t>
      </w:r>
      <w:proofErr w:type="gramStart"/>
      <w:r w:rsidR="001C155E" w:rsidRPr="00A33C21">
        <w:rPr>
          <w:rFonts w:ascii="Book Antiqua" w:hAnsi="Book Antiqua" w:cs="AGaramond"/>
          <w:i/>
          <w:color w:val="000000"/>
          <w:sz w:val="24"/>
          <w:szCs w:val="24"/>
        </w:rPr>
        <w:t>al</w:t>
      </w:r>
      <w:r w:rsidR="00201832" w:rsidRPr="00A903DD">
        <w:rPr>
          <w:rFonts w:ascii="Book Antiqua" w:hAnsi="Book Antiqua" w:cs="AGaramond"/>
          <w:color w:val="000000"/>
          <w:sz w:val="24"/>
          <w:szCs w:val="24"/>
          <w:vertAlign w:val="superscript"/>
        </w:rPr>
        <w:t>[</w:t>
      </w:r>
      <w:proofErr w:type="gramEnd"/>
      <w:r w:rsidR="00201832" w:rsidRPr="00A903DD">
        <w:rPr>
          <w:rFonts w:ascii="Book Antiqua" w:hAnsi="Book Antiqua" w:cs="AGaramond"/>
          <w:color w:val="000000"/>
          <w:sz w:val="24"/>
          <w:szCs w:val="24"/>
          <w:vertAlign w:val="superscript"/>
        </w:rPr>
        <w:t>88]</w:t>
      </w:r>
      <w:r w:rsidRPr="00A903DD">
        <w:rPr>
          <w:rFonts w:ascii="Book Antiqua" w:hAnsi="Book Antiqua" w:cs="AGaramond"/>
          <w:color w:val="000000"/>
          <w:sz w:val="24"/>
          <w:szCs w:val="24"/>
        </w:rPr>
        <w:t xml:space="preserve"> </w:t>
      </w:r>
      <w:r w:rsidR="00286594" w:rsidRPr="00A903DD">
        <w:rPr>
          <w:rFonts w:ascii="Book Antiqua" w:hAnsi="Book Antiqua" w:cs="AGaramond"/>
          <w:color w:val="000000"/>
          <w:sz w:val="24"/>
          <w:szCs w:val="24"/>
        </w:rPr>
        <w:t>determined</w:t>
      </w:r>
      <w:r w:rsidRPr="00A903DD">
        <w:rPr>
          <w:rFonts w:ascii="Book Antiqua" w:hAnsi="Book Antiqua" w:cs="AGaramond"/>
          <w:color w:val="000000"/>
          <w:sz w:val="24"/>
          <w:szCs w:val="24"/>
        </w:rPr>
        <w:t xml:space="preserve"> that rivaroxaban significantly reduced the cost associated with THA by 511.93 US dollars per patient</w:t>
      </w:r>
      <w:r w:rsidR="003D5425" w:rsidRPr="00A903DD">
        <w:rPr>
          <w:rFonts w:ascii="Book Antiqua" w:hAnsi="Book Antiqua" w:cs="AGaramond"/>
          <w:color w:val="000000"/>
          <w:sz w:val="24"/>
          <w:szCs w:val="24"/>
        </w:rPr>
        <w:t xml:space="preserve"> compared to enoxaparin</w:t>
      </w:r>
      <w:r w:rsidRPr="00A903DD">
        <w:rPr>
          <w:rFonts w:ascii="Book Antiqua" w:hAnsi="Book Antiqua" w:cs="AGaramond"/>
          <w:color w:val="000000"/>
          <w:sz w:val="24"/>
          <w:szCs w:val="24"/>
        </w:rPr>
        <w:t>. Th</w:t>
      </w:r>
      <w:r w:rsidR="00286594" w:rsidRPr="00A903DD">
        <w:rPr>
          <w:rFonts w:ascii="Book Antiqua" w:hAnsi="Book Antiqua" w:cs="AGaramond"/>
          <w:color w:val="000000"/>
          <w:sz w:val="24"/>
          <w:szCs w:val="24"/>
        </w:rPr>
        <w:t>e finding</w:t>
      </w:r>
      <w:r w:rsidRPr="00A903DD">
        <w:rPr>
          <w:rFonts w:ascii="Book Antiqua" w:hAnsi="Book Antiqua" w:cs="AGaramond"/>
          <w:color w:val="000000"/>
          <w:sz w:val="24"/>
          <w:szCs w:val="24"/>
        </w:rPr>
        <w:t xml:space="preserve"> was attributed to a 0.0145 reduction in symptomatic VTE per patien</w:t>
      </w:r>
      <w:r w:rsidR="00A33C21">
        <w:rPr>
          <w:rFonts w:ascii="Book Antiqua" w:hAnsi="Book Antiqua" w:cs="AGaramond"/>
          <w:color w:val="000000"/>
          <w:sz w:val="24"/>
          <w:szCs w:val="24"/>
        </w:rPr>
        <w:t xml:space="preserve">t over a one year time period. </w:t>
      </w:r>
      <w:r w:rsidRPr="00A903DD">
        <w:rPr>
          <w:rFonts w:ascii="Book Antiqua" w:hAnsi="Book Antiqua" w:cs="AGaramond"/>
          <w:color w:val="000000"/>
          <w:sz w:val="24"/>
          <w:szCs w:val="24"/>
        </w:rPr>
        <w:t xml:space="preserve">The cost effectiveness of rivaroxaban was maintained throughout the </w:t>
      </w:r>
      <w:r w:rsidR="005E63D6" w:rsidRPr="00A903DD">
        <w:rPr>
          <w:rFonts w:ascii="Book Antiqua" w:hAnsi="Book Antiqua" w:cs="AGaramond"/>
          <w:color w:val="000000"/>
          <w:sz w:val="24"/>
          <w:szCs w:val="24"/>
        </w:rPr>
        <w:t>a</w:t>
      </w:r>
      <w:r w:rsidRPr="00A903DD">
        <w:rPr>
          <w:rFonts w:ascii="Book Antiqua" w:hAnsi="Book Antiqua" w:cs="AGaramond"/>
          <w:color w:val="000000"/>
          <w:sz w:val="24"/>
          <w:szCs w:val="24"/>
        </w:rPr>
        <w:t xml:space="preserve"> sensitivity analysis</w:t>
      </w:r>
      <w:r w:rsidR="005E63D6" w:rsidRPr="00A903DD">
        <w:rPr>
          <w:rFonts w:ascii="Book Antiqua" w:hAnsi="Book Antiqua" w:cs="AGaramond"/>
          <w:color w:val="000000"/>
          <w:sz w:val="24"/>
          <w:szCs w:val="24"/>
        </w:rPr>
        <w:t xml:space="preserve"> that </w:t>
      </w:r>
      <w:r w:rsidR="00470304" w:rsidRPr="00A903DD">
        <w:rPr>
          <w:rFonts w:ascii="Book Antiqua" w:hAnsi="Book Antiqua" w:cs="AGaramond"/>
          <w:color w:val="000000"/>
          <w:sz w:val="24"/>
          <w:szCs w:val="24"/>
        </w:rPr>
        <w:t>included</w:t>
      </w:r>
      <w:r w:rsidR="005E63D6" w:rsidRPr="00A903DD">
        <w:rPr>
          <w:rFonts w:ascii="Book Antiqua" w:hAnsi="Book Antiqua" w:cs="AGaramond"/>
          <w:color w:val="000000"/>
          <w:sz w:val="24"/>
          <w:szCs w:val="24"/>
        </w:rPr>
        <w:t xml:space="preserve"> different</w:t>
      </w:r>
      <w:r w:rsidR="00470304" w:rsidRPr="00A903DD">
        <w:rPr>
          <w:rFonts w:ascii="Book Antiqua" w:hAnsi="Book Antiqua" w:cs="AGaramond"/>
          <w:color w:val="000000"/>
          <w:sz w:val="24"/>
          <w:szCs w:val="24"/>
        </w:rPr>
        <w:t xml:space="preserve"> potential</w:t>
      </w:r>
      <w:r w:rsidR="005E63D6" w:rsidRPr="00A903DD">
        <w:rPr>
          <w:rFonts w:ascii="Book Antiqua" w:hAnsi="Book Antiqua" w:cs="AGaramond"/>
          <w:color w:val="000000"/>
          <w:sz w:val="24"/>
          <w:szCs w:val="24"/>
        </w:rPr>
        <w:t xml:space="preserve"> drug costs, the range of event rates</w:t>
      </w:r>
      <w:r w:rsidR="00470304" w:rsidRPr="00A903DD">
        <w:rPr>
          <w:rFonts w:ascii="Book Antiqua" w:hAnsi="Book Antiqua" w:cs="AGaramond"/>
          <w:color w:val="000000"/>
          <w:sz w:val="24"/>
          <w:szCs w:val="24"/>
        </w:rPr>
        <w:t xml:space="preserve"> observed in clinical studies</w:t>
      </w:r>
      <w:r w:rsidR="005E63D6" w:rsidRPr="00A903DD">
        <w:rPr>
          <w:rFonts w:ascii="Book Antiqua" w:hAnsi="Book Antiqua" w:cs="AGaramond"/>
          <w:color w:val="000000"/>
          <w:sz w:val="24"/>
          <w:szCs w:val="24"/>
        </w:rPr>
        <w:t xml:space="preserve">, </w:t>
      </w:r>
      <w:r w:rsidR="00470304" w:rsidRPr="00A903DD">
        <w:rPr>
          <w:rFonts w:ascii="Book Antiqua" w:hAnsi="Book Antiqua" w:cs="AGaramond"/>
          <w:color w:val="000000"/>
          <w:sz w:val="24"/>
          <w:szCs w:val="24"/>
        </w:rPr>
        <w:t xml:space="preserve">along with </w:t>
      </w:r>
      <w:r w:rsidR="005E63D6" w:rsidRPr="00A903DD">
        <w:rPr>
          <w:rFonts w:ascii="Book Antiqua" w:hAnsi="Book Antiqua" w:cs="AGaramond"/>
          <w:color w:val="000000"/>
          <w:sz w:val="24"/>
          <w:szCs w:val="24"/>
        </w:rPr>
        <w:t>other variables</w:t>
      </w:r>
      <w:r w:rsidR="00470304" w:rsidRPr="00A903DD">
        <w:rPr>
          <w:rFonts w:ascii="Book Antiqua" w:hAnsi="Book Antiqua" w:cs="AGaramond"/>
          <w:color w:val="000000"/>
          <w:sz w:val="24"/>
          <w:szCs w:val="24"/>
        </w:rPr>
        <w:t xml:space="preserve"> that could impact healthcare cost following a THA</w:t>
      </w:r>
      <w:r w:rsidR="00A33C21">
        <w:rPr>
          <w:rFonts w:ascii="Book Antiqua" w:hAnsi="Book Antiqua" w:cs="AGaramond"/>
          <w:color w:val="000000"/>
          <w:sz w:val="24"/>
          <w:szCs w:val="24"/>
        </w:rPr>
        <w:t xml:space="preserve">. </w:t>
      </w:r>
      <w:r w:rsidRPr="00A903DD">
        <w:rPr>
          <w:rFonts w:ascii="Book Antiqua" w:hAnsi="Book Antiqua" w:cs="AGaramond"/>
          <w:color w:val="000000"/>
          <w:sz w:val="24"/>
          <w:szCs w:val="24"/>
        </w:rPr>
        <w:t>Suppor</w:t>
      </w:r>
      <w:r w:rsidR="001C155E" w:rsidRPr="00A903DD">
        <w:rPr>
          <w:rFonts w:ascii="Book Antiqua" w:hAnsi="Book Antiqua" w:cs="AGaramond"/>
          <w:color w:val="000000"/>
          <w:sz w:val="24"/>
          <w:szCs w:val="24"/>
        </w:rPr>
        <w:t xml:space="preserve">ting these results, Kwong </w:t>
      </w:r>
      <w:r w:rsidR="001C155E" w:rsidRPr="00A33C21">
        <w:rPr>
          <w:rFonts w:ascii="Book Antiqua" w:hAnsi="Book Antiqua" w:cs="AGaramond"/>
          <w:i/>
          <w:color w:val="000000"/>
          <w:sz w:val="24"/>
          <w:szCs w:val="24"/>
        </w:rPr>
        <w:t xml:space="preserve">et </w:t>
      </w:r>
      <w:proofErr w:type="gramStart"/>
      <w:r w:rsidR="001C155E" w:rsidRPr="00A33C21">
        <w:rPr>
          <w:rFonts w:ascii="Book Antiqua" w:hAnsi="Book Antiqua" w:cs="AGaramond"/>
          <w:i/>
          <w:color w:val="000000"/>
          <w:sz w:val="24"/>
          <w:szCs w:val="24"/>
        </w:rPr>
        <w:t>al</w:t>
      </w:r>
      <w:r w:rsidR="00201832" w:rsidRPr="00A903DD">
        <w:rPr>
          <w:rFonts w:ascii="Book Antiqua" w:hAnsi="Book Antiqua" w:cs="AGaramond"/>
          <w:color w:val="000000"/>
          <w:sz w:val="24"/>
          <w:szCs w:val="24"/>
          <w:vertAlign w:val="superscript"/>
        </w:rPr>
        <w:t>[</w:t>
      </w:r>
      <w:proofErr w:type="gramEnd"/>
      <w:r w:rsidR="00201832" w:rsidRPr="00A903DD">
        <w:rPr>
          <w:rFonts w:ascii="Book Antiqua" w:hAnsi="Book Antiqua" w:cs="AGaramond"/>
          <w:color w:val="000000"/>
          <w:sz w:val="24"/>
          <w:szCs w:val="24"/>
          <w:vertAlign w:val="superscript"/>
        </w:rPr>
        <w:t>89]</w:t>
      </w:r>
      <w:r w:rsidRPr="00A903DD">
        <w:rPr>
          <w:rFonts w:ascii="Book Antiqua" w:hAnsi="Book Antiqua" w:cs="AGaramond"/>
          <w:color w:val="000000"/>
          <w:sz w:val="24"/>
          <w:szCs w:val="24"/>
        </w:rPr>
        <w:t xml:space="preserve"> has more recently observed a similar cost savings with rivaroxaban compared to enoxaparin when also including the all-cause mortality results provided in the RECORD studies as part of the economic analysis.</w:t>
      </w:r>
    </w:p>
    <w:p w:rsidR="00F23175" w:rsidRPr="00A903DD" w:rsidRDefault="001C155E" w:rsidP="00A33C21">
      <w:pPr>
        <w:spacing w:after="0" w:line="360" w:lineRule="auto"/>
        <w:ind w:firstLineChars="100" w:firstLine="240"/>
        <w:jc w:val="both"/>
        <w:rPr>
          <w:rFonts w:ascii="Book Antiqua" w:hAnsi="Book Antiqua" w:cs="AGaramond"/>
          <w:color w:val="000000"/>
          <w:sz w:val="24"/>
          <w:szCs w:val="24"/>
        </w:rPr>
      </w:pPr>
      <w:r w:rsidRPr="00A903DD">
        <w:rPr>
          <w:rFonts w:ascii="Book Antiqua" w:hAnsi="Book Antiqua" w:cs="AGaramond"/>
          <w:color w:val="000000"/>
          <w:sz w:val="24"/>
          <w:szCs w:val="24"/>
        </w:rPr>
        <w:t xml:space="preserve">Mahmoudi </w:t>
      </w:r>
      <w:r w:rsidRPr="00A33C21">
        <w:rPr>
          <w:rFonts w:ascii="Book Antiqua" w:hAnsi="Book Antiqua" w:cs="AGaramond"/>
          <w:i/>
          <w:color w:val="000000"/>
          <w:sz w:val="24"/>
          <w:szCs w:val="24"/>
        </w:rPr>
        <w:t xml:space="preserve">et </w:t>
      </w:r>
      <w:proofErr w:type="gramStart"/>
      <w:r w:rsidRPr="00A33C21">
        <w:rPr>
          <w:rFonts w:ascii="Book Antiqua" w:hAnsi="Book Antiqua" w:cs="AGaramond"/>
          <w:i/>
          <w:color w:val="000000"/>
          <w:sz w:val="24"/>
          <w:szCs w:val="24"/>
        </w:rPr>
        <w:t>al</w:t>
      </w:r>
      <w:r w:rsidR="00201832" w:rsidRPr="00A903DD">
        <w:rPr>
          <w:rFonts w:ascii="Book Antiqua" w:hAnsi="Book Antiqua" w:cs="AGaramond"/>
          <w:color w:val="000000"/>
          <w:sz w:val="24"/>
          <w:szCs w:val="24"/>
          <w:vertAlign w:val="superscript"/>
        </w:rPr>
        <w:t>[</w:t>
      </w:r>
      <w:proofErr w:type="gramEnd"/>
      <w:r w:rsidR="00201832" w:rsidRPr="00A903DD">
        <w:rPr>
          <w:rFonts w:ascii="Book Antiqua" w:hAnsi="Book Antiqua" w:cs="AGaramond"/>
          <w:color w:val="000000"/>
          <w:sz w:val="24"/>
          <w:szCs w:val="24"/>
          <w:vertAlign w:val="superscript"/>
        </w:rPr>
        <w:t>90]</w:t>
      </w:r>
      <w:r w:rsidR="00D76554" w:rsidRPr="00A903DD">
        <w:rPr>
          <w:rFonts w:ascii="Book Antiqua" w:hAnsi="Book Antiqua" w:cs="AGaramond"/>
          <w:color w:val="000000"/>
          <w:sz w:val="24"/>
          <w:szCs w:val="24"/>
        </w:rPr>
        <w:t xml:space="preserve"> pooled results of phase II and III orthopedic studies evaluating both rivaroxaban and apixaban to assess the impact of the FXa inhibito</w:t>
      </w:r>
      <w:r w:rsidR="00A33C21">
        <w:rPr>
          <w:rFonts w:ascii="Book Antiqua" w:hAnsi="Book Antiqua" w:cs="AGaramond"/>
          <w:color w:val="000000"/>
          <w:sz w:val="24"/>
          <w:szCs w:val="24"/>
        </w:rPr>
        <w:t>rs as a class.</w:t>
      </w:r>
      <w:r w:rsidR="00D76554" w:rsidRPr="00A903DD">
        <w:rPr>
          <w:rFonts w:ascii="Book Antiqua" w:hAnsi="Book Antiqua" w:cs="AGaramond"/>
          <w:color w:val="000000"/>
          <w:sz w:val="24"/>
          <w:szCs w:val="24"/>
        </w:rPr>
        <w:t xml:space="preserve"> Including multiple doses of each FXa inhibitor and assuming </w:t>
      </w:r>
      <w:proofErr w:type="gramStart"/>
      <w:r w:rsidR="00D76554" w:rsidRPr="00A903DD">
        <w:rPr>
          <w:rFonts w:ascii="Book Antiqua" w:hAnsi="Book Antiqua" w:cs="AGaramond"/>
          <w:color w:val="000000"/>
          <w:sz w:val="24"/>
          <w:szCs w:val="24"/>
        </w:rPr>
        <w:t>a</w:t>
      </w:r>
      <w:r w:rsidR="003D5425" w:rsidRPr="00A903DD">
        <w:rPr>
          <w:rFonts w:ascii="Book Antiqua" w:hAnsi="Book Antiqua" w:cs="AGaramond"/>
          <w:color w:val="000000"/>
          <w:sz w:val="24"/>
          <w:szCs w:val="24"/>
        </w:rPr>
        <w:t xml:space="preserve"> </w:t>
      </w:r>
      <w:r w:rsidR="00A33C21">
        <w:rPr>
          <w:rFonts w:ascii="Book Antiqua" w:hAnsi="Book Antiqua" w:cs="AGaramond"/>
          <w:color w:val="000000"/>
          <w:sz w:val="24"/>
          <w:szCs w:val="24"/>
        </w:rPr>
        <w:t>10</w:t>
      </w:r>
      <w:proofErr w:type="gramEnd"/>
      <w:r w:rsidR="00A33C21">
        <w:rPr>
          <w:rFonts w:ascii="Book Antiqua" w:hAnsi="Book Antiqua" w:cs="AGaramond"/>
          <w:color w:val="000000"/>
          <w:sz w:val="24"/>
          <w:szCs w:val="24"/>
        </w:rPr>
        <w:t>–14 d</w:t>
      </w:r>
      <w:r w:rsidR="00D76554" w:rsidRPr="00A903DD">
        <w:rPr>
          <w:rFonts w:ascii="Book Antiqua" w:hAnsi="Book Antiqua" w:cs="AGaramond"/>
          <w:color w:val="000000"/>
          <w:sz w:val="24"/>
          <w:szCs w:val="24"/>
        </w:rPr>
        <w:t xml:space="preserve"> duration of thromboprophylaxis, </w:t>
      </w:r>
      <w:r w:rsidR="00286594" w:rsidRPr="00A903DD">
        <w:rPr>
          <w:rFonts w:ascii="Book Antiqua" w:hAnsi="Book Antiqua" w:cs="AGaramond"/>
          <w:color w:val="000000"/>
          <w:sz w:val="24"/>
          <w:szCs w:val="24"/>
        </w:rPr>
        <w:t>the investigators</w:t>
      </w:r>
      <w:r w:rsidR="00D76554" w:rsidRPr="00A903DD">
        <w:rPr>
          <w:rFonts w:ascii="Book Antiqua" w:hAnsi="Book Antiqua" w:cs="AGaramond"/>
          <w:color w:val="000000"/>
          <w:sz w:val="24"/>
          <w:szCs w:val="24"/>
        </w:rPr>
        <w:t xml:space="preserve"> found a 135 US dollar reduction per patient associated with FXa </w:t>
      </w:r>
      <w:r w:rsidR="00D76554" w:rsidRPr="00A903DD">
        <w:rPr>
          <w:rFonts w:ascii="Book Antiqua" w:hAnsi="Book Antiqua" w:cs="AGaramond"/>
          <w:color w:val="000000"/>
          <w:sz w:val="24"/>
          <w:szCs w:val="24"/>
        </w:rPr>
        <w:lastRenderedPageBreak/>
        <w:t xml:space="preserve">inhibitor </w:t>
      </w:r>
      <w:r w:rsidR="00286594" w:rsidRPr="00A903DD">
        <w:rPr>
          <w:rFonts w:ascii="Book Antiqua" w:hAnsi="Book Antiqua" w:cs="AGaramond"/>
          <w:color w:val="000000"/>
          <w:sz w:val="24"/>
          <w:szCs w:val="24"/>
        </w:rPr>
        <w:t xml:space="preserve">compared to LMWH (enoxaparin or dalteparin) </w:t>
      </w:r>
      <w:r w:rsidR="00A33C21">
        <w:rPr>
          <w:rFonts w:ascii="Book Antiqua" w:hAnsi="Book Antiqua" w:cs="AGaramond"/>
          <w:color w:val="000000"/>
          <w:sz w:val="24"/>
          <w:szCs w:val="24"/>
        </w:rPr>
        <w:t>use following THA in the 180 d</w:t>
      </w:r>
      <w:r w:rsidR="00D76554" w:rsidRPr="00A903DD">
        <w:rPr>
          <w:rFonts w:ascii="Book Antiqua" w:hAnsi="Book Antiqua" w:cs="AGaramond"/>
          <w:color w:val="000000"/>
          <w:sz w:val="24"/>
          <w:szCs w:val="24"/>
        </w:rPr>
        <w:t xml:space="preserve"> post-surgery</w:t>
      </w:r>
      <w:r w:rsidR="00286594" w:rsidRPr="00A903DD">
        <w:rPr>
          <w:rFonts w:ascii="Book Antiqua" w:hAnsi="Book Antiqua" w:cs="AGaramond"/>
          <w:color w:val="000000"/>
          <w:sz w:val="24"/>
          <w:szCs w:val="24"/>
        </w:rPr>
        <w:t xml:space="preserve"> period</w:t>
      </w:r>
      <w:r w:rsidR="00D76554" w:rsidRPr="00A903DD">
        <w:rPr>
          <w:rFonts w:ascii="Book Antiqua" w:hAnsi="Book Antiqua" w:cs="AGaramond"/>
          <w:color w:val="000000"/>
          <w:sz w:val="24"/>
          <w:szCs w:val="24"/>
        </w:rPr>
        <w:t>. The cost effectiveness associated with the FXa class was maintained throughout all sensitivity analysis</w:t>
      </w:r>
      <w:r w:rsidR="005E63D6" w:rsidRPr="00A903DD">
        <w:rPr>
          <w:rFonts w:ascii="Book Antiqua" w:hAnsi="Book Antiqua" w:cs="AGaramond"/>
          <w:color w:val="000000"/>
          <w:sz w:val="24"/>
          <w:szCs w:val="24"/>
        </w:rPr>
        <w:t xml:space="preserve"> of </w:t>
      </w:r>
      <w:r w:rsidR="00470304" w:rsidRPr="00A903DD">
        <w:rPr>
          <w:rFonts w:ascii="Book Antiqua" w:hAnsi="Book Antiqua" w:cs="AGaramond"/>
          <w:color w:val="000000"/>
          <w:sz w:val="24"/>
          <w:szCs w:val="24"/>
        </w:rPr>
        <w:t xml:space="preserve">cost </w:t>
      </w:r>
      <w:r w:rsidR="005E63D6" w:rsidRPr="00A903DD">
        <w:rPr>
          <w:rFonts w:ascii="Book Antiqua" w:hAnsi="Book Antiqua" w:cs="AGaramond"/>
          <w:color w:val="000000"/>
          <w:sz w:val="24"/>
          <w:szCs w:val="24"/>
        </w:rPr>
        <w:t>variables</w:t>
      </w:r>
      <w:r w:rsidR="00D76554" w:rsidRPr="00A903DD">
        <w:rPr>
          <w:rFonts w:ascii="Book Antiqua" w:hAnsi="Book Antiqua" w:cs="AGaramond"/>
          <w:color w:val="000000"/>
          <w:sz w:val="24"/>
          <w:szCs w:val="24"/>
        </w:rPr>
        <w:t>.</w:t>
      </w:r>
    </w:p>
    <w:p w:rsidR="00D76554" w:rsidRPr="00A903DD" w:rsidRDefault="00D76554" w:rsidP="00A33C21">
      <w:pPr>
        <w:spacing w:after="0" w:line="360" w:lineRule="auto"/>
        <w:ind w:firstLineChars="100" w:firstLine="240"/>
        <w:jc w:val="both"/>
        <w:rPr>
          <w:rFonts w:ascii="Book Antiqua" w:hAnsi="Book Antiqua" w:cs="AGaramond"/>
          <w:color w:val="000000"/>
          <w:sz w:val="24"/>
          <w:szCs w:val="24"/>
        </w:rPr>
      </w:pPr>
      <w:r w:rsidRPr="00A903DD">
        <w:rPr>
          <w:rFonts w:ascii="Book Antiqua" w:hAnsi="Book Antiqua" w:cs="AGaramond"/>
          <w:color w:val="000000"/>
          <w:sz w:val="24"/>
          <w:szCs w:val="24"/>
        </w:rPr>
        <w:t>The potential cost savings associated with the TSOAs, particularly rivaroxaban, are based on reductions in the expected incidence of symp</w:t>
      </w:r>
      <w:r w:rsidR="003D5425" w:rsidRPr="00A903DD">
        <w:rPr>
          <w:rFonts w:ascii="Book Antiqua" w:hAnsi="Book Antiqua" w:cs="AGaramond"/>
          <w:color w:val="000000"/>
          <w:sz w:val="24"/>
          <w:szCs w:val="24"/>
        </w:rPr>
        <w:t>t</w:t>
      </w:r>
      <w:r w:rsidRPr="00A903DD">
        <w:rPr>
          <w:rFonts w:ascii="Book Antiqua" w:hAnsi="Book Antiqua" w:cs="AGaramond"/>
          <w:color w:val="000000"/>
          <w:sz w:val="24"/>
          <w:szCs w:val="24"/>
        </w:rPr>
        <w:t xml:space="preserve">omatic VTE events, as well as </w:t>
      </w:r>
      <w:r w:rsidR="003D5425" w:rsidRPr="00A903DD">
        <w:rPr>
          <w:rFonts w:ascii="Book Antiqua" w:hAnsi="Book Antiqua" w:cs="AGaramond"/>
          <w:color w:val="000000"/>
          <w:sz w:val="24"/>
          <w:szCs w:val="24"/>
        </w:rPr>
        <w:t xml:space="preserve">a </w:t>
      </w:r>
      <w:r w:rsidRPr="00A903DD">
        <w:rPr>
          <w:rFonts w:ascii="Book Antiqua" w:hAnsi="Book Antiqua" w:cs="AGaramond"/>
          <w:color w:val="000000"/>
          <w:sz w:val="24"/>
          <w:szCs w:val="24"/>
        </w:rPr>
        <w:t>reduction in administration and monitoring costs</w:t>
      </w:r>
      <w:r w:rsidR="003D5425" w:rsidRPr="00A903DD">
        <w:rPr>
          <w:rFonts w:ascii="Book Antiqua" w:hAnsi="Book Antiqua" w:cs="AGaramond"/>
          <w:color w:val="000000"/>
          <w:sz w:val="24"/>
          <w:szCs w:val="24"/>
        </w:rPr>
        <w:t>,</w:t>
      </w:r>
      <w:r w:rsidRPr="00A903DD">
        <w:rPr>
          <w:rFonts w:ascii="Book Antiqua" w:hAnsi="Book Antiqua" w:cs="AGaramond"/>
          <w:color w:val="000000"/>
          <w:sz w:val="24"/>
          <w:szCs w:val="24"/>
        </w:rPr>
        <w:t xml:space="preserve"> while taking into account the potential for, and cost of major bleeding complications.  </w:t>
      </w:r>
    </w:p>
    <w:p w:rsidR="00D76554" w:rsidRPr="00A903DD" w:rsidRDefault="00D76554" w:rsidP="00A903DD">
      <w:pPr>
        <w:spacing w:after="0" w:line="360" w:lineRule="auto"/>
        <w:jc w:val="both"/>
        <w:rPr>
          <w:rFonts w:ascii="Book Antiqua" w:hAnsi="Book Antiqua"/>
          <w:b/>
          <w:sz w:val="24"/>
          <w:szCs w:val="24"/>
        </w:rPr>
      </w:pPr>
    </w:p>
    <w:p w:rsidR="00C500AA" w:rsidRPr="00A903DD" w:rsidRDefault="00A33C21" w:rsidP="00A903DD">
      <w:pPr>
        <w:spacing w:after="0" w:line="360" w:lineRule="auto"/>
        <w:jc w:val="both"/>
        <w:rPr>
          <w:rFonts w:ascii="Book Antiqua" w:hAnsi="Book Antiqua"/>
          <w:sz w:val="24"/>
          <w:szCs w:val="24"/>
        </w:rPr>
      </w:pPr>
      <w:r w:rsidRPr="00A903DD">
        <w:rPr>
          <w:rFonts w:ascii="Book Antiqua" w:hAnsi="Book Antiqua"/>
          <w:b/>
          <w:sz w:val="24"/>
          <w:szCs w:val="24"/>
        </w:rPr>
        <w:t>ANTICOAGULATION MONITORING AND REVERSAL OF TSOAS</w:t>
      </w:r>
      <w:r w:rsidRPr="00A903DD">
        <w:rPr>
          <w:rFonts w:ascii="Book Antiqua" w:hAnsi="Book Antiqua"/>
          <w:sz w:val="24"/>
          <w:szCs w:val="24"/>
        </w:rPr>
        <w:t xml:space="preserve"> </w:t>
      </w:r>
    </w:p>
    <w:p w:rsidR="00C500AA" w:rsidRPr="00A903DD" w:rsidRDefault="00C500AA" w:rsidP="00A903DD">
      <w:pPr>
        <w:spacing w:after="0" w:line="360" w:lineRule="auto"/>
        <w:jc w:val="both"/>
        <w:rPr>
          <w:rFonts w:ascii="Book Antiqua" w:hAnsi="Book Antiqua"/>
          <w:sz w:val="24"/>
          <w:szCs w:val="24"/>
        </w:rPr>
      </w:pPr>
      <w:r w:rsidRPr="00A903DD">
        <w:rPr>
          <w:rFonts w:ascii="Book Antiqua" w:hAnsi="Book Antiqua"/>
          <w:sz w:val="24"/>
          <w:szCs w:val="24"/>
        </w:rPr>
        <w:t>The most challenging aspect regarding use of one of t</w:t>
      </w:r>
      <w:r w:rsidR="001531A4" w:rsidRPr="00A903DD">
        <w:rPr>
          <w:rFonts w:ascii="Book Antiqua" w:hAnsi="Book Antiqua"/>
          <w:sz w:val="24"/>
          <w:szCs w:val="24"/>
        </w:rPr>
        <w:t>he TSOAs</w:t>
      </w:r>
      <w:r w:rsidRPr="00A903DD">
        <w:rPr>
          <w:rFonts w:ascii="Book Antiqua" w:hAnsi="Book Antiqua"/>
          <w:sz w:val="24"/>
          <w:szCs w:val="24"/>
        </w:rPr>
        <w:t xml:space="preserve"> centers on the issue of reversing the anticoagulant effect.  Limited clinical data especially in humans are available to address the issue of reversal and two factors c</w:t>
      </w:r>
      <w:r w:rsidR="00A33C21">
        <w:rPr>
          <w:rFonts w:ascii="Book Antiqua" w:hAnsi="Book Antiqua"/>
          <w:sz w:val="24"/>
          <w:szCs w:val="24"/>
        </w:rPr>
        <w:t xml:space="preserve">omplicate the matter. </w:t>
      </w:r>
      <w:r w:rsidRPr="00A903DD">
        <w:rPr>
          <w:rFonts w:ascii="Book Antiqua" w:hAnsi="Book Antiqua"/>
          <w:sz w:val="24"/>
          <w:szCs w:val="24"/>
        </w:rPr>
        <w:t>First, there are no well accepted and widely available laboratory methods for monitoring the new agents, meaning the routine assessment of anticoagulation intensity</w:t>
      </w:r>
      <w:r w:rsidR="00A33C21">
        <w:rPr>
          <w:rFonts w:ascii="Book Antiqua" w:hAnsi="Book Antiqua"/>
          <w:sz w:val="24"/>
          <w:szCs w:val="24"/>
        </w:rPr>
        <w:t xml:space="preserve"> during reversal is impaired.</w:t>
      </w:r>
      <w:r w:rsidR="00A33C21">
        <w:rPr>
          <w:rFonts w:ascii="Book Antiqua" w:hAnsi="Book Antiqua" w:hint="eastAsia"/>
          <w:sz w:val="24"/>
          <w:szCs w:val="24"/>
          <w:lang w:eastAsia="zh-CN"/>
        </w:rPr>
        <w:t xml:space="preserve"> </w:t>
      </w:r>
      <w:r w:rsidRPr="00A903DD">
        <w:rPr>
          <w:rFonts w:ascii="Book Antiqua" w:hAnsi="Book Antiqua"/>
          <w:sz w:val="24"/>
          <w:szCs w:val="24"/>
        </w:rPr>
        <w:t>Second, there are no direct acting antidotes for</w:t>
      </w:r>
      <w:r w:rsidR="001531A4" w:rsidRPr="00A903DD">
        <w:rPr>
          <w:rFonts w:ascii="Book Antiqua" w:hAnsi="Book Antiqua"/>
          <w:sz w:val="24"/>
          <w:szCs w:val="24"/>
        </w:rPr>
        <w:t xml:space="preserve"> either </w:t>
      </w:r>
      <w:r w:rsidR="00E46E4A" w:rsidRPr="00A903DD">
        <w:rPr>
          <w:rFonts w:ascii="Book Antiqua" w:hAnsi="Book Antiqua"/>
          <w:sz w:val="24"/>
          <w:szCs w:val="24"/>
        </w:rPr>
        <w:t>dabigatran or any of the FXa</w:t>
      </w:r>
      <w:r w:rsidRPr="00A903DD">
        <w:rPr>
          <w:rFonts w:ascii="Book Antiqua" w:hAnsi="Book Antiqua"/>
          <w:sz w:val="24"/>
          <w:szCs w:val="24"/>
        </w:rPr>
        <w:t xml:space="preserve"> inh</w:t>
      </w:r>
      <w:r w:rsidR="00E46E4A" w:rsidRPr="00A903DD">
        <w:rPr>
          <w:rFonts w:ascii="Book Antiqua" w:hAnsi="Book Antiqua"/>
          <w:sz w:val="24"/>
          <w:szCs w:val="24"/>
        </w:rPr>
        <w:t>ibitors</w:t>
      </w:r>
      <w:r w:rsidRPr="00A903DD">
        <w:rPr>
          <w:rFonts w:ascii="Book Antiqua" w:hAnsi="Book Antiqua"/>
          <w:sz w:val="24"/>
          <w:szCs w:val="24"/>
        </w:rPr>
        <w:t xml:space="preserve">.  Nevertheless, recommendations have been made in treatment guidelines regarding how to manage anticoagulation reversal of the new agents, and several recent reviews on the </w:t>
      </w:r>
      <w:r w:rsidR="00201832" w:rsidRPr="00A903DD">
        <w:rPr>
          <w:rFonts w:ascii="Book Antiqua" w:hAnsi="Book Antiqua"/>
          <w:sz w:val="24"/>
          <w:szCs w:val="24"/>
        </w:rPr>
        <w:t xml:space="preserve">topic have been </w:t>
      </w:r>
      <w:proofErr w:type="gramStart"/>
      <w:r w:rsidR="00201832" w:rsidRPr="00A903DD">
        <w:rPr>
          <w:rFonts w:ascii="Book Antiqua" w:hAnsi="Book Antiqua"/>
          <w:sz w:val="24"/>
          <w:szCs w:val="24"/>
        </w:rPr>
        <w:t>published</w:t>
      </w:r>
      <w:r w:rsidR="001531A4"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1</w:t>
      </w:r>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3</w:t>
      </w:r>
      <w:r w:rsidR="000840E3" w:rsidRPr="00A903DD">
        <w:rPr>
          <w:rFonts w:ascii="Book Antiqua" w:hAnsi="Book Antiqua"/>
          <w:sz w:val="24"/>
          <w:szCs w:val="24"/>
          <w:vertAlign w:val="superscript"/>
        </w:rPr>
        <w:t>]</w:t>
      </w:r>
      <w:r w:rsidR="00201832" w:rsidRPr="00A903DD">
        <w:rPr>
          <w:rFonts w:ascii="Book Antiqua" w:hAnsi="Book Antiqua"/>
          <w:sz w:val="24"/>
          <w:szCs w:val="24"/>
        </w:rPr>
        <w:t xml:space="preserve">.  </w:t>
      </w:r>
      <w:r w:rsidRPr="00A903DD">
        <w:rPr>
          <w:rFonts w:ascii="Book Antiqua" w:hAnsi="Book Antiqua"/>
          <w:sz w:val="24"/>
          <w:szCs w:val="24"/>
        </w:rPr>
        <w:t>Moreover, some groups have offered consensus expert opinions by the authors regarding optimal approaches for anticoagulation r</w:t>
      </w:r>
      <w:r w:rsidR="00201832" w:rsidRPr="00A903DD">
        <w:rPr>
          <w:rFonts w:ascii="Book Antiqua" w:hAnsi="Book Antiqua"/>
          <w:sz w:val="24"/>
          <w:szCs w:val="24"/>
        </w:rPr>
        <w:t xml:space="preserve">eversal of the new </w:t>
      </w:r>
      <w:proofErr w:type="gramStart"/>
      <w:r w:rsidR="00201832" w:rsidRPr="00A903DD">
        <w:rPr>
          <w:rFonts w:ascii="Book Antiqua" w:hAnsi="Book Antiqua"/>
          <w:sz w:val="24"/>
          <w:szCs w:val="24"/>
        </w:rPr>
        <w:t>agents</w:t>
      </w:r>
      <w:r w:rsidR="001531A4"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3,94</w:t>
      </w:r>
      <w:r w:rsidR="000840E3" w:rsidRPr="00A903DD">
        <w:rPr>
          <w:rFonts w:ascii="Book Antiqua" w:hAnsi="Book Antiqua"/>
          <w:sz w:val="24"/>
          <w:szCs w:val="24"/>
          <w:vertAlign w:val="superscript"/>
        </w:rPr>
        <w:t>]</w:t>
      </w:r>
      <w:r w:rsidR="00201832" w:rsidRPr="00A903DD">
        <w:rPr>
          <w:rFonts w:ascii="Book Antiqua" w:hAnsi="Book Antiqua"/>
          <w:sz w:val="24"/>
          <w:szCs w:val="24"/>
        </w:rPr>
        <w:t>.</w:t>
      </w:r>
    </w:p>
    <w:p w:rsidR="0092366B"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As previously noted, the risk of bleeding with the new agents is similar to that see</w:t>
      </w:r>
      <w:r w:rsidR="00A33C21">
        <w:rPr>
          <w:rFonts w:ascii="Book Antiqua" w:hAnsi="Book Antiqua"/>
          <w:sz w:val="24"/>
          <w:szCs w:val="24"/>
        </w:rPr>
        <w:t xml:space="preserve">n with other anticoagulants. </w:t>
      </w:r>
      <w:r w:rsidRPr="00A903DD">
        <w:rPr>
          <w:rFonts w:ascii="Book Antiqua" w:hAnsi="Book Antiqua"/>
          <w:sz w:val="24"/>
          <w:szCs w:val="24"/>
        </w:rPr>
        <w:t>Minor or major bleeding may be encountered in patients or reversal may be needed for an urgent invasive proc</w:t>
      </w:r>
      <w:r w:rsidR="00A33C21">
        <w:rPr>
          <w:rFonts w:ascii="Book Antiqua" w:hAnsi="Book Antiqua"/>
          <w:sz w:val="24"/>
          <w:szCs w:val="24"/>
        </w:rPr>
        <w:t xml:space="preserve">edure. </w:t>
      </w:r>
      <w:r w:rsidR="000840E3" w:rsidRPr="00A903DD">
        <w:rPr>
          <w:rFonts w:ascii="Book Antiqua" w:hAnsi="Book Antiqua"/>
          <w:sz w:val="24"/>
          <w:szCs w:val="24"/>
        </w:rPr>
        <w:t xml:space="preserve">As such, the </w:t>
      </w:r>
      <w:r w:rsidR="000840E3" w:rsidRPr="00A903DD">
        <w:rPr>
          <w:rFonts w:ascii="Book Antiqua" w:hAnsi="Book Antiqua"/>
          <w:sz w:val="24"/>
          <w:szCs w:val="24"/>
        </w:rPr>
        <w:lastRenderedPageBreak/>
        <w:t>approach to</w:t>
      </w:r>
      <w:r w:rsidRPr="00A903DD">
        <w:rPr>
          <w:rFonts w:ascii="Book Antiqua" w:hAnsi="Book Antiqua"/>
          <w:sz w:val="24"/>
          <w:szCs w:val="24"/>
        </w:rPr>
        <w:t xml:space="preserve"> management of anticoagulant reversal must be individualized as </w:t>
      </w:r>
      <w:r w:rsidR="003D40BA" w:rsidRPr="00A903DD">
        <w:rPr>
          <w:rFonts w:ascii="Book Antiqua" w:hAnsi="Book Antiqua"/>
          <w:sz w:val="24"/>
          <w:szCs w:val="24"/>
        </w:rPr>
        <w:t xml:space="preserve">is the case </w:t>
      </w:r>
      <w:r w:rsidRPr="00A903DD">
        <w:rPr>
          <w:rFonts w:ascii="Book Antiqua" w:hAnsi="Book Antiqua"/>
          <w:sz w:val="24"/>
          <w:szCs w:val="24"/>
        </w:rPr>
        <w:t xml:space="preserve">with </w:t>
      </w:r>
      <w:r w:rsidR="003D40BA" w:rsidRPr="00A903DD">
        <w:rPr>
          <w:rFonts w:ascii="Book Antiqua" w:hAnsi="Book Antiqua"/>
          <w:sz w:val="24"/>
          <w:szCs w:val="24"/>
        </w:rPr>
        <w:t xml:space="preserve">older </w:t>
      </w:r>
      <w:r w:rsidR="000840E3" w:rsidRPr="00A903DD">
        <w:rPr>
          <w:rFonts w:ascii="Book Antiqua" w:hAnsi="Book Antiqua"/>
          <w:sz w:val="24"/>
          <w:szCs w:val="24"/>
        </w:rPr>
        <w:t>established</w:t>
      </w:r>
      <w:r w:rsidR="00A33C21">
        <w:rPr>
          <w:rFonts w:ascii="Book Antiqua" w:hAnsi="Book Antiqua"/>
          <w:sz w:val="24"/>
          <w:szCs w:val="24"/>
        </w:rPr>
        <w:t xml:space="preserve"> anticoagulants. </w:t>
      </w:r>
      <w:r w:rsidRPr="00A903DD">
        <w:rPr>
          <w:rFonts w:ascii="Book Antiqua" w:hAnsi="Book Antiqua"/>
          <w:sz w:val="24"/>
          <w:szCs w:val="24"/>
        </w:rPr>
        <w:t xml:space="preserve">Patient assessment for bleeding risk also is similar and increased risk is associated with anticoagulation intensity, a history of bleeding, advanced age, comorbid conditions, and other drug therapy such as </w:t>
      </w:r>
      <w:r w:rsidR="00201832" w:rsidRPr="00A903DD">
        <w:rPr>
          <w:rFonts w:ascii="Book Antiqua" w:hAnsi="Book Antiqua"/>
          <w:sz w:val="24"/>
          <w:szCs w:val="24"/>
        </w:rPr>
        <w:t xml:space="preserve">concomitant antiplatelet </w:t>
      </w:r>
      <w:proofErr w:type="gramStart"/>
      <w:r w:rsidR="00201832" w:rsidRPr="00A903DD">
        <w:rPr>
          <w:rFonts w:ascii="Book Antiqua" w:hAnsi="Book Antiqua"/>
          <w:sz w:val="24"/>
          <w:szCs w:val="24"/>
        </w:rPr>
        <w:t>drugs</w:t>
      </w:r>
      <w:r w:rsidR="001531A4"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1</w:t>
      </w:r>
      <w:r w:rsidR="000840E3" w:rsidRPr="00A903DD">
        <w:rPr>
          <w:rFonts w:ascii="Book Antiqua" w:hAnsi="Book Antiqua"/>
          <w:sz w:val="24"/>
          <w:szCs w:val="24"/>
          <w:vertAlign w:val="superscript"/>
        </w:rPr>
        <w:t>]</w:t>
      </w:r>
      <w:r w:rsidR="00201832" w:rsidRPr="00A903DD">
        <w:rPr>
          <w:rFonts w:ascii="Book Antiqua" w:hAnsi="Book Antiqua"/>
          <w:sz w:val="24"/>
          <w:szCs w:val="24"/>
        </w:rPr>
        <w:t>.</w:t>
      </w:r>
      <w:r w:rsidR="000840E3" w:rsidRPr="00A903DD">
        <w:rPr>
          <w:rFonts w:ascii="Book Antiqua" w:hAnsi="Book Antiqua"/>
          <w:sz w:val="24"/>
          <w:szCs w:val="24"/>
          <w:vertAlign w:val="superscript"/>
        </w:rPr>
        <w:t xml:space="preserve">  </w:t>
      </w:r>
      <w:r w:rsidR="000840E3" w:rsidRPr="00A903DD">
        <w:rPr>
          <w:rFonts w:ascii="Book Antiqua" w:hAnsi="Book Antiqua"/>
          <w:sz w:val="24"/>
          <w:szCs w:val="24"/>
        </w:rPr>
        <w:t>A</w:t>
      </w:r>
      <w:r w:rsidRPr="00A903DD">
        <w:rPr>
          <w:rFonts w:ascii="Book Antiqua" w:hAnsi="Book Antiqua"/>
          <w:sz w:val="24"/>
          <w:szCs w:val="24"/>
        </w:rPr>
        <w:t xml:space="preserve">ttention, particularly for dabigatran, should be given </w:t>
      </w:r>
      <w:r w:rsidR="000840E3" w:rsidRPr="00A903DD">
        <w:rPr>
          <w:rFonts w:ascii="Book Antiqua" w:hAnsi="Book Antiqua"/>
          <w:sz w:val="24"/>
          <w:szCs w:val="24"/>
        </w:rPr>
        <w:t>to renal status which</w:t>
      </w:r>
      <w:r w:rsidRPr="00A903DD">
        <w:rPr>
          <w:rFonts w:ascii="Book Antiqua" w:hAnsi="Book Antiqua"/>
          <w:sz w:val="24"/>
          <w:szCs w:val="24"/>
        </w:rPr>
        <w:t xml:space="preserve"> correlates with the half-life and therefore the anticoagulation intensity for the new </w:t>
      </w:r>
      <w:proofErr w:type="gramStart"/>
      <w:r w:rsidRPr="00A903DD">
        <w:rPr>
          <w:rFonts w:ascii="Book Antiqua" w:hAnsi="Book Antiqua"/>
          <w:sz w:val="24"/>
          <w:szCs w:val="24"/>
        </w:rPr>
        <w:t>age</w:t>
      </w:r>
      <w:r w:rsidR="00201832" w:rsidRPr="00A903DD">
        <w:rPr>
          <w:rFonts w:ascii="Book Antiqua" w:hAnsi="Book Antiqua"/>
          <w:sz w:val="24"/>
          <w:szCs w:val="24"/>
        </w:rPr>
        <w:t>nts</w:t>
      </w:r>
      <w:r w:rsidR="001531A4"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16,18,21]</w:t>
      </w:r>
      <w:r w:rsidR="00201832" w:rsidRPr="00A903DD">
        <w:rPr>
          <w:rFonts w:ascii="Book Antiqua" w:hAnsi="Book Antiqua"/>
          <w:sz w:val="24"/>
          <w:szCs w:val="24"/>
        </w:rPr>
        <w:t>.</w:t>
      </w:r>
      <w:r w:rsidR="00A33C21">
        <w:rPr>
          <w:rFonts w:ascii="Book Antiqua" w:hAnsi="Book Antiqua"/>
          <w:sz w:val="24"/>
          <w:szCs w:val="24"/>
        </w:rPr>
        <w:t xml:space="preserve"> </w:t>
      </w:r>
      <w:r w:rsidRPr="00A903DD">
        <w:rPr>
          <w:rFonts w:ascii="Book Antiqua" w:hAnsi="Book Antiqua"/>
          <w:sz w:val="24"/>
          <w:szCs w:val="24"/>
        </w:rPr>
        <w:t xml:space="preserve">Factors associated with increased bleeding risk are more common in the elderly population who </w:t>
      </w:r>
      <w:r w:rsidR="00E46E4A" w:rsidRPr="00A903DD">
        <w:rPr>
          <w:rFonts w:ascii="Book Antiqua" w:hAnsi="Book Antiqua"/>
          <w:sz w:val="24"/>
          <w:szCs w:val="24"/>
        </w:rPr>
        <w:t>represent a majority of</w:t>
      </w:r>
      <w:r w:rsidRPr="00A903DD">
        <w:rPr>
          <w:rFonts w:ascii="Book Antiqua" w:hAnsi="Book Antiqua"/>
          <w:sz w:val="24"/>
          <w:szCs w:val="24"/>
        </w:rPr>
        <w:t xml:space="preserve"> </w:t>
      </w:r>
      <w:r w:rsidR="003D40BA" w:rsidRPr="00A903DD">
        <w:rPr>
          <w:rFonts w:ascii="Book Antiqua" w:hAnsi="Book Antiqua"/>
          <w:sz w:val="24"/>
          <w:szCs w:val="24"/>
        </w:rPr>
        <w:t>THA</w:t>
      </w:r>
      <w:r w:rsidRPr="00A903DD">
        <w:rPr>
          <w:rFonts w:ascii="Book Antiqua" w:hAnsi="Book Antiqua"/>
          <w:sz w:val="24"/>
          <w:szCs w:val="24"/>
        </w:rPr>
        <w:t xml:space="preserve"> patients.</w:t>
      </w:r>
    </w:p>
    <w:p w:rsidR="00444EF0" w:rsidRPr="00A903DD" w:rsidRDefault="00444EF0" w:rsidP="00A903DD">
      <w:pPr>
        <w:spacing w:after="0" w:line="360" w:lineRule="auto"/>
        <w:jc w:val="both"/>
        <w:rPr>
          <w:rFonts w:ascii="Book Antiqua" w:hAnsi="Book Antiqua"/>
          <w:sz w:val="24"/>
          <w:szCs w:val="24"/>
        </w:rPr>
      </w:pPr>
    </w:p>
    <w:p w:rsidR="00C500AA" w:rsidRPr="00A903DD" w:rsidRDefault="003D40BA" w:rsidP="00A903DD">
      <w:pPr>
        <w:spacing w:after="0" w:line="360" w:lineRule="auto"/>
        <w:jc w:val="both"/>
        <w:rPr>
          <w:rFonts w:ascii="Book Antiqua" w:hAnsi="Book Antiqua"/>
          <w:b/>
          <w:i/>
          <w:sz w:val="24"/>
          <w:szCs w:val="24"/>
        </w:rPr>
      </w:pPr>
      <w:r w:rsidRPr="00A903DD">
        <w:rPr>
          <w:rFonts w:ascii="Book Antiqua" w:hAnsi="Book Antiqua"/>
          <w:b/>
          <w:i/>
          <w:sz w:val="24"/>
          <w:szCs w:val="24"/>
        </w:rPr>
        <w:t>Anticoagulation m</w:t>
      </w:r>
      <w:r w:rsidR="00C500AA" w:rsidRPr="00A903DD">
        <w:rPr>
          <w:rFonts w:ascii="Book Antiqua" w:hAnsi="Book Antiqua"/>
          <w:b/>
          <w:i/>
          <w:sz w:val="24"/>
          <w:szCs w:val="24"/>
        </w:rPr>
        <w:t xml:space="preserve">onitoring of </w:t>
      </w:r>
      <w:r w:rsidRPr="00A903DD">
        <w:rPr>
          <w:rFonts w:ascii="Book Antiqua" w:hAnsi="Book Antiqua"/>
          <w:b/>
          <w:i/>
          <w:sz w:val="24"/>
          <w:szCs w:val="24"/>
        </w:rPr>
        <w:t>TSOAs</w:t>
      </w:r>
    </w:p>
    <w:p w:rsidR="00C500AA" w:rsidRPr="00A903DD" w:rsidRDefault="00C500AA" w:rsidP="00A903DD">
      <w:pPr>
        <w:spacing w:after="0" w:line="360" w:lineRule="auto"/>
        <w:jc w:val="both"/>
        <w:rPr>
          <w:rFonts w:ascii="Book Antiqua" w:hAnsi="Book Antiqua"/>
          <w:sz w:val="24"/>
          <w:szCs w:val="24"/>
        </w:rPr>
      </w:pPr>
      <w:r w:rsidRPr="00A903DD">
        <w:rPr>
          <w:rFonts w:ascii="Book Antiqua" w:hAnsi="Book Antiqua"/>
          <w:sz w:val="24"/>
          <w:szCs w:val="24"/>
        </w:rPr>
        <w:t xml:space="preserve">Because of the more predictable anticoagulant response of the </w:t>
      </w:r>
      <w:r w:rsidR="003D40BA" w:rsidRPr="00A903DD">
        <w:rPr>
          <w:rFonts w:ascii="Book Antiqua" w:hAnsi="Book Antiqua"/>
          <w:sz w:val="24"/>
          <w:szCs w:val="24"/>
        </w:rPr>
        <w:t>TSOAs</w:t>
      </w:r>
      <w:r w:rsidRPr="00A903DD">
        <w:rPr>
          <w:rFonts w:ascii="Book Antiqua" w:hAnsi="Book Antiqua"/>
          <w:sz w:val="24"/>
          <w:szCs w:val="24"/>
        </w:rPr>
        <w:t>, routine laboratory monitoring was not performed in major clinical studies o</w:t>
      </w:r>
      <w:r w:rsidR="00A33C21">
        <w:rPr>
          <w:rFonts w:ascii="Book Antiqua" w:hAnsi="Book Antiqua"/>
          <w:sz w:val="24"/>
          <w:szCs w:val="24"/>
        </w:rPr>
        <w:t xml:space="preserve">f the new oral anticoagulants. </w:t>
      </w:r>
      <w:r w:rsidRPr="00A903DD">
        <w:rPr>
          <w:rFonts w:ascii="Book Antiqua" w:hAnsi="Book Antiqua"/>
          <w:sz w:val="24"/>
          <w:szCs w:val="24"/>
        </w:rPr>
        <w:t>However, identification of a laboratory monitoring test to assess the anticoagulant intensity of a given agent could g</w:t>
      </w:r>
      <w:r w:rsidR="00A33C21">
        <w:rPr>
          <w:rFonts w:ascii="Book Antiqua" w:hAnsi="Book Antiqua"/>
          <w:sz w:val="24"/>
          <w:szCs w:val="24"/>
        </w:rPr>
        <w:t xml:space="preserve">reatly assist during reversal. </w:t>
      </w:r>
      <w:r w:rsidRPr="00A903DD">
        <w:rPr>
          <w:rFonts w:ascii="Book Antiqua" w:hAnsi="Book Antiqua"/>
          <w:sz w:val="24"/>
          <w:szCs w:val="24"/>
        </w:rPr>
        <w:t xml:space="preserve">Moreover, laboratory testing could have value to determine if bleeding risk is correlated with certain patient factors such as renal impairment </w:t>
      </w:r>
      <w:r w:rsidR="003D40BA" w:rsidRPr="00A903DD">
        <w:rPr>
          <w:rFonts w:ascii="Book Antiqua" w:hAnsi="Book Antiqua"/>
          <w:sz w:val="24"/>
          <w:szCs w:val="24"/>
        </w:rPr>
        <w:t xml:space="preserve">or age </w:t>
      </w:r>
      <w:r w:rsidRPr="00A903DD">
        <w:rPr>
          <w:rFonts w:ascii="Book Antiqua" w:hAnsi="Book Antiqua"/>
          <w:sz w:val="24"/>
          <w:szCs w:val="24"/>
        </w:rPr>
        <w:t>and thereby identify patients at greater risk, to detect nonadherence or overdose, and to assess the</w:t>
      </w:r>
      <w:r w:rsidR="000840E3" w:rsidRPr="00A903DD">
        <w:rPr>
          <w:rFonts w:ascii="Book Antiqua" w:hAnsi="Book Antiqua"/>
          <w:sz w:val="24"/>
          <w:szCs w:val="24"/>
        </w:rPr>
        <w:t xml:space="preserve"> impact of drug </w:t>
      </w:r>
      <w:proofErr w:type="gramStart"/>
      <w:r w:rsidR="000840E3" w:rsidRPr="00A903DD">
        <w:rPr>
          <w:rFonts w:ascii="Book Antiqua" w:hAnsi="Book Antiqua"/>
          <w:sz w:val="24"/>
          <w:szCs w:val="24"/>
        </w:rPr>
        <w:t>interactions</w:t>
      </w:r>
      <w:r w:rsidR="001531A4"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5</w:t>
      </w:r>
      <w:r w:rsidR="000840E3" w:rsidRPr="00A903DD">
        <w:rPr>
          <w:rFonts w:ascii="Book Antiqua" w:hAnsi="Book Antiqua"/>
          <w:sz w:val="24"/>
          <w:szCs w:val="24"/>
          <w:vertAlign w:val="superscript"/>
        </w:rPr>
        <w:t>]</w:t>
      </w:r>
      <w:r w:rsidR="00201832" w:rsidRPr="00A903DD">
        <w:rPr>
          <w:rFonts w:ascii="Book Antiqua" w:hAnsi="Book Antiqua"/>
          <w:sz w:val="24"/>
          <w:szCs w:val="24"/>
        </w:rPr>
        <w:t>.</w:t>
      </w:r>
      <w:r w:rsidRPr="00A903DD">
        <w:rPr>
          <w:rFonts w:ascii="Book Antiqua" w:hAnsi="Book Antiqua"/>
          <w:sz w:val="24"/>
          <w:szCs w:val="24"/>
        </w:rPr>
        <w:t xml:space="preserve">   Several laboratory assays have been evaluated as monitoring tests to assist in reversal decisions with the </w:t>
      </w:r>
      <w:r w:rsidR="003D40BA" w:rsidRPr="00A903DD">
        <w:rPr>
          <w:rFonts w:ascii="Book Antiqua" w:hAnsi="Book Antiqua"/>
          <w:sz w:val="24"/>
          <w:szCs w:val="24"/>
        </w:rPr>
        <w:t>TSOAs</w:t>
      </w:r>
      <w:r w:rsidRPr="00A903DD">
        <w:rPr>
          <w:rFonts w:ascii="Book Antiqua" w:hAnsi="Book Antiqua"/>
          <w:sz w:val="24"/>
          <w:szCs w:val="24"/>
        </w:rPr>
        <w:t xml:space="preserve">.  </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The </w:t>
      </w:r>
      <w:r w:rsidR="000840E3" w:rsidRPr="00A903DD">
        <w:rPr>
          <w:rFonts w:ascii="Book Antiqua" w:hAnsi="Book Antiqua"/>
          <w:sz w:val="24"/>
          <w:szCs w:val="24"/>
        </w:rPr>
        <w:t>common anticoagulation tests</w:t>
      </w:r>
      <w:r w:rsidRPr="00A903DD">
        <w:rPr>
          <w:rFonts w:ascii="Book Antiqua" w:hAnsi="Book Antiqua"/>
          <w:sz w:val="24"/>
          <w:szCs w:val="24"/>
        </w:rPr>
        <w:t xml:space="preserve"> prothrombin time (PT) and activated partial thromboplastin time (aPTT) are readily available but react differently to the </w:t>
      </w:r>
      <w:r w:rsidR="003D40BA" w:rsidRPr="00A903DD">
        <w:rPr>
          <w:rFonts w:ascii="Book Antiqua" w:hAnsi="Book Antiqua"/>
          <w:sz w:val="24"/>
          <w:szCs w:val="24"/>
        </w:rPr>
        <w:t>TSOAs</w:t>
      </w:r>
      <w:r w:rsidR="00A33C21">
        <w:rPr>
          <w:rFonts w:ascii="Book Antiqua" w:hAnsi="Book Antiqua"/>
          <w:sz w:val="24"/>
          <w:szCs w:val="24"/>
        </w:rPr>
        <w:t>.</w:t>
      </w:r>
      <w:r w:rsidR="00A33C21">
        <w:rPr>
          <w:rFonts w:ascii="Book Antiqua" w:hAnsi="Book Antiqua" w:hint="eastAsia"/>
          <w:sz w:val="24"/>
          <w:szCs w:val="24"/>
          <w:lang w:eastAsia="zh-CN"/>
        </w:rPr>
        <w:t xml:space="preserve"> </w:t>
      </w:r>
      <w:r w:rsidRPr="00A903DD">
        <w:rPr>
          <w:rFonts w:ascii="Book Antiqua" w:hAnsi="Book Antiqua"/>
          <w:sz w:val="24"/>
          <w:szCs w:val="24"/>
        </w:rPr>
        <w:t xml:space="preserve">The PT test is of limited utility since its value varies according to the thromboplastin reagent used, and conversion to the International Normalized Ratio (INR) </w:t>
      </w:r>
      <w:r w:rsidR="00A33C21">
        <w:rPr>
          <w:rFonts w:ascii="Book Antiqua" w:hAnsi="Book Antiqua"/>
          <w:sz w:val="24"/>
          <w:szCs w:val="24"/>
        </w:rPr>
        <w:t xml:space="preserve">further increases variability. </w:t>
      </w:r>
      <w:r w:rsidRPr="00A903DD">
        <w:rPr>
          <w:rFonts w:ascii="Book Antiqua" w:hAnsi="Book Antiqua"/>
          <w:sz w:val="24"/>
          <w:szCs w:val="24"/>
        </w:rPr>
        <w:t xml:space="preserve">If </w:t>
      </w:r>
      <w:r w:rsidRPr="00A903DD">
        <w:rPr>
          <w:rFonts w:ascii="Book Antiqua" w:hAnsi="Book Antiqua"/>
          <w:sz w:val="24"/>
          <w:szCs w:val="24"/>
        </w:rPr>
        <w:lastRenderedPageBreak/>
        <w:t xml:space="preserve">a reagent sensitive to </w:t>
      </w:r>
      <w:r w:rsidR="003D5425" w:rsidRPr="00A903DD">
        <w:rPr>
          <w:rFonts w:ascii="Book Antiqua" w:hAnsi="Book Antiqua"/>
          <w:sz w:val="24"/>
          <w:szCs w:val="24"/>
        </w:rPr>
        <w:t>rivaroxaban</w:t>
      </w:r>
      <w:r w:rsidRPr="00A903DD">
        <w:rPr>
          <w:rFonts w:ascii="Book Antiqua" w:hAnsi="Book Antiqua"/>
          <w:sz w:val="24"/>
          <w:szCs w:val="24"/>
        </w:rPr>
        <w:t xml:space="preserve"> is used, the PT can be used to detect and roughly quantify an anticoagulant effect from </w:t>
      </w:r>
      <w:r w:rsidR="003D40BA" w:rsidRPr="00A903DD">
        <w:rPr>
          <w:rFonts w:ascii="Book Antiqua" w:hAnsi="Book Antiqua"/>
          <w:sz w:val="24"/>
          <w:szCs w:val="24"/>
        </w:rPr>
        <w:t>that agent</w:t>
      </w:r>
      <w:r w:rsidRPr="00A903DD">
        <w:rPr>
          <w:rFonts w:ascii="Book Antiqua" w:hAnsi="Book Antiqua"/>
          <w:sz w:val="24"/>
          <w:szCs w:val="24"/>
        </w:rPr>
        <w:t>; it is unreliab</w:t>
      </w:r>
      <w:r w:rsidR="00F23175" w:rsidRPr="00A903DD">
        <w:rPr>
          <w:rFonts w:ascii="Book Antiqua" w:hAnsi="Book Antiqua"/>
          <w:sz w:val="24"/>
          <w:szCs w:val="24"/>
        </w:rPr>
        <w:t>le to detect dabigatran or apixa</w:t>
      </w:r>
      <w:r w:rsidRPr="00A903DD">
        <w:rPr>
          <w:rFonts w:ascii="Book Antiqua" w:hAnsi="Book Antiqua"/>
          <w:sz w:val="24"/>
          <w:szCs w:val="24"/>
        </w:rPr>
        <w:t>ban.  In contrast, the aPTT test has been used to monitor dabigatran and a normal test value suggests a minimal or absent anticoagul</w:t>
      </w:r>
      <w:r w:rsidR="00DB190F" w:rsidRPr="00A903DD">
        <w:rPr>
          <w:rFonts w:ascii="Book Antiqua" w:hAnsi="Book Antiqua"/>
          <w:sz w:val="24"/>
          <w:szCs w:val="24"/>
        </w:rPr>
        <w:t xml:space="preserve">ant effect from the </w:t>
      </w:r>
      <w:proofErr w:type="gramStart"/>
      <w:r w:rsidR="00DB190F" w:rsidRPr="00A903DD">
        <w:rPr>
          <w:rFonts w:ascii="Book Antiqua" w:hAnsi="Book Antiqua"/>
          <w:sz w:val="24"/>
          <w:szCs w:val="24"/>
        </w:rPr>
        <w:t>drug</w:t>
      </w:r>
      <w:r w:rsidR="001531A4"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6</w:t>
      </w:r>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7</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r w:rsidR="00A33C21">
        <w:rPr>
          <w:rFonts w:ascii="Book Antiqua" w:hAnsi="Book Antiqua"/>
          <w:sz w:val="24"/>
          <w:szCs w:val="24"/>
        </w:rPr>
        <w:t xml:space="preserve"> </w:t>
      </w:r>
      <w:r w:rsidRPr="00A903DD">
        <w:rPr>
          <w:rFonts w:ascii="Book Antiqua" w:hAnsi="Book Antiqua"/>
          <w:sz w:val="24"/>
          <w:szCs w:val="24"/>
        </w:rPr>
        <w:t xml:space="preserve">The aPTT test result elevation was correlated with the dosage and serum concentrations of dabigatran in </w:t>
      </w:r>
      <w:r w:rsidR="00C539A4" w:rsidRPr="00A903DD">
        <w:rPr>
          <w:rFonts w:ascii="Book Antiqua" w:hAnsi="Book Antiqua"/>
          <w:sz w:val="24"/>
          <w:szCs w:val="24"/>
        </w:rPr>
        <w:t>THA</w:t>
      </w:r>
      <w:r w:rsidRPr="00A903DD">
        <w:rPr>
          <w:rFonts w:ascii="Book Antiqua" w:hAnsi="Book Antiqua"/>
          <w:sz w:val="24"/>
          <w:szCs w:val="24"/>
        </w:rPr>
        <w:t xml:space="preserve"> patients in the BISTRO I trial, but the c</w:t>
      </w:r>
      <w:r w:rsidR="00DB190F" w:rsidRPr="00A903DD">
        <w:rPr>
          <w:rFonts w:ascii="Book Antiqua" w:hAnsi="Book Antiqua"/>
          <w:sz w:val="24"/>
          <w:szCs w:val="24"/>
        </w:rPr>
        <w:t xml:space="preserve">orrelation was </w:t>
      </w:r>
      <w:proofErr w:type="gramStart"/>
      <w:r w:rsidR="00DB190F" w:rsidRPr="00A903DD">
        <w:rPr>
          <w:rFonts w:ascii="Book Antiqua" w:hAnsi="Book Antiqua"/>
          <w:sz w:val="24"/>
          <w:szCs w:val="24"/>
        </w:rPr>
        <w:t>nonlinear</w:t>
      </w:r>
      <w:r w:rsidR="00707702" w:rsidRPr="00A903DD">
        <w:rPr>
          <w:rFonts w:ascii="Book Antiqua" w:hAnsi="Book Antiqua"/>
          <w:sz w:val="24"/>
          <w:szCs w:val="24"/>
          <w:vertAlign w:val="superscript"/>
        </w:rPr>
        <w:t>[</w:t>
      </w:r>
      <w:proofErr w:type="gramEnd"/>
      <w:r w:rsidR="00707702" w:rsidRPr="00A903DD">
        <w:rPr>
          <w:rFonts w:ascii="Book Antiqua" w:hAnsi="Book Antiqua"/>
          <w:sz w:val="24"/>
          <w:szCs w:val="24"/>
          <w:vertAlign w:val="superscript"/>
        </w:rPr>
        <w:t>9</w:t>
      </w:r>
      <w:r w:rsidR="00F23175" w:rsidRPr="00A903DD">
        <w:rPr>
          <w:rFonts w:ascii="Book Antiqua" w:hAnsi="Book Antiqua"/>
          <w:sz w:val="24"/>
          <w:szCs w:val="24"/>
          <w:vertAlign w:val="superscript"/>
        </w:rPr>
        <w:t>1</w:t>
      </w:r>
      <w:r w:rsidR="00707702" w:rsidRPr="00A903DD">
        <w:rPr>
          <w:rFonts w:ascii="Book Antiqua" w:hAnsi="Book Antiqua"/>
          <w:sz w:val="24"/>
          <w:szCs w:val="24"/>
          <w:vertAlign w:val="superscript"/>
        </w:rPr>
        <w:t>,52</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r w:rsidR="00A33C21">
        <w:rPr>
          <w:rFonts w:ascii="Book Antiqua" w:hAnsi="Book Antiqua"/>
          <w:sz w:val="24"/>
          <w:szCs w:val="24"/>
        </w:rPr>
        <w:t xml:space="preserve"> </w:t>
      </w:r>
      <w:r w:rsidRPr="00A903DD">
        <w:rPr>
          <w:rFonts w:ascii="Book Antiqua" w:hAnsi="Book Antiqua"/>
          <w:sz w:val="24"/>
          <w:szCs w:val="24"/>
        </w:rPr>
        <w:t>The aPTT test result is</w:t>
      </w:r>
      <w:r w:rsidR="000840E3" w:rsidRPr="00A903DD">
        <w:rPr>
          <w:rFonts w:ascii="Book Antiqua" w:hAnsi="Book Antiqua"/>
          <w:sz w:val="24"/>
          <w:szCs w:val="24"/>
        </w:rPr>
        <w:t xml:space="preserve"> also prolonged with the F</w:t>
      </w:r>
      <w:r w:rsidRPr="00A903DD">
        <w:rPr>
          <w:rFonts w:ascii="Book Antiqua" w:hAnsi="Book Antiqua"/>
          <w:sz w:val="24"/>
          <w:szCs w:val="24"/>
        </w:rPr>
        <w:t>Xa inhibitors but effects are weake</w:t>
      </w:r>
      <w:r w:rsidR="000840E3" w:rsidRPr="00A903DD">
        <w:rPr>
          <w:rFonts w:ascii="Book Antiqua" w:hAnsi="Book Antiqua"/>
          <w:sz w:val="24"/>
          <w:szCs w:val="24"/>
        </w:rPr>
        <w:t>r tha</w:t>
      </w:r>
      <w:r w:rsidR="00DB190F" w:rsidRPr="00A903DD">
        <w:rPr>
          <w:rFonts w:ascii="Book Antiqua" w:hAnsi="Book Antiqua"/>
          <w:sz w:val="24"/>
          <w:szCs w:val="24"/>
        </w:rPr>
        <w:t xml:space="preserve">n those on the PT </w:t>
      </w:r>
      <w:proofErr w:type="gramStart"/>
      <w:r w:rsidR="00DB190F" w:rsidRPr="00A903DD">
        <w:rPr>
          <w:rFonts w:ascii="Book Antiqua" w:hAnsi="Book Antiqua"/>
          <w:sz w:val="24"/>
          <w:szCs w:val="24"/>
        </w:rPr>
        <w:t>test</w:t>
      </w:r>
      <w:r w:rsidR="001531A4"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1</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p>
    <w:p w:rsidR="00C500AA" w:rsidRPr="00A903DD" w:rsidRDefault="00C500AA" w:rsidP="00A33C21">
      <w:pPr>
        <w:spacing w:after="0" w:line="360" w:lineRule="auto"/>
        <w:ind w:firstLineChars="100" w:firstLine="240"/>
        <w:jc w:val="both"/>
        <w:rPr>
          <w:rFonts w:ascii="Book Antiqua" w:hAnsi="Book Antiqua"/>
          <w:sz w:val="24"/>
          <w:szCs w:val="24"/>
          <w:vertAlign w:val="superscript"/>
        </w:rPr>
      </w:pPr>
      <w:r w:rsidRPr="00A903DD">
        <w:rPr>
          <w:rFonts w:ascii="Book Antiqua" w:hAnsi="Book Antiqua"/>
          <w:sz w:val="24"/>
          <w:szCs w:val="24"/>
        </w:rPr>
        <w:t xml:space="preserve">Samama </w:t>
      </w:r>
      <w:r w:rsidRPr="00A33C21">
        <w:rPr>
          <w:rFonts w:ascii="Book Antiqua" w:hAnsi="Book Antiqua"/>
          <w:i/>
          <w:sz w:val="24"/>
          <w:szCs w:val="24"/>
        </w:rPr>
        <w:t xml:space="preserve">et </w:t>
      </w:r>
      <w:proofErr w:type="gramStart"/>
      <w:r w:rsidRPr="00A33C21">
        <w:rPr>
          <w:rFonts w:ascii="Book Antiqua" w:hAnsi="Book Antiqua"/>
          <w:i/>
          <w:sz w:val="24"/>
          <w:szCs w:val="24"/>
        </w:rPr>
        <w:t>al</w:t>
      </w:r>
      <w:r w:rsidR="00DB190F" w:rsidRPr="00A903DD">
        <w:rPr>
          <w:rFonts w:ascii="Book Antiqua" w:hAnsi="Book Antiqua"/>
          <w:sz w:val="24"/>
          <w:szCs w:val="24"/>
          <w:vertAlign w:val="superscript"/>
        </w:rPr>
        <w:t>[</w:t>
      </w:r>
      <w:proofErr w:type="gramEnd"/>
      <w:r w:rsidR="00DB190F" w:rsidRPr="00A903DD">
        <w:rPr>
          <w:rFonts w:ascii="Book Antiqua" w:hAnsi="Book Antiqua"/>
          <w:sz w:val="24"/>
          <w:szCs w:val="24"/>
          <w:vertAlign w:val="superscript"/>
        </w:rPr>
        <w:t>98]</w:t>
      </w:r>
      <w:r w:rsidRPr="00A903DD">
        <w:rPr>
          <w:rFonts w:ascii="Book Antiqua" w:hAnsi="Book Antiqua"/>
          <w:sz w:val="24"/>
          <w:szCs w:val="24"/>
        </w:rPr>
        <w:t xml:space="preserve"> recently determined the effects of dabigatran and rivaroxaban on the various coagulation tests in 106 patients receiving the drugs for major orthopedic surgery, including 36 who underwent </w:t>
      </w:r>
      <w:r w:rsidR="00C539A4" w:rsidRPr="00A903DD">
        <w:rPr>
          <w:rFonts w:ascii="Book Antiqua" w:hAnsi="Book Antiqua"/>
          <w:sz w:val="24"/>
          <w:szCs w:val="24"/>
        </w:rPr>
        <w:t>THA</w:t>
      </w:r>
      <w:r w:rsidR="00A33C21">
        <w:rPr>
          <w:rFonts w:ascii="Book Antiqua" w:hAnsi="Book Antiqua"/>
          <w:sz w:val="24"/>
          <w:szCs w:val="24"/>
        </w:rPr>
        <w:t xml:space="preserve">. </w:t>
      </w:r>
      <w:r w:rsidRPr="00A903DD">
        <w:rPr>
          <w:rFonts w:ascii="Book Antiqua" w:hAnsi="Book Antiqua"/>
          <w:sz w:val="24"/>
          <w:szCs w:val="24"/>
        </w:rPr>
        <w:t>As would be expected, they found that the aPTT was sensitive to dabigatran and the PT</w:t>
      </w:r>
      <w:r w:rsidR="00A33C21">
        <w:rPr>
          <w:rFonts w:ascii="Book Antiqua" w:hAnsi="Book Antiqua"/>
          <w:sz w:val="24"/>
          <w:szCs w:val="24"/>
        </w:rPr>
        <w:t xml:space="preserve"> was sensitive to rivaroxaban. </w:t>
      </w:r>
      <w:r w:rsidRPr="00A903DD">
        <w:rPr>
          <w:rFonts w:ascii="Book Antiqua" w:hAnsi="Book Antiqua"/>
          <w:sz w:val="24"/>
          <w:szCs w:val="24"/>
        </w:rPr>
        <w:t>Perhaps more importantly however, results also showed significant inter-individual variability in the peak serum concentration for each drug, indicating considerable variation in drug response and suggesting the value of laboratory monit</w:t>
      </w:r>
      <w:r w:rsidR="000840E3" w:rsidRPr="00A903DD">
        <w:rPr>
          <w:rFonts w:ascii="Book Antiqua" w:hAnsi="Book Antiqua"/>
          <w:sz w:val="24"/>
          <w:szCs w:val="24"/>
        </w:rPr>
        <w:t>oring.</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Since the </w:t>
      </w:r>
      <w:r w:rsidR="00C539A4" w:rsidRPr="00A903DD">
        <w:rPr>
          <w:rFonts w:ascii="Book Antiqua" w:hAnsi="Book Antiqua"/>
          <w:sz w:val="24"/>
          <w:szCs w:val="24"/>
        </w:rPr>
        <w:t>TSOAs</w:t>
      </w:r>
      <w:r w:rsidRPr="00A903DD">
        <w:rPr>
          <w:rFonts w:ascii="Book Antiqua" w:hAnsi="Book Antiqua"/>
          <w:sz w:val="24"/>
          <w:szCs w:val="24"/>
        </w:rPr>
        <w:t xml:space="preserve"> “target” individual coagulation factors for their anticoagulant effect, laboratory tests more specific to those targets</w:t>
      </w:r>
      <w:r w:rsidR="00A33C21">
        <w:rPr>
          <w:rFonts w:ascii="Book Antiqua" w:hAnsi="Book Antiqua"/>
          <w:sz w:val="24"/>
          <w:szCs w:val="24"/>
        </w:rPr>
        <w:t xml:space="preserve"> should have utility.</w:t>
      </w:r>
      <w:r w:rsidRPr="00A903DD">
        <w:rPr>
          <w:rFonts w:ascii="Book Antiqua" w:hAnsi="Book Antiqua"/>
          <w:sz w:val="24"/>
          <w:szCs w:val="24"/>
        </w:rPr>
        <w:t xml:space="preserve"> The thrombin time (TT) test is affected by dabigatran but is very sensitive to the drug effects, rendering it a qualitative measure at typical drug concentrations.  However, it can be used to e</w:t>
      </w:r>
      <w:r w:rsidR="00DB190F" w:rsidRPr="00A903DD">
        <w:rPr>
          <w:rFonts w:ascii="Book Antiqua" w:hAnsi="Book Antiqua"/>
          <w:sz w:val="24"/>
          <w:szCs w:val="24"/>
        </w:rPr>
        <w:t xml:space="preserve">xclude a dabigatran drug </w:t>
      </w:r>
      <w:proofErr w:type="gramStart"/>
      <w:r w:rsidR="00DB190F" w:rsidRPr="00A903DD">
        <w:rPr>
          <w:rFonts w:ascii="Book Antiqua" w:hAnsi="Book Antiqua"/>
          <w:sz w:val="24"/>
          <w:szCs w:val="24"/>
        </w:rPr>
        <w:t>effect</w:t>
      </w:r>
      <w:r w:rsidR="000840E3" w:rsidRPr="00A903DD">
        <w:rPr>
          <w:rFonts w:ascii="Book Antiqua" w:hAnsi="Book Antiqua"/>
          <w:sz w:val="24"/>
          <w:szCs w:val="24"/>
          <w:vertAlign w:val="superscript"/>
        </w:rPr>
        <w:t>[</w:t>
      </w:r>
      <w:proofErr w:type="gramEnd"/>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2</w:t>
      </w:r>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5</w:t>
      </w:r>
      <w:r w:rsidR="001531A4" w:rsidRPr="00A903DD">
        <w:rPr>
          <w:rFonts w:ascii="Book Antiqua" w:hAnsi="Book Antiqua"/>
          <w:sz w:val="24"/>
          <w:szCs w:val="24"/>
          <w:vertAlign w:val="superscript"/>
        </w:rPr>
        <w:t>,9</w:t>
      </w:r>
      <w:r w:rsidR="00F23175" w:rsidRPr="00A903DD">
        <w:rPr>
          <w:rFonts w:ascii="Book Antiqua" w:hAnsi="Book Antiqua"/>
          <w:sz w:val="24"/>
          <w:szCs w:val="24"/>
          <w:vertAlign w:val="superscript"/>
        </w:rPr>
        <w:t>6</w:t>
      </w:r>
      <w:r w:rsidR="000840E3" w:rsidRPr="00A903DD">
        <w:rPr>
          <w:rFonts w:ascii="Book Antiqua" w:hAnsi="Book Antiqua"/>
          <w:sz w:val="24"/>
          <w:szCs w:val="24"/>
          <w:vertAlign w:val="superscript"/>
        </w:rPr>
        <w:t>]</w:t>
      </w:r>
      <w:r w:rsidR="00A33C21">
        <w:rPr>
          <w:rFonts w:ascii="Book Antiqua" w:hAnsi="Book Antiqua"/>
          <w:sz w:val="24"/>
          <w:szCs w:val="24"/>
        </w:rPr>
        <w:t>.</w:t>
      </w:r>
      <w:r w:rsidR="00A33C21">
        <w:rPr>
          <w:rFonts w:ascii="Book Antiqua" w:hAnsi="Book Antiqua" w:hint="eastAsia"/>
          <w:sz w:val="24"/>
          <w:szCs w:val="24"/>
          <w:lang w:eastAsia="zh-CN"/>
        </w:rPr>
        <w:t xml:space="preserve"> </w:t>
      </w:r>
      <w:r w:rsidRPr="00A903DD">
        <w:rPr>
          <w:rFonts w:ascii="Book Antiqua" w:hAnsi="Book Antiqua"/>
          <w:sz w:val="24"/>
          <w:szCs w:val="24"/>
        </w:rPr>
        <w:t xml:space="preserve">Liew </w:t>
      </w:r>
      <w:r w:rsidRPr="00A33C21">
        <w:rPr>
          <w:rFonts w:ascii="Book Antiqua" w:hAnsi="Book Antiqua"/>
          <w:i/>
          <w:sz w:val="24"/>
          <w:szCs w:val="24"/>
        </w:rPr>
        <w:t xml:space="preserve">et </w:t>
      </w:r>
      <w:proofErr w:type="gramStart"/>
      <w:r w:rsidRPr="00A33C21">
        <w:rPr>
          <w:rFonts w:ascii="Book Antiqua" w:hAnsi="Book Antiqua"/>
          <w:i/>
          <w:sz w:val="24"/>
          <w:szCs w:val="24"/>
        </w:rPr>
        <w:t>al</w:t>
      </w:r>
      <w:r w:rsidR="00DB190F" w:rsidRPr="00A903DD">
        <w:rPr>
          <w:rFonts w:ascii="Book Antiqua" w:hAnsi="Book Antiqua"/>
          <w:sz w:val="24"/>
          <w:szCs w:val="24"/>
          <w:vertAlign w:val="superscript"/>
        </w:rPr>
        <w:t>[</w:t>
      </w:r>
      <w:proofErr w:type="gramEnd"/>
      <w:r w:rsidR="00DB190F" w:rsidRPr="00A903DD">
        <w:rPr>
          <w:rFonts w:ascii="Book Antiqua" w:hAnsi="Book Antiqua"/>
          <w:sz w:val="24"/>
          <w:szCs w:val="24"/>
          <w:vertAlign w:val="superscript"/>
        </w:rPr>
        <w:t>96]</w:t>
      </w:r>
      <w:r w:rsidRPr="00A903DD">
        <w:rPr>
          <w:rFonts w:ascii="Book Antiqua" w:hAnsi="Book Antiqua"/>
          <w:sz w:val="24"/>
          <w:szCs w:val="24"/>
        </w:rPr>
        <w:t xml:space="preserve"> suggested a normal aPTT result combined with a prolonged TT indicated low anticoagulation intensity with dabigatran, whereas prolonged results for both tests would i</w:t>
      </w:r>
      <w:r w:rsidR="000840E3" w:rsidRPr="00A903DD">
        <w:rPr>
          <w:rFonts w:ascii="Book Antiqua" w:hAnsi="Book Antiqua"/>
          <w:sz w:val="24"/>
          <w:szCs w:val="24"/>
        </w:rPr>
        <w:t>ndicate full anticoagulation.</w:t>
      </w:r>
      <w:r w:rsidRPr="00A903DD">
        <w:rPr>
          <w:rFonts w:ascii="Book Antiqua" w:hAnsi="Book Antiqua"/>
          <w:sz w:val="24"/>
          <w:szCs w:val="24"/>
        </w:rPr>
        <w:t xml:space="preserve"> </w:t>
      </w:r>
      <w:r w:rsidR="00A33C21">
        <w:rPr>
          <w:rFonts w:ascii="Book Antiqua" w:hAnsi="Book Antiqua" w:hint="eastAsia"/>
          <w:sz w:val="24"/>
          <w:szCs w:val="24"/>
          <w:lang w:eastAsia="zh-CN"/>
        </w:rPr>
        <w:t xml:space="preserve"> </w:t>
      </w:r>
      <w:r w:rsidRPr="00A903DD">
        <w:rPr>
          <w:rFonts w:ascii="Book Antiqua" w:hAnsi="Book Antiqua"/>
          <w:sz w:val="24"/>
          <w:szCs w:val="24"/>
        </w:rPr>
        <w:t>The Hemoclot test is a dilute TT already used for direct thrombin inhi</w:t>
      </w:r>
      <w:r w:rsidR="00A33C21">
        <w:rPr>
          <w:rFonts w:ascii="Book Antiqua" w:hAnsi="Book Antiqua"/>
          <w:sz w:val="24"/>
          <w:szCs w:val="24"/>
        </w:rPr>
        <w:t xml:space="preserve">bitors hirudin and argatroban. </w:t>
      </w:r>
      <w:r w:rsidRPr="00A903DD">
        <w:rPr>
          <w:rFonts w:ascii="Book Antiqua" w:hAnsi="Book Antiqua"/>
          <w:sz w:val="24"/>
          <w:szCs w:val="24"/>
        </w:rPr>
        <w:t xml:space="preserve">The test has been </w:t>
      </w:r>
      <w:r w:rsidRPr="00A903DD">
        <w:rPr>
          <w:rFonts w:ascii="Book Antiqua" w:hAnsi="Book Antiqua"/>
          <w:sz w:val="24"/>
          <w:szCs w:val="24"/>
        </w:rPr>
        <w:lastRenderedPageBreak/>
        <w:t>shown to best correlate with dabigatran serum concent</w:t>
      </w:r>
      <w:r w:rsidR="00DB190F" w:rsidRPr="00A903DD">
        <w:rPr>
          <w:rFonts w:ascii="Book Antiqua" w:hAnsi="Book Antiqua"/>
          <w:sz w:val="24"/>
          <w:szCs w:val="24"/>
        </w:rPr>
        <w:t xml:space="preserve">rations in a linear </w:t>
      </w:r>
      <w:proofErr w:type="gramStart"/>
      <w:r w:rsidR="00DB190F" w:rsidRPr="00A903DD">
        <w:rPr>
          <w:rFonts w:ascii="Book Antiqua" w:hAnsi="Book Antiqua"/>
          <w:sz w:val="24"/>
          <w:szCs w:val="24"/>
        </w:rPr>
        <w:t>manner</w:t>
      </w:r>
      <w:r w:rsidR="00707702" w:rsidRPr="00A903DD">
        <w:rPr>
          <w:rFonts w:ascii="Book Antiqua" w:hAnsi="Book Antiqua"/>
          <w:sz w:val="24"/>
          <w:szCs w:val="24"/>
          <w:vertAlign w:val="superscript"/>
        </w:rPr>
        <w:t>[</w:t>
      </w:r>
      <w:proofErr w:type="gramEnd"/>
      <w:r w:rsidR="00707702" w:rsidRPr="00A903DD">
        <w:rPr>
          <w:rFonts w:ascii="Book Antiqua" w:hAnsi="Book Antiqua"/>
          <w:sz w:val="24"/>
          <w:szCs w:val="24"/>
          <w:vertAlign w:val="superscript"/>
        </w:rPr>
        <w:t>9</w:t>
      </w:r>
      <w:r w:rsidR="00F23175" w:rsidRPr="00A903DD">
        <w:rPr>
          <w:rFonts w:ascii="Book Antiqua" w:hAnsi="Book Antiqua"/>
          <w:sz w:val="24"/>
          <w:szCs w:val="24"/>
          <w:vertAlign w:val="superscript"/>
        </w:rPr>
        <w:t>9</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r w:rsidR="00A33C21">
        <w:rPr>
          <w:rFonts w:ascii="Book Antiqua" w:hAnsi="Book Antiqua" w:hint="eastAsia"/>
          <w:sz w:val="24"/>
          <w:szCs w:val="24"/>
          <w:lang w:eastAsia="zh-CN"/>
        </w:rPr>
        <w:t xml:space="preserve"> </w:t>
      </w:r>
      <w:r w:rsidRPr="00A903DD">
        <w:rPr>
          <w:rFonts w:ascii="Book Antiqua" w:hAnsi="Book Antiqua"/>
          <w:sz w:val="24"/>
          <w:szCs w:val="24"/>
        </w:rPr>
        <w:t>Presently, the Hemoclot test is available in Canada and Europe, with approval p</w:t>
      </w:r>
      <w:r w:rsidR="000840E3" w:rsidRPr="00A903DD">
        <w:rPr>
          <w:rFonts w:ascii="Book Antiqua" w:hAnsi="Book Antiqua"/>
          <w:sz w:val="24"/>
          <w:szCs w:val="24"/>
        </w:rPr>
        <w:t xml:space="preserve">ending in the </w:t>
      </w:r>
      <w:r w:rsidR="00985904">
        <w:rPr>
          <w:rFonts w:ascii="Book Antiqua" w:hAnsi="Book Antiqua"/>
          <w:sz w:val="24"/>
          <w:szCs w:val="24"/>
        </w:rPr>
        <w:t xml:space="preserve">United </w:t>
      </w:r>
      <w:proofErr w:type="gramStart"/>
      <w:r w:rsidR="00985904">
        <w:rPr>
          <w:rFonts w:ascii="Book Antiqua" w:hAnsi="Book Antiqua"/>
          <w:sz w:val="24"/>
          <w:szCs w:val="24"/>
        </w:rPr>
        <w:t>States</w:t>
      </w:r>
      <w:r w:rsidR="000840E3"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F23175" w:rsidRPr="00A903DD">
        <w:rPr>
          <w:rFonts w:ascii="Book Antiqua" w:hAnsi="Book Antiqua"/>
          <w:sz w:val="24"/>
          <w:szCs w:val="24"/>
          <w:vertAlign w:val="superscript"/>
        </w:rPr>
        <w:t>6</w:t>
      </w:r>
      <w:r w:rsidR="000840E3" w:rsidRPr="00A903DD">
        <w:rPr>
          <w:rFonts w:ascii="Book Antiqua" w:hAnsi="Book Antiqua"/>
          <w:sz w:val="24"/>
          <w:szCs w:val="24"/>
          <w:vertAlign w:val="superscript"/>
        </w:rPr>
        <w:t>]</w:t>
      </w:r>
      <w:r w:rsidR="00A33C21">
        <w:rPr>
          <w:rFonts w:ascii="Book Antiqua" w:hAnsi="Book Antiqua" w:hint="eastAsia"/>
          <w:sz w:val="24"/>
          <w:szCs w:val="24"/>
          <w:lang w:eastAsia="zh-CN"/>
        </w:rPr>
        <w:t xml:space="preserve">. </w:t>
      </w:r>
      <w:r w:rsidRPr="00A903DD">
        <w:rPr>
          <w:rFonts w:ascii="Book Antiqua" w:hAnsi="Book Antiqua"/>
          <w:sz w:val="24"/>
          <w:szCs w:val="24"/>
        </w:rPr>
        <w:t>Finally, the ecarin clotting t</w:t>
      </w:r>
      <w:r w:rsidR="00240DF8" w:rsidRPr="00A903DD">
        <w:rPr>
          <w:rFonts w:ascii="Book Antiqua" w:hAnsi="Book Antiqua"/>
          <w:sz w:val="24"/>
          <w:szCs w:val="24"/>
        </w:rPr>
        <w:t>ime (ECT) is sensitive to dabig</w:t>
      </w:r>
      <w:r w:rsidRPr="00A903DD">
        <w:rPr>
          <w:rFonts w:ascii="Book Antiqua" w:hAnsi="Book Antiqua"/>
          <w:sz w:val="24"/>
          <w:szCs w:val="24"/>
        </w:rPr>
        <w:t>atran serum concentrations across the usual therapeutic range but the test is costly, not widely available, and used prima</w:t>
      </w:r>
      <w:r w:rsidR="00DB190F" w:rsidRPr="00A903DD">
        <w:rPr>
          <w:rFonts w:ascii="Book Antiqua" w:hAnsi="Book Antiqua"/>
          <w:sz w:val="24"/>
          <w:szCs w:val="24"/>
        </w:rPr>
        <w:t>rily in research settings</w:t>
      </w:r>
      <w:r w:rsidR="00B53655" w:rsidRPr="00A903DD">
        <w:rPr>
          <w:rFonts w:ascii="Book Antiqua" w:hAnsi="Book Antiqua"/>
          <w:sz w:val="24"/>
          <w:szCs w:val="24"/>
          <w:vertAlign w:val="superscript"/>
        </w:rPr>
        <w:t>[9</w:t>
      </w:r>
      <w:r w:rsidR="00F23175" w:rsidRPr="00A903DD">
        <w:rPr>
          <w:rFonts w:ascii="Book Antiqua" w:hAnsi="Book Antiqua"/>
          <w:sz w:val="24"/>
          <w:szCs w:val="24"/>
          <w:vertAlign w:val="superscript"/>
        </w:rPr>
        <w:t>3</w:t>
      </w:r>
      <w:r w:rsidR="00B53655" w:rsidRPr="00A903DD">
        <w:rPr>
          <w:rFonts w:ascii="Book Antiqua" w:hAnsi="Book Antiqua"/>
          <w:sz w:val="24"/>
          <w:szCs w:val="24"/>
          <w:vertAlign w:val="superscript"/>
        </w:rPr>
        <w:t>,9</w:t>
      </w:r>
      <w:r w:rsidR="00F23175" w:rsidRPr="00A903DD">
        <w:rPr>
          <w:rFonts w:ascii="Book Antiqua" w:hAnsi="Book Antiqua"/>
          <w:sz w:val="24"/>
          <w:szCs w:val="24"/>
          <w:vertAlign w:val="superscript"/>
        </w:rPr>
        <w:t>6</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p>
    <w:p w:rsidR="00C539A4"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Anti-factor Xa assays are widely available in practice settings for monitoring the effects of </w:t>
      </w:r>
      <w:r w:rsidR="000E0A76" w:rsidRPr="00A903DD">
        <w:rPr>
          <w:rFonts w:ascii="Book Antiqua" w:hAnsi="Book Antiqua"/>
          <w:sz w:val="24"/>
          <w:szCs w:val="24"/>
        </w:rPr>
        <w:t>LMWH</w:t>
      </w:r>
      <w:r w:rsidRPr="00A903DD">
        <w:rPr>
          <w:rFonts w:ascii="Book Antiqua" w:hAnsi="Book Antiqua"/>
          <w:sz w:val="24"/>
          <w:szCs w:val="24"/>
        </w:rPr>
        <w:t>, and are logical for use to monitor rivaroxaban</w:t>
      </w:r>
      <w:r w:rsidR="000E0A76" w:rsidRPr="00A903DD">
        <w:rPr>
          <w:rFonts w:ascii="Book Antiqua" w:hAnsi="Book Antiqua"/>
          <w:sz w:val="24"/>
          <w:szCs w:val="24"/>
        </w:rPr>
        <w:t>,</w:t>
      </w:r>
      <w:r w:rsidR="00F23175" w:rsidRPr="00A903DD">
        <w:rPr>
          <w:rFonts w:ascii="Book Antiqua" w:hAnsi="Book Antiqua"/>
          <w:sz w:val="24"/>
          <w:szCs w:val="24"/>
        </w:rPr>
        <w:t xml:space="preserve"> apixa</w:t>
      </w:r>
      <w:r w:rsidRPr="00A903DD">
        <w:rPr>
          <w:rFonts w:ascii="Book Antiqua" w:hAnsi="Book Antiqua"/>
          <w:sz w:val="24"/>
          <w:szCs w:val="24"/>
        </w:rPr>
        <w:t>ban</w:t>
      </w:r>
      <w:r w:rsidR="00C539A4" w:rsidRPr="00A903DD">
        <w:rPr>
          <w:rFonts w:ascii="Book Antiqua" w:hAnsi="Book Antiqua"/>
          <w:sz w:val="24"/>
          <w:szCs w:val="24"/>
        </w:rPr>
        <w:t>, and edoxaban</w:t>
      </w:r>
      <w:r w:rsidR="00A33C21">
        <w:rPr>
          <w:rFonts w:ascii="Book Antiqua" w:hAnsi="Book Antiqua"/>
          <w:sz w:val="24"/>
          <w:szCs w:val="24"/>
        </w:rPr>
        <w:t xml:space="preserve">. </w:t>
      </w:r>
      <w:r w:rsidRPr="00A903DD">
        <w:rPr>
          <w:rFonts w:ascii="Book Antiqua" w:hAnsi="Book Antiqua"/>
          <w:sz w:val="24"/>
          <w:szCs w:val="24"/>
        </w:rPr>
        <w:t>However, the assay must be modified with calibrato</w:t>
      </w:r>
      <w:r w:rsidR="000840E3" w:rsidRPr="00A903DD">
        <w:rPr>
          <w:rFonts w:ascii="Book Antiqua" w:hAnsi="Book Antiqua"/>
          <w:sz w:val="24"/>
          <w:szCs w:val="24"/>
        </w:rPr>
        <w:t>rs specific to the given F</w:t>
      </w:r>
      <w:r w:rsidR="00A33C21">
        <w:rPr>
          <w:rFonts w:ascii="Book Antiqua" w:hAnsi="Book Antiqua"/>
          <w:sz w:val="24"/>
          <w:szCs w:val="24"/>
        </w:rPr>
        <w:t>Xa inhibitor.</w:t>
      </w:r>
      <w:r w:rsidR="00A33C21">
        <w:rPr>
          <w:rFonts w:ascii="Book Antiqua" w:hAnsi="Book Antiqua" w:hint="eastAsia"/>
          <w:sz w:val="24"/>
          <w:szCs w:val="24"/>
          <w:lang w:eastAsia="zh-CN"/>
        </w:rPr>
        <w:t xml:space="preserve"> </w:t>
      </w:r>
      <w:r w:rsidRPr="00A903DD">
        <w:rPr>
          <w:rFonts w:ascii="Book Antiqua" w:hAnsi="Book Antiqua"/>
          <w:sz w:val="24"/>
          <w:szCs w:val="24"/>
        </w:rPr>
        <w:t>Calibrators for the new drugs are becoming available and the test will likely emerge as the preferred measure of anticoagulation intensity associated</w:t>
      </w:r>
      <w:r w:rsidR="000840E3" w:rsidRPr="00A903DD">
        <w:rPr>
          <w:rFonts w:ascii="Book Antiqua" w:hAnsi="Book Antiqua"/>
          <w:sz w:val="24"/>
          <w:szCs w:val="24"/>
        </w:rPr>
        <w:t xml:space="preserve"> with </w:t>
      </w:r>
      <w:r w:rsidR="00C539A4" w:rsidRPr="00A903DD">
        <w:rPr>
          <w:rFonts w:ascii="Book Antiqua" w:hAnsi="Book Antiqua"/>
          <w:sz w:val="24"/>
          <w:szCs w:val="24"/>
        </w:rPr>
        <w:t xml:space="preserve">the FXa </w:t>
      </w:r>
      <w:proofErr w:type="gramStart"/>
      <w:r w:rsidR="00C539A4" w:rsidRPr="00A903DD">
        <w:rPr>
          <w:rFonts w:ascii="Book Antiqua" w:hAnsi="Book Antiqua"/>
          <w:sz w:val="24"/>
          <w:szCs w:val="24"/>
        </w:rPr>
        <w:t>inhibitors</w:t>
      </w:r>
      <w:r w:rsidR="000840E3"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F23175" w:rsidRPr="00A903DD">
        <w:rPr>
          <w:rFonts w:ascii="Book Antiqua" w:hAnsi="Book Antiqua"/>
          <w:sz w:val="24"/>
          <w:szCs w:val="24"/>
          <w:vertAlign w:val="superscript"/>
        </w:rPr>
        <w:t>2</w:t>
      </w:r>
      <w:r w:rsidR="00B53655" w:rsidRPr="00A903DD">
        <w:rPr>
          <w:rFonts w:ascii="Book Antiqua" w:hAnsi="Book Antiqua"/>
          <w:sz w:val="24"/>
          <w:szCs w:val="24"/>
          <w:vertAlign w:val="superscript"/>
        </w:rPr>
        <w:t>,9</w:t>
      </w:r>
      <w:r w:rsidR="00F23175" w:rsidRPr="00A903DD">
        <w:rPr>
          <w:rFonts w:ascii="Book Antiqua" w:hAnsi="Book Antiqua"/>
          <w:sz w:val="24"/>
          <w:szCs w:val="24"/>
          <w:vertAlign w:val="superscript"/>
        </w:rPr>
        <w:t>3</w:t>
      </w:r>
      <w:r w:rsidR="00B53655" w:rsidRPr="00A903DD">
        <w:rPr>
          <w:rFonts w:ascii="Book Antiqua" w:hAnsi="Book Antiqua"/>
          <w:sz w:val="24"/>
          <w:szCs w:val="24"/>
          <w:vertAlign w:val="superscript"/>
        </w:rPr>
        <w:t>,9</w:t>
      </w:r>
      <w:r w:rsidR="00F23175" w:rsidRPr="00A903DD">
        <w:rPr>
          <w:rFonts w:ascii="Book Antiqua" w:hAnsi="Book Antiqua"/>
          <w:sz w:val="24"/>
          <w:szCs w:val="24"/>
          <w:vertAlign w:val="superscript"/>
        </w:rPr>
        <w:t>5</w:t>
      </w:r>
      <w:r w:rsidR="00B53655" w:rsidRPr="00A903DD">
        <w:rPr>
          <w:rFonts w:ascii="Book Antiqua" w:hAnsi="Book Antiqua"/>
          <w:sz w:val="24"/>
          <w:szCs w:val="24"/>
          <w:vertAlign w:val="superscript"/>
        </w:rPr>
        <w:t>,9</w:t>
      </w:r>
      <w:r w:rsidR="00F23175" w:rsidRPr="00A903DD">
        <w:rPr>
          <w:rFonts w:ascii="Book Antiqua" w:hAnsi="Book Antiqua"/>
          <w:sz w:val="24"/>
          <w:szCs w:val="24"/>
          <w:vertAlign w:val="superscript"/>
        </w:rPr>
        <w:t>6</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p>
    <w:p w:rsidR="000E0A76" w:rsidRPr="00A903DD" w:rsidRDefault="000E0A76" w:rsidP="00A903DD">
      <w:pPr>
        <w:spacing w:after="0" w:line="360" w:lineRule="auto"/>
        <w:jc w:val="both"/>
        <w:rPr>
          <w:rFonts w:ascii="Book Antiqua" w:hAnsi="Book Antiqua"/>
          <w:b/>
          <w:sz w:val="24"/>
          <w:szCs w:val="24"/>
          <w:vertAlign w:val="superscript"/>
        </w:rPr>
      </w:pPr>
    </w:p>
    <w:p w:rsidR="00C500AA" w:rsidRPr="00A903DD" w:rsidRDefault="00C539A4" w:rsidP="00A903DD">
      <w:pPr>
        <w:spacing w:after="0" w:line="360" w:lineRule="auto"/>
        <w:jc w:val="both"/>
        <w:rPr>
          <w:rFonts w:ascii="Book Antiqua" w:hAnsi="Book Antiqua"/>
          <w:b/>
          <w:i/>
          <w:sz w:val="24"/>
          <w:szCs w:val="24"/>
        </w:rPr>
      </w:pPr>
      <w:r w:rsidRPr="00A903DD">
        <w:rPr>
          <w:rFonts w:ascii="Book Antiqua" w:hAnsi="Book Antiqua"/>
          <w:b/>
          <w:i/>
          <w:sz w:val="24"/>
          <w:szCs w:val="24"/>
        </w:rPr>
        <w:t>Anticoagulation r</w:t>
      </w:r>
      <w:r w:rsidR="00C500AA" w:rsidRPr="00A903DD">
        <w:rPr>
          <w:rFonts w:ascii="Book Antiqua" w:hAnsi="Book Antiqua"/>
          <w:b/>
          <w:i/>
          <w:sz w:val="24"/>
          <w:szCs w:val="24"/>
        </w:rPr>
        <w:t xml:space="preserve">eversal of </w:t>
      </w:r>
      <w:r w:rsidRPr="00A903DD">
        <w:rPr>
          <w:rFonts w:ascii="Book Antiqua" w:hAnsi="Book Antiqua"/>
          <w:b/>
          <w:i/>
          <w:sz w:val="24"/>
          <w:szCs w:val="24"/>
        </w:rPr>
        <w:t>TSOA</w:t>
      </w:r>
      <w:r w:rsidR="00C500AA" w:rsidRPr="00A903DD">
        <w:rPr>
          <w:rFonts w:ascii="Book Antiqua" w:hAnsi="Book Antiqua"/>
          <w:b/>
          <w:i/>
          <w:sz w:val="24"/>
          <w:szCs w:val="24"/>
        </w:rPr>
        <w:t>s</w:t>
      </w:r>
    </w:p>
    <w:p w:rsidR="00C500AA" w:rsidRPr="00A903DD" w:rsidRDefault="00C500AA" w:rsidP="00A903DD">
      <w:pPr>
        <w:spacing w:after="0" w:line="360" w:lineRule="auto"/>
        <w:jc w:val="both"/>
        <w:rPr>
          <w:rFonts w:ascii="Book Antiqua" w:hAnsi="Book Antiqua"/>
          <w:sz w:val="24"/>
          <w:szCs w:val="24"/>
        </w:rPr>
      </w:pPr>
      <w:r w:rsidRPr="00A903DD">
        <w:rPr>
          <w:rFonts w:ascii="Book Antiqua" w:hAnsi="Book Antiqua"/>
          <w:sz w:val="24"/>
          <w:szCs w:val="24"/>
        </w:rPr>
        <w:t xml:space="preserve">Reversal of the anticoagulant effect of a </w:t>
      </w:r>
      <w:r w:rsidR="00796FF9" w:rsidRPr="00A903DD">
        <w:rPr>
          <w:rFonts w:ascii="Book Antiqua" w:hAnsi="Book Antiqua"/>
          <w:sz w:val="24"/>
          <w:szCs w:val="24"/>
        </w:rPr>
        <w:t>TSOA</w:t>
      </w:r>
      <w:r w:rsidRPr="00A903DD">
        <w:rPr>
          <w:rFonts w:ascii="Book Antiqua" w:hAnsi="Book Antiqua"/>
          <w:sz w:val="24"/>
          <w:szCs w:val="24"/>
        </w:rPr>
        <w:t xml:space="preserve"> follows the same principles utilized for older anticoagulant </w:t>
      </w:r>
      <w:r w:rsidR="00A33C21">
        <w:rPr>
          <w:rFonts w:ascii="Book Antiqua" w:hAnsi="Book Antiqua"/>
          <w:sz w:val="24"/>
          <w:szCs w:val="24"/>
        </w:rPr>
        <w:t xml:space="preserve">agents, particularly warfarin. </w:t>
      </w:r>
      <w:r w:rsidRPr="00A903DD">
        <w:rPr>
          <w:rFonts w:ascii="Book Antiqua" w:hAnsi="Book Antiqua"/>
          <w:sz w:val="24"/>
          <w:szCs w:val="24"/>
        </w:rPr>
        <w:t>If reversal is nonemergent or occurring in the patient suffering only mild bleeding, withholding the anticoagulant, monitoring hematologic and coagulation tests as discussed above, and providing supportive care such as maintaining go</w:t>
      </w:r>
      <w:r w:rsidR="00A33C21">
        <w:rPr>
          <w:rFonts w:ascii="Book Antiqua" w:hAnsi="Book Antiqua"/>
          <w:sz w:val="24"/>
          <w:szCs w:val="24"/>
        </w:rPr>
        <w:t>od urinary output will suffice.</w:t>
      </w:r>
      <w:r w:rsidR="00A33C21">
        <w:rPr>
          <w:rFonts w:ascii="Book Antiqua" w:hAnsi="Book Antiqua" w:hint="eastAsia"/>
          <w:sz w:val="24"/>
          <w:szCs w:val="24"/>
          <w:lang w:eastAsia="zh-CN"/>
        </w:rPr>
        <w:t xml:space="preserve"> </w:t>
      </w:r>
      <w:r w:rsidRPr="00A903DD">
        <w:rPr>
          <w:rFonts w:ascii="Book Antiqua" w:hAnsi="Book Antiqua"/>
          <w:sz w:val="24"/>
          <w:szCs w:val="24"/>
        </w:rPr>
        <w:t xml:space="preserve">If the </w:t>
      </w:r>
      <w:r w:rsidR="00796FF9" w:rsidRPr="00A903DD">
        <w:rPr>
          <w:rFonts w:ascii="Book Antiqua" w:hAnsi="Book Antiqua"/>
          <w:sz w:val="24"/>
          <w:szCs w:val="24"/>
        </w:rPr>
        <w:t>TSOA</w:t>
      </w:r>
      <w:r w:rsidRPr="00A903DD">
        <w:rPr>
          <w:rFonts w:ascii="Book Antiqua" w:hAnsi="Book Antiqua"/>
          <w:sz w:val="24"/>
          <w:szCs w:val="24"/>
        </w:rPr>
        <w:t xml:space="preserve"> was taken within the past 2 h (or overdose is suspected), activated charcoal can be conside</w:t>
      </w:r>
      <w:r w:rsidR="00A33C21">
        <w:rPr>
          <w:rFonts w:ascii="Book Antiqua" w:hAnsi="Book Antiqua"/>
          <w:sz w:val="24"/>
          <w:szCs w:val="24"/>
        </w:rPr>
        <w:t xml:space="preserve">red to reduce drug absorption. </w:t>
      </w:r>
      <w:r w:rsidRPr="00A903DD">
        <w:rPr>
          <w:rFonts w:ascii="Book Antiqua" w:hAnsi="Book Antiqua"/>
          <w:sz w:val="24"/>
          <w:szCs w:val="24"/>
        </w:rPr>
        <w:t>Because the drug half-lives of the new agents are shorter at approximately 8-16 h even in the elderly, the drug serum concentration will significantly decline in a 24 h</w:t>
      </w:r>
      <w:r w:rsidR="00A33C21">
        <w:rPr>
          <w:rFonts w:ascii="Book Antiqua" w:hAnsi="Book Antiqua"/>
          <w:sz w:val="24"/>
          <w:szCs w:val="24"/>
        </w:rPr>
        <w:t xml:space="preserve"> period. </w:t>
      </w:r>
      <w:r w:rsidRPr="00A903DD">
        <w:rPr>
          <w:rFonts w:ascii="Book Antiqua" w:hAnsi="Book Antiqua"/>
          <w:sz w:val="24"/>
          <w:szCs w:val="24"/>
        </w:rPr>
        <w:t>One caveat that must be remembered is the effect of renal insufficiency to slow elimination, particularly</w:t>
      </w:r>
      <w:r w:rsidR="000840E3" w:rsidRPr="00A903DD">
        <w:rPr>
          <w:rFonts w:ascii="Book Antiqua" w:hAnsi="Book Antiqua"/>
          <w:sz w:val="24"/>
          <w:szCs w:val="24"/>
        </w:rPr>
        <w:t xml:space="preserve"> with </w:t>
      </w:r>
      <w:proofErr w:type="gramStart"/>
      <w:r w:rsidR="000840E3" w:rsidRPr="00A903DD">
        <w:rPr>
          <w:rFonts w:ascii="Book Antiqua" w:hAnsi="Book Antiqua"/>
          <w:sz w:val="24"/>
          <w:szCs w:val="24"/>
        </w:rPr>
        <w:t>dabigatra</w:t>
      </w:r>
      <w:r w:rsidR="000E0A76" w:rsidRPr="00A903DD">
        <w:rPr>
          <w:rFonts w:ascii="Book Antiqua" w:hAnsi="Book Antiqua"/>
          <w:sz w:val="24"/>
          <w:szCs w:val="24"/>
        </w:rPr>
        <w:t>n</w:t>
      </w:r>
      <w:r w:rsidR="00B53655"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1</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r w:rsidRPr="00A903DD">
        <w:rPr>
          <w:rFonts w:ascii="Book Antiqua" w:hAnsi="Book Antiqua"/>
          <w:sz w:val="24"/>
          <w:szCs w:val="24"/>
        </w:rPr>
        <w:t xml:space="preserve">  </w:t>
      </w:r>
      <w:r w:rsidRPr="00A903DD">
        <w:rPr>
          <w:rFonts w:ascii="Book Antiqua" w:hAnsi="Book Antiqua"/>
          <w:sz w:val="24"/>
          <w:szCs w:val="24"/>
        </w:rPr>
        <w:lastRenderedPageBreak/>
        <w:t>Several investigators have offered suggestions for timing of the discontinuation of the new oral anticoagulants before an elective o</w:t>
      </w:r>
      <w:r w:rsidR="00DB190F" w:rsidRPr="00A903DD">
        <w:rPr>
          <w:rFonts w:ascii="Book Antiqua" w:hAnsi="Book Antiqua"/>
          <w:sz w:val="24"/>
          <w:szCs w:val="24"/>
        </w:rPr>
        <w:t xml:space="preserve">r nonemergent </w:t>
      </w:r>
      <w:proofErr w:type="gramStart"/>
      <w:r w:rsidR="00DB190F" w:rsidRPr="00A903DD">
        <w:rPr>
          <w:rFonts w:ascii="Book Antiqua" w:hAnsi="Book Antiqua"/>
          <w:sz w:val="24"/>
          <w:szCs w:val="24"/>
        </w:rPr>
        <w:t>surgery</w:t>
      </w:r>
      <w:r w:rsidR="000840E3" w:rsidRPr="00A903DD">
        <w:rPr>
          <w:rFonts w:ascii="Book Antiqua" w:hAnsi="Book Antiqua"/>
          <w:sz w:val="24"/>
          <w:szCs w:val="24"/>
          <w:vertAlign w:val="superscript"/>
        </w:rPr>
        <w:t>[</w:t>
      </w:r>
      <w:proofErr w:type="gramEnd"/>
      <w:r w:rsidR="00707702" w:rsidRPr="00A903DD">
        <w:rPr>
          <w:rFonts w:ascii="Book Antiqua" w:hAnsi="Book Antiqua"/>
          <w:sz w:val="24"/>
          <w:szCs w:val="24"/>
          <w:vertAlign w:val="superscript"/>
        </w:rPr>
        <w:t>9</w:t>
      </w:r>
      <w:r w:rsidR="00240DF8" w:rsidRPr="00A903DD">
        <w:rPr>
          <w:rFonts w:ascii="Book Antiqua" w:hAnsi="Book Antiqua"/>
          <w:sz w:val="24"/>
          <w:szCs w:val="24"/>
          <w:vertAlign w:val="superscript"/>
        </w:rPr>
        <w:t>2</w:t>
      </w:r>
      <w:r w:rsidR="00707702" w:rsidRPr="00A903DD">
        <w:rPr>
          <w:rFonts w:ascii="Book Antiqua" w:hAnsi="Book Antiqua"/>
          <w:sz w:val="24"/>
          <w:szCs w:val="24"/>
          <w:vertAlign w:val="superscript"/>
        </w:rPr>
        <w:t>,9</w:t>
      </w:r>
      <w:r w:rsidR="00240DF8" w:rsidRPr="00A903DD">
        <w:rPr>
          <w:rFonts w:ascii="Book Antiqua" w:hAnsi="Book Antiqua"/>
          <w:sz w:val="24"/>
          <w:szCs w:val="24"/>
          <w:vertAlign w:val="superscript"/>
        </w:rPr>
        <w:t>3</w:t>
      </w:r>
      <w:r w:rsidR="00707702" w:rsidRPr="00A903DD">
        <w:rPr>
          <w:rFonts w:ascii="Book Antiqua" w:hAnsi="Book Antiqua"/>
          <w:sz w:val="24"/>
          <w:szCs w:val="24"/>
          <w:vertAlign w:val="superscript"/>
        </w:rPr>
        <w:t>,</w:t>
      </w:r>
      <w:r w:rsidR="00240DF8" w:rsidRPr="00A903DD">
        <w:rPr>
          <w:rFonts w:ascii="Book Antiqua" w:hAnsi="Book Antiqua"/>
          <w:sz w:val="24"/>
          <w:szCs w:val="24"/>
          <w:vertAlign w:val="superscript"/>
        </w:rPr>
        <w:t>100</w:t>
      </w:r>
      <w:r w:rsidR="000840E3" w:rsidRPr="00A903DD">
        <w:rPr>
          <w:rFonts w:ascii="Book Antiqua" w:hAnsi="Book Antiqua"/>
          <w:sz w:val="24"/>
          <w:szCs w:val="24"/>
          <w:vertAlign w:val="superscript"/>
        </w:rPr>
        <w:t>]</w:t>
      </w:r>
      <w:r w:rsidR="00DB190F" w:rsidRPr="00A903DD">
        <w:rPr>
          <w:rFonts w:ascii="Book Antiqua" w:hAnsi="Book Antiqua"/>
          <w:sz w:val="24"/>
          <w:szCs w:val="24"/>
        </w:rPr>
        <w:t>.</w:t>
      </w:r>
      <w:r w:rsidRPr="00A903DD">
        <w:rPr>
          <w:rFonts w:ascii="Book Antiqua" w:hAnsi="Book Antiqua"/>
          <w:sz w:val="24"/>
          <w:szCs w:val="24"/>
        </w:rPr>
        <w:t xml:space="preserve"> </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Anticoagulation reversal of </w:t>
      </w:r>
      <w:r w:rsidR="00796FF9" w:rsidRPr="00A903DD">
        <w:rPr>
          <w:rFonts w:ascii="Book Antiqua" w:hAnsi="Book Antiqua"/>
          <w:sz w:val="24"/>
          <w:szCs w:val="24"/>
        </w:rPr>
        <w:t>a TSOA</w:t>
      </w:r>
      <w:r w:rsidRPr="00A903DD">
        <w:rPr>
          <w:rFonts w:ascii="Book Antiqua" w:hAnsi="Book Antiqua"/>
          <w:sz w:val="24"/>
          <w:szCs w:val="24"/>
        </w:rPr>
        <w:t xml:space="preserve"> in the patient with moderate to severe bleeding or in need of urgent</w:t>
      </w:r>
      <w:r w:rsidR="00A33C21">
        <w:rPr>
          <w:rFonts w:ascii="Book Antiqua" w:hAnsi="Book Antiqua"/>
          <w:sz w:val="24"/>
          <w:szCs w:val="24"/>
        </w:rPr>
        <w:t xml:space="preserve"> surgery is more challenging. </w:t>
      </w:r>
      <w:r w:rsidRPr="00A903DD">
        <w:rPr>
          <w:rFonts w:ascii="Book Antiqua" w:hAnsi="Book Antiqua"/>
          <w:sz w:val="24"/>
          <w:szCs w:val="24"/>
        </w:rPr>
        <w:t xml:space="preserve">No specific antidote exists for any of the new oral </w:t>
      </w:r>
      <w:r w:rsidR="00796FF9" w:rsidRPr="00A903DD">
        <w:rPr>
          <w:rFonts w:ascii="Book Antiqua" w:hAnsi="Book Antiqua"/>
          <w:sz w:val="24"/>
          <w:szCs w:val="24"/>
        </w:rPr>
        <w:t>agents</w:t>
      </w:r>
      <w:r w:rsidRPr="00A903DD">
        <w:rPr>
          <w:rFonts w:ascii="Book Antiqua" w:hAnsi="Book Antiqua"/>
          <w:sz w:val="24"/>
          <w:szCs w:val="24"/>
        </w:rPr>
        <w:t xml:space="preserve">, although work is ongoing by van Ryn </w:t>
      </w:r>
      <w:r w:rsidRPr="00A33C21">
        <w:rPr>
          <w:rFonts w:ascii="Book Antiqua" w:hAnsi="Book Antiqua"/>
          <w:i/>
          <w:sz w:val="24"/>
          <w:szCs w:val="24"/>
        </w:rPr>
        <w:t>et al</w:t>
      </w:r>
      <w:r w:rsidR="00DB190F" w:rsidRPr="00A903DD">
        <w:rPr>
          <w:rFonts w:ascii="Book Antiqua" w:hAnsi="Book Antiqua"/>
          <w:sz w:val="24"/>
          <w:szCs w:val="24"/>
          <w:vertAlign w:val="superscript"/>
        </w:rPr>
        <w:t>[101]</w:t>
      </w:r>
      <w:r w:rsidRPr="00A903DD">
        <w:rPr>
          <w:rFonts w:ascii="Book Antiqua" w:hAnsi="Book Antiqua"/>
          <w:sz w:val="24"/>
          <w:szCs w:val="24"/>
        </w:rPr>
        <w:t xml:space="preserve"> to evaluate a promising humanized antibody </w:t>
      </w:r>
      <w:r w:rsidR="00C90D9F" w:rsidRPr="00A903DD">
        <w:rPr>
          <w:rFonts w:ascii="Book Antiqua" w:hAnsi="Book Antiqua"/>
          <w:sz w:val="24"/>
          <w:szCs w:val="24"/>
        </w:rPr>
        <w:t>fragment against dabigatran</w:t>
      </w:r>
      <w:r w:rsidRPr="00A903DD">
        <w:rPr>
          <w:rFonts w:ascii="Book Antiqua" w:hAnsi="Book Antiqua"/>
          <w:sz w:val="24"/>
          <w:szCs w:val="24"/>
        </w:rPr>
        <w:t xml:space="preserve"> Lu </w:t>
      </w:r>
      <w:r w:rsidRPr="00A33C21">
        <w:rPr>
          <w:rFonts w:ascii="Book Antiqua" w:hAnsi="Book Antiqua"/>
          <w:i/>
          <w:sz w:val="24"/>
          <w:szCs w:val="24"/>
        </w:rPr>
        <w:t>et al</w:t>
      </w:r>
      <w:r w:rsidR="00DB190F" w:rsidRPr="00A903DD">
        <w:rPr>
          <w:rFonts w:ascii="Book Antiqua" w:hAnsi="Book Antiqua"/>
          <w:sz w:val="24"/>
          <w:szCs w:val="24"/>
          <w:vertAlign w:val="superscript"/>
        </w:rPr>
        <w:t>[102]</w:t>
      </w:r>
      <w:r w:rsidRPr="00A903DD">
        <w:rPr>
          <w:rFonts w:ascii="Book Antiqua" w:hAnsi="Book Antiqua"/>
          <w:sz w:val="24"/>
          <w:szCs w:val="24"/>
        </w:rPr>
        <w:t xml:space="preserve"> has developed a modified and inactive form of factor Xa that may function as a universal antidote to all factor Xa inhibitors</w:t>
      </w:r>
      <w:r w:rsidR="00C90D9F" w:rsidRPr="00A903DD">
        <w:rPr>
          <w:rFonts w:ascii="Book Antiqua" w:hAnsi="Book Antiqua"/>
          <w:sz w:val="24"/>
          <w:szCs w:val="24"/>
        </w:rPr>
        <w:t>.</w:t>
      </w:r>
      <w:r w:rsidRPr="00A903DD">
        <w:rPr>
          <w:rFonts w:ascii="Book Antiqua" w:hAnsi="Book Antiqua"/>
          <w:sz w:val="24"/>
          <w:szCs w:val="24"/>
        </w:rPr>
        <w:t xml:space="preserve"> </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For removal of </w:t>
      </w:r>
      <w:r w:rsidR="00796FF9" w:rsidRPr="00A903DD">
        <w:rPr>
          <w:rFonts w:ascii="Book Antiqua" w:hAnsi="Book Antiqua"/>
          <w:sz w:val="24"/>
          <w:szCs w:val="24"/>
        </w:rPr>
        <w:t>a TSOA</w:t>
      </w:r>
      <w:r w:rsidRPr="00A903DD">
        <w:rPr>
          <w:rFonts w:ascii="Book Antiqua" w:hAnsi="Book Antiqua"/>
          <w:sz w:val="24"/>
          <w:szCs w:val="24"/>
        </w:rPr>
        <w:t xml:space="preserve"> fro</w:t>
      </w:r>
      <w:r w:rsidR="00C90D9F" w:rsidRPr="00A903DD">
        <w:rPr>
          <w:rFonts w:ascii="Book Antiqua" w:hAnsi="Book Antiqua"/>
          <w:sz w:val="24"/>
          <w:szCs w:val="24"/>
        </w:rPr>
        <w:t>m the body, the pharmacokinetic</w:t>
      </w:r>
      <w:r w:rsidRPr="00A903DD">
        <w:rPr>
          <w:rFonts w:ascii="Book Antiqua" w:hAnsi="Book Antiqua"/>
          <w:sz w:val="24"/>
          <w:szCs w:val="24"/>
        </w:rPr>
        <w:t xml:space="preserve"> differences between dabigatran and the factor Xa inhibitors have relevance and </w:t>
      </w:r>
      <w:r w:rsidR="00A33C21">
        <w:rPr>
          <w:rFonts w:ascii="Book Antiqua" w:hAnsi="Book Antiqua"/>
          <w:sz w:val="24"/>
          <w:szCs w:val="24"/>
        </w:rPr>
        <w:t>affect recommended modalities.</w:t>
      </w:r>
      <w:r w:rsidR="00A33C21">
        <w:rPr>
          <w:rFonts w:ascii="Book Antiqua" w:hAnsi="Book Antiqua" w:hint="eastAsia"/>
          <w:sz w:val="24"/>
          <w:szCs w:val="24"/>
          <w:lang w:eastAsia="zh-CN"/>
        </w:rPr>
        <w:t xml:space="preserve"> </w:t>
      </w:r>
      <w:r w:rsidR="00796FF9" w:rsidRPr="00A903DD">
        <w:rPr>
          <w:rFonts w:ascii="Book Antiqua" w:hAnsi="Book Antiqua"/>
          <w:sz w:val="24"/>
          <w:szCs w:val="24"/>
        </w:rPr>
        <w:t>Since</w:t>
      </w:r>
      <w:r w:rsidRPr="00A903DD">
        <w:rPr>
          <w:rFonts w:ascii="Book Antiqua" w:hAnsi="Book Antiqua"/>
          <w:sz w:val="24"/>
          <w:szCs w:val="24"/>
        </w:rPr>
        <w:t xml:space="preserve"> dabigatran has low protein binding, hemodialysis c</w:t>
      </w:r>
      <w:r w:rsidR="00A33C21">
        <w:rPr>
          <w:rFonts w:ascii="Book Antiqua" w:hAnsi="Book Antiqua"/>
          <w:sz w:val="24"/>
          <w:szCs w:val="24"/>
        </w:rPr>
        <w:t>an effectively remove the drug.</w:t>
      </w:r>
      <w:r w:rsidRPr="00A903DD">
        <w:rPr>
          <w:rFonts w:ascii="Book Antiqua" w:hAnsi="Book Antiqua"/>
          <w:sz w:val="24"/>
          <w:szCs w:val="24"/>
        </w:rPr>
        <w:t xml:space="preserve"> Stangier </w:t>
      </w:r>
      <w:r w:rsidRPr="00A33C21">
        <w:rPr>
          <w:rFonts w:ascii="Book Antiqua" w:hAnsi="Book Antiqua"/>
          <w:i/>
          <w:sz w:val="24"/>
          <w:szCs w:val="24"/>
        </w:rPr>
        <w:t xml:space="preserve">et </w:t>
      </w:r>
      <w:proofErr w:type="gramStart"/>
      <w:r w:rsidRPr="00A33C21">
        <w:rPr>
          <w:rFonts w:ascii="Book Antiqua" w:hAnsi="Book Antiqua"/>
          <w:i/>
          <w:sz w:val="24"/>
          <w:szCs w:val="24"/>
        </w:rPr>
        <w:t>al</w:t>
      </w:r>
      <w:r w:rsidR="00DB190F" w:rsidRPr="00A903DD">
        <w:rPr>
          <w:rFonts w:ascii="Book Antiqua" w:hAnsi="Book Antiqua"/>
          <w:sz w:val="24"/>
          <w:szCs w:val="24"/>
          <w:vertAlign w:val="superscript"/>
        </w:rPr>
        <w:t>[</w:t>
      </w:r>
      <w:proofErr w:type="gramEnd"/>
      <w:r w:rsidR="00DB190F" w:rsidRPr="00A903DD">
        <w:rPr>
          <w:rFonts w:ascii="Book Antiqua" w:hAnsi="Book Antiqua"/>
          <w:sz w:val="24"/>
          <w:szCs w:val="24"/>
          <w:vertAlign w:val="superscript"/>
        </w:rPr>
        <w:t>36]</w:t>
      </w:r>
      <w:r w:rsidRPr="00A903DD">
        <w:rPr>
          <w:rFonts w:ascii="Book Antiqua" w:hAnsi="Book Antiqua"/>
          <w:sz w:val="24"/>
          <w:szCs w:val="24"/>
        </w:rPr>
        <w:t xml:space="preserve"> determined that over 60% of a single 50</w:t>
      </w:r>
      <w:r w:rsidR="00A33C21">
        <w:rPr>
          <w:rFonts w:ascii="Book Antiqua" w:hAnsi="Book Antiqua" w:hint="eastAsia"/>
          <w:sz w:val="24"/>
          <w:szCs w:val="24"/>
          <w:lang w:eastAsia="zh-CN"/>
        </w:rPr>
        <w:t xml:space="preserve"> </w:t>
      </w:r>
      <w:r w:rsidRPr="00A903DD">
        <w:rPr>
          <w:rFonts w:ascii="Book Antiqua" w:hAnsi="Book Antiqua"/>
          <w:sz w:val="24"/>
          <w:szCs w:val="24"/>
        </w:rPr>
        <w:t>mg dose of dabigatran was removed by hemodialysis after 2 h in a small study of patients with end-stage renal failure</w:t>
      </w:r>
      <w:r w:rsidR="00C90D9F" w:rsidRPr="00A903DD">
        <w:rPr>
          <w:rFonts w:ascii="Book Antiqua" w:hAnsi="Book Antiqua"/>
          <w:sz w:val="24"/>
          <w:szCs w:val="24"/>
        </w:rPr>
        <w:t>.</w:t>
      </w:r>
      <w:r w:rsidR="00A33C21">
        <w:rPr>
          <w:rFonts w:ascii="Book Antiqua" w:hAnsi="Book Antiqua"/>
          <w:sz w:val="24"/>
          <w:szCs w:val="24"/>
        </w:rPr>
        <w:t xml:space="preserve"> </w:t>
      </w:r>
      <w:r w:rsidRPr="00A903DD">
        <w:rPr>
          <w:rFonts w:ascii="Book Antiqua" w:hAnsi="Book Antiqua"/>
          <w:sz w:val="24"/>
          <w:szCs w:val="24"/>
        </w:rPr>
        <w:t>The combination of high-dose recombinant factor VIIa and hemodialysis has been used to successfully treat a massive postoperative bleed in a patient who</w:t>
      </w:r>
      <w:r w:rsidR="00DB190F" w:rsidRPr="00A903DD">
        <w:rPr>
          <w:rFonts w:ascii="Book Antiqua" w:hAnsi="Book Antiqua"/>
          <w:sz w:val="24"/>
          <w:szCs w:val="24"/>
        </w:rPr>
        <w:t xml:space="preserve"> underwent cardiac </w:t>
      </w:r>
      <w:proofErr w:type="gramStart"/>
      <w:r w:rsidR="00DB190F" w:rsidRPr="00A903DD">
        <w:rPr>
          <w:rFonts w:ascii="Book Antiqua" w:hAnsi="Book Antiqua"/>
          <w:sz w:val="24"/>
          <w:szCs w:val="24"/>
        </w:rPr>
        <w:t>surgery</w:t>
      </w:r>
      <w:r w:rsidR="00707702" w:rsidRPr="00A903DD">
        <w:rPr>
          <w:rFonts w:ascii="Book Antiqua" w:hAnsi="Book Antiqua"/>
          <w:sz w:val="24"/>
          <w:szCs w:val="24"/>
          <w:vertAlign w:val="superscript"/>
        </w:rPr>
        <w:t>[</w:t>
      </w:r>
      <w:proofErr w:type="gramEnd"/>
      <w:r w:rsidR="00707702" w:rsidRPr="00A903DD">
        <w:rPr>
          <w:rFonts w:ascii="Book Antiqua" w:hAnsi="Book Antiqua"/>
          <w:sz w:val="24"/>
          <w:szCs w:val="24"/>
          <w:vertAlign w:val="superscript"/>
        </w:rPr>
        <w:t>10</w:t>
      </w:r>
      <w:r w:rsidR="003369EC" w:rsidRPr="00A903DD">
        <w:rPr>
          <w:rFonts w:ascii="Book Antiqua" w:hAnsi="Book Antiqua"/>
          <w:sz w:val="24"/>
          <w:szCs w:val="24"/>
          <w:vertAlign w:val="superscript"/>
        </w:rPr>
        <w:t>3</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00A33C21">
        <w:rPr>
          <w:rFonts w:ascii="Book Antiqua" w:hAnsi="Book Antiqua" w:hint="eastAsia"/>
          <w:sz w:val="24"/>
          <w:szCs w:val="24"/>
          <w:lang w:eastAsia="zh-CN"/>
        </w:rPr>
        <w:t xml:space="preserve"> </w:t>
      </w:r>
      <w:r w:rsidRPr="00A903DD">
        <w:rPr>
          <w:rFonts w:ascii="Book Antiqua" w:hAnsi="Book Antiqua"/>
          <w:sz w:val="24"/>
          <w:szCs w:val="24"/>
        </w:rPr>
        <w:t>Charcoal hemoperfusion may also represent an effecti</w:t>
      </w:r>
      <w:r w:rsidR="00DB190F" w:rsidRPr="00A903DD">
        <w:rPr>
          <w:rFonts w:ascii="Book Antiqua" w:hAnsi="Book Antiqua"/>
          <w:sz w:val="24"/>
          <w:szCs w:val="24"/>
        </w:rPr>
        <w:t xml:space="preserve">ve way to remove </w:t>
      </w:r>
      <w:proofErr w:type="gramStart"/>
      <w:r w:rsidR="00DB190F" w:rsidRPr="00A903DD">
        <w:rPr>
          <w:rFonts w:ascii="Book Antiqua" w:hAnsi="Book Antiqua"/>
          <w:sz w:val="24"/>
          <w:szCs w:val="24"/>
        </w:rPr>
        <w:t>dabigatran</w:t>
      </w:r>
      <w:r w:rsidR="00B53655"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4</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00A33C21">
        <w:rPr>
          <w:rFonts w:ascii="Book Antiqua" w:hAnsi="Book Antiqua" w:hint="eastAsia"/>
          <w:sz w:val="24"/>
          <w:szCs w:val="24"/>
          <w:lang w:eastAsia="zh-CN"/>
        </w:rPr>
        <w:t xml:space="preserve"> </w:t>
      </w:r>
      <w:r w:rsidRPr="00A903DD">
        <w:rPr>
          <w:rFonts w:ascii="Book Antiqua" w:hAnsi="Book Antiqua"/>
          <w:sz w:val="24"/>
          <w:szCs w:val="24"/>
        </w:rPr>
        <w:t>Both of the modalities appear as recommendations for dabigatr</w:t>
      </w:r>
      <w:r w:rsidR="00DB190F" w:rsidRPr="00A903DD">
        <w:rPr>
          <w:rFonts w:ascii="Book Antiqua" w:hAnsi="Book Antiqua"/>
          <w:sz w:val="24"/>
          <w:szCs w:val="24"/>
        </w:rPr>
        <w:t xml:space="preserve">an removal by consensus </w:t>
      </w:r>
      <w:proofErr w:type="gramStart"/>
      <w:r w:rsidR="00DB190F" w:rsidRPr="00A903DD">
        <w:rPr>
          <w:rFonts w:ascii="Book Antiqua" w:hAnsi="Book Antiqua"/>
          <w:sz w:val="24"/>
          <w:szCs w:val="24"/>
        </w:rPr>
        <w:t>groups</w:t>
      </w:r>
      <w:r w:rsidR="00C90D9F" w:rsidRPr="00A903DD">
        <w:rPr>
          <w:rFonts w:ascii="Book Antiqua" w:hAnsi="Book Antiqua"/>
          <w:sz w:val="24"/>
          <w:szCs w:val="24"/>
          <w:vertAlign w:val="superscript"/>
        </w:rPr>
        <w:t>[</w:t>
      </w:r>
      <w:proofErr w:type="gramEnd"/>
      <w:r w:rsidR="00707702" w:rsidRPr="00A903DD">
        <w:rPr>
          <w:rFonts w:ascii="Book Antiqua" w:hAnsi="Book Antiqua"/>
          <w:sz w:val="24"/>
          <w:szCs w:val="24"/>
          <w:vertAlign w:val="superscript"/>
        </w:rPr>
        <w:t>9</w:t>
      </w:r>
      <w:r w:rsidR="00240DF8" w:rsidRPr="00A903DD">
        <w:rPr>
          <w:rFonts w:ascii="Book Antiqua" w:hAnsi="Book Antiqua"/>
          <w:sz w:val="24"/>
          <w:szCs w:val="24"/>
          <w:vertAlign w:val="superscript"/>
        </w:rPr>
        <w:t>3</w:t>
      </w:r>
      <w:r w:rsidR="00707702" w:rsidRPr="00A903DD">
        <w:rPr>
          <w:rFonts w:ascii="Book Antiqua" w:hAnsi="Book Antiqua"/>
          <w:sz w:val="24"/>
          <w:szCs w:val="24"/>
          <w:vertAlign w:val="superscript"/>
        </w:rPr>
        <w:t>,9</w:t>
      </w:r>
      <w:r w:rsidR="00240DF8" w:rsidRPr="00A903DD">
        <w:rPr>
          <w:rFonts w:ascii="Book Antiqua" w:hAnsi="Book Antiqua"/>
          <w:sz w:val="24"/>
          <w:szCs w:val="24"/>
          <w:vertAlign w:val="superscript"/>
        </w:rPr>
        <w:t>4</w:t>
      </w:r>
      <w:r w:rsidR="00707702" w:rsidRPr="00A903DD">
        <w:rPr>
          <w:rFonts w:ascii="Book Antiqua" w:hAnsi="Book Antiqua"/>
          <w:sz w:val="24"/>
          <w:szCs w:val="24"/>
          <w:vertAlign w:val="superscript"/>
        </w:rPr>
        <w:t>,10</w:t>
      </w:r>
      <w:r w:rsidR="003369EC" w:rsidRPr="00A903DD">
        <w:rPr>
          <w:rFonts w:ascii="Book Antiqua" w:hAnsi="Book Antiqua"/>
          <w:sz w:val="24"/>
          <w:szCs w:val="24"/>
          <w:vertAlign w:val="superscript"/>
        </w:rPr>
        <w:t>4</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00C90D9F" w:rsidRPr="00A903DD">
        <w:rPr>
          <w:rFonts w:ascii="Book Antiqua" w:hAnsi="Book Antiqua"/>
          <w:sz w:val="24"/>
          <w:szCs w:val="24"/>
          <w:vertAlign w:val="superscript"/>
        </w:rPr>
        <w:t xml:space="preserve"> </w:t>
      </w:r>
      <w:r w:rsidRPr="00A903DD">
        <w:rPr>
          <w:rFonts w:ascii="Book Antiqua" w:hAnsi="Book Antiqua"/>
          <w:sz w:val="24"/>
          <w:szCs w:val="24"/>
        </w:rPr>
        <w:t>However, while these methods are effective to remove dabigatran and presumably reverse its anticoagulant effect, both have limited application since availability is low, vascular access is required, and the time t</w:t>
      </w:r>
      <w:r w:rsidR="00C90D9F" w:rsidRPr="00A903DD">
        <w:rPr>
          <w:rFonts w:ascii="Book Antiqua" w:hAnsi="Book Antiqua"/>
          <w:sz w:val="24"/>
          <w:szCs w:val="24"/>
        </w:rPr>
        <w:t xml:space="preserve">o implement is often </w:t>
      </w:r>
      <w:proofErr w:type="gramStart"/>
      <w:r w:rsidR="00DB190F" w:rsidRPr="00A903DD">
        <w:rPr>
          <w:rFonts w:ascii="Book Antiqua" w:hAnsi="Book Antiqua"/>
          <w:sz w:val="24"/>
          <w:szCs w:val="24"/>
        </w:rPr>
        <w:t>prolonged</w:t>
      </w:r>
      <w:r w:rsidR="00C90D9F"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2</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4</w:t>
      </w:r>
      <w:r w:rsidR="00B53655" w:rsidRPr="00A903DD">
        <w:rPr>
          <w:rFonts w:ascii="Book Antiqua" w:hAnsi="Book Antiqua"/>
          <w:sz w:val="24"/>
          <w:szCs w:val="24"/>
          <w:vertAlign w:val="superscript"/>
        </w:rPr>
        <w:t>, 9</w:t>
      </w:r>
      <w:r w:rsidR="00240DF8" w:rsidRPr="00A903DD">
        <w:rPr>
          <w:rFonts w:ascii="Book Antiqua" w:hAnsi="Book Antiqua"/>
          <w:sz w:val="24"/>
          <w:szCs w:val="24"/>
          <w:vertAlign w:val="superscript"/>
        </w:rPr>
        <w:t>6</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00C90D9F" w:rsidRPr="00A903DD">
        <w:rPr>
          <w:rFonts w:ascii="Book Antiqua" w:hAnsi="Book Antiqua"/>
          <w:sz w:val="24"/>
          <w:szCs w:val="24"/>
          <w:vertAlign w:val="superscript"/>
        </w:rPr>
        <w:t xml:space="preserve"> </w:t>
      </w:r>
      <w:r w:rsidR="00A33C21">
        <w:rPr>
          <w:rFonts w:ascii="Book Antiqua" w:hAnsi="Book Antiqua"/>
          <w:sz w:val="24"/>
          <w:szCs w:val="24"/>
        </w:rPr>
        <w:t xml:space="preserve"> </w:t>
      </w:r>
      <w:r w:rsidR="00796FF9" w:rsidRPr="00A903DD">
        <w:rPr>
          <w:rFonts w:ascii="Book Antiqua" w:hAnsi="Book Antiqua"/>
          <w:sz w:val="24"/>
          <w:szCs w:val="24"/>
        </w:rPr>
        <w:t>In contrast, h</w:t>
      </w:r>
      <w:r w:rsidRPr="00A903DD">
        <w:rPr>
          <w:rFonts w:ascii="Book Antiqua" w:hAnsi="Book Antiqua"/>
          <w:sz w:val="24"/>
          <w:szCs w:val="24"/>
        </w:rPr>
        <w:t>igh protein binding characterize</w:t>
      </w:r>
      <w:r w:rsidR="00240DF8" w:rsidRPr="00A903DD">
        <w:rPr>
          <w:rFonts w:ascii="Book Antiqua" w:hAnsi="Book Antiqua"/>
          <w:sz w:val="24"/>
          <w:szCs w:val="24"/>
        </w:rPr>
        <w:t>s rivaroxaban (92</w:t>
      </w:r>
      <w:r w:rsidR="00A33C21" w:rsidRPr="00A903DD">
        <w:rPr>
          <w:rFonts w:ascii="Book Antiqua" w:hAnsi="Book Antiqua"/>
          <w:sz w:val="24"/>
          <w:szCs w:val="24"/>
        </w:rPr>
        <w:t>%</w:t>
      </w:r>
      <w:r w:rsidR="00240DF8" w:rsidRPr="00A903DD">
        <w:rPr>
          <w:rFonts w:ascii="Book Antiqua" w:hAnsi="Book Antiqua"/>
          <w:sz w:val="24"/>
          <w:szCs w:val="24"/>
        </w:rPr>
        <w:t>-95%) and apixa</w:t>
      </w:r>
      <w:r w:rsidRPr="00A903DD">
        <w:rPr>
          <w:rFonts w:ascii="Book Antiqua" w:hAnsi="Book Antiqua"/>
          <w:sz w:val="24"/>
          <w:szCs w:val="24"/>
        </w:rPr>
        <w:t>ban (84</w:t>
      </w:r>
      <w:r w:rsidR="00A33C21" w:rsidRPr="00A903DD">
        <w:rPr>
          <w:rFonts w:ascii="Book Antiqua" w:hAnsi="Book Antiqua"/>
          <w:sz w:val="24"/>
          <w:szCs w:val="24"/>
        </w:rPr>
        <w:t>%</w:t>
      </w:r>
      <w:r w:rsidRPr="00A903DD">
        <w:rPr>
          <w:rFonts w:ascii="Book Antiqua" w:hAnsi="Book Antiqua"/>
          <w:sz w:val="24"/>
          <w:szCs w:val="24"/>
        </w:rPr>
        <w:t xml:space="preserve">-87%), meaning a significant amount of either drug is unlikely to be removed by </w:t>
      </w:r>
      <w:r w:rsidR="00DB190F" w:rsidRPr="00A903DD">
        <w:rPr>
          <w:rFonts w:ascii="Book Antiqua" w:hAnsi="Book Antiqua"/>
          <w:sz w:val="24"/>
          <w:szCs w:val="24"/>
        </w:rPr>
        <w:t xml:space="preserve">hemodialysis or </w:t>
      </w:r>
      <w:proofErr w:type="gramStart"/>
      <w:r w:rsidR="00DB190F" w:rsidRPr="00A903DD">
        <w:rPr>
          <w:rFonts w:ascii="Book Antiqua" w:hAnsi="Book Antiqua"/>
          <w:sz w:val="24"/>
          <w:szCs w:val="24"/>
        </w:rPr>
        <w:t>hemoperfusion</w:t>
      </w:r>
      <w:r w:rsidR="00B53655"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3</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4</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Pr="00A903DD">
        <w:rPr>
          <w:rFonts w:ascii="Book Antiqua" w:hAnsi="Book Antiqua"/>
          <w:sz w:val="24"/>
          <w:szCs w:val="24"/>
        </w:rPr>
        <w:t xml:space="preserve"> </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lastRenderedPageBreak/>
        <w:t xml:space="preserve">Since no specific antidote exists and methods to remove drug from the system are limited, reversal of a </w:t>
      </w:r>
      <w:r w:rsidR="00796FF9" w:rsidRPr="00A903DD">
        <w:rPr>
          <w:rFonts w:ascii="Book Antiqua" w:hAnsi="Book Antiqua"/>
          <w:sz w:val="24"/>
          <w:szCs w:val="24"/>
        </w:rPr>
        <w:t>TSOA</w:t>
      </w:r>
      <w:r w:rsidR="006E45AD" w:rsidRPr="00A903DD">
        <w:rPr>
          <w:rFonts w:ascii="Book Antiqua" w:hAnsi="Book Antiqua"/>
          <w:sz w:val="24"/>
          <w:szCs w:val="24"/>
        </w:rPr>
        <w:t>’s anticoagulant effect</w:t>
      </w:r>
      <w:r w:rsidRPr="00A903DD">
        <w:rPr>
          <w:rFonts w:ascii="Book Antiqua" w:hAnsi="Book Antiqua"/>
          <w:sz w:val="24"/>
          <w:szCs w:val="24"/>
        </w:rPr>
        <w:t xml:space="preserve"> has been focused on the use of hemostatic agents and co</w:t>
      </w:r>
      <w:r w:rsidR="00A33C21">
        <w:rPr>
          <w:rFonts w:ascii="Book Antiqua" w:hAnsi="Book Antiqua"/>
          <w:sz w:val="24"/>
          <w:szCs w:val="24"/>
        </w:rPr>
        <w:t>agulation factor replacement.</w:t>
      </w:r>
      <w:r w:rsidR="00A33C21">
        <w:rPr>
          <w:rFonts w:ascii="Book Antiqua" w:hAnsi="Book Antiqua" w:hint="eastAsia"/>
          <w:sz w:val="24"/>
          <w:szCs w:val="24"/>
          <w:lang w:eastAsia="zh-CN"/>
        </w:rPr>
        <w:t xml:space="preserve"> </w:t>
      </w:r>
      <w:r w:rsidRPr="00A903DD">
        <w:rPr>
          <w:rFonts w:ascii="Book Antiqua" w:hAnsi="Book Antiqua"/>
          <w:sz w:val="24"/>
          <w:szCs w:val="24"/>
        </w:rPr>
        <w:t>Traditional approaches used with warfarin have no or very little benefit in patients who are antic</w:t>
      </w:r>
      <w:r w:rsidR="00A33C21">
        <w:rPr>
          <w:rFonts w:ascii="Book Antiqua" w:hAnsi="Book Antiqua"/>
          <w:sz w:val="24"/>
          <w:szCs w:val="24"/>
        </w:rPr>
        <w:t>oagulated with the new agents.</w:t>
      </w:r>
      <w:r w:rsidR="00A33C21">
        <w:rPr>
          <w:rFonts w:ascii="Book Antiqua" w:hAnsi="Book Antiqua" w:hint="eastAsia"/>
          <w:sz w:val="24"/>
          <w:szCs w:val="24"/>
          <w:lang w:eastAsia="zh-CN"/>
        </w:rPr>
        <w:t xml:space="preserve"> </w:t>
      </w:r>
      <w:r w:rsidRPr="00A903DD">
        <w:rPr>
          <w:rFonts w:ascii="Book Antiqua" w:hAnsi="Book Antiqua"/>
          <w:sz w:val="24"/>
          <w:szCs w:val="24"/>
        </w:rPr>
        <w:t>Specifically, vitamin K has no effect to reverse anticoagulation and fresh frozen plasma (FFP) re</w:t>
      </w:r>
      <w:r w:rsidR="006E45AD" w:rsidRPr="00A903DD">
        <w:rPr>
          <w:rFonts w:ascii="Book Antiqua" w:hAnsi="Book Antiqua"/>
          <w:sz w:val="24"/>
          <w:szCs w:val="24"/>
        </w:rPr>
        <w:t>quire</w:t>
      </w:r>
      <w:r w:rsidR="00702AEE" w:rsidRPr="00A903DD">
        <w:rPr>
          <w:rFonts w:ascii="Book Antiqua" w:hAnsi="Book Antiqua"/>
          <w:sz w:val="24"/>
          <w:szCs w:val="24"/>
        </w:rPr>
        <w:t>s long preparation time and</w:t>
      </w:r>
      <w:r w:rsidRPr="00A903DD">
        <w:rPr>
          <w:rFonts w:ascii="Book Antiqua" w:hAnsi="Book Antiqua"/>
          <w:sz w:val="24"/>
          <w:szCs w:val="24"/>
        </w:rPr>
        <w:t xml:space="preserve"> large volumes</w:t>
      </w:r>
      <w:r w:rsidR="006E45AD" w:rsidRPr="00A903DD">
        <w:rPr>
          <w:rFonts w:ascii="Book Antiqua" w:hAnsi="Book Antiqua"/>
          <w:sz w:val="24"/>
          <w:szCs w:val="24"/>
        </w:rPr>
        <w:t>,</w:t>
      </w:r>
      <w:r w:rsidRPr="00A903DD">
        <w:rPr>
          <w:rFonts w:ascii="Book Antiqua" w:hAnsi="Book Antiqua"/>
          <w:sz w:val="24"/>
          <w:szCs w:val="24"/>
        </w:rPr>
        <w:t xml:space="preserve"> and has not been shown to have value for bleed</w:t>
      </w:r>
      <w:r w:rsidR="00C90D9F" w:rsidRPr="00A903DD">
        <w:rPr>
          <w:rFonts w:ascii="Book Antiqua" w:hAnsi="Book Antiqua"/>
          <w:sz w:val="24"/>
          <w:szCs w:val="24"/>
        </w:rPr>
        <w:t xml:space="preserve">ing due to </w:t>
      </w:r>
      <w:r w:rsidR="00796FF9" w:rsidRPr="00A903DD">
        <w:rPr>
          <w:rFonts w:ascii="Book Antiqua" w:hAnsi="Book Antiqua"/>
          <w:sz w:val="24"/>
          <w:szCs w:val="24"/>
        </w:rPr>
        <w:t>a TSOA</w:t>
      </w:r>
      <w:r w:rsidR="00C90D9F" w:rsidRPr="00A903DD">
        <w:rPr>
          <w:rFonts w:ascii="Book Antiqua" w:hAnsi="Book Antiqua"/>
          <w:sz w:val="24"/>
          <w:szCs w:val="24"/>
          <w:vertAlign w:val="superscript"/>
        </w:rPr>
        <w:t>[</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4</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6</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00A33C21">
        <w:rPr>
          <w:rFonts w:ascii="Book Antiqua" w:hAnsi="Book Antiqua"/>
          <w:sz w:val="24"/>
          <w:szCs w:val="24"/>
        </w:rPr>
        <w:t xml:space="preserve"> </w:t>
      </w:r>
      <w:r w:rsidRPr="00A903DD">
        <w:rPr>
          <w:rFonts w:ascii="Book Antiqua" w:hAnsi="Book Antiqua"/>
          <w:sz w:val="24"/>
          <w:szCs w:val="24"/>
        </w:rPr>
        <w:t>The use of FFP has given way to use of prothrombin complex concentrates (PCC) even for wa</w:t>
      </w:r>
      <w:r w:rsidR="00DB190F" w:rsidRPr="00A903DD">
        <w:rPr>
          <w:rFonts w:ascii="Book Antiqua" w:hAnsi="Book Antiqua"/>
          <w:sz w:val="24"/>
          <w:szCs w:val="24"/>
        </w:rPr>
        <w:t xml:space="preserve">rfarin </w:t>
      </w:r>
      <w:proofErr w:type="gramStart"/>
      <w:r w:rsidR="00DB190F" w:rsidRPr="00A903DD">
        <w:rPr>
          <w:rFonts w:ascii="Book Antiqua" w:hAnsi="Book Antiqua"/>
          <w:sz w:val="24"/>
          <w:szCs w:val="24"/>
        </w:rPr>
        <w:t>reversal</w:t>
      </w:r>
      <w:r w:rsidR="00707702" w:rsidRPr="00A903DD">
        <w:rPr>
          <w:rFonts w:ascii="Book Antiqua" w:hAnsi="Book Antiqua"/>
          <w:sz w:val="24"/>
          <w:szCs w:val="24"/>
          <w:vertAlign w:val="superscript"/>
        </w:rPr>
        <w:t>[</w:t>
      </w:r>
      <w:proofErr w:type="gramEnd"/>
      <w:r w:rsidR="00707702" w:rsidRPr="00A903DD">
        <w:rPr>
          <w:rFonts w:ascii="Book Antiqua" w:hAnsi="Book Antiqua"/>
          <w:sz w:val="24"/>
          <w:szCs w:val="24"/>
          <w:vertAlign w:val="superscript"/>
        </w:rPr>
        <w:t>10</w:t>
      </w:r>
      <w:r w:rsidR="003369EC" w:rsidRPr="00A903DD">
        <w:rPr>
          <w:rFonts w:ascii="Book Antiqua" w:hAnsi="Book Antiqua"/>
          <w:sz w:val="24"/>
          <w:szCs w:val="24"/>
          <w:vertAlign w:val="superscript"/>
        </w:rPr>
        <w:t>5</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Recently, interest in the use of hemostatic agents for reversal of anticoagulation with the </w:t>
      </w:r>
      <w:r w:rsidR="00796FF9" w:rsidRPr="00A903DD">
        <w:rPr>
          <w:rFonts w:ascii="Book Antiqua" w:hAnsi="Book Antiqua"/>
          <w:sz w:val="24"/>
          <w:szCs w:val="24"/>
        </w:rPr>
        <w:t>TSOA</w:t>
      </w:r>
      <w:r w:rsidRPr="00A903DD">
        <w:rPr>
          <w:rFonts w:ascii="Book Antiqua" w:hAnsi="Book Antiqua"/>
          <w:sz w:val="24"/>
          <w:szCs w:val="24"/>
        </w:rPr>
        <w:t xml:space="preserve">s has focused on use of PCC products that contain concentrated amounts of vitamin K dependent clotting factors and are available in several forms. PCCs include products that contain three (factors II, IX, and X) or four (II, VII, IX, and X) </w:t>
      </w:r>
      <w:r w:rsidR="00CB06FB" w:rsidRPr="00A903DD">
        <w:rPr>
          <w:rFonts w:ascii="Book Antiqua" w:hAnsi="Book Antiqua"/>
          <w:sz w:val="24"/>
          <w:szCs w:val="24"/>
        </w:rPr>
        <w:t xml:space="preserve">virally </w:t>
      </w:r>
      <w:r w:rsidRPr="00A903DD">
        <w:rPr>
          <w:rFonts w:ascii="Book Antiqua" w:hAnsi="Book Antiqua"/>
          <w:sz w:val="24"/>
          <w:szCs w:val="24"/>
        </w:rPr>
        <w:t>inactivated clotting factors, and an activated product  (also known as factor eight inhibitor bypassing activity or FEIBA) that contains an activated factor VII with inac</w:t>
      </w:r>
      <w:r w:rsidR="00A33C21">
        <w:rPr>
          <w:rFonts w:ascii="Book Antiqua" w:hAnsi="Book Antiqua"/>
          <w:sz w:val="24"/>
          <w:szCs w:val="24"/>
        </w:rPr>
        <w:t xml:space="preserve">tivated factors II, IX, and X. </w:t>
      </w:r>
      <w:r w:rsidRPr="00A903DD">
        <w:rPr>
          <w:rFonts w:ascii="Book Antiqua" w:hAnsi="Book Antiqua"/>
          <w:sz w:val="24"/>
          <w:szCs w:val="24"/>
        </w:rPr>
        <w:t xml:space="preserve">Factor VII alone is also available as a recombinant product that is in activated form and can be added to the three-factor PCC to essentially make the four- factor PCC that has </w:t>
      </w:r>
      <w:r w:rsidR="00796FF9" w:rsidRPr="00A903DD">
        <w:rPr>
          <w:rFonts w:ascii="Book Antiqua" w:hAnsi="Book Antiqua"/>
          <w:sz w:val="24"/>
          <w:szCs w:val="24"/>
        </w:rPr>
        <w:t xml:space="preserve">only recently become </w:t>
      </w:r>
      <w:r w:rsidRPr="00A903DD">
        <w:rPr>
          <w:rFonts w:ascii="Book Antiqua" w:hAnsi="Book Antiqua"/>
          <w:sz w:val="24"/>
          <w:szCs w:val="24"/>
        </w:rPr>
        <w:t>availab</w:t>
      </w:r>
      <w:r w:rsidR="00796FF9" w:rsidRPr="00A903DD">
        <w:rPr>
          <w:rFonts w:ascii="Book Antiqua" w:hAnsi="Book Antiqua"/>
          <w:sz w:val="24"/>
          <w:szCs w:val="24"/>
        </w:rPr>
        <w:t>le</w:t>
      </w:r>
      <w:r w:rsidR="00C90D9F" w:rsidRPr="00A903DD">
        <w:rPr>
          <w:rFonts w:ascii="Book Antiqua" w:hAnsi="Book Antiqua"/>
          <w:sz w:val="24"/>
          <w:szCs w:val="24"/>
        </w:rPr>
        <w:t xml:space="preserve"> in the</w:t>
      </w:r>
      <w:r w:rsidR="00985904" w:rsidRPr="00985904">
        <w:rPr>
          <w:rFonts w:ascii="Book Antiqua" w:hAnsi="Book Antiqua"/>
          <w:sz w:val="24"/>
          <w:szCs w:val="24"/>
        </w:rPr>
        <w:t xml:space="preserve"> </w:t>
      </w:r>
      <w:r w:rsidR="00985904">
        <w:rPr>
          <w:rFonts w:ascii="Book Antiqua" w:hAnsi="Book Antiqua"/>
          <w:sz w:val="24"/>
          <w:szCs w:val="24"/>
        </w:rPr>
        <w:t>United States</w:t>
      </w:r>
      <w:r w:rsidR="00C90D9F" w:rsidRPr="00A903DD">
        <w:rPr>
          <w:rFonts w:ascii="Book Antiqua" w:hAnsi="Book Antiqua"/>
          <w:sz w:val="24"/>
          <w:szCs w:val="24"/>
          <w:vertAlign w:val="superscript"/>
        </w:rPr>
        <w:t>[</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2</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3</w:t>
      </w:r>
      <w:r w:rsidR="00C90D9F" w:rsidRPr="00A903DD">
        <w:rPr>
          <w:rFonts w:ascii="Book Antiqua" w:hAnsi="Book Antiqua"/>
          <w:sz w:val="24"/>
          <w:szCs w:val="24"/>
          <w:vertAlign w:val="superscript"/>
        </w:rPr>
        <w:t>]</w:t>
      </w:r>
      <w:r w:rsidRPr="00A903DD">
        <w:rPr>
          <w:rFonts w:ascii="Book Antiqua" w:hAnsi="Book Antiqua"/>
          <w:sz w:val="24"/>
          <w:szCs w:val="24"/>
        </w:rPr>
        <w:t xml:space="preserve">  </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 xml:space="preserve">Despite the extensive interest in the use of PCCs to reverse anticoagulant effects of the </w:t>
      </w:r>
      <w:r w:rsidR="0000687B" w:rsidRPr="00A903DD">
        <w:rPr>
          <w:rFonts w:ascii="Book Antiqua" w:hAnsi="Book Antiqua"/>
          <w:sz w:val="24"/>
          <w:szCs w:val="24"/>
        </w:rPr>
        <w:t>TSOAs</w:t>
      </w:r>
      <w:r w:rsidRPr="00A903DD">
        <w:rPr>
          <w:rFonts w:ascii="Book Antiqua" w:hAnsi="Book Antiqua"/>
          <w:sz w:val="24"/>
          <w:szCs w:val="24"/>
        </w:rPr>
        <w:t xml:space="preserve">, there is a paucity of data especially in humans.  The majority of data regarding the use of PCCs comes from preclinical animal and phase I </w:t>
      </w:r>
      <w:r w:rsidRPr="00A903DD">
        <w:rPr>
          <w:rFonts w:ascii="Book Antiqua" w:hAnsi="Book Antiqua"/>
          <w:i/>
          <w:sz w:val="24"/>
          <w:szCs w:val="24"/>
        </w:rPr>
        <w:t xml:space="preserve">in vitro </w:t>
      </w:r>
      <w:r w:rsidRPr="00A903DD">
        <w:rPr>
          <w:rFonts w:ascii="Book Antiqua" w:hAnsi="Book Antiqua"/>
          <w:sz w:val="24"/>
          <w:szCs w:val="24"/>
        </w:rPr>
        <w:t>and</w:t>
      </w:r>
      <w:r w:rsidRPr="00A903DD">
        <w:rPr>
          <w:rFonts w:ascii="Book Antiqua" w:hAnsi="Book Antiqua"/>
          <w:i/>
          <w:sz w:val="24"/>
          <w:szCs w:val="24"/>
        </w:rPr>
        <w:t xml:space="preserve"> ex vivo </w:t>
      </w:r>
      <w:proofErr w:type="gramStart"/>
      <w:r w:rsidR="00DB190F" w:rsidRPr="00A903DD">
        <w:rPr>
          <w:rFonts w:ascii="Book Antiqua" w:hAnsi="Book Antiqua"/>
          <w:sz w:val="24"/>
          <w:szCs w:val="24"/>
        </w:rPr>
        <w:t>studies</w:t>
      </w:r>
      <w:r w:rsidR="00C90D9F"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2</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3</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Pr="00A903DD">
        <w:rPr>
          <w:rFonts w:ascii="Book Antiqua" w:hAnsi="Book Antiqua"/>
          <w:sz w:val="24"/>
          <w:szCs w:val="24"/>
        </w:rPr>
        <w:t xml:space="preserve"> An extensive review of those data is beyond the scope of this article; an excellent review was recently publish</w:t>
      </w:r>
      <w:r w:rsidR="00DB190F" w:rsidRPr="00A903DD">
        <w:rPr>
          <w:rFonts w:ascii="Book Antiqua" w:hAnsi="Book Antiqua"/>
          <w:sz w:val="24"/>
          <w:szCs w:val="24"/>
        </w:rPr>
        <w:t>ed by Hoffman</w:t>
      </w:r>
      <w:r w:rsidR="00583604">
        <w:rPr>
          <w:rFonts w:ascii="Book Antiqua" w:hAnsi="Book Antiqua" w:hint="eastAsia"/>
          <w:sz w:val="24"/>
          <w:szCs w:val="24"/>
          <w:lang w:eastAsia="zh-CN"/>
        </w:rPr>
        <w:t xml:space="preserve"> </w:t>
      </w:r>
      <w:r w:rsidR="00583604" w:rsidRPr="00583604">
        <w:rPr>
          <w:rFonts w:ascii="Book Antiqua" w:hAnsi="Book Antiqua" w:hint="eastAsia"/>
          <w:i/>
          <w:sz w:val="24"/>
          <w:szCs w:val="24"/>
          <w:lang w:eastAsia="zh-CN"/>
        </w:rPr>
        <w:t xml:space="preserve">et </w:t>
      </w:r>
      <w:proofErr w:type="gramStart"/>
      <w:r w:rsidR="00583604" w:rsidRPr="00583604">
        <w:rPr>
          <w:rFonts w:ascii="Book Antiqua" w:hAnsi="Book Antiqua" w:hint="eastAsia"/>
          <w:i/>
          <w:sz w:val="24"/>
          <w:szCs w:val="24"/>
          <w:lang w:eastAsia="zh-CN"/>
        </w:rPr>
        <w:t>al</w:t>
      </w:r>
      <w:r w:rsidR="00C90D9F" w:rsidRPr="00A903DD">
        <w:rPr>
          <w:rFonts w:ascii="Book Antiqua" w:hAnsi="Book Antiqua"/>
          <w:sz w:val="24"/>
          <w:szCs w:val="24"/>
          <w:vertAlign w:val="superscript"/>
        </w:rPr>
        <w:t>[</w:t>
      </w:r>
      <w:proofErr w:type="gramEnd"/>
      <w:r w:rsidR="00707702" w:rsidRPr="00A903DD">
        <w:rPr>
          <w:rFonts w:ascii="Book Antiqua" w:hAnsi="Book Antiqua"/>
          <w:sz w:val="24"/>
          <w:szCs w:val="24"/>
          <w:vertAlign w:val="superscript"/>
        </w:rPr>
        <w:t>10</w:t>
      </w:r>
      <w:r w:rsidR="003369EC" w:rsidRPr="00A903DD">
        <w:rPr>
          <w:rFonts w:ascii="Book Antiqua" w:hAnsi="Book Antiqua"/>
          <w:sz w:val="24"/>
          <w:szCs w:val="24"/>
          <w:vertAlign w:val="superscript"/>
        </w:rPr>
        <w:t>6</w:t>
      </w:r>
      <w:r w:rsidR="00C90D9F" w:rsidRPr="00A903DD">
        <w:rPr>
          <w:rFonts w:ascii="Book Antiqua" w:hAnsi="Book Antiqua"/>
          <w:sz w:val="24"/>
          <w:szCs w:val="24"/>
          <w:vertAlign w:val="superscript"/>
        </w:rPr>
        <w:t>]</w:t>
      </w:r>
      <w:r w:rsidR="00DB190F" w:rsidRPr="00A903DD">
        <w:rPr>
          <w:rFonts w:ascii="Book Antiqua" w:hAnsi="Book Antiqua"/>
          <w:sz w:val="24"/>
          <w:szCs w:val="24"/>
        </w:rPr>
        <w:t>.</w:t>
      </w:r>
      <w:r w:rsidRPr="00A903DD">
        <w:rPr>
          <w:rFonts w:ascii="Book Antiqua" w:hAnsi="Book Antiqua"/>
          <w:sz w:val="24"/>
          <w:szCs w:val="24"/>
        </w:rPr>
        <w:t xml:space="preserve">      </w:t>
      </w:r>
    </w:p>
    <w:p w:rsidR="00C500AA" w:rsidRPr="00A903DD" w:rsidRDefault="00C500AA" w:rsidP="00A33C21">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lastRenderedPageBreak/>
        <w:t xml:space="preserve">In their recent review, Thigpen and </w:t>
      </w:r>
      <w:proofErr w:type="gramStart"/>
      <w:r w:rsidRPr="00A903DD">
        <w:rPr>
          <w:rFonts w:ascii="Book Antiqua" w:hAnsi="Book Antiqua"/>
          <w:sz w:val="24"/>
          <w:szCs w:val="24"/>
        </w:rPr>
        <w:t>Limdi</w:t>
      </w:r>
      <w:r w:rsidR="00DB190F" w:rsidRPr="00A903DD">
        <w:rPr>
          <w:rFonts w:ascii="Book Antiqua" w:hAnsi="Book Antiqua"/>
          <w:sz w:val="24"/>
          <w:szCs w:val="24"/>
          <w:vertAlign w:val="superscript"/>
        </w:rPr>
        <w:t>[</w:t>
      </w:r>
      <w:proofErr w:type="gramEnd"/>
      <w:r w:rsidR="00DB190F" w:rsidRPr="00A903DD">
        <w:rPr>
          <w:rFonts w:ascii="Book Antiqua" w:hAnsi="Book Antiqua"/>
          <w:sz w:val="24"/>
          <w:szCs w:val="24"/>
          <w:vertAlign w:val="superscript"/>
        </w:rPr>
        <w:t>92]</w:t>
      </w:r>
      <w:r w:rsidRPr="00A903DD">
        <w:rPr>
          <w:rFonts w:ascii="Book Antiqua" w:hAnsi="Book Antiqua"/>
          <w:sz w:val="24"/>
          <w:szCs w:val="24"/>
        </w:rPr>
        <w:t xml:space="preserve"> described 5 case reports of severe bleeding due to dabigatran that were treated with factor replacement, including only 2 patient</w:t>
      </w:r>
      <w:r w:rsidR="00C90D9F" w:rsidRPr="00A903DD">
        <w:rPr>
          <w:rFonts w:ascii="Book Antiqua" w:hAnsi="Book Antiqua"/>
          <w:sz w:val="24"/>
          <w:szCs w:val="24"/>
        </w:rPr>
        <w:t>s who received a PCC product.</w:t>
      </w:r>
      <w:r w:rsidRPr="00A903DD">
        <w:rPr>
          <w:rFonts w:ascii="Book Antiqua" w:hAnsi="Book Antiqua"/>
          <w:sz w:val="24"/>
          <w:szCs w:val="24"/>
        </w:rPr>
        <w:t xml:space="preserve"> Eerenberg </w:t>
      </w:r>
      <w:r w:rsidRPr="00583604">
        <w:rPr>
          <w:rFonts w:ascii="Book Antiqua" w:hAnsi="Book Antiqua"/>
          <w:i/>
          <w:sz w:val="24"/>
          <w:szCs w:val="24"/>
        </w:rPr>
        <w:t xml:space="preserve">et </w:t>
      </w:r>
      <w:proofErr w:type="gramStart"/>
      <w:r w:rsidRPr="00583604">
        <w:rPr>
          <w:rFonts w:ascii="Book Antiqua" w:hAnsi="Book Antiqua"/>
          <w:i/>
          <w:sz w:val="24"/>
          <w:szCs w:val="24"/>
        </w:rPr>
        <w:t>al</w:t>
      </w:r>
      <w:r w:rsidR="00DB190F" w:rsidRPr="00A903DD">
        <w:rPr>
          <w:rFonts w:ascii="Book Antiqua" w:hAnsi="Book Antiqua"/>
          <w:sz w:val="24"/>
          <w:szCs w:val="24"/>
          <w:vertAlign w:val="superscript"/>
        </w:rPr>
        <w:t>[</w:t>
      </w:r>
      <w:proofErr w:type="gramEnd"/>
      <w:r w:rsidR="00DB190F" w:rsidRPr="00A903DD">
        <w:rPr>
          <w:rFonts w:ascii="Book Antiqua" w:hAnsi="Book Antiqua"/>
          <w:sz w:val="24"/>
          <w:szCs w:val="24"/>
          <w:vertAlign w:val="superscript"/>
        </w:rPr>
        <w:t>107]</w:t>
      </w:r>
      <w:r w:rsidRPr="00A903DD">
        <w:rPr>
          <w:rFonts w:ascii="Book Antiqua" w:hAnsi="Book Antiqua"/>
          <w:sz w:val="24"/>
          <w:szCs w:val="24"/>
        </w:rPr>
        <w:t xml:space="preserve"> conducted a randomized, double-blind, crossover study of a four-factor PCC (Cofact</w:t>
      </w:r>
      <w:r w:rsidRPr="00A903DD">
        <w:rPr>
          <w:rFonts w:ascii="Book Antiqua" w:hAnsi="Book Antiqua"/>
          <w:sz w:val="24"/>
          <w:szCs w:val="24"/>
          <w:vertAlign w:val="superscript"/>
        </w:rPr>
        <w:t>R</w:t>
      </w:r>
      <w:r w:rsidRPr="00A903DD">
        <w:rPr>
          <w:rFonts w:ascii="Book Antiqua" w:hAnsi="Book Antiqua"/>
          <w:sz w:val="24"/>
          <w:szCs w:val="24"/>
        </w:rPr>
        <w:t>) effect on dabigatran and rivaroxaban’s effect on coagula</w:t>
      </w:r>
      <w:r w:rsidR="00583604">
        <w:rPr>
          <w:rFonts w:ascii="Book Antiqua" w:hAnsi="Book Antiqua"/>
          <w:sz w:val="24"/>
          <w:szCs w:val="24"/>
        </w:rPr>
        <w:t xml:space="preserve">tion assays in 12 healthy men. </w:t>
      </w:r>
      <w:r w:rsidR="00D842AE" w:rsidRPr="00A903DD">
        <w:rPr>
          <w:rFonts w:ascii="Book Antiqua" w:hAnsi="Book Antiqua"/>
          <w:sz w:val="24"/>
          <w:szCs w:val="24"/>
        </w:rPr>
        <w:t>The PCC reversed coagulation changes induced by rivaroxaban but had no effect on coagulation cha</w:t>
      </w:r>
      <w:r w:rsidR="007536EC" w:rsidRPr="00A903DD">
        <w:rPr>
          <w:rFonts w:ascii="Book Antiqua" w:hAnsi="Book Antiqua"/>
          <w:sz w:val="24"/>
          <w:szCs w:val="24"/>
        </w:rPr>
        <w:t>nges associated with dabigatran.</w:t>
      </w:r>
      <w:r w:rsidR="00583604">
        <w:rPr>
          <w:rFonts w:ascii="Book Antiqua" w:hAnsi="Book Antiqua" w:hint="eastAsia"/>
          <w:sz w:val="24"/>
          <w:szCs w:val="24"/>
          <w:lang w:eastAsia="zh-CN"/>
        </w:rPr>
        <w:t xml:space="preserve"> </w:t>
      </w:r>
      <w:r w:rsidR="00D842AE" w:rsidRPr="00A903DD">
        <w:rPr>
          <w:rFonts w:ascii="Book Antiqua" w:hAnsi="Book Antiqua"/>
          <w:sz w:val="24"/>
          <w:szCs w:val="24"/>
        </w:rPr>
        <w:t>In contrast, a recent retrospective, observational study of five emergency room patients who received a four-factor PCC (Octaplex</w:t>
      </w:r>
      <w:r w:rsidR="00D842AE" w:rsidRPr="00A903DD">
        <w:rPr>
          <w:rFonts w:ascii="Book Antiqua" w:hAnsi="Book Antiqua"/>
          <w:sz w:val="24"/>
          <w:szCs w:val="24"/>
          <w:vertAlign w:val="superscript"/>
        </w:rPr>
        <w:t>R</w:t>
      </w:r>
      <w:r w:rsidR="00D842AE" w:rsidRPr="00A903DD">
        <w:rPr>
          <w:rFonts w:ascii="Book Antiqua" w:hAnsi="Book Antiqua"/>
          <w:sz w:val="24"/>
          <w:szCs w:val="24"/>
        </w:rPr>
        <w:t>) for urgent reversal of dabigatran-associated bleeding showed that PCC product administration was associated with normalization of the aPTT ratio in the single patient with</w:t>
      </w:r>
      <w:r w:rsidR="007536EC" w:rsidRPr="00A903DD">
        <w:rPr>
          <w:rFonts w:ascii="Book Antiqua" w:hAnsi="Book Antiqua"/>
          <w:sz w:val="24"/>
          <w:szCs w:val="24"/>
        </w:rPr>
        <w:t xml:space="preserve"> an elevated ratio at admission</w:t>
      </w:r>
      <w:r w:rsidR="00D842AE" w:rsidRPr="00A903DD">
        <w:rPr>
          <w:rFonts w:ascii="Book Antiqua" w:hAnsi="Book Antiqua"/>
          <w:sz w:val="24"/>
          <w:szCs w:val="24"/>
          <w:vertAlign w:val="superscript"/>
        </w:rPr>
        <w:t>[10</w:t>
      </w:r>
      <w:r w:rsidR="003369EC" w:rsidRPr="00A903DD">
        <w:rPr>
          <w:rFonts w:ascii="Book Antiqua" w:hAnsi="Book Antiqua"/>
          <w:sz w:val="24"/>
          <w:szCs w:val="24"/>
          <w:vertAlign w:val="superscript"/>
        </w:rPr>
        <w:t>8</w:t>
      </w:r>
      <w:r w:rsidR="00D842AE" w:rsidRPr="00A903DD">
        <w:rPr>
          <w:rFonts w:ascii="Book Antiqua" w:hAnsi="Book Antiqua"/>
          <w:sz w:val="24"/>
          <w:szCs w:val="24"/>
          <w:vertAlign w:val="superscript"/>
        </w:rPr>
        <w:t>]</w:t>
      </w:r>
      <w:r w:rsidR="007536EC" w:rsidRPr="00A903DD">
        <w:rPr>
          <w:rFonts w:ascii="Book Antiqua" w:hAnsi="Book Antiqua"/>
          <w:sz w:val="24"/>
          <w:szCs w:val="24"/>
        </w:rPr>
        <w:t>.</w:t>
      </w:r>
      <w:r w:rsidR="00583604">
        <w:rPr>
          <w:rFonts w:ascii="Book Antiqua" w:hAnsi="Book Antiqua"/>
          <w:sz w:val="24"/>
          <w:szCs w:val="24"/>
        </w:rPr>
        <w:t xml:space="preserve"> </w:t>
      </w:r>
      <w:r w:rsidR="00D842AE" w:rsidRPr="00A903DD">
        <w:rPr>
          <w:rFonts w:ascii="Book Antiqua" w:hAnsi="Book Antiqua"/>
          <w:sz w:val="24"/>
          <w:szCs w:val="24"/>
        </w:rPr>
        <w:t xml:space="preserve">Understandably, a recent clinical practice guideline states the hemostatic factor </w:t>
      </w:r>
      <w:proofErr w:type="gramStart"/>
      <w:r w:rsidR="00D842AE" w:rsidRPr="00A903DD">
        <w:rPr>
          <w:rFonts w:ascii="Book Antiqua" w:hAnsi="Book Antiqua"/>
          <w:sz w:val="24"/>
          <w:szCs w:val="24"/>
        </w:rPr>
        <w:t>products  “</w:t>
      </w:r>
      <w:proofErr w:type="gramEnd"/>
      <w:r w:rsidR="00D842AE" w:rsidRPr="00A903DD">
        <w:rPr>
          <w:rFonts w:ascii="Book Antiqua" w:hAnsi="Book Antiqua"/>
          <w:sz w:val="24"/>
          <w:szCs w:val="24"/>
        </w:rPr>
        <w:t>should be considered” for use in “ongoing, life-threatening bleeding, ” a statement that reflects the lack of human clin</w:t>
      </w:r>
      <w:r w:rsidR="007536EC" w:rsidRPr="00A903DD">
        <w:rPr>
          <w:rFonts w:ascii="Book Antiqua" w:hAnsi="Book Antiqua"/>
          <w:sz w:val="24"/>
          <w:szCs w:val="24"/>
        </w:rPr>
        <w:t>ical data addressing this issue</w:t>
      </w:r>
      <w:r w:rsidR="00D842AE" w:rsidRPr="00A903DD">
        <w:rPr>
          <w:rFonts w:ascii="Book Antiqua" w:hAnsi="Book Antiqua"/>
          <w:sz w:val="24"/>
          <w:szCs w:val="24"/>
          <w:vertAlign w:val="superscript"/>
        </w:rPr>
        <w:t>[1</w:t>
      </w:r>
      <w:r w:rsidR="003369EC" w:rsidRPr="00A903DD">
        <w:rPr>
          <w:rFonts w:ascii="Book Antiqua" w:hAnsi="Book Antiqua"/>
          <w:sz w:val="24"/>
          <w:szCs w:val="24"/>
          <w:vertAlign w:val="superscript"/>
        </w:rPr>
        <w:t>09</w:t>
      </w:r>
      <w:r w:rsidR="00D842AE" w:rsidRPr="00A903DD">
        <w:rPr>
          <w:rFonts w:ascii="Book Antiqua" w:hAnsi="Book Antiqua"/>
          <w:sz w:val="24"/>
          <w:szCs w:val="24"/>
          <w:vertAlign w:val="superscript"/>
        </w:rPr>
        <w:t>]</w:t>
      </w:r>
      <w:r w:rsidR="007536EC" w:rsidRPr="00A903DD">
        <w:rPr>
          <w:rFonts w:ascii="Book Antiqua" w:hAnsi="Book Antiqua"/>
          <w:sz w:val="24"/>
          <w:szCs w:val="24"/>
        </w:rPr>
        <w:t>.</w:t>
      </w:r>
      <w:r w:rsidR="00583604">
        <w:rPr>
          <w:rFonts w:ascii="Book Antiqua" w:hAnsi="Book Antiqua"/>
          <w:sz w:val="24"/>
          <w:szCs w:val="24"/>
        </w:rPr>
        <w:t xml:space="preserve"> </w:t>
      </w:r>
      <w:r w:rsidR="00D842AE" w:rsidRPr="00A903DD">
        <w:rPr>
          <w:rFonts w:ascii="Book Antiqua" w:hAnsi="Book Antiqua"/>
          <w:sz w:val="24"/>
          <w:szCs w:val="24"/>
        </w:rPr>
        <w:t xml:space="preserve">Nevertheless, Akikhan </w:t>
      </w:r>
      <w:r w:rsidR="00D842AE" w:rsidRPr="00583604">
        <w:rPr>
          <w:rFonts w:ascii="Book Antiqua" w:hAnsi="Book Antiqua"/>
          <w:i/>
          <w:sz w:val="24"/>
          <w:szCs w:val="24"/>
        </w:rPr>
        <w:t xml:space="preserve">et </w:t>
      </w:r>
      <w:proofErr w:type="gramStart"/>
      <w:r w:rsidR="00D842AE" w:rsidRPr="00583604">
        <w:rPr>
          <w:rFonts w:ascii="Book Antiqua" w:hAnsi="Book Antiqua"/>
          <w:i/>
          <w:sz w:val="24"/>
          <w:szCs w:val="24"/>
        </w:rPr>
        <w:t>al</w:t>
      </w:r>
      <w:r w:rsidR="007536EC" w:rsidRPr="00A903DD">
        <w:rPr>
          <w:rFonts w:ascii="Book Antiqua" w:hAnsi="Book Antiqua"/>
          <w:sz w:val="24"/>
          <w:szCs w:val="24"/>
          <w:vertAlign w:val="superscript"/>
        </w:rPr>
        <w:t>[</w:t>
      </w:r>
      <w:proofErr w:type="gramEnd"/>
      <w:r w:rsidR="007536EC" w:rsidRPr="00A903DD">
        <w:rPr>
          <w:rFonts w:ascii="Book Antiqua" w:hAnsi="Book Antiqua"/>
          <w:sz w:val="24"/>
          <w:szCs w:val="24"/>
          <w:vertAlign w:val="superscript"/>
        </w:rPr>
        <w:t>110]</w:t>
      </w:r>
      <w:r w:rsidR="00D842AE" w:rsidRPr="00A903DD">
        <w:rPr>
          <w:rFonts w:ascii="Book Antiqua" w:hAnsi="Book Antiqua"/>
          <w:sz w:val="24"/>
          <w:szCs w:val="24"/>
        </w:rPr>
        <w:t xml:space="preserve"> has recently published algorithms for the management of dabigatran in the settings of bleeding, a need for emergency surgery, and overdose that give recommendations for</w:t>
      </w:r>
      <w:r w:rsidR="007536EC" w:rsidRPr="00A903DD">
        <w:rPr>
          <w:rFonts w:ascii="Book Antiqua" w:hAnsi="Book Antiqua"/>
          <w:sz w:val="24"/>
          <w:szCs w:val="24"/>
        </w:rPr>
        <w:t xml:space="preserve"> the use of factor replacements.</w:t>
      </w:r>
      <w:r w:rsidR="00583604">
        <w:rPr>
          <w:rFonts w:ascii="Book Antiqua" w:hAnsi="Book Antiqua" w:hint="eastAsia"/>
          <w:sz w:val="24"/>
          <w:szCs w:val="24"/>
          <w:lang w:eastAsia="zh-CN"/>
        </w:rPr>
        <w:t xml:space="preserve"> </w:t>
      </w:r>
      <w:r w:rsidR="00D842AE" w:rsidRPr="00A903DD">
        <w:rPr>
          <w:rFonts w:ascii="Book Antiqua" w:hAnsi="Book Antiqua"/>
          <w:sz w:val="24"/>
          <w:szCs w:val="24"/>
        </w:rPr>
        <w:t xml:space="preserve">Nutescu </w:t>
      </w:r>
      <w:r w:rsidR="00D842AE" w:rsidRPr="00583604">
        <w:rPr>
          <w:rFonts w:ascii="Book Antiqua" w:hAnsi="Book Antiqua"/>
          <w:i/>
          <w:sz w:val="24"/>
          <w:szCs w:val="24"/>
        </w:rPr>
        <w:t xml:space="preserve">et </w:t>
      </w:r>
      <w:proofErr w:type="gramStart"/>
      <w:r w:rsidR="00D842AE" w:rsidRPr="00583604">
        <w:rPr>
          <w:rFonts w:ascii="Book Antiqua" w:hAnsi="Book Antiqua"/>
          <w:i/>
          <w:sz w:val="24"/>
          <w:szCs w:val="24"/>
        </w:rPr>
        <w:t>al</w:t>
      </w:r>
      <w:r w:rsidR="007536EC" w:rsidRPr="00A903DD">
        <w:rPr>
          <w:rFonts w:ascii="Book Antiqua" w:hAnsi="Book Antiqua"/>
          <w:sz w:val="24"/>
          <w:szCs w:val="24"/>
          <w:vertAlign w:val="superscript"/>
        </w:rPr>
        <w:t>[</w:t>
      </w:r>
      <w:proofErr w:type="gramEnd"/>
      <w:r w:rsidR="007536EC" w:rsidRPr="00A903DD">
        <w:rPr>
          <w:rFonts w:ascii="Book Antiqua" w:hAnsi="Book Antiqua"/>
          <w:sz w:val="24"/>
          <w:szCs w:val="24"/>
          <w:vertAlign w:val="superscript"/>
        </w:rPr>
        <w:t>93]</w:t>
      </w:r>
      <w:r w:rsidR="00D842AE" w:rsidRPr="00A903DD">
        <w:rPr>
          <w:rFonts w:ascii="Book Antiqua" w:hAnsi="Book Antiqua"/>
          <w:sz w:val="24"/>
          <w:szCs w:val="24"/>
        </w:rPr>
        <w:t xml:space="preserve"> have similarly given recommendations for anticoagulation reversal of dabigatran, rivaroxaban, and apixaban based on the level of urgency. </w:t>
      </w:r>
    </w:p>
    <w:p w:rsidR="00C500AA" w:rsidRPr="00A903DD" w:rsidRDefault="00C500AA" w:rsidP="00583604">
      <w:pPr>
        <w:spacing w:after="0" w:line="360" w:lineRule="auto"/>
        <w:ind w:firstLineChars="100" w:firstLine="240"/>
        <w:jc w:val="both"/>
        <w:rPr>
          <w:rFonts w:ascii="Book Antiqua" w:hAnsi="Book Antiqua"/>
          <w:sz w:val="24"/>
          <w:szCs w:val="24"/>
        </w:rPr>
      </w:pPr>
      <w:r w:rsidRPr="00A903DD">
        <w:rPr>
          <w:rFonts w:ascii="Book Antiqua" w:hAnsi="Book Antiqua"/>
          <w:sz w:val="24"/>
          <w:szCs w:val="24"/>
        </w:rPr>
        <w:t>Finally, several aspects likely affect interpretation of available data surrounding the use of factor replacements.  Animal-derived data while useful may not accurately reflect the coagulation process in humans.  Some three-factor PCCs may have a short duration of benefit if factor VII is a key fact</w:t>
      </w:r>
      <w:r w:rsidR="00583604">
        <w:rPr>
          <w:rFonts w:ascii="Book Antiqua" w:hAnsi="Book Antiqua"/>
          <w:sz w:val="24"/>
          <w:szCs w:val="24"/>
        </w:rPr>
        <w:t xml:space="preserve">or to sustain reversal action. </w:t>
      </w:r>
      <w:r w:rsidRPr="00A903DD">
        <w:rPr>
          <w:rFonts w:ascii="Book Antiqua" w:hAnsi="Book Antiqua"/>
          <w:sz w:val="24"/>
          <w:szCs w:val="24"/>
        </w:rPr>
        <w:t xml:space="preserve">While activated PCCs such as FEIBA present a known increased risk for thrombosis, they may be required to reverse anticoagulation for some or all of </w:t>
      </w:r>
      <w:r w:rsidRPr="00A903DD">
        <w:rPr>
          <w:rFonts w:ascii="Book Antiqua" w:hAnsi="Book Antiqua"/>
          <w:sz w:val="24"/>
          <w:szCs w:val="24"/>
        </w:rPr>
        <w:lastRenderedPageBreak/>
        <w:t xml:space="preserve">the </w:t>
      </w:r>
      <w:r w:rsidR="0000687B" w:rsidRPr="00A903DD">
        <w:rPr>
          <w:rFonts w:ascii="Book Antiqua" w:hAnsi="Book Antiqua"/>
          <w:sz w:val="24"/>
          <w:szCs w:val="24"/>
        </w:rPr>
        <w:t>TSOAs</w:t>
      </w:r>
      <w:r w:rsidR="00583604">
        <w:rPr>
          <w:rFonts w:ascii="Book Antiqua" w:hAnsi="Book Antiqua"/>
          <w:sz w:val="24"/>
          <w:szCs w:val="24"/>
        </w:rPr>
        <w:t xml:space="preserve">. </w:t>
      </w:r>
      <w:r w:rsidRPr="00A903DD">
        <w:rPr>
          <w:rFonts w:ascii="Book Antiqua" w:hAnsi="Book Antiqua"/>
          <w:sz w:val="24"/>
          <w:szCs w:val="24"/>
        </w:rPr>
        <w:t xml:space="preserve">Variation in the reversal of anticoagulation by various PCCs may be related to the product composition, some which contain antithrombotic proteins C </w:t>
      </w:r>
      <w:r w:rsidR="00583604">
        <w:rPr>
          <w:rFonts w:ascii="Book Antiqua" w:hAnsi="Book Antiqua" w:hint="eastAsia"/>
          <w:sz w:val="24"/>
          <w:szCs w:val="24"/>
          <w:lang w:eastAsia="zh-CN"/>
        </w:rPr>
        <w:t>and</w:t>
      </w:r>
      <w:r w:rsidRPr="00A903DD">
        <w:rPr>
          <w:rFonts w:ascii="Book Antiqua" w:hAnsi="Book Antiqua"/>
          <w:sz w:val="24"/>
          <w:szCs w:val="24"/>
        </w:rPr>
        <w:t xml:space="preserve"> S; it is unknown which factor(s) in a PCC product is/are critical to achieve </w:t>
      </w:r>
      <w:r w:rsidR="00583604">
        <w:rPr>
          <w:rFonts w:ascii="Book Antiqua" w:hAnsi="Book Antiqua"/>
          <w:sz w:val="24"/>
          <w:szCs w:val="24"/>
        </w:rPr>
        <w:t>reversal.</w:t>
      </w:r>
      <w:r w:rsidR="00583604">
        <w:rPr>
          <w:rFonts w:ascii="Book Antiqua" w:hAnsi="Book Antiqua" w:hint="eastAsia"/>
          <w:sz w:val="24"/>
          <w:szCs w:val="24"/>
          <w:lang w:eastAsia="zh-CN"/>
        </w:rPr>
        <w:t xml:space="preserve"> </w:t>
      </w:r>
      <w:r w:rsidRPr="00A903DD">
        <w:rPr>
          <w:rFonts w:ascii="Book Antiqua" w:hAnsi="Book Antiqua"/>
          <w:sz w:val="24"/>
          <w:szCs w:val="24"/>
        </w:rPr>
        <w:t>And finally, it must be remembered that a correlation of what appears to be favorable effects on various laboratory tests with a decreased bleeding risk or intensity has not been estab</w:t>
      </w:r>
      <w:r w:rsidR="007536EC" w:rsidRPr="00A903DD">
        <w:rPr>
          <w:rFonts w:ascii="Book Antiqua" w:hAnsi="Book Antiqua"/>
          <w:sz w:val="24"/>
          <w:szCs w:val="24"/>
        </w:rPr>
        <w:t xml:space="preserve">lished in </w:t>
      </w:r>
      <w:proofErr w:type="gramStart"/>
      <w:r w:rsidR="007536EC" w:rsidRPr="00A903DD">
        <w:rPr>
          <w:rFonts w:ascii="Book Antiqua" w:hAnsi="Book Antiqua"/>
          <w:sz w:val="24"/>
          <w:szCs w:val="24"/>
        </w:rPr>
        <w:t>humans</w:t>
      </w:r>
      <w:r w:rsidR="00C90D9F" w:rsidRPr="00A903DD">
        <w:rPr>
          <w:rFonts w:ascii="Book Antiqua" w:hAnsi="Book Antiqua"/>
          <w:sz w:val="24"/>
          <w:szCs w:val="24"/>
          <w:vertAlign w:val="superscript"/>
        </w:rPr>
        <w:t>[</w:t>
      </w:r>
      <w:proofErr w:type="gramEnd"/>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2</w:t>
      </w:r>
      <w:r w:rsidR="00B53655" w:rsidRPr="00A903DD">
        <w:rPr>
          <w:rFonts w:ascii="Book Antiqua" w:hAnsi="Book Antiqua"/>
          <w:sz w:val="24"/>
          <w:szCs w:val="24"/>
          <w:vertAlign w:val="superscript"/>
        </w:rPr>
        <w:t>-9</w:t>
      </w:r>
      <w:r w:rsidR="00240DF8" w:rsidRPr="00A903DD">
        <w:rPr>
          <w:rFonts w:ascii="Book Antiqua" w:hAnsi="Book Antiqua"/>
          <w:sz w:val="24"/>
          <w:szCs w:val="24"/>
          <w:vertAlign w:val="superscript"/>
        </w:rPr>
        <w:t>4</w:t>
      </w:r>
      <w:r w:rsidR="00707702" w:rsidRPr="00A903DD">
        <w:rPr>
          <w:rFonts w:ascii="Book Antiqua" w:hAnsi="Book Antiqua"/>
          <w:sz w:val="24"/>
          <w:szCs w:val="24"/>
          <w:vertAlign w:val="superscript"/>
        </w:rPr>
        <w:t>,10</w:t>
      </w:r>
      <w:r w:rsidR="003369EC" w:rsidRPr="00A903DD">
        <w:rPr>
          <w:rFonts w:ascii="Book Antiqua" w:hAnsi="Book Antiqua"/>
          <w:sz w:val="24"/>
          <w:szCs w:val="24"/>
          <w:vertAlign w:val="superscript"/>
        </w:rPr>
        <w:t>6</w:t>
      </w:r>
      <w:r w:rsidR="00C90D9F" w:rsidRPr="00A903DD">
        <w:rPr>
          <w:rFonts w:ascii="Book Antiqua" w:hAnsi="Book Antiqua"/>
          <w:sz w:val="24"/>
          <w:szCs w:val="24"/>
          <w:vertAlign w:val="superscript"/>
        </w:rPr>
        <w:t>]</w:t>
      </w:r>
      <w:r w:rsidR="007536EC" w:rsidRPr="00A903DD">
        <w:rPr>
          <w:rFonts w:ascii="Book Antiqua" w:hAnsi="Book Antiqua"/>
          <w:sz w:val="24"/>
          <w:szCs w:val="24"/>
        </w:rPr>
        <w:t>.</w:t>
      </w:r>
    </w:p>
    <w:p w:rsidR="00F02666" w:rsidRPr="00A903DD" w:rsidRDefault="00F02666" w:rsidP="00A903DD">
      <w:pPr>
        <w:spacing w:after="0" w:line="360" w:lineRule="auto"/>
        <w:jc w:val="both"/>
        <w:rPr>
          <w:rFonts w:ascii="Book Antiqua" w:hAnsi="Book Antiqua"/>
          <w:sz w:val="24"/>
          <w:szCs w:val="24"/>
          <w:vertAlign w:val="superscript"/>
        </w:rPr>
      </w:pPr>
    </w:p>
    <w:p w:rsidR="00F02666" w:rsidRPr="00A903DD" w:rsidRDefault="00583604" w:rsidP="00A903DD">
      <w:pPr>
        <w:spacing w:after="0" w:line="360" w:lineRule="auto"/>
        <w:jc w:val="both"/>
        <w:rPr>
          <w:rFonts w:ascii="Book Antiqua" w:hAnsi="Book Antiqua"/>
          <w:b/>
          <w:sz w:val="24"/>
          <w:szCs w:val="24"/>
        </w:rPr>
      </w:pPr>
      <w:r w:rsidRPr="00A903DD">
        <w:rPr>
          <w:rFonts w:ascii="Book Antiqua" w:hAnsi="Book Antiqua"/>
          <w:b/>
          <w:sz w:val="24"/>
          <w:szCs w:val="24"/>
        </w:rPr>
        <w:t>CONCLUSION</w:t>
      </w:r>
    </w:p>
    <w:p w:rsidR="00F02666" w:rsidRPr="00A903DD" w:rsidRDefault="00F02666" w:rsidP="00A903DD">
      <w:pPr>
        <w:spacing w:after="0" w:line="360" w:lineRule="auto"/>
        <w:jc w:val="both"/>
        <w:rPr>
          <w:rFonts w:ascii="Book Antiqua" w:hAnsi="Book Antiqua"/>
          <w:sz w:val="24"/>
          <w:szCs w:val="24"/>
        </w:rPr>
      </w:pPr>
      <w:r w:rsidRPr="00A903DD">
        <w:rPr>
          <w:rFonts w:ascii="Book Antiqua" w:hAnsi="Book Antiqua"/>
          <w:sz w:val="24"/>
          <w:szCs w:val="24"/>
        </w:rPr>
        <w:t>TSOAs offer several clear advantages to traditional antithrombotic agents including rapid onset of action, short half-life, predictable pharmacokinetics and pharmacodynamics, and m</w:t>
      </w:r>
      <w:r w:rsidR="00583604">
        <w:rPr>
          <w:rFonts w:ascii="Book Antiqua" w:hAnsi="Book Antiqua"/>
          <w:sz w:val="24"/>
          <w:szCs w:val="24"/>
        </w:rPr>
        <w:t>inimal drug-drug interactions.</w:t>
      </w:r>
      <w:r w:rsidR="00583604">
        <w:rPr>
          <w:rFonts w:ascii="Book Antiqua" w:hAnsi="Book Antiqua" w:hint="eastAsia"/>
          <w:sz w:val="24"/>
          <w:szCs w:val="24"/>
          <w:lang w:eastAsia="zh-CN"/>
        </w:rPr>
        <w:t xml:space="preserve"> </w:t>
      </w:r>
      <w:r w:rsidR="00D842AE" w:rsidRPr="00A903DD">
        <w:rPr>
          <w:rFonts w:ascii="Book Antiqua" w:hAnsi="Book Antiqua"/>
          <w:sz w:val="24"/>
          <w:szCs w:val="24"/>
        </w:rPr>
        <w:t>Dabigatran, rivaroxaban, and apixaban have been approved for thromboprophylaxis after THA in many countries, while rivaroxaban is currently the only agent approved by the FDA in the U</w:t>
      </w:r>
      <w:r w:rsidR="00583604">
        <w:rPr>
          <w:rFonts w:ascii="Book Antiqua" w:hAnsi="Book Antiqua" w:hint="eastAsia"/>
          <w:sz w:val="24"/>
          <w:szCs w:val="24"/>
          <w:lang w:eastAsia="zh-CN"/>
        </w:rPr>
        <w:t xml:space="preserve">nited </w:t>
      </w:r>
      <w:r w:rsidR="00D842AE" w:rsidRPr="00A903DD">
        <w:rPr>
          <w:rFonts w:ascii="Book Antiqua" w:hAnsi="Book Antiqua"/>
          <w:sz w:val="24"/>
          <w:szCs w:val="24"/>
        </w:rPr>
        <w:t>S</w:t>
      </w:r>
      <w:r w:rsidR="00583604">
        <w:rPr>
          <w:rFonts w:ascii="Book Antiqua" w:hAnsi="Book Antiqua" w:hint="eastAsia"/>
          <w:sz w:val="24"/>
          <w:szCs w:val="24"/>
          <w:lang w:eastAsia="zh-CN"/>
        </w:rPr>
        <w:t>tates</w:t>
      </w:r>
      <w:r w:rsidR="00D842AE" w:rsidRPr="00A903DD">
        <w:rPr>
          <w:rFonts w:ascii="Book Antiqua" w:hAnsi="Book Antiqua"/>
          <w:sz w:val="24"/>
          <w:szCs w:val="24"/>
        </w:rPr>
        <w:t>, and a fourth additional agent, edoxaban, has been approved only</w:t>
      </w:r>
      <w:r w:rsidR="00583604">
        <w:rPr>
          <w:rFonts w:ascii="Book Antiqua" w:hAnsi="Book Antiqua"/>
          <w:sz w:val="24"/>
          <w:szCs w:val="24"/>
        </w:rPr>
        <w:t xml:space="preserve"> in Japan for this indication. </w:t>
      </w:r>
      <w:r w:rsidRPr="00A903DD">
        <w:rPr>
          <w:rFonts w:ascii="Book Antiqua" w:hAnsi="Book Antiqua"/>
          <w:sz w:val="24"/>
          <w:szCs w:val="24"/>
        </w:rPr>
        <w:t xml:space="preserve">TSOAs have provided safe and effective options for thromboprophylaxis after THA and represent a cost-effective alternative </w:t>
      </w:r>
      <w:r w:rsidR="0000687B" w:rsidRPr="00A903DD">
        <w:rPr>
          <w:rFonts w:ascii="Book Antiqua" w:hAnsi="Book Antiqua"/>
          <w:sz w:val="24"/>
          <w:szCs w:val="24"/>
        </w:rPr>
        <w:t xml:space="preserve">to </w:t>
      </w:r>
      <w:r w:rsidRPr="00A903DD">
        <w:rPr>
          <w:rFonts w:ascii="Book Antiqua" w:hAnsi="Book Antiqua"/>
          <w:sz w:val="24"/>
          <w:szCs w:val="24"/>
        </w:rPr>
        <w:t>the most widely used</w:t>
      </w:r>
      <w:r w:rsidR="00702AEE" w:rsidRPr="00A903DD">
        <w:rPr>
          <w:rFonts w:ascii="Book Antiqua" w:hAnsi="Book Antiqua"/>
          <w:sz w:val="24"/>
          <w:szCs w:val="24"/>
        </w:rPr>
        <w:t xml:space="preserve"> </w:t>
      </w:r>
      <w:r w:rsidRPr="00A903DD">
        <w:rPr>
          <w:rFonts w:ascii="Book Antiqua" w:hAnsi="Book Antiqua"/>
          <w:sz w:val="24"/>
          <w:szCs w:val="24"/>
        </w:rPr>
        <w:t>LMWH</w:t>
      </w:r>
      <w:r w:rsidR="0000687B" w:rsidRPr="00A903DD">
        <w:rPr>
          <w:rFonts w:ascii="Book Antiqua" w:hAnsi="Book Antiqua"/>
          <w:sz w:val="24"/>
          <w:szCs w:val="24"/>
        </w:rPr>
        <w:t xml:space="preserve"> class of anticoagulants</w:t>
      </w:r>
      <w:r w:rsidRPr="00A903DD">
        <w:rPr>
          <w:rFonts w:ascii="Book Antiqua" w:hAnsi="Book Antiqua"/>
          <w:sz w:val="24"/>
          <w:szCs w:val="24"/>
        </w:rPr>
        <w:t>.</w:t>
      </w:r>
      <w:r w:rsidR="00583604">
        <w:rPr>
          <w:rFonts w:ascii="Book Antiqua" w:hAnsi="Book Antiqua"/>
          <w:sz w:val="24"/>
          <w:szCs w:val="24"/>
        </w:rPr>
        <w:t xml:space="preserve"> </w:t>
      </w:r>
      <w:r w:rsidR="00702AEE" w:rsidRPr="00A903DD">
        <w:rPr>
          <w:rFonts w:ascii="Book Antiqua" w:hAnsi="Book Antiqua"/>
          <w:sz w:val="24"/>
          <w:szCs w:val="24"/>
        </w:rPr>
        <w:t>Alth</w:t>
      </w:r>
      <w:r w:rsidRPr="00A903DD">
        <w:rPr>
          <w:rFonts w:ascii="Book Antiqua" w:hAnsi="Book Antiqua"/>
          <w:sz w:val="24"/>
          <w:szCs w:val="24"/>
        </w:rPr>
        <w:t xml:space="preserve">ough long-term </w:t>
      </w:r>
      <w:r w:rsidR="0000687B" w:rsidRPr="00A903DD">
        <w:rPr>
          <w:rFonts w:ascii="Book Antiqua" w:hAnsi="Book Antiqua"/>
          <w:sz w:val="24"/>
          <w:szCs w:val="24"/>
        </w:rPr>
        <w:t xml:space="preserve">clinical </w:t>
      </w:r>
      <w:r w:rsidRPr="00A903DD">
        <w:rPr>
          <w:rFonts w:ascii="Book Antiqua" w:hAnsi="Book Antiqua"/>
          <w:sz w:val="24"/>
          <w:szCs w:val="24"/>
        </w:rPr>
        <w:t xml:space="preserve">experience is lacking, and the ability to reliably monitor or reverse </w:t>
      </w:r>
      <w:r w:rsidR="0000687B" w:rsidRPr="00A903DD">
        <w:rPr>
          <w:rFonts w:ascii="Book Antiqua" w:hAnsi="Book Antiqua"/>
          <w:sz w:val="24"/>
          <w:szCs w:val="24"/>
        </w:rPr>
        <w:t xml:space="preserve">the anticoagulant effect of </w:t>
      </w:r>
      <w:r w:rsidRPr="00A903DD">
        <w:rPr>
          <w:rFonts w:ascii="Book Antiqua" w:hAnsi="Book Antiqua"/>
          <w:sz w:val="24"/>
          <w:szCs w:val="24"/>
        </w:rPr>
        <w:t xml:space="preserve">the agents is still under development, TSOAs have established </w:t>
      </w:r>
      <w:r w:rsidR="0000687B" w:rsidRPr="00A903DD">
        <w:rPr>
          <w:rFonts w:ascii="Book Antiqua" w:hAnsi="Book Antiqua"/>
          <w:sz w:val="24"/>
          <w:szCs w:val="24"/>
        </w:rPr>
        <w:t xml:space="preserve">a new approach to </w:t>
      </w:r>
      <w:r w:rsidRPr="00A903DD">
        <w:rPr>
          <w:rFonts w:ascii="Book Antiqua" w:hAnsi="Book Antiqua"/>
          <w:sz w:val="24"/>
          <w:szCs w:val="24"/>
        </w:rPr>
        <w:t>thromboprophylaxis after THA.</w:t>
      </w:r>
      <w:r w:rsidRPr="00A903DD">
        <w:rPr>
          <w:rFonts w:ascii="Book Antiqua" w:hAnsi="Book Antiqua"/>
          <w:sz w:val="24"/>
          <w:szCs w:val="24"/>
        </w:rPr>
        <w:br w:type="page"/>
      </w:r>
    </w:p>
    <w:p w:rsidR="00CB06FB" w:rsidRDefault="00583604" w:rsidP="00A903DD">
      <w:pPr>
        <w:spacing w:after="0" w:line="360" w:lineRule="auto"/>
        <w:jc w:val="both"/>
        <w:rPr>
          <w:rFonts w:ascii="Book Antiqua" w:hAnsi="Book Antiqua"/>
          <w:b/>
          <w:sz w:val="24"/>
          <w:szCs w:val="24"/>
          <w:lang w:eastAsia="zh-CN"/>
        </w:rPr>
      </w:pPr>
      <w:r w:rsidRPr="00A903DD">
        <w:rPr>
          <w:rFonts w:ascii="Book Antiqua" w:hAnsi="Book Antiqua"/>
          <w:b/>
          <w:sz w:val="24"/>
          <w:szCs w:val="24"/>
        </w:rPr>
        <w:lastRenderedPageBreak/>
        <w:t>REFERENCES</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1 </w:t>
      </w:r>
      <w:r w:rsidRPr="007505C6">
        <w:rPr>
          <w:rFonts w:ascii="Book Antiqua" w:eastAsia="宋体" w:hAnsi="Book Antiqua" w:cs="宋体"/>
          <w:b/>
          <w:bCs/>
          <w:sz w:val="24"/>
          <w:szCs w:val="24"/>
          <w:lang w:eastAsia="zh-CN"/>
        </w:rPr>
        <w:t>Falck-Ytter Y</w:t>
      </w:r>
      <w:r w:rsidRPr="007505C6">
        <w:rPr>
          <w:rFonts w:ascii="Book Antiqua" w:eastAsia="宋体" w:hAnsi="Book Antiqua" w:cs="宋体"/>
          <w:sz w:val="24"/>
          <w:szCs w:val="24"/>
          <w:lang w:eastAsia="zh-CN"/>
        </w:rPr>
        <w:t>, Francis CW, Johanson NA, Curley C, Dahl OE, Schulman S, Ortel TL, Pauker SG, Colwell CW. Prevention of VTE in orthopedic surgery patients: Antithrombotic Therapy and Prevention of Thrombosis, 9th ed: American College of Chest Physicians Evidence-Based Clinical Practice Guidelines. </w:t>
      </w:r>
      <w:r w:rsidRPr="007505C6">
        <w:rPr>
          <w:rFonts w:ascii="Book Antiqua" w:eastAsia="宋体" w:hAnsi="Book Antiqua" w:cs="宋体"/>
          <w:i/>
          <w:iCs/>
          <w:sz w:val="24"/>
          <w:szCs w:val="24"/>
          <w:lang w:eastAsia="zh-CN"/>
        </w:rPr>
        <w:t>Chest</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141</w:t>
      </w:r>
      <w:r w:rsidRPr="007505C6">
        <w:rPr>
          <w:rFonts w:ascii="Book Antiqua" w:eastAsia="宋体" w:hAnsi="Book Antiqua" w:cs="宋体"/>
          <w:sz w:val="24"/>
          <w:szCs w:val="24"/>
          <w:lang w:eastAsia="zh-CN"/>
        </w:rPr>
        <w:t>: e278S-e325S [PMID: 2231</w:t>
      </w:r>
      <w:r>
        <w:rPr>
          <w:rFonts w:ascii="Book Antiqua" w:eastAsia="宋体" w:hAnsi="Book Antiqua" w:cs="宋体"/>
          <w:sz w:val="24"/>
          <w:szCs w:val="24"/>
          <w:lang w:eastAsia="zh-CN"/>
        </w:rPr>
        <w:t>5265 DOI: 10.1378/chest.11-2404</w:t>
      </w:r>
      <w:r w:rsidRPr="007505C6">
        <w:rPr>
          <w:rFonts w:ascii="Book Antiqua" w:eastAsia="宋体" w:hAnsi="Book Antiqua" w:cs="宋体"/>
          <w:sz w:val="24"/>
          <w:szCs w:val="24"/>
          <w:lang w:eastAsia="zh-CN"/>
        </w:rPr>
        <w:t>]</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2 </w:t>
      </w:r>
      <w:r w:rsidRPr="007505C6">
        <w:rPr>
          <w:rFonts w:ascii="Book Antiqua" w:eastAsia="宋体" w:hAnsi="Book Antiqua" w:cs="宋体"/>
          <w:b/>
          <w:bCs/>
          <w:sz w:val="24"/>
          <w:szCs w:val="24"/>
          <w:lang w:eastAsia="zh-CN"/>
        </w:rPr>
        <w:t>Januel JM</w:t>
      </w:r>
      <w:r w:rsidRPr="007505C6">
        <w:rPr>
          <w:rFonts w:ascii="Book Antiqua" w:eastAsia="宋体" w:hAnsi="Book Antiqua" w:cs="宋体"/>
          <w:sz w:val="24"/>
          <w:szCs w:val="24"/>
          <w:lang w:eastAsia="zh-CN"/>
        </w:rPr>
        <w:t>, Chen G, Ruffieux C, Quan H, Douketis JD, Crowther MA, Colin C, Ghali WA, Burnand B. Symptomatic in-hospital deep vein thrombosis and pulmonary embolism following hip and knee arthroplasty among patients receiving recommended prophylaxis: a systematic review. </w:t>
      </w:r>
      <w:r w:rsidRPr="007505C6">
        <w:rPr>
          <w:rFonts w:ascii="Book Antiqua" w:eastAsia="宋体" w:hAnsi="Book Antiqua" w:cs="宋体"/>
          <w:i/>
          <w:iCs/>
          <w:sz w:val="24"/>
          <w:szCs w:val="24"/>
          <w:lang w:eastAsia="zh-CN"/>
        </w:rPr>
        <w:t>JAMA</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307</w:t>
      </w:r>
      <w:r w:rsidRPr="007505C6">
        <w:rPr>
          <w:rFonts w:ascii="Book Antiqua" w:eastAsia="宋体" w:hAnsi="Book Antiqua" w:cs="宋体"/>
          <w:sz w:val="24"/>
          <w:szCs w:val="24"/>
          <w:lang w:eastAsia="zh-CN"/>
        </w:rPr>
        <w:t>: 294-303 [PMID: 22253</w:t>
      </w:r>
      <w:r>
        <w:rPr>
          <w:rFonts w:ascii="Book Antiqua" w:eastAsia="宋体" w:hAnsi="Book Antiqua" w:cs="宋体"/>
          <w:sz w:val="24"/>
          <w:szCs w:val="24"/>
          <w:lang w:eastAsia="zh-CN"/>
        </w:rPr>
        <w:t>396 DOI: 10.1001/jama.2011.2029</w:t>
      </w:r>
      <w:r w:rsidRPr="007505C6">
        <w:rPr>
          <w:rFonts w:ascii="Book Antiqua" w:eastAsia="宋体" w:hAnsi="Book Antiqua" w:cs="宋体"/>
          <w:sz w:val="24"/>
          <w:szCs w:val="24"/>
          <w:lang w:eastAsia="zh-CN"/>
        </w:rPr>
        <w:t>]</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3 </w:t>
      </w:r>
      <w:r w:rsidRPr="007505C6">
        <w:rPr>
          <w:rFonts w:ascii="Book Antiqua" w:eastAsia="宋体" w:hAnsi="Book Antiqua" w:cs="宋体"/>
          <w:b/>
          <w:bCs/>
          <w:sz w:val="24"/>
          <w:szCs w:val="24"/>
          <w:lang w:eastAsia="zh-CN"/>
        </w:rPr>
        <w:t>Hunt LP</w:t>
      </w:r>
      <w:r w:rsidRPr="007505C6">
        <w:rPr>
          <w:rFonts w:ascii="Book Antiqua" w:eastAsia="宋体" w:hAnsi="Book Antiqua" w:cs="宋体"/>
          <w:sz w:val="24"/>
          <w:szCs w:val="24"/>
          <w:lang w:eastAsia="zh-CN"/>
        </w:rPr>
        <w:t>, Ben-Shlomo Y, Clark EM, Dieppe P, Judge A, MacGregor AJ, Tobias JH, Vernon K, Blom AW.</w:t>
      </w:r>
      <w:proofErr w:type="gramEnd"/>
      <w:r w:rsidRPr="007505C6">
        <w:rPr>
          <w:rFonts w:ascii="Book Antiqua" w:eastAsia="宋体" w:hAnsi="Book Antiqua" w:cs="宋体"/>
          <w:sz w:val="24"/>
          <w:szCs w:val="24"/>
          <w:lang w:eastAsia="zh-CN"/>
        </w:rPr>
        <w:t xml:space="preserve"> 90-day mortality after 409,096 total hip replacements for osteoarthritis, from the National Joint Registry for England and Wales: a retrospective analysis. </w:t>
      </w:r>
      <w:r w:rsidRPr="007505C6">
        <w:rPr>
          <w:rFonts w:ascii="Book Antiqua" w:eastAsia="宋体" w:hAnsi="Book Antiqua" w:cs="宋体"/>
          <w:i/>
          <w:iCs/>
          <w:sz w:val="24"/>
          <w:szCs w:val="24"/>
          <w:lang w:eastAsia="zh-CN"/>
        </w:rPr>
        <w:t>Lancet</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382</w:t>
      </w:r>
      <w:r w:rsidRPr="007505C6">
        <w:rPr>
          <w:rFonts w:ascii="Book Antiqua" w:eastAsia="宋体" w:hAnsi="Book Antiqua" w:cs="宋体"/>
          <w:sz w:val="24"/>
          <w:szCs w:val="24"/>
          <w:lang w:eastAsia="zh-CN"/>
        </w:rPr>
        <w:t>: 1097-1104 [PMID: 24075049 DOI: 10.1016/S0140-6736(13)61749-3]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4 </w:t>
      </w:r>
      <w:r w:rsidRPr="007505C6">
        <w:rPr>
          <w:rFonts w:ascii="Book Antiqua" w:eastAsia="宋体" w:hAnsi="Book Antiqua" w:cs="宋体"/>
          <w:b/>
          <w:bCs/>
          <w:sz w:val="24"/>
          <w:szCs w:val="24"/>
          <w:lang w:eastAsia="zh-CN"/>
        </w:rPr>
        <w:t>Mont MA</w:t>
      </w:r>
      <w:r w:rsidRPr="007505C6">
        <w:rPr>
          <w:rFonts w:ascii="Book Antiqua" w:eastAsia="宋体" w:hAnsi="Book Antiqua" w:cs="宋体"/>
          <w:sz w:val="24"/>
          <w:szCs w:val="24"/>
          <w:lang w:eastAsia="zh-CN"/>
        </w:rPr>
        <w:t>, Jacobs JJ, Boggio LN, Bozic KJ, Della Valle CJ, Goodman SB, Lewis CG, Yates AJ, Watters WC, Turkelson CM, Wies JL, Donnelly P, Patel N, Sluka P. Preventing venous thromboembolic disease in patients undergoing elective hip and knee arthroplasty. </w:t>
      </w:r>
      <w:r w:rsidRPr="007505C6">
        <w:rPr>
          <w:rFonts w:ascii="Book Antiqua" w:eastAsia="宋体" w:hAnsi="Book Antiqua" w:cs="宋体"/>
          <w:i/>
          <w:iCs/>
          <w:sz w:val="24"/>
          <w:szCs w:val="24"/>
          <w:lang w:eastAsia="zh-CN"/>
        </w:rPr>
        <w:t>J Am Acad Orthop Surg</w:t>
      </w:r>
      <w:r w:rsidRPr="007505C6">
        <w:rPr>
          <w:rFonts w:ascii="Book Antiqua" w:eastAsia="宋体" w:hAnsi="Book Antiqua" w:cs="宋体"/>
          <w:sz w:val="24"/>
          <w:szCs w:val="24"/>
          <w:lang w:eastAsia="zh-CN"/>
        </w:rPr>
        <w:t> 2011; </w:t>
      </w:r>
      <w:r w:rsidRPr="007505C6">
        <w:rPr>
          <w:rFonts w:ascii="Book Antiqua" w:eastAsia="宋体" w:hAnsi="Book Antiqua" w:cs="宋体"/>
          <w:b/>
          <w:bCs/>
          <w:sz w:val="24"/>
          <w:szCs w:val="24"/>
          <w:lang w:eastAsia="zh-CN"/>
        </w:rPr>
        <w:t>19</w:t>
      </w:r>
      <w:r w:rsidRPr="007505C6">
        <w:rPr>
          <w:rFonts w:ascii="Book Antiqua" w:eastAsia="宋体" w:hAnsi="Book Antiqua" w:cs="宋体"/>
          <w:sz w:val="24"/>
          <w:szCs w:val="24"/>
          <w:lang w:eastAsia="zh-CN"/>
        </w:rPr>
        <w:t>: 768-776 [PMID: 22134209]</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 </w:t>
      </w:r>
      <w:r w:rsidRPr="007505C6">
        <w:rPr>
          <w:rFonts w:ascii="Book Antiqua" w:eastAsia="宋体" w:hAnsi="Book Antiqua" w:cs="宋体"/>
          <w:sz w:val="24"/>
          <w:szCs w:val="24"/>
          <w:lang w:eastAsia="zh-CN"/>
        </w:rPr>
        <w:t xml:space="preserve">National </w:t>
      </w:r>
      <w:proofErr w:type="gramStart"/>
      <w:r w:rsidRPr="007505C6">
        <w:rPr>
          <w:rFonts w:ascii="Book Antiqua" w:eastAsia="宋体" w:hAnsi="Book Antiqua" w:cs="宋体"/>
          <w:sz w:val="24"/>
          <w:szCs w:val="24"/>
          <w:lang w:eastAsia="zh-CN"/>
        </w:rPr>
        <w:t>Institute</w:t>
      </w:r>
      <w:proofErr w:type="gramEnd"/>
      <w:r w:rsidRPr="007505C6">
        <w:rPr>
          <w:rFonts w:ascii="Book Antiqua" w:eastAsia="宋体" w:hAnsi="Book Antiqua" w:cs="宋体"/>
          <w:sz w:val="24"/>
          <w:szCs w:val="24"/>
          <w:lang w:eastAsia="zh-CN"/>
        </w:rPr>
        <w:t xml:space="preserve"> for Health and Clinical Excellence. Venous thromboembolism: reducing the ri</w:t>
      </w:r>
      <w:r>
        <w:rPr>
          <w:rFonts w:ascii="Book Antiqua" w:eastAsia="宋体" w:hAnsi="Book Antiqua" w:cs="宋体"/>
          <w:sz w:val="24"/>
          <w:szCs w:val="24"/>
          <w:lang w:eastAsia="zh-CN"/>
        </w:rPr>
        <w:t>sk, clinical guideline 92; 2010</w:t>
      </w:r>
      <w:r>
        <w:rPr>
          <w:rFonts w:ascii="Book Antiqua" w:eastAsia="宋体" w:hAnsi="Book Antiqua" w:cs="宋体" w:hint="eastAsia"/>
          <w:sz w:val="24"/>
          <w:szCs w:val="24"/>
          <w:lang w:eastAsia="zh-CN"/>
        </w:rPr>
        <w:t>.</w:t>
      </w:r>
      <w:r w:rsidRPr="007505C6">
        <w:rPr>
          <w:rFonts w:ascii="Book Antiqua" w:eastAsia="宋体" w:hAnsi="Book Antiqua" w:cs="宋体"/>
          <w:sz w:val="24"/>
          <w:szCs w:val="24"/>
          <w:lang w:eastAsia="zh-CN"/>
        </w:rPr>
        <w:t xml:space="preserve"> Available from: http: //guidance.nice.org.uk/CG92/NICEGuidance/pdf/English. Accessed November 23, 2013</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6 </w:t>
      </w:r>
      <w:r w:rsidRPr="007505C6">
        <w:rPr>
          <w:rFonts w:ascii="Book Antiqua" w:eastAsia="宋体" w:hAnsi="Book Antiqua" w:cs="宋体"/>
          <w:sz w:val="24"/>
          <w:szCs w:val="24"/>
          <w:lang w:eastAsia="zh-CN"/>
        </w:rPr>
        <w:t xml:space="preserve">National </w:t>
      </w:r>
      <w:proofErr w:type="gramStart"/>
      <w:r w:rsidRPr="007505C6">
        <w:rPr>
          <w:rFonts w:ascii="Book Antiqua" w:eastAsia="宋体" w:hAnsi="Book Antiqua" w:cs="宋体"/>
          <w:sz w:val="24"/>
          <w:szCs w:val="24"/>
          <w:lang w:eastAsia="zh-CN"/>
        </w:rPr>
        <w:t>Institute</w:t>
      </w:r>
      <w:proofErr w:type="gramEnd"/>
      <w:r w:rsidRPr="007505C6">
        <w:rPr>
          <w:rFonts w:ascii="Book Antiqua" w:eastAsia="宋体" w:hAnsi="Book Antiqua" w:cs="宋体"/>
          <w:sz w:val="24"/>
          <w:szCs w:val="24"/>
          <w:lang w:eastAsia="zh-CN"/>
        </w:rPr>
        <w:t xml:space="preserve"> for Health and Clinical Exc</w:t>
      </w:r>
      <w:r>
        <w:rPr>
          <w:rFonts w:ascii="Book Antiqua" w:eastAsia="宋体" w:hAnsi="Book Antiqua" w:cs="宋体"/>
          <w:sz w:val="24"/>
          <w:szCs w:val="24"/>
          <w:lang w:eastAsia="zh-CN"/>
        </w:rPr>
        <w:t xml:space="preserve">ellence. </w:t>
      </w:r>
      <w:proofErr w:type="gramStart"/>
      <w:r>
        <w:rPr>
          <w:rFonts w:ascii="Book Antiqua" w:eastAsia="宋体" w:hAnsi="Book Antiqua" w:cs="宋体"/>
          <w:sz w:val="24"/>
          <w:szCs w:val="24"/>
          <w:lang w:eastAsia="zh-CN"/>
        </w:rPr>
        <w:t>Venous thromboembolism–</w:t>
      </w:r>
      <w:r w:rsidRPr="007505C6">
        <w:rPr>
          <w:rFonts w:ascii="Book Antiqua" w:eastAsia="宋体" w:hAnsi="Book Antiqua" w:cs="宋体"/>
          <w:sz w:val="24"/>
          <w:szCs w:val="24"/>
          <w:lang w:eastAsia="zh-CN"/>
        </w:rPr>
        <w:t>apixaban (hip and knee surgery) (TA245); 2012.</w:t>
      </w:r>
      <w:proofErr w:type="gramEnd"/>
      <w:r w:rsidRPr="007505C6">
        <w:rPr>
          <w:rFonts w:ascii="Book Antiqua" w:eastAsia="宋体" w:hAnsi="Book Antiqua" w:cs="宋体"/>
          <w:sz w:val="24"/>
          <w:szCs w:val="24"/>
          <w:lang w:eastAsia="zh-CN"/>
        </w:rPr>
        <w:t xml:space="preserve"> Available from: http: //guidance.nice.org.uk/TA245. Accessed November 23, 2013</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7 </w:t>
      </w:r>
      <w:r w:rsidRPr="007505C6">
        <w:rPr>
          <w:rFonts w:ascii="Book Antiqua" w:eastAsia="宋体" w:hAnsi="Book Antiqua" w:cs="宋体"/>
          <w:b/>
          <w:bCs/>
          <w:sz w:val="24"/>
          <w:szCs w:val="24"/>
          <w:lang w:eastAsia="zh-CN"/>
        </w:rPr>
        <w:t>Friedman RJ</w:t>
      </w:r>
      <w:r w:rsidRPr="007505C6">
        <w:rPr>
          <w:rFonts w:ascii="Book Antiqua" w:eastAsia="宋体" w:hAnsi="Book Antiqua" w:cs="宋体"/>
          <w:sz w:val="24"/>
          <w:szCs w:val="24"/>
          <w:lang w:eastAsia="zh-CN"/>
        </w:rPr>
        <w:t>, Gallus AS, Cushner FD, Fitzgerald G, Anderson FA.</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Physician compliance with guidelines for deep-vein thrombosis prevention in total hip and knee arthroplasty.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Curr Med Res Opin</w:t>
      </w:r>
      <w:r w:rsidRPr="007505C6">
        <w:rPr>
          <w:rFonts w:ascii="Book Antiqua" w:eastAsia="宋体" w:hAnsi="Book Antiqua" w:cs="宋体"/>
          <w:sz w:val="24"/>
          <w:szCs w:val="24"/>
          <w:lang w:eastAsia="zh-CN"/>
        </w:rPr>
        <w:t> 2008; </w:t>
      </w:r>
      <w:r w:rsidRPr="007505C6">
        <w:rPr>
          <w:rFonts w:ascii="Book Antiqua" w:eastAsia="宋体" w:hAnsi="Book Antiqua" w:cs="宋体"/>
          <w:b/>
          <w:bCs/>
          <w:sz w:val="24"/>
          <w:szCs w:val="24"/>
          <w:lang w:eastAsia="zh-CN"/>
        </w:rPr>
        <w:t>24</w:t>
      </w:r>
      <w:r w:rsidRPr="007505C6">
        <w:rPr>
          <w:rFonts w:ascii="Book Antiqua" w:eastAsia="宋体" w:hAnsi="Book Antiqua" w:cs="宋体"/>
          <w:sz w:val="24"/>
          <w:szCs w:val="24"/>
          <w:lang w:eastAsia="zh-CN"/>
        </w:rPr>
        <w:t>: 87-97 [PMID: 18028586 DOI: 10.1185/030079907X242746]</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 </w:t>
      </w:r>
      <w:r w:rsidRPr="007505C6">
        <w:rPr>
          <w:rFonts w:ascii="Book Antiqua" w:eastAsia="宋体" w:hAnsi="Book Antiqua" w:cs="宋体"/>
          <w:sz w:val="24"/>
          <w:szCs w:val="24"/>
          <w:lang w:eastAsia="zh-CN"/>
        </w:rPr>
        <w:t>Prevention of pulmonary embolism and deep vein thrombosis with low dose aspirin: Pulmonary Embolism Prevention (PEP) trial. </w:t>
      </w:r>
      <w:r w:rsidRPr="007505C6">
        <w:rPr>
          <w:rFonts w:ascii="Book Antiqua" w:eastAsia="宋体" w:hAnsi="Book Antiqua" w:cs="宋体"/>
          <w:i/>
          <w:iCs/>
          <w:sz w:val="24"/>
          <w:szCs w:val="24"/>
          <w:lang w:eastAsia="zh-CN"/>
        </w:rPr>
        <w:t>Lancet</w:t>
      </w:r>
      <w:r w:rsidRPr="007505C6">
        <w:rPr>
          <w:rFonts w:ascii="Book Antiqua" w:eastAsia="宋体" w:hAnsi="Book Antiqua" w:cs="宋体"/>
          <w:sz w:val="24"/>
          <w:szCs w:val="24"/>
          <w:lang w:eastAsia="zh-CN"/>
        </w:rPr>
        <w:t> 2000; </w:t>
      </w:r>
      <w:r w:rsidRPr="007505C6">
        <w:rPr>
          <w:rFonts w:ascii="Book Antiqua" w:eastAsia="宋体" w:hAnsi="Book Antiqua" w:cs="宋体"/>
          <w:b/>
          <w:bCs/>
          <w:sz w:val="24"/>
          <w:szCs w:val="24"/>
          <w:lang w:eastAsia="zh-CN"/>
        </w:rPr>
        <w:t>355</w:t>
      </w:r>
      <w:r w:rsidRPr="007505C6">
        <w:rPr>
          <w:rFonts w:ascii="Book Antiqua" w:eastAsia="宋体" w:hAnsi="Book Antiqua" w:cs="宋体"/>
          <w:sz w:val="24"/>
          <w:szCs w:val="24"/>
          <w:lang w:eastAsia="zh-CN"/>
        </w:rPr>
        <w:t>: 1295-1302 [PMID: 10776741]</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9 </w:t>
      </w:r>
      <w:r w:rsidRPr="007505C6">
        <w:rPr>
          <w:rFonts w:ascii="Book Antiqua" w:eastAsia="宋体" w:hAnsi="Book Antiqua" w:cs="宋体"/>
          <w:b/>
          <w:bCs/>
          <w:sz w:val="24"/>
          <w:szCs w:val="24"/>
          <w:lang w:eastAsia="zh-CN"/>
        </w:rPr>
        <w:t>Anderson DR</w:t>
      </w:r>
      <w:r w:rsidRPr="007505C6">
        <w:rPr>
          <w:rFonts w:ascii="Book Antiqua" w:eastAsia="宋体" w:hAnsi="Book Antiqua" w:cs="宋体"/>
          <w:sz w:val="24"/>
          <w:szCs w:val="24"/>
          <w:lang w:eastAsia="zh-CN"/>
        </w:rPr>
        <w:t>, Dunbar MJ, Bohm ER, Belzile E, Kahn SR, Zukor D, Fisher W, Gofton W, Gross P, Pelet S, Crowther M, MacDonald S, Kim P, Pleasance S, Davis N, Andreou P, Wells P, Kovacs M, Rodger MA, Ramsay T, Carrier M, Vendittoli PA. Aspirin versus low-molecular-weight heparin for extended venous thromboembolism prophylaxis after total hip arthroplasty: a randomized trial. </w:t>
      </w:r>
      <w:r w:rsidRPr="007505C6">
        <w:rPr>
          <w:rFonts w:ascii="Book Antiqua" w:eastAsia="宋体" w:hAnsi="Book Antiqua" w:cs="宋体"/>
          <w:i/>
          <w:iCs/>
          <w:sz w:val="24"/>
          <w:szCs w:val="24"/>
          <w:lang w:eastAsia="zh-CN"/>
        </w:rPr>
        <w:t>Ann Intern Med</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158</w:t>
      </w:r>
      <w:r w:rsidRPr="007505C6">
        <w:rPr>
          <w:rFonts w:ascii="Book Antiqua" w:eastAsia="宋体" w:hAnsi="Book Antiqua" w:cs="宋体"/>
          <w:sz w:val="24"/>
          <w:szCs w:val="24"/>
          <w:lang w:eastAsia="zh-CN"/>
        </w:rPr>
        <w:t>: 800-806 [PMID: 23732713 DOI: 10.7326/0003-4819-158-11-201306040-00004]</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10 </w:t>
      </w:r>
      <w:r w:rsidRPr="007505C6">
        <w:rPr>
          <w:rFonts w:ascii="Book Antiqua" w:eastAsia="宋体" w:hAnsi="Book Antiqua" w:cs="宋体"/>
          <w:b/>
          <w:bCs/>
          <w:sz w:val="24"/>
          <w:szCs w:val="24"/>
          <w:lang w:eastAsia="zh-CN"/>
        </w:rPr>
        <w:t>Westrich GH</w:t>
      </w:r>
      <w:r w:rsidRPr="007505C6">
        <w:rPr>
          <w:rFonts w:ascii="Book Antiqua" w:eastAsia="宋体" w:hAnsi="Book Antiqua" w:cs="宋体"/>
          <w:sz w:val="24"/>
          <w:szCs w:val="24"/>
          <w:lang w:eastAsia="zh-CN"/>
        </w:rPr>
        <w:t>, Bottner F, Windsor RE, Laskin RS, Haas SB, Sculco TP. VenaFlow plus Lovenox vs VenaFlow plus aspirin for thromboembolic disease prophylaxis in total knee arthroplasty. </w:t>
      </w:r>
      <w:r w:rsidRPr="007505C6">
        <w:rPr>
          <w:rFonts w:ascii="Book Antiqua" w:eastAsia="宋体" w:hAnsi="Book Antiqua" w:cs="宋体"/>
          <w:i/>
          <w:iCs/>
          <w:sz w:val="24"/>
          <w:szCs w:val="24"/>
          <w:lang w:eastAsia="zh-CN"/>
        </w:rPr>
        <w:t>J Arthroplasty</w:t>
      </w:r>
      <w:r w:rsidRPr="007505C6">
        <w:rPr>
          <w:rFonts w:ascii="Book Antiqua" w:eastAsia="宋体" w:hAnsi="Book Antiqua" w:cs="宋体"/>
          <w:sz w:val="24"/>
          <w:szCs w:val="24"/>
          <w:lang w:eastAsia="zh-CN"/>
        </w:rPr>
        <w:t> 2006; </w:t>
      </w:r>
      <w:r w:rsidRPr="007505C6">
        <w:rPr>
          <w:rFonts w:ascii="Book Antiqua" w:eastAsia="宋体" w:hAnsi="Book Antiqua" w:cs="宋体"/>
          <w:b/>
          <w:bCs/>
          <w:sz w:val="24"/>
          <w:szCs w:val="24"/>
          <w:lang w:eastAsia="zh-CN"/>
        </w:rPr>
        <w:t>21</w:t>
      </w:r>
      <w:r w:rsidRPr="007505C6">
        <w:rPr>
          <w:rFonts w:ascii="Book Antiqua" w:eastAsia="宋体" w:hAnsi="Book Antiqua" w:cs="宋体"/>
          <w:sz w:val="24"/>
          <w:szCs w:val="24"/>
          <w:lang w:eastAsia="zh-CN"/>
        </w:rPr>
        <w:t>: 139-143 [PMID: 16950076 DOI: 10.1016/j.arth.2006.05.017]</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11 .</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A prospective comparison of warfarin to aspirin for thromboprophylaxis in total hip and total knee arthroplasty.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J Arthroplasty</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27</w:t>
      </w:r>
      <w:r w:rsidRPr="007505C6">
        <w:rPr>
          <w:rFonts w:ascii="Book Antiqua" w:eastAsia="宋体" w:hAnsi="Book Antiqua" w:cs="宋体"/>
          <w:sz w:val="24"/>
          <w:szCs w:val="24"/>
          <w:lang w:eastAsia="zh-CN"/>
        </w:rPr>
        <w:t>: 1-9.e2 [PMID: 21621959 DOI: 10.1016/j.arth.2011.03.032]</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12 </w:t>
      </w:r>
      <w:r w:rsidRPr="007505C6">
        <w:rPr>
          <w:rFonts w:ascii="Book Antiqua" w:eastAsia="宋体" w:hAnsi="Book Antiqua" w:cs="宋体"/>
          <w:b/>
          <w:bCs/>
          <w:sz w:val="24"/>
          <w:szCs w:val="24"/>
          <w:lang w:eastAsia="zh-CN"/>
        </w:rPr>
        <w:t>Huddleston JI</w:t>
      </w:r>
      <w:r w:rsidRPr="007505C6">
        <w:rPr>
          <w:rFonts w:ascii="Book Antiqua" w:eastAsia="宋体" w:hAnsi="Book Antiqua" w:cs="宋体"/>
          <w:sz w:val="24"/>
          <w:szCs w:val="24"/>
          <w:lang w:eastAsia="zh-CN"/>
        </w:rPr>
        <w:t>, Wang Y, Uquillas C, Herndon JH, Maloney WJ. Age and obesity are risk factors for adverse events after total hip arthroplasty. </w:t>
      </w:r>
      <w:r w:rsidRPr="007505C6">
        <w:rPr>
          <w:rFonts w:ascii="Book Antiqua" w:eastAsia="宋体" w:hAnsi="Book Antiqua" w:cs="宋体"/>
          <w:i/>
          <w:iCs/>
          <w:sz w:val="24"/>
          <w:szCs w:val="24"/>
          <w:lang w:eastAsia="zh-CN"/>
        </w:rPr>
        <w:t>Clin Orthop Relat Res</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470</w:t>
      </w:r>
      <w:r w:rsidRPr="007505C6">
        <w:rPr>
          <w:rFonts w:ascii="Book Antiqua" w:eastAsia="宋体" w:hAnsi="Book Antiqua" w:cs="宋体"/>
          <w:sz w:val="24"/>
          <w:szCs w:val="24"/>
          <w:lang w:eastAsia="zh-CN"/>
        </w:rPr>
        <w:t>: 490-496 [PMID: 21796477 DOI: 10.1007/s11999-011-1967-y]</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13 </w:t>
      </w:r>
      <w:r w:rsidRPr="007505C6">
        <w:rPr>
          <w:rFonts w:ascii="Book Antiqua" w:eastAsia="宋体" w:hAnsi="Book Antiqua" w:cs="宋体"/>
          <w:b/>
          <w:bCs/>
          <w:sz w:val="24"/>
          <w:szCs w:val="24"/>
          <w:lang w:eastAsia="zh-CN"/>
        </w:rPr>
        <w:t>Oberweis BS</w:t>
      </w:r>
      <w:r w:rsidRPr="007505C6">
        <w:rPr>
          <w:rFonts w:ascii="Book Antiqua" w:eastAsia="宋体" w:hAnsi="Book Antiqua" w:cs="宋体"/>
          <w:sz w:val="24"/>
          <w:szCs w:val="24"/>
          <w:lang w:eastAsia="zh-CN"/>
        </w:rPr>
        <w:t>, Nukala S, Rosenberg A, Guo Y, Stuchin S, Radford MJ, Berger JS.</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Thrombotic and bleeding complications after orthopedic surgery.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Am Heart J</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165</w:t>
      </w:r>
      <w:r w:rsidRPr="007505C6">
        <w:rPr>
          <w:rFonts w:ascii="Book Antiqua" w:eastAsia="宋体" w:hAnsi="Book Antiqua" w:cs="宋体"/>
          <w:sz w:val="24"/>
          <w:szCs w:val="24"/>
          <w:lang w:eastAsia="zh-CN"/>
        </w:rPr>
        <w:t>: 427-33.e1 [PMID: 23453114 DOI: 10.1016/j.ahj.2012.11.005]</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14 </w:t>
      </w:r>
      <w:r w:rsidRPr="007505C6">
        <w:rPr>
          <w:rFonts w:ascii="Book Antiqua" w:eastAsia="宋体" w:hAnsi="Book Antiqua" w:cs="宋体"/>
          <w:b/>
          <w:bCs/>
          <w:sz w:val="24"/>
          <w:szCs w:val="24"/>
          <w:lang w:eastAsia="zh-CN"/>
        </w:rPr>
        <w:t>Berger J</w:t>
      </w:r>
      <w:r w:rsidRPr="007505C6">
        <w:rPr>
          <w:rFonts w:ascii="Book Antiqua" w:eastAsia="宋体" w:hAnsi="Book Antiqua" w:cs="宋体"/>
          <w:sz w:val="24"/>
          <w:szCs w:val="24"/>
          <w:lang w:eastAsia="zh-CN"/>
        </w:rPr>
        <w:t xml:space="preserve">, Eikelboom JW, Quinlan DJ, Guyatt G, Büller HR, Sobieraj-Teague M, Harrington RA, Hirsh J. Venous thromboembolism prophylaxis: do trial results enable clinicians and patients to evaluate whether the benefits justify the risk? </w:t>
      </w:r>
      <w:proofErr w:type="gramStart"/>
      <w:r w:rsidRPr="007505C6">
        <w:rPr>
          <w:rFonts w:ascii="Book Antiqua" w:eastAsia="宋体" w:hAnsi="Book Antiqua" w:cs="宋体"/>
          <w:sz w:val="24"/>
          <w:szCs w:val="24"/>
          <w:lang w:eastAsia="zh-CN"/>
        </w:rPr>
        <w:t>Proceedings of an Ad Hoc Working Group Meeting.</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J Thromb Haemost</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11</w:t>
      </w:r>
      <w:r w:rsidRPr="007505C6">
        <w:rPr>
          <w:rFonts w:ascii="Book Antiqua" w:eastAsia="宋体" w:hAnsi="Book Antiqua" w:cs="宋体"/>
          <w:sz w:val="24"/>
          <w:szCs w:val="24"/>
          <w:lang w:eastAsia="zh-CN"/>
        </w:rPr>
        <w:t>: 778-782 [PMID: 23578178 DOI: 10.1111/jth.4900]</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15 </w:t>
      </w:r>
      <w:r w:rsidRPr="007505C6">
        <w:rPr>
          <w:rFonts w:ascii="Book Antiqua" w:eastAsia="宋体" w:hAnsi="Book Antiqua" w:cs="宋体"/>
          <w:b/>
          <w:bCs/>
          <w:sz w:val="24"/>
          <w:szCs w:val="24"/>
          <w:lang w:eastAsia="zh-CN"/>
        </w:rPr>
        <w:t>Vandermeulen EP</w:t>
      </w:r>
      <w:r w:rsidRPr="007505C6">
        <w:rPr>
          <w:rFonts w:ascii="Book Antiqua" w:eastAsia="宋体" w:hAnsi="Book Antiqua" w:cs="宋体"/>
          <w:sz w:val="24"/>
          <w:szCs w:val="24"/>
          <w:lang w:eastAsia="zh-CN"/>
        </w:rPr>
        <w:t>, Van Aken H, Vermylen J. Anticoagulants and spinal-epidural anesthesia.</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Anesth Analg</w:t>
      </w:r>
      <w:r w:rsidRPr="007505C6">
        <w:rPr>
          <w:rFonts w:ascii="Book Antiqua" w:eastAsia="宋体" w:hAnsi="Book Antiqua" w:cs="宋体"/>
          <w:sz w:val="24"/>
          <w:szCs w:val="24"/>
          <w:lang w:eastAsia="zh-CN"/>
        </w:rPr>
        <w:t> 1994; </w:t>
      </w:r>
      <w:r w:rsidRPr="007505C6">
        <w:rPr>
          <w:rFonts w:ascii="Book Antiqua" w:eastAsia="宋体" w:hAnsi="Book Antiqua" w:cs="宋体"/>
          <w:b/>
          <w:bCs/>
          <w:sz w:val="24"/>
          <w:szCs w:val="24"/>
          <w:lang w:eastAsia="zh-CN"/>
        </w:rPr>
        <w:t>79</w:t>
      </w:r>
      <w:r w:rsidRPr="007505C6">
        <w:rPr>
          <w:rFonts w:ascii="Book Antiqua" w:eastAsia="宋体" w:hAnsi="Book Antiqua" w:cs="宋体"/>
          <w:sz w:val="24"/>
          <w:szCs w:val="24"/>
          <w:lang w:eastAsia="zh-CN"/>
        </w:rPr>
        <w:t>: 1165-1177 [PMID: 7978443]</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16 </w:t>
      </w:r>
      <w:r w:rsidRPr="007505C6">
        <w:rPr>
          <w:rFonts w:ascii="Book Antiqua" w:eastAsia="宋体" w:hAnsi="Book Antiqua" w:cs="宋体"/>
          <w:sz w:val="24"/>
          <w:szCs w:val="24"/>
          <w:lang w:eastAsia="zh-CN"/>
        </w:rPr>
        <w:t>Pradaxa (dabigatran) package insert. Ridgefield, CT: Boehringer Ingelheim Phar</w:t>
      </w:r>
      <w:r>
        <w:rPr>
          <w:rFonts w:ascii="Book Antiqua" w:eastAsia="宋体" w:hAnsi="Book Antiqua" w:cs="宋体"/>
          <w:sz w:val="24"/>
          <w:szCs w:val="24"/>
          <w:lang w:eastAsia="zh-CN"/>
        </w:rPr>
        <w:t>maceuticals, Inc.; 2013 Apr</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17</w:t>
      </w:r>
      <w:r>
        <w:rPr>
          <w:rFonts w:ascii="Book Antiqua" w:eastAsia="宋体" w:hAnsi="Book Antiqua" w:cs="宋体" w:hint="eastAsia"/>
          <w:sz w:val="24"/>
          <w:szCs w:val="24"/>
          <w:lang w:eastAsia="zh-CN"/>
        </w:rPr>
        <w:t xml:space="preserve"> </w:t>
      </w:r>
      <w:r w:rsidRPr="007505C6">
        <w:rPr>
          <w:rFonts w:ascii="Book Antiqua" w:eastAsia="宋体" w:hAnsi="Book Antiqua" w:cs="宋体"/>
          <w:sz w:val="24"/>
          <w:szCs w:val="24"/>
          <w:lang w:eastAsia="zh-CN"/>
        </w:rPr>
        <w:t>Pradaxa.</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Summary of product characteristics, version 7.</w:t>
      </w:r>
      <w:proofErr w:type="gramEnd"/>
      <w:r w:rsidRPr="007505C6">
        <w:rPr>
          <w:rFonts w:ascii="Book Antiqua" w:eastAsia="宋体" w:hAnsi="Book Antiqua" w:cs="宋体"/>
          <w:sz w:val="24"/>
          <w:szCs w:val="24"/>
          <w:lang w:eastAsia="zh-CN"/>
        </w:rPr>
        <w:t xml:space="preserve"> Accessed at: http: //www.ema.europa.edu/docs/en_GB/document_library/EPAR_-_Product_Information/human/0</w:t>
      </w:r>
      <w:r>
        <w:rPr>
          <w:rFonts w:ascii="Book Antiqua" w:eastAsia="宋体" w:hAnsi="Book Antiqua" w:cs="宋体"/>
          <w:sz w:val="24"/>
          <w:szCs w:val="24"/>
          <w:lang w:eastAsia="zh-CN"/>
        </w:rPr>
        <w:t>00829/WC500041059.pdf; Dec 2013</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18 </w:t>
      </w:r>
      <w:r w:rsidRPr="007505C6">
        <w:rPr>
          <w:rFonts w:ascii="Book Antiqua" w:eastAsia="宋体" w:hAnsi="Book Antiqua" w:cs="宋体"/>
          <w:sz w:val="24"/>
          <w:szCs w:val="24"/>
          <w:lang w:eastAsia="zh-CN"/>
        </w:rPr>
        <w:t>Xarelto (rivaroxaban) package insert. Titusville, NJ: Janssen Pharmaceuticals, Inc.; 2013 Aug</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lastRenderedPageBreak/>
        <w:t>19</w:t>
      </w:r>
      <w:r>
        <w:rPr>
          <w:rFonts w:ascii="Book Antiqua" w:eastAsia="宋体" w:hAnsi="Book Antiqua" w:cs="宋体" w:hint="eastAsia"/>
          <w:sz w:val="24"/>
          <w:szCs w:val="24"/>
          <w:lang w:eastAsia="zh-CN"/>
        </w:rPr>
        <w:t xml:space="preserve"> </w:t>
      </w:r>
      <w:r w:rsidRPr="007505C6">
        <w:rPr>
          <w:rFonts w:ascii="Book Antiqua" w:eastAsia="宋体" w:hAnsi="Book Antiqua" w:cs="宋体"/>
          <w:sz w:val="24"/>
          <w:szCs w:val="24"/>
          <w:lang w:eastAsia="zh-CN"/>
        </w:rPr>
        <w:t>Xarelto.</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Summary of products charactersitics, version 5.</w:t>
      </w:r>
      <w:proofErr w:type="gramEnd"/>
      <w:r w:rsidRPr="007505C6">
        <w:rPr>
          <w:rFonts w:ascii="Book Antiqua" w:eastAsia="宋体" w:hAnsi="Book Antiqua" w:cs="宋体"/>
          <w:sz w:val="24"/>
          <w:szCs w:val="24"/>
          <w:lang w:eastAsia="zh-CN"/>
        </w:rPr>
        <w:t xml:space="preserve"> Accessed at: http: //www.ema.europa.eu/docs/en_GB/document_library/EPAR_-_Product_Information/human/000944/WC500057108.pdf; Dec 2013</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20 </w:t>
      </w:r>
      <w:r w:rsidRPr="007505C6">
        <w:rPr>
          <w:rFonts w:ascii="Book Antiqua" w:eastAsia="宋体" w:hAnsi="Book Antiqua" w:cs="宋体"/>
          <w:sz w:val="24"/>
          <w:szCs w:val="24"/>
          <w:lang w:eastAsia="zh-CN"/>
        </w:rPr>
        <w:t xml:space="preserve"> Eliquis</w:t>
      </w:r>
      <w:proofErr w:type="gramEnd"/>
      <w:r w:rsidRPr="007505C6">
        <w:rPr>
          <w:rFonts w:ascii="Book Antiqua" w:eastAsia="宋体" w:hAnsi="Book Antiqua" w:cs="宋体"/>
          <w:sz w:val="24"/>
          <w:szCs w:val="24"/>
          <w:lang w:eastAsia="zh-CN"/>
        </w:rPr>
        <w:t>. [</w:t>
      </w:r>
      <w:proofErr w:type="gramStart"/>
      <w:r w:rsidRPr="007505C6">
        <w:rPr>
          <w:rFonts w:ascii="Book Antiqua" w:eastAsia="宋体" w:hAnsi="Book Antiqua" w:cs="宋体"/>
          <w:sz w:val="24"/>
          <w:szCs w:val="24"/>
          <w:lang w:eastAsia="zh-CN"/>
        </w:rPr>
        <w:t>package</w:t>
      </w:r>
      <w:proofErr w:type="gramEnd"/>
      <w:r w:rsidRPr="007505C6">
        <w:rPr>
          <w:rFonts w:ascii="Book Antiqua" w:eastAsia="宋体" w:hAnsi="Book Antiqua" w:cs="宋体"/>
          <w:sz w:val="24"/>
          <w:szCs w:val="24"/>
          <w:lang w:eastAsia="zh-CN"/>
        </w:rPr>
        <w:t xml:space="preserve"> insert]. Pinceton, NJ: Bristol-Myers Squibb Company; 2012</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21</w:t>
      </w:r>
      <w:r>
        <w:rPr>
          <w:rFonts w:ascii="Book Antiqua" w:eastAsia="宋体" w:hAnsi="Book Antiqua" w:cs="宋体" w:hint="eastAsia"/>
          <w:sz w:val="24"/>
          <w:szCs w:val="24"/>
          <w:lang w:eastAsia="zh-CN"/>
        </w:rPr>
        <w:t xml:space="preserve"> </w:t>
      </w:r>
      <w:r w:rsidRPr="007505C6">
        <w:rPr>
          <w:rFonts w:ascii="Book Antiqua" w:eastAsia="宋体" w:hAnsi="Book Antiqua" w:cs="宋体"/>
          <w:sz w:val="24"/>
          <w:szCs w:val="24"/>
          <w:lang w:eastAsia="zh-CN"/>
        </w:rPr>
        <w:t>Eliquis.</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Summary of product characteristics, version 20.</w:t>
      </w:r>
      <w:proofErr w:type="gramEnd"/>
      <w:r w:rsidRPr="007505C6">
        <w:rPr>
          <w:rFonts w:ascii="Book Antiqua" w:eastAsia="宋体" w:hAnsi="Book Antiqua" w:cs="宋体"/>
          <w:sz w:val="24"/>
          <w:szCs w:val="24"/>
          <w:lang w:eastAsia="zh-CN"/>
        </w:rPr>
        <w:t xml:space="preserve"> Accessed at: http: //www.ema.europa.edu/docs/en_GB/document_library/EPAR_-_Product_Information/human/00214</w:t>
      </w:r>
      <w:r>
        <w:rPr>
          <w:rFonts w:ascii="Book Antiqua" w:eastAsia="宋体" w:hAnsi="Book Antiqua" w:cs="宋体"/>
          <w:sz w:val="24"/>
          <w:szCs w:val="24"/>
          <w:lang w:eastAsia="zh-CN"/>
        </w:rPr>
        <w:t>8/WC500107728.</w:t>
      </w:r>
      <w:r>
        <w:rPr>
          <w:rFonts w:ascii="Book Antiqua" w:eastAsia="宋体" w:hAnsi="Book Antiqua" w:cs="宋体" w:hint="eastAsia"/>
          <w:sz w:val="24"/>
          <w:szCs w:val="24"/>
          <w:lang w:eastAsia="zh-CN"/>
        </w:rPr>
        <w:t xml:space="preserve"> </w:t>
      </w:r>
      <w:proofErr w:type="gramStart"/>
      <w:r>
        <w:rPr>
          <w:rFonts w:ascii="Book Antiqua" w:eastAsia="宋体" w:hAnsi="Book Antiqua" w:cs="宋体"/>
          <w:sz w:val="24"/>
          <w:szCs w:val="24"/>
          <w:lang w:eastAsia="zh-CN"/>
        </w:rPr>
        <w:t>pdf</w:t>
      </w:r>
      <w:proofErr w:type="gramEnd"/>
      <w:r>
        <w:rPr>
          <w:rFonts w:ascii="Book Antiqua" w:eastAsia="宋体" w:hAnsi="Book Antiqua" w:cs="宋体"/>
          <w:sz w:val="24"/>
          <w:szCs w:val="24"/>
          <w:lang w:eastAsia="zh-CN"/>
        </w:rPr>
        <w:t>; Dec 2013</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22 </w:t>
      </w:r>
      <w:r w:rsidRPr="007505C6">
        <w:rPr>
          <w:rFonts w:ascii="Book Antiqua" w:eastAsia="宋体" w:hAnsi="Book Antiqua" w:cs="宋体"/>
          <w:sz w:val="24"/>
          <w:szCs w:val="24"/>
          <w:lang w:eastAsia="zh-CN"/>
        </w:rPr>
        <w:t xml:space="preserve"> Daiichi</w:t>
      </w:r>
      <w:proofErr w:type="gramEnd"/>
      <w:r w:rsidRPr="007505C6">
        <w:rPr>
          <w:rFonts w:ascii="Book Antiqua" w:eastAsia="宋体" w:hAnsi="Book Antiqua" w:cs="宋体"/>
          <w:sz w:val="24"/>
          <w:szCs w:val="24"/>
          <w:lang w:eastAsia="zh-CN"/>
        </w:rPr>
        <w:t xml:space="preserve"> Sankyo Receives First Market Approval in Japan for LIXIANA</w:t>
      </w:r>
      <w:r w:rsidRPr="00174CD0">
        <w:rPr>
          <w:rFonts w:ascii="Book Antiqua" w:hAnsi="Book Antiqua" w:cs="Arial"/>
          <w:sz w:val="24"/>
          <w:szCs w:val="24"/>
        </w:rPr>
        <w:t>®</w:t>
      </w:r>
      <w:r w:rsidRPr="007505C6">
        <w:rPr>
          <w:rFonts w:ascii="Book Antiqua" w:eastAsia="宋体" w:hAnsi="Book Antiqua" w:cs="宋体"/>
          <w:sz w:val="24"/>
          <w:szCs w:val="24"/>
          <w:lang w:eastAsia="zh-CN"/>
        </w:rPr>
        <w:t xml:space="preserve"> (edoxaban), a Direct Oral Factor Xa Inhibitor, for the Prevention of Venous Thromboembolism after Major Orthopedic Surgery approval: http: //dsi.com/press-releases?p_p_id=pressrelease&amp;p_p_lifecycle=0&amp;p_p_state=normal&amp;p_p_mode=view&amp;p_p_col_id=column6&amp;p_p_col_count=1&amp;groupId=12065&amp;articleId=128259&amp;rview=1&amp;fromln=1&amp;WT.z_oss_s=1, Accessed December 17, 2013</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23 </w:t>
      </w:r>
      <w:r w:rsidRPr="007505C6">
        <w:rPr>
          <w:rFonts w:ascii="Book Antiqua" w:eastAsia="宋体" w:hAnsi="Book Antiqua" w:cs="宋体"/>
          <w:sz w:val="24"/>
          <w:szCs w:val="24"/>
          <w:lang w:eastAsia="zh-CN"/>
        </w:rPr>
        <w:t xml:space="preserve"> </w:t>
      </w:r>
      <w:r w:rsidRPr="007505C6">
        <w:rPr>
          <w:rFonts w:ascii="Book Antiqua" w:eastAsia="宋体" w:hAnsi="Book Antiqua" w:cs="宋体"/>
          <w:b/>
          <w:sz w:val="24"/>
          <w:szCs w:val="24"/>
          <w:lang w:eastAsia="zh-CN"/>
        </w:rPr>
        <w:t>Kawaji H</w:t>
      </w:r>
      <w:r w:rsidRPr="007505C6">
        <w:rPr>
          <w:rFonts w:ascii="Book Antiqua" w:eastAsia="宋体" w:hAnsi="Book Antiqua" w:cs="宋体"/>
          <w:sz w:val="24"/>
          <w:szCs w:val="24"/>
          <w:lang w:eastAsia="zh-CN"/>
        </w:rPr>
        <w:t xml:space="preserve">, Ishii M, Tamaki Y, Sasaki K, Takagi M. Edoxaban for prevention of venous thromboembolism after major orthopedic surgery. </w:t>
      </w:r>
      <w:r w:rsidRPr="007505C6">
        <w:rPr>
          <w:rFonts w:ascii="Book Antiqua" w:eastAsia="宋体" w:hAnsi="Book Antiqua" w:cs="宋体"/>
          <w:i/>
          <w:sz w:val="24"/>
          <w:szCs w:val="24"/>
          <w:lang w:eastAsia="zh-CN"/>
        </w:rPr>
        <w:t>Orthop Res Rev</w:t>
      </w:r>
      <w:r w:rsidRPr="007505C6">
        <w:rPr>
          <w:rFonts w:ascii="Book Antiqua" w:eastAsia="宋体" w:hAnsi="Book Antiqua" w:cs="宋体"/>
          <w:sz w:val="24"/>
          <w:szCs w:val="24"/>
          <w:lang w:eastAsia="zh-CN"/>
        </w:rPr>
        <w:t xml:space="preserve"> 2012; </w:t>
      </w:r>
      <w:proofErr w:type="gramStart"/>
      <w:r w:rsidRPr="007505C6">
        <w:rPr>
          <w:rFonts w:ascii="Book Antiqua" w:eastAsia="宋体" w:hAnsi="Book Antiqua" w:cs="宋体"/>
          <w:b/>
          <w:sz w:val="24"/>
          <w:szCs w:val="24"/>
          <w:lang w:eastAsia="zh-CN"/>
        </w:rPr>
        <w:t>4</w:t>
      </w:r>
      <w:r w:rsidRPr="007505C6">
        <w:rPr>
          <w:rFonts w:ascii="Book Antiqua" w:eastAsia="宋体" w:hAnsi="Book Antiqua" w:cs="宋体"/>
          <w:sz w:val="24"/>
          <w:szCs w:val="24"/>
          <w:lang w:eastAsia="zh-CN"/>
        </w:rPr>
        <w:t xml:space="preserve"> :</w:t>
      </w:r>
      <w:proofErr w:type="gramEnd"/>
      <w:r w:rsidRPr="007505C6">
        <w:rPr>
          <w:rFonts w:ascii="Book Antiqua" w:eastAsia="宋体" w:hAnsi="Book Antiqua" w:cs="宋体"/>
          <w:sz w:val="24"/>
          <w:szCs w:val="24"/>
          <w:lang w:eastAsia="zh-CN"/>
        </w:rPr>
        <w:t xml:space="preserve"> 53-64 [DOI: 10.2147/ORR.S24583]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24 </w:t>
      </w:r>
      <w:r w:rsidRPr="007505C6">
        <w:rPr>
          <w:rFonts w:ascii="Book Antiqua" w:eastAsia="宋体" w:hAnsi="Book Antiqua" w:cs="宋体"/>
          <w:b/>
          <w:bCs/>
          <w:sz w:val="24"/>
          <w:szCs w:val="24"/>
          <w:lang w:eastAsia="zh-CN"/>
        </w:rPr>
        <w:t>Camm AJ</w:t>
      </w:r>
      <w:r w:rsidRPr="007505C6">
        <w:rPr>
          <w:rFonts w:ascii="Book Antiqua" w:eastAsia="宋体" w:hAnsi="Book Antiqua" w:cs="宋体"/>
          <w:sz w:val="24"/>
          <w:szCs w:val="24"/>
          <w:lang w:eastAsia="zh-CN"/>
        </w:rPr>
        <w:t>, Bounameaux H. Edoxaban: a new oral direct factor xa inhibitor. </w:t>
      </w:r>
      <w:r w:rsidRPr="007505C6">
        <w:rPr>
          <w:rFonts w:ascii="Book Antiqua" w:eastAsia="宋体" w:hAnsi="Book Antiqua" w:cs="宋体"/>
          <w:i/>
          <w:iCs/>
          <w:sz w:val="24"/>
          <w:szCs w:val="24"/>
          <w:lang w:eastAsia="zh-CN"/>
        </w:rPr>
        <w:t>Drugs</w:t>
      </w:r>
      <w:r w:rsidRPr="007505C6">
        <w:rPr>
          <w:rFonts w:ascii="Book Antiqua" w:eastAsia="宋体" w:hAnsi="Book Antiqua" w:cs="宋体"/>
          <w:sz w:val="24"/>
          <w:szCs w:val="24"/>
          <w:lang w:eastAsia="zh-CN"/>
        </w:rPr>
        <w:t> 2011; </w:t>
      </w:r>
      <w:r w:rsidRPr="007505C6">
        <w:rPr>
          <w:rFonts w:ascii="Book Antiqua" w:eastAsia="宋体" w:hAnsi="Book Antiqua" w:cs="宋体"/>
          <w:b/>
          <w:bCs/>
          <w:sz w:val="24"/>
          <w:szCs w:val="24"/>
          <w:lang w:eastAsia="zh-CN"/>
        </w:rPr>
        <w:t>71</w:t>
      </w:r>
      <w:r w:rsidRPr="007505C6">
        <w:rPr>
          <w:rFonts w:ascii="Book Antiqua" w:eastAsia="宋体" w:hAnsi="Book Antiqua" w:cs="宋体"/>
          <w:sz w:val="24"/>
          <w:szCs w:val="24"/>
          <w:lang w:eastAsia="zh-CN"/>
        </w:rPr>
        <w:t>: 1503-1526 [PMID: 21861537 DOI: 10.2165/11595540-000000000-00000]</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25 </w:t>
      </w:r>
      <w:r w:rsidRPr="007505C6">
        <w:rPr>
          <w:rFonts w:ascii="Book Antiqua" w:eastAsia="宋体" w:hAnsi="Book Antiqua" w:cs="宋体"/>
          <w:b/>
          <w:bCs/>
          <w:sz w:val="24"/>
          <w:szCs w:val="24"/>
          <w:lang w:eastAsia="zh-CN"/>
        </w:rPr>
        <w:t>Büller HR</w:t>
      </w:r>
      <w:r w:rsidRPr="007505C6">
        <w:rPr>
          <w:rFonts w:ascii="Book Antiqua" w:eastAsia="宋体" w:hAnsi="Book Antiqua" w:cs="宋体"/>
          <w:sz w:val="24"/>
          <w:szCs w:val="24"/>
          <w:lang w:eastAsia="zh-CN"/>
        </w:rPr>
        <w:t>, Décousus H, Grosso MA, Mercuri M, Middeldorp S, Prins MH, Raskob GE, Schellong SM, Schwocho L, Segers A, Shi M, Verhamme P, Wells P. Edoxaban versus warfarin for the treatment of symptomatic venous thromboembolism. </w:t>
      </w:r>
      <w:r w:rsidRPr="007505C6">
        <w:rPr>
          <w:rFonts w:ascii="Book Antiqua" w:eastAsia="宋体" w:hAnsi="Book Antiqua" w:cs="宋体"/>
          <w:i/>
          <w:iCs/>
          <w:sz w:val="24"/>
          <w:szCs w:val="24"/>
          <w:lang w:eastAsia="zh-CN"/>
        </w:rPr>
        <w:t>N Engl J Med</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369</w:t>
      </w:r>
      <w:r w:rsidRPr="007505C6">
        <w:rPr>
          <w:rFonts w:ascii="Book Antiqua" w:eastAsia="宋体" w:hAnsi="Book Antiqua" w:cs="宋体"/>
          <w:sz w:val="24"/>
          <w:szCs w:val="24"/>
          <w:lang w:eastAsia="zh-CN"/>
        </w:rPr>
        <w:t>: 1406-1415 [PMID: 23991658 DOI: 10.1056/NEJMoal1306638]</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26 </w:t>
      </w:r>
      <w:r w:rsidRPr="007505C6">
        <w:rPr>
          <w:rFonts w:ascii="Book Antiqua" w:eastAsia="宋体" w:hAnsi="Book Antiqua" w:cs="宋体"/>
          <w:b/>
          <w:bCs/>
          <w:sz w:val="24"/>
          <w:szCs w:val="24"/>
          <w:lang w:eastAsia="zh-CN"/>
        </w:rPr>
        <w:t>Montoya RC</w:t>
      </w:r>
      <w:r w:rsidRPr="007505C6">
        <w:rPr>
          <w:rFonts w:ascii="Book Antiqua" w:eastAsia="宋体" w:hAnsi="Book Antiqua" w:cs="宋体"/>
          <w:sz w:val="24"/>
          <w:szCs w:val="24"/>
          <w:lang w:eastAsia="zh-CN"/>
        </w:rPr>
        <w:t>, Gajra A. Current status of new anticoagulants in the management of venous thromboembolism.</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Adv Hematol</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2012</w:t>
      </w:r>
      <w:r w:rsidRPr="007505C6">
        <w:rPr>
          <w:rFonts w:ascii="Book Antiqua" w:eastAsia="宋体" w:hAnsi="Book Antiqua" w:cs="宋体"/>
          <w:sz w:val="24"/>
          <w:szCs w:val="24"/>
          <w:lang w:eastAsia="zh-CN"/>
        </w:rPr>
        <w:t>: 856341 [PMID: 22496694 DOI: 10.1155/2012/856341]</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27 </w:t>
      </w:r>
      <w:r w:rsidRPr="007505C6">
        <w:rPr>
          <w:rFonts w:ascii="Book Antiqua" w:eastAsia="宋体" w:hAnsi="Book Antiqua" w:cs="宋体"/>
          <w:b/>
          <w:bCs/>
          <w:sz w:val="24"/>
          <w:szCs w:val="24"/>
          <w:lang w:eastAsia="zh-CN"/>
        </w:rPr>
        <w:t>Scaglione F</w:t>
      </w:r>
      <w:r w:rsidRPr="007505C6">
        <w:rPr>
          <w:rFonts w:ascii="Book Antiqua" w:eastAsia="宋体" w:hAnsi="Book Antiqua" w:cs="宋体"/>
          <w:sz w:val="24"/>
          <w:szCs w:val="24"/>
          <w:lang w:eastAsia="zh-CN"/>
        </w:rPr>
        <w:t>.</w:t>
      </w:r>
      <w:proofErr w:type="gramEnd"/>
      <w:r w:rsidRPr="007505C6">
        <w:rPr>
          <w:rFonts w:ascii="Book Antiqua" w:eastAsia="宋体" w:hAnsi="Book Antiqua" w:cs="宋体"/>
          <w:sz w:val="24"/>
          <w:szCs w:val="24"/>
          <w:lang w:eastAsia="zh-CN"/>
        </w:rPr>
        <w:t xml:space="preserve"> New oral anticoagulants: comparative pharmacology with vitamin K antagonists. </w:t>
      </w:r>
      <w:r w:rsidRPr="007505C6">
        <w:rPr>
          <w:rFonts w:ascii="Book Antiqua" w:eastAsia="宋体" w:hAnsi="Book Antiqua" w:cs="宋体"/>
          <w:i/>
          <w:iCs/>
          <w:sz w:val="24"/>
          <w:szCs w:val="24"/>
          <w:lang w:eastAsia="zh-CN"/>
        </w:rPr>
        <w:t>Clin Pharmacokinet</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52</w:t>
      </w:r>
      <w:r w:rsidRPr="007505C6">
        <w:rPr>
          <w:rFonts w:ascii="Book Antiqua" w:eastAsia="宋体" w:hAnsi="Book Antiqua" w:cs="宋体"/>
          <w:sz w:val="24"/>
          <w:szCs w:val="24"/>
          <w:lang w:eastAsia="zh-CN"/>
        </w:rPr>
        <w:t>: 69-82 [PMID: 23292752]</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28 </w:t>
      </w:r>
      <w:r w:rsidRPr="007505C6">
        <w:rPr>
          <w:rFonts w:ascii="Book Antiqua" w:eastAsia="宋体" w:hAnsi="Book Antiqua" w:cs="宋体"/>
          <w:b/>
          <w:bCs/>
          <w:sz w:val="24"/>
          <w:szCs w:val="24"/>
          <w:lang w:eastAsia="zh-CN"/>
        </w:rPr>
        <w:t>Wienen W</w:t>
      </w:r>
      <w:r w:rsidRPr="007505C6">
        <w:rPr>
          <w:rFonts w:ascii="Book Antiqua" w:eastAsia="宋体" w:hAnsi="Book Antiqua" w:cs="宋体"/>
          <w:sz w:val="24"/>
          <w:szCs w:val="24"/>
          <w:lang w:eastAsia="zh-CN"/>
        </w:rPr>
        <w:t>, Stassen JM, Priepke H, Ries UJ, Hauel N. In-vitro profile and ex-vivo anticoagulant activity of the direct thrombin inhibitor dabigatran and its orally active prodrug, dabigatran etexilate.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2007; </w:t>
      </w:r>
      <w:r w:rsidRPr="007505C6">
        <w:rPr>
          <w:rFonts w:ascii="Book Antiqua" w:eastAsia="宋体" w:hAnsi="Book Antiqua" w:cs="宋体"/>
          <w:b/>
          <w:bCs/>
          <w:sz w:val="24"/>
          <w:szCs w:val="24"/>
          <w:lang w:eastAsia="zh-CN"/>
        </w:rPr>
        <w:t>98</w:t>
      </w:r>
      <w:r w:rsidRPr="007505C6">
        <w:rPr>
          <w:rFonts w:ascii="Book Antiqua" w:eastAsia="宋体" w:hAnsi="Book Antiqua" w:cs="宋体"/>
          <w:sz w:val="24"/>
          <w:szCs w:val="24"/>
          <w:lang w:eastAsia="zh-CN"/>
        </w:rPr>
        <w:t>: 155-162 [PMID: 17598008 DOI: 10.1160/TH07-03-0183]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29 </w:t>
      </w:r>
      <w:r w:rsidRPr="007505C6">
        <w:rPr>
          <w:rFonts w:ascii="Book Antiqua" w:eastAsia="宋体" w:hAnsi="Book Antiqua" w:cs="宋体"/>
          <w:b/>
          <w:bCs/>
          <w:sz w:val="24"/>
          <w:szCs w:val="24"/>
          <w:lang w:eastAsia="zh-CN"/>
        </w:rPr>
        <w:t>Graff J</w:t>
      </w:r>
      <w:r w:rsidRPr="007505C6">
        <w:rPr>
          <w:rFonts w:ascii="Book Antiqua" w:eastAsia="宋体" w:hAnsi="Book Antiqua" w:cs="宋体"/>
          <w:sz w:val="24"/>
          <w:szCs w:val="24"/>
          <w:lang w:eastAsia="zh-CN"/>
        </w:rPr>
        <w:t>, von Hentig N, Misselwitz F, Kubitza D, Becka M, Breddin HK, Harder S. Effects of the oral, direct factor xa inhibitor rivaroxaban on platelet-induced thrombin generation and prothrombinase activity. </w:t>
      </w:r>
      <w:r w:rsidRPr="007505C6">
        <w:rPr>
          <w:rFonts w:ascii="Book Antiqua" w:eastAsia="宋体" w:hAnsi="Book Antiqua" w:cs="宋体"/>
          <w:i/>
          <w:iCs/>
          <w:sz w:val="24"/>
          <w:szCs w:val="24"/>
          <w:lang w:eastAsia="zh-CN"/>
        </w:rPr>
        <w:t>J Clin Pharmacol</w:t>
      </w:r>
      <w:r w:rsidRPr="007505C6">
        <w:rPr>
          <w:rFonts w:ascii="Book Antiqua" w:eastAsia="宋体" w:hAnsi="Book Antiqua" w:cs="宋体"/>
          <w:sz w:val="24"/>
          <w:szCs w:val="24"/>
          <w:lang w:eastAsia="zh-CN"/>
        </w:rPr>
        <w:t> 2007; </w:t>
      </w:r>
      <w:r w:rsidRPr="007505C6">
        <w:rPr>
          <w:rFonts w:ascii="Book Antiqua" w:eastAsia="宋体" w:hAnsi="Book Antiqua" w:cs="宋体"/>
          <w:b/>
          <w:bCs/>
          <w:sz w:val="24"/>
          <w:szCs w:val="24"/>
          <w:lang w:eastAsia="zh-CN"/>
        </w:rPr>
        <w:t>47</w:t>
      </w:r>
      <w:r w:rsidRPr="007505C6">
        <w:rPr>
          <w:rFonts w:ascii="Book Antiqua" w:eastAsia="宋体" w:hAnsi="Book Antiqua" w:cs="宋体"/>
          <w:sz w:val="24"/>
          <w:szCs w:val="24"/>
          <w:lang w:eastAsia="zh-CN"/>
        </w:rPr>
        <w:t>: 1398-1407 [PMID: 17873238 DOI: 10.1177/009127302952]</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30 </w:t>
      </w:r>
      <w:r w:rsidRPr="007505C6">
        <w:rPr>
          <w:rFonts w:ascii="Book Antiqua" w:eastAsia="宋体" w:hAnsi="Book Antiqua" w:cs="宋体"/>
          <w:b/>
          <w:bCs/>
          <w:sz w:val="24"/>
          <w:szCs w:val="24"/>
          <w:lang w:eastAsia="zh-CN"/>
        </w:rPr>
        <w:t>Pinto DJ</w:t>
      </w:r>
      <w:r w:rsidRPr="007505C6">
        <w:rPr>
          <w:rFonts w:ascii="Book Antiqua" w:eastAsia="宋体" w:hAnsi="Book Antiqua" w:cs="宋体"/>
          <w:sz w:val="24"/>
          <w:szCs w:val="24"/>
          <w:lang w:eastAsia="zh-CN"/>
        </w:rPr>
        <w:t>, Orwat MJ, Koch S, Rossi KA, Alexander RS, Smallwood A, Wong PC, Rendina AR, Luettgen JM, Knabb RM, He K, Xin B, Wexler RR, Lam PY. Discovery of 1-(4-methoxyphenyl)-7-oxo-6-(4-(2-oxopiperidin-1-yl</w:t>
      </w:r>
      <w:proofErr w:type="gramStart"/>
      <w:r w:rsidRPr="007505C6">
        <w:rPr>
          <w:rFonts w:ascii="Book Antiqua" w:eastAsia="宋体" w:hAnsi="Book Antiqua" w:cs="宋体"/>
          <w:sz w:val="24"/>
          <w:szCs w:val="24"/>
          <w:lang w:eastAsia="zh-CN"/>
        </w:rPr>
        <w:t>)phenyl</w:t>
      </w:r>
      <w:proofErr w:type="gramEnd"/>
      <w:r w:rsidRPr="007505C6">
        <w:rPr>
          <w:rFonts w:ascii="Book Antiqua" w:eastAsia="宋体" w:hAnsi="Book Antiqua" w:cs="宋体"/>
          <w:sz w:val="24"/>
          <w:szCs w:val="24"/>
          <w:lang w:eastAsia="zh-CN"/>
        </w:rPr>
        <w:t xml:space="preserve">)-4,5,6,7-tetrahydro-1H-pyrazolo[3,4-c]pyridine-3-carboxamide (apixaban, BMS-562247), a highly potent, selective, efficacious, and </w:t>
      </w:r>
      <w:r w:rsidRPr="007505C6">
        <w:rPr>
          <w:rFonts w:ascii="Book Antiqua" w:eastAsia="宋体" w:hAnsi="Book Antiqua" w:cs="宋体"/>
          <w:sz w:val="24"/>
          <w:szCs w:val="24"/>
          <w:lang w:eastAsia="zh-CN"/>
        </w:rPr>
        <w:lastRenderedPageBreak/>
        <w:t>orally bioavailable inhibitor of blood coagulation factor Xa. </w:t>
      </w:r>
      <w:r w:rsidRPr="007505C6">
        <w:rPr>
          <w:rFonts w:ascii="Book Antiqua" w:eastAsia="宋体" w:hAnsi="Book Antiqua" w:cs="宋体"/>
          <w:i/>
          <w:iCs/>
          <w:sz w:val="24"/>
          <w:szCs w:val="24"/>
          <w:lang w:eastAsia="zh-CN"/>
        </w:rPr>
        <w:t>J Med Chem</w:t>
      </w:r>
      <w:r w:rsidRPr="007505C6">
        <w:rPr>
          <w:rFonts w:ascii="Book Antiqua" w:eastAsia="宋体" w:hAnsi="Book Antiqua" w:cs="宋体"/>
          <w:sz w:val="24"/>
          <w:szCs w:val="24"/>
          <w:lang w:eastAsia="zh-CN"/>
        </w:rPr>
        <w:t> 2007; </w:t>
      </w:r>
      <w:r w:rsidRPr="007505C6">
        <w:rPr>
          <w:rFonts w:ascii="Book Antiqua" w:eastAsia="宋体" w:hAnsi="Book Antiqua" w:cs="宋体"/>
          <w:b/>
          <w:bCs/>
          <w:sz w:val="24"/>
          <w:szCs w:val="24"/>
          <w:lang w:eastAsia="zh-CN"/>
        </w:rPr>
        <w:t>50</w:t>
      </w:r>
      <w:r w:rsidRPr="007505C6">
        <w:rPr>
          <w:rFonts w:ascii="Book Antiqua" w:eastAsia="宋体" w:hAnsi="Book Antiqua" w:cs="宋体"/>
          <w:sz w:val="24"/>
          <w:szCs w:val="24"/>
          <w:lang w:eastAsia="zh-CN"/>
        </w:rPr>
        <w:t>: 5339-5356 [PMID: 17914785 DOI: 10.1021/jm070245n]</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31</w:t>
      </w:r>
      <w:r w:rsidRPr="007505C6">
        <w:rPr>
          <w:rFonts w:ascii="Book Antiqua" w:eastAsia="宋体" w:hAnsi="Book Antiqua" w:cs="宋体"/>
          <w:b/>
          <w:sz w:val="24"/>
          <w:szCs w:val="24"/>
          <w:lang w:eastAsia="zh-CN"/>
        </w:rPr>
        <w:t xml:space="preserve"> Furugohri T</w:t>
      </w:r>
      <w:r w:rsidRPr="007505C6">
        <w:rPr>
          <w:rFonts w:ascii="Book Antiqua" w:eastAsia="宋体" w:hAnsi="Book Antiqua" w:cs="宋体"/>
          <w:sz w:val="24"/>
          <w:szCs w:val="24"/>
          <w:lang w:eastAsia="zh-CN"/>
        </w:rPr>
        <w:t>, Isobe K, Honda Y, Kamisato-Matsumoto C, Sugiyama N, Nagahara T, Morishima, Shibano T. DU-176b, a potent and orally active factor Xa inhibitor: in vitro and in vivo pharmacological profiles.</w:t>
      </w:r>
      <w:r w:rsidRPr="007505C6">
        <w:rPr>
          <w:rFonts w:ascii="Book Antiqua" w:eastAsia="宋体" w:hAnsi="Book Antiqua" w:cs="宋体"/>
          <w:i/>
          <w:sz w:val="24"/>
          <w:szCs w:val="24"/>
          <w:lang w:eastAsia="zh-CN"/>
        </w:rPr>
        <w:t xml:space="preserve"> J Thromb Haemost </w:t>
      </w:r>
      <w:r w:rsidRPr="007505C6">
        <w:rPr>
          <w:rFonts w:ascii="Book Antiqua" w:eastAsia="宋体" w:hAnsi="Book Antiqua" w:cs="宋体"/>
          <w:sz w:val="24"/>
          <w:szCs w:val="24"/>
          <w:lang w:eastAsia="zh-CN"/>
        </w:rPr>
        <w:t xml:space="preserve">2008; </w:t>
      </w:r>
      <w:r w:rsidRPr="007505C6">
        <w:rPr>
          <w:rFonts w:ascii="Book Antiqua" w:eastAsia="宋体" w:hAnsi="Book Antiqua" w:cs="宋体"/>
          <w:b/>
          <w:sz w:val="24"/>
          <w:szCs w:val="24"/>
          <w:lang w:eastAsia="zh-CN"/>
        </w:rPr>
        <w:t>6</w:t>
      </w:r>
      <w:r w:rsidRPr="007505C6">
        <w:rPr>
          <w:rFonts w:ascii="Book Antiqua" w:eastAsia="宋体" w:hAnsi="Book Antiqua" w:cs="宋体"/>
          <w:sz w:val="24"/>
          <w:szCs w:val="24"/>
          <w:lang w:eastAsia="zh-CN"/>
        </w:rPr>
        <w:t>: 1542-1549 [DOI: 10.1111/j.1538-7836.2008.03064.x]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32 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xml:space="preserve">, Quinlan DJ, Weitz JI. </w:t>
      </w:r>
      <w:proofErr w:type="gramStart"/>
      <w:r w:rsidRPr="007505C6">
        <w:rPr>
          <w:rFonts w:ascii="Book Antiqua" w:eastAsia="宋体" w:hAnsi="Book Antiqua" w:cs="宋体"/>
          <w:sz w:val="24"/>
          <w:szCs w:val="24"/>
          <w:lang w:eastAsia="zh-CN"/>
        </w:rPr>
        <w:t>Comparative pharmacodynamics and pharmacokinetics of oral direct thrombin and factor xa inhibitors in development.</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Clin Pharmacokinet</w:t>
      </w:r>
      <w:r w:rsidRPr="007505C6">
        <w:rPr>
          <w:rFonts w:ascii="Book Antiqua" w:eastAsia="宋体" w:hAnsi="Book Antiqua" w:cs="宋体"/>
          <w:sz w:val="24"/>
          <w:szCs w:val="24"/>
          <w:lang w:eastAsia="zh-CN"/>
        </w:rPr>
        <w:t> 2009; </w:t>
      </w:r>
      <w:r w:rsidRPr="007505C6">
        <w:rPr>
          <w:rFonts w:ascii="Book Antiqua" w:eastAsia="宋体" w:hAnsi="Book Antiqua" w:cs="宋体"/>
          <w:b/>
          <w:bCs/>
          <w:sz w:val="24"/>
          <w:szCs w:val="24"/>
          <w:lang w:eastAsia="zh-CN"/>
        </w:rPr>
        <w:t>48</w:t>
      </w:r>
      <w:r w:rsidRPr="007505C6">
        <w:rPr>
          <w:rFonts w:ascii="Book Antiqua" w:eastAsia="宋体" w:hAnsi="Book Antiqua" w:cs="宋体"/>
          <w:sz w:val="24"/>
          <w:szCs w:val="24"/>
          <w:lang w:eastAsia="zh-CN"/>
        </w:rPr>
        <w:t>: 1-22 [PMID: 19071881 DOI: 10.2165/0003088-200948010-00001]</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33 </w:t>
      </w:r>
      <w:r w:rsidRPr="007505C6">
        <w:rPr>
          <w:rFonts w:ascii="Book Antiqua" w:eastAsia="宋体" w:hAnsi="Book Antiqua" w:cs="宋体"/>
          <w:b/>
          <w:bCs/>
          <w:sz w:val="24"/>
          <w:szCs w:val="24"/>
          <w:lang w:eastAsia="zh-CN"/>
        </w:rPr>
        <w:t>Stangier J</w:t>
      </w:r>
      <w:r w:rsidRPr="007505C6">
        <w:rPr>
          <w:rFonts w:ascii="Book Antiqua" w:eastAsia="宋体" w:hAnsi="Book Antiqua" w:cs="宋体"/>
          <w:sz w:val="24"/>
          <w:szCs w:val="24"/>
          <w:lang w:eastAsia="zh-CN"/>
        </w:rPr>
        <w:t xml:space="preserve">, Rathgen K, Stähle H, Gansser D, Roth W. </w:t>
      </w:r>
      <w:proofErr w:type="gramStart"/>
      <w:r w:rsidRPr="007505C6">
        <w:rPr>
          <w:rFonts w:ascii="Book Antiqua" w:eastAsia="宋体" w:hAnsi="Book Antiqua" w:cs="宋体"/>
          <w:sz w:val="24"/>
          <w:szCs w:val="24"/>
          <w:lang w:eastAsia="zh-CN"/>
        </w:rPr>
        <w:t>The pharmacokinetics, pharmacodynamics and tolerability of dabigatran etexilate, a new oral direct thrombin inhibitor, in healthy male subjects.</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Br J Clin Pharmacol</w:t>
      </w:r>
      <w:r w:rsidRPr="007505C6">
        <w:rPr>
          <w:rFonts w:ascii="Book Antiqua" w:eastAsia="宋体" w:hAnsi="Book Antiqua" w:cs="宋体"/>
          <w:sz w:val="24"/>
          <w:szCs w:val="24"/>
          <w:lang w:eastAsia="zh-CN"/>
        </w:rPr>
        <w:t> 2007; </w:t>
      </w:r>
      <w:r w:rsidRPr="007505C6">
        <w:rPr>
          <w:rFonts w:ascii="Book Antiqua" w:eastAsia="宋体" w:hAnsi="Book Antiqua" w:cs="宋体"/>
          <w:b/>
          <w:bCs/>
          <w:sz w:val="24"/>
          <w:szCs w:val="24"/>
          <w:lang w:eastAsia="zh-CN"/>
        </w:rPr>
        <w:t>64</w:t>
      </w:r>
      <w:r w:rsidRPr="007505C6">
        <w:rPr>
          <w:rFonts w:ascii="Book Antiqua" w:eastAsia="宋体" w:hAnsi="Book Antiqua" w:cs="宋体"/>
          <w:sz w:val="24"/>
          <w:szCs w:val="24"/>
          <w:lang w:eastAsia="zh-CN"/>
        </w:rPr>
        <w:t>: 292-303 [PMID: 17506785 DOI: 10.1111/j.1365-2125.2007.02899.x]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34 </w:t>
      </w:r>
      <w:r w:rsidRPr="007505C6">
        <w:rPr>
          <w:rFonts w:ascii="Book Antiqua" w:eastAsia="宋体" w:hAnsi="Book Antiqua" w:cs="宋体"/>
          <w:b/>
          <w:bCs/>
          <w:sz w:val="24"/>
          <w:szCs w:val="24"/>
          <w:lang w:eastAsia="zh-CN"/>
        </w:rPr>
        <w:t>Blech S</w:t>
      </w:r>
      <w:r w:rsidRPr="007505C6">
        <w:rPr>
          <w:rFonts w:ascii="Book Antiqua" w:eastAsia="宋体" w:hAnsi="Book Antiqua" w:cs="宋体"/>
          <w:sz w:val="24"/>
          <w:szCs w:val="24"/>
          <w:lang w:eastAsia="zh-CN"/>
        </w:rPr>
        <w:t xml:space="preserve">, Ebner T, Ludwig-Schwellinger E, Stangier J, Roth W. </w:t>
      </w:r>
      <w:proofErr w:type="gramStart"/>
      <w:r w:rsidRPr="007505C6">
        <w:rPr>
          <w:rFonts w:ascii="Book Antiqua" w:eastAsia="宋体" w:hAnsi="Book Antiqua" w:cs="宋体"/>
          <w:sz w:val="24"/>
          <w:szCs w:val="24"/>
          <w:lang w:eastAsia="zh-CN"/>
        </w:rPr>
        <w:t>The metabolism and disposition of the oral direct thrombin inhibitor, dabigatran, in humans.</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Drug Metab Dispos</w:t>
      </w:r>
      <w:r w:rsidRPr="007505C6">
        <w:rPr>
          <w:rFonts w:ascii="Book Antiqua" w:eastAsia="宋体" w:hAnsi="Book Antiqua" w:cs="宋体"/>
          <w:sz w:val="24"/>
          <w:szCs w:val="24"/>
          <w:lang w:eastAsia="zh-CN"/>
        </w:rPr>
        <w:t> 2008; </w:t>
      </w:r>
      <w:r w:rsidRPr="007505C6">
        <w:rPr>
          <w:rFonts w:ascii="Book Antiqua" w:eastAsia="宋体" w:hAnsi="Book Antiqua" w:cs="宋体"/>
          <w:b/>
          <w:bCs/>
          <w:sz w:val="24"/>
          <w:szCs w:val="24"/>
          <w:lang w:eastAsia="zh-CN"/>
        </w:rPr>
        <w:t>36</w:t>
      </w:r>
      <w:r w:rsidRPr="007505C6">
        <w:rPr>
          <w:rFonts w:ascii="Book Antiqua" w:eastAsia="宋体" w:hAnsi="Book Antiqua" w:cs="宋体"/>
          <w:sz w:val="24"/>
          <w:szCs w:val="24"/>
          <w:lang w:eastAsia="zh-CN"/>
        </w:rPr>
        <w:t>: 386-399 [PMID: 18006647 DOI: 10.1124/dmd.107.019083]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35 </w:t>
      </w:r>
      <w:r w:rsidRPr="007505C6">
        <w:rPr>
          <w:rFonts w:ascii="Book Antiqua" w:eastAsia="宋体" w:hAnsi="Book Antiqua" w:cs="宋体"/>
          <w:b/>
          <w:bCs/>
          <w:sz w:val="24"/>
          <w:szCs w:val="24"/>
          <w:lang w:eastAsia="zh-CN"/>
        </w:rPr>
        <w:t>Stangier J</w:t>
      </w:r>
      <w:r w:rsidRPr="007505C6">
        <w:rPr>
          <w:rFonts w:ascii="Book Antiqua" w:eastAsia="宋体" w:hAnsi="Book Antiqua" w:cs="宋体"/>
          <w:sz w:val="24"/>
          <w:szCs w:val="24"/>
          <w:lang w:eastAsia="zh-CN"/>
        </w:rPr>
        <w:t>, Eriksson BI, Dahl OE, Ahnfelt L, Nehmiz G, Stähle H, Rathgen K, Svärd R. Pharmacokinetic profile of the oral direct thrombin inhibitor dabigatran etexilate in healthy volunteers and patients undergoing total hip replacement. </w:t>
      </w:r>
      <w:r w:rsidRPr="007505C6">
        <w:rPr>
          <w:rFonts w:ascii="Book Antiqua" w:eastAsia="宋体" w:hAnsi="Book Antiqua" w:cs="宋体"/>
          <w:i/>
          <w:iCs/>
          <w:sz w:val="24"/>
          <w:szCs w:val="24"/>
          <w:lang w:eastAsia="zh-CN"/>
        </w:rPr>
        <w:t>J Clin Pharmacol</w:t>
      </w:r>
      <w:r w:rsidRPr="007505C6">
        <w:rPr>
          <w:rFonts w:ascii="Book Antiqua" w:eastAsia="宋体" w:hAnsi="Book Antiqua" w:cs="宋体"/>
          <w:sz w:val="24"/>
          <w:szCs w:val="24"/>
          <w:lang w:eastAsia="zh-CN"/>
        </w:rPr>
        <w:t> 2005; </w:t>
      </w:r>
      <w:r w:rsidRPr="007505C6">
        <w:rPr>
          <w:rFonts w:ascii="Book Antiqua" w:eastAsia="宋体" w:hAnsi="Book Antiqua" w:cs="宋体"/>
          <w:b/>
          <w:bCs/>
          <w:sz w:val="24"/>
          <w:szCs w:val="24"/>
          <w:lang w:eastAsia="zh-CN"/>
        </w:rPr>
        <w:t>45</w:t>
      </w:r>
      <w:r w:rsidRPr="007505C6">
        <w:rPr>
          <w:rFonts w:ascii="Book Antiqua" w:eastAsia="宋体" w:hAnsi="Book Antiqua" w:cs="宋体"/>
          <w:sz w:val="24"/>
          <w:szCs w:val="24"/>
          <w:lang w:eastAsia="zh-CN"/>
        </w:rPr>
        <w:t>: 555-563 [PMID: 15831779 DOI: 10.1177/0091270004273679]</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36 </w:t>
      </w:r>
      <w:r w:rsidRPr="007505C6">
        <w:rPr>
          <w:rFonts w:ascii="Book Antiqua" w:eastAsia="宋体" w:hAnsi="Book Antiqua" w:cs="宋体"/>
          <w:b/>
          <w:bCs/>
          <w:sz w:val="24"/>
          <w:szCs w:val="24"/>
          <w:lang w:eastAsia="zh-CN"/>
        </w:rPr>
        <w:t>Stangier J</w:t>
      </w:r>
      <w:r w:rsidRPr="007505C6">
        <w:rPr>
          <w:rFonts w:ascii="Book Antiqua" w:eastAsia="宋体" w:hAnsi="Book Antiqua" w:cs="宋体"/>
          <w:sz w:val="24"/>
          <w:szCs w:val="24"/>
          <w:lang w:eastAsia="zh-CN"/>
        </w:rPr>
        <w:t>, Rathgen K, Stähle H, Mazur D. Influence of renal impairment on the pharmacokinetics and pharmacodynamics of oral dabigatran etexilate: an open-label, parallel-group, single-centre study. </w:t>
      </w:r>
      <w:r w:rsidRPr="007505C6">
        <w:rPr>
          <w:rFonts w:ascii="Book Antiqua" w:eastAsia="宋体" w:hAnsi="Book Antiqua" w:cs="宋体"/>
          <w:i/>
          <w:iCs/>
          <w:sz w:val="24"/>
          <w:szCs w:val="24"/>
          <w:lang w:eastAsia="zh-CN"/>
        </w:rPr>
        <w:t>Clin Pharmacokinet</w:t>
      </w:r>
      <w:r w:rsidRPr="007505C6">
        <w:rPr>
          <w:rFonts w:ascii="Book Antiqua" w:eastAsia="宋体" w:hAnsi="Book Antiqua" w:cs="宋体"/>
          <w:sz w:val="24"/>
          <w:szCs w:val="24"/>
          <w:lang w:eastAsia="zh-CN"/>
        </w:rPr>
        <w:t> 2010; </w:t>
      </w:r>
      <w:r w:rsidRPr="007505C6">
        <w:rPr>
          <w:rFonts w:ascii="Book Antiqua" w:eastAsia="宋体" w:hAnsi="Book Antiqua" w:cs="宋体"/>
          <w:b/>
          <w:bCs/>
          <w:sz w:val="24"/>
          <w:szCs w:val="24"/>
          <w:lang w:eastAsia="zh-CN"/>
        </w:rPr>
        <w:t>49</w:t>
      </w:r>
      <w:r w:rsidRPr="007505C6">
        <w:rPr>
          <w:rFonts w:ascii="Book Antiqua" w:eastAsia="宋体" w:hAnsi="Book Antiqua" w:cs="宋体"/>
          <w:sz w:val="24"/>
          <w:szCs w:val="24"/>
          <w:lang w:eastAsia="zh-CN"/>
        </w:rPr>
        <w:t>: 259-268 [PMID: 20214409 DOI: 10.2165/11318170-000000000-00000]</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37 </w:t>
      </w:r>
      <w:r w:rsidRPr="007505C6">
        <w:rPr>
          <w:rFonts w:ascii="Book Antiqua" w:eastAsia="宋体" w:hAnsi="Book Antiqua" w:cs="宋体"/>
          <w:b/>
          <w:bCs/>
          <w:sz w:val="24"/>
          <w:szCs w:val="24"/>
          <w:lang w:eastAsia="zh-CN"/>
        </w:rPr>
        <w:t>Dahl OE</w:t>
      </w:r>
      <w:r w:rsidRPr="007505C6">
        <w:rPr>
          <w:rFonts w:ascii="Book Antiqua" w:eastAsia="宋体" w:hAnsi="Book Antiqua" w:cs="宋体"/>
          <w:sz w:val="24"/>
          <w:szCs w:val="24"/>
          <w:lang w:eastAsia="zh-CN"/>
        </w:rPr>
        <w:t>, Kurth AA, Rosencher N, Noack H, Clemens A, Eriksson BI. Thromboprophylaxis in patients older than 75 years or with moderate renal impairment undergoing knee or hip replacement surgery [corrected]. </w:t>
      </w:r>
      <w:r w:rsidRPr="007505C6">
        <w:rPr>
          <w:rFonts w:ascii="Book Antiqua" w:eastAsia="宋体" w:hAnsi="Book Antiqua" w:cs="宋体"/>
          <w:i/>
          <w:iCs/>
          <w:sz w:val="24"/>
          <w:szCs w:val="24"/>
          <w:lang w:eastAsia="zh-CN"/>
        </w:rPr>
        <w:t>Int Orthop</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36</w:t>
      </w:r>
      <w:r w:rsidRPr="007505C6">
        <w:rPr>
          <w:rFonts w:ascii="Book Antiqua" w:eastAsia="宋体" w:hAnsi="Book Antiqua" w:cs="宋体"/>
          <w:sz w:val="24"/>
          <w:szCs w:val="24"/>
          <w:lang w:eastAsia="zh-CN"/>
        </w:rPr>
        <w:t>: 741-748 [PMID: 22095136 DOI: 10.1007/s00264-011-1393-5]</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38 </w:t>
      </w:r>
      <w:r w:rsidRPr="007505C6">
        <w:rPr>
          <w:rFonts w:ascii="Book Antiqua" w:eastAsia="宋体" w:hAnsi="Book Antiqua" w:cs="宋体"/>
          <w:b/>
          <w:bCs/>
          <w:sz w:val="24"/>
          <w:szCs w:val="24"/>
          <w:lang w:eastAsia="zh-CN"/>
        </w:rPr>
        <w:t>Hariharan S</w:t>
      </w:r>
      <w:r w:rsidRPr="007505C6">
        <w:rPr>
          <w:rFonts w:ascii="Book Antiqua" w:eastAsia="宋体" w:hAnsi="Book Antiqua" w:cs="宋体"/>
          <w:sz w:val="24"/>
          <w:szCs w:val="24"/>
          <w:lang w:eastAsia="zh-CN"/>
        </w:rPr>
        <w:t>, Madabushi R. Clinical pharmacology basis of deriving dosing recommendations for dabigatran in patients with severe renal impairment.</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J Clin Pharmacol</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52</w:t>
      </w:r>
      <w:r w:rsidRPr="007505C6">
        <w:rPr>
          <w:rFonts w:ascii="Book Antiqua" w:eastAsia="宋体" w:hAnsi="Book Antiqua" w:cs="宋体"/>
          <w:sz w:val="24"/>
          <w:szCs w:val="24"/>
          <w:lang w:eastAsia="zh-CN"/>
        </w:rPr>
        <w:t>: 119S-125S [PMID: 21956605 DOI: 10.1177/0091270011415527]</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39 </w:t>
      </w:r>
      <w:r w:rsidRPr="007505C6">
        <w:rPr>
          <w:rFonts w:ascii="Book Antiqua" w:eastAsia="宋体" w:hAnsi="Book Antiqua" w:cs="宋体"/>
          <w:b/>
          <w:bCs/>
          <w:sz w:val="24"/>
          <w:szCs w:val="24"/>
          <w:lang w:eastAsia="zh-CN"/>
        </w:rPr>
        <w:t>Kubitza D</w:t>
      </w:r>
      <w:r w:rsidRPr="007505C6">
        <w:rPr>
          <w:rFonts w:ascii="Book Antiqua" w:eastAsia="宋体" w:hAnsi="Book Antiqua" w:cs="宋体"/>
          <w:sz w:val="24"/>
          <w:szCs w:val="24"/>
          <w:lang w:eastAsia="zh-CN"/>
        </w:rPr>
        <w:t>, Becka M, Mueck W, Halabi A, Maatouk H, Klause N, Lufft V, Wand DD, Philipp T, Bruck H. Effects of renal impairment on the pharmacokinetics, pharmacodynamics and safety of rivaroxaban, an oral, direct Factor Xa inhibitor. </w:t>
      </w:r>
      <w:r w:rsidRPr="007505C6">
        <w:rPr>
          <w:rFonts w:ascii="Book Antiqua" w:eastAsia="宋体" w:hAnsi="Book Antiqua" w:cs="宋体"/>
          <w:i/>
          <w:iCs/>
          <w:sz w:val="24"/>
          <w:szCs w:val="24"/>
          <w:lang w:eastAsia="zh-CN"/>
        </w:rPr>
        <w:t>Br J Clin Pharmacol</w:t>
      </w:r>
      <w:r w:rsidRPr="007505C6">
        <w:rPr>
          <w:rFonts w:ascii="Book Antiqua" w:eastAsia="宋体" w:hAnsi="Book Antiqua" w:cs="宋体"/>
          <w:sz w:val="24"/>
          <w:szCs w:val="24"/>
          <w:lang w:eastAsia="zh-CN"/>
        </w:rPr>
        <w:t> 2010; </w:t>
      </w:r>
      <w:r w:rsidRPr="007505C6">
        <w:rPr>
          <w:rFonts w:ascii="Book Antiqua" w:eastAsia="宋体" w:hAnsi="Book Antiqua" w:cs="宋体"/>
          <w:b/>
          <w:bCs/>
          <w:sz w:val="24"/>
          <w:szCs w:val="24"/>
          <w:lang w:eastAsia="zh-CN"/>
        </w:rPr>
        <w:t>70</w:t>
      </w:r>
      <w:r w:rsidRPr="007505C6">
        <w:rPr>
          <w:rFonts w:ascii="Book Antiqua" w:eastAsia="宋体" w:hAnsi="Book Antiqua" w:cs="宋体"/>
          <w:sz w:val="24"/>
          <w:szCs w:val="24"/>
          <w:lang w:eastAsia="zh-CN"/>
        </w:rPr>
        <w:t>: 703-712 [PMID: 21039764 DOI: 10.1111/j.1365-2125.2010.03753.x]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40 </w:t>
      </w:r>
      <w:r w:rsidRPr="007505C6">
        <w:rPr>
          <w:rFonts w:ascii="Book Antiqua" w:eastAsia="宋体" w:hAnsi="Book Antiqua" w:cs="宋体"/>
          <w:b/>
          <w:bCs/>
          <w:sz w:val="24"/>
          <w:szCs w:val="24"/>
          <w:lang w:eastAsia="zh-CN"/>
        </w:rPr>
        <w:t>Kubitza D</w:t>
      </w:r>
      <w:r w:rsidRPr="007505C6">
        <w:rPr>
          <w:rFonts w:ascii="Book Antiqua" w:eastAsia="宋体" w:hAnsi="Book Antiqua" w:cs="宋体"/>
          <w:sz w:val="24"/>
          <w:szCs w:val="24"/>
          <w:lang w:eastAsia="zh-CN"/>
        </w:rPr>
        <w:t>, Roth A, Becka M, Alatrach A, Halabi A, Hinrichsen H, Mueck W. Effect of hepatic impairment on the pharmacokinetics and pharmacodynamics of a single dose of rivaroxaban, an oral, direct Factor Xa inhibitor. </w:t>
      </w:r>
      <w:r w:rsidRPr="007505C6">
        <w:rPr>
          <w:rFonts w:ascii="Book Antiqua" w:eastAsia="宋体" w:hAnsi="Book Antiqua" w:cs="宋体"/>
          <w:i/>
          <w:iCs/>
          <w:sz w:val="24"/>
          <w:szCs w:val="24"/>
          <w:lang w:eastAsia="zh-CN"/>
        </w:rPr>
        <w:t>Br J Clin Pharmacol</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76</w:t>
      </w:r>
      <w:r w:rsidRPr="007505C6">
        <w:rPr>
          <w:rFonts w:ascii="Book Antiqua" w:eastAsia="宋体" w:hAnsi="Book Antiqua" w:cs="宋体"/>
          <w:sz w:val="24"/>
          <w:szCs w:val="24"/>
          <w:lang w:eastAsia="zh-CN"/>
        </w:rPr>
        <w:t>: 89-98 [PMID: 23294275 DOI: 10.1111/bcp.12054]</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41 </w:t>
      </w:r>
      <w:r w:rsidRPr="007505C6">
        <w:rPr>
          <w:rFonts w:ascii="Book Antiqua" w:eastAsia="宋体" w:hAnsi="Book Antiqua" w:cs="宋体"/>
          <w:b/>
          <w:bCs/>
          <w:sz w:val="24"/>
          <w:szCs w:val="24"/>
          <w:lang w:eastAsia="zh-CN"/>
        </w:rPr>
        <w:t>Frost C</w:t>
      </w:r>
      <w:r w:rsidRPr="007505C6">
        <w:rPr>
          <w:rFonts w:ascii="Book Antiqua" w:eastAsia="宋体" w:hAnsi="Book Antiqua" w:cs="宋体"/>
          <w:sz w:val="24"/>
          <w:szCs w:val="24"/>
          <w:lang w:eastAsia="zh-CN"/>
        </w:rPr>
        <w:t>, Wang J, Nepal S, Schuster A, Barrett YC, Mosqueda-Garcia R, Reeves RA, LaCreta F. Apixaban, an oral, direct factor Xa inhibitor: single dose safety, pharmacokinetics, pharmacodynamics and food effect in healthy subjects. </w:t>
      </w:r>
      <w:r w:rsidRPr="007505C6">
        <w:rPr>
          <w:rFonts w:ascii="Book Antiqua" w:eastAsia="宋体" w:hAnsi="Book Antiqua" w:cs="宋体"/>
          <w:i/>
          <w:iCs/>
          <w:sz w:val="24"/>
          <w:szCs w:val="24"/>
          <w:lang w:eastAsia="zh-CN"/>
        </w:rPr>
        <w:t>Br J Clin Pharmacol</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75</w:t>
      </w:r>
      <w:r w:rsidRPr="007505C6">
        <w:rPr>
          <w:rFonts w:ascii="Book Antiqua" w:eastAsia="宋体" w:hAnsi="Book Antiqua" w:cs="宋体"/>
          <w:sz w:val="24"/>
          <w:szCs w:val="24"/>
          <w:lang w:eastAsia="zh-CN"/>
        </w:rPr>
        <w:t>: 476-487 [PMID: 22759198 DOI: 10.1111/j.1365-2125.2012.04369.x]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42 </w:t>
      </w:r>
      <w:r w:rsidRPr="007505C6">
        <w:rPr>
          <w:rFonts w:ascii="Book Antiqua" w:eastAsia="宋体" w:hAnsi="Book Antiqua" w:cs="宋体"/>
          <w:b/>
          <w:bCs/>
          <w:sz w:val="24"/>
          <w:szCs w:val="24"/>
          <w:lang w:eastAsia="zh-CN"/>
        </w:rPr>
        <w:t>Hellwig T</w:t>
      </w:r>
      <w:r w:rsidRPr="007505C6">
        <w:rPr>
          <w:rFonts w:ascii="Book Antiqua" w:eastAsia="宋体" w:hAnsi="Book Antiqua" w:cs="宋体"/>
          <w:sz w:val="24"/>
          <w:szCs w:val="24"/>
          <w:lang w:eastAsia="zh-CN"/>
        </w:rPr>
        <w:t>, Gulseth M. Pharmacokinetic and pharmacodynamic drug interactions with new oral anticoagulants: what do they mean for patients with atrial fibrillation? </w:t>
      </w:r>
      <w:r w:rsidRPr="007505C6">
        <w:rPr>
          <w:rFonts w:ascii="Book Antiqua" w:eastAsia="宋体" w:hAnsi="Book Antiqua" w:cs="宋体"/>
          <w:i/>
          <w:iCs/>
          <w:sz w:val="24"/>
          <w:szCs w:val="24"/>
          <w:lang w:eastAsia="zh-CN"/>
        </w:rPr>
        <w:t>Ann Pharmacother</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47</w:t>
      </w:r>
      <w:r w:rsidRPr="007505C6">
        <w:rPr>
          <w:rFonts w:ascii="Book Antiqua" w:eastAsia="宋体" w:hAnsi="Book Antiqua" w:cs="宋体"/>
          <w:sz w:val="24"/>
          <w:szCs w:val="24"/>
          <w:lang w:eastAsia="zh-CN"/>
        </w:rPr>
        <w:t>: 1478-1487 [PMID: 24259602 DOI: 10.1177/1060028013504741]</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43 </w:t>
      </w:r>
      <w:r w:rsidRPr="007505C6">
        <w:rPr>
          <w:rFonts w:ascii="Book Antiqua" w:eastAsia="宋体" w:hAnsi="Book Antiqua" w:cs="宋体"/>
          <w:b/>
          <w:sz w:val="24"/>
          <w:szCs w:val="24"/>
          <w:lang w:eastAsia="zh-CN"/>
        </w:rPr>
        <w:t>Matsushima N</w:t>
      </w:r>
      <w:r w:rsidRPr="007505C6">
        <w:rPr>
          <w:rFonts w:ascii="Book Antiqua" w:eastAsia="宋体" w:hAnsi="Book Antiqua" w:cs="宋体"/>
          <w:sz w:val="24"/>
          <w:szCs w:val="24"/>
          <w:lang w:eastAsia="zh-CN"/>
        </w:rPr>
        <w:t xml:space="preserve">, Lee F, Sato T, Weiss D, Mendel J. Absolute bioavailability of edoxaban in healthy subjects. </w:t>
      </w:r>
      <w:r w:rsidRPr="007505C6">
        <w:rPr>
          <w:rFonts w:ascii="Book Antiqua" w:eastAsia="宋体" w:hAnsi="Book Antiqua" w:cs="宋体"/>
          <w:i/>
          <w:sz w:val="24"/>
          <w:szCs w:val="24"/>
          <w:lang w:eastAsia="zh-CN"/>
        </w:rPr>
        <w:t>AAPS J</w:t>
      </w:r>
      <w:r w:rsidRPr="007505C6">
        <w:rPr>
          <w:rFonts w:ascii="Book Antiqua" w:eastAsia="宋体" w:hAnsi="Book Antiqua" w:cs="宋体"/>
          <w:sz w:val="24"/>
          <w:szCs w:val="24"/>
          <w:lang w:eastAsia="zh-CN"/>
        </w:rPr>
        <w:t xml:space="preserve"> 2011; </w:t>
      </w:r>
      <w:r w:rsidRPr="007505C6">
        <w:rPr>
          <w:rFonts w:ascii="Book Antiqua" w:eastAsia="宋体" w:hAnsi="Book Antiqua" w:cs="宋体"/>
          <w:b/>
          <w:sz w:val="24"/>
          <w:szCs w:val="24"/>
          <w:lang w:eastAsia="zh-CN"/>
        </w:rPr>
        <w:t>6</w:t>
      </w:r>
      <w:r w:rsidRPr="007505C6">
        <w:rPr>
          <w:rFonts w:ascii="Book Antiqua" w:eastAsia="宋体" w:hAnsi="Book Antiqua" w:cs="宋体"/>
          <w:sz w:val="24"/>
          <w:szCs w:val="24"/>
          <w:lang w:eastAsia="zh-CN"/>
        </w:rPr>
        <w:t xml:space="preserve"> Suppl 2: T2362</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44 </w:t>
      </w:r>
      <w:r w:rsidRPr="007505C6">
        <w:rPr>
          <w:rFonts w:ascii="Book Antiqua" w:eastAsia="宋体" w:hAnsi="Book Antiqua" w:cs="宋体"/>
          <w:b/>
          <w:bCs/>
          <w:sz w:val="24"/>
          <w:szCs w:val="24"/>
          <w:lang w:eastAsia="zh-CN"/>
        </w:rPr>
        <w:t>Bathala MS</w:t>
      </w:r>
      <w:r w:rsidRPr="007505C6">
        <w:rPr>
          <w:rFonts w:ascii="Book Antiqua" w:eastAsia="宋体" w:hAnsi="Book Antiqua" w:cs="宋体"/>
          <w:sz w:val="24"/>
          <w:szCs w:val="24"/>
          <w:lang w:eastAsia="zh-CN"/>
        </w:rPr>
        <w:t>, Masumoto H, Oguma T, He L, Lowrie C, Mendell J. Pharmacokinetics, biotransformation, and mass balance of edoxaban, a selective, direct factor Xa inhibitor, in humans.</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Drug Metab Dispos</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40</w:t>
      </w:r>
      <w:r w:rsidRPr="007505C6">
        <w:rPr>
          <w:rFonts w:ascii="Book Antiqua" w:eastAsia="宋体" w:hAnsi="Book Antiqua" w:cs="宋体"/>
          <w:sz w:val="24"/>
          <w:szCs w:val="24"/>
          <w:lang w:eastAsia="zh-CN"/>
        </w:rPr>
        <w:t>: 2250-2255 [PMID: 22936313 DOI: 10.1124/dmd.112.046888]</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45 </w:t>
      </w:r>
      <w:r w:rsidRPr="007505C6">
        <w:rPr>
          <w:rFonts w:ascii="Book Antiqua" w:eastAsia="宋体" w:hAnsi="Book Antiqua" w:cs="宋体"/>
          <w:b/>
          <w:bCs/>
          <w:sz w:val="24"/>
          <w:szCs w:val="24"/>
          <w:lang w:eastAsia="zh-CN"/>
        </w:rPr>
        <w:t>Ogata K</w:t>
      </w:r>
      <w:r w:rsidRPr="007505C6">
        <w:rPr>
          <w:rFonts w:ascii="Book Antiqua" w:eastAsia="宋体" w:hAnsi="Book Antiqua" w:cs="宋体"/>
          <w:sz w:val="24"/>
          <w:szCs w:val="24"/>
          <w:lang w:eastAsia="zh-CN"/>
        </w:rPr>
        <w:t>, Mendell-Harary J, Tachibana M, Masumoto H, Oguma T, Kojima M, Kunitada S. Clinical safety, tolerability, pharmacokinetics, and pharmacodynamics of the novel factor Xa inhibitor edoxaban in healthy volunteers. </w:t>
      </w:r>
      <w:r w:rsidRPr="007505C6">
        <w:rPr>
          <w:rFonts w:ascii="Book Antiqua" w:eastAsia="宋体" w:hAnsi="Book Antiqua" w:cs="宋体"/>
          <w:i/>
          <w:iCs/>
          <w:sz w:val="24"/>
          <w:szCs w:val="24"/>
          <w:lang w:eastAsia="zh-CN"/>
        </w:rPr>
        <w:t>J Clin Pharmacol</w:t>
      </w:r>
      <w:r w:rsidRPr="007505C6">
        <w:rPr>
          <w:rFonts w:ascii="Book Antiqua" w:eastAsia="宋体" w:hAnsi="Book Antiqua" w:cs="宋体"/>
          <w:sz w:val="24"/>
          <w:szCs w:val="24"/>
          <w:lang w:eastAsia="zh-CN"/>
        </w:rPr>
        <w:t> 2010; </w:t>
      </w:r>
      <w:r w:rsidRPr="007505C6">
        <w:rPr>
          <w:rFonts w:ascii="Book Antiqua" w:eastAsia="宋体" w:hAnsi="Book Antiqua" w:cs="宋体"/>
          <w:b/>
          <w:bCs/>
          <w:sz w:val="24"/>
          <w:szCs w:val="24"/>
          <w:lang w:eastAsia="zh-CN"/>
        </w:rPr>
        <w:t>50</w:t>
      </w:r>
      <w:r w:rsidRPr="007505C6">
        <w:rPr>
          <w:rFonts w:ascii="Book Antiqua" w:eastAsia="宋体" w:hAnsi="Book Antiqua" w:cs="宋体"/>
          <w:sz w:val="24"/>
          <w:szCs w:val="24"/>
          <w:lang w:eastAsia="zh-CN"/>
        </w:rPr>
        <w:t>: 743-753 [PMID: 20081065 DOI: 10.1177/0091270009351883]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46 </w:t>
      </w:r>
      <w:r w:rsidRPr="007505C6">
        <w:rPr>
          <w:rFonts w:ascii="Book Antiqua" w:eastAsia="宋体" w:hAnsi="Book Antiqua" w:cs="宋体"/>
          <w:b/>
          <w:bCs/>
          <w:sz w:val="24"/>
          <w:szCs w:val="24"/>
          <w:lang w:eastAsia="zh-CN"/>
        </w:rPr>
        <w:t>Heidbuchel H</w:t>
      </w:r>
      <w:r w:rsidRPr="007505C6">
        <w:rPr>
          <w:rFonts w:ascii="Book Antiqua" w:eastAsia="宋体" w:hAnsi="Book Antiqua" w:cs="宋体"/>
          <w:sz w:val="24"/>
          <w:szCs w:val="24"/>
          <w:lang w:eastAsia="zh-CN"/>
        </w:rPr>
        <w:t>, Verhamme P, Alings M, Antz M, Hacke W, Oldgren J, Sinnaeve P, Camm AJ, Kirchhof P. EHRA practical guide on the use of new oral anticoagulants in patients with non-valvular atrial fibrillation: executive summary. </w:t>
      </w:r>
      <w:r w:rsidRPr="007505C6">
        <w:rPr>
          <w:rFonts w:ascii="Book Antiqua" w:eastAsia="宋体" w:hAnsi="Book Antiqua" w:cs="宋体"/>
          <w:i/>
          <w:iCs/>
          <w:sz w:val="24"/>
          <w:szCs w:val="24"/>
          <w:lang w:eastAsia="zh-CN"/>
        </w:rPr>
        <w:t>Eur Heart J</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34</w:t>
      </w:r>
      <w:r w:rsidRPr="007505C6">
        <w:rPr>
          <w:rFonts w:ascii="Book Antiqua" w:eastAsia="宋体" w:hAnsi="Book Antiqua" w:cs="宋体"/>
          <w:sz w:val="24"/>
          <w:szCs w:val="24"/>
          <w:lang w:eastAsia="zh-CN"/>
        </w:rPr>
        <w:t>: 2094-2106 [PMID: 23625209 DOI: 10.1093/eurheartj/eht134]</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47 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xml:space="preserve">, Dahl OE, Huo MH, Kurth AA, Hantel S, Hermansson K, Schnee JM, Friedman RJ. </w:t>
      </w:r>
      <w:proofErr w:type="gramStart"/>
      <w:r w:rsidRPr="007505C6">
        <w:rPr>
          <w:rFonts w:ascii="Book Antiqua" w:eastAsia="宋体" w:hAnsi="Book Antiqua" w:cs="宋体"/>
          <w:sz w:val="24"/>
          <w:szCs w:val="24"/>
          <w:lang w:eastAsia="zh-CN"/>
        </w:rPr>
        <w:t>Oral dabigatran versus enoxaparin for thromboprophylaxis after primary total hip arthroplasty (RE-NOVATE II*).</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A randomised, double-blind, non-inferiority trial.</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2011; </w:t>
      </w:r>
      <w:r w:rsidRPr="007505C6">
        <w:rPr>
          <w:rFonts w:ascii="Book Antiqua" w:eastAsia="宋体" w:hAnsi="Book Antiqua" w:cs="宋体"/>
          <w:b/>
          <w:bCs/>
          <w:sz w:val="24"/>
          <w:szCs w:val="24"/>
          <w:lang w:eastAsia="zh-CN"/>
        </w:rPr>
        <w:t>105</w:t>
      </w:r>
      <w:r w:rsidRPr="007505C6">
        <w:rPr>
          <w:rFonts w:ascii="Book Antiqua" w:eastAsia="宋体" w:hAnsi="Book Antiqua" w:cs="宋体"/>
          <w:sz w:val="24"/>
          <w:szCs w:val="24"/>
          <w:lang w:eastAsia="zh-CN"/>
        </w:rPr>
        <w:t>: 721-729 [PMID: 21225098 DOI: 10.1160/TH10-10-0679]</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48 </w:t>
      </w:r>
      <w:r w:rsidRPr="007505C6">
        <w:rPr>
          <w:rFonts w:ascii="Book Antiqua" w:eastAsia="宋体" w:hAnsi="Book Antiqua" w:cs="宋体"/>
          <w:b/>
          <w:bCs/>
          <w:sz w:val="24"/>
          <w:szCs w:val="24"/>
          <w:lang w:eastAsia="zh-CN"/>
        </w:rPr>
        <w:t>Mendell J</w:t>
      </w:r>
      <w:r w:rsidRPr="007505C6">
        <w:rPr>
          <w:rFonts w:ascii="Book Antiqua" w:eastAsia="宋体" w:hAnsi="Book Antiqua" w:cs="宋体"/>
          <w:sz w:val="24"/>
          <w:szCs w:val="24"/>
          <w:lang w:eastAsia="zh-CN"/>
        </w:rPr>
        <w:t>, Zahir H, Matsushima N, Noveck R, Lee F, Chen S, Zhang G, Shi M. Drug-drug interaction studies of cardiovascular drugs involving P-glycoprotein, an efflux transporter, on the pharmacokinetics of edoxaban, an oral factor Xa inhibitor. </w:t>
      </w:r>
      <w:r w:rsidRPr="007505C6">
        <w:rPr>
          <w:rFonts w:ascii="Book Antiqua" w:eastAsia="宋体" w:hAnsi="Book Antiqua" w:cs="宋体"/>
          <w:i/>
          <w:iCs/>
          <w:sz w:val="24"/>
          <w:szCs w:val="24"/>
          <w:lang w:eastAsia="zh-CN"/>
        </w:rPr>
        <w:t>Am J Cardiovasc Drugs</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13</w:t>
      </w:r>
      <w:r w:rsidRPr="007505C6">
        <w:rPr>
          <w:rFonts w:ascii="Book Antiqua" w:eastAsia="宋体" w:hAnsi="Book Antiqua" w:cs="宋体"/>
          <w:sz w:val="24"/>
          <w:szCs w:val="24"/>
          <w:lang w:eastAsia="zh-CN"/>
        </w:rPr>
        <w:t>: 331-342 [PMID: 23784266 DOI: 10.1007/s40256-013-0029-0]</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49 </w:t>
      </w:r>
      <w:r w:rsidRPr="007505C6">
        <w:rPr>
          <w:rFonts w:ascii="Book Antiqua" w:eastAsia="宋体" w:hAnsi="Book Antiqua" w:cs="宋体"/>
          <w:b/>
          <w:bCs/>
          <w:sz w:val="24"/>
          <w:szCs w:val="24"/>
          <w:lang w:eastAsia="zh-CN"/>
        </w:rPr>
        <w:t>Quinlan DJ</w:t>
      </w:r>
      <w:r w:rsidRPr="007505C6">
        <w:rPr>
          <w:rFonts w:ascii="Book Antiqua" w:eastAsia="宋体" w:hAnsi="Book Antiqua" w:cs="宋体"/>
          <w:sz w:val="24"/>
          <w:szCs w:val="24"/>
          <w:lang w:eastAsia="zh-CN"/>
        </w:rPr>
        <w:t xml:space="preserve">, Eriksson BI. </w:t>
      </w:r>
      <w:proofErr w:type="gramStart"/>
      <w:r w:rsidRPr="007505C6">
        <w:rPr>
          <w:rFonts w:ascii="Book Antiqua" w:eastAsia="宋体" w:hAnsi="Book Antiqua" w:cs="宋体"/>
          <w:sz w:val="24"/>
          <w:szCs w:val="24"/>
          <w:lang w:eastAsia="zh-CN"/>
        </w:rPr>
        <w:t>Novel oral anticoagulants for thromboprophylaxis after orthopaedic surgery.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Best Pract Res Clin Haematol</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26</w:t>
      </w:r>
      <w:r w:rsidRPr="007505C6">
        <w:rPr>
          <w:rFonts w:ascii="Book Antiqua" w:eastAsia="宋体" w:hAnsi="Book Antiqua" w:cs="宋体"/>
          <w:sz w:val="24"/>
          <w:szCs w:val="24"/>
          <w:lang w:eastAsia="zh-CN"/>
        </w:rPr>
        <w:t>: 171-182 [PMID: 23953905 DOI: 10.1016/j.beha.2013.07.003]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50 </w:t>
      </w:r>
      <w:r w:rsidRPr="007505C6">
        <w:rPr>
          <w:rFonts w:ascii="Book Antiqua" w:eastAsia="宋体" w:hAnsi="Book Antiqua" w:cs="宋体"/>
          <w:b/>
          <w:bCs/>
          <w:sz w:val="24"/>
          <w:szCs w:val="24"/>
          <w:lang w:eastAsia="zh-CN"/>
        </w:rPr>
        <w:t>Friedman RJ</w:t>
      </w:r>
      <w:r w:rsidRPr="007505C6">
        <w:rPr>
          <w:rFonts w:ascii="Book Antiqua" w:eastAsia="宋体" w:hAnsi="Book Antiqua" w:cs="宋体"/>
          <w:sz w:val="24"/>
          <w:szCs w:val="24"/>
          <w:lang w:eastAsia="zh-CN"/>
        </w:rPr>
        <w:t>, Kurth A, Clemens A, Noack H, Eriksson BI, Caprini JA. Dabigatran etexilate and concomitant use of non-steroidal anti-inflammatory drugs or acetylsalicylic acid in patients undergoing total hip and total knee arthroplasty: no increased risk of bleeding.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108</w:t>
      </w:r>
      <w:r w:rsidRPr="007505C6">
        <w:rPr>
          <w:rFonts w:ascii="Book Antiqua" w:eastAsia="宋体" w:hAnsi="Book Antiqua" w:cs="宋体"/>
          <w:sz w:val="24"/>
          <w:szCs w:val="24"/>
          <w:lang w:eastAsia="zh-CN"/>
        </w:rPr>
        <w:t>: 183-190 [PMID: 22552763 DOI: 10.1160/TH11-08-0589]</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51 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xml:space="preserve">, Rosencher N, Friedman RJ, Homering M, Dahl OE. </w:t>
      </w:r>
      <w:proofErr w:type="gramStart"/>
      <w:r w:rsidRPr="007505C6">
        <w:rPr>
          <w:rFonts w:ascii="Book Antiqua" w:eastAsia="宋体" w:hAnsi="Book Antiqua" w:cs="宋体"/>
          <w:sz w:val="24"/>
          <w:szCs w:val="24"/>
          <w:lang w:eastAsia="zh-CN"/>
        </w:rPr>
        <w:t>Concomitant use of medication with antiplatelet effects in patients receiving either rivaroxaban or enoxaparin after total hip or knee arthroplasty.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Thromb Res</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130</w:t>
      </w:r>
      <w:r w:rsidRPr="007505C6">
        <w:rPr>
          <w:rFonts w:ascii="Book Antiqua" w:eastAsia="宋体" w:hAnsi="Book Antiqua" w:cs="宋体"/>
          <w:sz w:val="24"/>
          <w:szCs w:val="24"/>
          <w:lang w:eastAsia="zh-CN"/>
        </w:rPr>
        <w:t>: 147-151 [PMID: 22225858 DOI: 10.1016/j.thromres.2011.12.005]</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52 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Dahl OE, Ahnfelt L, Kälebo P, Stangier J, Nehmiz G, Hermansson K, Kohlbrenner V. Dose escalating safety study of a new oral direct thrombin inhibitor, dabigatran etexilate, in patients undergoing total hip replacement: BISTRO I. </w:t>
      </w:r>
      <w:r w:rsidRPr="007505C6">
        <w:rPr>
          <w:rFonts w:ascii="Book Antiqua" w:eastAsia="宋体" w:hAnsi="Book Antiqua" w:cs="宋体"/>
          <w:i/>
          <w:iCs/>
          <w:sz w:val="24"/>
          <w:szCs w:val="24"/>
          <w:lang w:eastAsia="zh-CN"/>
        </w:rPr>
        <w:t>J Thromb Haemost</w:t>
      </w:r>
      <w:r w:rsidRPr="007505C6">
        <w:rPr>
          <w:rFonts w:ascii="Book Antiqua" w:eastAsia="宋体" w:hAnsi="Book Antiqua" w:cs="宋体"/>
          <w:sz w:val="24"/>
          <w:szCs w:val="24"/>
          <w:lang w:eastAsia="zh-CN"/>
        </w:rPr>
        <w:t> 2004; </w:t>
      </w:r>
      <w:r w:rsidRPr="007505C6">
        <w:rPr>
          <w:rFonts w:ascii="Book Antiqua" w:eastAsia="宋体" w:hAnsi="Book Antiqua" w:cs="宋体"/>
          <w:b/>
          <w:bCs/>
          <w:sz w:val="24"/>
          <w:szCs w:val="24"/>
          <w:lang w:eastAsia="zh-CN"/>
        </w:rPr>
        <w:t>2</w:t>
      </w:r>
      <w:r w:rsidRPr="007505C6">
        <w:rPr>
          <w:rFonts w:ascii="Book Antiqua" w:eastAsia="宋体" w:hAnsi="Book Antiqua" w:cs="宋体"/>
          <w:sz w:val="24"/>
          <w:szCs w:val="24"/>
          <w:lang w:eastAsia="zh-CN"/>
        </w:rPr>
        <w:t>: 1573-1580 [PMID: 15333033 DOI: 10.1111/j.1538-7836.2004.00890]</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53 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Dahl OE, Büller HR, Hettiarachchi R, Rosencher N, Bravo ML, Ahnfelt L, Piovella F, Stangier J, Kälebo P, Reilly P. A new oral direct thrombin inhibitor, dabigatran etexilate, compared with enoxaparin for prevention of thromboembolic events following total hip or knee replacement: the BISTRO II randomized trial. </w:t>
      </w:r>
      <w:r w:rsidRPr="007505C6">
        <w:rPr>
          <w:rFonts w:ascii="Book Antiqua" w:eastAsia="宋体" w:hAnsi="Book Antiqua" w:cs="宋体"/>
          <w:i/>
          <w:iCs/>
          <w:sz w:val="24"/>
          <w:szCs w:val="24"/>
          <w:lang w:eastAsia="zh-CN"/>
        </w:rPr>
        <w:t>J Thromb Haemost</w:t>
      </w:r>
      <w:r w:rsidRPr="007505C6">
        <w:rPr>
          <w:rFonts w:ascii="Book Antiqua" w:eastAsia="宋体" w:hAnsi="Book Antiqua" w:cs="宋体"/>
          <w:sz w:val="24"/>
          <w:szCs w:val="24"/>
          <w:lang w:eastAsia="zh-CN"/>
        </w:rPr>
        <w:t> 2005; </w:t>
      </w:r>
      <w:r w:rsidRPr="007505C6">
        <w:rPr>
          <w:rFonts w:ascii="Book Antiqua" w:eastAsia="宋体" w:hAnsi="Book Antiqua" w:cs="宋体"/>
          <w:b/>
          <w:bCs/>
          <w:sz w:val="24"/>
          <w:szCs w:val="24"/>
          <w:lang w:eastAsia="zh-CN"/>
        </w:rPr>
        <w:t>3</w:t>
      </w:r>
      <w:r w:rsidRPr="007505C6">
        <w:rPr>
          <w:rFonts w:ascii="Book Antiqua" w:eastAsia="宋体" w:hAnsi="Book Antiqua" w:cs="宋体"/>
          <w:sz w:val="24"/>
          <w:szCs w:val="24"/>
          <w:lang w:eastAsia="zh-CN"/>
        </w:rPr>
        <w:t>: 103-111 [PMID: 15634273 DOI: 10.1111/j.1538-7836.2004.01100.x]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54 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Dahl OE, Rosencher N, Kurth AA, van Dijk CN, Frostick SP, Prins MH, Hettiarachchi R, Hantel S, Schnee J, Büller HR. Dabigatran etexilate versus enoxaparin for prevention of venous thromboembolism after total hip replacement: a randomised, double-blind, non-inferiority trial. </w:t>
      </w:r>
      <w:r w:rsidRPr="007505C6">
        <w:rPr>
          <w:rFonts w:ascii="Book Antiqua" w:eastAsia="宋体" w:hAnsi="Book Antiqua" w:cs="宋体"/>
          <w:i/>
          <w:iCs/>
          <w:sz w:val="24"/>
          <w:szCs w:val="24"/>
          <w:lang w:eastAsia="zh-CN"/>
        </w:rPr>
        <w:t>Lancet</w:t>
      </w:r>
      <w:r w:rsidRPr="007505C6">
        <w:rPr>
          <w:rFonts w:ascii="Book Antiqua" w:eastAsia="宋体" w:hAnsi="Book Antiqua" w:cs="宋体"/>
          <w:sz w:val="24"/>
          <w:szCs w:val="24"/>
          <w:lang w:eastAsia="zh-CN"/>
        </w:rPr>
        <w:t> 2007; </w:t>
      </w:r>
      <w:r w:rsidRPr="007505C6">
        <w:rPr>
          <w:rFonts w:ascii="Book Antiqua" w:eastAsia="宋体" w:hAnsi="Book Antiqua" w:cs="宋体"/>
          <w:b/>
          <w:bCs/>
          <w:sz w:val="24"/>
          <w:szCs w:val="24"/>
          <w:lang w:eastAsia="zh-CN"/>
        </w:rPr>
        <w:t>370</w:t>
      </w:r>
      <w:r w:rsidRPr="007505C6">
        <w:rPr>
          <w:rFonts w:ascii="Book Antiqua" w:eastAsia="宋体" w:hAnsi="Book Antiqua" w:cs="宋体"/>
          <w:sz w:val="24"/>
          <w:szCs w:val="24"/>
          <w:lang w:eastAsia="zh-CN"/>
        </w:rPr>
        <w:t>: 949-956 [PMID: 17869635 DOI: 10.1016/S0140-6736(07)61445-7]</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55 </w:t>
      </w:r>
      <w:r w:rsidRPr="007505C6">
        <w:rPr>
          <w:rFonts w:ascii="Book Antiqua" w:eastAsia="宋体" w:hAnsi="Book Antiqua" w:cs="宋体"/>
          <w:b/>
          <w:bCs/>
          <w:sz w:val="24"/>
          <w:szCs w:val="24"/>
          <w:lang w:eastAsia="zh-CN"/>
        </w:rPr>
        <w:t>Friedman RJ</w:t>
      </w:r>
      <w:r w:rsidRPr="007505C6">
        <w:rPr>
          <w:rFonts w:ascii="Book Antiqua" w:eastAsia="宋体" w:hAnsi="Book Antiqua" w:cs="宋体"/>
          <w:sz w:val="24"/>
          <w:szCs w:val="24"/>
          <w:lang w:eastAsia="zh-CN"/>
        </w:rPr>
        <w:t>, Dahl OE, Rosencher N, Caprini JA, Kurth AA, Francis CW, Clemens A, Hantel S, Schnee JM, Eriksson BI. Dabigatran versus enoxaparin for prevention of venous thromboembolism after hip or knee arthroplasty: a pooled analysis of three trials. </w:t>
      </w:r>
      <w:r w:rsidRPr="007505C6">
        <w:rPr>
          <w:rFonts w:ascii="Book Antiqua" w:eastAsia="宋体" w:hAnsi="Book Antiqua" w:cs="宋体"/>
          <w:i/>
          <w:iCs/>
          <w:sz w:val="24"/>
          <w:szCs w:val="24"/>
          <w:lang w:eastAsia="zh-CN"/>
        </w:rPr>
        <w:t>Thromb Res</w:t>
      </w:r>
      <w:r w:rsidRPr="007505C6">
        <w:rPr>
          <w:rFonts w:ascii="Book Antiqua" w:eastAsia="宋体" w:hAnsi="Book Antiqua" w:cs="宋体"/>
          <w:sz w:val="24"/>
          <w:szCs w:val="24"/>
          <w:lang w:eastAsia="zh-CN"/>
        </w:rPr>
        <w:t> 2010; </w:t>
      </w:r>
      <w:r w:rsidRPr="007505C6">
        <w:rPr>
          <w:rFonts w:ascii="Book Antiqua" w:eastAsia="宋体" w:hAnsi="Book Antiqua" w:cs="宋体"/>
          <w:b/>
          <w:bCs/>
          <w:sz w:val="24"/>
          <w:szCs w:val="24"/>
          <w:lang w:eastAsia="zh-CN"/>
        </w:rPr>
        <w:t>126</w:t>
      </w:r>
      <w:r w:rsidRPr="007505C6">
        <w:rPr>
          <w:rFonts w:ascii="Book Antiqua" w:eastAsia="宋体" w:hAnsi="Book Antiqua" w:cs="宋体"/>
          <w:sz w:val="24"/>
          <w:szCs w:val="24"/>
          <w:lang w:eastAsia="zh-CN"/>
        </w:rPr>
        <w:t>: 175-182 [PMID: 20434759 DOI: 10.1016/j.thromres.2010.03.021]</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56 </w:t>
      </w:r>
      <w:r w:rsidRPr="007505C6">
        <w:rPr>
          <w:rFonts w:ascii="Book Antiqua" w:eastAsia="宋体" w:hAnsi="Book Antiqua" w:cs="宋体"/>
          <w:b/>
          <w:bCs/>
          <w:sz w:val="24"/>
          <w:szCs w:val="24"/>
          <w:lang w:eastAsia="zh-CN"/>
        </w:rPr>
        <w:t>Gill SK</w:t>
      </w:r>
      <w:r w:rsidRPr="007505C6">
        <w:rPr>
          <w:rFonts w:ascii="Book Antiqua" w:eastAsia="宋体" w:hAnsi="Book Antiqua" w:cs="宋体"/>
          <w:sz w:val="24"/>
          <w:szCs w:val="24"/>
          <w:lang w:eastAsia="zh-CN"/>
        </w:rPr>
        <w:t>, Theodorides A, Smith N, Maguire E, Whitehouse SL, Rigby MC, Ivory JP. Wound problems following hip arthroplasty before and after the introduction of a direct thrombin inhibitor for thromboprophylaxis. </w:t>
      </w:r>
      <w:r w:rsidRPr="007505C6">
        <w:rPr>
          <w:rFonts w:ascii="Book Antiqua" w:eastAsia="宋体" w:hAnsi="Book Antiqua" w:cs="宋体"/>
          <w:i/>
          <w:iCs/>
          <w:sz w:val="24"/>
          <w:szCs w:val="24"/>
          <w:lang w:eastAsia="zh-CN"/>
        </w:rPr>
        <w:t>Hip Int</w:t>
      </w:r>
      <w:r w:rsidRPr="007505C6">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2011</w:t>
      </w:r>
      <w:r w:rsidRPr="007505C6">
        <w:rPr>
          <w:rFonts w:ascii="Book Antiqua" w:eastAsia="宋体" w:hAnsi="Book Antiqua" w:cs="宋体"/>
          <w:sz w:val="24"/>
          <w:szCs w:val="24"/>
          <w:lang w:eastAsia="zh-CN"/>
        </w:rPr>
        <w:t>; </w:t>
      </w:r>
      <w:r w:rsidRPr="007505C6">
        <w:rPr>
          <w:rFonts w:ascii="Book Antiqua" w:eastAsia="宋体" w:hAnsi="Book Antiqua" w:cs="宋体"/>
          <w:b/>
          <w:bCs/>
          <w:sz w:val="24"/>
          <w:szCs w:val="24"/>
          <w:lang w:eastAsia="zh-CN"/>
        </w:rPr>
        <w:t>21</w:t>
      </w:r>
      <w:r w:rsidRPr="007505C6">
        <w:rPr>
          <w:rFonts w:ascii="Book Antiqua" w:eastAsia="宋体" w:hAnsi="Book Antiqua" w:cs="宋体"/>
          <w:sz w:val="24"/>
          <w:szCs w:val="24"/>
          <w:lang w:eastAsia="zh-CN"/>
        </w:rPr>
        <w:t>: 678-683 [PMID: 22117258 DOI: 10.5301/HIP.2011.8842.]</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57 </w:t>
      </w:r>
      <w:r w:rsidRPr="007505C6">
        <w:rPr>
          <w:rFonts w:ascii="Book Antiqua" w:eastAsia="宋体" w:hAnsi="Book Antiqua" w:cs="宋体"/>
          <w:b/>
          <w:bCs/>
          <w:sz w:val="24"/>
          <w:szCs w:val="24"/>
          <w:lang w:eastAsia="zh-CN"/>
        </w:rPr>
        <w:t>Rosencher N</w:t>
      </w:r>
      <w:r w:rsidRPr="007505C6">
        <w:rPr>
          <w:rFonts w:ascii="Book Antiqua" w:eastAsia="宋体" w:hAnsi="Book Antiqua" w:cs="宋体"/>
          <w:sz w:val="24"/>
          <w:szCs w:val="24"/>
          <w:lang w:eastAsia="zh-CN"/>
        </w:rPr>
        <w:t>, Noack H, Feuring M, Clemens A, Friedman RJ, Eriksson BI. Type of anaesthesia and the safety and efficacy of thromboprophylaxis with enoxaparin or dabigatran etexilate in major orthopaedic surgery: pooled analysis of three randomized controlled trials. </w:t>
      </w:r>
      <w:r w:rsidRPr="007505C6">
        <w:rPr>
          <w:rFonts w:ascii="Book Antiqua" w:eastAsia="宋体" w:hAnsi="Book Antiqua" w:cs="宋体"/>
          <w:i/>
          <w:iCs/>
          <w:sz w:val="24"/>
          <w:szCs w:val="24"/>
          <w:lang w:eastAsia="zh-CN"/>
        </w:rPr>
        <w:t>Thromb J</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10</w:t>
      </w:r>
      <w:r w:rsidRPr="007505C6">
        <w:rPr>
          <w:rFonts w:ascii="Book Antiqua" w:eastAsia="宋体" w:hAnsi="Book Antiqua" w:cs="宋体"/>
          <w:sz w:val="24"/>
          <w:szCs w:val="24"/>
          <w:lang w:eastAsia="zh-CN"/>
        </w:rPr>
        <w:t>: 9 [PMID: 22709460 DOI: 10.1186/1477-9560-10-9]</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58 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Borris LC, Dahl OE, Haas S, Huisman MV, Kakkar AK, Misselwitz F, Muehlhofer E, Kälebo P. Dose-escalation study of rivaroxaban (BAY 59-7939)--an oral, direct Factor Xa inhibitor--for the prevention of venous thromboembolism in patients undergoing total hip replacement. </w:t>
      </w:r>
      <w:r w:rsidRPr="007505C6">
        <w:rPr>
          <w:rFonts w:ascii="Book Antiqua" w:eastAsia="宋体" w:hAnsi="Book Antiqua" w:cs="宋体"/>
          <w:i/>
          <w:iCs/>
          <w:sz w:val="24"/>
          <w:szCs w:val="24"/>
          <w:lang w:eastAsia="zh-CN"/>
        </w:rPr>
        <w:t>Thromb Res</w:t>
      </w:r>
      <w:r w:rsidRPr="007505C6">
        <w:rPr>
          <w:rFonts w:ascii="Book Antiqua" w:eastAsia="宋体" w:hAnsi="Book Antiqua" w:cs="宋体"/>
          <w:sz w:val="24"/>
          <w:szCs w:val="24"/>
          <w:lang w:eastAsia="zh-CN"/>
        </w:rPr>
        <w:t> 2007; </w:t>
      </w:r>
      <w:r w:rsidRPr="007505C6">
        <w:rPr>
          <w:rFonts w:ascii="Book Antiqua" w:eastAsia="宋体" w:hAnsi="Book Antiqua" w:cs="宋体"/>
          <w:b/>
          <w:bCs/>
          <w:sz w:val="24"/>
          <w:szCs w:val="24"/>
          <w:lang w:eastAsia="zh-CN"/>
        </w:rPr>
        <w:t>120</w:t>
      </w:r>
      <w:r w:rsidRPr="007505C6">
        <w:rPr>
          <w:rFonts w:ascii="Book Antiqua" w:eastAsia="宋体" w:hAnsi="Book Antiqua" w:cs="宋体"/>
          <w:sz w:val="24"/>
          <w:szCs w:val="24"/>
          <w:lang w:eastAsia="zh-CN"/>
        </w:rPr>
        <w:t>: 685-693 [PMID: 17292948 DOI: 10.1016/j.thromres.2006.12.025]</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59 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Borris L, Dahl OE, Haas S, Huisman MV, Kakkar AK, Misselwitz F, Kälebo P. Oral, direct Factor Xa inhibition with BAY 59-7939 for the prevention of venous thromboembolism after total hip replacement. </w:t>
      </w:r>
      <w:r w:rsidRPr="007505C6">
        <w:rPr>
          <w:rFonts w:ascii="Book Antiqua" w:eastAsia="宋体" w:hAnsi="Book Antiqua" w:cs="宋体"/>
          <w:i/>
          <w:iCs/>
          <w:sz w:val="24"/>
          <w:szCs w:val="24"/>
          <w:lang w:eastAsia="zh-CN"/>
        </w:rPr>
        <w:t>J Thromb Haemost</w:t>
      </w:r>
      <w:r w:rsidRPr="007505C6">
        <w:rPr>
          <w:rFonts w:ascii="Book Antiqua" w:eastAsia="宋体" w:hAnsi="Book Antiqua" w:cs="宋体"/>
          <w:sz w:val="24"/>
          <w:szCs w:val="24"/>
          <w:lang w:eastAsia="zh-CN"/>
        </w:rPr>
        <w:t> 2006; </w:t>
      </w:r>
      <w:r w:rsidRPr="007505C6">
        <w:rPr>
          <w:rFonts w:ascii="Book Antiqua" w:eastAsia="宋体" w:hAnsi="Book Antiqua" w:cs="宋体"/>
          <w:b/>
          <w:bCs/>
          <w:sz w:val="24"/>
          <w:szCs w:val="24"/>
          <w:lang w:eastAsia="zh-CN"/>
        </w:rPr>
        <w:t>4</w:t>
      </w:r>
      <w:r w:rsidRPr="007505C6">
        <w:rPr>
          <w:rFonts w:ascii="Book Antiqua" w:eastAsia="宋体" w:hAnsi="Book Antiqua" w:cs="宋体"/>
          <w:sz w:val="24"/>
          <w:szCs w:val="24"/>
          <w:lang w:eastAsia="zh-CN"/>
        </w:rPr>
        <w:t>: 121-128 [PMID: 16409461 DOI: 10.1111/j.1538-7836.2005.01657.x]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60 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xml:space="preserve">, Borris LC, Dahl OE, Haas S, Huisman MV, Kakkar AK, Muehlhofer E, Dierig C, Misselwitz F, Kälebo P. </w:t>
      </w:r>
      <w:proofErr w:type="gramStart"/>
      <w:r w:rsidRPr="007505C6">
        <w:rPr>
          <w:rFonts w:ascii="Book Antiqua" w:eastAsia="宋体" w:hAnsi="Book Antiqua" w:cs="宋体"/>
          <w:sz w:val="24"/>
          <w:szCs w:val="24"/>
          <w:lang w:eastAsia="zh-CN"/>
        </w:rPr>
        <w:t>A once-daily, oral, direct Factor Xa inhibitor, rivaroxaban (BAY 59-7939), for thromboprophylaxis after total hip replacement.</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Circulation</w:t>
      </w:r>
      <w:r w:rsidRPr="007505C6">
        <w:rPr>
          <w:rFonts w:ascii="Book Antiqua" w:eastAsia="宋体" w:hAnsi="Book Antiqua" w:cs="宋体"/>
          <w:sz w:val="24"/>
          <w:szCs w:val="24"/>
          <w:lang w:eastAsia="zh-CN"/>
        </w:rPr>
        <w:t> 2006; </w:t>
      </w:r>
      <w:r w:rsidRPr="007505C6">
        <w:rPr>
          <w:rFonts w:ascii="Book Antiqua" w:eastAsia="宋体" w:hAnsi="Book Antiqua" w:cs="宋体"/>
          <w:b/>
          <w:bCs/>
          <w:sz w:val="24"/>
          <w:szCs w:val="24"/>
          <w:lang w:eastAsia="zh-CN"/>
        </w:rPr>
        <w:t>114</w:t>
      </w:r>
      <w:r w:rsidRPr="007505C6">
        <w:rPr>
          <w:rFonts w:ascii="Book Antiqua" w:eastAsia="宋体" w:hAnsi="Book Antiqua" w:cs="宋体"/>
          <w:sz w:val="24"/>
          <w:szCs w:val="24"/>
          <w:lang w:eastAsia="zh-CN"/>
        </w:rPr>
        <w:t>: 2374-2381 [PMID: 17116766 DOI: 10.1161/CIRCULATIONAHA.106.642074]</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61 </w:t>
      </w:r>
      <w:r w:rsidRPr="007505C6">
        <w:rPr>
          <w:rFonts w:ascii="Book Antiqua" w:eastAsia="宋体" w:hAnsi="Book Antiqua" w:cs="宋体"/>
          <w:b/>
          <w:bCs/>
          <w:sz w:val="24"/>
          <w:szCs w:val="24"/>
          <w:lang w:eastAsia="zh-CN"/>
        </w:rPr>
        <w:t>Mueck W</w:t>
      </w:r>
      <w:r w:rsidRPr="007505C6">
        <w:rPr>
          <w:rFonts w:ascii="Book Antiqua" w:eastAsia="宋体" w:hAnsi="Book Antiqua" w:cs="宋体"/>
          <w:sz w:val="24"/>
          <w:szCs w:val="24"/>
          <w:lang w:eastAsia="zh-CN"/>
        </w:rPr>
        <w:t xml:space="preserve">, Borris LC, Dahl OE, Haas S, Huisman MV, Kakkar AK, Kälebo P, Muelhofer E, Misselwitz F, Eriksson BI. </w:t>
      </w:r>
      <w:proofErr w:type="gramStart"/>
      <w:r w:rsidRPr="007505C6">
        <w:rPr>
          <w:rFonts w:ascii="Book Antiqua" w:eastAsia="宋体" w:hAnsi="Book Antiqua" w:cs="宋体"/>
          <w:sz w:val="24"/>
          <w:szCs w:val="24"/>
          <w:lang w:eastAsia="zh-CN"/>
        </w:rPr>
        <w:t>Population pharmacokinetics and pharmacodynamics of once- and twice-daily rivaroxaban for the prevention of venous thromboembolism in patients undergoing total hip replacement.</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2008; </w:t>
      </w:r>
      <w:r w:rsidRPr="007505C6">
        <w:rPr>
          <w:rFonts w:ascii="Book Antiqua" w:eastAsia="宋体" w:hAnsi="Book Antiqua" w:cs="宋体"/>
          <w:b/>
          <w:bCs/>
          <w:sz w:val="24"/>
          <w:szCs w:val="24"/>
          <w:lang w:eastAsia="zh-CN"/>
        </w:rPr>
        <w:t>100</w:t>
      </w:r>
      <w:r w:rsidRPr="007505C6">
        <w:rPr>
          <w:rFonts w:ascii="Book Antiqua" w:eastAsia="宋体" w:hAnsi="Book Antiqua" w:cs="宋体"/>
          <w:sz w:val="24"/>
          <w:szCs w:val="24"/>
          <w:lang w:eastAsia="zh-CN"/>
        </w:rPr>
        <w:t>: 453-461 [PMID: 18766262 DOI: 10.1160/TH07-12-0714]</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62 </w:t>
      </w:r>
      <w:r w:rsidRPr="007505C6">
        <w:rPr>
          <w:rFonts w:ascii="Book Antiqua" w:eastAsia="宋体" w:hAnsi="Book Antiqua" w:cs="宋体"/>
          <w:b/>
          <w:bCs/>
          <w:sz w:val="24"/>
          <w:szCs w:val="24"/>
          <w:lang w:eastAsia="zh-CN"/>
        </w:rPr>
        <w:t>Eriksson BI</w:t>
      </w:r>
      <w:r w:rsidRPr="007505C6">
        <w:rPr>
          <w:rFonts w:ascii="Book Antiqua" w:eastAsia="宋体" w:hAnsi="Book Antiqua" w:cs="宋体"/>
          <w:sz w:val="24"/>
          <w:szCs w:val="24"/>
          <w:lang w:eastAsia="zh-CN"/>
        </w:rPr>
        <w:t>, Borris LC, Friedman RJ, Haas S, Huisman MV, Kakkar AK, Bandel TJ, Beckmann H, Muehlhofer E, Misselwitz F, Geerts W. Rivaroxaban versus enoxaparin for thromboprophylaxis after hip arthroplasty. </w:t>
      </w:r>
      <w:r w:rsidRPr="007505C6">
        <w:rPr>
          <w:rFonts w:ascii="Book Antiqua" w:eastAsia="宋体" w:hAnsi="Book Antiqua" w:cs="宋体"/>
          <w:i/>
          <w:iCs/>
          <w:sz w:val="24"/>
          <w:szCs w:val="24"/>
          <w:lang w:eastAsia="zh-CN"/>
        </w:rPr>
        <w:t>N Engl J Med</w:t>
      </w:r>
      <w:r w:rsidRPr="007505C6">
        <w:rPr>
          <w:rFonts w:ascii="Book Antiqua" w:eastAsia="宋体" w:hAnsi="Book Antiqua" w:cs="宋体"/>
          <w:sz w:val="24"/>
          <w:szCs w:val="24"/>
          <w:lang w:eastAsia="zh-CN"/>
        </w:rPr>
        <w:t> 2008; </w:t>
      </w:r>
      <w:r w:rsidRPr="007505C6">
        <w:rPr>
          <w:rFonts w:ascii="Book Antiqua" w:eastAsia="宋体" w:hAnsi="Book Antiqua" w:cs="宋体"/>
          <w:b/>
          <w:bCs/>
          <w:sz w:val="24"/>
          <w:szCs w:val="24"/>
          <w:lang w:eastAsia="zh-CN"/>
        </w:rPr>
        <w:t>358</w:t>
      </w:r>
      <w:r w:rsidRPr="007505C6">
        <w:rPr>
          <w:rFonts w:ascii="Book Antiqua" w:eastAsia="宋体" w:hAnsi="Book Antiqua" w:cs="宋体"/>
          <w:sz w:val="24"/>
          <w:szCs w:val="24"/>
          <w:lang w:eastAsia="zh-CN"/>
        </w:rPr>
        <w:t>: 2765-2775 [PMID: 18579811 DOI: 10.1056/NEJMoa0800374]</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63 </w:t>
      </w:r>
      <w:r w:rsidRPr="007505C6">
        <w:rPr>
          <w:rFonts w:ascii="Book Antiqua" w:eastAsia="宋体" w:hAnsi="Book Antiqua" w:cs="宋体"/>
          <w:b/>
          <w:bCs/>
          <w:sz w:val="24"/>
          <w:szCs w:val="24"/>
          <w:lang w:eastAsia="zh-CN"/>
        </w:rPr>
        <w:t>Kakkar AK</w:t>
      </w:r>
      <w:r w:rsidRPr="007505C6">
        <w:rPr>
          <w:rFonts w:ascii="Book Antiqua" w:eastAsia="宋体" w:hAnsi="Book Antiqua" w:cs="宋体"/>
          <w:sz w:val="24"/>
          <w:szCs w:val="24"/>
          <w:lang w:eastAsia="zh-CN"/>
        </w:rPr>
        <w:t>, Brenner B, Dahl OE, Eriksson BI, Mouret P, Muntz J, Soglian AG, Pap AF, Misselwitz F, Haas S. Extended duration rivaroxaban versus short-term enoxaparin for the prevention of venous thromboembolism after total hip arthroplasty: a double-blind, randomised controlled trial. </w:t>
      </w:r>
      <w:r w:rsidRPr="007505C6">
        <w:rPr>
          <w:rFonts w:ascii="Book Antiqua" w:eastAsia="宋体" w:hAnsi="Book Antiqua" w:cs="宋体"/>
          <w:i/>
          <w:iCs/>
          <w:sz w:val="24"/>
          <w:szCs w:val="24"/>
          <w:lang w:eastAsia="zh-CN"/>
        </w:rPr>
        <w:t>Lancet</w:t>
      </w:r>
      <w:r w:rsidRPr="007505C6">
        <w:rPr>
          <w:rFonts w:ascii="Book Antiqua" w:eastAsia="宋体" w:hAnsi="Book Antiqua" w:cs="宋体"/>
          <w:sz w:val="24"/>
          <w:szCs w:val="24"/>
          <w:lang w:eastAsia="zh-CN"/>
        </w:rPr>
        <w:t> 2008; </w:t>
      </w:r>
      <w:r w:rsidRPr="007505C6">
        <w:rPr>
          <w:rFonts w:ascii="Book Antiqua" w:eastAsia="宋体" w:hAnsi="Book Antiqua" w:cs="宋体"/>
          <w:b/>
          <w:bCs/>
          <w:sz w:val="24"/>
          <w:szCs w:val="24"/>
          <w:lang w:eastAsia="zh-CN"/>
        </w:rPr>
        <w:t>372</w:t>
      </w:r>
      <w:r w:rsidRPr="007505C6">
        <w:rPr>
          <w:rFonts w:ascii="Book Antiqua" w:eastAsia="宋体" w:hAnsi="Book Antiqua" w:cs="宋体"/>
          <w:sz w:val="24"/>
          <w:szCs w:val="24"/>
          <w:lang w:eastAsia="zh-CN"/>
        </w:rPr>
        <w:t>: 31-39 [PMID: 18582928 DOI: 10.1016/S0140-6736(08)60880-6]</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64 </w:t>
      </w:r>
      <w:r w:rsidRPr="007505C6">
        <w:rPr>
          <w:rFonts w:ascii="Book Antiqua" w:eastAsia="宋体" w:hAnsi="Book Antiqua" w:cs="宋体"/>
          <w:b/>
          <w:bCs/>
          <w:sz w:val="24"/>
          <w:szCs w:val="24"/>
          <w:lang w:eastAsia="zh-CN"/>
        </w:rPr>
        <w:t>Turpie AG</w:t>
      </w:r>
      <w:r w:rsidRPr="007505C6">
        <w:rPr>
          <w:rFonts w:ascii="Book Antiqua" w:eastAsia="宋体" w:hAnsi="Book Antiqua" w:cs="宋体"/>
          <w:sz w:val="24"/>
          <w:szCs w:val="24"/>
          <w:lang w:eastAsia="zh-CN"/>
        </w:rPr>
        <w:t>, Haas S, Kreutz R, Mantovani LG, Pattanayak CW, Holberg G, Jamal W, Schmidt A, van Eickels M, Lassen MR. A non-interventional comparison of rivaroxaban with standard of care for thromboprophylaxis after major orthopaedic surgery in 17,701 patients with propensity score adjustment.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2014; </w:t>
      </w:r>
      <w:r w:rsidRPr="007505C6">
        <w:rPr>
          <w:rFonts w:ascii="Book Antiqua" w:eastAsia="宋体" w:hAnsi="Book Antiqua" w:cs="宋体"/>
          <w:b/>
          <w:bCs/>
          <w:sz w:val="24"/>
          <w:szCs w:val="24"/>
          <w:lang w:eastAsia="zh-CN"/>
        </w:rPr>
        <w:t>111</w:t>
      </w:r>
      <w:r w:rsidRPr="007505C6">
        <w:rPr>
          <w:rFonts w:ascii="Book Antiqua" w:eastAsia="宋体" w:hAnsi="Book Antiqua" w:cs="宋体"/>
          <w:sz w:val="24"/>
          <w:szCs w:val="24"/>
          <w:lang w:eastAsia="zh-CN"/>
        </w:rPr>
        <w:t>: 94-102 [PMID: 24154549 DOI: 10.1160/TH13-08-0666]</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65 </w:t>
      </w:r>
      <w:r w:rsidRPr="007505C6">
        <w:rPr>
          <w:rFonts w:ascii="Book Antiqua" w:eastAsia="宋体" w:hAnsi="Book Antiqua" w:cs="宋体"/>
          <w:b/>
          <w:bCs/>
          <w:sz w:val="24"/>
          <w:szCs w:val="24"/>
          <w:lang w:eastAsia="zh-CN"/>
        </w:rPr>
        <w:t>Lassen MR</w:t>
      </w:r>
      <w:r w:rsidRPr="007505C6">
        <w:rPr>
          <w:rFonts w:ascii="Book Antiqua" w:eastAsia="宋体" w:hAnsi="Book Antiqua" w:cs="宋体"/>
          <w:sz w:val="24"/>
          <w:szCs w:val="24"/>
          <w:lang w:eastAsia="zh-CN"/>
        </w:rPr>
        <w:t>, Gent M, Kakkar AK, Eriksson BI, Homering M, Berkowitz SD, Turpie AG. The effects of rivaroxaban on the complications of surgery after total hip or knee replacement: results from the RECORD programme. </w:t>
      </w:r>
      <w:r w:rsidRPr="007505C6">
        <w:rPr>
          <w:rFonts w:ascii="Book Antiqua" w:eastAsia="宋体" w:hAnsi="Book Antiqua" w:cs="宋体"/>
          <w:i/>
          <w:iCs/>
          <w:sz w:val="24"/>
          <w:szCs w:val="24"/>
          <w:lang w:eastAsia="zh-CN"/>
        </w:rPr>
        <w:t>J Bone Joint Surg Br</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94</w:t>
      </w:r>
      <w:r w:rsidRPr="007505C6">
        <w:rPr>
          <w:rFonts w:ascii="Book Antiqua" w:eastAsia="宋体" w:hAnsi="Book Antiqua" w:cs="宋体"/>
          <w:sz w:val="24"/>
          <w:szCs w:val="24"/>
          <w:lang w:eastAsia="zh-CN"/>
        </w:rPr>
        <w:t>: 1573-1578 [PMID: 23109641 DOI: 10.1302/0301-620X.94B11.28955]</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66 </w:t>
      </w:r>
      <w:r w:rsidRPr="007505C6">
        <w:rPr>
          <w:rFonts w:ascii="Book Antiqua" w:eastAsia="宋体" w:hAnsi="Book Antiqua" w:cs="宋体"/>
          <w:b/>
          <w:bCs/>
          <w:sz w:val="24"/>
          <w:szCs w:val="24"/>
          <w:lang w:eastAsia="zh-CN"/>
        </w:rPr>
        <w:t>Jensen CD</w:t>
      </w:r>
      <w:r w:rsidRPr="007505C6">
        <w:rPr>
          <w:rFonts w:ascii="Book Antiqua" w:eastAsia="宋体" w:hAnsi="Book Antiqua" w:cs="宋体"/>
          <w:sz w:val="24"/>
          <w:szCs w:val="24"/>
          <w:lang w:eastAsia="zh-CN"/>
        </w:rPr>
        <w:t>, Steval A, Partington PF, Reed MR, Muller SD. Return to theatre following total hip and knee replacement, before and after the introduction of rivaroxaban: a retrospective cohort study. </w:t>
      </w:r>
      <w:r w:rsidRPr="007505C6">
        <w:rPr>
          <w:rFonts w:ascii="Book Antiqua" w:eastAsia="宋体" w:hAnsi="Book Antiqua" w:cs="宋体"/>
          <w:i/>
          <w:iCs/>
          <w:sz w:val="24"/>
          <w:szCs w:val="24"/>
          <w:lang w:eastAsia="zh-CN"/>
        </w:rPr>
        <w:t>J Bone Joint Surg Br</w:t>
      </w:r>
      <w:r w:rsidRPr="007505C6">
        <w:rPr>
          <w:rFonts w:ascii="Book Antiqua" w:eastAsia="宋体" w:hAnsi="Book Antiqua" w:cs="宋体"/>
          <w:sz w:val="24"/>
          <w:szCs w:val="24"/>
          <w:lang w:eastAsia="zh-CN"/>
        </w:rPr>
        <w:t> 2011; </w:t>
      </w:r>
      <w:r w:rsidRPr="007505C6">
        <w:rPr>
          <w:rFonts w:ascii="Book Antiqua" w:eastAsia="宋体" w:hAnsi="Book Antiqua" w:cs="宋体"/>
          <w:b/>
          <w:bCs/>
          <w:sz w:val="24"/>
          <w:szCs w:val="24"/>
          <w:lang w:eastAsia="zh-CN"/>
        </w:rPr>
        <w:t>93</w:t>
      </w:r>
      <w:r w:rsidRPr="007505C6">
        <w:rPr>
          <w:rFonts w:ascii="Book Antiqua" w:eastAsia="宋体" w:hAnsi="Book Antiqua" w:cs="宋体"/>
          <w:sz w:val="24"/>
          <w:szCs w:val="24"/>
          <w:lang w:eastAsia="zh-CN"/>
        </w:rPr>
        <w:t>: 91-95 [PMID: 21196550 DOI: 10.1302/0301-620X.93B1.24987]</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67 </w:t>
      </w:r>
      <w:r w:rsidRPr="007505C6">
        <w:rPr>
          <w:rFonts w:ascii="Book Antiqua" w:eastAsia="宋体" w:hAnsi="Book Antiqua" w:cs="宋体"/>
          <w:b/>
          <w:bCs/>
          <w:sz w:val="24"/>
          <w:szCs w:val="24"/>
          <w:lang w:eastAsia="zh-CN"/>
        </w:rPr>
        <w:t>Sindali K</w:t>
      </w:r>
      <w:r w:rsidRPr="007505C6">
        <w:rPr>
          <w:rFonts w:ascii="Book Antiqua" w:eastAsia="宋体" w:hAnsi="Book Antiqua" w:cs="宋体"/>
          <w:sz w:val="24"/>
          <w:szCs w:val="24"/>
          <w:lang w:eastAsia="zh-CN"/>
        </w:rPr>
        <w:t>, Rose B, Soueid H, Jeer P, Saran D, Shrivastava R. Elective hip and knee arthroplasty and the effect of rivaroxaban and enoxaparin thromboprophylaxis on wound healing. </w:t>
      </w:r>
      <w:r w:rsidRPr="007505C6">
        <w:rPr>
          <w:rFonts w:ascii="Book Antiqua" w:eastAsia="宋体" w:hAnsi="Book Antiqua" w:cs="宋体"/>
          <w:i/>
          <w:iCs/>
          <w:sz w:val="24"/>
          <w:szCs w:val="24"/>
          <w:lang w:eastAsia="zh-CN"/>
        </w:rPr>
        <w:t>Eur J Orthop Surg Traumatol</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23</w:t>
      </w:r>
      <w:r w:rsidRPr="007505C6">
        <w:rPr>
          <w:rFonts w:ascii="Book Antiqua" w:eastAsia="宋体" w:hAnsi="Book Antiqua" w:cs="宋体"/>
          <w:sz w:val="24"/>
          <w:szCs w:val="24"/>
          <w:lang w:eastAsia="zh-CN"/>
        </w:rPr>
        <w:t>: 481-486 [PMID: 23412293 DOI: 10.1007/s00590-012-0987-y]</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68 </w:t>
      </w:r>
      <w:r w:rsidRPr="007505C6">
        <w:rPr>
          <w:rFonts w:ascii="Book Antiqua" w:eastAsia="宋体" w:hAnsi="Book Antiqua" w:cs="宋体"/>
          <w:b/>
          <w:bCs/>
          <w:sz w:val="24"/>
          <w:szCs w:val="24"/>
          <w:lang w:eastAsia="zh-CN"/>
        </w:rPr>
        <w:t>Chahal GS</w:t>
      </w:r>
      <w:r w:rsidRPr="007505C6">
        <w:rPr>
          <w:rFonts w:ascii="Book Antiqua" w:eastAsia="宋体" w:hAnsi="Book Antiqua" w:cs="宋体"/>
          <w:sz w:val="24"/>
          <w:szCs w:val="24"/>
          <w:lang w:eastAsia="zh-CN"/>
        </w:rPr>
        <w:t xml:space="preserve">, Saithna A, Brewster M, Gilbody J, Lever S, Khan WS, Foguet P. </w:t>
      </w:r>
      <w:proofErr w:type="gramStart"/>
      <w:r w:rsidRPr="007505C6">
        <w:rPr>
          <w:rFonts w:ascii="Book Antiqua" w:eastAsia="宋体" w:hAnsi="Book Antiqua" w:cs="宋体"/>
          <w:sz w:val="24"/>
          <w:szCs w:val="24"/>
          <w:lang w:eastAsia="zh-CN"/>
        </w:rPr>
        <w:t>A comparison of complications requiring return to theatre in hip and knee arthroplasty patients taking enoxaparin versus rivaroxaban for thromboprophylaxis.</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Ortop Traumatol Rehabil</w:t>
      </w:r>
      <w:r w:rsidRPr="007505C6">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2013</w:t>
      </w:r>
      <w:r w:rsidRPr="007505C6">
        <w:rPr>
          <w:rFonts w:ascii="Book Antiqua" w:eastAsia="宋体" w:hAnsi="Book Antiqua" w:cs="宋体"/>
          <w:sz w:val="24"/>
          <w:szCs w:val="24"/>
          <w:lang w:eastAsia="zh-CN"/>
        </w:rPr>
        <w:t>; </w:t>
      </w:r>
      <w:r w:rsidRPr="007505C6">
        <w:rPr>
          <w:rFonts w:ascii="Book Antiqua" w:eastAsia="宋体" w:hAnsi="Book Antiqua" w:cs="宋体"/>
          <w:b/>
          <w:bCs/>
          <w:sz w:val="24"/>
          <w:szCs w:val="24"/>
          <w:lang w:eastAsia="zh-CN"/>
        </w:rPr>
        <w:t>15</w:t>
      </w:r>
      <w:r w:rsidRPr="007505C6">
        <w:rPr>
          <w:rFonts w:ascii="Book Antiqua" w:eastAsia="宋体" w:hAnsi="Book Antiqua" w:cs="宋体"/>
          <w:sz w:val="24"/>
          <w:szCs w:val="24"/>
          <w:lang w:eastAsia="zh-CN"/>
        </w:rPr>
        <w:t>: 125-129 [PMID: 23652532 DOI: 10.5604/15093492.1045953]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69 </w:t>
      </w:r>
      <w:r w:rsidRPr="007505C6">
        <w:rPr>
          <w:rFonts w:ascii="Book Antiqua" w:eastAsia="宋体" w:hAnsi="Book Antiqua" w:cs="宋体"/>
          <w:b/>
          <w:bCs/>
          <w:sz w:val="24"/>
          <w:szCs w:val="24"/>
          <w:lang w:eastAsia="zh-CN"/>
        </w:rPr>
        <w:t>Jameson SS</w:t>
      </w:r>
      <w:r w:rsidRPr="007505C6">
        <w:rPr>
          <w:rFonts w:ascii="Book Antiqua" w:eastAsia="宋体" w:hAnsi="Book Antiqua" w:cs="宋体"/>
          <w:sz w:val="24"/>
          <w:szCs w:val="24"/>
          <w:lang w:eastAsia="zh-CN"/>
        </w:rPr>
        <w:t>, Rymaszewska M, Hui AC, James P, Serrano-Pedraza I, Muller SD. Wound complications following rivaroxaban administration: a multicenter comparison with low-molecular-weight heparins for thromboprophylaxis in lower limb arthroplasty. </w:t>
      </w:r>
      <w:r w:rsidRPr="007505C6">
        <w:rPr>
          <w:rFonts w:ascii="Book Antiqua" w:eastAsia="宋体" w:hAnsi="Book Antiqua" w:cs="宋体"/>
          <w:i/>
          <w:iCs/>
          <w:sz w:val="24"/>
          <w:szCs w:val="24"/>
          <w:lang w:eastAsia="zh-CN"/>
        </w:rPr>
        <w:t>J Bone Joint Surg Am</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94</w:t>
      </w:r>
      <w:r w:rsidRPr="007505C6">
        <w:rPr>
          <w:rFonts w:ascii="Book Antiqua" w:eastAsia="宋体" w:hAnsi="Book Antiqua" w:cs="宋体"/>
          <w:sz w:val="24"/>
          <w:szCs w:val="24"/>
          <w:lang w:eastAsia="zh-CN"/>
        </w:rPr>
        <w:t>: 1554-1558 [PMID: 22832942 DOI: 10.2106/JBJS.K.00521]</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70 </w:t>
      </w:r>
      <w:r w:rsidRPr="007505C6">
        <w:rPr>
          <w:rFonts w:ascii="Book Antiqua" w:eastAsia="宋体" w:hAnsi="Book Antiqua" w:cs="宋体"/>
          <w:b/>
          <w:sz w:val="24"/>
          <w:szCs w:val="24"/>
          <w:lang w:eastAsia="zh-CN"/>
        </w:rPr>
        <w:t>Buddhdev P</w:t>
      </w:r>
      <w:r w:rsidRPr="007505C6">
        <w:rPr>
          <w:rFonts w:ascii="Book Antiqua" w:eastAsia="宋体" w:hAnsi="Book Antiqua" w:cs="宋体"/>
          <w:sz w:val="24"/>
          <w:szCs w:val="24"/>
          <w:lang w:eastAsia="zh-CN"/>
        </w:rPr>
        <w:t xml:space="preserve">, Basu D, Davies N, and Waters T. Rivaroxaban vs. enoxaparin: short-term outcome of 1223 patients undergoing lower limb arthroplasty enrolled in an Enhanced Recover Programme. </w:t>
      </w:r>
      <w:r w:rsidRPr="007505C6">
        <w:rPr>
          <w:rFonts w:ascii="Book Antiqua" w:eastAsia="宋体" w:hAnsi="Book Antiqua" w:cs="宋体"/>
          <w:i/>
          <w:sz w:val="24"/>
          <w:szCs w:val="24"/>
          <w:lang w:eastAsia="zh-CN"/>
        </w:rPr>
        <w:t xml:space="preserve">Bone Joint J </w:t>
      </w:r>
      <w:r w:rsidRPr="007505C6">
        <w:rPr>
          <w:rFonts w:ascii="Book Antiqua" w:eastAsia="宋体" w:hAnsi="Book Antiqua" w:cs="宋体"/>
          <w:sz w:val="24"/>
          <w:szCs w:val="24"/>
          <w:lang w:eastAsia="zh-CN"/>
        </w:rPr>
        <w:t xml:space="preserve">2013; </w:t>
      </w:r>
      <w:r w:rsidRPr="007505C6">
        <w:rPr>
          <w:rFonts w:ascii="Book Antiqua" w:eastAsia="宋体" w:hAnsi="Book Antiqua" w:cs="宋体"/>
          <w:b/>
          <w:sz w:val="24"/>
          <w:szCs w:val="24"/>
          <w:lang w:eastAsia="zh-CN"/>
        </w:rPr>
        <w:t>95</w:t>
      </w:r>
      <w:r w:rsidRPr="007505C6">
        <w:rPr>
          <w:rFonts w:ascii="Book Antiqua" w:eastAsia="宋体" w:hAnsi="Book Antiqua" w:cs="宋体"/>
          <w:sz w:val="24"/>
          <w:szCs w:val="24"/>
          <w:lang w:eastAsia="zh-CN"/>
        </w:rPr>
        <w:t xml:space="preserve"> Suppl 1: 166</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71 </w:t>
      </w:r>
      <w:r w:rsidRPr="007505C6">
        <w:rPr>
          <w:rFonts w:ascii="Book Antiqua" w:eastAsia="宋体" w:hAnsi="Book Antiqua" w:cs="宋体"/>
          <w:b/>
          <w:bCs/>
          <w:sz w:val="24"/>
          <w:szCs w:val="24"/>
          <w:lang w:eastAsia="zh-CN"/>
        </w:rPr>
        <w:t>Rosencher N</w:t>
      </w:r>
      <w:r w:rsidRPr="007505C6">
        <w:rPr>
          <w:rFonts w:ascii="Book Antiqua" w:eastAsia="宋体" w:hAnsi="Book Antiqua" w:cs="宋体"/>
          <w:sz w:val="24"/>
          <w:szCs w:val="24"/>
          <w:lang w:eastAsia="zh-CN"/>
        </w:rPr>
        <w:t>, Llau JV, Mueck W, Loewe A, Berkowitz SD, Homering M. Incidence of neuraxial haematoma after total hip or knee surgery: RECORD programme (rivaroxaban vs. enoxaparin). </w:t>
      </w:r>
      <w:r w:rsidRPr="007505C6">
        <w:rPr>
          <w:rFonts w:ascii="Book Antiqua" w:eastAsia="宋体" w:hAnsi="Book Antiqua" w:cs="宋体"/>
          <w:i/>
          <w:iCs/>
          <w:sz w:val="24"/>
          <w:szCs w:val="24"/>
          <w:lang w:eastAsia="zh-CN"/>
        </w:rPr>
        <w:t>Acta Anaesthesiol Scand</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57</w:t>
      </w:r>
      <w:r w:rsidRPr="007505C6">
        <w:rPr>
          <w:rFonts w:ascii="Book Antiqua" w:eastAsia="宋体" w:hAnsi="Book Antiqua" w:cs="宋体"/>
          <w:sz w:val="24"/>
          <w:szCs w:val="24"/>
          <w:lang w:eastAsia="zh-CN"/>
        </w:rPr>
        <w:t>: 565-572 [PMID: 23336294 DOI: 10.1111/aas.12069]</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72 </w:t>
      </w:r>
      <w:r w:rsidRPr="007505C6">
        <w:rPr>
          <w:rFonts w:ascii="Book Antiqua" w:eastAsia="宋体" w:hAnsi="Book Antiqua" w:cs="宋体"/>
          <w:b/>
          <w:bCs/>
          <w:sz w:val="24"/>
          <w:szCs w:val="24"/>
          <w:lang w:eastAsia="zh-CN"/>
        </w:rPr>
        <w:t>Lassen MR</w:t>
      </w:r>
      <w:r w:rsidRPr="007505C6">
        <w:rPr>
          <w:rFonts w:ascii="Book Antiqua" w:eastAsia="宋体" w:hAnsi="Book Antiqua" w:cs="宋体"/>
          <w:sz w:val="24"/>
          <w:szCs w:val="24"/>
          <w:lang w:eastAsia="zh-CN"/>
        </w:rPr>
        <w:t>, Davidson BL, Gallus A, Pineo G, Ansell J, Deitchman D. The efficacy and safety of apixaban, an oral, direct factor Xa inhibitor, as thromboprophylaxis in patients following total knee replacement. </w:t>
      </w:r>
      <w:r w:rsidRPr="007505C6">
        <w:rPr>
          <w:rFonts w:ascii="Book Antiqua" w:eastAsia="宋体" w:hAnsi="Book Antiqua" w:cs="宋体"/>
          <w:i/>
          <w:iCs/>
          <w:sz w:val="24"/>
          <w:szCs w:val="24"/>
          <w:lang w:eastAsia="zh-CN"/>
        </w:rPr>
        <w:t>J Thromb Haemost</w:t>
      </w:r>
      <w:r w:rsidRPr="007505C6">
        <w:rPr>
          <w:rFonts w:ascii="Book Antiqua" w:eastAsia="宋体" w:hAnsi="Book Antiqua" w:cs="宋体"/>
          <w:sz w:val="24"/>
          <w:szCs w:val="24"/>
          <w:lang w:eastAsia="zh-CN"/>
        </w:rPr>
        <w:t> 2007; </w:t>
      </w:r>
      <w:r w:rsidRPr="007505C6">
        <w:rPr>
          <w:rFonts w:ascii="Book Antiqua" w:eastAsia="宋体" w:hAnsi="Book Antiqua" w:cs="宋体"/>
          <w:b/>
          <w:bCs/>
          <w:sz w:val="24"/>
          <w:szCs w:val="24"/>
          <w:lang w:eastAsia="zh-CN"/>
        </w:rPr>
        <w:t>5</w:t>
      </w:r>
      <w:r w:rsidRPr="007505C6">
        <w:rPr>
          <w:rFonts w:ascii="Book Antiqua" w:eastAsia="宋体" w:hAnsi="Book Antiqua" w:cs="宋体"/>
          <w:sz w:val="24"/>
          <w:szCs w:val="24"/>
          <w:lang w:eastAsia="zh-CN"/>
        </w:rPr>
        <w:t>: 2368-2375 [PMID: 17868430 DOI: 10.1111/j.1538-7836.2007.02764.x]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73 </w:t>
      </w:r>
      <w:r w:rsidRPr="007505C6">
        <w:rPr>
          <w:rFonts w:ascii="Book Antiqua" w:eastAsia="宋体" w:hAnsi="Book Antiqua" w:cs="宋体"/>
          <w:b/>
          <w:bCs/>
          <w:sz w:val="24"/>
          <w:szCs w:val="24"/>
          <w:lang w:eastAsia="zh-CN"/>
        </w:rPr>
        <w:t>Lassen MR</w:t>
      </w:r>
      <w:r w:rsidRPr="007505C6">
        <w:rPr>
          <w:rFonts w:ascii="Book Antiqua" w:eastAsia="宋体" w:hAnsi="Book Antiqua" w:cs="宋体"/>
          <w:sz w:val="24"/>
          <w:szCs w:val="24"/>
          <w:lang w:eastAsia="zh-CN"/>
        </w:rPr>
        <w:t xml:space="preserve">, Gallus A, Raskob GE, Pineo G, Chen D, Ramirez LM. </w:t>
      </w:r>
      <w:proofErr w:type="gramStart"/>
      <w:r w:rsidRPr="007505C6">
        <w:rPr>
          <w:rFonts w:ascii="Book Antiqua" w:eastAsia="宋体" w:hAnsi="Book Antiqua" w:cs="宋体"/>
          <w:sz w:val="24"/>
          <w:szCs w:val="24"/>
          <w:lang w:eastAsia="zh-CN"/>
        </w:rPr>
        <w:t>Apixaban versus enoxaparin for thromboprophylaxis after hip replacement.</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N Engl J Med</w:t>
      </w:r>
      <w:r w:rsidRPr="007505C6">
        <w:rPr>
          <w:rFonts w:ascii="Book Antiqua" w:eastAsia="宋体" w:hAnsi="Book Antiqua" w:cs="宋体"/>
          <w:sz w:val="24"/>
          <w:szCs w:val="24"/>
          <w:lang w:eastAsia="zh-CN"/>
        </w:rPr>
        <w:t> 2010; </w:t>
      </w:r>
      <w:r w:rsidRPr="007505C6">
        <w:rPr>
          <w:rFonts w:ascii="Book Antiqua" w:eastAsia="宋体" w:hAnsi="Book Antiqua" w:cs="宋体"/>
          <w:b/>
          <w:bCs/>
          <w:sz w:val="24"/>
          <w:szCs w:val="24"/>
          <w:lang w:eastAsia="zh-CN"/>
        </w:rPr>
        <w:t>363</w:t>
      </w:r>
      <w:r w:rsidRPr="007505C6">
        <w:rPr>
          <w:rFonts w:ascii="Book Antiqua" w:eastAsia="宋体" w:hAnsi="Book Antiqua" w:cs="宋体"/>
          <w:sz w:val="24"/>
          <w:szCs w:val="24"/>
          <w:lang w:eastAsia="zh-CN"/>
        </w:rPr>
        <w:t>: 2487-2498 [PMID: 21175312 DOI: 10.1056/NEJMoa1006885]</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74 </w:t>
      </w:r>
      <w:r w:rsidRPr="007505C6">
        <w:rPr>
          <w:rFonts w:ascii="Book Antiqua" w:eastAsia="宋体" w:hAnsi="Book Antiqua" w:cs="宋体"/>
          <w:b/>
          <w:bCs/>
          <w:sz w:val="24"/>
          <w:szCs w:val="24"/>
          <w:lang w:eastAsia="zh-CN"/>
        </w:rPr>
        <w:t>Raskob G</w:t>
      </w:r>
      <w:r w:rsidRPr="007505C6">
        <w:rPr>
          <w:rFonts w:ascii="Book Antiqua" w:eastAsia="宋体" w:hAnsi="Book Antiqua" w:cs="宋体"/>
          <w:sz w:val="24"/>
          <w:szCs w:val="24"/>
          <w:lang w:eastAsia="zh-CN"/>
        </w:rPr>
        <w:t xml:space="preserve">, Cohen AT, Eriksson BI, Puskas D, Shi M, Bocanegra T, Weitz JI. </w:t>
      </w:r>
      <w:proofErr w:type="gramStart"/>
      <w:r w:rsidRPr="007505C6">
        <w:rPr>
          <w:rFonts w:ascii="Book Antiqua" w:eastAsia="宋体" w:hAnsi="Book Antiqua" w:cs="宋体"/>
          <w:sz w:val="24"/>
          <w:szCs w:val="24"/>
          <w:lang w:eastAsia="zh-CN"/>
        </w:rPr>
        <w:t>Oral direct factor Xa inhibition with edoxaban for thromboprophylaxis after elective total hip replacement.</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A randomised double-blind dose-response study.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2010; </w:t>
      </w:r>
      <w:r w:rsidRPr="007505C6">
        <w:rPr>
          <w:rFonts w:ascii="Book Antiqua" w:eastAsia="宋体" w:hAnsi="Book Antiqua" w:cs="宋体"/>
          <w:b/>
          <w:bCs/>
          <w:sz w:val="24"/>
          <w:szCs w:val="24"/>
          <w:lang w:eastAsia="zh-CN"/>
        </w:rPr>
        <w:t>104</w:t>
      </w:r>
      <w:r w:rsidRPr="007505C6">
        <w:rPr>
          <w:rFonts w:ascii="Book Antiqua" w:eastAsia="宋体" w:hAnsi="Book Antiqua" w:cs="宋体"/>
          <w:sz w:val="24"/>
          <w:szCs w:val="24"/>
          <w:lang w:eastAsia="zh-CN"/>
        </w:rPr>
        <w:t>: 642-649 [PMID: 20589317]</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75 </w:t>
      </w:r>
      <w:r w:rsidRPr="007505C6">
        <w:rPr>
          <w:rFonts w:ascii="Book Antiqua" w:eastAsia="宋体" w:hAnsi="Book Antiqua" w:cs="宋体"/>
          <w:b/>
          <w:sz w:val="24"/>
          <w:szCs w:val="24"/>
          <w:lang w:eastAsia="zh-CN"/>
        </w:rPr>
        <w:t>Fuji T</w:t>
      </w:r>
      <w:r w:rsidRPr="007505C6">
        <w:rPr>
          <w:rFonts w:ascii="Book Antiqua" w:eastAsia="宋体" w:hAnsi="Book Antiqua" w:cs="宋体"/>
          <w:sz w:val="24"/>
          <w:szCs w:val="24"/>
          <w:lang w:eastAsia="zh-CN"/>
        </w:rPr>
        <w:t xml:space="preserve">, Wang CJ, Fujita S, Tachibana S, Kawai Y. Edoxaban in patients undergoing total hip arthroplasty: a phase IIb dose-finding study. </w:t>
      </w:r>
      <w:r w:rsidRPr="007505C6">
        <w:rPr>
          <w:rFonts w:ascii="Book Antiqua" w:eastAsia="宋体" w:hAnsi="Book Antiqua" w:cs="宋体"/>
          <w:i/>
          <w:sz w:val="24"/>
          <w:szCs w:val="24"/>
          <w:lang w:eastAsia="zh-CN"/>
        </w:rPr>
        <w:t>Blood</w:t>
      </w:r>
      <w:r w:rsidRPr="007505C6">
        <w:rPr>
          <w:rFonts w:ascii="Book Antiqua" w:eastAsia="宋体" w:hAnsi="Book Antiqua" w:cs="宋体"/>
          <w:sz w:val="24"/>
          <w:szCs w:val="24"/>
          <w:lang w:eastAsia="zh-CN"/>
        </w:rPr>
        <w:t xml:space="preserve"> 2009; </w:t>
      </w:r>
      <w:r w:rsidRPr="007505C6">
        <w:rPr>
          <w:rFonts w:ascii="Book Antiqua" w:eastAsia="宋体" w:hAnsi="Book Antiqua" w:cs="宋体"/>
          <w:b/>
          <w:sz w:val="24"/>
          <w:szCs w:val="24"/>
          <w:lang w:eastAsia="zh-CN"/>
        </w:rPr>
        <w:t>114</w:t>
      </w:r>
      <w:r w:rsidRPr="007505C6">
        <w:rPr>
          <w:rFonts w:ascii="Book Antiqua" w:eastAsia="宋体" w:hAnsi="Book Antiqua" w:cs="宋体"/>
          <w:sz w:val="24"/>
          <w:szCs w:val="24"/>
          <w:lang w:eastAsia="zh-CN"/>
        </w:rPr>
        <w:t>: Abstract 2098</w:t>
      </w:r>
    </w:p>
    <w:p w:rsidR="007505C6" w:rsidRPr="007505C6" w:rsidRDefault="007505C6"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76 </w:t>
      </w:r>
      <w:r w:rsidRPr="007505C6">
        <w:rPr>
          <w:rFonts w:ascii="Book Antiqua" w:eastAsia="宋体" w:hAnsi="Book Antiqua" w:cs="宋体"/>
          <w:b/>
          <w:sz w:val="24"/>
          <w:szCs w:val="24"/>
          <w:lang w:eastAsia="zh-CN"/>
        </w:rPr>
        <w:t>Fuji T</w:t>
      </w:r>
      <w:r w:rsidRPr="007505C6">
        <w:rPr>
          <w:rFonts w:ascii="Book Antiqua" w:eastAsia="宋体" w:hAnsi="Book Antiqua" w:cs="宋体"/>
          <w:sz w:val="24"/>
          <w:szCs w:val="24"/>
          <w:lang w:eastAsia="zh-CN"/>
        </w:rPr>
        <w:t>, Fujita S, Tachibana S, Kawai Y, Koretsune Y, Yamashita T, Nakamura M. Efficacy and safety of edoxaban versus enoxaparin for the prevention of venous thromboembolism following total hip arthroplasty: STARS J-V trial.</w:t>
      </w:r>
      <w:r w:rsidRPr="00895999">
        <w:rPr>
          <w:rFonts w:ascii="Book Antiqua" w:eastAsia="宋体" w:hAnsi="Book Antiqua" w:cs="宋体"/>
          <w:i/>
          <w:sz w:val="24"/>
          <w:szCs w:val="24"/>
          <w:lang w:eastAsia="zh-CN"/>
        </w:rPr>
        <w:t xml:space="preserve"> Blood </w:t>
      </w:r>
      <w:r w:rsidRPr="007505C6">
        <w:rPr>
          <w:rFonts w:ascii="Book Antiqua" w:eastAsia="宋体" w:hAnsi="Book Antiqua" w:cs="宋体"/>
          <w:sz w:val="24"/>
          <w:szCs w:val="24"/>
          <w:lang w:eastAsia="zh-CN"/>
        </w:rPr>
        <w:t xml:space="preserve">2010; </w:t>
      </w:r>
      <w:r w:rsidRPr="00895999">
        <w:rPr>
          <w:rFonts w:ascii="Book Antiqua" w:eastAsia="宋体" w:hAnsi="Book Antiqua" w:cs="宋体"/>
          <w:b/>
          <w:sz w:val="24"/>
          <w:szCs w:val="24"/>
          <w:lang w:eastAsia="zh-CN"/>
        </w:rPr>
        <w:t>116</w:t>
      </w:r>
      <w:r w:rsidRPr="007505C6">
        <w:rPr>
          <w:rFonts w:ascii="Book Antiqua" w:eastAsia="宋体" w:hAnsi="Book Antiqua" w:cs="宋体"/>
          <w:sz w:val="24"/>
          <w:szCs w:val="24"/>
          <w:lang w:eastAsia="zh-CN"/>
        </w:rPr>
        <w:t>: Abstract 3320</w:t>
      </w:r>
    </w:p>
    <w:p w:rsidR="007505C6" w:rsidRPr="007505C6" w:rsidRDefault="00895999"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77 </w:t>
      </w:r>
      <w:r w:rsidR="007505C6" w:rsidRPr="00895999">
        <w:rPr>
          <w:rFonts w:ascii="Book Antiqua" w:eastAsia="宋体" w:hAnsi="Book Antiqua" w:cs="宋体"/>
          <w:b/>
          <w:sz w:val="24"/>
          <w:szCs w:val="24"/>
          <w:lang w:eastAsia="zh-CN"/>
        </w:rPr>
        <w:t>Neumann I,</w:t>
      </w:r>
      <w:r w:rsidR="007505C6" w:rsidRPr="007505C6">
        <w:rPr>
          <w:rFonts w:ascii="Book Antiqua" w:eastAsia="宋体" w:hAnsi="Book Antiqua" w:cs="宋体"/>
          <w:sz w:val="24"/>
          <w:szCs w:val="24"/>
          <w:lang w:eastAsia="zh-CN"/>
        </w:rPr>
        <w:t xml:space="preserve"> Rada G, Claro JC, Carrasco-Labra A, Thorlund K, Akl, EA, Bates SM, Guyatt GH. Oral direct factor Xa inhibitors versus low-molecular-weight heparin to prevent venous thromboembolism in patients undergoing total hip or knee replacement: a systematic review and meta-analysis. </w:t>
      </w:r>
      <w:r w:rsidR="007505C6" w:rsidRPr="00895999">
        <w:rPr>
          <w:rFonts w:ascii="Book Antiqua" w:eastAsia="宋体" w:hAnsi="Book Antiqua" w:cs="宋体"/>
          <w:i/>
          <w:sz w:val="24"/>
          <w:szCs w:val="24"/>
          <w:lang w:eastAsia="zh-CN"/>
        </w:rPr>
        <w:t>Ann Intern Med</w:t>
      </w:r>
      <w:r w:rsidR="007505C6" w:rsidRPr="007505C6">
        <w:rPr>
          <w:rFonts w:ascii="Book Antiqua" w:eastAsia="宋体" w:hAnsi="Book Antiqua" w:cs="宋体"/>
          <w:sz w:val="24"/>
          <w:szCs w:val="24"/>
          <w:lang w:eastAsia="zh-CN"/>
        </w:rPr>
        <w:t xml:space="preserve"> 2012; </w:t>
      </w:r>
      <w:r w:rsidR="007505C6" w:rsidRPr="00895999">
        <w:rPr>
          <w:rFonts w:ascii="Book Antiqua" w:eastAsia="宋体" w:hAnsi="Book Antiqua" w:cs="宋体"/>
          <w:b/>
          <w:sz w:val="24"/>
          <w:szCs w:val="24"/>
          <w:lang w:eastAsia="zh-CN"/>
        </w:rPr>
        <w:t>156</w:t>
      </w:r>
      <w:r w:rsidR="007505C6" w:rsidRPr="007505C6">
        <w:rPr>
          <w:rFonts w:ascii="Book Antiqua" w:eastAsia="宋体" w:hAnsi="Book Antiqua" w:cs="宋体"/>
          <w:sz w:val="24"/>
          <w:szCs w:val="24"/>
          <w:lang w:eastAsia="zh-CN"/>
        </w:rPr>
        <w:t>; 710-719 [PIMD: 22412038 DOI: 10.7326/0003-4819-156-10-201205150-00421]</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78 </w:t>
      </w:r>
      <w:r w:rsidRPr="007505C6">
        <w:rPr>
          <w:rFonts w:ascii="Book Antiqua" w:eastAsia="宋体" w:hAnsi="Book Antiqua" w:cs="宋体"/>
          <w:b/>
          <w:bCs/>
          <w:sz w:val="24"/>
          <w:szCs w:val="24"/>
          <w:lang w:eastAsia="zh-CN"/>
        </w:rPr>
        <w:t>Gómez-Outes A</w:t>
      </w:r>
      <w:r w:rsidRPr="007505C6">
        <w:rPr>
          <w:rFonts w:ascii="Book Antiqua" w:eastAsia="宋体" w:hAnsi="Book Antiqua" w:cs="宋体"/>
          <w:sz w:val="24"/>
          <w:szCs w:val="24"/>
          <w:lang w:eastAsia="zh-CN"/>
        </w:rPr>
        <w:t>, Terleira-Fernández AI, Suárez-Gea ML, Vargas-Castrillón E. Dabigatran, rivaroxaban, or apixaban versus enoxaparin for thromboprophylaxis after total hip or knee replacement: systematic review, meta-analysis, and indirect treatment comparisons. </w:t>
      </w:r>
      <w:r w:rsidRPr="007505C6">
        <w:rPr>
          <w:rFonts w:ascii="Book Antiqua" w:eastAsia="宋体" w:hAnsi="Book Antiqua" w:cs="宋体"/>
          <w:i/>
          <w:iCs/>
          <w:sz w:val="24"/>
          <w:szCs w:val="24"/>
          <w:lang w:eastAsia="zh-CN"/>
        </w:rPr>
        <w:t>BMJ</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344</w:t>
      </w:r>
      <w:r w:rsidRPr="007505C6">
        <w:rPr>
          <w:rFonts w:ascii="Book Antiqua" w:eastAsia="宋体" w:hAnsi="Book Antiqua" w:cs="宋体"/>
          <w:sz w:val="24"/>
          <w:szCs w:val="24"/>
          <w:lang w:eastAsia="zh-CN"/>
        </w:rPr>
        <w:t>: e3675 [PMID: 22700784 DOI: 10.1136/bmj.e3675]</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79 </w:t>
      </w:r>
      <w:r w:rsidRPr="007505C6">
        <w:rPr>
          <w:rFonts w:ascii="Book Antiqua" w:eastAsia="宋体" w:hAnsi="Book Antiqua" w:cs="宋体"/>
          <w:b/>
          <w:bCs/>
          <w:sz w:val="24"/>
          <w:szCs w:val="24"/>
          <w:lang w:eastAsia="zh-CN"/>
        </w:rPr>
        <w:t>Loke YK</w:t>
      </w:r>
      <w:r w:rsidRPr="007505C6">
        <w:rPr>
          <w:rFonts w:ascii="Book Antiqua" w:eastAsia="宋体" w:hAnsi="Book Antiqua" w:cs="宋体"/>
          <w:sz w:val="24"/>
          <w:szCs w:val="24"/>
          <w:lang w:eastAsia="zh-CN"/>
        </w:rPr>
        <w:t>, Kwok CS. Dabigatran and rivaroxaban for prevention of venous thromboembolism--systematic review and adjusted indirect comparison.</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J Clin Pharm Ther</w:t>
      </w:r>
      <w:r w:rsidRPr="007505C6">
        <w:rPr>
          <w:rFonts w:ascii="Book Antiqua" w:eastAsia="宋体" w:hAnsi="Book Antiqua" w:cs="宋体"/>
          <w:sz w:val="24"/>
          <w:szCs w:val="24"/>
          <w:lang w:eastAsia="zh-CN"/>
        </w:rPr>
        <w:t> 2011; </w:t>
      </w:r>
      <w:r w:rsidRPr="007505C6">
        <w:rPr>
          <w:rFonts w:ascii="Book Antiqua" w:eastAsia="宋体" w:hAnsi="Book Antiqua" w:cs="宋体"/>
          <w:b/>
          <w:bCs/>
          <w:sz w:val="24"/>
          <w:szCs w:val="24"/>
          <w:lang w:eastAsia="zh-CN"/>
        </w:rPr>
        <w:t>36</w:t>
      </w:r>
      <w:r w:rsidRPr="007505C6">
        <w:rPr>
          <w:rFonts w:ascii="Book Antiqua" w:eastAsia="宋体" w:hAnsi="Book Antiqua" w:cs="宋体"/>
          <w:sz w:val="24"/>
          <w:szCs w:val="24"/>
          <w:lang w:eastAsia="zh-CN"/>
        </w:rPr>
        <w:t>: 111-124 [PMID: 21198726 DOI: 10.1111/j.1365-2710.2010.01162.x]</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lastRenderedPageBreak/>
        <w:t>80 </w:t>
      </w:r>
      <w:r w:rsidRPr="007505C6">
        <w:rPr>
          <w:rFonts w:ascii="Book Antiqua" w:eastAsia="宋体" w:hAnsi="Book Antiqua" w:cs="宋体"/>
          <w:b/>
          <w:bCs/>
          <w:sz w:val="24"/>
          <w:szCs w:val="24"/>
          <w:lang w:eastAsia="zh-CN"/>
        </w:rPr>
        <w:t>Alves C</w:t>
      </w:r>
      <w:r w:rsidRPr="007505C6">
        <w:rPr>
          <w:rFonts w:ascii="Book Antiqua" w:eastAsia="宋体" w:hAnsi="Book Antiqua" w:cs="宋体"/>
          <w:sz w:val="24"/>
          <w:szCs w:val="24"/>
          <w:lang w:eastAsia="zh-CN"/>
        </w:rPr>
        <w:t>, Batel-Marques F, Macedo AF.</w:t>
      </w:r>
      <w:proofErr w:type="gramEnd"/>
      <w:r w:rsidRPr="007505C6">
        <w:rPr>
          <w:rFonts w:ascii="Book Antiqua" w:eastAsia="宋体" w:hAnsi="Book Antiqua" w:cs="宋体"/>
          <w:sz w:val="24"/>
          <w:szCs w:val="24"/>
          <w:lang w:eastAsia="zh-CN"/>
        </w:rPr>
        <w:t xml:space="preserve"> Apixaban and rivaroxaban safety after hip and knee arthroplasty: a meta-analysis. </w:t>
      </w:r>
      <w:r w:rsidRPr="007505C6">
        <w:rPr>
          <w:rFonts w:ascii="Book Antiqua" w:eastAsia="宋体" w:hAnsi="Book Antiqua" w:cs="宋体"/>
          <w:i/>
          <w:iCs/>
          <w:sz w:val="24"/>
          <w:szCs w:val="24"/>
          <w:lang w:eastAsia="zh-CN"/>
        </w:rPr>
        <w:t>J Cardiovasc Pharmacol Ther</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17</w:t>
      </w:r>
      <w:r w:rsidRPr="007505C6">
        <w:rPr>
          <w:rFonts w:ascii="Book Antiqua" w:eastAsia="宋体" w:hAnsi="Book Antiqua" w:cs="宋体"/>
          <w:sz w:val="24"/>
          <w:szCs w:val="24"/>
          <w:lang w:eastAsia="zh-CN"/>
        </w:rPr>
        <w:t>: 266-276 [PMID: 22134134 DOI: 10.1177/1074248411427402]</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81 </w:t>
      </w:r>
      <w:r w:rsidRPr="007505C6">
        <w:rPr>
          <w:rFonts w:ascii="Book Antiqua" w:eastAsia="宋体" w:hAnsi="Book Antiqua" w:cs="宋体"/>
          <w:b/>
          <w:bCs/>
          <w:sz w:val="24"/>
          <w:szCs w:val="24"/>
          <w:lang w:eastAsia="zh-CN"/>
        </w:rPr>
        <w:t>Adam SS</w:t>
      </w:r>
      <w:r w:rsidRPr="007505C6">
        <w:rPr>
          <w:rFonts w:ascii="Book Antiqua" w:eastAsia="宋体" w:hAnsi="Book Antiqua" w:cs="宋体"/>
          <w:sz w:val="24"/>
          <w:szCs w:val="24"/>
          <w:lang w:eastAsia="zh-CN"/>
        </w:rPr>
        <w:t>, McDuffie JR, Lachiewicz PF, Ortel TL, Williams JW.</w:t>
      </w:r>
      <w:proofErr w:type="gramEnd"/>
      <w:r w:rsidRPr="007505C6">
        <w:rPr>
          <w:rFonts w:ascii="Book Antiqua" w:eastAsia="宋体" w:hAnsi="Book Antiqua" w:cs="宋体"/>
          <w:sz w:val="24"/>
          <w:szCs w:val="24"/>
          <w:lang w:eastAsia="zh-CN"/>
        </w:rPr>
        <w:t xml:space="preserve"> Comparative effectiveness of new oral anticoagulants and standard thromboprophylaxis in patients having total hip or knee replacement: a systematic review. </w:t>
      </w:r>
      <w:r w:rsidRPr="007505C6">
        <w:rPr>
          <w:rFonts w:ascii="Book Antiqua" w:eastAsia="宋体" w:hAnsi="Book Antiqua" w:cs="宋体"/>
          <w:i/>
          <w:iCs/>
          <w:sz w:val="24"/>
          <w:szCs w:val="24"/>
          <w:lang w:eastAsia="zh-CN"/>
        </w:rPr>
        <w:t>Ann Intern Med</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159</w:t>
      </w:r>
      <w:r w:rsidRPr="007505C6">
        <w:rPr>
          <w:rFonts w:ascii="Book Antiqua" w:eastAsia="宋体" w:hAnsi="Book Antiqua" w:cs="宋体"/>
          <w:sz w:val="24"/>
          <w:szCs w:val="24"/>
          <w:lang w:eastAsia="zh-CN"/>
        </w:rPr>
        <w:t>: 275-284 [PMID: 24026260 DOI: 10.7326/0003-4819-159-4-201308200-00008]</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82 </w:t>
      </w:r>
      <w:r w:rsidRPr="007505C6">
        <w:rPr>
          <w:rFonts w:ascii="Book Antiqua" w:eastAsia="宋体" w:hAnsi="Book Antiqua" w:cs="宋体"/>
          <w:b/>
          <w:bCs/>
          <w:sz w:val="24"/>
          <w:szCs w:val="24"/>
          <w:lang w:eastAsia="zh-CN"/>
        </w:rPr>
        <w:t>Spyropoulos AC</w:t>
      </w:r>
      <w:r w:rsidRPr="007505C6">
        <w:rPr>
          <w:rFonts w:ascii="Book Antiqua" w:eastAsia="宋体" w:hAnsi="Book Antiqua" w:cs="宋体"/>
          <w:sz w:val="24"/>
          <w:szCs w:val="24"/>
          <w:lang w:eastAsia="zh-CN"/>
        </w:rPr>
        <w:t>, Lin J. Direct medical costs of venous thromboembolism and subsequent hospital readmission rates: an administrative claims analysis from 30 managed care organizations. </w:t>
      </w:r>
      <w:r w:rsidRPr="007505C6">
        <w:rPr>
          <w:rFonts w:ascii="Book Antiqua" w:eastAsia="宋体" w:hAnsi="Book Antiqua" w:cs="宋体"/>
          <w:i/>
          <w:iCs/>
          <w:sz w:val="24"/>
          <w:szCs w:val="24"/>
          <w:lang w:eastAsia="zh-CN"/>
        </w:rPr>
        <w:t>J Manag Care Pharm</w:t>
      </w:r>
      <w:r w:rsidRPr="007505C6">
        <w:rPr>
          <w:rFonts w:ascii="Book Antiqua" w:eastAsia="宋体" w:hAnsi="Book Antiqua" w:cs="宋体"/>
          <w:sz w:val="24"/>
          <w:szCs w:val="24"/>
          <w:lang w:eastAsia="zh-CN"/>
        </w:rPr>
        <w:t> </w:t>
      </w:r>
      <w:r w:rsidR="00895999">
        <w:rPr>
          <w:rFonts w:ascii="Book Antiqua" w:eastAsia="宋体" w:hAnsi="Book Antiqua" w:cs="宋体" w:hint="eastAsia"/>
          <w:sz w:val="24"/>
          <w:szCs w:val="24"/>
          <w:lang w:eastAsia="zh-CN"/>
        </w:rPr>
        <w:t>2007</w:t>
      </w:r>
      <w:r w:rsidRPr="007505C6">
        <w:rPr>
          <w:rFonts w:ascii="Book Antiqua" w:eastAsia="宋体" w:hAnsi="Book Antiqua" w:cs="宋体"/>
          <w:sz w:val="24"/>
          <w:szCs w:val="24"/>
          <w:lang w:eastAsia="zh-CN"/>
        </w:rPr>
        <w:t>; </w:t>
      </w:r>
      <w:r w:rsidRPr="007505C6">
        <w:rPr>
          <w:rFonts w:ascii="Book Antiqua" w:eastAsia="宋体" w:hAnsi="Book Antiqua" w:cs="宋体"/>
          <w:b/>
          <w:bCs/>
          <w:sz w:val="24"/>
          <w:szCs w:val="24"/>
          <w:lang w:eastAsia="zh-CN"/>
        </w:rPr>
        <w:t>13</w:t>
      </w:r>
      <w:r w:rsidRPr="007505C6">
        <w:rPr>
          <w:rFonts w:ascii="Book Antiqua" w:eastAsia="宋体" w:hAnsi="Book Antiqua" w:cs="宋体"/>
          <w:sz w:val="24"/>
          <w:szCs w:val="24"/>
          <w:lang w:eastAsia="zh-CN"/>
        </w:rPr>
        <w:t>: 475-486 [PMID: 17672809]</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83 </w:t>
      </w:r>
      <w:r w:rsidRPr="007505C6">
        <w:rPr>
          <w:rFonts w:ascii="Book Antiqua" w:eastAsia="宋体" w:hAnsi="Book Antiqua" w:cs="宋体"/>
          <w:b/>
          <w:bCs/>
          <w:sz w:val="24"/>
          <w:szCs w:val="24"/>
          <w:lang w:eastAsia="zh-CN"/>
        </w:rPr>
        <w:t>Bullano MF</w:t>
      </w:r>
      <w:r w:rsidRPr="007505C6">
        <w:rPr>
          <w:rFonts w:ascii="Book Antiqua" w:eastAsia="宋体" w:hAnsi="Book Antiqua" w:cs="宋体"/>
          <w:sz w:val="24"/>
          <w:szCs w:val="24"/>
          <w:lang w:eastAsia="zh-CN"/>
        </w:rPr>
        <w:t>, Willey V, Hauch O, Wygant G, Spyropoulos AC, Hoffman L. Longitudinal evaluation of health plan cost per venous thromboembolism or bleed event in patients with a prior venous thromboembolism event during hospitalization. </w:t>
      </w:r>
      <w:r w:rsidRPr="007505C6">
        <w:rPr>
          <w:rFonts w:ascii="Book Antiqua" w:eastAsia="宋体" w:hAnsi="Book Antiqua" w:cs="宋体"/>
          <w:i/>
          <w:iCs/>
          <w:sz w:val="24"/>
          <w:szCs w:val="24"/>
          <w:lang w:eastAsia="zh-CN"/>
        </w:rPr>
        <w:t>J Manag Care Pharm</w:t>
      </w:r>
      <w:r w:rsidRPr="007505C6">
        <w:rPr>
          <w:rFonts w:ascii="Book Antiqua" w:eastAsia="宋体" w:hAnsi="Book Antiqua" w:cs="宋体"/>
          <w:sz w:val="24"/>
          <w:szCs w:val="24"/>
          <w:lang w:eastAsia="zh-CN"/>
        </w:rPr>
        <w:t> 2005; </w:t>
      </w:r>
      <w:r w:rsidRPr="007505C6">
        <w:rPr>
          <w:rFonts w:ascii="Book Antiqua" w:eastAsia="宋体" w:hAnsi="Book Antiqua" w:cs="宋体"/>
          <w:b/>
          <w:bCs/>
          <w:sz w:val="24"/>
          <w:szCs w:val="24"/>
          <w:lang w:eastAsia="zh-CN"/>
        </w:rPr>
        <w:t>11</w:t>
      </w:r>
      <w:r w:rsidRPr="007505C6">
        <w:rPr>
          <w:rFonts w:ascii="Book Antiqua" w:eastAsia="宋体" w:hAnsi="Book Antiqua" w:cs="宋体"/>
          <w:sz w:val="24"/>
          <w:szCs w:val="24"/>
          <w:lang w:eastAsia="zh-CN"/>
        </w:rPr>
        <w:t>: 663-673 [PMID: 16194130]</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84 </w:t>
      </w:r>
      <w:r w:rsidRPr="007505C6">
        <w:rPr>
          <w:rFonts w:ascii="Book Antiqua" w:eastAsia="宋体" w:hAnsi="Book Antiqua" w:cs="宋体"/>
          <w:b/>
          <w:bCs/>
          <w:sz w:val="24"/>
          <w:szCs w:val="24"/>
          <w:lang w:eastAsia="zh-CN"/>
        </w:rPr>
        <w:t>Sullivan SD</w:t>
      </w:r>
      <w:r w:rsidRPr="007505C6">
        <w:rPr>
          <w:rFonts w:ascii="Book Antiqua" w:eastAsia="宋体" w:hAnsi="Book Antiqua" w:cs="宋体"/>
          <w:sz w:val="24"/>
          <w:szCs w:val="24"/>
          <w:lang w:eastAsia="zh-CN"/>
        </w:rPr>
        <w:t>, Kahn SR, Davidson BL, Borris L, Bossuyt P, Raskob G. Measuring the outcomes and pharmacoeconomic consequences of venous thromboembolism prophylaxis in major orthopaedic surgery. </w:t>
      </w:r>
      <w:r w:rsidRPr="007505C6">
        <w:rPr>
          <w:rFonts w:ascii="Book Antiqua" w:eastAsia="宋体" w:hAnsi="Book Antiqua" w:cs="宋体"/>
          <w:i/>
          <w:iCs/>
          <w:sz w:val="24"/>
          <w:szCs w:val="24"/>
          <w:lang w:eastAsia="zh-CN"/>
        </w:rPr>
        <w:t>Pharmacoeconomics</w:t>
      </w:r>
      <w:r w:rsidRPr="007505C6">
        <w:rPr>
          <w:rFonts w:ascii="Book Antiqua" w:eastAsia="宋体" w:hAnsi="Book Antiqua" w:cs="宋体"/>
          <w:sz w:val="24"/>
          <w:szCs w:val="24"/>
          <w:lang w:eastAsia="zh-CN"/>
        </w:rPr>
        <w:t> 2003; </w:t>
      </w:r>
      <w:r w:rsidRPr="007505C6">
        <w:rPr>
          <w:rFonts w:ascii="Book Antiqua" w:eastAsia="宋体" w:hAnsi="Book Antiqua" w:cs="宋体"/>
          <w:b/>
          <w:bCs/>
          <w:sz w:val="24"/>
          <w:szCs w:val="24"/>
          <w:lang w:eastAsia="zh-CN"/>
        </w:rPr>
        <w:t>21</w:t>
      </w:r>
      <w:r w:rsidRPr="007505C6">
        <w:rPr>
          <w:rFonts w:ascii="Book Antiqua" w:eastAsia="宋体" w:hAnsi="Book Antiqua" w:cs="宋体"/>
          <w:sz w:val="24"/>
          <w:szCs w:val="24"/>
          <w:lang w:eastAsia="zh-CN"/>
        </w:rPr>
        <w:t>: 477-496 [PMID: 12696988]</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85 </w:t>
      </w:r>
      <w:r w:rsidRPr="007505C6">
        <w:rPr>
          <w:rFonts w:ascii="Book Antiqua" w:eastAsia="宋体" w:hAnsi="Book Antiqua" w:cs="宋体"/>
          <w:b/>
          <w:bCs/>
          <w:sz w:val="24"/>
          <w:szCs w:val="24"/>
          <w:lang w:eastAsia="zh-CN"/>
        </w:rPr>
        <w:t>Friedman RJ</w:t>
      </w:r>
      <w:r w:rsidRPr="007505C6">
        <w:rPr>
          <w:rFonts w:ascii="Book Antiqua" w:eastAsia="宋体" w:hAnsi="Book Antiqua" w:cs="宋体"/>
          <w:sz w:val="24"/>
          <w:szCs w:val="24"/>
          <w:lang w:eastAsia="zh-CN"/>
        </w:rPr>
        <w:t>, Dunsworth GA. Cost analyses of extended prophylaxis with enoxaparin after hip arthroplasty.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Clin Orthop Relat Res</w:t>
      </w:r>
      <w:r w:rsidRPr="007505C6">
        <w:rPr>
          <w:rFonts w:ascii="Book Antiqua" w:eastAsia="宋体" w:hAnsi="Book Antiqua" w:cs="宋体"/>
          <w:sz w:val="24"/>
          <w:szCs w:val="24"/>
          <w:lang w:eastAsia="zh-CN"/>
        </w:rPr>
        <w:t> 2000;</w:t>
      </w:r>
      <w:r w:rsidR="00895999">
        <w:rPr>
          <w:rFonts w:ascii="Book Antiqua" w:eastAsia="宋体" w:hAnsi="Book Antiqua" w:cs="宋体" w:hint="eastAsia"/>
          <w:sz w:val="24"/>
          <w:szCs w:val="24"/>
          <w:lang w:eastAsia="zh-CN"/>
        </w:rPr>
        <w:t xml:space="preserve"> </w:t>
      </w:r>
      <w:r w:rsidR="00895999" w:rsidRPr="00895999">
        <w:rPr>
          <w:rFonts w:ascii="Book Antiqua" w:eastAsia="宋体" w:hAnsi="Book Antiqua" w:cs="宋体" w:hint="eastAsia"/>
          <w:b/>
          <w:sz w:val="24"/>
          <w:szCs w:val="24"/>
          <w:lang w:eastAsia="zh-CN"/>
        </w:rPr>
        <w:t>370</w:t>
      </w:r>
      <w:r w:rsidRPr="007505C6">
        <w:rPr>
          <w:rFonts w:ascii="Book Antiqua" w:eastAsia="宋体" w:hAnsi="Book Antiqua" w:cs="宋体"/>
          <w:sz w:val="24"/>
          <w:szCs w:val="24"/>
          <w:lang w:eastAsia="zh-CN"/>
        </w:rPr>
        <w:t>: 171-182 [PMID: 10660711]</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86 </w:t>
      </w:r>
      <w:r w:rsidRPr="007505C6">
        <w:rPr>
          <w:rFonts w:ascii="Book Antiqua" w:eastAsia="宋体" w:hAnsi="Book Antiqua" w:cs="宋体"/>
          <w:b/>
          <w:bCs/>
          <w:sz w:val="24"/>
          <w:szCs w:val="24"/>
          <w:lang w:eastAsia="zh-CN"/>
        </w:rPr>
        <w:t>Wolowacz SE</w:t>
      </w:r>
      <w:r w:rsidRPr="007505C6">
        <w:rPr>
          <w:rFonts w:ascii="Book Antiqua" w:eastAsia="宋体" w:hAnsi="Book Antiqua" w:cs="宋体"/>
          <w:sz w:val="24"/>
          <w:szCs w:val="24"/>
          <w:lang w:eastAsia="zh-CN"/>
        </w:rPr>
        <w:t xml:space="preserve">, Roskell NS, Maciver F, Beard SM, Robinson PA, Plumb JM, Dolan G, Brenkel IJ. </w:t>
      </w:r>
      <w:proofErr w:type="gramStart"/>
      <w:r w:rsidRPr="007505C6">
        <w:rPr>
          <w:rFonts w:ascii="Book Antiqua" w:eastAsia="宋体" w:hAnsi="Book Antiqua" w:cs="宋体"/>
          <w:sz w:val="24"/>
          <w:szCs w:val="24"/>
          <w:lang w:eastAsia="zh-CN"/>
        </w:rPr>
        <w:t>Economic evaluation of dabigatran etexilate for the prevention of venous thromboembolism after total knee and hip replacement surgery.</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Clin Ther</w:t>
      </w:r>
      <w:r w:rsidRPr="007505C6">
        <w:rPr>
          <w:rFonts w:ascii="Book Antiqua" w:eastAsia="宋体" w:hAnsi="Book Antiqua" w:cs="宋体"/>
          <w:sz w:val="24"/>
          <w:szCs w:val="24"/>
          <w:lang w:eastAsia="zh-CN"/>
        </w:rPr>
        <w:t> 2009; </w:t>
      </w:r>
      <w:r w:rsidRPr="007505C6">
        <w:rPr>
          <w:rFonts w:ascii="Book Antiqua" w:eastAsia="宋体" w:hAnsi="Book Antiqua" w:cs="宋体"/>
          <w:b/>
          <w:bCs/>
          <w:sz w:val="24"/>
          <w:szCs w:val="24"/>
          <w:lang w:eastAsia="zh-CN"/>
        </w:rPr>
        <w:t>31</w:t>
      </w:r>
      <w:r w:rsidRPr="007505C6">
        <w:rPr>
          <w:rFonts w:ascii="Book Antiqua" w:eastAsia="宋体" w:hAnsi="Book Antiqua" w:cs="宋体"/>
          <w:sz w:val="24"/>
          <w:szCs w:val="24"/>
          <w:lang w:eastAsia="zh-CN"/>
        </w:rPr>
        <w:t>: 194-212 [PMID: 19243718 DOI: 10.1016/j.clinthera.2009.01.001]</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87 </w:t>
      </w:r>
      <w:r w:rsidRPr="007505C6">
        <w:rPr>
          <w:rFonts w:ascii="Book Antiqua" w:eastAsia="宋体" w:hAnsi="Book Antiqua" w:cs="宋体"/>
          <w:b/>
          <w:bCs/>
          <w:sz w:val="24"/>
          <w:szCs w:val="24"/>
          <w:lang w:eastAsia="zh-CN"/>
        </w:rPr>
        <w:t>McCullagh L</w:t>
      </w:r>
      <w:r w:rsidRPr="007505C6">
        <w:rPr>
          <w:rFonts w:ascii="Book Antiqua" w:eastAsia="宋体" w:hAnsi="Book Antiqua" w:cs="宋体"/>
          <w:sz w:val="24"/>
          <w:szCs w:val="24"/>
          <w:lang w:eastAsia="zh-CN"/>
        </w:rPr>
        <w:t xml:space="preserve">, Tilson L, Walsh C, Barry M. A cost-effectiveness model comparing rivaroxaban and dabigatran etexilate with enoxaparin sodium as thromboprophylaxis after total hip and total knee replacement in the </w:t>
      </w:r>
      <w:proofErr w:type="gramStart"/>
      <w:r w:rsidRPr="007505C6">
        <w:rPr>
          <w:rFonts w:ascii="Book Antiqua" w:eastAsia="宋体" w:hAnsi="Book Antiqua" w:cs="宋体"/>
          <w:sz w:val="24"/>
          <w:szCs w:val="24"/>
          <w:lang w:eastAsia="zh-CN"/>
        </w:rPr>
        <w:t>irish</w:t>
      </w:r>
      <w:proofErr w:type="gramEnd"/>
      <w:r w:rsidRPr="007505C6">
        <w:rPr>
          <w:rFonts w:ascii="Book Antiqua" w:eastAsia="宋体" w:hAnsi="Book Antiqua" w:cs="宋体"/>
          <w:sz w:val="24"/>
          <w:szCs w:val="24"/>
          <w:lang w:eastAsia="zh-CN"/>
        </w:rPr>
        <w:t xml:space="preserve"> healthcare setting. </w:t>
      </w:r>
      <w:r w:rsidRPr="007505C6">
        <w:rPr>
          <w:rFonts w:ascii="Book Antiqua" w:eastAsia="宋体" w:hAnsi="Book Antiqua" w:cs="宋体"/>
          <w:i/>
          <w:iCs/>
          <w:sz w:val="24"/>
          <w:szCs w:val="24"/>
          <w:lang w:eastAsia="zh-CN"/>
        </w:rPr>
        <w:t>Pharmacoeconomics</w:t>
      </w:r>
      <w:r w:rsidRPr="007505C6">
        <w:rPr>
          <w:rFonts w:ascii="Book Antiqua" w:eastAsia="宋体" w:hAnsi="Book Antiqua" w:cs="宋体"/>
          <w:sz w:val="24"/>
          <w:szCs w:val="24"/>
          <w:lang w:eastAsia="zh-CN"/>
        </w:rPr>
        <w:t> 2009; </w:t>
      </w:r>
      <w:r w:rsidRPr="007505C6">
        <w:rPr>
          <w:rFonts w:ascii="Book Antiqua" w:eastAsia="宋体" w:hAnsi="Book Antiqua" w:cs="宋体"/>
          <w:b/>
          <w:bCs/>
          <w:sz w:val="24"/>
          <w:szCs w:val="24"/>
          <w:lang w:eastAsia="zh-CN"/>
        </w:rPr>
        <w:t>27</w:t>
      </w:r>
      <w:r w:rsidRPr="007505C6">
        <w:rPr>
          <w:rFonts w:ascii="Book Antiqua" w:eastAsia="宋体" w:hAnsi="Book Antiqua" w:cs="宋体"/>
          <w:sz w:val="24"/>
          <w:szCs w:val="24"/>
          <w:lang w:eastAsia="zh-CN"/>
        </w:rPr>
        <w:t>: 829-846 [PMID: 19803538 DOI: 10.2165/11313800-000000000-00000]</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88 </w:t>
      </w:r>
      <w:r w:rsidRPr="007505C6">
        <w:rPr>
          <w:rFonts w:ascii="Book Antiqua" w:eastAsia="宋体" w:hAnsi="Book Antiqua" w:cs="宋体"/>
          <w:b/>
          <w:bCs/>
          <w:sz w:val="24"/>
          <w:szCs w:val="24"/>
          <w:lang w:eastAsia="zh-CN"/>
        </w:rPr>
        <w:t>Duran A</w:t>
      </w:r>
      <w:r w:rsidRPr="007505C6">
        <w:rPr>
          <w:rFonts w:ascii="Book Antiqua" w:eastAsia="宋体" w:hAnsi="Book Antiqua" w:cs="宋体"/>
          <w:sz w:val="24"/>
          <w:szCs w:val="24"/>
          <w:lang w:eastAsia="zh-CN"/>
        </w:rPr>
        <w:t>, Sengupta N, Diamantopoulos A, Forster F, Kwong L, Lees M. Cost effectiveness of rivaroxaban versus enoxaparin for prevention of post-surgical venous thromboembolism from a U.S. payer's perspective. </w:t>
      </w:r>
      <w:r w:rsidRPr="007505C6">
        <w:rPr>
          <w:rFonts w:ascii="Book Antiqua" w:eastAsia="宋体" w:hAnsi="Book Antiqua" w:cs="宋体"/>
          <w:i/>
          <w:iCs/>
          <w:sz w:val="24"/>
          <w:szCs w:val="24"/>
          <w:lang w:eastAsia="zh-CN"/>
        </w:rPr>
        <w:t>Pharmacoeconomics</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30</w:t>
      </w:r>
      <w:r w:rsidRPr="007505C6">
        <w:rPr>
          <w:rFonts w:ascii="Book Antiqua" w:eastAsia="宋体" w:hAnsi="Book Antiqua" w:cs="宋体"/>
          <w:sz w:val="24"/>
          <w:szCs w:val="24"/>
          <w:lang w:eastAsia="zh-CN"/>
        </w:rPr>
        <w:t>: 87-101 [PMID: 22187932 DOI: 10.2165/11599370-000000000-00000]</w:t>
      </w:r>
    </w:p>
    <w:p w:rsidR="007505C6" w:rsidRPr="007505C6" w:rsidRDefault="00895999" w:rsidP="007505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89 </w:t>
      </w:r>
      <w:r w:rsidR="007505C6" w:rsidRPr="00895999">
        <w:rPr>
          <w:rFonts w:ascii="Book Antiqua" w:eastAsia="宋体" w:hAnsi="Book Antiqua" w:cs="宋体"/>
          <w:b/>
          <w:sz w:val="24"/>
          <w:szCs w:val="24"/>
          <w:lang w:eastAsia="zh-CN"/>
        </w:rPr>
        <w:t>Kwong LM</w:t>
      </w:r>
      <w:r w:rsidR="007505C6" w:rsidRPr="007505C6">
        <w:rPr>
          <w:rFonts w:ascii="Book Antiqua" w:eastAsia="宋体" w:hAnsi="Book Antiqua" w:cs="宋体"/>
          <w:sz w:val="24"/>
          <w:szCs w:val="24"/>
          <w:lang w:eastAsia="zh-CN"/>
        </w:rPr>
        <w:t>, Bookhart BK, Mody SH. Economic model comparing rivaroxaban and enoxaparin for post-orthopedic VTE prophylaxis.</w:t>
      </w:r>
      <w:proofErr w:type="gramEnd"/>
      <w:r w:rsidR="007505C6" w:rsidRPr="00895999">
        <w:rPr>
          <w:rFonts w:ascii="Book Antiqua" w:eastAsia="宋体" w:hAnsi="Book Antiqua" w:cs="宋体"/>
          <w:i/>
          <w:sz w:val="24"/>
          <w:szCs w:val="24"/>
          <w:lang w:eastAsia="zh-CN"/>
        </w:rPr>
        <w:t xml:space="preserve"> </w:t>
      </w:r>
      <w:proofErr w:type="gramStart"/>
      <w:r w:rsidR="007505C6" w:rsidRPr="00895999">
        <w:rPr>
          <w:rFonts w:ascii="Book Antiqua" w:eastAsia="宋体" w:hAnsi="Book Antiqua" w:cs="宋体"/>
          <w:i/>
          <w:sz w:val="24"/>
          <w:szCs w:val="24"/>
          <w:lang w:eastAsia="zh-CN"/>
        </w:rPr>
        <w:t>Am</w:t>
      </w:r>
      <w:proofErr w:type="gramEnd"/>
      <w:r w:rsidR="007505C6" w:rsidRPr="00895999">
        <w:rPr>
          <w:rFonts w:ascii="Book Antiqua" w:eastAsia="宋体" w:hAnsi="Book Antiqua" w:cs="宋体"/>
          <w:i/>
          <w:sz w:val="24"/>
          <w:szCs w:val="24"/>
          <w:lang w:eastAsia="zh-CN"/>
        </w:rPr>
        <w:t xml:space="preserve"> J Pharm Benefits</w:t>
      </w:r>
      <w:r w:rsidR="007505C6" w:rsidRPr="007505C6">
        <w:rPr>
          <w:rFonts w:ascii="Book Antiqua" w:eastAsia="宋体" w:hAnsi="Book Antiqua" w:cs="宋体"/>
          <w:sz w:val="24"/>
          <w:szCs w:val="24"/>
          <w:lang w:eastAsia="zh-CN"/>
        </w:rPr>
        <w:t xml:space="preserve"> 2013; </w:t>
      </w:r>
      <w:r w:rsidR="007505C6" w:rsidRPr="00895999">
        <w:rPr>
          <w:rFonts w:ascii="Book Antiqua" w:eastAsia="宋体" w:hAnsi="Book Antiqua" w:cs="宋体"/>
          <w:b/>
          <w:sz w:val="24"/>
          <w:szCs w:val="24"/>
          <w:lang w:eastAsia="zh-CN"/>
        </w:rPr>
        <w:t>5</w:t>
      </w:r>
      <w:r w:rsidR="007505C6" w:rsidRPr="007505C6">
        <w:rPr>
          <w:rFonts w:ascii="Book Antiqua" w:eastAsia="宋体" w:hAnsi="Book Antiqua" w:cs="宋体"/>
          <w:sz w:val="24"/>
          <w:szCs w:val="24"/>
          <w:lang w:eastAsia="zh-CN"/>
        </w:rPr>
        <w:t>: 106-110</w:t>
      </w:r>
    </w:p>
    <w:p w:rsidR="00895999" w:rsidRPr="00174CD0" w:rsidRDefault="007505C6" w:rsidP="00895999">
      <w:pPr>
        <w:pStyle w:val="a3"/>
        <w:spacing w:after="0" w:line="360" w:lineRule="auto"/>
        <w:ind w:left="0"/>
        <w:jc w:val="both"/>
        <w:rPr>
          <w:rFonts w:ascii="Book Antiqua" w:hAnsi="Book Antiqua"/>
          <w:sz w:val="24"/>
          <w:szCs w:val="24"/>
        </w:rPr>
      </w:pPr>
      <w:r w:rsidRPr="007505C6">
        <w:rPr>
          <w:rFonts w:ascii="Book Antiqua" w:eastAsia="宋体" w:hAnsi="Book Antiqua" w:cs="宋体"/>
          <w:sz w:val="24"/>
          <w:szCs w:val="24"/>
          <w:lang w:eastAsia="zh-CN"/>
        </w:rPr>
        <w:t>90</w:t>
      </w:r>
      <w:r w:rsidR="00895999" w:rsidRPr="00895999">
        <w:rPr>
          <w:rFonts w:ascii="Book Antiqua" w:hAnsi="Book Antiqua"/>
          <w:b/>
          <w:sz w:val="24"/>
          <w:szCs w:val="24"/>
        </w:rPr>
        <w:t xml:space="preserve"> </w:t>
      </w:r>
      <w:r w:rsidR="00895999" w:rsidRPr="00174CD0">
        <w:rPr>
          <w:rFonts w:ascii="Book Antiqua" w:hAnsi="Book Antiqua"/>
          <w:b/>
          <w:sz w:val="24"/>
          <w:szCs w:val="24"/>
        </w:rPr>
        <w:t>Mahmoudi M</w:t>
      </w:r>
      <w:r w:rsidR="00895999" w:rsidRPr="00174CD0">
        <w:rPr>
          <w:rFonts w:ascii="Book Antiqua" w:hAnsi="Book Antiqua"/>
          <w:sz w:val="24"/>
          <w:szCs w:val="24"/>
        </w:rPr>
        <w:t xml:space="preserve">, Sobieraj DM. The cost-effectiveness of oral direct factor Xa inhibitors compared with low-molecular-weight heparin for the prevention of venous thromboembolism prophylaxis in total hip or knee replacement surgery. </w:t>
      </w:r>
      <w:r w:rsidR="00895999" w:rsidRPr="00174CD0">
        <w:rPr>
          <w:rFonts w:ascii="Book Antiqua" w:hAnsi="Book Antiqua"/>
          <w:i/>
          <w:sz w:val="24"/>
          <w:szCs w:val="24"/>
        </w:rPr>
        <w:t>Pharmacotherapy</w:t>
      </w:r>
      <w:r w:rsidR="00895999" w:rsidRPr="00174CD0">
        <w:rPr>
          <w:rFonts w:ascii="Book Antiqua" w:hAnsi="Book Antiqua"/>
          <w:sz w:val="24"/>
          <w:szCs w:val="24"/>
        </w:rPr>
        <w:t xml:space="preserve"> 2013; </w:t>
      </w:r>
      <w:r w:rsidR="00895999" w:rsidRPr="00174CD0">
        <w:rPr>
          <w:rFonts w:ascii="Book Antiqua" w:hAnsi="Book Antiqua"/>
          <w:b/>
          <w:sz w:val="24"/>
          <w:szCs w:val="24"/>
        </w:rPr>
        <w:t>33</w:t>
      </w:r>
      <w:r w:rsidR="00895999" w:rsidRPr="00174CD0">
        <w:rPr>
          <w:rFonts w:ascii="Book Antiqua" w:hAnsi="Book Antiqua"/>
          <w:sz w:val="24"/>
          <w:szCs w:val="24"/>
        </w:rPr>
        <w:t>: 1333-1340 [PMID: 236256693 DOI: 10.1002/phar.1269]</w:t>
      </w:r>
    </w:p>
    <w:p w:rsidR="007505C6" w:rsidRPr="007505C6" w:rsidRDefault="007505C6" w:rsidP="007505C6">
      <w:pPr>
        <w:spacing w:after="0" w:line="360" w:lineRule="auto"/>
        <w:jc w:val="both"/>
        <w:rPr>
          <w:rFonts w:ascii="Book Antiqua" w:eastAsia="宋体" w:hAnsi="Book Antiqua" w:cs="宋体"/>
          <w:sz w:val="24"/>
          <w:szCs w:val="24"/>
          <w:lang w:eastAsia="zh-CN"/>
        </w:rPr>
      </w:pP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91 </w:t>
      </w:r>
      <w:r w:rsidRPr="007505C6">
        <w:rPr>
          <w:rFonts w:ascii="Book Antiqua" w:eastAsia="宋体" w:hAnsi="Book Antiqua" w:cs="宋体"/>
          <w:b/>
          <w:bCs/>
          <w:sz w:val="24"/>
          <w:szCs w:val="24"/>
          <w:lang w:eastAsia="zh-CN"/>
        </w:rPr>
        <w:t>Ageno W</w:t>
      </w:r>
      <w:r w:rsidRPr="007505C6">
        <w:rPr>
          <w:rFonts w:ascii="Book Antiqua" w:eastAsia="宋体" w:hAnsi="Book Antiqua" w:cs="宋体"/>
          <w:sz w:val="24"/>
          <w:szCs w:val="24"/>
          <w:lang w:eastAsia="zh-CN"/>
        </w:rPr>
        <w:t>, Gallus AS, Wittkowsky A, Crowther M, Hylek EM, Palareti G. Oral anticoagulant therapy: Antithrombotic Therapy and Prevention of Thrombosis, 9th ed: American College of Chest Physicians Evidence-Based Clinical Practice Guidelines. </w:t>
      </w:r>
      <w:r w:rsidRPr="007505C6">
        <w:rPr>
          <w:rFonts w:ascii="Book Antiqua" w:eastAsia="宋体" w:hAnsi="Book Antiqua" w:cs="宋体"/>
          <w:i/>
          <w:iCs/>
          <w:sz w:val="24"/>
          <w:szCs w:val="24"/>
          <w:lang w:eastAsia="zh-CN"/>
        </w:rPr>
        <w:t>Chest</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141</w:t>
      </w:r>
      <w:r w:rsidRPr="007505C6">
        <w:rPr>
          <w:rFonts w:ascii="Book Antiqua" w:eastAsia="宋体" w:hAnsi="Book Antiqua" w:cs="宋体"/>
          <w:sz w:val="24"/>
          <w:szCs w:val="24"/>
          <w:lang w:eastAsia="zh-CN"/>
        </w:rPr>
        <w:t>: e44S-e88S [PMID: 22315269 DOI: 10.1378/chest.11-2292]</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92 </w:t>
      </w:r>
      <w:r w:rsidRPr="007505C6">
        <w:rPr>
          <w:rFonts w:ascii="Book Antiqua" w:eastAsia="宋体" w:hAnsi="Book Antiqua" w:cs="宋体"/>
          <w:b/>
          <w:bCs/>
          <w:sz w:val="24"/>
          <w:szCs w:val="24"/>
          <w:lang w:eastAsia="zh-CN"/>
        </w:rPr>
        <w:t>Thigpen JL</w:t>
      </w:r>
      <w:r w:rsidRPr="007505C6">
        <w:rPr>
          <w:rFonts w:ascii="Book Antiqua" w:eastAsia="宋体" w:hAnsi="Book Antiqua" w:cs="宋体"/>
          <w:sz w:val="24"/>
          <w:szCs w:val="24"/>
          <w:lang w:eastAsia="zh-CN"/>
        </w:rPr>
        <w:t>, Limdi NA.</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Reversal of oral anticoagulation.</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Pharmacotherapy</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33</w:t>
      </w:r>
      <w:r w:rsidRPr="007505C6">
        <w:rPr>
          <w:rFonts w:ascii="Book Antiqua" w:eastAsia="宋体" w:hAnsi="Book Antiqua" w:cs="宋体"/>
          <w:sz w:val="24"/>
          <w:szCs w:val="24"/>
          <w:lang w:eastAsia="zh-CN"/>
        </w:rPr>
        <w:t>: 1199-1213 [PMID: 23606318 DOI: 10.1002/phar.1270]</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t>93 </w:t>
      </w:r>
      <w:r w:rsidRPr="007505C6">
        <w:rPr>
          <w:rFonts w:ascii="Book Antiqua" w:eastAsia="宋体" w:hAnsi="Book Antiqua" w:cs="宋体"/>
          <w:b/>
          <w:bCs/>
          <w:sz w:val="24"/>
          <w:szCs w:val="24"/>
          <w:lang w:eastAsia="zh-CN"/>
        </w:rPr>
        <w:t>Nutescu EA</w:t>
      </w:r>
      <w:r w:rsidRPr="007505C6">
        <w:rPr>
          <w:rFonts w:ascii="Book Antiqua" w:eastAsia="宋体" w:hAnsi="Book Antiqua" w:cs="宋体"/>
          <w:sz w:val="24"/>
          <w:szCs w:val="24"/>
          <w:lang w:eastAsia="zh-CN"/>
        </w:rPr>
        <w:t>, Dager WE, Kalus JS, Lewin JJ, Cipolle MD.</w:t>
      </w:r>
      <w:proofErr w:type="gramEnd"/>
      <w:r w:rsidRPr="007505C6">
        <w:rPr>
          <w:rFonts w:ascii="Book Antiqua" w:eastAsia="宋体" w:hAnsi="Book Antiqua" w:cs="宋体"/>
          <w:sz w:val="24"/>
          <w:szCs w:val="24"/>
          <w:lang w:eastAsia="zh-CN"/>
        </w:rPr>
        <w:t xml:space="preserve"> Management of bleeding and reversal strategies for oral anticoagulants: clinical practice considerations. </w:t>
      </w:r>
      <w:r w:rsidRPr="007505C6">
        <w:rPr>
          <w:rFonts w:ascii="Book Antiqua" w:eastAsia="宋体" w:hAnsi="Book Antiqua" w:cs="宋体"/>
          <w:i/>
          <w:iCs/>
          <w:sz w:val="24"/>
          <w:szCs w:val="24"/>
          <w:lang w:eastAsia="zh-CN"/>
        </w:rPr>
        <w:t>Am J Health Syst Pharm</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70</w:t>
      </w:r>
      <w:r w:rsidRPr="007505C6">
        <w:rPr>
          <w:rFonts w:ascii="Book Antiqua" w:eastAsia="宋体" w:hAnsi="Book Antiqua" w:cs="宋体"/>
          <w:sz w:val="24"/>
          <w:szCs w:val="24"/>
          <w:lang w:eastAsia="zh-CN"/>
        </w:rPr>
        <w:t>: 1914-1929 [PMID: 24128967 DOI: 10.2146/ajhp130243]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94 </w:t>
      </w:r>
      <w:r w:rsidRPr="007505C6">
        <w:rPr>
          <w:rFonts w:ascii="Book Antiqua" w:eastAsia="宋体" w:hAnsi="Book Antiqua" w:cs="宋体"/>
          <w:b/>
          <w:bCs/>
          <w:sz w:val="24"/>
          <w:szCs w:val="24"/>
          <w:lang w:eastAsia="zh-CN"/>
        </w:rPr>
        <w:t>Kaatz S</w:t>
      </w:r>
      <w:r w:rsidRPr="007505C6">
        <w:rPr>
          <w:rFonts w:ascii="Book Antiqua" w:eastAsia="宋体" w:hAnsi="Book Antiqua" w:cs="宋体"/>
          <w:sz w:val="24"/>
          <w:szCs w:val="24"/>
          <w:lang w:eastAsia="zh-CN"/>
        </w:rPr>
        <w:t>, Kouides PA, Garcia DA, Spyropolous AC, Crowther M, Douketis JD, Chan AK, James A, Moll S, Ortel TL, Van Cott EM, Ansell J. Guidance on the emergent reversal of oral thrombin and factor Xa inhibitors. </w:t>
      </w:r>
      <w:r w:rsidRPr="007505C6">
        <w:rPr>
          <w:rFonts w:ascii="Book Antiqua" w:eastAsia="宋体" w:hAnsi="Book Antiqua" w:cs="宋体"/>
          <w:i/>
          <w:iCs/>
          <w:sz w:val="24"/>
          <w:szCs w:val="24"/>
          <w:lang w:eastAsia="zh-CN"/>
        </w:rPr>
        <w:t>Am J Hematol</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87 Suppl 1</w:t>
      </w:r>
      <w:r w:rsidRPr="007505C6">
        <w:rPr>
          <w:rFonts w:ascii="Book Antiqua" w:eastAsia="宋体" w:hAnsi="Book Antiqua" w:cs="宋体"/>
          <w:sz w:val="24"/>
          <w:szCs w:val="24"/>
          <w:lang w:eastAsia="zh-CN"/>
        </w:rPr>
        <w:t>: S141-S145 [PMID: 22473649 DOI: 10.1002/ajh.23202]</w:t>
      </w:r>
    </w:p>
    <w:p w:rsidR="007505C6" w:rsidRPr="007505C6" w:rsidRDefault="00895999"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95</w:t>
      </w:r>
      <w:r>
        <w:rPr>
          <w:rFonts w:ascii="Book Antiqua" w:eastAsia="宋体" w:hAnsi="Book Antiqua" w:cs="宋体" w:hint="eastAsia"/>
          <w:sz w:val="24"/>
          <w:szCs w:val="24"/>
          <w:lang w:eastAsia="zh-CN"/>
        </w:rPr>
        <w:t xml:space="preserve"> </w:t>
      </w:r>
      <w:r w:rsidR="007505C6" w:rsidRPr="00895999">
        <w:rPr>
          <w:rFonts w:ascii="Book Antiqua" w:eastAsia="宋体" w:hAnsi="Book Antiqua" w:cs="宋体"/>
          <w:b/>
          <w:sz w:val="24"/>
          <w:szCs w:val="24"/>
          <w:lang w:eastAsia="zh-CN"/>
        </w:rPr>
        <w:t>Samama MM</w:t>
      </w:r>
      <w:r w:rsidR="007505C6" w:rsidRPr="007505C6">
        <w:rPr>
          <w:rFonts w:ascii="Book Antiqua" w:eastAsia="宋体" w:hAnsi="Book Antiqua" w:cs="宋体"/>
          <w:sz w:val="24"/>
          <w:szCs w:val="24"/>
          <w:lang w:eastAsia="zh-CN"/>
        </w:rPr>
        <w:t>. Coagulation assays in patients with new oral anticoagulants (NOACs): Why? When</w:t>
      </w:r>
      <w:proofErr w:type="gramStart"/>
      <w:r w:rsidR="007505C6" w:rsidRPr="007505C6">
        <w:rPr>
          <w:rFonts w:ascii="Book Antiqua" w:eastAsia="宋体" w:hAnsi="Book Antiqua" w:cs="宋体"/>
          <w:sz w:val="24"/>
          <w:szCs w:val="24"/>
          <w:lang w:eastAsia="zh-CN"/>
        </w:rPr>
        <w:t>?.</w:t>
      </w:r>
      <w:proofErr w:type="gramEnd"/>
      <w:r w:rsidR="007505C6" w:rsidRPr="007505C6">
        <w:rPr>
          <w:rFonts w:ascii="Book Antiqua" w:eastAsia="宋体" w:hAnsi="Book Antiqua" w:cs="宋体"/>
          <w:sz w:val="24"/>
          <w:szCs w:val="24"/>
          <w:lang w:eastAsia="zh-CN"/>
        </w:rPr>
        <w:t xml:space="preserve"> </w:t>
      </w:r>
      <w:r w:rsidRPr="00895999">
        <w:rPr>
          <w:rFonts w:ascii="Book Antiqua" w:eastAsia="宋体" w:hAnsi="Book Antiqua" w:cs="宋体"/>
          <w:i/>
          <w:sz w:val="24"/>
          <w:szCs w:val="24"/>
          <w:lang w:eastAsia="zh-CN"/>
        </w:rPr>
        <w:t>Drug Dev Res</w:t>
      </w:r>
      <w:r w:rsidR="007505C6" w:rsidRPr="00895999">
        <w:rPr>
          <w:rFonts w:ascii="Book Antiqua" w:eastAsia="宋体" w:hAnsi="Book Antiqua" w:cs="宋体"/>
          <w:i/>
          <w:sz w:val="24"/>
          <w:szCs w:val="24"/>
          <w:lang w:eastAsia="zh-CN"/>
        </w:rPr>
        <w:t xml:space="preserve"> </w:t>
      </w:r>
      <w:r w:rsidR="007505C6" w:rsidRPr="007505C6">
        <w:rPr>
          <w:rFonts w:ascii="Book Antiqua" w:eastAsia="宋体" w:hAnsi="Book Antiqua" w:cs="宋体"/>
          <w:sz w:val="24"/>
          <w:szCs w:val="24"/>
          <w:lang w:eastAsia="zh-CN"/>
        </w:rPr>
        <w:t>2013; 74: 582-586 [DOI: 10.1002/ddr.21118]</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96 </w:t>
      </w:r>
      <w:r w:rsidRPr="007505C6">
        <w:rPr>
          <w:rFonts w:ascii="Book Antiqua" w:eastAsia="宋体" w:hAnsi="Book Antiqua" w:cs="宋体"/>
          <w:b/>
          <w:bCs/>
          <w:sz w:val="24"/>
          <w:szCs w:val="24"/>
          <w:lang w:eastAsia="zh-CN"/>
        </w:rPr>
        <w:t>Liew A</w:t>
      </w:r>
      <w:r w:rsidRPr="007505C6">
        <w:rPr>
          <w:rFonts w:ascii="Book Antiqua" w:eastAsia="宋体" w:hAnsi="Book Antiqua" w:cs="宋体"/>
          <w:sz w:val="24"/>
          <w:szCs w:val="24"/>
          <w:lang w:eastAsia="zh-CN"/>
        </w:rPr>
        <w:t xml:space="preserve">, Eikelboom JW, O'Donnell M, Hart RG. </w:t>
      </w:r>
      <w:proofErr w:type="gramStart"/>
      <w:r w:rsidRPr="007505C6">
        <w:rPr>
          <w:rFonts w:ascii="Book Antiqua" w:eastAsia="宋体" w:hAnsi="Book Antiqua" w:cs="宋体"/>
          <w:sz w:val="24"/>
          <w:szCs w:val="24"/>
          <w:lang w:eastAsia="zh-CN"/>
        </w:rPr>
        <w:t>Assessment of anticoagulation intensity and management of bleeding with old and new oral anticoagulants.</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Can J Cardiol</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29</w:t>
      </w:r>
      <w:r w:rsidRPr="007505C6">
        <w:rPr>
          <w:rFonts w:ascii="Book Antiqua" w:eastAsia="宋体" w:hAnsi="Book Antiqua" w:cs="宋体"/>
          <w:sz w:val="24"/>
          <w:szCs w:val="24"/>
          <w:lang w:eastAsia="zh-CN"/>
        </w:rPr>
        <w:t>: S34-S44 [PMID: 23790596 DOI: 10.1016/j.cjca.2013.04.013]</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97 </w:t>
      </w:r>
      <w:r w:rsidRPr="007505C6">
        <w:rPr>
          <w:rFonts w:ascii="Book Antiqua" w:eastAsia="宋体" w:hAnsi="Book Antiqua" w:cs="宋体"/>
          <w:b/>
          <w:bCs/>
          <w:sz w:val="24"/>
          <w:szCs w:val="24"/>
          <w:lang w:eastAsia="zh-CN"/>
        </w:rPr>
        <w:t>van Ryn J</w:t>
      </w:r>
      <w:r w:rsidRPr="007505C6">
        <w:rPr>
          <w:rFonts w:ascii="Book Antiqua" w:eastAsia="宋体" w:hAnsi="Book Antiqua" w:cs="宋体"/>
          <w:sz w:val="24"/>
          <w:szCs w:val="24"/>
          <w:lang w:eastAsia="zh-CN"/>
        </w:rPr>
        <w:t xml:space="preserve">, Stangier J, Haertter S, Liesenfeld KH, Wienen W, Feuring M, </w:t>
      </w:r>
      <w:proofErr w:type="gramStart"/>
      <w:r w:rsidRPr="007505C6">
        <w:rPr>
          <w:rFonts w:ascii="Book Antiqua" w:eastAsia="宋体" w:hAnsi="Book Antiqua" w:cs="宋体"/>
          <w:sz w:val="24"/>
          <w:szCs w:val="24"/>
          <w:lang w:eastAsia="zh-CN"/>
        </w:rPr>
        <w:t>Clemens</w:t>
      </w:r>
      <w:proofErr w:type="gramEnd"/>
      <w:r w:rsidRPr="007505C6">
        <w:rPr>
          <w:rFonts w:ascii="Book Antiqua" w:eastAsia="宋体" w:hAnsi="Book Antiqua" w:cs="宋体"/>
          <w:sz w:val="24"/>
          <w:szCs w:val="24"/>
          <w:lang w:eastAsia="zh-CN"/>
        </w:rPr>
        <w:t xml:space="preserve"> A. Dabigatran etexilate--a novel, reversible, oral direct thrombin inhibitor: interpretation of coagulation assays and reversal of anticoagulant activity.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2010; </w:t>
      </w:r>
      <w:r w:rsidRPr="007505C6">
        <w:rPr>
          <w:rFonts w:ascii="Book Antiqua" w:eastAsia="宋体" w:hAnsi="Book Antiqua" w:cs="宋体"/>
          <w:b/>
          <w:bCs/>
          <w:sz w:val="24"/>
          <w:szCs w:val="24"/>
          <w:lang w:eastAsia="zh-CN"/>
        </w:rPr>
        <w:t>103</w:t>
      </w:r>
      <w:r w:rsidRPr="007505C6">
        <w:rPr>
          <w:rFonts w:ascii="Book Antiqua" w:eastAsia="宋体" w:hAnsi="Book Antiqua" w:cs="宋体"/>
          <w:sz w:val="24"/>
          <w:szCs w:val="24"/>
          <w:lang w:eastAsia="zh-CN"/>
        </w:rPr>
        <w:t>: 1116-1127 [PMID: 20352166 DOI: 10.1160/TH09-11-0758]</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98 </w:t>
      </w:r>
      <w:r w:rsidRPr="007505C6">
        <w:rPr>
          <w:rFonts w:ascii="Book Antiqua" w:eastAsia="宋体" w:hAnsi="Book Antiqua" w:cs="宋体"/>
          <w:b/>
          <w:bCs/>
          <w:sz w:val="24"/>
          <w:szCs w:val="24"/>
          <w:lang w:eastAsia="zh-CN"/>
        </w:rPr>
        <w:t>Samama MM</w:t>
      </w:r>
      <w:r w:rsidRPr="007505C6">
        <w:rPr>
          <w:rFonts w:ascii="Book Antiqua" w:eastAsia="宋体" w:hAnsi="Book Antiqua" w:cs="宋体"/>
          <w:sz w:val="24"/>
          <w:szCs w:val="24"/>
          <w:lang w:eastAsia="zh-CN"/>
        </w:rPr>
        <w:t>, Guinet C, Le Flem L, Ninin E, Debue JM. Measurement of dabigatran and rivaroxaban in primary prevention of venous thromboembolism in 106 patients, who have undergone major orthopedic surgery: an observational study. </w:t>
      </w:r>
      <w:r w:rsidRPr="007505C6">
        <w:rPr>
          <w:rFonts w:ascii="Book Antiqua" w:eastAsia="宋体" w:hAnsi="Book Antiqua" w:cs="宋体"/>
          <w:i/>
          <w:iCs/>
          <w:sz w:val="24"/>
          <w:szCs w:val="24"/>
          <w:lang w:eastAsia="zh-CN"/>
        </w:rPr>
        <w:t>J Thromb Thrombolysis</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35</w:t>
      </w:r>
      <w:r w:rsidRPr="007505C6">
        <w:rPr>
          <w:rFonts w:ascii="Book Antiqua" w:eastAsia="宋体" w:hAnsi="Book Antiqua" w:cs="宋体"/>
          <w:sz w:val="24"/>
          <w:szCs w:val="24"/>
          <w:lang w:eastAsia="zh-CN"/>
        </w:rPr>
        <w:t>: 140-146 [PMID: 23335022 DOI: 10.1007/s11239-012-0803.x]</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99 </w:t>
      </w:r>
      <w:r w:rsidRPr="007505C6">
        <w:rPr>
          <w:rFonts w:ascii="Book Antiqua" w:eastAsia="宋体" w:hAnsi="Book Antiqua" w:cs="宋体"/>
          <w:b/>
          <w:bCs/>
          <w:sz w:val="24"/>
          <w:szCs w:val="24"/>
          <w:lang w:eastAsia="zh-CN"/>
        </w:rPr>
        <w:t>Stangier J</w:t>
      </w:r>
      <w:r w:rsidRPr="007505C6">
        <w:rPr>
          <w:rFonts w:ascii="Book Antiqua" w:eastAsia="宋体" w:hAnsi="Book Antiqua" w:cs="宋体"/>
          <w:sz w:val="24"/>
          <w:szCs w:val="24"/>
          <w:lang w:eastAsia="zh-CN"/>
        </w:rPr>
        <w:t>, Feuring M. Using the HEMOCLOT direct thrombin inhibitor assay to determine plasma concentrations of dabigatran. </w:t>
      </w:r>
      <w:r w:rsidRPr="007505C6">
        <w:rPr>
          <w:rFonts w:ascii="Book Antiqua" w:eastAsia="宋体" w:hAnsi="Book Antiqua" w:cs="宋体"/>
          <w:i/>
          <w:iCs/>
          <w:sz w:val="24"/>
          <w:szCs w:val="24"/>
          <w:lang w:eastAsia="zh-CN"/>
        </w:rPr>
        <w:t>Blood Coagul Fibrinolysis</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23</w:t>
      </w:r>
      <w:r w:rsidRPr="007505C6">
        <w:rPr>
          <w:rFonts w:ascii="Book Antiqua" w:eastAsia="宋体" w:hAnsi="Book Antiqua" w:cs="宋体"/>
          <w:sz w:val="24"/>
          <w:szCs w:val="24"/>
          <w:lang w:eastAsia="zh-CN"/>
        </w:rPr>
        <w:t>: 138-143 [PMID: 22227958 DOI: 10.1097/MBC.0b013e32834f1b0c]</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100 </w:t>
      </w:r>
      <w:r w:rsidRPr="007505C6">
        <w:rPr>
          <w:rFonts w:ascii="Book Antiqua" w:eastAsia="宋体" w:hAnsi="Book Antiqua" w:cs="宋体"/>
          <w:b/>
          <w:bCs/>
          <w:sz w:val="24"/>
          <w:szCs w:val="24"/>
          <w:lang w:eastAsia="zh-CN"/>
        </w:rPr>
        <w:t>Weitz JI</w:t>
      </w:r>
      <w:r w:rsidRPr="007505C6">
        <w:rPr>
          <w:rFonts w:ascii="Book Antiqua" w:eastAsia="宋体" w:hAnsi="Book Antiqua" w:cs="宋体"/>
          <w:sz w:val="24"/>
          <w:szCs w:val="24"/>
          <w:lang w:eastAsia="zh-CN"/>
        </w:rPr>
        <w:t>, Quinlan DJ, Eikelboom JW. Periprocedural management and approach to bleeding in patients taking dabigatran. </w:t>
      </w:r>
      <w:r w:rsidRPr="007505C6">
        <w:rPr>
          <w:rFonts w:ascii="Book Antiqua" w:eastAsia="宋体" w:hAnsi="Book Antiqua" w:cs="宋体"/>
          <w:i/>
          <w:iCs/>
          <w:sz w:val="24"/>
          <w:szCs w:val="24"/>
          <w:lang w:eastAsia="zh-CN"/>
        </w:rPr>
        <w:t>Circulation</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126</w:t>
      </w:r>
      <w:r w:rsidRPr="007505C6">
        <w:rPr>
          <w:rFonts w:ascii="Book Antiqua" w:eastAsia="宋体" w:hAnsi="Book Antiqua" w:cs="宋体"/>
          <w:sz w:val="24"/>
          <w:szCs w:val="24"/>
          <w:lang w:eastAsia="zh-CN"/>
        </w:rPr>
        <w:t>: 2428-2432 [PMID: 23147769 DOI: 10.1161/CIRCULATIONAHA.112.123224]</w:t>
      </w:r>
    </w:p>
    <w:p w:rsidR="007505C6" w:rsidRPr="007505C6" w:rsidRDefault="00895999"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101 </w:t>
      </w:r>
      <w:r w:rsidR="007505C6" w:rsidRPr="00895999">
        <w:rPr>
          <w:rFonts w:ascii="Book Antiqua" w:eastAsia="宋体" w:hAnsi="Book Antiqua" w:cs="宋体"/>
          <w:b/>
          <w:sz w:val="24"/>
          <w:szCs w:val="24"/>
          <w:lang w:eastAsia="zh-CN"/>
        </w:rPr>
        <w:t>van Ryn J,</w:t>
      </w:r>
      <w:r w:rsidR="007505C6" w:rsidRPr="007505C6">
        <w:rPr>
          <w:rFonts w:ascii="Book Antiqua" w:eastAsia="宋体" w:hAnsi="Book Antiqua" w:cs="宋体"/>
          <w:sz w:val="24"/>
          <w:szCs w:val="24"/>
          <w:lang w:eastAsia="zh-CN"/>
        </w:rPr>
        <w:t xml:space="preserve"> Litzenburger T, Gan G, Coble K, Schurer J. Evaluation of a specific antidote to dabigatran: in vitro properties, pharmacokinetics and reversal of dabigatran etexilate-induced bleeding in rats. </w:t>
      </w:r>
      <w:r w:rsidR="007505C6" w:rsidRPr="00895999">
        <w:rPr>
          <w:rFonts w:ascii="Book Antiqua" w:eastAsia="宋体" w:hAnsi="Book Antiqua" w:cs="宋体"/>
          <w:i/>
          <w:sz w:val="24"/>
          <w:szCs w:val="24"/>
          <w:lang w:eastAsia="zh-CN"/>
        </w:rPr>
        <w:t>J Am Coll Cardiol</w:t>
      </w:r>
      <w:r w:rsidR="007505C6" w:rsidRPr="007505C6">
        <w:rPr>
          <w:rFonts w:ascii="Book Antiqua" w:eastAsia="宋体" w:hAnsi="Book Antiqua" w:cs="宋体"/>
          <w:sz w:val="24"/>
          <w:szCs w:val="24"/>
          <w:lang w:eastAsia="zh-CN"/>
        </w:rPr>
        <w:t xml:space="preserve"> 2013; </w:t>
      </w:r>
      <w:r w:rsidR="007505C6" w:rsidRPr="00895999">
        <w:rPr>
          <w:rFonts w:ascii="Book Antiqua" w:eastAsia="宋体" w:hAnsi="Book Antiqua" w:cs="宋体"/>
          <w:b/>
          <w:sz w:val="24"/>
          <w:szCs w:val="24"/>
          <w:lang w:eastAsia="zh-CN"/>
        </w:rPr>
        <w:t>61</w:t>
      </w:r>
      <w:r w:rsidR="007505C6" w:rsidRPr="007505C6">
        <w:rPr>
          <w:rFonts w:ascii="Book Antiqua" w:eastAsia="宋体" w:hAnsi="Book Antiqua" w:cs="宋体"/>
          <w:sz w:val="24"/>
          <w:szCs w:val="24"/>
          <w:lang w:eastAsia="zh-CN"/>
        </w:rPr>
        <w:t>: E1825 [DOI: 10.1016/S0735-1097(13)61825-2]</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102 </w:t>
      </w:r>
      <w:r w:rsidRPr="007505C6">
        <w:rPr>
          <w:rFonts w:ascii="Book Antiqua" w:eastAsia="宋体" w:hAnsi="Book Antiqua" w:cs="宋体"/>
          <w:b/>
          <w:bCs/>
          <w:sz w:val="24"/>
          <w:szCs w:val="24"/>
          <w:lang w:eastAsia="zh-CN"/>
        </w:rPr>
        <w:t>Lu G</w:t>
      </w:r>
      <w:r w:rsidRPr="007505C6">
        <w:rPr>
          <w:rFonts w:ascii="Book Antiqua" w:eastAsia="宋体" w:hAnsi="Book Antiqua" w:cs="宋体"/>
          <w:sz w:val="24"/>
          <w:szCs w:val="24"/>
          <w:lang w:eastAsia="zh-CN"/>
        </w:rPr>
        <w:t xml:space="preserve">, DeGuzman FR, Hollenbach SJ, Karbarz MJ, Abe K, Lee G, Luan P, Hutchaleelaha A, Inagaki M, Conley PB, Phillips DR, Sinha U. </w:t>
      </w:r>
      <w:proofErr w:type="gramStart"/>
      <w:r w:rsidRPr="007505C6">
        <w:rPr>
          <w:rFonts w:ascii="Book Antiqua" w:eastAsia="宋体" w:hAnsi="Book Antiqua" w:cs="宋体"/>
          <w:sz w:val="24"/>
          <w:szCs w:val="24"/>
          <w:lang w:eastAsia="zh-CN"/>
        </w:rPr>
        <w:t>A specific antidote for reversal of anticoagulation by direct and indirect inhibitors of coagulation factor Xa.</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Nat Med</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19</w:t>
      </w:r>
      <w:r w:rsidRPr="007505C6">
        <w:rPr>
          <w:rFonts w:ascii="Book Antiqua" w:eastAsia="宋体" w:hAnsi="Book Antiqua" w:cs="宋体"/>
          <w:sz w:val="24"/>
          <w:szCs w:val="24"/>
          <w:lang w:eastAsia="zh-CN"/>
        </w:rPr>
        <w:t>: 446-451 [PMID: 23455714 DOI: 10.1038/nm.3102]</w:t>
      </w:r>
    </w:p>
    <w:p w:rsidR="007505C6" w:rsidRPr="007505C6" w:rsidRDefault="007505C6" w:rsidP="007505C6">
      <w:pPr>
        <w:spacing w:after="0" w:line="360" w:lineRule="auto"/>
        <w:jc w:val="both"/>
        <w:rPr>
          <w:rFonts w:ascii="Book Antiqua" w:eastAsia="宋体" w:hAnsi="Book Antiqua" w:cs="宋体"/>
          <w:sz w:val="24"/>
          <w:szCs w:val="24"/>
          <w:lang w:eastAsia="zh-CN"/>
        </w:rPr>
      </w:pPr>
      <w:proofErr w:type="gramStart"/>
      <w:r w:rsidRPr="007505C6">
        <w:rPr>
          <w:rFonts w:ascii="Book Antiqua" w:eastAsia="宋体" w:hAnsi="Book Antiqua" w:cs="宋体"/>
          <w:sz w:val="24"/>
          <w:szCs w:val="24"/>
          <w:lang w:eastAsia="zh-CN"/>
        </w:rPr>
        <w:lastRenderedPageBreak/>
        <w:t>103 </w:t>
      </w:r>
      <w:r w:rsidRPr="007505C6">
        <w:rPr>
          <w:rFonts w:ascii="Book Antiqua" w:eastAsia="宋体" w:hAnsi="Book Antiqua" w:cs="宋体"/>
          <w:b/>
          <w:bCs/>
          <w:sz w:val="24"/>
          <w:szCs w:val="24"/>
          <w:lang w:eastAsia="zh-CN"/>
        </w:rPr>
        <w:t>Warkentin TE</w:t>
      </w:r>
      <w:r w:rsidRPr="007505C6">
        <w:rPr>
          <w:rFonts w:ascii="Book Antiqua" w:eastAsia="宋体" w:hAnsi="Book Antiqua" w:cs="宋体"/>
          <w:sz w:val="24"/>
          <w:szCs w:val="24"/>
          <w:lang w:eastAsia="zh-CN"/>
        </w:rPr>
        <w:t>, Margetts P, Connolly SJ, Lamy A, Ricci C, Eikelboom JW.</w:t>
      </w:r>
      <w:proofErr w:type="gramEnd"/>
      <w:r w:rsidRPr="007505C6">
        <w:rPr>
          <w:rFonts w:ascii="Book Antiqua" w:eastAsia="宋体" w:hAnsi="Book Antiqua" w:cs="宋体"/>
          <w:sz w:val="24"/>
          <w:szCs w:val="24"/>
          <w:lang w:eastAsia="zh-CN"/>
        </w:rPr>
        <w:t xml:space="preserve"> </w:t>
      </w:r>
      <w:proofErr w:type="gramStart"/>
      <w:r w:rsidRPr="007505C6">
        <w:rPr>
          <w:rFonts w:ascii="Book Antiqua" w:eastAsia="宋体" w:hAnsi="Book Antiqua" w:cs="宋体"/>
          <w:sz w:val="24"/>
          <w:szCs w:val="24"/>
          <w:lang w:eastAsia="zh-CN"/>
        </w:rPr>
        <w:t>Recombinant factor VIIa (rFVIIa) and hemodialysis to manage massive dabigatran-associated postcardiac surgery bleeding.</w:t>
      </w:r>
      <w:proofErr w:type="gramEnd"/>
      <w:r w:rsidRPr="007505C6">
        <w:rPr>
          <w:rFonts w:ascii="Book Antiqua" w:eastAsia="宋体" w:hAnsi="Book Antiqua" w:cs="宋体"/>
          <w:sz w:val="24"/>
          <w:szCs w:val="24"/>
          <w:lang w:eastAsia="zh-CN"/>
        </w:rPr>
        <w:t> </w:t>
      </w:r>
      <w:r w:rsidRPr="007505C6">
        <w:rPr>
          <w:rFonts w:ascii="Book Antiqua" w:eastAsia="宋体" w:hAnsi="Book Antiqua" w:cs="宋体"/>
          <w:i/>
          <w:iCs/>
          <w:sz w:val="24"/>
          <w:szCs w:val="24"/>
          <w:lang w:eastAsia="zh-CN"/>
        </w:rPr>
        <w:t>Blood</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119</w:t>
      </w:r>
      <w:r w:rsidRPr="007505C6">
        <w:rPr>
          <w:rFonts w:ascii="Book Antiqua" w:eastAsia="宋体" w:hAnsi="Book Antiqua" w:cs="宋体"/>
          <w:sz w:val="24"/>
          <w:szCs w:val="24"/>
          <w:lang w:eastAsia="zh-CN"/>
        </w:rPr>
        <w:t>: 2172-2174 [PMID: 22383791 DOI: 10.1182/blood-2011-11-393587]</w:t>
      </w:r>
    </w:p>
    <w:p w:rsidR="007505C6" w:rsidRPr="007505C6" w:rsidRDefault="00895999"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104 </w:t>
      </w:r>
      <w:r w:rsidR="007505C6" w:rsidRPr="00895999">
        <w:rPr>
          <w:rFonts w:ascii="Book Antiqua" w:eastAsia="宋体" w:hAnsi="Book Antiqua" w:cs="宋体"/>
          <w:b/>
          <w:sz w:val="24"/>
          <w:szCs w:val="24"/>
          <w:lang w:eastAsia="zh-CN"/>
        </w:rPr>
        <w:t>Alikhan R</w:t>
      </w:r>
      <w:r w:rsidR="007505C6" w:rsidRPr="007505C6">
        <w:rPr>
          <w:rFonts w:ascii="Book Antiqua" w:eastAsia="宋体" w:hAnsi="Book Antiqua" w:cs="宋体"/>
          <w:sz w:val="24"/>
          <w:szCs w:val="24"/>
          <w:lang w:eastAsia="zh-CN"/>
        </w:rPr>
        <w:t xml:space="preserve">, Rayment R, Baglin T, Benson G, Green L, Keeling D, Marshall S, Patel R, Pavord S, Rose P, Tait C. C0353 United Kingdom consensus based practical guide for the management of haemorrhage in patients receiving dabigatran. </w:t>
      </w:r>
      <w:r w:rsidR="007505C6" w:rsidRPr="00895999">
        <w:rPr>
          <w:rFonts w:ascii="Book Antiqua" w:eastAsia="宋体" w:hAnsi="Book Antiqua" w:cs="宋体"/>
          <w:i/>
          <w:sz w:val="24"/>
          <w:szCs w:val="24"/>
          <w:lang w:eastAsia="zh-CN"/>
        </w:rPr>
        <w:t>Thromb Res</w:t>
      </w:r>
      <w:r w:rsidR="007505C6" w:rsidRPr="007505C6">
        <w:rPr>
          <w:rFonts w:ascii="Book Antiqua" w:eastAsia="宋体" w:hAnsi="Book Antiqua" w:cs="宋体"/>
          <w:sz w:val="24"/>
          <w:szCs w:val="24"/>
          <w:lang w:eastAsia="zh-CN"/>
        </w:rPr>
        <w:t xml:space="preserve"> 2012; </w:t>
      </w:r>
      <w:r w:rsidR="007505C6" w:rsidRPr="00895999">
        <w:rPr>
          <w:rFonts w:ascii="Book Antiqua" w:eastAsia="宋体" w:hAnsi="Book Antiqua" w:cs="宋体"/>
          <w:b/>
          <w:sz w:val="24"/>
          <w:szCs w:val="24"/>
          <w:lang w:eastAsia="zh-CN"/>
        </w:rPr>
        <w:t>130</w:t>
      </w:r>
      <w:r>
        <w:rPr>
          <w:rFonts w:ascii="Book Antiqua" w:eastAsia="宋体" w:hAnsi="Book Antiqua" w:cs="宋体"/>
          <w:sz w:val="24"/>
          <w:szCs w:val="24"/>
          <w:lang w:eastAsia="zh-CN"/>
        </w:rPr>
        <w:t>: S114-S115</w:t>
      </w:r>
      <w:r w:rsidR="007505C6" w:rsidRPr="007505C6">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DOI</w:t>
      </w:r>
      <w:r w:rsidR="007505C6" w:rsidRPr="007505C6">
        <w:rPr>
          <w:rFonts w:ascii="Book Antiqua" w:eastAsia="宋体" w:hAnsi="Book Antiqua" w:cs="宋体"/>
          <w:sz w:val="24"/>
          <w:szCs w:val="24"/>
          <w:lang w:eastAsia="zh-CN"/>
        </w:rPr>
        <w:t>: 10.1016/j.thromres.2012.08.039]</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105 </w:t>
      </w:r>
      <w:r w:rsidRPr="007505C6">
        <w:rPr>
          <w:rFonts w:ascii="Book Antiqua" w:eastAsia="宋体" w:hAnsi="Book Antiqua" w:cs="宋体"/>
          <w:b/>
          <w:bCs/>
          <w:sz w:val="24"/>
          <w:szCs w:val="24"/>
          <w:lang w:eastAsia="zh-CN"/>
        </w:rPr>
        <w:t>Holbrook A</w:t>
      </w:r>
      <w:r w:rsidRPr="007505C6">
        <w:rPr>
          <w:rFonts w:ascii="Book Antiqua" w:eastAsia="宋体" w:hAnsi="Book Antiqua" w:cs="宋体"/>
          <w:sz w:val="24"/>
          <w:szCs w:val="24"/>
          <w:lang w:eastAsia="zh-CN"/>
        </w:rPr>
        <w:t xml:space="preserve">, Schulman S, Witt DM, Vandvik PO, Fish J, Kovacs MJ, Svensson PJ, Veenstra DL, Crowther M, Guyatt GH. Evidence-based management of anticoagulant therapy: Antithrombotic Therapy and Prevention of Thrombosis, 9th </w:t>
      </w:r>
      <w:proofErr w:type="gramStart"/>
      <w:r w:rsidRPr="007505C6">
        <w:rPr>
          <w:rFonts w:ascii="Book Antiqua" w:eastAsia="宋体" w:hAnsi="Book Antiqua" w:cs="宋体"/>
          <w:sz w:val="24"/>
          <w:szCs w:val="24"/>
          <w:lang w:eastAsia="zh-CN"/>
        </w:rPr>
        <w:t>ed</w:t>
      </w:r>
      <w:proofErr w:type="gramEnd"/>
      <w:r w:rsidRPr="007505C6">
        <w:rPr>
          <w:rFonts w:ascii="Book Antiqua" w:eastAsia="宋体" w:hAnsi="Book Antiqua" w:cs="宋体"/>
          <w:sz w:val="24"/>
          <w:szCs w:val="24"/>
          <w:lang w:eastAsia="zh-CN"/>
        </w:rPr>
        <w:t>: American College of Chest Physicians Evidence-Based Clinical Practice Guidelines. </w:t>
      </w:r>
      <w:r w:rsidRPr="007505C6">
        <w:rPr>
          <w:rFonts w:ascii="Book Antiqua" w:eastAsia="宋体" w:hAnsi="Book Antiqua" w:cs="宋体"/>
          <w:i/>
          <w:iCs/>
          <w:sz w:val="24"/>
          <w:szCs w:val="24"/>
          <w:lang w:eastAsia="zh-CN"/>
        </w:rPr>
        <w:t>Chest</w:t>
      </w:r>
      <w:r w:rsidRPr="007505C6">
        <w:rPr>
          <w:rFonts w:ascii="Book Antiqua" w:eastAsia="宋体" w:hAnsi="Book Antiqua" w:cs="宋体"/>
          <w:sz w:val="24"/>
          <w:szCs w:val="24"/>
          <w:lang w:eastAsia="zh-CN"/>
        </w:rPr>
        <w:t> 2012; </w:t>
      </w:r>
      <w:r w:rsidRPr="007505C6">
        <w:rPr>
          <w:rFonts w:ascii="Book Antiqua" w:eastAsia="宋体" w:hAnsi="Book Antiqua" w:cs="宋体"/>
          <w:b/>
          <w:bCs/>
          <w:sz w:val="24"/>
          <w:szCs w:val="24"/>
          <w:lang w:eastAsia="zh-CN"/>
        </w:rPr>
        <w:t>141</w:t>
      </w:r>
      <w:r w:rsidRPr="007505C6">
        <w:rPr>
          <w:rFonts w:ascii="Book Antiqua" w:eastAsia="宋体" w:hAnsi="Book Antiqua" w:cs="宋体"/>
          <w:sz w:val="24"/>
          <w:szCs w:val="24"/>
          <w:lang w:eastAsia="zh-CN"/>
        </w:rPr>
        <w:t>: e152S-e184S [PMID: 22315259 DOI: 10.1378/chest.11-2295]</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106 </w:t>
      </w:r>
      <w:r w:rsidRPr="007505C6">
        <w:rPr>
          <w:rFonts w:ascii="Book Antiqua" w:eastAsia="宋体" w:hAnsi="Book Antiqua" w:cs="宋体"/>
          <w:b/>
          <w:bCs/>
          <w:sz w:val="24"/>
          <w:szCs w:val="24"/>
          <w:lang w:eastAsia="zh-CN"/>
        </w:rPr>
        <w:t>Dickneite G</w:t>
      </w:r>
      <w:r w:rsidRPr="007505C6">
        <w:rPr>
          <w:rFonts w:ascii="Book Antiqua" w:eastAsia="宋体" w:hAnsi="Book Antiqua" w:cs="宋体"/>
          <w:sz w:val="24"/>
          <w:szCs w:val="24"/>
          <w:lang w:eastAsia="zh-CN"/>
        </w:rPr>
        <w:t>, Hoffman M. Reversing the new oral anticoagulants with prothrombin complex concentrates (PCCs): what is the evidence? </w:t>
      </w:r>
      <w:r w:rsidRPr="007505C6">
        <w:rPr>
          <w:rFonts w:ascii="Book Antiqua" w:eastAsia="宋体" w:hAnsi="Book Antiqua" w:cs="宋体"/>
          <w:i/>
          <w:iCs/>
          <w:sz w:val="24"/>
          <w:szCs w:val="24"/>
          <w:lang w:eastAsia="zh-CN"/>
        </w:rPr>
        <w:t>Thromb Haemost</w:t>
      </w:r>
      <w:r w:rsidRPr="007505C6">
        <w:rPr>
          <w:rFonts w:ascii="Book Antiqua" w:eastAsia="宋体" w:hAnsi="Book Antiqua" w:cs="宋体"/>
          <w:sz w:val="24"/>
          <w:szCs w:val="24"/>
          <w:lang w:eastAsia="zh-CN"/>
        </w:rPr>
        <w:t> 2014; </w:t>
      </w:r>
      <w:r w:rsidRPr="007505C6">
        <w:rPr>
          <w:rFonts w:ascii="Book Antiqua" w:eastAsia="宋体" w:hAnsi="Book Antiqua" w:cs="宋体"/>
          <w:b/>
          <w:bCs/>
          <w:sz w:val="24"/>
          <w:szCs w:val="24"/>
          <w:lang w:eastAsia="zh-CN"/>
        </w:rPr>
        <w:t>111</w:t>
      </w:r>
      <w:r w:rsidRPr="007505C6">
        <w:rPr>
          <w:rFonts w:ascii="Book Antiqua" w:eastAsia="宋体" w:hAnsi="Book Antiqua" w:cs="宋体"/>
          <w:sz w:val="24"/>
          <w:szCs w:val="24"/>
          <w:lang w:eastAsia="zh-CN"/>
        </w:rPr>
        <w:t>: 189-198 [PMID: 24136202 DOI: 10.1160/TH13-05-0431]</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107 </w:t>
      </w:r>
      <w:r w:rsidRPr="007505C6">
        <w:rPr>
          <w:rFonts w:ascii="Book Antiqua" w:eastAsia="宋体" w:hAnsi="Book Antiqua" w:cs="宋体"/>
          <w:b/>
          <w:bCs/>
          <w:sz w:val="24"/>
          <w:szCs w:val="24"/>
          <w:lang w:eastAsia="zh-CN"/>
        </w:rPr>
        <w:t>Eerenberg ES</w:t>
      </w:r>
      <w:r w:rsidRPr="007505C6">
        <w:rPr>
          <w:rFonts w:ascii="Book Antiqua" w:eastAsia="宋体" w:hAnsi="Book Antiqua" w:cs="宋体"/>
          <w:sz w:val="24"/>
          <w:szCs w:val="24"/>
          <w:lang w:eastAsia="zh-CN"/>
        </w:rPr>
        <w:t>, Kamphuisen PW, Sijpkens MK, Meijers JC, Buller HR, Levi M. Reversal of rivaroxaban and dabigatran by prothrombin complex concentrate: a randomized, placebo-controlled, crossover study in healthy subjects. </w:t>
      </w:r>
      <w:r w:rsidRPr="007505C6">
        <w:rPr>
          <w:rFonts w:ascii="Book Antiqua" w:eastAsia="宋体" w:hAnsi="Book Antiqua" w:cs="宋体"/>
          <w:i/>
          <w:iCs/>
          <w:sz w:val="24"/>
          <w:szCs w:val="24"/>
          <w:lang w:eastAsia="zh-CN"/>
        </w:rPr>
        <w:t>Circulation</w:t>
      </w:r>
      <w:r w:rsidRPr="007505C6">
        <w:rPr>
          <w:rFonts w:ascii="Book Antiqua" w:eastAsia="宋体" w:hAnsi="Book Antiqua" w:cs="宋体"/>
          <w:sz w:val="24"/>
          <w:szCs w:val="24"/>
          <w:lang w:eastAsia="zh-CN"/>
        </w:rPr>
        <w:t> 2011; </w:t>
      </w:r>
      <w:r w:rsidRPr="007505C6">
        <w:rPr>
          <w:rFonts w:ascii="Book Antiqua" w:eastAsia="宋体" w:hAnsi="Book Antiqua" w:cs="宋体"/>
          <w:b/>
          <w:bCs/>
          <w:sz w:val="24"/>
          <w:szCs w:val="24"/>
          <w:lang w:eastAsia="zh-CN"/>
        </w:rPr>
        <w:t>124</w:t>
      </w:r>
      <w:r w:rsidRPr="007505C6">
        <w:rPr>
          <w:rFonts w:ascii="Book Antiqua" w:eastAsia="宋体" w:hAnsi="Book Antiqua" w:cs="宋体"/>
          <w:sz w:val="24"/>
          <w:szCs w:val="24"/>
          <w:lang w:eastAsia="zh-CN"/>
        </w:rPr>
        <w:t>: 1573-1579 [PMID: 21900088 DOI: 10.1161/CIRCULATIONAHA.111.029017]</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lastRenderedPageBreak/>
        <w:t>108 </w:t>
      </w:r>
      <w:r w:rsidRPr="007505C6">
        <w:rPr>
          <w:rFonts w:ascii="Book Antiqua" w:eastAsia="宋体" w:hAnsi="Book Antiqua" w:cs="宋体"/>
          <w:b/>
          <w:bCs/>
          <w:sz w:val="24"/>
          <w:szCs w:val="24"/>
          <w:lang w:eastAsia="zh-CN"/>
        </w:rPr>
        <w:t>Díaz MQ</w:t>
      </w:r>
      <w:r w:rsidRPr="007505C6">
        <w:rPr>
          <w:rFonts w:ascii="Book Antiqua" w:eastAsia="宋体" w:hAnsi="Book Antiqua" w:cs="宋体"/>
          <w:sz w:val="24"/>
          <w:szCs w:val="24"/>
          <w:lang w:eastAsia="zh-CN"/>
        </w:rPr>
        <w:t>, Borobia AM, Núñez MA, Virto AM, Fabra S, Casado MS, García-Erce JA, Samama CM. Use of prothrombin complex concentrates for urgent reversal of dabigatran in the Emergency Department. </w:t>
      </w:r>
      <w:r w:rsidRPr="007505C6">
        <w:rPr>
          <w:rFonts w:ascii="Book Antiqua" w:eastAsia="宋体" w:hAnsi="Book Antiqua" w:cs="宋体"/>
          <w:i/>
          <w:iCs/>
          <w:sz w:val="24"/>
          <w:szCs w:val="24"/>
          <w:lang w:eastAsia="zh-CN"/>
        </w:rPr>
        <w:t>Haematologica</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98</w:t>
      </w:r>
      <w:r w:rsidRPr="007505C6">
        <w:rPr>
          <w:rFonts w:ascii="Book Antiqua" w:eastAsia="宋体" w:hAnsi="Book Antiqua" w:cs="宋体"/>
          <w:sz w:val="24"/>
          <w:szCs w:val="24"/>
          <w:lang w:eastAsia="zh-CN"/>
        </w:rPr>
        <w:t>: e143-e144 [PMID: 24186317 DOI: 10.3324/haematol.2013.092767]</w:t>
      </w:r>
    </w:p>
    <w:p w:rsidR="007505C6" w:rsidRPr="007505C6" w:rsidRDefault="007505C6" w:rsidP="007505C6">
      <w:pPr>
        <w:spacing w:after="0" w:line="360" w:lineRule="auto"/>
        <w:jc w:val="both"/>
        <w:rPr>
          <w:rFonts w:ascii="Book Antiqua" w:eastAsia="宋体" w:hAnsi="Book Antiqua" w:cs="宋体"/>
          <w:sz w:val="24"/>
          <w:szCs w:val="24"/>
          <w:lang w:eastAsia="zh-CN"/>
        </w:rPr>
      </w:pPr>
      <w:r w:rsidRPr="007505C6">
        <w:rPr>
          <w:rFonts w:ascii="Book Antiqua" w:eastAsia="宋体" w:hAnsi="Book Antiqua" w:cs="宋体"/>
          <w:sz w:val="24"/>
          <w:szCs w:val="24"/>
          <w:lang w:eastAsia="zh-CN"/>
        </w:rPr>
        <w:t>109 </w:t>
      </w:r>
      <w:r w:rsidRPr="007505C6">
        <w:rPr>
          <w:rFonts w:ascii="Book Antiqua" w:eastAsia="宋体" w:hAnsi="Book Antiqua" w:cs="宋体"/>
          <w:b/>
          <w:bCs/>
          <w:sz w:val="24"/>
          <w:szCs w:val="24"/>
          <w:lang w:eastAsia="zh-CN"/>
        </w:rPr>
        <w:t>Makris M</w:t>
      </w:r>
      <w:r w:rsidRPr="007505C6">
        <w:rPr>
          <w:rFonts w:ascii="Book Antiqua" w:eastAsia="宋体" w:hAnsi="Book Antiqua" w:cs="宋体"/>
          <w:sz w:val="24"/>
          <w:szCs w:val="24"/>
          <w:lang w:eastAsia="zh-CN"/>
        </w:rPr>
        <w:t>, Van Veen JJ, Tait CR, Mumford AD, Laffan M. Guideline on the management of bleeding in patients on antithrombotic agents. </w:t>
      </w:r>
      <w:r w:rsidRPr="007505C6">
        <w:rPr>
          <w:rFonts w:ascii="Book Antiqua" w:eastAsia="宋体" w:hAnsi="Book Antiqua" w:cs="宋体"/>
          <w:i/>
          <w:iCs/>
          <w:sz w:val="24"/>
          <w:szCs w:val="24"/>
          <w:lang w:eastAsia="zh-CN"/>
        </w:rPr>
        <w:t>Br J Haematol</w:t>
      </w:r>
      <w:r w:rsidRPr="007505C6">
        <w:rPr>
          <w:rFonts w:ascii="Book Antiqua" w:eastAsia="宋体" w:hAnsi="Book Antiqua" w:cs="宋体"/>
          <w:sz w:val="24"/>
          <w:szCs w:val="24"/>
          <w:lang w:eastAsia="zh-CN"/>
        </w:rPr>
        <w:t> 2013; </w:t>
      </w:r>
      <w:r w:rsidRPr="007505C6">
        <w:rPr>
          <w:rFonts w:ascii="Book Antiqua" w:eastAsia="宋体" w:hAnsi="Book Antiqua" w:cs="宋体"/>
          <w:b/>
          <w:bCs/>
          <w:sz w:val="24"/>
          <w:szCs w:val="24"/>
          <w:lang w:eastAsia="zh-CN"/>
        </w:rPr>
        <w:t>160</w:t>
      </w:r>
      <w:r w:rsidRPr="007505C6">
        <w:rPr>
          <w:rFonts w:ascii="Book Antiqua" w:eastAsia="宋体" w:hAnsi="Book Antiqua" w:cs="宋体"/>
          <w:sz w:val="24"/>
          <w:szCs w:val="24"/>
          <w:lang w:eastAsia="zh-CN"/>
        </w:rPr>
        <w:t>: 35-46 [PMID: 23116425 DOI: 10.1111/bjh.12107]</w:t>
      </w:r>
    </w:p>
    <w:p w:rsidR="007505C6" w:rsidRPr="007505C6" w:rsidRDefault="00895999" w:rsidP="007505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110 </w:t>
      </w:r>
      <w:r w:rsidR="007505C6" w:rsidRPr="00895999">
        <w:rPr>
          <w:rFonts w:ascii="Book Antiqua" w:eastAsia="宋体" w:hAnsi="Book Antiqua" w:cs="宋体"/>
          <w:b/>
          <w:sz w:val="24"/>
          <w:szCs w:val="24"/>
          <w:lang w:eastAsia="zh-CN"/>
        </w:rPr>
        <w:t>Alikhan R</w:t>
      </w:r>
      <w:r w:rsidR="007505C6" w:rsidRPr="007505C6">
        <w:rPr>
          <w:rFonts w:ascii="Book Antiqua" w:eastAsia="宋体" w:hAnsi="Book Antiqua" w:cs="宋体"/>
          <w:sz w:val="24"/>
          <w:szCs w:val="24"/>
          <w:lang w:eastAsia="zh-CN"/>
        </w:rPr>
        <w:t xml:space="preserve">, Rayment R, Keeling, Baglin T, Benson G, Green L, Marshall S, Patel R, Pavord S, Rose P. Tait C. </w:t>
      </w:r>
      <w:proofErr w:type="gramStart"/>
      <w:r w:rsidR="007505C6" w:rsidRPr="007505C6">
        <w:rPr>
          <w:rFonts w:ascii="Book Antiqua" w:eastAsia="宋体" w:hAnsi="Book Antiqua" w:cs="宋体"/>
          <w:sz w:val="24"/>
          <w:szCs w:val="24"/>
          <w:lang w:eastAsia="zh-CN"/>
        </w:rPr>
        <w:t>The acute management of haemorrhage, surgery, and overdose in patients receiving dabigatran.</w:t>
      </w:r>
      <w:proofErr w:type="gramEnd"/>
      <w:r w:rsidR="007505C6" w:rsidRPr="007505C6">
        <w:rPr>
          <w:rFonts w:ascii="Book Antiqua" w:eastAsia="宋体" w:hAnsi="Book Antiqua" w:cs="宋体"/>
          <w:sz w:val="24"/>
          <w:szCs w:val="24"/>
          <w:lang w:eastAsia="zh-CN"/>
        </w:rPr>
        <w:t xml:space="preserve"> </w:t>
      </w:r>
      <w:r w:rsidR="007505C6" w:rsidRPr="00895999">
        <w:rPr>
          <w:rFonts w:ascii="Book Antiqua" w:eastAsia="宋体" w:hAnsi="Book Antiqua" w:cs="宋体"/>
          <w:i/>
          <w:sz w:val="24"/>
          <w:szCs w:val="24"/>
          <w:lang w:eastAsia="zh-CN"/>
        </w:rPr>
        <w:t xml:space="preserve">Emerg Med </w:t>
      </w:r>
      <w:r w:rsidR="007505C6" w:rsidRPr="007505C6">
        <w:rPr>
          <w:rFonts w:ascii="Book Antiqua" w:eastAsia="宋体" w:hAnsi="Book Antiqua" w:cs="宋体"/>
          <w:sz w:val="24"/>
          <w:szCs w:val="24"/>
          <w:lang w:eastAsia="zh-CN"/>
        </w:rPr>
        <w:t xml:space="preserve">2013; </w:t>
      </w:r>
      <w:proofErr w:type="gramStart"/>
      <w:r w:rsidR="007505C6" w:rsidRPr="007505C6">
        <w:rPr>
          <w:rFonts w:ascii="Book Antiqua" w:eastAsia="宋体" w:hAnsi="Book Antiqua" w:cs="宋体"/>
          <w:sz w:val="24"/>
          <w:szCs w:val="24"/>
          <w:lang w:eastAsia="zh-CN"/>
        </w:rPr>
        <w:t>In</w:t>
      </w:r>
      <w:proofErr w:type="gramEnd"/>
      <w:r w:rsidR="007505C6" w:rsidRPr="007505C6">
        <w:rPr>
          <w:rFonts w:ascii="Book Antiqua" w:eastAsia="宋体" w:hAnsi="Book Antiqua" w:cs="宋体"/>
          <w:sz w:val="24"/>
          <w:szCs w:val="24"/>
          <w:lang w:eastAsia="zh-CN"/>
        </w:rPr>
        <w:t xml:space="preserve"> press [PMID 23435652 DOI 10.1136/emermed-2012-201976]</w:t>
      </w:r>
    </w:p>
    <w:p w:rsidR="007E703B" w:rsidRPr="00895999" w:rsidRDefault="007E703B" w:rsidP="00A903DD">
      <w:pPr>
        <w:pStyle w:val="a3"/>
        <w:spacing w:after="0" w:line="360" w:lineRule="auto"/>
        <w:ind w:left="0"/>
        <w:jc w:val="both"/>
        <w:rPr>
          <w:rFonts w:ascii="Book Antiqua" w:hAnsi="Book Antiqua" w:cs="Arial"/>
          <w:color w:val="222222"/>
          <w:sz w:val="24"/>
          <w:szCs w:val="24"/>
          <w:lang w:eastAsia="zh-CN"/>
        </w:rPr>
      </w:pPr>
    </w:p>
    <w:p w:rsidR="00583604" w:rsidRPr="00583604" w:rsidRDefault="00583604" w:rsidP="00583604">
      <w:pPr>
        <w:pStyle w:val="ae"/>
        <w:jc w:val="right"/>
        <w:rPr>
          <w:rFonts w:ascii="Book Antiqua" w:hAnsi="Book Antiqua"/>
          <w:b/>
          <w:sz w:val="24"/>
          <w:szCs w:val="24"/>
        </w:rPr>
      </w:pPr>
      <w:r w:rsidRPr="00583604">
        <w:rPr>
          <w:rFonts w:ascii="Book Antiqua" w:hAnsi="Book Antiqua"/>
          <w:b/>
          <w:sz w:val="24"/>
          <w:szCs w:val="24"/>
        </w:rPr>
        <w:t xml:space="preserve">P-Reviewers: </w:t>
      </w:r>
      <w:r w:rsidR="00D028D3">
        <w:rPr>
          <w:rFonts w:ascii="Book Antiqua" w:hAnsi="Book Antiqua"/>
          <w:color w:val="000000"/>
          <w:sz w:val="24"/>
          <w:szCs w:val="24"/>
        </w:rPr>
        <w:t>Fletcher JP, Lee YK</w:t>
      </w:r>
      <w:r w:rsidRPr="00583604">
        <w:rPr>
          <w:rFonts w:ascii="Book Antiqua" w:hAnsi="Book Antiqua"/>
          <w:b/>
          <w:sz w:val="24"/>
          <w:szCs w:val="24"/>
        </w:rPr>
        <w:t xml:space="preserve"> S-Editor: </w:t>
      </w:r>
      <w:r w:rsidRPr="00583604">
        <w:rPr>
          <w:rFonts w:ascii="Book Antiqua" w:hAnsi="Book Antiqua"/>
          <w:sz w:val="24"/>
          <w:szCs w:val="24"/>
        </w:rPr>
        <w:t>Ji FF</w:t>
      </w:r>
      <w:r w:rsidRPr="00583604">
        <w:rPr>
          <w:rFonts w:ascii="Book Antiqua" w:hAnsi="Book Antiqua"/>
          <w:b/>
          <w:sz w:val="24"/>
          <w:szCs w:val="24"/>
        </w:rPr>
        <w:t xml:space="preserve"> L-Editor:  E-Editor:</w:t>
      </w:r>
    </w:p>
    <w:p w:rsidR="00D76554" w:rsidRPr="00A903DD" w:rsidRDefault="00D76554" w:rsidP="00A903DD">
      <w:pPr>
        <w:spacing w:after="0" w:line="360" w:lineRule="auto"/>
        <w:contextualSpacing/>
        <w:jc w:val="both"/>
        <w:rPr>
          <w:rFonts w:ascii="Book Antiqua" w:hAnsi="Book Antiqua"/>
          <w:sz w:val="24"/>
          <w:szCs w:val="24"/>
        </w:rPr>
      </w:pPr>
    </w:p>
    <w:p w:rsidR="000532A3" w:rsidRPr="00A903DD" w:rsidRDefault="000532A3" w:rsidP="00A903DD">
      <w:pPr>
        <w:spacing w:after="0" w:line="360" w:lineRule="auto"/>
        <w:jc w:val="both"/>
        <w:rPr>
          <w:rFonts w:ascii="Book Antiqua" w:eastAsia="Times New Roman" w:hAnsi="Book Antiqua" w:cs="Arial"/>
          <w:color w:val="222222"/>
          <w:sz w:val="24"/>
          <w:szCs w:val="24"/>
        </w:rPr>
      </w:pPr>
    </w:p>
    <w:p w:rsidR="00240DF8" w:rsidRPr="00A903DD" w:rsidRDefault="008652C0" w:rsidP="00A903DD">
      <w:pPr>
        <w:pStyle w:val="a3"/>
        <w:spacing w:after="0" w:line="360" w:lineRule="auto"/>
        <w:ind w:left="0"/>
        <w:jc w:val="both"/>
        <w:rPr>
          <w:rFonts w:ascii="Book Antiqua" w:eastAsia="Times New Roman" w:hAnsi="Book Antiqua" w:cs="Arial"/>
          <w:color w:val="222222"/>
          <w:sz w:val="24"/>
          <w:szCs w:val="24"/>
        </w:rPr>
      </w:pPr>
      <w:r w:rsidRPr="00A903DD">
        <w:rPr>
          <w:rFonts w:ascii="Book Antiqua" w:eastAsia="Times New Roman" w:hAnsi="Book Antiqua" w:cs="Arial"/>
          <w:noProof/>
          <w:color w:val="222222"/>
          <w:sz w:val="24"/>
          <w:szCs w:val="24"/>
          <w:lang w:eastAsia="zh-CN"/>
        </w:rPr>
        <w:lastRenderedPageBreak/>
        <w:drawing>
          <wp:inline distT="0" distB="0" distL="0" distR="0" wp14:anchorId="02616EAE" wp14:editId="6EDFAB3A">
            <wp:extent cx="6249273" cy="4229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g Cascade.PNG"/>
                    <pic:cNvPicPr/>
                  </pic:nvPicPr>
                  <pic:blipFill>
                    <a:blip r:embed="rId10">
                      <a:extLst>
                        <a:ext uri="{28A0092B-C50C-407E-A947-70E740481C1C}">
                          <a14:useLocalDpi xmlns:a14="http://schemas.microsoft.com/office/drawing/2010/main" val="0"/>
                        </a:ext>
                      </a:extLst>
                    </a:blip>
                    <a:stretch>
                      <a:fillRect/>
                    </a:stretch>
                  </pic:blipFill>
                  <pic:spPr>
                    <a:xfrm>
                      <a:off x="0" y="0"/>
                      <a:ext cx="6249273" cy="4229691"/>
                    </a:xfrm>
                    <a:prstGeom prst="rect">
                      <a:avLst/>
                    </a:prstGeom>
                  </pic:spPr>
                </pic:pic>
              </a:graphicData>
            </a:graphic>
          </wp:inline>
        </w:drawing>
      </w:r>
    </w:p>
    <w:p w:rsidR="00583604" w:rsidRPr="00583604" w:rsidRDefault="00583604" w:rsidP="00583604">
      <w:pPr>
        <w:spacing w:after="0" w:line="360" w:lineRule="auto"/>
        <w:jc w:val="both"/>
        <w:rPr>
          <w:rFonts w:ascii="Book Antiqua" w:hAnsi="Book Antiqua"/>
          <w:b/>
          <w:sz w:val="24"/>
          <w:szCs w:val="24"/>
          <w:lang w:eastAsia="zh-CN"/>
        </w:rPr>
      </w:pPr>
      <w:r w:rsidRPr="00583604">
        <w:rPr>
          <w:rFonts w:ascii="Book Antiqua" w:hAnsi="Book Antiqua"/>
          <w:b/>
          <w:sz w:val="24"/>
          <w:szCs w:val="24"/>
        </w:rPr>
        <w:t>Figure 1 Coagulation cascade and site of target specific oral anticoagulants action</w:t>
      </w:r>
      <w:r w:rsidRPr="00583604">
        <w:rPr>
          <w:rFonts w:ascii="Book Antiqua" w:hAnsi="Book Antiqua" w:hint="eastAsia"/>
          <w:b/>
          <w:sz w:val="24"/>
          <w:szCs w:val="24"/>
          <w:lang w:eastAsia="zh-CN"/>
        </w:rPr>
        <w:t>.</w:t>
      </w:r>
    </w:p>
    <w:p w:rsidR="00240DF8" w:rsidRPr="00A903DD" w:rsidRDefault="00240DF8" w:rsidP="00A903DD">
      <w:pPr>
        <w:pStyle w:val="a3"/>
        <w:spacing w:after="0" w:line="360" w:lineRule="auto"/>
        <w:ind w:left="0"/>
        <w:jc w:val="both"/>
        <w:rPr>
          <w:rFonts w:ascii="Book Antiqua" w:eastAsia="Times New Roman" w:hAnsi="Book Antiqua" w:cs="Arial"/>
          <w:color w:val="222222"/>
          <w:sz w:val="24"/>
          <w:szCs w:val="24"/>
        </w:rPr>
      </w:pPr>
    </w:p>
    <w:p w:rsidR="00852E98" w:rsidRPr="00A903DD" w:rsidRDefault="00852E98" w:rsidP="00A903DD">
      <w:pPr>
        <w:pStyle w:val="a3"/>
        <w:spacing w:after="0" w:line="360" w:lineRule="auto"/>
        <w:ind w:left="0"/>
        <w:jc w:val="both"/>
        <w:rPr>
          <w:rFonts w:ascii="Book Antiqua" w:eastAsia="Times New Roman" w:hAnsi="Book Antiqua" w:cs="Arial"/>
          <w:color w:val="222222"/>
          <w:sz w:val="24"/>
          <w:szCs w:val="24"/>
        </w:rPr>
      </w:pPr>
    </w:p>
    <w:p w:rsidR="00852E98" w:rsidRPr="00A903DD" w:rsidRDefault="00852E98" w:rsidP="00A903DD">
      <w:pPr>
        <w:pStyle w:val="a3"/>
        <w:spacing w:after="0" w:line="360" w:lineRule="auto"/>
        <w:ind w:left="0"/>
        <w:jc w:val="both"/>
        <w:rPr>
          <w:rFonts w:ascii="Book Antiqua" w:eastAsia="Times New Roman" w:hAnsi="Book Antiqua" w:cs="Arial"/>
          <w:color w:val="222222"/>
          <w:sz w:val="24"/>
          <w:szCs w:val="24"/>
        </w:rPr>
      </w:pPr>
    </w:p>
    <w:p w:rsidR="00852E98" w:rsidRPr="00D028D3" w:rsidRDefault="00583604" w:rsidP="00A903DD">
      <w:pPr>
        <w:spacing w:after="0" w:line="360" w:lineRule="auto"/>
        <w:jc w:val="both"/>
        <w:rPr>
          <w:rFonts w:ascii="Book Antiqua" w:hAnsi="Book Antiqua"/>
          <w:b/>
          <w:sz w:val="24"/>
          <w:szCs w:val="24"/>
          <w:lang w:eastAsia="zh-CN"/>
        </w:rPr>
      </w:pPr>
      <w:r w:rsidRPr="00583604">
        <w:rPr>
          <w:rFonts w:ascii="Book Antiqua" w:hAnsi="Book Antiqua"/>
          <w:b/>
          <w:sz w:val="24"/>
          <w:szCs w:val="24"/>
        </w:rPr>
        <w:lastRenderedPageBreak/>
        <w:t>Table 1</w:t>
      </w:r>
      <w:r w:rsidR="00852E98" w:rsidRPr="00583604">
        <w:rPr>
          <w:rFonts w:ascii="Book Antiqua" w:hAnsi="Book Antiqua"/>
          <w:b/>
          <w:sz w:val="24"/>
          <w:szCs w:val="24"/>
        </w:rPr>
        <w:t xml:space="preserve"> Target </w:t>
      </w:r>
      <w:r w:rsidRPr="00583604">
        <w:rPr>
          <w:rFonts w:ascii="Book Antiqua" w:hAnsi="Book Antiqua"/>
          <w:b/>
          <w:sz w:val="24"/>
          <w:szCs w:val="24"/>
        </w:rPr>
        <w:t>specific oral anticoagulant pharmacokinetics</w:t>
      </w: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62"/>
        <w:gridCol w:w="3162"/>
        <w:gridCol w:w="3163"/>
        <w:gridCol w:w="3166"/>
      </w:tblGrid>
      <w:tr w:rsidR="00C579C6" w:rsidRPr="00A903DD" w:rsidTr="00852E98">
        <w:trPr>
          <w:trHeight w:val="233"/>
        </w:trPr>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p>
        </w:tc>
        <w:tc>
          <w:tcPr>
            <w:tcW w:w="1100" w:type="pct"/>
            <w:shd w:val="clear" w:color="auto" w:fill="auto"/>
          </w:tcPr>
          <w:p w:rsidR="00C579C6" w:rsidRPr="00A903DD" w:rsidRDefault="00583604" w:rsidP="00583604">
            <w:pPr>
              <w:spacing w:after="0" w:line="360" w:lineRule="auto"/>
              <w:jc w:val="both"/>
              <w:rPr>
                <w:rFonts w:ascii="Book Antiqua" w:hAnsi="Book Antiqua"/>
                <w:b/>
                <w:sz w:val="24"/>
                <w:szCs w:val="24"/>
                <w:vertAlign w:val="superscript"/>
              </w:rPr>
            </w:pPr>
            <w:r>
              <w:rPr>
                <w:rFonts w:ascii="Book Antiqua" w:hAnsi="Book Antiqua"/>
                <w:b/>
                <w:sz w:val="24"/>
                <w:szCs w:val="24"/>
              </w:rPr>
              <w:t>Dabigatran etexilate</w:t>
            </w:r>
            <w:r>
              <w:rPr>
                <w:rFonts w:ascii="Book Antiqua" w:hAnsi="Book Antiqua" w:hint="eastAsia"/>
                <w:b/>
                <w:sz w:val="24"/>
                <w:szCs w:val="24"/>
                <w:vertAlign w:val="superscript"/>
                <w:lang w:eastAsia="zh-CN"/>
              </w:rPr>
              <w:t>[</w:t>
            </w:r>
            <w:r w:rsidR="00C579C6" w:rsidRPr="00A903DD">
              <w:rPr>
                <w:rFonts w:ascii="Book Antiqua" w:hAnsi="Book Antiqua"/>
                <w:b/>
                <w:sz w:val="24"/>
                <w:szCs w:val="24"/>
                <w:vertAlign w:val="superscript"/>
              </w:rPr>
              <w:t>17,32-36]</w:t>
            </w:r>
          </w:p>
        </w:tc>
        <w:tc>
          <w:tcPr>
            <w:tcW w:w="1100" w:type="pct"/>
            <w:shd w:val="clear" w:color="auto" w:fill="auto"/>
          </w:tcPr>
          <w:p w:rsidR="00C579C6" w:rsidRPr="00A903DD" w:rsidRDefault="00583604" w:rsidP="00A903DD">
            <w:pPr>
              <w:spacing w:after="0" w:line="360" w:lineRule="auto"/>
              <w:jc w:val="both"/>
              <w:rPr>
                <w:rFonts w:ascii="Book Antiqua" w:hAnsi="Book Antiqua"/>
                <w:b/>
                <w:sz w:val="24"/>
                <w:szCs w:val="24"/>
                <w:vertAlign w:val="superscript"/>
              </w:rPr>
            </w:pPr>
            <w:r>
              <w:rPr>
                <w:rFonts w:ascii="Book Antiqua" w:hAnsi="Book Antiqua"/>
                <w:b/>
                <w:sz w:val="24"/>
                <w:szCs w:val="24"/>
              </w:rPr>
              <w:t>Rivaroxaban</w:t>
            </w:r>
            <w:r w:rsidR="00C579C6" w:rsidRPr="00A903DD">
              <w:rPr>
                <w:rFonts w:ascii="Book Antiqua" w:hAnsi="Book Antiqua"/>
                <w:b/>
                <w:sz w:val="24"/>
                <w:szCs w:val="24"/>
                <w:vertAlign w:val="superscript"/>
              </w:rPr>
              <w:t>[19,27,39,40]</w:t>
            </w:r>
          </w:p>
        </w:tc>
        <w:tc>
          <w:tcPr>
            <w:tcW w:w="1100" w:type="pct"/>
            <w:shd w:val="clear" w:color="auto" w:fill="auto"/>
          </w:tcPr>
          <w:p w:rsidR="00C579C6" w:rsidRPr="00A903DD" w:rsidRDefault="00583604" w:rsidP="00A903DD">
            <w:pPr>
              <w:spacing w:after="0" w:line="360" w:lineRule="auto"/>
              <w:jc w:val="both"/>
              <w:rPr>
                <w:rFonts w:ascii="Book Antiqua" w:hAnsi="Book Antiqua"/>
                <w:b/>
                <w:sz w:val="24"/>
                <w:szCs w:val="24"/>
                <w:vertAlign w:val="superscript"/>
              </w:rPr>
            </w:pPr>
            <w:r>
              <w:rPr>
                <w:rFonts w:ascii="Book Antiqua" w:hAnsi="Book Antiqua"/>
                <w:b/>
                <w:sz w:val="24"/>
                <w:szCs w:val="24"/>
              </w:rPr>
              <w:t>Apixaban</w:t>
            </w:r>
            <w:r w:rsidR="00C579C6" w:rsidRPr="00A903DD">
              <w:rPr>
                <w:rFonts w:ascii="Book Antiqua" w:hAnsi="Book Antiqua"/>
                <w:b/>
                <w:sz w:val="24"/>
                <w:szCs w:val="24"/>
                <w:vertAlign w:val="superscript"/>
              </w:rPr>
              <w:t>[21,27,41,42]</w:t>
            </w:r>
          </w:p>
        </w:tc>
        <w:tc>
          <w:tcPr>
            <w:tcW w:w="1101" w:type="pct"/>
          </w:tcPr>
          <w:p w:rsidR="00C579C6" w:rsidRPr="00A903DD" w:rsidRDefault="00583604" w:rsidP="00A903DD">
            <w:pPr>
              <w:spacing w:after="0" w:line="360" w:lineRule="auto"/>
              <w:jc w:val="both"/>
              <w:rPr>
                <w:rFonts w:ascii="Book Antiqua" w:hAnsi="Book Antiqua"/>
                <w:b/>
                <w:sz w:val="24"/>
                <w:szCs w:val="24"/>
                <w:vertAlign w:val="superscript"/>
              </w:rPr>
            </w:pPr>
            <w:r>
              <w:rPr>
                <w:rFonts w:ascii="Book Antiqua" w:hAnsi="Book Antiqua"/>
                <w:b/>
                <w:sz w:val="24"/>
                <w:szCs w:val="24"/>
              </w:rPr>
              <w:t>Edoxaban</w:t>
            </w:r>
            <w:r w:rsidR="00C579C6" w:rsidRPr="00A903DD">
              <w:rPr>
                <w:rFonts w:ascii="Book Antiqua" w:hAnsi="Book Antiqua"/>
                <w:b/>
                <w:sz w:val="24"/>
                <w:szCs w:val="24"/>
                <w:vertAlign w:val="superscript"/>
              </w:rPr>
              <w:t>[43-45]</w:t>
            </w:r>
          </w:p>
        </w:tc>
      </w:tr>
      <w:tr w:rsidR="00C579C6" w:rsidRPr="00A903DD" w:rsidTr="00852E98">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r w:rsidRPr="00A903DD">
              <w:rPr>
                <w:rFonts w:ascii="Book Antiqua" w:hAnsi="Book Antiqua"/>
                <w:b/>
                <w:sz w:val="24"/>
                <w:szCs w:val="24"/>
              </w:rPr>
              <w:t>Half Life (t</w:t>
            </w:r>
            <w:r w:rsidRPr="00A903DD">
              <w:rPr>
                <w:rFonts w:ascii="Book Antiqua" w:hAnsi="Book Antiqua"/>
                <w:b/>
                <w:sz w:val="24"/>
                <w:szCs w:val="24"/>
                <w:vertAlign w:val="subscript"/>
              </w:rPr>
              <w:t>1/2</w:t>
            </w:r>
            <w:r w:rsidRPr="00A903DD">
              <w:rPr>
                <w:rFonts w:ascii="Book Antiqua" w:hAnsi="Book Antiqua"/>
                <w:b/>
                <w:sz w:val="24"/>
                <w:szCs w:val="24"/>
              </w:rPr>
              <w:t>)</w:t>
            </w:r>
          </w:p>
        </w:tc>
        <w:tc>
          <w:tcPr>
            <w:tcW w:w="1100" w:type="pct"/>
            <w:shd w:val="clear" w:color="auto" w:fill="auto"/>
          </w:tcPr>
          <w:p w:rsidR="00C579C6" w:rsidRPr="00A903DD" w:rsidRDefault="00855D63" w:rsidP="00583604">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 </w:t>
            </w:r>
            <w:r w:rsidR="00C579C6" w:rsidRPr="00A903DD">
              <w:rPr>
                <w:rFonts w:ascii="Book Antiqua" w:hAnsi="Book Antiqua"/>
                <w:sz w:val="24"/>
                <w:szCs w:val="24"/>
              </w:rPr>
              <w:t>Healthy subjects</w:t>
            </w:r>
            <w:r w:rsidR="00583604">
              <w:rPr>
                <w:rFonts w:ascii="Book Antiqua" w:hAnsi="Book Antiqua" w:hint="eastAsia"/>
                <w:sz w:val="24"/>
                <w:szCs w:val="24"/>
                <w:lang w:eastAsia="zh-CN"/>
              </w:rPr>
              <w:t>:</w:t>
            </w:r>
            <w:r w:rsidR="00C579C6" w:rsidRPr="00A903DD">
              <w:rPr>
                <w:rFonts w:ascii="Book Antiqua" w:hAnsi="Book Antiqua"/>
                <w:sz w:val="24"/>
                <w:szCs w:val="24"/>
              </w:rPr>
              <w:t xml:space="preserve"> 12-15 h</w:t>
            </w:r>
          </w:p>
          <w:p w:rsidR="00C579C6" w:rsidRPr="00A903DD" w:rsidRDefault="00855D63" w:rsidP="00583604">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C579C6" w:rsidRPr="00A903DD">
              <w:rPr>
                <w:rFonts w:ascii="Book Antiqua" w:hAnsi="Book Antiqua"/>
                <w:sz w:val="24"/>
                <w:szCs w:val="24"/>
              </w:rPr>
              <w:t xml:space="preserve">Mild renal impairment (50–80 mL/min) </w:t>
            </w:r>
            <w:r w:rsidR="00583604">
              <w:rPr>
                <w:rFonts w:ascii="Book Antiqua" w:hAnsi="Book Antiqua" w:hint="eastAsia"/>
                <w:sz w:val="24"/>
                <w:szCs w:val="24"/>
                <w:lang w:eastAsia="zh-CN"/>
              </w:rPr>
              <w:t>:</w:t>
            </w:r>
            <w:r w:rsidR="00C579C6" w:rsidRPr="00A903DD">
              <w:rPr>
                <w:rFonts w:ascii="Book Antiqua" w:hAnsi="Book Antiqua"/>
                <w:sz w:val="24"/>
                <w:szCs w:val="24"/>
              </w:rPr>
              <w:t xml:space="preserve"> 15 h</w:t>
            </w:r>
          </w:p>
          <w:p w:rsidR="00C579C6" w:rsidRPr="00A903DD" w:rsidRDefault="00855D63" w:rsidP="00583604">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C579C6" w:rsidRPr="00A903DD">
              <w:rPr>
                <w:rFonts w:ascii="Book Antiqua" w:hAnsi="Book Antiqua"/>
                <w:sz w:val="24"/>
                <w:szCs w:val="24"/>
              </w:rPr>
              <w:t>Moderate renal impairment (30-50 mL/min)</w:t>
            </w:r>
            <w:r w:rsidR="00583604">
              <w:rPr>
                <w:rFonts w:ascii="Book Antiqua" w:hAnsi="Book Antiqua" w:hint="eastAsia"/>
                <w:sz w:val="24"/>
                <w:szCs w:val="24"/>
                <w:lang w:eastAsia="zh-CN"/>
              </w:rPr>
              <w:t>:</w:t>
            </w:r>
            <w:r w:rsidR="00C579C6" w:rsidRPr="00A903DD">
              <w:rPr>
                <w:rFonts w:ascii="Book Antiqua" w:hAnsi="Book Antiqua"/>
                <w:sz w:val="24"/>
                <w:szCs w:val="24"/>
              </w:rPr>
              <w:t xml:space="preserve"> 18 h</w:t>
            </w:r>
          </w:p>
          <w:p w:rsidR="00C579C6" w:rsidRPr="00A903DD" w:rsidRDefault="00855D63" w:rsidP="00583604">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(4) </w:t>
            </w:r>
            <w:r w:rsidR="00C579C6" w:rsidRPr="00A903DD">
              <w:rPr>
                <w:rFonts w:ascii="Book Antiqua" w:hAnsi="Book Antiqua"/>
                <w:sz w:val="24"/>
                <w:szCs w:val="24"/>
              </w:rPr>
              <w:t xml:space="preserve">Severe </w:t>
            </w:r>
            <w:r w:rsidR="00583604">
              <w:rPr>
                <w:rFonts w:ascii="Book Antiqua" w:hAnsi="Book Antiqua"/>
                <w:sz w:val="24"/>
                <w:szCs w:val="24"/>
              </w:rPr>
              <w:t>renal impairment (15-30 mL/min)</w:t>
            </w:r>
            <w:r w:rsidR="00583604">
              <w:rPr>
                <w:rFonts w:ascii="Book Antiqua" w:hAnsi="Book Antiqua" w:hint="eastAsia"/>
                <w:sz w:val="24"/>
                <w:szCs w:val="24"/>
                <w:lang w:eastAsia="zh-CN"/>
              </w:rPr>
              <w:t>:</w:t>
            </w:r>
            <w:r w:rsidR="00C579C6" w:rsidRPr="00A903DD">
              <w:rPr>
                <w:rFonts w:ascii="Book Antiqua" w:hAnsi="Book Antiqua"/>
                <w:sz w:val="24"/>
                <w:szCs w:val="24"/>
              </w:rPr>
              <w:t xml:space="preserve"> 27 h </w:t>
            </w:r>
          </w:p>
          <w:p w:rsidR="00C579C6" w:rsidRPr="00A903DD" w:rsidRDefault="00C579C6" w:rsidP="00A903DD">
            <w:pPr>
              <w:spacing w:after="0" w:line="360" w:lineRule="auto"/>
              <w:jc w:val="both"/>
              <w:rPr>
                <w:rFonts w:ascii="Book Antiqua" w:hAnsi="Book Antiqua"/>
                <w:sz w:val="24"/>
                <w:szCs w:val="24"/>
              </w:rPr>
            </w:pPr>
          </w:p>
        </w:tc>
        <w:tc>
          <w:tcPr>
            <w:tcW w:w="1100" w:type="pct"/>
            <w:shd w:val="clear" w:color="auto" w:fill="auto"/>
          </w:tcPr>
          <w:p w:rsidR="00C579C6" w:rsidRPr="00855D63" w:rsidRDefault="00855D63" w:rsidP="00855D63">
            <w:pPr>
              <w:spacing w:after="0" w:line="360" w:lineRule="auto"/>
              <w:jc w:val="both"/>
              <w:rPr>
                <w:rFonts w:ascii="Book Antiqua" w:hAnsi="Book Antiqua"/>
                <w:sz w:val="24"/>
                <w:szCs w:val="24"/>
              </w:rPr>
            </w:pPr>
            <w:r>
              <w:rPr>
                <w:rFonts w:ascii="Book Antiqua" w:hAnsi="Book Antiqua" w:hint="eastAsia"/>
                <w:sz w:val="24"/>
                <w:szCs w:val="24"/>
                <w:lang w:eastAsia="zh-CN"/>
              </w:rPr>
              <w:t xml:space="preserve">(1) </w:t>
            </w:r>
            <w:r w:rsidR="00C579C6" w:rsidRPr="00855D63">
              <w:rPr>
                <w:rFonts w:ascii="Book Antiqua" w:hAnsi="Book Antiqua"/>
                <w:sz w:val="24"/>
                <w:szCs w:val="24"/>
              </w:rPr>
              <w:t>Healthy subjects</w:t>
            </w:r>
            <w:r w:rsidR="00583604" w:rsidRPr="00855D63">
              <w:rPr>
                <w:rFonts w:ascii="Book Antiqua" w:hAnsi="Book Antiqua" w:hint="eastAsia"/>
                <w:sz w:val="24"/>
                <w:szCs w:val="24"/>
                <w:lang w:eastAsia="zh-CN"/>
              </w:rPr>
              <w:t>:</w:t>
            </w:r>
            <w:r w:rsidR="00C579C6" w:rsidRPr="00855D63">
              <w:rPr>
                <w:rFonts w:ascii="Book Antiqua" w:hAnsi="Book Antiqua"/>
                <w:sz w:val="24"/>
                <w:szCs w:val="24"/>
              </w:rPr>
              <w:t xml:space="preserve"> – 5-9 h </w:t>
            </w:r>
          </w:p>
          <w:p w:rsidR="00C579C6" w:rsidRPr="00855D63" w:rsidRDefault="00855D63" w:rsidP="00855D63">
            <w:pPr>
              <w:spacing w:after="0" w:line="360" w:lineRule="auto"/>
              <w:jc w:val="both"/>
              <w:rPr>
                <w:rFonts w:ascii="Book Antiqua" w:hAnsi="Book Antiqua"/>
                <w:sz w:val="24"/>
                <w:szCs w:val="24"/>
              </w:rPr>
            </w:pPr>
            <w:r>
              <w:rPr>
                <w:rFonts w:ascii="Book Antiqua" w:hAnsi="Book Antiqua" w:hint="eastAsia"/>
                <w:sz w:val="24"/>
                <w:szCs w:val="24"/>
                <w:lang w:eastAsia="zh-CN"/>
              </w:rPr>
              <w:t xml:space="preserve">(2) </w:t>
            </w:r>
            <w:r w:rsidR="00C579C6" w:rsidRPr="00855D63">
              <w:rPr>
                <w:rFonts w:ascii="Book Antiqua" w:hAnsi="Book Antiqua"/>
                <w:sz w:val="24"/>
                <w:szCs w:val="24"/>
              </w:rPr>
              <w:t>Elderly</w:t>
            </w:r>
            <w:r w:rsidR="00583604" w:rsidRPr="00855D63">
              <w:rPr>
                <w:rFonts w:ascii="Book Antiqua" w:hAnsi="Book Antiqua" w:hint="eastAsia"/>
                <w:sz w:val="24"/>
                <w:szCs w:val="24"/>
                <w:lang w:eastAsia="zh-CN"/>
              </w:rPr>
              <w:t>:</w:t>
            </w:r>
            <w:r w:rsidR="00C579C6" w:rsidRPr="00855D63">
              <w:rPr>
                <w:rFonts w:ascii="Book Antiqua" w:hAnsi="Book Antiqua"/>
                <w:sz w:val="24"/>
                <w:szCs w:val="24"/>
              </w:rPr>
              <w:t xml:space="preserve"> 11-19 h </w:t>
            </w:r>
          </w:p>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C579C6" w:rsidRPr="00A903DD">
              <w:rPr>
                <w:rFonts w:ascii="Book Antiqua" w:hAnsi="Book Antiqua"/>
                <w:sz w:val="24"/>
                <w:szCs w:val="24"/>
              </w:rPr>
              <w:t>Mild to moderate hepatic impairment</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10.1-10.4 h</w:t>
            </w:r>
          </w:p>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(4) </w:t>
            </w:r>
            <w:r w:rsidR="00C579C6" w:rsidRPr="00A903DD">
              <w:rPr>
                <w:rFonts w:ascii="Book Antiqua" w:hAnsi="Book Antiqua"/>
                <w:sz w:val="24"/>
                <w:szCs w:val="24"/>
              </w:rPr>
              <w:t>Mild renal impairment (50–79 mL/min)</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8.7 h</w:t>
            </w:r>
          </w:p>
          <w:p w:rsidR="00583604" w:rsidRDefault="00855D63" w:rsidP="00855D63">
            <w:pPr>
              <w:pStyle w:val="a3"/>
              <w:spacing w:after="0" w:line="360" w:lineRule="auto"/>
              <w:ind w:left="0"/>
              <w:jc w:val="both"/>
              <w:rPr>
                <w:rFonts w:ascii="Book Antiqua" w:hAnsi="Book Antiqua"/>
                <w:sz w:val="24"/>
                <w:szCs w:val="24"/>
                <w:lang w:eastAsia="zh-CN"/>
              </w:rPr>
            </w:pPr>
            <w:r>
              <w:rPr>
                <w:rFonts w:ascii="Book Antiqua" w:hAnsi="Book Antiqua" w:hint="eastAsia"/>
                <w:sz w:val="24"/>
                <w:szCs w:val="24"/>
                <w:lang w:eastAsia="zh-CN"/>
              </w:rPr>
              <w:t xml:space="preserve">(5) </w:t>
            </w:r>
            <w:r w:rsidR="00C579C6" w:rsidRPr="00A903DD">
              <w:rPr>
                <w:rFonts w:ascii="Book Antiqua" w:hAnsi="Book Antiqua"/>
                <w:sz w:val="24"/>
                <w:szCs w:val="24"/>
              </w:rPr>
              <w:t>Moderate renal impairment (30-49 mL/min)</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 xml:space="preserve"> 9 h</w:t>
            </w:r>
          </w:p>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(6) </w:t>
            </w:r>
            <w:r w:rsidR="00C579C6" w:rsidRPr="00A903DD">
              <w:rPr>
                <w:rFonts w:ascii="Book Antiqua" w:hAnsi="Book Antiqua"/>
                <w:sz w:val="24"/>
                <w:szCs w:val="24"/>
              </w:rPr>
              <w:t xml:space="preserve">Severe </w:t>
            </w:r>
            <w:r w:rsidR="00583604">
              <w:rPr>
                <w:rFonts w:ascii="Book Antiqua" w:hAnsi="Book Antiqua"/>
                <w:sz w:val="24"/>
                <w:szCs w:val="24"/>
              </w:rPr>
              <w:t>renal impairment (15-29 mL/min)</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 xml:space="preserve">9.5 h </w:t>
            </w:r>
          </w:p>
        </w:tc>
        <w:tc>
          <w:tcPr>
            <w:tcW w:w="1100" w:type="pct"/>
            <w:shd w:val="clear" w:color="auto" w:fill="auto"/>
          </w:tcPr>
          <w:p w:rsidR="00C579C6" w:rsidRPr="00A903DD" w:rsidRDefault="00855D63" w:rsidP="00583604">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 </w:t>
            </w:r>
            <w:r w:rsidR="00C579C6" w:rsidRPr="00A903DD">
              <w:rPr>
                <w:rFonts w:ascii="Book Antiqua" w:hAnsi="Book Antiqua"/>
                <w:sz w:val="24"/>
                <w:szCs w:val="24"/>
              </w:rPr>
              <w:t>2.5 mg</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 xml:space="preserve">6.8 h </w:t>
            </w:r>
          </w:p>
          <w:p w:rsidR="00C579C6" w:rsidRPr="00A903DD" w:rsidRDefault="00855D63" w:rsidP="00583604">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C579C6" w:rsidRPr="00A903DD">
              <w:rPr>
                <w:rFonts w:ascii="Book Antiqua" w:hAnsi="Book Antiqua"/>
                <w:sz w:val="24"/>
                <w:szCs w:val="24"/>
              </w:rPr>
              <w:t>5 mg</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 xml:space="preserve">15.2 h </w:t>
            </w:r>
          </w:p>
          <w:p w:rsidR="00C579C6" w:rsidRPr="00A903DD" w:rsidRDefault="00855D63" w:rsidP="00583604">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C579C6" w:rsidRPr="00A903DD">
              <w:rPr>
                <w:rFonts w:ascii="Book Antiqua" w:hAnsi="Book Antiqua"/>
                <w:sz w:val="24"/>
                <w:szCs w:val="24"/>
              </w:rPr>
              <w:t>10 mg</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 xml:space="preserve">11.1 h </w:t>
            </w:r>
          </w:p>
          <w:p w:rsidR="00C579C6" w:rsidRPr="00A903DD" w:rsidRDefault="00C579C6" w:rsidP="00A903DD">
            <w:pPr>
              <w:pStyle w:val="a3"/>
              <w:spacing w:after="0" w:line="360" w:lineRule="auto"/>
              <w:ind w:left="0"/>
              <w:jc w:val="both"/>
              <w:rPr>
                <w:rFonts w:ascii="Book Antiqua" w:hAnsi="Book Antiqua"/>
                <w:sz w:val="24"/>
                <w:szCs w:val="24"/>
              </w:rPr>
            </w:pPr>
          </w:p>
        </w:tc>
        <w:tc>
          <w:tcPr>
            <w:tcW w:w="1101" w:type="pct"/>
          </w:tcPr>
          <w:p w:rsidR="00C579C6" w:rsidRPr="00A903DD" w:rsidRDefault="00C579C6" w:rsidP="00583604">
            <w:pPr>
              <w:spacing w:after="0" w:line="360" w:lineRule="auto"/>
              <w:jc w:val="both"/>
              <w:rPr>
                <w:rFonts w:ascii="Book Antiqua" w:hAnsi="Book Antiqua"/>
                <w:sz w:val="24"/>
                <w:szCs w:val="24"/>
              </w:rPr>
            </w:pPr>
            <w:r w:rsidRPr="00A903DD">
              <w:rPr>
                <w:rFonts w:ascii="Book Antiqua" w:hAnsi="Book Antiqua"/>
                <w:sz w:val="24"/>
                <w:szCs w:val="24"/>
              </w:rPr>
              <w:t>8.75-10.4 h</w:t>
            </w:r>
          </w:p>
        </w:tc>
      </w:tr>
      <w:tr w:rsidR="00C579C6" w:rsidRPr="00A903DD" w:rsidTr="00852E98">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r w:rsidRPr="00A903DD">
              <w:rPr>
                <w:rFonts w:ascii="Book Antiqua" w:hAnsi="Book Antiqua"/>
                <w:b/>
                <w:sz w:val="24"/>
                <w:szCs w:val="24"/>
              </w:rPr>
              <w:t xml:space="preserve">Distribution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V</w:t>
            </w:r>
            <w:r w:rsidRPr="00A903DD">
              <w:rPr>
                <w:rFonts w:ascii="Book Antiqua" w:hAnsi="Book Antiqua"/>
                <w:sz w:val="24"/>
                <w:szCs w:val="24"/>
                <w:vertAlign w:val="subscript"/>
              </w:rPr>
              <w:t>d</w:t>
            </w:r>
            <w:r w:rsidRPr="00A903DD">
              <w:rPr>
                <w:rFonts w:ascii="Book Antiqua" w:hAnsi="Book Antiqua"/>
                <w:sz w:val="24"/>
                <w:szCs w:val="24"/>
              </w:rPr>
              <w:t>:</w:t>
            </w:r>
            <w:r w:rsidR="00583604">
              <w:rPr>
                <w:rFonts w:ascii="Book Antiqua" w:hAnsi="Book Antiqua" w:hint="eastAsia"/>
                <w:sz w:val="24"/>
                <w:szCs w:val="24"/>
                <w:lang w:eastAsia="zh-CN"/>
              </w:rPr>
              <w:t xml:space="preserve"> </w:t>
            </w:r>
            <w:r w:rsidRPr="00A903DD">
              <w:rPr>
                <w:rFonts w:ascii="Book Antiqua" w:hAnsi="Book Antiqua"/>
                <w:sz w:val="24"/>
                <w:szCs w:val="24"/>
              </w:rPr>
              <w:t xml:space="preserve">50-70 L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V</w:t>
            </w:r>
            <w:r w:rsidRPr="00A903DD">
              <w:rPr>
                <w:rFonts w:ascii="Book Antiqua" w:hAnsi="Book Antiqua"/>
                <w:sz w:val="24"/>
                <w:szCs w:val="24"/>
                <w:vertAlign w:val="subscript"/>
              </w:rPr>
              <w:t>d</w:t>
            </w:r>
            <w:r w:rsidRPr="00A903DD">
              <w:rPr>
                <w:rFonts w:ascii="Book Antiqua" w:hAnsi="Book Antiqua"/>
                <w:sz w:val="24"/>
                <w:szCs w:val="24"/>
              </w:rPr>
              <w:t xml:space="preserve">: 50 L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V</w:t>
            </w:r>
            <w:r w:rsidRPr="00A903DD">
              <w:rPr>
                <w:rFonts w:ascii="Book Antiqua" w:hAnsi="Book Antiqua"/>
                <w:sz w:val="24"/>
                <w:szCs w:val="24"/>
                <w:vertAlign w:val="subscript"/>
              </w:rPr>
              <w:t>d</w:t>
            </w:r>
            <w:r w:rsidRPr="00A903DD">
              <w:rPr>
                <w:rFonts w:ascii="Book Antiqua" w:hAnsi="Book Antiqua"/>
                <w:sz w:val="24"/>
                <w:szCs w:val="24"/>
              </w:rPr>
              <w:t xml:space="preserve">: 21 L </w:t>
            </w:r>
          </w:p>
        </w:tc>
        <w:tc>
          <w:tcPr>
            <w:tcW w:w="1101" w:type="pct"/>
          </w:tcPr>
          <w:p w:rsidR="00C579C6" w:rsidRPr="00A903DD" w:rsidRDefault="00C579C6" w:rsidP="00A903DD">
            <w:pPr>
              <w:spacing w:after="0" w:line="360" w:lineRule="auto"/>
              <w:jc w:val="both"/>
              <w:rPr>
                <w:rFonts w:ascii="Book Antiqua" w:hAnsi="Book Antiqua"/>
                <w:sz w:val="24"/>
                <w:szCs w:val="24"/>
              </w:rPr>
            </w:pPr>
            <w:r w:rsidRPr="00A903DD">
              <w:rPr>
                <w:rFonts w:ascii="Book Antiqua" w:hAnsi="Book Antiqua"/>
                <w:sz w:val="24"/>
                <w:szCs w:val="24"/>
              </w:rPr>
              <w:t>V</w:t>
            </w:r>
            <w:r w:rsidR="00D842AE" w:rsidRPr="00A903DD">
              <w:rPr>
                <w:rFonts w:ascii="Book Antiqua" w:hAnsi="Book Antiqua"/>
                <w:sz w:val="24"/>
                <w:szCs w:val="24"/>
                <w:vertAlign w:val="subscript"/>
              </w:rPr>
              <w:t>d</w:t>
            </w:r>
            <w:r w:rsidRPr="00A903DD">
              <w:rPr>
                <w:rFonts w:ascii="Book Antiqua" w:hAnsi="Book Antiqua"/>
                <w:sz w:val="24"/>
                <w:szCs w:val="24"/>
              </w:rPr>
              <w:t>:</w:t>
            </w:r>
            <w:r w:rsidR="00583604">
              <w:rPr>
                <w:rFonts w:ascii="Book Antiqua" w:hAnsi="Book Antiqua" w:hint="eastAsia"/>
                <w:sz w:val="24"/>
                <w:szCs w:val="24"/>
                <w:lang w:eastAsia="zh-CN"/>
              </w:rPr>
              <w:t xml:space="preserve"> </w:t>
            </w:r>
            <w:r w:rsidRPr="00A903DD">
              <w:rPr>
                <w:rFonts w:ascii="Book Antiqua" w:hAnsi="Book Antiqua"/>
                <w:sz w:val="24"/>
                <w:szCs w:val="24"/>
              </w:rPr>
              <w:t>&gt;</w:t>
            </w:r>
            <w:r w:rsidR="00583604">
              <w:rPr>
                <w:rFonts w:ascii="Book Antiqua" w:hAnsi="Book Antiqua" w:hint="eastAsia"/>
                <w:sz w:val="24"/>
                <w:szCs w:val="24"/>
                <w:lang w:eastAsia="zh-CN"/>
              </w:rPr>
              <w:t xml:space="preserve"> </w:t>
            </w:r>
            <w:r w:rsidRPr="00A903DD">
              <w:rPr>
                <w:rFonts w:ascii="Book Antiqua" w:hAnsi="Book Antiqua"/>
                <w:sz w:val="24"/>
                <w:szCs w:val="24"/>
              </w:rPr>
              <w:t>300 L</w:t>
            </w:r>
          </w:p>
        </w:tc>
      </w:tr>
      <w:tr w:rsidR="00C579C6" w:rsidRPr="00A903DD" w:rsidTr="00852E98">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r w:rsidRPr="00A903DD">
              <w:rPr>
                <w:rFonts w:ascii="Book Antiqua" w:hAnsi="Book Antiqua"/>
                <w:b/>
                <w:sz w:val="24"/>
                <w:szCs w:val="24"/>
              </w:rPr>
              <w:t>Protein Binding</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 xml:space="preserve">35%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 xml:space="preserve">92%-95%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 xml:space="preserve">87% </w:t>
            </w:r>
          </w:p>
        </w:tc>
        <w:tc>
          <w:tcPr>
            <w:tcW w:w="1101" w:type="pct"/>
          </w:tcPr>
          <w:p w:rsidR="00C579C6" w:rsidRPr="00A903DD" w:rsidRDefault="00C579C6" w:rsidP="00A903DD">
            <w:pPr>
              <w:spacing w:after="0" w:line="360" w:lineRule="auto"/>
              <w:jc w:val="both"/>
              <w:rPr>
                <w:rFonts w:ascii="Book Antiqua" w:hAnsi="Book Antiqua"/>
                <w:sz w:val="24"/>
                <w:szCs w:val="24"/>
              </w:rPr>
            </w:pPr>
            <w:r w:rsidRPr="00A903DD">
              <w:rPr>
                <w:rFonts w:ascii="Book Antiqua" w:hAnsi="Book Antiqua"/>
                <w:sz w:val="24"/>
                <w:szCs w:val="24"/>
              </w:rPr>
              <w:t>40</w:t>
            </w:r>
            <w:r w:rsidR="00583604" w:rsidRPr="00A903DD">
              <w:rPr>
                <w:rFonts w:ascii="Book Antiqua" w:hAnsi="Book Antiqua"/>
                <w:sz w:val="24"/>
                <w:szCs w:val="24"/>
              </w:rPr>
              <w:t>%</w:t>
            </w:r>
            <w:r w:rsidRPr="00A903DD">
              <w:rPr>
                <w:rFonts w:ascii="Book Antiqua" w:hAnsi="Book Antiqua"/>
                <w:sz w:val="24"/>
                <w:szCs w:val="24"/>
              </w:rPr>
              <w:t>-59%</w:t>
            </w:r>
          </w:p>
        </w:tc>
      </w:tr>
      <w:tr w:rsidR="00C579C6" w:rsidRPr="00A903DD" w:rsidTr="00852E98">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r w:rsidRPr="00A903DD">
              <w:rPr>
                <w:rFonts w:ascii="Book Antiqua" w:hAnsi="Book Antiqua"/>
                <w:b/>
                <w:sz w:val="24"/>
                <w:szCs w:val="24"/>
              </w:rPr>
              <w:t>Metabolism</w:t>
            </w:r>
          </w:p>
        </w:tc>
        <w:tc>
          <w:tcPr>
            <w:tcW w:w="1100" w:type="pct"/>
            <w:shd w:val="clear" w:color="auto" w:fill="auto"/>
          </w:tcPr>
          <w:p w:rsidR="00C579C6" w:rsidRPr="00A903DD" w:rsidRDefault="00855D63" w:rsidP="00855D63">
            <w:pPr>
              <w:spacing w:after="0" w:line="360" w:lineRule="auto"/>
              <w:jc w:val="both"/>
              <w:rPr>
                <w:rFonts w:ascii="Book Antiqua" w:hAnsi="Book Antiqua"/>
                <w:sz w:val="24"/>
                <w:szCs w:val="24"/>
                <w:vertAlign w:val="superscript"/>
              </w:rPr>
            </w:pPr>
            <w:r>
              <w:rPr>
                <w:rFonts w:ascii="Book Antiqua" w:hAnsi="Book Antiqua" w:hint="eastAsia"/>
                <w:sz w:val="24"/>
                <w:szCs w:val="24"/>
                <w:lang w:eastAsia="zh-CN"/>
              </w:rPr>
              <w:t xml:space="preserve">(1) </w:t>
            </w:r>
            <w:r w:rsidR="00C579C6" w:rsidRPr="00A903DD">
              <w:rPr>
                <w:rFonts w:ascii="Book Antiqua" w:hAnsi="Book Antiqua"/>
                <w:sz w:val="24"/>
                <w:szCs w:val="24"/>
              </w:rPr>
              <w:t xml:space="preserve">Hepatic: </w:t>
            </w:r>
            <w:r w:rsidR="00D842AE" w:rsidRPr="00A903DD">
              <w:rPr>
                <w:rFonts w:ascii="Book Antiqua" w:hAnsi="Book Antiqua"/>
                <w:sz w:val="24"/>
                <w:szCs w:val="24"/>
              </w:rPr>
              <w:t>dabigatran</w:t>
            </w:r>
            <w:r w:rsidR="00C579C6" w:rsidRPr="00A903DD">
              <w:rPr>
                <w:rFonts w:ascii="Book Antiqua" w:hAnsi="Book Antiqua"/>
                <w:sz w:val="24"/>
                <w:szCs w:val="24"/>
              </w:rPr>
              <w:t xml:space="preserve"> etexilate is hydrolyzed to </w:t>
            </w:r>
            <w:r w:rsidR="00D842AE" w:rsidRPr="00A903DD">
              <w:rPr>
                <w:rFonts w:ascii="Book Antiqua" w:hAnsi="Book Antiqua"/>
                <w:sz w:val="24"/>
                <w:szCs w:val="24"/>
              </w:rPr>
              <w:lastRenderedPageBreak/>
              <w:t>dabigatran</w:t>
            </w:r>
            <w:r w:rsidR="00C579C6" w:rsidRPr="00A903DD">
              <w:rPr>
                <w:rFonts w:ascii="Book Antiqua" w:hAnsi="Book Antiqua"/>
                <w:sz w:val="24"/>
                <w:szCs w:val="24"/>
              </w:rPr>
              <w:t xml:space="preserve"> (active form).  </w:t>
            </w:r>
            <w:r>
              <w:rPr>
                <w:rFonts w:ascii="Book Antiqua" w:hAnsi="Book Antiqua" w:hint="eastAsia"/>
                <w:sz w:val="24"/>
                <w:szCs w:val="24"/>
                <w:lang w:eastAsia="zh-CN"/>
              </w:rPr>
              <w:t xml:space="preserve">(2) </w:t>
            </w:r>
            <w:r w:rsidR="00D842AE" w:rsidRPr="00A903DD">
              <w:rPr>
                <w:rFonts w:ascii="Book Antiqua" w:hAnsi="Book Antiqua"/>
                <w:sz w:val="24"/>
                <w:szCs w:val="24"/>
              </w:rPr>
              <w:t>Dabigatran</w:t>
            </w:r>
            <w:r w:rsidR="00C579C6" w:rsidRPr="00A903DD">
              <w:rPr>
                <w:rFonts w:ascii="Book Antiqua" w:hAnsi="Book Antiqua"/>
                <w:sz w:val="24"/>
                <w:szCs w:val="24"/>
              </w:rPr>
              <w:t xml:space="preserve"> undergoes hepatic glucouronidation to 4 active acyl glucuronides, each accounting for &lt;</w:t>
            </w:r>
            <w:r w:rsidR="00583604">
              <w:rPr>
                <w:rFonts w:ascii="Book Antiqua" w:hAnsi="Book Antiqua" w:hint="eastAsia"/>
                <w:sz w:val="24"/>
                <w:szCs w:val="24"/>
                <w:lang w:eastAsia="zh-CN"/>
              </w:rPr>
              <w:t xml:space="preserve"> </w:t>
            </w:r>
            <w:r w:rsidR="00C579C6" w:rsidRPr="00A903DD">
              <w:rPr>
                <w:rFonts w:ascii="Book Antiqua" w:hAnsi="Book Antiqua"/>
                <w:sz w:val="24"/>
                <w:szCs w:val="24"/>
              </w:rPr>
              <w:t xml:space="preserve">10% of total </w:t>
            </w:r>
            <w:r w:rsidR="00D842AE" w:rsidRPr="00A903DD">
              <w:rPr>
                <w:rFonts w:ascii="Book Antiqua" w:hAnsi="Book Antiqua"/>
                <w:sz w:val="24"/>
                <w:szCs w:val="24"/>
              </w:rPr>
              <w:t>dabigatran</w:t>
            </w:r>
            <w:r w:rsidR="00C579C6" w:rsidRPr="00A903DD">
              <w:rPr>
                <w:rFonts w:ascii="Book Antiqua" w:hAnsi="Book Antiqua"/>
                <w:sz w:val="24"/>
                <w:szCs w:val="24"/>
              </w:rPr>
              <w:t xml:space="preserve"> in plasma.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lastRenderedPageBreak/>
              <w:t xml:space="preserve">Hepatic: oxidative metabolism </w:t>
            </w:r>
            <w:r w:rsidRPr="00583604">
              <w:rPr>
                <w:rFonts w:ascii="Book Antiqua" w:hAnsi="Book Antiqua"/>
                <w:i/>
                <w:sz w:val="24"/>
                <w:szCs w:val="24"/>
              </w:rPr>
              <w:t>via</w:t>
            </w:r>
            <w:r w:rsidRPr="00A903DD">
              <w:rPr>
                <w:rFonts w:ascii="Book Antiqua" w:hAnsi="Book Antiqua"/>
                <w:sz w:val="24"/>
                <w:szCs w:val="24"/>
              </w:rPr>
              <w:t xml:space="preserve"> CYP3A4/5 </w:t>
            </w:r>
            <w:r w:rsidRPr="00A903DD">
              <w:rPr>
                <w:rFonts w:ascii="Book Antiqua" w:hAnsi="Book Antiqua"/>
                <w:sz w:val="24"/>
                <w:szCs w:val="24"/>
              </w:rPr>
              <w:lastRenderedPageBreak/>
              <w:t xml:space="preserve">and CYP2J2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lastRenderedPageBreak/>
              <w:t xml:space="preserve">Hepatic: mainly via CYP3A4/5 with minor </w:t>
            </w:r>
            <w:r w:rsidRPr="00A903DD">
              <w:rPr>
                <w:rFonts w:ascii="Book Antiqua" w:hAnsi="Book Antiqua"/>
                <w:sz w:val="24"/>
                <w:szCs w:val="24"/>
              </w:rPr>
              <w:lastRenderedPageBreak/>
              <w:t xml:space="preserve">contribution from CYP1A2, CYP2C8/9/19, and CYP2J2 </w:t>
            </w:r>
          </w:p>
        </w:tc>
        <w:tc>
          <w:tcPr>
            <w:tcW w:w="1101" w:type="pct"/>
          </w:tcPr>
          <w:p w:rsidR="00C579C6" w:rsidRPr="00A903DD" w:rsidRDefault="00C579C6" w:rsidP="00A903DD">
            <w:pPr>
              <w:spacing w:after="0" w:line="360" w:lineRule="auto"/>
              <w:jc w:val="both"/>
              <w:rPr>
                <w:rFonts w:ascii="Book Antiqua" w:hAnsi="Book Antiqua"/>
                <w:sz w:val="24"/>
                <w:szCs w:val="24"/>
              </w:rPr>
            </w:pPr>
            <w:r w:rsidRPr="00A903DD">
              <w:rPr>
                <w:rFonts w:ascii="Book Antiqua" w:hAnsi="Book Antiqua"/>
                <w:sz w:val="24"/>
                <w:szCs w:val="24"/>
              </w:rPr>
              <w:lastRenderedPageBreak/>
              <w:t>Hepatic: minimal hepatic contribution from CYP3A4</w:t>
            </w:r>
          </w:p>
        </w:tc>
      </w:tr>
      <w:tr w:rsidR="00C579C6" w:rsidRPr="00A903DD" w:rsidTr="00852E98">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r w:rsidRPr="00A903DD">
              <w:rPr>
                <w:rFonts w:ascii="Book Antiqua" w:hAnsi="Book Antiqua"/>
                <w:b/>
                <w:sz w:val="24"/>
                <w:szCs w:val="24"/>
              </w:rPr>
              <w:lastRenderedPageBreak/>
              <w:t>Bioavailability</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 xml:space="preserve">3%-7%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rPr>
            </w:pPr>
            <w:r w:rsidRPr="00A903DD">
              <w:rPr>
                <w:rFonts w:ascii="Book Antiqua" w:hAnsi="Book Antiqua"/>
                <w:sz w:val="24"/>
                <w:szCs w:val="24"/>
              </w:rPr>
              <w:t>Dose Dependent (Absolute Bioavailability)</w:t>
            </w:r>
          </w:p>
          <w:p w:rsidR="00C579C6" w:rsidRPr="00A903DD" w:rsidRDefault="00C579C6" w:rsidP="00583604">
            <w:pPr>
              <w:pStyle w:val="a3"/>
              <w:numPr>
                <w:ilvl w:val="0"/>
                <w:numId w:val="11"/>
              </w:numPr>
              <w:spacing w:after="0" w:line="360" w:lineRule="auto"/>
              <w:jc w:val="both"/>
              <w:rPr>
                <w:rFonts w:ascii="Book Antiqua" w:hAnsi="Book Antiqua"/>
                <w:sz w:val="24"/>
                <w:szCs w:val="24"/>
              </w:rPr>
            </w:pPr>
            <w:r w:rsidRPr="00A903DD">
              <w:rPr>
                <w:rFonts w:ascii="Book Antiqua" w:hAnsi="Book Antiqua"/>
                <w:sz w:val="24"/>
                <w:szCs w:val="24"/>
              </w:rPr>
              <w:t xml:space="preserve">10 mg 80%-100% in fasted state </w:t>
            </w:r>
          </w:p>
          <w:p w:rsidR="00C579C6" w:rsidRPr="00A903DD" w:rsidRDefault="00C579C6" w:rsidP="00583604">
            <w:pPr>
              <w:pStyle w:val="a3"/>
              <w:numPr>
                <w:ilvl w:val="0"/>
                <w:numId w:val="11"/>
              </w:numPr>
              <w:spacing w:after="0" w:line="360" w:lineRule="auto"/>
              <w:jc w:val="both"/>
              <w:rPr>
                <w:rFonts w:ascii="Book Antiqua" w:hAnsi="Book Antiqua"/>
                <w:sz w:val="24"/>
                <w:szCs w:val="24"/>
              </w:rPr>
            </w:pPr>
            <w:r w:rsidRPr="00A903DD">
              <w:rPr>
                <w:rFonts w:ascii="Book Antiqua" w:hAnsi="Book Antiqua"/>
                <w:sz w:val="24"/>
                <w:szCs w:val="24"/>
              </w:rPr>
              <w:t xml:space="preserve">20 mg </w:t>
            </w:r>
            <w:r w:rsidR="00583604">
              <w:rPr>
                <w:rFonts w:ascii="Book Antiqua" w:hAnsi="Book Antiqua" w:cs="Book Antiqua" w:hint="eastAsia"/>
                <w:sz w:val="24"/>
                <w:szCs w:val="24"/>
              </w:rPr>
              <w:t>approximately</w:t>
            </w:r>
            <w:r w:rsidRPr="00A903DD">
              <w:rPr>
                <w:rFonts w:ascii="Book Antiqua" w:hAnsi="Book Antiqua"/>
                <w:sz w:val="24"/>
                <w:szCs w:val="24"/>
              </w:rPr>
              <w:t xml:space="preserve"> 66% in fasted state  </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 xml:space="preserve">50% </w:t>
            </w:r>
          </w:p>
        </w:tc>
        <w:tc>
          <w:tcPr>
            <w:tcW w:w="1101" w:type="pct"/>
          </w:tcPr>
          <w:p w:rsidR="00C579C6" w:rsidRPr="00A903DD" w:rsidRDefault="00C579C6" w:rsidP="00A903DD">
            <w:pPr>
              <w:spacing w:after="0" w:line="360" w:lineRule="auto"/>
              <w:jc w:val="both"/>
              <w:rPr>
                <w:rFonts w:ascii="Book Antiqua" w:hAnsi="Book Antiqua"/>
                <w:sz w:val="24"/>
                <w:szCs w:val="24"/>
              </w:rPr>
            </w:pPr>
            <w:r w:rsidRPr="00A903DD">
              <w:rPr>
                <w:rFonts w:ascii="Book Antiqua" w:hAnsi="Book Antiqua"/>
                <w:sz w:val="24"/>
                <w:szCs w:val="24"/>
              </w:rPr>
              <w:t>62%</w:t>
            </w:r>
          </w:p>
        </w:tc>
      </w:tr>
      <w:tr w:rsidR="00C579C6" w:rsidRPr="00A903DD" w:rsidTr="00852E98">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r w:rsidRPr="00A903DD">
              <w:rPr>
                <w:rFonts w:ascii="Book Antiqua" w:hAnsi="Book Antiqua"/>
                <w:b/>
                <w:sz w:val="24"/>
                <w:szCs w:val="24"/>
              </w:rPr>
              <w:t>Onset (T</w:t>
            </w:r>
            <w:r w:rsidRPr="00A903DD">
              <w:rPr>
                <w:rFonts w:ascii="Book Antiqua" w:hAnsi="Book Antiqua"/>
                <w:b/>
                <w:sz w:val="24"/>
                <w:szCs w:val="24"/>
                <w:vertAlign w:val="subscript"/>
              </w:rPr>
              <w:t>Cmax</w:t>
            </w:r>
            <w:r w:rsidRPr="00A903DD">
              <w:rPr>
                <w:rFonts w:ascii="Book Antiqua" w:hAnsi="Book Antiqua"/>
                <w:b/>
                <w:sz w:val="24"/>
                <w:szCs w:val="24"/>
              </w:rPr>
              <w:t>)</w:t>
            </w:r>
          </w:p>
        </w:tc>
        <w:tc>
          <w:tcPr>
            <w:tcW w:w="1100" w:type="pct"/>
            <w:shd w:val="clear" w:color="auto" w:fill="auto"/>
          </w:tcPr>
          <w:p w:rsidR="00C579C6" w:rsidRPr="00855D63" w:rsidRDefault="00C579C6" w:rsidP="00855D63">
            <w:pPr>
              <w:pStyle w:val="a3"/>
              <w:numPr>
                <w:ilvl w:val="1"/>
                <w:numId w:val="20"/>
              </w:numPr>
              <w:spacing w:after="0" w:line="360" w:lineRule="auto"/>
              <w:jc w:val="both"/>
              <w:rPr>
                <w:rFonts w:ascii="Book Antiqua" w:hAnsi="Book Antiqua"/>
                <w:sz w:val="24"/>
                <w:szCs w:val="24"/>
              </w:rPr>
            </w:pPr>
            <w:r w:rsidRPr="00855D63">
              <w:rPr>
                <w:rFonts w:ascii="Book Antiqua" w:hAnsi="Book Antiqua"/>
                <w:sz w:val="24"/>
                <w:szCs w:val="24"/>
              </w:rPr>
              <w:t>h</w:t>
            </w:r>
          </w:p>
          <w:p w:rsidR="00C579C6" w:rsidRPr="00A903DD" w:rsidRDefault="00C579C6" w:rsidP="00855D63">
            <w:pPr>
              <w:pStyle w:val="a3"/>
              <w:numPr>
                <w:ilvl w:val="0"/>
                <w:numId w:val="10"/>
              </w:numPr>
              <w:spacing w:after="0" w:line="360" w:lineRule="auto"/>
              <w:jc w:val="both"/>
              <w:rPr>
                <w:rFonts w:ascii="Book Antiqua" w:hAnsi="Book Antiqua"/>
                <w:sz w:val="24"/>
                <w:szCs w:val="24"/>
              </w:rPr>
            </w:pPr>
            <w:r w:rsidRPr="00A903DD">
              <w:rPr>
                <w:rFonts w:ascii="Book Antiqua" w:hAnsi="Book Antiqua"/>
                <w:sz w:val="24"/>
                <w:szCs w:val="24"/>
              </w:rPr>
              <w:t>Hea</w:t>
            </w:r>
            <w:r w:rsidR="00855D63">
              <w:rPr>
                <w:rFonts w:ascii="Book Antiqua" w:hAnsi="Book Antiqua"/>
                <w:sz w:val="24"/>
                <w:szCs w:val="24"/>
              </w:rPr>
              <w:t>lthy subjects in fasted state–</w:t>
            </w:r>
            <w:r w:rsidRPr="00A903DD">
              <w:rPr>
                <w:rFonts w:ascii="Book Antiqua" w:hAnsi="Book Antiqua"/>
                <w:sz w:val="24"/>
                <w:szCs w:val="24"/>
              </w:rPr>
              <w:t xml:space="preserve">1 h </w:t>
            </w:r>
          </w:p>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C579C6" w:rsidRPr="00A903DD">
              <w:rPr>
                <w:rFonts w:ascii="Book Antiqua" w:hAnsi="Book Antiqua"/>
                <w:sz w:val="24"/>
                <w:szCs w:val="24"/>
              </w:rPr>
              <w:t>Healthy sub</w:t>
            </w:r>
            <w:r>
              <w:rPr>
                <w:rFonts w:ascii="Book Antiqua" w:hAnsi="Book Antiqua"/>
                <w:sz w:val="24"/>
                <w:szCs w:val="24"/>
              </w:rPr>
              <w:t>jects following high fat meal–</w:t>
            </w:r>
            <w:r w:rsidR="00C579C6" w:rsidRPr="00A903DD">
              <w:rPr>
                <w:rFonts w:ascii="Book Antiqua" w:hAnsi="Book Antiqua"/>
                <w:sz w:val="24"/>
                <w:szCs w:val="24"/>
              </w:rPr>
              <w:t xml:space="preserve">3 h </w:t>
            </w:r>
          </w:p>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C579C6" w:rsidRPr="00A903DD">
              <w:rPr>
                <w:rFonts w:ascii="Book Antiqua" w:hAnsi="Book Antiqua"/>
                <w:sz w:val="24"/>
                <w:szCs w:val="24"/>
              </w:rPr>
              <w:t>Subjects un</w:t>
            </w:r>
            <w:r>
              <w:rPr>
                <w:rFonts w:ascii="Book Antiqua" w:hAnsi="Book Antiqua"/>
                <w:sz w:val="24"/>
                <w:szCs w:val="24"/>
              </w:rPr>
              <w:t>dergoing elective hip surgery–</w:t>
            </w:r>
            <w:r w:rsidR="00C579C6" w:rsidRPr="00A903DD">
              <w:rPr>
                <w:rFonts w:ascii="Book Antiqua" w:hAnsi="Book Antiqua"/>
                <w:sz w:val="24"/>
                <w:szCs w:val="24"/>
              </w:rPr>
              <w:t xml:space="preserve">6 h </w:t>
            </w:r>
          </w:p>
        </w:tc>
        <w:tc>
          <w:tcPr>
            <w:tcW w:w="1100" w:type="pct"/>
            <w:shd w:val="clear" w:color="auto" w:fill="auto"/>
          </w:tcPr>
          <w:p w:rsidR="00C579C6" w:rsidRPr="00A903DD" w:rsidRDefault="00C579C6" w:rsidP="00855D63">
            <w:pPr>
              <w:spacing w:after="0" w:line="360" w:lineRule="auto"/>
              <w:jc w:val="both"/>
              <w:rPr>
                <w:rFonts w:ascii="Book Antiqua" w:hAnsi="Book Antiqua"/>
                <w:sz w:val="24"/>
                <w:szCs w:val="24"/>
                <w:vertAlign w:val="superscript"/>
              </w:rPr>
            </w:pPr>
            <w:r w:rsidRPr="00A903DD">
              <w:rPr>
                <w:rFonts w:ascii="Book Antiqua" w:hAnsi="Book Antiqua"/>
                <w:sz w:val="24"/>
                <w:szCs w:val="24"/>
              </w:rPr>
              <w:t>2-4 h</w:t>
            </w:r>
          </w:p>
        </w:tc>
        <w:tc>
          <w:tcPr>
            <w:tcW w:w="1100" w:type="pct"/>
            <w:shd w:val="clear" w:color="auto" w:fill="auto"/>
          </w:tcPr>
          <w:p w:rsidR="00C579C6" w:rsidRPr="00A903DD" w:rsidRDefault="00C579C6" w:rsidP="00855D63">
            <w:pPr>
              <w:pStyle w:val="a3"/>
              <w:spacing w:after="0" w:line="360" w:lineRule="auto"/>
              <w:ind w:left="0"/>
              <w:jc w:val="both"/>
              <w:rPr>
                <w:rFonts w:ascii="Book Antiqua" w:hAnsi="Book Antiqua"/>
                <w:sz w:val="24"/>
                <w:szCs w:val="24"/>
              </w:rPr>
            </w:pPr>
            <w:r w:rsidRPr="00A903DD">
              <w:rPr>
                <w:rFonts w:ascii="Book Antiqua" w:hAnsi="Book Antiqua"/>
                <w:sz w:val="24"/>
                <w:szCs w:val="24"/>
              </w:rPr>
              <w:t>2.5 mg</w:t>
            </w:r>
            <w:r w:rsidR="00855D63">
              <w:rPr>
                <w:rFonts w:ascii="Book Antiqua" w:hAnsi="Book Antiqua" w:hint="eastAsia"/>
                <w:sz w:val="24"/>
                <w:szCs w:val="24"/>
                <w:lang w:eastAsia="zh-CN"/>
              </w:rPr>
              <w:t xml:space="preserve">: </w:t>
            </w:r>
            <w:r w:rsidRPr="00A903DD">
              <w:rPr>
                <w:rFonts w:ascii="Book Antiqua" w:hAnsi="Book Antiqua"/>
                <w:sz w:val="24"/>
                <w:szCs w:val="24"/>
              </w:rPr>
              <w:t>1.5</w:t>
            </w:r>
            <w:r w:rsidR="00855D63">
              <w:rPr>
                <w:rFonts w:ascii="Book Antiqua" w:hAnsi="Book Antiqua" w:hint="eastAsia"/>
                <w:sz w:val="24"/>
                <w:szCs w:val="24"/>
                <w:lang w:eastAsia="zh-CN"/>
              </w:rPr>
              <w:t xml:space="preserve"> </w:t>
            </w:r>
            <w:r w:rsidRPr="00A903DD">
              <w:rPr>
                <w:rFonts w:ascii="Book Antiqua" w:hAnsi="Book Antiqua"/>
                <w:sz w:val="24"/>
                <w:szCs w:val="24"/>
              </w:rPr>
              <w:t xml:space="preserve"> h </w:t>
            </w:r>
          </w:p>
          <w:p w:rsidR="00C579C6" w:rsidRPr="00A903DD" w:rsidRDefault="00C579C6" w:rsidP="00855D63">
            <w:pPr>
              <w:pStyle w:val="a3"/>
              <w:spacing w:after="0" w:line="360" w:lineRule="auto"/>
              <w:ind w:left="0"/>
              <w:jc w:val="both"/>
              <w:rPr>
                <w:rFonts w:ascii="Book Antiqua" w:hAnsi="Book Antiqua"/>
                <w:sz w:val="24"/>
                <w:szCs w:val="24"/>
              </w:rPr>
            </w:pPr>
            <w:r w:rsidRPr="00A903DD">
              <w:rPr>
                <w:rFonts w:ascii="Book Antiqua" w:hAnsi="Book Antiqua"/>
                <w:sz w:val="24"/>
                <w:szCs w:val="24"/>
              </w:rPr>
              <w:t>5 mg</w:t>
            </w:r>
            <w:r w:rsidR="00855D63">
              <w:rPr>
                <w:rFonts w:ascii="Book Antiqua" w:hAnsi="Book Antiqua" w:hint="eastAsia"/>
                <w:sz w:val="24"/>
                <w:szCs w:val="24"/>
                <w:lang w:eastAsia="zh-CN"/>
              </w:rPr>
              <w:t xml:space="preserve">: </w:t>
            </w:r>
            <w:r w:rsidRPr="00A903DD">
              <w:rPr>
                <w:rFonts w:ascii="Book Antiqua" w:hAnsi="Book Antiqua"/>
                <w:sz w:val="24"/>
                <w:szCs w:val="24"/>
              </w:rPr>
              <w:t xml:space="preserve">3.3 h </w:t>
            </w:r>
          </w:p>
          <w:p w:rsidR="00C579C6" w:rsidRPr="00A903DD" w:rsidRDefault="00C579C6" w:rsidP="00855D63">
            <w:pPr>
              <w:pStyle w:val="a3"/>
              <w:spacing w:after="0" w:line="360" w:lineRule="auto"/>
              <w:ind w:left="0"/>
              <w:jc w:val="both"/>
              <w:rPr>
                <w:rFonts w:ascii="Book Antiqua" w:hAnsi="Book Antiqua"/>
                <w:sz w:val="24"/>
                <w:szCs w:val="24"/>
              </w:rPr>
            </w:pPr>
            <w:r w:rsidRPr="00A903DD">
              <w:rPr>
                <w:rFonts w:ascii="Book Antiqua" w:hAnsi="Book Antiqua"/>
                <w:sz w:val="24"/>
                <w:szCs w:val="24"/>
              </w:rPr>
              <w:t>10 mg</w:t>
            </w:r>
            <w:r w:rsidR="00855D63">
              <w:rPr>
                <w:rFonts w:ascii="Book Antiqua" w:hAnsi="Book Antiqua" w:hint="eastAsia"/>
                <w:sz w:val="24"/>
                <w:szCs w:val="24"/>
                <w:lang w:eastAsia="zh-CN"/>
              </w:rPr>
              <w:t xml:space="preserve">: </w:t>
            </w:r>
            <w:r w:rsidRPr="00A903DD">
              <w:rPr>
                <w:rFonts w:ascii="Book Antiqua" w:hAnsi="Book Antiqua"/>
                <w:sz w:val="24"/>
                <w:szCs w:val="24"/>
              </w:rPr>
              <w:t xml:space="preserve">3-4 h </w:t>
            </w:r>
          </w:p>
        </w:tc>
        <w:tc>
          <w:tcPr>
            <w:tcW w:w="1101" w:type="pct"/>
          </w:tcPr>
          <w:p w:rsidR="00C579C6" w:rsidRPr="00A903DD" w:rsidRDefault="00C579C6" w:rsidP="00855D63">
            <w:pPr>
              <w:spacing w:after="0" w:line="360" w:lineRule="auto"/>
              <w:jc w:val="both"/>
              <w:rPr>
                <w:rFonts w:ascii="Book Antiqua" w:hAnsi="Book Antiqua"/>
                <w:sz w:val="24"/>
                <w:szCs w:val="24"/>
              </w:rPr>
            </w:pPr>
            <w:r w:rsidRPr="00A903DD">
              <w:rPr>
                <w:rFonts w:ascii="Book Antiqua" w:hAnsi="Book Antiqua"/>
                <w:sz w:val="24"/>
                <w:szCs w:val="24"/>
              </w:rPr>
              <w:t>1-2 h</w:t>
            </w:r>
          </w:p>
        </w:tc>
      </w:tr>
      <w:tr w:rsidR="00C579C6" w:rsidRPr="00A903DD" w:rsidTr="00852E98">
        <w:tc>
          <w:tcPr>
            <w:tcW w:w="599" w:type="pct"/>
            <w:shd w:val="clear" w:color="auto" w:fill="auto"/>
          </w:tcPr>
          <w:p w:rsidR="00C579C6" w:rsidRPr="00A903DD" w:rsidRDefault="00C579C6" w:rsidP="00A903DD">
            <w:pPr>
              <w:spacing w:after="0" w:line="360" w:lineRule="auto"/>
              <w:jc w:val="both"/>
              <w:rPr>
                <w:rFonts w:ascii="Book Antiqua" w:hAnsi="Book Antiqua"/>
                <w:b/>
                <w:sz w:val="24"/>
                <w:szCs w:val="24"/>
              </w:rPr>
            </w:pPr>
            <w:r w:rsidRPr="00A903DD">
              <w:rPr>
                <w:rFonts w:ascii="Book Antiqua" w:hAnsi="Book Antiqua"/>
                <w:b/>
                <w:sz w:val="24"/>
                <w:szCs w:val="24"/>
              </w:rPr>
              <w:lastRenderedPageBreak/>
              <w:t>Excretion</w:t>
            </w:r>
          </w:p>
        </w:tc>
        <w:tc>
          <w:tcPr>
            <w:tcW w:w="1100" w:type="pct"/>
            <w:shd w:val="clear" w:color="auto" w:fill="auto"/>
          </w:tcPr>
          <w:p w:rsidR="00C579C6" w:rsidRPr="00A903DD" w:rsidRDefault="00C579C6" w:rsidP="00A903DD">
            <w:pPr>
              <w:spacing w:after="0" w:line="360" w:lineRule="auto"/>
              <w:jc w:val="both"/>
              <w:rPr>
                <w:rFonts w:ascii="Book Antiqua" w:hAnsi="Book Antiqua"/>
                <w:sz w:val="24"/>
                <w:szCs w:val="24"/>
                <w:vertAlign w:val="superscript"/>
              </w:rPr>
            </w:pPr>
            <w:r w:rsidRPr="00A903DD">
              <w:rPr>
                <w:rFonts w:ascii="Book Antiqua" w:hAnsi="Book Antiqua"/>
                <w:sz w:val="24"/>
                <w:szCs w:val="24"/>
              </w:rPr>
              <w:t xml:space="preserve">80% renal clearance </w:t>
            </w:r>
          </w:p>
        </w:tc>
        <w:tc>
          <w:tcPr>
            <w:tcW w:w="1100" w:type="pct"/>
            <w:shd w:val="clear" w:color="auto" w:fill="auto"/>
          </w:tcPr>
          <w:p w:rsidR="00C579C6" w:rsidRPr="00A903DD" w:rsidRDefault="00855D63" w:rsidP="00855D63">
            <w:pPr>
              <w:pStyle w:val="a3"/>
              <w:spacing w:after="0" w:line="360" w:lineRule="auto"/>
              <w:ind w:left="0"/>
              <w:jc w:val="both"/>
              <w:rPr>
                <w:rFonts w:ascii="Book Antiqua" w:hAnsi="Book Antiqua"/>
                <w:sz w:val="24"/>
                <w:szCs w:val="24"/>
                <w:lang w:eastAsia="zh-CN"/>
              </w:rPr>
            </w:pPr>
            <w:r>
              <w:rPr>
                <w:rFonts w:ascii="Book Antiqua" w:hAnsi="Book Antiqua" w:hint="eastAsia"/>
                <w:sz w:val="24"/>
                <w:szCs w:val="24"/>
                <w:lang w:eastAsia="zh-CN"/>
              </w:rPr>
              <w:t xml:space="preserve">(1) </w:t>
            </w:r>
            <w:r w:rsidR="00C579C6" w:rsidRPr="00A903DD">
              <w:rPr>
                <w:rFonts w:ascii="Book Antiqua" w:hAnsi="Book Antiqua"/>
                <w:sz w:val="24"/>
                <w:szCs w:val="24"/>
              </w:rPr>
              <w:t>66% renal clearance (36% unchanged and 30% as inactive metabolite)</w:t>
            </w:r>
            <w:r>
              <w:rPr>
                <w:rFonts w:ascii="Book Antiqua" w:hAnsi="Book Antiqua" w:hint="eastAsia"/>
                <w:sz w:val="24"/>
                <w:szCs w:val="24"/>
                <w:lang w:eastAsia="zh-CN"/>
              </w:rPr>
              <w:t>;</w:t>
            </w:r>
          </w:p>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C579C6" w:rsidRPr="00A903DD">
              <w:rPr>
                <w:rFonts w:ascii="Book Antiqua" w:hAnsi="Book Antiqua"/>
                <w:sz w:val="24"/>
                <w:szCs w:val="24"/>
              </w:rPr>
              <w:t xml:space="preserve">28% fecal excretion (7% unchanged and 21% as inactive metabolite) </w:t>
            </w:r>
          </w:p>
        </w:tc>
        <w:tc>
          <w:tcPr>
            <w:tcW w:w="1100" w:type="pct"/>
            <w:shd w:val="clear" w:color="auto" w:fill="auto"/>
          </w:tcPr>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(1) </w:t>
            </w:r>
            <w:r w:rsidR="00C579C6" w:rsidRPr="00A903DD">
              <w:rPr>
                <w:rFonts w:ascii="Book Antiqua" w:hAnsi="Book Antiqua"/>
                <w:sz w:val="24"/>
                <w:szCs w:val="24"/>
              </w:rPr>
              <w:t>27% renal clearance unchanged</w:t>
            </w:r>
          </w:p>
          <w:p w:rsidR="00C579C6" w:rsidRPr="00A903DD" w:rsidRDefault="00855D63" w:rsidP="00855D63">
            <w:pPr>
              <w:pStyle w:val="a3"/>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(2) </w:t>
            </w:r>
            <w:r w:rsidR="00C579C6" w:rsidRPr="00A903DD">
              <w:rPr>
                <w:rFonts w:ascii="Book Antiqua" w:hAnsi="Book Antiqua"/>
                <w:sz w:val="24"/>
                <w:szCs w:val="24"/>
              </w:rPr>
              <w:t xml:space="preserve">25% fecal excretion unchanged </w:t>
            </w:r>
          </w:p>
        </w:tc>
        <w:tc>
          <w:tcPr>
            <w:tcW w:w="1101" w:type="pct"/>
          </w:tcPr>
          <w:p w:rsidR="00C579C6" w:rsidRPr="00A903DD" w:rsidRDefault="00C579C6" w:rsidP="00A903DD">
            <w:pPr>
              <w:spacing w:after="0" w:line="360" w:lineRule="auto"/>
              <w:jc w:val="both"/>
              <w:rPr>
                <w:rFonts w:ascii="Book Antiqua" w:hAnsi="Book Antiqua"/>
                <w:sz w:val="24"/>
                <w:szCs w:val="24"/>
              </w:rPr>
            </w:pPr>
            <w:r w:rsidRPr="00A903DD">
              <w:rPr>
                <w:rFonts w:ascii="Book Antiqua" w:hAnsi="Book Antiqua"/>
                <w:sz w:val="24"/>
                <w:szCs w:val="24"/>
              </w:rPr>
              <w:t xml:space="preserve">49% renal clearance </w:t>
            </w:r>
          </w:p>
        </w:tc>
      </w:tr>
    </w:tbl>
    <w:p w:rsidR="00C072F4" w:rsidRPr="00A903DD" w:rsidRDefault="00C072F4" w:rsidP="00A903DD">
      <w:pPr>
        <w:spacing w:after="0" w:line="360" w:lineRule="auto"/>
        <w:jc w:val="both"/>
        <w:rPr>
          <w:rFonts w:ascii="Book Antiqua" w:hAnsi="Book Antiqua"/>
          <w:sz w:val="24"/>
          <w:szCs w:val="24"/>
        </w:rPr>
      </w:pPr>
      <w:r w:rsidRPr="00A903DD">
        <w:rPr>
          <w:rFonts w:ascii="Book Antiqua" w:hAnsi="Book Antiqua"/>
          <w:sz w:val="24"/>
          <w:szCs w:val="24"/>
        </w:rPr>
        <w:br w:type="page"/>
      </w:r>
    </w:p>
    <w:tbl>
      <w:tblPr>
        <w:tblStyle w:val="ab"/>
        <w:tblW w:w="13076" w:type="dxa"/>
        <w:tblLook w:val="04A0" w:firstRow="1" w:lastRow="0" w:firstColumn="1" w:lastColumn="0" w:noHBand="0" w:noVBand="1"/>
      </w:tblPr>
      <w:tblGrid>
        <w:gridCol w:w="2179"/>
        <w:gridCol w:w="2179"/>
        <w:gridCol w:w="2179"/>
        <w:gridCol w:w="2179"/>
        <w:gridCol w:w="2179"/>
        <w:gridCol w:w="2181"/>
      </w:tblGrid>
      <w:tr w:rsidR="00C072F4" w:rsidRPr="00A903DD" w:rsidTr="00D028D3">
        <w:trPr>
          <w:trHeight w:val="462"/>
        </w:trPr>
        <w:tc>
          <w:tcPr>
            <w:tcW w:w="13076" w:type="dxa"/>
            <w:gridSpan w:val="6"/>
            <w:tcBorders>
              <w:top w:val="nil"/>
              <w:left w:val="nil"/>
              <w:right w:val="nil"/>
            </w:tcBorders>
            <w:shd w:val="clear" w:color="auto" w:fill="auto"/>
          </w:tcPr>
          <w:p w:rsidR="00852E98" w:rsidRPr="00D028D3" w:rsidRDefault="00855D63" w:rsidP="00A903DD">
            <w:pPr>
              <w:spacing w:line="360" w:lineRule="auto"/>
              <w:jc w:val="both"/>
              <w:rPr>
                <w:rFonts w:ascii="Book Antiqua" w:hAnsi="Book Antiqua"/>
                <w:b/>
                <w:sz w:val="24"/>
                <w:szCs w:val="24"/>
                <w:lang w:eastAsia="zh-CN"/>
              </w:rPr>
            </w:pPr>
            <w:r w:rsidRPr="00855D63">
              <w:rPr>
                <w:rFonts w:ascii="Book Antiqua" w:hAnsi="Book Antiqua"/>
                <w:b/>
                <w:sz w:val="24"/>
                <w:szCs w:val="24"/>
              </w:rPr>
              <w:lastRenderedPageBreak/>
              <w:t>Table 2</w:t>
            </w:r>
            <w:r w:rsidR="00C072F4" w:rsidRPr="00855D63">
              <w:rPr>
                <w:rFonts w:ascii="Book Antiqua" w:hAnsi="Book Antiqua"/>
                <w:b/>
                <w:sz w:val="24"/>
                <w:szCs w:val="24"/>
              </w:rPr>
              <w:t xml:space="preserve">  Effects o</w:t>
            </w:r>
            <w:r w:rsidR="000A44D3" w:rsidRPr="00855D63">
              <w:rPr>
                <w:rFonts w:ascii="Book Antiqua" w:hAnsi="Book Antiqua"/>
                <w:b/>
                <w:sz w:val="24"/>
                <w:szCs w:val="24"/>
              </w:rPr>
              <w:t xml:space="preserve">n </w:t>
            </w:r>
            <w:r w:rsidRPr="00855D63">
              <w:rPr>
                <w:rFonts w:ascii="Book Antiqua" w:hAnsi="Book Antiqua"/>
                <w:b/>
                <w:sz w:val="24"/>
                <w:szCs w:val="24"/>
              </w:rPr>
              <w:t xml:space="preserve">target specific oral anticoagulants </w:t>
            </w:r>
            <w:r w:rsidR="00C072F4" w:rsidRPr="00855D63">
              <w:rPr>
                <w:rFonts w:ascii="Book Antiqua" w:hAnsi="Book Antiqua"/>
                <w:b/>
                <w:sz w:val="24"/>
                <w:szCs w:val="24"/>
              </w:rPr>
              <w:t>plasma concen</w:t>
            </w:r>
            <w:r w:rsidR="00A11971" w:rsidRPr="00855D63">
              <w:rPr>
                <w:rFonts w:ascii="Book Antiqua" w:hAnsi="Book Antiqua"/>
                <w:b/>
                <w:sz w:val="24"/>
                <w:szCs w:val="24"/>
              </w:rPr>
              <w:t>trations</w:t>
            </w:r>
            <w:r w:rsidR="00C072F4" w:rsidRPr="00855D63">
              <w:rPr>
                <w:rFonts w:ascii="Book Antiqua" w:hAnsi="Book Antiqua"/>
                <w:b/>
                <w:sz w:val="24"/>
                <w:szCs w:val="24"/>
              </w:rPr>
              <w:t xml:space="preserve"> from drug-drug interactions and dosing recommendations</w:t>
            </w:r>
          </w:p>
        </w:tc>
      </w:tr>
      <w:tr w:rsidR="00C072F4" w:rsidRPr="00A903DD" w:rsidTr="00D028D3">
        <w:trPr>
          <w:trHeight w:val="230"/>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 xml:space="preserve">Drug </w:t>
            </w:r>
            <w:r w:rsidR="00855D63" w:rsidRPr="00A903DD">
              <w:rPr>
                <w:rFonts w:ascii="Book Antiqua" w:hAnsi="Book Antiqua"/>
                <w:sz w:val="24"/>
                <w:szCs w:val="24"/>
              </w:rPr>
              <w:t>i</w:t>
            </w:r>
            <w:r w:rsidRPr="00A903DD">
              <w:rPr>
                <w:rFonts w:ascii="Book Antiqua" w:hAnsi="Book Antiqua"/>
                <w:sz w:val="24"/>
                <w:szCs w:val="24"/>
              </w:rPr>
              <w:t>ntera</w:t>
            </w:r>
            <w:r w:rsidR="00E56F2F" w:rsidRPr="00A903DD">
              <w:rPr>
                <w:rFonts w:ascii="Book Antiqua" w:hAnsi="Book Antiqua"/>
                <w:sz w:val="24"/>
                <w:szCs w:val="24"/>
              </w:rPr>
              <w:t>c</w:t>
            </w:r>
            <w:r w:rsidRPr="00A903DD">
              <w:rPr>
                <w:rFonts w:ascii="Book Antiqua" w:hAnsi="Book Antiqua"/>
                <w:sz w:val="24"/>
                <w:szCs w:val="24"/>
              </w:rPr>
              <w:t xml:space="preserve">tion </w:t>
            </w:r>
            <w:r w:rsidR="00855D63" w:rsidRPr="00855D63">
              <w:rPr>
                <w:rFonts w:ascii="Book Antiqua" w:hAnsi="Book Antiqua"/>
                <w:i/>
                <w:sz w:val="24"/>
                <w:szCs w:val="24"/>
              </w:rPr>
              <w:t>v</w:t>
            </w:r>
            <w:r w:rsidRPr="00855D63">
              <w:rPr>
                <w:rFonts w:ascii="Book Antiqua" w:hAnsi="Book Antiqua"/>
                <w:i/>
                <w:sz w:val="24"/>
                <w:szCs w:val="24"/>
              </w:rPr>
              <w:t>ia</w:t>
            </w:r>
          </w:p>
        </w:tc>
        <w:tc>
          <w:tcPr>
            <w:tcW w:w="2179" w:type="dxa"/>
            <w:shd w:val="clear" w:color="auto" w:fill="auto"/>
          </w:tcPr>
          <w:p w:rsidR="00C072F4" w:rsidRPr="00A903DD" w:rsidRDefault="00D842AE" w:rsidP="00A903DD">
            <w:pPr>
              <w:spacing w:line="360" w:lineRule="auto"/>
              <w:jc w:val="both"/>
              <w:rPr>
                <w:rFonts w:ascii="Book Antiqua" w:hAnsi="Book Antiqua"/>
                <w:sz w:val="24"/>
                <w:szCs w:val="24"/>
              </w:rPr>
            </w:pPr>
            <w:r w:rsidRPr="00A903DD">
              <w:rPr>
                <w:rFonts w:ascii="Book Antiqua" w:hAnsi="Book Antiqua"/>
                <w:sz w:val="24"/>
                <w:szCs w:val="24"/>
              </w:rPr>
              <w:t>Dabigatran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Rivaroxaban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Apixaban</w:t>
            </w:r>
          </w:p>
        </w:tc>
        <w:tc>
          <w:tcPr>
            <w:tcW w:w="2181" w:type="dxa"/>
            <w:shd w:val="clear" w:color="auto" w:fill="auto"/>
          </w:tcPr>
          <w:p w:rsidR="00C072F4" w:rsidRPr="00A903DD" w:rsidRDefault="00C579C6" w:rsidP="00A903DD">
            <w:pPr>
              <w:spacing w:line="360" w:lineRule="auto"/>
              <w:jc w:val="both"/>
              <w:rPr>
                <w:rFonts w:ascii="Book Antiqua" w:hAnsi="Book Antiqua"/>
                <w:sz w:val="24"/>
                <w:szCs w:val="24"/>
              </w:rPr>
            </w:pPr>
            <w:r w:rsidRPr="00A903DD">
              <w:rPr>
                <w:rFonts w:ascii="Book Antiqua" w:hAnsi="Book Antiqua"/>
                <w:sz w:val="24"/>
                <w:szCs w:val="24"/>
              </w:rPr>
              <w:t>Edoxab</w:t>
            </w:r>
            <w:r w:rsidR="00C072F4" w:rsidRPr="00A903DD">
              <w:rPr>
                <w:rFonts w:ascii="Book Antiqua" w:hAnsi="Book Antiqua"/>
                <w:sz w:val="24"/>
                <w:szCs w:val="24"/>
              </w:rPr>
              <w:t>an</w:t>
            </w:r>
          </w:p>
        </w:tc>
      </w:tr>
      <w:tr w:rsidR="00C072F4" w:rsidRPr="00A903DD" w:rsidTr="00D028D3">
        <w:trPr>
          <w:trHeight w:val="638"/>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Verapamil</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P-gp inhibition and weak CYP3A4 inh</w:t>
            </w:r>
            <w:r w:rsidR="00E56F2F" w:rsidRPr="00A903DD">
              <w:rPr>
                <w:rFonts w:ascii="Book Antiqua" w:hAnsi="Book Antiqua"/>
                <w:sz w:val="24"/>
                <w:szCs w:val="24"/>
              </w:rPr>
              <w:t>i</w:t>
            </w:r>
            <w:r w:rsidRPr="00A903DD">
              <w:rPr>
                <w:rFonts w:ascii="Book Antiqua" w:hAnsi="Book Antiqua"/>
                <w:sz w:val="24"/>
                <w:szCs w:val="24"/>
              </w:rPr>
              <w:t xml:space="preserve">bition </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12</w:t>
            </w:r>
            <w:r w:rsidR="00855D63" w:rsidRPr="00A903DD">
              <w:rPr>
                <w:rFonts w:ascii="Book Antiqua" w:hAnsi="Book Antiqua"/>
                <w:sz w:val="24"/>
                <w:szCs w:val="24"/>
              </w:rPr>
              <w:t>%</w:t>
            </w:r>
            <w:r w:rsidRPr="00A903DD">
              <w:rPr>
                <w:rFonts w:ascii="Book Antiqua" w:hAnsi="Book Antiqua"/>
                <w:sz w:val="24"/>
                <w:szCs w:val="24"/>
              </w:rPr>
              <w:t>-180% (take simultaneously and reduce dose)</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Minor effect (use caution with CrCl 15-50 mL/min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53% (SR verapamil) (reduce dose by 50%)</w:t>
            </w:r>
          </w:p>
        </w:tc>
      </w:tr>
      <w:tr w:rsidR="00C072F4" w:rsidRPr="00A903DD" w:rsidTr="00D028D3">
        <w:trPr>
          <w:trHeight w:val="656"/>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Diltiazem</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P-gp 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effect</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Minor effect (use caution with CrCl 15-50 mL/min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40%</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r>
      <w:tr w:rsidR="00C072F4" w:rsidRPr="00A903DD" w:rsidTr="00D028D3">
        <w:trPr>
          <w:trHeight w:val="408"/>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Quinidine</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P-gp 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50%</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50%</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80% (reduce dose by 50%)</w:t>
            </w:r>
          </w:p>
        </w:tc>
      </w:tr>
      <w:tr w:rsidR="00C072F4" w:rsidRPr="00A903DD" w:rsidTr="00D028D3">
        <w:trPr>
          <w:trHeight w:val="656"/>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Amiodarone</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P-gp 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12</w:t>
            </w:r>
            <w:r w:rsidR="00855D63" w:rsidRPr="00A903DD">
              <w:rPr>
                <w:rFonts w:ascii="Book Antiqua" w:hAnsi="Book Antiqua"/>
                <w:sz w:val="24"/>
                <w:szCs w:val="24"/>
              </w:rPr>
              <w:t>%</w:t>
            </w:r>
            <w:r w:rsidRPr="00A903DD">
              <w:rPr>
                <w:rFonts w:ascii="Book Antiqua" w:hAnsi="Book Antiqua"/>
                <w:sz w:val="24"/>
                <w:szCs w:val="24"/>
              </w:rPr>
              <w:t>-60%</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Minor effect (use caution with CrCl 15-50 mL/min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effect</w:t>
            </w:r>
          </w:p>
        </w:tc>
      </w:tr>
      <w:tr w:rsidR="00C072F4" w:rsidRPr="00A903DD" w:rsidTr="00D028D3">
        <w:trPr>
          <w:trHeight w:val="408"/>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Dronedarone</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P-gp and CYP3A4 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70</w:t>
            </w:r>
            <w:r w:rsidR="00855D63" w:rsidRPr="00A903DD">
              <w:rPr>
                <w:rFonts w:ascii="Book Antiqua" w:hAnsi="Book Antiqua"/>
                <w:sz w:val="24"/>
                <w:szCs w:val="24"/>
              </w:rPr>
              <w:t>%</w:t>
            </w:r>
            <w:r w:rsidRPr="00A903DD">
              <w:rPr>
                <w:rFonts w:ascii="Book Antiqua" w:hAnsi="Book Antiqua"/>
                <w:sz w:val="24"/>
                <w:szCs w:val="24"/>
              </w:rPr>
              <w:t>-100% (75</w:t>
            </w:r>
            <w:r w:rsidR="00855D63">
              <w:rPr>
                <w:rFonts w:ascii="Book Antiqua" w:hAnsi="Book Antiqua" w:hint="eastAsia"/>
                <w:sz w:val="24"/>
                <w:szCs w:val="24"/>
                <w:lang w:eastAsia="zh-CN"/>
              </w:rPr>
              <w:t xml:space="preserve"> </w:t>
            </w:r>
            <w:r w:rsidRPr="00A903DD">
              <w:rPr>
                <w:rFonts w:ascii="Book Antiqua" w:hAnsi="Book Antiqua"/>
                <w:sz w:val="24"/>
                <w:szCs w:val="24"/>
              </w:rPr>
              <w:t>mg BID)</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85% (reduce dose by 50%)</w:t>
            </w:r>
          </w:p>
        </w:tc>
      </w:tr>
      <w:tr w:rsidR="00C072F4" w:rsidRPr="00A903DD" w:rsidTr="00D028D3">
        <w:trPr>
          <w:trHeight w:val="1188"/>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Azole Antifungals</w:t>
            </w:r>
          </w:p>
          <w:p w:rsidR="00C072F4" w:rsidRPr="00855D63" w:rsidRDefault="00855D63" w:rsidP="00855D63">
            <w:pPr>
              <w:spacing w:line="360" w:lineRule="auto"/>
              <w:jc w:val="both"/>
              <w:rPr>
                <w:rFonts w:ascii="Book Antiqua" w:hAnsi="Book Antiqua"/>
                <w:sz w:val="24"/>
                <w:szCs w:val="24"/>
              </w:rPr>
            </w:pPr>
            <w:r>
              <w:rPr>
                <w:rFonts w:ascii="Book Antiqua" w:hAnsi="Book Antiqua" w:hint="eastAsia"/>
                <w:sz w:val="24"/>
                <w:szCs w:val="24"/>
                <w:lang w:eastAsia="zh-CN"/>
              </w:rPr>
              <w:t xml:space="preserve">(1) </w:t>
            </w:r>
            <w:r w:rsidR="00C072F4" w:rsidRPr="00855D63">
              <w:rPr>
                <w:rFonts w:ascii="Book Antiqua" w:hAnsi="Book Antiqua"/>
                <w:sz w:val="24"/>
                <w:szCs w:val="24"/>
              </w:rPr>
              <w:t>Voriconazole</w:t>
            </w:r>
          </w:p>
          <w:p w:rsidR="00C072F4" w:rsidRPr="00855D63" w:rsidRDefault="00855D63" w:rsidP="00855D63">
            <w:pPr>
              <w:spacing w:line="360" w:lineRule="auto"/>
              <w:jc w:val="both"/>
              <w:rPr>
                <w:rFonts w:ascii="Book Antiqua" w:hAnsi="Book Antiqua"/>
                <w:sz w:val="24"/>
                <w:szCs w:val="24"/>
              </w:rPr>
            </w:pPr>
            <w:r>
              <w:rPr>
                <w:rFonts w:ascii="Book Antiqua" w:hAnsi="Book Antiqua" w:hint="eastAsia"/>
                <w:sz w:val="24"/>
                <w:szCs w:val="24"/>
                <w:lang w:eastAsia="zh-CN"/>
              </w:rPr>
              <w:lastRenderedPageBreak/>
              <w:t xml:space="preserve">(2) </w:t>
            </w:r>
            <w:r w:rsidR="00C072F4" w:rsidRPr="00855D63">
              <w:rPr>
                <w:rFonts w:ascii="Book Antiqua" w:hAnsi="Book Antiqua"/>
                <w:sz w:val="24"/>
                <w:szCs w:val="24"/>
              </w:rPr>
              <w:t>Ketoconazole</w:t>
            </w:r>
          </w:p>
          <w:p w:rsidR="00C072F4" w:rsidRPr="00A903DD" w:rsidRDefault="00855D63" w:rsidP="00855D63">
            <w:pPr>
              <w:pStyle w:val="a3"/>
              <w:spacing w:line="360" w:lineRule="auto"/>
              <w:ind w:left="0"/>
              <w:jc w:val="both"/>
              <w:rPr>
                <w:rFonts w:ascii="Book Antiqua" w:hAnsi="Book Antiqua"/>
                <w:sz w:val="24"/>
                <w:szCs w:val="24"/>
              </w:rPr>
            </w:pPr>
            <w:r>
              <w:rPr>
                <w:rFonts w:ascii="Book Antiqua" w:hAnsi="Book Antiqua" w:hint="eastAsia"/>
                <w:sz w:val="24"/>
                <w:szCs w:val="24"/>
                <w:lang w:eastAsia="zh-CN"/>
              </w:rPr>
              <w:t xml:space="preserve">(3) </w:t>
            </w:r>
            <w:r w:rsidR="00C072F4" w:rsidRPr="00A903DD">
              <w:rPr>
                <w:rFonts w:ascii="Book Antiqua" w:hAnsi="Book Antiqua"/>
                <w:sz w:val="24"/>
                <w:szCs w:val="24"/>
              </w:rPr>
              <w:t>Itraconazole</w:t>
            </w:r>
          </w:p>
          <w:p w:rsidR="00C072F4" w:rsidRPr="00A903DD" w:rsidRDefault="00855D63" w:rsidP="00855D63">
            <w:pPr>
              <w:pStyle w:val="a3"/>
              <w:spacing w:line="360" w:lineRule="auto"/>
              <w:ind w:left="0"/>
              <w:jc w:val="both"/>
              <w:rPr>
                <w:rFonts w:ascii="Book Antiqua" w:hAnsi="Book Antiqua"/>
                <w:sz w:val="24"/>
                <w:szCs w:val="24"/>
              </w:rPr>
            </w:pPr>
            <w:r>
              <w:rPr>
                <w:rFonts w:ascii="Book Antiqua" w:hAnsi="Book Antiqua" w:hint="eastAsia"/>
                <w:sz w:val="24"/>
                <w:szCs w:val="24"/>
                <w:lang w:eastAsia="zh-CN"/>
              </w:rPr>
              <w:t xml:space="preserve">(4) </w:t>
            </w:r>
            <w:r w:rsidR="00C072F4" w:rsidRPr="00A903DD">
              <w:rPr>
                <w:rFonts w:ascii="Book Antiqua" w:hAnsi="Book Antiqua"/>
                <w:sz w:val="24"/>
                <w:szCs w:val="24"/>
              </w:rPr>
              <w:t>Posaconazole</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lastRenderedPageBreak/>
              <w:t xml:space="preserve">Strong P-gp and CYP3A4 </w:t>
            </w:r>
            <w:r w:rsidRPr="00A903DD">
              <w:rPr>
                <w:rFonts w:ascii="Book Antiqua" w:hAnsi="Book Antiqua"/>
                <w:sz w:val="24"/>
                <w:szCs w:val="24"/>
              </w:rPr>
              <w:lastRenderedPageBreak/>
              <w:t>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lastRenderedPageBreak/>
              <w:t>+</w:t>
            </w:r>
            <w:r w:rsidR="00855D63">
              <w:rPr>
                <w:rFonts w:ascii="Book Antiqua" w:hAnsi="Book Antiqua" w:hint="eastAsia"/>
                <w:sz w:val="24"/>
                <w:szCs w:val="24"/>
                <w:lang w:eastAsia="zh-CN"/>
              </w:rPr>
              <w:t xml:space="preserve"> </w:t>
            </w:r>
            <w:r w:rsidRPr="00A903DD">
              <w:rPr>
                <w:rFonts w:ascii="Book Antiqua" w:hAnsi="Book Antiqua"/>
                <w:sz w:val="24"/>
                <w:szCs w:val="24"/>
              </w:rPr>
              <w:t>140</w:t>
            </w:r>
            <w:r w:rsidR="00855D63" w:rsidRPr="00A903DD">
              <w:rPr>
                <w:rFonts w:ascii="Book Antiqua" w:hAnsi="Book Antiqua"/>
                <w:sz w:val="24"/>
                <w:szCs w:val="24"/>
              </w:rPr>
              <w:t>%</w:t>
            </w:r>
            <w:r w:rsidRPr="00A903DD">
              <w:rPr>
                <w:rFonts w:ascii="Book Antiqua" w:hAnsi="Book Antiqua"/>
                <w:sz w:val="24"/>
                <w:szCs w:val="24"/>
              </w:rPr>
              <w:t>-150% (75</w:t>
            </w:r>
            <w:r w:rsidR="00855D63">
              <w:rPr>
                <w:rFonts w:ascii="Book Antiqua" w:hAnsi="Book Antiqua" w:hint="eastAsia"/>
                <w:sz w:val="24"/>
                <w:szCs w:val="24"/>
                <w:lang w:eastAsia="zh-CN"/>
              </w:rPr>
              <w:t xml:space="preserve"> </w:t>
            </w:r>
            <w:r w:rsidRPr="00A903DD">
              <w:rPr>
                <w:rFonts w:ascii="Book Antiqua" w:hAnsi="Book Antiqua"/>
                <w:sz w:val="24"/>
                <w:szCs w:val="24"/>
              </w:rPr>
              <w:t>mg BID)</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Up to +</w:t>
            </w:r>
            <w:r w:rsidR="00855D63">
              <w:rPr>
                <w:rFonts w:ascii="Book Antiqua" w:hAnsi="Book Antiqua" w:hint="eastAsia"/>
                <w:sz w:val="24"/>
                <w:szCs w:val="24"/>
                <w:lang w:eastAsia="zh-CN"/>
              </w:rPr>
              <w:t xml:space="preserve"> </w:t>
            </w:r>
            <w:r w:rsidRPr="00A903DD">
              <w:rPr>
                <w:rFonts w:ascii="Book Antiqua" w:hAnsi="Book Antiqua"/>
                <w:sz w:val="24"/>
                <w:szCs w:val="24"/>
              </w:rPr>
              <w:t>160%</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100%</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r>
      <w:tr w:rsidR="00C072F4" w:rsidRPr="00A903DD" w:rsidTr="00D028D3">
        <w:trPr>
          <w:trHeight w:val="427"/>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lastRenderedPageBreak/>
              <w:t>Fluconazole</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Moderate CYP3A4 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 xml:space="preserve">42% </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r>
      <w:tr w:rsidR="00C072F4" w:rsidRPr="00A903DD" w:rsidTr="00D028D3">
        <w:trPr>
          <w:trHeight w:val="443"/>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Clarithromycin</w:t>
            </w:r>
          </w:p>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Erythromycin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Strong P-gp and CYP3A4 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15</w:t>
            </w:r>
            <w:r w:rsidR="00855D63" w:rsidRPr="00A903DD">
              <w:rPr>
                <w:rFonts w:ascii="Book Antiqua" w:hAnsi="Book Antiqua"/>
                <w:sz w:val="24"/>
                <w:szCs w:val="24"/>
              </w:rPr>
              <w:t>%</w:t>
            </w:r>
            <w:r w:rsidRPr="00A903DD">
              <w:rPr>
                <w:rFonts w:ascii="Book Antiqua" w:hAnsi="Book Antiqua"/>
                <w:sz w:val="24"/>
                <w:szCs w:val="24"/>
              </w:rPr>
              <w:t>-20%</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30</w:t>
            </w:r>
            <w:r w:rsidR="00855D63" w:rsidRPr="00A903DD">
              <w:rPr>
                <w:rFonts w:ascii="Book Antiqua" w:hAnsi="Book Antiqua"/>
                <w:sz w:val="24"/>
                <w:szCs w:val="24"/>
              </w:rPr>
              <w:t>%</w:t>
            </w:r>
            <w:r w:rsidRPr="00A903DD">
              <w:rPr>
                <w:rFonts w:ascii="Book Antiqua" w:hAnsi="Book Antiqua"/>
                <w:sz w:val="24"/>
                <w:szCs w:val="24"/>
              </w:rPr>
              <w:t>-54%</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r>
      <w:tr w:rsidR="00C072F4" w:rsidRPr="00A903DD" w:rsidTr="00D028D3">
        <w:trPr>
          <w:trHeight w:val="443"/>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HIV Protease Inhibitors</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Strong P-gp and CYP3A4 inhibition</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Up to +</w:t>
            </w:r>
            <w:r w:rsidR="00855D63">
              <w:rPr>
                <w:rFonts w:ascii="Book Antiqua" w:hAnsi="Book Antiqua" w:hint="eastAsia"/>
                <w:sz w:val="24"/>
                <w:szCs w:val="24"/>
                <w:lang w:eastAsia="zh-CN"/>
              </w:rPr>
              <w:t xml:space="preserve"> </w:t>
            </w:r>
            <w:r w:rsidRPr="00A903DD">
              <w:rPr>
                <w:rFonts w:ascii="Book Antiqua" w:hAnsi="Book Antiqua"/>
                <w:sz w:val="24"/>
                <w:szCs w:val="24"/>
              </w:rPr>
              <w:t>153%</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Strong increase</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No data yet</w:t>
            </w:r>
          </w:p>
        </w:tc>
      </w:tr>
      <w:tr w:rsidR="00C072F4" w:rsidRPr="00A903DD" w:rsidTr="00D028D3">
        <w:trPr>
          <w:trHeight w:val="971"/>
        </w:trPr>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Rifampin</w:t>
            </w:r>
          </w:p>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St. John’s Wort</w:t>
            </w:r>
          </w:p>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Carbamazepine</w:t>
            </w:r>
          </w:p>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Phenytoin</w:t>
            </w:r>
          </w:p>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Phenobarbital</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Strong P-gp and CYP3A4 induction</w:t>
            </w:r>
          </w:p>
        </w:tc>
        <w:tc>
          <w:tcPr>
            <w:tcW w:w="2179" w:type="dxa"/>
            <w:shd w:val="clear" w:color="auto" w:fill="auto"/>
          </w:tcPr>
          <w:p w:rsidR="00C072F4" w:rsidRPr="00855D63" w:rsidRDefault="00C072F4" w:rsidP="00855D63">
            <w:pPr>
              <w:pStyle w:val="a3"/>
              <w:numPr>
                <w:ilvl w:val="0"/>
                <w:numId w:val="23"/>
              </w:numPr>
              <w:spacing w:line="360" w:lineRule="auto"/>
              <w:jc w:val="both"/>
              <w:rPr>
                <w:rFonts w:ascii="Book Antiqua" w:hAnsi="Book Antiqua"/>
                <w:sz w:val="24"/>
                <w:szCs w:val="24"/>
              </w:rPr>
            </w:pPr>
            <w:r w:rsidRPr="00855D63">
              <w:rPr>
                <w:rFonts w:ascii="Book Antiqua" w:hAnsi="Book Antiqua"/>
                <w:sz w:val="24"/>
                <w:szCs w:val="24"/>
              </w:rPr>
              <w:t>66%</w:t>
            </w:r>
          </w:p>
          <w:p w:rsidR="00C072F4" w:rsidRPr="00A903DD" w:rsidRDefault="00C072F4" w:rsidP="00A903DD">
            <w:pPr>
              <w:spacing w:line="360" w:lineRule="auto"/>
              <w:jc w:val="both"/>
              <w:rPr>
                <w:rFonts w:ascii="Book Antiqua" w:hAnsi="Book Antiqua"/>
                <w:sz w:val="24"/>
                <w:szCs w:val="24"/>
              </w:rPr>
            </w:pPr>
          </w:p>
          <w:p w:rsidR="00C072F4" w:rsidRPr="00A903DD" w:rsidRDefault="00C072F4" w:rsidP="00A903DD">
            <w:pPr>
              <w:spacing w:line="360" w:lineRule="auto"/>
              <w:jc w:val="both"/>
              <w:rPr>
                <w:rFonts w:ascii="Book Antiqua" w:hAnsi="Book Antiqua"/>
                <w:sz w:val="24"/>
                <w:szCs w:val="24"/>
              </w:rPr>
            </w:pPr>
          </w:p>
          <w:p w:rsidR="00C072F4" w:rsidRPr="00A903DD" w:rsidRDefault="00C072F4" w:rsidP="00A903DD">
            <w:pPr>
              <w:spacing w:line="360" w:lineRule="auto"/>
              <w:jc w:val="both"/>
              <w:rPr>
                <w:rFonts w:ascii="Book Antiqua" w:hAnsi="Book Antiqua"/>
                <w:sz w:val="24"/>
                <w:szCs w:val="24"/>
              </w:rPr>
            </w:pP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Up to -</w:t>
            </w:r>
            <w:r w:rsidR="00855D63">
              <w:rPr>
                <w:rFonts w:ascii="Book Antiqua" w:hAnsi="Book Antiqua" w:hint="eastAsia"/>
                <w:sz w:val="24"/>
                <w:szCs w:val="24"/>
                <w:lang w:eastAsia="zh-CN"/>
              </w:rPr>
              <w:t xml:space="preserve"> </w:t>
            </w:r>
            <w:r w:rsidRPr="00A903DD">
              <w:rPr>
                <w:rFonts w:ascii="Book Antiqua" w:hAnsi="Book Antiqua"/>
                <w:sz w:val="24"/>
                <w:szCs w:val="24"/>
              </w:rPr>
              <w:t>50%</w:t>
            </w:r>
          </w:p>
        </w:tc>
        <w:tc>
          <w:tcPr>
            <w:tcW w:w="2179"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54%</w:t>
            </w:r>
          </w:p>
        </w:tc>
        <w:tc>
          <w:tcPr>
            <w:tcW w:w="2181" w:type="dxa"/>
            <w:shd w:val="clear" w:color="auto" w:fill="auto"/>
          </w:tcPr>
          <w:p w:rsidR="00C072F4" w:rsidRPr="00A903DD" w:rsidRDefault="00C072F4" w:rsidP="00A903DD">
            <w:pPr>
              <w:spacing w:line="360" w:lineRule="auto"/>
              <w:jc w:val="both"/>
              <w:rPr>
                <w:rFonts w:ascii="Book Antiqua" w:hAnsi="Book Antiqua"/>
                <w:sz w:val="24"/>
                <w:szCs w:val="24"/>
              </w:rPr>
            </w:pPr>
            <w:r w:rsidRPr="00A903DD">
              <w:rPr>
                <w:rFonts w:ascii="Book Antiqua" w:hAnsi="Book Antiqua"/>
                <w:sz w:val="24"/>
                <w:szCs w:val="24"/>
              </w:rPr>
              <w:t>-</w:t>
            </w:r>
            <w:r w:rsidR="00855D63">
              <w:rPr>
                <w:rFonts w:ascii="Book Antiqua" w:hAnsi="Book Antiqua" w:hint="eastAsia"/>
                <w:sz w:val="24"/>
                <w:szCs w:val="24"/>
                <w:lang w:eastAsia="zh-CN"/>
              </w:rPr>
              <w:t xml:space="preserve"> </w:t>
            </w:r>
            <w:r w:rsidRPr="00A903DD">
              <w:rPr>
                <w:rFonts w:ascii="Book Antiqua" w:hAnsi="Book Antiqua"/>
                <w:sz w:val="24"/>
                <w:szCs w:val="24"/>
              </w:rPr>
              <w:t>35%</w:t>
            </w:r>
          </w:p>
        </w:tc>
      </w:tr>
    </w:tbl>
    <w:p w:rsidR="005A475A" w:rsidRPr="00A903DD" w:rsidRDefault="005A475A" w:rsidP="00A903DD">
      <w:pPr>
        <w:spacing w:after="0" w:line="360" w:lineRule="auto"/>
        <w:jc w:val="both"/>
        <w:rPr>
          <w:rFonts w:ascii="Book Antiqua" w:hAnsi="Book Antiqua"/>
          <w:sz w:val="24"/>
          <w:szCs w:val="24"/>
        </w:rPr>
      </w:pPr>
    </w:p>
    <w:p w:rsidR="00341B6C" w:rsidRPr="00A903DD" w:rsidRDefault="00C072F4" w:rsidP="00A903DD">
      <w:pPr>
        <w:spacing w:after="0" w:line="360" w:lineRule="auto"/>
        <w:jc w:val="both"/>
        <w:rPr>
          <w:rFonts w:ascii="Book Antiqua" w:hAnsi="Book Antiqua"/>
          <w:sz w:val="24"/>
          <w:szCs w:val="24"/>
          <w:lang w:eastAsia="zh-CN"/>
        </w:rPr>
      </w:pPr>
      <w:r w:rsidRPr="00A903DD">
        <w:rPr>
          <w:rFonts w:ascii="Book Antiqua" w:hAnsi="Book Antiqua"/>
          <w:sz w:val="24"/>
          <w:szCs w:val="24"/>
        </w:rPr>
        <w:lastRenderedPageBreak/>
        <w:t>Table adapted from EHRA Practical Guide on the use of new oral anticoagulants in patients with n</w:t>
      </w:r>
      <w:r w:rsidR="00855D63">
        <w:rPr>
          <w:rFonts w:ascii="Book Antiqua" w:hAnsi="Book Antiqua"/>
          <w:sz w:val="24"/>
          <w:szCs w:val="24"/>
        </w:rPr>
        <w:t xml:space="preserve">on-valvular atrial </w:t>
      </w:r>
      <w:proofErr w:type="gramStart"/>
      <w:r w:rsidR="00855D63">
        <w:rPr>
          <w:rFonts w:ascii="Book Antiqua" w:hAnsi="Book Antiqua"/>
          <w:sz w:val="24"/>
          <w:szCs w:val="24"/>
        </w:rPr>
        <w:t>fibrillation</w:t>
      </w:r>
      <w:r w:rsidRPr="00A903DD">
        <w:rPr>
          <w:rFonts w:ascii="Book Antiqua" w:hAnsi="Book Antiqua"/>
          <w:sz w:val="24"/>
          <w:szCs w:val="24"/>
          <w:vertAlign w:val="superscript"/>
        </w:rPr>
        <w:t>[</w:t>
      </w:r>
      <w:proofErr w:type="gramEnd"/>
      <w:r w:rsidRPr="00A903DD">
        <w:rPr>
          <w:rFonts w:ascii="Book Antiqua" w:hAnsi="Book Antiqua"/>
          <w:sz w:val="24"/>
          <w:szCs w:val="24"/>
          <w:vertAlign w:val="superscript"/>
        </w:rPr>
        <w:t>46]</w:t>
      </w:r>
      <w:r w:rsidR="00855D63">
        <w:rPr>
          <w:rFonts w:ascii="Book Antiqua" w:hAnsi="Book Antiqua" w:hint="eastAsia"/>
          <w:sz w:val="24"/>
          <w:szCs w:val="24"/>
          <w:lang w:eastAsia="zh-CN"/>
        </w:rPr>
        <w:t>.</w:t>
      </w:r>
      <w:r w:rsidR="000A44D3" w:rsidRPr="00A903DD">
        <w:rPr>
          <w:rFonts w:ascii="Book Antiqua" w:hAnsi="Book Antiqua"/>
          <w:sz w:val="24"/>
          <w:szCs w:val="24"/>
        </w:rPr>
        <w:t xml:space="preserve">  Grey boxes indicate drug cont</w:t>
      </w:r>
      <w:r w:rsidR="00E56F2F" w:rsidRPr="00A903DD">
        <w:rPr>
          <w:rFonts w:ascii="Book Antiqua" w:hAnsi="Book Antiqua"/>
          <w:sz w:val="24"/>
          <w:szCs w:val="24"/>
        </w:rPr>
        <w:t>raindicated or not recommended</w:t>
      </w:r>
      <w:r w:rsidR="00855D63">
        <w:rPr>
          <w:rFonts w:ascii="Book Antiqua" w:hAnsi="Book Antiqua" w:hint="eastAsia"/>
          <w:sz w:val="24"/>
          <w:szCs w:val="24"/>
          <w:lang w:eastAsia="zh-CN"/>
        </w:rPr>
        <w:t>.</w:t>
      </w:r>
      <w:r w:rsidR="00E56F2F" w:rsidRPr="00A903DD">
        <w:rPr>
          <w:rFonts w:ascii="Book Antiqua" w:hAnsi="Book Antiqua"/>
          <w:sz w:val="24"/>
          <w:szCs w:val="24"/>
        </w:rPr>
        <w:t xml:space="preserve"> </w:t>
      </w:r>
      <w:r w:rsidR="00A11971" w:rsidRPr="00A903DD">
        <w:rPr>
          <w:rFonts w:ascii="Book Antiqua" w:hAnsi="Book Antiqua"/>
          <w:sz w:val="24"/>
          <w:szCs w:val="24"/>
        </w:rPr>
        <w:t>AUC</w:t>
      </w:r>
      <w:r w:rsidR="00855D63">
        <w:rPr>
          <w:rFonts w:ascii="Book Antiqua" w:hAnsi="Book Antiqua" w:hint="eastAsia"/>
          <w:sz w:val="24"/>
          <w:szCs w:val="24"/>
          <w:lang w:eastAsia="zh-CN"/>
        </w:rPr>
        <w:t xml:space="preserve">: </w:t>
      </w:r>
      <w:r w:rsidR="00855D63" w:rsidRPr="00A903DD">
        <w:rPr>
          <w:rFonts w:ascii="Book Antiqua" w:hAnsi="Book Antiqua"/>
          <w:sz w:val="24"/>
          <w:szCs w:val="24"/>
        </w:rPr>
        <w:t>A</w:t>
      </w:r>
      <w:r w:rsidR="00A11971" w:rsidRPr="00A903DD">
        <w:rPr>
          <w:rFonts w:ascii="Book Antiqua" w:hAnsi="Book Antiqua"/>
          <w:sz w:val="24"/>
          <w:szCs w:val="24"/>
        </w:rPr>
        <w:t xml:space="preserve">rea under the curve; </w:t>
      </w:r>
      <w:r w:rsidR="000A44D3" w:rsidRPr="00A903DD">
        <w:rPr>
          <w:rFonts w:ascii="Book Antiqua" w:hAnsi="Book Antiqua"/>
          <w:sz w:val="24"/>
          <w:szCs w:val="24"/>
        </w:rPr>
        <w:t>TSOA</w:t>
      </w:r>
      <w:r w:rsidR="00855D63">
        <w:rPr>
          <w:rFonts w:ascii="Book Antiqua" w:hAnsi="Book Antiqua" w:hint="eastAsia"/>
          <w:sz w:val="24"/>
          <w:szCs w:val="24"/>
          <w:lang w:eastAsia="zh-CN"/>
        </w:rPr>
        <w:t>:</w:t>
      </w:r>
      <w:r w:rsidR="000A44D3" w:rsidRPr="00A903DD">
        <w:rPr>
          <w:rFonts w:ascii="Book Antiqua" w:hAnsi="Book Antiqua"/>
          <w:sz w:val="24"/>
          <w:szCs w:val="24"/>
        </w:rPr>
        <w:t xml:space="preserve"> </w:t>
      </w:r>
      <w:r w:rsidR="00855D63" w:rsidRPr="00A903DD">
        <w:rPr>
          <w:rFonts w:ascii="Book Antiqua" w:hAnsi="Book Antiqua"/>
          <w:sz w:val="24"/>
          <w:szCs w:val="24"/>
        </w:rPr>
        <w:t>T</w:t>
      </w:r>
      <w:r w:rsidR="000A44D3" w:rsidRPr="00A903DD">
        <w:rPr>
          <w:rFonts w:ascii="Book Antiqua" w:hAnsi="Book Antiqua"/>
          <w:sz w:val="24"/>
          <w:szCs w:val="24"/>
        </w:rPr>
        <w:t>arget specific oral anticoagulant; P-gp</w:t>
      </w:r>
      <w:r w:rsidR="00855D63">
        <w:rPr>
          <w:rFonts w:ascii="Book Antiqua" w:hAnsi="Book Antiqua" w:hint="eastAsia"/>
          <w:sz w:val="24"/>
          <w:szCs w:val="24"/>
          <w:lang w:eastAsia="zh-CN"/>
        </w:rPr>
        <w:t xml:space="preserve">: </w:t>
      </w:r>
      <w:r w:rsidR="000A44D3" w:rsidRPr="00A903DD">
        <w:rPr>
          <w:rFonts w:ascii="Book Antiqua" w:hAnsi="Book Antiqua"/>
          <w:sz w:val="24"/>
          <w:szCs w:val="24"/>
        </w:rPr>
        <w:t xml:space="preserve">Permeability </w:t>
      </w:r>
      <w:r w:rsidR="00341B6C" w:rsidRPr="00A903DD">
        <w:rPr>
          <w:rFonts w:ascii="Book Antiqua" w:hAnsi="Book Antiqua"/>
          <w:sz w:val="24"/>
          <w:szCs w:val="24"/>
        </w:rPr>
        <w:t>glycoprotein; BID</w:t>
      </w:r>
      <w:r w:rsidR="00855D63">
        <w:rPr>
          <w:rFonts w:ascii="Book Antiqua" w:hAnsi="Book Antiqua" w:hint="eastAsia"/>
          <w:sz w:val="24"/>
          <w:szCs w:val="24"/>
          <w:lang w:eastAsia="zh-CN"/>
        </w:rPr>
        <w:t xml:space="preserve">: </w:t>
      </w:r>
      <w:r w:rsidR="00855D63" w:rsidRPr="00A903DD">
        <w:rPr>
          <w:rFonts w:ascii="Book Antiqua" w:hAnsi="Book Antiqua"/>
          <w:sz w:val="24"/>
          <w:szCs w:val="24"/>
        </w:rPr>
        <w:t>T</w:t>
      </w:r>
      <w:r w:rsidR="00341B6C" w:rsidRPr="00A903DD">
        <w:rPr>
          <w:rFonts w:ascii="Book Antiqua" w:hAnsi="Book Antiqua"/>
          <w:sz w:val="24"/>
          <w:szCs w:val="24"/>
        </w:rPr>
        <w:t>wice daily</w:t>
      </w:r>
      <w:r w:rsidR="00855D63">
        <w:rPr>
          <w:rFonts w:ascii="Book Antiqua" w:hAnsi="Book Antiqua" w:hint="eastAsia"/>
          <w:sz w:val="24"/>
          <w:szCs w:val="24"/>
          <w:lang w:eastAsia="zh-CN"/>
        </w:rPr>
        <w:t>.</w:t>
      </w:r>
    </w:p>
    <w:p w:rsidR="00341B6C" w:rsidRPr="00A903DD" w:rsidRDefault="00341B6C" w:rsidP="00A903DD">
      <w:pPr>
        <w:spacing w:after="0" w:line="360" w:lineRule="auto"/>
        <w:jc w:val="both"/>
        <w:rPr>
          <w:rFonts w:ascii="Book Antiqua" w:hAnsi="Book Antiqua"/>
          <w:sz w:val="24"/>
          <w:szCs w:val="24"/>
        </w:rPr>
      </w:pPr>
    </w:p>
    <w:p w:rsidR="00341B6C" w:rsidRPr="00A903DD" w:rsidRDefault="00341B6C" w:rsidP="00A903DD">
      <w:pPr>
        <w:spacing w:after="0" w:line="360" w:lineRule="auto"/>
        <w:jc w:val="both"/>
        <w:rPr>
          <w:rFonts w:ascii="Book Antiqua" w:hAnsi="Book Antiqua"/>
          <w:sz w:val="24"/>
          <w:szCs w:val="24"/>
        </w:rPr>
      </w:pPr>
    </w:p>
    <w:p w:rsidR="00A53A07" w:rsidRPr="00B16051" w:rsidRDefault="00B16051" w:rsidP="00A903DD">
      <w:pPr>
        <w:spacing w:after="0" w:line="360" w:lineRule="auto"/>
        <w:jc w:val="both"/>
        <w:rPr>
          <w:rFonts w:ascii="Book Antiqua" w:hAnsi="Book Antiqua"/>
          <w:b/>
          <w:sz w:val="24"/>
          <w:szCs w:val="24"/>
        </w:rPr>
      </w:pPr>
      <w:r w:rsidRPr="00B16051">
        <w:rPr>
          <w:rFonts w:ascii="Book Antiqua" w:hAnsi="Book Antiqua"/>
          <w:b/>
          <w:sz w:val="24"/>
          <w:szCs w:val="24"/>
        </w:rPr>
        <w:t xml:space="preserve">Table 3 </w:t>
      </w:r>
      <w:r w:rsidR="00341B6C" w:rsidRPr="00B16051">
        <w:rPr>
          <w:rFonts w:ascii="Book Antiqua" w:hAnsi="Book Antiqua"/>
          <w:b/>
          <w:sz w:val="24"/>
          <w:szCs w:val="24"/>
        </w:rPr>
        <w:t>Phase III clinical trials of target specific oral anticoagulants (</w:t>
      </w:r>
      <w:r w:rsidRPr="00B16051">
        <w:rPr>
          <w:rFonts w:ascii="Book Antiqua" w:hAnsi="Book Antiqua"/>
          <w:b/>
          <w:sz w:val="24"/>
          <w:szCs w:val="24"/>
        </w:rPr>
        <w:t>target specific oral anticoagulant</w:t>
      </w:r>
      <w:r w:rsidRPr="00B16051">
        <w:rPr>
          <w:rFonts w:ascii="Book Antiqua" w:hAnsi="Book Antiqua" w:hint="eastAsia"/>
          <w:b/>
          <w:sz w:val="24"/>
          <w:szCs w:val="24"/>
          <w:lang w:eastAsia="zh-CN"/>
        </w:rPr>
        <w:t>s</w:t>
      </w:r>
      <w:r w:rsidR="00341B6C" w:rsidRPr="00B16051">
        <w:rPr>
          <w:rFonts w:ascii="Book Antiqua" w:hAnsi="Book Antiqua"/>
          <w:b/>
          <w:sz w:val="24"/>
          <w:szCs w:val="24"/>
        </w:rPr>
        <w:t xml:space="preserve">) </w:t>
      </w:r>
    </w:p>
    <w:tbl>
      <w:tblPr>
        <w:tblStyle w:val="ab"/>
        <w:tblpPr w:leftFromText="180" w:rightFromText="180" w:vertAnchor="text" w:horzAnchor="margin" w:tblpXSpec="right" w:tblpY="899"/>
        <w:tblW w:w="14148" w:type="dxa"/>
        <w:tblLayout w:type="fixed"/>
        <w:tblLook w:val="04A0" w:firstRow="1" w:lastRow="0" w:firstColumn="1" w:lastColumn="0" w:noHBand="0" w:noVBand="1"/>
      </w:tblPr>
      <w:tblGrid>
        <w:gridCol w:w="1561"/>
        <w:gridCol w:w="2490"/>
        <w:gridCol w:w="1241"/>
        <w:gridCol w:w="1890"/>
        <w:gridCol w:w="1350"/>
        <w:gridCol w:w="1401"/>
        <w:gridCol w:w="1965"/>
        <w:gridCol w:w="1359"/>
        <w:gridCol w:w="891"/>
      </w:tblGrid>
      <w:tr w:rsidR="00A53A07" w:rsidRPr="00A903DD" w:rsidTr="00A53A07">
        <w:trPr>
          <w:trHeight w:val="754"/>
        </w:trPr>
        <w:tc>
          <w:tcPr>
            <w:tcW w:w="1561" w:type="dxa"/>
            <w:vMerge w:val="restart"/>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 xml:space="preserve">Clinical </w:t>
            </w:r>
            <w:r w:rsidR="00B16051" w:rsidRPr="00A903DD">
              <w:rPr>
                <w:rFonts w:ascii="Book Antiqua" w:hAnsi="Book Antiqua"/>
                <w:sz w:val="24"/>
                <w:szCs w:val="24"/>
              </w:rPr>
              <w:t>t</w:t>
            </w:r>
            <w:r w:rsidRPr="00A903DD">
              <w:rPr>
                <w:rFonts w:ascii="Book Antiqua" w:hAnsi="Book Antiqua"/>
                <w:sz w:val="24"/>
                <w:szCs w:val="24"/>
              </w:rPr>
              <w:t>rial</w:t>
            </w:r>
          </w:p>
        </w:tc>
        <w:tc>
          <w:tcPr>
            <w:tcW w:w="2490" w:type="dxa"/>
            <w:vMerge w:val="restart"/>
          </w:tcPr>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 xml:space="preserve"> TSOA</w:t>
            </w:r>
            <w:r w:rsidR="00A53A07" w:rsidRPr="00A903DD">
              <w:rPr>
                <w:rFonts w:ascii="Book Antiqua" w:hAnsi="Book Antiqua"/>
                <w:sz w:val="24"/>
                <w:szCs w:val="24"/>
              </w:rPr>
              <w:t xml:space="preserve"> regimen</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(duration)</w:t>
            </w:r>
          </w:p>
          <w:p w:rsidR="00A53A07" w:rsidRPr="00A903DD" w:rsidRDefault="00A53A07" w:rsidP="00A903DD">
            <w:pPr>
              <w:spacing w:line="360" w:lineRule="auto"/>
              <w:jc w:val="both"/>
              <w:rPr>
                <w:rFonts w:ascii="Book Antiqua" w:hAnsi="Book Antiqua"/>
                <w:sz w:val="24"/>
                <w:szCs w:val="24"/>
              </w:rPr>
            </w:pPr>
          </w:p>
        </w:tc>
        <w:tc>
          <w:tcPr>
            <w:tcW w:w="1241" w:type="dxa"/>
            <w:vMerge w:val="restart"/>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Enoxaparin regimen</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(duration)</w:t>
            </w:r>
          </w:p>
        </w:tc>
        <w:tc>
          <w:tcPr>
            <w:tcW w:w="3240" w:type="dxa"/>
            <w:gridSpan w:val="2"/>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 xml:space="preserve">Composite of total </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venous thromboembolism and death</w:t>
            </w:r>
          </w:p>
          <w:p w:rsidR="00A53A07" w:rsidRPr="00A903DD" w:rsidRDefault="00A53A07" w:rsidP="00A903DD">
            <w:pPr>
              <w:spacing w:line="360" w:lineRule="auto"/>
              <w:jc w:val="both"/>
              <w:rPr>
                <w:rFonts w:ascii="Book Antiqua" w:hAnsi="Book Antiqua"/>
                <w:sz w:val="24"/>
                <w:szCs w:val="24"/>
              </w:rPr>
            </w:pPr>
          </w:p>
        </w:tc>
        <w:tc>
          <w:tcPr>
            <w:tcW w:w="1401" w:type="dxa"/>
            <w:vMerge w:val="restart"/>
          </w:tcPr>
          <w:p w:rsidR="00A53A07" w:rsidRPr="00A903DD" w:rsidRDefault="00A53A07" w:rsidP="00A903DD">
            <w:pPr>
              <w:spacing w:line="360" w:lineRule="auto"/>
              <w:jc w:val="both"/>
              <w:rPr>
                <w:rFonts w:ascii="Book Antiqua" w:hAnsi="Book Antiqua"/>
                <w:sz w:val="24"/>
                <w:szCs w:val="24"/>
              </w:rPr>
            </w:pPr>
            <w:r w:rsidRPr="00B16051">
              <w:rPr>
                <w:rFonts w:ascii="Book Antiqua" w:hAnsi="Book Antiqua"/>
                <w:i/>
                <w:sz w:val="24"/>
                <w:szCs w:val="24"/>
              </w:rPr>
              <w:t>P</w:t>
            </w:r>
            <w:r w:rsidRPr="00A903DD">
              <w:rPr>
                <w:rFonts w:ascii="Book Antiqua" w:hAnsi="Book Antiqua"/>
                <w:sz w:val="24"/>
                <w:szCs w:val="24"/>
              </w:rPr>
              <w:t>-value,</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non-inferiority</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(superiority)</w:t>
            </w:r>
          </w:p>
        </w:tc>
        <w:tc>
          <w:tcPr>
            <w:tcW w:w="3324" w:type="dxa"/>
            <w:gridSpan w:val="2"/>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 xml:space="preserve">Major </w:t>
            </w:r>
            <w:r w:rsidR="00B16051" w:rsidRPr="00A903DD">
              <w:rPr>
                <w:rFonts w:ascii="Book Antiqua" w:hAnsi="Book Antiqua"/>
                <w:sz w:val="24"/>
                <w:szCs w:val="24"/>
              </w:rPr>
              <w:t>b</w:t>
            </w:r>
            <w:r w:rsidRPr="00A903DD">
              <w:rPr>
                <w:rFonts w:ascii="Book Antiqua" w:hAnsi="Book Antiqua"/>
                <w:sz w:val="24"/>
                <w:szCs w:val="24"/>
              </w:rPr>
              <w:t>leeding</w:t>
            </w:r>
          </w:p>
          <w:p w:rsidR="00A53A07" w:rsidRPr="00A903DD" w:rsidRDefault="00A53A07" w:rsidP="00A903DD">
            <w:pPr>
              <w:spacing w:line="360" w:lineRule="auto"/>
              <w:jc w:val="both"/>
              <w:rPr>
                <w:rFonts w:ascii="Book Antiqua" w:hAnsi="Book Antiqua"/>
                <w:sz w:val="24"/>
                <w:szCs w:val="24"/>
              </w:rPr>
            </w:pPr>
          </w:p>
        </w:tc>
        <w:tc>
          <w:tcPr>
            <w:tcW w:w="891" w:type="dxa"/>
            <w:vMerge w:val="restart"/>
          </w:tcPr>
          <w:p w:rsidR="00A53A07" w:rsidRPr="00A903DD" w:rsidRDefault="00A53A07" w:rsidP="00A903DD">
            <w:pPr>
              <w:spacing w:line="360" w:lineRule="auto"/>
              <w:jc w:val="both"/>
              <w:rPr>
                <w:rFonts w:ascii="Book Antiqua" w:hAnsi="Book Antiqua"/>
                <w:sz w:val="24"/>
                <w:szCs w:val="24"/>
              </w:rPr>
            </w:pPr>
            <w:r w:rsidRPr="00B16051">
              <w:rPr>
                <w:rFonts w:ascii="Book Antiqua" w:hAnsi="Book Antiqua"/>
                <w:i/>
                <w:sz w:val="24"/>
                <w:szCs w:val="24"/>
              </w:rPr>
              <w:t>P</w:t>
            </w:r>
            <w:r w:rsidRPr="00A903DD">
              <w:rPr>
                <w:rFonts w:ascii="Book Antiqua" w:hAnsi="Book Antiqua"/>
                <w:sz w:val="24"/>
                <w:szCs w:val="24"/>
              </w:rPr>
              <w:t>-value</w:t>
            </w:r>
          </w:p>
        </w:tc>
      </w:tr>
      <w:tr w:rsidR="00A53A07" w:rsidRPr="00A903DD" w:rsidTr="00A53A07">
        <w:trPr>
          <w:trHeight w:val="753"/>
        </w:trPr>
        <w:tc>
          <w:tcPr>
            <w:tcW w:w="1561" w:type="dxa"/>
            <w:vMerge/>
          </w:tcPr>
          <w:p w:rsidR="00A53A07" w:rsidRPr="00A903DD" w:rsidRDefault="00A53A07" w:rsidP="00A903DD">
            <w:pPr>
              <w:spacing w:line="360" w:lineRule="auto"/>
              <w:jc w:val="both"/>
              <w:rPr>
                <w:rFonts w:ascii="Book Antiqua" w:hAnsi="Book Antiqua"/>
                <w:sz w:val="24"/>
                <w:szCs w:val="24"/>
              </w:rPr>
            </w:pPr>
          </w:p>
        </w:tc>
        <w:tc>
          <w:tcPr>
            <w:tcW w:w="2490" w:type="dxa"/>
            <w:vMerge/>
          </w:tcPr>
          <w:p w:rsidR="00A53A07" w:rsidRPr="00A903DD" w:rsidRDefault="00A53A07" w:rsidP="00A903DD">
            <w:pPr>
              <w:spacing w:line="360" w:lineRule="auto"/>
              <w:jc w:val="both"/>
              <w:rPr>
                <w:rFonts w:ascii="Book Antiqua" w:hAnsi="Book Antiqua"/>
                <w:sz w:val="24"/>
                <w:szCs w:val="24"/>
              </w:rPr>
            </w:pPr>
          </w:p>
        </w:tc>
        <w:tc>
          <w:tcPr>
            <w:tcW w:w="1241" w:type="dxa"/>
            <w:vMerge/>
          </w:tcPr>
          <w:p w:rsidR="00A53A07" w:rsidRPr="00A903DD" w:rsidRDefault="00A53A07" w:rsidP="00A903DD">
            <w:pPr>
              <w:spacing w:line="360" w:lineRule="auto"/>
              <w:jc w:val="both"/>
              <w:rPr>
                <w:rFonts w:ascii="Book Antiqua" w:hAnsi="Book Antiqua"/>
                <w:sz w:val="24"/>
                <w:szCs w:val="24"/>
              </w:rPr>
            </w:pPr>
          </w:p>
        </w:tc>
        <w:tc>
          <w:tcPr>
            <w:tcW w:w="18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TSOA</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 (</w:t>
            </w:r>
            <w:r w:rsidRPr="00B16051">
              <w:rPr>
                <w:rFonts w:ascii="Book Antiqua" w:hAnsi="Book Antiqua"/>
                <w:i/>
                <w:sz w:val="24"/>
                <w:szCs w:val="24"/>
              </w:rPr>
              <w:t>n</w:t>
            </w:r>
            <w:r w:rsidRPr="00A903DD">
              <w:rPr>
                <w:rFonts w:ascii="Book Antiqua" w:hAnsi="Book Antiqua"/>
                <w:sz w:val="24"/>
                <w:szCs w:val="24"/>
              </w:rPr>
              <w:t>/N)</w:t>
            </w:r>
          </w:p>
          <w:p w:rsidR="00A53A07" w:rsidRPr="00A903DD" w:rsidRDefault="00A53A07" w:rsidP="00A903DD">
            <w:pPr>
              <w:spacing w:line="360" w:lineRule="auto"/>
              <w:jc w:val="both"/>
              <w:rPr>
                <w:rFonts w:ascii="Book Antiqua" w:hAnsi="Book Antiqua"/>
                <w:sz w:val="24"/>
                <w:szCs w:val="24"/>
              </w:rPr>
            </w:pPr>
          </w:p>
        </w:tc>
        <w:tc>
          <w:tcPr>
            <w:tcW w:w="135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Enoxapari</w:t>
            </w:r>
            <w:r w:rsidRPr="00B16051">
              <w:rPr>
                <w:rFonts w:ascii="Book Antiqua" w:hAnsi="Book Antiqua"/>
                <w:i/>
                <w:sz w:val="24"/>
                <w:szCs w:val="24"/>
              </w:rPr>
              <w:t>n</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 (</w:t>
            </w:r>
            <w:r w:rsidRPr="00B16051">
              <w:rPr>
                <w:rFonts w:ascii="Book Antiqua" w:hAnsi="Book Antiqua"/>
                <w:i/>
                <w:sz w:val="24"/>
                <w:szCs w:val="24"/>
              </w:rPr>
              <w:t>n</w:t>
            </w:r>
            <w:r w:rsidRPr="00A903DD">
              <w:rPr>
                <w:rFonts w:ascii="Book Antiqua" w:hAnsi="Book Antiqua"/>
                <w:sz w:val="24"/>
                <w:szCs w:val="24"/>
              </w:rPr>
              <w:t>/N)</w:t>
            </w:r>
          </w:p>
          <w:p w:rsidR="00A53A07" w:rsidRPr="00A903DD" w:rsidRDefault="00A53A07" w:rsidP="00A903DD">
            <w:pPr>
              <w:spacing w:line="360" w:lineRule="auto"/>
              <w:jc w:val="both"/>
              <w:rPr>
                <w:rFonts w:ascii="Book Antiqua" w:hAnsi="Book Antiqua"/>
                <w:sz w:val="24"/>
                <w:szCs w:val="24"/>
              </w:rPr>
            </w:pPr>
          </w:p>
        </w:tc>
        <w:tc>
          <w:tcPr>
            <w:tcW w:w="1401" w:type="dxa"/>
            <w:vMerge/>
          </w:tcPr>
          <w:p w:rsidR="00A53A07" w:rsidRPr="00A903DD" w:rsidRDefault="00A53A07" w:rsidP="00A903DD">
            <w:pPr>
              <w:spacing w:line="360" w:lineRule="auto"/>
              <w:jc w:val="both"/>
              <w:rPr>
                <w:rFonts w:ascii="Book Antiqua" w:hAnsi="Book Antiqua"/>
                <w:sz w:val="24"/>
                <w:szCs w:val="24"/>
              </w:rPr>
            </w:pPr>
          </w:p>
        </w:tc>
        <w:tc>
          <w:tcPr>
            <w:tcW w:w="1965"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TSOA</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 (</w:t>
            </w:r>
            <w:r w:rsidRPr="00B16051">
              <w:rPr>
                <w:rFonts w:ascii="Book Antiqua" w:hAnsi="Book Antiqua"/>
                <w:i/>
                <w:sz w:val="24"/>
                <w:szCs w:val="24"/>
              </w:rPr>
              <w:t>n</w:t>
            </w:r>
            <w:r w:rsidRPr="00A903DD">
              <w:rPr>
                <w:rFonts w:ascii="Book Antiqua" w:hAnsi="Book Antiqua"/>
                <w:sz w:val="24"/>
                <w:szCs w:val="24"/>
              </w:rPr>
              <w:t>/N)</w:t>
            </w:r>
          </w:p>
          <w:p w:rsidR="00A53A07" w:rsidRPr="00A903DD" w:rsidRDefault="00A53A07" w:rsidP="00A903DD">
            <w:pPr>
              <w:spacing w:line="360" w:lineRule="auto"/>
              <w:jc w:val="both"/>
              <w:rPr>
                <w:rFonts w:ascii="Book Antiqua" w:hAnsi="Book Antiqua"/>
                <w:sz w:val="24"/>
                <w:szCs w:val="24"/>
              </w:rPr>
            </w:pPr>
          </w:p>
        </w:tc>
        <w:tc>
          <w:tcPr>
            <w:tcW w:w="1359"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Enox</w:t>
            </w:r>
            <w:r w:rsidR="00D842AE" w:rsidRPr="00A903DD">
              <w:rPr>
                <w:rFonts w:ascii="Book Antiqua" w:hAnsi="Book Antiqua"/>
                <w:sz w:val="24"/>
                <w:szCs w:val="24"/>
              </w:rPr>
              <w:t>apari</w:t>
            </w:r>
            <w:r w:rsidR="00D842AE" w:rsidRPr="00B16051">
              <w:rPr>
                <w:rFonts w:ascii="Book Antiqua" w:hAnsi="Book Antiqua"/>
                <w:i/>
                <w:sz w:val="24"/>
                <w:szCs w:val="24"/>
              </w:rPr>
              <w:t>n</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 (</w:t>
            </w:r>
            <w:r w:rsidRPr="00B16051">
              <w:rPr>
                <w:rFonts w:ascii="Book Antiqua" w:hAnsi="Book Antiqua"/>
                <w:i/>
                <w:sz w:val="24"/>
                <w:szCs w:val="24"/>
              </w:rPr>
              <w:t>n</w:t>
            </w:r>
            <w:r w:rsidRPr="00A903DD">
              <w:rPr>
                <w:rFonts w:ascii="Book Antiqua" w:hAnsi="Book Antiqua"/>
                <w:sz w:val="24"/>
                <w:szCs w:val="24"/>
              </w:rPr>
              <w:t>/N)</w:t>
            </w:r>
          </w:p>
          <w:p w:rsidR="00A53A07" w:rsidRPr="00A903DD" w:rsidRDefault="00A53A07" w:rsidP="00A903DD">
            <w:pPr>
              <w:spacing w:line="360" w:lineRule="auto"/>
              <w:jc w:val="both"/>
              <w:rPr>
                <w:rFonts w:ascii="Book Antiqua" w:hAnsi="Book Antiqua"/>
                <w:sz w:val="24"/>
                <w:szCs w:val="24"/>
              </w:rPr>
            </w:pPr>
          </w:p>
        </w:tc>
        <w:tc>
          <w:tcPr>
            <w:tcW w:w="891" w:type="dxa"/>
            <w:vMerge/>
          </w:tcPr>
          <w:p w:rsidR="00A53A07" w:rsidRPr="00A903DD" w:rsidRDefault="00A53A07" w:rsidP="00A903DD">
            <w:pPr>
              <w:spacing w:line="360" w:lineRule="auto"/>
              <w:jc w:val="both"/>
              <w:rPr>
                <w:rFonts w:ascii="Book Antiqua" w:hAnsi="Book Antiqua"/>
                <w:sz w:val="24"/>
                <w:szCs w:val="24"/>
              </w:rPr>
            </w:pPr>
          </w:p>
        </w:tc>
      </w:tr>
      <w:tr w:rsidR="00A53A07" w:rsidRPr="00A903DD" w:rsidTr="00A53A07">
        <w:tc>
          <w:tcPr>
            <w:tcW w:w="1561" w:type="dxa"/>
          </w:tcPr>
          <w:p w:rsidR="00A53A07" w:rsidRPr="00A903DD" w:rsidRDefault="00A53A07" w:rsidP="00A903DD">
            <w:pPr>
              <w:spacing w:line="360" w:lineRule="auto"/>
              <w:jc w:val="both"/>
              <w:rPr>
                <w:rFonts w:ascii="Book Antiqua" w:hAnsi="Book Antiqua"/>
                <w:sz w:val="24"/>
                <w:szCs w:val="24"/>
                <w:vertAlign w:val="superscript"/>
              </w:rPr>
            </w:pPr>
            <w:r w:rsidRPr="00A903DD">
              <w:rPr>
                <w:rFonts w:ascii="Book Antiqua" w:hAnsi="Book Antiqua"/>
                <w:sz w:val="24"/>
                <w:szCs w:val="24"/>
              </w:rPr>
              <w:t>RE-NOVATE</w:t>
            </w:r>
            <w:r w:rsidR="000A44D3" w:rsidRPr="00A903DD">
              <w:rPr>
                <w:rFonts w:ascii="Book Antiqua" w:hAnsi="Book Antiqua"/>
                <w:sz w:val="24"/>
                <w:szCs w:val="24"/>
                <w:vertAlign w:val="superscript"/>
              </w:rPr>
              <w:t>[54]</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 = 3494)</w:t>
            </w:r>
          </w:p>
        </w:tc>
        <w:tc>
          <w:tcPr>
            <w:tcW w:w="24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Dabigatran 220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(28-35 d</w:t>
            </w:r>
            <w:r w:rsidR="00A53A07" w:rsidRPr="00A903DD">
              <w:rPr>
                <w:rFonts w:ascii="Book Antiqua" w:hAnsi="Book Antiqua"/>
                <w:sz w:val="24"/>
                <w:szCs w:val="24"/>
              </w:rPr>
              <w:t>)</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Dabigatran 150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(28-35 d</w:t>
            </w:r>
            <w:r w:rsidR="00A53A07" w:rsidRPr="00A903DD">
              <w:rPr>
                <w:rFonts w:ascii="Book Antiqua" w:hAnsi="Book Antiqua"/>
                <w:sz w:val="24"/>
                <w:szCs w:val="24"/>
              </w:rPr>
              <w:t>)</w:t>
            </w:r>
          </w:p>
        </w:tc>
        <w:tc>
          <w:tcPr>
            <w:tcW w:w="124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40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(28-35 d</w:t>
            </w:r>
            <w:r w:rsidR="00A53A07" w:rsidRPr="00A903DD">
              <w:rPr>
                <w:rFonts w:ascii="Book Antiqua" w:hAnsi="Book Antiqua"/>
                <w:sz w:val="24"/>
                <w:szCs w:val="24"/>
              </w:rPr>
              <w:t>)</w:t>
            </w:r>
          </w:p>
        </w:tc>
        <w:tc>
          <w:tcPr>
            <w:tcW w:w="18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220 mg; 3.1% (28/909)</w:t>
            </w:r>
          </w:p>
          <w:p w:rsidR="00A53A07" w:rsidRPr="00A903DD" w:rsidRDefault="00A53A07" w:rsidP="00A903DD">
            <w:pPr>
              <w:spacing w:line="360" w:lineRule="auto"/>
              <w:jc w:val="both"/>
              <w:rPr>
                <w:rFonts w:ascii="Book Antiqua" w:hAnsi="Book Antiqua"/>
                <w:sz w:val="24"/>
                <w:szCs w:val="24"/>
              </w:rPr>
            </w:pP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150 mg; 8.6% (75/874)</w:t>
            </w:r>
          </w:p>
        </w:tc>
        <w:tc>
          <w:tcPr>
            <w:tcW w:w="135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6.0% (53/880)</w:t>
            </w:r>
          </w:p>
        </w:tc>
        <w:tc>
          <w:tcPr>
            <w:tcW w:w="140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0.0001</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w:t>
            </w:r>
            <w:r w:rsidRPr="00B16051">
              <w:rPr>
                <w:rFonts w:ascii="Book Antiqua" w:hAnsi="Book Antiqua"/>
                <w:i/>
                <w:sz w:val="24"/>
                <w:szCs w:val="24"/>
              </w:rPr>
              <w:t>n</w:t>
            </w:r>
            <w:r w:rsidRPr="00A903DD">
              <w:rPr>
                <w:rFonts w:ascii="Book Antiqua" w:hAnsi="Book Antiqua"/>
                <w:sz w:val="24"/>
                <w:szCs w:val="24"/>
              </w:rPr>
              <w:t>/a)</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0.0001</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w:t>
            </w:r>
            <w:r w:rsidRPr="00B16051">
              <w:rPr>
                <w:rFonts w:ascii="Book Antiqua" w:hAnsi="Book Antiqua"/>
                <w:i/>
                <w:sz w:val="24"/>
                <w:szCs w:val="24"/>
              </w:rPr>
              <w:t>n</w:t>
            </w:r>
            <w:r w:rsidRPr="00A903DD">
              <w:rPr>
                <w:rFonts w:ascii="Book Antiqua" w:hAnsi="Book Antiqua"/>
                <w:sz w:val="24"/>
                <w:szCs w:val="24"/>
              </w:rPr>
              <w:t>/a)</w:t>
            </w:r>
          </w:p>
        </w:tc>
        <w:tc>
          <w:tcPr>
            <w:tcW w:w="1965"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220 mg; 2.0% (23/1146)</w:t>
            </w:r>
          </w:p>
          <w:p w:rsidR="00A53A07" w:rsidRPr="00A903DD" w:rsidRDefault="00A53A07" w:rsidP="00A903DD">
            <w:pPr>
              <w:spacing w:line="360" w:lineRule="auto"/>
              <w:jc w:val="both"/>
              <w:rPr>
                <w:rFonts w:ascii="Book Antiqua" w:hAnsi="Book Antiqua"/>
                <w:sz w:val="24"/>
                <w:szCs w:val="24"/>
              </w:rPr>
            </w:pP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150 mg; 1.3% (15/1163)</w:t>
            </w:r>
          </w:p>
        </w:tc>
        <w:tc>
          <w:tcPr>
            <w:tcW w:w="1359"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lastRenderedPageBreak/>
              <w:t>1.6% (18/1154)</w:t>
            </w:r>
          </w:p>
        </w:tc>
        <w:tc>
          <w:tcPr>
            <w:tcW w:w="89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0.44</w:t>
            </w:r>
          </w:p>
          <w:p w:rsidR="00A53A07" w:rsidRPr="00A903DD" w:rsidRDefault="00A53A07" w:rsidP="00A903DD">
            <w:pPr>
              <w:spacing w:line="360" w:lineRule="auto"/>
              <w:jc w:val="both"/>
              <w:rPr>
                <w:rFonts w:ascii="Book Antiqua" w:hAnsi="Book Antiqua"/>
                <w:sz w:val="24"/>
                <w:szCs w:val="24"/>
              </w:rPr>
            </w:pP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0.60</w:t>
            </w:r>
          </w:p>
        </w:tc>
      </w:tr>
      <w:tr w:rsidR="00A53A07" w:rsidRPr="00A903DD" w:rsidTr="00A53A07">
        <w:tc>
          <w:tcPr>
            <w:tcW w:w="1561" w:type="dxa"/>
          </w:tcPr>
          <w:p w:rsidR="00A53A07" w:rsidRPr="00A903DD" w:rsidRDefault="00A53A07" w:rsidP="00A903DD">
            <w:pPr>
              <w:spacing w:line="360" w:lineRule="auto"/>
              <w:jc w:val="both"/>
              <w:rPr>
                <w:rFonts w:ascii="Book Antiqua" w:hAnsi="Book Antiqua"/>
                <w:sz w:val="24"/>
                <w:szCs w:val="24"/>
                <w:vertAlign w:val="superscript"/>
              </w:rPr>
            </w:pPr>
            <w:r w:rsidRPr="00A903DD">
              <w:rPr>
                <w:rFonts w:ascii="Book Antiqua" w:hAnsi="Book Antiqua"/>
                <w:sz w:val="24"/>
                <w:szCs w:val="24"/>
              </w:rPr>
              <w:lastRenderedPageBreak/>
              <w:t>RE-NOVATE II</w:t>
            </w:r>
            <w:r w:rsidR="000A44D3" w:rsidRPr="00A903DD">
              <w:rPr>
                <w:rFonts w:ascii="Book Antiqua" w:hAnsi="Book Antiqua"/>
                <w:sz w:val="24"/>
                <w:szCs w:val="24"/>
                <w:vertAlign w:val="superscript"/>
              </w:rPr>
              <w:t>[47]</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 = 2055)</w:t>
            </w:r>
          </w:p>
        </w:tc>
        <w:tc>
          <w:tcPr>
            <w:tcW w:w="24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Dabigatran 220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(28-35 d</w:t>
            </w:r>
            <w:r w:rsidR="00A53A07" w:rsidRPr="00A903DD">
              <w:rPr>
                <w:rFonts w:ascii="Book Antiqua" w:hAnsi="Book Antiqua"/>
                <w:sz w:val="24"/>
                <w:szCs w:val="24"/>
              </w:rPr>
              <w:t>)</w:t>
            </w:r>
          </w:p>
        </w:tc>
        <w:tc>
          <w:tcPr>
            <w:tcW w:w="124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40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(28-35 d</w:t>
            </w:r>
            <w:r w:rsidR="00A53A07" w:rsidRPr="00A903DD">
              <w:rPr>
                <w:rFonts w:ascii="Book Antiqua" w:hAnsi="Book Antiqua"/>
                <w:sz w:val="24"/>
                <w:szCs w:val="24"/>
              </w:rPr>
              <w:t>)</w:t>
            </w:r>
          </w:p>
        </w:tc>
        <w:tc>
          <w:tcPr>
            <w:tcW w:w="18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7.7% (61/792)</w:t>
            </w:r>
          </w:p>
        </w:tc>
        <w:tc>
          <w:tcPr>
            <w:tcW w:w="135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8.8% (69/785)</w:t>
            </w:r>
          </w:p>
        </w:tc>
        <w:tc>
          <w:tcPr>
            <w:tcW w:w="140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0.0001</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(0.43)</w:t>
            </w:r>
          </w:p>
        </w:tc>
        <w:tc>
          <w:tcPr>
            <w:tcW w:w="1965"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1.4% (14/1010)</w:t>
            </w:r>
          </w:p>
        </w:tc>
        <w:tc>
          <w:tcPr>
            <w:tcW w:w="1359"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0.9% (9/1003)</w:t>
            </w:r>
          </w:p>
        </w:tc>
        <w:tc>
          <w:tcPr>
            <w:tcW w:w="89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0.40</w:t>
            </w:r>
          </w:p>
        </w:tc>
      </w:tr>
      <w:tr w:rsidR="00A53A07" w:rsidRPr="00A903DD" w:rsidTr="00A53A07">
        <w:tc>
          <w:tcPr>
            <w:tcW w:w="1561" w:type="dxa"/>
          </w:tcPr>
          <w:p w:rsidR="00A53A07" w:rsidRPr="00A903DD" w:rsidRDefault="00A53A07" w:rsidP="00A903DD">
            <w:pPr>
              <w:spacing w:line="360" w:lineRule="auto"/>
              <w:jc w:val="both"/>
              <w:rPr>
                <w:rFonts w:ascii="Book Antiqua" w:hAnsi="Book Antiqua"/>
                <w:sz w:val="24"/>
                <w:szCs w:val="24"/>
                <w:vertAlign w:val="superscript"/>
              </w:rPr>
            </w:pPr>
            <w:r w:rsidRPr="00A903DD">
              <w:rPr>
                <w:rFonts w:ascii="Book Antiqua" w:hAnsi="Book Antiqua"/>
                <w:sz w:val="24"/>
                <w:szCs w:val="24"/>
              </w:rPr>
              <w:t>RECORD 1</w:t>
            </w:r>
            <w:r w:rsidR="000A44D3" w:rsidRPr="00A903DD">
              <w:rPr>
                <w:rFonts w:ascii="Book Antiqua" w:hAnsi="Book Antiqua"/>
                <w:sz w:val="24"/>
                <w:szCs w:val="24"/>
                <w:vertAlign w:val="superscript"/>
              </w:rPr>
              <w:t>[62]</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 = 4541)</w:t>
            </w:r>
          </w:p>
        </w:tc>
        <w:tc>
          <w:tcPr>
            <w:tcW w:w="24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Rivaroxaban 10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(31-39 d</w:t>
            </w:r>
            <w:r w:rsidR="00A53A07" w:rsidRPr="00A903DD">
              <w:rPr>
                <w:rFonts w:ascii="Book Antiqua" w:hAnsi="Book Antiqua"/>
                <w:sz w:val="24"/>
                <w:szCs w:val="24"/>
              </w:rPr>
              <w:t>)</w:t>
            </w:r>
          </w:p>
        </w:tc>
        <w:tc>
          <w:tcPr>
            <w:tcW w:w="124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40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(31-39 d</w:t>
            </w:r>
            <w:r w:rsidR="00A53A07" w:rsidRPr="00A903DD">
              <w:rPr>
                <w:rFonts w:ascii="Book Antiqua" w:hAnsi="Book Antiqua"/>
                <w:sz w:val="24"/>
                <w:szCs w:val="24"/>
              </w:rPr>
              <w:t>)</w:t>
            </w:r>
          </w:p>
        </w:tc>
        <w:tc>
          <w:tcPr>
            <w:tcW w:w="18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1.1% (18/1595)</w:t>
            </w:r>
          </w:p>
        </w:tc>
        <w:tc>
          <w:tcPr>
            <w:tcW w:w="135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3.7% (58/1558)</w:t>
            </w:r>
          </w:p>
        </w:tc>
        <w:tc>
          <w:tcPr>
            <w:tcW w:w="1401" w:type="dxa"/>
          </w:tcPr>
          <w:p w:rsidR="00A53A07" w:rsidRPr="00A903DD" w:rsidRDefault="00A53A07" w:rsidP="00A903DD">
            <w:pPr>
              <w:spacing w:line="360" w:lineRule="auto"/>
              <w:jc w:val="both"/>
              <w:rPr>
                <w:rFonts w:ascii="Book Antiqua" w:hAnsi="Book Antiqua"/>
                <w:sz w:val="24"/>
                <w:szCs w:val="24"/>
              </w:rPr>
            </w:pPr>
            <w:r w:rsidRPr="00B16051">
              <w:rPr>
                <w:rFonts w:ascii="Book Antiqua" w:hAnsi="Book Antiqua"/>
                <w:i/>
                <w:sz w:val="24"/>
                <w:szCs w:val="24"/>
              </w:rPr>
              <w:t>n</w:t>
            </w:r>
            <w:r w:rsidRPr="00A903DD">
              <w:rPr>
                <w:rFonts w:ascii="Book Antiqua" w:hAnsi="Book Antiqua"/>
                <w:sz w:val="24"/>
                <w:szCs w:val="24"/>
              </w:rPr>
              <w:t>/a</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0.001)</w:t>
            </w:r>
          </w:p>
        </w:tc>
        <w:tc>
          <w:tcPr>
            <w:tcW w:w="1965"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0.3% (6/2209)</w:t>
            </w:r>
          </w:p>
        </w:tc>
        <w:tc>
          <w:tcPr>
            <w:tcW w:w="1359"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0.1% (2/2224)</w:t>
            </w:r>
          </w:p>
        </w:tc>
        <w:tc>
          <w:tcPr>
            <w:tcW w:w="89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0.18</w:t>
            </w:r>
          </w:p>
        </w:tc>
      </w:tr>
      <w:tr w:rsidR="00A53A07" w:rsidRPr="00A903DD" w:rsidTr="00A53A07">
        <w:tc>
          <w:tcPr>
            <w:tcW w:w="1561" w:type="dxa"/>
          </w:tcPr>
          <w:p w:rsidR="00A53A07" w:rsidRPr="00A903DD" w:rsidRDefault="00A53A07" w:rsidP="00A903DD">
            <w:pPr>
              <w:spacing w:line="360" w:lineRule="auto"/>
              <w:jc w:val="both"/>
              <w:rPr>
                <w:rFonts w:ascii="Book Antiqua" w:hAnsi="Book Antiqua"/>
                <w:sz w:val="24"/>
                <w:szCs w:val="24"/>
                <w:vertAlign w:val="superscript"/>
              </w:rPr>
            </w:pPr>
            <w:r w:rsidRPr="00A903DD">
              <w:rPr>
                <w:rFonts w:ascii="Book Antiqua" w:hAnsi="Book Antiqua"/>
                <w:sz w:val="24"/>
                <w:szCs w:val="24"/>
              </w:rPr>
              <w:t>RECORD 2</w:t>
            </w:r>
            <w:r w:rsidR="000A44D3" w:rsidRPr="00A903DD">
              <w:rPr>
                <w:rFonts w:ascii="Book Antiqua" w:hAnsi="Book Antiqua"/>
                <w:sz w:val="24"/>
                <w:szCs w:val="24"/>
                <w:vertAlign w:val="superscript"/>
              </w:rPr>
              <w:t>[63]</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 = 2509)</w:t>
            </w:r>
          </w:p>
        </w:tc>
        <w:tc>
          <w:tcPr>
            <w:tcW w:w="24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Rivaroxaban 10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(31-39 d</w:t>
            </w:r>
            <w:r w:rsidR="00A53A07" w:rsidRPr="00A903DD">
              <w:rPr>
                <w:rFonts w:ascii="Book Antiqua" w:hAnsi="Book Antiqua"/>
                <w:sz w:val="24"/>
                <w:szCs w:val="24"/>
              </w:rPr>
              <w:t>)</w:t>
            </w:r>
          </w:p>
        </w:tc>
        <w:tc>
          <w:tcPr>
            <w:tcW w:w="124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40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(10-14 d</w:t>
            </w:r>
            <w:r w:rsidR="00A53A07" w:rsidRPr="00A903DD">
              <w:rPr>
                <w:rFonts w:ascii="Book Antiqua" w:hAnsi="Book Antiqua"/>
                <w:sz w:val="24"/>
                <w:szCs w:val="24"/>
              </w:rPr>
              <w:t>)</w:t>
            </w:r>
          </w:p>
        </w:tc>
        <w:tc>
          <w:tcPr>
            <w:tcW w:w="18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2.0% (17/864)</w:t>
            </w:r>
          </w:p>
        </w:tc>
        <w:tc>
          <w:tcPr>
            <w:tcW w:w="135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9.3% (81/869)</w:t>
            </w:r>
          </w:p>
        </w:tc>
        <w:tc>
          <w:tcPr>
            <w:tcW w:w="1401" w:type="dxa"/>
          </w:tcPr>
          <w:p w:rsidR="00A53A07" w:rsidRPr="00A903DD" w:rsidRDefault="00A53A07" w:rsidP="00A903DD">
            <w:pPr>
              <w:spacing w:line="360" w:lineRule="auto"/>
              <w:jc w:val="both"/>
              <w:rPr>
                <w:rFonts w:ascii="Book Antiqua" w:hAnsi="Book Antiqua"/>
                <w:sz w:val="24"/>
                <w:szCs w:val="24"/>
              </w:rPr>
            </w:pPr>
            <w:r w:rsidRPr="00B16051">
              <w:rPr>
                <w:rFonts w:ascii="Book Antiqua" w:hAnsi="Book Antiqua"/>
                <w:i/>
                <w:sz w:val="24"/>
                <w:szCs w:val="24"/>
              </w:rPr>
              <w:t>n</w:t>
            </w:r>
            <w:r w:rsidRPr="00A903DD">
              <w:rPr>
                <w:rFonts w:ascii="Book Antiqua" w:hAnsi="Book Antiqua"/>
                <w:sz w:val="24"/>
                <w:szCs w:val="24"/>
              </w:rPr>
              <w:t>/a</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0.0001)</w:t>
            </w:r>
          </w:p>
        </w:tc>
        <w:tc>
          <w:tcPr>
            <w:tcW w:w="1965"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0.08% (1/1228)</w:t>
            </w:r>
          </w:p>
        </w:tc>
        <w:tc>
          <w:tcPr>
            <w:tcW w:w="1359"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0.08% (1/1229)</w:t>
            </w:r>
          </w:p>
        </w:tc>
        <w:tc>
          <w:tcPr>
            <w:tcW w:w="89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n/a</w:t>
            </w:r>
          </w:p>
        </w:tc>
      </w:tr>
      <w:tr w:rsidR="00A53A07" w:rsidRPr="00A903DD" w:rsidTr="00A53A07">
        <w:tc>
          <w:tcPr>
            <w:tcW w:w="1561" w:type="dxa"/>
          </w:tcPr>
          <w:p w:rsidR="00A53A07" w:rsidRPr="00A903DD" w:rsidRDefault="00A53A07" w:rsidP="00A903DD">
            <w:pPr>
              <w:spacing w:line="360" w:lineRule="auto"/>
              <w:jc w:val="both"/>
              <w:rPr>
                <w:rFonts w:ascii="Book Antiqua" w:hAnsi="Book Antiqua"/>
                <w:sz w:val="24"/>
                <w:szCs w:val="24"/>
                <w:vertAlign w:val="superscript"/>
              </w:rPr>
            </w:pPr>
            <w:r w:rsidRPr="00A903DD">
              <w:rPr>
                <w:rFonts w:ascii="Book Antiqua" w:hAnsi="Book Antiqua"/>
                <w:sz w:val="24"/>
                <w:szCs w:val="24"/>
              </w:rPr>
              <w:t>ADVANCE 3</w:t>
            </w:r>
            <w:r w:rsidR="00956619" w:rsidRPr="00A903DD">
              <w:rPr>
                <w:rFonts w:ascii="Book Antiqua" w:hAnsi="Book Antiqua"/>
                <w:sz w:val="24"/>
                <w:szCs w:val="24"/>
                <w:vertAlign w:val="superscript"/>
              </w:rPr>
              <w:t>[73</w:t>
            </w:r>
            <w:r w:rsidR="000A44D3" w:rsidRPr="00A903DD">
              <w:rPr>
                <w:rFonts w:ascii="Book Antiqua" w:hAnsi="Book Antiqua"/>
                <w:sz w:val="24"/>
                <w:szCs w:val="24"/>
                <w:vertAlign w:val="superscript"/>
              </w:rPr>
              <w:t>]</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 = 5407)</w:t>
            </w:r>
          </w:p>
        </w:tc>
        <w:tc>
          <w:tcPr>
            <w:tcW w:w="24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Apixaban 2.5 mg BID</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(32-38 d</w:t>
            </w:r>
            <w:r w:rsidR="00A53A07" w:rsidRPr="00A903DD">
              <w:rPr>
                <w:rFonts w:ascii="Book Antiqua" w:hAnsi="Book Antiqua"/>
                <w:sz w:val="24"/>
                <w:szCs w:val="24"/>
              </w:rPr>
              <w:t>)</w:t>
            </w:r>
          </w:p>
        </w:tc>
        <w:tc>
          <w:tcPr>
            <w:tcW w:w="124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40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(32-38 d</w:t>
            </w:r>
            <w:r w:rsidR="00A53A07" w:rsidRPr="00A903DD">
              <w:rPr>
                <w:rFonts w:ascii="Book Antiqua" w:hAnsi="Book Antiqua"/>
                <w:sz w:val="24"/>
                <w:szCs w:val="24"/>
              </w:rPr>
              <w:t>)</w:t>
            </w:r>
          </w:p>
        </w:tc>
        <w:tc>
          <w:tcPr>
            <w:tcW w:w="18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1.4% (27/1949)</w:t>
            </w:r>
          </w:p>
        </w:tc>
        <w:tc>
          <w:tcPr>
            <w:tcW w:w="135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3.9% (74/1917)</w:t>
            </w:r>
          </w:p>
        </w:tc>
        <w:tc>
          <w:tcPr>
            <w:tcW w:w="140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0.001</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0.001)</w:t>
            </w:r>
          </w:p>
        </w:tc>
        <w:tc>
          <w:tcPr>
            <w:tcW w:w="1965"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0.8% (22/2673)</w:t>
            </w:r>
          </w:p>
        </w:tc>
        <w:tc>
          <w:tcPr>
            <w:tcW w:w="1359"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0.7% (18/2659)</w:t>
            </w:r>
          </w:p>
        </w:tc>
        <w:tc>
          <w:tcPr>
            <w:tcW w:w="89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0.54</w:t>
            </w:r>
          </w:p>
        </w:tc>
      </w:tr>
      <w:tr w:rsidR="00A53A07" w:rsidRPr="00A903DD" w:rsidTr="00A53A07">
        <w:tc>
          <w:tcPr>
            <w:tcW w:w="1561" w:type="dxa"/>
          </w:tcPr>
          <w:p w:rsidR="00A53A07" w:rsidRPr="00A903DD" w:rsidRDefault="00055A82" w:rsidP="00A903DD">
            <w:pPr>
              <w:spacing w:line="360" w:lineRule="auto"/>
              <w:jc w:val="both"/>
              <w:rPr>
                <w:rFonts w:ascii="Book Antiqua" w:hAnsi="Book Antiqua"/>
                <w:sz w:val="24"/>
                <w:szCs w:val="24"/>
                <w:vertAlign w:val="superscript"/>
              </w:rPr>
            </w:pPr>
            <w:r w:rsidRPr="00A903DD">
              <w:rPr>
                <w:rFonts w:ascii="Book Antiqua" w:hAnsi="Book Antiqua"/>
                <w:sz w:val="24"/>
                <w:szCs w:val="24"/>
              </w:rPr>
              <w:t>STARS J-5</w:t>
            </w:r>
            <w:r w:rsidR="000A44D3" w:rsidRPr="00A903DD">
              <w:rPr>
                <w:rFonts w:ascii="Book Antiqua" w:hAnsi="Book Antiqua"/>
                <w:sz w:val="24"/>
                <w:szCs w:val="24"/>
                <w:vertAlign w:val="superscript"/>
              </w:rPr>
              <w:t>[75]</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(N = 610)</w:t>
            </w:r>
          </w:p>
        </w:tc>
        <w:tc>
          <w:tcPr>
            <w:tcW w:w="249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Edoxaban 30 mg daily</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(11-14 d</w:t>
            </w:r>
            <w:r w:rsidR="00A53A07" w:rsidRPr="00A903DD">
              <w:rPr>
                <w:rFonts w:ascii="Book Antiqua" w:hAnsi="Book Antiqua"/>
                <w:sz w:val="24"/>
                <w:szCs w:val="24"/>
              </w:rPr>
              <w:t>)</w:t>
            </w:r>
          </w:p>
        </w:tc>
        <w:tc>
          <w:tcPr>
            <w:tcW w:w="124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20 mg BID</w:t>
            </w:r>
          </w:p>
          <w:p w:rsidR="00A53A07" w:rsidRPr="00A903DD" w:rsidRDefault="00B16051" w:rsidP="00A903DD">
            <w:pPr>
              <w:spacing w:line="360" w:lineRule="auto"/>
              <w:jc w:val="both"/>
              <w:rPr>
                <w:rFonts w:ascii="Book Antiqua" w:hAnsi="Book Antiqua"/>
                <w:sz w:val="24"/>
                <w:szCs w:val="24"/>
              </w:rPr>
            </w:pPr>
            <w:r>
              <w:rPr>
                <w:rFonts w:ascii="Book Antiqua" w:hAnsi="Book Antiqua"/>
                <w:sz w:val="24"/>
                <w:szCs w:val="24"/>
              </w:rPr>
              <w:t>(11-14 d</w:t>
            </w:r>
            <w:r w:rsidR="00A53A07" w:rsidRPr="00A903DD">
              <w:rPr>
                <w:rFonts w:ascii="Book Antiqua" w:hAnsi="Book Antiqua"/>
                <w:sz w:val="24"/>
                <w:szCs w:val="24"/>
              </w:rPr>
              <w:t>)</w:t>
            </w:r>
          </w:p>
        </w:tc>
        <w:tc>
          <w:tcPr>
            <w:tcW w:w="1890" w:type="dxa"/>
          </w:tcPr>
          <w:p w:rsidR="00A53A07" w:rsidRPr="00A903DD" w:rsidRDefault="00A53A07" w:rsidP="00B16051">
            <w:pPr>
              <w:spacing w:line="360" w:lineRule="auto"/>
              <w:jc w:val="both"/>
              <w:rPr>
                <w:rFonts w:ascii="Book Antiqua" w:hAnsi="Book Antiqua"/>
                <w:sz w:val="24"/>
                <w:szCs w:val="24"/>
                <w:lang w:eastAsia="zh-CN"/>
              </w:rPr>
            </w:pPr>
            <w:r w:rsidRPr="00A903DD">
              <w:rPr>
                <w:rFonts w:ascii="Book Antiqua" w:hAnsi="Book Antiqua"/>
                <w:sz w:val="24"/>
                <w:szCs w:val="24"/>
              </w:rPr>
              <w:t>2.4% (6/255)</w:t>
            </w:r>
            <w:r w:rsidR="00B16051" w:rsidRPr="00B16051">
              <w:rPr>
                <w:rFonts w:ascii="Book Antiqua" w:hAnsi="Book Antiqua" w:hint="eastAsia"/>
                <w:sz w:val="24"/>
                <w:szCs w:val="24"/>
                <w:vertAlign w:val="superscript"/>
                <w:lang w:eastAsia="zh-CN"/>
              </w:rPr>
              <w:t>1</w:t>
            </w:r>
          </w:p>
        </w:tc>
        <w:tc>
          <w:tcPr>
            <w:tcW w:w="1350"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6.9% (17/248)</w:t>
            </w:r>
            <w:r w:rsidR="00B16051" w:rsidRPr="00B16051">
              <w:rPr>
                <w:rFonts w:ascii="Book Antiqua" w:hAnsi="Book Antiqua" w:hint="eastAsia"/>
                <w:sz w:val="24"/>
                <w:szCs w:val="24"/>
                <w:vertAlign w:val="superscript"/>
                <w:lang w:eastAsia="zh-CN"/>
              </w:rPr>
              <w:t>1</w:t>
            </w:r>
          </w:p>
        </w:tc>
        <w:tc>
          <w:tcPr>
            <w:tcW w:w="140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&lt; 0.001</w:t>
            </w:r>
          </w:p>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(0.016)</w:t>
            </w:r>
          </w:p>
        </w:tc>
        <w:tc>
          <w:tcPr>
            <w:tcW w:w="1965" w:type="dxa"/>
          </w:tcPr>
          <w:p w:rsidR="00A53A07" w:rsidRPr="00A903DD" w:rsidRDefault="00A53A07" w:rsidP="00B16051">
            <w:pPr>
              <w:spacing w:line="360" w:lineRule="auto"/>
              <w:jc w:val="both"/>
              <w:rPr>
                <w:rFonts w:ascii="Book Antiqua" w:hAnsi="Book Antiqua"/>
                <w:sz w:val="24"/>
                <w:szCs w:val="24"/>
                <w:lang w:eastAsia="zh-CN"/>
              </w:rPr>
            </w:pPr>
            <w:r w:rsidRPr="00A903DD">
              <w:rPr>
                <w:rFonts w:ascii="Book Antiqua" w:hAnsi="Book Antiqua"/>
                <w:sz w:val="24"/>
                <w:szCs w:val="24"/>
              </w:rPr>
              <w:t>2.6% (8/303)</w:t>
            </w:r>
            <w:r w:rsidR="00B16051" w:rsidRPr="00B16051">
              <w:rPr>
                <w:rFonts w:ascii="Book Antiqua" w:hAnsi="Book Antiqua" w:hint="eastAsia"/>
                <w:sz w:val="24"/>
                <w:szCs w:val="24"/>
                <w:vertAlign w:val="superscript"/>
                <w:lang w:eastAsia="zh-CN"/>
              </w:rPr>
              <w:t>2</w:t>
            </w:r>
          </w:p>
        </w:tc>
        <w:tc>
          <w:tcPr>
            <w:tcW w:w="1359" w:type="dxa"/>
          </w:tcPr>
          <w:p w:rsidR="00A53A07" w:rsidRPr="00A903DD" w:rsidRDefault="00A53A07" w:rsidP="00B16051">
            <w:pPr>
              <w:spacing w:line="360" w:lineRule="auto"/>
              <w:jc w:val="both"/>
              <w:rPr>
                <w:rFonts w:ascii="Book Antiqua" w:hAnsi="Book Antiqua"/>
                <w:sz w:val="24"/>
                <w:szCs w:val="24"/>
              </w:rPr>
            </w:pPr>
            <w:r w:rsidRPr="00A903DD">
              <w:rPr>
                <w:rFonts w:ascii="Book Antiqua" w:hAnsi="Book Antiqua"/>
                <w:sz w:val="24"/>
                <w:szCs w:val="24"/>
              </w:rPr>
              <w:t>3.7% (11/301)</w:t>
            </w:r>
            <w:r w:rsidR="00B16051">
              <w:rPr>
                <w:rFonts w:ascii="Book Antiqua" w:hAnsi="Book Antiqua" w:hint="eastAsia"/>
                <w:sz w:val="24"/>
                <w:szCs w:val="24"/>
                <w:vertAlign w:val="superscript"/>
                <w:lang w:eastAsia="zh-CN"/>
              </w:rPr>
              <w:t>2</w:t>
            </w:r>
          </w:p>
        </w:tc>
        <w:tc>
          <w:tcPr>
            <w:tcW w:w="891" w:type="dxa"/>
          </w:tcPr>
          <w:p w:rsidR="00A53A07" w:rsidRPr="00A903DD" w:rsidRDefault="00A53A07" w:rsidP="00A903DD">
            <w:pPr>
              <w:spacing w:line="360" w:lineRule="auto"/>
              <w:jc w:val="both"/>
              <w:rPr>
                <w:rFonts w:ascii="Book Antiqua" w:hAnsi="Book Antiqua"/>
                <w:sz w:val="24"/>
                <w:szCs w:val="24"/>
              </w:rPr>
            </w:pPr>
            <w:r w:rsidRPr="00A903DD">
              <w:rPr>
                <w:rFonts w:ascii="Book Antiqua" w:hAnsi="Book Antiqua"/>
                <w:sz w:val="24"/>
                <w:szCs w:val="24"/>
              </w:rPr>
              <w:t>0.48</w:t>
            </w:r>
          </w:p>
        </w:tc>
      </w:tr>
    </w:tbl>
    <w:p w:rsidR="00055A82" w:rsidRPr="00A903DD" w:rsidRDefault="00055A82" w:rsidP="00A903DD">
      <w:pPr>
        <w:spacing w:after="0" w:line="360" w:lineRule="auto"/>
        <w:jc w:val="both"/>
        <w:rPr>
          <w:rFonts w:ascii="Book Antiqua" w:hAnsi="Book Antiqua"/>
          <w:sz w:val="24"/>
          <w:szCs w:val="24"/>
        </w:rPr>
      </w:pPr>
    </w:p>
    <w:p w:rsidR="00B16051" w:rsidRPr="00A903DD" w:rsidRDefault="00B16051" w:rsidP="00B16051">
      <w:pPr>
        <w:spacing w:line="360" w:lineRule="auto"/>
        <w:jc w:val="both"/>
        <w:rPr>
          <w:rFonts w:ascii="Book Antiqua" w:hAnsi="Book Antiqua"/>
          <w:sz w:val="24"/>
          <w:szCs w:val="24"/>
          <w:lang w:eastAsia="zh-CN"/>
        </w:rPr>
      </w:pPr>
      <w:r w:rsidRPr="00B16051">
        <w:rPr>
          <w:rFonts w:ascii="Book Antiqua" w:hAnsi="Book Antiqua" w:hint="eastAsia"/>
          <w:sz w:val="24"/>
          <w:szCs w:val="24"/>
          <w:vertAlign w:val="superscript"/>
          <w:lang w:eastAsia="zh-CN"/>
        </w:rPr>
        <w:lastRenderedPageBreak/>
        <w:t>1</w:t>
      </w:r>
      <w:r w:rsidRPr="00A903DD">
        <w:rPr>
          <w:rFonts w:ascii="Book Antiqua" w:hAnsi="Book Antiqua"/>
          <w:sz w:val="24"/>
          <w:szCs w:val="24"/>
        </w:rPr>
        <w:t>A</w:t>
      </w:r>
      <w:r>
        <w:rPr>
          <w:rFonts w:ascii="Book Antiqua" w:hAnsi="Book Antiqua"/>
          <w:sz w:val="24"/>
          <w:szCs w:val="24"/>
        </w:rPr>
        <w:t>ll events were asymptomatic DVT</w:t>
      </w:r>
      <w:r>
        <w:rPr>
          <w:rFonts w:ascii="Book Antiqua" w:hAnsi="Book Antiqua" w:hint="eastAsia"/>
          <w:sz w:val="24"/>
          <w:szCs w:val="24"/>
          <w:lang w:eastAsia="zh-CN"/>
        </w:rPr>
        <w:t xml:space="preserve">. </w:t>
      </w:r>
      <w:proofErr w:type="gramStart"/>
      <w:r w:rsidRPr="00B16051">
        <w:rPr>
          <w:rFonts w:ascii="Book Antiqua" w:hAnsi="Book Antiqua" w:hint="eastAsia"/>
          <w:sz w:val="24"/>
          <w:szCs w:val="24"/>
          <w:vertAlign w:val="superscript"/>
          <w:lang w:eastAsia="zh-CN"/>
        </w:rPr>
        <w:t>2</w:t>
      </w:r>
      <w:r w:rsidRPr="00A903DD">
        <w:rPr>
          <w:rFonts w:ascii="Book Antiqua" w:hAnsi="Book Antiqua"/>
          <w:sz w:val="24"/>
          <w:szCs w:val="24"/>
        </w:rPr>
        <w:t>Rate of major and clinically relevant non-major bleeding</w:t>
      </w:r>
      <w:r>
        <w:rPr>
          <w:rFonts w:ascii="Book Antiqua" w:hAnsi="Book Antiqua" w:hint="eastAsia"/>
          <w:sz w:val="24"/>
          <w:szCs w:val="24"/>
          <w:lang w:eastAsia="zh-CN"/>
        </w:rPr>
        <w:t>.</w:t>
      </w:r>
      <w:proofErr w:type="gramEnd"/>
      <w:r>
        <w:rPr>
          <w:rFonts w:ascii="Book Antiqua" w:hAnsi="Book Antiqua" w:hint="eastAsia"/>
          <w:sz w:val="24"/>
          <w:szCs w:val="24"/>
          <w:lang w:eastAsia="zh-CN"/>
        </w:rPr>
        <w:t xml:space="preserve"> TSOA:</w:t>
      </w:r>
      <w:r w:rsidRPr="00B16051">
        <w:rPr>
          <w:rFonts w:ascii="Book Antiqua" w:hAnsi="Book Antiqua"/>
          <w:sz w:val="24"/>
          <w:szCs w:val="24"/>
        </w:rPr>
        <w:t xml:space="preserve"> </w:t>
      </w:r>
      <w:r w:rsidRPr="00A903DD">
        <w:rPr>
          <w:rFonts w:ascii="Book Antiqua" w:hAnsi="Book Antiqua"/>
          <w:sz w:val="24"/>
          <w:szCs w:val="24"/>
        </w:rPr>
        <w:t xml:space="preserve">Target specific oral </w:t>
      </w:r>
      <w:r w:rsidRPr="00B16051">
        <w:rPr>
          <w:rFonts w:ascii="Book Antiqua" w:hAnsi="Book Antiqua"/>
          <w:sz w:val="24"/>
          <w:szCs w:val="24"/>
        </w:rPr>
        <w:t>anticoagulant</w:t>
      </w:r>
      <w:r>
        <w:rPr>
          <w:rFonts w:ascii="Book Antiqua" w:hAnsi="Book Antiqua" w:hint="eastAsia"/>
          <w:sz w:val="24"/>
          <w:szCs w:val="24"/>
          <w:lang w:eastAsia="zh-CN"/>
        </w:rPr>
        <w:t xml:space="preserve">; </w:t>
      </w:r>
      <w:r>
        <w:rPr>
          <w:rFonts w:ascii="Book Antiqua" w:hAnsi="Book Antiqua"/>
          <w:sz w:val="24"/>
          <w:szCs w:val="24"/>
        </w:rPr>
        <w:t>RE-NOVATE</w:t>
      </w:r>
      <w:r>
        <w:rPr>
          <w:rFonts w:ascii="Book Antiqua" w:hAnsi="Book Antiqua" w:hint="eastAsia"/>
          <w:sz w:val="24"/>
          <w:szCs w:val="24"/>
          <w:lang w:eastAsia="zh-CN"/>
        </w:rPr>
        <w:t xml:space="preserve">: </w:t>
      </w:r>
      <w:r w:rsidRPr="00A903DD">
        <w:rPr>
          <w:rFonts w:ascii="Book Antiqua" w:hAnsi="Book Antiqua"/>
          <w:sz w:val="24"/>
          <w:szCs w:val="24"/>
        </w:rPr>
        <w:t xml:space="preserve">The </w:t>
      </w:r>
      <w:r w:rsidRPr="00A903DD">
        <w:rPr>
          <w:rFonts w:ascii="Book Antiqua" w:hAnsi="Book Antiqua" w:cs="Arial"/>
          <w:sz w:val="24"/>
          <w:szCs w:val="24"/>
        </w:rPr>
        <w:t>extended thromboembolism prevention after hip surgery</w:t>
      </w:r>
      <w:r>
        <w:rPr>
          <w:rFonts w:ascii="Book Antiqua" w:hAnsi="Book Antiqua" w:cs="Arial" w:hint="eastAsia"/>
          <w:sz w:val="24"/>
          <w:szCs w:val="24"/>
          <w:lang w:eastAsia="zh-CN"/>
        </w:rPr>
        <w:t>;</w:t>
      </w:r>
      <w:r w:rsidRPr="00B16051">
        <w:rPr>
          <w:rFonts w:ascii="Book Antiqua" w:hAnsi="Book Antiqua"/>
          <w:sz w:val="24"/>
          <w:szCs w:val="24"/>
        </w:rPr>
        <w:t xml:space="preserve"> </w:t>
      </w:r>
      <w:r w:rsidRPr="00A903DD">
        <w:rPr>
          <w:rFonts w:ascii="Book Antiqua" w:hAnsi="Book Antiqua"/>
          <w:sz w:val="24"/>
          <w:szCs w:val="24"/>
        </w:rPr>
        <w:t>RECORD</w:t>
      </w:r>
      <w:r>
        <w:rPr>
          <w:rFonts w:ascii="Book Antiqua" w:hAnsi="Book Antiqua" w:hint="eastAsia"/>
          <w:sz w:val="24"/>
          <w:szCs w:val="24"/>
          <w:lang w:eastAsia="zh-CN"/>
        </w:rPr>
        <w:t xml:space="preserve">: </w:t>
      </w:r>
      <w:r w:rsidRPr="00321ECF">
        <w:rPr>
          <w:rFonts w:ascii="Book Antiqua" w:hAnsi="Book Antiqua" w:cs="Minion-Regular"/>
          <w:color w:val="231F20"/>
          <w:sz w:val="24"/>
          <w:szCs w:val="24"/>
        </w:rPr>
        <w:t>Regulation of Coagulation in Ort</w:t>
      </w:r>
      <w:r w:rsidRPr="00A903DD">
        <w:rPr>
          <w:rFonts w:ascii="Book Antiqua" w:hAnsi="Book Antiqua" w:cs="Minion-Regular"/>
          <w:color w:val="231F20"/>
          <w:sz w:val="24"/>
          <w:szCs w:val="24"/>
        </w:rPr>
        <w:t xml:space="preserve">hopedic </w:t>
      </w:r>
      <w:r w:rsidRPr="00A903DD">
        <w:rPr>
          <w:rFonts w:ascii="Book Antiqua" w:hAnsi="Book Antiqua" w:cs="Minion-Regular"/>
          <w:i/>
          <w:color w:val="231F20"/>
          <w:sz w:val="24"/>
          <w:szCs w:val="24"/>
        </w:rPr>
        <w:t>S</w:t>
      </w:r>
      <w:r w:rsidRPr="00A903DD">
        <w:rPr>
          <w:rFonts w:ascii="Book Antiqua" w:hAnsi="Book Antiqua" w:cs="Minion-Regular"/>
          <w:color w:val="231F20"/>
          <w:sz w:val="24"/>
          <w:szCs w:val="24"/>
        </w:rPr>
        <w:t xml:space="preserve">urgery to Prevent </w:t>
      </w:r>
      <w:r w:rsidRPr="00321ECF">
        <w:rPr>
          <w:rFonts w:ascii="Book Antiqua" w:hAnsi="Book Antiqua" w:cs="Minion-Regular"/>
          <w:color w:val="231F20"/>
          <w:sz w:val="24"/>
          <w:szCs w:val="24"/>
        </w:rPr>
        <w:t>DV</w:t>
      </w:r>
      <w:r w:rsidRPr="00A903DD">
        <w:rPr>
          <w:rFonts w:ascii="Book Antiqua" w:hAnsi="Book Antiqua" w:cs="Minion-Regular"/>
          <w:color w:val="231F20"/>
          <w:sz w:val="24"/>
          <w:szCs w:val="24"/>
        </w:rPr>
        <w:t>T and PE</w:t>
      </w:r>
      <w:r>
        <w:rPr>
          <w:rFonts w:ascii="Book Antiqua" w:hAnsi="Book Antiqua" w:cs="Minion-Regular" w:hint="eastAsia"/>
          <w:color w:val="231F20"/>
          <w:sz w:val="24"/>
          <w:szCs w:val="24"/>
          <w:lang w:eastAsia="zh-CN"/>
        </w:rPr>
        <w:t xml:space="preserve">; </w:t>
      </w:r>
      <w:r w:rsidRPr="00A903DD">
        <w:rPr>
          <w:rFonts w:ascii="Book Antiqua" w:hAnsi="Book Antiqua"/>
          <w:sz w:val="24"/>
          <w:szCs w:val="24"/>
        </w:rPr>
        <w:t>STARS</w:t>
      </w:r>
      <w:r>
        <w:rPr>
          <w:rFonts w:ascii="Book Antiqua" w:hAnsi="Book Antiqua" w:hint="eastAsia"/>
          <w:sz w:val="24"/>
          <w:szCs w:val="24"/>
          <w:lang w:eastAsia="zh-CN"/>
        </w:rPr>
        <w:t>:</w:t>
      </w:r>
      <w:r w:rsidRPr="00A33C21">
        <w:rPr>
          <w:rFonts w:ascii="Book Antiqua" w:hAnsi="Book Antiqua" w:cs="Minion-Semibold"/>
          <w:bCs/>
          <w:color w:val="231F20"/>
          <w:sz w:val="24"/>
          <w:szCs w:val="24"/>
        </w:rPr>
        <w:t xml:space="preserve"> S</w:t>
      </w:r>
      <w:r w:rsidRPr="00A33C21">
        <w:rPr>
          <w:rFonts w:ascii="Book Antiqua" w:hAnsi="Book Antiqua" w:cs="Minion-Regular"/>
          <w:color w:val="231F20"/>
          <w:sz w:val="24"/>
          <w:szCs w:val="24"/>
        </w:rPr>
        <w:t xml:space="preserve">tudying </w:t>
      </w:r>
      <w:r w:rsidRPr="00A33C21">
        <w:rPr>
          <w:rFonts w:ascii="Book Antiqua" w:hAnsi="Book Antiqua" w:cs="Minion-Semibold"/>
          <w:bCs/>
          <w:color w:val="231F20"/>
          <w:sz w:val="24"/>
          <w:szCs w:val="24"/>
        </w:rPr>
        <w:t>t</w:t>
      </w:r>
      <w:r w:rsidRPr="00A33C21">
        <w:rPr>
          <w:rFonts w:ascii="Book Antiqua" w:hAnsi="Book Antiqua" w:cs="Minion-Regular"/>
          <w:color w:val="231F20"/>
          <w:sz w:val="24"/>
          <w:szCs w:val="24"/>
        </w:rPr>
        <w:t xml:space="preserve">hrombosis </w:t>
      </w:r>
      <w:r w:rsidRPr="00A33C21">
        <w:rPr>
          <w:rFonts w:ascii="Book Antiqua" w:hAnsi="Book Antiqua" w:cs="Minion-Semibold"/>
          <w:bCs/>
          <w:color w:val="231F20"/>
          <w:sz w:val="24"/>
          <w:szCs w:val="24"/>
        </w:rPr>
        <w:t>a</w:t>
      </w:r>
      <w:r w:rsidRPr="00A33C21">
        <w:rPr>
          <w:rFonts w:ascii="Book Antiqua" w:hAnsi="Book Antiqua" w:cs="Minion-Regular"/>
          <w:color w:val="231F20"/>
          <w:sz w:val="24"/>
          <w:szCs w:val="24"/>
        </w:rPr>
        <w:t xml:space="preserve">fter </w:t>
      </w:r>
      <w:r w:rsidRPr="00A33C21">
        <w:rPr>
          <w:rFonts w:ascii="Book Antiqua" w:hAnsi="Book Antiqua" w:cs="Minion-Semibold"/>
          <w:bCs/>
          <w:color w:val="231F20"/>
          <w:sz w:val="24"/>
          <w:szCs w:val="24"/>
        </w:rPr>
        <w:t>r</w:t>
      </w:r>
      <w:r w:rsidRPr="00A33C21">
        <w:rPr>
          <w:rFonts w:ascii="Book Antiqua" w:hAnsi="Book Antiqua" w:cs="Minion-Regular"/>
          <w:color w:val="231F20"/>
          <w:sz w:val="24"/>
          <w:szCs w:val="24"/>
        </w:rPr>
        <w:t xml:space="preserve">eplacement </w:t>
      </w:r>
      <w:r w:rsidRPr="00A33C21">
        <w:rPr>
          <w:rFonts w:ascii="Book Antiqua" w:hAnsi="Book Antiqua" w:cs="Minion-Semibold"/>
          <w:bCs/>
          <w:color w:val="231F20"/>
          <w:sz w:val="24"/>
          <w:szCs w:val="24"/>
        </w:rPr>
        <w:t>s</w:t>
      </w:r>
      <w:r w:rsidRPr="00A33C21">
        <w:rPr>
          <w:rFonts w:ascii="Book Antiqua" w:hAnsi="Book Antiqua" w:cs="Minion-Regular"/>
          <w:color w:val="231F20"/>
          <w:sz w:val="24"/>
          <w:szCs w:val="24"/>
        </w:rPr>
        <w:t>ur</w:t>
      </w:r>
      <w:r w:rsidRPr="00A903DD">
        <w:rPr>
          <w:rFonts w:ascii="Book Antiqua" w:hAnsi="Book Antiqua" w:cs="Minion-Regular"/>
          <w:color w:val="231F20"/>
          <w:sz w:val="24"/>
          <w:szCs w:val="24"/>
        </w:rPr>
        <w:t>gery</w:t>
      </w:r>
      <w:r>
        <w:rPr>
          <w:rFonts w:ascii="Book Antiqua" w:hAnsi="Book Antiqua" w:cs="Minion-Regular" w:hint="eastAsia"/>
          <w:color w:val="231F20"/>
          <w:sz w:val="24"/>
          <w:szCs w:val="24"/>
          <w:lang w:eastAsia="zh-CN"/>
        </w:rPr>
        <w:t>.</w:t>
      </w:r>
    </w:p>
    <w:p w:rsidR="00055A82" w:rsidRPr="00A903DD" w:rsidRDefault="00055A82" w:rsidP="00A903DD">
      <w:pPr>
        <w:spacing w:after="0" w:line="360" w:lineRule="auto"/>
        <w:jc w:val="both"/>
        <w:rPr>
          <w:rFonts w:ascii="Book Antiqua" w:hAnsi="Book Antiqua"/>
          <w:sz w:val="24"/>
          <w:szCs w:val="24"/>
        </w:rPr>
      </w:pPr>
    </w:p>
    <w:p w:rsidR="00055A82" w:rsidRPr="00A903DD" w:rsidRDefault="00055A82" w:rsidP="00A903DD">
      <w:pPr>
        <w:spacing w:after="0" w:line="360" w:lineRule="auto"/>
        <w:jc w:val="both"/>
        <w:rPr>
          <w:rFonts w:ascii="Book Antiqua" w:hAnsi="Book Antiqua"/>
          <w:sz w:val="24"/>
          <w:szCs w:val="24"/>
        </w:rPr>
      </w:pPr>
    </w:p>
    <w:sectPr w:rsidR="00055A82" w:rsidRPr="00A903DD" w:rsidSect="002C18BC">
      <w:footerReference w:type="default" r:id="rId11"/>
      <w:pgSz w:w="15840" w:h="12240" w:orient="landscape"/>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6C" w:rsidRDefault="00A3676C" w:rsidP="000532A3">
      <w:pPr>
        <w:spacing w:after="0" w:line="240" w:lineRule="auto"/>
      </w:pPr>
      <w:r>
        <w:separator/>
      </w:r>
    </w:p>
  </w:endnote>
  <w:endnote w:type="continuationSeparator" w:id="0">
    <w:p w:rsidR="00A3676C" w:rsidRDefault="00A3676C" w:rsidP="000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Semibold">
    <w:panose1 w:val="00000000000000000000"/>
    <w:charset w:val="00"/>
    <w:family w:val="auto"/>
    <w:notTrueType/>
    <w:pitch w:val="default"/>
    <w:sig w:usb0="00000003" w:usb1="00000000" w:usb2="00000000" w:usb3="00000000" w:csb0="00000001" w:csb1="00000000"/>
  </w:font>
  <w:font w:name="AGaramond">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93056"/>
      <w:docPartObj>
        <w:docPartGallery w:val="Page Numbers (Bottom of Page)"/>
        <w:docPartUnique/>
      </w:docPartObj>
    </w:sdtPr>
    <w:sdtEndPr>
      <w:rPr>
        <w:noProof/>
      </w:rPr>
    </w:sdtEndPr>
    <w:sdtContent>
      <w:p w:rsidR="006C1DB1" w:rsidRDefault="006C1DB1">
        <w:pPr>
          <w:pStyle w:val="aa"/>
          <w:jc w:val="right"/>
        </w:pPr>
        <w:r>
          <w:fldChar w:fldCharType="begin"/>
        </w:r>
        <w:r>
          <w:instrText xml:space="preserve"> PAGE   \* MERGEFORMAT </w:instrText>
        </w:r>
        <w:r>
          <w:fldChar w:fldCharType="separate"/>
        </w:r>
        <w:r w:rsidR="001612BB">
          <w:rPr>
            <w:noProof/>
          </w:rPr>
          <w:t>62</w:t>
        </w:r>
        <w:r>
          <w:rPr>
            <w:noProof/>
          </w:rPr>
          <w:fldChar w:fldCharType="end"/>
        </w:r>
      </w:p>
    </w:sdtContent>
  </w:sdt>
  <w:p w:rsidR="006C1DB1" w:rsidRDefault="006C1D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6C" w:rsidRDefault="00A3676C" w:rsidP="000532A3">
      <w:pPr>
        <w:spacing w:after="0" w:line="240" w:lineRule="auto"/>
      </w:pPr>
      <w:r>
        <w:separator/>
      </w:r>
    </w:p>
  </w:footnote>
  <w:footnote w:type="continuationSeparator" w:id="0">
    <w:p w:rsidR="00A3676C" w:rsidRDefault="00A3676C" w:rsidP="00053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E70"/>
    <w:multiLevelType w:val="hybridMultilevel"/>
    <w:tmpl w:val="4D648450"/>
    <w:lvl w:ilvl="0" w:tplc="A9AC9F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DB1604"/>
    <w:multiLevelType w:val="hybridMultilevel"/>
    <w:tmpl w:val="48066B90"/>
    <w:lvl w:ilvl="0" w:tplc="3AF40FB8">
      <w:start w:val="28"/>
      <w:numFmt w:val="decimal"/>
      <w:lvlText w:val="%1."/>
      <w:lvlJc w:val="left"/>
      <w:pPr>
        <w:ind w:left="720" w:hanging="360"/>
      </w:pPr>
      <w:rPr>
        <w:rFonts w:cs="AdvOT863180fb"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72B29"/>
    <w:multiLevelType w:val="hybridMultilevel"/>
    <w:tmpl w:val="B4A228C8"/>
    <w:lvl w:ilvl="0" w:tplc="9338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327D3"/>
    <w:multiLevelType w:val="hybridMultilevel"/>
    <w:tmpl w:val="A24C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73B42"/>
    <w:multiLevelType w:val="hybridMultilevel"/>
    <w:tmpl w:val="B9D8150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82B42"/>
    <w:multiLevelType w:val="hybridMultilevel"/>
    <w:tmpl w:val="86DE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F263F"/>
    <w:multiLevelType w:val="hybridMultilevel"/>
    <w:tmpl w:val="D3C827A0"/>
    <w:lvl w:ilvl="0" w:tplc="9AF670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4656C"/>
    <w:multiLevelType w:val="hybridMultilevel"/>
    <w:tmpl w:val="FF8C59FE"/>
    <w:lvl w:ilvl="0" w:tplc="C96EF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66032C"/>
    <w:multiLevelType w:val="hybridMultilevel"/>
    <w:tmpl w:val="1B02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F84ED7"/>
    <w:multiLevelType w:val="hybridMultilevel"/>
    <w:tmpl w:val="0B865212"/>
    <w:lvl w:ilvl="0" w:tplc="0FDE3948">
      <w:start w:val="1"/>
      <w:numFmt w:val="decimal"/>
      <w:lvlText w:val="(%1)"/>
      <w:lvlJc w:val="left"/>
      <w:pPr>
        <w:ind w:left="360" w:hanging="360"/>
      </w:pPr>
      <w:rPr>
        <w:rFonts w:ascii="Book Antiqua" w:eastAsiaTheme="minorEastAsia" w:hAnsi="Book Antiqua"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4A6D66"/>
    <w:multiLevelType w:val="hybridMultilevel"/>
    <w:tmpl w:val="4D4602D8"/>
    <w:lvl w:ilvl="0" w:tplc="C3D68CE2">
      <w:start w:val="3"/>
      <w:numFmt w:val="bullet"/>
      <w:lvlText w:val="-"/>
      <w:lvlJc w:val="left"/>
      <w:pPr>
        <w:ind w:left="360" w:hanging="360"/>
      </w:pPr>
      <w:rPr>
        <w:rFonts w:ascii="Book Antiqua" w:eastAsiaTheme="minorEastAsia" w:hAnsi="Book Antiqua"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D7B63F4"/>
    <w:multiLevelType w:val="hybridMultilevel"/>
    <w:tmpl w:val="7DB63E3C"/>
    <w:lvl w:ilvl="0" w:tplc="FD9AA422">
      <w:start w:val="1"/>
      <w:numFmt w:val="decimal"/>
      <w:lvlText w:val="(%1)"/>
      <w:lvlJc w:val="left"/>
      <w:pPr>
        <w:ind w:left="360" w:hanging="360"/>
      </w:pPr>
      <w:rPr>
        <w:rFonts w:ascii="Book Antiqua" w:eastAsiaTheme="minorEastAsia" w:hAnsi="Book Antiqua"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82FD4"/>
    <w:multiLevelType w:val="hybridMultilevel"/>
    <w:tmpl w:val="0800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31FFD"/>
    <w:multiLevelType w:val="multilevel"/>
    <w:tmpl w:val="DA187A26"/>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197206"/>
    <w:multiLevelType w:val="hybridMultilevel"/>
    <w:tmpl w:val="95FEDC9A"/>
    <w:lvl w:ilvl="0" w:tplc="DD48C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CE4890"/>
    <w:multiLevelType w:val="hybridMultilevel"/>
    <w:tmpl w:val="0EF417EA"/>
    <w:lvl w:ilvl="0" w:tplc="9338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B194E"/>
    <w:multiLevelType w:val="hybridMultilevel"/>
    <w:tmpl w:val="A9CCA73C"/>
    <w:lvl w:ilvl="0" w:tplc="212A8BE2">
      <w:start w:val="1"/>
      <w:numFmt w:val="decimal"/>
      <w:lvlText w:val="(%1)"/>
      <w:lvlJc w:val="left"/>
      <w:pPr>
        <w:ind w:left="360" w:hanging="360"/>
      </w:pPr>
      <w:rPr>
        <w:rFonts w:ascii="Book Antiqua" w:eastAsiaTheme="minorEastAsia" w:hAnsi="Book Antiqua"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F50B17"/>
    <w:multiLevelType w:val="hybridMultilevel"/>
    <w:tmpl w:val="D570C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6F6D3F"/>
    <w:multiLevelType w:val="hybridMultilevel"/>
    <w:tmpl w:val="78F8236C"/>
    <w:lvl w:ilvl="0" w:tplc="BE6A6A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A3CDB"/>
    <w:multiLevelType w:val="hybridMultilevel"/>
    <w:tmpl w:val="EE22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71ED8"/>
    <w:multiLevelType w:val="hybridMultilevel"/>
    <w:tmpl w:val="7528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161DB"/>
    <w:multiLevelType w:val="hybridMultilevel"/>
    <w:tmpl w:val="AA064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5"/>
  </w:num>
  <w:num w:numId="8">
    <w:abstractNumId w:val="5"/>
  </w:num>
  <w:num w:numId="9">
    <w:abstractNumId w:val="8"/>
  </w:num>
  <w:num w:numId="10">
    <w:abstractNumId w:val="9"/>
  </w:num>
  <w:num w:numId="11">
    <w:abstractNumId w:val="16"/>
  </w:num>
  <w:num w:numId="12">
    <w:abstractNumId w:val="17"/>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11"/>
  </w:num>
  <w:num w:numId="19">
    <w:abstractNumId w:val="18"/>
  </w:num>
  <w:num w:numId="20">
    <w:abstractNumId w:val="13"/>
  </w:num>
  <w:num w:numId="21">
    <w:abstractNumId w:val="14"/>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A"/>
    <w:rsid w:val="0000687B"/>
    <w:rsid w:val="000223CA"/>
    <w:rsid w:val="0002604B"/>
    <w:rsid w:val="00032589"/>
    <w:rsid w:val="000327E9"/>
    <w:rsid w:val="00033A71"/>
    <w:rsid w:val="00034E96"/>
    <w:rsid w:val="00037644"/>
    <w:rsid w:val="000376A9"/>
    <w:rsid w:val="000448FC"/>
    <w:rsid w:val="000532A3"/>
    <w:rsid w:val="00055A82"/>
    <w:rsid w:val="00075C9F"/>
    <w:rsid w:val="000840E3"/>
    <w:rsid w:val="00090888"/>
    <w:rsid w:val="00094A97"/>
    <w:rsid w:val="000A1C39"/>
    <w:rsid w:val="000A44D3"/>
    <w:rsid w:val="000A62BF"/>
    <w:rsid w:val="000A708B"/>
    <w:rsid w:val="000A7316"/>
    <w:rsid w:val="000E0A76"/>
    <w:rsid w:val="000E61CB"/>
    <w:rsid w:val="001113FF"/>
    <w:rsid w:val="00115D97"/>
    <w:rsid w:val="00116763"/>
    <w:rsid w:val="00124EB4"/>
    <w:rsid w:val="001261EB"/>
    <w:rsid w:val="0014206C"/>
    <w:rsid w:val="001422DC"/>
    <w:rsid w:val="00142826"/>
    <w:rsid w:val="001431D4"/>
    <w:rsid w:val="001463B6"/>
    <w:rsid w:val="001531A4"/>
    <w:rsid w:val="00155860"/>
    <w:rsid w:val="00157337"/>
    <w:rsid w:val="001612BB"/>
    <w:rsid w:val="00161C0E"/>
    <w:rsid w:val="00173A64"/>
    <w:rsid w:val="00174CD0"/>
    <w:rsid w:val="00180699"/>
    <w:rsid w:val="00186FC1"/>
    <w:rsid w:val="00187CBE"/>
    <w:rsid w:val="0019042E"/>
    <w:rsid w:val="001A3D9F"/>
    <w:rsid w:val="001A5502"/>
    <w:rsid w:val="001B6921"/>
    <w:rsid w:val="001C045B"/>
    <w:rsid w:val="001C155E"/>
    <w:rsid w:val="001C40D2"/>
    <w:rsid w:val="001D1C57"/>
    <w:rsid w:val="00201832"/>
    <w:rsid w:val="00210F8E"/>
    <w:rsid w:val="0021119B"/>
    <w:rsid w:val="002241B2"/>
    <w:rsid w:val="00234A77"/>
    <w:rsid w:val="00236D55"/>
    <w:rsid w:val="00240DF8"/>
    <w:rsid w:val="00243C72"/>
    <w:rsid w:val="002504F6"/>
    <w:rsid w:val="00276F2D"/>
    <w:rsid w:val="002819C7"/>
    <w:rsid w:val="00284FD6"/>
    <w:rsid w:val="00285AAD"/>
    <w:rsid w:val="00286594"/>
    <w:rsid w:val="0029504B"/>
    <w:rsid w:val="00296F3D"/>
    <w:rsid w:val="002A0244"/>
    <w:rsid w:val="002A3B2B"/>
    <w:rsid w:val="002B29EF"/>
    <w:rsid w:val="002C159A"/>
    <w:rsid w:val="002C18BC"/>
    <w:rsid w:val="002D3D87"/>
    <w:rsid w:val="002D55C8"/>
    <w:rsid w:val="002F0E14"/>
    <w:rsid w:val="002F38D6"/>
    <w:rsid w:val="002F59B3"/>
    <w:rsid w:val="0030136C"/>
    <w:rsid w:val="00321ECF"/>
    <w:rsid w:val="00322E30"/>
    <w:rsid w:val="003257FA"/>
    <w:rsid w:val="003369EC"/>
    <w:rsid w:val="00340297"/>
    <w:rsid w:val="00340E8A"/>
    <w:rsid w:val="00341B6C"/>
    <w:rsid w:val="0034762D"/>
    <w:rsid w:val="00356EF0"/>
    <w:rsid w:val="00360434"/>
    <w:rsid w:val="0036231A"/>
    <w:rsid w:val="00362BFE"/>
    <w:rsid w:val="003725F0"/>
    <w:rsid w:val="0038734F"/>
    <w:rsid w:val="00394311"/>
    <w:rsid w:val="003A52A7"/>
    <w:rsid w:val="003B0B75"/>
    <w:rsid w:val="003B279D"/>
    <w:rsid w:val="003B37E6"/>
    <w:rsid w:val="003B62AB"/>
    <w:rsid w:val="003B7705"/>
    <w:rsid w:val="003C6FEA"/>
    <w:rsid w:val="003C75F4"/>
    <w:rsid w:val="003D40BA"/>
    <w:rsid w:val="003D5425"/>
    <w:rsid w:val="003F68C2"/>
    <w:rsid w:val="00405F4B"/>
    <w:rsid w:val="0042140B"/>
    <w:rsid w:val="00423B5B"/>
    <w:rsid w:val="00431953"/>
    <w:rsid w:val="00432B14"/>
    <w:rsid w:val="00444EF0"/>
    <w:rsid w:val="00453BC4"/>
    <w:rsid w:val="004550EC"/>
    <w:rsid w:val="0045524F"/>
    <w:rsid w:val="00460631"/>
    <w:rsid w:val="0046392D"/>
    <w:rsid w:val="00470304"/>
    <w:rsid w:val="00470ED2"/>
    <w:rsid w:val="004818DB"/>
    <w:rsid w:val="004819A0"/>
    <w:rsid w:val="004824FD"/>
    <w:rsid w:val="004919C8"/>
    <w:rsid w:val="004944EE"/>
    <w:rsid w:val="004A2FAC"/>
    <w:rsid w:val="004B5315"/>
    <w:rsid w:val="004B6A03"/>
    <w:rsid w:val="004C1EFE"/>
    <w:rsid w:val="004C240E"/>
    <w:rsid w:val="004D2940"/>
    <w:rsid w:val="004D4B17"/>
    <w:rsid w:val="004F542A"/>
    <w:rsid w:val="005002CA"/>
    <w:rsid w:val="0050377C"/>
    <w:rsid w:val="00504798"/>
    <w:rsid w:val="00526AF6"/>
    <w:rsid w:val="005320DF"/>
    <w:rsid w:val="0054290E"/>
    <w:rsid w:val="00542D77"/>
    <w:rsid w:val="00545333"/>
    <w:rsid w:val="00547719"/>
    <w:rsid w:val="00553E98"/>
    <w:rsid w:val="00561EB2"/>
    <w:rsid w:val="0056455C"/>
    <w:rsid w:val="00566421"/>
    <w:rsid w:val="00570D3C"/>
    <w:rsid w:val="00583604"/>
    <w:rsid w:val="005A475A"/>
    <w:rsid w:val="005C74A6"/>
    <w:rsid w:val="005E63D6"/>
    <w:rsid w:val="005F0A1D"/>
    <w:rsid w:val="006066AD"/>
    <w:rsid w:val="00607AF0"/>
    <w:rsid w:val="0061522F"/>
    <w:rsid w:val="00636CA6"/>
    <w:rsid w:val="00640601"/>
    <w:rsid w:val="00644459"/>
    <w:rsid w:val="00645AAF"/>
    <w:rsid w:val="00657AC7"/>
    <w:rsid w:val="00660C0E"/>
    <w:rsid w:val="00670AD5"/>
    <w:rsid w:val="00677919"/>
    <w:rsid w:val="00683B6E"/>
    <w:rsid w:val="006B3D48"/>
    <w:rsid w:val="006C1DB1"/>
    <w:rsid w:val="006D52F8"/>
    <w:rsid w:val="006E45AD"/>
    <w:rsid w:val="006E5A6F"/>
    <w:rsid w:val="006E5E4B"/>
    <w:rsid w:val="00702AEE"/>
    <w:rsid w:val="00707702"/>
    <w:rsid w:val="007170F0"/>
    <w:rsid w:val="00726557"/>
    <w:rsid w:val="007505C6"/>
    <w:rsid w:val="007525AD"/>
    <w:rsid w:val="007536EC"/>
    <w:rsid w:val="00761B13"/>
    <w:rsid w:val="00775AE9"/>
    <w:rsid w:val="007777E4"/>
    <w:rsid w:val="007800E7"/>
    <w:rsid w:val="00782AB1"/>
    <w:rsid w:val="007849F7"/>
    <w:rsid w:val="00796FF9"/>
    <w:rsid w:val="00797679"/>
    <w:rsid w:val="007A0D3F"/>
    <w:rsid w:val="007A3EA9"/>
    <w:rsid w:val="007E5150"/>
    <w:rsid w:val="007E6EEA"/>
    <w:rsid w:val="007E703B"/>
    <w:rsid w:val="007F2EA0"/>
    <w:rsid w:val="007F48F1"/>
    <w:rsid w:val="00815116"/>
    <w:rsid w:val="00816B3B"/>
    <w:rsid w:val="00816CF7"/>
    <w:rsid w:val="00823E9D"/>
    <w:rsid w:val="008273EB"/>
    <w:rsid w:val="00841E8D"/>
    <w:rsid w:val="0084287E"/>
    <w:rsid w:val="00852E98"/>
    <w:rsid w:val="008539E2"/>
    <w:rsid w:val="0085439D"/>
    <w:rsid w:val="00855D63"/>
    <w:rsid w:val="008652C0"/>
    <w:rsid w:val="008743A4"/>
    <w:rsid w:val="00884C3A"/>
    <w:rsid w:val="00887BBC"/>
    <w:rsid w:val="00887E44"/>
    <w:rsid w:val="008924D5"/>
    <w:rsid w:val="0089377F"/>
    <w:rsid w:val="00894BA1"/>
    <w:rsid w:val="00895999"/>
    <w:rsid w:val="008A7085"/>
    <w:rsid w:val="008B7F63"/>
    <w:rsid w:val="008C5828"/>
    <w:rsid w:val="008D4CF1"/>
    <w:rsid w:val="008E1157"/>
    <w:rsid w:val="00903D91"/>
    <w:rsid w:val="00904A44"/>
    <w:rsid w:val="00906474"/>
    <w:rsid w:val="00914C02"/>
    <w:rsid w:val="00917001"/>
    <w:rsid w:val="00922027"/>
    <w:rsid w:val="0092366B"/>
    <w:rsid w:val="00926138"/>
    <w:rsid w:val="00941C58"/>
    <w:rsid w:val="0094649F"/>
    <w:rsid w:val="00956619"/>
    <w:rsid w:val="00964E7D"/>
    <w:rsid w:val="009651ED"/>
    <w:rsid w:val="009654DB"/>
    <w:rsid w:val="00967F1C"/>
    <w:rsid w:val="00984A64"/>
    <w:rsid w:val="00985904"/>
    <w:rsid w:val="00985C92"/>
    <w:rsid w:val="00991387"/>
    <w:rsid w:val="009A28C8"/>
    <w:rsid w:val="009B32E4"/>
    <w:rsid w:val="009C72A6"/>
    <w:rsid w:val="009D7A67"/>
    <w:rsid w:val="009E7265"/>
    <w:rsid w:val="00A00D71"/>
    <w:rsid w:val="00A035D1"/>
    <w:rsid w:val="00A10F9B"/>
    <w:rsid w:val="00A11971"/>
    <w:rsid w:val="00A16BDA"/>
    <w:rsid w:val="00A1752F"/>
    <w:rsid w:val="00A20F3D"/>
    <w:rsid w:val="00A33C21"/>
    <w:rsid w:val="00A3676C"/>
    <w:rsid w:val="00A53A07"/>
    <w:rsid w:val="00A726B6"/>
    <w:rsid w:val="00A72C4A"/>
    <w:rsid w:val="00A754FB"/>
    <w:rsid w:val="00A76963"/>
    <w:rsid w:val="00A83F94"/>
    <w:rsid w:val="00A903DD"/>
    <w:rsid w:val="00AA23C2"/>
    <w:rsid w:val="00AB39A6"/>
    <w:rsid w:val="00AB747A"/>
    <w:rsid w:val="00AC108E"/>
    <w:rsid w:val="00AE3A7A"/>
    <w:rsid w:val="00AE7600"/>
    <w:rsid w:val="00AF5260"/>
    <w:rsid w:val="00AF6478"/>
    <w:rsid w:val="00B03BF4"/>
    <w:rsid w:val="00B04ABA"/>
    <w:rsid w:val="00B16051"/>
    <w:rsid w:val="00B27723"/>
    <w:rsid w:val="00B321F4"/>
    <w:rsid w:val="00B36A23"/>
    <w:rsid w:val="00B45D77"/>
    <w:rsid w:val="00B53655"/>
    <w:rsid w:val="00B723F0"/>
    <w:rsid w:val="00B725D1"/>
    <w:rsid w:val="00B87109"/>
    <w:rsid w:val="00B879FE"/>
    <w:rsid w:val="00B95B8D"/>
    <w:rsid w:val="00BA3456"/>
    <w:rsid w:val="00BA4B7E"/>
    <w:rsid w:val="00BA79F7"/>
    <w:rsid w:val="00BC0374"/>
    <w:rsid w:val="00BD0F97"/>
    <w:rsid w:val="00BD4069"/>
    <w:rsid w:val="00BD5672"/>
    <w:rsid w:val="00BF2CF7"/>
    <w:rsid w:val="00C00EFA"/>
    <w:rsid w:val="00C072F4"/>
    <w:rsid w:val="00C144D6"/>
    <w:rsid w:val="00C33677"/>
    <w:rsid w:val="00C346A4"/>
    <w:rsid w:val="00C36AE1"/>
    <w:rsid w:val="00C42BF0"/>
    <w:rsid w:val="00C44288"/>
    <w:rsid w:val="00C46D27"/>
    <w:rsid w:val="00C47769"/>
    <w:rsid w:val="00C47FCA"/>
    <w:rsid w:val="00C500AA"/>
    <w:rsid w:val="00C53476"/>
    <w:rsid w:val="00C539A4"/>
    <w:rsid w:val="00C579C6"/>
    <w:rsid w:val="00C738BA"/>
    <w:rsid w:val="00C844C1"/>
    <w:rsid w:val="00C90D9F"/>
    <w:rsid w:val="00C919AD"/>
    <w:rsid w:val="00C925C2"/>
    <w:rsid w:val="00CB06FB"/>
    <w:rsid w:val="00CB1915"/>
    <w:rsid w:val="00CC670C"/>
    <w:rsid w:val="00CD2092"/>
    <w:rsid w:val="00CF1AA9"/>
    <w:rsid w:val="00D00CBA"/>
    <w:rsid w:val="00D028D3"/>
    <w:rsid w:val="00D0426A"/>
    <w:rsid w:val="00D0506C"/>
    <w:rsid w:val="00D12129"/>
    <w:rsid w:val="00D23D2C"/>
    <w:rsid w:val="00D30397"/>
    <w:rsid w:val="00D32B62"/>
    <w:rsid w:val="00D4312D"/>
    <w:rsid w:val="00D55580"/>
    <w:rsid w:val="00D623C9"/>
    <w:rsid w:val="00D76554"/>
    <w:rsid w:val="00D8100D"/>
    <w:rsid w:val="00D83523"/>
    <w:rsid w:val="00D842AE"/>
    <w:rsid w:val="00DA445B"/>
    <w:rsid w:val="00DB12A0"/>
    <w:rsid w:val="00DB190F"/>
    <w:rsid w:val="00DB7FC9"/>
    <w:rsid w:val="00DD2E7B"/>
    <w:rsid w:val="00DE3B1B"/>
    <w:rsid w:val="00DE4991"/>
    <w:rsid w:val="00DE5646"/>
    <w:rsid w:val="00E05E96"/>
    <w:rsid w:val="00E10966"/>
    <w:rsid w:val="00E148C7"/>
    <w:rsid w:val="00E15C79"/>
    <w:rsid w:val="00E31FB3"/>
    <w:rsid w:val="00E32576"/>
    <w:rsid w:val="00E42379"/>
    <w:rsid w:val="00E43C25"/>
    <w:rsid w:val="00E46E4A"/>
    <w:rsid w:val="00E522CA"/>
    <w:rsid w:val="00E53329"/>
    <w:rsid w:val="00E56F2F"/>
    <w:rsid w:val="00E735DC"/>
    <w:rsid w:val="00E74149"/>
    <w:rsid w:val="00E76F8F"/>
    <w:rsid w:val="00E90D74"/>
    <w:rsid w:val="00E9663A"/>
    <w:rsid w:val="00EB6AC9"/>
    <w:rsid w:val="00EC3BCB"/>
    <w:rsid w:val="00EC5DAE"/>
    <w:rsid w:val="00ED00B8"/>
    <w:rsid w:val="00EE5AE4"/>
    <w:rsid w:val="00EE7CDF"/>
    <w:rsid w:val="00EF0784"/>
    <w:rsid w:val="00EF2A5C"/>
    <w:rsid w:val="00EF477A"/>
    <w:rsid w:val="00EF5551"/>
    <w:rsid w:val="00F02666"/>
    <w:rsid w:val="00F13D4B"/>
    <w:rsid w:val="00F23175"/>
    <w:rsid w:val="00F3103C"/>
    <w:rsid w:val="00F31D57"/>
    <w:rsid w:val="00F347D6"/>
    <w:rsid w:val="00F61F2B"/>
    <w:rsid w:val="00F62365"/>
    <w:rsid w:val="00F73147"/>
    <w:rsid w:val="00F8042E"/>
    <w:rsid w:val="00F80CD5"/>
    <w:rsid w:val="00F87C9C"/>
    <w:rsid w:val="00F90542"/>
    <w:rsid w:val="00F9707F"/>
    <w:rsid w:val="00FA2EB3"/>
    <w:rsid w:val="00FA30D6"/>
    <w:rsid w:val="00FA5B6C"/>
    <w:rsid w:val="00FA696B"/>
    <w:rsid w:val="00FB1B3C"/>
    <w:rsid w:val="00FD1A57"/>
    <w:rsid w:val="00FD5821"/>
    <w:rsid w:val="00FF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A"/>
    <w:pPr>
      <w:ind w:left="720"/>
      <w:contextualSpacing/>
    </w:pPr>
  </w:style>
  <w:style w:type="character" w:styleId="a4">
    <w:name w:val="Hyperlink"/>
    <w:basedOn w:val="a0"/>
    <w:uiPriority w:val="99"/>
    <w:unhideWhenUsed/>
    <w:rsid w:val="00C500AA"/>
    <w:rPr>
      <w:color w:val="0000FF" w:themeColor="hyperlink"/>
      <w:u w:val="single"/>
    </w:rPr>
  </w:style>
  <w:style w:type="character" w:styleId="a5">
    <w:name w:val="annotation reference"/>
    <w:basedOn w:val="a0"/>
    <w:semiHidden/>
    <w:unhideWhenUsed/>
    <w:rsid w:val="005C74A6"/>
    <w:rPr>
      <w:sz w:val="16"/>
      <w:szCs w:val="16"/>
    </w:rPr>
  </w:style>
  <w:style w:type="paragraph" w:styleId="a6">
    <w:name w:val="annotation text"/>
    <w:basedOn w:val="a"/>
    <w:link w:val="Char"/>
    <w:unhideWhenUsed/>
    <w:rsid w:val="005C74A6"/>
    <w:pPr>
      <w:spacing w:line="240" w:lineRule="auto"/>
    </w:pPr>
    <w:rPr>
      <w:sz w:val="20"/>
      <w:szCs w:val="20"/>
    </w:rPr>
  </w:style>
  <w:style w:type="character" w:customStyle="1" w:styleId="Char">
    <w:name w:val="批注文字 Char"/>
    <w:basedOn w:val="a0"/>
    <w:link w:val="a6"/>
    <w:rsid w:val="005C74A6"/>
    <w:rPr>
      <w:sz w:val="20"/>
      <w:szCs w:val="20"/>
    </w:rPr>
  </w:style>
  <w:style w:type="paragraph" w:styleId="a7">
    <w:name w:val="annotation subject"/>
    <w:basedOn w:val="a6"/>
    <w:next w:val="a6"/>
    <w:link w:val="Char0"/>
    <w:uiPriority w:val="99"/>
    <w:semiHidden/>
    <w:unhideWhenUsed/>
    <w:rsid w:val="005C74A6"/>
    <w:rPr>
      <w:b/>
      <w:bCs/>
    </w:rPr>
  </w:style>
  <w:style w:type="character" w:customStyle="1" w:styleId="Char0">
    <w:name w:val="批注主题 Char"/>
    <w:basedOn w:val="Char"/>
    <w:link w:val="a7"/>
    <w:uiPriority w:val="99"/>
    <w:semiHidden/>
    <w:rsid w:val="005C74A6"/>
    <w:rPr>
      <w:b/>
      <w:bCs/>
      <w:sz w:val="20"/>
      <w:szCs w:val="20"/>
    </w:rPr>
  </w:style>
  <w:style w:type="paragraph" w:styleId="a8">
    <w:name w:val="Balloon Text"/>
    <w:basedOn w:val="a"/>
    <w:link w:val="Char1"/>
    <w:uiPriority w:val="99"/>
    <w:semiHidden/>
    <w:unhideWhenUsed/>
    <w:rsid w:val="005C74A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5C74A6"/>
    <w:rPr>
      <w:rFonts w:ascii="Tahoma" w:hAnsi="Tahoma" w:cs="Tahoma"/>
      <w:sz w:val="16"/>
      <w:szCs w:val="16"/>
    </w:rPr>
  </w:style>
  <w:style w:type="paragraph" w:styleId="a9">
    <w:name w:val="header"/>
    <w:basedOn w:val="a"/>
    <w:link w:val="Char2"/>
    <w:uiPriority w:val="99"/>
    <w:unhideWhenUsed/>
    <w:rsid w:val="000532A3"/>
    <w:pPr>
      <w:tabs>
        <w:tab w:val="center" w:pos="4680"/>
        <w:tab w:val="right" w:pos="9360"/>
      </w:tabs>
      <w:spacing w:after="0" w:line="240" w:lineRule="auto"/>
    </w:pPr>
  </w:style>
  <w:style w:type="character" w:customStyle="1" w:styleId="Char2">
    <w:name w:val="页眉 Char"/>
    <w:basedOn w:val="a0"/>
    <w:link w:val="a9"/>
    <w:uiPriority w:val="99"/>
    <w:rsid w:val="000532A3"/>
  </w:style>
  <w:style w:type="paragraph" w:styleId="aa">
    <w:name w:val="footer"/>
    <w:basedOn w:val="a"/>
    <w:link w:val="Char3"/>
    <w:uiPriority w:val="99"/>
    <w:unhideWhenUsed/>
    <w:rsid w:val="000532A3"/>
    <w:pPr>
      <w:tabs>
        <w:tab w:val="center" w:pos="4680"/>
        <w:tab w:val="right" w:pos="9360"/>
      </w:tabs>
      <w:spacing w:after="0" w:line="240" w:lineRule="auto"/>
    </w:pPr>
  </w:style>
  <w:style w:type="character" w:customStyle="1" w:styleId="Char3">
    <w:name w:val="页脚 Char"/>
    <w:basedOn w:val="a0"/>
    <w:link w:val="aa"/>
    <w:uiPriority w:val="99"/>
    <w:rsid w:val="000532A3"/>
  </w:style>
  <w:style w:type="table" w:styleId="ab">
    <w:name w:val="Table Grid"/>
    <w:basedOn w:val="a1"/>
    <w:uiPriority w:val="59"/>
    <w:rsid w:val="00A53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40297"/>
    <w:pPr>
      <w:spacing w:after="0" w:line="240" w:lineRule="auto"/>
    </w:pPr>
    <w:rPr>
      <w:rFonts w:ascii="Times New Roman" w:hAnsi="Times New Roman" w:cs="Times New Roman"/>
      <w:sz w:val="24"/>
      <w:szCs w:val="24"/>
    </w:rPr>
  </w:style>
  <w:style w:type="character" w:styleId="ad">
    <w:name w:val="Emphasis"/>
    <w:basedOn w:val="a0"/>
    <w:uiPriority w:val="20"/>
    <w:qFormat/>
    <w:rsid w:val="00340297"/>
    <w:rPr>
      <w:i/>
      <w:iCs/>
    </w:rPr>
  </w:style>
  <w:style w:type="paragraph" w:styleId="ae">
    <w:name w:val="Plain Text"/>
    <w:basedOn w:val="a"/>
    <w:link w:val="Char4"/>
    <w:rsid w:val="00A903DD"/>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A903DD"/>
    <w:rPr>
      <w:rFonts w:ascii="宋体" w:eastAsia="宋体" w:hAnsi="Courier New" w:cs="Courier New"/>
      <w:kern w:val="2"/>
      <w:sz w:val="21"/>
      <w:szCs w:val="21"/>
      <w:lang w:eastAsia="zh-CN"/>
    </w:rPr>
  </w:style>
  <w:style w:type="character" w:customStyle="1" w:styleId="apple-converted-space">
    <w:name w:val="apple-converted-space"/>
    <w:basedOn w:val="a0"/>
    <w:rsid w:val="00750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A"/>
    <w:pPr>
      <w:ind w:left="720"/>
      <w:contextualSpacing/>
    </w:pPr>
  </w:style>
  <w:style w:type="character" w:styleId="a4">
    <w:name w:val="Hyperlink"/>
    <w:basedOn w:val="a0"/>
    <w:uiPriority w:val="99"/>
    <w:unhideWhenUsed/>
    <w:rsid w:val="00C500AA"/>
    <w:rPr>
      <w:color w:val="0000FF" w:themeColor="hyperlink"/>
      <w:u w:val="single"/>
    </w:rPr>
  </w:style>
  <w:style w:type="character" w:styleId="a5">
    <w:name w:val="annotation reference"/>
    <w:basedOn w:val="a0"/>
    <w:semiHidden/>
    <w:unhideWhenUsed/>
    <w:rsid w:val="005C74A6"/>
    <w:rPr>
      <w:sz w:val="16"/>
      <w:szCs w:val="16"/>
    </w:rPr>
  </w:style>
  <w:style w:type="paragraph" w:styleId="a6">
    <w:name w:val="annotation text"/>
    <w:basedOn w:val="a"/>
    <w:link w:val="Char"/>
    <w:unhideWhenUsed/>
    <w:rsid w:val="005C74A6"/>
    <w:pPr>
      <w:spacing w:line="240" w:lineRule="auto"/>
    </w:pPr>
    <w:rPr>
      <w:sz w:val="20"/>
      <w:szCs w:val="20"/>
    </w:rPr>
  </w:style>
  <w:style w:type="character" w:customStyle="1" w:styleId="Char">
    <w:name w:val="批注文字 Char"/>
    <w:basedOn w:val="a0"/>
    <w:link w:val="a6"/>
    <w:rsid w:val="005C74A6"/>
    <w:rPr>
      <w:sz w:val="20"/>
      <w:szCs w:val="20"/>
    </w:rPr>
  </w:style>
  <w:style w:type="paragraph" w:styleId="a7">
    <w:name w:val="annotation subject"/>
    <w:basedOn w:val="a6"/>
    <w:next w:val="a6"/>
    <w:link w:val="Char0"/>
    <w:uiPriority w:val="99"/>
    <w:semiHidden/>
    <w:unhideWhenUsed/>
    <w:rsid w:val="005C74A6"/>
    <w:rPr>
      <w:b/>
      <w:bCs/>
    </w:rPr>
  </w:style>
  <w:style w:type="character" w:customStyle="1" w:styleId="Char0">
    <w:name w:val="批注主题 Char"/>
    <w:basedOn w:val="Char"/>
    <w:link w:val="a7"/>
    <w:uiPriority w:val="99"/>
    <w:semiHidden/>
    <w:rsid w:val="005C74A6"/>
    <w:rPr>
      <w:b/>
      <w:bCs/>
      <w:sz w:val="20"/>
      <w:szCs w:val="20"/>
    </w:rPr>
  </w:style>
  <w:style w:type="paragraph" w:styleId="a8">
    <w:name w:val="Balloon Text"/>
    <w:basedOn w:val="a"/>
    <w:link w:val="Char1"/>
    <w:uiPriority w:val="99"/>
    <w:semiHidden/>
    <w:unhideWhenUsed/>
    <w:rsid w:val="005C74A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5C74A6"/>
    <w:rPr>
      <w:rFonts w:ascii="Tahoma" w:hAnsi="Tahoma" w:cs="Tahoma"/>
      <w:sz w:val="16"/>
      <w:szCs w:val="16"/>
    </w:rPr>
  </w:style>
  <w:style w:type="paragraph" w:styleId="a9">
    <w:name w:val="header"/>
    <w:basedOn w:val="a"/>
    <w:link w:val="Char2"/>
    <w:uiPriority w:val="99"/>
    <w:unhideWhenUsed/>
    <w:rsid w:val="000532A3"/>
    <w:pPr>
      <w:tabs>
        <w:tab w:val="center" w:pos="4680"/>
        <w:tab w:val="right" w:pos="9360"/>
      </w:tabs>
      <w:spacing w:after="0" w:line="240" w:lineRule="auto"/>
    </w:pPr>
  </w:style>
  <w:style w:type="character" w:customStyle="1" w:styleId="Char2">
    <w:name w:val="页眉 Char"/>
    <w:basedOn w:val="a0"/>
    <w:link w:val="a9"/>
    <w:uiPriority w:val="99"/>
    <w:rsid w:val="000532A3"/>
  </w:style>
  <w:style w:type="paragraph" w:styleId="aa">
    <w:name w:val="footer"/>
    <w:basedOn w:val="a"/>
    <w:link w:val="Char3"/>
    <w:uiPriority w:val="99"/>
    <w:unhideWhenUsed/>
    <w:rsid w:val="000532A3"/>
    <w:pPr>
      <w:tabs>
        <w:tab w:val="center" w:pos="4680"/>
        <w:tab w:val="right" w:pos="9360"/>
      </w:tabs>
      <w:spacing w:after="0" w:line="240" w:lineRule="auto"/>
    </w:pPr>
  </w:style>
  <w:style w:type="character" w:customStyle="1" w:styleId="Char3">
    <w:name w:val="页脚 Char"/>
    <w:basedOn w:val="a0"/>
    <w:link w:val="aa"/>
    <w:uiPriority w:val="99"/>
    <w:rsid w:val="000532A3"/>
  </w:style>
  <w:style w:type="table" w:styleId="ab">
    <w:name w:val="Table Grid"/>
    <w:basedOn w:val="a1"/>
    <w:uiPriority w:val="59"/>
    <w:rsid w:val="00A53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40297"/>
    <w:pPr>
      <w:spacing w:after="0" w:line="240" w:lineRule="auto"/>
    </w:pPr>
    <w:rPr>
      <w:rFonts w:ascii="Times New Roman" w:hAnsi="Times New Roman" w:cs="Times New Roman"/>
      <w:sz w:val="24"/>
      <w:szCs w:val="24"/>
    </w:rPr>
  </w:style>
  <w:style w:type="character" w:styleId="ad">
    <w:name w:val="Emphasis"/>
    <w:basedOn w:val="a0"/>
    <w:uiPriority w:val="20"/>
    <w:qFormat/>
    <w:rsid w:val="00340297"/>
    <w:rPr>
      <w:i/>
      <w:iCs/>
    </w:rPr>
  </w:style>
  <w:style w:type="paragraph" w:styleId="ae">
    <w:name w:val="Plain Text"/>
    <w:basedOn w:val="a"/>
    <w:link w:val="Char4"/>
    <w:rsid w:val="00A903DD"/>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e"/>
    <w:rsid w:val="00A903DD"/>
    <w:rPr>
      <w:rFonts w:ascii="宋体" w:eastAsia="宋体" w:hAnsi="Courier New" w:cs="Courier New"/>
      <w:kern w:val="2"/>
      <w:sz w:val="21"/>
      <w:szCs w:val="21"/>
      <w:lang w:eastAsia="zh-CN"/>
    </w:rPr>
  </w:style>
  <w:style w:type="character" w:customStyle="1" w:styleId="apple-converted-space">
    <w:name w:val="apple-converted-space"/>
    <w:basedOn w:val="a0"/>
    <w:rsid w:val="0075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6123">
      <w:bodyDiv w:val="1"/>
      <w:marLeft w:val="0"/>
      <w:marRight w:val="0"/>
      <w:marTop w:val="0"/>
      <w:marBottom w:val="0"/>
      <w:divBdr>
        <w:top w:val="none" w:sz="0" w:space="0" w:color="auto"/>
        <w:left w:val="none" w:sz="0" w:space="0" w:color="auto"/>
        <w:bottom w:val="none" w:sz="0" w:space="0" w:color="auto"/>
        <w:right w:val="none" w:sz="0" w:space="0" w:color="auto"/>
      </w:divBdr>
      <w:divsChild>
        <w:div w:id="581066012">
          <w:marLeft w:val="0"/>
          <w:marRight w:val="0"/>
          <w:marTop w:val="0"/>
          <w:marBottom w:val="0"/>
          <w:divBdr>
            <w:top w:val="none" w:sz="0" w:space="0" w:color="auto"/>
            <w:left w:val="none" w:sz="0" w:space="0" w:color="auto"/>
            <w:bottom w:val="none" w:sz="0" w:space="0" w:color="auto"/>
            <w:right w:val="none" w:sz="0" w:space="0" w:color="auto"/>
          </w:divBdr>
          <w:divsChild>
            <w:div w:id="50160159">
              <w:marLeft w:val="0"/>
              <w:marRight w:val="0"/>
              <w:marTop w:val="0"/>
              <w:marBottom w:val="0"/>
              <w:divBdr>
                <w:top w:val="none" w:sz="0" w:space="0" w:color="auto"/>
                <w:left w:val="none" w:sz="0" w:space="0" w:color="auto"/>
                <w:bottom w:val="none" w:sz="0" w:space="0" w:color="auto"/>
                <w:right w:val="none" w:sz="0" w:space="0" w:color="auto"/>
              </w:divBdr>
            </w:div>
            <w:div w:id="1709910785">
              <w:marLeft w:val="0"/>
              <w:marRight w:val="0"/>
              <w:marTop w:val="0"/>
              <w:marBottom w:val="0"/>
              <w:divBdr>
                <w:top w:val="none" w:sz="0" w:space="0" w:color="auto"/>
                <w:left w:val="none" w:sz="0" w:space="0" w:color="auto"/>
                <w:bottom w:val="none" w:sz="0" w:space="0" w:color="auto"/>
                <w:right w:val="none" w:sz="0" w:space="0" w:color="auto"/>
              </w:divBdr>
            </w:div>
            <w:div w:id="1450053767">
              <w:marLeft w:val="0"/>
              <w:marRight w:val="0"/>
              <w:marTop w:val="0"/>
              <w:marBottom w:val="0"/>
              <w:divBdr>
                <w:top w:val="none" w:sz="0" w:space="0" w:color="auto"/>
                <w:left w:val="none" w:sz="0" w:space="0" w:color="auto"/>
                <w:bottom w:val="none" w:sz="0" w:space="0" w:color="auto"/>
                <w:right w:val="none" w:sz="0" w:space="0" w:color="auto"/>
              </w:divBdr>
            </w:div>
            <w:div w:id="127015213">
              <w:marLeft w:val="0"/>
              <w:marRight w:val="0"/>
              <w:marTop w:val="0"/>
              <w:marBottom w:val="0"/>
              <w:divBdr>
                <w:top w:val="none" w:sz="0" w:space="0" w:color="auto"/>
                <w:left w:val="none" w:sz="0" w:space="0" w:color="auto"/>
                <w:bottom w:val="none" w:sz="0" w:space="0" w:color="auto"/>
                <w:right w:val="none" w:sz="0" w:space="0" w:color="auto"/>
              </w:divBdr>
            </w:div>
            <w:div w:id="1917474949">
              <w:marLeft w:val="0"/>
              <w:marRight w:val="0"/>
              <w:marTop w:val="0"/>
              <w:marBottom w:val="0"/>
              <w:divBdr>
                <w:top w:val="none" w:sz="0" w:space="0" w:color="auto"/>
                <w:left w:val="none" w:sz="0" w:space="0" w:color="auto"/>
                <w:bottom w:val="none" w:sz="0" w:space="0" w:color="auto"/>
                <w:right w:val="none" w:sz="0" w:space="0" w:color="auto"/>
              </w:divBdr>
            </w:div>
            <w:div w:id="2119331936">
              <w:marLeft w:val="0"/>
              <w:marRight w:val="0"/>
              <w:marTop w:val="0"/>
              <w:marBottom w:val="0"/>
              <w:divBdr>
                <w:top w:val="none" w:sz="0" w:space="0" w:color="auto"/>
                <w:left w:val="none" w:sz="0" w:space="0" w:color="auto"/>
                <w:bottom w:val="none" w:sz="0" w:space="0" w:color="auto"/>
                <w:right w:val="none" w:sz="0" w:space="0" w:color="auto"/>
              </w:divBdr>
            </w:div>
            <w:div w:id="1099176312">
              <w:marLeft w:val="0"/>
              <w:marRight w:val="0"/>
              <w:marTop w:val="0"/>
              <w:marBottom w:val="0"/>
              <w:divBdr>
                <w:top w:val="none" w:sz="0" w:space="0" w:color="auto"/>
                <w:left w:val="none" w:sz="0" w:space="0" w:color="auto"/>
                <w:bottom w:val="none" w:sz="0" w:space="0" w:color="auto"/>
                <w:right w:val="none" w:sz="0" w:space="0" w:color="auto"/>
              </w:divBdr>
            </w:div>
            <w:div w:id="797183976">
              <w:marLeft w:val="0"/>
              <w:marRight w:val="0"/>
              <w:marTop w:val="0"/>
              <w:marBottom w:val="0"/>
              <w:divBdr>
                <w:top w:val="none" w:sz="0" w:space="0" w:color="auto"/>
                <w:left w:val="none" w:sz="0" w:space="0" w:color="auto"/>
                <w:bottom w:val="none" w:sz="0" w:space="0" w:color="auto"/>
                <w:right w:val="none" w:sz="0" w:space="0" w:color="auto"/>
              </w:divBdr>
            </w:div>
            <w:div w:id="1131051352">
              <w:marLeft w:val="0"/>
              <w:marRight w:val="0"/>
              <w:marTop w:val="0"/>
              <w:marBottom w:val="0"/>
              <w:divBdr>
                <w:top w:val="none" w:sz="0" w:space="0" w:color="auto"/>
                <w:left w:val="none" w:sz="0" w:space="0" w:color="auto"/>
                <w:bottom w:val="none" w:sz="0" w:space="0" w:color="auto"/>
                <w:right w:val="none" w:sz="0" w:space="0" w:color="auto"/>
              </w:divBdr>
            </w:div>
            <w:div w:id="1658991519">
              <w:marLeft w:val="0"/>
              <w:marRight w:val="0"/>
              <w:marTop w:val="0"/>
              <w:marBottom w:val="0"/>
              <w:divBdr>
                <w:top w:val="none" w:sz="0" w:space="0" w:color="auto"/>
                <w:left w:val="none" w:sz="0" w:space="0" w:color="auto"/>
                <w:bottom w:val="none" w:sz="0" w:space="0" w:color="auto"/>
                <w:right w:val="none" w:sz="0" w:space="0" w:color="auto"/>
              </w:divBdr>
            </w:div>
            <w:div w:id="1827748152">
              <w:marLeft w:val="0"/>
              <w:marRight w:val="0"/>
              <w:marTop w:val="0"/>
              <w:marBottom w:val="0"/>
              <w:divBdr>
                <w:top w:val="none" w:sz="0" w:space="0" w:color="auto"/>
                <w:left w:val="none" w:sz="0" w:space="0" w:color="auto"/>
                <w:bottom w:val="none" w:sz="0" w:space="0" w:color="auto"/>
                <w:right w:val="none" w:sz="0" w:space="0" w:color="auto"/>
              </w:divBdr>
            </w:div>
            <w:div w:id="966618106">
              <w:marLeft w:val="0"/>
              <w:marRight w:val="0"/>
              <w:marTop w:val="0"/>
              <w:marBottom w:val="0"/>
              <w:divBdr>
                <w:top w:val="none" w:sz="0" w:space="0" w:color="auto"/>
                <w:left w:val="none" w:sz="0" w:space="0" w:color="auto"/>
                <w:bottom w:val="none" w:sz="0" w:space="0" w:color="auto"/>
                <w:right w:val="none" w:sz="0" w:space="0" w:color="auto"/>
              </w:divBdr>
            </w:div>
            <w:div w:id="2050108479">
              <w:marLeft w:val="0"/>
              <w:marRight w:val="0"/>
              <w:marTop w:val="0"/>
              <w:marBottom w:val="0"/>
              <w:divBdr>
                <w:top w:val="none" w:sz="0" w:space="0" w:color="auto"/>
                <w:left w:val="none" w:sz="0" w:space="0" w:color="auto"/>
                <w:bottom w:val="none" w:sz="0" w:space="0" w:color="auto"/>
                <w:right w:val="none" w:sz="0" w:space="0" w:color="auto"/>
              </w:divBdr>
            </w:div>
            <w:div w:id="124474857">
              <w:marLeft w:val="0"/>
              <w:marRight w:val="0"/>
              <w:marTop w:val="0"/>
              <w:marBottom w:val="0"/>
              <w:divBdr>
                <w:top w:val="none" w:sz="0" w:space="0" w:color="auto"/>
                <w:left w:val="none" w:sz="0" w:space="0" w:color="auto"/>
                <w:bottom w:val="none" w:sz="0" w:space="0" w:color="auto"/>
                <w:right w:val="none" w:sz="0" w:space="0" w:color="auto"/>
              </w:divBdr>
            </w:div>
            <w:div w:id="4133583">
              <w:marLeft w:val="0"/>
              <w:marRight w:val="0"/>
              <w:marTop w:val="0"/>
              <w:marBottom w:val="0"/>
              <w:divBdr>
                <w:top w:val="none" w:sz="0" w:space="0" w:color="auto"/>
                <w:left w:val="none" w:sz="0" w:space="0" w:color="auto"/>
                <w:bottom w:val="none" w:sz="0" w:space="0" w:color="auto"/>
                <w:right w:val="none" w:sz="0" w:space="0" w:color="auto"/>
              </w:divBdr>
            </w:div>
            <w:div w:id="431053584">
              <w:marLeft w:val="0"/>
              <w:marRight w:val="0"/>
              <w:marTop w:val="0"/>
              <w:marBottom w:val="0"/>
              <w:divBdr>
                <w:top w:val="none" w:sz="0" w:space="0" w:color="auto"/>
                <w:left w:val="none" w:sz="0" w:space="0" w:color="auto"/>
                <w:bottom w:val="none" w:sz="0" w:space="0" w:color="auto"/>
                <w:right w:val="none" w:sz="0" w:space="0" w:color="auto"/>
              </w:divBdr>
            </w:div>
            <w:div w:id="434404848">
              <w:marLeft w:val="0"/>
              <w:marRight w:val="0"/>
              <w:marTop w:val="0"/>
              <w:marBottom w:val="0"/>
              <w:divBdr>
                <w:top w:val="none" w:sz="0" w:space="0" w:color="auto"/>
                <w:left w:val="none" w:sz="0" w:space="0" w:color="auto"/>
                <w:bottom w:val="none" w:sz="0" w:space="0" w:color="auto"/>
                <w:right w:val="none" w:sz="0" w:space="0" w:color="auto"/>
              </w:divBdr>
            </w:div>
            <w:div w:id="2107379172">
              <w:marLeft w:val="0"/>
              <w:marRight w:val="0"/>
              <w:marTop w:val="0"/>
              <w:marBottom w:val="0"/>
              <w:divBdr>
                <w:top w:val="none" w:sz="0" w:space="0" w:color="auto"/>
                <w:left w:val="none" w:sz="0" w:space="0" w:color="auto"/>
                <w:bottom w:val="none" w:sz="0" w:space="0" w:color="auto"/>
                <w:right w:val="none" w:sz="0" w:space="0" w:color="auto"/>
              </w:divBdr>
            </w:div>
            <w:div w:id="1859537881">
              <w:marLeft w:val="0"/>
              <w:marRight w:val="0"/>
              <w:marTop w:val="0"/>
              <w:marBottom w:val="0"/>
              <w:divBdr>
                <w:top w:val="none" w:sz="0" w:space="0" w:color="auto"/>
                <w:left w:val="none" w:sz="0" w:space="0" w:color="auto"/>
                <w:bottom w:val="none" w:sz="0" w:space="0" w:color="auto"/>
                <w:right w:val="none" w:sz="0" w:space="0" w:color="auto"/>
              </w:divBdr>
            </w:div>
            <w:div w:id="1545798933">
              <w:marLeft w:val="0"/>
              <w:marRight w:val="0"/>
              <w:marTop w:val="0"/>
              <w:marBottom w:val="0"/>
              <w:divBdr>
                <w:top w:val="none" w:sz="0" w:space="0" w:color="auto"/>
                <w:left w:val="none" w:sz="0" w:space="0" w:color="auto"/>
                <w:bottom w:val="none" w:sz="0" w:space="0" w:color="auto"/>
                <w:right w:val="none" w:sz="0" w:space="0" w:color="auto"/>
              </w:divBdr>
            </w:div>
            <w:div w:id="2050765603">
              <w:marLeft w:val="0"/>
              <w:marRight w:val="0"/>
              <w:marTop w:val="0"/>
              <w:marBottom w:val="0"/>
              <w:divBdr>
                <w:top w:val="none" w:sz="0" w:space="0" w:color="auto"/>
                <w:left w:val="none" w:sz="0" w:space="0" w:color="auto"/>
                <w:bottom w:val="none" w:sz="0" w:space="0" w:color="auto"/>
                <w:right w:val="none" w:sz="0" w:space="0" w:color="auto"/>
              </w:divBdr>
            </w:div>
            <w:div w:id="1484662849">
              <w:marLeft w:val="0"/>
              <w:marRight w:val="0"/>
              <w:marTop w:val="0"/>
              <w:marBottom w:val="0"/>
              <w:divBdr>
                <w:top w:val="none" w:sz="0" w:space="0" w:color="auto"/>
                <w:left w:val="none" w:sz="0" w:space="0" w:color="auto"/>
                <w:bottom w:val="none" w:sz="0" w:space="0" w:color="auto"/>
                <w:right w:val="none" w:sz="0" w:space="0" w:color="auto"/>
              </w:divBdr>
            </w:div>
            <w:div w:id="1433237890">
              <w:marLeft w:val="0"/>
              <w:marRight w:val="0"/>
              <w:marTop w:val="0"/>
              <w:marBottom w:val="0"/>
              <w:divBdr>
                <w:top w:val="none" w:sz="0" w:space="0" w:color="auto"/>
                <w:left w:val="none" w:sz="0" w:space="0" w:color="auto"/>
                <w:bottom w:val="none" w:sz="0" w:space="0" w:color="auto"/>
                <w:right w:val="none" w:sz="0" w:space="0" w:color="auto"/>
              </w:divBdr>
            </w:div>
            <w:div w:id="194391592">
              <w:marLeft w:val="0"/>
              <w:marRight w:val="0"/>
              <w:marTop w:val="0"/>
              <w:marBottom w:val="0"/>
              <w:divBdr>
                <w:top w:val="none" w:sz="0" w:space="0" w:color="auto"/>
                <w:left w:val="none" w:sz="0" w:space="0" w:color="auto"/>
                <w:bottom w:val="none" w:sz="0" w:space="0" w:color="auto"/>
                <w:right w:val="none" w:sz="0" w:space="0" w:color="auto"/>
              </w:divBdr>
            </w:div>
            <w:div w:id="1564949854">
              <w:marLeft w:val="0"/>
              <w:marRight w:val="0"/>
              <w:marTop w:val="0"/>
              <w:marBottom w:val="0"/>
              <w:divBdr>
                <w:top w:val="none" w:sz="0" w:space="0" w:color="auto"/>
                <w:left w:val="none" w:sz="0" w:space="0" w:color="auto"/>
                <w:bottom w:val="none" w:sz="0" w:space="0" w:color="auto"/>
                <w:right w:val="none" w:sz="0" w:space="0" w:color="auto"/>
              </w:divBdr>
            </w:div>
            <w:div w:id="1667856587">
              <w:marLeft w:val="0"/>
              <w:marRight w:val="0"/>
              <w:marTop w:val="0"/>
              <w:marBottom w:val="0"/>
              <w:divBdr>
                <w:top w:val="none" w:sz="0" w:space="0" w:color="auto"/>
                <w:left w:val="none" w:sz="0" w:space="0" w:color="auto"/>
                <w:bottom w:val="none" w:sz="0" w:space="0" w:color="auto"/>
                <w:right w:val="none" w:sz="0" w:space="0" w:color="auto"/>
              </w:divBdr>
            </w:div>
            <w:div w:id="1111514557">
              <w:marLeft w:val="0"/>
              <w:marRight w:val="0"/>
              <w:marTop w:val="0"/>
              <w:marBottom w:val="0"/>
              <w:divBdr>
                <w:top w:val="none" w:sz="0" w:space="0" w:color="auto"/>
                <w:left w:val="none" w:sz="0" w:space="0" w:color="auto"/>
                <w:bottom w:val="none" w:sz="0" w:space="0" w:color="auto"/>
                <w:right w:val="none" w:sz="0" w:space="0" w:color="auto"/>
              </w:divBdr>
            </w:div>
            <w:div w:id="1001589451">
              <w:marLeft w:val="0"/>
              <w:marRight w:val="0"/>
              <w:marTop w:val="0"/>
              <w:marBottom w:val="0"/>
              <w:divBdr>
                <w:top w:val="none" w:sz="0" w:space="0" w:color="auto"/>
                <w:left w:val="none" w:sz="0" w:space="0" w:color="auto"/>
                <w:bottom w:val="none" w:sz="0" w:space="0" w:color="auto"/>
                <w:right w:val="none" w:sz="0" w:space="0" w:color="auto"/>
              </w:divBdr>
            </w:div>
            <w:div w:id="95714603">
              <w:marLeft w:val="0"/>
              <w:marRight w:val="0"/>
              <w:marTop w:val="0"/>
              <w:marBottom w:val="0"/>
              <w:divBdr>
                <w:top w:val="none" w:sz="0" w:space="0" w:color="auto"/>
                <w:left w:val="none" w:sz="0" w:space="0" w:color="auto"/>
                <w:bottom w:val="none" w:sz="0" w:space="0" w:color="auto"/>
                <w:right w:val="none" w:sz="0" w:space="0" w:color="auto"/>
              </w:divBdr>
            </w:div>
            <w:div w:id="2142923005">
              <w:marLeft w:val="0"/>
              <w:marRight w:val="0"/>
              <w:marTop w:val="0"/>
              <w:marBottom w:val="0"/>
              <w:divBdr>
                <w:top w:val="none" w:sz="0" w:space="0" w:color="auto"/>
                <w:left w:val="none" w:sz="0" w:space="0" w:color="auto"/>
                <w:bottom w:val="none" w:sz="0" w:space="0" w:color="auto"/>
                <w:right w:val="none" w:sz="0" w:space="0" w:color="auto"/>
              </w:divBdr>
            </w:div>
            <w:div w:id="1699816885">
              <w:marLeft w:val="0"/>
              <w:marRight w:val="0"/>
              <w:marTop w:val="0"/>
              <w:marBottom w:val="0"/>
              <w:divBdr>
                <w:top w:val="none" w:sz="0" w:space="0" w:color="auto"/>
                <w:left w:val="none" w:sz="0" w:space="0" w:color="auto"/>
                <w:bottom w:val="none" w:sz="0" w:space="0" w:color="auto"/>
                <w:right w:val="none" w:sz="0" w:space="0" w:color="auto"/>
              </w:divBdr>
            </w:div>
            <w:div w:id="311570801">
              <w:marLeft w:val="0"/>
              <w:marRight w:val="0"/>
              <w:marTop w:val="0"/>
              <w:marBottom w:val="0"/>
              <w:divBdr>
                <w:top w:val="none" w:sz="0" w:space="0" w:color="auto"/>
                <w:left w:val="none" w:sz="0" w:space="0" w:color="auto"/>
                <w:bottom w:val="none" w:sz="0" w:space="0" w:color="auto"/>
                <w:right w:val="none" w:sz="0" w:space="0" w:color="auto"/>
              </w:divBdr>
            </w:div>
            <w:div w:id="1520585929">
              <w:marLeft w:val="0"/>
              <w:marRight w:val="0"/>
              <w:marTop w:val="0"/>
              <w:marBottom w:val="0"/>
              <w:divBdr>
                <w:top w:val="none" w:sz="0" w:space="0" w:color="auto"/>
                <w:left w:val="none" w:sz="0" w:space="0" w:color="auto"/>
                <w:bottom w:val="none" w:sz="0" w:space="0" w:color="auto"/>
                <w:right w:val="none" w:sz="0" w:space="0" w:color="auto"/>
              </w:divBdr>
            </w:div>
            <w:div w:id="1446466050">
              <w:marLeft w:val="0"/>
              <w:marRight w:val="0"/>
              <w:marTop w:val="0"/>
              <w:marBottom w:val="0"/>
              <w:divBdr>
                <w:top w:val="none" w:sz="0" w:space="0" w:color="auto"/>
                <w:left w:val="none" w:sz="0" w:space="0" w:color="auto"/>
                <w:bottom w:val="none" w:sz="0" w:space="0" w:color="auto"/>
                <w:right w:val="none" w:sz="0" w:space="0" w:color="auto"/>
              </w:divBdr>
            </w:div>
            <w:div w:id="897937517">
              <w:marLeft w:val="0"/>
              <w:marRight w:val="0"/>
              <w:marTop w:val="0"/>
              <w:marBottom w:val="0"/>
              <w:divBdr>
                <w:top w:val="none" w:sz="0" w:space="0" w:color="auto"/>
                <w:left w:val="none" w:sz="0" w:space="0" w:color="auto"/>
                <w:bottom w:val="none" w:sz="0" w:space="0" w:color="auto"/>
                <w:right w:val="none" w:sz="0" w:space="0" w:color="auto"/>
              </w:divBdr>
            </w:div>
            <w:div w:id="642387408">
              <w:marLeft w:val="0"/>
              <w:marRight w:val="0"/>
              <w:marTop w:val="0"/>
              <w:marBottom w:val="0"/>
              <w:divBdr>
                <w:top w:val="none" w:sz="0" w:space="0" w:color="auto"/>
                <w:left w:val="none" w:sz="0" w:space="0" w:color="auto"/>
                <w:bottom w:val="none" w:sz="0" w:space="0" w:color="auto"/>
                <w:right w:val="none" w:sz="0" w:space="0" w:color="auto"/>
              </w:divBdr>
            </w:div>
            <w:div w:id="1594900953">
              <w:marLeft w:val="0"/>
              <w:marRight w:val="0"/>
              <w:marTop w:val="0"/>
              <w:marBottom w:val="0"/>
              <w:divBdr>
                <w:top w:val="none" w:sz="0" w:space="0" w:color="auto"/>
                <w:left w:val="none" w:sz="0" w:space="0" w:color="auto"/>
                <w:bottom w:val="none" w:sz="0" w:space="0" w:color="auto"/>
                <w:right w:val="none" w:sz="0" w:space="0" w:color="auto"/>
              </w:divBdr>
            </w:div>
            <w:div w:id="1129590305">
              <w:marLeft w:val="0"/>
              <w:marRight w:val="0"/>
              <w:marTop w:val="0"/>
              <w:marBottom w:val="0"/>
              <w:divBdr>
                <w:top w:val="none" w:sz="0" w:space="0" w:color="auto"/>
                <w:left w:val="none" w:sz="0" w:space="0" w:color="auto"/>
                <w:bottom w:val="none" w:sz="0" w:space="0" w:color="auto"/>
                <w:right w:val="none" w:sz="0" w:space="0" w:color="auto"/>
              </w:divBdr>
            </w:div>
            <w:div w:id="742219860">
              <w:marLeft w:val="0"/>
              <w:marRight w:val="0"/>
              <w:marTop w:val="0"/>
              <w:marBottom w:val="0"/>
              <w:divBdr>
                <w:top w:val="none" w:sz="0" w:space="0" w:color="auto"/>
                <w:left w:val="none" w:sz="0" w:space="0" w:color="auto"/>
                <w:bottom w:val="none" w:sz="0" w:space="0" w:color="auto"/>
                <w:right w:val="none" w:sz="0" w:space="0" w:color="auto"/>
              </w:divBdr>
            </w:div>
            <w:div w:id="746809426">
              <w:marLeft w:val="0"/>
              <w:marRight w:val="0"/>
              <w:marTop w:val="0"/>
              <w:marBottom w:val="0"/>
              <w:divBdr>
                <w:top w:val="none" w:sz="0" w:space="0" w:color="auto"/>
                <w:left w:val="none" w:sz="0" w:space="0" w:color="auto"/>
                <w:bottom w:val="none" w:sz="0" w:space="0" w:color="auto"/>
                <w:right w:val="none" w:sz="0" w:space="0" w:color="auto"/>
              </w:divBdr>
            </w:div>
            <w:div w:id="1027028701">
              <w:marLeft w:val="0"/>
              <w:marRight w:val="0"/>
              <w:marTop w:val="0"/>
              <w:marBottom w:val="0"/>
              <w:divBdr>
                <w:top w:val="none" w:sz="0" w:space="0" w:color="auto"/>
                <w:left w:val="none" w:sz="0" w:space="0" w:color="auto"/>
                <w:bottom w:val="none" w:sz="0" w:space="0" w:color="auto"/>
                <w:right w:val="none" w:sz="0" w:space="0" w:color="auto"/>
              </w:divBdr>
            </w:div>
            <w:div w:id="1136069373">
              <w:marLeft w:val="0"/>
              <w:marRight w:val="0"/>
              <w:marTop w:val="0"/>
              <w:marBottom w:val="0"/>
              <w:divBdr>
                <w:top w:val="none" w:sz="0" w:space="0" w:color="auto"/>
                <w:left w:val="none" w:sz="0" w:space="0" w:color="auto"/>
                <w:bottom w:val="none" w:sz="0" w:space="0" w:color="auto"/>
                <w:right w:val="none" w:sz="0" w:space="0" w:color="auto"/>
              </w:divBdr>
            </w:div>
            <w:div w:id="436222184">
              <w:marLeft w:val="0"/>
              <w:marRight w:val="0"/>
              <w:marTop w:val="0"/>
              <w:marBottom w:val="0"/>
              <w:divBdr>
                <w:top w:val="none" w:sz="0" w:space="0" w:color="auto"/>
                <w:left w:val="none" w:sz="0" w:space="0" w:color="auto"/>
                <w:bottom w:val="none" w:sz="0" w:space="0" w:color="auto"/>
                <w:right w:val="none" w:sz="0" w:space="0" w:color="auto"/>
              </w:divBdr>
            </w:div>
            <w:div w:id="681976076">
              <w:marLeft w:val="0"/>
              <w:marRight w:val="0"/>
              <w:marTop w:val="0"/>
              <w:marBottom w:val="0"/>
              <w:divBdr>
                <w:top w:val="none" w:sz="0" w:space="0" w:color="auto"/>
                <w:left w:val="none" w:sz="0" w:space="0" w:color="auto"/>
                <w:bottom w:val="none" w:sz="0" w:space="0" w:color="auto"/>
                <w:right w:val="none" w:sz="0" w:space="0" w:color="auto"/>
              </w:divBdr>
            </w:div>
            <w:div w:id="1792936265">
              <w:marLeft w:val="0"/>
              <w:marRight w:val="0"/>
              <w:marTop w:val="0"/>
              <w:marBottom w:val="0"/>
              <w:divBdr>
                <w:top w:val="none" w:sz="0" w:space="0" w:color="auto"/>
                <w:left w:val="none" w:sz="0" w:space="0" w:color="auto"/>
                <w:bottom w:val="none" w:sz="0" w:space="0" w:color="auto"/>
                <w:right w:val="none" w:sz="0" w:space="0" w:color="auto"/>
              </w:divBdr>
            </w:div>
            <w:div w:id="956988710">
              <w:marLeft w:val="0"/>
              <w:marRight w:val="0"/>
              <w:marTop w:val="0"/>
              <w:marBottom w:val="0"/>
              <w:divBdr>
                <w:top w:val="none" w:sz="0" w:space="0" w:color="auto"/>
                <w:left w:val="none" w:sz="0" w:space="0" w:color="auto"/>
                <w:bottom w:val="none" w:sz="0" w:space="0" w:color="auto"/>
                <w:right w:val="none" w:sz="0" w:space="0" w:color="auto"/>
              </w:divBdr>
            </w:div>
            <w:div w:id="1040670195">
              <w:marLeft w:val="0"/>
              <w:marRight w:val="0"/>
              <w:marTop w:val="0"/>
              <w:marBottom w:val="0"/>
              <w:divBdr>
                <w:top w:val="none" w:sz="0" w:space="0" w:color="auto"/>
                <w:left w:val="none" w:sz="0" w:space="0" w:color="auto"/>
                <w:bottom w:val="none" w:sz="0" w:space="0" w:color="auto"/>
                <w:right w:val="none" w:sz="0" w:space="0" w:color="auto"/>
              </w:divBdr>
            </w:div>
            <w:div w:id="1735884099">
              <w:marLeft w:val="0"/>
              <w:marRight w:val="0"/>
              <w:marTop w:val="0"/>
              <w:marBottom w:val="0"/>
              <w:divBdr>
                <w:top w:val="none" w:sz="0" w:space="0" w:color="auto"/>
                <w:left w:val="none" w:sz="0" w:space="0" w:color="auto"/>
                <w:bottom w:val="none" w:sz="0" w:space="0" w:color="auto"/>
                <w:right w:val="none" w:sz="0" w:space="0" w:color="auto"/>
              </w:divBdr>
            </w:div>
            <w:div w:id="517621421">
              <w:marLeft w:val="0"/>
              <w:marRight w:val="0"/>
              <w:marTop w:val="0"/>
              <w:marBottom w:val="0"/>
              <w:divBdr>
                <w:top w:val="none" w:sz="0" w:space="0" w:color="auto"/>
                <w:left w:val="none" w:sz="0" w:space="0" w:color="auto"/>
                <w:bottom w:val="none" w:sz="0" w:space="0" w:color="auto"/>
                <w:right w:val="none" w:sz="0" w:space="0" w:color="auto"/>
              </w:divBdr>
            </w:div>
            <w:div w:id="1948659330">
              <w:marLeft w:val="0"/>
              <w:marRight w:val="0"/>
              <w:marTop w:val="0"/>
              <w:marBottom w:val="0"/>
              <w:divBdr>
                <w:top w:val="none" w:sz="0" w:space="0" w:color="auto"/>
                <w:left w:val="none" w:sz="0" w:space="0" w:color="auto"/>
                <w:bottom w:val="none" w:sz="0" w:space="0" w:color="auto"/>
                <w:right w:val="none" w:sz="0" w:space="0" w:color="auto"/>
              </w:divBdr>
            </w:div>
            <w:div w:id="1093018270">
              <w:marLeft w:val="0"/>
              <w:marRight w:val="0"/>
              <w:marTop w:val="0"/>
              <w:marBottom w:val="0"/>
              <w:divBdr>
                <w:top w:val="none" w:sz="0" w:space="0" w:color="auto"/>
                <w:left w:val="none" w:sz="0" w:space="0" w:color="auto"/>
                <w:bottom w:val="none" w:sz="0" w:space="0" w:color="auto"/>
                <w:right w:val="none" w:sz="0" w:space="0" w:color="auto"/>
              </w:divBdr>
            </w:div>
            <w:div w:id="365448316">
              <w:marLeft w:val="0"/>
              <w:marRight w:val="0"/>
              <w:marTop w:val="0"/>
              <w:marBottom w:val="0"/>
              <w:divBdr>
                <w:top w:val="none" w:sz="0" w:space="0" w:color="auto"/>
                <w:left w:val="none" w:sz="0" w:space="0" w:color="auto"/>
                <w:bottom w:val="none" w:sz="0" w:space="0" w:color="auto"/>
                <w:right w:val="none" w:sz="0" w:space="0" w:color="auto"/>
              </w:divBdr>
            </w:div>
            <w:div w:id="1241869008">
              <w:marLeft w:val="0"/>
              <w:marRight w:val="0"/>
              <w:marTop w:val="0"/>
              <w:marBottom w:val="0"/>
              <w:divBdr>
                <w:top w:val="none" w:sz="0" w:space="0" w:color="auto"/>
                <w:left w:val="none" w:sz="0" w:space="0" w:color="auto"/>
                <w:bottom w:val="none" w:sz="0" w:space="0" w:color="auto"/>
                <w:right w:val="none" w:sz="0" w:space="0" w:color="auto"/>
              </w:divBdr>
            </w:div>
            <w:div w:id="1556233471">
              <w:marLeft w:val="0"/>
              <w:marRight w:val="0"/>
              <w:marTop w:val="0"/>
              <w:marBottom w:val="0"/>
              <w:divBdr>
                <w:top w:val="none" w:sz="0" w:space="0" w:color="auto"/>
                <w:left w:val="none" w:sz="0" w:space="0" w:color="auto"/>
                <w:bottom w:val="none" w:sz="0" w:space="0" w:color="auto"/>
                <w:right w:val="none" w:sz="0" w:space="0" w:color="auto"/>
              </w:divBdr>
            </w:div>
            <w:div w:id="214658986">
              <w:marLeft w:val="0"/>
              <w:marRight w:val="0"/>
              <w:marTop w:val="0"/>
              <w:marBottom w:val="0"/>
              <w:divBdr>
                <w:top w:val="none" w:sz="0" w:space="0" w:color="auto"/>
                <w:left w:val="none" w:sz="0" w:space="0" w:color="auto"/>
                <w:bottom w:val="none" w:sz="0" w:space="0" w:color="auto"/>
                <w:right w:val="none" w:sz="0" w:space="0" w:color="auto"/>
              </w:divBdr>
            </w:div>
            <w:div w:id="2120374847">
              <w:marLeft w:val="0"/>
              <w:marRight w:val="0"/>
              <w:marTop w:val="0"/>
              <w:marBottom w:val="0"/>
              <w:divBdr>
                <w:top w:val="none" w:sz="0" w:space="0" w:color="auto"/>
                <w:left w:val="none" w:sz="0" w:space="0" w:color="auto"/>
                <w:bottom w:val="none" w:sz="0" w:space="0" w:color="auto"/>
                <w:right w:val="none" w:sz="0" w:space="0" w:color="auto"/>
              </w:divBdr>
            </w:div>
            <w:div w:id="1135564270">
              <w:marLeft w:val="0"/>
              <w:marRight w:val="0"/>
              <w:marTop w:val="0"/>
              <w:marBottom w:val="0"/>
              <w:divBdr>
                <w:top w:val="none" w:sz="0" w:space="0" w:color="auto"/>
                <w:left w:val="none" w:sz="0" w:space="0" w:color="auto"/>
                <w:bottom w:val="none" w:sz="0" w:space="0" w:color="auto"/>
                <w:right w:val="none" w:sz="0" w:space="0" w:color="auto"/>
              </w:divBdr>
            </w:div>
            <w:div w:id="498354131">
              <w:marLeft w:val="0"/>
              <w:marRight w:val="0"/>
              <w:marTop w:val="0"/>
              <w:marBottom w:val="0"/>
              <w:divBdr>
                <w:top w:val="none" w:sz="0" w:space="0" w:color="auto"/>
                <w:left w:val="none" w:sz="0" w:space="0" w:color="auto"/>
                <w:bottom w:val="none" w:sz="0" w:space="0" w:color="auto"/>
                <w:right w:val="none" w:sz="0" w:space="0" w:color="auto"/>
              </w:divBdr>
            </w:div>
            <w:div w:id="1953128876">
              <w:marLeft w:val="0"/>
              <w:marRight w:val="0"/>
              <w:marTop w:val="0"/>
              <w:marBottom w:val="0"/>
              <w:divBdr>
                <w:top w:val="none" w:sz="0" w:space="0" w:color="auto"/>
                <w:left w:val="none" w:sz="0" w:space="0" w:color="auto"/>
                <w:bottom w:val="none" w:sz="0" w:space="0" w:color="auto"/>
                <w:right w:val="none" w:sz="0" w:space="0" w:color="auto"/>
              </w:divBdr>
            </w:div>
            <w:div w:id="916939244">
              <w:marLeft w:val="0"/>
              <w:marRight w:val="0"/>
              <w:marTop w:val="0"/>
              <w:marBottom w:val="0"/>
              <w:divBdr>
                <w:top w:val="none" w:sz="0" w:space="0" w:color="auto"/>
                <w:left w:val="none" w:sz="0" w:space="0" w:color="auto"/>
                <w:bottom w:val="none" w:sz="0" w:space="0" w:color="auto"/>
                <w:right w:val="none" w:sz="0" w:space="0" w:color="auto"/>
              </w:divBdr>
            </w:div>
            <w:div w:id="920986148">
              <w:marLeft w:val="0"/>
              <w:marRight w:val="0"/>
              <w:marTop w:val="0"/>
              <w:marBottom w:val="0"/>
              <w:divBdr>
                <w:top w:val="none" w:sz="0" w:space="0" w:color="auto"/>
                <w:left w:val="none" w:sz="0" w:space="0" w:color="auto"/>
                <w:bottom w:val="none" w:sz="0" w:space="0" w:color="auto"/>
                <w:right w:val="none" w:sz="0" w:space="0" w:color="auto"/>
              </w:divBdr>
            </w:div>
            <w:div w:id="1097017681">
              <w:marLeft w:val="0"/>
              <w:marRight w:val="0"/>
              <w:marTop w:val="0"/>
              <w:marBottom w:val="0"/>
              <w:divBdr>
                <w:top w:val="none" w:sz="0" w:space="0" w:color="auto"/>
                <w:left w:val="none" w:sz="0" w:space="0" w:color="auto"/>
                <w:bottom w:val="none" w:sz="0" w:space="0" w:color="auto"/>
                <w:right w:val="none" w:sz="0" w:space="0" w:color="auto"/>
              </w:divBdr>
            </w:div>
            <w:div w:id="330644806">
              <w:marLeft w:val="0"/>
              <w:marRight w:val="0"/>
              <w:marTop w:val="0"/>
              <w:marBottom w:val="0"/>
              <w:divBdr>
                <w:top w:val="none" w:sz="0" w:space="0" w:color="auto"/>
                <w:left w:val="none" w:sz="0" w:space="0" w:color="auto"/>
                <w:bottom w:val="none" w:sz="0" w:space="0" w:color="auto"/>
                <w:right w:val="none" w:sz="0" w:space="0" w:color="auto"/>
              </w:divBdr>
            </w:div>
            <w:div w:id="918444358">
              <w:marLeft w:val="0"/>
              <w:marRight w:val="0"/>
              <w:marTop w:val="0"/>
              <w:marBottom w:val="0"/>
              <w:divBdr>
                <w:top w:val="none" w:sz="0" w:space="0" w:color="auto"/>
                <w:left w:val="none" w:sz="0" w:space="0" w:color="auto"/>
                <w:bottom w:val="none" w:sz="0" w:space="0" w:color="auto"/>
                <w:right w:val="none" w:sz="0" w:space="0" w:color="auto"/>
              </w:divBdr>
            </w:div>
            <w:div w:id="1746877621">
              <w:marLeft w:val="0"/>
              <w:marRight w:val="0"/>
              <w:marTop w:val="0"/>
              <w:marBottom w:val="0"/>
              <w:divBdr>
                <w:top w:val="none" w:sz="0" w:space="0" w:color="auto"/>
                <w:left w:val="none" w:sz="0" w:space="0" w:color="auto"/>
                <w:bottom w:val="none" w:sz="0" w:space="0" w:color="auto"/>
                <w:right w:val="none" w:sz="0" w:space="0" w:color="auto"/>
              </w:divBdr>
            </w:div>
            <w:div w:id="320817706">
              <w:marLeft w:val="0"/>
              <w:marRight w:val="0"/>
              <w:marTop w:val="0"/>
              <w:marBottom w:val="0"/>
              <w:divBdr>
                <w:top w:val="none" w:sz="0" w:space="0" w:color="auto"/>
                <w:left w:val="none" w:sz="0" w:space="0" w:color="auto"/>
                <w:bottom w:val="none" w:sz="0" w:space="0" w:color="auto"/>
                <w:right w:val="none" w:sz="0" w:space="0" w:color="auto"/>
              </w:divBdr>
            </w:div>
            <w:div w:id="1040400163">
              <w:marLeft w:val="0"/>
              <w:marRight w:val="0"/>
              <w:marTop w:val="0"/>
              <w:marBottom w:val="0"/>
              <w:divBdr>
                <w:top w:val="none" w:sz="0" w:space="0" w:color="auto"/>
                <w:left w:val="none" w:sz="0" w:space="0" w:color="auto"/>
                <w:bottom w:val="none" w:sz="0" w:space="0" w:color="auto"/>
                <w:right w:val="none" w:sz="0" w:space="0" w:color="auto"/>
              </w:divBdr>
            </w:div>
            <w:div w:id="956448358">
              <w:marLeft w:val="0"/>
              <w:marRight w:val="0"/>
              <w:marTop w:val="0"/>
              <w:marBottom w:val="0"/>
              <w:divBdr>
                <w:top w:val="none" w:sz="0" w:space="0" w:color="auto"/>
                <w:left w:val="none" w:sz="0" w:space="0" w:color="auto"/>
                <w:bottom w:val="none" w:sz="0" w:space="0" w:color="auto"/>
                <w:right w:val="none" w:sz="0" w:space="0" w:color="auto"/>
              </w:divBdr>
            </w:div>
            <w:div w:id="1624191168">
              <w:marLeft w:val="0"/>
              <w:marRight w:val="0"/>
              <w:marTop w:val="0"/>
              <w:marBottom w:val="0"/>
              <w:divBdr>
                <w:top w:val="none" w:sz="0" w:space="0" w:color="auto"/>
                <w:left w:val="none" w:sz="0" w:space="0" w:color="auto"/>
                <w:bottom w:val="none" w:sz="0" w:space="0" w:color="auto"/>
                <w:right w:val="none" w:sz="0" w:space="0" w:color="auto"/>
              </w:divBdr>
            </w:div>
            <w:div w:id="1548444048">
              <w:marLeft w:val="0"/>
              <w:marRight w:val="0"/>
              <w:marTop w:val="0"/>
              <w:marBottom w:val="0"/>
              <w:divBdr>
                <w:top w:val="none" w:sz="0" w:space="0" w:color="auto"/>
                <w:left w:val="none" w:sz="0" w:space="0" w:color="auto"/>
                <w:bottom w:val="none" w:sz="0" w:space="0" w:color="auto"/>
                <w:right w:val="none" w:sz="0" w:space="0" w:color="auto"/>
              </w:divBdr>
            </w:div>
            <w:div w:id="1926068389">
              <w:marLeft w:val="0"/>
              <w:marRight w:val="0"/>
              <w:marTop w:val="0"/>
              <w:marBottom w:val="0"/>
              <w:divBdr>
                <w:top w:val="none" w:sz="0" w:space="0" w:color="auto"/>
                <w:left w:val="none" w:sz="0" w:space="0" w:color="auto"/>
                <w:bottom w:val="none" w:sz="0" w:space="0" w:color="auto"/>
                <w:right w:val="none" w:sz="0" w:space="0" w:color="auto"/>
              </w:divBdr>
            </w:div>
            <w:div w:id="1836653101">
              <w:marLeft w:val="0"/>
              <w:marRight w:val="0"/>
              <w:marTop w:val="0"/>
              <w:marBottom w:val="0"/>
              <w:divBdr>
                <w:top w:val="none" w:sz="0" w:space="0" w:color="auto"/>
                <w:left w:val="none" w:sz="0" w:space="0" w:color="auto"/>
                <w:bottom w:val="none" w:sz="0" w:space="0" w:color="auto"/>
                <w:right w:val="none" w:sz="0" w:space="0" w:color="auto"/>
              </w:divBdr>
            </w:div>
            <w:div w:id="942419185">
              <w:marLeft w:val="0"/>
              <w:marRight w:val="0"/>
              <w:marTop w:val="0"/>
              <w:marBottom w:val="0"/>
              <w:divBdr>
                <w:top w:val="none" w:sz="0" w:space="0" w:color="auto"/>
                <w:left w:val="none" w:sz="0" w:space="0" w:color="auto"/>
                <w:bottom w:val="none" w:sz="0" w:space="0" w:color="auto"/>
                <w:right w:val="none" w:sz="0" w:space="0" w:color="auto"/>
              </w:divBdr>
            </w:div>
            <w:div w:id="680661771">
              <w:marLeft w:val="0"/>
              <w:marRight w:val="0"/>
              <w:marTop w:val="0"/>
              <w:marBottom w:val="0"/>
              <w:divBdr>
                <w:top w:val="none" w:sz="0" w:space="0" w:color="auto"/>
                <w:left w:val="none" w:sz="0" w:space="0" w:color="auto"/>
                <w:bottom w:val="none" w:sz="0" w:space="0" w:color="auto"/>
                <w:right w:val="none" w:sz="0" w:space="0" w:color="auto"/>
              </w:divBdr>
            </w:div>
            <w:div w:id="675502151">
              <w:marLeft w:val="0"/>
              <w:marRight w:val="0"/>
              <w:marTop w:val="0"/>
              <w:marBottom w:val="0"/>
              <w:divBdr>
                <w:top w:val="none" w:sz="0" w:space="0" w:color="auto"/>
                <w:left w:val="none" w:sz="0" w:space="0" w:color="auto"/>
                <w:bottom w:val="none" w:sz="0" w:space="0" w:color="auto"/>
                <w:right w:val="none" w:sz="0" w:space="0" w:color="auto"/>
              </w:divBdr>
            </w:div>
            <w:div w:id="1244148201">
              <w:marLeft w:val="0"/>
              <w:marRight w:val="0"/>
              <w:marTop w:val="0"/>
              <w:marBottom w:val="0"/>
              <w:divBdr>
                <w:top w:val="none" w:sz="0" w:space="0" w:color="auto"/>
                <w:left w:val="none" w:sz="0" w:space="0" w:color="auto"/>
                <w:bottom w:val="none" w:sz="0" w:space="0" w:color="auto"/>
                <w:right w:val="none" w:sz="0" w:space="0" w:color="auto"/>
              </w:divBdr>
            </w:div>
            <w:div w:id="1611158559">
              <w:marLeft w:val="0"/>
              <w:marRight w:val="0"/>
              <w:marTop w:val="0"/>
              <w:marBottom w:val="0"/>
              <w:divBdr>
                <w:top w:val="none" w:sz="0" w:space="0" w:color="auto"/>
                <w:left w:val="none" w:sz="0" w:space="0" w:color="auto"/>
                <w:bottom w:val="none" w:sz="0" w:space="0" w:color="auto"/>
                <w:right w:val="none" w:sz="0" w:space="0" w:color="auto"/>
              </w:divBdr>
            </w:div>
            <w:div w:id="1530726161">
              <w:marLeft w:val="0"/>
              <w:marRight w:val="0"/>
              <w:marTop w:val="0"/>
              <w:marBottom w:val="0"/>
              <w:divBdr>
                <w:top w:val="none" w:sz="0" w:space="0" w:color="auto"/>
                <w:left w:val="none" w:sz="0" w:space="0" w:color="auto"/>
                <w:bottom w:val="none" w:sz="0" w:space="0" w:color="auto"/>
                <w:right w:val="none" w:sz="0" w:space="0" w:color="auto"/>
              </w:divBdr>
            </w:div>
            <w:div w:id="320354448">
              <w:marLeft w:val="0"/>
              <w:marRight w:val="0"/>
              <w:marTop w:val="0"/>
              <w:marBottom w:val="0"/>
              <w:divBdr>
                <w:top w:val="none" w:sz="0" w:space="0" w:color="auto"/>
                <w:left w:val="none" w:sz="0" w:space="0" w:color="auto"/>
                <w:bottom w:val="none" w:sz="0" w:space="0" w:color="auto"/>
                <w:right w:val="none" w:sz="0" w:space="0" w:color="auto"/>
              </w:divBdr>
            </w:div>
            <w:div w:id="255555436">
              <w:marLeft w:val="0"/>
              <w:marRight w:val="0"/>
              <w:marTop w:val="0"/>
              <w:marBottom w:val="0"/>
              <w:divBdr>
                <w:top w:val="none" w:sz="0" w:space="0" w:color="auto"/>
                <w:left w:val="none" w:sz="0" w:space="0" w:color="auto"/>
                <w:bottom w:val="none" w:sz="0" w:space="0" w:color="auto"/>
                <w:right w:val="none" w:sz="0" w:space="0" w:color="auto"/>
              </w:divBdr>
            </w:div>
            <w:div w:id="185991460">
              <w:marLeft w:val="0"/>
              <w:marRight w:val="0"/>
              <w:marTop w:val="0"/>
              <w:marBottom w:val="0"/>
              <w:divBdr>
                <w:top w:val="none" w:sz="0" w:space="0" w:color="auto"/>
                <w:left w:val="none" w:sz="0" w:space="0" w:color="auto"/>
                <w:bottom w:val="none" w:sz="0" w:space="0" w:color="auto"/>
                <w:right w:val="none" w:sz="0" w:space="0" w:color="auto"/>
              </w:divBdr>
            </w:div>
            <w:div w:id="1267035103">
              <w:marLeft w:val="0"/>
              <w:marRight w:val="0"/>
              <w:marTop w:val="0"/>
              <w:marBottom w:val="0"/>
              <w:divBdr>
                <w:top w:val="none" w:sz="0" w:space="0" w:color="auto"/>
                <w:left w:val="none" w:sz="0" w:space="0" w:color="auto"/>
                <w:bottom w:val="none" w:sz="0" w:space="0" w:color="auto"/>
                <w:right w:val="none" w:sz="0" w:space="0" w:color="auto"/>
              </w:divBdr>
            </w:div>
            <w:div w:id="1809664369">
              <w:marLeft w:val="0"/>
              <w:marRight w:val="0"/>
              <w:marTop w:val="0"/>
              <w:marBottom w:val="0"/>
              <w:divBdr>
                <w:top w:val="none" w:sz="0" w:space="0" w:color="auto"/>
                <w:left w:val="none" w:sz="0" w:space="0" w:color="auto"/>
                <w:bottom w:val="none" w:sz="0" w:space="0" w:color="auto"/>
                <w:right w:val="none" w:sz="0" w:space="0" w:color="auto"/>
              </w:divBdr>
            </w:div>
            <w:div w:id="540364072">
              <w:marLeft w:val="0"/>
              <w:marRight w:val="0"/>
              <w:marTop w:val="0"/>
              <w:marBottom w:val="0"/>
              <w:divBdr>
                <w:top w:val="none" w:sz="0" w:space="0" w:color="auto"/>
                <w:left w:val="none" w:sz="0" w:space="0" w:color="auto"/>
                <w:bottom w:val="none" w:sz="0" w:space="0" w:color="auto"/>
                <w:right w:val="none" w:sz="0" w:space="0" w:color="auto"/>
              </w:divBdr>
            </w:div>
            <w:div w:id="312607614">
              <w:marLeft w:val="0"/>
              <w:marRight w:val="0"/>
              <w:marTop w:val="0"/>
              <w:marBottom w:val="0"/>
              <w:divBdr>
                <w:top w:val="none" w:sz="0" w:space="0" w:color="auto"/>
                <w:left w:val="none" w:sz="0" w:space="0" w:color="auto"/>
                <w:bottom w:val="none" w:sz="0" w:space="0" w:color="auto"/>
                <w:right w:val="none" w:sz="0" w:space="0" w:color="auto"/>
              </w:divBdr>
            </w:div>
            <w:div w:id="244807135">
              <w:marLeft w:val="0"/>
              <w:marRight w:val="0"/>
              <w:marTop w:val="0"/>
              <w:marBottom w:val="0"/>
              <w:divBdr>
                <w:top w:val="none" w:sz="0" w:space="0" w:color="auto"/>
                <w:left w:val="none" w:sz="0" w:space="0" w:color="auto"/>
                <w:bottom w:val="none" w:sz="0" w:space="0" w:color="auto"/>
                <w:right w:val="none" w:sz="0" w:space="0" w:color="auto"/>
              </w:divBdr>
            </w:div>
            <w:div w:id="329873715">
              <w:marLeft w:val="0"/>
              <w:marRight w:val="0"/>
              <w:marTop w:val="0"/>
              <w:marBottom w:val="0"/>
              <w:divBdr>
                <w:top w:val="none" w:sz="0" w:space="0" w:color="auto"/>
                <w:left w:val="none" w:sz="0" w:space="0" w:color="auto"/>
                <w:bottom w:val="none" w:sz="0" w:space="0" w:color="auto"/>
                <w:right w:val="none" w:sz="0" w:space="0" w:color="auto"/>
              </w:divBdr>
            </w:div>
            <w:div w:id="1473936808">
              <w:marLeft w:val="0"/>
              <w:marRight w:val="0"/>
              <w:marTop w:val="0"/>
              <w:marBottom w:val="0"/>
              <w:divBdr>
                <w:top w:val="none" w:sz="0" w:space="0" w:color="auto"/>
                <w:left w:val="none" w:sz="0" w:space="0" w:color="auto"/>
                <w:bottom w:val="none" w:sz="0" w:space="0" w:color="auto"/>
                <w:right w:val="none" w:sz="0" w:space="0" w:color="auto"/>
              </w:divBdr>
            </w:div>
            <w:div w:id="1448891201">
              <w:marLeft w:val="0"/>
              <w:marRight w:val="0"/>
              <w:marTop w:val="0"/>
              <w:marBottom w:val="0"/>
              <w:divBdr>
                <w:top w:val="none" w:sz="0" w:space="0" w:color="auto"/>
                <w:left w:val="none" w:sz="0" w:space="0" w:color="auto"/>
                <w:bottom w:val="none" w:sz="0" w:space="0" w:color="auto"/>
                <w:right w:val="none" w:sz="0" w:space="0" w:color="auto"/>
              </w:divBdr>
            </w:div>
            <w:div w:id="232357646">
              <w:marLeft w:val="0"/>
              <w:marRight w:val="0"/>
              <w:marTop w:val="0"/>
              <w:marBottom w:val="0"/>
              <w:divBdr>
                <w:top w:val="none" w:sz="0" w:space="0" w:color="auto"/>
                <w:left w:val="none" w:sz="0" w:space="0" w:color="auto"/>
                <w:bottom w:val="none" w:sz="0" w:space="0" w:color="auto"/>
                <w:right w:val="none" w:sz="0" w:space="0" w:color="auto"/>
              </w:divBdr>
            </w:div>
            <w:div w:id="1900432448">
              <w:marLeft w:val="0"/>
              <w:marRight w:val="0"/>
              <w:marTop w:val="0"/>
              <w:marBottom w:val="0"/>
              <w:divBdr>
                <w:top w:val="none" w:sz="0" w:space="0" w:color="auto"/>
                <w:left w:val="none" w:sz="0" w:space="0" w:color="auto"/>
                <w:bottom w:val="none" w:sz="0" w:space="0" w:color="auto"/>
                <w:right w:val="none" w:sz="0" w:space="0" w:color="auto"/>
              </w:divBdr>
            </w:div>
            <w:div w:id="1222865365">
              <w:marLeft w:val="0"/>
              <w:marRight w:val="0"/>
              <w:marTop w:val="0"/>
              <w:marBottom w:val="0"/>
              <w:divBdr>
                <w:top w:val="none" w:sz="0" w:space="0" w:color="auto"/>
                <w:left w:val="none" w:sz="0" w:space="0" w:color="auto"/>
                <w:bottom w:val="none" w:sz="0" w:space="0" w:color="auto"/>
                <w:right w:val="none" w:sz="0" w:space="0" w:color="auto"/>
              </w:divBdr>
            </w:div>
            <w:div w:id="447312361">
              <w:marLeft w:val="0"/>
              <w:marRight w:val="0"/>
              <w:marTop w:val="0"/>
              <w:marBottom w:val="0"/>
              <w:divBdr>
                <w:top w:val="none" w:sz="0" w:space="0" w:color="auto"/>
                <w:left w:val="none" w:sz="0" w:space="0" w:color="auto"/>
                <w:bottom w:val="none" w:sz="0" w:space="0" w:color="auto"/>
                <w:right w:val="none" w:sz="0" w:space="0" w:color="auto"/>
              </w:divBdr>
            </w:div>
            <w:div w:id="320155192">
              <w:marLeft w:val="0"/>
              <w:marRight w:val="0"/>
              <w:marTop w:val="0"/>
              <w:marBottom w:val="0"/>
              <w:divBdr>
                <w:top w:val="none" w:sz="0" w:space="0" w:color="auto"/>
                <w:left w:val="none" w:sz="0" w:space="0" w:color="auto"/>
                <w:bottom w:val="none" w:sz="0" w:space="0" w:color="auto"/>
                <w:right w:val="none" w:sz="0" w:space="0" w:color="auto"/>
              </w:divBdr>
            </w:div>
            <w:div w:id="619216486">
              <w:marLeft w:val="0"/>
              <w:marRight w:val="0"/>
              <w:marTop w:val="0"/>
              <w:marBottom w:val="0"/>
              <w:divBdr>
                <w:top w:val="none" w:sz="0" w:space="0" w:color="auto"/>
                <w:left w:val="none" w:sz="0" w:space="0" w:color="auto"/>
                <w:bottom w:val="none" w:sz="0" w:space="0" w:color="auto"/>
                <w:right w:val="none" w:sz="0" w:space="0" w:color="auto"/>
              </w:divBdr>
            </w:div>
            <w:div w:id="974218583">
              <w:marLeft w:val="0"/>
              <w:marRight w:val="0"/>
              <w:marTop w:val="0"/>
              <w:marBottom w:val="0"/>
              <w:divBdr>
                <w:top w:val="none" w:sz="0" w:space="0" w:color="auto"/>
                <w:left w:val="none" w:sz="0" w:space="0" w:color="auto"/>
                <w:bottom w:val="none" w:sz="0" w:space="0" w:color="auto"/>
                <w:right w:val="none" w:sz="0" w:space="0" w:color="auto"/>
              </w:divBdr>
            </w:div>
            <w:div w:id="1331713672">
              <w:marLeft w:val="0"/>
              <w:marRight w:val="0"/>
              <w:marTop w:val="0"/>
              <w:marBottom w:val="0"/>
              <w:divBdr>
                <w:top w:val="none" w:sz="0" w:space="0" w:color="auto"/>
                <w:left w:val="none" w:sz="0" w:space="0" w:color="auto"/>
                <w:bottom w:val="none" w:sz="0" w:space="0" w:color="auto"/>
                <w:right w:val="none" w:sz="0" w:space="0" w:color="auto"/>
              </w:divBdr>
            </w:div>
            <w:div w:id="785387269">
              <w:marLeft w:val="0"/>
              <w:marRight w:val="0"/>
              <w:marTop w:val="0"/>
              <w:marBottom w:val="0"/>
              <w:divBdr>
                <w:top w:val="none" w:sz="0" w:space="0" w:color="auto"/>
                <w:left w:val="none" w:sz="0" w:space="0" w:color="auto"/>
                <w:bottom w:val="none" w:sz="0" w:space="0" w:color="auto"/>
                <w:right w:val="none" w:sz="0" w:space="0" w:color="auto"/>
              </w:divBdr>
            </w:div>
            <w:div w:id="1371876404">
              <w:marLeft w:val="0"/>
              <w:marRight w:val="0"/>
              <w:marTop w:val="0"/>
              <w:marBottom w:val="0"/>
              <w:divBdr>
                <w:top w:val="none" w:sz="0" w:space="0" w:color="auto"/>
                <w:left w:val="none" w:sz="0" w:space="0" w:color="auto"/>
                <w:bottom w:val="none" w:sz="0" w:space="0" w:color="auto"/>
                <w:right w:val="none" w:sz="0" w:space="0" w:color="auto"/>
              </w:divBdr>
            </w:div>
            <w:div w:id="1541746356">
              <w:marLeft w:val="0"/>
              <w:marRight w:val="0"/>
              <w:marTop w:val="0"/>
              <w:marBottom w:val="0"/>
              <w:divBdr>
                <w:top w:val="none" w:sz="0" w:space="0" w:color="auto"/>
                <w:left w:val="none" w:sz="0" w:space="0" w:color="auto"/>
                <w:bottom w:val="none" w:sz="0" w:space="0" w:color="auto"/>
                <w:right w:val="none" w:sz="0" w:space="0" w:color="auto"/>
              </w:divBdr>
            </w:div>
            <w:div w:id="1096563548">
              <w:marLeft w:val="0"/>
              <w:marRight w:val="0"/>
              <w:marTop w:val="0"/>
              <w:marBottom w:val="0"/>
              <w:divBdr>
                <w:top w:val="none" w:sz="0" w:space="0" w:color="auto"/>
                <w:left w:val="none" w:sz="0" w:space="0" w:color="auto"/>
                <w:bottom w:val="none" w:sz="0" w:space="0" w:color="auto"/>
                <w:right w:val="none" w:sz="0" w:space="0" w:color="auto"/>
              </w:divBdr>
            </w:div>
            <w:div w:id="1608000536">
              <w:marLeft w:val="0"/>
              <w:marRight w:val="0"/>
              <w:marTop w:val="0"/>
              <w:marBottom w:val="0"/>
              <w:divBdr>
                <w:top w:val="none" w:sz="0" w:space="0" w:color="auto"/>
                <w:left w:val="none" w:sz="0" w:space="0" w:color="auto"/>
                <w:bottom w:val="none" w:sz="0" w:space="0" w:color="auto"/>
                <w:right w:val="none" w:sz="0" w:space="0" w:color="auto"/>
              </w:divBdr>
            </w:div>
            <w:div w:id="1030454691">
              <w:marLeft w:val="0"/>
              <w:marRight w:val="0"/>
              <w:marTop w:val="0"/>
              <w:marBottom w:val="0"/>
              <w:divBdr>
                <w:top w:val="none" w:sz="0" w:space="0" w:color="auto"/>
                <w:left w:val="none" w:sz="0" w:space="0" w:color="auto"/>
                <w:bottom w:val="none" w:sz="0" w:space="0" w:color="auto"/>
                <w:right w:val="none" w:sz="0" w:space="0" w:color="auto"/>
              </w:divBdr>
            </w:div>
            <w:div w:id="2018459590">
              <w:marLeft w:val="0"/>
              <w:marRight w:val="0"/>
              <w:marTop w:val="0"/>
              <w:marBottom w:val="0"/>
              <w:divBdr>
                <w:top w:val="none" w:sz="0" w:space="0" w:color="auto"/>
                <w:left w:val="none" w:sz="0" w:space="0" w:color="auto"/>
                <w:bottom w:val="none" w:sz="0" w:space="0" w:color="auto"/>
                <w:right w:val="none" w:sz="0" w:space="0" w:color="auto"/>
              </w:divBdr>
            </w:div>
            <w:div w:id="599877999">
              <w:marLeft w:val="0"/>
              <w:marRight w:val="0"/>
              <w:marTop w:val="0"/>
              <w:marBottom w:val="0"/>
              <w:divBdr>
                <w:top w:val="none" w:sz="0" w:space="0" w:color="auto"/>
                <w:left w:val="none" w:sz="0" w:space="0" w:color="auto"/>
                <w:bottom w:val="none" w:sz="0" w:space="0" w:color="auto"/>
                <w:right w:val="none" w:sz="0" w:space="0" w:color="auto"/>
              </w:divBdr>
            </w:div>
            <w:div w:id="1748650200">
              <w:marLeft w:val="0"/>
              <w:marRight w:val="0"/>
              <w:marTop w:val="0"/>
              <w:marBottom w:val="0"/>
              <w:divBdr>
                <w:top w:val="none" w:sz="0" w:space="0" w:color="auto"/>
                <w:left w:val="none" w:sz="0" w:space="0" w:color="auto"/>
                <w:bottom w:val="none" w:sz="0" w:space="0" w:color="auto"/>
                <w:right w:val="none" w:sz="0" w:space="0" w:color="auto"/>
              </w:divBdr>
            </w:div>
            <w:div w:id="369190314">
              <w:marLeft w:val="0"/>
              <w:marRight w:val="0"/>
              <w:marTop w:val="0"/>
              <w:marBottom w:val="0"/>
              <w:divBdr>
                <w:top w:val="none" w:sz="0" w:space="0" w:color="auto"/>
                <w:left w:val="none" w:sz="0" w:space="0" w:color="auto"/>
                <w:bottom w:val="none" w:sz="0" w:space="0" w:color="auto"/>
                <w:right w:val="none" w:sz="0" w:space="0" w:color="auto"/>
              </w:divBdr>
            </w:div>
            <w:div w:id="1091436877">
              <w:marLeft w:val="0"/>
              <w:marRight w:val="0"/>
              <w:marTop w:val="0"/>
              <w:marBottom w:val="0"/>
              <w:divBdr>
                <w:top w:val="none" w:sz="0" w:space="0" w:color="auto"/>
                <w:left w:val="none" w:sz="0" w:space="0" w:color="auto"/>
                <w:bottom w:val="none" w:sz="0" w:space="0" w:color="auto"/>
                <w:right w:val="none" w:sz="0" w:space="0" w:color="auto"/>
              </w:divBdr>
            </w:div>
            <w:div w:id="1848205438">
              <w:marLeft w:val="0"/>
              <w:marRight w:val="0"/>
              <w:marTop w:val="0"/>
              <w:marBottom w:val="0"/>
              <w:divBdr>
                <w:top w:val="none" w:sz="0" w:space="0" w:color="auto"/>
                <w:left w:val="none" w:sz="0" w:space="0" w:color="auto"/>
                <w:bottom w:val="none" w:sz="0" w:space="0" w:color="auto"/>
                <w:right w:val="none" w:sz="0" w:space="0" w:color="auto"/>
              </w:divBdr>
            </w:div>
            <w:div w:id="1965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1358">
      <w:bodyDiv w:val="1"/>
      <w:marLeft w:val="0"/>
      <w:marRight w:val="0"/>
      <w:marTop w:val="0"/>
      <w:marBottom w:val="0"/>
      <w:divBdr>
        <w:top w:val="none" w:sz="0" w:space="0" w:color="auto"/>
        <w:left w:val="none" w:sz="0" w:space="0" w:color="auto"/>
        <w:bottom w:val="none" w:sz="0" w:space="0" w:color="auto"/>
        <w:right w:val="none" w:sz="0" w:space="0" w:color="auto"/>
      </w:divBdr>
    </w:div>
    <w:div w:id="609439189">
      <w:bodyDiv w:val="1"/>
      <w:marLeft w:val="0"/>
      <w:marRight w:val="0"/>
      <w:marTop w:val="0"/>
      <w:marBottom w:val="0"/>
      <w:divBdr>
        <w:top w:val="none" w:sz="0" w:space="0" w:color="auto"/>
        <w:left w:val="none" w:sz="0" w:space="0" w:color="auto"/>
        <w:bottom w:val="none" w:sz="0" w:space="0" w:color="auto"/>
        <w:right w:val="none" w:sz="0" w:space="0" w:color="auto"/>
      </w:divBdr>
    </w:div>
    <w:div w:id="627978340">
      <w:bodyDiv w:val="1"/>
      <w:marLeft w:val="0"/>
      <w:marRight w:val="0"/>
      <w:marTop w:val="0"/>
      <w:marBottom w:val="0"/>
      <w:divBdr>
        <w:top w:val="none" w:sz="0" w:space="0" w:color="auto"/>
        <w:left w:val="none" w:sz="0" w:space="0" w:color="auto"/>
        <w:bottom w:val="none" w:sz="0" w:space="0" w:color="auto"/>
        <w:right w:val="none" w:sz="0" w:space="0" w:color="auto"/>
      </w:divBdr>
      <w:divsChild>
        <w:div w:id="2044285722">
          <w:marLeft w:val="0"/>
          <w:marRight w:val="0"/>
          <w:marTop w:val="0"/>
          <w:marBottom w:val="0"/>
          <w:divBdr>
            <w:top w:val="none" w:sz="0" w:space="0" w:color="auto"/>
            <w:left w:val="none" w:sz="0" w:space="0" w:color="auto"/>
            <w:bottom w:val="none" w:sz="0" w:space="0" w:color="auto"/>
            <w:right w:val="none" w:sz="0" w:space="0" w:color="auto"/>
          </w:divBdr>
          <w:divsChild>
            <w:div w:id="309096666">
              <w:marLeft w:val="0"/>
              <w:marRight w:val="0"/>
              <w:marTop w:val="0"/>
              <w:marBottom w:val="0"/>
              <w:divBdr>
                <w:top w:val="none" w:sz="0" w:space="0" w:color="auto"/>
                <w:left w:val="none" w:sz="0" w:space="0" w:color="auto"/>
                <w:bottom w:val="none" w:sz="0" w:space="0" w:color="auto"/>
                <w:right w:val="none" w:sz="0" w:space="0" w:color="auto"/>
              </w:divBdr>
              <w:divsChild>
                <w:div w:id="2113085086">
                  <w:marLeft w:val="0"/>
                  <w:marRight w:val="0"/>
                  <w:marTop w:val="0"/>
                  <w:marBottom w:val="0"/>
                  <w:divBdr>
                    <w:top w:val="none" w:sz="0" w:space="0" w:color="auto"/>
                    <w:left w:val="none" w:sz="0" w:space="0" w:color="auto"/>
                    <w:bottom w:val="none" w:sz="0" w:space="0" w:color="auto"/>
                    <w:right w:val="none" w:sz="0" w:space="0" w:color="auto"/>
                  </w:divBdr>
                  <w:divsChild>
                    <w:div w:id="1890914996">
                      <w:marLeft w:val="0"/>
                      <w:marRight w:val="0"/>
                      <w:marTop w:val="0"/>
                      <w:marBottom w:val="0"/>
                      <w:divBdr>
                        <w:top w:val="none" w:sz="0" w:space="0" w:color="auto"/>
                        <w:left w:val="none" w:sz="0" w:space="0" w:color="auto"/>
                        <w:bottom w:val="none" w:sz="0" w:space="0" w:color="auto"/>
                        <w:right w:val="none" w:sz="0" w:space="0" w:color="auto"/>
                      </w:divBdr>
                      <w:divsChild>
                        <w:div w:id="1275015708">
                          <w:marLeft w:val="0"/>
                          <w:marRight w:val="0"/>
                          <w:marTop w:val="0"/>
                          <w:marBottom w:val="0"/>
                          <w:divBdr>
                            <w:top w:val="none" w:sz="0" w:space="0" w:color="auto"/>
                            <w:left w:val="none" w:sz="0" w:space="0" w:color="auto"/>
                            <w:bottom w:val="none" w:sz="0" w:space="0" w:color="auto"/>
                            <w:right w:val="none" w:sz="0" w:space="0" w:color="auto"/>
                          </w:divBdr>
                          <w:divsChild>
                            <w:div w:id="62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3762">
      <w:bodyDiv w:val="1"/>
      <w:marLeft w:val="0"/>
      <w:marRight w:val="0"/>
      <w:marTop w:val="0"/>
      <w:marBottom w:val="0"/>
      <w:divBdr>
        <w:top w:val="none" w:sz="0" w:space="0" w:color="auto"/>
        <w:left w:val="none" w:sz="0" w:space="0" w:color="auto"/>
        <w:bottom w:val="none" w:sz="0" w:space="0" w:color="auto"/>
        <w:right w:val="none" w:sz="0" w:space="0" w:color="auto"/>
      </w:divBdr>
      <w:divsChild>
        <w:div w:id="1642415954">
          <w:marLeft w:val="0"/>
          <w:marRight w:val="0"/>
          <w:marTop w:val="0"/>
          <w:marBottom w:val="0"/>
          <w:divBdr>
            <w:top w:val="none" w:sz="0" w:space="0" w:color="auto"/>
            <w:left w:val="none" w:sz="0" w:space="0" w:color="auto"/>
            <w:bottom w:val="none" w:sz="0" w:space="0" w:color="auto"/>
            <w:right w:val="none" w:sz="0" w:space="0" w:color="auto"/>
          </w:divBdr>
          <w:divsChild>
            <w:div w:id="1255162277">
              <w:marLeft w:val="0"/>
              <w:marRight w:val="0"/>
              <w:marTop w:val="0"/>
              <w:marBottom w:val="0"/>
              <w:divBdr>
                <w:top w:val="none" w:sz="0" w:space="0" w:color="auto"/>
                <w:left w:val="none" w:sz="0" w:space="0" w:color="auto"/>
                <w:bottom w:val="none" w:sz="0" w:space="0" w:color="auto"/>
                <w:right w:val="none" w:sz="0" w:space="0" w:color="auto"/>
              </w:divBdr>
              <w:divsChild>
                <w:div w:id="154732189">
                  <w:marLeft w:val="0"/>
                  <w:marRight w:val="0"/>
                  <w:marTop w:val="0"/>
                  <w:marBottom w:val="0"/>
                  <w:divBdr>
                    <w:top w:val="none" w:sz="0" w:space="0" w:color="auto"/>
                    <w:left w:val="none" w:sz="0" w:space="0" w:color="auto"/>
                    <w:bottom w:val="none" w:sz="0" w:space="0" w:color="auto"/>
                    <w:right w:val="none" w:sz="0" w:space="0" w:color="auto"/>
                  </w:divBdr>
                  <w:divsChild>
                    <w:div w:id="2033064361">
                      <w:marLeft w:val="0"/>
                      <w:marRight w:val="0"/>
                      <w:marTop w:val="0"/>
                      <w:marBottom w:val="0"/>
                      <w:divBdr>
                        <w:top w:val="none" w:sz="0" w:space="0" w:color="auto"/>
                        <w:left w:val="none" w:sz="0" w:space="0" w:color="auto"/>
                        <w:bottom w:val="none" w:sz="0" w:space="0" w:color="auto"/>
                        <w:right w:val="none" w:sz="0" w:space="0" w:color="auto"/>
                      </w:divBdr>
                      <w:divsChild>
                        <w:div w:id="1682971099">
                          <w:marLeft w:val="0"/>
                          <w:marRight w:val="0"/>
                          <w:marTop w:val="0"/>
                          <w:marBottom w:val="0"/>
                          <w:divBdr>
                            <w:top w:val="none" w:sz="0" w:space="0" w:color="auto"/>
                            <w:left w:val="none" w:sz="0" w:space="0" w:color="auto"/>
                            <w:bottom w:val="none" w:sz="0" w:space="0" w:color="auto"/>
                            <w:right w:val="none" w:sz="0" w:space="0" w:color="auto"/>
                          </w:divBdr>
                          <w:divsChild>
                            <w:div w:id="555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47039">
      <w:bodyDiv w:val="1"/>
      <w:marLeft w:val="0"/>
      <w:marRight w:val="0"/>
      <w:marTop w:val="0"/>
      <w:marBottom w:val="0"/>
      <w:divBdr>
        <w:top w:val="none" w:sz="0" w:space="0" w:color="auto"/>
        <w:left w:val="none" w:sz="0" w:space="0" w:color="auto"/>
        <w:bottom w:val="none" w:sz="0" w:space="0" w:color="auto"/>
        <w:right w:val="none" w:sz="0" w:space="0" w:color="auto"/>
      </w:divBdr>
      <w:divsChild>
        <w:div w:id="1595895390">
          <w:marLeft w:val="0"/>
          <w:marRight w:val="0"/>
          <w:marTop w:val="0"/>
          <w:marBottom w:val="0"/>
          <w:divBdr>
            <w:top w:val="none" w:sz="0" w:space="0" w:color="auto"/>
            <w:left w:val="none" w:sz="0" w:space="0" w:color="auto"/>
            <w:bottom w:val="none" w:sz="0" w:space="0" w:color="auto"/>
            <w:right w:val="none" w:sz="0" w:space="0" w:color="auto"/>
          </w:divBdr>
          <w:divsChild>
            <w:div w:id="9844786">
              <w:marLeft w:val="0"/>
              <w:marRight w:val="0"/>
              <w:marTop w:val="0"/>
              <w:marBottom w:val="0"/>
              <w:divBdr>
                <w:top w:val="none" w:sz="0" w:space="0" w:color="auto"/>
                <w:left w:val="none" w:sz="0" w:space="0" w:color="auto"/>
                <w:bottom w:val="none" w:sz="0" w:space="0" w:color="auto"/>
                <w:right w:val="none" w:sz="0" w:space="0" w:color="auto"/>
              </w:divBdr>
              <w:divsChild>
                <w:div w:id="1657343631">
                  <w:marLeft w:val="0"/>
                  <w:marRight w:val="0"/>
                  <w:marTop w:val="0"/>
                  <w:marBottom w:val="0"/>
                  <w:divBdr>
                    <w:top w:val="none" w:sz="0" w:space="0" w:color="auto"/>
                    <w:left w:val="none" w:sz="0" w:space="0" w:color="auto"/>
                    <w:bottom w:val="none" w:sz="0" w:space="0" w:color="auto"/>
                    <w:right w:val="none" w:sz="0" w:space="0" w:color="auto"/>
                  </w:divBdr>
                  <w:divsChild>
                    <w:div w:id="216665171">
                      <w:marLeft w:val="0"/>
                      <w:marRight w:val="0"/>
                      <w:marTop w:val="0"/>
                      <w:marBottom w:val="0"/>
                      <w:divBdr>
                        <w:top w:val="none" w:sz="0" w:space="0" w:color="auto"/>
                        <w:left w:val="none" w:sz="0" w:space="0" w:color="auto"/>
                        <w:bottom w:val="none" w:sz="0" w:space="0" w:color="auto"/>
                        <w:right w:val="none" w:sz="0" w:space="0" w:color="auto"/>
                      </w:divBdr>
                      <w:divsChild>
                        <w:div w:id="722411299">
                          <w:marLeft w:val="0"/>
                          <w:marRight w:val="0"/>
                          <w:marTop w:val="0"/>
                          <w:marBottom w:val="0"/>
                          <w:divBdr>
                            <w:top w:val="none" w:sz="0" w:space="0" w:color="auto"/>
                            <w:left w:val="none" w:sz="0" w:space="0" w:color="auto"/>
                            <w:bottom w:val="none" w:sz="0" w:space="0" w:color="auto"/>
                            <w:right w:val="none" w:sz="0" w:space="0" w:color="auto"/>
                          </w:divBdr>
                          <w:divsChild>
                            <w:div w:id="18719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88495">
      <w:bodyDiv w:val="1"/>
      <w:marLeft w:val="0"/>
      <w:marRight w:val="0"/>
      <w:marTop w:val="0"/>
      <w:marBottom w:val="0"/>
      <w:divBdr>
        <w:top w:val="none" w:sz="0" w:space="0" w:color="auto"/>
        <w:left w:val="none" w:sz="0" w:space="0" w:color="auto"/>
        <w:bottom w:val="none" w:sz="0" w:space="0" w:color="auto"/>
        <w:right w:val="none" w:sz="0" w:space="0" w:color="auto"/>
      </w:divBdr>
      <w:divsChild>
        <w:div w:id="1416317371">
          <w:marLeft w:val="0"/>
          <w:marRight w:val="0"/>
          <w:marTop w:val="0"/>
          <w:marBottom w:val="0"/>
          <w:divBdr>
            <w:top w:val="none" w:sz="0" w:space="0" w:color="auto"/>
            <w:left w:val="none" w:sz="0" w:space="0" w:color="auto"/>
            <w:bottom w:val="none" w:sz="0" w:space="0" w:color="auto"/>
            <w:right w:val="none" w:sz="0" w:space="0" w:color="auto"/>
          </w:divBdr>
          <w:divsChild>
            <w:div w:id="653334608">
              <w:marLeft w:val="0"/>
              <w:marRight w:val="0"/>
              <w:marTop w:val="0"/>
              <w:marBottom w:val="0"/>
              <w:divBdr>
                <w:top w:val="none" w:sz="0" w:space="0" w:color="auto"/>
                <w:left w:val="none" w:sz="0" w:space="0" w:color="auto"/>
                <w:bottom w:val="none" w:sz="0" w:space="0" w:color="auto"/>
                <w:right w:val="none" w:sz="0" w:space="0" w:color="auto"/>
              </w:divBdr>
              <w:divsChild>
                <w:div w:id="1948538980">
                  <w:marLeft w:val="0"/>
                  <w:marRight w:val="0"/>
                  <w:marTop w:val="0"/>
                  <w:marBottom w:val="0"/>
                  <w:divBdr>
                    <w:top w:val="none" w:sz="0" w:space="0" w:color="auto"/>
                    <w:left w:val="none" w:sz="0" w:space="0" w:color="auto"/>
                    <w:bottom w:val="none" w:sz="0" w:space="0" w:color="auto"/>
                    <w:right w:val="none" w:sz="0" w:space="0" w:color="auto"/>
                  </w:divBdr>
                  <w:divsChild>
                    <w:div w:id="148178587">
                      <w:marLeft w:val="0"/>
                      <w:marRight w:val="0"/>
                      <w:marTop w:val="0"/>
                      <w:marBottom w:val="0"/>
                      <w:divBdr>
                        <w:top w:val="none" w:sz="0" w:space="0" w:color="auto"/>
                        <w:left w:val="none" w:sz="0" w:space="0" w:color="auto"/>
                        <w:bottom w:val="none" w:sz="0" w:space="0" w:color="auto"/>
                        <w:right w:val="none" w:sz="0" w:space="0" w:color="auto"/>
                      </w:divBdr>
                      <w:divsChild>
                        <w:div w:id="1079135971">
                          <w:marLeft w:val="0"/>
                          <w:marRight w:val="0"/>
                          <w:marTop w:val="0"/>
                          <w:marBottom w:val="0"/>
                          <w:divBdr>
                            <w:top w:val="none" w:sz="0" w:space="0" w:color="auto"/>
                            <w:left w:val="none" w:sz="0" w:space="0" w:color="auto"/>
                            <w:bottom w:val="none" w:sz="0" w:space="0" w:color="auto"/>
                            <w:right w:val="none" w:sz="0" w:space="0" w:color="auto"/>
                          </w:divBdr>
                          <w:divsChild>
                            <w:div w:id="2641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1952">
      <w:bodyDiv w:val="1"/>
      <w:marLeft w:val="0"/>
      <w:marRight w:val="0"/>
      <w:marTop w:val="0"/>
      <w:marBottom w:val="0"/>
      <w:divBdr>
        <w:top w:val="none" w:sz="0" w:space="0" w:color="auto"/>
        <w:left w:val="none" w:sz="0" w:space="0" w:color="auto"/>
        <w:bottom w:val="none" w:sz="0" w:space="0" w:color="auto"/>
        <w:right w:val="none" w:sz="0" w:space="0" w:color="auto"/>
      </w:divBdr>
      <w:divsChild>
        <w:div w:id="2100639379">
          <w:marLeft w:val="0"/>
          <w:marRight w:val="0"/>
          <w:marTop w:val="0"/>
          <w:marBottom w:val="0"/>
          <w:divBdr>
            <w:top w:val="none" w:sz="0" w:space="0" w:color="auto"/>
            <w:left w:val="none" w:sz="0" w:space="0" w:color="auto"/>
            <w:bottom w:val="none" w:sz="0" w:space="0" w:color="auto"/>
            <w:right w:val="none" w:sz="0" w:space="0" w:color="auto"/>
          </w:divBdr>
          <w:divsChild>
            <w:div w:id="93480243">
              <w:marLeft w:val="0"/>
              <w:marRight w:val="0"/>
              <w:marTop w:val="0"/>
              <w:marBottom w:val="0"/>
              <w:divBdr>
                <w:top w:val="none" w:sz="0" w:space="0" w:color="auto"/>
                <w:left w:val="none" w:sz="0" w:space="0" w:color="auto"/>
                <w:bottom w:val="none" w:sz="0" w:space="0" w:color="auto"/>
                <w:right w:val="none" w:sz="0" w:space="0" w:color="auto"/>
              </w:divBdr>
              <w:divsChild>
                <w:div w:id="1263299929">
                  <w:marLeft w:val="0"/>
                  <w:marRight w:val="0"/>
                  <w:marTop w:val="0"/>
                  <w:marBottom w:val="0"/>
                  <w:divBdr>
                    <w:top w:val="none" w:sz="0" w:space="0" w:color="auto"/>
                    <w:left w:val="none" w:sz="0" w:space="0" w:color="auto"/>
                    <w:bottom w:val="none" w:sz="0" w:space="0" w:color="auto"/>
                    <w:right w:val="none" w:sz="0" w:space="0" w:color="auto"/>
                  </w:divBdr>
                  <w:divsChild>
                    <w:div w:id="950090755">
                      <w:marLeft w:val="0"/>
                      <w:marRight w:val="0"/>
                      <w:marTop w:val="0"/>
                      <w:marBottom w:val="0"/>
                      <w:divBdr>
                        <w:top w:val="none" w:sz="0" w:space="0" w:color="auto"/>
                        <w:left w:val="none" w:sz="0" w:space="0" w:color="auto"/>
                        <w:bottom w:val="none" w:sz="0" w:space="0" w:color="auto"/>
                        <w:right w:val="none" w:sz="0" w:space="0" w:color="auto"/>
                      </w:divBdr>
                      <w:divsChild>
                        <w:div w:id="194395085">
                          <w:marLeft w:val="0"/>
                          <w:marRight w:val="0"/>
                          <w:marTop w:val="0"/>
                          <w:marBottom w:val="0"/>
                          <w:divBdr>
                            <w:top w:val="none" w:sz="0" w:space="0" w:color="auto"/>
                            <w:left w:val="none" w:sz="0" w:space="0" w:color="auto"/>
                            <w:bottom w:val="none" w:sz="0" w:space="0" w:color="auto"/>
                            <w:right w:val="none" w:sz="0" w:space="0" w:color="auto"/>
                          </w:divBdr>
                          <w:divsChild>
                            <w:div w:id="1656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23583">
      <w:bodyDiv w:val="1"/>
      <w:marLeft w:val="0"/>
      <w:marRight w:val="0"/>
      <w:marTop w:val="0"/>
      <w:marBottom w:val="0"/>
      <w:divBdr>
        <w:top w:val="none" w:sz="0" w:space="0" w:color="auto"/>
        <w:left w:val="none" w:sz="0" w:space="0" w:color="auto"/>
        <w:bottom w:val="none" w:sz="0" w:space="0" w:color="auto"/>
        <w:right w:val="none" w:sz="0" w:space="0" w:color="auto"/>
      </w:divBdr>
      <w:divsChild>
        <w:div w:id="2067797442">
          <w:marLeft w:val="0"/>
          <w:marRight w:val="0"/>
          <w:marTop w:val="0"/>
          <w:marBottom w:val="0"/>
          <w:divBdr>
            <w:top w:val="none" w:sz="0" w:space="0" w:color="auto"/>
            <w:left w:val="none" w:sz="0" w:space="0" w:color="auto"/>
            <w:bottom w:val="none" w:sz="0" w:space="0" w:color="auto"/>
            <w:right w:val="none" w:sz="0" w:space="0" w:color="auto"/>
          </w:divBdr>
          <w:divsChild>
            <w:div w:id="109083243">
              <w:marLeft w:val="0"/>
              <w:marRight w:val="0"/>
              <w:marTop w:val="0"/>
              <w:marBottom w:val="0"/>
              <w:divBdr>
                <w:top w:val="none" w:sz="0" w:space="0" w:color="auto"/>
                <w:left w:val="none" w:sz="0" w:space="0" w:color="auto"/>
                <w:bottom w:val="none" w:sz="0" w:space="0" w:color="auto"/>
                <w:right w:val="none" w:sz="0" w:space="0" w:color="auto"/>
              </w:divBdr>
              <w:divsChild>
                <w:div w:id="1878546482">
                  <w:marLeft w:val="0"/>
                  <w:marRight w:val="0"/>
                  <w:marTop w:val="0"/>
                  <w:marBottom w:val="0"/>
                  <w:divBdr>
                    <w:top w:val="none" w:sz="0" w:space="0" w:color="auto"/>
                    <w:left w:val="none" w:sz="0" w:space="0" w:color="auto"/>
                    <w:bottom w:val="none" w:sz="0" w:space="0" w:color="auto"/>
                    <w:right w:val="none" w:sz="0" w:space="0" w:color="auto"/>
                  </w:divBdr>
                  <w:divsChild>
                    <w:div w:id="1797794929">
                      <w:marLeft w:val="0"/>
                      <w:marRight w:val="0"/>
                      <w:marTop w:val="0"/>
                      <w:marBottom w:val="0"/>
                      <w:divBdr>
                        <w:top w:val="none" w:sz="0" w:space="0" w:color="auto"/>
                        <w:left w:val="none" w:sz="0" w:space="0" w:color="auto"/>
                        <w:bottom w:val="none" w:sz="0" w:space="0" w:color="auto"/>
                        <w:right w:val="none" w:sz="0" w:space="0" w:color="auto"/>
                      </w:divBdr>
                      <w:divsChild>
                        <w:div w:id="831721336">
                          <w:marLeft w:val="0"/>
                          <w:marRight w:val="0"/>
                          <w:marTop w:val="0"/>
                          <w:marBottom w:val="0"/>
                          <w:divBdr>
                            <w:top w:val="none" w:sz="0" w:space="0" w:color="auto"/>
                            <w:left w:val="none" w:sz="0" w:space="0" w:color="auto"/>
                            <w:bottom w:val="none" w:sz="0" w:space="0" w:color="auto"/>
                            <w:right w:val="none" w:sz="0" w:space="0" w:color="auto"/>
                          </w:divBdr>
                          <w:divsChild>
                            <w:div w:id="1869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235484">
      <w:bodyDiv w:val="1"/>
      <w:marLeft w:val="0"/>
      <w:marRight w:val="0"/>
      <w:marTop w:val="0"/>
      <w:marBottom w:val="0"/>
      <w:divBdr>
        <w:top w:val="none" w:sz="0" w:space="0" w:color="auto"/>
        <w:left w:val="none" w:sz="0" w:space="0" w:color="auto"/>
        <w:bottom w:val="none" w:sz="0" w:space="0" w:color="auto"/>
        <w:right w:val="none" w:sz="0" w:space="0" w:color="auto"/>
      </w:divBdr>
      <w:divsChild>
        <w:div w:id="1851486298">
          <w:marLeft w:val="0"/>
          <w:marRight w:val="0"/>
          <w:marTop w:val="0"/>
          <w:marBottom w:val="0"/>
          <w:divBdr>
            <w:top w:val="none" w:sz="0" w:space="0" w:color="auto"/>
            <w:left w:val="none" w:sz="0" w:space="0" w:color="auto"/>
            <w:bottom w:val="none" w:sz="0" w:space="0" w:color="auto"/>
            <w:right w:val="none" w:sz="0" w:space="0" w:color="auto"/>
          </w:divBdr>
          <w:divsChild>
            <w:div w:id="179398796">
              <w:marLeft w:val="0"/>
              <w:marRight w:val="0"/>
              <w:marTop w:val="0"/>
              <w:marBottom w:val="0"/>
              <w:divBdr>
                <w:top w:val="none" w:sz="0" w:space="0" w:color="auto"/>
                <w:left w:val="none" w:sz="0" w:space="0" w:color="auto"/>
                <w:bottom w:val="none" w:sz="0" w:space="0" w:color="auto"/>
                <w:right w:val="none" w:sz="0" w:space="0" w:color="auto"/>
              </w:divBdr>
              <w:divsChild>
                <w:div w:id="827475960">
                  <w:marLeft w:val="0"/>
                  <w:marRight w:val="0"/>
                  <w:marTop w:val="0"/>
                  <w:marBottom w:val="0"/>
                  <w:divBdr>
                    <w:top w:val="none" w:sz="0" w:space="0" w:color="auto"/>
                    <w:left w:val="none" w:sz="0" w:space="0" w:color="auto"/>
                    <w:bottom w:val="none" w:sz="0" w:space="0" w:color="auto"/>
                    <w:right w:val="none" w:sz="0" w:space="0" w:color="auto"/>
                  </w:divBdr>
                  <w:divsChild>
                    <w:div w:id="1796950453">
                      <w:marLeft w:val="0"/>
                      <w:marRight w:val="0"/>
                      <w:marTop w:val="0"/>
                      <w:marBottom w:val="0"/>
                      <w:divBdr>
                        <w:top w:val="none" w:sz="0" w:space="0" w:color="auto"/>
                        <w:left w:val="none" w:sz="0" w:space="0" w:color="auto"/>
                        <w:bottom w:val="none" w:sz="0" w:space="0" w:color="auto"/>
                        <w:right w:val="none" w:sz="0" w:space="0" w:color="auto"/>
                      </w:divBdr>
                      <w:divsChild>
                        <w:div w:id="1285429883">
                          <w:marLeft w:val="0"/>
                          <w:marRight w:val="0"/>
                          <w:marTop w:val="0"/>
                          <w:marBottom w:val="0"/>
                          <w:divBdr>
                            <w:top w:val="none" w:sz="0" w:space="0" w:color="auto"/>
                            <w:left w:val="none" w:sz="0" w:space="0" w:color="auto"/>
                            <w:bottom w:val="none" w:sz="0" w:space="0" w:color="auto"/>
                            <w:right w:val="none" w:sz="0" w:space="0" w:color="auto"/>
                          </w:divBdr>
                          <w:divsChild>
                            <w:div w:id="16270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04288">
      <w:bodyDiv w:val="1"/>
      <w:marLeft w:val="0"/>
      <w:marRight w:val="0"/>
      <w:marTop w:val="0"/>
      <w:marBottom w:val="0"/>
      <w:divBdr>
        <w:top w:val="none" w:sz="0" w:space="0" w:color="auto"/>
        <w:left w:val="none" w:sz="0" w:space="0" w:color="auto"/>
        <w:bottom w:val="none" w:sz="0" w:space="0" w:color="auto"/>
        <w:right w:val="none" w:sz="0" w:space="0" w:color="auto"/>
      </w:divBdr>
      <w:divsChild>
        <w:div w:id="7827973">
          <w:marLeft w:val="0"/>
          <w:marRight w:val="0"/>
          <w:marTop w:val="0"/>
          <w:marBottom w:val="0"/>
          <w:divBdr>
            <w:top w:val="none" w:sz="0" w:space="0" w:color="auto"/>
            <w:left w:val="none" w:sz="0" w:space="0" w:color="auto"/>
            <w:bottom w:val="none" w:sz="0" w:space="0" w:color="auto"/>
            <w:right w:val="none" w:sz="0" w:space="0" w:color="auto"/>
          </w:divBdr>
          <w:divsChild>
            <w:div w:id="1449353393">
              <w:marLeft w:val="0"/>
              <w:marRight w:val="0"/>
              <w:marTop w:val="0"/>
              <w:marBottom w:val="0"/>
              <w:divBdr>
                <w:top w:val="none" w:sz="0" w:space="0" w:color="auto"/>
                <w:left w:val="none" w:sz="0" w:space="0" w:color="auto"/>
                <w:bottom w:val="none" w:sz="0" w:space="0" w:color="auto"/>
                <w:right w:val="none" w:sz="0" w:space="0" w:color="auto"/>
              </w:divBdr>
              <w:divsChild>
                <w:div w:id="256136010">
                  <w:marLeft w:val="0"/>
                  <w:marRight w:val="0"/>
                  <w:marTop w:val="0"/>
                  <w:marBottom w:val="0"/>
                  <w:divBdr>
                    <w:top w:val="none" w:sz="0" w:space="0" w:color="auto"/>
                    <w:left w:val="none" w:sz="0" w:space="0" w:color="auto"/>
                    <w:bottom w:val="none" w:sz="0" w:space="0" w:color="auto"/>
                    <w:right w:val="none" w:sz="0" w:space="0" w:color="auto"/>
                  </w:divBdr>
                  <w:divsChild>
                    <w:div w:id="2006668931">
                      <w:marLeft w:val="0"/>
                      <w:marRight w:val="0"/>
                      <w:marTop w:val="0"/>
                      <w:marBottom w:val="0"/>
                      <w:divBdr>
                        <w:top w:val="none" w:sz="0" w:space="0" w:color="auto"/>
                        <w:left w:val="none" w:sz="0" w:space="0" w:color="auto"/>
                        <w:bottom w:val="none" w:sz="0" w:space="0" w:color="auto"/>
                        <w:right w:val="none" w:sz="0" w:space="0" w:color="auto"/>
                      </w:divBdr>
                      <w:divsChild>
                        <w:div w:id="1705212176">
                          <w:marLeft w:val="0"/>
                          <w:marRight w:val="0"/>
                          <w:marTop w:val="0"/>
                          <w:marBottom w:val="0"/>
                          <w:divBdr>
                            <w:top w:val="none" w:sz="0" w:space="0" w:color="auto"/>
                            <w:left w:val="none" w:sz="0" w:space="0" w:color="auto"/>
                            <w:bottom w:val="none" w:sz="0" w:space="0" w:color="auto"/>
                            <w:right w:val="none" w:sz="0" w:space="0" w:color="auto"/>
                          </w:divBdr>
                          <w:divsChild>
                            <w:div w:id="12314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5149">
      <w:bodyDiv w:val="1"/>
      <w:marLeft w:val="0"/>
      <w:marRight w:val="0"/>
      <w:marTop w:val="0"/>
      <w:marBottom w:val="0"/>
      <w:divBdr>
        <w:top w:val="none" w:sz="0" w:space="0" w:color="auto"/>
        <w:left w:val="none" w:sz="0" w:space="0" w:color="auto"/>
        <w:bottom w:val="none" w:sz="0" w:space="0" w:color="auto"/>
        <w:right w:val="none" w:sz="0" w:space="0" w:color="auto"/>
      </w:divBdr>
    </w:div>
    <w:div w:id="1528987595">
      <w:bodyDiv w:val="1"/>
      <w:marLeft w:val="0"/>
      <w:marRight w:val="0"/>
      <w:marTop w:val="0"/>
      <w:marBottom w:val="0"/>
      <w:divBdr>
        <w:top w:val="none" w:sz="0" w:space="0" w:color="auto"/>
        <w:left w:val="none" w:sz="0" w:space="0" w:color="auto"/>
        <w:bottom w:val="none" w:sz="0" w:space="0" w:color="auto"/>
        <w:right w:val="none" w:sz="0" w:space="0" w:color="auto"/>
      </w:divBdr>
      <w:divsChild>
        <w:div w:id="161898508">
          <w:marLeft w:val="0"/>
          <w:marRight w:val="0"/>
          <w:marTop w:val="0"/>
          <w:marBottom w:val="0"/>
          <w:divBdr>
            <w:top w:val="none" w:sz="0" w:space="0" w:color="auto"/>
            <w:left w:val="none" w:sz="0" w:space="0" w:color="auto"/>
            <w:bottom w:val="none" w:sz="0" w:space="0" w:color="auto"/>
            <w:right w:val="none" w:sz="0" w:space="0" w:color="auto"/>
          </w:divBdr>
          <w:divsChild>
            <w:div w:id="491676355">
              <w:marLeft w:val="0"/>
              <w:marRight w:val="0"/>
              <w:marTop w:val="0"/>
              <w:marBottom w:val="0"/>
              <w:divBdr>
                <w:top w:val="none" w:sz="0" w:space="0" w:color="auto"/>
                <w:left w:val="none" w:sz="0" w:space="0" w:color="auto"/>
                <w:bottom w:val="none" w:sz="0" w:space="0" w:color="auto"/>
                <w:right w:val="none" w:sz="0" w:space="0" w:color="auto"/>
              </w:divBdr>
              <w:divsChild>
                <w:div w:id="1886141348">
                  <w:marLeft w:val="0"/>
                  <w:marRight w:val="0"/>
                  <w:marTop w:val="0"/>
                  <w:marBottom w:val="0"/>
                  <w:divBdr>
                    <w:top w:val="none" w:sz="0" w:space="0" w:color="auto"/>
                    <w:left w:val="none" w:sz="0" w:space="0" w:color="auto"/>
                    <w:bottom w:val="none" w:sz="0" w:space="0" w:color="auto"/>
                    <w:right w:val="none" w:sz="0" w:space="0" w:color="auto"/>
                  </w:divBdr>
                  <w:divsChild>
                    <w:div w:id="2131822018">
                      <w:marLeft w:val="0"/>
                      <w:marRight w:val="0"/>
                      <w:marTop w:val="0"/>
                      <w:marBottom w:val="0"/>
                      <w:divBdr>
                        <w:top w:val="none" w:sz="0" w:space="0" w:color="auto"/>
                        <w:left w:val="none" w:sz="0" w:space="0" w:color="auto"/>
                        <w:bottom w:val="none" w:sz="0" w:space="0" w:color="auto"/>
                        <w:right w:val="none" w:sz="0" w:space="0" w:color="auto"/>
                      </w:divBdr>
                      <w:divsChild>
                        <w:div w:id="843669407">
                          <w:marLeft w:val="0"/>
                          <w:marRight w:val="0"/>
                          <w:marTop w:val="0"/>
                          <w:marBottom w:val="0"/>
                          <w:divBdr>
                            <w:top w:val="none" w:sz="0" w:space="0" w:color="auto"/>
                            <w:left w:val="none" w:sz="0" w:space="0" w:color="auto"/>
                            <w:bottom w:val="none" w:sz="0" w:space="0" w:color="auto"/>
                            <w:right w:val="none" w:sz="0" w:space="0" w:color="auto"/>
                          </w:divBdr>
                          <w:divsChild>
                            <w:div w:id="7330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09185">
      <w:bodyDiv w:val="1"/>
      <w:marLeft w:val="0"/>
      <w:marRight w:val="0"/>
      <w:marTop w:val="0"/>
      <w:marBottom w:val="0"/>
      <w:divBdr>
        <w:top w:val="none" w:sz="0" w:space="0" w:color="auto"/>
        <w:left w:val="none" w:sz="0" w:space="0" w:color="auto"/>
        <w:bottom w:val="none" w:sz="0" w:space="0" w:color="auto"/>
        <w:right w:val="none" w:sz="0" w:space="0" w:color="auto"/>
      </w:divBdr>
      <w:divsChild>
        <w:div w:id="597255979">
          <w:marLeft w:val="0"/>
          <w:marRight w:val="0"/>
          <w:marTop w:val="0"/>
          <w:marBottom w:val="0"/>
          <w:divBdr>
            <w:top w:val="none" w:sz="0" w:space="0" w:color="auto"/>
            <w:left w:val="none" w:sz="0" w:space="0" w:color="auto"/>
            <w:bottom w:val="none" w:sz="0" w:space="0" w:color="auto"/>
            <w:right w:val="none" w:sz="0" w:space="0" w:color="auto"/>
          </w:divBdr>
          <w:divsChild>
            <w:div w:id="1887058815">
              <w:marLeft w:val="0"/>
              <w:marRight w:val="0"/>
              <w:marTop w:val="0"/>
              <w:marBottom w:val="0"/>
              <w:divBdr>
                <w:top w:val="none" w:sz="0" w:space="0" w:color="auto"/>
                <w:left w:val="none" w:sz="0" w:space="0" w:color="auto"/>
                <w:bottom w:val="none" w:sz="0" w:space="0" w:color="auto"/>
                <w:right w:val="none" w:sz="0" w:space="0" w:color="auto"/>
              </w:divBdr>
              <w:divsChild>
                <w:div w:id="2036228422">
                  <w:marLeft w:val="0"/>
                  <w:marRight w:val="0"/>
                  <w:marTop w:val="0"/>
                  <w:marBottom w:val="0"/>
                  <w:divBdr>
                    <w:top w:val="none" w:sz="0" w:space="0" w:color="auto"/>
                    <w:left w:val="none" w:sz="0" w:space="0" w:color="auto"/>
                    <w:bottom w:val="none" w:sz="0" w:space="0" w:color="auto"/>
                    <w:right w:val="none" w:sz="0" w:space="0" w:color="auto"/>
                  </w:divBdr>
                  <w:divsChild>
                    <w:div w:id="560141099">
                      <w:marLeft w:val="0"/>
                      <w:marRight w:val="0"/>
                      <w:marTop w:val="0"/>
                      <w:marBottom w:val="0"/>
                      <w:divBdr>
                        <w:top w:val="none" w:sz="0" w:space="0" w:color="auto"/>
                        <w:left w:val="none" w:sz="0" w:space="0" w:color="auto"/>
                        <w:bottom w:val="none" w:sz="0" w:space="0" w:color="auto"/>
                        <w:right w:val="none" w:sz="0" w:space="0" w:color="auto"/>
                      </w:divBdr>
                      <w:divsChild>
                        <w:div w:id="1478450230">
                          <w:marLeft w:val="0"/>
                          <w:marRight w:val="0"/>
                          <w:marTop w:val="0"/>
                          <w:marBottom w:val="0"/>
                          <w:divBdr>
                            <w:top w:val="none" w:sz="0" w:space="0" w:color="auto"/>
                            <w:left w:val="none" w:sz="0" w:space="0" w:color="auto"/>
                            <w:bottom w:val="none" w:sz="0" w:space="0" w:color="auto"/>
                            <w:right w:val="none" w:sz="0" w:space="0" w:color="auto"/>
                          </w:divBdr>
                          <w:divsChild>
                            <w:div w:id="1215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24075">
      <w:bodyDiv w:val="1"/>
      <w:marLeft w:val="0"/>
      <w:marRight w:val="0"/>
      <w:marTop w:val="0"/>
      <w:marBottom w:val="0"/>
      <w:divBdr>
        <w:top w:val="none" w:sz="0" w:space="0" w:color="auto"/>
        <w:left w:val="none" w:sz="0" w:space="0" w:color="auto"/>
        <w:bottom w:val="none" w:sz="0" w:space="0" w:color="auto"/>
        <w:right w:val="none" w:sz="0" w:space="0" w:color="auto"/>
      </w:divBdr>
      <w:divsChild>
        <w:div w:id="754480039">
          <w:marLeft w:val="0"/>
          <w:marRight w:val="0"/>
          <w:marTop w:val="0"/>
          <w:marBottom w:val="0"/>
          <w:divBdr>
            <w:top w:val="none" w:sz="0" w:space="0" w:color="auto"/>
            <w:left w:val="none" w:sz="0" w:space="0" w:color="auto"/>
            <w:bottom w:val="none" w:sz="0" w:space="0" w:color="auto"/>
            <w:right w:val="none" w:sz="0" w:space="0" w:color="auto"/>
          </w:divBdr>
          <w:divsChild>
            <w:div w:id="693727778">
              <w:marLeft w:val="0"/>
              <w:marRight w:val="0"/>
              <w:marTop w:val="0"/>
              <w:marBottom w:val="0"/>
              <w:divBdr>
                <w:top w:val="none" w:sz="0" w:space="0" w:color="auto"/>
                <w:left w:val="none" w:sz="0" w:space="0" w:color="auto"/>
                <w:bottom w:val="none" w:sz="0" w:space="0" w:color="auto"/>
                <w:right w:val="none" w:sz="0" w:space="0" w:color="auto"/>
              </w:divBdr>
              <w:divsChild>
                <w:div w:id="1975408417">
                  <w:marLeft w:val="0"/>
                  <w:marRight w:val="0"/>
                  <w:marTop w:val="0"/>
                  <w:marBottom w:val="0"/>
                  <w:divBdr>
                    <w:top w:val="none" w:sz="0" w:space="0" w:color="auto"/>
                    <w:left w:val="none" w:sz="0" w:space="0" w:color="auto"/>
                    <w:bottom w:val="none" w:sz="0" w:space="0" w:color="auto"/>
                    <w:right w:val="none" w:sz="0" w:space="0" w:color="auto"/>
                  </w:divBdr>
                  <w:divsChild>
                    <w:div w:id="894004802">
                      <w:marLeft w:val="0"/>
                      <w:marRight w:val="0"/>
                      <w:marTop w:val="0"/>
                      <w:marBottom w:val="0"/>
                      <w:divBdr>
                        <w:top w:val="none" w:sz="0" w:space="0" w:color="auto"/>
                        <w:left w:val="none" w:sz="0" w:space="0" w:color="auto"/>
                        <w:bottom w:val="none" w:sz="0" w:space="0" w:color="auto"/>
                        <w:right w:val="none" w:sz="0" w:space="0" w:color="auto"/>
                      </w:divBdr>
                      <w:divsChild>
                        <w:div w:id="1429737971">
                          <w:marLeft w:val="0"/>
                          <w:marRight w:val="0"/>
                          <w:marTop w:val="0"/>
                          <w:marBottom w:val="0"/>
                          <w:divBdr>
                            <w:top w:val="none" w:sz="0" w:space="0" w:color="auto"/>
                            <w:left w:val="none" w:sz="0" w:space="0" w:color="auto"/>
                            <w:bottom w:val="none" w:sz="0" w:space="0" w:color="auto"/>
                            <w:right w:val="none" w:sz="0" w:space="0" w:color="auto"/>
                          </w:divBdr>
                          <w:divsChild>
                            <w:div w:id="19586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arrett.aiken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C001-00E5-439A-8C1C-658CBCB6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13517</Words>
  <Characters>77047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Aikens, Garrett B  CAVHCS</dc:creator>
  <cp:lastModifiedBy>LS Ma</cp:lastModifiedBy>
  <cp:revision>2</cp:revision>
  <cp:lastPrinted>2014-04-14T12:36:00Z</cp:lastPrinted>
  <dcterms:created xsi:type="dcterms:W3CDTF">2014-05-13T17:44:00Z</dcterms:created>
  <dcterms:modified xsi:type="dcterms:W3CDTF">2014-05-13T17:44:00Z</dcterms:modified>
</cp:coreProperties>
</file>