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85287</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spacing w:line="360" w:lineRule="auto"/>
        <w:jc w:val="both"/>
      </w:pPr>
    </w:p>
    <w:p>
      <w:pPr>
        <w:spacing w:line="360" w:lineRule="auto"/>
        <w:jc w:val="both"/>
      </w:pPr>
      <w:r>
        <w:rPr>
          <w:rFonts w:ascii="Book Antiqua" w:hAnsi="Book Antiqua" w:eastAsia="Book Antiqua" w:cs="Book Antiqua"/>
          <w:b/>
          <w:color w:val="000000"/>
        </w:rPr>
        <w:t xml:space="preserve">COVID-19-induced gastrointestinal autonomic dysfunction: </w:t>
      </w:r>
      <w:r>
        <w:rPr>
          <w:rFonts w:hint="eastAsia" w:ascii="Book Antiqua" w:hAnsi="Book Antiqua" w:eastAsia="宋体" w:cs="Book Antiqua"/>
          <w:b/>
          <w:color w:val="000000"/>
          <w:lang w:eastAsia="zh-CN"/>
        </w:rPr>
        <w:t>A s</w:t>
      </w:r>
      <w:r>
        <w:rPr>
          <w:rFonts w:ascii="Book Antiqua" w:hAnsi="Book Antiqua" w:eastAsia="Book Antiqua" w:cs="Book Antiqua"/>
          <w:b/>
          <w:color w:val="000000"/>
        </w:rPr>
        <w:t>ystematic review</w:t>
      </w:r>
    </w:p>
    <w:p>
      <w:pPr>
        <w:spacing w:line="360" w:lineRule="auto"/>
        <w:jc w:val="both"/>
      </w:pPr>
    </w:p>
    <w:p>
      <w:pPr>
        <w:spacing w:line="360" w:lineRule="auto"/>
        <w:jc w:val="both"/>
      </w:pPr>
      <w:r>
        <w:rPr>
          <w:rFonts w:ascii="Book Antiqua" w:hAnsi="Book Antiqua" w:eastAsia="Book Antiqua" w:cs="Book Antiqua"/>
          <w:color w:val="000000"/>
        </w:rPr>
        <w:t>Elbeltagi R</w:t>
      </w:r>
      <w:r>
        <w:rPr>
          <w:rFonts w:ascii="Book Antiqua" w:hAnsi="Book Antiqua" w:eastAsia="Book Antiqua" w:cs="Book Antiqua"/>
          <w:i/>
          <w:iCs/>
          <w:color w:val="000000"/>
        </w:rPr>
        <w:t xml:space="preserve"> et al</w:t>
      </w:r>
      <w:r>
        <w:rPr>
          <w:rFonts w:ascii="Book Antiqua" w:hAnsi="Book Antiqua" w:eastAsia="Book Antiqua" w:cs="Book Antiqua"/>
          <w:color w:val="000000"/>
        </w:rPr>
        <w:t>. COVID-19-induced gastrointestinal autonomic dysfunction</w:t>
      </w:r>
    </w:p>
    <w:p>
      <w:pPr>
        <w:spacing w:line="360" w:lineRule="auto"/>
        <w:jc w:val="both"/>
      </w:pPr>
    </w:p>
    <w:p>
      <w:pPr>
        <w:spacing w:line="360" w:lineRule="auto"/>
        <w:jc w:val="both"/>
      </w:pPr>
      <w:r>
        <w:rPr>
          <w:rFonts w:ascii="Book Antiqua" w:hAnsi="Book Antiqua" w:eastAsia="Book Antiqua" w:cs="Book Antiqua"/>
          <w:color w:val="000000"/>
        </w:rPr>
        <w:t>Reem Elbeltagi, Mohammed Al-Beltagi, Nermin Kamal Saeed, Adel Salah Bediwy</w:t>
      </w:r>
    </w:p>
    <w:p>
      <w:pPr>
        <w:spacing w:line="360" w:lineRule="auto"/>
        <w:jc w:val="both"/>
      </w:pPr>
    </w:p>
    <w:p>
      <w:pPr>
        <w:spacing w:line="360" w:lineRule="auto"/>
        <w:jc w:val="both"/>
      </w:pPr>
      <w:r>
        <w:rPr>
          <w:rFonts w:ascii="Book Antiqua" w:hAnsi="Book Antiqua" w:eastAsia="Book Antiqua" w:cs="Book Antiqua"/>
          <w:b/>
          <w:bCs/>
          <w:color w:val="000000"/>
        </w:rPr>
        <w:t xml:space="preserve">Reem Elbeltagi, </w:t>
      </w:r>
      <w:r>
        <w:rPr>
          <w:rFonts w:ascii="Book Antiqua" w:hAnsi="Book Antiqua" w:eastAsia="Book Antiqua" w:cs="Book Antiqua"/>
          <w:color w:val="000000"/>
        </w:rPr>
        <w:t>Department of Medicine, The Royal College of Surgeons in Ireland-Medical University of Bahrain, Busiateen ‎15503‎, Muharraq, Bahrain</w:t>
      </w:r>
    </w:p>
    <w:p>
      <w:pPr>
        <w:spacing w:line="360" w:lineRule="auto"/>
        <w:jc w:val="both"/>
      </w:pPr>
    </w:p>
    <w:p>
      <w:pPr>
        <w:spacing w:line="360" w:lineRule="auto"/>
        <w:jc w:val="both"/>
      </w:pPr>
      <w:r>
        <w:rPr>
          <w:rFonts w:ascii="Book Antiqua" w:hAnsi="Book Antiqua" w:eastAsia="Book Antiqua" w:cs="Book Antiqua"/>
          <w:b/>
          <w:bCs/>
          <w:color w:val="000000"/>
        </w:rPr>
        <w:t xml:space="preserve">Mohammed Al-Beltagi, </w:t>
      </w:r>
      <w:r>
        <w:rPr>
          <w:rFonts w:ascii="Book Antiqua" w:hAnsi="Book Antiqua" w:eastAsia="Book Antiqua" w:cs="Book Antiqua"/>
          <w:color w:val="000000"/>
        </w:rPr>
        <w:t>Department of Paediatrics, Faculty of Medicine, Tanta University, Tanta ‎31511‎, Algharbia, Egypt</w:t>
      </w:r>
    </w:p>
    <w:p>
      <w:pPr>
        <w:spacing w:line="360" w:lineRule="auto"/>
        <w:jc w:val="both"/>
      </w:pPr>
    </w:p>
    <w:p>
      <w:pPr>
        <w:spacing w:line="360" w:lineRule="auto"/>
        <w:jc w:val="both"/>
      </w:pPr>
      <w:r>
        <w:rPr>
          <w:rFonts w:ascii="Book Antiqua" w:hAnsi="Book Antiqua" w:eastAsia="Book Antiqua" w:cs="Book Antiqua"/>
          <w:b/>
          <w:bCs/>
          <w:color w:val="000000"/>
        </w:rPr>
        <w:t xml:space="preserve">Mohammed Al-Beltagi, </w:t>
      </w:r>
      <w:r>
        <w:rPr>
          <w:rFonts w:ascii="Book Antiqua" w:hAnsi="Book Antiqua" w:eastAsia="Book Antiqua" w:cs="Book Antiqua"/>
          <w:color w:val="000000"/>
        </w:rPr>
        <w:t>Department of Paediatrics, University Medical Center, Arabian Gulf University, Manama ‎26671‎, Manama, Bahrain</w:t>
      </w:r>
    </w:p>
    <w:p>
      <w:pPr>
        <w:spacing w:line="360" w:lineRule="auto"/>
        <w:jc w:val="both"/>
      </w:pPr>
    </w:p>
    <w:p>
      <w:pPr>
        <w:spacing w:line="360" w:lineRule="auto"/>
        <w:jc w:val="both"/>
      </w:pPr>
      <w:r>
        <w:rPr>
          <w:rFonts w:ascii="Book Antiqua" w:hAnsi="Book Antiqua" w:eastAsia="Book Antiqua" w:cs="Book Antiqua"/>
          <w:b/>
          <w:bCs/>
          <w:color w:val="000000"/>
        </w:rPr>
        <w:t xml:space="preserve">Mohammed Al-Beltagi, </w:t>
      </w:r>
      <w:r>
        <w:rPr>
          <w:rFonts w:ascii="Book Antiqua" w:hAnsi="Book Antiqua" w:eastAsia="Book Antiqua" w:cs="Book Antiqua"/>
          <w:color w:val="000000"/>
        </w:rPr>
        <w:t>Department of Paediatrics, University Medical Center, King Abdulla Medical City, Arabian Gulf University, Dr ‎Sulaiman Al Habib Medical Group, Manama ‎26671‎, Manama, Bahrain</w:t>
      </w:r>
    </w:p>
    <w:p>
      <w:pPr>
        <w:spacing w:line="360" w:lineRule="auto"/>
        <w:jc w:val="both"/>
      </w:pPr>
    </w:p>
    <w:p>
      <w:pPr>
        <w:spacing w:line="360" w:lineRule="auto"/>
        <w:jc w:val="both"/>
      </w:pPr>
      <w:r>
        <w:rPr>
          <w:rFonts w:ascii="Book Antiqua" w:hAnsi="Book Antiqua" w:eastAsia="Book Antiqua" w:cs="Book Antiqua"/>
          <w:b/>
          <w:bCs/>
          <w:color w:val="000000"/>
        </w:rPr>
        <w:t xml:space="preserve">Nermin Kamal Saeed, </w:t>
      </w:r>
      <w:r>
        <w:rPr>
          <w:rFonts w:ascii="Book Antiqua" w:hAnsi="Book Antiqua" w:eastAsia="Book Antiqua" w:cs="Book Antiqua"/>
          <w:color w:val="000000"/>
        </w:rPr>
        <w:t>Medical Microbiology Section, Pathology Department, Salmaniya Medical Complex, Ministry of Health, Kingdom of Bahrain, Manama 12, Manama, Bahrain</w:t>
      </w:r>
    </w:p>
    <w:p>
      <w:pPr>
        <w:spacing w:line="360" w:lineRule="auto"/>
        <w:jc w:val="both"/>
      </w:pPr>
    </w:p>
    <w:p>
      <w:pPr>
        <w:spacing w:line="360" w:lineRule="auto"/>
        <w:jc w:val="both"/>
      </w:pPr>
      <w:r>
        <w:rPr>
          <w:rFonts w:ascii="Book Antiqua" w:hAnsi="Book Antiqua" w:eastAsia="Book Antiqua" w:cs="Book Antiqua"/>
          <w:b/>
          <w:bCs/>
          <w:color w:val="000000"/>
        </w:rPr>
        <w:t xml:space="preserve">Nermin Kamal Saeed, </w:t>
      </w:r>
      <w:r>
        <w:rPr>
          <w:rFonts w:ascii="Book Antiqua" w:hAnsi="Book Antiqua" w:eastAsia="Book Antiqua" w:cs="Book Antiqua"/>
          <w:color w:val="000000"/>
        </w:rPr>
        <w:t>Microbiology Section, Pathology Department, The Royal College of Surgeons in Ireland-Medical University of Bahrain, Busaiteen 15503, Muharraq, Bahrain</w:t>
      </w:r>
    </w:p>
    <w:p>
      <w:pPr>
        <w:spacing w:line="360" w:lineRule="auto"/>
        <w:jc w:val="both"/>
      </w:pPr>
    </w:p>
    <w:p>
      <w:pPr>
        <w:spacing w:line="360" w:lineRule="auto"/>
        <w:jc w:val="both"/>
      </w:pPr>
      <w:r>
        <w:rPr>
          <w:rFonts w:ascii="Book Antiqua" w:hAnsi="Book Antiqua" w:eastAsia="Book Antiqua" w:cs="Book Antiqua"/>
          <w:b/>
          <w:bCs/>
          <w:color w:val="000000"/>
        </w:rPr>
        <w:t xml:space="preserve">Adel Salah Bediwy, </w:t>
      </w:r>
      <w:r>
        <w:rPr>
          <w:rFonts w:ascii="Book Antiqua" w:hAnsi="Book Antiqua" w:eastAsia="Book Antiqua" w:cs="Book Antiqua"/>
          <w:color w:val="000000"/>
        </w:rPr>
        <w:t>Department of Chest Disease, Faculty of Medicine, Tanta University, Tanta ‎31527‎, Algharbia, Egypt</w:t>
      </w:r>
    </w:p>
    <w:p>
      <w:pPr>
        <w:spacing w:line="360" w:lineRule="auto"/>
        <w:jc w:val="both"/>
      </w:pPr>
    </w:p>
    <w:p>
      <w:pPr>
        <w:spacing w:line="360" w:lineRule="auto"/>
        <w:jc w:val="both"/>
      </w:pPr>
      <w:r>
        <w:rPr>
          <w:rFonts w:ascii="Book Antiqua" w:hAnsi="Book Antiqua" w:eastAsia="Book Antiqua" w:cs="Book Antiqua"/>
          <w:b/>
          <w:bCs/>
          <w:color w:val="000000"/>
        </w:rPr>
        <w:t xml:space="preserve">Adel Salah Bediwy, </w:t>
      </w:r>
      <w:r>
        <w:rPr>
          <w:rFonts w:ascii="Book Antiqua" w:hAnsi="Book Antiqua" w:eastAsia="Book Antiqua" w:cs="Book Antiqua"/>
          <w:color w:val="000000"/>
        </w:rPr>
        <w:t>Department of Pulmonology, University Medical Center, King Abdulla Medical City, Arabian Gulf University, Dr ‎Sulaiman Al Habib Medical Group, Manama ‎26671‎, Manama, Bahrain</w:t>
      </w:r>
    </w:p>
    <w:p>
      <w:pPr>
        <w:spacing w:line="360" w:lineRule="auto"/>
        <w:jc w:val="both"/>
      </w:pP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szCs w:val="22"/>
        </w:rPr>
        <w:t>Elbeltagi R, Al-Biltagi</w:t>
      </w:r>
      <w:r>
        <w:rPr>
          <w:rFonts w:ascii="Book Antiqua" w:hAnsi="Book Antiqua" w:eastAsia="Book Antiqua" w:cs="Book Antiqua"/>
          <w:b/>
          <w:bCs/>
          <w:color w:val="000000"/>
          <w:szCs w:val="22"/>
        </w:rPr>
        <w:t xml:space="preserve"> </w:t>
      </w:r>
      <w:r>
        <w:rPr>
          <w:rFonts w:ascii="Book Antiqua" w:hAnsi="Book Antiqua" w:eastAsia="Book Antiqua" w:cs="Book Antiqua"/>
          <w:color w:val="000000"/>
          <w:szCs w:val="22"/>
        </w:rPr>
        <w:t xml:space="preserve">M, Saeed NK, and Bediwy AS contributed equally to this work; all the authors collaborated to collect the data, </w:t>
      </w:r>
      <w:r>
        <w:rPr>
          <w:rFonts w:hint="eastAsia" w:ascii="Book Antiqua" w:hAnsi="Book Antiqua" w:eastAsia="宋体" w:cs="Book Antiqua"/>
          <w:color w:val="000000"/>
          <w:szCs w:val="22"/>
          <w:lang w:eastAsia="zh-CN"/>
        </w:rPr>
        <w:t xml:space="preserve">and </w:t>
      </w:r>
      <w:r>
        <w:rPr>
          <w:rFonts w:ascii="Book Antiqua" w:hAnsi="Book Antiqua" w:eastAsia="Book Antiqua" w:cs="Book Antiqua"/>
          <w:color w:val="000000"/>
          <w:szCs w:val="22"/>
        </w:rPr>
        <w:t>write</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and revise the manuscript.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Mohammed Al-Beltagi, MBChB, MD, MSc, PhD, Academic Editor, Chairman, Consultant Physician-Scientist, Professor, Researcher, </w:t>
      </w:r>
      <w:r>
        <w:rPr>
          <w:rFonts w:ascii="Book Antiqua" w:hAnsi="Book Antiqua" w:eastAsia="Book Antiqua" w:cs="Book Antiqua"/>
          <w:color w:val="000000"/>
        </w:rPr>
        <w:t>Department of Paediatrics, Faculty of Medicine, Tanta University, AlBahr street, Tanta ‎31511‎, Algharbia, Egypt. mbelrem@hotmail.com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April 20,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June 10, 2023</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July 3, 2023</w:t>
      </w:r>
    </w:p>
    <w:p>
      <w:pPr>
        <w:spacing w:line="360" w:lineRule="auto"/>
        <w:jc w:val="both"/>
      </w:pPr>
      <w:r>
        <w:rPr>
          <w:rFonts w:ascii="Book Antiqua" w:hAnsi="Book Antiqua" w:eastAsia="Book Antiqua" w:cs="Book Antiqua"/>
          <w:b/>
          <w:bCs/>
        </w:rPr>
        <w:t xml:space="preserve">Published online: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It is common for</w:t>
      </w:r>
      <w:r>
        <w:rPr>
          <w:rFonts w:ascii="Book Antiqua" w:hAnsi="Book Antiqua" w:eastAsia="Book Antiqua" w:cs="Book Antiqua"/>
          <w:color w:val="000000"/>
        </w:rPr>
        <w:t xml:space="preserve"> severe acute respiratory syndrome coronavirus 2 (SARS-CoV-2) </w:t>
      </w:r>
      <w:r>
        <w:rPr>
          <w:rFonts w:ascii="Book Antiqua" w:hAnsi="Book Antiqua" w:eastAsia="Book Antiqua" w:cs="Book Antiqua"/>
        </w:rPr>
        <w:t xml:space="preserve">infection to occur in the gastrointestinal tract, which can present itself as an initial symptom. The severity of </w:t>
      </w:r>
      <w:r>
        <w:rPr>
          <w:rFonts w:ascii="Book Antiqua" w:hAnsi="Book Antiqua" w:eastAsia="Book Antiqua" w:cs="Book Antiqua"/>
          <w:color w:val="000000"/>
        </w:rPr>
        <w:t>coronavirus disease 2019 (COVID-19)</w:t>
      </w:r>
      <w:r>
        <w:rPr>
          <w:rFonts w:ascii="Book Antiqua" w:hAnsi="Book Antiqua" w:eastAsia="Book Antiqua" w:cs="Book Antiqua"/>
        </w:rPr>
        <w:t xml:space="preserve"> is often reflected in the prevalence of gastrointestinal symptoms. COVID-19 can damage the nerve supply to the digestive system, leading to gastrointestinal autonomic dysfunction. There is still much to learn about how COVID-19 affects the autonomic nervous system and the gastrointestinal tract.</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zCs w:val="22"/>
        </w:rPr>
        <w:t>To thoroughly explore the epidemiology and clinical aspects of COVID-19-induced gastrointestinal autonomic dysfunction, including its manifestations, potential mechanisms, diagnosis, differential diagnosis, impact on quality of life, prognosis, and management and prevention strategies.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szCs w:val="22"/>
        </w:rPr>
        <w:t>We conducted a thorough systematic search across various databases and performed an extensive literature review. Our review encompassed 113 studies published in English from January 2000 to April 18, 2023.</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szCs w:val="22"/>
        </w:rPr>
        <w:t xml:space="preserve">According to most </w:t>
      </w:r>
      <w:r>
        <w:rPr>
          <w:rFonts w:hint="eastAsia" w:ascii="Book Antiqua" w:hAnsi="Book Antiqua" w:eastAsia="宋体" w:cs="Book Antiqua"/>
          <w:color w:val="000000"/>
          <w:szCs w:val="22"/>
          <w:lang w:eastAsia="zh-CN"/>
        </w:rPr>
        <w:t xml:space="preserve">of the </w:t>
      </w:r>
      <w:r>
        <w:rPr>
          <w:rFonts w:ascii="Book Antiqua" w:hAnsi="Book Antiqua" w:eastAsia="Book Antiqua" w:cs="Book Antiqua"/>
          <w:color w:val="000000"/>
          <w:szCs w:val="22"/>
        </w:rPr>
        <w:t>literature, gastrointestinal autonomic dysfunction can seriously affect a patient's quality of life and ultimate prognosis. Numerous factors can influence gastrointestinal autonomic nervous functions. Studies have shown that SARS-CoV-2 has a well-documented affinity for both neural and gastrointestinal tissues, and the virus can produce various gastrointestinal symptoms by reaching neural tissues through different pathways. These symptoms include anorexia, dysgeusia, heartburn, belching, chest pain, regurgitation, vomiting, epigastric burn, diarrhea, abdominal pain, bloating, irregular bowel movements, and constipation. Diarrhea is the most prevalent symptom, followed by anorexia, nausea, vomiting, and abdominal pain. Although COVID-19 vaccination may rarely induce autonomic dysfunction and gastrointestinal symptoms, COVID-19-induced autonomic effects significantly impact the patient's condition, general health, prognosis, and quality of life. Early diagnosis and proper recognition are crucial for improving outcomes. It is important to consider the differential diagnosis, as these symptoms may be induced by diseases other than COVID-19-induced autonomic dysfunction. Treating this dysfunction can be a challenging task.</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zCs w:val="22"/>
        </w:rPr>
        <w:t>To ensure the best possible outcomes for COVID-19 patients, it is essential to take a multidisciplinary approach involving providing supportive care, treating the underlying infection, managing dysfunction, monitoring for complications, and offering nutritional support. Close monitoring of the patient's condition is crucial, and prompt intervention should be taken if necessary. Furthermore, conducting thorough research on the gastrointestinal autonomic dysfunction caused by COVID-19 is vital to manage it effectively.</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COVID-19; SARS-CoV-2; Gastrointestinal autonomic dysfunction; Long COVID; Post-‎COVID; Autonomic nervous system‎</w:t>
      </w:r>
    </w:p>
    <w:p>
      <w:pPr>
        <w:spacing w:line="360" w:lineRule="auto"/>
        <w:jc w:val="both"/>
      </w:pPr>
    </w:p>
    <w:p>
      <w:pPr>
        <w:spacing w:line="360" w:lineRule="auto"/>
        <w:jc w:val="both"/>
      </w:pPr>
      <w:r>
        <w:rPr>
          <w:rFonts w:ascii="Book Antiqua" w:hAnsi="Book Antiqua" w:eastAsia="Book Antiqua" w:cs="Book Antiqua"/>
        </w:rPr>
        <w:t xml:space="preserve">Elbeltagi R, Al-Beltagi M, Saeed NK, Bediwy AS. COVID-19-induced gastrointestinal autonomic dysfunction: </w:t>
      </w:r>
      <w:r>
        <w:rPr>
          <w:rFonts w:hint="eastAsia" w:ascii="Book Antiqua" w:hAnsi="Book Antiqua" w:eastAsia="宋体" w:cs="Book Antiqua"/>
          <w:lang w:eastAsia="zh-CN"/>
        </w:rPr>
        <w:t>A s</w:t>
      </w:r>
      <w:r>
        <w:rPr>
          <w:rFonts w:ascii="Book Antiqua" w:hAnsi="Book Antiqua" w:eastAsia="Book Antiqua" w:cs="Book Antiqua"/>
        </w:rPr>
        <w:t xml:space="preserve">ystematic review. </w:t>
      </w:r>
      <w:r>
        <w:rPr>
          <w:rFonts w:ascii="Book Antiqua" w:hAnsi="Book Antiqua" w:eastAsia="Book Antiqua" w:cs="Book Antiqua"/>
          <w:i/>
          <w:iCs/>
        </w:rPr>
        <w:t>World J Clin Cases</w:t>
      </w:r>
      <w:r>
        <w:rPr>
          <w:rFonts w:ascii="Book Antiqua" w:hAnsi="Book Antiqua" w:eastAsia="Book Antiqua" w:cs="Book Antiqua"/>
        </w:rPr>
        <w:t xml:space="preserve"> 2023; In press</w:t>
      </w:r>
    </w:p>
    <w:p>
      <w:pPr>
        <w:spacing w:line="360" w:lineRule="auto"/>
        <w:jc w:val="both"/>
      </w:pPr>
    </w:p>
    <w:p>
      <w:pPr>
        <w:spacing w:line="360" w:lineRule="auto"/>
        <w:jc w:val="both"/>
      </w:pPr>
      <w:r>
        <w:rPr>
          <w:rFonts w:ascii="Book Antiqua" w:hAnsi="Book Antiqua" w:eastAsia="Book Antiqua" w:cs="Book Antiqua"/>
          <w:b/>
          <w:bCs/>
          <w:szCs w:val="22"/>
        </w:rPr>
        <w:t xml:space="preserve">Core Tip: </w:t>
      </w:r>
      <w:r>
        <w:rPr>
          <w:rFonts w:ascii="Book Antiqua" w:hAnsi="Book Antiqua" w:eastAsia="Book Antiqua" w:cs="Book Antiqua"/>
        </w:rPr>
        <w:t xml:space="preserve">As a systemic disease, </w:t>
      </w:r>
      <w:r>
        <w:rPr>
          <w:rFonts w:ascii="Book Antiqua" w:hAnsi="Book Antiqua" w:eastAsia="Book Antiqua" w:cs="Book Antiqua"/>
          <w:color w:val="000000"/>
        </w:rPr>
        <w:t>coronavirus disease 2019 (COVID-19)</w:t>
      </w:r>
      <w:r>
        <w:rPr>
          <w:rFonts w:ascii="Book Antiqua" w:hAnsi="Book Antiqua" w:eastAsia="Book Antiqua" w:cs="Book Antiqua"/>
        </w:rPr>
        <w:t xml:space="preserve"> can impact various organs in the human body, including the autonomic nervous system and gastrointestinal tract. Our team conducted a systematic review to better understand the clinical range of COVID-19's impact on gastrointestinal autonomic dysfunction. We examined </w:t>
      </w:r>
      <w:r>
        <w:rPr>
          <w:rFonts w:hint="eastAsia" w:ascii="Book Antiqua" w:hAnsi="Book Antiqua" w:eastAsia="宋体" w:cs="Book Antiqua"/>
          <w:lang w:eastAsia="zh-CN"/>
        </w:rPr>
        <w:t xml:space="preserve">the </w:t>
      </w:r>
      <w:r>
        <w:rPr>
          <w:rFonts w:ascii="Book Antiqua" w:hAnsi="Book Antiqua" w:eastAsia="Book Antiqua" w:cs="Book Antiqua"/>
        </w:rPr>
        <w:t>clinical manifestations, potential mechanisms, diagnosis, differential diagnosis, effects on quality of life, prognosis, management, and prevention</w:t>
      </w:r>
      <w:r>
        <w:rPr>
          <w:rFonts w:hint="eastAsia" w:ascii="Book Antiqua" w:hAnsi="Book Antiqua" w:eastAsia="宋体" w:cs="Book Antiqua"/>
          <w:lang w:eastAsia="zh-CN"/>
        </w:rPr>
        <w:t xml:space="preserve"> of </w:t>
      </w:r>
      <w:r>
        <w:rPr>
          <w:rFonts w:ascii="Book Antiqua" w:hAnsi="Book Antiqua" w:eastAsia="Book Antiqua" w:cs="Book Antiqua"/>
          <w:color w:val="000000"/>
          <w:szCs w:val="22"/>
        </w:rPr>
        <w:t>COVID-19-induced gastrointestinal autonomic dysfunction</w:t>
      </w:r>
      <w:r>
        <w:rPr>
          <w:rFonts w:ascii="Book Antiqua" w:hAnsi="Book Antiqua" w:eastAsia="Book Antiqua" w:cs="Book Antiqua"/>
        </w:rPr>
        <w:t>. Most of the literature suggests that gastrointestinal autonomic dysfunction can be severe and negatively impact a patient's quality of life and prognosis. As a result, a multidisciplinary approach is needed to manage this dysfunction. However, further research is necessary to study COVID-19-induced gastrointestinal autonomic dysfunction effectively.</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The severe acute respiratory syndrome coronavirus 2 (SARS-CoV-2) was first officially described in Wuhan, China. This virus has quickly spread worldwide and caused a pandemic known as coronavirus disease 2019 (COVID-19). The pandemic has presented humanity with numerous challenges, including the rapid transmission rate of the virus, variations in clinical presentations, fast mutation rates, differing laboratory diagnosis guidelines, and various disease management methods</w:t>
      </w:r>
      <w:r>
        <w:rPr>
          <w:rFonts w:ascii="Book Antiqua" w:hAnsi="Book Antiqua" w:eastAsia="Book Antiqua" w:cs="Book Antiqua"/>
          <w:color w:val="000000"/>
          <w:vertAlign w:val="superscript"/>
        </w:rPr>
        <w:t>[1]</w:t>
      </w:r>
      <w:r>
        <w:rPr>
          <w:rFonts w:ascii="Book Antiqua" w:hAnsi="Book Antiqua" w:eastAsia="Book Antiqua" w:cs="Book Antiqua"/>
          <w:color w:val="000000"/>
        </w:rPr>
        <w:t>. Although the SARS-Cov-2 primarily affects the respiratory system, it can impact any organ or system in the human body</w:t>
      </w:r>
      <w:r>
        <w:rPr>
          <w:rFonts w:ascii="Book Antiqua" w:hAnsi="Book Antiqua" w:eastAsia="Book Antiqua" w:cs="Book Antiqua"/>
          <w:color w:val="000000"/>
          <w:vertAlign w:val="superscript"/>
        </w:rPr>
        <w:t>[2]</w:t>
      </w:r>
      <w:r>
        <w:rPr>
          <w:rFonts w:ascii="Book Antiqua" w:hAnsi="Book Antiqua" w:eastAsia="Book Antiqua" w:cs="Book Antiqua"/>
          <w:color w:val="000000"/>
        </w:rPr>
        <w:t>. Since its emergence at the end of 2019, COVID-19 has presented in unusual and atypical ways worldwide, with a surge in unfamiliar symptoms and manifestations. This suggests that the pandemic may reshape how diseases present themselves, either by generating new types of illnesses or altering the clinical severity and manifestations of existing ones. These atypical presentations of COVID-19 further complicate the burden imposed by the pandemic, making diagnosis and treatment difficult and increasing the risk of disease transmission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It is common for SARS-CoV-2 to infect the gastrointestinal tract, which can lead to initial symptoms, particularly in children</w:t>
      </w:r>
      <w:r>
        <w:rPr>
          <w:rFonts w:ascii="Book Antiqua" w:hAnsi="Book Antiqua" w:eastAsia="Book Antiqua" w:cs="Book Antiqua"/>
          <w:color w:val="000000"/>
          <w:vertAlign w:val="superscript"/>
        </w:rPr>
        <w:t>[1]</w:t>
      </w:r>
      <w:r>
        <w:rPr>
          <w:rFonts w:ascii="Book Antiqua" w:hAnsi="Book Antiqua" w:eastAsia="Book Antiqua" w:cs="Book Antiqua"/>
          <w:color w:val="000000"/>
        </w:rPr>
        <w:t>. This virus can cause inflammation and damage to the lining mucosa of the intestine by infecting gastrointestinal tract cells. Studies have found that up to 50% of patients experience gastrointestinal symptoms, such as lack of appetite, nausea, vomiting, abdominal pain, and other enteric symptoms</w:t>
      </w:r>
      <w:r>
        <w:rPr>
          <w:rFonts w:ascii="Book Antiqua" w:hAnsi="Book Antiqua" w:eastAsia="Book Antiqua" w:cs="Book Antiqua"/>
          <w:color w:val="000000"/>
          <w:vertAlign w:val="superscript"/>
        </w:rPr>
        <w:t>[4,5]</w:t>
      </w:r>
      <w:r>
        <w:rPr>
          <w:rFonts w:ascii="Book Antiqua" w:hAnsi="Book Antiqua" w:eastAsia="Book Antiqua" w:cs="Book Antiqua"/>
          <w:color w:val="000000"/>
        </w:rPr>
        <w:t>. Additionally, the severity of the disease often correlates with the frequency of gastrointestinal symptoms</w:t>
      </w:r>
      <w:r>
        <w:rPr>
          <w:rFonts w:ascii="Book Antiqua" w:hAnsi="Book Antiqua" w:eastAsia="Book Antiqua" w:cs="Book Antiqua"/>
          <w:color w:val="000000"/>
          <w:vertAlign w:val="superscript"/>
        </w:rPr>
        <w:t>[1]</w:t>
      </w:r>
      <w:r>
        <w:rPr>
          <w:rFonts w:ascii="Book Antiqua" w:hAnsi="Book Antiqua" w:eastAsia="Book Antiqua" w:cs="Book Antiqua"/>
          <w:color w:val="000000"/>
        </w:rPr>
        <w:t>. Current research indicates that the gastrointestinal tract can impact the progression of COVID-19, as demonstrated by gastrointestinal symptoms before respiratory symptoms and the persistence of viral shedding from the gut in severe cases with an aggressive clinical course</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Autonomic dysfunction is a disruption of the autonomic nervous system that can cause gastrointestinal issues due to damage to the nerve supply in the digestive system. This can be caused by various conditions, including viral infections, impacting appetite, digestion, bowel movements, and sexual function. The dysfunction may occur directly due to the underlying disorder's impact on both the autonomic nerve and the gut or indirectly as a delayed consequence of autonomic dysfunction in the gut</w:t>
      </w:r>
      <w:r>
        <w:rPr>
          <w:rFonts w:ascii="Book Antiqua" w:hAnsi="Book Antiqua" w:eastAsia="Book Antiqua" w:cs="Book Antiqua"/>
          <w:color w:val="000000"/>
          <w:vertAlign w:val="superscript"/>
        </w:rPr>
        <w:t>[8,9]</w:t>
      </w:r>
      <w:r>
        <w:rPr>
          <w:rFonts w:ascii="Book Antiqua" w:hAnsi="Book Antiqua" w:eastAsia="Book Antiqua" w:cs="Book Antiqua"/>
          <w:color w:val="000000"/>
        </w:rPr>
        <w:t>. COVID-19 is a systemic disease that can affect the autonomic nervous system, which supplies the gut, leading to gastrointestinal symptoms</w:t>
      </w:r>
      <w:r>
        <w:rPr>
          <w:rFonts w:ascii="Book Antiqua" w:hAnsi="Book Antiqua" w:eastAsia="Book Antiqua" w:cs="Book Antiqua"/>
          <w:color w:val="000000"/>
          <w:vertAlign w:val="superscript"/>
        </w:rPr>
        <w:t>[10]</w:t>
      </w:r>
      <w:r>
        <w:rPr>
          <w:rFonts w:ascii="Book Antiqua" w:hAnsi="Book Antiqua" w:eastAsia="Book Antiqua" w:cs="Book Antiqua"/>
          <w:color w:val="000000"/>
        </w:rPr>
        <w:t>. While there are many hypotheses about the mechanism behind this dysfunction, we still need to understand how COVID-19 alters the autonomic nervous system and gastrointestinal tract during long COVID-19.</w:t>
      </w:r>
    </w:p>
    <w:p>
      <w:pPr>
        <w:spacing w:line="360" w:lineRule="auto"/>
        <w:ind w:firstLine="480" w:firstLineChars="200"/>
        <w:jc w:val="both"/>
      </w:pPr>
      <w:r>
        <w:rPr>
          <w:rFonts w:ascii="Book Antiqua" w:hAnsi="Book Antiqua" w:eastAsia="Book Antiqua" w:cs="Book Antiqua"/>
          <w:color w:val="000000"/>
        </w:rPr>
        <w:t>This systematic review aims to gather and analyze the current evidence regarding the impact of COVID-19 on the gastrointestinal autonomic system. This newly emerged condition has become a concern during the pandemic, and we will examine its epidemiology, clinical manifestations, potential mechanisms, diagnosis, differential diagnosis, effects on quality of life and prognosis, as well as management and prevention.</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szCs w:val="22"/>
        </w:rPr>
        <w:t xml:space="preserve">To understand our objective thoroughly, we systematically reviewed </w:t>
      </w:r>
      <w:r>
        <w:rPr>
          <w:rFonts w:hint="eastAsia" w:ascii="Book Antiqua" w:hAnsi="Book Antiqua" w:eastAsia="宋体" w:cs="Book Antiqua"/>
          <w:color w:val="000000"/>
          <w:szCs w:val="22"/>
          <w:lang w:eastAsia="zh-CN"/>
        </w:rPr>
        <w:t xml:space="preserve">the </w:t>
      </w:r>
      <w:r>
        <w:rPr>
          <w:rFonts w:ascii="Book Antiqua" w:hAnsi="Book Antiqua" w:eastAsia="Book Antiqua" w:cs="Book Antiqua"/>
          <w:color w:val="000000"/>
          <w:szCs w:val="22"/>
        </w:rPr>
        <w:t>relevant literature using the "Preferred Reporting Items for Systematic Reviews and Meta-Analyses (PRISMA)" guidelines. We searched multiple electronic databases, including PubMed, PubMed Central, Cochrane Library, Cumulative Index to Nursing and Allied Health Literature (CINAHL), Web of Science, Embase, Library and Information Science Abstracts, Google Scholar, Scopus, and the National Library of Medicine catalog up until April 18, 2023. Our search keywords included COVID-19, SARS-CoV-2, Gastrointestinal Autonomic Dysfunction, Long COVID, Post-COVID, and Autonomic Nervous System. We limited our search to studies published in English or with an abstract in English. Our search strategy included both "free-full text terms" and "Medical Subject Headings (MeSH) terms", tailored for each database. We considered studies that discussed patients with COVID-19 and gastrointestinal dysfunction with or without autonomic dysfunction, as well as studies on COVID-19 vaccination and its potential side effects on the autonomic nervous and gastrointestinal systems. We included individuals of all ages, sexes, and ethnicities.</w:t>
      </w:r>
    </w:p>
    <w:p>
      <w:pPr>
        <w:spacing w:line="360" w:lineRule="auto"/>
        <w:ind w:firstLine="480" w:firstLineChars="200"/>
        <w:jc w:val="both"/>
      </w:pPr>
      <w:r>
        <w:rPr>
          <w:rFonts w:ascii="Book Antiqua" w:hAnsi="Book Antiqua" w:eastAsia="Book Antiqua" w:cs="Book Antiqua"/>
          <w:color w:val="000000"/>
          <w:szCs w:val="22"/>
        </w:rPr>
        <w:t>We identified 1453 articles, 137 of which were excluded due to duplication. Upon screening the titles and abstracts, we excluded 971 articles. Out of the remaining 345 full-text articles, only 113 met the eligibility criteria. Our study included 33 full-text research articles, two clinical guidelines and consensus, one meta-analysis, three systematic reviews, 59 reviews, five letters to the editor, and 11 case reports. Figure 1 shows the study flow chart. We also conducted citation searches and reviewed articles available as abstracts only. However, articles with a commercial background were excluded. We extracted data from the qualified studies using a standard form and assessed bias using the "Cochrane Risk of Bias tool." Publication bias was also evaluated using "funnel plots and Egger's test."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Based on our analysis of the studies provided, we discovered that although gastrointestinal autonomic dysfunction is a rare complication of COVID-19, it can significantly impact the patient's quality of life and prognosis. Table 1 outlines various factors that could affect gastrointestinal autonomic nervous functions. Most studies agree that SARS-CoV-2 has a documented affinity for neural and gastrointestinal tissues and can reach the neural tissues through different pathways, as shown in Figure 2. Patients with COVID-19 may experience different gastrointestinal symptoms, as summarized in Table 2. We have included four studies on the prevalence of gastrointestinal autonomic dysfunction, detailed in Table 3, along with the risks of developing these autonomic manifestations in COVID-19, as shown in Table 4. Table 5 and Figure 3 provide information on the prevalence and underlying mechanisms of common gastrointestinal autonomic dysfunction in patients with COVID-19. It is important to note that vaccination against COVID-19 may induce autonomic dysfunction, including gastrointestinal symptoms, in rare but significant situations, as evidenced by the nine studies outlined in Table 6. COVID-19-induced autonomic effects can significantly impact the patient's condition, general health, prognosis, and quality of life, making early recognition and diagnosis crucial for a positive outcome. Differential diagnosis should also be considered, as detailed in Table 7, as other diseases could induce these manifestations. Treating autonomic dysfunction can be a challenge, as highlighted in Table 8, which provides a simplified description of various treatment modalities.</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i/>
          <w:iCs/>
        </w:rPr>
      </w:pPr>
      <w:r>
        <w:rPr>
          <w:rFonts w:ascii="Book Antiqua" w:hAnsi="Book Antiqua" w:eastAsia="Book Antiqua" w:cs="Book Antiqua"/>
          <w:b/>
          <w:bCs/>
          <w:i/>
          <w:iCs/>
          <w:color w:val="000000"/>
        </w:rPr>
        <w:t>The enteric nervous supply of the gastrointestinal tract</w:t>
      </w:r>
    </w:p>
    <w:p>
      <w:pPr>
        <w:spacing w:line="360" w:lineRule="auto"/>
        <w:jc w:val="both"/>
      </w:pPr>
      <w:r>
        <w:rPr>
          <w:rFonts w:ascii="Book Antiqua" w:hAnsi="Book Antiqua" w:eastAsia="Book Antiqua" w:cs="Book Antiqua"/>
          <w:color w:val="000000"/>
        </w:rPr>
        <w:t>The enteric nervous system is also known as the second brain due to its complex network of neurons lining the gut, with over 100 million neurons and plenty of essential neurotransmitters. It consists of intrinsic enteric neurons, extrinsic sympathetic and parasympathetic projections, and visceral afferent neurons. The intrinsic neurons comprise the outer myenteric and inner submucosal plexuses. The myenteric plexus (Auerbach) is found between the muscle layers of the gastrointestinal tract, while the submucosal plexus (Meissner) lies between the mucosa and the smooth muscle layers. The myenteric plexus is crucial in initiating and controlling smooth muscle motor activities, including peristalsis</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submucosal plexus coordinates gastrointestinal reflexes, such as enzymatic secretion, nutrient absorption, and smooth muscle activities. The intrinsic enteric system operates independently of the autonomic nervous system, providing substantial autonomy over gastrointestinal functions. However, it does receive central input from the parasympathetic and sympathetic nervous systems</w:t>
      </w:r>
      <w:r>
        <w:rPr>
          <w:rFonts w:ascii="Book Antiqua" w:hAnsi="Book Antiqua" w:eastAsia="Book Antiqua" w:cs="Book Antiqua"/>
          <w:color w:val="000000"/>
          <w:vertAlign w:val="superscript"/>
        </w:rPr>
        <w:t>[11,12]</w:t>
      </w:r>
      <w:r>
        <w:rPr>
          <w:rFonts w:ascii="Book Antiqua" w:hAnsi="Book Antiqua" w:eastAsia="Book Antiqua" w:cs="Book Antiqua"/>
          <w:color w:val="000000"/>
        </w:rPr>
        <w:t xml:space="preserve">. In addition to neurons, non-neuronal related cells are present, such as enteric glial </w:t>
      </w:r>
      <w:r>
        <w:rPr>
          <w:rFonts w:hint="eastAsia" w:ascii="Book Antiqua" w:hAnsi="Book Antiqua" w:eastAsia="宋体" w:cs="Book Antiqua"/>
          <w:color w:val="000000"/>
          <w:lang w:eastAsia="zh-CN"/>
        </w:rPr>
        <w:t xml:space="preserve">cells </w:t>
      </w:r>
      <w:r>
        <w:rPr>
          <w:rFonts w:ascii="Book Antiqua" w:hAnsi="Book Antiqua" w:eastAsia="Book Antiqua" w:cs="Book Antiqua"/>
          <w:color w:val="000000"/>
        </w:rPr>
        <w:t xml:space="preserve">and </w:t>
      </w:r>
      <w:r>
        <w:rPr>
          <w:rFonts w:hint="eastAsia" w:ascii="Book Antiqua" w:hAnsi="Book Antiqua" w:eastAsia="宋体" w:cs="Book Antiqua"/>
          <w:color w:val="000000"/>
          <w:lang w:eastAsia="zh-CN"/>
        </w:rPr>
        <w:t>i</w:t>
      </w:r>
      <w:r>
        <w:rPr>
          <w:rFonts w:ascii="Book Antiqua" w:hAnsi="Book Antiqua" w:eastAsia="Book Antiqua" w:cs="Book Antiqua"/>
          <w:color w:val="000000"/>
        </w:rPr>
        <w:t>nterstitial cells of Cajal. Enteric glial cells create a diffusion barrier surrounding the capillaries around the ganglia, similar to the blood-brain barrier. Interstitial cells of Cajal are electrically coupled to the muscle and act as pacemaker cells, generating spontaneous electrical slow waves and facilitating inputs from motor neurons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gastrointestinal tract receives its sympathetic neural supply from the abdominal prevertebral ganglia located in the thoracic and lumbar segments of the spinal cord, such as the superior mesenteric, coeliac, and inferior mesenteric ganglia. These ganglia bridge the central and peripheral enteric nervous systems to regulate various intestin</w:t>
      </w:r>
      <w:r>
        <w:rPr>
          <w:rFonts w:hint="eastAsia" w:ascii="Book Antiqua" w:hAnsi="Book Antiqua" w:eastAsia="宋体" w:cs="Book Antiqua"/>
          <w:color w:val="000000"/>
          <w:lang w:eastAsia="zh-CN"/>
        </w:rPr>
        <w:t>al</w:t>
      </w:r>
      <w:r>
        <w:rPr>
          <w:rFonts w:ascii="Book Antiqua" w:hAnsi="Book Antiqua" w:eastAsia="Book Antiqua" w:cs="Book Antiqua"/>
          <w:color w:val="000000"/>
        </w:rPr>
        <w:t xml:space="preserve"> functions, including blood flow, motility, secretion, epithelial transport, and endocrine cells. The sympathetic stimulation mainly inhibits gastrointestinal motor activity and secretion. It also constantly inhibits mucosal secretion and enhances the contraction of gastrointestinal sphincters and blood vessels </w:t>
      </w:r>
      <w:r>
        <w:rPr>
          <w:rFonts w:ascii="Book Antiqua" w:hAnsi="Book Antiqua" w:eastAsia="Book Antiqua" w:cs="Book Antiqua"/>
          <w:i/>
          <w:iCs/>
          <w:color w:val="000000"/>
        </w:rPr>
        <w:t>via</w:t>
      </w:r>
      <w:r>
        <w:rPr>
          <w:rFonts w:ascii="Book Antiqua" w:hAnsi="Book Antiqua" w:eastAsia="Book Antiqua" w:cs="Book Antiqua"/>
          <w:color w:val="000000"/>
        </w:rPr>
        <w:t xml:space="preserve"> neural-mediated vasoconstriction</w:t>
      </w:r>
      <w:r>
        <w:rPr>
          <w:rFonts w:ascii="Book Antiqua" w:hAnsi="Book Antiqua" w:eastAsia="Book Antiqua" w:cs="Book Antiqua"/>
          <w:color w:val="000000"/>
          <w:vertAlign w:val="superscript"/>
        </w:rPr>
        <w:t>[14,15]</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parasympathetic nervous system plays a vital role in regulating gastrointestinal functions, helping to maintain normal secretion, absorption, and movement in the gastrointestinal tract. It is primarily supplied by the vagus nerve from the medulla oblongata and the sacral spinal nerves from sacral segments 2 to 4. The vagus nerve supplies the upper part of the tract from the esophagus to the small intestine, while the sacral nerves supply the lower part from the colon to the anus. When stimulated, the parasympathetic system causes smooth muscle contraction, promotes peristalsis, stimulates glandular secretion, enhances intestinal secretions, increases blood flow, and relaxes the internal anal sphincter, all essential for proper gastrointestinal function</w:t>
      </w:r>
      <w:r>
        <w:rPr>
          <w:rFonts w:ascii="Book Antiqua" w:hAnsi="Book Antiqua" w:eastAsia="Book Antiqua" w:cs="Book Antiqua"/>
          <w:color w:val="000000"/>
          <w:vertAlign w:val="superscript"/>
        </w:rPr>
        <w:t>[16,17]</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Various factors can affect the autonomic nerve supply of the gastrointestinal tract, such as psychological and emotional stress, diet, medications, toxins, hormones, and aging (Table 1). Anxiety and stress stimulate the sympathetic supply while inhibiting the parasympathetic supply to the gastrointestinal tract. On the other hand, moderate exercise can enhance motility and blood flow in the gastrointestinal tract. Still, prolonged or intense exercise can decrease blood flow to the gastrointestinal tract and shift it to the muscles</w:t>
      </w:r>
      <w:r>
        <w:rPr>
          <w:rFonts w:ascii="Book Antiqua" w:hAnsi="Book Antiqua" w:eastAsia="Book Antiqua" w:cs="Book Antiqua"/>
          <w:color w:val="000000"/>
          <w:vertAlign w:val="superscript"/>
        </w:rPr>
        <w:t>[18]</w:t>
      </w:r>
      <w:r>
        <w:rPr>
          <w:rFonts w:ascii="Book Antiqua" w:hAnsi="Book Antiqua" w:eastAsia="Book Antiqua" w:cs="Book Antiqua"/>
          <w:color w:val="000000"/>
        </w:rPr>
        <w:t>. Certain foods and drugs can also inhibit or stimulate the parasympathetic nervous system. Hormones like cholecystokinin, gastrin, and secretin can enhance the parasympathetic nervous system and stimulate digestive activity</w:t>
      </w:r>
      <w:r>
        <w:rPr>
          <w:rFonts w:ascii="Book Antiqua" w:hAnsi="Book Antiqua" w:eastAsia="Book Antiqua" w:cs="Book Antiqua"/>
          <w:color w:val="000000"/>
          <w:vertAlign w:val="superscript"/>
        </w:rPr>
        <w:t>[19]</w:t>
      </w:r>
      <w:r>
        <w:rPr>
          <w:rFonts w:ascii="Book Antiqua" w:hAnsi="Book Antiqua" w:eastAsia="Book Antiqua" w:cs="Book Antiqua"/>
          <w:color w:val="000000"/>
        </w:rPr>
        <w:t>. Toxic heavy metals, such as mercury or lead, and alcohol can damage the autonomic nerves of the gastrointestinal tract. Aging also causes neuronal loss in intestinal myenteric and submucosal plexuses, particularly in cholinergic neurons, and corresponding losses of enteric glia</w:t>
      </w:r>
      <w:r>
        <w:rPr>
          <w:rFonts w:ascii="Book Antiqua" w:hAnsi="Book Antiqua" w:eastAsia="Book Antiqua" w:cs="Book Antiqua"/>
          <w:color w:val="000000"/>
          <w:vertAlign w:val="superscript"/>
        </w:rPr>
        <w:t>[20]</w:t>
      </w:r>
      <w:r>
        <w:rPr>
          <w:rFonts w:ascii="Book Antiqua" w:hAnsi="Book Antiqua" w:eastAsia="Book Antiqua" w:cs="Book Antiqua"/>
          <w:color w:val="000000"/>
        </w:rPr>
        <w:t>. Chronic diseases like diabetes mellitus negatively impact the gastrointestinal autonomic nervous system. Moreover, many neurological disorders, such as Parkinson's disease and multiple sclerosis, can impair digestion and excretion by affecting the gastrointestinal autonomic nerve system</w:t>
      </w:r>
      <w:r>
        <w:rPr>
          <w:rFonts w:ascii="Book Antiqua" w:hAnsi="Book Antiqua" w:eastAsia="Book Antiqua" w:cs="Book Antiqua"/>
          <w:color w:val="000000"/>
          <w:vertAlign w:val="superscript"/>
        </w:rPr>
        <w:t>[9]</w:t>
      </w:r>
      <w:r>
        <w:rPr>
          <w:rFonts w:ascii="Book Antiqua" w:hAnsi="Book Antiqua" w:eastAsia="Book Antiqua" w:cs="Book Antiqua"/>
          <w:color w:val="000000"/>
        </w:rPr>
        <w:t>. Finally, various infections can induce autonomic dysfunction of the gastrointestinal tract, such as viral gastroenteritis, bacterial infections like diphtheritic polyneuropathy, tetanus, and botulism, COVID-19, acute tick-borne encephalitis virus infections, Lyme disease, Chagas disease, human rabies, Guillain-Barre syndrome, and human immunodeficiency virus/acquired immunodeficiency syndrome (HIV/AIDS)</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COVID-19</w:t>
      </w:r>
      <w:r>
        <w:rPr>
          <w:rFonts w:hint="eastAsia" w:ascii="Book Antiqua" w:hAnsi="Book Antiqua" w:eastAsia="宋体" w:cs="Book Antiqua"/>
          <w:b/>
          <w:bCs/>
          <w:i/>
          <w:iCs/>
          <w:color w:val="000000"/>
          <w:lang w:eastAsia="zh-CN"/>
        </w:rPr>
        <w:t xml:space="preserve"> </w:t>
      </w:r>
      <w:r>
        <w:rPr>
          <w:rFonts w:ascii="Book Antiqua" w:hAnsi="Book Antiqua" w:eastAsia="Book Antiqua" w:cs="Book Antiqua"/>
          <w:b/>
          <w:bCs/>
          <w:i/>
          <w:iCs/>
          <w:color w:val="000000"/>
        </w:rPr>
        <w:t>and long COVID-19</w:t>
      </w:r>
    </w:p>
    <w:p>
      <w:pPr>
        <w:spacing w:line="360" w:lineRule="auto"/>
        <w:jc w:val="both"/>
      </w:pPr>
      <w:r>
        <w:rPr>
          <w:rFonts w:ascii="Book Antiqua" w:hAnsi="Book Antiqua" w:eastAsia="Book Antiqua" w:cs="Book Antiqua"/>
          <w:color w:val="000000"/>
        </w:rPr>
        <w:t>COVID-19 is a highly infectious disease caused by the SARS-CoV-2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that can affect any body part. While most people experience mild to moderate symptoms and recover without complications, some may require hospitalization and even face fatal consequences, with more than 6 million deaths worldwide</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Unfortunately, some patients, particularly those with severe COVID-19, may experience prolonged effects after recovering from their initial infection, known as </w:t>
      </w: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ong COVID or </w:t>
      </w:r>
      <w:r>
        <w:rPr>
          <w:rFonts w:hint="eastAsia" w:ascii="Book Antiqua" w:hAnsi="Book Antiqua" w:eastAsia="宋体" w:cs="Book Antiqua"/>
          <w:color w:val="000000"/>
          <w:lang w:eastAsia="zh-CN"/>
        </w:rPr>
        <w:t>p</w:t>
      </w:r>
      <w:r>
        <w:rPr>
          <w:rFonts w:ascii="Book Antiqua" w:hAnsi="Book Antiqua" w:eastAsia="Book Antiqua" w:cs="Book Antiqua"/>
          <w:color w:val="000000"/>
        </w:rPr>
        <w:t xml:space="preserve">ost-COVID </w:t>
      </w:r>
      <w:r>
        <w:rPr>
          <w:rFonts w:hint="eastAsia" w:ascii="Book Antiqua" w:hAnsi="Book Antiqua" w:eastAsia="宋体" w:cs="Book Antiqua"/>
          <w:color w:val="000000"/>
          <w:lang w:eastAsia="zh-CN"/>
        </w:rPr>
        <w:t>c</w:t>
      </w:r>
      <w:r>
        <w:rPr>
          <w:rFonts w:ascii="Book Antiqua" w:hAnsi="Book Antiqua" w:eastAsia="Book Antiqua" w:cs="Book Antiqua"/>
          <w:color w:val="000000"/>
        </w:rPr>
        <w:t xml:space="preserve">onditions. This condition is identified by persistent symptoms and other COVID-19-related conditions that continue or develop for more than </w:t>
      </w:r>
      <w:r>
        <w:rPr>
          <w:rFonts w:hint="eastAsia" w:ascii="Book Antiqua" w:hAnsi="Book Antiqua" w:eastAsia="宋体" w:cs="Book Antiqua"/>
          <w:color w:val="000000"/>
          <w:lang w:eastAsia="zh-CN"/>
        </w:rPr>
        <w:t>4</w:t>
      </w:r>
      <w:r>
        <w:rPr>
          <w:rFonts w:ascii="Book Antiqua" w:hAnsi="Book Antiqua" w:eastAsia="Book Antiqua" w:cs="Book Antiqua"/>
          <w:color w:val="000000"/>
        </w:rPr>
        <w:t xml:space="preserve"> wk after the initial stage of infection. It can be multisystemic and may even worsen over time. Additionally, there is a possibility of severe and life-threatening events that can occur even months or years after the primary infection. Long COVID is not a single condition but a collection of potentially overlapping entities with different biological causes, risk factors, and outcomes. It affects at least 10% of COVID-19 patients and can present with over 200 symptoms, impacting multiple organ systems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Long COVID-19 can cause various symptoms, from mild to severe, affecting different body parts. These symptoms may include fatigue, joint pain, cough, chest pain, shortness of breath, headache, sleep problems, brain fog, dizziness, numbness, smell or taste disorders, depression, anxiety, and different patterns of cognitive problems</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root causes of long COVID-19 are not yet fully understood, but it is believed to be related to the body's immune response against the virus or possible organ damage during the acute phase of the viral illness. It is also possible that some viral particles may remain in the body even after the acute phase ends, triggering ongoing symptoms</w:t>
      </w:r>
      <w:r>
        <w:rPr>
          <w:rFonts w:ascii="Book Antiqua" w:hAnsi="Book Antiqua" w:eastAsia="Book Antiqua" w:cs="Book Antiqua"/>
          <w:color w:val="000000"/>
          <w:vertAlign w:val="superscript"/>
        </w:rPr>
        <w:t>[25]</w:t>
      </w:r>
      <w:r>
        <w:rPr>
          <w:rFonts w:ascii="Book Antiqua" w:hAnsi="Book Antiqua" w:eastAsia="Book Antiqua" w:cs="Book Antiqua"/>
          <w:color w:val="000000"/>
        </w:rPr>
        <w:t>. Many of the symptoms of long COVID-19 are due to autonomic dysfunction, which can lead to cardiac rhythm disturbances, palpitations, postural hypotension, tachycardia, dyspnoea, chest pain, and various gastrointestinal and digestive symptoms like nausea, vomiting, and diarrhea</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Gastrointestinal and neural tropism of SARS-CoV-2</w:t>
      </w:r>
    </w:p>
    <w:p>
      <w:pPr>
        <w:spacing w:line="360" w:lineRule="auto"/>
        <w:jc w:val="both"/>
      </w:pPr>
      <w:r>
        <w:rPr>
          <w:rFonts w:ascii="Book Antiqua" w:hAnsi="Book Antiqua" w:eastAsia="Book Antiqua" w:cs="Book Antiqua"/>
          <w:color w:val="000000"/>
        </w:rPr>
        <w:t>Research has shown that although SARS-CoV-2 primarily affects the respiratory system, it can also cause dysfunction in multiple organs. Liu and colleagues discovered that the virus could target cells in different organs, including the small intestine, pancreas, liver, and other tissues. They also found a potential link between the virus's ability to infect multiple organs and the distribution of angiotensin-converting enzyme 2 (ACE2) receptors in these tissues</w:t>
      </w:r>
      <w:r>
        <w:rPr>
          <w:rFonts w:ascii="Book Antiqua" w:hAnsi="Book Antiqua" w:eastAsia="Book Antiqua" w:cs="Book Antiqua"/>
          <w:color w:val="000000"/>
          <w:vertAlign w:val="superscript"/>
        </w:rPr>
        <w:t>[26]</w:t>
      </w:r>
      <w:r>
        <w:rPr>
          <w:rFonts w:ascii="Book Antiqua" w:hAnsi="Book Antiqua" w:eastAsia="Book Antiqua" w:cs="Book Antiqua"/>
          <w:color w:val="000000"/>
        </w:rPr>
        <w:t>. ACE2 receptors are most highly expressed in the microvilli of the small intestine, particularly in the brush border of intestinal enterocytes in the ileum</w:t>
      </w:r>
      <w:r>
        <w:rPr>
          <w:rFonts w:ascii="Book Antiqua" w:hAnsi="Book Antiqua" w:eastAsia="Book Antiqua" w:cs="Book Antiqua"/>
          <w:color w:val="000000"/>
          <w:vertAlign w:val="superscript"/>
        </w:rPr>
        <w:t>[27]</w:t>
      </w:r>
      <w:r>
        <w:rPr>
          <w:rFonts w:ascii="Book Antiqua" w:hAnsi="Book Antiqua" w:eastAsia="Book Antiqua" w:cs="Book Antiqua"/>
          <w:color w:val="000000"/>
        </w:rPr>
        <w:t>. They are also found in the colon, oesophageal epithelium, and gastric and duodenal glandular cells. These findings suggest that the gastrointestinal tract could be a potential transmission route and amplification factory for the virus</w:t>
      </w:r>
      <w:r>
        <w:rPr>
          <w:rFonts w:ascii="Book Antiqua" w:hAnsi="Book Antiqua" w:eastAsia="Book Antiqua" w:cs="Book Antiqua"/>
          <w:color w:val="000000"/>
          <w:vertAlign w:val="superscript"/>
        </w:rPr>
        <w:t>[28,29]</w:t>
      </w:r>
      <w:r>
        <w:rPr>
          <w:rFonts w:ascii="Book Antiqua" w:hAnsi="Book Antiqua" w:eastAsia="Book Antiqua" w:cs="Book Antiqua"/>
          <w:color w:val="000000"/>
        </w:rPr>
        <w:t>. This high viral tropism to the gastrointestinal tract could explain why gastrointestinal symptoms may appear before respiratory symptoms and why the virus can continue in stool even after the infection has resolved</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Studies have shown that SARS-CoV-2 can infect gastrointestinal and neuronal cells within </w:t>
      </w:r>
      <w:r>
        <w:rPr>
          <w:rFonts w:hint="eastAsia" w:ascii="Book Antiqua" w:hAnsi="Book Antiqua" w:eastAsia="宋体" w:cs="Book Antiqua"/>
          <w:color w:val="000000"/>
          <w:lang w:eastAsia="zh-CN"/>
        </w:rPr>
        <w:t>2</w:t>
      </w:r>
      <w:r>
        <w:rPr>
          <w:rFonts w:ascii="Book Antiqua" w:hAnsi="Book Antiqua" w:eastAsia="Book Antiqua" w:cs="Book Antiqua"/>
          <w:color w:val="000000"/>
        </w:rPr>
        <w:t xml:space="preserve"> 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of exposure and robustly replicate in human cortical astrocytes, converting them to reactive cells with increased growth factor signaling and activated cellular stress</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This can result in damage to and impairments of neurological tissues. The virus can enter the cerebrospinal fluid through the blood-brain barrier and reach the brain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damaged motor or sensory nerve endings</w:t>
      </w:r>
      <w:r>
        <w:rPr>
          <w:rFonts w:ascii="Book Antiqua" w:hAnsi="Book Antiqua" w:eastAsia="Book Antiqua" w:cs="Book Antiqua"/>
          <w:color w:val="000000"/>
          <w:vertAlign w:val="superscript"/>
        </w:rPr>
        <w:t>[32,33]</w:t>
      </w:r>
      <w:r>
        <w:rPr>
          <w:rFonts w:ascii="Book Antiqua" w:hAnsi="Book Antiqua" w:eastAsia="Book Antiqua" w:cs="Book Antiqua"/>
          <w:color w:val="000000"/>
        </w:rPr>
        <w:t>. Additionally, it is suggested that the enteric nervous system may serve as a portal of entry for the virus into the central nervous system due to the abundance of ACE-2 receptors and TMPRSS2 expression in enteric nerves and glial cells</w:t>
      </w:r>
      <w:r>
        <w:rPr>
          <w:rFonts w:ascii="Book Antiqua" w:hAnsi="Book Antiqua" w:eastAsia="Book Antiqua" w:cs="Book Antiqua"/>
          <w:color w:val="000000"/>
          <w:vertAlign w:val="superscript"/>
        </w:rPr>
        <w:t>[34]</w:t>
      </w:r>
      <w:r>
        <w:rPr>
          <w:rFonts w:ascii="Book Antiqua" w:hAnsi="Book Antiqua" w:eastAsia="Book Antiqua" w:cs="Book Antiqua"/>
          <w:color w:val="000000"/>
        </w:rPr>
        <w:t>. With the rich neural network supplying the gastrointestinal tract, the enteric nerves play a significant role in SARS-CoV-2 entry into the central nervous system</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SARS-CoV-2 can invade the central nervous system by attacking the nerves that supply the respiratory system, including the olfactory, trigeminal, facial, glossopharyngeal, and vagus nerves</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In addition, it can enter the central nervous system through the blood or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vagus nerve from the lungs. In two cases, newborns whose mothers had COVID-19 during the second trimester of pregnancy experienced seizures shortly after birth, indicating that the virus can be transmitted to the brain through the placenta</w:t>
      </w:r>
      <w:r>
        <w:rPr>
          <w:rFonts w:ascii="Book Antiqua" w:hAnsi="Book Antiqua" w:eastAsia="Book Antiqua" w:cs="Book Antiqua"/>
          <w:color w:val="000000"/>
          <w:vertAlign w:val="superscript"/>
        </w:rPr>
        <w:t>[37]</w:t>
      </w:r>
      <w:r>
        <w:rPr>
          <w:rFonts w:ascii="Book Antiqua" w:hAnsi="Book Antiqua" w:eastAsia="Book Antiqua" w:cs="Book Antiqua"/>
          <w:color w:val="000000"/>
        </w:rPr>
        <w:t>. The virus can replicate inside neural cells, a characteristic known as neurotropism, which is increased by the spike protein produced by furin site insertion, resulting in neuronal infections. COVID-19 can also cause a range of neurological complications during both acute and post-acute stages due to severe respiratory disease, cytokine storms, and immune reactions that lead to hypoxia and impaired brain function</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General effects of COVID-19 on gastrointestinal health</w:t>
      </w:r>
    </w:p>
    <w:p>
      <w:pPr>
        <w:spacing w:line="360" w:lineRule="auto"/>
        <w:jc w:val="both"/>
      </w:pPr>
      <w:r>
        <w:rPr>
          <w:rFonts w:ascii="Book Antiqua" w:hAnsi="Book Antiqua" w:eastAsia="Book Antiqua" w:cs="Book Antiqua"/>
          <w:color w:val="000000"/>
        </w:rPr>
        <w:t>Although COVID-19 primarily affects the respiratory system, it also significantly impacts the gastrointestinal tract, particularly children. The exact mechanism behind SARS-CoV-2-induced gastrointestinal symptoms remains unclear, but it is suggested that fecal-oral transmission may play a role due to the presence of SARS-CoV-2 RNA particles in fecal matter</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The virus can strongly infect cells in the gastrointestinal tract, particularly in the upper esophagus, absorptive enterocytes, hepatocytes, and cholangiocytes, which have increased expression of ACE2 receptors. These receptors allow the virus to enter host cells and interact with the </w:t>
      </w:r>
      <w:r>
        <w:rPr>
          <w:rFonts w:hint="eastAsia" w:ascii="Book Antiqua" w:hAnsi="Book Antiqua" w:eastAsia="宋体" w:cs="Book Antiqua"/>
          <w:color w:val="000000"/>
          <w:lang w:eastAsia="zh-CN"/>
        </w:rPr>
        <w:t>s</w:t>
      </w:r>
      <w:r>
        <w:rPr>
          <w:rFonts w:ascii="Book Antiqua" w:hAnsi="Book Antiqua" w:eastAsia="Book Antiqua" w:cs="Book Antiqua"/>
          <w:color w:val="000000"/>
        </w:rPr>
        <w:t>pike protein of SARS-CoV-2, leading to an inflammatory response that can cause gut dysbiosis, leaky gut syndrome, and invasion of host cells by the virus. The severity of these changes is directly linked to the expression of ACE2 receptors and can worsen or improve gut dysbiosis and the severity of gastrointestinal leakage</w:t>
      </w:r>
      <w:r>
        <w:rPr>
          <w:rFonts w:ascii="Book Antiqua" w:hAnsi="Book Antiqua" w:eastAsia="Book Antiqua" w:cs="Book Antiqua"/>
          <w:color w:val="000000"/>
          <w:vertAlign w:val="superscript"/>
        </w:rPr>
        <w:t>[40]</w:t>
      </w:r>
      <w:r>
        <w:rPr>
          <w:rFonts w:ascii="Book Antiqua" w:hAnsi="Book Antiqua" w:eastAsia="Book Antiqua" w:cs="Book Antiqua"/>
          <w:color w:val="000000"/>
        </w:rPr>
        <w:t>. SARS-CoV-2 infection also causes gut mucosal infiltration by plasma cells and lymphocytes, which can lead to interstitial edema and deterioration of the intestinal-blood barrier, allowing the spread of endotoxins, bacteria, viruses, and other microbial metabolites into the systemic circulation. This can further impair the host's response to SARS-CoV-2 infection and lead to multisystem dysfunction, potentially resulting in septic shock</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Shedding the virus in the stool can negatively impact the gut, creating an environment that supports the virus's replication and release. This shedding may be a factor in the poor prognosis associated with the virus. Additionally, respiratory disorders caused by SARS-CoV-2 can harm the respiratory tract microbiota, negatively affecting the gut microbiota and digestive tract due to immune dysregulation</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This disruption can lead to a long-term reduction in beneficial bacteria, such as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and </w:t>
      </w:r>
      <w:r>
        <w:rPr>
          <w:rFonts w:ascii="Book Antiqua" w:hAnsi="Book Antiqua" w:eastAsia="Book Antiqua" w:cs="Book Antiqua"/>
          <w:i/>
          <w:iCs/>
          <w:color w:val="000000"/>
        </w:rPr>
        <w:t>Faecalibacterium prausnitzii</w:t>
      </w:r>
      <w:r>
        <w:rPr>
          <w:rFonts w:ascii="Book Antiqua" w:hAnsi="Book Antiqua" w:eastAsia="Book Antiqua" w:cs="Book Antiqua"/>
          <w:color w:val="000000"/>
        </w:rPr>
        <w:t xml:space="preserve">, and an increase in harmful bacteria, such as </w:t>
      </w:r>
      <w:r>
        <w:rPr>
          <w:rFonts w:ascii="Book Antiqua" w:hAnsi="Book Antiqua" w:eastAsia="Book Antiqua" w:cs="Book Antiqua"/>
          <w:i/>
          <w:iCs/>
          <w:color w:val="000000"/>
        </w:rPr>
        <w:t>Clostridium ramosum</w:t>
      </w:r>
      <w:r>
        <w:rPr>
          <w:rFonts w:ascii="Book Antiqua" w:hAnsi="Book Antiqua" w:eastAsia="Book Antiqua" w:cs="Book Antiqua"/>
          <w:color w:val="000000"/>
        </w:rPr>
        <w:t xml:space="preserve">, </w:t>
      </w:r>
      <w:r>
        <w:rPr>
          <w:rFonts w:ascii="Book Antiqua" w:hAnsi="Book Antiqua" w:eastAsia="Book Antiqua" w:cs="Book Antiqua"/>
          <w:i/>
          <w:iCs/>
          <w:color w:val="000000"/>
        </w:rPr>
        <w:t>Clostridium hathewayi</w:t>
      </w:r>
      <w:r>
        <w:rPr>
          <w:rFonts w:ascii="Book Antiqua" w:hAnsi="Book Antiqua" w:eastAsia="Book Antiqua" w:cs="Book Antiqua"/>
          <w:color w:val="000000"/>
        </w:rPr>
        <w:t xml:space="preserve">, </w:t>
      </w:r>
      <w:r>
        <w:rPr>
          <w:rFonts w:ascii="Book Antiqua" w:hAnsi="Book Antiqua" w:eastAsia="Book Antiqua" w:cs="Book Antiqua"/>
          <w:i/>
          <w:iCs/>
          <w:color w:val="000000"/>
        </w:rPr>
        <w:t>Coprobacillus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Aspergillus</w:t>
      </w:r>
      <w:r>
        <w:rPr>
          <w:rFonts w:ascii="Book Antiqua" w:hAnsi="Book Antiqua" w:eastAsia="Book Antiqua" w:cs="Book Antiqua"/>
          <w:color w:val="000000"/>
        </w:rPr>
        <w:t xml:space="preserve">, and </w:t>
      </w:r>
      <w:r>
        <w:rPr>
          <w:rFonts w:ascii="Book Antiqua" w:hAnsi="Book Antiqua" w:eastAsia="Book Antiqua" w:cs="Book Antiqua"/>
          <w:i/>
          <w:iCs/>
          <w:color w:val="000000"/>
        </w:rPr>
        <w:t>Candida</w:t>
      </w:r>
      <w:r>
        <w:rPr>
          <w:rFonts w:ascii="Book Antiqua" w:hAnsi="Book Antiqua" w:eastAsia="Book Antiqua" w:cs="Book Antiqua"/>
          <w:color w:val="000000"/>
        </w:rPr>
        <w:t>. Medical comorbidities and the use of certain medications, such as antibiotics, antifungals, antivirals, and steroids, can worsen this dysbiosis</w:t>
      </w:r>
      <w:r>
        <w:rPr>
          <w:rFonts w:ascii="Book Antiqua" w:hAnsi="Book Antiqua" w:eastAsia="Book Antiqua" w:cs="Book Antiqua"/>
          <w:color w:val="000000"/>
          <w:vertAlign w:val="superscript"/>
        </w:rPr>
        <w:t>[43]</w:t>
      </w:r>
      <w:r>
        <w:rPr>
          <w:rFonts w:ascii="Book Antiqua" w:hAnsi="Book Antiqua" w:eastAsia="Book Antiqua" w:cs="Book Antiqua"/>
          <w:color w:val="000000"/>
        </w:rPr>
        <w:t>. Maintaining a diverse gut microbiota with a predominance of beneficial bacteria can help combat SARS-CoV-2 infection.</w:t>
      </w:r>
    </w:p>
    <w:p>
      <w:pPr>
        <w:spacing w:line="360" w:lineRule="auto"/>
        <w:ind w:firstLine="480" w:firstLineChars="200"/>
        <w:jc w:val="both"/>
      </w:pPr>
      <w:r>
        <w:rPr>
          <w:rFonts w:ascii="Book Antiqua" w:hAnsi="Book Antiqua" w:eastAsia="Book Antiqua" w:cs="Book Antiqua"/>
          <w:color w:val="000000"/>
        </w:rPr>
        <w:t>Gastrointestinal symptoms can manifest during any stage of COVID-19, either at the beginning or as the disease progresses</w:t>
      </w:r>
      <w:r>
        <w:rPr>
          <w:rFonts w:ascii="Book Antiqua" w:hAnsi="Book Antiqua" w:eastAsia="Book Antiqua" w:cs="Book Antiqua"/>
          <w:color w:val="000000"/>
          <w:vertAlign w:val="superscript"/>
        </w:rPr>
        <w:t>[44]</w:t>
      </w:r>
      <w:r>
        <w:rPr>
          <w:rFonts w:ascii="Book Antiqua" w:hAnsi="Book Antiqua" w:eastAsia="Book Antiqua" w:cs="Book Antiqua"/>
          <w:color w:val="000000"/>
        </w:rPr>
        <w:t>. Table 2 provides a summary of the gastrointestinal symptoms associated with COVID-19. Diarrhea and dysgeusia are the most prevalent, followed by anorexia, nausea and vomiting, and abdominal pain</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In some cases, patients may experience gastrointestinal symptoms before respiratory symptoms, which could indicate the gut's influence on the progression of COVID-19. Fecal viral shedding in severe cases may also suggest the gut's impact on prognosis</w:t>
      </w:r>
      <w:r>
        <w:rPr>
          <w:rFonts w:ascii="Book Antiqua" w:hAnsi="Book Antiqua" w:eastAsia="Book Antiqua" w:cs="Book Antiqua"/>
          <w:color w:val="000000"/>
          <w:vertAlign w:val="superscript"/>
        </w:rPr>
        <w:t>[7]</w:t>
      </w:r>
      <w:r>
        <w:rPr>
          <w:rFonts w:ascii="Book Antiqua" w:hAnsi="Book Antiqua" w:eastAsia="Book Antiqua" w:cs="Book Antiqua"/>
          <w:color w:val="000000"/>
        </w:rPr>
        <w:t>. Studies show that patients with gastrointestinal symptoms tend to have a longer time between symptom onset and hospital admission than those without</w:t>
      </w:r>
      <w:r>
        <w:rPr>
          <w:rFonts w:ascii="Book Antiqua" w:hAnsi="Book Antiqua" w:eastAsia="Book Antiqua" w:cs="Book Antiqua"/>
          <w:color w:val="000000"/>
          <w:vertAlign w:val="superscript"/>
        </w:rPr>
        <w:t>[46]</w:t>
      </w:r>
      <w:r>
        <w:rPr>
          <w:rFonts w:ascii="Book Antiqua" w:hAnsi="Book Antiqua" w:eastAsia="Book Antiqua" w:cs="Book Antiqua"/>
          <w:color w:val="000000"/>
        </w:rPr>
        <w:t>. Additionally, severe COVID-19 patients are more likely to have gastrointestinal symptoms, with up to 92% of cases and 80% of those in intensive care experiencing them</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results of endoscopic biopsies have revealed that SARS-CoV-2 can enter gastrointestinal cells directly by binding with ACE2 receptors in various locations of the gastrointestinal tract</w:t>
      </w:r>
      <w:r>
        <w:rPr>
          <w:rFonts w:ascii="Book Antiqua" w:hAnsi="Book Antiqua" w:eastAsia="Book Antiqua" w:cs="Book Antiqua"/>
          <w:color w:val="000000"/>
          <w:vertAlign w:val="superscript"/>
        </w:rPr>
        <w:t>[48]</w:t>
      </w:r>
      <w:r>
        <w:rPr>
          <w:rFonts w:ascii="Book Antiqua" w:hAnsi="Book Antiqua" w:eastAsia="Book Antiqua" w:cs="Book Antiqua"/>
          <w:color w:val="000000"/>
        </w:rPr>
        <w:t>. Additionally, individuals with severe COVID-19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multisystem inflammatory syndrome may experience hypercoagulable states due to systemic inflammation, hyperinflammation from cytokine storms, and diffuse endotheliitis. This could result in mesenteric vascular thrombosis and small vessel thrombosis of submucosal arterioles, which could cause bowel necrosis</w:t>
      </w:r>
      <w:r>
        <w:rPr>
          <w:rFonts w:ascii="Book Antiqua" w:hAnsi="Book Antiqua" w:eastAsia="Book Antiqua" w:cs="Book Antiqua"/>
          <w:color w:val="000000"/>
          <w:vertAlign w:val="superscript"/>
        </w:rPr>
        <w:t>[49,50]</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Patients can experience ongoing gastrointestinal symptoms even after recovering from a disease. According to Tian and Rong, a woman suffered from diarrhea for </w:t>
      </w:r>
      <w:r>
        <w:rPr>
          <w:rFonts w:hint="eastAsia" w:ascii="Book Antiqua" w:hAnsi="Book Antiqua" w:eastAsia="宋体" w:cs="Book Antiqua"/>
          <w:color w:val="000000"/>
          <w:lang w:eastAsia="zh-CN"/>
        </w:rPr>
        <w:t>2</w:t>
      </w:r>
      <w:r>
        <w:rPr>
          <w:rFonts w:ascii="Book Antiqua" w:hAnsi="Book Antiqua" w:eastAsia="Book Antiqua" w:cs="Book Antiqua"/>
          <w:color w:val="000000"/>
        </w:rPr>
        <w:t xml:space="preserve"> mo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and later developed abdominal distension and constipation for about </w:t>
      </w:r>
      <w:r>
        <w:rPr>
          <w:rFonts w:hint="eastAsia" w:ascii="Book Antiqua" w:hAnsi="Book Antiqua" w:eastAsia="宋体" w:cs="Book Antiqua"/>
          <w:color w:val="000000"/>
          <w:lang w:eastAsia="zh-CN"/>
        </w:rPr>
        <w:t>3</w:t>
      </w:r>
      <w:r>
        <w:rPr>
          <w:rFonts w:ascii="Book Antiqua" w:hAnsi="Book Antiqua" w:eastAsia="Book Antiqua" w:cs="Book Antiqua"/>
          <w:color w:val="000000"/>
        </w:rPr>
        <w:t xml:space="preserve"> mo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after fully recovering from the initial illness</w:t>
      </w:r>
      <w:r>
        <w:rPr>
          <w:rFonts w:ascii="Book Antiqua" w:hAnsi="Book Antiqua" w:eastAsia="Book Antiqua" w:cs="Book Antiqua"/>
          <w:color w:val="000000"/>
          <w:vertAlign w:val="superscript"/>
        </w:rPr>
        <w:t>[51]</w:t>
      </w:r>
      <w:r>
        <w:rPr>
          <w:rFonts w:ascii="Book Antiqua" w:hAnsi="Book Antiqua" w:eastAsia="Book Antiqua" w:cs="Book Antiqua"/>
          <w:color w:val="000000"/>
        </w:rPr>
        <w:t>. They hypothesized that these symptoms could be attributed to the development of irritable bowel syndrome, which may have occurred due to damage to the enteric nervous system or the central nervous center controlling the vagus nerve in the brainstem. This area regulates various autonomic functions, such as cardiac and respiratory functions, alongside appetite, nausea, and vomiting</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rPr>
        <w:t>Epidemiological characteristics of patients with COVID-19-induced gastrointestinal autonomic dysfunction</w:t>
      </w:r>
    </w:p>
    <w:p>
      <w:pPr>
        <w:spacing w:line="360" w:lineRule="auto"/>
        <w:jc w:val="both"/>
      </w:pPr>
      <w:r>
        <w:rPr>
          <w:rFonts w:ascii="Book Antiqua" w:hAnsi="Book Antiqua" w:eastAsia="Book Antiqua" w:cs="Book Antiqua"/>
          <w:color w:val="000000"/>
        </w:rPr>
        <w:t>Although the pandemic has been relatively short-lived, an increasing number of studies show the involvement of the autonomic system in COVID-19. These studies suggest that autonomic dysfunction is not uncommon and could be a critical factor in increasing mortality rates related to the virus</w:t>
      </w:r>
      <w:r>
        <w:rPr>
          <w:rFonts w:ascii="Book Antiqua" w:hAnsi="Book Antiqua" w:eastAsia="Book Antiqua" w:cs="Book Antiqua"/>
          <w:color w:val="000000"/>
          <w:vertAlign w:val="superscript"/>
        </w:rPr>
        <w:t>[53]</w:t>
      </w:r>
      <w:r>
        <w:rPr>
          <w:rFonts w:ascii="Book Antiqua" w:hAnsi="Book Antiqua" w:eastAsia="Book Antiqua" w:cs="Book Antiqua"/>
          <w:color w:val="000000"/>
        </w:rPr>
        <w:t>. In particular, patients with severe COVID-19 have been shown to experience gastrointestinal autonomic dysfunction, which can cause symptoms such as anorexia, nausea, vomiting, abdominal pain, bloating, diarrhea, or constipation. Other autonomic dysfunctions have also been observed, including abnormal heart rate variability and blood pressure regulation. These symptoms are more prevalent in patients with older age, longer illness duration, and more severe or critical disease. Nevertheless, further research is needed to determine these dysfunctions' prevalence and clinical significance in COVID-19 patients, especially those affecting the gastrointestinal tract</w:t>
      </w:r>
      <w:r>
        <w:rPr>
          <w:rFonts w:ascii="Book Antiqua" w:hAnsi="Book Antiqua" w:eastAsia="Book Antiqua" w:cs="Book Antiqua"/>
          <w:color w:val="000000"/>
          <w:vertAlign w:val="superscript"/>
        </w:rPr>
        <w:t>[54-56]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Table 3 displays some studies that examine how frequently COVID-19 patients experience gastrointestinal symptoms. One such study by Erdal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found that 21.8% of their 112 COVID-19 patients experienced diarrhea. Another study by Varma-Doyle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noted that five of six patients with dysautonomia experienced gastrointestinal symptoms such as bloating, nausea, vomiting, constipation, irregular bowel movements, and early satiety. Scala </w:t>
      </w:r>
      <w:r>
        <w:rPr>
          <w:rFonts w:ascii="Book Antiqua" w:hAnsi="Book Antiqua" w:eastAsia="Book Antiqua" w:cs="Book Antiqua"/>
          <w:i/>
          <w:iCs/>
          <w:color w:val="000000"/>
        </w:rPr>
        <w:t>et al</w:t>
      </w:r>
      <w:r>
        <w:rPr>
          <w:rFonts w:ascii="Book Antiqua" w:hAnsi="Book Antiqua" w:eastAsia="Book Antiqua" w:cs="Book Antiqua"/>
          <w:color w:val="000000"/>
        </w:rPr>
        <w:t>'s research showed that 26.3% of COVID-19 patients developed diarrhea, compared to only 7.9% of the control group</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Moreover, Tan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found that patients who did not receive </w:t>
      </w:r>
      <w:r>
        <w:rPr>
          <w:rFonts w:hint="eastAsia" w:ascii="Book Antiqua" w:hAnsi="Book Antiqua" w:eastAsia="宋体" w:cs="Book Antiqua"/>
          <w:color w:val="000000"/>
          <w:lang w:eastAsia="zh-CN"/>
        </w:rPr>
        <w:t>a</w:t>
      </w:r>
      <w:r>
        <w:rPr>
          <w:rFonts w:ascii="Book Antiqua" w:hAnsi="Book Antiqua" w:eastAsia="Book Antiqua" w:cs="Book Antiqua"/>
          <w:color w:val="000000"/>
        </w:rPr>
        <w:t xml:space="preserve">ngiotensin-converting enzyme inhibitors/angiotensin receptor blockers (ACEI/ARB) had higher rates of gastrointestinal symptoms compared to those who did, such as diarrhea (14.5% </w:t>
      </w:r>
      <w:r>
        <w:rPr>
          <w:rFonts w:ascii="Book Antiqua" w:hAnsi="Book Antiqua" w:eastAsia="Book Antiqua" w:cs="Book Antiqua"/>
          <w:i/>
          <w:iCs/>
          <w:color w:val="000000"/>
        </w:rPr>
        <w:t>vs</w:t>
      </w:r>
      <w:r>
        <w:rPr>
          <w:rFonts w:ascii="Book Antiqua" w:hAnsi="Book Antiqua" w:eastAsia="Book Antiqua" w:cs="Book Antiqua"/>
          <w:color w:val="000000"/>
        </w:rPr>
        <w:t xml:space="preserve"> 6.5%), nausea and vomiting (11.6% </w:t>
      </w:r>
      <w:r>
        <w:rPr>
          <w:rFonts w:ascii="Book Antiqua" w:hAnsi="Book Antiqua" w:eastAsia="Book Antiqua" w:cs="Book Antiqua"/>
          <w:i/>
          <w:iCs/>
          <w:color w:val="000000"/>
        </w:rPr>
        <w:t>vs</w:t>
      </w:r>
      <w:r>
        <w:rPr>
          <w:rFonts w:ascii="Book Antiqua" w:hAnsi="Book Antiqua" w:eastAsia="Book Antiqua" w:cs="Book Antiqua"/>
          <w:color w:val="000000"/>
        </w:rPr>
        <w:t xml:space="preserve"> 9.7%), and abdominal pain (6.5% </w:t>
      </w:r>
      <w:r>
        <w:rPr>
          <w:rFonts w:ascii="Book Antiqua" w:hAnsi="Book Antiqua" w:eastAsia="Book Antiqua" w:cs="Book Antiqua"/>
          <w:i/>
          <w:iCs/>
          <w:color w:val="000000"/>
        </w:rPr>
        <w:t>vs</w:t>
      </w:r>
      <w:r>
        <w:rPr>
          <w:rFonts w:ascii="Book Antiqua" w:hAnsi="Book Antiqua" w:eastAsia="Book Antiqua" w:cs="Book Antiqua"/>
          <w:color w:val="000000"/>
        </w:rPr>
        <w:t xml:space="preserve"> 2.9%). Finally, a meta-analysis by Mao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found that 15% of COVID-19 patients in 35 studies experienced digestive symptoms, with anorexia, nausea, vomiting, and diarrhea being the most common. Patients who presented with gastrointestinal symptoms may also have a more severe disease course. Further research is needed to understand better the epidemiological characteristics and clinical significance of COVID-19-induced gastrointestinal dysfunction. Table 4 Lists the risk factors that increase the incidence of gastrointestinal autonomic dysfunction.</w:t>
      </w:r>
    </w:p>
    <w:p>
      <w:pPr>
        <w:spacing w:line="360" w:lineRule="auto"/>
        <w:jc w:val="both"/>
      </w:pPr>
    </w:p>
    <w:p>
      <w:pPr>
        <w:spacing w:line="360" w:lineRule="auto"/>
        <w:jc w:val="both"/>
        <w:rPr>
          <w:i/>
          <w:iCs/>
        </w:rPr>
      </w:pPr>
      <w:r>
        <w:rPr>
          <w:rFonts w:ascii="Book Antiqua" w:hAnsi="Book Antiqua" w:eastAsia="Book Antiqua" w:cs="Book Antiqua"/>
          <w:b/>
          <w:bCs/>
          <w:i/>
          <w:iCs/>
          <w:color w:val="000000"/>
        </w:rPr>
        <w:t>Pathophysiology of autonomic dysfunction in COVID-19</w:t>
      </w:r>
    </w:p>
    <w:p>
      <w:pPr>
        <w:spacing w:line="360" w:lineRule="auto"/>
        <w:jc w:val="both"/>
      </w:pPr>
      <w:r>
        <w:rPr>
          <w:rFonts w:ascii="Book Antiqua" w:hAnsi="Book Antiqua" w:eastAsia="Book Antiqua" w:cs="Book Antiqua"/>
          <w:color w:val="000000"/>
        </w:rPr>
        <w:t>The exact cause of autonomic dysfunction in COVID-19 and long COVID-19 is still not fully understood. It could be due to the direct effects of the virus on the nervous system, gut dysbiosis, an overactive robust immune response, the impact of hypoxia on neurological tissues, or medication used in the patient's treatment. The virus may invade the autonomic pathway directly or induce injury through the immune response, which can stimulate the sympathetic nervous system and activate pro-inflammatory cytokines, causing further stimulation of the sympathetic system. This can result in the development of a sympathetic storm</w:t>
      </w:r>
      <w:r>
        <w:rPr>
          <w:rFonts w:ascii="Book Antiqua" w:hAnsi="Book Antiqua" w:eastAsia="Book Antiqua" w:cs="Book Antiqua"/>
          <w:color w:val="000000"/>
          <w:vertAlign w:val="superscript"/>
        </w:rPr>
        <w:t>[10]</w:t>
      </w:r>
      <w:r>
        <w:rPr>
          <w:rFonts w:ascii="Book Antiqua" w:hAnsi="Book Antiqua" w:eastAsia="Book Antiqua" w:cs="Book Antiqua"/>
          <w:color w:val="000000"/>
        </w:rPr>
        <w:t>. Direct SARS-CoV-2 invasion of the medulla or hypothalamus can trigger autonomic dysfunction through retrograde neuronal or systematic hematogenous routes. At the hypothalamus, targeting GABAergic or glutamatergic interneurons can directly or indirectly impact the paraventricular nucleus (PVN) plasticity, leading to neuroinflammation and autonomic nervous system disruption. Similarly, SARS-CoV-2 invasion of astrocytes and GABAergic interneurons in the nucleus tractus solitaries in the medulla can modulate the normal autonomic function and/or initiate cell death</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Studies have shown that COVID-19 patients with excessive sympathetic activation are more likely to experience severe pulmonary capillary leakage, alveolar damage, and an increased risk of developing acute respiratory distress syndrome. This over-activation of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sympathetic nervous system is also linked to parasympathetic inhibition and </w:t>
      </w:r>
      <w:r>
        <w:rPr>
          <w:rFonts w:hint="eastAsia" w:ascii="Book Antiqua" w:hAnsi="Book Antiqua" w:eastAsia="宋体" w:cs="Book Antiqua"/>
          <w:color w:val="000000"/>
          <w:lang w:eastAsia="zh-CN"/>
        </w:rPr>
        <w:t>r</w:t>
      </w:r>
      <w:r>
        <w:rPr>
          <w:rFonts w:ascii="Book Antiqua" w:hAnsi="Book Antiqua" w:eastAsia="Book Antiqua" w:cs="Book Antiqua"/>
          <w:color w:val="000000"/>
        </w:rPr>
        <w:t>enin-</w:t>
      </w:r>
      <w:r>
        <w:rPr>
          <w:rFonts w:hint="eastAsia" w:ascii="Book Antiqua" w:hAnsi="Book Antiqua" w:eastAsia="宋体" w:cs="Book Antiqua"/>
          <w:color w:val="000000"/>
          <w:lang w:eastAsia="zh-CN"/>
        </w:rPr>
        <w:t>a</w:t>
      </w:r>
      <w:r>
        <w:rPr>
          <w:rFonts w:ascii="Book Antiqua" w:hAnsi="Book Antiqua" w:eastAsia="Book Antiqua" w:cs="Book Antiqua"/>
          <w:color w:val="000000"/>
        </w:rPr>
        <w:t>ngiotensin</w:t>
      </w:r>
      <w:r>
        <w:rPr>
          <w:rFonts w:hint="eastAsia" w:ascii="Book Antiqua" w:hAnsi="Book Antiqua" w:eastAsia="宋体" w:cs="Book Antiqua"/>
          <w:color w:val="000000"/>
          <w:lang w:eastAsia="zh-CN"/>
        </w:rPr>
        <w:t xml:space="preserve"> s</w:t>
      </w:r>
      <w:r>
        <w:rPr>
          <w:rFonts w:ascii="Book Antiqua" w:hAnsi="Book Antiqua" w:eastAsia="Book Antiqua" w:cs="Book Antiqua"/>
          <w:color w:val="000000"/>
        </w:rPr>
        <w:t>ystem activation</w:t>
      </w:r>
      <w:r>
        <w:rPr>
          <w:rFonts w:ascii="Book Antiqua" w:hAnsi="Book Antiqua" w:eastAsia="Book Antiqua" w:cs="Book Antiqua"/>
          <w:color w:val="000000"/>
          <w:vertAlign w:val="superscript"/>
        </w:rPr>
        <w:t>[61,62]</w:t>
      </w:r>
      <w:r>
        <w:rPr>
          <w:rFonts w:ascii="Book Antiqua" w:hAnsi="Book Antiqua" w:eastAsia="Book Antiqua" w:cs="Book Antiqua"/>
          <w:color w:val="000000"/>
        </w:rPr>
        <w:t>. On the other hand, stimulating the vagus nerve can have anti-inflammatory effects by inhibiting the release of pro-inflammatory cytokines and modulating sympatho excitation. This could be a therapeutic approach for the autonomic nervous system</w:t>
      </w:r>
      <w:r>
        <w:rPr>
          <w:rFonts w:ascii="Book Antiqua" w:hAnsi="Book Antiqua" w:eastAsia="Book Antiqua" w:cs="Book Antiqua"/>
          <w:color w:val="000000"/>
          <w:vertAlign w:val="superscript"/>
        </w:rPr>
        <w:t>[63]</w:t>
      </w:r>
      <w:r>
        <w:rPr>
          <w:rFonts w:ascii="Book Antiqua" w:hAnsi="Book Antiqua" w:eastAsia="Book Antiqua" w:cs="Book Antiqua"/>
          <w:color w:val="000000"/>
        </w:rPr>
        <w:t>. Pulmonary chemoreceptors and mechanoreceptors may play a role in spreading SARS-CoV-2 from the lungs to the respiratory center in the medulla oblongata, leading to sudden central respiratory failure</w:t>
      </w:r>
      <w:r>
        <w:rPr>
          <w:rFonts w:ascii="Book Antiqua" w:hAnsi="Book Antiqua" w:eastAsia="Book Antiqua" w:cs="Book Antiqua"/>
          <w:color w:val="000000"/>
          <w:vertAlign w:val="superscript"/>
        </w:rPr>
        <w:t>[64]</w:t>
      </w:r>
      <w:r>
        <w:rPr>
          <w:rFonts w:ascii="Book Antiqua" w:hAnsi="Book Antiqua" w:eastAsia="Book Antiqua" w:cs="Book Antiqua"/>
          <w:color w:val="000000"/>
        </w:rPr>
        <w:t>. To combat this, beta-receptor antagonists can reduce sympathetic stimulation and limit the interaction between SARS-CoV-2 and ACE2 receptors</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Studies have shown that autoimmune antibodies exist in many autonomic nervous system disorders, including postural orthostatic tachycardia syndrome, a subtype of orthostatic intolerance. It is believed that COVID-19 may trigger an autoimmune mechanism that causes dysfunction in the autonomic nerves. According to Al-Beltagi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the effects of SARS-CoV-2 on the immune system are related to the sizeable viral RNA molecules, molecular mimicry, and interaction with the host immune system, as well as the overlap between some viral and human peptides. The virus can also induce tissue damage and create a strong binding between the SARS-CoV-2 S protein and </w:t>
      </w:r>
      <w:r>
        <w:rPr>
          <w:rFonts w:hint="eastAsia" w:ascii="Book Antiqua" w:hAnsi="Book Antiqua" w:eastAsia="宋体" w:cs="Book Antiqua"/>
          <w:color w:val="000000"/>
          <w:lang w:eastAsia="zh-CN"/>
        </w:rPr>
        <w:t xml:space="preserve">soluble </w:t>
      </w:r>
      <w:r>
        <w:rPr>
          <w:rFonts w:ascii="Book Antiqua" w:hAnsi="Book Antiqua" w:eastAsia="Book Antiqua" w:cs="Book Antiqua"/>
          <w:color w:val="000000"/>
        </w:rPr>
        <w:t xml:space="preserve">ACE-2. A growing body of evidence suggests that autonomic nervous system dysfunction observed in COVID-19 may be due to an autoimmune response. In a study by Chadda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[67]</w:t>
      </w:r>
      <w:r>
        <w:rPr>
          <w:rFonts w:ascii="Book Antiqua" w:hAnsi="Book Antiqua" w:eastAsia="Book Antiqua" w:cs="Book Antiqua"/>
          <w:color w:val="000000"/>
        </w:rPr>
        <w:t>, COVID-19 patients experienced various autonomic nervous system dysfunction symptoms, including tachycardia, orthostatic intolerance, and gastrointestinal dysfunction. The researchers suggested</w:t>
      </w:r>
      <w:r>
        <w:rPr>
          <w:rFonts w:hint="eastAsia" w:ascii="Book Antiqua" w:hAnsi="Book Antiqua" w:eastAsia="宋体" w:cs="Book Antiqua"/>
          <w:color w:val="000000"/>
          <w:lang w:eastAsia="zh-CN"/>
        </w:rPr>
        <w:t xml:space="preserve"> that</w:t>
      </w:r>
      <w:r>
        <w:rPr>
          <w:rFonts w:ascii="Book Antiqua" w:hAnsi="Book Antiqua" w:eastAsia="Book Antiqua" w:cs="Book Antiqua"/>
          <w:color w:val="000000"/>
        </w:rPr>
        <w:t xml:space="preserve"> these symptoms may be due to an autoimmune response against the autonomic nervous system. Lavi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found that COVID-19 patients had significantly higher levels of autoantibodies against the ANS than healthy controls, which may contribute to the autonomic nervous system dysfunction observed in COVID-19 patients. Additionally, Paterson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found that COVID-19 may trigger autoimmune responses against the nervous system, including the </w:t>
      </w:r>
      <w:r>
        <w:rPr>
          <w:rFonts w:hint="eastAsia" w:ascii="Book Antiqua" w:hAnsi="Book Antiqua" w:eastAsia="Book Antiqua" w:cs="Book Antiqua"/>
          <w:color w:val="000000"/>
        </w:rPr>
        <w:t>autonomic nervous system</w:t>
      </w:r>
      <w:r>
        <w:rPr>
          <w:rFonts w:ascii="Book Antiqua" w:hAnsi="Book Antiqua" w:eastAsia="Book Antiqua" w:cs="Book Antiqua"/>
          <w:color w:val="000000"/>
        </w:rPr>
        <w:t>, which may explain the diverse neurological symptoms observed in COVID-19 patients.</w:t>
      </w:r>
    </w:p>
    <w:p>
      <w:pPr>
        <w:spacing w:line="360" w:lineRule="auto"/>
        <w:ind w:firstLine="480" w:firstLineChars="200"/>
        <w:jc w:val="both"/>
      </w:pPr>
      <w:r>
        <w:rPr>
          <w:rFonts w:ascii="Book Antiqua" w:hAnsi="Book Antiqua" w:eastAsia="Book Antiqua" w:cs="Book Antiqua"/>
          <w:color w:val="000000"/>
        </w:rPr>
        <w:t>Severe COVID-19 often leads to hypoxia, which can cause damage to different parts of the brain, including the dorsal vagal complex located in the medulla oblongata, the lower part of the brainstem. This complex is responsible for various autonomic functions like heart rate, respiration, and food intake. Injuries to the dorsal vagal complex can lead to nausea, vomiting, and other autonomic dysfunction symptoms</w:t>
      </w:r>
      <w:r>
        <w:rPr>
          <w:rFonts w:ascii="Book Antiqua" w:hAnsi="Book Antiqua" w:eastAsia="Book Antiqua" w:cs="Book Antiqua"/>
          <w:color w:val="000000"/>
          <w:vertAlign w:val="superscript"/>
        </w:rPr>
        <w:t>[70]</w:t>
      </w:r>
      <w:r>
        <w:rPr>
          <w:rFonts w:ascii="Book Antiqua" w:hAnsi="Book Antiqua" w:eastAsia="Book Antiqua" w:cs="Book Antiqua"/>
          <w:color w:val="000000"/>
        </w:rPr>
        <w:t>. Disturbance of the nucleus of tractus solitaries, part of the dorsal vagal complex beside the hypothalamus, causes impaired food intake. Impairment of the gelatinous nucleus, subnucleus part of the nucleus of tractus solitaries, causes respiratory failure in severe cases of COVID-19. It may also be responsible for sudden infant death syndrome due to the alteration of the catecholaminergic neurochemical system</w:t>
      </w:r>
      <w:r>
        <w:rPr>
          <w:rFonts w:ascii="Book Antiqua" w:hAnsi="Book Antiqua" w:eastAsia="Book Antiqua" w:cs="Book Antiqua"/>
          <w:color w:val="000000"/>
          <w:vertAlign w:val="superscript"/>
        </w:rPr>
        <w:t>[71,72]</w:t>
      </w:r>
      <w:r>
        <w:rPr>
          <w:rFonts w:ascii="Book Antiqua" w:hAnsi="Book Antiqua" w:eastAsia="Book Antiqua" w:cs="Book Antiqua"/>
          <w:color w:val="000000"/>
        </w:rPr>
        <w:t>. COVID-19 can also cause gut dysbiosis, which increases pro-inflammatory cytokines and ultimately leads to neuroinflammation. The cytokines storm associated with severe COVID-19 causes hyperinflammation with increased pro-inflammatory cytokines resulting in gut dysbiosis and compromising intestinal barrier integrity. The increased permeability and leaky gut increase levels of circulating lipopolysaccharides, which ultimately may initiate microglial cell activation and neuroinflammation</w:t>
      </w:r>
      <w:r>
        <w:rPr>
          <w:rFonts w:ascii="Book Antiqua" w:hAnsi="Book Antiqua" w:eastAsia="Book Antiqua" w:cs="Book Antiqua"/>
          <w:color w:val="000000"/>
          <w:vertAlign w:val="superscript"/>
        </w:rPr>
        <w:t>[73]</w:t>
      </w:r>
      <w:r>
        <w:rPr>
          <w:rFonts w:ascii="Book Antiqua" w:hAnsi="Book Antiqua" w:eastAsia="Book Antiqua" w:cs="Book Antiqua"/>
          <w:color w:val="000000"/>
        </w:rPr>
        <w:t>. Additionally, COVID-19 can induce systemic vascular changes all over the body, including in the gastrointestinal tract, which may result in gastrointestinal autonomic dysfunction</w:t>
      </w:r>
      <w:r>
        <w:rPr>
          <w:rFonts w:ascii="Book Antiqua" w:hAnsi="Book Antiqua" w:eastAsia="Book Antiqua" w:cs="Book Antiqua"/>
          <w:color w:val="000000"/>
          <w:vertAlign w:val="superscript"/>
        </w:rPr>
        <w:t>[74]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It is imperative to understand that COVID-19 has a severe negative impact on the autonomic nervous system. The downregulation of the </w:t>
      </w:r>
      <w:r>
        <w:rPr>
          <w:rFonts w:ascii="Book Antiqua" w:hAnsi="Book Antiqua" w:eastAsia="Book Antiqua" w:cs="Book Antiqua"/>
          <w:i/>
          <w:iCs/>
          <w:color w:val="000000"/>
        </w:rPr>
        <w:t>IKBKAP</w:t>
      </w:r>
      <w:r>
        <w:rPr>
          <w:rFonts w:ascii="Book Antiqua" w:hAnsi="Book Antiqua" w:eastAsia="Book Antiqua" w:cs="Book Antiqua"/>
          <w:color w:val="000000"/>
        </w:rPr>
        <w:t xml:space="preserve"> gene and the up-regulation of N-type calcium channels at the molecular level can lead to fatal gastrointestinal dysfunction and complications, including mortality</w:t>
      </w:r>
      <w:r>
        <w:rPr>
          <w:rFonts w:ascii="Book Antiqua" w:hAnsi="Book Antiqua" w:eastAsia="Book Antiqua" w:cs="Book Antiqua"/>
          <w:color w:val="000000"/>
          <w:vertAlign w:val="superscript"/>
        </w:rPr>
        <w:t>[75,76]</w:t>
      </w:r>
      <w:r>
        <w:rPr>
          <w:rFonts w:ascii="Book Antiqua" w:hAnsi="Book Antiqua" w:eastAsia="Book Antiqua" w:cs="Book Antiqua"/>
          <w:color w:val="000000"/>
        </w:rPr>
        <w:t>. Autonomic dysregulation can manifest in various ways, such as at the level of autonomic centers like the medulla and hypothalamus, in the sympathetic and parasympathetic supply to the gut, or the target organs of the digestive system. The prevalence and mechanism of common gastrointestinal symptoms due to autonomic nervous system dysfunction in COVID-19 patients are detailed in Table 5. Figure 3 comprehensively summarizes the mechanisms that can induce autonomic dysfunction in COVID-19. It is essential to take these findings seriously and take necessary precautions to avoid any complications.</w:t>
      </w:r>
    </w:p>
    <w:p>
      <w:pPr>
        <w:spacing w:line="360" w:lineRule="auto"/>
        <w:jc w:val="both"/>
      </w:pPr>
    </w:p>
    <w:p>
      <w:pPr>
        <w:spacing w:line="360" w:lineRule="auto"/>
        <w:jc w:val="both"/>
        <w:rPr>
          <w:i/>
          <w:iCs/>
        </w:rPr>
      </w:pPr>
      <w:r>
        <w:rPr>
          <w:rFonts w:hint="eastAsia" w:ascii="Book Antiqua" w:hAnsi="Book Antiqua" w:eastAsia="宋体" w:cs="Book Antiqua"/>
          <w:b/>
          <w:bCs/>
          <w:i/>
          <w:iCs/>
          <w:color w:val="000000"/>
          <w:lang w:eastAsia="zh-CN"/>
        </w:rPr>
        <w:t xml:space="preserve">Impact of </w:t>
      </w:r>
      <w:r>
        <w:rPr>
          <w:rFonts w:ascii="Book Antiqua" w:hAnsi="Book Antiqua" w:eastAsia="Book Antiqua" w:cs="Book Antiqua"/>
          <w:b/>
          <w:bCs/>
          <w:i/>
          <w:iCs/>
          <w:color w:val="000000"/>
        </w:rPr>
        <w:t>COVID-19 vaccine on gastrointestinal autonomic dysfunction (causation or prevention)</w:t>
      </w:r>
    </w:p>
    <w:p>
      <w:pPr>
        <w:spacing w:line="360" w:lineRule="auto"/>
        <w:jc w:val="both"/>
      </w:pPr>
      <w:r>
        <w:rPr>
          <w:rFonts w:ascii="Book Antiqua" w:hAnsi="Book Antiqua" w:eastAsia="Book Antiqua" w:cs="Book Antiqua"/>
          <w:color w:val="000000"/>
        </w:rPr>
        <w:t>The COVID-19 vaccine has undoubtedly been a great benefit in ending the COVID-19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pandemic. However, some individuals who have taken it have experienced certain effects, such as autonomic dysfunction that affects various body organs and systems, including the gastrointestinal tract. This side effect is uncommon and has been reported infrequently, particularly after receiving certain types of COVID-19 vaccines that rely on DNA and RNA technology, like the Moderna, Pfizer-BioNTech, and Johnson &amp; Johnson vaccines. These vaccines use immunologic liposomes to achieve powerful antigenic stimulation of target cells</w:t>
      </w:r>
      <w:r>
        <w:rPr>
          <w:rFonts w:ascii="Book Antiqua" w:hAnsi="Book Antiqua" w:eastAsia="Book Antiqua" w:cs="Book Antiqua"/>
          <w:color w:val="000000"/>
          <w:vertAlign w:val="superscript"/>
        </w:rPr>
        <w:t>[77]</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Autonomic dysfunction can cause various symptoms, from mild dizziness and light-headedness to more severe symptoms like fainting and arrhythmia. These symptoms may occur shortly after vaccination and last for varying lengths, from a few minutes to many hours</w:t>
      </w:r>
      <w:r>
        <w:rPr>
          <w:rFonts w:ascii="Book Antiqua" w:hAnsi="Book Antiqua" w:eastAsia="Book Antiqua" w:cs="Book Antiqua"/>
          <w:color w:val="000000"/>
          <w:vertAlign w:val="superscript"/>
        </w:rPr>
        <w:t>[78]</w:t>
      </w:r>
      <w:r>
        <w:rPr>
          <w:rFonts w:ascii="Book Antiqua" w:hAnsi="Book Antiqua" w:eastAsia="Book Antiqua" w:cs="Book Antiqua"/>
          <w:color w:val="000000"/>
        </w:rPr>
        <w:t>. Table 6 provides information on gastrointestinal and autonomic dysfunction related to COVID-19 vaccinations</w:t>
      </w:r>
      <w:r>
        <w:rPr>
          <w:rFonts w:ascii="Book Antiqua" w:hAnsi="Book Antiqua" w:eastAsia="Book Antiqua" w:cs="Book Antiqua"/>
          <w:color w:val="000000"/>
          <w:vertAlign w:val="superscript"/>
        </w:rPr>
        <w:t>[79-87]</w:t>
      </w:r>
      <w:r>
        <w:rPr>
          <w:rFonts w:ascii="Book Antiqua" w:hAnsi="Book Antiqua" w:eastAsia="Book Antiqua" w:cs="Book Antiqua"/>
          <w:color w:val="000000"/>
        </w:rPr>
        <w:t>. Gastrointestinal complications are typically minor and secondary to primary complications, such as constipation, that may develop as a symptom of rare complications like transverse myelitis or Guillain-Barre syndrome. While serious COVID-19 vaccine-related complications like acute myocarditis are rare and have unclear pathophysiology, they should be considered if unusual symptoms appear within a few days of vaccination</w:t>
      </w:r>
      <w:r>
        <w:rPr>
          <w:rFonts w:ascii="Book Antiqua" w:hAnsi="Book Antiqua" w:eastAsia="Book Antiqua" w:cs="Book Antiqua"/>
          <w:color w:val="000000"/>
          <w:vertAlign w:val="superscript"/>
        </w:rPr>
        <w:t>[88]</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exact cause of autonomic dysfunction associated with COVID-19 vaccination is not fully understood. The vaccine's robust immune response may trigger inflammation in the autonomic nervous system, leading to symptoms of autonomic dysfunction</w:t>
      </w:r>
      <w:r>
        <w:rPr>
          <w:rFonts w:ascii="Book Antiqua" w:hAnsi="Book Antiqua" w:eastAsia="Book Antiqua" w:cs="Book Antiqua"/>
          <w:color w:val="000000"/>
          <w:vertAlign w:val="superscript"/>
        </w:rPr>
        <w:t>[89]</w:t>
      </w:r>
      <w:r>
        <w:rPr>
          <w:rFonts w:ascii="Book Antiqua" w:hAnsi="Book Antiqua" w:eastAsia="Book Antiqua" w:cs="Book Antiqua"/>
          <w:color w:val="000000"/>
        </w:rPr>
        <w:t>. Some patients have experienced reflex syncope or presyncope due to delayed vasovagal reaction, possibly related to stress caused by vaccination</w:t>
      </w:r>
      <w:r>
        <w:rPr>
          <w:rFonts w:ascii="Book Antiqua" w:hAnsi="Book Antiqua" w:eastAsia="Book Antiqua" w:cs="Book Antiqua"/>
          <w:color w:val="000000"/>
          <w:vertAlign w:val="superscript"/>
        </w:rPr>
        <w:t>[90]</w:t>
      </w:r>
      <w:r>
        <w:rPr>
          <w:rFonts w:ascii="Book Antiqua" w:hAnsi="Book Antiqua" w:eastAsia="Book Antiqua" w:cs="Book Antiqua"/>
          <w:color w:val="000000"/>
        </w:rPr>
        <w:t>. It</w:t>
      </w:r>
      <w:r>
        <w:rPr>
          <w:rFonts w:hint="eastAsia" w:ascii="Book Antiqua" w:hAnsi="Book Antiqua" w:eastAsia="宋体" w:cs="Book Antiqua"/>
          <w:color w:val="000000"/>
          <w:lang w:eastAsia="zh-CN"/>
        </w:rPr>
        <w:t xml:space="preserve"> is</w:t>
      </w:r>
      <w:r>
        <w:rPr>
          <w:rFonts w:ascii="Book Antiqua" w:hAnsi="Book Antiqua" w:eastAsia="Book Antiqua" w:cs="Book Antiqua"/>
          <w:color w:val="000000"/>
        </w:rPr>
        <w:t xml:space="preserve"> important to note that the risk of developing autonomic dysfunction after COVID-19 vaccination is very low. These rare complications should not deter us from reaping the significant protective benefits of these vaccines. The benefits of vaccination in preventing severe COVID-19, hospitalization, and death far outweigh the risks.</w:t>
      </w:r>
    </w:p>
    <w:p>
      <w:pPr>
        <w:spacing w:line="360" w:lineRule="auto"/>
        <w:jc w:val="both"/>
      </w:pPr>
    </w:p>
    <w:p>
      <w:pPr>
        <w:spacing w:line="360" w:lineRule="auto"/>
        <w:jc w:val="both"/>
        <w:rPr>
          <w:i/>
          <w:iCs/>
        </w:rPr>
      </w:pPr>
      <w:r>
        <w:rPr>
          <w:rFonts w:ascii="Book Antiqua" w:hAnsi="Book Antiqua" w:eastAsia="Book Antiqua" w:cs="Book Antiqua"/>
          <w:b/>
          <w:bCs/>
          <w:i/>
          <w:iCs/>
          <w:color w:val="000000"/>
        </w:rPr>
        <w:t>Impact of COVID-19-induced gastrointestinal autonomic dysfunction</w:t>
      </w:r>
    </w:p>
    <w:p>
      <w:pPr>
        <w:spacing w:line="360" w:lineRule="auto"/>
        <w:jc w:val="both"/>
      </w:pPr>
      <w:r>
        <w:rPr>
          <w:rFonts w:ascii="Book Antiqua" w:hAnsi="Book Antiqua" w:eastAsia="Book Antiqua" w:cs="Book Antiqua"/>
          <w:color w:val="000000"/>
        </w:rPr>
        <w:t>Gastrointestinal manifestations may occur during the early phase of COVID-119 and could be considered an early indicator of infection, particularly in asymptomatic or mildly symptomatic patients. However, these symptoms are more common in older patients, those with underlying medical conditions, or severe COVID-19. Such patients are at an increased risk of delayed diagnosis, higher levels of inflammatory markers, prolonged illness, severe morbidity, hospitalization, post-COVID-19 complications, and mortality</w:t>
      </w:r>
      <w:r>
        <w:rPr>
          <w:rFonts w:ascii="Book Antiqua" w:hAnsi="Book Antiqua" w:eastAsia="Book Antiqua" w:cs="Book Antiqua"/>
          <w:color w:val="000000"/>
          <w:vertAlign w:val="superscript"/>
        </w:rPr>
        <w:t>[42,91]</w:t>
      </w:r>
      <w:r>
        <w:rPr>
          <w:rFonts w:ascii="Book Antiqua" w:hAnsi="Book Antiqua" w:eastAsia="Book Antiqua" w:cs="Book Antiqua"/>
          <w:color w:val="000000"/>
        </w:rPr>
        <w:t>. Consequently, gastrointestinal autonomic dysfunction can significantly affect patients' overall health and well-being. Patients with gastrointestinal symptoms may experience a variety of symptoms that can impair their quality of life, such as dysphagia, anorexia, esophageal dysmotility, gastroparesis, bloating, nausea, abdominal pain, small intestinal bacterial overgrowth, diarrhea, or constipation</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COVID-19 patients may also experience autonomic nervous system dysregulation, leading to post-infectious irritable bowel syndrome. This condition is characterized by chronic abdominal pain, bloating, and altered or abnormal bowel habits that can persist for at least </w:t>
      </w:r>
      <w:r>
        <w:rPr>
          <w:rFonts w:hint="eastAsia" w:ascii="Book Antiqua" w:hAnsi="Book Antiqua" w:eastAsia="宋体" w:cs="Book Antiqua"/>
          <w:color w:val="000000"/>
          <w:lang w:eastAsia="zh-CN"/>
        </w:rPr>
        <w:t>3</w:t>
      </w:r>
      <w:r>
        <w:rPr>
          <w:rFonts w:ascii="Book Antiqua" w:hAnsi="Book Antiqua" w:eastAsia="Book Antiqua" w:cs="Book Antiqua"/>
          <w:color w:val="000000"/>
        </w:rPr>
        <w:t xml:space="preserve"> mo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after the initial SARS-CoV-2 infection. It is believed to occur due to persistent neuroinflammation, immune dysregulation, and gut dysbiosis</w:t>
      </w:r>
      <w:r>
        <w:rPr>
          <w:rFonts w:ascii="Book Antiqua" w:hAnsi="Book Antiqua" w:eastAsia="Book Antiqua" w:cs="Book Antiqua"/>
          <w:color w:val="000000"/>
          <w:vertAlign w:val="superscript"/>
        </w:rPr>
        <w:t>[92]</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Additionally, COVID-19 can cause autonomic dysfunction, which may lead to reduced blood flow to the gut and worsen gastrointestinal symptoms. It also increases the risk of thrombotic complications, such as deep vein thrombosis and possibly pulmonary embolism, due to activation of the coagulation cascade and developing endothelial dysfunction</w:t>
      </w:r>
      <w:r>
        <w:rPr>
          <w:rFonts w:ascii="Book Antiqua" w:hAnsi="Book Antiqua" w:eastAsia="Book Antiqua" w:cs="Book Antiqua"/>
          <w:color w:val="000000"/>
          <w:vertAlign w:val="superscript"/>
        </w:rPr>
        <w:t>[93]</w:t>
      </w:r>
      <w:r>
        <w:rPr>
          <w:rFonts w:ascii="Book Antiqua" w:hAnsi="Book Antiqua" w:eastAsia="Book Antiqua" w:cs="Book Antiqua"/>
          <w:color w:val="000000"/>
        </w:rPr>
        <w:t>. Furthermore, autonomic dysfunction may affect cardiac functions, resulting in changes in heart rate, labile blood pressure, and impaired cardiac output. COVID-19-induced gastrointestinal dysfunction may also be associated with other symptoms of autonomic dysfunction, such as dizziness and fainting</w:t>
      </w:r>
      <w:r>
        <w:rPr>
          <w:rFonts w:ascii="Book Antiqua" w:hAnsi="Book Antiqua" w:eastAsia="Book Antiqua" w:cs="Book Antiqua"/>
          <w:color w:val="000000"/>
          <w:vertAlign w:val="superscript"/>
        </w:rPr>
        <w:t>[94]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COVID-19 can cause various symptoms that can hinder a patient's recovery. These symptoms may make eating difficult and lead to dehydration, malnutrition, and weight loss, further impacting the patient's health. They can also make a person more susceptible to complications such as gastric ulcers, bleeding, small bowel obstruction, or even perforation</w:t>
      </w:r>
      <w:r>
        <w:rPr>
          <w:rFonts w:ascii="Book Antiqua" w:hAnsi="Book Antiqua" w:eastAsia="Book Antiqua" w:cs="Book Antiqua"/>
          <w:color w:val="000000"/>
          <w:vertAlign w:val="superscript"/>
        </w:rPr>
        <w:t>[95]</w:t>
      </w:r>
      <w:r>
        <w:rPr>
          <w:rFonts w:ascii="Book Antiqua" w:hAnsi="Book Antiqua" w:eastAsia="Book Antiqua" w:cs="Book Antiqua"/>
          <w:color w:val="000000"/>
        </w:rPr>
        <w:t>. Gastrointestinal symptoms can also significantly impact a patient's mental health, leading to anxiety, depression, and social isolation, which can further worsen their symptoms and impair their ability to function in their daily life</w:t>
      </w:r>
      <w:r>
        <w:rPr>
          <w:rFonts w:ascii="Book Antiqua" w:hAnsi="Book Antiqua" w:eastAsia="Book Antiqua" w:cs="Book Antiqua"/>
          <w:color w:val="000000"/>
          <w:vertAlign w:val="superscript"/>
        </w:rPr>
        <w:t>[96]</w:t>
      </w:r>
      <w:r>
        <w:rPr>
          <w:rFonts w:ascii="Book Antiqua" w:hAnsi="Book Antiqua" w:eastAsia="Book Antiqua" w:cs="Book Antiqua"/>
          <w:color w:val="000000"/>
        </w:rPr>
        <w:t>. The impact depends on various factors, such as the severity of the illness, the extent of gastrointestinal involvement, general patient condition, and any existing medical conditions. While most cases resolve themselves within a few weeks, some individuals may experience prolonged symptoms</w:t>
      </w:r>
      <w:r>
        <w:rPr>
          <w:rFonts w:ascii="Book Antiqua" w:hAnsi="Book Antiqua" w:eastAsia="Book Antiqua" w:cs="Book Antiqua"/>
          <w:color w:val="000000"/>
          <w:vertAlign w:val="superscript"/>
        </w:rPr>
        <w:t>[97]</w:t>
      </w:r>
      <w:r>
        <w:rPr>
          <w:rFonts w:ascii="Book Antiqua" w:hAnsi="Book Antiqua" w:eastAsia="Book Antiqua" w:cs="Book Antiqua"/>
          <w:color w:val="000000"/>
        </w:rPr>
        <w:t>. Therefore, it is crucial to identify and treat these symptoms and provide adequate supportive care to enhance patient outcomes. Long-term follow-up is also essential to evaluate potential sequelae in patients with COVID-19-induced gastrointestinal manifestations</w:t>
      </w:r>
      <w:r>
        <w:rPr>
          <w:rFonts w:ascii="Book Antiqua" w:hAnsi="Book Antiqua" w:eastAsia="Book Antiqua" w:cs="Book Antiqua"/>
          <w:color w:val="000000"/>
          <w:vertAlign w:val="superscript"/>
        </w:rPr>
        <w:t>[98]</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Diagnosis of COVID-19-induced gastrointestinal autonomic dysfunction</w:t>
      </w:r>
    </w:p>
    <w:p>
      <w:pPr>
        <w:spacing w:line="360" w:lineRule="auto"/>
        <w:jc w:val="both"/>
      </w:pPr>
      <w:r>
        <w:rPr>
          <w:rFonts w:ascii="Book Antiqua" w:hAnsi="Book Antiqua" w:eastAsia="Book Antiqua" w:cs="Book Antiqua"/>
          <w:color w:val="000000"/>
        </w:rPr>
        <w:t>Diagnosing gastrointestinal autonomic dysfunction in COVID-19 patients depends on their symptoms and clinical examination. However, diagnosing it can be challenging as the symptoms may be similar or overlap with other conditions, and no specific test exists for it. Therefore, a comprehensive evaluation is necessary based on the patient's medical history, symptoms, laboratory tests, imaging studies, and specific tests to assess autonomic nervous system function. A high level of clinical suspicion is also required</w:t>
      </w:r>
      <w:r>
        <w:rPr>
          <w:rFonts w:ascii="Book Antiqua" w:hAnsi="Book Antiqua" w:eastAsia="Book Antiqua" w:cs="Book Antiqua"/>
          <w:color w:val="000000"/>
          <w:vertAlign w:val="superscript"/>
        </w:rPr>
        <w:t>[99]</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To diagnose COVID-19-induced gastrointestinal autonomic dysfunction, a thorough clinical evaluation is necessary. This includes a detailed medical history and physical examination, emphasizing the duration and onset of autonomic dysfunction symptoms such as nausea, vomiting, abdominal pain, early satiety, diarrhea, weight loss, dizziness, fainting, and blood pressure fluctuations. COVID-19 symptoms like high fever, cough, or shortness of breath should also be evaluated. Medical history should include pre-existing gastrointestinal conditions, systemic premorbid conditions, recent medications, recent travel, and a past or family history of autonomic dysfunction or disorders. Such a history increases the risk of developing COVID-19-induced gastrointestinal autonomic dysfunction</w:t>
      </w:r>
      <w:r>
        <w:rPr>
          <w:rFonts w:ascii="Book Antiqua" w:hAnsi="Book Antiqua" w:eastAsia="Book Antiqua" w:cs="Book Antiqua"/>
          <w:color w:val="000000"/>
          <w:vertAlign w:val="superscript"/>
        </w:rPr>
        <w:t>[55,100]</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During a physical examination, it</w:t>
      </w:r>
      <w:r>
        <w:rPr>
          <w:rFonts w:hint="eastAsia" w:ascii="Book Antiqua" w:hAnsi="Book Antiqua" w:eastAsia="宋体" w:cs="Book Antiqua"/>
          <w:color w:val="000000"/>
          <w:lang w:eastAsia="zh-CN"/>
        </w:rPr>
        <w:t xml:space="preserve"> i</w:t>
      </w:r>
      <w:r>
        <w:rPr>
          <w:rFonts w:ascii="Book Antiqua" w:hAnsi="Book Antiqua" w:eastAsia="Book Antiqua" w:cs="Book Antiqua"/>
          <w:color w:val="000000"/>
        </w:rPr>
        <w:t>s important to evaluate vital signs such as blood pressure, heart rate, respiratory rate, hydration status, and sweating. An abdominal examination should also be conducted to check for signs of distension, tenderness, masses, or abnormal bowel sounds</w:t>
      </w:r>
      <w:r>
        <w:rPr>
          <w:rFonts w:ascii="Book Antiqua" w:hAnsi="Book Antiqua" w:eastAsia="Book Antiqua" w:cs="Book Antiqua"/>
          <w:color w:val="000000"/>
          <w:vertAlign w:val="superscript"/>
        </w:rPr>
        <w:t>[101]</w:t>
      </w:r>
      <w:r>
        <w:rPr>
          <w:rFonts w:ascii="Book Antiqua" w:hAnsi="Book Antiqua" w:eastAsia="Book Antiqua" w:cs="Book Antiqua"/>
          <w:color w:val="000000"/>
        </w:rPr>
        <w:t>. The SCOPA-AUT scale is useful for assessing autonomic function, particularly in individuals with neurological diseases like Parkinson's</w:t>
      </w:r>
      <w:r>
        <w:rPr>
          <w:rFonts w:hint="eastAsia" w:ascii="Book Antiqua" w:hAnsi="Book Antiqua" w:eastAsia="宋体" w:cs="Book Antiqua"/>
          <w:color w:val="000000"/>
          <w:lang w:eastAsia="zh-CN"/>
        </w:rPr>
        <w:t xml:space="preserve"> disease</w:t>
      </w:r>
      <w:r>
        <w:rPr>
          <w:rFonts w:ascii="Book Antiqua" w:hAnsi="Book Antiqua" w:eastAsia="Book Antiqua" w:cs="Book Antiqua"/>
          <w:color w:val="000000"/>
        </w:rPr>
        <w:t>. This questionnaire assesses multiple aspects of autonomic dysfunction by covering 25 items related to various body regions, including the gastrointestinal tract, urinary system, cardiovascular system, thermoregulatory mechanism, pupillomotor function, and sexual dysfunction (different in males than females). Each item is scored from 0 (never) to 3 (often happening), with higher scores indicating more severe dysfunction</w:t>
      </w:r>
      <w:r>
        <w:rPr>
          <w:rFonts w:ascii="Book Antiqua" w:hAnsi="Book Antiqua" w:eastAsia="Book Antiqua" w:cs="Book Antiqua"/>
          <w:color w:val="000000"/>
          <w:vertAlign w:val="superscript"/>
        </w:rPr>
        <w:t>[102,103]</w:t>
      </w:r>
      <w:r>
        <w:rPr>
          <w:rFonts w:ascii="Book Antiqua" w:hAnsi="Book Antiqua" w:eastAsia="Book Antiqua" w:cs="Book Antiqua"/>
          <w:color w:val="000000"/>
        </w:rPr>
        <w:t>. Researchers have used this scale to evaluate autonomic dysfunction in patients with COVID-19 and found that many patients might have persistent symptoms of autonomic nervous system dysfunction following the acute phase of COVID-19 that might deteriorate and impair clinical recovery</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To determine the underlying cause of a patient's symptoms, laboratory tests can help rule out other diseases. It is important to confirm a diagnosis of COVID-19 to establish the presence of SARS-CoV-2. Blood tests can provide valuable information, such as a complete blood count, inflammatory markers like </w:t>
      </w:r>
      <w:r>
        <w:rPr>
          <w:rFonts w:hint="eastAsia" w:ascii="Book Antiqua" w:hAnsi="Book Antiqua" w:eastAsia="宋体" w:cs="Book Antiqua"/>
          <w:color w:val="000000"/>
          <w:lang w:eastAsia="zh-CN"/>
        </w:rPr>
        <w:t>C-reactive protein</w:t>
      </w:r>
      <w:r>
        <w:rPr>
          <w:rFonts w:ascii="Book Antiqua" w:hAnsi="Book Antiqua" w:eastAsia="Book Antiqua" w:cs="Book Antiqua"/>
          <w:color w:val="000000"/>
        </w:rPr>
        <w:t>, blood glucose levels, comprehensive metabolic panel, serum electrolyte levels, serum amylase and lipase levels, liver function, and kidney function. These tests can help evaluate for anaemia, dehydration, electrolyte imbalances, kidney function, pancreatic function, liver function, and other underlying disorders contributing to the patient's symptoms. Additionally, stool analysis can identify signs of inflammation or infection and detect any pathogens, such as viruses or bacteria, that could be causing gastrointestinal symptoms or any other abnormalities</w:t>
      </w:r>
      <w:r>
        <w:rPr>
          <w:rFonts w:ascii="Book Antiqua" w:hAnsi="Book Antiqua" w:eastAsia="Book Antiqua" w:cs="Book Antiqua"/>
          <w:color w:val="000000"/>
          <w:vertAlign w:val="superscript"/>
        </w:rPr>
        <w:t>[104,105]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To assess autonomic dysfunction in specific areas of the gastrointestinal tract, specialized tests may be necessary. For instance, COVID-19 can cause gastrointestinal dysfunction, which may manifest as esophageal motility issues. Evaluating esophageal motility can help determine the functionality of the muscles responsible for moving food into the stomach. Delayed gastric emptying is a symptom of gastroparesis, which can be assessed through electrogastrography or gastric emptying studies to determine the speed at which food moves through the stomach</w:t>
      </w:r>
      <w:r>
        <w:rPr>
          <w:rFonts w:ascii="Book Antiqua" w:hAnsi="Book Antiqua" w:eastAsia="Book Antiqua" w:cs="Book Antiqua"/>
          <w:color w:val="000000"/>
          <w:vertAlign w:val="superscript"/>
        </w:rPr>
        <w:t>[9]</w:t>
      </w:r>
      <w:r>
        <w:rPr>
          <w:rFonts w:ascii="Book Antiqua" w:hAnsi="Book Antiqua" w:eastAsia="Book Antiqua" w:cs="Book Antiqua"/>
          <w:color w:val="000000"/>
        </w:rPr>
        <w:t>. A colonic transit study can also evaluate food movement through the colon in cases of suspected constipation or delayed colonic transit. Anorectal manometry may be used to assess the function of the anal or rectal areas in cases of suspected anorectal dysfunction</w:t>
      </w:r>
      <w:r>
        <w:rPr>
          <w:rFonts w:ascii="Book Antiqua" w:hAnsi="Book Antiqua" w:eastAsia="Book Antiqua" w:cs="Book Antiqua"/>
          <w:color w:val="000000"/>
          <w:vertAlign w:val="superscript"/>
        </w:rPr>
        <w:t>[106]</w:t>
      </w:r>
      <w:r>
        <w:rPr>
          <w:rFonts w:ascii="Book Antiqua" w:hAnsi="Book Antiqua" w:eastAsia="Book Antiqua" w:cs="Book Antiqua"/>
          <w:color w:val="000000"/>
        </w:rPr>
        <w:t>. Tests can also be conducted to evaluate the autonomic nervous system, such as heart rate variability measurements, blood pressure positional changes, and sweat testing. Electrocardiograms may be utilized to evaluate heart rate and rhythm, as arrhythmia and abnormal heart rate variability are common symptoms of autonomic dysfunction</w:t>
      </w:r>
      <w:r>
        <w:rPr>
          <w:rFonts w:ascii="Book Antiqua" w:hAnsi="Book Antiqua" w:eastAsia="Book Antiqua" w:cs="Book Antiqua"/>
          <w:color w:val="000000"/>
          <w:vertAlign w:val="superscript"/>
        </w:rPr>
        <w:t>[107</w:t>
      </w:r>
      <w:r>
        <w:rPr>
          <w:rFonts w:ascii="Book Antiqua" w:hAnsi="Book Antiqua" w:eastAsia="Book Antiqua" w:cs="Book Antiqua"/>
          <w:color w:val="000000"/>
          <w:vertAlign w:val="superscript"/>
          <w:lang w:val="en-GB"/>
        </w:rPr>
        <w:t>,108</w:t>
      </w:r>
      <w:r>
        <w:rPr>
          <w:rFonts w:ascii="Book Antiqua" w:hAnsi="Book Antiqua" w:eastAsia="Book Antiqua" w:cs="Book Antiqua"/>
          <w:color w:val="000000"/>
          <w:vertAlign w:val="superscript"/>
        </w:rPr>
        <w:t>]</w:t>
      </w:r>
      <w:r>
        <w:rPr>
          <w:rFonts w:ascii="Book Antiqua" w:hAnsi="Book Antiqua" w:eastAsia="Book Antiqua" w:cs="Book Antiqua"/>
          <w:color w:val="000000"/>
        </w:rPr>
        <w:t>. Sweat testing using quantitative sudomotor axon reflex may also be used to diagnose autonomic dysfunction by evaluating the function of sweat glands, as abnormal sweating is a possible symptom. In addition, the tilt table test can also be utilized to investigate unexplained fainting, which may be associated with gastrointestinal autonomic dysfunction</w:t>
      </w:r>
      <w:r>
        <w:rPr>
          <w:rFonts w:ascii="Book Antiqua" w:hAnsi="Book Antiqua" w:eastAsia="Book Antiqua" w:cs="Book Antiqua"/>
          <w:color w:val="000000"/>
          <w:vertAlign w:val="superscript"/>
        </w:rPr>
        <w:t>[109]</w:t>
      </w:r>
      <w:r>
        <w:rPr>
          <w:rFonts w:ascii="Book Antiqua" w:hAnsi="Book Antiqua" w:eastAsia="Book Antiqua" w:cs="Book Antiqua"/>
          <w:color w:val="000000"/>
        </w:rPr>
        <w:t>. Endoscopy may be performed to evaluate the structure and function of the gut or to confirm the presence of inflammation, hemorrhage, perforation, damage, or infection in the gastrointestinal tract</w:t>
      </w:r>
      <w:r>
        <w:rPr>
          <w:rFonts w:ascii="Book Antiqua" w:hAnsi="Book Antiqua" w:eastAsia="Book Antiqua" w:cs="Book Antiqua"/>
          <w:color w:val="000000"/>
          <w:vertAlign w:val="superscript"/>
        </w:rPr>
        <w:t>[110]</w:t>
      </w:r>
      <w:r>
        <w:rPr>
          <w:rFonts w:ascii="Book Antiqua" w:hAnsi="Book Antiqua" w:eastAsia="Book Antiqua" w:cs="Book Antiqua"/>
          <w:color w:val="000000"/>
        </w:rPr>
        <w:t>. Imaging, such as abdominal X-rays, ultrasonography, computed tomography, or magnetic resonance imaging, may also be necessary to evaluate for bowel obstruction, perforation, motility disorders, structural abnormalities, inflammation, or other underlying conditions that may be causing gastrointestinal symptoms</w:t>
      </w:r>
      <w:r>
        <w:rPr>
          <w:rFonts w:ascii="Book Antiqua" w:hAnsi="Book Antiqua" w:eastAsia="Book Antiqua" w:cs="Book Antiqua"/>
          <w:color w:val="000000"/>
          <w:vertAlign w:val="superscript"/>
        </w:rPr>
        <w:t>[111,112]</w:t>
      </w:r>
      <w:r>
        <w:rPr>
          <w:rFonts w:ascii="Book Antiqua" w:hAnsi="Book Antiqua" w:eastAsia="Book Antiqua" w:cs="Book Antiqua"/>
          <w:color w:val="000000"/>
        </w:rPr>
        <w:t>.</w:t>
      </w:r>
    </w:p>
    <w:p>
      <w:pPr>
        <w:spacing w:line="360" w:lineRule="auto"/>
        <w:jc w:val="both"/>
      </w:pPr>
    </w:p>
    <w:p>
      <w:pPr>
        <w:spacing w:line="360" w:lineRule="auto"/>
        <w:jc w:val="both"/>
        <w:rPr>
          <w:i/>
          <w:iCs/>
        </w:rPr>
      </w:pPr>
      <w:r>
        <w:rPr>
          <w:rFonts w:ascii="Book Antiqua" w:hAnsi="Book Antiqua" w:eastAsia="Book Antiqua" w:cs="Book Antiqua"/>
          <w:b/>
          <w:bCs/>
          <w:i/>
          <w:iCs/>
          <w:color w:val="000000"/>
        </w:rPr>
        <w:t>Differential diagnosis of COVID-19-induced gastrointestinal autonomic dysfunction</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Diagnosing gastrointestinal autonomic dysfunction can be a difficult task, as its symptoms can mimic those of other gastrointestinal disorders. Conducting a thorough differential diagnosis is important to rule out other conditions and confirm the diagnosis of COVID-19-induced gastrointestinal autonomic dysfunction. This can be achieved through detailed physical examinations, stool and blood tests, imaging studies, and other diagnostic methods. Table 7 outlines some conditions that should be considered during the differential diagnosis process.</w:t>
      </w:r>
    </w:p>
    <w:p>
      <w:pPr>
        <w:spacing w:line="360" w:lineRule="auto"/>
        <w:jc w:val="both"/>
      </w:pPr>
    </w:p>
    <w:p>
      <w:pPr>
        <w:spacing w:line="360" w:lineRule="auto"/>
        <w:jc w:val="both"/>
        <w:rPr>
          <w:i/>
          <w:iCs/>
        </w:rPr>
      </w:pPr>
      <w:r>
        <w:rPr>
          <w:rFonts w:ascii="Book Antiqua" w:hAnsi="Book Antiqua" w:eastAsia="Book Antiqua" w:cs="Book Antiqua"/>
          <w:b/>
          <w:bCs/>
          <w:i/>
          <w:iCs/>
          <w:color w:val="000000"/>
        </w:rPr>
        <w:t>Treatment</w:t>
      </w:r>
    </w:p>
    <w:p>
      <w:pPr>
        <w:spacing w:line="360" w:lineRule="auto"/>
        <w:jc w:val="both"/>
      </w:pPr>
      <w:r>
        <w:rPr>
          <w:rFonts w:ascii="Book Antiqua" w:hAnsi="Book Antiqua" w:eastAsia="Book Antiqua" w:cs="Book Antiqua"/>
          <w:color w:val="000000"/>
        </w:rPr>
        <w:t>Managing COVID-19-induced gastrointestinal autonomic dysfunction is an evolving and growing field with a multi-faceted approach. The optimal management approach depends on the individual patient's presentation and underlying conditions. The treatment needs a multidisciplinary approach with symptomatic treatment, specific treatment, pharmacological and non-pharmacological interventions, dietary modifications and management, supportive care, management of complications, and follow-up care</w:t>
      </w:r>
      <w:r>
        <w:rPr>
          <w:rFonts w:ascii="Book Antiqua" w:hAnsi="Book Antiqua" w:eastAsia="Book Antiqua" w:cs="Book Antiqua"/>
          <w:color w:val="000000"/>
          <w:vertAlign w:val="superscript"/>
        </w:rPr>
        <w:t>[55]</w:t>
      </w:r>
      <w:r>
        <w:rPr>
          <w:rFonts w:ascii="Book Antiqua" w:hAnsi="Book Antiqua" w:eastAsia="Book Antiqua" w:cs="Book Antiqua"/>
          <w:color w:val="000000"/>
        </w:rPr>
        <w:t>. The collaboration of a gastroenterologist, neurologist, intensivist, nutritionist, and infectious disease specialist helps to achieve proper management. Other specialties may be needed according to the patient’s condition</w:t>
      </w:r>
      <w:r>
        <w:rPr>
          <w:rFonts w:ascii="Book Antiqua" w:hAnsi="Book Antiqua" w:eastAsia="Book Antiqua" w:cs="Book Antiqua"/>
          <w:color w:val="000000"/>
          <w:vertAlign w:val="superscript"/>
        </w:rPr>
        <w:t>[97]</w:t>
      </w:r>
      <w:r>
        <w:rPr>
          <w:rFonts w:ascii="Book Antiqua" w:hAnsi="Book Antiqua" w:eastAsia="Book Antiqua" w:cs="Book Antiqua"/>
          <w:color w:val="000000"/>
        </w:rPr>
        <w:t>. Early identification and well-timed management of these disorders can improve patient outcomes. In severe conditions, timely management of complications is essential to prevent adverse outcomes. Patients should be instructed to obtain medical attention if symptoms persist or worsen. Follow-up is mandatory, and the resolution of the infection should be confirmed with repeated testing when necessary</w:t>
      </w:r>
      <w:r>
        <w:rPr>
          <w:rFonts w:ascii="Book Antiqua" w:hAnsi="Book Antiqua" w:eastAsia="Book Antiqua" w:cs="Book Antiqua"/>
          <w:color w:val="000000"/>
          <w:vertAlign w:val="superscript"/>
        </w:rPr>
        <w:t>[113]</w:t>
      </w:r>
      <w:r>
        <w:rPr>
          <w:rFonts w:ascii="Book Antiqua" w:hAnsi="Book Antiqua" w:eastAsia="Book Antiqua" w:cs="Book Antiqua"/>
          <w:color w:val="000000"/>
        </w:rPr>
        <w:t>. A summary of the proposed treatment is shown in Table 8.</w:t>
      </w:r>
    </w:p>
    <w:p>
      <w:pPr>
        <w:spacing w:line="360" w:lineRule="auto"/>
        <w:ind w:firstLine="480" w:firstLineChars="200"/>
        <w:jc w:val="both"/>
      </w:pPr>
      <w:r>
        <w:rPr>
          <w:rFonts w:ascii="Book Antiqua" w:hAnsi="Book Antiqua" w:eastAsia="Book Antiqua" w:cs="Book Antiqua"/>
          <w:color w:val="000000"/>
        </w:rPr>
        <w:t xml:space="preserve">Managing COVID-19-induced gastrointestinal autonomic dysfunction is a constantly evolving field that requires a multifaceted approach. The best approach for managing this condition depends on the individual patient's symptoms and any underlying medical conditions </w:t>
      </w:r>
      <w:r>
        <w:rPr>
          <w:rFonts w:hint="eastAsia" w:ascii="Book Antiqua" w:hAnsi="Book Antiqua" w:eastAsia="宋体" w:cs="Book Antiqua"/>
          <w:color w:val="000000"/>
          <w:lang w:eastAsia="zh-CN"/>
        </w:rPr>
        <w:t xml:space="preserve">that </w:t>
      </w:r>
      <w:r>
        <w:rPr>
          <w:rFonts w:ascii="Book Antiqua" w:hAnsi="Book Antiqua" w:eastAsia="Book Antiqua" w:cs="Book Antiqua"/>
          <w:color w:val="000000"/>
        </w:rPr>
        <w:t>they may have. Treatment involves a multidisciplinary team that provides symptomatic and specific treatment, pharmacological and non-pharmacological interventions, dietary modifications, supportive care, management of complications, and follow-up care</w:t>
      </w:r>
      <w:r>
        <w:rPr>
          <w:rFonts w:ascii="Book Antiqua" w:hAnsi="Book Antiqua" w:eastAsia="Book Antiqua" w:cs="Book Antiqua"/>
          <w:color w:val="000000"/>
          <w:vertAlign w:val="superscript"/>
        </w:rPr>
        <w:t>[55]</w:t>
      </w:r>
      <w:r>
        <w:rPr>
          <w:rFonts w:ascii="Book Antiqua" w:hAnsi="Book Antiqua" w:eastAsia="Book Antiqua" w:cs="Book Antiqua"/>
          <w:color w:val="000000"/>
        </w:rPr>
        <w:t>. A collaboration between a gastroenterologist, neurologist, intensivist, nutritionist, and infectious disease specialist is necessary to ensure proper management. Depending on the patient's condition, other specialties may also need to be consulted</w:t>
      </w:r>
      <w:r>
        <w:rPr>
          <w:rFonts w:ascii="Book Antiqua" w:hAnsi="Book Antiqua" w:eastAsia="Book Antiqua" w:cs="Book Antiqua"/>
          <w:color w:val="000000"/>
          <w:vertAlign w:val="superscript"/>
        </w:rPr>
        <w:t>[97]</w:t>
      </w:r>
      <w:r>
        <w:rPr>
          <w:rFonts w:ascii="Book Antiqua" w:hAnsi="Book Antiqua" w:eastAsia="Book Antiqua" w:cs="Book Antiqua"/>
          <w:color w:val="000000"/>
        </w:rPr>
        <w:t>. Early identification and timely management of gastrointestinal autonomic dysfunction can improve patient outcomes. In severe cases, prompt management of complications is crucial to prevent adverse outcomes. Patients should seek medical attention if their symptoms persist or worsen. Follow-up care is essential, and the resolution of the infection should be confirmed with repeated testing when necessary</w:t>
      </w:r>
      <w:r>
        <w:rPr>
          <w:rFonts w:ascii="Book Antiqua" w:hAnsi="Book Antiqua" w:eastAsia="Book Antiqua" w:cs="Book Antiqua"/>
          <w:color w:val="000000"/>
          <w:vertAlign w:val="superscript"/>
        </w:rPr>
        <w:t>[113]</w:t>
      </w:r>
      <w:r>
        <w:rPr>
          <w:rFonts w:ascii="Book Antiqua" w:hAnsi="Book Antiqua" w:eastAsia="Book Antiqua" w:cs="Book Antiqua"/>
          <w:color w:val="000000"/>
        </w:rPr>
        <w:t>. Please refer to Table 8 for a summary of the proposed treatment</w:t>
      </w:r>
      <w:r>
        <w:rPr>
          <w:rFonts w:hint="eastAsia" w:ascii="Book Antiqua" w:hAnsi="Book Antiqua" w:eastAsia="宋体" w:cs="Book Antiqua"/>
          <w:color w:val="000000"/>
          <w:lang w:eastAsia="zh-CN"/>
        </w:rPr>
        <w:t>s</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 xml:space="preserve">It is important to note that the study has certain limitations which may impact its findings. Due to the inclusion of a vast number of studies, there is some variation in the </w:t>
      </w:r>
      <w:r>
        <w:rPr>
          <w:rFonts w:hint="eastAsia" w:ascii="Book Antiqua" w:hAnsi="Book Antiqua" w:eastAsia="宋体" w:cs="Book Antiqua"/>
          <w:color w:val="000000"/>
          <w:lang w:eastAsia="zh-CN"/>
        </w:rPr>
        <w:t>study</w:t>
      </w:r>
      <w:r>
        <w:rPr>
          <w:rFonts w:ascii="Book Antiqua" w:hAnsi="Book Antiqua" w:eastAsia="Book Antiqua" w:cs="Book Antiqua"/>
          <w:color w:val="000000"/>
        </w:rPr>
        <w:t xml:space="preserve"> design, quality, population, and outcomes measured. This variation can make drawing comparisons and synthesizing the results difficult. Furthermore, it is worth noting that not all relevant studies were reviewed, particularly those published in languages other than English or those not accessible through major databases.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The gastrointestinal tract is a common target of SARS-CoV-2 infection and could induce the initial presenting manifestation. COVID-19-induced gastrointestinal autonomic dysfunction can be a significant complication affecting patients' well-being and prognosis. Due to the unclear mechanism behind these manifestations, further research is necessary. Additionally, some COVID-19 vaccines may trigger autonomic dysfunction. Several factors can increase the risk of developing gastrointestinal autonomic nervous functions and exacerbate their impact on patients. Diagnosing COVID-19-induced gastrointestinal autonomic dysfunction can be challenging, requiring careful clinical evaluation, specific laboratory tests, and imaging studies. Early detection and management of these disorders can improve patient outcomes and prevent long-term complications.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It is typical for SARS-CoV-2 infection to affect the gastrointestinal tract, which may manifest as an early warning sign. The frequency of gastrointestinal symptoms often indicates the seriousness of COVID-19. COVID-19 may impair the nerve supply to the digestive system, resulting in autonomic dysfunction of the gastrointestinal tract. There is still much to discover about the impact of COVID-19 on the autonomic nervous system and the gastrointestinal tract.</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Due to the importance of gastrointestinal tract autonomic dysfunction in patients with COVID-19, we are motivated to conduct this systematic review concerning this newly emerged condition that has become a concern during the pandemic.</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i/>
          <w:color w:val="000000"/>
        </w:rPr>
        <w:t>Research objectives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Our objective is to thoroughly investigate the epidemiology, clinical manifestations, potential mechanisms, diagnosis, differential diagnosis, and impact of gastrointestinal autonomic dysfunctions on the quality of life and prognosis of individuals who have contracted SARS-CoV-2. Additionally, we will explore management and prevention strategies.</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i/>
          <w:color w:val="000000"/>
        </w:rPr>
        <w:t>Research methods</w:t>
      </w:r>
    </w:p>
    <w:p>
      <w:pPr>
        <w:spacing w:line="360" w:lineRule="auto"/>
        <w:jc w:val="both"/>
        <w:rPr>
          <w:rFonts w:ascii="Book Antiqua" w:hAnsi="Book Antiqua" w:eastAsia="宋体" w:cs="Book Antiqua"/>
          <w:color w:val="000000"/>
          <w:szCs w:val="22"/>
          <w:lang w:eastAsia="zh-CN"/>
        </w:rPr>
      </w:pPr>
      <w:r>
        <w:rPr>
          <w:rFonts w:ascii="Book Antiqua" w:hAnsi="Book Antiqua" w:eastAsia="Book Antiqua" w:cs="Book Antiqua"/>
          <w:color w:val="000000"/>
          <w:szCs w:val="22"/>
        </w:rPr>
        <w:t xml:space="preserve">We conducted a comprehensive and systematic exploration of multiple databases, followed by an extensive analysis of </w:t>
      </w:r>
      <w:r>
        <w:rPr>
          <w:rFonts w:hint="eastAsia" w:ascii="Book Antiqua" w:hAnsi="Book Antiqua" w:eastAsia="宋体" w:cs="Book Antiqua"/>
          <w:color w:val="000000"/>
          <w:szCs w:val="22"/>
          <w:lang w:eastAsia="zh-CN"/>
        </w:rPr>
        <w:t xml:space="preserve">the </w:t>
      </w:r>
      <w:r>
        <w:rPr>
          <w:rFonts w:ascii="Book Antiqua" w:hAnsi="Book Antiqua" w:eastAsia="Book Antiqua" w:cs="Book Antiqua"/>
          <w:color w:val="000000"/>
          <w:szCs w:val="22"/>
        </w:rPr>
        <w:t>relevant literature. Our review included 113 studies published in English between January 2000 and April 18, 2023</w:t>
      </w:r>
      <w:r>
        <w:rPr>
          <w:rFonts w:hint="eastAsia" w:ascii="Book Antiqua" w:hAnsi="Book Antiqua" w:eastAsia="宋体" w:cs="Book Antiqua"/>
          <w:color w:val="000000"/>
          <w:szCs w:val="22"/>
          <w:lang w:eastAsia="zh-CN"/>
        </w:rPr>
        <w:t>.</w:t>
      </w:r>
    </w:p>
    <w:p>
      <w:pPr>
        <w:spacing w:line="360" w:lineRule="auto"/>
        <w:jc w:val="both"/>
        <w:rPr>
          <w:rFonts w:ascii="Book Antiqua" w:hAnsi="Book Antiqua" w:eastAsia="宋体" w:cs="Book Antiqua"/>
          <w:color w:val="000000"/>
          <w:szCs w:val="22"/>
          <w:lang w:eastAsia="zh-CN"/>
        </w:rPr>
      </w:pPr>
    </w:p>
    <w:p>
      <w:pPr>
        <w:spacing w:line="360" w:lineRule="auto"/>
        <w:jc w:val="both"/>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t xml:space="preserve">According to most of the literature, </w:t>
      </w:r>
      <w:r>
        <w:rPr>
          <w:rFonts w:hint="eastAsia" w:ascii="Book Antiqua" w:hAnsi="Book Antiqua" w:eastAsia="宋体" w:cs="Book Antiqua"/>
          <w:color w:val="000000"/>
          <w:szCs w:val="22"/>
          <w:lang w:val="en-US" w:eastAsia="zh-CN"/>
        </w:rPr>
        <w:t>g</w:t>
      </w:r>
      <w:r>
        <w:rPr>
          <w:rFonts w:ascii="Book Antiqua" w:hAnsi="Book Antiqua" w:eastAsia="Book Antiqua" w:cs="Book Antiqua"/>
          <w:color w:val="000000"/>
          <w:szCs w:val="22"/>
        </w:rPr>
        <w:t>astrointestinal autonomic dysfunction can greatly impact a patient's quality of life and prognosis. Many factors can affect the functioning of the gastrointestinal autonomic nervous system. Studies have shown that severe acute respiratory syndrome coronavirus 2 (SARS-CoV-2) has a documented affinity for both neural and gastrointestinal tissues, which can lead to various gastrointestinal symptoms. These symptoms include anorexia, dysgeusia, heartburn, belching, chest pain, regurgitation, vomiting, epigastric burn, diarrhea, abdominal pain, bloating, irregular bowel movements, and constipation. Diarrhea is the most common symptom, followed by anorexia, nausea, vomiting, and abdominal pain. While COVID-19 vaccination may rarely cause autonomic dysfunction and gastrointestinal symptoms, COVID-19-induced autonomic effects can significantly impact a patient's health, prognosis, and quality of life. Early diagnosis and proper recognition of the condition are crucial for better outcomes. It is important to consider other potential causes of these symptoms, as they may not always be caused by COVID-19-induced autonomic dysfunction. Treating this condition can be a challenging task.</w:t>
      </w:r>
    </w:p>
    <w:p>
      <w:pPr>
        <w:spacing w:line="360" w:lineRule="auto"/>
        <w:jc w:val="both"/>
        <w:rPr>
          <w:rFonts w:ascii="Book Antiqua" w:hAnsi="Book Antiqua" w:eastAsia="Book Antiqua" w:cs="Book Antiqua"/>
          <w:color w:val="000000"/>
          <w:szCs w:val="22"/>
        </w:rPr>
      </w:pPr>
    </w:p>
    <w:p>
      <w:pPr>
        <w:spacing w:line="360" w:lineRule="auto"/>
        <w:jc w:val="both"/>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color w:val="000000"/>
          <w:szCs w:val="22"/>
          <w:lang w:eastAsia="zh-CN"/>
        </w:rPr>
      </w:pPr>
      <w:r>
        <w:rPr>
          <w:rFonts w:ascii="Book Antiqua" w:hAnsi="Book Antiqua" w:eastAsia="Book Antiqua" w:cs="Book Antiqua"/>
          <w:color w:val="000000"/>
          <w:szCs w:val="22"/>
        </w:rPr>
        <w:t>To achieve optimal results for individuals with COVID-19, it is crucial to adopt a multidisciplinary approach, which includes providing supportive care, treating the underlying infection, managing any dysfunction, monitoring for complications, and offering nutritional assistance. It is imperative to closely monitor the patient's condition and take swift action if necessary. Additionally, conducting comprehensive research on the gastrointestinal autonomic dysfunction caused by COVID-19 is critical for effective management.</w:t>
      </w:r>
    </w:p>
    <w:p>
      <w:pPr>
        <w:spacing w:line="360" w:lineRule="auto"/>
        <w:jc w:val="both"/>
        <w:rPr>
          <w:rFonts w:ascii="Book Antiqua" w:hAnsi="Book Antiqua" w:eastAsia="Book Antiqua" w:cs="Book Antiqua"/>
          <w:b/>
          <w:i/>
          <w:color w:val="000000"/>
        </w:rPr>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szCs w:val="22"/>
        </w:rPr>
        <w:t>A multi-faceted approach is essential to ensure the best outcome for those affected by coronavirus disease 2019 (COVID-19). This includes providing supportive care, addressing the root infection, managing dysfunctions, monitoring for complications, and providing nutritional aid. It is crucial to closely monitor the patient's condition and take prompt action if needed. Furthermore, in-depth research on COVID-19-induced gastrointestinal autonomic dysfunction is vital for proper management.</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szCs w:val="22"/>
        </w:rPr>
        <w:t>We thank the anonymous referees for their valuable suggestions.</w:t>
      </w:r>
    </w:p>
    <w:p>
      <w:pPr>
        <w:spacing w:line="360" w:lineRule="auto"/>
        <w:jc w:val="both"/>
      </w:pPr>
    </w:p>
    <w:p>
      <w:pPr>
        <w:spacing w:line="360" w:lineRule="auto"/>
        <w:jc w:val="both"/>
      </w:pPr>
      <w:r>
        <w:rPr>
          <w:rFonts w:ascii="Book Antiqua" w:hAnsi="Book Antiqua" w:eastAsia="Book Antiqua" w:cs="Book Antiqua"/>
          <w:b/>
          <w:color w:val="000000"/>
        </w:rPr>
        <w:br w:type="page"/>
      </w:r>
      <w:r>
        <w:rPr>
          <w:rFonts w:ascii="Book Antiqua" w:hAnsi="Book Antiqua" w:eastAsia="Book Antiqua" w:cs="Book Antiqua"/>
          <w:b/>
          <w:color w:val="000000"/>
        </w:rPr>
        <w:t>REFERENCES</w:t>
      </w:r>
    </w:p>
    <w:p>
      <w:pPr>
        <w:pStyle w:val="5"/>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Al-Beltagi M</w:t>
      </w:r>
      <w:r>
        <w:rPr>
          <w:rFonts w:ascii="Book Antiqua" w:hAnsi="Book Antiqua"/>
        </w:rPr>
        <w:t xml:space="preserve">, Saeed NK, Bediwy AS, El-Sawaf Y. Paediatric gastrointestinal disorders in SARS-CoV-2 infection: Epidemiological and clinical implications.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1716-1727 [PMID: 33967552 DOI: 10.3748/wjg.v27.i16.1716]</w:t>
      </w:r>
    </w:p>
    <w:p>
      <w:pPr>
        <w:pStyle w:val="5"/>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 xml:space="preserve">Jain U. </w:t>
      </w:r>
      <w:r>
        <w:rPr>
          <w:rFonts w:ascii="Book Antiqua" w:hAnsi="Book Antiqua"/>
        </w:rPr>
        <w:t xml:space="preserve">Effect of COVID-19 on the Organs. </w:t>
      </w:r>
      <w:r>
        <w:rPr>
          <w:rFonts w:ascii="Book Antiqua" w:hAnsi="Book Antiqua"/>
          <w:i/>
          <w:iCs/>
        </w:rPr>
        <w:t>Cureus</w:t>
      </w:r>
      <w:r>
        <w:rPr>
          <w:rFonts w:ascii="Book Antiqua" w:hAnsi="Book Antiqua"/>
        </w:rPr>
        <w:t xml:space="preserve"> 2020;</w:t>
      </w:r>
      <w:r>
        <w:rPr>
          <w:rFonts w:ascii="Book Antiqua" w:hAnsi="Book Antiqua"/>
          <w:b/>
          <w:bCs/>
        </w:rPr>
        <w:t xml:space="preserve"> 12</w:t>
      </w:r>
      <w:r>
        <w:rPr>
          <w:rFonts w:ascii="Book Antiqua" w:hAnsi="Book Antiqua"/>
        </w:rPr>
        <w:t xml:space="preserve">: e9540 [PMID: </w:t>
      </w:r>
      <w:r>
        <w:rPr>
          <w:rFonts w:hint="eastAsia" w:ascii="MS Mincho" w:hAnsi="MS Mincho" w:eastAsia="MS Mincho" w:cs="MS Mincho"/>
        </w:rPr>
        <w:t>‎‎</w:t>
      </w:r>
      <w:r>
        <w:rPr>
          <w:rFonts w:ascii="Book Antiqua" w:hAnsi="Book Antiqua"/>
        </w:rPr>
        <w:t>32905500 DOI: 10.7759/cureus.9540]</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Yang Z</w:t>
      </w:r>
      <w:r>
        <w:rPr>
          <w:rFonts w:ascii="Book Antiqua" w:hAnsi="Book Antiqua"/>
        </w:rPr>
        <w:t xml:space="preserve">, Chen X, Huang R, Li S, Lin D, Yang Z, Sun H, Liu G, Qiu J, Tang Y, Xiao J, Liao Y, Wu X, Wu R, Chen X, Dai Z. Atypical presentations of coronavirus disease 2019 (COVID-19) from onset to readmission. </w:t>
      </w:r>
      <w:r>
        <w:rPr>
          <w:rFonts w:ascii="Book Antiqua" w:hAnsi="Book Antiqua"/>
          <w:i/>
          <w:iCs/>
        </w:rPr>
        <w:t>BMC Infect Dis</w:t>
      </w:r>
      <w:r>
        <w:rPr>
          <w:rFonts w:ascii="Book Antiqua" w:hAnsi="Book Antiqua"/>
        </w:rPr>
        <w:t xml:space="preserve"> 2021; </w:t>
      </w:r>
      <w:r>
        <w:rPr>
          <w:rFonts w:ascii="Book Antiqua" w:hAnsi="Book Antiqua"/>
          <w:b/>
          <w:bCs/>
        </w:rPr>
        <w:t>21</w:t>
      </w:r>
      <w:r>
        <w:rPr>
          <w:rFonts w:ascii="Book Antiqua" w:hAnsi="Book Antiqua"/>
        </w:rPr>
        <w:t>: 127 [PMID: 33514323 DOI: 10.1186/s12879-020-05751-8]</w:t>
      </w:r>
    </w:p>
    <w:p>
      <w:pPr>
        <w:pStyle w:val="5"/>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Pan L</w:t>
      </w:r>
      <w:r>
        <w:rPr>
          <w:rFonts w:ascii="Book Antiqua" w:hAnsi="Book Antiqua"/>
        </w:rPr>
        <w:t xml:space="preserve">, Mu M, Yang P, Sun Y, Wang R, Yan J, Li P, Hu B, Wang J, Hu C, Jin Y, Niu X, Ping R, Du Y, Li T, Xu G, Hu Q, Tu L. Clinical Characteristics of COVID-19 Patients With Digestive Symptoms in Hubei, China: A Descriptive, Cross-Sectional, Multicenter Study.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766-773 [PMID: 32287140 DOI: 10.14309/ajg.0000000000000620]</w:t>
      </w:r>
    </w:p>
    <w:p>
      <w:pPr>
        <w:pStyle w:val="5"/>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Groff A</w:t>
      </w:r>
      <w:r>
        <w:rPr>
          <w:rFonts w:ascii="Book Antiqua" w:hAnsi="Book Antiqua"/>
        </w:rPr>
        <w:t xml:space="preserve">, Kavanaugh M, Ramgobin D, McClafferty B, Aggarwal CS, Golamari R, Jain R. Gastrointestinal Manifestations of COVID-19: A Review of What We Know. </w:t>
      </w:r>
      <w:r>
        <w:rPr>
          <w:rFonts w:ascii="Book Antiqua" w:hAnsi="Book Antiqua"/>
          <w:i/>
          <w:iCs/>
        </w:rPr>
        <w:t>Ochsner J</w:t>
      </w:r>
      <w:r>
        <w:rPr>
          <w:rFonts w:ascii="Book Antiqua" w:hAnsi="Book Antiqua"/>
        </w:rPr>
        <w:t xml:space="preserve"> 2021; </w:t>
      </w:r>
      <w:r>
        <w:rPr>
          <w:rFonts w:ascii="Book Antiqua" w:hAnsi="Book Antiqua"/>
          <w:b/>
          <w:bCs/>
        </w:rPr>
        <w:t>21</w:t>
      </w:r>
      <w:r>
        <w:rPr>
          <w:rFonts w:ascii="Book Antiqua" w:hAnsi="Book Antiqua"/>
        </w:rPr>
        <w:t>: 177-180 [PMID: 34239378 DOI: 10.31486/toj.20.0086]</w:t>
      </w:r>
    </w:p>
    <w:p>
      <w:pPr>
        <w:pStyle w:val="5"/>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Ojetti V</w:t>
      </w:r>
      <w:r>
        <w:rPr>
          <w:rFonts w:ascii="Book Antiqua" w:hAnsi="Book Antiqua"/>
        </w:rPr>
        <w:t>, Saviano A, Covino M, Acampora N, Troiani E, Franceschi F; GEMELLI AGAINST COVID</w:t>
      </w:r>
      <w:r>
        <w:rPr>
          <w:rFonts w:hint="eastAsia"/>
        </w:rPr>
        <w:t>‐</w:t>
      </w:r>
      <w:r>
        <w:rPr>
          <w:rFonts w:ascii="Book Antiqua" w:hAnsi="Book Antiqua"/>
        </w:rPr>
        <w:t xml:space="preserve">19 group. COVID-19 and intestinal inflammation: Role of fecal calprotectin. </w:t>
      </w:r>
      <w:r>
        <w:rPr>
          <w:rFonts w:ascii="Book Antiqua" w:hAnsi="Book Antiqua"/>
          <w:i/>
          <w:iCs/>
        </w:rPr>
        <w:t>Dig Liver Dis</w:t>
      </w:r>
      <w:r>
        <w:rPr>
          <w:rFonts w:ascii="Book Antiqua" w:hAnsi="Book Antiqua"/>
        </w:rPr>
        <w:t xml:space="preserve"> 2020; </w:t>
      </w:r>
      <w:r>
        <w:rPr>
          <w:rFonts w:ascii="Book Antiqua" w:hAnsi="Book Antiqua"/>
          <w:b/>
          <w:bCs/>
        </w:rPr>
        <w:t>52</w:t>
      </w:r>
      <w:r>
        <w:rPr>
          <w:rFonts w:ascii="Book Antiqua" w:hAnsi="Book Antiqua"/>
        </w:rPr>
        <w:t>: 1231-1233 [PMID: 33060042 DOI: 10.1016/j.dld.2020.09.015]</w:t>
      </w:r>
    </w:p>
    <w:p>
      <w:pPr>
        <w:pStyle w:val="5"/>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Cheng PK</w:t>
      </w:r>
      <w:r>
        <w:rPr>
          <w:rFonts w:ascii="Book Antiqua" w:hAnsi="Book Antiqua"/>
        </w:rPr>
        <w:t xml:space="preserve">, Wong DA, Tong LK, Ip SM, Lo AC, Lau CS, Yeung EY, Lim WW. Viral shedding patterns of coronavirus in patients with probable severe acute respiratory syndrome. </w:t>
      </w:r>
      <w:r>
        <w:rPr>
          <w:rFonts w:ascii="Book Antiqua" w:hAnsi="Book Antiqua"/>
          <w:i/>
          <w:iCs/>
        </w:rPr>
        <w:t>Lancet</w:t>
      </w:r>
      <w:r>
        <w:rPr>
          <w:rFonts w:ascii="Book Antiqua" w:hAnsi="Book Antiqua"/>
        </w:rPr>
        <w:t xml:space="preserve"> 2004; </w:t>
      </w:r>
      <w:r>
        <w:rPr>
          <w:rFonts w:ascii="Book Antiqua" w:hAnsi="Book Antiqua"/>
          <w:b/>
          <w:bCs/>
        </w:rPr>
        <w:t>363</w:t>
      </w:r>
      <w:r>
        <w:rPr>
          <w:rFonts w:ascii="Book Antiqua" w:hAnsi="Book Antiqua"/>
        </w:rPr>
        <w:t>: 1699-1700 [PMID: 15158632 DOI: 10.1016/S0140-</w:t>
      </w:r>
      <w:r>
        <w:rPr>
          <w:rFonts w:hint="eastAsia" w:ascii="MS Mincho" w:hAnsi="MS Mincho" w:eastAsia="MS Mincho" w:cs="MS Mincho"/>
        </w:rPr>
        <w:t>‎‎</w:t>
      </w:r>
      <w:r>
        <w:rPr>
          <w:rFonts w:ascii="Book Antiqua" w:hAnsi="Book Antiqua"/>
        </w:rPr>
        <w:t>6736(04)16255-7]</w:t>
      </w:r>
    </w:p>
    <w:p>
      <w:pPr>
        <w:pStyle w:val="5"/>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Chelimsky G</w:t>
      </w:r>
      <w:r>
        <w:rPr>
          <w:rFonts w:ascii="Book Antiqua" w:hAnsi="Book Antiqua"/>
        </w:rPr>
        <w:t xml:space="preserve">, Chelimsky TC. Evaluation and treatment of autonomic disorders of the gastrointestinal tract. </w:t>
      </w:r>
      <w:r>
        <w:rPr>
          <w:rFonts w:ascii="Book Antiqua" w:hAnsi="Book Antiqua"/>
          <w:i/>
          <w:iCs/>
        </w:rPr>
        <w:t>Semin Neurol</w:t>
      </w:r>
      <w:r>
        <w:rPr>
          <w:rFonts w:ascii="Book Antiqua" w:hAnsi="Book Antiqua"/>
        </w:rPr>
        <w:t xml:space="preserve"> 2003; </w:t>
      </w:r>
      <w:r>
        <w:rPr>
          <w:rFonts w:ascii="Book Antiqua" w:hAnsi="Book Antiqua"/>
          <w:b/>
          <w:bCs/>
        </w:rPr>
        <w:t>23</w:t>
      </w:r>
      <w:r>
        <w:rPr>
          <w:rFonts w:ascii="Book Antiqua" w:hAnsi="Book Antiqua"/>
        </w:rPr>
        <w:t>: 453-458 [PMID: 15088266 DOI: 10.1055/s-</w:t>
      </w:r>
      <w:r>
        <w:rPr>
          <w:rFonts w:hint="eastAsia" w:ascii="MS Mincho" w:hAnsi="MS Mincho" w:eastAsia="MS Mincho" w:cs="MS Mincho"/>
        </w:rPr>
        <w:t>‎‎</w:t>
      </w:r>
      <w:r>
        <w:rPr>
          <w:rFonts w:ascii="Book Antiqua" w:hAnsi="Book Antiqua"/>
        </w:rPr>
        <w:t>2004-817729]</w:t>
      </w:r>
    </w:p>
    <w:p>
      <w:pPr>
        <w:pStyle w:val="5"/>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Kornum DS</w:t>
      </w:r>
      <w:r>
        <w:rPr>
          <w:rFonts w:ascii="Book Antiqua" w:hAnsi="Book Antiqua"/>
        </w:rPr>
        <w:t xml:space="preserve">, Terkelsen AJ, Bertoli D, Klinge MW, Høyer KL, Kufaishi HHA, Borghammer P, Drewes AM, Brock C, Krogh K. Assessment of Gastrointestinal Autonomic Dysfunction: Present and Future Perspectives. </w:t>
      </w:r>
      <w:r>
        <w:rPr>
          <w:rFonts w:ascii="Book Antiqua" w:hAnsi="Book Antiqua"/>
          <w:i/>
          <w:iCs/>
        </w:rPr>
        <w:t>J Clin Med</w:t>
      </w:r>
      <w:r>
        <w:rPr>
          <w:rFonts w:ascii="Book Antiqua" w:hAnsi="Book Antiqua"/>
        </w:rPr>
        <w:t xml:space="preserve"> 2021; </w:t>
      </w:r>
      <w:r>
        <w:rPr>
          <w:rFonts w:ascii="Book Antiqua" w:hAnsi="Book Antiqua"/>
          <w:b/>
          <w:bCs/>
        </w:rPr>
        <w:t>10</w:t>
      </w:r>
      <w:r>
        <w:rPr>
          <w:rFonts w:ascii="Book Antiqua" w:hAnsi="Book Antiqua"/>
        </w:rPr>
        <w:t xml:space="preserve"> [PMID: 33807256 DOI: 10.3390/jcm10071392]</w:t>
      </w:r>
    </w:p>
    <w:p>
      <w:pPr>
        <w:pStyle w:val="5"/>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Dani M</w:t>
      </w:r>
      <w:r>
        <w:rPr>
          <w:rFonts w:ascii="Book Antiqua" w:hAnsi="Book Antiqua"/>
        </w:rPr>
        <w:t xml:space="preserve">, Dirksen A, Taraborrelli P, Torocastro M, Panagopoulos D, Sutton R, Lim PB. Autonomic dysfunction in 'long COVID': rationale, physiology and management strategies. </w:t>
      </w:r>
      <w:r>
        <w:rPr>
          <w:rFonts w:ascii="Book Antiqua" w:hAnsi="Book Antiqua"/>
          <w:i/>
          <w:iCs/>
        </w:rPr>
        <w:t>Clin Med (Lond)</w:t>
      </w:r>
      <w:r>
        <w:rPr>
          <w:rFonts w:ascii="Book Antiqua" w:hAnsi="Book Antiqua"/>
        </w:rPr>
        <w:t xml:space="preserve"> 2021; </w:t>
      </w:r>
      <w:r>
        <w:rPr>
          <w:rFonts w:ascii="Book Antiqua" w:hAnsi="Book Antiqua"/>
          <w:b/>
          <w:bCs/>
        </w:rPr>
        <w:t>21</w:t>
      </w:r>
      <w:r>
        <w:rPr>
          <w:rFonts w:ascii="Book Antiqua" w:hAnsi="Book Antiqua"/>
        </w:rPr>
        <w:t>: e63-e67 [PMID: 33243837 DOI: 10.7861/clinmed.2020-0896]</w:t>
      </w:r>
    </w:p>
    <w:p>
      <w:pPr>
        <w:pStyle w:val="5"/>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Fleming MA 2nd</w:t>
      </w:r>
      <w:r>
        <w:rPr>
          <w:rFonts w:ascii="Book Antiqua" w:hAnsi="Book Antiqua"/>
        </w:rPr>
        <w:t xml:space="preserve">, Ehsan L, Moore SR, Levin DE. The Enteric Nervous System and Its Emerging Role as a Therapeutic Target. </w:t>
      </w:r>
      <w:r>
        <w:rPr>
          <w:rFonts w:ascii="Book Antiqua" w:hAnsi="Book Antiqua"/>
          <w:i/>
          <w:iCs/>
        </w:rPr>
        <w:t>Gastroenterol Res Pract</w:t>
      </w:r>
      <w:r>
        <w:rPr>
          <w:rFonts w:ascii="Book Antiqua" w:hAnsi="Book Antiqua"/>
        </w:rPr>
        <w:t xml:space="preserve"> 2020; </w:t>
      </w:r>
      <w:r>
        <w:rPr>
          <w:rFonts w:ascii="Book Antiqua" w:hAnsi="Book Antiqua"/>
          <w:b/>
          <w:bCs/>
        </w:rPr>
        <w:t>2020</w:t>
      </w:r>
      <w:r>
        <w:rPr>
          <w:rFonts w:ascii="Book Antiqua" w:hAnsi="Book Antiqua"/>
        </w:rPr>
        <w:t>: 8024171 [PMID: 32963521 DOI: 10.1155/2020/8024171]</w:t>
      </w:r>
    </w:p>
    <w:p>
      <w:pPr>
        <w:pStyle w:val="5"/>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Furness JB</w:t>
      </w:r>
      <w:r>
        <w:rPr>
          <w:rFonts w:ascii="Book Antiqua" w:hAnsi="Book Antiqua"/>
        </w:rPr>
        <w:t xml:space="preserve">. The enteric nervous system and neurogastroenterology. </w:t>
      </w:r>
      <w:r>
        <w:rPr>
          <w:rFonts w:ascii="Book Antiqua" w:hAnsi="Book Antiqua"/>
          <w:i/>
          <w:iCs/>
        </w:rPr>
        <w:t>Nat Rev Gastroenterol Hepatol</w:t>
      </w:r>
      <w:r>
        <w:rPr>
          <w:rFonts w:ascii="Book Antiqua" w:hAnsi="Book Antiqua"/>
        </w:rPr>
        <w:t xml:space="preserve"> 2012; </w:t>
      </w:r>
      <w:r>
        <w:rPr>
          <w:rFonts w:ascii="Book Antiqua" w:hAnsi="Book Antiqua"/>
          <w:b/>
          <w:bCs/>
        </w:rPr>
        <w:t>9</w:t>
      </w:r>
      <w:r>
        <w:rPr>
          <w:rFonts w:ascii="Book Antiqua" w:hAnsi="Book Antiqua"/>
        </w:rPr>
        <w:t>: 286-294 [PMID: 22392290 DOI: 10.1038/nrgastro.2012.32]</w:t>
      </w:r>
    </w:p>
    <w:p>
      <w:pPr>
        <w:pStyle w:val="5"/>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Nezami BG</w:t>
      </w:r>
      <w:r>
        <w:rPr>
          <w:rFonts w:ascii="Book Antiqua" w:hAnsi="Book Antiqua"/>
        </w:rPr>
        <w:t xml:space="preserve">, Srinivasan S. Enteric nervous system in the small intestine: pathophysiology and clinical implications. </w:t>
      </w:r>
      <w:r>
        <w:rPr>
          <w:rFonts w:ascii="Book Antiqua" w:hAnsi="Book Antiqua"/>
          <w:i/>
          <w:iCs/>
        </w:rPr>
        <w:t>Curr Gastroenterol Rep</w:t>
      </w:r>
      <w:r>
        <w:rPr>
          <w:rFonts w:ascii="Book Antiqua" w:hAnsi="Book Antiqua"/>
        </w:rPr>
        <w:t xml:space="preserve"> 2010; </w:t>
      </w:r>
      <w:r>
        <w:rPr>
          <w:rFonts w:ascii="Book Antiqua" w:hAnsi="Book Antiqua"/>
          <w:b/>
          <w:bCs/>
        </w:rPr>
        <w:t>12</w:t>
      </w:r>
      <w:r>
        <w:rPr>
          <w:rFonts w:ascii="Book Antiqua" w:hAnsi="Book Antiqua"/>
        </w:rPr>
        <w:t>: 358-365 [PMID: 20725870 DOI: 10.1007/s11894-010-0129-9]</w:t>
      </w:r>
    </w:p>
    <w:p>
      <w:pPr>
        <w:pStyle w:val="5"/>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Browning KN</w:t>
      </w:r>
      <w:r>
        <w:rPr>
          <w:rFonts w:ascii="Book Antiqua" w:hAnsi="Book Antiqua"/>
        </w:rPr>
        <w:t xml:space="preserve">, Travagli RA. Central nervous system control of gastrointestinal motility and secretion and modulation of gastrointestinal functions. </w:t>
      </w:r>
      <w:r>
        <w:rPr>
          <w:rFonts w:ascii="Book Antiqua" w:hAnsi="Book Antiqua"/>
          <w:i/>
          <w:iCs/>
        </w:rPr>
        <w:t>Compr Physiol</w:t>
      </w:r>
      <w:r>
        <w:rPr>
          <w:rFonts w:ascii="Book Antiqua" w:hAnsi="Book Antiqua"/>
        </w:rPr>
        <w:t xml:space="preserve"> 2014; </w:t>
      </w:r>
      <w:r>
        <w:rPr>
          <w:rFonts w:ascii="Book Antiqua" w:hAnsi="Book Antiqua"/>
          <w:b/>
          <w:bCs/>
        </w:rPr>
        <w:t>4</w:t>
      </w:r>
      <w:r>
        <w:rPr>
          <w:rFonts w:ascii="Book Antiqua" w:hAnsi="Book Antiqua"/>
        </w:rPr>
        <w:t>: 1339-1368 [PMID: 25428846 DOI: 10.1002/cphy.c130055]</w:t>
      </w:r>
    </w:p>
    <w:p>
      <w:pPr>
        <w:pStyle w:val="5"/>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Vermeulen W,</w:t>
      </w:r>
      <w:r>
        <w:rPr>
          <w:rFonts w:ascii="Book Antiqua" w:hAnsi="Book Antiqua"/>
        </w:rPr>
        <w:t xml:space="preserve"> De Man JG, Pelckmans PA, De Winter BY. Neuroanatomy of lower </w:t>
      </w:r>
      <w:r>
        <w:rPr>
          <w:rFonts w:hint="eastAsia" w:ascii="MS Mincho" w:hAnsi="MS Mincho" w:eastAsia="MS Mincho" w:cs="MS Mincho"/>
        </w:rPr>
        <w:t>‎</w:t>
      </w:r>
      <w:r>
        <w:rPr>
          <w:rFonts w:ascii="Book Antiqua" w:hAnsi="Book Antiqua"/>
        </w:rPr>
        <w:t xml:space="preserve">gastrointestinal pain disorders.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xml:space="preserve"> 1005-1020 [PMID: </w:t>
      </w:r>
      <w:r>
        <w:rPr>
          <w:rFonts w:hint="eastAsia" w:ascii="MS Mincho" w:hAnsi="MS Mincho" w:eastAsia="MS Mincho" w:cs="MS Mincho"/>
        </w:rPr>
        <w:t>‎‎</w:t>
      </w:r>
      <w:r>
        <w:rPr>
          <w:rFonts w:ascii="Book Antiqua" w:hAnsi="Book Antiqua"/>
        </w:rPr>
        <w:t>24574773 DOI: 10.3748/wjg.v20.i4.1005]</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Altaf MA</w:t>
      </w:r>
      <w:r>
        <w:rPr>
          <w:rFonts w:ascii="Book Antiqua" w:hAnsi="Book Antiqua"/>
        </w:rPr>
        <w:t xml:space="preserve">, Sood MR. The nervous system and gastrointestinal function. </w:t>
      </w:r>
      <w:r>
        <w:rPr>
          <w:rFonts w:ascii="Book Antiqua" w:hAnsi="Book Antiqua"/>
          <w:i/>
          <w:iCs/>
        </w:rPr>
        <w:t>Dev Disabil Res Rev</w:t>
      </w:r>
      <w:r>
        <w:rPr>
          <w:rFonts w:ascii="Book Antiqua" w:hAnsi="Book Antiqua"/>
        </w:rPr>
        <w:t xml:space="preserve"> 2008; </w:t>
      </w:r>
      <w:r>
        <w:rPr>
          <w:rFonts w:ascii="Book Antiqua" w:hAnsi="Book Antiqua"/>
          <w:b/>
          <w:bCs/>
        </w:rPr>
        <w:t>14</w:t>
      </w:r>
      <w:r>
        <w:rPr>
          <w:rFonts w:ascii="Book Antiqua" w:hAnsi="Book Antiqua"/>
        </w:rPr>
        <w:t>: 87-95 [PMID: 18646012 DOI: 10.1002/ddrr.15]</w:t>
      </w:r>
    </w:p>
    <w:p>
      <w:pPr>
        <w:pStyle w:val="5"/>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Ali MK,</w:t>
      </w:r>
      <w:r>
        <w:rPr>
          <w:rFonts w:ascii="Book Antiqua" w:hAnsi="Book Antiqua"/>
        </w:rPr>
        <w:t xml:space="preserve"> Saha S, Milkova N, Liu L, Sharma K, Huizinga JD, Chen JH. Modulation of the </w:t>
      </w:r>
      <w:r>
        <w:rPr>
          <w:rFonts w:hint="eastAsia" w:ascii="MS Mincho" w:hAnsi="MS Mincho" w:eastAsia="MS Mincho" w:cs="MS Mincho"/>
        </w:rPr>
        <w:t>‎</w:t>
      </w:r>
      <w:r>
        <w:rPr>
          <w:rFonts w:ascii="Book Antiqua" w:hAnsi="Book Antiqua"/>
        </w:rPr>
        <w:t xml:space="preserve">autonomic nervous system by one session of spinal low-level laser therapy in patients with </w:t>
      </w:r>
      <w:r>
        <w:rPr>
          <w:rFonts w:hint="eastAsia" w:ascii="MS Mincho" w:hAnsi="MS Mincho" w:eastAsia="MS Mincho" w:cs="MS Mincho"/>
        </w:rPr>
        <w:t>‎</w:t>
      </w:r>
      <w:r>
        <w:rPr>
          <w:rFonts w:ascii="Book Antiqua" w:hAnsi="Book Antiqua"/>
        </w:rPr>
        <w:t xml:space="preserve">chronic colonic motility dysfunction. </w:t>
      </w:r>
      <w:r>
        <w:rPr>
          <w:rFonts w:ascii="Book Antiqua" w:hAnsi="Book Antiqua"/>
          <w:i/>
          <w:iCs/>
        </w:rPr>
        <w:t>Front Neurosci</w:t>
      </w:r>
      <w:r>
        <w:rPr>
          <w:rFonts w:ascii="Book Antiqua" w:hAnsi="Book Antiqua"/>
        </w:rPr>
        <w:t xml:space="preserve"> 2022; </w:t>
      </w:r>
      <w:r>
        <w:rPr>
          <w:rFonts w:ascii="Book Antiqua" w:hAnsi="Book Antiqua"/>
          <w:b/>
          <w:bCs/>
        </w:rPr>
        <w:t>16:</w:t>
      </w:r>
      <w:r>
        <w:rPr>
          <w:rFonts w:ascii="Book Antiqua" w:hAnsi="Book Antiqua"/>
        </w:rPr>
        <w:t xml:space="preserve"> 882602 [PMID: </w:t>
      </w:r>
      <w:r>
        <w:rPr>
          <w:rFonts w:hint="eastAsia" w:ascii="MS Mincho" w:hAnsi="MS Mincho" w:eastAsia="MS Mincho" w:cs="MS Mincho"/>
        </w:rPr>
        <w:t>‎‎</w:t>
      </w:r>
      <w:r>
        <w:rPr>
          <w:rFonts w:ascii="Book Antiqua" w:hAnsi="Book Antiqua"/>
        </w:rPr>
        <w:t>36117615 DOI: 10.3389/fnins.2022.882602]</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Daniela M</w:t>
      </w:r>
      <w:r>
        <w:rPr>
          <w:rFonts w:ascii="Book Antiqua" w:hAnsi="Book Antiqua"/>
        </w:rPr>
        <w:t xml:space="preserve">, Catalina L, Ilie O, Paula M, Daniel-Andrei I, Ioana B. Effects of Exercise Training on the Autonomic Nervous System with a Focus on Anti-Inflammatory and Antioxidants Effects. </w:t>
      </w:r>
      <w:r>
        <w:rPr>
          <w:rFonts w:ascii="Book Antiqua" w:hAnsi="Book Antiqua"/>
          <w:i/>
          <w:iCs/>
        </w:rPr>
        <w:t>Antioxidants (Basel)</w:t>
      </w:r>
      <w:r>
        <w:rPr>
          <w:rFonts w:ascii="Book Antiqua" w:hAnsi="Book Antiqua"/>
        </w:rPr>
        <w:t xml:space="preserve"> 2022; </w:t>
      </w:r>
      <w:r>
        <w:rPr>
          <w:rFonts w:ascii="Book Antiqua" w:hAnsi="Book Antiqua"/>
          <w:b/>
          <w:bCs/>
        </w:rPr>
        <w:t>11</w:t>
      </w:r>
      <w:r>
        <w:rPr>
          <w:rFonts w:ascii="Book Antiqua" w:hAnsi="Book Antiqua"/>
        </w:rPr>
        <w:t xml:space="preserve"> [PMID: 35204231 DOI: 10.3390/antiox11020350]</w:t>
      </w:r>
    </w:p>
    <w:p>
      <w:pPr>
        <w:pStyle w:val="5"/>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Chaudhri O</w:t>
      </w:r>
      <w:r>
        <w:rPr>
          <w:rFonts w:ascii="Book Antiqua" w:hAnsi="Book Antiqua"/>
        </w:rPr>
        <w:t xml:space="preserve">, Small C, Bloom S. Gastrointestinal hormones regulating appetite. </w:t>
      </w:r>
      <w:r>
        <w:rPr>
          <w:rFonts w:ascii="Book Antiqua" w:hAnsi="Book Antiqua"/>
          <w:i/>
          <w:iCs/>
        </w:rPr>
        <w:t>Philos Trans R Soc Lond B Biol Sci</w:t>
      </w:r>
      <w:r>
        <w:rPr>
          <w:rFonts w:ascii="Book Antiqua" w:hAnsi="Book Antiqua"/>
        </w:rPr>
        <w:t xml:space="preserve"> 2006; </w:t>
      </w:r>
      <w:r>
        <w:rPr>
          <w:rFonts w:ascii="Book Antiqua" w:hAnsi="Book Antiqua"/>
          <w:b/>
          <w:bCs/>
        </w:rPr>
        <w:t>361</w:t>
      </w:r>
      <w:r>
        <w:rPr>
          <w:rFonts w:ascii="Book Antiqua" w:hAnsi="Book Antiqua"/>
        </w:rPr>
        <w:t>: 1187-1209 [PMID: 16815798 DOI: 10.1098/rstb.2006.1856]</w:t>
      </w:r>
    </w:p>
    <w:p>
      <w:pPr>
        <w:pStyle w:val="5"/>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Phillips RJ</w:t>
      </w:r>
      <w:r>
        <w:rPr>
          <w:rFonts w:ascii="Book Antiqua" w:hAnsi="Book Antiqua"/>
        </w:rPr>
        <w:t xml:space="preserve">, Powley TL. Innervation of the gastrointestinal tract: patterns of aging. </w:t>
      </w:r>
      <w:r>
        <w:rPr>
          <w:rFonts w:ascii="Book Antiqua" w:hAnsi="Book Antiqua"/>
          <w:i/>
          <w:iCs/>
        </w:rPr>
        <w:t>Auton Neurosci</w:t>
      </w:r>
      <w:r>
        <w:rPr>
          <w:rFonts w:ascii="Book Antiqua" w:hAnsi="Book Antiqua"/>
        </w:rPr>
        <w:t xml:space="preserve"> 2007; </w:t>
      </w:r>
      <w:r>
        <w:rPr>
          <w:rFonts w:ascii="Book Antiqua" w:hAnsi="Book Antiqua"/>
          <w:b/>
          <w:bCs/>
        </w:rPr>
        <w:t>136</w:t>
      </w:r>
      <w:r>
        <w:rPr>
          <w:rFonts w:ascii="Book Antiqua" w:hAnsi="Book Antiqua"/>
        </w:rPr>
        <w:t>: 1-19 [PMID: 17537681 DOI: 10.1016/j.autneu.2007.04.005]</w:t>
      </w:r>
    </w:p>
    <w:p>
      <w:pPr>
        <w:pStyle w:val="5"/>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Carod-Artal FJ</w:t>
      </w:r>
      <w:r>
        <w:rPr>
          <w:rFonts w:ascii="Book Antiqua" w:hAnsi="Book Antiqua"/>
        </w:rPr>
        <w:t xml:space="preserve">. Infectious diseases causing autonomic dysfunction. </w:t>
      </w:r>
      <w:r>
        <w:rPr>
          <w:rFonts w:ascii="Book Antiqua" w:hAnsi="Book Antiqua"/>
          <w:i/>
          <w:iCs/>
        </w:rPr>
        <w:t>Clin Auton Res</w:t>
      </w:r>
      <w:r>
        <w:rPr>
          <w:rFonts w:ascii="Book Antiqua" w:hAnsi="Book Antiqua"/>
        </w:rPr>
        <w:t xml:space="preserve"> 2018; </w:t>
      </w:r>
      <w:r>
        <w:rPr>
          <w:rFonts w:ascii="Book Antiqua" w:hAnsi="Book Antiqua"/>
          <w:b/>
          <w:bCs/>
        </w:rPr>
        <w:t>28</w:t>
      </w:r>
      <w:r>
        <w:rPr>
          <w:rFonts w:ascii="Book Antiqua" w:hAnsi="Book Antiqua"/>
        </w:rPr>
        <w:t>: 67-81 [PMID: 28730326 DOI: 10.1007/s10286-017-0452-4]</w:t>
      </w:r>
    </w:p>
    <w:p>
      <w:pPr>
        <w:pStyle w:val="5"/>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Hu B</w:t>
      </w:r>
      <w:r>
        <w:rPr>
          <w:rFonts w:ascii="Book Antiqua" w:hAnsi="Book Antiqua"/>
        </w:rPr>
        <w:t xml:space="preserve">, Guo H, Zhou P, Shi ZL. Characteristics of SARS-CoV-2 and COVID-19. </w:t>
      </w:r>
      <w:r>
        <w:rPr>
          <w:rFonts w:ascii="Book Antiqua" w:hAnsi="Book Antiqua"/>
          <w:i/>
          <w:iCs/>
        </w:rPr>
        <w:t>Nat Rev Microbiol</w:t>
      </w:r>
      <w:r>
        <w:rPr>
          <w:rFonts w:ascii="Book Antiqua" w:hAnsi="Book Antiqua"/>
        </w:rPr>
        <w:t xml:space="preserve"> 2021; </w:t>
      </w:r>
      <w:r>
        <w:rPr>
          <w:rFonts w:ascii="Book Antiqua" w:hAnsi="Book Antiqua"/>
          <w:b/>
          <w:bCs/>
        </w:rPr>
        <w:t>19</w:t>
      </w:r>
      <w:r>
        <w:rPr>
          <w:rFonts w:ascii="Book Antiqua" w:hAnsi="Book Antiqua"/>
        </w:rPr>
        <w:t>: 141-154 [PMID: 33024307 DOI: 10.1038/s41579-020-00459-7]</w:t>
      </w:r>
    </w:p>
    <w:p>
      <w:pPr>
        <w:pStyle w:val="5"/>
        <w:spacing w:before="0" w:beforeAutospacing="0" w:after="0" w:afterAutospacing="0" w:line="360" w:lineRule="auto"/>
        <w:jc w:val="both"/>
        <w:rPr>
          <w:rFonts w:ascii="Book Antiqua" w:hAnsi="Book Antiqua"/>
        </w:rPr>
      </w:pPr>
      <w:r>
        <w:rPr>
          <w:rFonts w:ascii="Book Antiqua" w:hAnsi="Book Antiqua"/>
        </w:rPr>
        <w:t xml:space="preserve">23 Centers for Disease Control and Prevention: Long COVID or Post-COVID Conditions. </w:t>
      </w:r>
      <w:r>
        <w:rPr>
          <w:rFonts w:hint="eastAsia" w:ascii="MS Mincho" w:hAnsi="MS Mincho" w:eastAsia="MS Mincho" w:cs="MS Mincho"/>
        </w:rPr>
        <w:t>‎</w:t>
      </w:r>
      <w:r>
        <w:rPr>
          <w:rFonts w:ascii="Book Antiqua" w:hAnsi="Book Antiqua"/>
        </w:rPr>
        <w:t xml:space="preserve">Available at: Long COVID or Post-COVID Conditions | CDC last accessed on 7th of April </w:t>
      </w:r>
      <w:r>
        <w:rPr>
          <w:rFonts w:hint="eastAsia" w:ascii="MS Mincho" w:hAnsi="MS Mincho" w:eastAsia="MS Mincho" w:cs="MS Mincho"/>
        </w:rPr>
        <w:t>‎‎</w:t>
      </w:r>
      <w:r>
        <w:rPr>
          <w:rFonts w:ascii="Book Antiqua" w:hAnsi="Book Antiqua"/>
        </w:rPr>
        <w:t>2023</w:t>
      </w:r>
    </w:p>
    <w:p>
      <w:pPr>
        <w:pStyle w:val="5"/>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Sundar Shrestha D</w:t>
      </w:r>
      <w:r>
        <w:rPr>
          <w:rFonts w:ascii="Book Antiqua" w:hAnsi="Book Antiqua"/>
        </w:rPr>
        <w:t xml:space="preserve">, Love R. Long COVID Patient Symptoms and its Evaluation and Management. </w:t>
      </w:r>
      <w:r>
        <w:rPr>
          <w:rFonts w:ascii="Book Antiqua" w:hAnsi="Book Antiqua"/>
          <w:i/>
          <w:iCs/>
        </w:rPr>
        <w:t>JNMA J Nepal Med Assoc</w:t>
      </w:r>
      <w:r>
        <w:rPr>
          <w:rFonts w:ascii="Book Antiqua" w:hAnsi="Book Antiqua"/>
        </w:rPr>
        <w:t xml:space="preserve"> 2021; </w:t>
      </w:r>
      <w:r>
        <w:rPr>
          <w:rFonts w:ascii="Book Antiqua" w:hAnsi="Book Antiqua"/>
          <w:b/>
          <w:bCs/>
        </w:rPr>
        <w:t>59</w:t>
      </w:r>
      <w:r>
        <w:rPr>
          <w:rFonts w:ascii="Book Antiqua" w:hAnsi="Book Antiqua"/>
        </w:rPr>
        <w:t>: 823-831 [PMID: 34508486 DOI: 10.31729/jnma.6355]</w:t>
      </w:r>
    </w:p>
    <w:p>
      <w:pPr>
        <w:pStyle w:val="5"/>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Bohn MK</w:t>
      </w:r>
      <w:r>
        <w:rPr>
          <w:rFonts w:ascii="Book Antiqua" w:hAnsi="Book Antiqua"/>
        </w:rPr>
        <w:t xml:space="preserve">, Hall A, Sepiashvili L, Jung B, Steele S, Adeli K. Pathophysiology of COVID-19: Mechanisms Underlying Disease Severity and Progression. </w:t>
      </w:r>
      <w:r>
        <w:rPr>
          <w:rFonts w:ascii="Book Antiqua" w:hAnsi="Book Antiqua"/>
          <w:i/>
          <w:iCs/>
        </w:rPr>
        <w:t>Physiology (Bethesda)</w:t>
      </w:r>
      <w:r>
        <w:rPr>
          <w:rFonts w:ascii="Book Antiqua" w:hAnsi="Book Antiqua"/>
        </w:rPr>
        <w:t xml:space="preserve"> 2020; </w:t>
      </w:r>
      <w:r>
        <w:rPr>
          <w:rFonts w:ascii="Book Antiqua" w:hAnsi="Book Antiqua"/>
          <w:b/>
          <w:bCs/>
        </w:rPr>
        <w:t>35</w:t>
      </w:r>
      <w:r>
        <w:rPr>
          <w:rFonts w:ascii="Book Antiqua" w:hAnsi="Book Antiqua"/>
        </w:rPr>
        <w:t>: 288-301 [PMID: 32783610 DOI: 10.1152/physiol.00019.2020]</w:t>
      </w:r>
    </w:p>
    <w:p>
      <w:pPr>
        <w:pStyle w:val="5"/>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Liu J</w:t>
      </w:r>
      <w:r>
        <w:rPr>
          <w:rFonts w:ascii="Book Antiqua" w:hAnsi="Book Antiqua"/>
        </w:rPr>
        <w:t xml:space="preserve">, Li Y, Liu Q, Yao Q, Wang X, Zhang H, Chen R, Ren L, Min J, Deng F, Yan B, Liu L, Hu Z, Wang M, Zhou Y. SARS-CoV-2 cell tropism and multiorgan infection. </w:t>
      </w:r>
      <w:r>
        <w:rPr>
          <w:rFonts w:ascii="Book Antiqua" w:hAnsi="Book Antiqua"/>
          <w:i/>
          <w:iCs/>
        </w:rPr>
        <w:t>Cell Discov</w:t>
      </w:r>
      <w:r>
        <w:rPr>
          <w:rFonts w:ascii="Book Antiqua" w:hAnsi="Book Antiqua"/>
        </w:rPr>
        <w:t xml:space="preserve"> 2021; </w:t>
      </w:r>
      <w:r>
        <w:rPr>
          <w:rFonts w:ascii="Book Antiqua" w:hAnsi="Book Antiqua"/>
          <w:b/>
          <w:bCs/>
        </w:rPr>
        <w:t>7</w:t>
      </w:r>
      <w:r>
        <w:rPr>
          <w:rFonts w:ascii="Book Antiqua" w:hAnsi="Book Antiqua"/>
        </w:rPr>
        <w:t>: 17 [PMID: 33758165 DOI: 10.1038/s41421-021-00249-2]</w:t>
      </w:r>
    </w:p>
    <w:p>
      <w:pPr>
        <w:pStyle w:val="5"/>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Qi F</w:t>
      </w:r>
      <w:r>
        <w:rPr>
          <w:rFonts w:ascii="Book Antiqua" w:hAnsi="Book Antiqua"/>
        </w:rPr>
        <w:t xml:space="preserve">, Qian S, Zhang S, Zhang Z. Single cell RNA sequencing of 13 human tissues identify cell types and receptors of human coronaviruses. </w:t>
      </w:r>
      <w:r>
        <w:rPr>
          <w:rFonts w:ascii="Book Antiqua" w:hAnsi="Book Antiqua"/>
          <w:i/>
          <w:iCs/>
        </w:rPr>
        <w:t>Biochem Biophys Res Commun</w:t>
      </w:r>
      <w:r>
        <w:rPr>
          <w:rFonts w:ascii="Book Antiqua" w:hAnsi="Book Antiqua"/>
        </w:rPr>
        <w:t xml:space="preserve"> 2020; </w:t>
      </w:r>
      <w:r>
        <w:rPr>
          <w:rFonts w:ascii="Book Antiqua" w:hAnsi="Book Antiqua"/>
          <w:b/>
          <w:bCs/>
        </w:rPr>
        <w:t>526</w:t>
      </w:r>
      <w:r>
        <w:rPr>
          <w:rFonts w:ascii="Book Antiqua" w:hAnsi="Book Antiqua"/>
        </w:rPr>
        <w:t>: 135-140 [PMID: 32199615 DOI: 10.1016/j.bbrc.2020.03.044]</w:t>
      </w:r>
    </w:p>
    <w:p>
      <w:pPr>
        <w:pStyle w:val="5"/>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28-</w:t>
      </w:r>
      <w:r>
        <w:rPr>
          <w:rFonts w:hint="eastAsia" w:ascii="MS Mincho" w:hAnsi="MS Mincho" w:eastAsia="MS Mincho" w:cs="MS Mincho"/>
          <w:b/>
          <w:bCs/>
        </w:rPr>
        <w:t>‎</w:t>
      </w:r>
      <w:r>
        <w:rPr>
          <w:rFonts w:ascii="Book Antiqua" w:hAnsi="Book Antiqua"/>
          <w:b/>
          <w:bCs/>
        </w:rPr>
        <w:t xml:space="preserve"> Zhang H,</w:t>
      </w:r>
      <w:r>
        <w:rPr>
          <w:rFonts w:ascii="Book Antiqua" w:hAnsi="Book Antiqua"/>
        </w:rPr>
        <w:t xml:space="preserve"> Kang Z, Gong H, Xu D, Wang J, Li Zhixiu, Li Zifu, Cui X, Xiao J, Zhan J, Meng T, </w:t>
      </w:r>
      <w:r>
        <w:rPr>
          <w:rFonts w:hint="eastAsia" w:ascii="MS Mincho" w:hAnsi="MS Mincho" w:eastAsia="MS Mincho" w:cs="MS Mincho"/>
        </w:rPr>
        <w:t>‎</w:t>
      </w:r>
      <w:r>
        <w:rPr>
          <w:rFonts w:ascii="Book Antiqua" w:hAnsi="Book Antiqua"/>
        </w:rPr>
        <w:t xml:space="preserve">Zhou W, Liu J, Xu H. Digestive system is a potential route of COVID-19: an analysis of </w:t>
      </w:r>
      <w:r>
        <w:rPr>
          <w:rFonts w:hint="eastAsia" w:ascii="MS Mincho" w:hAnsi="MS Mincho" w:eastAsia="MS Mincho" w:cs="MS Mincho"/>
        </w:rPr>
        <w:t>‎</w:t>
      </w:r>
      <w:r>
        <w:rPr>
          <w:rFonts w:ascii="Book Antiqua" w:hAnsi="Book Antiqua"/>
        </w:rPr>
        <w:t>single-cell coexpression pattern of key proteins in viral entry process. Gut 2020;</w:t>
      </w:r>
      <w:r>
        <w:rPr>
          <w:rFonts w:ascii="Book Antiqua" w:hAnsi="Book Antiqua"/>
          <w:b/>
          <w:bCs/>
        </w:rPr>
        <w:t>69</w:t>
      </w:r>
      <w:r>
        <w:rPr>
          <w:rFonts w:ascii="Book Antiqua" w:hAnsi="Book Antiqua"/>
        </w:rPr>
        <w:t>:1010-</w:t>
      </w:r>
      <w:r>
        <w:rPr>
          <w:rFonts w:hint="eastAsia" w:ascii="MS Mincho" w:hAnsi="MS Mincho" w:eastAsia="MS Mincho" w:cs="MS Mincho"/>
        </w:rPr>
        <w:t>‎‎</w:t>
      </w:r>
      <w:r>
        <w:rPr>
          <w:rFonts w:ascii="Book Antiqua" w:hAnsi="Book Antiqua"/>
        </w:rPr>
        <w:t>1018. DOI: 10.1136/gutjnl-2020-320953</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Hikmet F</w:t>
      </w:r>
      <w:r>
        <w:rPr>
          <w:rFonts w:ascii="Book Antiqua" w:hAnsi="Book Antiqua"/>
        </w:rPr>
        <w:t xml:space="preserve">, Méar L, Edvinsson Å, Micke P, Uhlén M, Lindskog C. The protein expression profile of ACE2 in human tissues. </w:t>
      </w:r>
      <w:r>
        <w:rPr>
          <w:rFonts w:ascii="Book Antiqua" w:hAnsi="Book Antiqua"/>
          <w:i/>
          <w:iCs/>
        </w:rPr>
        <w:t>Mol Syst Biol</w:t>
      </w:r>
      <w:r>
        <w:rPr>
          <w:rFonts w:ascii="Book Antiqua" w:hAnsi="Book Antiqua"/>
        </w:rPr>
        <w:t xml:space="preserve"> 2020; </w:t>
      </w:r>
      <w:r>
        <w:rPr>
          <w:rFonts w:ascii="Book Antiqua" w:hAnsi="Book Antiqua"/>
          <w:b/>
          <w:bCs/>
        </w:rPr>
        <w:t>16</w:t>
      </w:r>
      <w:r>
        <w:rPr>
          <w:rFonts w:ascii="Book Antiqua" w:hAnsi="Book Antiqua"/>
        </w:rPr>
        <w:t>: e9610 [PMID: 32715618 DOI: 10.15252/msb.20209610]</w:t>
      </w:r>
    </w:p>
    <w:p>
      <w:pPr>
        <w:pStyle w:val="5"/>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Saeed NK,</w:t>
      </w:r>
      <w:r>
        <w:rPr>
          <w:rFonts w:ascii="Book Antiqua" w:hAnsi="Book Antiqua"/>
        </w:rPr>
        <w:t xml:space="preserve"> Al-Biltagi M, Bediwy AS. Molecular Testing for COVID-19: What the Clinician </w:t>
      </w:r>
      <w:r>
        <w:rPr>
          <w:rFonts w:hint="eastAsia" w:ascii="MS Mincho" w:hAnsi="MS Mincho" w:eastAsia="MS Mincho" w:cs="MS Mincho"/>
        </w:rPr>
        <w:t>‎</w:t>
      </w:r>
      <w:r>
        <w:rPr>
          <w:rFonts w:ascii="Book Antiqua" w:hAnsi="Book Antiqua"/>
        </w:rPr>
        <w:t xml:space="preserve">Should Know. Dr. SulaimanAl Habib Medical Journal 2021; 53-59 [DOI: </w:t>
      </w:r>
      <w:r>
        <w:rPr>
          <w:rFonts w:hint="eastAsia" w:ascii="MS Mincho" w:hAnsi="MS Mincho" w:eastAsia="MS Mincho" w:cs="MS Mincho"/>
        </w:rPr>
        <w:t>‎‎</w:t>
      </w:r>
      <w:r>
        <w:rPr>
          <w:rFonts w:ascii="Book Antiqua" w:hAnsi="Book Antiqua"/>
        </w:rPr>
        <w:t xml:space="preserve">10.2991/dsahmj.k.210427.002] </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Bauer L</w:t>
      </w:r>
      <w:r>
        <w:rPr>
          <w:rFonts w:ascii="Book Antiqua" w:hAnsi="Book Antiqua"/>
        </w:rPr>
        <w:t xml:space="preserve">, Laksono BM, de Vrij FMS, Kushner SA, Harschnitz O, van Riel D. The neuroinvasiveness, neurotropism, and neurovirulence of SARS-CoV-2. </w:t>
      </w:r>
      <w:r>
        <w:rPr>
          <w:rFonts w:ascii="Book Antiqua" w:hAnsi="Book Antiqua"/>
          <w:i/>
          <w:iCs/>
        </w:rPr>
        <w:t>Trends Neurosci</w:t>
      </w:r>
      <w:r>
        <w:rPr>
          <w:rFonts w:ascii="Book Antiqua" w:hAnsi="Book Antiqua"/>
        </w:rPr>
        <w:t xml:space="preserve"> 2022; </w:t>
      </w:r>
      <w:r>
        <w:rPr>
          <w:rFonts w:ascii="Book Antiqua" w:hAnsi="Book Antiqua"/>
          <w:b/>
          <w:bCs/>
        </w:rPr>
        <w:t>45</w:t>
      </w:r>
      <w:r>
        <w:rPr>
          <w:rFonts w:ascii="Book Antiqua" w:hAnsi="Book Antiqua"/>
        </w:rPr>
        <w:t>: 358-368 [PMID: 35279295 DOI: 10.1016/j.tins.2022.02.006]</w:t>
      </w:r>
    </w:p>
    <w:p>
      <w:pPr>
        <w:pStyle w:val="5"/>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De Felice FG</w:t>
      </w:r>
      <w:r>
        <w:rPr>
          <w:rFonts w:ascii="Book Antiqua" w:hAnsi="Book Antiqua"/>
        </w:rPr>
        <w:t xml:space="preserve">, Tovar-Moll F, Moll J, Munoz DP, Ferreira ST. Severe Acute Respiratory Syndrome Coronavirus 2 (SARS-CoV-2) and the Central Nervous System. </w:t>
      </w:r>
      <w:r>
        <w:rPr>
          <w:rFonts w:ascii="Book Antiqua" w:hAnsi="Book Antiqua"/>
          <w:i/>
          <w:iCs/>
        </w:rPr>
        <w:t>Trends Neurosci</w:t>
      </w:r>
      <w:r>
        <w:rPr>
          <w:rFonts w:ascii="Book Antiqua" w:hAnsi="Book Antiqua"/>
        </w:rPr>
        <w:t xml:space="preserve"> 2020; </w:t>
      </w:r>
      <w:r>
        <w:rPr>
          <w:rFonts w:ascii="Book Antiqua" w:hAnsi="Book Antiqua"/>
          <w:b/>
          <w:bCs/>
        </w:rPr>
        <w:t>43</w:t>
      </w:r>
      <w:r>
        <w:rPr>
          <w:rFonts w:ascii="Book Antiqua" w:hAnsi="Book Antiqua"/>
        </w:rPr>
        <w:t>: 355-357 [PMID: 32359765 DOI: 10.1016/j.tins.2020.04.004]</w:t>
      </w:r>
    </w:p>
    <w:p>
      <w:pPr>
        <w:pStyle w:val="5"/>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Swanson PA 2nd</w:t>
      </w:r>
      <w:r>
        <w:rPr>
          <w:rFonts w:ascii="Book Antiqua" w:hAnsi="Book Antiqua"/>
        </w:rPr>
        <w:t xml:space="preserve">, McGavern DB. Viral diseases of the central nervous system. </w:t>
      </w:r>
      <w:r>
        <w:rPr>
          <w:rFonts w:ascii="Book Antiqua" w:hAnsi="Book Antiqua"/>
          <w:i/>
          <w:iCs/>
        </w:rPr>
        <w:t>Curr Opin Virol</w:t>
      </w:r>
      <w:r>
        <w:rPr>
          <w:rFonts w:ascii="Book Antiqua" w:hAnsi="Book Antiqua"/>
        </w:rPr>
        <w:t xml:space="preserve"> 2015; </w:t>
      </w:r>
      <w:r>
        <w:rPr>
          <w:rFonts w:ascii="Book Antiqua" w:hAnsi="Book Antiqua"/>
          <w:b/>
          <w:bCs/>
        </w:rPr>
        <w:t>11</w:t>
      </w:r>
      <w:r>
        <w:rPr>
          <w:rFonts w:ascii="Book Antiqua" w:hAnsi="Book Antiqua"/>
        </w:rPr>
        <w:t>: 44-54 [PMID: 25681709 DOI: 10.1016/j.coviro.2014.12.009]</w:t>
      </w:r>
    </w:p>
    <w:p>
      <w:pPr>
        <w:pStyle w:val="5"/>
        <w:spacing w:before="0" w:beforeAutospacing="0" w:after="0" w:afterAutospacing="0" w:line="360" w:lineRule="auto"/>
        <w:jc w:val="both"/>
        <w:rPr>
          <w:rFonts w:ascii="Book Antiqua" w:hAnsi="Book Antiqua"/>
          <w:lang w:val="de-DE"/>
        </w:rPr>
      </w:pPr>
      <w:r>
        <w:rPr>
          <w:rFonts w:ascii="Book Antiqua" w:hAnsi="Book Antiqua"/>
        </w:rPr>
        <w:t xml:space="preserve">34 </w:t>
      </w:r>
      <w:r>
        <w:rPr>
          <w:rFonts w:ascii="Book Antiqua" w:hAnsi="Book Antiqua"/>
          <w:b/>
          <w:bCs/>
        </w:rPr>
        <w:t>Esposito G</w:t>
      </w:r>
      <w:r>
        <w:rPr>
          <w:rFonts w:ascii="Book Antiqua" w:hAnsi="Book Antiqua"/>
        </w:rPr>
        <w:t xml:space="preserve">, Pesce M, Seguella L, Sanseverino W, Lu J, Sarnelli G. Can the enteric nervous system be an alternative entrance door in SARS-CoV2 neuroinvasion? </w:t>
      </w:r>
      <w:r>
        <w:rPr>
          <w:rFonts w:ascii="Book Antiqua" w:hAnsi="Book Antiqua"/>
          <w:i/>
          <w:iCs/>
          <w:lang w:val="de-DE"/>
        </w:rPr>
        <w:t>Brain Behav Immun</w:t>
      </w:r>
      <w:r>
        <w:rPr>
          <w:rFonts w:ascii="Book Antiqua" w:hAnsi="Book Antiqua"/>
          <w:lang w:val="de-DE"/>
        </w:rPr>
        <w:t xml:space="preserve"> 2020; </w:t>
      </w:r>
      <w:r>
        <w:rPr>
          <w:rFonts w:ascii="Book Antiqua" w:hAnsi="Book Antiqua"/>
          <w:b/>
          <w:bCs/>
          <w:lang w:val="de-DE"/>
        </w:rPr>
        <w:t>87</w:t>
      </w:r>
      <w:r>
        <w:rPr>
          <w:rFonts w:ascii="Book Antiqua" w:hAnsi="Book Antiqua"/>
          <w:lang w:val="de-DE"/>
        </w:rPr>
        <w:t>: 93-94 [PMID: 32335192 DOI: 10.1016/j.bbi.2020.04.060]</w:t>
      </w:r>
    </w:p>
    <w:p>
      <w:pPr>
        <w:pStyle w:val="5"/>
        <w:spacing w:before="0" w:beforeAutospacing="0" w:after="0" w:afterAutospacing="0" w:line="360" w:lineRule="auto"/>
        <w:jc w:val="both"/>
        <w:rPr>
          <w:rFonts w:ascii="Book Antiqua" w:hAnsi="Book Antiqua"/>
        </w:rPr>
      </w:pPr>
      <w:r>
        <w:rPr>
          <w:rFonts w:ascii="Book Antiqua" w:hAnsi="Book Antiqua"/>
          <w:lang w:val="de-DE"/>
        </w:rPr>
        <w:t xml:space="preserve">35 </w:t>
      </w:r>
      <w:r>
        <w:rPr>
          <w:rFonts w:ascii="Book Antiqua" w:hAnsi="Book Antiqua"/>
          <w:b/>
          <w:bCs/>
          <w:lang w:val="de-DE"/>
        </w:rPr>
        <w:t>Deffner F</w:t>
      </w:r>
      <w:r>
        <w:rPr>
          <w:rFonts w:ascii="Book Antiqua" w:hAnsi="Book Antiqua"/>
          <w:lang w:val="de-DE"/>
        </w:rPr>
        <w:t xml:space="preserve">, Scharr M, Klingenstein S, Klingenstein M, Milazzo A, Scherer S, Wagner A, Hirt B, Mack AF, Neckel PH. </w:t>
      </w:r>
      <w:r>
        <w:rPr>
          <w:rFonts w:ascii="Book Antiqua" w:hAnsi="Book Antiqua"/>
        </w:rPr>
        <w:t xml:space="preserve">Histological Evidence for the Enteric Nervous System and the Choroid Plexus as Alternative Routes of Neuroinvasion by SARS-CoV2. </w:t>
      </w:r>
      <w:r>
        <w:rPr>
          <w:rFonts w:ascii="Book Antiqua" w:hAnsi="Book Antiqua"/>
          <w:i/>
          <w:iCs/>
        </w:rPr>
        <w:t>Front Neuroanat</w:t>
      </w:r>
      <w:r>
        <w:rPr>
          <w:rFonts w:ascii="Book Antiqua" w:hAnsi="Book Antiqua"/>
        </w:rPr>
        <w:t xml:space="preserve"> 2020; </w:t>
      </w:r>
      <w:r>
        <w:rPr>
          <w:rFonts w:ascii="Book Antiqua" w:hAnsi="Book Antiqua"/>
          <w:b/>
          <w:bCs/>
        </w:rPr>
        <w:t>14</w:t>
      </w:r>
      <w:r>
        <w:rPr>
          <w:rFonts w:ascii="Book Antiqua" w:hAnsi="Book Antiqua"/>
        </w:rPr>
        <w:t>: 596439 [PMID: 33122999 DOI: 10.3389/fnana.2020.596439]</w:t>
      </w:r>
    </w:p>
    <w:p>
      <w:pPr>
        <w:pStyle w:val="5"/>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Andrews MG</w:t>
      </w:r>
      <w:r>
        <w:rPr>
          <w:rFonts w:ascii="Book Antiqua" w:hAnsi="Book Antiqua"/>
        </w:rPr>
        <w:t xml:space="preserve">, Mukhtar T, Eze UC, Simoneau CR, Ross J, Parikshak N, Wang S, Zhou L, Koontz M, Velmeshev D, Siebert CV, Gemenes KM, Tabata T, Perez Y, Wang L, Mostajo-Radji MA, de Majo M, Donohue KC, Shin D, Salma J, Pollen AA, Nowakowski TJ, Ullian E, Kumar GR, Winkler EA, Crouch EE, Ott M, Kriegstein AR. Tropism of SARS-CoV-2 for human cortical astrocytes. </w:t>
      </w:r>
      <w:r>
        <w:rPr>
          <w:rFonts w:ascii="Book Antiqua" w:hAnsi="Book Antiqua"/>
          <w:i/>
          <w:iCs/>
        </w:rPr>
        <w:t>Proc Natl Acad Sci U S A</w:t>
      </w:r>
      <w:r>
        <w:rPr>
          <w:rFonts w:ascii="Book Antiqua" w:hAnsi="Book Antiqua"/>
        </w:rPr>
        <w:t xml:space="preserve"> 2022; </w:t>
      </w:r>
      <w:r>
        <w:rPr>
          <w:rFonts w:ascii="Book Antiqua" w:hAnsi="Book Antiqua"/>
          <w:b/>
          <w:bCs/>
        </w:rPr>
        <w:t>119</w:t>
      </w:r>
      <w:r>
        <w:rPr>
          <w:rFonts w:ascii="Book Antiqua" w:hAnsi="Book Antiqua"/>
        </w:rPr>
        <w:t>: e2122236119 [PMID: 35858406 DOI: 10.1073/pnas.2122236119]</w:t>
      </w:r>
    </w:p>
    <w:p>
      <w:pPr>
        <w:pStyle w:val="5"/>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Benny M</w:t>
      </w:r>
      <w:r>
        <w:rPr>
          <w:rFonts w:ascii="Book Antiqua" w:hAnsi="Book Antiqua"/>
        </w:rPr>
        <w:t xml:space="preserve">, Bandstra ES, Saad AG, Lopez-Alberola R, Saigal G, Paidas MJ, Jayakumar AR, Duara S. Maternal SARS-CoV-2, Placental Changes and Brain Injury in 2 Neonates. </w:t>
      </w:r>
      <w:r>
        <w:rPr>
          <w:rFonts w:ascii="Book Antiqua" w:hAnsi="Book Antiqua"/>
          <w:i/>
          <w:iCs/>
        </w:rPr>
        <w:t>Pediatrics</w:t>
      </w:r>
      <w:r>
        <w:rPr>
          <w:rFonts w:ascii="Book Antiqua" w:hAnsi="Book Antiqua"/>
        </w:rPr>
        <w:t xml:space="preserve"> 2023; </w:t>
      </w:r>
      <w:r>
        <w:rPr>
          <w:rFonts w:ascii="Book Antiqua" w:hAnsi="Book Antiqua"/>
          <w:b/>
          <w:bCs/>
        </w:rPr>
        <w:t>151</w:t>
      </w:r>
      <w:r>
        <w:rPr>
          <w:rFonts w:ascii="Book Antiqua" w:hAnsi="Book Antiqua"/>
        </w:rPr>
        <w:t xml:space="preserve"> [PMID: 37021494 DOI: 10.1542/peds.2022-058271]</w:t>
      </w:r>
    </w:p>
    <w:p>
      <w:pPr>
        <w:pStyle w:val="5"/>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Veleri S</w:t>
      </w:r>
      <w:r>
        <w:rPr>
          <w:rFonts w:ascii="Book Antiqua" w:hAnsi="Book Antiqua"/>
        </w:rPr>
        <w:t xml:space="preserve">. Neurotropism of SARS-CoV-2 and neurological diseases of the central nervous system in COVID-19 patients. </w:t>
      </w:r>
      <w:r>
        <w:rPr>
          <w:rFonts w:ascii="Book Antiqua" w:hAnsi="Book Antiqua"/>
          <w:i/>
          <w:iCs/>
        </w:rPr>
        <w:t>Exp Brain Res</w:t>
      </w:r>
      <w:r>
        <w:rPr>
          <w:rFonts w:ascii="Book Antiqua" w:hAnsi="Book Antiqua"/>
        </w:rPr>
        <w:t xml:space="preserve"> 2022; </w:t>
      </w:r>
      <w:r>
        <w:rPr>
          <w:rFonts w:ascii="Book Antiqua" w:hAnsi="Book Antiqua"/>
          <w:b/>
          <w:bCs/>
        </w:rPr>
        <w:t>240</w:t>
      </w:r>
      <w:r>
        <w:rPr>
          <w:rFonts w:ascii="Book Antiqua" w:hAnsi="Book Antiqua"/>
        </w:rPr>
        <w:t>: 9-25 [PMID: 34694467 DOI: 10.1007/s00221-021-06244-z]</w:t>
      </w:r>
    </w:p>
    <w:p>
      <w:pPr>
        <w:pStyle w:val="5"/>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Troisi J</w:t>
      </w:r>
      <w:r>
        <w:rPr>
          <w:rFonts w:ascii="Book Antiqua" w:hAnsi="Book Antiqua"/>
        </w:rPr>
        <w:t xml:space="preserve">, Venutolo G, Pujolassos Tanyà M, Delli Carri M, Landolfi A, Fasano A. COVID-19 and the gastrointestinal tract: Source of infection or merely a target of the inflammatory process following SARS-CoV-2 infection?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1406-1418 [PMID: 33911464 DOI: 10.3748/wjg.v27.i14.1406]</w:t>
      </w:r>
    </w:p>
    <w:p>
      <w:pPr>
        <w:pStyle w:val="5"/>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Hashimoto T</w:t>
      </w:r>
      <w:r>
        <w:rPr>
          <w:rFonts w:ascii="Book Antiqua" w:hAnsi="Book Antiqua"/>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Pr>
          <w:rFonts w:ascii="Book Antiqua" w:hAnsi="Book Antiqua"/>
          <w:i/>
          <w:iCs/>
        </w:rPr>
        <w:t>Nature</w:t>
      </w:r>
      <w:r>
        <w:rPr>
          <w:rFonts w:ascii="Book Antiqua" w:hAnsi="Book Antiqua"/>
        </w:rPr>
        <w:t xml:space="preserve"> 2012; </w:t>
      </w:r>
      <w:r>
        <w:rPr>
          <w:rFonts w:ascii="Book Antiqua" w:hAnsi="Book Antiqua"/>
          <w:b/>
          <w:bCs/>
        </w:rPr>
        <w:t>487</w:t>
      </w:r>
      <w:r>
        <w:rPr>
          <w:rFonts w:ascii="Book Antiqua" w:hAnsi="Book Antiqua"/>
        </w:rPr>
        <w:t>: 477-481 [PMID: 22837003 DOI: 10.1038/nature11228]</w:t>
      </w:r>
    </w:p>
    <w:p>
      <w:pPr>
        <w:pStyle w:val="5"/>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Kim S</w:t>
      </w:r>
      <w:r>
        <w:rPr>
          <w:rFonts w:ascii="Book Antiqua" w:hAnsi="Book Antiqua"/>
        </w:rPr>
        <w:t xml:space="preserve">, Rigatto K, Gazzana MB, Knorst MM, Richards EM, Pepine CJ, Raizada MK. Altered Gut Microbiome Profile in Patients With Pulmonary Arterial Hypertension. </w:t>
      </w:r>
      <w:r>
        <w:rPr>
          <w:rFonts w:ascii="Book Antiqua" w:hAnsi="Book Antiqua"/>
          <w:i/>
          <w:iCs/>
        </w:rPr>
        <w:t>Hypertension</w:t>
      </w:r>
      <w:r>
        <w:rPr>
          <w:rFonts w:ascii="Book Antiqua" w:hAnsi="Book Antiqua"/>
        </w:rPr>
        <w:t xml:space="preserve"> 2020; </w:t>
      </w:r>
      <w:r>
        <w:rPr>
          <w:rFonts w:ascii="Book Antiqua" w:hAnsi="Book Antiqua"/>
          <w:b/>
          <w:bCs/>
        </w:rPr>
        <w:t>75</w:t>
      </w:r>
      <w:r>
        <w:rPr>
          <w:rFonts w:ascii="Book Antiqua" w:hAnsi="Book Antiqua"/>
        </w:rPr>
        <w:t>: 1063-1071 [PMID: 32088998 DOI: 10.1161/HYPERTENSIONAHA.119.14294]</w:t>
      </w:r>
    </w:p>
    <w:p>
      <w:pPr>
        <w:pStyle w:val="5"/>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Villapol S</w:t>
      </w:r>
      <w:r>
        <w:rPr>
          <w:rFonts w:ascii="Book Antiqua" w:hAnsi="Book Antiqua"/>
        </w:rPr>
        <w:t xml:space="preserve">. Gastrointestinal symptoms associated with COVID-19: impact on the gut microbiome. </w:t>
      </w:r>
      <w:r>
        <w:rPr>
          <w:rFonts w:ascii="Book Antiqua" w:hAnsi="Book Antiqua"/>
          <w:i/>
          <w:iCs/>
        </w:rPr>
        <w:t>Transl Res</w:t>
      </w:r>
      <w:r>
        <w:rPr>
          <w:rFonts w:ascii="Book Antiqua" w:hAnsi="Book Antiqua"/>
        </w:rPr>
        <w:t xml:space="preserve"> 2020; </w:t>
      </w:r>
      <w:r>
        <w:rPr>
          <w:rFonts w:ascii="Book Antiqua" w:hAnsi="Book Antiqua"/>
          <w:b/>
          <w:bCs/>
        </w:rPr>
        <w:t>226</w:t>
      </w:r>
      <w:r>
        <w:rPr>
          <w:rFonts w:ascii="Book Antiqua" w:hAnsi="Book Antiqua"/>
        </w:rPr>
        <w:t>: 57-69 [PMID: 32827705 DOI: 10.1016/j.trsl.2020.08.004]</w:t>
      </w:r>
    </w:p>
    <w:p>
      <w:pPr>
        <w:pStyle w:val="5"/>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Saeed NK</w:t>
      </w:r>
      <w:r>
        <w:rPr>
          <w:rFonts w:ascii="Book Antiqua" w:hAnsi="Book Antiqua"/>
        </w:rPr>
        <w:t xml:space="preserve">, Al-Beltagi M, Bediwy AS, El-Sawaf Y, Toema O. Gut microbiota in various childhood disorders: Implication and indications.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1875-1901 [PMID: 35664966 DOI: 10.3748/wjg.v28.i18.1875]</w:t>
      </w:r>
    </w:p>
    <w:p>
      <w:pPr>
        <w:pStyle w:val="5"/>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Marasco G</w:t>
      </w:r>
      <w:r>
        <w:rPr>
          <w:rFonts w:ascii="Book Antiqua" w:hAnsi="Book Antiqua"/>
        </w:rPr>
        <w:t xml:space="preserve">, Lenti MV, Cremon C, Barbaro MR, Stanghellini V, Di Sabatino A, Barbara G. Implications of SARS-CoV-2 infection for neurogastroenterology. </w:t>
      </w:r>
      <w:r>
        <w:rPr>
          <w:rFonts w:ascii="Book Antiqua" w:hAnsi="Book Antiqua"/>
          <w:i/>
          <w:iCs/>
        </w:rPr>
        <w:t>Neurogastroenterol Motil</w:t>
      </w:r>
      <w:r>
        <w:rPr>
          <w:rFonts w:ascii="Book Antiqua" w:hAnsi="Book Antiqua"/>
        </w:rPr>
        <w:t xml:space="preserve"> 2021; </w:t>
      </w:r>
      <w:r>
        <w:rPr>
          <w:rFonts w:ascii="Book Antiqua" w:hAnsi="Book Antiqua"/>
          <w:b/>
          <w:bCs/>
        </w:rPr>
        <w:t>33</w:t>
      </w:r>
      <w:r>
        <w:rPr>
          <w:rFonts w:ascii="Book Antiqua" w:hAnsi="Book Antiqua"/>
        </w:rPr>
        <w:t>: e14104 [PMID: 33591607 DOI: 10.1111/nmo.14104]</w:t>
      </w:r>
    </w:p>
    <w:p>
      <w:pPr>
        <w:pStyle w:val="5"/>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Mao R</w:t>
      </w:r>
      <w:r>
        <w:rPr>
          <w:rFonts w:ascii="Book Antiqua" w:hAnsi="Book Antiqua"/>
        </w:rPr>
        <w:t xml:space="preserve">, Qiu Y, He JS, Tan JY, Li XH, Liang J, Shen J, Zhu LR, Chen Y, Iacucci M, Ng SC, Ghosh S, Chen MH. Manifestations and prognosis of gastrointestinal and liver involvement in patients with COVID-19: a systematic review and meta-analysis.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667-678 [PMID: 32405603 DOI: 10.1016/S2468-1253(20)30126-6]</w:t>
      </w:r>
    </w:p>
    <w:p>
      <w:pPr>
        <w:pStyle w:val="5"/>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Chigr F</w:t>
      </w:r>
      <w:r>
        <w:rPr>
          <w:rFonts w:ascii="Book Antiqua" w:hAnsi="Book Antiqua"/>
        </w:rPr>
        <w:t xml:space="preserve">, Merzouki M, Najimi M. Autonomic Brain Centers and Pathophysiology of COVID-19. </w:t>
      </w:r>
      <w:r>
        <w:rPr>
          <w:rFonts w:ascii="Book Antiqua" w:hAnsi="Book Antiqua"/>
          <w:i/>
          <w:iCs/>
        </w:rPr>
        <w:t>ACS Chem Neurosci</w:t>
      </w:r>
      <w:r>
        <w:rPr>
          <w:rFonts w:ascii="Book Antiqua" w:hAnsi="Book Antiqua"/>
        </w:rPr>
        <w:t xml:space="preserve"> 2020; </w:t>
      </w:r>
      <w:r>
        <w:rPr>
          <w:rFonts w:ascii="Book Antiqua" w:hAnsi="Book Antiqua"/>
          <w:b/>
          <w:bCs/>
        </w:rPr>
        <w:t>11</w:t>
      </w:r>
      <w:r>
        <w:rPr>
          <w:rFonts w:ascii="Book Antiqua" w:hAnsi="Book Antiqua"/>
        </w:rPr>
        <w:t>: 1520-1522 [PMID: 32427468 DOI: 10.1021/acschemneuro.0c00265]</w:t>
      </w:r>
    </w:p>
    <w:p>
      <w:pPr>
        <w:pStyle w:val="5"/>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Feldstein LR</w:t>
      </w:r>
      <w:r>
        <w:rPr>
          <w:rFonts w:ascii="Book Antiqua" w:hAnsi="Book Antiqua"/>
        </w:rPr>
        <w:t xml:space="preserve">, Rose EB, Horwitz SM, Collins JP, Newhams MM, Son MBF, Newburger JW, Kleinman LC, Heidemann SM, Martin AA, Singh AR, Li S, Tarquinio KM, Jaggi P, Oster ME, Zackai SP, Gillen J, Ratner AJ, Walsh RF, Fitzgerald JC, Keenaghan MA, Alharash H, Doymaz S, Clouser KN, Giuliano JS Jr, Gupta A, Parker RM, Maddux AB, Havalad V, Ramsingh S, Bukulmez H, Bradford TT, Smith LS, Tenforde MW, Carroll CL, Riggs BJ, Gertz SJ, Daube A, Lansell A, Coronado Munoz A, Hobbs CV, Marohn KL, Halasa NB, Patel MM, Randolph AG; Overcoming COVID-19 Investigators; CDC COVID-19 Response Team. Multisystem Inflammatory Syndrome in U.S. Children and Adolescents.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334-346 [PMID: 32598831 DOI: 10.1056/NEJMoa2021680]</w:t>
      </w:r>
    </w:p>
    <w:p>
      <w:pPr>
        <w:pStyle w:val="5"/>
        <w:spacing w:before="0" w:beforeAutospacing="0" w:after="0" w:afterAutospacing="0" w:line="360" w:lineRule="auto"/>
        <w:jc w:val="both"/>
        <w:rPr>
          <w:rFonts w:ascii="Book Antiqua" w:hAnsi="Book Antiqua"/>
        </w:rPr>
      </w:pPr>
      <w:r>
        <w:rPr>
          <w:rFonts w:ascii="Book Antiqua" w:hAnsi="Book Antiqua"/>
        </w:rPr>
        <w:t xml:space="preserve">48 </w:t>
      </w:r>
      <w:r>
        <w:rPr>
          <w:rFonts w:ascii="Book Antiqua" w:hAnsi="Book Antiqua"/>
          <w:b/>
          <w:bCs/>
        </w:rPr>
        <w:t>Lin L</w:t>
      </w:r>
      <w:r>
        <w:rPr>
          <w:rFonts w:ascii="Book Antiqua" w:hAnsi="Book Antiqua"/>
        </w:rPr>
        <w:t xml:space="preserve">, Jiang X, Zhang Z, Huang S, Zhang Z, Fang Z, Gu Z, Gao L, Shi H, Mai L, Liu Y, Lin X, Lai R, Yan Z, Li X, Shan H. Gastrointestinal symptoms of 95 cases with SARS-CoV-2 infection.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997-1001 [PMID: 32241899 DOI: 10.1136/gutjnl-2020-321013]</w:t>
      </w:r>
    </w:p>
    <w:p>
      <w:pPr>
        <w:pStyle w:val="5"/>
        <w:spacing w:before="0" w:beforeAutospacing="0" w:after="0" w:afterAutospacing="0" w:line="360" w:lineRule="auto"/>
        <w:jc w:val="both"/>
        <w:rPr>
          <w:rFonts w:ascii="Book Antiqua" w:hAnsi="Book Antiqua"/>
        </w:rPr>
      </w:pPr>
      <w:r>
        <w:rPr>
          <w:rFonts w:ascii="Book Antiqua" w:hAnsi="Book Antiqua"/>
        </w:rPr>
        <w:t xml:space="preserve">49 </w:t>
      </w:r>
      <w:r>
        <w:rPr>
          <w:rFonts w:ascii="Book Antiqua" w:hAnsi="Book Antiqua"/>
          <w:b/>
          <w:bCs/>
        </w:rPr>
        <w:t>Bhayana R</w:t>
      </w:r>
      <w:r>
        <w:rPr>
          <w:rFonts w:ascii="Book Antiqua" w:hAnsi="Book Antiqua"/>
        </w:rPr>
        <w:t xml:space="preserve">, Som A, Li MD, Carey DE, Anderson MA, Blake MA, Catalano O, Gee MS, Hahn PF, Harisinghani M, Kilcoyne A, Lee SI, Mojtahed A, Pandharipande PV, Pierce TT, Rosman DA, Saini S, Samir AE, Simeone JF, Gervais DA, Velmahos G, Misdraji J, Kambadakone A. Abdominal Imaging Findings in COVID-19: Preliminary Observations. </w:t>
      </w:r>
      <w:r>
        <w:rPr>
          <w:rFonts w:ascii="Book Antiqua" w:hAnsi="Book Antiqua"/>
          <w:i/>
          <w:iCs/>
        </w:rPr>
        <w:t>Radiology</w:t>
      </w:r>
      <w:r>
        <w:rPr>
          <w:rFonts w:ascii="Book Antiqua" w:hAnsi="Book Antiqua"/>
        </w:rPr>
        <w:t xml:space="preserve"> 2020; </w:t>
      </w:r>
      <w:r>
        <w:rPr>
          <w:rFonts w:ascii="Book Antiqua" w:hAnsi="Book Antiqua"/>
          <w:b/>
          <w:bCs/>
        </w:rPr>
        <w:t>297</w:t>
      </w:r>
      <w:r>
        <w:rPr>
          <w:rFonts w:ascii="Book Antiqua" w:hAnsi="Book Antiqua"/>
        </w:rPr>
        <w:t>: E207-E215 [PMID: 32391742 DOI: 10.1148/radiol.2020201908]</w:t>
      </w:r>
    </w:p>
    <w:p>
      <w:pPr>
        <w:pStyle w:val="5"/>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Varga Z</w:t>
      </w:r>
      <w:r>
        <w:rPr>
          <w:rFonts w:ascii="Book Antiqua" w:hAnsi="Book Antiqua"/>
        </w:rPr>
        <w:t xml:space="preserve">, Flammer AJ, Steiger P, Haberecker M, Andermatt R, Zinkernagel AS, Mehra MR, Schuepbach RA, Ruschitzka F, Moch H. Endothelial cell infection and endotheliitis in COVID-19.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1417-1418 [PMID: 32325026 DOI: 10.1016/S0140-6736(20)30937-5]</w:t>
      </w:r>
    </w:p>
    <w:p>
      <w:pPr>
        <w:pStyle w:val="5"/>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Tian Y</w:t>
      </w:r>
      <w:r>
        <w:rPr>
          <w:rFonts w:ascii="Book Antiqua" w:hAnsi="Book Antiqua"/>
        </w:rPr>
        <w:t xml:space="preserve">, Rong L. Letter: gastrointestinal symptoms pre-admission are associated with greater severity of COVID-19-authors' reply. </w:t>
      </w:r>
      <w:r>
        <w:rPr>
          <w:rFonts w:ascii="Book Antiqua" w:hAnsi="Book Antiqua"/>
          <w:i/>
          <w:iCs/>
        </w:rPr>
        <w:t>Aliment Pharmacol Ther</w:t>
      </w:r>
      <w:r>
        <w:rPr>
          <w:rFonts w:ascii="Book Antiqua" w:hAnsi="Book Antiqua"/>
        </w:rPr>
        <w:t xml:space="preserve"> 2020; </w:t>
      </w:r>
      <w:r>
        <w:rPr>
          <w:rFonts w:ascii="Book Antiqua" w:hAnsi="Book Antiqua"/>
          <w:b/>
          <w:bCs/>
        </w:rPr>
        <w:t>52</w:t>
      </w:r>
      <w:r>
        <w:rPr>
          <w:rFonts w:ascii="Book Antiqua" w:hAnsi="Book Antiqua"/>
        </w:rPr>
        <w:t>: 1231-1232 [PMID: 33016539 DOI: 10.1111/apt.16045]</w:t>
      </w:r>
    </w:p>
    <w:p>
      <w:pPr>
        <w:pStyle w:val="5"/>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Chen X</w:t>
      </w:r>
      <w:r>
        <w:rPr>
          <w:rFonts w:ascii="Book Antiqua" w:hAnsi="Book Antiqua"/>
        </w:rPr>
        <w:t xml:space="preserve">, Laurent S, Onur OA, Kleineberg NN, Fink GR, Schweitzer F, Warnke C. A systematic review of neurological symptoms and complications of COVID-19. </w:t>
      </w:r>
      <w:r>
        <w:rPr>
          <w:rFonts w:ascii="Book Antiqua" w:hAnsi="Book Antiqua"/>
          <w:i/>
          <w:iCs/>
        </w:rPr>
        <w:t>J Neurol</w:t>
      </w:r>
      <w:r>
        <w:rPr>
          <w:rFonts w:ascii="Book Antiqua" w:hAnsi="Book Antiqua"/>
        </w:rPr>
        <w:t xml:space="preserve"> 2021; </w:t>
      </w:r>
      <w:r>
        <w:rPr>
          <w:rFonts w:ascii="Book Antiqua" w:hAnsi="Book Antiqua"/>
          <w:b/>
          <w:bCs/>
        </w:rPr>
        <w:t>268</w:t>
      </w:r>
      <w:r>
        <w:rPr>
          <w:rFonts w:ascii="Book Antiqua" w:hAnsi="Book Antiqua"/>
        </w:rPr>
        <w:t>: 392-402 [PMID: 32691236 DOI: 10.1007/s00415-020-10067-3]</w:t>
      </w:r>
    </w:p>
    <w:p>
      <w:pPr>
        <w:pStyle w:val="5"/>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Romero-Sánchez CM</w:t>
      </w:r>
      <w:r>
        <w:rPr>
          <w:rFonts w:ascii="Book Antiqua" w:hAnsi="Book Antiqua"/>
        </w:rPr>
        <w:t xml:space="preserve">, Díaz-Maroto I, Fernández-Díaz E, Sánchez-Larsen Á, Layos-Romero A, García-García J, González E, Redondo-Peñas I, Perona-Moratalla AB, Del Valle-Pérez JA, Gracia-Gil J, Rojas-Bartolomé L, Feria-Vilar I, Monteagudo M, Palao M, Palazón-García E, Alcahut-Rodríguez C, Sopelana-Garay D, Moreno Y, Ahmad J, Segura T. Neurologic manifestations in hospitalized patients with COVID-19: The ALBACOVID registry. </w:t>
      </w:r>
      <w:r>
        <w:rPr>
          <w:rFonts w:ascii="Book Antiqua" w:hAnsi="Book Antiqua"/>
          <w:i/>
          <w:iCs/>
        </w:rPr>
        <w:t>Neurology</w:t>
      </w:r>
      <w:r>
        <w:rPr>
          <w:rFonts w:ascii="Book Antiqua" w:hAnsi="Book Antiqua"/>
        </w:rPr>
        <w:t xml:space="preserve"> 2020; </w:t>
      </w:r>
      <w:r>
        <w:rPr>
          <w:rFonts w:ascii="Book Antiqua" w:hAnsi="Book Antiqua"/>
          <w:b/>
          <w:bCs/>
        </w:rPr>
        <w:t>95</w:t>
      </w:r>
      <w:r>
        <w:rPr>
          <w:rFonts w:ascii="Book Antiqua" w:hAnsi="Book Antiqua"/>
        </w:rPr>
        <w:t>: e1060-e1070 [PMID: 32482845 DOI: 10.1212/WNL.0000000000009937]</w:t>
      </w:r>
    </w:p>
    <w:p>
      <w:pPr>
        <w:pStyle w:val="5"/>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Jammoul M</w:t>
      </w:r>
      <w:r>
        <w:rPr>
          <w:rFonts w:ascii="Book Antiqua" w:hAnsi="Book Antiqua"/>
        </w:rPr>
        <w:t xml:space="preserve">, Naddour J, Madi A, Reslan MA, Hatoum F, Zeineddine J, Abou-Kheir W, Lawand N. Investigating the possible mechanisms of autonomic dysfunction post-COVID-19. </w:t>
      </w:r>
      <w:r>
        <w:rPr>
          <w:rFonts w:ascii="Book Antiqua" w:hAnsi="Book Antiqua"/>
          <w:i/>
          <w:iCs/>
        </w:rPr>
        <w:t>Auton Neurosci</w:t>
      </w:r>
      <w:r>
        <w:rPr>
          <w:rFonts w:ascii="Book Antiqua" w:hAnsi="Book Antiqua"/>
        </w:rPr>
        <w:t xml:space="preserve"> 2023; </w:t>
      </w:r>
      <w:r>
        <w:rPr>
          <w:rFonts w:ascii="Book Antiqua" w:hAnsi="Book Antiqua"/>
          <w:b/>
          <w:bCs/>
        </w:rPr>
        <w:t>245</w:t>
      </w:r>
      <w:r>
        <w:rPr>
          <w:rFonts w:ascii="Book Antiqua" w:hAnsi="Book Antiqua"/>
        </w:rPr>
        <w:t>: 103071 [PMID: 36580747 DOI: 10.1016/j.autneu.2022.103071]</w:t>
      </w:r>
    </w:p>
    <w:p>
      <w:pPr>
        <w:pStyle w:val="5"/>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Carmona-Torre F,</w:t>
      </w:r>
      <w:r>
        <w:rPr>
          <w:rFonts w:ascii="Book Antiqua" w:hAnsi="Book Antiqua"/>
        </w:rPr>
        <w:t xml:space="preserve"> Mínguez-Olaondo A, López-Bravo A, Tijero B, Grozeva V, Walcker M, </w:t>
      </w:r>
      <w:r>
        <w:rPr>
          <w:rFonts w:hint="eastAsia" w:ascii="MS Mincho" w:hAnsi="MS Mincho" w:eastAsia="MS Mincho" w:cs="MS Mincho"/>
        </w:rPr>
        <w:t>‎</w:t>
      </w:r>
      <w:r>
        <w:rPr>
          <w:rFonts w:ascii="Book Antiqua" w:hAnsi="Book Antiqua"/>
        </w:rPr>
        <w:t>Azkune-Galparsoro H, López de Munain A, Alcaide AB, Quiroga J, Del Pozo JL, Gómez-</w:t>
      </w:r>
      <w:r>
        <w:rPr>
          <w:rFonts w:hint="eastAsia" w:ascii="MS Mincho" w:hAnsi="MS Mincho" w:eastAsia="MS Mincho" w:cs="MS Mincho"/>
        </w:rPr>
        <w:t>‎</w:t>
      </w:r>
      <w:r>
        <w:rPr>
          <w:rFonts w:ascii="Book Antiqua" w:hAnsi="Book Antiqua"/>
        </w:rPr>
        <w:t xml:space="preserve">Esteban JC. Dysautonomia in COVID-19 Patients: A Narrative Review on Clinical Course, </w:t>
      </w:r>
      <w:r>
        <w:rPr>
          <w:rFonts w:hint="eastAsia" w:ascii="MS Mincho" w:hAnsi="MS Mincho" w:eastAsia="MS Mincho" w:cs="MS Mincho"/>
        </w:rPr>
        <w:t>‎</w:t>
      </w:r>
      <w:r>
        <w:rPr>
          <w:rFonts w:ascii="Book Antiqua" w:hAnsi="Book Antiqua"/>
        </w:rPr>
        <w:t xml:space="preserve">Diagnostic and Therapeutic Strategies. </w:t>
      </w:r>
      <w:r>
        <w:rPr>
          <w:rFonts w:ascii="Book Antiqua" w:hAnsi="Book Antiqua"/>
          <w:i/>
          <w:iCs/>
        </w:rPr>
        <w:t xml:space="preserve">Front Neurol </w:t>
      </w:r>
      <w:r>
        <w:rPr>
          <w:rFonts w:ascii="Book Antiqua" w:hAnsi="Book Antiqua"/>
        </w:rPr>
        <w:t xml:space="preserve">2022; </w:t>
      </w:r>
      <w:r>
        <w:rPr>
          <w:rFonts w:ascii="Book Antiqua" w:hAnsi="Book Antiqua"/>
          <w:b/>
          <w:bCs/>
        </w:rPr>
        <w:t xml:space="preserve">13: </w:t>
      </w:r>
      <w:r>
        <w:rPr>
          <w:rFonts w:ascii="Book Antiqua" w:hAnsi="Book Antiqua"/>
        </w:rPr>
        <w:t xml:space="preserve">886609 [PMID: </w:t>
      </w:r>
      <w:r>
        <w:rPr>
          <w:rFonts w:hint="eastAsia" w:ascii="MS Mincho" w:hAnsi="MS Mincho" w:eastAsia="MS Mincho" w:cs="MS Mincho"/>
        </w:rPr>
        <w:t>‎‎</w:t>
      </w:r>
      <w:r>
        <w:rPr>
          <w:rFonts w:ascii="Book Antiqua" w:hAnsi="Book Antiqua"/>
        </w:rPr>
        <w:t>35720084 DOI: 10.3389/fneur.2022.886609]</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56 </w:t>
      </w:r>
      <w:r>
        <w:rPr>
          <w:rFonts w:ascii="Book Antiqua" w:hAnsi="Book Antiqua"/>
          <w:b/>
          <w:bCs/>
        </w:rPr>
        <w:t>Nalbandian A</w:t>
      </w:r>
      <w:r>
        <w:rPr>
          <w:rFonts w:ascii="Book Antiqua" w:hAnsi="Book Antiqua"/>
        </w:rPr>
        <w:t xml:space="preserve">, Sehgal K, Gupta A, Madhavan MV, McGroder C, Stevens JS, Cook JR, Nordvig AS, Shalev D, Sehrawat TS, Ahluwalia N, Bikdeli B, Dietz D, Der-Nigoghossian C, Liyanage-Don N, Rosner GF, Bernstein EJ, Mohan S, Beckley AA, Seres DS, Choueiri TK, Uriel N, Ausiello JC, Accili D, Freedberg DE, Baldwin M, Schwartz A, Brodie D, Garcia CK, Elkind MSV, Connors JM, Bilezikian JP, Landry DW, Wan EY. Post-acute COVID-19 syndrome. </w:t>
      </w:r>
      <w:r>
        <w:rPr>
          <w:rFonts w:ascii="Book Antiqua" w:hAnsi="Book Antiqua"/>
          <w:i/>
          <w:iCs/>
        </w:rPr>
        <w:t>Nat Med</w:t>
      </w:r>
      <w:r>
        <w:rPr>
          <w:rFonts w:ascii="Book Antiqua" w:hAnsi="Book Antiqua"/>
        </w:rPr>
        <w:t xml:space="preserve"> 2021; </w:t>
      </w:r>
      <w:r>
        <w:rPr>
          <w:rFonts w:ascii="Book Antiqua" w:hAnsi="Book Antiqua"/>
          <w:b/>
          <w:bCs/>
        </w:rPr>
        <w:t>27</w:t>
      </w:r>
      <w:r>
        <w:rPr>
          <w:rFonts w:ascii="Book Antiqua" w:hAnsi="Book Antiqua"/>
        </w:rPr>
        <w:t>: 601-615 [PMID: 33753937 DOI: 10.1038/s41591-021-01283-z]</w:t>
      </w:r>
    </w:p>
    <w:p>
      <w:pPr>
        <w:pStyle w:val="5"/>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Erdal Y</w:t>
      </w:r>
      <w:r>
        <w:rPr>
          <w:rFonts w:ascii="Book Antiqua" w:hAnsi="Book Antiqua"/>
        </w:rPr>
        <w:t>, Atalar AC, Gunes T, Okluoglu T, Yavuz N, Emre U. Autonomic dysfunction in patients with COVID</w:t>
      </w:r>
      <w:r>
        <w:rPr>
          <w:rFonts w:ascii="Book Antiqua" w:hAnsi="Book Antiqua"/>
        </w:rPr>
        <w:noBreakHyphen/>
      </w:r>
      <w:r>
        <w:rPr>
          <w:rFonts w:ascii="Book Antiqua" w:hAnsi="Book Antiqua"/>
        </w:rPr>
        <w:t xml:space="preserve">19. </w:t>
      </w:r>
      <w:r>
        <w:rPr>
          <w:rFonts w:ascii="Book Antiqua" w:hAnsi="Book Antiqua"/>
          <w:i/>
          <w:iCs/>
        </w:rPr>
        <w:t>Acta Neurol Belg</w:t>
      </w:r>
      <w:r>
        <w:rPr>
          <w:rFonts w:ascii="Book Antiqua" w:hAnsi="Book Antiqua"/>
        </w:rPr>
        <w:t xml:space="preserve"> 2022; </w:t>
      </w:r>
      <w:r>
        <w:rPr>
          <w:rFonts w:ascii="Book Antiqua" w:hAnsi="Book Antiqua"/>
          <w:b/>
          <w:bCs/>
        </w:rPr>
        <w:t>122</w:t>
      </w:r>
      <w:r>
        <w:rPr>
          <w:rFonts w:ascii="Book Antiqua" w:hAnsi="Book Antiqua"/>
        </w:rPr>
        <w:t>: 885-891 [PMID: 35239131 DOI: 10.1007/s13760-022-01899-z]</w:t>
      </w:r>
    </w:p>
    <w:p>
      <w:pPr>
        <w:pStyle w:val="5"/>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Varma-Doyle A</w:t>
      </w:r>
      <w:r>
        <w:rPr>
          <w:rFonts w:ascii="Book Antiqua" w:hAnsi="Book Antiqua"/>
        </w:rPr>
        <w:t xml:space="preserve">, Villemarette-Pittman NR, Lelorier P, England J. Demonstrating new-onset or worsened sudomotor function post-COVID-19 on comparative analysis of autonomic function pre-and post-SARS-CoV-2 infection. </w:t>
      </w:r>
      <w:r>
        <w:rPr>
          <w:rFonts w:ascii="Book Antiqua" w:hAnsi="Book Antiqua"/>
          <w:i/>
          <w:iCs/>
        </w:rPr>
        <w:t>eNeurologicalSci</w:t>
      </w:r>
      <w:r>
        <w:rPr>
          <w:rFonts w:ascii="Book Antiqua" w:hAnsi="Book Antiqua"/>
        </w:rPr>
        <w:t xml:space="preserve"> 2023; </w:t>
      </w:r>
      <w:r>
        <w:rPr>
          <w:rFonts w:ascii="Book Antiqua" w:hAnsi="Book Antiqua"/>
          <w:b/>
          <w:bCs/>
        </w:rPr>
        <w:t>30</w:t>
      </w:r>
      <w:r>
        <w:rPr>
          <w:rFonts w:ascii="Book Antiqua" w:hAnsi="Book Antiqua"/>
        </w:rPr>
        <w:t>: 100445 [PMID: 36718227 DOI: 10.1016/j.ensci.2023.100445]</w:t>
      </w:r>
    </w:p>
    <w:p>
      <w:pPr>
        <w:pStyle w:val="5"/>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Scala I</w:t>
      </w:r>
      <w:r>
        <w:rPr>
          <w:rFonts w:ascii="Book Antiqua" w:hAnsi="Book Antiqua"/>
        </w:rPr>
        <w:t xml:space="preserve">, Bellavia S, Luigetti M, Brunetti V, Broccolini A, Gabrielli M, Zileri Dal Verme L, Calabresi P, Della Marca G, Frisullo G. Autonomic dysfunction in non-critically ill COVID-19 patients during the acute phase of disease: an observational, cross-sectional study. </w:t>
      </w:r>
      <w:r>
        <w:rPr>
          <w:rFonts w:ascii="Book Antiqua" w:hAnsi="Book Antiqua"/>
          <w:i/>
          <w:iCs/>
        </w:rPr>
        <w:t>Neurol Sci</w:t>
      </w:r>
      <w:r>
        <w:rPr>
          <w:rFonts w:ascii="Book Antiqua" w:hAnsi="Book Antiqua"/>
        </w:rPr>
        <w:t xml:space="preserve"> 2022; </w:t>
      </w:r>
      <w:r>
        <w:rPr>
          <w:rFonts w:ascii="Book Antiqua" w:hAnsi="Book Antiqua"/>
          <w:b/>
          <w:bCs/>
        </w:rPr>
        <w:t>43</w:t>
      </w:r>
      <w:r>
        <w:rPr>
          <w:rFonts w:ascii="Book Antiqua" w:hAnsi="Book Antiqua"/>
        </w:rPr>
        <w:t>: 4635-4643 [PMID: 35608736 DOI: 10.1007/s10072-022-06136-2]</w:t>
      </w:r>
    </w:p>
    <w:p>
      <w:pPr>
        <w:pStyle w:val="5"/>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Tan ND</w:t>
      </w:r>
      <w:r>
        <w:rPr>
          <w:rFonts w:ascii="Book Antiqua" w:hAnsi="Book Antiqua"/>
        </w:rPr>
        <w:t xml:space="preserve">, Qiu Y, Xing XB, Ghosh S, Chen MH, Mao R. Associations Between Angiotensin-Converting Enzyme Inhibitors and Angiotensin II Receptor Blocker Use, Gastrointestinal Symptoms, and Mortality Among Patients With COVID-19.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1170-1172.e1 [PMID: 32422208 DOI: 10.1053/j.gastro.2020.05.034]</w:t>
      </w:r>
    </w:p>
    <w:p>
      <w:pPr>
        <w:pStyle w:val="5"/>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Hyoju SK</w:t>
      </w:r>
      <w:r>
        <w:rPr>
          <w:rFonts w:ascii="Book Antiqua" w:hAnsi="Book Antiqua"/>
        </w:rPr>
        <w:t xml:space="preserve">, Zaborina O, van Goor H. SARS-CoV-2 and the sympathetic immune response: Dampening inflammation with antihypertensive drugs (Clonidine and Propranolol). </w:t>
      </w:r>
      <w:r>
        <w:rPr>
          <w:rFonts w:ascii="Book Antiqua" w:hAnsi="Book Antiqua"/>
          <w:i/>
          <w:iCs/>
        </w:rPr>
        <w:t>Med Hypotheses</w:t>
      </w:r>
      <w:r>
        <w:rPr>
          <w:rFonts w:ascii="Book Antiqua" w:hAnsi="Book Antiqua"/>
        </w:rPr>
        <w:t xml:space="preserve"> 2020; </w:t>
      </w:r>
      <w:r>
        <w:rPr>
          <w:rFonts w:ascii="Book Antiqua" w:hAnsi="Book Antiqua"/>
          <w:b/>
          <w:bCs/>
        </w:rPr>
        <w:t>144</w:t>
      </w:r>
      <w:r>
        <w:rPr>
          <w:rFonts w:ascii="Book Antiqua" w:hAnsi="Book Antiqua"/>
        </w:rPr>
        <w:t>: 110039 [PMID: 32758881 DOI: 10.1016/j.mehy.2020.110039]</w:t>
      </w:r>
    </w:p>
    <w:p>
      <w:pPr>
        <w:pStyle w:val="5"/>
        <w:spacing w:before="0" w:beforeAutospacing="0" w:after="0" w:afterAutospacing="0" w:line="360" w:lineRule="auto"/>
        <w:jc w:val="both"/>
        <w:rPr>
          <w:rFonts w:ascii="Book Antiqua" w:hAnsi="Book Antiqua"/>
        </w:rPr>
      </w:pPr>
      <w:r>
        <w:rPr>
          <w:rFonts w:ascii="Book Antiqua" w:hAnsi="Book Antiqua"/>
        </w:rPr>
        <w:t xml:space="preserve">62 </w:t>
      </w:r>
      <w:r>
        <w:rPr>
          <w:rFonts w:ascii="Book Antiqua" w:hAnsi="Book Antiqua"/>
          <w:b/>
          <w:bCs/>
        </w:rPr>
        <w:t>Porzionato A</w:t>
      </w:r>
      <w:r>
        <w:rPr>
          <w:rFonts w:ascii="Book Antiqua" w:hAnsi="Book Antiqua"/>
        </w:rPr>
        <w:t xml:space="preserve">, Emmi A, Barbon S, Boscolo-Berto R, Stecco C, Stocco E, Macchi V, De Caro R. Sympathetic activation: a potential link between comorbidities and COVID-19. </w:t>
      </w:r>
      <w:r>
        <w:rPr>
          <w:rFonts w:ascii="Book Antiqua" w:hAnsi="Book Antiqua"/>
          <w:i/>
          <w:iCs/>
        </w:rPr>
        <w:t>FEBS J</w:t>
      </w:r>
      <w:r>
        <w:rPr>
          <w:rFonts w:ascii="Book Antiqua" w:hAnsi="Book Antiqua"/>
        </w:rPr>
        <w:t xml:space="preserve"> 2020; </w:t>
      </w:r>
      <w:r>
        <w:rPr>
          <w:rFonts w:ascii="Book Antiqua" w:hAnsi="Book Antiqua"/>
          <w:b/>
          <w:bCs/>
        </w:rPr>
        <w:t>287</w:t>
      </w:r>
      <w:r>
        <w:rPr>
          <w:rFonts w:ascii="Book Antiqua" w:hAnsi="Book Antiqua"/>
        </w:rPr>
        <w:t>: 3681-3688 [PMID: 32779891 DOI: 10.1111/febs.15481]</w:t>
      </w:r>
    </w:p>
    <w:p>
      <w:pPr>
        <w:pStyle w:val="5"/>
        <w:spacing w:before="0" w:beforeAutospacing="0" w:after="0" w:afterAutospacing="0" w:line="360" w:lineRule="auto"/>
        <w:jc w:val="both"/>
        <w:rPr>
          <w:rFonts w:ascii="Book Antiqua" w:hAnsi="Book Antiqua"/>
        </w:rPr>
      </w:pPr>
      <w:r>
        <w:rPr>
          <w:rFonts w:ascii="Book Antiqua" w:hAnsi="Book Antiqua"/>
        </w:rPr>
        <w:t xml:space="preserve">63 </w:t>
      </w:r>
      <w:r>
        <w:rPr>
          <w:rFonts w:ascii="Book Antiqua" w:hAnsi="Book Antiqua"/>
          <w:b/>
          <w:bCs/>
        </w:rPr>
        <w:t>Seitz T</w:t>
      </w:r>
      <w:r>
        <w:rPr>
          <w:rFonts w:ascii="Book Antiqua" w:hAnsi="Book Antiqua"/>
        </w:rPr>
        <w:t xml:space="preserve">, Szeles JC, Kitzberger R, Holbik J, Grieb A, Wolf H, Akyaman H, Lucny F, Tychera A, Neuhold S, Zoufaly A, Wenisch C, Kaniusas E. Percutaneous Auricular Vagus Nerve Stimulation Reduces Inflammation in Critical Covid-19 Patients. </w:t>
      </w:r>
      <w:r>
        <w:rPr>
          <w:rFonts w:ascii="Book Antiqua" w:hAnsi="Book Antiqua"/>
          <w:i/>
          <w:iCs/>
        </w:rPr>
        <w:t>Front Physiol</w:t>
      </w:r>
      <w:r>
        <w:rPr>
          <w:rFonts w:ascii="Book Antiqua" w:hAnsi="Book Antiqua"/>
        </w:rPr>
        <w:t xml:space="preserve"> 2022; </w:t>
      </w:r>
      <w:r>
        <w:rPr>
          <w:rFonts w:ascii="Book Antiqua" w:hAnsi="Book Antiqua"/>
          <w:b/>
          <w:bCs/>
        </w:rPr>
        <w:t>13</w:t>
      </w:r>
      <w:r>
        <w:rPr>
          <w:rFonts w:ascii="Book Antiqua" w:hAnsi="Book Antiqua"/>
        </w:rPr>
        <w:t>: 897257 [PMID: 35860660 DOI: 10.3389/fphys.2022.897257]</w:t>
      </w:r>
    </w:p>
    <w:p>
      <w:pPr>
        <w:pStyle w:val="5"/>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Al-Kuraishy HM</w:t>
      </w:r>
      <w:r>
        <w:rPr>
          <w:rFonts w:ascii="Book Antiqua" w:hAnsi="Book Antiqua"/>
        </w:rPr>
        <w:t xml:space="preserve">, Al-Gareeb AI, Qusti S, Alshammari EM, Gyebi GA, Batiha GE. Covid-19-Induced Dysautonomia: A Menace of Sympathetic Storm. </w:t>
      </w:r>
      <w:r>
        <w:rPr>
          <w:rFonts w:ascii="Book Antiqua" w:hAnsi="Book Antiqua"/>
          <w:i/>
          <w:iCs/>
        </w:rPr>
        <w:t>ASN Neuro</w:t>
      </w:r>
      <w:r>
        <w:rPr>
          <w:rFonts w:ascii="Book Antiqua" w:hAnsi="Book Antiqua"/>
        </w:rPr>
        <w:t xml:space="preserve"> 2021; </w:t>
      </w:r>
      <w:r>
        <w:rPr>
          <w:rFonts w:ascii="Book Antiqua" w:hAnsi="Book Antiqua"/>
          <w:b/>
          <w:bCs/>
        </w:rPr>
        <w:t>13</w:t>
      </w:r>
      <w:r>
        <w:rPr>
          <w:rFonts w:ascii="Book Antiqua" w:hAnsi="Book Antiqua"/>
        </w:rPr>
        <w:t>: 17590914211057635 [PMID: 34755562 DOI: 10.1177/17590914211057635]</w:t>
      </w:r>
    </w:p>
    <w:p>
      <w:pPr>
        <w:pStyle w:val="5"/>
        <w:spacing w:before="0" w:beforeAutospacing="0" w:after="0" w:afterAutospacing="0" w:line="360" w:lineRule="auto"/>
        <w:jc w:val="both"/>
        <w:rPr>
          <w:rFonts w:ascii="Book Antiqua" w:hAnsi="Book Antiqua"/>
        </w:rPr>
      </w:pPr>
      <w:r>
        <w:rPr>
          <w:rFonts w:ascii="Book Antiqua" w:hAnsi="Book Antiqua"/>
        </w:rPr>
        <w:t xml:space="preserve">65 </w:t>
      </w:r>
      <w:r>
        <w:rPr>
          <w:rFonts w:ascii="Book Antiqua" w:hAnsi="Book Antiqua"/>
          <w:b/>
          <w:bCs/>
        </w:rPr>
        <w:t>Vasanthakumar N</w:t>
      </w:r>
      <w:r>
        <w:rPr>
          <w:rFonts w:ascii="Book Antiqua" w:hAnsi="Book Antiqua"/>
        </w:rPr>
        <w:t xml:space="preserve">. Beta-Adrenergic Blockers as a Potential Treatment for COVID-19 Patients. </w:t>
      </w:r>
      <w:r>
        <w:rPr>
          <w:rFonts w:ascii="Book Antiqua" w:hAnsi="Book Antiqua"/>
          <w:i/>
          <w:iCs/>
        </w:rPr>
        <w:t>Bioessays</w:t>
      </w:r>
      <w:r>
        <w:rPr>
          <w:rFonts w:ascii="Book Antiqua" w:hAnsi="Book Antiqua"/>
        </w:rPr>
        <w:t xml:space="preserve"> 2020; </w:t>
      </w:r>
      <w:r>
        <w:rPr>
          <w:rFonts w:ascii="Book Antiqua" w:hAnsi="Book Antiqua"/>
          <w:b/>
          <w:bCs/>
        </w:rPr>
        <w:t>42</w:t>
      </w:r>
      <w:r>
        <w:rPr>
          <w:rFonts w:ascii="Book Antiqua" w:hAnsi="Book Antiqua"/>
        </w:rPr>
        <w:t>: e2000094 [PMID: 32815593 DOI: 10.1002/bies.202000094]</w:t>
      </w:r>
    </w:p>
    <w:p>
      <w:pPr>
        <w:pStyle w:val="5"/>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Al-Beltagi M</w:t>
      </w:r>
      <w:r>
        <w:rPr>
          <w:rFonts w:ascii="Book Antiqua" w:hAnsi="Book Antiqua"/>
        </w:rPr>
        <w:t xml:space="preserve">, Saeed NK, Bediwy AS. COVID-19 disease and autoimmune disorders: A mutual pathway. </w:t>
      </w:r>
      <w:r>
        <w:rPr>
          <w:rFonts w:ascii="Book Antiqua" w:hAnsi="Book Antiqua"/>
          <w:i/>
          <w:iCs/>
        </w:rPr>
        <w:t>World J Methodol</w:t>
      </w:r>
      <w:r>
        <w:rPr>
          <w:rFonts w:ascii="Book Antiqua" w:hAnsi="Book Antiqua"/>
        </w:rPr>
        <w:t xml:space="preserve"> 2022; </w:t>
      </w:r>
      <w:r>
        <w:rPr>
          <w:rFonts w:ascii="Book Antiqua" w:hAnsi="Book Antiqua"/>
          <w:b/>
          <w:bCs/>
        </w:rPr>
        <w:t>12</w:t>
      </w:r>
      <w:r>
        <w:rPr>
          <w:rFonts w:ascii="Book Antiqua" w:hAnsi="Book Antiqua"/>
        </w:rPr>
        <w:t>: 200-223 [PMID: 36159097 DOI: 10.5662/wjm.v12.i4.200]</w:t>
      </w:r>
    </w:p>
    <w:p>
      <w:pPr>
        <w:pStyle w:val="5"/>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Chadda KR</w:t>
      </w:r>
      <w:r>
        <w:rPr>
          <w:rFonts w:ascii="Book Antiqua" w:hAnsi="Book Antiqua"/>
        </w:rPr>
        <w:t xml:space="preserve">, Blakey EE, Huang CL, Jeevaratnam K. Long COVID-19 and Postural Orthostatic Tachycardia Syndrome- Is Dysautonomia to Be Blamed? </w:t>
      </w:r>
      <w:r>
        <w:rPr>
          <w:rFonts w:ascii="Book Antiqua" w:hAnsi="Book Antiqua"/>
          <w:i/>
          <w:iCs/>
        </w:rPr>
        <w:t>Front Cardiovasc Med</w:t>
      </w:r>
      <w:r>
        <w:rPr>
          <w:rFonts w:ascii="Book Antiqua" w:hAnsi="Book Antiqua"/>
        </w:rPr>
        <w:t xml:space="preserve"> 2022; </w:t>
      </w:r>
      <w:r>
        <w:rPr>
          <w:rFonts w:ascii="Book Antiqua" w:hAnsi="Book Antiqua"/>
          <w:b/>
          <w:bCs/>
        </w:rPr>
        <w:t>9</w:t>
      </w:r>
      <w:r>
        <w:rPr>
          <w:rFonts w:ascii="Book Antiqua" w:hAnsi="Book Antiqua"/>
        </w:rPr>
        <w:t>: 860198 [PMID: 35355961 DOI: 10.3389/fcvm.2022.860198]</w:t>
      </w:r>
    </w:p>
    <w:p>
      <w:pPr>
        <w:pStyle w:val="5"/>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Lavi Y</w:t>
      </w:r>
      <w:r>
        <w:rPr>
          <w:rFonts w:ascii="Book Antiqua" w:hAnsi="Book Antiqua"/>
        </w:rPr>
        <w:t xml:space="preserve">, Vojdani A, Halpert G, Sharif K, Ostrinski Y, Zyskind I, Lattin MT, Zimmerman J, Silverberg JI, Rosenberg AZ, Shoenfeld Y, Amital H. Dysregulated Levels of Circulating Autoantibodies against Neuronal and Nervous System Autoantigens in COVID-19 Patients. </w:t>
      </w:r>
      <w:r>
        <w:rPr>
          <w:rFonts w:ascii="Book Antiqua" w:hAnsi="Book Antiqua"/>
          <w:i/>
          <w:iCs/>
        </w:rPr>
        <w:t>Diagnostics (Basel)</w:t>
      </w:r>
      <w:r>
        <w:rPr>
          <w:rFonts w:ascii="Book Antiqua" w:hAnsi="Book Antiqua"/>
        </w:rPr>
        <w:t xml:space="preserve"> 2023; </w:t>
      </w:r>
      <w:r>
        <w:rPr>
          <w:rFonts w:ascii="Book Antiqua" w:hAnsi="Book Antiqua"/>
          <w:b/>
          <w:bCs/>
        </w:rPr>
        <w:t>13</w:t>
      </w:r>
      <w:r>
        <w:rPr>
          <w:rFonts w:ascii="Book Antiqua" w:hAnsi="Book Antiqua"/>
        </w:rPr>
        <w:t xml:space="preserve"> [PMID: 36832180 DOI: 10.3390/diagnostics13040687]</w:t>
      </w:r>
    </w:p>
    <w:p>
      <w:pPr>
        <w:pStyle w:val="5"/>
        <w:spacing w:before="0" w:beforeAutospacing="0" w:after="0" w:afterAutospacing="0" w:line="360" w:lineRule="auto"/>
        <w:jc w:val="both"/>
        <w:rPr>
          <w:rFonts w:ascii="Book Antiqua" w:hAnsi="Book Antiqua"/>
        </w:rPr>
      </w:pPr>
      <w:r>
        <w:rPr>
          <w:rFonts w:ascii="Book Antiqua" w:hAnsi="Book Antiqua"/>
        </w:rPr>
        <w:t xml:space="preserve">69 </w:t>
      </w:r>
      <w:r>
        <w:rPr>
          <w:rFonts w:ascii="Book Antiqua" w:hAnsi="Book Antiqua"/>
          <w:b/>
          <w:bCs/>
        </w:rPr>
        <w:t>Paterson RW,</w:t>
      </w:r>
      <w:r>
        <w:rPr>
          <w:rFonts w:ascii="Book Antiqua" w:hAnsi="Book Antiqua"/>
        </w:rPr>
        <w:t xml:space="preserve"> Brown RL, Benjamin L, Nortley R, Wiethoff S, Bharucha T, Jayaseelan DL, </w:t>
      </w:r>
      <w:r>
        <w:rPr>
          <w:rFonts w:hint="eastAsia" w:ascii="MS Mincho" w:hAnsi="MS Mincho" w:eastAsia="MS Mincho" w:cs="MS Mincho"/>
        </w:rPr>
        <w:t>‎</w:t>
      </w:r>
      <w:r>
        <w:rPr>
          <w:rFonts w:ascii="Book Antiqua" w:hAnsi="Book Antiqua"/>
        </w:rPr>
        <w:t xml:space="preserve">Kumar G, Raftopoulos RE, Zambreanu L, Vivekanandam V, Khoo A, Geraldes R, </w:t>
      </w:r>
      <w:r>
        <w:rPr>
          <w:rFonts w:hint="eastAsia" w:ascii="MS Mincho" w:hAnsi="MS Mincho" w:eastAsia="MS Mincho" w:cs="MS Mincho"/>
        </w:rPr>
        <w:t>‎</w:t>
      </w:r>
      <w:r>
        <w:rPr>
          <w:rFonts w:ascii="Book Antiqua" w:hAnsi="Book Antiqua"/>
        </w:rPr>
        <w:t xml:space="preserve">Chinthapalli K, Boyd E, Tuzlali H, Price G, Christofi G, Morrow J, McNamara P, </w:t>
      </w:r>
      <w:r>
        <w:rPr>
          <w:rFonts w:hint="eastAsia" w:ascii="MS Mincho" w:hAnsi="MS Mincho" w:eastAsia="MS Mincho" w:cs="MS Mincho"/>
        </w:rPr>
        <w:t>‎</w:t>
      </w:r>
      <w:r>
        <w:rPr>
          <w:rFonts w:ascii="Book Antiqua" w:hAnsi="Book Antiqua"/>
        </w:rPr>
        <w:t xml:space="preserve">McLoughlin B, Lim ST, Mehta PR, Levee V, Keddie S, Yong W, Trip SA, Foulkes AJM, Hotton </w:t>
      </w:r>
      <w:r>
        <w:rPr>
          <w:rFonts w:hint="eastAsia" w:ascii="MS Mincho" w:hAnsi="MS Mincho" w:eastAsia="MS Mincho" w:cs="MS Mincho"/>
        </w:rPr>
        <w:t>‎</w:t>
      </w:r>
      <w:r>
        <w:rPr>
          <w:rFonts w:ascii="Book Antiqua" w:hAnsi="Book Antiqua"/>
        </w:rPr>
        <w:t xml:space="preserve">G, Miller TD, Everitt AD, Carswell C, Davies NWS, Yoong M, Attwell D, Sreedharan J, </w:t>
      </w:r>
      <w:r>
        <w:rPr>
          <w:rFonts w:hint="eastAsia" w:ascii="MS Mincho" w:hAnsi="MS Mincho" w:eastAsia="MS Mincho" w:cs="MS Mincho"/>
        </w:rPr>
        <w:t>‎</w:t>
      </w:r>
      <w:r>
        <w:rPr>
          <w:rFonts w:ascii="Book Antiqua" w:hAnsi="Book Antiqua"/>
        </w:rPr>
        <w:t xml:space="preserve">Silber E, Schott JM, Chandratheva A, Perry RJ, Simister R, Checkley A, Longley N, Farmer </w:t>
      </w:r>
      <w:r>
        <w:rPr>
          <w:rFonts w:hint="eastAsia" w:ascii="MS Mincho" w:hAnsi="MS Mincho" w:eastAsia="MS Mincho" w:cs="MS Mincho"/>
        </w:rPr>
        <w:t>‎</w:t>
      </w:r>
      <w:r>
        <w:rPr>
          <w:rFonts w:ascii="Book Antiqua" w:hAnsi="Book Antiqua"/>
        </w:rPr>
        <w:t xml:space="preserve">SF, Carletti F, Houlihan C, Thom M, Lunn MP, Spillane J, Howard R, Vincent A, Werring DJ, </w:t>
      </w:r>
      <w:r>
        <w:rPr>
          <w:rFonts w:hint="eastAsia" w:ascii="MS Mincho" w:hAnsi="MS Mincho" w:eastAsia="MS Mincho" w:cs="MS Mincho"/>
        </w:rPr>
        <w:t>‎</w:t>
      </w:r>
      <w:r>
        <w:rPr>
          <w:rFonts w:ascii="Book Antiqua" w:hAnsi="Book Antiqua"/>
        </w:rPr>
        <w:t xml:space="preserve">Hoskote C, Jäger HR, Manji H, Zandi MS. The emerging spectrum of COVID-19 neurology: </w:t>
      </w:r>
      <w:r>
        <w:rPr>
          <w:rFonts w:hint="eastAsia" w:ascii="MS Mincho" w:hAnsi="MS Mincho" w:eastAsia="MS Mincho" w:cs="MS Mincho"/>
        </w:rPr>
        <w:t>‎</w:t>
      </w:r>
      <w:r>
        <w:rPr>
          <w:rFonts w:ascii="Book Antiqua" w:hAnsi="Book Antiqua"/>
        </w:rPr>
        <w:t xml:space="preserve">clinical, radiological and laboratory findings. </w:t>
      </w:r>
      <w:r>
        <w:rPr>
          <w:rFonts w:ascii="Book Antiqua" w:hAnsi="Book Antiqua"/>
          <w:i/>
          <w:iCs/>
        </w:rPr>
        <w:t xml:space="preserve">Brain </w:t>
      </w:r>
      <w:r>
        <w:rPr>
          <w:rFonts w:ascii="Book Antiqua" w:hAnsi="Book Antiqua"/>
        </w:rPr>
        <w:t xml:space="preserve">2020; </w:t>
      </w:r>
      <w:r>
        <w:rPr>
          <w:rFonts w:ascii="Book Antiqua" w:hAnsi="Book Antiqua"/>
          <w:b/>
          <w:bCs/>
        </w:rPr>
        <w:t>143:</w:t>
      </w:r>
      <w:r>
        <w:rPr>
          <w:rFonts w:ascii="Book Antiqua" w:hAnsi="Book Antiqua"/>
        </w:rPr>
        <w:t xml:space="preserve"> 3104-3120 [PMID: </w:t>
      </w:r>
      <w:r>
        <w:rPr>
          <w:rFonts w:hint="eastAsia" w:ascii="MS Mincho" w:hAnsi="MS Mincho" w:eastAsia="MS Mincho" w:cs="MS Mincho"/>
        </w:rPr>
        <w:t>‎‎</w:t>
      </w:r>
      <w:r>
        <w:rPr>
          <w:rFonts w:ascii="Book Antiqua" w:hAnsi="Book Antiqua"/>
        </w:rPr>
        <w:t>32637987 DOI: 10.1093/brain/awaa240]</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70 </w:t>
      </w:r>
      <w:r>
        <w:rPr>
          <w:rFonts w:ascii="Book Antiqua" w:hAnsi="Book Antiqua"/>
          <w:b/>
          <w:bCs/>
        </w:rPr>
        <w:t>Cholankeril G</w:t>
      </w:r>
      <w:r>
        <w:rPr>
          <w:rFonts w:ascii="Book Antiqua" w:hAnsi="Book Antiqua"/>
        </w:rPr>
        <w:t xml:space="preserve">, Podboy A, Aivaliotis VI, Tarlow B, Pham EA, Spencer SP, Kim D, Hsing A, Ahmed A. High Prevalence of Concurrent Gastrointestinal Manifestations in Patients With Severe Acute Respiratory Syndrome Coronavirus 2: Early Experience From California.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775-777 [PMID: 32283101 DOI: 10.1053/j.gastro.2020.04.008]</w:t>
      </w:r>
    </w:p>
    <w:p>
      <w:pPr>
        <w:pStyle w:val="5"/>
        <w:spacing w:before="0" w:beforeAutospacing="0" w:after="0" w:afterAutospacing="0" w:line="360" w:lineRule="auto"/>
        <w:jc w:val="both"/>
        <w:rPr>
          <w:rFonts w:ascii="Book Antiqua" w:hAnsi="Book Antiqua"/>
        </w:rPr>
      </w:pPr>
      <w:r>
        <w:rPr>
          <w:rFonts w:ascii="Book Antiqua" w:hAnsi="Book Antiqua"/>
        </w:rPr>
        <w:t xml:space="preserve">71 </w:t>
      </w:r>
      <w:r>
        <w:rPr>
          <w:rFonts w:ascii="Book Antiqua" w:hAnsi="Book Antiqua"/>
          <w:b/>
          <w:bCs/>
        </w:rPr>
        <w:t>Chigr F</w:t>
      </w:r>
      <w:r>
        <w:rPr>
          <w:rFonts w:ascii="Book Antiqua" w:hAnsi="Book Antiqua"/>
        </w:rPr>
        <w:t xml:space="preserve">, Merzouki M, Najimi M. Comment on "The neuroinvasive potential of SARS-CoV-2 may play a role in the respiratory failure of COVID-19 patients".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703-704 [PMID: 32352575 DOI: 10.1002/jmv.25960]</w:t>
      </w:r>
    </w:p>
    <w:p>
      <w:pPr>
        <w:pStyle w:val="5"/>
        <w:spacing w:before="0" w:beforeAutospacing="0" w:after="0" w:afterAutospacing="0" w:line="360" w:lineRule="auto"/>
        <w:jc w:val="both"/>
        <w:rPr>
          <w:rFonts w:ascii="Book Antiqua" w:hAnsi="Book Antiqua"/>
        </w:rPr>
      </w:pPr>
      <w:r>
        <w:rPr>
          <w:rFonts w:ascii="Book Antiqua" w:hAnsi="Book Antiqua"/>
        </w:rPr>
        <w:t xml:space="preserve">72 </w:t>
      </w:r>
      <w:r>
        <w:rPr>
          <w:rFonts w:ascii="Book Antiqua" w:hAnsi="Book Antiqua"/>
          <w:b/>
          <w:bCs/>
        </w:rPr>
        <w:t>Zafra MA</w:t>
      </w:r>
      <w:r>
        <w:rPr>
          <w:rFonts w:ascii="Book Antiqua" w:hAnsi="Book Antiqua"/>
        </w:rPr>
        <w:t xml:space="preserve">, Agüera AD, Molina F, Puerto A. Relevance of the nucleus of the solitary tract, gelatinous part, in learned preferences induced by intragastric nutrient administration. </w:t>
      </w:r>
      <w:r>
        <w:rPr>
          <w:rFonts w:ascii="Book Antiqua" w:hAnsi="Book Antiqua"/>
          <w:i/>
          <w:iCs/>
        </w:rPr>
        <w:t>Appetite</w:t>
      </w:r>
      <w:r>
        <w:rPr>
          <w:rFonts w:ascii="Book Antiqua" w:hAnsi="Book Antiqua"/>
        </w:rPr>
        <w:t xml:space="preserve"> 2017; </w:t>
      </w:r>
      <w:r>
        <w:rPr>
          <w:rFonts w:ascii="Book Antiqua" w:hAnsi="Book Antiqua"/>
          <w:b/>
          <w:bCs/>
        </w:rPr>
        <w:t>118</w:t>
      </w:r>
      <w:r>
        <w:rPr>
          <w:rFonts w:ascii="Book Antiqua" w:hAnsi="Book Antiqua"/>
        </w:rPr>
        <w:t>: 90-96 [PMID: 28789870 DOI: 10.1016/j.appet.2017.08.004]</w:t>
      </w:r>
    </w:p>
    <w:p>
      <w:pPr>
        <w:pStyle w:val="5"/>
        <w:spacing w:before="0" w:beforeAutospacing="0" w:after="0" w:afterAutospacing="0" w:line="360" w:lineRule="auto"/>
        <w:jc w:val="both"/>
        <w:rPr>
          <w:rFonts w:ascii="Book Antiqua" w:hAnsi="Book Antiqua"/>
        </w:rPr>
      </w:pPr>
      <w:r>
        <w:rPr>
          <w:rFonts w:ascii="Book Antiqua" w:hAnsi="Book Antiqua"/>
        </w:rPr>
        <w:t xml:space="preserve">73 </w:t>
      </w:r>
      <w:r>
        <w:rPr>
          <w:rFonts w:ascii="Book Antiqua" w:hAnsi="Book Antiqua"/>
          <w:b/>
          <w:bCs/>
        </w:rPr>
        <w:t>Follmer C</w:t>
      </w:r>
      <w:r>
        <w:rPr>
          <w:rFonts w:ascii="Book Antiqua" w:hAnsi="Book Antiqua"/>
        </w:rPr>
        <w:t xml:space="preserve">. Gut Microbiome Imbalance and Neuroinflammation: Impact of COVID-19 on Parkinson's Disease. </w:t>
      </w:r>
      <w:r>
        <w:rPr>
          <w:rFonts w:ascii="Book Antiqua" w:hAnsi="Book Antiqua"/>
          <w:i/>
          <w:iCs/>
        </w:rPr>
        <w:t>Mov Disord</w:t>
      </w:r>
      <w:r>
        <w:rPr>
          <w:rFonts w:ascii="Book Antiqua" w:hAnsi="Book Antiqua"/>
        </w:rPr>
        <w:t xml:space="preserve"> 2020; </w:t>
      </w:r>
      <w:r>
        <w:rPr>
          <w:rFonts w:ascii="Book Antiqua" w:hAnsi="Book Antiqua"/>
          <w:b/>
          <w:bCs/>
        </w:rPr>
        <w:t>35</w:t>
      </w:r>
      <w:r>
        <w:rPr>
          <w:rFonts w:ascii="Book Antiqua" w:hAnsi="Book Antiqua"/>
        </w:rPr>
        <w:t>: 1495-1496 [PMID: 32822087 DOI: 10.1002/mds.28231]</w:t>
      </w:r>
    </w:p>
    <w:p>
      <w:pPr>
        <w:pStyle w:val="5"/>
        <w:spacing w:before="0" w:beforeAutospacing="0" w:after="0" w:afterAutospacing="0" w:line="360" w:lineRule="auto"/>
        <w:jc w:val="both"/>
        <w:rPr>
          <w:rFonts w:ascii="Book Antiqua" w:hAnsi="Book Antiqua"/>
        </w:rPr>
      </w:pPr>
      <w:r>
        <w:rPr>
          <w:rFonts w:ascii="Book Antiqua" w:hAnsi="Book Antiqua"/>
        </w:rPr>
        <w:t xml:space="preserve">74 </w:t>
      </w:r>
      <w:r>
        <w:rPr>
          <w:rFonts w:ascii="Book Antiqua" w:hAnsi="Book Antiqua"/>
          <w:b/>
          <w:bCs/>
        </w:rPr>
        <w:t>Ghazanfar H</w:t>
      </w:r>
      <w:r>
        <w:rPr>
          <w:rFonts w:ascii="Book Antiqua" w:hAnsi="Book Antiqua"/>
        </w:rPr>
        <w:t xml:space="preserve">, Kandhi S, Shin D, Muthumanickam A, Gurjar H, Qureshi ZA, Shaban M, Farag M, Haider A, Budhathoki P, Bhatt T, Ghazanfar A, Jyala A, Patel H. Impact of COVID-19 on the Gastrointestinal Tract: A Clinical Review.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e23333 [PMID: 35464519 DOI: 10.7759/cureus.23333]</w:t>
      </w:r>
    </w:p>
    <w:p>
      <w:pPr>
        <w:pStyle w:val="5"/>
        <w:spacing w:before="0" w:beforeAutospacing="0" w:after="0" w:afterAutospacing="0" w:line="360" w:lineRule="auto"/>
        <w:jc w:val="both"/>
        <w:rPr>
          <w:rFonts w:ascii="Book Antiqua" w:hAnsi="Book Antiqua"/>
        </w:rPr>
      </w:pPr>
      <w:r>
        <w:rPr>
          <w:rFonts w:ascii="Book Antiqua" w:hAnsi="Book Antiqua"/>
        </w:rPr>
        <w:t xml:space="preserve">75 </w:t>
      </w:r>
      <w:r>
        <w:rPr>
          <w:rFonts w:ascii="Book Antiqua" w:hAnsi="Book Antiqua"/>
          <w:b/>
          <w:bCs/>
        </w:rPr>
        <w:t>Dai Y</w:t>
      </w:r>
      <w:r>
        <w:rPr>
          <w:rFonts w:ascii="Book Antiqua" w:hAnsi="Book Antiqua"/>
        </w:rPr>
        <w:t xml:space="preserve">, Qiang W, Gui Y, Tan X, Pei T, Lin K, Cai S, Sun L, Ning G, Wang J, Guo H, Sun Y, Cheng J, Xie L, Lan X, Wang D. A large-scale transcriptional study reveals inhibition of COVID-19 related cytokine storm by traditional Chinese medicines. </w:t>
      </w:r>
      <w:r>
        <w:rPr>
          <w:rFonts w:ascii="Book Antiqua" w:hAnsi="Book Antiqua"/>
          <w:i/>
          <w:iCs/>
        </w:rPr>
        <w:t>Sci Bull (Beijing)</w:t>
      </w:r>
      <w:r>
        <w:rPr>
          <w:rFonts w:ascii="Book Antiqua" w:hAnsi="Book Antiqua"/>
        </w:rPr>
        <w:t xml:space="preserve"> 2021; </w:t>
      </w:r>
      <w:r>
        <w:rPr>
          <w:rFonts w:ascii="Book Antiqua" w:hAnsi="Book Antiqua"/>
          <w:b/>
          <w:bCs/>
        </w:rPr>
        <w:t>66</w:t>
      </w:r>
      <w:r>
        <w:rPr>
          <w:rFonts w:ascii="Book Antiqua" w:hAnsi="Book Antiqua"/>
        </w:rPr>
        <w:t>: 884-888 [PMID: 33457042 DOI: 10.1016/j.scib.2021.01.005]</w:t>
      </w:r>
    </w:p>
    <w:p>
      <w:pPr>
        <w:pStyle w:val="5"/>
        <w:spacing w:before="0" w:beforeAutospacing="0" w:after="0" w:afterAutospacing="0" w:line="360" w:lineRule="auto"/>
        <w:jc w:val="both"/>
        <w:rPr>
          <w:rFonts w:ascii="Book Antiqua" w:hAnsi="Book Antiqua"/>
        </w:rPr>
      </w:pPr>
      <w:r>
        <w:rPr>
          <w:rFonts w:ascii="Book Antiqua" w:hAnsi="Book Antiqua"/>
        </w:rPr>
        <w:t xml:space="preserve">76 </w:t>
      </w:r>
      <w:r>
        <w:rPr>
          <w:rFonts w:ascii="Book Antiqua" w:hAnsi="Book Antiqua"/>
          <w:b/>
          <w:bCs/>
        </w:rPr>
        <w:t>Mahgoub S</w:t>
      </w:r>
      <w:r>
        <w:rPr>
          <w:rFonts w:ascii="Book Antiqua" w:hAnsi="Book Antiqua"/>
        </w:rPr>
        <w:t xml:space="preserve">, Kotb El-Sayed MI, El-Shehry MF, Mohamed Awad S, Mansour YE, Fatahala SS. Synthesis of novel calcium channel blockers with ACE2 inhibition and dual antihypertensive/anti-inflammatory effects: A possible therapeutic tool for COVID-19. </w:t>
      </w:r>
      <w:r>
        <w:rPr>
          <w:rFonts w:ascii="Book Antiqua" w:hAnsi="Book Antiqua"/>
          <w:i/>
          <w:iCs/>
        </w:rPr>
        <w:t>Bioorg Chem</w:t>
      </w:r>
      <w:r>
        <w:rPr>
          <w:rFonts w:ascii="Book Antiqua" w:hAnsi="Book Antiqua"/>
        </w:rPr>
        <w:t xml:space="preserve"> 2021; </w:t>
      </w:r>
      <w:r>
        <w:rPr>
          <w:rFonts w:ascii="Book Antiqua" w:hAnsi="Book Antiqua"/>
          <w:b/>
          <w:bCs/>
        </w:rPr>
        <w:t>116</w:t>
      </w:r>
      <w:r>
        <w:rPr>
          <w:rFonts w:ascii="Book Antiqua" w:hAnsi="Book Antiqua"/>
        </w:rPr>
        <w:t>: 105272 [PMID: 34474305 DOI: 10.1016/j.bioorg.2021.105272]</w:t>
      </w:r>
    </w:p>
    <w:p>
      <w:pPr>
        <w:pStyle w:val="5"/>
        <w:spacing w:before="0" w:beforeAutospacing="0" w:after="0" w:afterAutospacing="0" w:line="360" w:lineRule="auto"/>
        <w:jc w:val="both"/>
        <w:rPr>
          <w:rFonts w:ascii="Book Antiqua" w:hAnsi="Book Antiqua"/>
        </w:rPr>
      </w:pPr>
      <w:r>
        <w:rPr>
          <w:rFonts w:ascii="Book Antiqua" w:hAnsi="Book Antiqua"/>
        </w:rPr>
        <w:t xml:space="preserve">77 </w:t>
      </w:r>
      <w:r>
        <w:rPr>
          <w:rFonts w:ascii="Book Antiqua" w:hAnsi="Book Antiqua"/>
          <w:b/>
          <w:bCs/>
        </w:rPr>
        <w:t>Hofman K,</w:t>
      </w:r>
      <w:r>
        <w:rPr>
          <w:rFonts w:ascii="Book Antiqua" w:hAnsi="Book Antiqua"/>
        </w:rPr>
        <w:t xml:space="preserve"> Shenoy GN, Chak V, Balu-Iyer SV. Pharmaceutical Aspects and Clinical </w:t>
      </w:r>
      <w:r>
        <w:rPr>
          <w:rFonts w:hint="eastAsia" w:ascii="MS Mincho" w:hAnsi="MS Mincho" w:eastAsia="MS Mincho" w:cs="MS Mincho"/>
        </w:rPr>
        <w:t>‎</w:t>
      </w:r>
      <w:r>
        <w:rPr>
          <w:rFonts w:ascii="Book Antiqua" w:hAnsi="Book Antiqua"/>
        </w:rPr>
        <w:t xml:space="preserve">Evaluation of COVID-19 Vaccines. </w:t>
      </w:r>
      <w:r>
        <w:rPr>
          <w:rFonts w:ascii="Book Antiqua" w:hAnsi="Book Antiqua"/>
          <w:i/>
          <w:iCs/>
        </w:rPr>
        <w:t>Immunol Invest</w:t>
      </w:r>
      <w:r>
        <w:rPr>
          <w:rFonts w:ascii="Book Antiqua" w:hAnsi="Book Antiqua"/>
        </w:rPr>
        <w:t xml:space="preserve"> 2021; </w:t>
      </w:r>
      <w:r>
        <w:rPr>
          <w:rFonts w:ascii="Book Antiqua" w:hAnsi="Book Antiqua"/>
          <w:b/>
          <w:bCs/>
        </w:rPr>
        <w:t>50:</w:t>
      </w:r>
      <w:r>
        <w:rPr>
          <w:rFonts w:ascii="Book Antiqua" w:hAnsi="Book Antiqua"/>
        </w:rPr>
        <w:t xml:space="preserve"> 743-779 [PMID: </w:t>
      </w:r>
      <w:r>
        <w:rPr>
          <w:rFonts w:hint="eastAsia" w:ascii="MS Mincho" w:hAnsi="MS Mincho" w:eastAsia="MS Mincho" w:cs="MS Mincho"/>
        </w:rPr>
        <w:t>‎‎</w:t>
      </w:r>
      <w:r>
        <w:rPr>
          <w:rFonts w:ascii="Book Antiqua" w:hAnsi="Book Antiqua"/>
        </w:rPr>
        <w:t>33929280 DOI: 10.1080/08820139.2021.1904977]</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78 </w:t>
      </w:r>
      <w:r>
        <w:rPr>
          <w:rFonts w:ascii="Book Antiqua" w:hAnsi="Book Antiqua"/>
          <w:b/>
          <w:bCs/>
        </w:rPr>
        <w:t>Garg RK</w:t>
      </w:r>
      <w:r>
        <w:rPr>
          <w:rFonts w:ascii="Book Antiqua" w:hAnsi="Book Antiqua"/>
        </w:rPr>
        <w:t xml:space="preserve">, Paliwal VK. Spectrum of neurological complications following COVID-19 vaccination. </w:t>
      </w:r>
      <w:r>
        <w:rPr>
          <w:rFonts w:ascii="Book Antiqua" w:hAnsi="Book Antiqua"/>
          <w:i/>
          <w:iCs/>
        </w:rPr>
        <w:t>Neurol Sci</w:t>
      </w:r>
      <w:r>
        <w:rPr>
          <w:rFonts w:ascii="Book Antiqua" w:hAnsi="Book Antiqua"/>
        </w:rPr>
        <w:t xml:space="preserve"> 2022; </w:t>
      </w:r>
      <w:r>
        <w:rPr>
          <w:rFonts w:ascii="Book Antiqua" w:hAnsi="Book Antiqua"/>
          <w:b/>
          <w:bCs/>
        </w:rPr>
        <w:t>43</w:t>
      </w:r>
      <w:r>
        <w:rPr>
          <w:rFonts w:ascii="Book Antiqua" w:hAnsi="Book Antiqua"/>
        </w:rPr>
        <w:t>: 3-40 [PMID: 34719776 DOI: 10.1007/s10072-021-05662-9]</w:t>
      </w:r>
    </w:p>
    <w:p>
      <w:pPr>
        <w:pStyle w:val="5"/>
        <w:spacing w:before="0" w:beforeAutospacing="0" w:after="0" w:afterAutospacing="0" w:line="360" w:lineRule="auto"/>
        <w:jc w:val="both"/>
        <w:rPr>
          <w:rFonts w:ascii="Book Antiqua" w:hAnsi="Book Antiqua"/>
        </w:rPr>
      </w:pPr>
      <w:r>
        <w:rPr>
          <w:rFonts w:ascii="Book Antiqua" w:hAnsi="Book Antiqua"/>
        </w:rPr>
        <w:t xml:space="preserve">79 </w:t>
      </w:r>
      <w:r>
        <w:rPr>
          <w:rFonts w:ascii="Book Antiqua" w:hAnsi="Book Antiqua"/>
          <w:b/>
          <w:bCs/>
        </w:rPr>
        <w:t>Hermel M</w:t>
      </w:r>
      <w:r>
        <w:rPr>
          <w:rFonts w:ascii="Book Antiqua" w:hAnsi="Book Antiqua"/>
        </w:rPr>
        <w:t xml:space="preserve">, Sweeney M, Abud E, Luskin K, Criado JP, Bonakdar R, Gray J, Ahern T. COVID-19 Vaccination Might Induce Postural Orthostatic Tachycardia Syndrome: A Case Report. </w:t>
      </w:r>
      <w:r>
        <w:rPr>
          <w:rFonts w:ascii="Book Antiqua" w:hAnsi="Book Antiqua"/>
          <w:i/>
          <w:iCs/>
        </w:rPr>
        <w:t>Vaccines (Basel)</w:t>
      </w:r>
      <w:r>
        <w:rPr>
          <w:rFonts w:ascii="Book Antiqua" w:hAnsi="Book Antiqua"/>
        </w:rPr>
        <w:t xml:space="preserve"> 2022; </w:t>
      </w:r>
      <w:r>
        <w:rPr>
          <w:rFonts w:ascii="Book Antiqua" w:hAnsi="Book Antiqua"/>
          <w:b/>
          <w:bCs/>
        </w:rPr>
        <w:t>10</w:t>
      </w:r>
      <w:r>
        <w:rPr>
          <w:rFonts w:ascii="Book Antiqua" w:hAnsi="Book Antiqua"/>
        </w:rPr>
        <w:t xml:space="preserve"> [PMID: 35891154 DOI: 10.3390/vaccines10070991]</w:t>
      </w:r>
    </w:p>
    <w:p>
      <w:pPr>
        <w:pStyle w:val="5"/>
        <w:spacing w:before="0" w:beforeAutospacing="0" w:after="0" w:afterAutospacing="0" w:line="360" w:lineRule="auto"/>
        <w:jc w:val="both"/>
        <w:rPr>
          <w:rFonts w:ascii="Book Antiqua" w:hAnsi="Book Antiqua"/>
        </w:rPr>
      </w:pPr>
      <w:r>
        <w:rPr>
          <w:rFonts w:ascii="Book Antiqua" w:hAnsi="Book Antiqua"/>
        </w:rPr>
        <w:t xml:space="preserve">80 </w:t>
      </w:r>
      <w:r>
        <w:rPr>
          <w:rFonts w:ascii="Book Antiqua" w:hAnsi="Book Antiqua"/>
          <w:b/>
          <w:bCs/>
        </w:rPr>
        <w:t>Reddy S</w:t>
      </w:r>
      <w:r>
        <w:rPr>
          <w:rFonts w:ascii="Book Antiqua" w:hAnsi="Book Antiqua"/>
        </w:rPr>
        <w:t xml:space="preserve">, Reddy S, Arora M. A Case of Postural Orthostatic Tachycardia Syndrome Secondary to the Messenger RNA COVID-19 Vaccine.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e14837 [PMID: 33968543 DOI: 10.7759/cureus.14837]</w:t>
      </w:r>
    </w:p>
    <w:p>
      <w:pPr>
        <w:pStyle w:val="5"/>
        <w:spacing w:before="0" w:beforeAutospacing="0" w:after="0" w:afterAutospacing="0" w:line="360" w:lineRule="auto"/>
        <w:jc w:val="both"/>
        <w:rPr>
          <w:rFonts w:ascii="Book Antiqua" w:hAnsi="Book Antiqua"/>
        </w:rPr>
      </w:pPr>
      <w:r>
        <w:rPr>
          <w:rFonts w:ascii="Book Antiqua" w:hAnsi="Book Antiqua"/>
        </w:rPr>
        <w:t xml:space="preserve">81 </w:t>
      </w:r>
      <w:r>
        <w:rPr>
          <w:rFonts w:ascii="Book Antiqua" w:hAnsi="Book Antiqua"/>
          <w:b/>
          <w:bCs/>
        </w:rPr>
        <w:t>Lanman TA</w:t>
      </w:r>
      <w:r>
        <w:rPr>
          <w:rFonts w:ascii="Book Antiqua" w:hAnsi="Book Antiqua"/>
        </w:rPr>
        <w:t xml:space="preserve">, Wu C, Cheung H, Goyal N, Greene M. Guillain-Barré Syndrome with Rapid Onset and Autonomic Dysfunction Following First Dose of Pfizer-BioNTech COVID-19 Vaccine: A Case Report. </w:t>
      </w:r>
      <w:r>
        <w:rPr>
          <w:rFonts w:ascii="Book Antiqua" w:hAnsi="Book Antiqua"/>
          <w:i/>
          <w:iCs/>
        </w:rPr>
        <w:t>Neurohospitalist</w:t>
      </w:r>
      <w:r>
        <w:rPr>
          <w:rFonts w:ascii="Book Antiqua" w:hAnsi="Book Antiqua"/>
        </w:rPr>
        <w:t xml:space="preserve"> 2022; </w:t>
      </w:r>
      <w:r>
        <w:rPr>
          <w:rFonts w:ascii="Book Antiqua" w:hAnsi="Book Antiqua"/>
          <w:b/>
          <w:bCs/>
        </w:rPr>
        <w:t>12</w:t>
      </w:r>
      <w:r>
        <w:rPr>
          <w:rFonts w:ascii="Book Antiqua" w:hAnsi="Book Antiqua"/>
        </w:rPr>
        <w:t>: 388-390 [PMID: 35401916 DOI: 10.1177/19418744211065242]</w:t>
      </w:r>
    </w:p>
    <w:p>
      <w:pPr>
        <w:pStyle w:val="5"/>
        <w:spacing w:before="0" w:beforeAutospacing="0" w:after="0" w:afterAutospacing="0" w:line="360" w:lineRule="auto"/>
        <w:jc w:val="both"/>
        <w:rPr>
          <w:rFonts w:ascii="Book Antiqua" w:hAnsi="Book Antiqua"/>
        </w:rPr>
      </w:pPr>
      <w:r>
        <w:rPr>
          <w:rFonts w:ascii="Book Antiqua" w:hAnsi="Book Antiqua"/>
        </w:rPr>
        <w:t xml:space="preserve">82 </w:t>
      </w:r>
      <w:r>
        <w:rPr>
          <w:rFonts w:ascii="Book Antiqua" w:hAnsi="Book Antiqua"/>
          <w:b/>
          <w:bCs/>
        </w:rPr>
        <w:t>Eldokla AM</w:t>
      </w:r>
      <w:r>
        <w:rPr>
          <w:rFonts w:ascii="Book Antiqua" w:hAnsi="Book Antiqua"/>
        </w:rPr>
        <w:t xml:space="preserve">, Numan MT. Postural orthostatic tachycardia syndrome after mRNA COVID-19 vaccine. </w:t>
      </w:r>
      <w:r>
        <w:rPr>
          <w:rFonts w:ascii="Book Antiqua" w:hAnsi="Book Antiqua"/>
          <w:i/>
          <w:iCs/>
        </w:rPr>
        <w:t>Clin Auton Res</w:t>
      </w:r>
      <w:r>
        <w:rPr>
          <w:rFonts w:ascii="Book Antiqua" w:hAnsi="Book Antiqua"/>
        </w:rPr>
        <w:t xml:space="preserve"> 2022; </w:t>
      </w:r>
      <w:r>
        <w:rPr>
          <w:rFonts w:ascii="Book Antiqua" w:hAnsi="Book Antiqua"/>
          <w:b/>
          <w:bCs/>
        </w:rPr>
        <w:t>32</w:t>
      </w:r>
      <w:r>
        <w:rPr>
          <w:rFonts w:ascii="Book Antiqua" w:hAnsi="Book Antiqua"/>
        </w:rPr>
        <w:t>: 307-311 [PMID: 35870086 DOI: 10.1007/s10286-022-00880-3]</w:t>
      </w:r>
    </w:p>
    <w:p>
      <w:pPr>
        <w:pStyle w:val="5"/>
        <w:spacing w:before="0" w:beforeAutospacing="0" w:after="0" w:afterAutospacing="0" w:line="360" w:lineRule="auto"/>
        <w:jc w:val="both"/>
        <w:rPr>
          <w:rFonts w:ascii="Book Antiqua" w:hAnsi="Book Antiqua"/>
        </w:rPr>
      </w:pPr>
      <w:r>
        <w:rPr>
          <w:rFonts w:ascii="Book Antiqua" w:hAnsi="Book Antiqua"/>
        </w:rPr>
        <w:t xml:space="preserve">83 </w:t>
      </w:r>
      <w:r>
        <w:rPr>
          <w:rFonts w:ascii="Book Antiqua" w:hAnsi="Book Antiqua"/>
          <w:b/>
          <w:bCs/>
        </w:rPr>
        <w:t>83-</w:t>
      </w:r>
      <w:r>
        <w:rPr>
          <w:rFonts w:hint="eastAsia" w:ascii="MS Mincho" w:hAnsi="MS Mincho" w:eastAsia="MS Mincho" w:cs="MS Mincho"/>
          <w:b/>
          <w:bCs/>
        </w:rPr>
        <w:t>‎</w:t>
      </w:r>
      <w:r>
        <w:rPr>
          <w:rFonts w:ascii="Book Antiqua" w:hAnsi="Book Antiqua"/>
          <w:b/>
          <w:bCs/>
        </w:rPr>
        <w:t xml:space="preserve"> Tahir N,</w:t>
      </w:r>
      <w:r>
        <w:rPr>
          <w:rFonts w:ascii="Book Antiqua" w:hAnsi="Book Antiqua"/>
        </w:rPr>
        <w:t xml:space="preserve"> Koorapati G, Prasad S, Jeelani HM, Sherchan R, Shrestha J, Shayuk M. SARS-CoV-2 </w:t>
      </w:r>
      <w:r>
        <w:rPr>
          <w:rFonts w:hint="eastAsia" w:ascii="MS Mincho" w:hAnsi="MS Mincho" w:eastAsia="MS Mincho" w:cs="MS Mincho"/>
        </w:rPr>
        <w:t>‎</w:t>
      </w:r>
      <w:r>
        <w:rPr>
          <w:rFonts w:ascii="Book Antiqua" w:hAnsi="Book Antiqua"/>
        </w:rPr>
        <w:t xml:space="preserve">Vaccination-Induced Transverse Myelitis. Cureus. 2021 Jul 25;13(7):e16624. [PMID: </w:t>
      </w:r>
      <w:r>
        <w:rPr>
          <w:rFonts w:hint="eastAsia" w:ascii="MS Mincho" w:hAnsi="MS Mincho" w:eastAsia="MS Mincho" w:cs="MS Mincho"/>
        </w:rPr>
        <w:t>‎‎</w:t>
      </w:r>
      <w:r>
        <w:rPr>
          <w:rFonts w:ascii="Book Antiqua" w:hAnsi="Book Antiqua"/>
        </w:rPr>
        <w:t>34458035 DOI: 10.7759/cureus.16624]</w:t>
      </w:r>
    </w:p>
    <w:p>
      <w:pPr>
        <w:pStyle w:val="5"/>
        <w:spacing w:before="0" w:beforeAutospacing="0" w:after="0" w:afterAutospacing="0" w:line="360" w:lineRule="auto"/>
        <w:jc w:val="both"/>
        <w:rPr>
          <w:rFonts w:ascii="Book Antiqua" w:hAnsi="Book Antiqua"/>
        </w:rPr>
      </w:pPr>
      <w:r>
        <w:rPr>
          <w:rFonts w:ascii="Book Antiqua" w:hAnsi="Book Antiqua"/>
        </w:rPr>
        <w:t xml:space="preserve">84 </w:t>
      </w:r>
      <w:r>
        <w:rPr>
          <w:rFonts w:ascii="Book Antiqua" w:hAnsi="Book Antiqua"/>
          <w:b/>
          <w:bCs/>
        </w:rPr>
        <w:t>Hilts A</w:t>
      </w:r>
      <w:r>
        <w:rPr>
          <w:rFonts w:ascii="Book Antiqua" w:hAnsi="Book Antiqua"/>
        </w:rPr>
        <w:t xml:space="preserve">, Schreiber A, Singh A. A Clinical Case of COVID-19 Vaccine-Associated Guillain-Barré Syndrome. </w:t>
      </w:r>
      <w:r>
        <w:rPr>
          <w:rFonts w:ascii="Book Antiqua" w:hAnsi="Book Antiqua"/>
          <w:i/>
          <w:iCs/>
        </w:rPr>
        <w:t>Am J Case Rep</w:t>
      </w:r>
      <w:r>
        <w:rPr>
          <w:rFonts w:ascii="Book Antiqua" w:hAnsi="Book Antiqua"/>
        </w:rPr>
        <w:t xml:space="preserve"> 2022; </w:t>
      </w:r>
      <w:r>
        <w:rPr>
          <w:rFonts w:ascii="Book Antiqua" w:hAnsi="Book Antiqua"/>
          <w:b/>
          <w:bCs/>
        </w:rPr>
        <w:t>23</w:t>
      </w:r>
      <w:r>
        <w:rPr>
          <w:rFonts w:ascii="Book Antiqua" w:hAnsi="Book Antiqua"/>
        </w:rPr>
        <w:t>: e936896 [PMID: 35945825 DOI: 10.12659/AJCR.936896]</w:t>
      </w:r>
    </w:p>
    <w:p>
      <w:pPr>
        <w:pStyle w:val="5"/>
        <w:spacing w:before="0" w:beforeAutospacing="0" w:after="0" w:afterAutospacing="0" w:line="360" w:lineRule="auto"/>
        <w:jc w:val="both"/>
        <w:rPr>
          <w:rFonts w:ascii="Book Antiqua" w:hAnsi="Book Antiqua"/>
        </w:rPr>
      </w:pPr>
      <w:r>
        <w:rPr>
          <w:rFonts w:ascii="Book Antiqua" w:hAnsi="Book Antiqua"/>
        </w:rPr>
        <w:t xml:space="preserve">85 </w:t>
      </w:r>
      <w:r>
        <w:rPr>
          <w:rFonts w:ascii="Book Antiqua" w:hAnsi="Book Antiqua"/>
          <w:b/>
          <w:bCs/>
        </w:rPr>
        <w:t>85-</w:t>
      </w:r>
      <w:r>
        <w:rPr>
          <w:rFonts w:hint="eastAsia" w:ascii="MS Mincho" w:hAnsi="MS Mincho" w:eastAsia="MS Mincho" w:cs="MS Mincho"/>
          <w:b/>
          <w:bCs/>
        </w:rPr>
        <w:t>‎</w:t>
      </w:r>
      <w:r>
        <w:rPr>
          <w:rFonts w:ascii="Book Antiqua" w:hAnsi="Book Antiqua"/>
          <w:b/>
          <w:bCs/>
        </w:rPr>
        <w:t xml:space="preserve"> Fitzsimmons,</w:t>
      </w:r>
      <w:r>
        <w:rPr>
          <w:rFonts w:ascii="Book Antiqua" w:hAnsi="Book Antiqua"/>
        </w:rPr>
        <w:t xml:space="preserve"> William and Nance, Christopher S., Sudden Onset of Myelitis after COVID-19 </w:t>
      </w:r>
      <w:r>
        <w:rPr>
          <w:rFonts w:hint="eastAsia" w:ascii="MS Mincho" w:hAnsi="MS Mincho" w:eastAsia="MS Mincho" w:cs="MS Mincho"/>
        </w:rPr>
        <w:t>‎</w:t>
      </w:r>
      <w:r>
        <w:rPr>
          <w:rFonts w:ascii="Book Antiqua" w:hAnsi="Book Antiqua"/>
        </w:rPr>
        <w:t xml:space="preserve">Vaccination: An Under-Recognized Severe Rare Adverse Event (May 5, 2021). Available at </w:t>
      </w:r>
      <w:r>
        <w:rPr>
          <w:rFonts w:hint="eastAsia" w:ascii="MS Mincho" w:hAnsi="MS Mincho" w:eastAsia="MS Mincho" w:cs="MS Mincho"/>
        </w:rPr>
        <w:t>‎</w:t>
      </w:r>
      <w:r>
        <w:rPr>
          <w:rFonts w:ascii="Book Antiqua" w:hAnsi="Book Antiqua"/>
        </w:rPr>
        <w:t>SSRN: https://ssrn.com/abstract=3841558 or http://dx.doi.org/10.2139/ssrn.3841558</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86 </w:t>
      </w:r>
      <w:r>
        <w:rPr>
          <w:rFonts w:ascii="Book Antiqua" w:hAnsi="Book Antiqua"/>
          <w:b/>
          <w:bCs/>
        </w:rPr>
        <w:t>Akaishi T</w:t>
      </w:r>
      <w:r>
        <w:rPr>
          <w:rFonts w:ascii="Book Antiqua" w:hAnsi="Book Antiqua"/>
        </w:rPr>
        <w:t xml:space="preserve">, Onodera T, Takahashi T, Harigae H, Ishii T. Reports of acute adverse events in mRNA COVID-19 vaccine recipients after the first and second doses in Japan. </w:t>
      </w:r>
      <w:r>
        <w:rPr>
          <w:rFonts w:ascii="Book Antiqua" w:hAnsi="Book Antiqua"/>
          <w:i/>
          <w:iCs/>
        </w:rPr>
        <w:t>Sci Rep</w:t>
      </w:r>
      <w:r>
        <w:rPr>
          <w:rFonts w:ascii="Book Antiqua" w:hAnsi="Book Antiqua"/>
        </w:rPr>
        <w:t xml:space="preserve"> 2022; </w:t>
      </w:r>
      <w:r>
        <w:rPr>
          <w:rFonts w:ascii="Book Antiqua" w:hAnsi="Book Antiqua"/>
          <w:b/>
          <w:bCs/>
        </w:rPr>
        <w:t>12</w:t>
      </w:r>
      <w:r>
        <w:rPr>
          <w:rFonts w:ascii="Book Antiqua" w:hAnsi="Book Antiqua"/>
        </w:rPr>
        <w:t>: 15510 [PMID: 36109582 DOI: 10.1038/s41598-022-19936-5]</w:t>
      </w:r>
    </w:p>
    <w:p>
      <w:pPr>
        <w:pStyle w:val="5"/>
        <w:spacing w:before="0" w:beforeAutospacing="0" w:after="0" w:afterAutospacing="0" w:line="360" w:lineRule="auto"/>
        <w:jc w:val="both"/>
        <w:rPr>
          <w:rFonts w:ascii="Book Antiqua" w:hAnsi="Book Antiqua"/>
        </w:rPr>
      </w:pPr>
      <w:r>
        <w:rPr>
          <w:rFonts w:ascii="Book Antiqua" w:hAnsi="Book Antiqua"/>
        </w:rPr>
        <w:t xml:space="preserve">87 </w:t>
      </w:r>
      <w:r>
        <w:rPr>
          <w:rFonts w:ascii="Book Antiqua" w:hAnsi="Book Antiqua"/>
          <w:b/>
          <w:bCs/>
        </w:rPr>
        <w:t>Antonelli M</w:t>
      </w:r>
      <w:r>
        <w:rPr>
          <w:rFonts w:ascii="Book Antiqua" w:hAnsi="Book Antiqua"/>
        </w:rPr>
        <w:t xml:space="preserve">, Penfold RS, Merino J, Sudre CH, Molteni E, Berry S, Canas LS, Graham MS, Klaser K, Modat M, Murray B, Kerfoot E, Chen L, Deng J, Österdahl MF, Cheetham NJ, Drew DA, Nguyen LH, Pujol JC, Hu C, Selvachandran S, Polidori L, May A, Wolf J, Chan AT, Hammers A, Duncan EL, Spector TD, Ourselin S, Steves CJ. Risk factors and disease profile of post-vaccination SARS-CoV-2 infection in UK users of the COVID Symptom Study app: a prospective, community-based, nested, case-control study. </w:t>
      </w:r>
      <w:r>
        <w:rPr>
          <w:rFonts w:ascii="Book Antiqua" w:hAnsi="Book Antiqua"/>
          <w:i/>
          <w:iCs/>
        </w:rPr>
        <w:t>Lancet Infect Dis</w:t>
      </w:r>
      <w:r>
        <w:rPr>
          <w:rFonts w:ascii="Book Antiqua" w:hAnsi="Book Antiqua"/>
        </w:rPr>
        <w:t xml:space="preserve"> 2022; </w:t>
      </w:r>
      <w:r>
        <w:rPr>
          <w:rFonts w:ascii="Book Antiqua" w:hAnsi="Book Antiqua"/>
          <w:b/>
          <w:bCs/>
        </w:rPr>
        <w:t>22</w:t>
      </w:r>
      <w:r>
        <w:rPr>
          <w:rFonts w:ascii="Book Antiqua" w:hAnsi="Book Antiqua"/>
        </w:rPr>
        <w:t>: 43-55 [PMID: 34480857 DOI: 10.1016/S1473-3099(21)00460-6]</w:t>
      </w:r>
    </w:p>
    <w:p>
      <w:pPr>
        <w:pStyle w:val="5"/>
        <w:spacing w:before="0" w:beforeAutospacing="0" w:after="0" w:afterAutospacing="0" w:line="360" w:lineRule="auto"/>
        <w:jc w:val="both"/>
        <w:rPr>
          <w:rFonts w:ascii="Book Antiqua" w:hAnsi="Book Antiqua"/>
        </w:rPr>
      </w:pPr>
      <w:r>
        <w:rPr>
          <w:rFonts w:ascii="Book Antiqua" w:hAnsi="Book Antiqua"/>
        </w:rPr>
        <w:t xml:space="preserve">88 </w:t>
      </w:r>
      <w:r>
        <w:rPr>
          <w:rFonts w:ascii="Book Antiqua" w:hAnsi="Book Antiqua"/>
          <w:b/>
          <w:bCs/>
        </w:rPr>
        <w:t>Freise NF</w:t>
      </w:r>
      <w:r>
        <w:rPr>
          <w:rFonts w:ascii="Book Antiqua" w:hAnsi="Book Antiqua"/>
        </w:rPr>
        <w:t xml:space="preserve">, Kivel M, Grebe O, Meyer C, Wafaisade B, Peiper M, Zeus T, Schmidt J, Neuwahl J, Jazmati D, Luedde T, Bölke E, Feldt T, Jensen BEO, Bode J, Keitel V, Haussmann J, Tamaskovics B, Budach W, Fischer JC, Knoefel WT, Schneider M, Gerber PA, Pedoto A, Häussinger D, van Griensven M, Rezazadeh A, Flaig Y, Kirchner J, Antoch G, Schelzig H, Matuschek C. Acute cardiac side effects after COVID-19 mRNA vaccination: a case series. </w:t>
      </w:r>
      <w:r>
        <w:rPr>
          <w:rFonts w:ascii="Book Antiqua" w:hAnsi="Book Antiqua"/>
          <w:i/>
          <w:iCs/>
        </w:rPr>
        <w:t>Eur J Med Res</w:t>
      </w:r>
      <w:r>
        <w:rPr>
          <w:rFonts w:ascii="Book Antiqua" w:hAnsi="Book Antiqua"/>
        </w:rPr>
        <w:t xml:space="preserve"> 2022; </w:t>
      </w:r>
      <w:r>
        <w:rPr>
          <w:rFonts w:ascii="Book Antiqua" w:hAnsi="Book Antiqua"/>
          <w:b/>
          <w:bCs/>
        </w:rPr>
        <w:t>27</w:t>
      </w:r>
      <w:r>
        <w:rPr>
          <w:rFonts w:ascii="Book Antiqua" w:hAnsi="Book Antiqua"/>
        </w:rPr>
        <w:t>: 80 [PMID: 35655235 DOI: 10.1186/s40001-022-00695-y]</w:t>
      </w:r>
    </w:p>
    <w:p>
      <w:pPr>
        <w:pStyle w:val="5"/>
        <w:spacing w:before="0" w:beforeAutospacing="0" w:after="0" w:afterAutospacing="0" w:line="360" w:lineRule="auto"/>
        <w:jc w:val="both"/>
        <w:rPr>
          <w:rFonts w:ascii="Book Antiqua" w:hAnsi="Book Antiqua"/>
        </w:rPr>
      </w:pPr>
      <w:r>
        <w:rPr>
          <w:rFonts w:ascii="Book Antiqua" w:hAnsi="Book Antiqua"/>
        </w:rPr>
        <w:t xml:space="preserve">89 </w:t>
      </w:r>
      <w:r>
        <w:rPr>
          <w:rFonts w:ascii="Book Antiqua" w:hAnsi="Book Antiqua"/>
          <w:b/>
          <w:bCs/>
        </w:rPr>
        <w:t>Naeem FN</w:t>
      </w:r>
      <w:r>
        <w:rPr>
          <w:rFonts w:ascii="Book Antiqua" w:hAnsi="Book Antiqua"/>
        </w:rPr>
        <w:t xml:space="preserve">, Hasan SFS, Ram MD, Waseem S, Ahmed SH, Shaikh TG. The association between SARS-CoV-2 vaccines and transverse myelitis: A review. </w:t>
      </w:r>
      <w:r>
        <w:rPr>
          <w:rFonts w:ascii="Book Antiqua" w:hAnsi="Book Antiqua"/>
          <w:i/>
          <w:iCs/>
        </w:rPr>
        <w:t>Ann Med Surg (Lond)</w:t>
      </w:r>
      <w:r>
        <w:rPr>
          <w:rFonts w:ascii="Book Antiqua" w:hAnsi="Book Antiqua"/>
        </w:rPr>
        <w:t xml:space="preserve"> 2022; </w:t>
      </w:r>
      <w:r>
        <w:rPr>
          <w:rFonts w:ascii="Book Antiqua" w:hAnsi="Book Antiqua"/>
          <w:b/>
          <w:bCs/>
        </w:rPr>
        <w:t>79</w:t>
      </w:r>
      <w:r>
        <w:rPr>
          <w:rFonts w:ascii="Book Antiqua" w:hAnsi="Book Antiqua"/>
        </w:rPr>
        <w:t>: 103870 [PMID: 35702684 DOI: 10.1016/j.amsu.2022.103870]</w:t>
      </w:r>
    </w:p>
    <w:p>
      <w:pPr>
        <w:pStyle w:val="5"/>
        <w:spacing w:before="0" w:beforeAutospacing="0" w:after="0" w:afterAutospacing="0" w:line="360" w:lineRule="auto"/>
        <w:jc w:val="both"/>
        <w:rPr>
          <w:rFonts w:ascii="Book Antiqua" w:hAnsi="Book Antiqua"/>
        </w:rPr>
      </w:pPr>
      <w:r>
        <w:rPr>
          <w:rFonts w:ascii="Book Antiqua" w:hAnsi="Book Antiqua"/>
        </w:rPr>
        <w:t xml:space="preserve">90 </w:t>
      </w:r>
      <w:r>
        <w:rPr>
          <w:rFonts w:ascii="Book Antiqua" w:hAnsi="Book Antiqua"/>
          <w:b/>
          <w:bCs/>
        </w:rPr>
        <w:t>Takase B</w:t>
      </w:r>
      <w:r>
        <w:rPr>
          <w:rFonts w:ascii="Book Antiqua" w:hAnsi="Book Antiqua"/>
        </w:rPr>
        <w:t xml:space="preserve">, Hayashi K, Takei S, Hisada T, Masaki N, Nagata M. Delayed Vasovagal Reaction with Reflex Syncope Following COVID-19 Vaccination. </w:t>
      </w:r>
      <w:r>
        <w:rPr>
          <w:rFonts w:ascii="Book Antiqua" w:hAnsi="Book Antiqua"/>
          <w:i/>
          <w:iCs/>
        </w:rPr>
        <w:t>Intern Med</w:t>
      </w:r>
      <w:r>
        <w:rPr>
          <w:rFonts w:ascii="Book Antiqua" w:hAnsi="Book Antiqua"/>
        </w:rPr>
        <w:t xml:space="preserve"> 2022; </w:t>
      </w:r>
      <w:r>
        <w:rPr>
          <w:rFonts w:ascii="Book Antiqua" w:hAnsi="Book Antiqua"/>
          <w:b/>
          <w:bCs/>
        </w:rPr>
        <w:t>61</w:t>
      </w:r>
      <w:r>
        <w:rPr>
          <w:rFonts w:ascii="Book Antiqua" w:hAnsi="Book Antiqua"/>
        </w:rPr>
        <w:t>: 2167-2170 [PMID: 35569982 DOI: 10.2169/internalmedicine.9318-21]</w:t>
      </w:r>
    </w:p>
    <w:p>
      <w:pPr>
        <w:pStyle w:val="5"/>
        <w:spacing w:before="0" w:beforeAutospacing="0" w:after="0" w:afterAutospacing="0" w:line="360" w:lineRule="auto"/>
        <w:jc w:val="both"/>
        <w:rPr>
          <w:rFonts w:ascii="Book Antiqua" w:hAnsi="Book Antiqua"/>
        </w:rPr>
      </w:pPr>
      <w:r>
        <w:rPr>
          <w:rFonts w:ascii="Book Antiqua" w:hAnsi="Book Antiqua"/>
        </w:rPr>
        <w:t xml:space="preserve">91 </w:t>
      </w:r>
      <w:r>
        <w:rPr>
          <w:rFonts w:ascii="Book Antiqua" w:hAnsi="Book Antiqua"/>
          <w:b/>
          <w:bCs/>
        </w:rPr>
        <w:t>Cheung KS</w:t>
      </w:r>
      <w:r>
        <w:rPr>
          <w:rFonts w:ascii="Book Antiqua" w:hAnsi="Book Antiqua"/>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81-95 [PMID: 32251668 DOI: 10.1053/j.gastro.2020.03.065]</w:t>
      </w:r>
    </w:p>
    <w:p>
      <w:pPr>
        <w:pStyle w:val="5"/>
        <w:spacing w:before="0" w:beforeAutospacing="0" w:after="0" w:afterAutospacing="0" w:line="360" w:lineRule="auto"/>
        <w:jc w:val="both"/>
        <w:rPr>
          <w:rFonts w:ascii="Book Antiqua" w:hAnsi="Book Antiqua"/>
        </w:rPr>
      </w:pPr>
      <w:r>
        <w:rPr>
          <w:rFonts w:ascii="Book Antiqua" w:hAnsi="Book Antiqua"/>
        </w:rPr>
        <w:t xml:space="preserve">92 </w:t>
      </w:r>
      <w:r>
        <w:rPr>
          <w:rFonts w:ascii="Book Antiqua" w:hAnsi="Book Antiqua"/>
          <w:b/>
          <w:bCs/>
        </w:rPr>
        <w:t>Settanni CR</w:t>
      </w:r>
      <w:r>
        <w:rPr>
          <w:rFonts w:ascii="Book Antiqua" w:hAnsi="Book Antiqua"/>
        </w:rPr>
        <w:t xml:space="preserve">, Ianiro G, Ponziani FR, Bibbò S, Segal JP, Cammarota G, Gasbarrini A. COVID-19 as a trigger of irritable bowel syndrome: A review of potential mechanisms.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7433-7445 [PMID: 34887641 DOI: 10.3748/wjg.v27.i43.7433]</w:t>
      </w:r>
    </w:p>
    <w:p>
      <w:pPr>
        <w:pStyle w:val="5"/>
        <w:spacing w:before="0" w:beforeAutospacing="0" w:after="0" w:afterAutospacing="0" w:line="360" w:lineRule="auto"/>
        <w:jc w:val="both"/>
        <w:rPr>
          <w:rFonts w:ascii="Book Antiqua" w:hAnsi="Book Antiqua"/>
        </w:rPr>
      </w:pPr>
      <w:r>
        <w:rPr>
          <w:rFonts w:ascii="Book Antiqua" w:hAnsi="Book Antiqua"/>
        </w:rPr>
        <w:t xml:space="preserve">93 </w:t>
      </w:r>
      <w:r>
        <w:rPr>
          <w:rFonts w:ascii="Book Antiqua" w:hAnsi="Book Antiqua"/>
          <w:b/>
          <w:bCs/>
        </w:rPr>
        <w:t>Rodríguez C</w:t>
      </w:r>
      <w:r>
        <w:rPr>
          <w:rFonts w:ascii="Book Antiqua" w:hAnsi="Book Antiqua"/>
        </w:rPr>
        <w:t xml:space="preserve">, Luque N, Blanco I, Sebastian L, Barberà JA, Peinado VI, Tura-Ceide O. Pulmonary Endothelial Dysfunction and Thrombotic Complications in Patients with COVID-19. </w:t>
      </w:r>
      <w:r>
        <w:rPr>
          <w:rFonts w:ascii="Book Antiqua" w:hAnsi="Book Antiqua"/>
          <w:i/>
          <w:iCs/>
        </w:rPr>
        <w:t>Am J Respir Cell Mol Biol</w:t>
      </w:r>
      <w:r>
        <w:rPr>
          <w:rFonts w:ascii="Book Antiqua" w:hAnsi="Book Antiqua"/>
        </w:rPr>
        <w:t xml:space="preserve"> 2021; </w:t>
      </w:r>
      <w:r>
        <w:rPr>
          <w:rFonts w:ascii="Book Antiqua" w:hAnsi="Book Antiqua"/>
          <w:b/>
          <w:bCs/>
        </w:rPr>
        <w:t>64</w:t>
      </w:r>
      <w:r>
        <w:rPr>
          <w:rFonts w:ascii="Book Antiqua" w:hAnsi="Book Antiqua"/>
        </w:rPr>
        <w:t>: 407-415 [PMID: 33180562 DOI: 10.1165/rcmb.2020-0359PS]</w:t>
      </w:r>
    </w:p>
    <w:p>
      <w:pPr>
        <w:pStyle w:val="5"/>
        <w:spacing w:before="0" w:beforeAutospacing="0" w:after="0" w:afterAutospacing="0" w:line="360" w:lineRule="auto"/>
        <w:jc w:val="both"/>
        <w:rPr>
          <w:rFonts w:ascii="Book Antiqua" w:hAnsi="Book Antiqua"/>
        </w:rPr>
      </w:pPr>
      <w:r>
        <w:rPr>
          <w:rFonts w:ascii="Book Antiqua" w:hAnsi="Book Antiqua"/>
        </w:rPr>
        <w:t xml:space="preserve">94 </w:t>
      </w:r>
      <w:r>
        <w:rPr>
          <w:rFonts w:ascii="Book Antiqua" w:hAnsi="Book Antiqua"/>
          <w:b/>
          <w:bCs/>
        </w:rPr>
        <w:t>Hassani M</w:t>
      </w:r>
      <w:r>
        <w:rPr>
          <w:rFonts w:ascii="Book Antiqua" w:hAnsi="Book Antiqua"/>
        </w:rPr>
        <w:t xml:space="preserve">, Fathi Jouzdani A, Motarjem S, Ranjbar A, Khansari N. How COVID-19 can cause autonomic dysfunctions and postural orthostatic syndrome? A Review of mechanisms and evidence. </w:t>
      </w:r>
      <w:r>
        <w:rPr>
          <w:rFonts w:ascii="Book Antiqua" w:hAnsi="Book Antiqua"/>
          <w:i/>
          <w:iCs/>
        </w:rPr>
        <w:t>Neurol Clin Neurosci</w:t>
      </w:r>
      <w:r>
        <w:rPr>
          <w:rFonts w:ascii="Book Antiqua" w:hAnsi="Book Antiqua"/>
        </w:rPr>
        <w:t xml:space="preserve"> 2021; </w:t>
      </w:r>
      <w:r>
        <w:rPr>
          <w:rFonts w:ascii="Book Antiqua" w:hAnsi="Book Antiqua"/>
          <w:b/>
          <w:bCs/>
        </w:rPr>
        <w:t>9</w:t>
      </w:r>
      <w:r>
        <w:rPr>
          <w:rFonts w:ascii="Book Antiqua" w:hAnsi="Book Antiqua"/>
        </w:rPr>
        <w:t>: 434-442 [PMID: 34909198 DOI: 10.1111/ncn3.12548]</w:t>
      </w:r>
    </w:p>
    <w:p>
      <w:pPr>
        <w:pStyle w:val="5"/>
        <w:spacing w:before="0" w:beforeAutospacing="0" w:after="0" w:afterAutospacing="0" w:line="360" w:lineRule="auto"/>
        <w:jc w:val="both"/>
        <w:rPr>
          <w:rFonts w:ascii="Book Antiqua" w:hAnsi="Book Antiqua"/>
        </w:rPr>
      </w:pPr>
      <w:r>
        <w:rPr>
          <w:rFonts w:ascii="Book Antiqua" w:hAnsi="Book Antiqua"/>
        </w:rPr>
        <w:t xml:space="preserve">95 </w:t>
      </w:r>
      <w:r>
        <w:rPr>
          <w:rFonts w:ascii="Book Antiqua" w:hAnsi="Book Antiqua"/>
          <w:b/>
          <w:bCs/>
        </w:rPr>
        <w:t>Cipriano M</w:t>
      </w:r>
      <w:r>
        <w:rPr>
          <w:rFonts w:ascii="Book Antiqua" w:hAnsi="Book Antiqua"/>
        </w:rPr>
        <w:t xml:space="preserve">, Ruberti E, Giacalone A. Gastrointestinal Infection Could Be New Focus for Coronavirus Diagnosis.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e7422 [PMID: 32351807 DOI: 10.7759/cureus.7422]</w:t>
      </w:r>
    </w:p>
    <w:p>
      <w:pPr>
        <w:pStyle w:val="5"/>
        <w:spacing w:before="0" w:beforeAutospacing="0" w:after="0" w:afterAutospacing="0" w:line="360" w:lineRule="auto"/>
        <w:jc w:val="both"/>
        <w:rPr>
          <w:rFonts w:ascii="Book Antiqua" w:hAnsi="Book Antiqua"/>
        </w:rPr>
      </w:pPr>
      <w:r>
        <w:rPr>
          <w:rFonts w:ascii="Book Antiqua" w:hAnsi="Book Antiqua"/>
        </w:rPr>
        <w:t xml:space="preserve">96 </w:t>
      </w:r>
      <w:r>
        <w:rPr>
          <w:rFonts w:ascii="Book Antiqua" w:hAnsi="Book Antiqua"/>
          <w:b/>
          <w:bCs/>
        </w:rPr>
        <w:t>Ferreira N</w:t>
      </w:r>
      <w:r>
        <w:rPr>
          <w:rFonts w:ascii="Book Antiqua" w:hAnsi="Book Antiqua"/>
        </w:rPr>
        <w:t xml:space="preserve">, Mikocka-Walus A, van Tilburg MAL, Graff LA, Apputhurai P, Barreiro-de Acosta M, Bennebroek Evertsz F, Burisch J, Lo B, Petrik M, Trindade IA, Jedel S, Moser G, Mokrowiecka A, Bernstein CN, Dumitrascu D, Ford AC, Stengel A, Gearry R, Knowles SR. The impact of the coronavirus (COVID-19) pandemic on individuals with gastrointestinal disorders: A protocol of an international collaborative study. </w:t>
      </w:r>
      <w:r>
        <w:rPr>
          <w:rFonts w:ascii="Book Antiqua" w:hAnsi="Book Antiqua"/>
          <w:i/>
          <w:iCs/>
        </w:rPr>
        <w:t>J Psychosom Res</w:t>
      </w:r>
      <w:r>
        <w:rPr>
          <w:rFonts w:ascii="Book Antiqua" w:hAnsi="Book Antiqua"/>
        </w:rPr>
        <w:t xml:space="preserve"> 2021; </w:t>
      </w:r>
      <w:r>
        <w:rPr>
          <w:rFonts w:ascii="Book Antiqua" w:hAnsi="Book Antiqua"/>
          <w:b/>
          <w:bCs/>
        </w:rPr>
        <w:t>148</w:t>
      </w:r>
      <w:r>
        <w:rPr>
          <w:rFonts w:ascii="Book Antiqua" w:hAnsi="Book Antiqua"/>
        </w:rPr>
        <w:t>: 110561 [PMID: 34217956 DOI: 10.1016/j.jpsychores.2021.110561]</w:t>
      </w:r>
    </w:p>
    <w:p>
      <w:pPr>
        <w:pStyle w:val="5"/>
        <w:spacing w:before="0" w:beforeAutospacing="0" w:after="0" w:afterAutospacing="0" w:line="360" w:lineRule="auto"/>
        <w:jc w:val="both"/>
        <w:rPr>
          <w:rFonts w:ascii="Book Antiqua" w:hAnsi="Book Antiqua"/>
        </w:rPr>
      </w:pPr>
      <w:r>
        <w:rPr>
          <w:rFonts w:ascii="Book Antiqua" w:hAnsi="Book Antiqua"/>
        </w:rPr>
        <w:t xml:space="preserve">97 </w:t>
      </w:r>
      <w:r>
        <w:rPr>
          <w:rFonts w:ascii="Book Antiqua" w:hAnsi="Book Antiqua"/>
          <w:b/>
          <w:bCs/>
        </w:rPr>
        <w:t>Hunt RH</w:t>
      </w:r>
      <w:r>
        <w:rPr>
          <w:rFonts w:ascii="Book Antiqua" w:hAnsi="Book Antiqua"/>
        </w:rPr>
        <w:t xml:space="preserve">, East JE, Lanas A, Malfertheiner P, Satsangi J, Scarpignato C, Webb GJ. COVID-19 and Gastrointestinal Disease: Implications for the Gastroenterologist. </w:t>
      </w:r>
      <w:r>
        <w:rPr>
          <w:rFonts w:ascii="Book Antiqua" w:hAnsi="Book Antiqua"/>
          <w:i/>
          <w:iCs/>
        </w:rPr>
        <w:t>Dig Dis</w:t>
      </w:r>
      <w:r>
        <w:rPr>
          <w:rFonts w:ascii="Book Antiqua" w:hAnsi="Book Antiqua"/>
        </w:rPr>
        <w:t xml:space="preserve"> 2021; </w:t>
      </w:r>
      <w:r>
        <w:rPr>
          <w:rFonts w:ascii="Book Antiqua" w:hAnsi="Book Antiqua"/>
          <w:b/>
          <w:bCs/>
        </w:rPr>
        <w:t>39</w:t>
      </w:r>
      <w:r>
        <w:rPr>
          <w:rFonts w:ascii="Book Antiqua" w:hAnsi="Book Antiqua"/>
        </w:rPr>
        <w:t>: 119-139 [PMID: 33040064 DOI: 10.1159/000512152]</w:t>
      </w:r>
    </w:p>
    <w:p>
      <w:pPr>
        <w:pStyle w:val="5"/>
        <w:spacing w:before="0" w:beforeAutospacing="0" w:after="0" w:afterAutospacing="0" w:line="360" w:lineRule="auto"/>
        <w:jc w:val="both"/>
        <w:rPr>
          <w:rFonts w:ascii="Book Antiqua" w:hAnsi="Book Antiqua"/>
        </w:rPr>
      </w:pPr>
      <w:r>
        <w:rPr>
          <w:rFonts w:ascii="Book Antiqua" w:hAnsi="Book Antiqua"/>
        </w:rPr>
        <w:t xml:space="preserve">98 </w:t>
      </w:r>
      <w:r>
        <w:rPr>
          <w:rFonts w:ascii="Book Antiqua" w:hAnsi="Book Antiqua"/>
          <w:b/>
          <w:bCs/>
        </w:rPr>
        <w:t>Bogariu AM</w:t>
      </w:r>
      <w:r>
        <w:rPr>
          <w:rFonts w:ascii="Book Antiqua" w:hAnsi="Book Antiqua"/>
        </w:rPr>
        <w:t xml:space="preserve">, Dumitrascu DL. Digestive involvement in the Long-COVID syndrome. </w:t>
      </w:r>
      <w:r>
        <w:rPr>
          <w:rFonts w:ascii="Book Antiqua" w:hAnsi="Book Antiqua"/>
          <w:i/>
          <w:iCs/>
        </w:rPr>
        <w:t>Med Pharm Rep</w:t>
      </w:r>
      <w:r>
        <w:rPr>
          <w:rFonts w:ascii="Book Antiqua" w:hAnsi="Book Antiqua"/>
        </w:rPr>
        <w:t xml:space="preserve"> 2022; </w:t>
      </w:r>
      <w:r>
        <w:rPr>
          <w:rFonts w:ascii="Book Antiqua" w:hAnsi="Book Antiqua"/>
          <w:b/>
          <w:bCs/>
        </w:rPr>
        <w:t>95</w:t>
      </w:r>
      <w:r>
        <w:rPr>
          <w:rFonts w:ascii="Book Antiqua" w:hAnsi="Book Antiqua"/>
        </w:rPr>
        <w:t>: 5-10 [PMID: 35720240 DOI: 10.15386/mpr-2340]</w:t>
      </w:r>
    </w:p>
    <w:p>
      <w:pPr>
        <w:pStyle w:val="5"/>
        <w:spacing w:before="0" w:beforeAutospacing="0" w:after="0" w:afterAutospacing="0" w:line="360" w:lineRule="auto"/>
        <w:jc w:val="both"/>
        <w:rPr>
          <w:rFonts w:ascii="Book Antiqua" w:hAnsi="Book Antiqua"/>
        </w:rPr>
      </w:pPr>
      <w:r>
        <w:rPr>
          <w:rFonts w:ascii="Book Antiqua" w:hAnsi="Book Antiqua"/>
        </w:rPr>
        <w:t xml:space="preserve">99 </w:t>
      </w:r>
      <w:r>
        <w:rPr>
          <w:rFonts w:ascii="Book Antiqua" w:hAnsi="Book Antiqua"/>
          <w:b/>
          <w:bCs/>
        </w:rPr>
        <w:t>Blitshteyn S</w:t>
      </w:r>
      <w:r>
        <w:rPr>
          <w:rFonts w:ascii="Book Antiqua" w:hAnsi="Book Antiqua"/>
        </w:rPr>
        <w:t xml:space="preserve">, Whiteson JH, Abramoff B, Azola A, Bartels MN, Bhavaraju-Sanka R, Chung T, Fleming TK, Henning E, Miglis MG, Sampsel S, Silver JK, Tosto J, Verduzco-Gutierrez M, Putrino D. Multi-disciplinary collaborative consensus guidance statement on the assessment and treatment of autonomic dysfunction in patients with post-acute sequelae of SARS-CoV-2 infection (PASC). </w:t>
      </w:r>
      <w:r>
        <w:rPr>
          <w:rFonts w:ascii="Book Antiqua" w:hAnsi="Book Antiqua"/>
          <w:i/>
          <w:iCs/>
        </w:rPr>
        <w:t>PM R</w:t>
      </w:r>
      <w:r>
        <w:rPr>
          <w:rFonts w:ascii="Book Antiqua" w:hAnsi="Book Antiqua"/>
        </w:rPr>
        <w:t xml:space="preserve"> 2022; </w:t>
      </w:r>
      <w:r>
        <w:rPr>
          <w:rFonts w:ascii="Book Antiqua" w:hAnsi="Book Antiqua"/>
          <w:b/>
          <w:bCs/>
        </w:rPr>
        <w:t>14</w:t>
      </w:r>
      <w:r>
        <w:rPr>
          <w:rFonts w:ascii="Book Antiqua" w:hAnsi="Book Antiqua"/>
        </w:rPr>
        <w:t>: 1270-1291 [PMID: 36169154 DOI: 10.1002/pmrj.12894]</w:t>
      </w:r>
    </w:p>
    <w:p>
      <w:pPr>
        <w:pStyle w:val="5"/>
        <w:spacing w:before="0" w:beforeAutospacing="0" w:after="0" w:afterAutospacing="0" w:line="360" w:lineRule="auto"/>
        <w:jc w:val="both"/>
        <w:rPr>
          <w:rFonts w:ascii="Book Antiqua" w:hAnsi="Book Antiqua"/>
        </w:rPr>
      </w:pPr>
      <w:r>
        <w:rPr>
          <w:rFonts w:ascii="Book Antiqua" w:hAnsi="Book Antiqua"/>
        </w:rPr>
        <w:t xml:space="preserve">100 </w:t>
      </w:r>
      <w:r>
        <w:rPr>
          <w:rFonts w:ascii="Book Antiqua" w:hAnsi="Book Antiqua"/>
          <w:b/>
          <w:bCs/>
        </w:rPr>
        <w:t>Shouman K</w:t>
      </w:r>
      <w:r>
        <w:rPr>
          <w:rFonts w:ascii="Book Antiqua" w:hAnsi="Book Antiqua"/>
        </w:rPr>
        <w:t xml:space="preserve">, Vanichkachorn G, Cheshire WP, Suarez MD, Shelly S, Lamotte GJ, Sandroni P, Benarroch EE, Berini SE, Cutsforth-Gregory JK, Coon EA, Mauermann ML, Low PA, Singer W. Autonomic dysfunction following COVID-19 infection: an early experience. </w:t>
      </w:r>
      <w:r>
        <w:rPr>
          <w:rFonts w:ascii="Book Antiqua" w:hAnsi="Book Antiqua"/>
          <w:i/>
          <w:iCs/>
        </w:rPr>
        <w:t>Clin Auton Res</w:t>
      </w:r>
      <w:r>
        <w:rPr>
          <w:rFonts w:ascii="Book Antiqua" w:hAnsi="Book Antiqua"/>
        </w:rPr>
        <w:t xml:space="preserve"> 2021; </w:t>
      </w:r>
      <w:r>
        <w:rPr>
          <w:rFonts w:ascii="Book Antiqua" w:hAnsi="Book Antiqua"/>
          <w:b/>
          <w:bCs/>
        </w:rPr>
        <w:t>31</w:t>
      </w:r>
      <w:r>
        <w:rPr>
          <w:rFonts w:ascii="Book Antiqua" w:hAnsi="Book Antiqua"/>
        </w:rPr>
        <w:t>: 385-394 [PMID: 33860871 DOI: 10.1007/s10286-021-00803-8]</w:t>
      </w:r>
    </w:p>
    <w:p>
      <w:pPr>
        <w:pStyle w:val="5"/>
        <w:spacing w:before="0" w:beforeAutospacing="0" w:after="0" w:afterAutospacing="0" w:line="360" w:lineRule="auto"/>
        <w:jc w:val="both"/>
        <w:rPr>
          <w:rFonts w:ascii="Book Antiqua" w:hAnsi="Book Antiqua"/>
        </w:rPr>
      </w:pPr>
      <w:r>
        <w:rPr>
          <w:rFonts w:ascii="Book Antiqua" w:hAnsi="Book Antiqua"/>
        </w:rPr>
        <w:t xml:space="preserve">101 </w:t>
      </w:r>
      <w:r>
        <w:rPr>
          <w:rFonts w:ascii="Book Antiqua" w:hAnsi="Book Antiqua"/>
          <w:b/>
          <w:bCs/>
        </w:rPr>
        <w:t>Cheshire WP Jr</w:t>
      </w:r>
      <w:r>
        <w:rPr>
          <w:rFonts w:ascii="Book Antiqua" w:hAnsi="Book Antiqua"/>
        </w:rPr>
        <w:t xml:space="preserve">, Goldstein DS. The physical examination as a window into autonomic disorders. </w:t>
      </w:r>
      <w:r>
        <w:rPr>
          <w:rFonts w:ascii="Book Antiqua" w:hAnsi="Book Antiqua"/>
          <w:i/>
          <w:iCs/>
        </w:rPr>
        <w:t>Clin Auton Res</w:t>
      </w:r>
      <w:r>
        <w:rPr>
          <w:rFonts w:ascii="Book Antiqua" w:hAnsi="Book Antiqua"/>
        </w:rPr>
        <w:t xml:space="preserve"> 2018; </w:t>
      </w:r>
      <w:r>
        <w:rPr>
          <w:rFonts w:ascii="Book Antiqua" w:hAnsi="Book Antiqua"/>
          <w:b/>
          <w:bCs/>
        </w:rPr>
        <w:t>28</w:t>
      </w:r>
      <w:r>
        <w:rPr>
          <w:rFonts w:ascii="Book Antiqua" w:hAnsi="Book Antiqua"/>
        </w:rPr>
        <w:t>: 23-33 [PMID: 29294184 DOI: 10.1007/s10286-017-0494-7]</w:t>
      </w:r>
    </w:p>
    <w:p>
      <w:pPr>
        <w:pStyle w:val="5"/>
        <w:spacing w:before="0" w:beforeAutospacing="0" w:after="0" w:afterAutospacing="0" w:line="360" w:lineRule="auto"/>
        <w:jc w:val="both"/>
        <w:rPr>
          <w:rFonts w:ascii="Book Antiqua" w:hAnsi="Book Antiqua"/>
        </w:rPr>
      </w:pPr>
      <w:r>
        <w:rPr>
          <w:rFonts w:ascii="Book Antiqua" w:hAnsi="Book Antiqua"/>
        </w:rPr>
        <w:t xml:space="preserve">102 </w:t>
      </w:r>
      <w:r>
        <w:rPr>
          <w:rFonts w:ascii="Book Antiqua" w:hAnsi="Book Antiqua"/>
          <w:b/>
          <w:bCs/>
        </w:rPr>
        <w:t>Westergren A</w:t>
      </w:r>
      <w:r>
        <w:rPr>
          <w:rFonts w:ascii="Book Antiqua" w:hAnsi="Book Antiqua"/>
        </w:rPr>
        <w:t xml:space="preserve">, Wictorin K, Hansson O, Hagell P. Novel insights regarding the measurement properties of the SCOPA-AUT. </w:t>
      </w:r>
      <w:r>
        <w:rPr>
          <w:rFonts w:ascii="Book Antiqua" w:hAnsi="Book Antiqua"/>
          <w:i/>
          <w:iCs/>
        </w:rPr>
        <w:t>BMC Neurol</w:t>
      </w:r>
      <w:r>
        <w:rPr>
          <w:rFonts w:ascii="Book Antiqua" w:hAnsi="Book Antiqua"/>
        </w:rPr>
        <w:t xml:space="preserve"> 2022; </w:t>
      </w:r>
      <w:r>
        <w:rPr>
          <w:rFonts w:ascii="Book Antiqua" w:hAnsi="Book Antiqua"/>
          <w:b/>
          <w:bCs/>
        </w:rPr>
        <w:t>22</w:t>
      </w:r>
      <w:r>
        <w:rPr>
          <w:rFonts w:ascii="Book Antiqua" w:hAnsi="Book Antiqua"/>
        </w:rPr>
        <w:t>: 478 [PMID: 36514012 DOI: 10.1186/s12883-022-03008-2]</w:t>
      </w:r>
    </w:p>
    <w:p>
      <w:pPr>
        <w:pStyle w:val="5"/>
        <w:spacing w:before="0" w:beforeAutospacing="0" w:after="0" w:afterAutospacing="0" w:line="360" w:lineRule="auto"/>
        <w:jc w:val="both"/>
        <w:rPr>
          <w:rFonts w:ascii="Book Antiqua" w:hAnsi="Book Antiqua"/>
        </w:rPr>
      </w:pPr>
      <w:r>
        <w:rPr>
          <w:rFonts w:ascii="Book Antiqua" w:hAnsi="Book Antiqua"/>
        </w:rPr>
        <w:t xml:space="preserve">103 </w:t>
      </w:r>
      <w:r>
        <w:rPr>
          <w:rFonts w:ascii="Book Antiqua" w:hAnsi="Book Antiqua"/>
          <w:b/>
          <w:bCs/>
        </w:rPr>
        <w:t>Sellami L</w:t>
      </w:r>
      <w:r>
        <w:rPr>
          <w:rFonts w:ascii="Book Antiqua" w:hAnsi="Book Antiqua"/>
        </w:rPr>
        <w:t xml:space="preserve">, Kacem I, Nasri A, Djebara MB, Sidhom Y, Gargouri A, Gouider R. Evaluation of an Arabic version of the non-motor symptoms scale in Parkinson's disease. </w:t>
      </w:r>
      <w:r>
        <w:rPr>
          <w:rFonts w:ascii="Book Antiqua" w:hAnsi="Book Antiqua"/>
          <w:i/>
          <w:iCs/>
        </w:rPr>
        <w:t>Neurol Sci</w:t>
      </w:r>
      <w:r>
        <w:rPr>
          <w:rFonts w:ascii="Book Antiqua" w:hAnsi="Book Antiqua"/>
        </w:rPr>
        <w:t xml:space="preserve"> 2016; </w:t>
      </w:r>
      <w:r>
        <w:rPr>
          <w:rFonts w:ascii="Book Antiqua" w:hAnsi="Book Antiqua"/>
          <w:b/>
          <w:bCs/>
        </w:rPr>
        <w:t>37</w:t>
      </w:r>
      <w:r>
        <w:rPr>
          <w:rFonts w:ascii="Book Antiqua" w:hAnsi="Book Antiqua"/>
        </w:rPr>
        <w:t>: 963-968 [PMID: 26932938 DOI: 10.1007/s10072-016-2525-x]</w:t>
      </w:r>
    </w:p>
    <w:p>
      <w:pPr>
        <w:pStyle w:val="5"/>
        <w:spacing w:before="0" w:beforeAutospacing="0" w:after="0" w:afterAutospacing="0" w:line="360" w:lineRule="auto"/>
        <w:jc w:val="both"/>
        <w:rPr>
          <w:rFonts w:ascii="Book Antiqua" w:hAnsi="Book Antiqua"/>
        </w:rPr>
      </w:pPr>
      <w:r>
        <w:rPr>
          <w:rFonts w:ascii="Book Antiqua" w:hAnsi="Book Antiqua"/>
        </w:rPr>
        <w:t xml:space="preserve">104 </w:t>
      </w:r>
      <w:r>
        <w:rPr>
          <w:rFonts w:ascii="Book Antiqua" w:hAnsi="Book Antiqua"/>
          <w:b/>
          <w:bCs/>
        </w:rPr>
        <w:t>Goudouris ES</w:t>
      </w:r>
      <w:r>
        <w:rPr>
          <w:rFonts w:ascii="Book Antiqua" w:hAnsi="Book Antiqua"/>
        </w:rPr>
        <w:t xml:space="preserve">. Laboratory diagnosis of COVID-19. </w:t>
      </w:r>
      <w:r>
        <w:rPr>
          <w:rFonts w:ascii="Book Antiqua" w:hAnsi="Book Antiqua"/>
          <w:i/>
          <w:iCs/>
        </w:rPr>
        <w:t>J Pediatr (Rio J)</w:t>
      </w:r>
      <w:r>
        <w:rPr>
          <w:rFonts w:ascii="Book Antiqua" w:hAnsi="Book Antiqua"/>
        </w:rPr>
        <w:t xml:space="preserve"> 2021; </w:t>
      </w:r>
      <w:r>
        <w:rPr>
          <w:rFonts w:ascii="Book Antiqua" w:hAnsi="Book Antiqua"/>
          <w:b/>
          <w:bCs/>
        </w:rPr>
        <w:t>97</w:t>
      </w:r>
      <w:r>
        <w:rPr>
          <w:rFonts w:ascii="Book Antiqua" w:hAnsi="Book Antiqua"/>
        </w:rPr>
        <w:t>: 7-12 [PMID: 32882235 DOI: 10.1016/j.jped.2020.08.001]</w:t>
      </w:r>
    </w:p>
    <w:p>
      <w:pPr>
        <w:pStyle w:val="5"/>
        <w:spacing w:before="0" w:beforeAutospacing="0" w:after="0" w:afterAutospacing="0" w:line="360" w:lineRule="auto"/>
        <w:jc w:val="both"/>
        <w:rPr>
          <w:rFonts w:ascii="Book Antiqua" w:hAnsi="Book Antiqua"/>
        </w:rPr>
      </w:pPr>
      <w:r>
        <w:rPr>
          <w:rFonts w:ascii="Book Antiqua" w:hAnsi="Book Antiqua"/>
        </w:rPr>
        <w:t xml:space="preserve">105 </w:t>
      </w:r>
      <w:r>
        <w:rPr>
          <w:rFonts w:ascii="Book Antiqua" w:hAnsi="Book Antiqua"/>
          <w:b/>
          <w:bCs/>
        </w:rPr>
        <w:t>Pourbagheri-Sigaroodi A,</w:t>
      </w:r>
      <w:r>
        <w:rPr>
          <w:rFonts w:ascii="Book Antiqua" w:hAnsi="Book Antiqua"/>
        </w:rPr>
        <w:t xml:space="preserve"> Bashash D, Fateh F, Abolghasemi H. Laboratory findings in </w:t>
      </w:r>
      <w:r>
        <w:rPr>
          <w:rFonts w:hint="eastAsia" w:ascii="MS Mincho" w:hAnsi="MS Mincho" w:eastAsia="MS Mincho" w:cs="MS Mincho"/>
        </w:rPr>
        <w:t>‎</w:t>
      </w:r>
      <w:r>
        <w:rPr>
          <w:rFonts w:ascii="Book Antiqua" w:hAnsi="Book Antiqua"/>
        </w:rPr>
        <w:t xml:space="preserve">COVID-19 diagnosis and prognosis. </w:t>
      </w:r>
      <w:r>
        <w:rPr>
          <w:rFonts w:ascii="Book Antiqua" w:hAnsi="Book Antiqua"/>
          <w:i/>
          <w:iCs/>
        </w:rPr>
        <w:t>Clin Chim Acta</w:t>
      </w:r>
      <w:r>
        <w:rPr>
          <w:rFonts w:ascii="Book Antiqua" w:hAnsi="Book Antiqua"/>
        </w:rPr>
        <w:t xml:space="preserve"> 2020;</w:t>
      </w:r>
      <w:r>
        <w:rPr>
          <w:rFonts w:ascii="Book Antiqua" w:hAnsi="Book Antiqua"/>
          <w:b/>
          <w:bCs/>
        </w:rPr>
        <w:t xml:space="preserve"> 510:</w:t>
      </w:r>
      <w:r>
        <w:rPr>
          <w:rFonts w:ascii="Book Antiqua" w:hAnsi="Book Antiqua"/>
        </w:rPr>
        <w:t xml:space="preserve"> 475-482 [PMID: 32798514 DOI: 10.1016/j.cca.2020.08.019]</w:t>
      </w:r>
      <w:r>
        <w:rPr>
          <w:rFonts w:hint="eastAsia" w:ascii="MS Mincho" w:hAnsi="MS Mincho" w:eastAsia="MS Mincho" w:cs="MS Mincho"/>
        </w:rPr>
        <w:t>‎</w:t>
      </w:r>
    </w:p>
    <w:p>
      <w:pPr>
        <w:pStyle w:val="5"/>
        <w:spacing w:before="0" w:beforeAutospacing="0" w:after="0" w:afterAutospacing="0" w:line="360" w:lineRule="auto"/>
        <w:jc w:val="both"/>
        <w:rPr>
          <w:rFonts w:ascii="Book Antiqua" w:hAnsi="Book Antiqua"/>
        </w:rPr>
      </w:pPr>
      <w:r>
        <w:rPr>
          <w:rFonts w:ascii="Book Antiqua" w:hAnsi="Book Antiqua"/>
        </w:rPr>
        <w:t xml:space="preserve">106 </w:t>
      </w:r>
      <w:r>
        <w:rPr>
          <w:rFonts w:ascii="Book Antiqua" w:hAnsi="Book Antiqua"/>
          <w:b/>
          <w:bCs/>
        </w:rPr>
        <w:t>Gutiérrez C</w:t>
      </w:r>
      <w:r>
        <w:rPr>
          <w:rFonts w:ascii="Book Antiqua" w:hAnsi="Book Antiqua"/>
        </w:rPr>
        <w:t xml:space="preserve">, Marco A, Nogales A, Tebar R. Total and segmental colonic transit time and anorectal manometry in children with chronic idiopathic constipation. </w:t>
      </w:r>
      <w:r>
        <w:rPr>
          <w:rFonts w:ascii="Book Antiqua" w:hAnsi="Book Antiqua"/>
          <w:i/>
          <w:iCs/>
        </w:rPr>
        <w:t>J Pediatr Gastroenterol Nutr</w:t>
      </w:r>
      <w:r>
        <w:rPr>
          <w:rFonts w:ascii="Book Antiqua" w:hAnsi="Book Antiqua"/>
        </w:rPr>
        <w:t xml:space="preserve"> 2002; </w:t>
      </w:r>
      <w:r>
        <w:rPr>
          <w:rFonts w:ascii="Book Antiqua" w:hAnsi="Book Antiqua"/>
          <w:b/>
          <w:bCs/>
        </w:rPr>
        <w:t>35</w:t>
      </w:r>
      <w:r>
        <w:rPr>
          <w:rFonts w:ascii="Book Antiqua" w:hAnsi="Book Antiqua"/>
        </w:rPr>
        <w:t>: 31-38 [PMID: 12142807 DOI: 10.1097/00005176-</w:t>
      </w:r>
      <w:r>
        <w:rPr>
          <w:rFonts w:hint="eastAsia" w:ascii="MS Mincho" w:hAnsi="MS Mincho" w:eastAsia="MS Mincho" w:cs="MS Mincho"/>
        </w:rPr>
        <w:t>‎‎</w:t>
      </w:r>
      <w:r>
        <w:rPr>
          <w:rFonts w:ascii="Book Antiqua" w:hAnsi="Book Antiqua"/>
        </w:rPr>
        <w:t>200207000-00008]</w:t>
      </w:r>
    </w:p>
    <w:p>
      <w:pPr>
        <w:pStyle w:val="5"/>
        <w:spacing w:before="0" w:beforeAutospacing="0" w:after="0" w:afterAutospacing="0" w:line="360" w:lineRule="auto"/>
        <w:jc w:val="both"/>
        <w:rPr>
          <w:rFonts w:ascii="Book Antiqua" w:hAnsi="Book Antiqua"/>
        </w:rPr>
      </w:pPr>
      <w:r>
        <w:rPr>
          <w:rFonts w:ascii="Book Antiqua" w:hAnsi="Book Antiqua"/>
        </w:rPr>
        <w:t xml:space="preserve">107 </w:t>
      </w:r>
      <w:r>
        <w:rPr>
          <w:rFonts w:ascii="Book Antiqua" w:hAnsi="Book Antiqua"/>
          <w:b/>
          <w:bCs/>
        </w:rPr>
        <w:t>Zygmunt A</w:t>
      </w:r>
      <w:r>
        <w:rPr>
          <w:rFonts w:ascii="Book Antiqua" w:hAnsi="Book Antiqua"/>
        </w:rPr>
        <w:t xml:space="preserve">, Stanczyk J. Methods of evaluation of autonomic nervous system function. </w:t>
      </w:r>
      <w:r>
        <w:rPr>
          <w:rFonts w:ascii="Book Antiqua" w:hAnsi="Book Antiqua"/>
          <w:i/>
          <w:iCs/>
        </w:rPr>
        <w:t>Arch Med Sci</w:t>
      </w:r>
      <w:r>
        <w:rPr>
          <w:rFonts w:ascii="Book Antiqua" w:hAnsi="Book Antiqua"/>
        </w:rPr>
        <w:t xml:space="preserve"> 2010; </w:t>
      </w:r>
      <w:r>
        <w:rPr>
          <w:rFonts w:ascii="Book Antiqua" w:hAnsi="Book Antiqua"/>
          <w:b/>
          <w:bCs/>
        </w:rPr>
        <w:t>6</w:t>
      </w:r>
      <w:r>
        <w:rPr>
          <w:rFonts w:ascii="Book Antiqua" w:hAnsi="Book Antiqua"/>
        </w:rPr>
        <w:t>: 11-18 [PMID: 22371714 DOI: 10.5114/aoms.2010.13500]</w:t>
      </w:r>
    </w:p>
    <w:p>
      <w:pPr>
        <w:pStyle w:val="5"/>
        <w:spacing w:before="0" w:beforeAutospacing="0" w:after="0" w:afterAutospacing="0" w:line="360" w:lineRule="auto"/>
        <w:jc w:val="both"/>
        <w:rPr>
          <w:rFonts w:ascii="Book Antiqua" w:hAnsi="Book Antiqua"/>
        </w:rPr>
      </w:pPr>
      <w:r>
        <w:rPr>
          <w:rFonts w:ascii="Book Antiqua" w:hAnsi="Book Antiqua"/>
        </w:rPr>
        <w:t xml:space="preserve">108 </w:t>
      </w:r>
      <w:r>
        <w:rPr>
          <w:rFonts w:ascii="Book Antiqua" w:hAnsi="Book Antiqua"/>
          <w:b/>
          <w:bCs/>
        </w:rPr>
        <w:t>Illigens BM</w:t>
      </w:r>
      <w:r>
        <w:rPr>
          <w:rFonts w:ascii="Book Antiqua" w:hAnsi="Book Antiqua"/>
        </w:rPr>
        <w:t xml:space="preserve">, Gibbons CH. Sweat testing to evaluate autonomic function. </w:t>
      </w:r>
      <w:r>
        <w:rPr>
          <w:rFonts w:ascii="Book Antiqua" w:hAnsi="Book Antiqua"/>
          <w:i/>
          <w:iCs/>
        </w:rPr>
        <w:t>Clin Auton Res</w:t>
      </w:r>
      <w:r>
        <w:rPr>
          <w:rFonts w:ascii="Book Antiqua" w:hAnsi="Book Antiqua"/>
        </w:rPr>
        <w:t xml:space="preserve"> 2009; </w:t>
      </w:r>
      <w:r>
        <w:rPr>
          <w:rFonts w:ascii="Book Antiqua" w:hAnsi="Book Antiqua"/>
          <w:b/>
          <w:bCs/>
        </w:rPr>
        <w:t>19</w:t>
      </w:r>
      <w:r>
        <w:rPr>
          <w:rFonts w:ascii="Book Antiqua" w:hAnsi="Book Antiqua"/>
        </w:rPr>
        <w:t>: 79-87 [PMID: 18989618 DOI: 10.1007/s10286-008-0506-8]</w:t>
      </w:r>
    </w:p>
    <w:p>
      <w:pPr>
        <w:pStyle w:val="5"/>
        <w:spacing w:before="0" w:beforeAutospacing="0" w:after="0" w:afterAutospacing="0" w:line="360" w:lineRule="auto"/>
        <w:jc w:val="both"/>
        <w:rPr>
          <w:rFonts w:ascii="Book Antiqua" w:hAnsi="Book Antiqua"/>
        </w:rPr>
      </w:pPr>
      <w:r>
        <w:rPr>
          <w:rFonts w:ascii="Book Antiqua" w:hAnsi="Book Antiqua"/>
        </w:rPr>
        <w:t xml:space="preserve">109 </w:t>
      </w:r>
      <w:r>
        <w:rPr>
          <w:rFonts w:ascii="Book Antiqua" w:hAnsi="Book Antiqua"/>
          <w:b/>
          <w:bCs/>
        </w:rPr>
        <w:t>Chrysant SG</w:t>
      </w:r>
      <w:r>
        <w:rPr>
          <w:rFonts w:ascii="Book Antiqua" w:hAnsi="Book Antiqua"/>
        </w:rPr>
        <w:t xml:space="preserve">. The tilt table test is useful for the diagnosis of vasovagal syncope and should not be abolished. </w:t>
      </w:r>
      <w:r>
        <w:rPr>
          <w:rFonts w:ascii="Book Antiqua" w:hAnsi="Book Antiqua"/>
          <w:i/>
          <w:iCs/>
        </w:rPr>
        <w:t>J Clin Hypertens (Greenwich)</w:t>
      </w:r>
      <w:r>
        <w:rPr>
          <w:rFonts w:ascii="Book Antiqua" w:hAnsi="Book Antiqua"/>
        </w:rPr>
        <w:t xml:space="preserve"> 2020; </w:t>
      </w:r>
      <w:r>
        <w:rPr>
          <w:rFonts w:ascii="Book Antiqua" w:hAnsi="Book Antiqua"/>
          <w:b/>
          <w:bCs/>
        </w:rPr>
        <w:t>22</w:t>
      </w:r>
      <w:r>
        <w:rPr>
          <w:rFonts w:ascii="Book Antiqua" w:hAnsi="Book Antiqua"/>
        </w:rPr>
        <w:t>: 686-689 [PMID: 32248628 DOI: 10.1111/jch.13846]</w:t>
      </w:r>
    </w:p>
    <w:p>
      <w:pPr>
        <w:pStyle w:val="5"/>
        <w:spacing w:before="0" w:beforeAutospacing="0" w:after="0" w:afterAutospacing="0" w:line="360" w:lineRule="auto"/>
        <w:jc w:val="both"/>
        <w:rPr>
          <w:rFonts w:ascii="Book Antiqua" w:hAnsi="Book Antiqua"/>
          <w:lang w:val="nl-BE"/>
        </w:rPr>
      </w:pPr>
      <w:r>
        <w:rPr>
          <w:rFonts w:ascii="Book Antiqua" w:hAnsi="Book Antiqua"/>
        </w:rPr>
        <w:t xml:space="preserve">110 </w:t>
      </w:r>
      <w:r>
        <w:rPr>
          <w:rFonts w:ascii="Book Antiqua" w:hAnsi="Book Antiqua"/>
          <w:b/>
          <w:bCs/>
        </w:rPr>
        <w:t>Peixoto A</w:t>
      </w:r>
      <w:r>
        <w:rPr>
          <w:rFonts w:ascii="Book Antiqua" w:hAnsi="Book Antiqua"/>
        </w:rPr>
        <w:t xml:space="preserve">, Silva M, Pereira P, Macedo G. Biopsies in Gastrointestinal Endoscopy: When and How. </w:t>
      </w:r>
      <w:r>
        <w:rPr>
          <w:rFonts w:ascii="Book Antiqua" w:hAnsi="Book Antiqua"/>
          <w:i/>
          <w:iCs/>
          <w:lang w:val="nl-BE"/>
        </w:rPr>
        <w:t>GE Port J Gastroenterol</w:t>
      </w:r>
      <w:r>
        <w:rPr>
          <w:rFonts w:ascii="Book Antiqua" w:hAnsi="Book Antiqua"/>
          <w:lang w:val="nl-BE"/>
        </w:rPr>
        <w:t xml:space="preserve"> 2016; </w:t>
      </w:r>
      <w:r>
        <w:rPr>
          <w:rFonts w:ascii="Book Antiqua" w:hAnsi="Book Antiqua"/>
          <w:b/>
          <w:bCs/>
          <w:lang w:val="nl-BE"/>
        </w:rPr>
        <w:t>23</w:t>
      </w:r>
      <w:r>
        <w:rPr>
          <w:rFonts w:ascii="Book Antiqua" w:hAnsi="Book Antiqua"/>
          <w:lang w:val="nl-BE"/>
        </w:rPr>
        <w:t>: 19-27 [PMID: 28868426 DOI: 10.1016/j.jpge.2015.07.004]</w:t>
      </w:r>
    </w:p>
    <w:p>
      <w:pPr>
        <w:pStyle w:val="5"/>
        <w:spacing w:before="0" w:beforeAutospacing="0" w:after="0" w:afterAutospacing="0" w:line="360" w:lineRule="auto"/>
        <w:jc w:val="both"/>
        <w:rPr>
          <w:rFonts w:ascii="Book Antiqua" w:hAnsi="Book Antiqua"/>
        </w:rPr>
      </w:pPr>
      <w:r>
        <w:rPr>
          <w:rFonts w:ascii="Book Antiqua" w:hAnsi="Book Antiqua"/>
          <w:lang w:val="nl-BE"/>
        </w:rPr>
        <w:t xml:space="preserve">111 </w:t>
      </w:r>
      <w:r>
        <w:rPr>
          <w:rFonts w:ascii="Book Antiqua" w:hAnsi="Book Antiqua"/>
          <w:b/>
          <w:bCs/>
          <w:lang w:val="nl-BE"/>
        </w:rPr>
        <w:t>Nelms DW</w:t>
      </w:r>
      <w:r>
        <w:rPr>
          <w:rFonts w:ascii="Book Antiqua" w:hAnsi="Book Antiqua"/>
          <w:lang w:val="nl-BE"/>
        </w:rPr>
        <w:t xml:space="preserve">, Kann BR. </w:t>
      </w:r>
      <w:r>
        <w:rPr>
          <w:rFonts w:ascii="Book Antiqua" w:hAnsi="Book Antiqua"/>
        </w:rPr>
        <w:t xml:space="preserve">Imaging Modalities for Evaluation of Intestinal Obstruction. </w:t>
      </w:r>
      <w:r>
        <w:rPr>
          <w:rFonts w:ascii="Book Antiqua" w:hAnsi="Book Antiqua"/>
          <w:i/>
          <w:iCs/>
        </w:rPr>
        <w:t>Clin Colon Rectal Surg</w:t>
      </w:r>
      <w:r>
        <w:rPr>
          <w:rFonts w:ascii="Book Antiqua" w:hAnsi="Book Antiqua"/>
        </w:rPr>
        <w:t xml:space="preserve"> 2021; </w:t>
      </w:r>
      <w:r>
        <w:rPr>
          <w:rFonts w:ascii="Book Antiqua" w:hAnsi="Book Antiqua"/>
          <w:b/>
          <w:bCs/>
        </w:rPr>
        <w:t>34</w:t>
      </w:r>
      <w:r>
        <w:rPr>
          <w:rFonts w:ascii="Book Antiqua" w:hAnsi="Book Antiqua"/>
        </w:rPr>
        <w:t>: 205-218 [PMID: 34305469 DOI: 10.1055/s-0041-1729737]</w:t>
      </w:r>
    </w:p>
    <w:p>
      <w:pPr>
        <w:pStyle w:val="5"/>
        <w:spacing w:before="0" w:beforeAutospacing="0" w:after="0" w:afterAutospacing="0" w:line="360" w:lineRule="auto"/>
        <w:jc w:val="both"/>
        <w:rPr>
          <w:rFonts w:ascii="Book Antiqua" w:hAnsi="Book Antiqua"/>
        </w:rPr>
      </w:pPr>
      <w:r>
        <w:rPr>
          <w:rFonts w:ascii="Book Antiqua" w:hAnsi="Book Antiqua"/>
        </w:rPr>
        <w:t xml:space="preserve">112 </w:t>
      </w:r>
      <w:r>
        <w:rPr>
          <w:rFonts w:ascii="Book Antiqua" w:hAnsi="Book Antiqua"/>
          <w:b/>
          <w:bCs/>
        </w:rPr>
        <w:t>Caraiani C</w:t>
      </w:r>
      <w:r>
        <w:rPr>
          <w:rFonts w:ascii="Book Antiqua" w:hAnsi="Book Antiqua"/>
        </w:rPr>
        <w:t xml:space="preserve">, Yi D, Petresc B, Dietrich C. Indications for abdominal imaging: When and what to choose? </w:t>
      </w:r>
      <w:r>
        <w:rPr>
          <w:rFonts w:ascii="Book Antiqua" w:hAnsi="Book Antiqua"/>
          <w:i/>
          <w:iCs/>
        </w:rPr>
        <w:t>J Ultrason</w:t>
      </w:r>
      <w:r>
        <w:rPr>
          <w:rFonts w:ascii="Book Antiqua" w:hAnsi="Book Antiqua"/>
        </w:rPr>
        <w:t xml:space="preserve"> 2020; </w:t>
      </w:r>
      <w:r>
        <w:rPr>
          <w:rFonts w:ascii="Book Antiqua" w:hAnsi="Book Antiqua"/>
          <w:b/>
          <w:bCs/>
        </w:rPr>
        <w:t>20</w:t>
      </w:r>
      <w:r>
        <w:rPr>
          <w:rFonts w:ascii="Book Antiqua" w:hAnsi="Book Antiqua"/>
        </w:rPr>
        <w:t>: e43-e54 [PMID: 32320166 DOI: 10.15557/JoU.2020.0008]</w:t>
      </w:r>
    </w:p>
    <w:p>
      <w:pPr>
        <w:pStyle w:val="5"/>
        <w:spacing w:before="0" w:beforeAutospacing="0" w:after="0" w:afterAutospacing="0" w:line="360" w:lineRule="auto"/>
        <w:jc w:val="both"/>
        <w:rPr>
          <w:rFonts w:ascii="Book Antiqua" w:hAnsi="Book Antiqua"/>
        </w:rPr>
      </w:pPr>
      <w:r>
        <w:rPr>
          <w:rFonts w:ascii="Book Antiqua" w:hAnsi="Book Antiqua"/>
        </w:rPr>
        <w:t xml:space="preserve">113 </w:t>
      </w:r>
      <w:r>
        <w:rPr>
          <w:rFonts w:ascii="Book Antiqua" w:hAnsi="Book Antiqua"/>
          <w:b/>
          <w:bCs/>
        </w:rPr>
        <w:t>Jin S</w:t>
      </w:r>
      <w:r>
        <w:rPr>
          <w:rFonts w:ascii="Book Antiqua" w:hAnsi="Book Antiqua"/>
        </w:rPr>
        <w:t xml:space="preserve">, Lu X, Xu C. COVID-19 induces gastrointestinal symptoms and affects patients' prognosis. </w:t>
      </w:r>
      <w:r>
        <w:rPr>
          <w:rFonts w:ascii="Book Antiqua" w:hAnsi="Book Antiqua"/>
          <w:i/>
          <w:iCs/>
        </w:rPr>
        <w:t>J Int Med Res</w:t>
      </w:r>
      <w:r>
        <w:rPr>
          <w:rFonts w:ascii="Book Antiqua" w:hAnsi="Book Antiqua"/>
        </w:rPr>
        <w:t xml:space="preserve"> 2022; </w:t>
      </w:r>
      <w:r>
        <w:rPr>
          <w:rFonts w:ascii="Book Antiqua" w:hAnsi="Book Antiqua"/>
          <w:b/>
          <w:bCs/>
        </w:rPr>
        <w:t>50</w:t>
      </w:r>
      <w:r>
        <w:rPr>
          <w:rFonts w:ascii="Book Antiqua" w:hAnsi="Book Antiqua"/>
        </w:rPr>
        <w:t>: 3000605221129543 [PMID: 36238995 DOI: 10.1177/03000605221129543]</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The authors declare no conflict of interest for this article.</w:t>
      </w:r>
    </w:p>
    <w:p>
      <w:pPr>
        <w:spacing w:line="360" w:lineRule="auto"/>
        <w:jc w:val="both"/>
      </w:pPr>
    </w:p>
    <w:p>
      <w:pPr>
        <w:spacing w:line="360" w:lineRule="auto"/>
        <w:jc w:val="both"/>
      </w:pPr>
      <w:r>
        <w:rPr>
          <w:rFonts w:ascii="Book Antiqua" w:hAnsi="Book Antiqua" w:eastAsia="Book Antiqua" w:cs="Book Antiqua"/>
          <w:b/>
          <w:bCs/>
        </w:rPr>
        <w:t xml:space="preserve">PRISMA 2009 Checklist statement: </w:t>
      </w:r>
      <w:r>
        <w:rPr>
          <w:rFonts w:ascii="Book Antiqua" w:hAnsi="Book Antiqua" w:eastAsia="Book Antiqua" w:cs="Book Antiqua"/>
          <w:color w:val="000000"/>
        </w:rPr>
        <w:t>The manuscript was prepared and revised according to the PRISMA 2009 Checklist statement.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April 20,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June 7, 2023</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Bahrain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D, D</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Ait Addi R, Morocco; Mukhopadhyay A, India; Taghizadeh-Hesary F, Iran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Ma</w:t>
      </w:r>
      <w:r>
        <w:rPr>
          <w:rFonts w:ascii="Book Antiqua" w:hAnsi="Book Antiqua" w:eastAsia="宋体" w:cs="宋体"/>
          <w:bCs/>
          <w:color w:val="000000"/>
          <w:lang w:eastAsia="zh-CN"/>
        </w:rPr>
        <w:t xml:space="preserve"> YJ</w:t>
      </w:r>
      <w:r>
        <w:rPr>
          <w:rFonts w:ascii="Book Antiqua" w:hAnsi="Book Antiqua" w:eastAsia="Book Antiqua" w:cs="Book Antiqua"/>
          <w:bCs/>
          <w:color w:val="000000"/>
        </w:rPr>
        <w:t xml:space="preserve"> </w:t>
      </w:r>
      <w:r>
        <w:rPr>
          <w:rFonts w:ascii="Book Antiqua" w:hAnsi="Book Antiqua" w:eastAsia="Book Antiqua" w:cs="Book Antiqua"/>
          <w:b/>
          <w:color w:val="000000"/>
        </w:rPr>
        <w:t xml:space="preserve">L-Editor: </w:t>
      </w:r>
      <w:r>
        <w:rPr>
          <w:rFonts w:ascii="Book Antiqua" w:hAnsi="Book Antiqua" w:eastAsia="宋体" w:cs="Book Antiqua"/>
          <w:b w:val="0"/>
          <w:bCs/>
          <w:color w:val="000000"/>
          <w:lang w:eastAsia="zh-CN"/>
        </w:rPr>
        <w:t>Wang TQ</w:t>
      </w:r>
      <w:r>
        <w:rPr>
          <w:rFonts w:hint="eastAsia" w:ascii="Book Antiqua" w:hAnsi="Book Antiqua" w:eastAsia="宋体" w:cs="Book Antiqua"/>
          <w:b/>
          <w:color w:val="000000"/>
          <w:lang w:eastAsia="zh-CN"/>
        </w:rPr>
        <w:t xml:space="preserve"> </w:t>
      </w:r>
      <w:r>
        <w:rPr>
          <w:rFonts w:ascii="Book Antiqua" w:hAnsi="Book Antiqua" w:eastAsia="Book Antiqua" w:cs="Book Antiqua"/>
          <w:b/>
          <w:color w:val="000000"/>
        </w:rPr>
        <w:t xml:space="preserve">P-Editor: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drawing>
          <wp:inline distT="0" distB="0" distL="0" distR="0">
            <wp:extent cx="5943600" cy="5212080"/>
            <wp:effectExtent l="0" t="0" r="0" b="0"/>
            <wp:docPr id="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5212080"/>
                    </a:xfrm>
                    <a:prstGeom prst="rect">
                      <a:avLst/>
                    </a:prstGeom>
                  </pic:spPr>
                </pic:pic>
              </a:graphicData>
            </a:graphic>
          </wp:inline>
        </w:drawing>
      </w:r>
    </w:p>
    <w:p>
      <w:pPr>
        <w:spacing w:line="360" w:lineRule="auto"/>
        <w:jc w:val="both"/>
        <w:rPr>
          <w:rFonts w:ascii="Book Antiqua" w:hAnsi="Book Antiqua" w:eastAsia="Book Antiqua" w:cs="Book Antiqua"/>
          <w:b/>
          <w:bCs/>
          <w:color w:val="000000"/>
          <w:szCs w:val="22"/>
        </w:rPr>
      </w:pPr>
      <w:r>
        <w:rPr>
          <w:rFonts w:ascii="Book Antiqua" w:hAnsi="Book Antiqua" w:eastAsia="Book Antiqua" w:cs="Book Antiqua"/>
          <w:b/>
          <w:bCs/>
          <w:color w:val="000000"/>
          <w:szCs w:val="22"/>
        </w:rPr>
        <w:t xml:space="preserve">Figure 1 </w:t>
      </w:r>
      <w:r>
        <w:rPr>
          <w:rFonts w:hint="eastAsia" w:ascii="Book Antiqua" w:hAnsi="Book Antiqua" w:eastAsia="宋体" w:cs="Book Antiqua"/>
          <w:b/>
          <w:bCs/>
          <w:color w:val="000000"/>
          <w:szCs w:val="22"/>
          <w:lang w:eastAsia="zh-CN"/>
        </w:rPr>
        <w:t>F</w:t>
      </w:r>
      <w:r>
        <w:rPr>
          <w:rFonts w:ascii="Book Antiqua" w:hAnsi="Book Antiqua" w:eastAsia="Book Antiqua" w:cs="Book Antiqua"/>
          <w:b/>
          <w:bCs/>
          <w:color w:val="000000"/>
          <w:szCs w:val="22"/>
        </w:rPr>
        <w:t>low chart of the study.</w:t>
      </w:r>
    </w:p>
    <w:p>
      <w:pPr>
        <w:spacing w:line="360" w:lineRule="auto"/>
        <w:jc w:val="both"/>
      </w:pPr>
      <w:r>
        <w:drawing>
          <wp:inline distT="0" distB="0" distL="0" distR="0">
            <wp:extent cx="5943600" cy="454596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6"/>
                    <a:srcRect l="16594" t="4757" r="16074" b="3692"/>
                    <a:stretch>
                      <a:fillRect/>
                    </a:stretch>
                  </pic:blipFill>
                  <pic:spPr>
                    <a:xfrm>
                      <a:off x="0" y="0"/>
                      <a:ext cx="5943600" cy="4545965"/>
                    </a:xfrm>
                    <a:prstGeom prst="rect">
                      <a:avLst/>
                    </a:prstGeom>
                  </pic:spPr>
                </pic:pic>
              </a:graphicData>
            </a:graphic>
          </wp:inline>
        </w:drawing>
      </w:r>
    </w:p>
    <w:p>
      <w:pPr>
        <w:spacing w:line="360" w:lineRule="auto"/>
        <w:jc w:val="both"/>
        <w:rPr>
          <w:rFonts w:ascii="Book Antiqua" w:hAnsi="Book Antiqua" w:eastAsia="Book Antiqua" w:cs="Book Antiqua"/>
          <w:szCs w:val="20"/>
        </w:rPr>
      </w:pPr>
      <w:r>
        <w:rPr>
          <w:rFonts w:ascii="Book Antiqua" w:hAnsi="Book Antiqua" w:eastAsia="Book Antiqua" w:cs="Book Antiqua"/>
          <w:b/>
          <w:bCs/>
          <w:color w:val="000000"/>
          <w:szCs w:val="22"/>
        </w:rPr>
        <w:t xml:space="preserve">Figure 2 </w:t>
      </w:r>
      <w:r>
        <w:rPr>
          <w:rFonts w:hint="eastAsia" w:ascii="Book Antiqua" w:hAnsi="Book Antiqua" w:eastAsia="宋体" w:cs="Book Antiqua"/>
          <w:b/>
          <w:bCs/>
          <w:color w:val="000000"/>
          <w:szCs w:val="22"/>
          <w:lang w:eastAsia="zh-CN"/>
        </w:rPr>
        <w:t>P</w:t>
      </w:r>
      <w:r>
        <w:rPr>
          <w:rFonts w:ascii="Book Antiqua" w:hAnsi="Book Antiqua" w:eastAsia="Book Antiqua" w:cs="Book Antiqua"/>
          <w:b/>
          <w:bCs/>
          <w:color w:val="000000"/>
          <w:szCs w:val="22"/>
        </w:rPr>
        <w:t>otential entry pathways of severe acute respiratory syndrome coronavirus 2 into the brainstem</w:t>
      </w:r>
      <w:r>
        <w:rPr>
          <w:rFonts w:ascii="Book Antiqua" w:hAnsi="Book Antiqua" w:eastAsia="宋体" w:cs="宋体"/>
          <w:b/>
          <w:bCs/>
          <w:color w:val="000000"/>
          <w:szCs w:val="22"/>
          <w:lang w:eastAsia="zh-CN"/>
        </w:rPr>
        <w:t xml:space="preserve">. </w:t>
      </w:r>
      <w:r>
        <w:rPr>
          <w:rFonts w:ascii="Book Antiqua" w:hAnsi="Book Antiqua" w:eastAsia="Book Antiqua" w:cs="Book Antiqua"/>
          <w:szCs w:val="20"/>
        </w:rPr>
        <w:t xml:space="preserve">This diagram illustrates the potential pathways for SARS-CoV-2 to enter the brainstem, including through the nasal passage and olfactory system, </w:t>
      </w:r>
      <w:r>
        <w:rPr>
          <w:rFonts w:ascii="Book Antiqua" w:hAnsi="Book Antiqua" w:eastAsia="Book Antiqua" w:cs="Book Antiqua"/>
          <w:i/>
          <w:iCs/>
          <w:szCs w:val="20"/>
        </w:rPr>
        <w:t>via</w:t>
      </w:r>
      <w:r>
        <w:rPr>
          <w:rFonts w:ascii="Book Antiqua" w:hAnsi="Book Antiqua" w:eastAsia="Book Antiqua" w:cs="Book Antiqua"/>
          <w:szCs w:val="20"/>
        </w:rPr>
        <w:t xml:space="preserve"> the bloodstream, through the vagus nerve connecting the lungs and intestines, and through the placenta due to the virus' neurotropic properties.</w:t>
      </w:r>
    </w:p>
    <w:p>
      <w:pPr>
        <w:spacing w:line="360" w:lineRule="auto"/>
        <w:jc w:val="both"/>
      </w:pPr>
      <w:r>
        <w:drawing>
          <wp:inline distT="0" distB="0" distL="0" distR="0">
            <wp:extent cx="2495550" cy="2473325"/>
            <wp:effectExtent l="0" t="0" r="0" b="0"/>
            <wp:docPr id="5"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h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0821" cy="2478645"/>
                    </a:xfrm>
                    <a:prstGeom prst="rect">
                      <a:avLst/>
                    </a:prstGeom>
                  </pic:spPr>
                </pic:pic>
              </a:graphicData>
            </a:graphic>
          </wp:inline>
        </w:drawing>
      </w:r>
      <w:r>
        <w:drawing>
          <wp:inline distT="0" distB="0" distL="0" distR="0">
            <wp:extent cx="3257550" cy="2604135"/>
            <wp:effectExtent l="0" t="0" r="0" b="0"/>
            <wp:docPr id="8"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iagram&#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042" cy="2610638"/>
                    </a:xfrm>
                    <a:prstGeom prst="rect">
                      <a:avLst/>
                    </a:prstGeom>
                  </pic:spPr>
                </pic:pic>
              </a:graphicData>
            </a:graphic>
          </wp:inline>
        </w:drawing>
      </w:r>
    </w:p>
    <w:p>
      <w:pPr>
        <w:spacing w:line="360" w:lineRule="auto"/>
        <w:jc w:val="both"/>
        <w:rPr>
          <w:rFonts w:ascii="Book Antiqua" w:hAnsi="Book Antiqua" w:eastAsia="Book Antiqua" w:cs="Book Antiqua"/>
          <w:szCs w:val="20"/>
        </w:rPr>
      </w:pPr>
      <w:r>
        <w:rPr>
          <w:rFonts w:ascii="Book Antiqua" w:hAnsi="Book Antiqua" w:eastAsia="Book Antiqua" w:cs="Book Antiqua"/>
          <w:b/>
          <w:bCs/>
          <w:color w:val="000000"/>
          <w:szCs w:val="22"/>
        </w:rPr>
        <w:t>Figure 3 Mechanism of autonomic dysfunction induced by coronavirus disease 2019.</w:t>
      </w:r>
      <w:r>
        <w:rPr>
          <w:rFonts w:ascii="Book Antiqua" w:hAnsi="Book Antiqua" w:eastAsia="Book Antiqua" w:cs="Book Antiqua"/>
          <w:szCs w:val="20"/>
        </w:rPr>
        <w:t xml:space="preserve"> The exact mechanism is not clear but could be due to the direct viral invasion of the brainstem affecting the dorsal vagal complex located in the medulla oblongata</w:t>
      </w:r>
      <w:r>
        <w:rPr>
          <w:rFonts w:hint="eastAsia" w:ascii="Book Antiqua" w:hAnsi="Book Antiqua" w:eastAsia="宋体" w:cs="Book Antiqua"/>
          <w:szCs w:val="20"/>
          <w:lang w:eastAsia="zh-CN"/>
        </w:rPr>
        <w:t>,</w:t>
      </w:r>
      <w:r>
        <w:rPr>
          <w:rFonts w:ascii="Book Antiqua" w:hAnsi="Book Antiqua" w:eastAsia="Book Antiqua" w:cs="Book Antiqua"/>
          <w:szCs w:val="20"/>
        </w:rPr>
        <w:t xml:space="preserve"> due to the resultant cytokine storm-induced sympathetic stimulation</w:t>
      </w:r>
      <w:r>
        <w:rPr>
          <w:rFonts w:hint="eastAsia" w:ascii="Book Antiqua" w:hAnsi="Book Antiqua" w:eastAsia="宋体" w:cs="Book Antiqua"/>
          <w:szCs w:val="20"/>
          <w:lang w:eastAsia="zh-CN"/>
        </w:rPr>
        <w:t>,</w:t>
      </w:r>
      <w:r>
        <w:rPr>
          <w:rFonts w:ascii="Book Antiqua" w:hAnsi="Book Antiqua" w:eastAsia="Book Antiqua" w:cs="Book Antiqua"/>
          <w:szCs w:val="20"/>
        </w:rPr>
        <w:t xml:space="preserve"> due to the hypoxia resulting from the lung injury causing sympathetic stimulation and parasympathetic depression, </w:t>
      </w:r>
      <w:r>
        <w:rPr>
          <w:rFonts w:hint="eastAsia" w:ascii="Book Antiqua" w:hAnsi="Book Antiqua" w:eastAsia="宋体" w:cs="Book Antiqua"/>
          <w:szCs w:val="20"/>
          <w:lang w:eastAsia="zh-CN"/>
        </w:rPr>
        <w:t xml:space="preserve">due to the </w:t>
      </w:r>
      <w:r>
        <w:rPr>
          <w:rFonts w:ascii="Book Antiqua" w:hAnsi="Book Antiqua" w:eastAsia="Book Antiqua" w:cs="Book Antiqua"/>
          <w:szCs w:val="20"/>
        </w:rPr>
        <w:t>down-regulation of AC</w:t>
      </w:r>
      <w:r>
        <w:rPr>
          <w:rFonts w:hint="eastAsia" w:ascii="Book Antiqua" w:hAnsi="Book Antiqua" w:eastAsia="宋体" w:cs="Book Antiqua"/>
          <w:szCs w:val="20"/>
          <w:lang w:eastAsia="zh-CN"/>
        </w:rPr>
        <w:t>E</w:t>
      </w:r>
      <w:r>
        <w:rPr>
          <w:rFonts w:ascii="Book Antiqua" w:hAnsi="Book Antiqua" w:eastAsia="Book Antiqua" w:cs="Book Antiqua"/>
          <w:szCs w:val="20"/>
        </w:rPr>
        <w:t xml:space="preserve">2 receptors causing excess </w:t>
      </w:r>
      <w:r>
        <w:rPr>
          <w:rFonts w:hint="eastAsia" w:ascii="Book Antiqua" w:hAnsi="Book Antiqua" w:eastAsia="宋体" w:cs="Book Antiqua"/>
          <w:szCs w:val="20"/>
          <w:lang w:eastAsia="zh-CN"/>
        </w:rPr>
        <w:t>a</w:t>
      </w:r>
      <w:r>
        <w:rPr>
          <w:rFonts w:ascii="Book Antiqua" w:hAnsi="Book Antiqua" w:eastAsia="Book Antiqua" w:cs="Book Antiqua"/>
          <w:szCs w:val="20"/>
        </w:rPr>
        <w:t>ngiotensin II, or as a complication of various medications used to treat coronavirus disease 2019 patients, particularly those requiring intensive care.</w:t>
      </w:r>
    </w:p>
    <w:p>
      <w:pPr>
        <w:spacing w:line="360" w:lineRule="auto"/>
        <w:jc w:val="both"/>
        <w:rPr>
          <w:rFonts w:ascii="Book Antiqua" w:hAnsi="Book Antiqua"/>
          <w:b/>
          <w:bCs/>
        </w:rPr>
      </w:pPr>
      <w:r>
        <w:rPr>
          <w:rFonts w:ascii="Book Antiqua" w:hAnsi="Book Antiqua" w:eastAsia="Book Antiqua" w:cs="Book Antiqua"/>
          <w:szCs w:val="20"/>
        </w:rPr>
        <w:br w:type="page"/>
      </w:r>
      <w:r>
        <w:rPr>
          <w:rFonts w:ascii="Book Antiqua" w:hAnsi="Book Antiqua"/>
          <w:b/>
          <w:bCs/>
        </w:rPr>
        <w:t>Table 1 Factors affecting gastrointestinal autonomic nervous function</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lang w:val="en-GB"/>
              </w:rPr>
              <w:t xml:space="preserve">1 </w:t>
            </w:r>
            <w:r>
              <w:rPr>
                <w:rFonts w:ascii="Book Antiqua" w:hAnsi="Book Antiqua"/>
                <w:b/>
                <w:bCs/>
                <w:lang w:val="en-GB"/>
              </w:rPr>
              <w:t>Psychological factors:</w:t>
            </w:r>
            <w:r>
              <w:rPr>
                <w:rFonts w:ascii="Book Antiqua" w:hAnsi="Book Antiqua"/>
                <w:lang w:val="en-GB"/>
              </w:rPr>
              <w:t xml:space="preserve"> Vigilance, stress, anxiety, </w:t>
            </w:r>
            <w:r>
              <w:rPr>
                <w:rFonts w:hint="eastAsia" w:ascii="Book Antiqua" w:hAnsi="Book Antiqua"/>
                <w:lang w:eastAsia="zh-CN"/>
              </w:rPr>
              <w:t xml:space="preserve">and </w:t>
            </w:r>
            <w:r>
              <w:rPr>
                <w:rFonts w:ascii="Book Antiqua" w:hAnsi="Book Antiqua"/>
                <w:lang w:val="en-GB"/>
              </w:rPr>
              <w:t xml:space="preserve">depression.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tcBorders>
              <w:top w:val="single" w:color="auto" w:sz="4" w:space="0"/>
            </w:tcBorders>
            <w:noWrap/>
          </w:tcPr>
          <w:p>
            <w:pPr>
              <w:spacing w:line="360" w:lineRule="auto"/>
              <w:jc w:val="both"/>
              <w:rPr>
                <w:rFonts w:ascii="Book Antiqua" w:hAnsi="Book Antiqua"/>
              </w:rPr>
            </w:pPr>
            <w:r>
              <w:rPr>
                <w:rFonts w:ascii="Book Antiqua" w:hAnsi="Book Antiqua"/>
                <w:lang w:val="en-GB"/>
              </w:rPr>
              <w:t xml:space="preserve">2 </w:t>
            </w:r>
            <w:r>
              <w:rPr>
                <w:rFonts w:ascii="Book Antiqua" w:hAnsi="Book Antiqua"/>
                <w:b/>
                <w:bCs/>
                <w:lang w:val="en-GB"/>
              </w:rPr>
              <w:t>Diet:</w:t>
            </w:r>
            <w:r>
              <w:rPr>
                <w:rFonts w:ascii="Book Antiqua" w:hAnsi="Book Antiqua"/>
                <w:lang w:val="en-GB"/>
              </w:rPr>
              <w:t xml:space="preserve"> A high-fat or protein diet slows digestion, while a high-fiber diet stimulates peristalsis.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630" w:type="dxa"/>
            <w:noWrap/>
          </w:tcPr>
          <w:p>
            <w:pPr>
              <w:spacing w:line="360" w:lineRule="auto"/>
              <w:jc w:val="both"/>
              <w:rPr>
                <w:rFonts w:ascii="Book Antiqua" w:hAnsi="Book Antiqua"/>
              </w:rPr>
            </w:pPr>
            <w:r>
              <w:rPr>
                <w:rFonts w:ascii="Book Antiqua" w:hAnsi="Book Antiqua"/>
                <w:lang w:val="en-GB"/>
              </w:rPr>
              <w:t xml:space="preserve">3 </w:t>
            </w:r>
            <w:r>
              <w:rPr>
                <w:rFonts w:ascii="Book Antiqua" w:hAnsi="Book Antiqua"/>
                <w:b/>
                <w:bCs/>
                <w:lang w:val="en-GB"/>
              </w:rPr>
              <w:t xml:space="preserve">Exercise </w:t>
            </w:r>
            <w:r>
              <w:rPr>
                <w:rFonts w:hint="eastAsia" w:ascii="Book Antiqua" w:hAnsi="Book Antiqua"/>
                <w:b/>
                <w:bCs/>
                <w:lang w:eastAsia="zh-CN"/>
              </w:rPr>
              <w:t>t</w:t>
            </w:r>
            <w:r>
              <w:rPr>
                <w:rFonts w:ascii="Book Antiqua" w:hAnsi="Book Antiqua"/>
                <w:b/>
                <w:bCs/>
                <w:lang w:val="en-GB"/>
              </w:rPr>
              <w:t>raining:</w:t>
            </w:r>
            <w:r>
              <w:rPr>
                <w:rFonts w:ascii="Book Antiqua" w:hAnsi="Book Antiqua"/>
                <w:lang w:val="en-GB"/>
              </w:rPr>
              <w:t xml:space="preserve"> Moderate exercise can increase the motility and blood flow of the gastrointestinal tract. In contrast, prolonged or intense exercise can reduce blood flow to the gastrointestinal tract and shift blood flow to the muscles.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 xml:space="preserve">4 </w:t>
            </w:r>
            <w:r>
              <w:rPr>
                <w:rFonts w:ascii="Book Antiqua" w:hAnsi="Book Antiqua"/>
                <w:b/>
                <w:bCs/>
                <w:lang w:val="en-GB"/>
              </w:rPr>
              <w:t xml:space="preserve">Hormones: </w:t>
            </w:r>
            <w:r>
              <w:rPr>
                <w:rFonts w:ascii="Book Antiqua" w:hAnsi="Book Antiqua"/>
                <w:lang w:val="en-GB"/>
              </w:rPr>
              <w:t>Cholecystokinin, gastrin, and secretin.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 xml:space="preserve">5 </w:t>
            </w:r>
            <w:r>
              <w:rPr>
                <w:rFonts w:ascii="Book Antiqua" w:hAnsi="Book Antiqua"/>
                <w:b/>
                <w:bCs/>
                <w:lang w:val="en-GB"/>
              </w:rPr>
              <w:t>Toxins:</w:t>
            </w:r>
            <w:r>
              <w:rPr>
                <w:rFonts w:ascii="Book Antiqua" w:hAnsi="Book Antiqua"/>
                <w:lang w:val="en-GB"/>
              </w:rPr>
              <w:t xml:space="preserve"> Such as toxic heavy metals (</w:t>
            </w:r>
            <w:r>
              <w:rPr>
                <w:rFonts w:ascii="Book Antiqua" w:hAnsi="Book Antiqua"/>
                <w:i/>
                <w:iCs/>
                <w:lang w:val="en-GB"/>
              </w:rPr>
              <w:t>e.g.,</w:t>
            </w:r>
            <w:r>
              <w:rPr>
                <w:rFonts w:ascii="Book Antiqua" w:hAnsi="Book Antiqua"/>
                <w:lang w:val="en-GB"/>
              </w:rPr>
              <w:t xml:space="preserve"> mercury or lead), alcohol, and industrial chemicals.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 xml:space="preserve">6 </w:t>
            </w:r>
            <w:r>
              <w:rPr>
                <w:rFonts w:ascii="Book Antiqua" w:hAnsi="Book Antiqua"/>
                <w:b/>
                <w:bCs/>
                <w:lang w:val="en-GB"/>
              </w:rPr>
              <w:t>Aging:</w:t>
            </w:r>
            <w:r>
              <w:rPr>
                <w:rFonts w:ascii="Book Antiqua" w:hAnsi="Book Antiqua"/>
                <w:lang w:val="en-GB"/>
              </w:rPr>
              <w:t xml:space="preserve"> Age-related neuronal loss in both intestinal myenteric and submucosal plexuses.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 xml:space="preserve">7 </w:t>
            </w:r>
            <w:r>
              <w:rPr>
                <w:rFonts w:ascii="Book Antiqua" w:hAnsi="Book Antiqua"/>
                <w:b/>
                <w:bCs/>
                <w:lang w:val="en-GB"/>
              </w:rPr>
              <w:t>Neurological disorders:</w:t>
            </w:r>
            <w:r>
              <w:rPr>
                <w:rFonts w:ascii="Book Antiqua" w:hAnsi="Book Antiqua"/>
                <w:lang w:val="en-GB"/>
              </w:rPr>
              <w:t xml:space="preserve"> Parkinson's disease, multiple sclerosis, amyloidosis, autonomic neuropathy, multiple system atrophy, amyotrophic lateral sclerosis, and autonomic dysreflexia</w:t>
            </w:r>
            <w:r>
              <w:rPr>
                <w:rFonts w:hint="eastAsia" w:ascii="Book Antiqua" w:hAnsi="Book Antiqua"/>
                <w:lang w:eastAsia="zh-CN"/>
              </w:rPr>
              <w:t xml:space="preserve"> </w:t>
            </w:r>
            <w:r>
              <w:rPr>
                <w:rFonts w:ascii="Book Antiqua" w:hAnsi="Book Antiqua"/>
                <w:lang w:val="en-GB"/>
              </w:rPr>
              <w:t>such as in spinal cord injuries.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 xml:space="preserve">8 </w:t>
            </w:r>
            <w:r>
              <w:rPr>
                <w:rFonts w:ascii="Book Antiqua" w:hAnsi="Book Antiqua"/>
                <w:b/>
                <w:bCs/>
                <w:lang w:val="en-GB"/>
              </w:rPr>
              <w:t xml:space="preserve">Chronic </w:t>
            </w:r>
            <w:r>
              <w:rPr>
                <w:rFonts w:hint="eastAsia" w:ascii="Book Antiqua" w:hAnsi="Book Antiqua"/>
                <w:b/>
                <w:bCs/>
                <w:lang w:eastAsia="zh-CN"/>
              </w:rPr>
              <w:t>m</w:t>
            </w:r>
            <w:r>
              <w:rPr>
                <w:rFonts w:ascii="Book Antiqua" w:hAnsi="Book Antiqua"/>
                <w:b/>
                <w:bCs/>
                <w:lang w:val="en-GB"/>
              </w:rPr>
              <w:t>etabolic disorders:</w:t>
            </w:r>
            <w:r>
              <w:rPr>
                <w:rFonts w:ascii="Book Antiqua" w:hAnsi="Book Antiqua"/>
                <w:lang w:val="en-GB"/>
              </w:rPr>
              <w:t xml:space="preserve"> Such as diabetes mellitus, hypothyroidism (hypothyroid gastroparesis and constipation), Addison's Disease (constipation, bloating, and abdominal discomfort), chronic kidney disease, chronic liver disease, Celiac disease, and inflammatory bowel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 xml:space="preserve">9 </w:t>
            </w:r>
            <w:r>
              <w:rPr>
                <w:rFonts w:ascii="Book Antiqua" w:hAnsi="Book Antiqua"/>
                <w:b/>
                <w:bCs/>
                <w:lang w:val="en-GB"/>
              </w:rPr>
              <w:t>Infections:</w:t>
            </w:r>
            <w:r>
              <w:rPr>
                <w:rFonts w:ascii="Book Antiqua" w:hAnsi="Book Antiqua"/>
                <w:lang w:val="en-GB"/>
              </w:rPr>
              <w:t xml:space="preserve"> Viral gastroenteritis, bacterial infections (diphtheritic polyneuropathy, tetanus, and botulism), COVID-19, acute tick-borne encephalitis virus infections, Lyme disease, Chagas disease, human rabies, Guillain-Barre syndrome, and</w:t>
            </w:r>
            <w:r>
              <w:rPr>
                <w:rFonts w:hint="eastAsia" w:ascii="Book Antiqua" w:hAnsi="Book Antiqua"/>
                <w:lang w:eastAsia="zh-CN"/>
              </w:rPr>
              <w:t xml:space="preserve"> </w:t>
            </w:r>
            <w:r>
              <w:rPr>
                <w:rFonts w:ascii="Book Antiqua" w:hAnsi="Book Antiqua"/>
                <w:lang w:val="en-GB"/>
              </w:rPr>
              <w:t>HIV/AIDS.</w:t>
            </w:r>
          </w:p>
        </w:tc>
      </w:tr>
    </w:tbl>
    <w:p>
      <w:pPr>
        <w:spacing w:line="360" w:lineRule="auto"/>
        <w:jc w:val="both"/>
      </w:pPr>
      <w:r>
        <w:rPr>
          <w:rFonts w:ascii="Book Antiqua" w:hAnsi="Book Antiqua"/>
          <w:lang w:val="en-GB"/>
        </w:rPr>
        <w:t xml:space="preserve">COVID-19: Coronavirus disease 2019; HIV: </w:t>
      </w:r>
      <w:r>
        <w:rPr>
          <w:rFonts w:ascii="Segoe UI" w:hAnsi="Segoe UI" w:cs="Segoe UI"/>
          <w:color w:val="212121"/>
          <w:sz w:val="21"/>
          <w:szCs w:val="21"/>
          <w:shd w:val="clear" w:color="auto" w:fill="FFFFFF"/>
        </w:rPr>
        <w:t xml:space="preserve"> </w:t>
      </w:r>
      <w:r>
        <w:rPr>
          <w:rFonts w:ascii="Book Antiqua" w:hAnsi="Book Antiqua"/>
        </w:rPr>
        <w:t>Human immunodeficiency virus; AIDS:</w:t>
      </w:r>
      <w:r>
        <w:rPr>
          <w:rFonts w:ascii="Segoe UI" w:hAnsi="Segoe UI" w:cs="Segoe UI"/>
          <w:b/>
          <w:bCs/>
          <w:color w:val="212121"/>
          <w:sz w:val="21"/>
          <w:szCs w:val="21"/>
          <w:shd w:val="clear" w:color="auto" w:fill="FFFFFF"/>
        </w:rPr>
        <w:t xml:space="preserve"> </w:t>
      </w:r>
      <w:r>
        <w:rPr>
          <w:rFonts w:ascii="Book Antiqua" w:hAnsi="Book Antiqua"/>
        </w:rPr>
        <w:t>Acquired immunodeficiency syndrome.</w:t>
      </w:r>
    </w:p>
    <w:p>
      <w:pPr>
        <w:spacing w:line="360" w:lineRule="auto"/>
        <w:rPr>
          <w:rFonts w:ascii="Book Antiqua" w:hAnsi="Book Antiqua"/>
          <w:b/>
          <w:bCs/>
        </w:rPr>
      </w:pPr>
      <w:r>
        <w:br w:type="page"/>
      </w:r>
      <w:r>
        <w:rPr>
          <w:rFonts w:ascii="Book Antiqua" w:hAnsi="Book Antiqua"/>
          <w:b/>
          <w:bCs/>
        </w:rPr>
        <w:t xml:space="preserve">Table 2 Summary of gastrointestinal symptoms encountered in patients with </w:t>
      </w:r>
      <w:r>
        <w:rPr>
          <w:rFonts w:ascii="Book Antiqua" w:hAnsi="Book Antiqua"/>
          <w:b/>
          <w:bCs/>
          <w:lang w:val="en-GB"/>
        </w:rPr>
        <w:t>coronavirus disease 2019</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56"/>
        <w:gridCol w:w="620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tcBorders>
              <w:top w:val="single" w:color="auto" w:sz="4" w:space="0"/>
              <w:bottom w:val="single" w:color="auto" w:sz="4" w:space="0"/>
            </w:tcBorders>
          </w:tcPr>
          <w:p>
            <w:pPr>
              <w:spacing w:line="360" w:lineRule="auto"/>
              <w:rPr>
                <w:rFonts w:ascii="Book Antiqua" w:hAnsi="Book Antiqua"/>
                <w:b/>
                <w:bCs/>
              </w:rPr>
            </w:pPr>
            <w:r>
              <w:rPr>
                <w:rFonts w:ascii="Book Antiqua" w:hAnsi="Book Antiqua"/>
                <w:b/>
                <w:bCs/>
              </w:rPr>
              <w:t>Part of the digestive system</w:t>
            </w:r>
          </w:p>
        </w:tc>
        <w:tc>
          <w:tcPr>
            <w:tcW w:w="6208" w:type="dxa"/>
            <w:tcBorders>
              <w:top w:val="single" w:color="auto" w:sz="4" w:space="0"/>
              <w:bottom w:val="single" w:color="auto" w:sz="4" w:space="0"/>
            </w:tcBorders>
          </w:tcPr>
          <w:p>
            <w:pPr>
              <w:spacing w:line="360" w:lineRule="auto"/>
              <w:rPr>
                <w:rFonts w:ascii="Book Antiqua" w:hAnsi="Book Antiqua"/>
                <w:b/>
                <w:bCs/>
              </w:rPr>
            </w:pPr>
            <w:r>
              <w:rPr>
                <w:rFonts w:ascii="Book Antiqua" w:hAnsi="Book Antiqua"/>
                <w:b/>
                <w:bCs/>
              </w:rPr>
              <w:t>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tcBorders>
              <w:top w:val="single" w:color="auto" w:sz="4" w:space="0"/>
            </w:tcBorders>
          </w:tcPr>
          <w:p>
            <w:pPr>
              <w:spacing w:line="360" w:lineRule="auto"/>
              <w:rPr>
                <w:rFonts w:ascii="Book Antiqua" w:hAnsi="Book Antiqua"/>
              </w:rPr>
            </w:pPr>
            <w:r>
              <w:rPr>
                <w:rFonts w:ascii="Book Antiqua" w:hAnsi="Book Antiqua"/>
              </w:rPr>
              <w:t>General symptoms</w:t>
            </w:r>
          </w:p>
        </w:tc>
        <w:tc>
          <w:tcPr>
            <w:tcW w:w="6208" w:type="dxa"/>
            <w:tcBorders>
              <w:top w:val="single" w:color="auto" w:sz="4" w:space="0"/>
            </w:tcBorders>
          </w:tcPr>
          <w:p>
            <w:pPr>
              <w:spacing w:line="360" w:lineRule="auto"/>
              <w:rPr>
                <w:rFonts w:ascii="Book Antiqua" w:hAnsi="Book Antiqua"/>
              </w:rPr>
            </w:pPr>
            <w:r>
              <w:rPr>
                <w:rFonts w:ascii="Book Antiqua" w:hAnsi="Book Antiqua"/>
              </w:rPr>
              <w:t>Anorexia (22.3%), early satiety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tcPr>
          <w:p>
            <w:pPr>
              <w:spacing w:line="360" w:lineRule="auto"/>
              <w:rPr>
                <w:rFonts w:ascii="Book Antiqua" w:hAnsi="Book Antiqua"/>
              </w:rPr>
            </w:pPr>
            <w:r>
              <w:rPr>
                <w:rFonts w:ascii="Book Antiqua" w:hAnsi="Book Antiqua"/>
              </w:rPr>
              <w:t>Oral cavity</w:t>
            </w:r>
          </w:p>
        </w:tc>
        <w:tc>
          <w:tcPr>
            <w:tcW w:w="6208" w:type="dxa"/>
          </w:tcPr>
          <w:p>
            <w:pPr>
              <w:spacing w:line="360" w:lineRule="auto"/>
              <w:rPr>
                <w:rFonts w:ascii="Book Antiqua" w:hAnsi="Book Antiqua"/>
              </w:rPr>
            </w:pPr>
            <w:r>
              <w:rPr>
                <w:rFonts w:ascii="Book Antiqua" w:hAnsi="Book Antiqua"/>
              </w:rPr>
              <w:t>Dysgeusia (early symptom 71% to 88.8%)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tcPr>
          <w:p>
            <w:pPr>
              <w:spacing w:line="360" w:lineRule="auto"/>
              <w:rPr>
                <w:rFonts w:ascii="Book Antiqua" w:hAnsi="Book Antiqua"/>
              </w:rPr>
            </w:pPr>
            <w:r>
              <w:rPr>
                <w:rFonts w:ascii="Book Antiqua" w:hAnsi="Book Antiqua"/>
              </w:rPr>
              <w:t>Esophagus</w:t>
            </w:r>
          </w:p>
        </w:tc>
        <w:tc>
          <w:tcPr>
            <w:tcW w:w="6208" w:type="dxa"/>
          </w:tcPr>
          <w:p>
            <w:pPr>
              <w:spacing w:line="360" w:lineRule="auto"/>
              <w:jc w:val="both"/>
              <w:rPr>
                <w:rFonts w:ascii="Book Antiqua" w:hAnsi="Book Antiqua"/>
              </w:rPr>
            </w:pPr>
            <w:r>
              <w:rPr>
                <w:rFonts w:ascii="Book Antiqua" w:hAnsi="Book Antiqua"/>
              </w:rPr>
              <w:t>Heartburn, belching, chest pain, regurgitation, vomiting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tcPr>
          <w:p>
            <w:pPr>
              <w:spacing w:line="360" w:lineRule="auto"/>
              <w:rPr>
                <w:rFonts w:ascii="Book Antiqua" w:hAnsi="Book Antiqua"/>
              </w:rPr>
            </w:pPr>
            <w:r>
              <w:rPr>
                <w:rFonts w:ascii="Book Antiqua" w:hAnsi="Book Antiqua"/>
              </w:rPr>
              <w:t xml:space="preserve">Gastroduodenal tract </w:t>
            </w:r>
          </w:p>
        </w:tc>
        <w:tc>
          <w:tcPr>
            <w:tcW w:w="6208" w:type="dxa"/>
          </w:tcPr>
          <w:p>
            <w:pPr>
              <w:spacing w:line="360" w:lineRule="auto"/>
              <w:jc w:val="both"/>
              <w:rPr>
                <w:rFonts w:ascii="Book Antiqua" w:hAnsi="Book Antiqua"/>
              </w:rPr>
            </w:pPr>
            <w:r>
              <w:rPr>
                <w:rFonts w:ascii="Book Antiqua" w:hAnsi="Book Antiqua"/>
              </w:rPr>
              <w:t>Epigastric burn, nausea, vomiting, peptic ulcer, bleeding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tcPr>
          <w:p>
            <w:pPr>
              <w:spacing w:line="360" w:lineRule="auto"/>
              <w:rPr>
                <w:rFonts w:ascii="Book Antiqua" w:hAnsi="Book Antiqua"/>
              </w:rPr>
            </w:pPr>
            <w:r>
              <w:rPr>
                <w:rFonts w:ascii="Book Antiqua" w:hAnsi="Book Antiqua"/>
              </w:rPr>
              <w:t>Pancreas</w:t>
            </w:r>
          </w:p>
        </w:tc>
        <w:tc>
          <w:tcPr>
            <w:tcW w:w="6208" w:type="dxa"/>
          </w:tcPr>
          <w:p>
            <w:pPr>
              <w:spacing w:line="360" w:lineRule="auto"/>
              <w:rPr>
                <w:rFonts w:ascii="Book Antiqua" w:hAnsi="Book Antiqua"/>
              </w:rPr>
            </w:pPr>
            <w:r>
              <w:rPr>
                <w:rFonts w:ascii="Book Antiqua" w:hAnsi="Book Antiqua"/>
              </w:rPr>
              <w:t>Elevated lipase, acute pancreatitis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tcPr>
          <w:p>
            <w:pPr>
              <w:spacing w:line="360" w:lineRule="auto"/>
              <w:rPr>
                <w:rFonts w:ascii="Book Antiqua" w:hAnsi="Book Antiqua"/>
              </w:rPr>
            </w:pPr>
            <w:r>
              <w:rPr>
                <w:rFonts w:ascii="Book Antiqua" w:hAnsi="Book Antiqua"/>
              </w:rPr>
              <w:t>Liver &amp; biliary tract</w:t>
            </w:r>
          </w:p>
        </w:tc>
        <w:tc>
          <w:tcPr>
            <w:tcW w:w="6208" w:type="dxa"/>
          </w:tcPr>
          <w:p>
            <w:pPr>
              <w:spacing w:line="360" w:lineRule="auto"/>
              <w:jc w:val="both"/>
              <w:rPr>
                <w:rFonts w:ascii="Book Antiqua" w:hAnsi="Book Antiqua"/>
              </w:rPr>
            </w:pPr>
            <w:r>
              <w:rPr>
                <w:rFonts w:ascii="Book Antiqua" w:hAnsi="Book Antiqua"/>
              </w:rPr>
              <w:t xml:space="preserve">Elevated liver enzymes, </w:t>
            </w:r>
            <w:r>
              <w:rPr>
                <w:rFonts w:hint="eastAsia" w:ascii="Book Antiqua" w:hAnsi="Book Antiqua"/>
                <w:lang w:eastAsia="zh-CN"/>
              </w:rPr>
              <w:t>j</w:t>
            </w:r>
            <w:r>
              <w:rPr>
                <w:rFonts w:ascii="Book Antiqua" w:hAnsi="Book Antiqua"/>
              </w:rPr>
              <w:t xml:space="preserve">aundice, </w:t>
            </w:r>
            <w:r>
              <w:rPr>
                <w:rFonts w:hint="eastAsia" w:ascii="Book Antiqua" w:hAnsi="Book Antiqua"/>
                <w:lang w:eastAsia="zh-CN"/>
              </w:rPr>
              <w:t>a</w:t>
            </w:r>
            <w:r>
              <w:rPr>
                <w:rFonts w:ascii="Book Antiqua" w:hAnsi="Book Antiqua"/>
              </w:rPr>
              <w:t>cute cholecystitis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6" w:type="dxa"/>
          </w:tcPr>
          <w:p>
            <w:pPr>
              <w:spacing w:line="360" w:lineRule="auto"/>
              <w:rPr>
                <w:rFonts w:ascii="Book Antiqua" w:hAnsi="Book Antiqua"/>
              </w:rPr>
            </w:pPr>
            <w:r>
              <w:rPr>
                <w:rFonts w:ascii="Book Antiqua" w:hAnsi="Book Antiqua"/>
              </w:rPr>
              <w:t>Lower gastrointestinal tract</w:t>
            </w:r>
          </w:p>
        </w:tc>
        <w:tc>
          <w:tcPr>
            <w:tcW w:w="6208" w:type="dxa"/>
          </w:tcPr>
          <w:p>
            <w:pPr>
              <w:spacing w:line="360" w:lineRule="auto"/>
              <w:jc w:val="both"/>
              <w:rPr>
                <w:rFonts w:ascii="Book Antiqua" w:hAnsi="Book Antiqua"/>
              </w:rPr>
            </w:pPr>
            <w:r>
              <w:rPr>
                <w:rFonts w:ascii="Book Antiqua" w:hAnsi="Book Antiqua"/>
              </w:rPr>
              <w:t>Diarrhea (most common</w:t>
            </w:r>
            <w:r>
              <w:rPr>
                <w:rFonts w:hint="eastAsia" w:ascii="Book Antiqua" w:hAnsi="Book Antiqua"/>
                <w:lang w:eastAsia="zh-CN"/>
              </w:rPr>
              <w:t>,</w:t>
            </w:r>
            <w:r>
              <w:rPr>
                <w:rFonts w:ascii="Book Antiqua" w:hAnsi="Book Antiqua"/>
              </w:rPr>
              <w:t xml:space="preserve"> 3% to 96%), abdominal pain (6.2%), bloating, irregular bowel movements, bleeding, ischemic colitis, constipation, intussusception</w:t>
            </w:r>
          </w:p>
        </w:tc>
      </w:tr>
    </w:tbl>
    <w:p>
      <w:pPr>
        <w:spacing w:line="360" w:lineRule="auto"/>
        <w:jc w:val="both"/>
      </w:pPr>
    </w:p>
    <w:p>
      <w:pPr>
        <w:spacing w:line="360" w:lineRule="auto"/>
        <w:jc w:val="both"/>
      </w:pPr>
    </w:p>
    <w:p>
      <w:pPr>
        <w:spacing w:line="360" w:lineRule="auto"/>
        <w:jc w:val="both"/>
        <w:rPr>
          <w:rFonts w:ascii="Book Antiqua" w:hAnsi="Book Antiqua"/>
          <w:b/>
          <w:bCs/>
          <w:lang w:val="en-GB"/>
        </w:rPr>
      </w:pPr>
      <w:r>
        <w:rPr>
          <w:rFonts w:ascii="Book Antiqua" w:hAnsi="Book Antiqua"/>
          <w:b/>
          <w:bCs/>
        </w:rPr>
        <w:br w:type="page"/>
      </w:r>
      <w:r>
        <w:rPr>
          <w:rFonts w:ascii="Book Antiqua" w:hAnsi="Book Antiqua"/>
          <w:b/>
          <w:bCs/>
        </w:rPr>
        <w:t xml:space="preserve">Table 3 Prevalence of gastrointestinal symptoms due to autonomic dysfunction in patients with </w:t>
      </w:r>
      <w:r>
        <w:rPr>
          <w:rFonts w:ascii="Book Antiqua" w:hAnsi="Book Antiqua"/>
          <w:b/>
          <w:bCs/>
          <w:lang w:val="en-GB"/>
        </w:rPr>
        <w:t xml:space="preserve">coronavirus disease 2019, </w:t>
      </w:r>
      <w:r>
        <w:rPr>
          <w:rFonts w:ascii="Book Antiqua" w:hAnsi="Book Antiqua"/>
          <w:b/>
          <w:bCs/>
          <w:i/>
          <w:iCs/>
          <w:lang w:val="en-GB"/>
        </w:rPr>
        <w:t>n</w:t>
      </w:r>
      <w:r>
        <w:rPr>
          <w:rFonts w:ascii="Book Antiqua" w:hAnsi="Book Antiqua"/>
          <w:b/>
          <w:bCs/>
          <w:lang w:val="en-GB"/>
        </w:rPr>
        <w:t xml:space="preserve"> (%)</w:t>
      </w:r>
    </w:p>
    <w:tbl>
      <w:tblPr>
        <w:tblStyle w:val="8"/>
        <w:tblW w:w="1059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30"/>
        <w:gridCol w:w="1774"/>
        <w:gridCol w:w="1973"/>
        <w:gridCol w:w="1600"/>
        <w:gridCol w:w="2840"/>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30" w:type="dxa"/>
            <w:tcBorders>
              <w:top w:val="single" w:color="auto" w:sz="4" w:space="0"/>
              <w:bottom w:val="single" w:color="auto" w:sz="4" w:space="0"/>
            </w:tcBorders>
            <w:noWrap/>
          </w:tcPr>
          <w:p>
            <w:pPr>
              <w:spacing w:line="360" w:lineRule="auto"/>
              <w:jc w:val="both"/>
              <w:rPr>
                <w:rFonts w:ascii="Book Antiqua" w:hAnsi="Book Antiqua"/>
                <w:b/>
                <w:bCs/>
              </w:rPr>
            </w:pPr>
            <w:r>
              <w:rPr>
                <w:rFonts w:ascii="Book Antiqua" w:hAnsi="Book Antiqua"/>
                <w:b/>
                <w:bCs/>
              </w:rPr>
              <w:t>Ref.</w:t>
            </w:r>
          </w:p>
        </w:tc>
        <w:tc>
          <w:tcPr>
            <w:tcW w:w="1770" w:type="dxa"/>
            <w:tcBorders>
              <w:top w:val="single" w:color="auto" w:sz="4" w:space="0"/>
              <w:bottom w:val="single" w:color="auto" w:sz="4" w:space="0"/>
            </w:tcBorders>
            <w:noWrap/>
          </w:tcPr>
          <w:p>
            <w:pPr>
              <w:spacing w:line="360" w:lineRule="auto"/>
              <w:jc w:val="both"/>
              <w:rPr>
                <w:rFonts w:ascii="Book Antiqua" w:hAnsi="Book Antiqua"/>
                <w:b/>
                <w:bCs/>
              </w:rPr>
            </w:pPr>
            <w:r>
              <w:rPr>
                <w:rFonts w:hint="eastAsia" w:ascii="Book Antiqua" w:hAnsi="Book Antiqua"/>
                <w:b/>
                <w:bCs/>
              </w:rPr>
              <w:t>Type of Study</w:t>
            </w:r>
          </w:p>
        </w:tc>
        <w:tc>
          <w:tcPr>
            <w:tcW w:w="3540" w:type="dxa"/>
            <w:gridSpan w:val="2"/>
            <w:tcBorders>
              <w:top w:val="single" w:color="auto" w:sz="4" w:space="0"/>
              <w:bottom w:val="single" w:color="auto" w:sz="4" w:space="0"/>
            </w:tcBorders>
            <w:noWrap/>
          </w:tcPr>
          <w:p>
            <w:pPr>
              <w:spacing w:line="360" w:lineRule="auto"/>
              <w:jc w:val="both"/>
              <w:rPr>
                <w:rFonts w:ascii="Book Antiqua" w:hAnsi="Book Antiqua"/>
                <w:b/>
                <w:bCs/>
              </w:rPr>
            </w:pPr>
            <w:r>
              <w:rPr>
                <w:rFonts w:hint="eastAsia" w:ascii="Book Antiqua" w:hAnsi="Book Antiqua"/>
                <w:b/>
                <w:bCs/>
              </w:rPr>
              <w:t>Number of patients</w:t>
            </w:r>
          </w:p>
        </w:tc>
        <w:tc>
          <w:tcPr>
            <w:tcW w:w="2840" w:type="dxa"/>
            <w:tcBorders>
              <w:top w:val="single" w:color="auto" w:sz="4" w:space="0"/>
              <w:bottom w:val="single" w:color="auto" w:sz="4" w:space="0"/>
            </w:tcBorders>
            <w:noWrap/>
          </w:tcPr>
          <w:p>
            <w:pPr>
              <w:spacing w:line="360" w:lineRule="auto"/>
              <w:jc w:val="both"/>
              <w:rPr>
                <w:rFonts w:ascii="Book Antiqua" w:hAnsi="Book Antiqua"/>
                <w:b/>
                <w:bCs/>
                <w:lang w:eastAsia="zh-CN"/>
              </w:rPr>
            </w:pPr>
            <w:r>
              <w:rPr>
                <w:rFonts w:hint="eastAsia" w:ascii="Book Antiqua" w:hAnsi="Book Antiqua"/>
                <w:b/>
                <w:bCs/>
              </w:rPr>
              <w:t xml:space="preserve">GIT </w:t>
            </w:r>
            <w:r>
              <w:rPr>
                <w:rFonts w:ascii="Book Antiqua" w:hAnsi="Book Antiqua"/>
                <w:b/>
                <w:bCs/>
              </w:rPr>
              <w:t>manifestation</w:t>
            </w:r>
            <w:r>
              <w:rPr>
                <w:rFonts w:hint="eastAsia" w:ascii="Book Antiqua" w:hAnsi="Book Antiqua"/>
                <w:b/>
                <w:bCs/>
                <w:lang w:eastAsia="zh-CN"/>
              </w:rPr>
              <w:t>(</w:t>
            </w:r>
            <w:r>
              <w:rPr>
                <w:rFonts w:ascii="Book Antiqua" w:hAnsi="Book Antiqua"/>
                <w:b/>
                <w:bCs/>
              </w:rPr>
              <w:t>s</w:t>
            </w:r>
            <w:r>
              <w:rPr>
                <w:rFonts w:hint="eastAsia" w:ascii="Book Antiqua" w:hAnsi="Book Antiqua"/>
                <w:b/>
                <w:bCs/>
                <w:lang w:eastAsia="zh-CN"/>
              </w:rPr>
              <w:t>)</w:t>
            </w:r>
          </w:p>
        </w:tc>
        <w:tc>
          <w:tcPr>
            <w:tcW w:w="1418" w:type="dxa"/>
            <w:tcBorders>
              <w:top w:val="single" w:color="auto" w:sz="4" w:space="0"/>
              <w:bottom w:val="single" w:color="auto" w:sz="4" w:space="0"/>
            </w:tcBorders>
            <w:noWrap/>
          </w:tcPr>
          <w:p>
            <w:pPr>
              <w:spacing w:line="360" w:lineRule="auto"/>
              <w:jc w:val="both"/>
              <w:rPr>
                <w:rFonts w:ascii="Book Antiqua" w:hAnsi="Book Antiqua"/>
                <w:b/>
                <w:bCs/>
              </w:rPr>
            </w:pPr>
            <w:r>
              <w:rPr>
                <w:rFonts w:hint="eastAsia" w:ascii="Book Antiqua" w:hAnsi="Book Antiqua"/>
                <w:b/>
                <w:bCs/>
              </w:rPr>
              <w:t>Number &amp; percentage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30" w:type="dxa"/>
            <w:tcBorders>
              <w:top w:val="single" w:color="auto" w:sz="4" w:space="0"/>
            </w:tcBorders>
            <w:noWrap/>
          </w:tcPr>
          <w:p>
            <w:pPr>
              <w:spacing w:line="360" w:lineRule="auto"/>
              <w:jc w:val="both"/>
              <w:rPr>
                <w:rFonts w:ascii="Book Antiqua" w:hAnsi="Book Antiqua"/>
                <w:b/>
                <w:bCs/>
              </w:rPr>
            </w:pPr>
          </w:p>
        </w:tc>
        <w:tc>
          <w:tcPr>
            <w:tcW w:w="1770" w:type="dxa"/>
            <w:tcBorders>
              <w:top w:val="single" w:color="auto" w:sz="4" w:space="0"/>
            </w:tcBorders>
            <w:noWrap/>
          </w:tcPr>
          <w:p>
            <w:pPr>
              <w:spacing w:line="360" w:lineRule="auto"/>
              <w:jc w:val="both"/>
              <w:rPr>
                <w:rFonts w:ascii="Book Antiqua" w:hAnsi="Book Antiqua"/>
                <w:b/>
                <w:bCs/>
              </w:rPr>
            </w:pPr>
          </w:p>
        </w:tc>
        <w:tc>
          <w:tcPr>
            <w:tcW w:w="1973" w:type="dxa"/>
            <w:tcBorders>
              <w:top w:val="single" w:color="auto" w:sz="4" w:space="0"/>
            </w:tcBorders>
            <w:noWrap/>
          </w:tcPr>
          <w:p>
            <w:pPr>
              <w:spacing w:line="360" w:lineRule="auto"/>
              <w:jc w:val="both"/>
              <w:rPr>
                <w:rFonts w:ascii="Book Antiqua" w:hAnsi="Book Antiqua"/>
                <w:b/>
                <w:bCs/>
              </w:rPr>
            </w:pPr>
            <w:r>
              <w:rPr>
                <w:rFonts w:ascii="Book Antiqua" w:hAnsi="Book Antiqua"/>
                <w:b/>
                <w:bCs/>
              </w:rPr>
              <w:t>Patients</w:t>
            </w:r>
          </w:p>
        </w:tc>
        <w:tc>
          <w:tcPr>
            <w:tcW w:w="1567" w:type="dxa"/>
            <w:tcBorders>
              <w:top w:val="single" w:color="auto" w:sz="4" w:space="0"/>
            </w:tcBorders>
            <w:noWrap/>
          </w:tcPr>
          <w:p>
            <w:pPr>
              <w:spacing w:line="360" w:lineRule="auto"/>
              <w:jc w:val="both"/>
              <w:rPr>
                <w:rFonts w:ascii="Book Antiqua" w:hAnsi="Book Antiqua"/>
                <w:b/>
                <w:bCs/>
                <w:lang w:eastAsia="zh-CN"/>
              </w:rPr>
            </w:pPr>
            <w:r>
              <w:rPr>
                <w:rFonts w:hint="eastAsia" w:ascii="Book Antiqua" w:hAnsi="Book Antiqua"/>
                <w:b/>
                <w:bCs/>
              </w:rPr>
              <w:t>Control</w:t>
            </w:r>
            <w:r>
              <w:rPr>
                <w:rFonts w:hint="eastAsia" w:ascii="Book Antiqua" w:hAnsi="Book Antiqua"/>
                <w:b/>
                <w:bCs/>
                <w:lang w:eastAsia="zh-CN"/>
              </w:rPr>
              <w:t>s</w:t>
            </w:r>
          </w:p>
        </w:tc>
        <w:tc>
          <w:tcPr>
            <w:tcW w:w="2840" w:type="dxa"/>
            <w:tcBorders>
              <w:top w:val="single" w:color="auto" w:sz="4" w:space="0"/>
            </w:tcBorders>
            <w:noWrap/>
          </w:tcPr>
          <w:p>
            <w:pPr>
              <w:spacing w:line="360" w:lineRule="auto"/>
              <w:jc w:val="both"/>
              <w:rPr>
                <w:rFonts w:ascii="Book Antiqua" w:hAnsi="Book Antiqua"/>
                <w:b/>
                <w:bCs/>
              </w:rPr>
            </w:pPr>
          </w:p>
        </w:tc>
        <w:tc>
          <w:tcPr>
            <w:tcW w:w="1418" w:type="dxa"/>
            <w:tcBorders>
              <w:top w:val="single" w:color="auto" w:sz="4" w:space="0"/>
            </w:tcBorders>
            <w:noWrap/>
          </w:tcPr>
          <w:p>
            <w:pPr>
              <w:spacing w:line="360" w:lineRule="auto"/>
              <w:jc w:val="both"/>
              <w:rPr>
                <w:rFonts w:ascii="Book Antiqua" w:hAnsi="Book Antiqua"/>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30" w:type="dxa"/>
            <w:noWrap/>
          </w:tcPr>
          <w:p>
            <w:pPr>
              <w:spacing w:line="360" w:lineRule="auto"/>
              <w:jc w:val="both"/>
              <w:rPr>
                <w:rFonts w:ascii="Book Antiqua" w:hAnsi="Book Antiqua"/>
              </w:rPr>
            </w:pPr>
            <w:r>
              <w:rPr>
                <w:rFonts w:hint="eastAsia" w:ascii="Book Antiqua" w:hAnsi="Book Antiqua"/>
              </w:rPr>
              <w:t xml:space="preserve">Erdal </w:t>
            </w:r>
            <w:r>
              <w:rPr>
                <w:rFonts w:hint="eastAsia" w:ascii="Book Antiqua" w:hAnsi="Book Antiqua"/>
                <w:i/>
                <w:iCs/>
              </w:rPr>
              <w:t>et al</w:t>
            </w:r>
            <w:r>
              <w:rPr>
                <w:rFonts w:ascii="Book Antiqua" w:hAnsi="Book Antiqua"/>
                <w:vertAlign w:val="superscript"/>
              </w:rPr>
              <w:t>[57]</w:t>
            </w:r>
            <w:r>
              <w:rPr>
                <w:rFonts w:ascii="Book Antiqua" w:hAnsi="Book Antiqua"/>
              </w:rPr>
              <w:t xml:space="preserve">, </w:t>
            </w:r>
            <w:r>
              <w:rPr>
                <w:rFonts w:hint="eastAsia" w:ascii="Book Antiqua" w:hAnsi="Book Antiqua"/>
              </w:rPr>
              <w:t>2022</w:t>
            </w:r>
          </w:p>
        </w:tc>
        <w:tc>
          <w:tcPr>
            <w:tcW w:w="1770" w:type="dxa"/>
            <w:noWrap/>
          </w:tcPr>
          <w:p>
            <w:pPr>
              <w:spacing w:line="360" w:lineRule="auto"/>
              <w:jc w:val="both"/>
              <w:rPr>
                <w:rFonts w:ascii="Book Antiqua" w:hAnsi="Book Antiqua"/>
              </w:rPr>
            </w:pPr>
            <w:r>
              <w:rPr>
                <w:rFonts w:ascii="Book Antiqua" w:hAnsi="Book Antiqua"/>
              </w:rPr>
              <w:t>Cross</w:t>
            </w:r>
            <w:r>
              <w:rPr>
                <w:rFonts w:hint="eastAsia" w:ascii="Book Antiqua" w:hAnsi="Book Antiqua"/>
              </w:rPr>
              <w:t>-sectional</w:t>
            </w:r>
          </w:p>
        </w:tc>
        <w:tc>
          <w:tcPr>
            <w:tcW w:w="1973" w:type="dxa"/>
            <w:noWrap/>
          </w:tcPr>
          <w:p>
            <w:pPr>
              <w:spacing w:line="360" w:lineRule="auto"/>
              <w:jc w:val="both"/>
              <w:rPr>
                <w:rFonts w:ascii="Book Antiqua" w:hAnsi="Book Antiqua"/>
              </w:rPr>
            </w:pPr>
            <w:r>
              <w:rPr>
                <w:rFonts w:hint="eastAsia" w:ascii="Book Antiqua" w:hAnsi="Book Antiqua"/>
              </w:rPr>
              <w:t>112</w:t>
            </w:r>
          </w:p>
        </w:tc>
        <w:tc>
          <w:tcPr>
            <w:tcW w:w="1567" w:type="dxa"/>
            <w:noWrap/>
          </w:tcPr>
          <w:p>
            <w:pPr>
              <w:spacing w:line="360" w:lineRule="auto"/>
              <w:jc w:val="both"/>
              <w:rPr>
                <w:rFonts w:ascii="Book Antiqua" w:hAnsi="Book Antiqua"/>
              </w:rPr>
            </w:pPr>
            <w:r>
              <w:rPr>
                <w:rFonts w:hint="eastAsia" w:ascii="Book Antiqua" w:hAnsi="Book Antiqua"/>
              </w:rPr>
              <w:t>106</w:t>
            </w:r>
          </w:p>
        </w:tc>
        <w:tc>
          <w:tcPr>
            <w:tcW w:w="2840" w:type="dxa"/>
            <w:noWrap/>
          </w:tcPr>
          <w:p>
            <w:pPr>
              <w:spacing w:line="360" w:lineRule="auto"/>
              <w:jc w:val="both"/>
              <w:rPr>
                <w:rFonts w:ascii="Book Antiqua" w:hAnsi="Book Antiqua"/>
              </w:rPr>
            </w:pPr>
            <w:r>
              <w:rPr>
                <w:rFonts w:hint="eastAsia" w:ascii="Book Antiqua" w:hAnsi="Book Antiqua"/>
              </w:rPr>
              <w:t xml:space="preserve">Diarrhoea </w:t>
            </w:r>
          </w:p>
        </w:tc>
        <w:tc>
          <w:tcPr>
            <w:tcW w:w="1418" w:type="dxa"/>
            <w:noWrap/>
          </w:tcPr>
          <w:p>
            <w:pPr>
              <w:spacing w:line="360" w:lineRule="auto"/>
              <w:jc w:val="both"/>
              <w:rPr>
                <w:rFonts w:ascii="Book Antiqua" w:hAnsi="Book Antiqua"/>
              </w:rPr>
            </w:pPr>
            <w:r>
              <w:rPr>
                <w:rFonts w:hint="eastAsia" w:ascii="Book Antiqua" w:hAnsi="Book Antiqua"/>
              </w:rPr>
              <w:t>24 (21.8)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30" w:type="dxa"/>
            <w:noWrap/>
          </w:tcPr>
          <w:p>
            <w:pPr>
              <w:spacing w:line="360" w:lineRule="auto"/>
              <w:jc w:val="both"/>
              <w:rPr>
                <w:rFonts w:ascii="Book Antiqua" w:hAnsi="Book Antiqua"/>
              </w:rPr>
            </w:pPr>
            <w:r>
              <w:rPr>
                <w:rFonts w:hint="eastAsia" w:ascii="Book Antiqua" w:hAnsi="Book Antiqua"/>
              </w:rPr>
              <w:t xml:space="preserve">Varma-Doyle </w:t>
            </w:r>
            <w:r>
              <w:rPr>
                <w:rFonts w:hint="eastAsia" w:ascii="Book Antiqua" w:hAnsi="Book Antiqua"/>
                <w:i/>
                <w:iCs/>
              </w:rPr>
              <w:t>et al</w:t>
            </w:r>
            <w:r>
              <w:rPr>
                <w:rFonts w:ascii="Book Antiqua" w:hAnsi="Book Antiqua"/>
                <w:vertAlign w:val="superscript"/>
              </w:rPr>
              <w:t>[58]</w:t>
            </w:r>
            <w:r>
              <w:rPr>
                <w:rFonts w:ascii="Book Antiqua" w:hAnsi="Book Antiqua"/>
              </w:rPr>
              <w:t xml:space="preserve">, </w:t>
            </w:r>
            <w:r>
              <w:rPr>
                <w:rFonts w:hint="eastAsia" w:ascii="Book Antiqua" w:hAnsi="Book Antiqua"/>
              </w:rPr>
              <w:t>2023</w:t>
            </w:r>
          </w:p>
        </w:tc>
        <w:tc>
          <w:tcPr>
            <w:tcW w:w="1770" w:type="dxa"/>
            <w:noWrap/>
          </w:tcPr>
          <w:p>
            <w:pPr>
              <w:spacing w:line="360" w:lineRule="auto"/>
              <w:jc w:val="both"/>
              <w:rPr>
                <w:rFonts w:ascii="Book Antiqua" w:hAnsi="Book Antiqua"/>
              </w:rPr>
            </w:pPr>
            <w:r>
              <w:rPr>
                <w:rFonts w:ascii="Book Antiqua" w:hAnsi="Book Antiqua"/>
              </w:rPr>
              <w:t>Retrospective</w:t>
            </w:r>
          </w:p>
        </w:tc>
        <w:tc>
          <w:tcPr>
            <w:tcW w:w="1973" w:type="dxa"/>
            <w:noWrap/>
          </w:tcPr>
          <w:p>
            <w:pPr>
              <w:spacing w:line="360" w:lineRule="auto"/>
              <w:jc w:val="both"/>
              <w:rPr>
                <w:rFonts w:ascii="Book Antiqua" w:hAnsi="Book Antiqua"/>
                <w:lang w:eastAsia="zh-CN"/>
              </w:rPr>
            </w:pPr>
            <w:r>
              <w:rPr>
                <w:rFonts w:hint="eastAsia" w:ascii="Book Antiqua" w:hAnsi="Book Antiqua"/>
              </w:rPr>
              <w:t>6 (4 with previous dysautonomia and 2 with new onsets</w:t>
            </w:r>
            <w:r>
              <w:rPr>
                <w:rFonts w:hint="eastAsia" w:ascii="Book Antiqua" w:hAnsi="Book Antiqua"/>
                <w:lang w:eastAsia="zh-CN"/>
              </w:rPr>
              <w:t>)</w:t>
            </w:r>
          </w:p>
        </w:tc>
        <w:tc>
          <w:tcPr>
            <w:tcW w:w="1567" w:type="dxa"/>
            <w:noWrap/>
          </w:tcPr>
          <w:p>
            <w:pPr>
              <w:spacing w:line="360" w:lineRule="auto"/>
              <w:jc w:val="both"/>
              <w:rPr>
                <w:rFonts w:ascii="Book Antiqua" w:hAnsi="Book Antiqua"/>
              </w:rPr>
            </w:pPr>
            <w:r>
              <w:rPr>
                <w:rFonts w:hint="eastAsia" w:ascii="Book Antiqua" w:hAnsi="Book Antiqua"/>
              </w:rPr>
              <w:t>-</w:t>
            </w:r>
          </w:p>
        </w:tc>
        <w:tc>
          <w:tcPr>
            <w:tcW w:w="2840" w:type="dxa"/>
            <w:noWrap/>
          </w:tcPr>
          <w:p>
            <w:pPr>
              <w:spacing w:line="360" w:lineRule="auto"/>
              <w:jc w:val="both"/>
              <w:rPr>
                <w:rFonts w:ascii="Book Antiqua" w:hAnsi="Book Antiqua"/>
              </w:rPr>
            </w:pPr>
            <w:r>
              <w:rPr>
                <w:rFonts w:hint="eastAsia" w:ascii="Book Antiqua" w:hAnsi="Book Antiqua"/>
              </w:rPr>
              <w:t xml:space="preserve">Nausea, vomiting, early satiety, bloating, irregular bowel movements, </w:t>
            </w:r>
            <w:r>
              <w:rPr>
                <w:rFonts w:hint="eastAsia" w:ascii="Book Antiqua" w:hAnsi="Book Antiqua"/>
                <w:lang w:eastAsia="zh-CN"/>
              </w:rPr>
              <w:t>c</w:t>
            </w:r>
            <w:r>
              <w:rPr>
                <w:rFonts w:hint="eastAsia" w:ascii="Book Antiqua" w:hAnsi="Book Antiqua"/>
              </w:rPr>
              <w:t>onstipation</w:t>
            </w:r>
          </w:p>
        </w:tc>
        <w:tc>
          <w:tcPr>
            <w:tcW w:w="1418" w:type="dxa"/>
            <w:noWrap/>
          </w:tcPr>
          <w:p>
            <w:pPr>
              <w:spacing w:line="360" w:lineRule="auto"/>
              <w:jc w:val="both"/>
              <w:rPr>
                <w:rFonts w:ascii="Book Antiqua" w:hAnsi="Book Antiqua"/>
              </w:rPr>
            </w:pPr>
            <w:r>
              <w:rPr>
                <w:rFonts w:hint="eastAsia" w:ascii="Book Antiqua" w:hAnsi="Book Antiqua"/>
              </w:rPr>
              <w:t>5 (83)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30" w:type="dxa"/>
            <w:noWrap/>
          </w:tcPr>
          <w:p>
            <w:pPr>
              <w:spacing w:line="360" w:lineRule="auto"/>
              <w:jc w:val="both"/>
              <w:rPr>
                <w:rFonts w:ascii="Book Antiqua" w:hAnsi="Book Antiqua"/>
                <w:lang w:val="nl-BE"/>
              </w:rPr>
            </w:pPr>
            <w:r>
              <w:rPr>
                <w:rFonts w:hint="eastAsia" w:ascii="Book Antiqua" w:hAnsi="Book Antiqua"/>
                <w:lang w:val="nl-BE"/>
              </w:rPr>
              <w:t>Scala et al</w:t>
            </w:r>
            <w:r>
              <w:rPr>
                <w:rFonts w:hint="eastAsia" w:ascii="Book Antiqua" w:hAnsi="Book Antiqua"/>
                <w:i/>
                <w:iCs/>
                <w:lang w:val="nl-BE"/>
              </w:rPr>
              <w:t xml:space="preserve"> et al</w:t>
            </w:r>
            <w:r>
              <w:rPr>
                <w:rFonts w:ascii="Book Antiqua" w:hAnsi="Book Antiqua"/>
                <w:vertAlign w:val="superscript"/>
                <w:lang w:val="nl-BE"/>
              </w:rPr>
              <w:t>[59]</w:t>
            </w:r>
            <w:r>
              <w:rPr>
                <w:rFonts w:ascii="Book Antiqua" w:hAnsi="Book Antiqua"/>
                <w:lang w:val="nl-BE"/>
              </w:rPr>
              <w:t xml:space="preserve">, </w:t>
            </w:r>
            <w:r>
              <w:rPr>
                <w:rFonts w:hint="eastAsia" w:ascii="Book Antiqua" w:hAnsi="Book Antiqua"/>
                <w:lang w:val="nl-BE"/>
              </w:rPr>
              <w:t>2022</w:t>
            </w:r>
          </w:p>
        </w:tc>
        <w:tc>
          <w:tcPr>
            <w:tcW w:w="1770" w:type="dxa"/>
            <w:noWrap/>
          </w:tcPr>
          <w:p>
            <w:pPr>
              <w:spacing w:line="360" w:lineRule="auto"/>
              <w:jc w:val="both"/>
              <w:rPr>
                <w:rFonts w:ascii="Book Antiqua" w:hAnsi="Book Antiqua"/>
              </w:rPr>
            </w:pPr>
            <w:r>
              <w:rPr>
                <w:rFonts w:ascii="Book Antiqua" w:hAnsi="Book Antiqua"/>
              </w:rPr>
              <w:t>Observational</w:t>
            </w:r>
            <w:r>
              <w:rPr>
                <w:rFonts w:hint="eastAsia" w:ascii="Book Antiqua" w:hAnsi="Book Antiqua"/>
              </w:rPr>
              <w:t>, cross-sectional</w:t>
            </w:r>
          </w:p>
        </w:tc>
        <w:tc>
          <w:tcPr>
            <w:tcW w:w="1973" w:type="dxa"/>
            <w:noWrap/>
          </w:tcPr>
          <w:p>
            <w:pPr>
              <w:spacing w:line="360" w:lineRule="auto"/>
              <w:jc w:val="both"/>
              <w:rPr>
                <w:rFonts w:ascii="Book Antiqua" w:hAnsi="Book Antiqua"/>
              </w:rPr>
            </w:pPr>
            <w:r>
              <w:rPr>
                <w:rFonts w:hint="eastAsia" w:ascii="Book Antiqua" w:hAnsi="Book Antiqua"/>
              </w:rPr>
              <w:t>38</w:t>
            </w:r>
          </w:p>
        </w:tc>
        <w:tc>
          <w:tcPr>
            <w:tcW w:w="1567" w:type="dxa"/>
            <w:noWrap/>
          </w:tcPr>
          <w:p>
            <w:pPr>
              <w:spacing w:line="360" w:lineRule="auto"/>
              <w:jc w:val="both"/>
              <w:rPr>
                <w:rFonts w:ascii="Book Antiqua" w:hAnsi="Book Antiqua"/>
              </w:rPr>
            </w:pPr>
            <w:r>
              <w:rPr>
                <w:rFonts w:hint="eastAsia" w:ascii="Book Antiqua" w:hAnsi="Book Antiqua"/>
              </w:rPr>
              <w:t>38</w:t>
            </w:r>
          </w:p>
        </w:tc>
        <w:tc>
          <w:tcPr>
            <w:tcW w:w="2840" w:type="dxa"/>
            <w:noWrap/>
          </w:tcPr>
          <w:p>
            <w:pPr>
              <w:spacing w:line="360" w:lineRule="auto"/>
              <w:jc w:val="both"/>
              <w:rPr>
                <w:rFonts w:ascii="Book Antiqua" w:hAnsi="Book Antiqua"/>
              </w:rPr>
            </w:pPr>
            <w:r>
              <w:rPr>
                <w:rFonts w:hint="eastAsia" w:ascii="Book Antiqua" w:hAnsi="Book Antiqua"/>
              </w:rPr>
              <w:t>Diarrhoea</w:t>
            </w:r>
          </w:p>
        </w:tc>
        <w:tc>
          <w:tcPr>
            <w:tcW w:w="1418" w:type="dxa"/>
            <w:noWrap/>
          </w:tcPr>
          <w:p>
            <w:pPr>
              <w:spacing w:line="360" w:lineRule="auto"/>
              <w:jc w:val="both"/>
              <w:rPr>
                <w:rFonts w:ascii="Book Antiqua" w:hAnsi="Book Antiqua"/>
              </w:rPr>
            </w:pPr>
            <w:r>
              <w:rPr>
                <w:rFonts w:hint="eastAsia" w:ascii="Book Antiqua" w:hAnsi="Book Antiqua"/>
              </w:rPr>
              <w:t>10 (26.3)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30" w:type="dxa"/>
            <w:noWrap/>
          </w:tcPr>
          <w:p>
            <w:pPr>
              <w:spacing w:line="360" w:lineRule="auto"/>
              <w:jc w:val="both"/>
              <w:rPr>
                <w:rFonts w:ascii="Book Antiqua" w:hAnsi="Book Antiqua"/>
              </w:rPr>
            </w:pPr>
            <w:r>
              <w:rPr>
                <w:rFonts w:hint="eastAsia" w:ascii="Book Antiqua" w:hAnsi="Book Antiqua"/>
              </w:rPr>
              <w:t xml:space="preserve">Tan </w:t>
            </w:r>
            <w:r>
              <w:rPr>
                <w:rFonts w:hint="eastAsia" w:ascii="Book Antiqua" w:hAnsi="Book Antiqua"/>
                <w:i/>
                <w:iCs/>
                <w:lang w:val="nl-BE"/>
              </w:rPr>
              <w:t>et al</w:t>
            </w:r>
            <w:r>
              <w:rPr>
                <w:rFonts w:ascii="Book Antiqua" w:hAnsi="Book Antiqua"/>
                <w:vertAlign w:val="superscript"/>
                <w:lang w:val="nl-BE"/>
              </w:rPr>
              <w:t>[60]</w:t>
            </w:r>
            <w:r>
              <w:rPr>
                <w:rFonts w:ascii="Book Antiqua" w:hAnsi="Book Antiqua"/>
                <w:lang w:val="nl-BE"/>
              </w:rPr>
              <w:t xml:space="preserve">, </w:t>
            </w:r>
            <w:r>
              <w:rPr>
                <w:rFonts w:hint="eastAsia" w:ascii="Book Antiqua" w:hAnsi="Book Antiqua"/>
              </w:rPr>
              <w:t>2020</w:t>
            </w:r>
          </w:p>
        </w:tc>
        <w:tc>
          <w:tcPr>
            <w:tcW w:w="1770" w:type="dxa"/>
            <w:noWrap/>
          </w:tcPr>
          <w:p>
            <w:pPr>
              <w:spacing w:line="360" w:lineRule="auto"/>
              <w:jc w:val="both"/>
              <w:rPr>
                <w:rFonts w:ascii="Book Antiqua" w:hAnsi="Book Antiqua"/>
              </w:rPr>
            </w:pPr>
            <w:r>
              <w:rPr>
                <w:rFonts w:ascii="Book Antiqua" w:hAnsi="Book Antiqua"/>
              </w:rPr>
              <w:t xml:space="preserve">Retrospective </w:t>
            </w:r>
            <w:r>
              <w:rPr>
                <w:rFonts w:hint="eastAsia" w:ascii="Book Antiqua" w:hAnsi="Book Antiqua"/>
              </w:rPr>
              <w:t>study</w:t>
            </w:r>
          </w:p>
        </w:tc>
        <w:tc>
          <w:tcPr>
            <w:tcW w:w="1973" w:type="dxa"/>
            <w:noWrap/>
          </w:tcPr>
          <w:p>
            <w:pPr>
              <w:spacing w:line="360" w:lineRule="auto"/>
              <w:jc w:val="both"/>
              <w:rPr>
                <w:rFonts w:ascii="Book Antiqua" w:hAnsi="Book Antiqua"/>
              </w:rPr>
            </w:pPr>
            <w:r>
              <w:rPr>
                <w:rFonts w:hint="eastAsia" w:ascii="Book Antiqua" w:hAnsi="Book Antiqua"/>
              </w:rPr>
              <w:t>69 (without ACEI/ARB)</w:t>
            </w:r>
          </w:p>
        </w:tc>
        <w:tc>
          <w:tcPr>
            <w:tcW w:w="1567" w:type="dxa"/>
            <w:noWrap/>
          </w:tcPr>
          <w:p>
            <w:pPr>
              <w:spacing w:line="360" w:lineRule="auto"/>
              <w:jc w:val="both"/>
              <w:rPr>
                <w:rFonts w:ascii="Book Antiqua" w:hAnsi="Book Antiqua"/>
              </w:rPr>
            </w:pPr>
            <w:r>
              <w:rPr>
                <w:rFonts w:hint="eastAsia" w:ascii="Book Antiqua" w:hAnsi="Book Antiqua"/>
              </w:rPr>
              <w:t>31 (ACEI/ARB)</w:t>
            </w:r>
          </w:p>
        </w:tc>
        <w:tc>
          <w:tcPr>
            <w:tcW w:w="2840" w:type="dxa"/>
            <w:noWrap/>
          </w:tcPr>
          <w:p>
            <w:pPr>
              <w:spacing w:line="360" w:lineRule="auto"/>
              <w:jc w:val="both"/>
              <w:rPr>
                <w:rFonts w:ascii="Book Antiqua" w:hAnsi="Book Antiqua"/>
              </w:rPr>
            </w:pPr>
            <w:r>
              <w:rPr>
                <w:rFonts w:hint="eastAsia" w:ascii="Book Antiqua" w:hAnsi="Book Antiqua"/>
                <w:lang w:eastAsia="zh-CN"/>
              </w:rPr>
              <w:t>D</w:t>
            </w:r>
            <w:r>
              <w:rPr>
                <w:rFonts w:hint="eastAsia" w:ascii="Book Antiqua" w:hAnsi="Book Antiqua"/>
              </w:rPr>
              <w:t xml:space="preserve">iarrhea (6.5% </w:t>
            </w:r>
            <w:r>
              <w:rPr>
                <w:rFonts w:hint="eastAsia" w:ascii="Book Antiqua" w:hAnsi="Book Antiqua"/>
                <w:i/>
                <w:iCs/>
              </w:rPr>
              <w:t>vs</w:t>
            </w:r>
            <w:r>
              <w:rPr>
                <w:rFonts w:hint="eastAsia" w:ascii="Book Antiqua" w:hAnsi="Book Antiqua"/>
              </w:rPr>
              <w:t xml:space="preserve"> 14.5%), nausea and vomiting (9.7% </w:t>
            </w:r>
            <w:r>
              <w:rPr>
                <w:rFonts w:hint="eastAsia" w:ascii="Book Antiqua" w:hAnsi="Book Antiqua"/>
                <w:i/>
                <w:iCs/>
              </w:rPr>
              <w:t>vs</w:t>
            </w:r>
            <w:r>
              <w:rPr>
                <w:rFonts w:hint="eastAsia" w:ascii="Book Antiqua" w:hAnsi="Book Antiqua"/>
              </w:rPr>
              <w:t xml:space="preserve"> 11.6%), abdominal pain (2.9% </w:t>
            </w:r>
            <w:r>
              <w:rPr>
                <w:rFonts w:hint="eastAsia" w:ascii="Book Antiqua" w:hAnsi="Book Antiqua"/>
                <w:i/>
                <w:iCs/>
              </w:rPr>
              <w:t>vs</w:t>
            </w:r>
            <w:r>
              <w:rPr>
                <w:rFonts w:hint="eastAsia" w:ascii="Book Antiqua" w:hAnsi="Book Antiqua"/>
              </w:rPr>
              <w:t xml:space="preserve"> 6.5%)</w:t>
            </w:r>
          </w:p>
        </w:tc>
        <w:tc>
          <w:tcPr>
            <w:tcW w:w="1418" w:type="dxa"/>
            <w:noWrap/>
          </w:tcPr>
          <w:p>
            <w:pPr>
              <w:spacing w:line="360" w:lineRule="auto"/>
              <w:jc w:val="both"/>
              <w:rPr>
                <w:rFonts w:ascii="Book Antiqua" w:hAnsi="Book Antiqua"/>
              </w:rPr>
            </w:pPr>
            <w:r>
              <w:rPr>
                <w:rFonts w:hint="eastAsia" w:ascii="Book Antiqua" w:hAnsi="Book Antiqua"/>
              </w:rPr>
              <w:t>40 (58)</w:t>
            </w:r>
          </w:p>
        </w:tc>
      </w:tr>
    </w:tbl>
    <w:p>
      <w:pPr>
        <w:spacing w:line="360" w:lineRule="auto"/>
        <w:rPr>
          <w:rFonts w:ascii="Book Antiqua" w:hAnsi="Book Antiqua" w:cstheme="majorBidi"/>
        </w:rPr>
      </w:pPr>
      <w:r>
        <w:rPr>
          <w:rFonts w:ascii="Book Antiqua" w:hAnsi="Book Antiqua" w:cstheme="majorBidi"/>
        </w:rPr>
        <w:t>ACEI</w:t>
      </w:r>
      <w:r>
        <w:rPr>
          <w:rFonts w:ascii="Book Antiqua" w:hAnsi="Book Antiqua"/>
        </w:rPr>
        <w:t xml:space="preserve">: </w:t>
      </w:r>
      <w:r>
        <w:rPr>
          <w:rFonts w:ascii="Book Antiqua" w:hAnsi="Book Antiqua" w:cstheme="majorBidi"/>
        </w:rPr>
        <w:t>Angiotensin-converting enzyme inhibitors; ARB</w:t>
      </w:r>
      <w:r>
        <w:rPr>
          <w:rFonts w:ascii="Book Antiqua" w:hAnsi="Book Antiqua"/>
        </w:rPr>
        <w:t xml:space="preserve">: </w:t>
      </w:r>
      <w:r>
        <w:rPr>
          <w:rFonts w:ascii="Book Antiqua" w:hAnsi="Book Antiqua" w:cstheme="majorBidi"/>
        </w:rPr>
        <w:t>Angiotensin receptor blockers; GIT: Gastrointestinal tract.</w:t>
      </w:r>
    </w:p>
    <w:p>
      <w:pPr>
        <w:spacing w:line="360" w:lineRule="auto"/>
        <w:rPr>
          <w:rFonts w:ascii="Book Antiqua" w:hAnsi="Book Antiqua"/>
          <w:b/>
          <w:bCs/>
        </w:rPr>
      </w:pPr>
      <w:r>
        <w:rPr>
          <w:rFonts w:ascii="Book Antiqua" w:hAnsi="Book Antiqua"/>
        </w:rPr>
        <w:br w:type="page"/>
      </w:r>
      <w:r>
        <w:rPr>
          <w:rFonts w:ascii="Book Antiqua" w:hAnsi="Book Antiqua"/>
          <w:b/>
          <w:bCs/>
        </w:rPr>
        <w:t xml:space="preserve">Table 4 Risk factors of patients with </w:t>
      </w:r>
      <w:r>
        <w:rPr>
          <w:rFonts w:ascii="Book Antiqua" w:hAnsi="Book Antiqua"/>
          <w:b/>
          <w:bCs/>
          <w:lang w:val="en-GB"/>
        </w:rPr>
        <w:t>coronavirus disease 2019</w:t>
      </w:r>
      <w:r>
        <w:rPr>
          <w:rFonts w:ascii="Book Antiqua" w:hAnsi="Book Antiqua"/>
          <w:b/>
          <w:bCs/>
        </w:rPr>
        <w:t xml:space="preserve"> disease-induced gastrointestinal autonomic dysfunction</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1 Severe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2 Presence of hyperinflammation and hypoxia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3 Longer duration of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4 Old 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 xml:space="preserve">5 Down-regulation of the </w:t>
            </w:r>
            <w:r>
              <w:rPr>
                <w:rFonts w:ascii="Book Antiqua" w:hAnsi="Book Antiqua"/>
                <w:i/>
                <w:iCs/>
                <w:lang w:val="en-GB"/>
              </w:rPr>
              <w:t>IKBKAP</w:t>
            </w:r>
            <w:r>
              <w:rPr>
                <w:rFonts w:ascii="Book Antiqua" w:hAnsi="Book Antiqua"/>
                <w:lang w:val="en-GB"/>
              </w:rPr>
              <w:t xml:space="preserve"> gene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6 Up-regulation of N-type calcium channels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 xml:space="preserve">7 </w:t>
            </w:r>
            <w:r>
              <w:rPr>
                <w:rFonts w:hint="eastAsia" w:ascii="Book Antiqua" w:hAnsi="Book Antiqua"/>
                <w:lang w:eastAsia="zh-CN"/>
              </w:rPr>
              <w:t>P</w:t>
            </w:r>
            <w:r>
              <w:rPr>
                <w:rFonts w:ascii="Book Antiqua" w:hAnsi="Book Antiqua"/>
                <w:lang w:val="en-GB"/>
              </w:rPr>
              <w:t>resence of smell loss or dyspnoea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630" w:type="dxa"/>
            <w:noWrap/>
          </w:tcPr>
          <w:p>
            <w:pPr>
              <w:spacing w:line="360" w:lineRule="auto"/>
              <w:jc w:val="both"/>
              <w:rPr>
                <w:rFonts w:ascii="Book Antiqua" w:hAnsi="Book Antiqua"/>
              </w:rPr>
            </w:pPr>
            <w:r>
              <w:rPr>
                <w:rFonts w:ascii="Book Antiqua" w:hAnsi="Book Antiqua"/>
                <w:lang w:val="en-GB"/>
              </w:rPr>
              <w:t>8 Presence of comorbidities characterized by high sympathetic activity, such as diabetes mellitus and hypertension</w:t>
            </w:r>
          </w:p>
        </w:tc>
      </w:tr>
    </w:tbl>
    <w:p>
      <w:pPr>
        <w:spacing w:line="360" w:lineRule="auto"/>
        <w:jc w:val="both"/>
      </w:pPr>
    </w:p>
    <w:p>
      <w:pPr>
        <w:spacing w:line="360" w:lineRule="auto"/>
        <w:jc w:val="both"/>
      </w:pPr>
    </w:p>
    <w:p>
      <w:pPr>
        <w:spacing w:line="360" w:lineRule="auto"/>
        <w:jc w:val="both"/>
        <w:rPr>
          <w:rFonts w:ascii="Book Antiqua" w:hAnsi="Book Antiqua"/>
          <w:b/>
          <w:bCs/>
        </w:rPr>
      </w:pPr>
      <w:r>
        <w:rPr>
          <w:rFonts w:ascii="Book Antiqua" w:hAnsi="Book Antiqua"/>
          <w:b/>
          <w:bCs/>
        </w:rPr>
        <w:br w:type="page"/>
      </w:r>
      <w:r>
        <w:rPr>
          <w:rFonts w:ascii="Book Antiqua" w:hAnsi="Book Antiqua"/>
          <w:b/>
          <w:bCs/>
        </w:rPr>
        <w:t xml:space="preserve">Table 5 </w:t>
      </w:r>
      <w:r>
        <w:rPr>
          <w:rFonts w:hint="eastAsia" w:ascii="Book Antiqua" w:hAnsi="Book Antiqua"/>
          <w:b/>
          <w:bCs/>
          <w:lang w:eastAsia="zh-CN"/>
        </w:rPr>
        <w:t>P</w:t>
      </w:r>
      <w:r>
        <w:rPr>
          <w:rFonts w:ascii="Book Antiqua" w:hAnsi="Book Antiqua"/>
          <w:b/>
          <w:bCs/>
        </w:rPr>
        <w:t xml:space="preserve">revalence and underlying mechanism for common gastrointestinal autonomic dysfunction in patients with </w:t>
      </w:r>
      <w:r>
        <w:rPr>
          <w:rFonts w:ascii="Book Antiqua" w:hAnsi="Book Antiqua"/>
          <w:b/>
          <w:bCs/>
          <w:lang w:val="en-GB"/>
        </w:rPr>
        <w:t>coronavirus disease 2019</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51"/>
        <w:gridCol w:w="1843"/>
        <w:gridCol w:w="578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Borders>
              <w:top w:val="single" w:color="auto" w:sz="4" w:space="0"/>
              <w:bottom w:val="single" w:color="auto" w:sz="4" w:space="0"/>
            </w:tcBorders>
          </w:tcPr>
          <w:p>
            <w:pPr>
              <w:spacing w:line="360" w:lineRule="auto"/>
              <w:rPr>
                <w:rFonts w:ascii="Book Antiqua" w:hAnsi="Book Antiqua"/>
                <w:b/>
                <w:bCs/>
                <w:lang w:eastAsia="zh-CN"/>
              </w:rPr>
            </w:pPr>
            <w:r>
              <w:rPr>
                <w:rFonts w:ascii="Book Antiqua" w:hAnsi="Book Antiqua"/>
                <w:b/>
                <w:bCs/>
              </w:rPr>
              <w:t>Symptom</w:t>
            </w:r>
            <w:r>
              <w:rPr>
                <w:rFonts w:hint="eastAsia" w:ascii="Book Antiqua" w:hAnsi="Book Antiqua"/>
                <w:b/>
                <w:bCs/>
                <w:lang w:eastAsia="zh-CN"/>
              </w:rPr>
              <w:t>(</w:t>
            </w:r>
            <w:r>
              <w:rPr>
                <w:rFonts w:ascii="Book Antiqua" w:hAnsi="Book Antiqua"/>
                <w:b/>
                <w:bCs/>
              </w:rPr>
              <w:t>s</w:t>
            </w:r>
            <w:r>
              <w:rPr>
                <w:rFonts w:hint="eastAsia" w:ascii="Book Antiqua" w:hAnsi="Book Antiqua"/>
                <w:b/>
                <w:bCs/>
                <w:lang w:eastAsia="zh-CN"/>
              </w:rPr>
              <w:t>)</w:t>
            </w:r>
          </w:p>
        </w:tc>
        <w:tc>
          <w:tcPr>
            <w:tcW w:w="1843" w:type="dxa"/>
            <w:tcBorders>
              <w:top w:val="single" w:color="auto" w:sz="4" w:space="0"/>
              <w:bottom w:val="single" w:color="auto" w:sz="4" w:space="0"/>
            </w:tcBorders>
          </w:tcPr>
          <w:p>
            <w:pPr>
              <w:spacing w:line="360" w:lineRule="auto"/>
              <w:rPr>
                <w:rFonts w:ascii="Book Antiqua" w:hAnsi="Book Antiqua"/>
                <w:b/>
                <w:bCs/>
              </w:rPr>
            </w:pPr>
            <w:r>
              <w:rPr>
                <w:rFonts w:ascii="Book Antiqua" w:hAnsi="Book Antiqua"/>
                <w:b/>
                <w:bCs/>
              </w:rPr>
              <w:t>Incidence</w:t>
            </w:r>
          </w:p>
        </w:tc>
        <w:tc>
          <w:tcPr>
            <w:tcW w:w="5782" w:type="dxa"/>
            <w:tcBorders>
              <w:top w:val="single" w:color="auto" w:sz="4" w:space="0"/>
              <w:bottom w:val="single" w:color="auto" w:sz="4" w:space="0"/>
            </w:tcBorders>
          </w:tcPr>
          <w:p>
            <w:pPr>
              <w:spacing w:line="360" w:lineRule="auto"/>
              <w:rPr>
                <w:rFonts w:ascii="Book Antiqua" w:hAnsi="Book Antiqua"/>
              </w:rPr>
            </w:pPr>
            <w:r>
              <w:rPr>
                <w:rFonts w:ascii="Book Antiqua" w:hAnsi="Book Antiqua"/>
                <w:b/>
                <w:bCs/>
              </w:rPr>
              <w:t>Underlying mechanism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Borders>
              <w:top w:val="single" w:color="auto" w:sz="4" w:space="0"/>
            </w:tcBorders>
          </w:tcPr>
          <w:p>
            <w:pPr>
              <w:spacing w:line="360" w:lineRule="auto"/>
              <w:rPr>
                <w:rFonts w:ascii="Book Antiqua" w:hAnsi="Book Antiqua"/>
              </w:rPr>
            </w:pPr>
            <w:r>
              <w:rPr>
                <w:rFonts w:ascii="Book Antiqua" w:hAnsi="Book Antiqua"/>
              </w:rPr>
              <w:t>Nausea and/or vomiting</w:t>
            </w:r>
          </w:p>
        </w:tc>
        <w:tc>
          <w:tcPr>
            <w:tcW w:w="1843" w:type="dxa"/>
            <w:tcBorders>
              <w:top w:val="single" w:color="auto" w:sz="4" w:space="0"/>
            </w:tcBorders>
          </w:tcPr>
          <w:p>
            <w:pPr>
              <w:autoSpaceDE w:val="0"/>
              <w:autoSpaceDN w:val="0"/>
              <w:adjustRightInd w:val="0"/>
              <w:spacing w:line="360" w:lineRule="auto"/>
              <w:rPr>
                <w:rFonts w:ascii="Book Antiqua" w:hAnsi="Book Antiqua"/>
              </w:rPr>
            </w:pPr>
            <w:r>
              <w:rPr>
                <w:rFonts w:ascii="Book Antiqua" w:hAnsi="Book Antiqua"/>
              </w:rPr>
              <w:t>Nausea: 1.0%-12.5%, vomiting 1.0%-27.5%</w:t>
            </w:r>
          </w:p>
        </w:tc>
        <w:tc>
          <w:tcPr>
            <w:tcW w:w="5782" w:type="dxa"/>
            <w:tcBorders>
              <w:top w:val="single" w:color="auto" w:sz="4" w:space="0"/>
            </w:tcBorders>
          </w:tcPr>
          <w:p>
            <w:pPr>
              <w:pStyle w:val="15"/>
              <w:spacing w:after="0" w:line="360" w:lineRule="auto"/>
              <w:ind w:left="0"/>
              <w:jc w:val="both"/>
              <w:rPr>
                <w:rFonts w:ascii="Book Antiqua" w:hAnsi="Book Antiqua"/>
                <w:sz w:val="24"/>
                <w:szCs w:val="24"/>
              </w:rPr>
            </w:pPr>
            <w:r>
              <w:rPr>
                <w:rFonts w:ascii="Book Antiqua" w:hAnsi="Book Antiqua"/>
                <w:sz w:val="24"/>
                <w:szCs w:val="24"/>
              </w:rPr>
              <w:t xml:space="preserve">Release of neuroactive agents from enteroendocrine cells and inflammatory mediations → </w:t>
            </w:r>
            <w:r>
              <w:rPr>
                <w:rFonts w:hint="eastAsia" w:ascii="Book Antiqua" w:hAnsi="Book Antiqua"/>
                <w:sz w:val="24"/>
                <w:szCs w:val="24"/>
                <w:lang w:val="en-US" w:eastAsia="zh-CN"/>
              </w:rPr>
              <w:t>a</w:t>
            </w:r>
            <w:r>
              <w:rPr>
                <w:rFonts w:ascii="Book Antiqua" w:hAnsi="Book Antiqua"/>
                <w:sz w:val="24"/>
                <w:szCs w:val="24"/>
              </w:rPr>
              <w:t xml:space="preserve">bdominal vagal nerve stimulation of </w:t>
            </w:r>
            <w:r>
              <w:rPr>
                <w:rFonts w:hint="eastAsia" w:ascii="Book Antiqua" w:hAnsi="Book Antiqua"/>
                <w:sz w:val="24"/>
                <w:szCs w:val="24"/>
                <w:lang w:val="en-US" w:eastAsia="zh-CN"/>
              </w:rPr>
              <w:t>d</w:t>
            </w:r>
            <w:r>
              <w:rPr>
                <w:rFonts w:ascii="Book Antiqua" w:hAnsi="Book Antiqua"/>
                <w:sz w:val="24"/>
                <w:szCs w:val="24"/>
              </w:rPr>
              <w:t xml:space="preserve">orsal medulla → projection of information to higher brain regions → </w:t>
            </w:r>
            <w:r>
              <w:rPr>
                <w:rFonts w:hint="eastAsia" w:ascii="Book Antiqua" w:hAnsi="Book Antiqua"/>
                <w:sz w:val="24"/>
                <w:szCs w:val="24"/>
                <w:lang w:val="en-US" w:eastAsia="zh-CN"/>
              </w:rPr>
              <w:t>n</w:t>
            </w:r>
            <w:r>
              <w:rPr>
                <w:rFonts w:ascii="Book Antiqua" w:hAnsi="Book Antiqua"/>
                <w:sz w:val="24"/>
                <w:szCs w:val="24"/>
              </w:rPr>
              <w:t>ausea and vomiting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line="360" w:lineRule="auto"/>
              <w:rPr>
                <w:rFonts w:ascii="Book Antiqua" w:hAnsi="Book Antiqua"/>
              </w:rPr>
            </w:pPr>
            <w:r>
              <w:rPr>
                <w:rFonts w:ascii="Book Antiqua" w:hAnsi="Book Antiqua"/>
              </w:rPr>
              <w:t>Diarrhea</w:t>
            </w:r>
          </w:p>
        </w:tc>
        <w:tc>
          <w:tcPr>
            <w:tcW w:w="1843" w:type="dxa"/>
          </w:tcPr>
          <w:p>
            <w:pPr>
              <w:spacing w:line="360" w:lineRule="auto"/>
              <w:rPr>
                <w:rFonts w:ascii="Book Antiqua" w:hAnsi="Book Antiqua"/>
              </w:rPr>
            </w:pPr>
            <w:r>
              <w:rPr>
                <w:rFonts w:ascii="Book Antiqua" w:hAnsi="Book Antiqua"/>
              </w:rPr>
              <w:t>2% and 50%</w:t>
            </w:r>
          </w:p>
        </w:tc>
        <w:tc>
          <w:tcPr>
            <w:tcW w:w="5782" w:type="dxa"/>
          </w:tcPr>
          <w:p>
            <w:pPr>
              <w:pStyle w:val="15"/>
              <w:spacing w:after="0" w:line="360" w:lineRule="auto"/>
              <w:ind w:left="0"/>
              <w:jc w:val="both"/>
              <w:rPr>
                <w:rFonts w:ascii="Book Antiqua" w:hAnsi="Book Antiqua"/>
                <w:sz w:val="24"/>
                <w:szCs w:val="24"/>
              </w:rPr>
            </w:pPr>
            <w:r>
              <w:rPr>
                <w:rFonts w:ascii="Book Antiqua" w:hAnsi="Book Antiqua"/>
                <w:sz w:val="24"/>
                <w:szCs w:val="24"/>
              </w:rPr>
              <w:t xml:space="preserve">Targeting intestinal ACE2 by the virus → cytokine storms, increased intestinal barrier permeability, and gut dysbiosis → </w:t>
            </w:r>
            <w:r>
              <w:rPr>
                <w:rFonts w:hint="eastAsia" w:ascii="Book Antiqua" w:hAnsi="Book Antiqua"/>
                <w:sz w:val="24"/>
                <w:szCs w:val="24"/>
                <w:lang w:val="en-US" w:eastAsia="zh-CN"/>
              </w:rPr>
              <w:t>d</w:t>
            </w:r>
            <w:r>
              <w:rPr>
                <w:rFonts w:ascii="Book Antiqua" w:hAnsi="Book Antiqua"/>
                <w:sz w:val="24"/>
                <w:szCs w:val="24"/>
              </w:rPr>
              <w:t>iarrhoea.</w:t>
            </w:r>
            <w:r>
              <w:rPr>
                <w:rFonts w:hint="eastAsia" w:ascii="Book Antiqua" w:hAnsi="Book Antiqua"/>
                <w:sz w:val="24"/>
                <w:szCs w:val="24"/>
                <w:lang w:eastAsia="zh-CN"/>
              </w:rPr>
              <w:t xml:space="preserve"> </w:t>
            </w:r>
            <w:r>
              <w:rPr>
                <w:rFonts w:ascii="Book Antiqua" w:hAnsi="Book Antiqua"/>
                <w:sz w:val="24"/>
                <w:szCs w:val="24"/>
              </w:rPr>
              <w:t xml:space="preserve">Hepatic and pancreatic injuries may also cause diarrhea. Antibiotic-induced iatrogenic diarrhea caused by activating </w:t>
            </w:r>
            <w:r>
              <w:rPr>
                <w:rFonts w:ascii="Book Antiqua" w:hAnsi="Book Antiqua"/>
                <w:i/>
                <w:iCs/>
                <w:sz w:val="24"/>
                <w:szCs w:val="24"/>
              </w:rPr>
              <w:t>Clostridium spp</w:t>
            </w:r>
            <w:r>
              <w:rPr>
                <w:rFonts w:ascii="Book Antiqua" w:hAnsi="Book Antiqua"/>
                <w:sz w:val="24"/>
                <w:szCs w:val="24"/>
              </w:rPr>
              <w:t>. should also be considered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line="360" w:lineRule="auto"/>
              <w:rPr>
                <w:rFonts w:ascii="Book Antiqua" w:hAnsi="Book Antiqua"/>
              </w:rPr>
            </w:pPr>
            <w:r>
              <w:rPr>
                <w:rFonts w:ascii="Book Antiqua" w:hAnsi="Book Antiqua"/>
              </w:rPr>
              <w:t>Anorexia</w:t>
            </w:r>
          </w:p>
        </w:tc>
        <w:tc>
          <w:tcPr>
            <w:tcW w:w="1843" w:type="dxa"/>
          </w:tcPr>
          <w:p>
            <w:pPr>
              <w:spacing w:line="360" w:lineRule="auto"/>
              <w:rPr>
                <w:rFonts w:ascii="Book Antiqua" w:hAnsi="Book Antiqua"/>
              </w:rPr>
            </w:pPr>
            <w:r>
              <w:rPr>
                <w:rFonts w:ascii="Book Antiqua" w:hAnsi="Book Antiqua"/>
              </w:rPr>
              <w:t>Up to 40%</w:t>
            </w:r>
          </w:p>
        </w:tc>
        <w:tc>
          <w:tcPr>
            <w:tcW w:w="5782" w:type="dxa"/>
          </w:tcPr>
          <w:p>
            <w:pPr>
              <w:pStyle w:val="15"/>
              <w:spacing w:after="0" w:line="360" w:lineRule="auto"/>
              <w:ind w:left="0"/>
              <w:jc w:val="both"/>
              <w:rPr>
                <w:rFonts w:ascii="Book Antiqua" w:hAnsi="Book Antiqua"/>
                <w:sz w:val="24"/>
                <w:szCs w:val="24"/>
              </w:rPr>
            </w:pPr>
            <w:r>
              <w:rPr>
                <w:rFonts w:ascii="Book Antiqua" w:hAnsi="Book Antiqua"/>
                <w:sz w:val="24"/>
                <w:szCs w:val="24"/>
              </w:rPr>
              <w:t>Social pressure</w:t>
            </w:r>
            <w:r>
              <w:rPr>
                <w:rFonts w:hint="eastAsia" w:ascii="Book Antiqua" w:hAnsi="Book Antiqua"/>
                <w:sz w:val="24"/>
                <w:szCs w:val="24"/>
                <w:lang w:val="en-US" w:eastAsia="zh-CN"/>
              </w:rPr>
              <w:t>.</w:t>
            </w:r>
            <w:r>
              <w:rPr>
                <w:rFonts w:ascii="Book Antiqua" w:hAnsi="Book Antiqua"/>
                <w:sz w:val="24"/>
                <w:szCs w:val="24"/>
                <w:lang w:eastAsia="zh-CN"/>
              </w:rPr>
              <w:t xml:space="preserve"> </w:t>
            </w:r>
            <w:r>
              <w:rPr>
                <w:rFonts w:ascii="Book Antiqua" w:hAnsi="Book Antiqua"/>
                <w:sz w:val="24"/>
                <w:szCs w:val="24"/>
              </w:rPr>
              <w:t>Neuromodulation</w:t>
            </w:r>
            <w:r>
              <w:rPr>
                <w:rFonts w:hint="eastAsia" w:ascii="Book Antiqua" w:hAnsi="Book Antiqua"/>
                <w:sz w:val="24"/>
                <w:szCs w:val="24"/>
                <w:lang w:val="en-US" w:eastAsia="zh-CN"/>
              </w:rPr>
              <w:t xml:space="preserve"> </w:t>
            </w:r>
            <w:r>
              <w:rPr>
                <w:rFonts w:ascii="Book Antiqua" w:hAnsi="Book Antiqua"/>
                <w:sz w:val="24"/>
                <w:szCs w:val="24"/>
              </w:rPr>
              <w:t xml:space="preserve">→ </w:t>
            </w:r>
            <w:r>
              <w:rPr>
                <w:rFonts w:hint="eastAsia" w:ascii="Book Antiqua" w:hAnsi="Book Antiqua"/>
                <w:sz w:val="24"/>
                <w:szCs w:val="24"/>
                <w:lang w:val="en-US" w:eastAsia="zh-CN"/>
              </w:rPr>
              <w:t>m</w:t>
            </w:r>
            <w:r>
              <w:rPr>
                <w:rFonts w:ascii="Book Antiqua" w:hAnsi="Book Antiqua"/>
                <w:sz w:val="24"/>
                <w:szCs w:val="24"/>
              </w:rPr>
              <w:t>iscommunication between brain-gut-adipose tissue</w:t>
            </w:r>
            <w:r>
              <w:rPr>
                <w:rFonts w:hint="eastAsia" w:ascii="Book Antiqua" w:hAnsi="Book Antiqua"/>
                <w:sz w:val="24"/>
                <w:szCs w:val="24"/>
                <w:lang w:val="en-US" w:eastAsia="zh-CN"/>
              </w:rPr>
              <w:t>s</w:t>
            </w:r>
            <w:r>
              <w:rPr>
                <w:rFonts w:ascii="Book Antiqua" w:hAnsi="Book Antiqua"/>
                <w:sz w:val="24"/>
                <w:szCs w:val="24"/>
              </w:rPr>
              <w:t xml:space="preserve"> → changes in brain serotonin and tryptophan concentrations</w:t>
            </w:r>
            <w:r>
              <w:rPr>
                <w:rFonts w:hint="eastAsia" w:ascii="Book Antiqua" w:hAnsi="Book Antiqua"/>
                <w:sz w:val="24"/>
                <w:szCs w:val="24"/>
                <w:lang w:val="en-US" w:eastAsia="zh-CN"/>
              </w:rPr>
              <w:t xml:space="preserve"> </w:t>
            </w:r>
            <w:r>
              <w:rPr>
                <w:rFonts w:ascii="Book Antiqua" w:hAnsi="Book Antiqua"/>
                <w:sz w:val="24"/>
                <w:szCs w:val="24"/>
              </w:rPr>
              <w:t>→</w:t>
            </w:r>
            <w:r>
              <w:rPr>
                <w:rFonts w:hint="eastAsia" w:ascii="Book Antiqua" w:hAnsi="Book Antiqua"/>
                <w:sz w:val="24"/>
                <w:szCs w:val="24"/>
                <w:lang w:val="en-US" w:eastAsia="zh-CN"/>
              </w:rPr>
              <w:t xml:space="preserve"> a</w:t>
            </w:r>
            <w:r>
              <w:rPr>
                <w:rFonts w:ascii="Book Antiqua" w:hAnsi="Book Antiqua"/>
                <w:sz w:val="24"/>
                <w:szCs w:val="24"/>
              </w:rPr>
              <w:t>norexia</w:t>
            </w:r>
            <w:r>
              <w:rPr>
                <w:rFonts w:hint="eastAsia" w:ascii="Book Antiqua" w:hAnsi="Book Antiqua"/>
                <w:sz w:val="24"/>
                <w:szCs w:val="24"/>
                <w:lang w:val="en-US" w:eastAsia="zh-CN"/>
              </w:rPr>
              <w:t>,</w:t>
            </w:r>
            <w:r>
              <w:rPr>
                <w:rFonts w:ascii="Book Antiqua" w:hAnsi="Book Antiqua"/>
                <w:sz w:val="24"/>
                <w:szCs w:val="24"/>
                <w:lang w:eastAsia="zh-CN"/>
              </w:rPr>
              <w:t xml:space="preserve"> </w:t>
            </w:r>
            <w:r>
              <w:rPr>
                <w:rFonts w:hint="eastAsia" w:ascii="Book Antiqua" w:hAnsi="Book Antiqua"/>
                <w:sz w:val="24"/>
                <w:szCs w:val="24"/>
                <w:lang w:val="en-US" w:eastAsia="zh-CN"/>
              </w:rPr>
              <w:t>a</w:t>
            </w:r>
            <w:r>
              <w:rPr>
                <w:rFonts w:ascii="Book Antiqua" w:hAnsi="Book Antiqua"/>
                <w:sz w:val="24"/>
                <w:szCs w:val="24"/>
              </w:rPr>
              <w:t>nosmia</w:t>
            </w:r>
            <w:r>
              <w:rPr>
                <w:rFonts w:hint="eastAsia" w:ascii="Book Antiqua" w:hAnsi="Book Antiqua"/>
                <w:sz w:val="24"/>
                <w:szCs w:val="24"/>
                <w:lang w:val="en-US" w:eastAsia="zh-CN"/>
              </w:rPr>
              <w:t>,</w:t>
            </w:r>
            <w:r>
              <w:rPr>
                <w:rFonts w:ascii="Book Antiqua" w:hAnsi="Book Antiqua"/>
                <w:sz w:val="24"/>
                <w:szCs w:val="24"/>
              </w:rPr>
              <w:t xml:space="preserve"> and related odor perception impairment → development and aggravation of anorexia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autoSpaceDE w:val="0"/>
              <w:autoSpaceDN w:val="0"/>
              <w:adjustRightInd w:val="0"/>
              <w:spacing w:line="360" w:lineRule="auto"/>
              <w:rPr>
                <w:rFonts w:ascii="Book Antiqua" w:hAnsi="Book Antiqua"/>
              </w:rPr>
            </w:pPr>
            <w:r>
              <w:rPr>
                <w:rFonts w:ascii="Book Antiqua" w:hAnsi="Book Antiqua"/>
              </w:rPr>
              <w:t>Abdominal pain</w:t>
            </w:r>
          </w:p>
        </w:tc>
        <w:tc>
          <w:tcPr>
            <w:tcW w:w="1843" w:type="dxa"/>
          </w:tcPr>
          <w:p>
            <w:pPr>
              <w:autoSpaceDE w:val="0"/>
              <w:autoSpaceDN w:val="0"/>
              <w:adjustRightInd w:val="0"/>
              <w:spacing w:line="360" w:lineRule="auto"/>
              <w:rPr>
                <w:rFonts w:ascii="Book Antiqua" w:hAnsi="Book Antiqua"/>
              </w:rPr>
            </w:pPr>
            <w:r>
              <w:rPr>
                <w:rFonts w:ascii="Book Antiqua" w:hAnsi="Book Antiqua"/>
              </w:rPr>
              <w:t>6.0% (vary depending on the population)</w:t>
            </w:r>
          </w:p>
        </w:tc>
        <w:tc>
          <w:tcPr>
            <w:tcW w:w="5782" w:type="dxa"/>
          </w:tcPr>
          <w:p>
            <w:pPr>
              <w:pStyle w:val="15"/>
              <w:spacing w:after="0" w:line="360" w:lineRule="auto"/>
              <w:ind w:left="0"/>
              <w:jc w:val="both"/>
              <w:rPr>
                <w:rFonts w:ascii="Book Antiqua" w:hAnsi="Book Antiqua"/>
                <w:sz w:val="24"/>
                <w:szCs w:val="24"/>
              </w:rPr>
            </w:pPr>
            <w:r>
              <w:rPr>
                <w:rFonts w:ascii="Book Antiqua" w:hAnsi="Book Antiqua"/>
                <w:sz w:val="24"/>
                <w:szCs w:val="24"/>
              </w:rPr>
              <w:t>Inflammation-induced release of many cytokines and chemokines →</w:t>
            </w:r>
            <w:r>
              <w:rPr>
                <w:rFonts w:hint="eastAsia" w:ascii="Book Antiqua" w:hAnsi="Book Antiqua"/>
                <w:sz w:val="24"/>
                <w:szCs w:val="24"/>
                <w:lang w:val="en-US" w:eastAsia="zh-CN"/>
              </w:rPr>
              <w:t xml:space="preserve"> </w:t>
            </w:r>
            <w:r>
              <w:rPr>
                <w:rFonts w:ascii="Book Antiqua" w:hAnsi="Book Antiqua"/>
                <w:sz w:val="24"/>
                <w:szCs w:val="24"/>
              </w:rPr>
              <w:t>activating pain-sensing neurons.</w:t>
            </w:r>
            <w:r>
              <w:rPr>
                <w:rFonts w:hint="eastAsia" w:ascii="Book Antiqua" w:hAnsi="Book Antiqua"/>
                <w:sz w:val="24"/>
                <w:szCs w:val="24"/>
                <w:lang w:eastAsia="zh-CN"/>
              </w:rPr>
              <w:t xml:space="preserve"> </w:t>
            </w:r>
            <w:r>
              <w:rPr>
                <w:rFonts w:ascii="Book Antiqua" w:hAnsi="Book Antiqua"/>
                <w:sz w:val="24"/>
                <w:szCs w:val="24"/>
              </w:rPr>
              <w:t>↑ Eosinophils → ↑eosinophil-derived neurotoxins → abdominal pain</w:t>
            </w:r>
            <w:r>
              <w:rPr>
                <w:rFonts w:hint="eastAsia" w:ascii="Book Antiqua" w:hAnsi="Book Antiqua"/>
                <w:sz w:val="24"/>
                <w:szCs w:val="24"/>
                <w:lang w:val="en-US" w:eastAsia="zh-CN"/>
              </w:rPr>
              <w:t>.</w:t>
            </w:r>
            <w:r>
              <w:rPr>
                <w:rFonts w:ascii="Book Antiqua" w:hAnsi="Book Antiqua"/>
                <w:sz w:val="24"/>
                <w:szCs w:val="24"/>
                <w:lang w:eastAsia="zh-CN"/>
              </w:rPr>
              <w:t xml:space="preserve"> </w:t>
            </w:r>
            <w:r>
              <w:rPr>
                <w:rFonts w:ascii="Book Antiqua" w:hAnsi="Book Antiqua"/>
                <w:sz w:val="24"/>
                <w:szCs w:val="24"/>
              </w:rPr>
              <w:t>Intestinal inflammatory infiltration</w:t>
            </w:r>
            <w:r>
              <w:rPr>
                <w:rFonts w:hint="eastAsia" w:ascii="Book Antiqua" w:hAnsi="Book Antiqua"/>
                <w:sz w:val="24"/>
                <w:szCs w:val="24"/>
                <w:lang w:val="en-US" w:eastAsia="zh-CN"/>
              </w:rPr>
              <w:t xml:space="preserve"> </w:t>
            </w:r>
            <w:r>
              <w:rPr>
                <w:rFonts w:ascii="Book Antiqua" w:hAnsi="Book Antiqua"/>
                <w:sz w:val="24"/>
                <w:szCs w:val="24"/>
              </w:rPr>
              <w:t xml:space="preserve">→ ↑ </w:t>
            </w:r>
            <w:r>
              <w:rPr>
                <w:rFonts w:hint="eastAsia" w:ascii="Book Antiqua" w:hAnsi="Book Antiqua"/>
                <w:sz w:val="24"/>
                <w:szCs w:val="24"/>
                <w:lang w:val="en-US" w:eastAsia="zh-CN"/>
              </w:rPr>
              <w:t>i</w:t>
            </w:r>
            <w:r>
              <w:rPr>
                <w:rFonts w:ascii="Book Antiqua" w:hAnsi="Book Antiqua"/>
                <w:sz w:val="24"/>
                <w:szCs w:val="24"/>
              </w:rPr>
              <w:t>ntestinal mucosal permeability and the direct effect of viruses can aggravate dysbiosis and cause changes in</w:t>
            </w:r>
            <w:r>
              <w:rPr>
                <w:rFonts w:ascii="Book Antiqua" w:hAnsi="Book Antiqua"/>
                <w:sz w:val="24"/>
                <w:szCs w:val="24"/>
                <w:lang w:eastAsia="zh-CN"/>
              </w:rPr>
              <w:t xml:space="preserve">. </w:t>
            </w:r>
            <w:r>
              <w:rPr>
                <w:rFonts w:ascii="Book Antiqua" w:hAnsi="Book Antiqua"/>
                <w:sz w:val="24"/>
                <w:szCs w:val="24"/>
              </w:rPr>
              <w:t>Tryptophan metabolism</w:t>
            </w:r>
            <w:r>
              <w:rPr>
                <w:rFonts w:hint="eastAsia" w:ascii="Book Antiqua" w:hAnsi="Book Antiqua"/>
                <w:sz w:val="24"/>
                <w:szCs w:val="24"/>
                <w:lang w:val="en-US" w:eastAsia="zh-CN"/>
              </w:rPr>
              <w:t xml:space="preserve"> </w:t>
            </w:r>
            <w:r>
              <w:rPr>
                <w:rFonts w:ascii="Book Antiqua" w:hAnsi="Book Antiqua"/>
                <w:sz w:val="24"/>
                <w:szCs w:val="24"/>
              </w:rPr>
              <w:t>→ initiating peristaltic and secretory reflexes in the viscera and exacerbating inflammatory bowel disease symptoms, including abdominal pain.</w:t>
            </w:r>
            <w:r>
              <w:rPr>
                <w:rFonts w:hint="eastAsia" w:ascii="Book Antiqua" w:hAnsi="Book Antiqua"/>
                <w:sz w:val="24"/>
                <w:szCs w:val="24"/>
                <w:lang w:eastAsia="zh-CN"/>
              </w:rPr>
              <w:t xml:space="preserve"> </w:t>
            </w:r>
            <w:r>
              <w:rPr>
                <w:rFonts w:ascii="Book Antiqua" w:hAnsi="Book Antiqua"/>
                <w:sz w:val="24"/>
                <w:szCs w:val="24"/>
              </w:rPr>
              <w:t xml:space="preserve">COVID-19 infection → ↓Na, K, Ca, and Mg → </w:t>
            </w:r>
            <w:r>
              <w:rPr>
                <w:rFonts w:hint="eastAsia" w:ascii="Book Antiqua" w:hAnsi="Book Antiqua"/>
                <w:sz w:val="24"/>
                <w:szCs w:val="24"/>
                <w:lang w:val="en-US" w:eastAsia="zh-CN"/>
              </w:rPr>
              <w:t>a</w:t>
            </w:r>
            <w:r>
              <w:rPr>
                <w:rFonts w:ascii="Book Antiqua" w:hAnsi="Book Antiqua"/>
                <w:sz w:val="24"/>
                <w:szCs w:val="24"/>
              </w:rPr>
              <w:t>bdominal pain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line="360" w:lineRule="auto"/>
              <w:rPr>
                <w:rFonts w:ascii="Book Antiqua" w:hAnsi="Book Antiqua"/>
              </w:rPr>
            </w:pPr>
            <w:r>
              <w:rPr>
                <w:rFonts w:ascii="Book Antiqua" w:hAnsi="Book Antiqua"/>
              </w:rPr>
              <w:t>Acid reflux</w:t>
            </w:r>
          </w:p>
        </w:tc>
        <w:tc>
          <w:tcPr>
            <w:tcW w:w="1843" w:type="dxa"/>
          </w:tcPr>
          <w:p>
            <w:pPr>
              <w:spacing w:line="360" w:lineRule="auto"/>
              <w:rPr>
                <w:rFonts w:ascii="Book Antiqua" w:hAnsi="Book Antiqua"/>
              </w:rPr>
            </w:pPr>
            <w:r>
              <w:rPr>
                <w:rFonts w:ascii="Book Antiqua" w:hAnsi="Book Antiqua"/>
              </w:rPr>
              <w:t>1.1%</w:t>
            </w:r>
          </w:p>
        </w:tc>
        <w:tc>
          <w:tcPr>
            <w:tcW w:w="5782" w:type="dxa"/>
          </w:tcPr>
          <w:p>
            <w:pPr>
              <w:pStyle w:val="15"/>
              <w:spacing w:after="0" w:line="360" w:lineRule="auto"/>
              <w:ind w:left="0"/>
              <w:jc w:val="both"/>
              <w:rPr>
                <w:rFonts w:ascii="Book Antiqua" w:hAnsi="Book Antiqua"/>
                <w:sz w:val="24"/>
                <w:szCs w:val="24"/>
              </w:rPr>
            </w:pPr>
            <w:r>
              <w:rPr>
                <w:rFonts w:ascii="Book Antiqua" w:hAnsi="Book Antiqua"/>
                <w:sz w:val="24"/>
                <w:szCs w:val="24"/>
              </w:rPr>
              <w:t>Increased serotonin levels.</w:t>
            </w:r>
            <w:r>
              <w:rPr>
                <w:rFonts w:hint="eastAsia" w:ascii="Book Antiqua" w:hAnsi="Book Antiqua"/>
                <w:sz w:val="24"/>
                <w:szCs w:val="24"/>
                <w:lang w:eastAsia="zh-CN"/>
              </w:rPr>
              <w:t xml:space="preserve"> </w:t>
            </w:r>
            <w:r>
              <w:rPr>
                <w:rFonts w:ascii="Book Antiqua" w:hAnsi="Book Antiqua"/>
                <w:sz w:val="24"/>
                <w:szCs w:val="24"/>
              </w:rPr>
              <w:t>Esophageal mucosal barrier damage caused by cytokine storms.</w:t>
            </w:r>
            <w:r>
              <w:rPr>
                <w:rFonts w:hint="eastAsia" w:ascii="Book Antiqua" w:hAnsi="Book Antiqua"/>
                <w:sz w:val="24"/>
                <w:szCs w:val="24"/>
                <w:lang w:eastAsia="zh-CN"/>
              </w:rPr>
              <w:t xml:space="preserve"> </w:t>
            </w:r>
            <w:r>
              <w:rPr>
                <w:rFonts w:ascii="Book Antiqua" w:hAnsi="Book Antiqua"/>
                <w:sz w:val="24"/>
                <w:szCs w:val="24"/>
              </w:rPr>
              <w:t>Relaxation of the lower esophageal sphincter</w:t>
            </w:r>
            <w:r>
              <w:rPr>
                <w:rFonts w:hint="eastAsia"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Gastric and duodenal dysfunction leading to obstruction of gastric emptying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line="360" w:lineRule="auto"/>
              <w:rPr>
                <w:rFonts w:ascii="Book Antiqua" w:hAnsi="Book Antiqua"/>
              </w:rPr>
            </w:pPr>
            <w:r>
              <w:rPr>
                <w:rFonts w:ascii="Book Antiqua" w:hAnsi="Book Antiqua"/>
              </w:rPr>
              <w:t>Gastrointestinal bleeding</w:t>
            </w:r>
          </w:p>
        </w:tc>
        <w:tc>
          <w:tcPr>
            <w:tcW w:w="1843" w:type="dxa"/>
          </w:tcPr>
          <w:p>
            <w:pPr>
              <w:spacing w:line="360" w:lineRule="auto"/>
              <w:rPr>
                <w:rFonts w:ascii="Book Antiqua" w:hAnsi="Book Antiqua"/>
              </w:rPr>
            </w:pPr>
            <w:r>
              <w:rPr>
                <w:rFonts w:ascii="Book Antiqua" w:hAnsi="Book Antiqua"/>
              </w:rPr>
              <w:t>1%-4.5%</w:t>
            </w:r>
          </w:p>
        </w:tc>
        <w:tc>
          <w:tcPr>
            <w:tcW w:w="5782" w:type="dxa"/>
          </w:tcPr>
          <w:p>
            <w:pPr>
              <w:pStyle w:val="15"/>
              <w:spacing w:after="0" w:line="360" w:lineRule="auto"/>
              <w:ind w:left="0"/>
              <w:jc w:val="both"/>
              <w:rPr>
                <w:rFonts w:ascii="Book Antiqua" w:hAnsi="Book Antiqua"/>
                <w:sz w:val="24"/>
                <w:szCs w:val="24"/>
              </w:rPr>
            </w:pPr>
            <w:r>
              <w:rPr>
                <w:rFonts w:ascii="Book Antiqua" w:hAnsi="Book Antiqua"/>
                <w:sz w:val="24"/>
                <w:szCs w:val="24"/>
              </w:rPr>
              <w:t>Peptic and rectal ulcers.</w:t>
            </w:r>
            <w:r>
              <w:rPr>
                <w:rFonts w:hint="eastAsia" w:ascii="Book Antiqua" w:hAnsi="Book Antiqua"/>
                <w:sz w:val="24"/>
                <w:szCs w:val="24"/>
                <w:lang w:eastAsia="zh-CN"/>
              </w:rPr>
              <w:t xml:space="preserve"> </w:t>
            </w:r>
            <w:r>
              <w:rPr>
                <w:rFonts w:ascii="Book Antiqua" w:hAnsi="Book Antiqua"/>
                <w:sz w:val="24"/>
                <w:szCs w:val="24"/>
              </w:rPr>
              <w:t>Impaired gastrointestinal mucosa integrity</w:t>
            </w:r>
            <w:r>
              <w:rPr>
                <w:rFonts w:hint="eastAsia" w:ascii="Book Antiqua" w:hAnsi="Book Antiqua"/>
                <w:sz w:val="24"/>
                <w:szCs w:val="24"/>
                <w:lang w:eastAsia="zh-CN"/>
              </w:rPr>
              <w:t>.</w:t>
            </w:r>
            <w:r>
              <w:rPr>
                <w:rFonts w:ascii="Book Antiqua" w:hAnsi="Book Antiqua"/>
                <w:sz w:val="24"/>
                <w:szCs w:val="24"/>
                <w:lang w:eastAsia="zh-CN"/>
              </w:rPr>
              <w:t xml:space="preserve"> </w:t>
            </w:r>
            <w:r>
              <w:rPr>
                <w:rFonts w:ascii="Book Antiqua" w:hAnsi="Book Antiqua"/>
                <w:sz w:val="24"/>
                <w:szCs w:val="24"/>
              </w:rPr>
              <w:t>Treatment-</w:t>
            </w:r>
            <w:r>
              <w:rPr>
                <w:rFonts w:hint="eastAsia" w:ascii="Book Antiqua" w:hAnsi="Book Antiqua"/>
                <w:sz w:val="24"/>
                <w:szCs w:val="24"/>
                <w:lang w:val="en-US" w:eastAsia="zh-CN"/>
              </w:rPr>
              <w:t>r</w:t>
            </w:r>
            <w:r>
              <w:rPr>
                <w:rFonts w:ascii="Book Antiqua" w:hAnsi="Book Antiqua"/>
                <w:sz w:val="24"/>
                <w:szCs w:val="24"/>
              </w:rPr>
              <w:t>elated (secondary bleeding)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line="360" w:lineRule="auto"/>
              <w:rPr>
                <w:rFonts w:ascii="Book Antiqua" w:hAnsi="Book Antiqua"/>
              </w:rPr>
            </w:pPr>
            <w:r>
              <w:rPr>
                <w:rFonts w:ascii="Book Antiqua" w:hAnsi="Book Antiqua"/>
              </w:rPr>
              <w:t>Intestinal ischemia injury</w:t>
            </w:r>
          </w:p>
        </w:tc>
        <w:tc>
          <w:tcPr>
            <w:tcW w:w="1843" w:type="dxa"/>
          </w:tcPr>
          <w:p>
            <w:pPr>
              <w:spacing w:line="360" w:lineRule="auto"/>
              <w:rPr>
                <w:rFonts w:ascii="Book Antiqua" w:hAnsi="Book Antiqua"/>
              </w:rPr>
            </w:pPr>
            <w:r>
              <w:rPr>
                <w:rFonts w:ascii="Book Antiqua" w:hAnsi="Book Antiqua"/>
              </w:rPr>
              <w:t>Not well established</w:t>
            </w:r>
          </w:p>
        </w:tc>
        <w:tc>
          <w:tcPr>
            <w:tcW w:w="5782" w:type="dxa"/>
          </w:tcPr>
          <w:p>
            <w:pPr>
              <w:pStyle w:val="15"/>
              <w:spacing w:after="0" w:line="360" w:lineRule="auto"/>
              <w:ind w:left="0"/>
              <w:jc w:val="both"/>
              <w:rPr>
                <w:rFonts w:ascii="Book Antiqua" w:hAnsi="Book Antiqua"/>
                <w:sz w:val="24"/>
                <w:szCs w:val="24"/>
              </w:rPr>
            </w:pPr>
            <w:r>
              <w:rPr>
                <w:rFonts w:ascii="Book Antiqua" w:hAnsi="Book Antiqua"/>
                <w:sz w:val="24"/>
                <w:szCs w:val="24"/>
              </w:rPr>
              <w:t>Venous thrombosis, pulmonary embolism, and mesenteric ischemia</w:t>
            </w:r>
          </w:p>
        </w:tc>
      </w:tr>
    </w:tbl>
    <w:p>
      <w:pPr>
        <w:spacing w:line="360" w:lineRule="auto"/>
      </w:pPr>
    </w:p>
    <w:p>
      <w:pPr>
        <w:spacing w:line="360" w:lineRule="auto"/>
      </w:pPr>
    </w:p>
    <w:p>
      <w:pPr>
        <w:spacing w:line="360" w:lineRule="auto"/>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rPr>
          <w:rFonts w:ascii="Book Antiqua" w:hAnsi="Book Antiqua"/>
          <w:b/>
          <w:bCs/>
        </w:rPr>
      </w:pPr>
      <w:r>
        <w:rPr>
          <w:rFonts w:ascii="Book Antiqua" w:hAnsi="Book Antiqua"/>
          <w:b/>
          <w:bCs/>
        </w:rPr>
        <w:t xml:space="preserve">Table 6 </w:t>
      </w:r>
      <w:r>
        <w:rPr>
          <w:rFonts w:hint="eastAsia" w:ascii="Book Antiqua" w:hAnsi="Book Antiqua"/>
          <w:b/>
          <w:bCs/>
          <w:lang w:eastAsia="zh-CN"/>
        </w:rPr>
        <w:t>D</w:t>
      </w:r>
      <w:r>
        <w:rPr>
          <w:rFonts w:ascii="Book Antiqua" w:hAnsi="Book Antiqua"/>
          <w:b/>
          <w:bCs/>
        </w:rPr>
        <w:t xml:space="preserve">ifferent </w:t>
      </w:r>
      <w:r>
        <w:rPr>
          <w:rFonts w:ascii="Book Antiqua" w:hAnsi="Book Antiqua"/>
          <w:b/>
          <w:bCs/>
          <w:lang w:val="en-GB"/>
        </w:rPr>
        <w:t>coronavirus disease 2019</w:t>
      </w:r>
      <w:r>
        <w:rPr>
          <w:rFonts w:ascii="Book Antiqua" w:hAnsi="Book Antiqua"/>
          <w:b/>
          <w:bCs/>
        </w:rPr>
        <w:t xml:space="preserve"> vaccination-related autonomic dysfunction and gastrointestinal manifestations</w:t>
      </w:r>
    </w:p>
    <w:tbl>
      <w:tblPr>
        <w:tblStyle w:val="8"/>
        <w:tblW w:w="946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5"/>
        <w:gridCol w:w="1597"/>
        <w:gridCol w:w="1178"/>
        <w:gridCol w:w="1960"/>
        <w:gridCol w:w="1032"/>
        <w:gridCol w:w="1095"/>
        <w:gridCol w:w="791"/>
        <w:gridCol w:w="699"/>
        <w:gridCol w:w="1528"/>
        <w:gridCol w:w="17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Ref.</w:t>
            </w:r>
          </w:p>
        </w:tc>
        <w:tc>
          <w:tcPr>
            <w:tcW w:w="1180"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Type of Study</w:t>
            </w:r>
          </w:p>
        </w:tc>
        <w:tc>
          <w:tcPr>
            <w:tcW w:w="737"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Country</w:t>
            </w:r>
          </w:p>
        </w:tc>
        <w:tc>
          <w:tcPr>
            <w:tcW w:w="1433"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Type of vaccine</w:t>
            </w:r>
          </w:p>
        </w:tc>
        <w:tc>
          <w:tcPr>
            <w:tcW w:w="697"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 xml:space="preserve">Time-interval </w:t>
            </w:r>
          </w:p>
        </w:tc>
        <w:tc>
          <w:tcPr>
            <w:tcW w:w="741"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Number of patients</w:t>
            </w:r>
          </w:p>
        </w:tc>
        <w:tc>
          <w:tcPr>
            <w:tcW w:w="662"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Age</w:t>
            </w:r>
          </w:p>
        </w:tc>
        <w:tc>
          <w:tcPr>
            <w:tcW w:w="554"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Sex</w:t>
            </w:r>
          </w:p>
        </w:tc>
        <w:tc>
          <w:tcPr>
            <w:tcW w:w="993"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Main presentation</w:t>
            </w:r>
          </w:p>
        </w:tc>
        <w:tc>
          <w:tcPr>
            <w:tcW w:w="1338" w:type="dxa"/>
            <w:tcBorders>
              <w:top w:val="single" w:color="auto" w:sz="4" w:space="0"/>
              <w:bottom w:val="single" w:color="auto" w:sz="4" w:space="0"/>
            </w:tcBorders>
          </w:tcPr>
          <w:p>
            <w:pPr>
              <w:spacing w:line="360" w:lineRule="auto"/>
              <w:rPr>
                <w:rFonts w:ascii="Book Antiqua" w:hAnsi="Book Antiqua" w:cstheme="majorBidi"/>
                <w:b/>
                <w:bCs/>
              </w:rPr>
            </w:pPr>
            <w:r>
              <w:rPr>
                <w:rFonts w:ascii="Book Antiqua" w:hAnsi="Book Antiqua" w:cstheme="majorBidi"/>
                <w:b/>
                <w:bCs/>
              </w:rPr>
              <w:t>GIT manifestations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Borders>
              <w:top w:val="single" w:color="auto" w:sz="4" w:space="0"/>
            </w:tcBorders>
          </w:tcPr>
          <w:p>
            <w:pPr>
              <w:spacing w:line="360" w:lineRule="auto"/>
              <w:rPr>
                <w:rFonts w:ascii="Book Antiqua" w:hAnsi="Book Antiqua" w:cstheme="majorBidi"/>
              </w:rPr>
            </w:pPr>
            <w:r>
              <w:rPr>
                <w:rFonts w:ascii="Book Antiqua" w:hAnsi="Book Antiqua" w:cstheme="majorBidi"/>
              </w:rPr>
              <w:t xml:space="preserve">Hermel </w:t>
            </w:r>
            <w:r>
              <w:rPr>
                <w:rFonts w:ascii="Book Antiqua" w:hAnsi="Book Antiqua" w:cstheme="majorBidi"/>
                <w:i/>
                <w:iCs/>
              </w:rPr>
              <w:t>et al</w:t>
            </w:r>
            <w:r>
              <w:rPr>
                <w:rFonts w:ascii="Book Antiqua" w:hAnsi="Book Antiqua" w:cstheme="majorBidi"/>
                <w:vertAlign w:val="superscript"/>
              </w:rPr>
              <w:t>[79]</w:t>
            </w:r>
            <w:r>
              <w:rPr>
                <w:rFonts w:ascii="Book Antiqua" w:hAnsi="Book Antiqua" w:cstheme="majorBidi"/>
              </w:rPr>
              <w:t xml:space="preserve">, 2022 </w:t>
            </w:r>
          </w:p>
        </w:tc>
        <w:tc>
          <w:tcPr>
            <w:tcW w:w="1180" w:type="dxa"/>
            <w:tcBorders>
              <w:top w:val="single" w:color="auto" w:sz="4" w:space="0"/>
            </w:tcBorders>
          </w:tcPr>
          <w:p>
            <w:pPr>
              <w:spacing w:line="360" w:lineRule="auto"/>
              <w:rPr>
                <w:rFonts w:ascii="Book Antiqua" w:hAnsi="Book Antiqua" w:cstheme="majorBidi"/>
              </w:rPr>
            </w:pPr>
            <w:r>
              <w:rPr>
                <w:rFonts w:ascii="Book Antiqua" w:hAnsi="Book Antiqua" w:cstheme="majorBidi"/>
              </w:rPr>
              <w:t>Case report</w:t>
            </w:r>
          </w:p>
        </w:tc>
        <w:tc>
          <w:tcPr>
            <w:tcW w:w="737" w:type="dxa"/>
            <w:tcBorders>
              <w:top w:val="single" w:color="auto" w:sz="4" w:space="0"/>
            </w:tcBorders>
          </w:tcPr>
          <w:p>
            <w:pPr>
              <w:spacing w:line="360" w:lineRule="auto"/>
              <w:rPr>
                <w:rFonts w:ascii="Book Antiqua" w:hAnsi="Book Antiqua" w:cstheme="majorBidi"/>
              </w:rPr>
            </w:pPr>
            <w:r>
              <w:rPr>
                <w:rFonts w:ascii="Book Antiqua" w:hAnsi="Book Antiqua" w:cstheme="majorBidi"/>
              </w:rPr>
              <w:t>United States</w:t>
            </w:r>
          </w:p>
        </w:tc>
        <w:tc>
          <w:tcPr>
            <w:tcW w:w="1433" w:type="dxa"/>
            <w:tcBorders>
              <w:top w:val="single" w:color="auto" w:sz="4" w:space="0"/>
            </w:tcBorders>
          </w:tcPr>
          <w:p>
            <w:pPr>
              <w:spacing w:line="360" w:lineRule="auto"/>
              <w:rPr>
                <w:rFonts w:ascii="Book Antiqua" w:hAnsi="Book Antiqua" w:cstheme="majorBidi"/>
              </w:rPr>
            </w:pPr>
            <w:r>
              <w:rPr>
                <w:rFonts w:ascii="Book Antiqua" w:hAnsi="Book Antiqua" w:cstheme="majorBidi"/>
              </w:rPr>
              <w:t>Pfizer-BioNTech</w:t>
            </w:r>
          </w:p>
        </w:tc>
        <w:tc>
          <w:tcPr>
            <w:tcW w:w="697" w:type="dxa"/>
            <w:tcBorders>
              <w:top w:val="single" w:color="auto" w:sz="4" w:space="0"/>
            </w:tcBorders>
          </w:tcPr>
          <w:p>
            <w:pPr>
              <w:spacing w:line="360" w:lineRule="auto"/>
              <w:rPr>
                <w:rFonts w:ascii="Book Antiqua" w:hAnsi="Book Antiqua" w:cstheme="majorBidi"/>
              </w:rPr>
            </w:pPr>
            <w:r>
              <w:rPr>
                <w:rFonts w:ascii="Book Antiqua" w:hAnsi="Book Antiqua" w:cstheme="majorBidi"/>
              </w:rPr>
              <w:t>2 wk</w:t>
            </w:r>
          </w:p>
        </w:tc>
        <w:tc>
          <w:tcPr>
            <w:tcW w:w="741" w:type="dxa"/>
            <w:tcBorders>
              <w:top w:val="single" w:color="auto" w:sz="4" w:space="0"/>
            </w:tcBorders>
          </w:tcPr>
          <w:p>
            <w:pPr>
              <w:spacing w:line="360" w:lineRule="auto"/>
              <w:rPr>
                <w:rFonts w:ascii="Book Antiqua" w:hAnsi="Book Antiqua" w:cstheme="majorBidi"/>
              </w:rPr>
            </w:pPr>
            <w:r>
              <w:rPr>
                <w:rFonts w:ascii="Book Antiqua" w:hAnsi="Book Antiqua" w:cstheme="majorBidi"/>
              </w:rPr>
              <w:t>1</w:t>
            </w:r>
          </w:p>
        </w:tc>
        <w:tc>
          <w:tcPr>
            <w:tcW w:w="662" w:type="dxa"/>
            <w:tcBorders>
              <w:top w:val="single" w:color="auto" w:sz="4" w:space="0"/>
            </w:tcBorders>
          </w:tcPr>
          <w:p>
            <w:pPr>
              <w:spacing w:line="360" w:lineRule="auto"/>
              <w:rPr>
                <w:rFonts w:ascii="Book Antiqua" w:hAnsi="Book Antiqua" w:cstheme="majorBidi"/>
              </w:rPr>
            </w:pPr>
            <w:r>
              <w:rPr>
                <w:rFonts w:ascii="Book Antiqua" w:hAnsi="Book Antiqua" w:cstheme="majorBidi"/>
              </w:rPr>
              <w:t>46</w:t>
            </w:r>
          </w:p>
        </w:tc>
        <w:tc>
          <w:tcPr>
            <w:tcW w:w="554" w:type="dxa"/>
            <w:tcBorders>
              <w:top w:val="single" w:color="auto" w:sz="4" w:space="0"/>
            </w:tcBorders>
          </w:tcPr>
          <w:p>
            <w:pPr>
              <w:spacing w:line="360" w:lineRule="auto"/>
              <w:rPr>
                <w:rFonts w:ascii="Book Antiqua" w:hAnsi="Book Antiqua" w:cstheme="majorBidi"/>
              </w:rPr>
            </w:pPr>
            <w:r>
              <w:rPr>
                <w:rFonts w:ascii="Book Antiqua" w:hAnsi="Book Antiqua" w:cstheme="majorBidi"/>
              </w:rPr>
              <w:t>F</w:t>
            </w:r>
          </w:p>
        </w:tc>
        <w:tc>
          <w:tcPr>
            <w:tcW w:w="993" w:type="dxa"/>
            <w:tcBorders>
              <w:top w:val="single" w:color="auto" w:sz="4" w:space="0"/>
            </w:tcBorders>
          </w:tcPr>
          <w:p>
            <w:pPr>
              <w:spacing w:line="360" w:lineRule="auto"/>
              <w:rPr>
                <w:rFonts w:ascii="Book Antiqua" w:hAnsi="Book Antiqua" w:cstheme="majorBidi"/>
              </w:rPr>
            </w:pPr>
            <w:r>
              <w:rPr>
                <w:rFonts w:ascii="Book Antiqua" w:hAnsi="Book Antiqua" w:cstheme="majorBidi"/>
              </w:rPr>
              <w:t>POTS</w:t>
            </w:r>
          </w:p>
        </w:tc>
        <w:tc>
          <w:tcPr>
            <w:tcW w:w="1338" w:type="dxa"/>
            <w:tcBorders>
              <w:top w:val="single" w:color="auto" w:sz="4" w:space="0"/>
            </w:tcBorders>
          </w:tcPr>
          <w:p>
            <w:pPr>
              <w:spacing w:line="360" w:lineRule="auto"/>
              <w:rPr>
                <w:rFonts w:ascii="Book Antiqua" w:hAnsi="Book Antiqua" w:cstheme="majorBidi"/>
              </w:rPr>
            </w:pPr>
            <w:r>
              <w:rPr>
                <w:rFonts w:ascii="Book Antiqua" w:hAnsi="Book Antiqua" w:cstheme="majorBidi"/>
              </w:rPr>
              <w:t>Elevated AST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rPr>
                <w:rFonts w:ascii="Book Antiqua" w:hAnsi="Book Antiqua" w:cstheme="majorBidi"/>
              </w:rPr>
            </w:pPr>
            <w:r>
              <w:rPr>
                <w:rFonts w:ascii="Book Antiqua" w:hAnsi="Book Antiqua"/>
                <w:color w:val="212121"/>
                <w:shd w:val="clear" w:color="auto" w:fill="FFFFFF"/>
              </w:rPr>
              <w:t>Reddy</w:t>
            </w:r>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[80]</w:t>
            </w:r>
            <w:r>
              <w:rPr>
                <w:rFonts w:ascii="Book Antiqua" w:hAnsi="Book Antiqua" w:cstheme="majorBidi"/>
              </w:rPr>
              <w:t>, 2021</w:t>
            </w:r>
          </w:p>
        </w:tc>
        <w:tc>
          <w:tcPr>
            <w:tcW w:w="1180" w:type="dxa"/>
          </w:tcPr>
          <w:p>
            <w:pPr>
              <w:spacing w:line="360" w:lineRule="auto"/>
              <w:rPr>
                <w:rFonts w:ascii="Book Antiqua" w:hAnsi="Book Antiqua" w:cstheme="majorBidi"/>
              </w:rPr>
            </w:pPr>
            <w:r>
              <w:rPr>
                <w:rFonts w:ascii="Book Antiqua" w:hAnsi="Book Antiqua" w:cstheme="majorBidi"/>
              </w:rPr>
              <w:t>Case report</w:t>
            </w:r>
          </w:p>
        </w:tc>
        <w:tc>
          <w:tcPr>
            <w:tcW w:w="737" w:type="dxa"/>
          </w:tcPr>
          <w:p>
            <w:pPr>
              <w:spacing w:line="360" w:lineRule="auto"/>
              <w:rPr>
                <w:rFonts w:ascii="Book Antiqua" w:hAnsi="Book Antiqua" w:cstheme="majorBidi"/>
              </w:rPr>
            </w:pPr>
            <w:r>
              <w:rPr>
                <w:rFonts w:ascii="Book Antiqua" w:hAnsi="Book Antiqua" w:cstheme="majorBidi"/>
              </w:rPr>
              <w:t>United States</w:t>
            </w:r>
          </w:p>
        </w:tc>
        <w:tc>
          <w:tcPr>
            <w:tcW w:w="1433" w:type="dxa"/>
          </w:tcPr>
          <w:p>
            <w:pPr>
              <w:spacing w:line="360" w:lineRule="auto"/>
              <w:rPr>
                <w:rFonts w:ascii="Book Antiqua" w:hAnsi="Book Antiqua" w:cstheme="majorBidi"/>
              </w:rPr>
            </w:pPr>
            <w:r>
              <w:rPr>
                <w:rFonts w:ascii="Book Antiqua" w:hAnsi="Book Antiqua" w:cstheme="majorBidi"/>
              </w:rPr>
              <w:t>Pfizer-BioNTech</w:t>
            </w:r>
          </w:p>
        </w:tc>
        <w:tc>
          <w:tcPr>
            <w:tcW w:w="697" w:type="dxa"/>
          </w:tcPr>
          <w:p>
            <w:pPr>
              <w:spacing w:line="360" w:lineRule="auto"/>
              <w:rPr>
                <w:rFonts w:ascii="Book Antiqua" w:hAnsi="Book Antiqua" w:cstheme="majorBidi"/>
              </w:rPr>
            </w:pPr>
            <w:r>
              <w:rPr>
                <w:rFonts w:ascii="Book Antiqua" w:hAnsi="Book Antiqua" w:cstheme="majorBidi"/>
              </w:rPr>
              <w:t>6 d</w:t>
            </w:r>
          </w:p>
        </w:tc>
        <w:tc>
          <w:tcPr>
            <w:tcW w:w="741" w:type="dxa"/>
          </w:tcPr>
          <w:p>
            <w:pPr>
              <w:spacing w:line="360" w:lineRule="auto"/>
              <w:rPr>
                <w:rFonts w:ascii="Book Antiqua" w:hAnsi="Book Antiqua" w:cstheme="majorBidi"/>
              </w:rPr>
            </w:pPr>
            <w:r>
              <w:rPr>
                <w:rFonts w:ascii="Book Antiqua" w:hAnsi="Book Antiqua" w:cstheme="majorBidi"/>
              </w:rPr>
              <w:t>1</w:t>
            </w:r>
          </w:p>
        </w:tc>
        <w:tc>
          <w:tcPr>
            <w:tcW w:w="662" w:type="dxa"/>
          </w:tcPr>
          <w:p>
            <w:pPr>
              <w:spacing w:line="360" w:lineRule="auto"/>
              <w:rPr>
                <w:rFonts w:ascii="Book Antiqua" w:hAnsi="Book Antiqua" w:cstheme="majorBidi"/>
              </w:rPr>
            </w:pPr>
            <w:r>
              <w:rPr>
                <w:rFonts w:ascii="Book Antiqua" w:hAnsi="Book Antiqua" w:cstheme="majorBidi"/>
              </w:rPr>
              <w:t>42</w:t>
            </w:r>
          </w:p>
        </w:tc>
        <w:tc>
          <w:tcPr>
            <w:tcW w:w="554" w:type="dxa"/>
          </w:tcPr>
          <w:p>
            <w:pPr>
              <w:spacing w:line="360" w:lineRule="auto"/>
              <w:rPr>
                <w:rFonts w:ascii="Book Antiqua" w:hAnsi="Book Antiqua" w:cstheme="majorBidi"/>
              </w:rPr>
            </w:pPr>
            <w:r>
              <w:rPr>
                <w:rFonts w:ascii="Book Antiqua" w:hAnsi="Book Antiqua" w:cstheme="majorBidi"/>
              </w:rPr>
              <w:t>M</w:t>
            </w:r>
          </w:p>
        </w:tc>
        <w:tc>
          <w:tcPr>
            <w:tcW w:w="993" w:type="dxa"/>
          </w:tcPr>
          <w:p>
            <w:pPr>
              <w:spacing w:line="360" w:lineRule="auto"/>
              <w:rPr>
                <w:rFonts w:ascii="Book Antiqua" w:hAnsi="Book Antiqua" w:cstheme="majorBidi"/>
              </w:rPr>
            </w:pPr>
            <w:r>
              <w:rPr>
                <w:rFonts w:ascii="Book Antiqua" w:hAnsi="Book Antiqua" w:cstheme="majorBidi"/>
              </w:rPr>
              <w:t>POTS</w:t>
            </w:r>
          </w:p>
        </w:tc>
        <w:tc>
          <w:tcPr>
            <w:tcW w:w="1338" w:type="dxa"/>
          </w:tcPr>
          <w:p>
            <w:pPr>
              <w:spacing w:line="360" w:lineRule="auto"/>
              <w:rPr>
                <w:rFonts w:ascii="Book Antiqua" w:hAnsi="Book Antiqua" w:cstheme="majorBidi"/>
              </w:rPr>
            </w:pPr>
            <w:r>
              <w:rPr>
                <w:rFonts w:ascii="Book Antiqua" w:hAnsi="Book Antiqua" w:cstheme="majorBidi"/>
              </w:rPr>
              <w:t>His symptoms increase</w:t>
            </w:r>
            <w:r>
              <w:rPr>
                <w:rFonts w:hint="eastAsia" w:ascii="Book Antiqua" w:hAnsi="Book Antiqua" w:cstheme="majorBidi"/>
                <w:lang w:eastAsia="zh-CN"/>
              </w:rPr>
              <w:t>d</w:t>
            </w:r>
            <w:r>
              <w:rPr>
                <w:rFonts w:ascii="Book Antiqua" w:hAnsi="Book Antiqua" w:cstheme="majorBidi"/>
              </w:rPr>
              <w:t xml:space="preserve"> after heavy meals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rPr>
                <w:rFonts w:ascii="Book Antiqua" w:hAnsi="Book Antiqua" w:cstheme="majorBidi"/>
              </w:rPr>
            </w:pPr>
            <w:r>
              <w:rPr>
                <w:rFonts w:ascii="Book Antiqua" w:hAnsi="Book Antiqua" w:cstheme="majorBidi"/>
              </w:rPr>
              <w:t xml:space="preserve">Lanman </w:t>
            </w:r>
            <w:r>
              <w:rPr>
                <w:rFonts w:ascii="Book Antiqua" w:hAnsi="Book Antiqua" w:cstheme="majorBidi"/>
                <w:i/>
                <w:iCs/>
              </w:rPr>
              <w:t>et al</w:t>
            </w:r>
            <w:r>
              <w:rPr>
                <w:rFonts w:ascii="Book Antiqua" w:hAnsi="Book Antiqua" w:cstheme="majorBidi"/>
                <w:vertAlign w:val="superscript"/>
              </w:rPr>
              <w:t>[81]</w:t>
            </w:r>
            <w:r>
              <w:rPr>
                <w:rFonts w:ascii="Book Antiqua" w:hAnsi="Book Antiqua" w:cstheme="majorBidi"/>
              </w:rPr>
              <w:t>, 2022</w:t>
            </w:r>
          </w:p>
        </w:tc>
        <w:tc>
          <w:tcPr>
            <w:tcW w:w="1180" w:type="dxa"/>
          </w:tcPr>
          <w:p>
            <w:pPr>
              <w:spacing w:line="360" w:lineRule="auto"/>
              <w:rPr>
                <w:rFonts w:ascii="Book Antiqua" w:hAnsi="Book Antiqua" w:cstheme="majorBidi"/>
              </w:rPr>
            </w:pPr>
            <w:r>
              <w:rPr>
                <w:rFonts w:ascii="Book Antiqua" w:hAnsi="Book Antiqua" w:cstheme="majorBidi"/>
              </w:rPr>
              <w:t>Case report</w:t>
            </w:r>
          </w:p>
        </w:tc>
        <w:tc>
          <w:tcPr>
            <w:tcW w:w="737" w:type="dxa"/>
          </w:tcPr>
          <w:p>
            <w:pPr>
              <w:spacing w:line="360" w:lineRule="auto"/>
              <w:rPr>
                <w:rFonts w:ascii="Book Antiqua" w:hAnsi="Book Antiqua" w:cstheme="majorBidi"/>
              </w:rPr>
            </w:pPr>
            <w:r>
              <w:rPr>
                <w:rFonts w:ascii="Book Antiqua" w:hAnsi="Book Antiqua" w:cstheme="majorBidi"/>
              </w:rPr>
              <w:t>United States</w:t>
            </w:r>
          </w:p>
        </w:tc>
        <w:tc>
          <w:tcPr>
            <w:tcW w:w="1433" w:type="dxa"/>
          </w:tcPr>
          <w:p>
            <w:pPr>
              <w:spacing w:line="360" w:lineRule="auto"/>
              <w:rPr>
                <w:rFonts w:ascii="Book Antiqua" w:hAnsi="Book Antiqua" w:cstheme="majorBidi"/>
              </w:rPr>
            </w:pPr>
            <w:r>
              <w:rPr>
                <w:rFonts w:ascii="Book Antiqua" w:hAnsi="Book Antiqua" w:cstheme="majorBidi"/>
              </w:rPr>
              <w:t>Pfizer/BioNTech mRNA-BNT162b2</w:t>
            </w:r>
          </w:p>
        </w:tc>
        <w:tc>
          <w:tcPr>
            <w:tcW w:w="697" w:type="dxa"/>
          </w:tcPr>
          <w:p>
            <w:pPr>
              <w:spacing w:line="360" w:lineRule="auto"/>
              <w:rPr>
                <w:rFonts w:ascii="Book Antiqua" w:hAnsi="Book Antiqua" w:cstheme="majorBidi"/>
              </w:rPr>
            </w:pPr>
            <w:r>
              <w:rPr>
                <w:rFonts w:ascii="Book Antiqua" w:hAnsi="Book Antiqua" w:cstheme="majorBidi"/>
              </w:rPr>
              <w:t>3 d (1</w:t>
            </w:r>
            <w:r>
              <w:rPr>
                <w:rFonts w:ascii="Book Antiqua" w:hAnsi="Book Antiqua" w:cstheme="majorBidi"/>
                <w:vertAlign w:val="superscript"/>
              </w:rPr>
              <w:t>st</w:t>
            </w:r>
            <w:r>
              <w:rPr>
                <w:rFonts w:ascii="Book Antiqua" w:hAnsi="Book Antiqua" w:cstheme="majorBidi"/>
              </w:rPr>
              <w:t xml:space="preserve"> dose)</w:t>
            </w:r>
          </w:p>
        </w:tc>
        <w:tc>
          <w:tcPr>
            <w:tcW w:w="741" w:type="dxa"/>
          </w:tcPr>
          <w:p>
            <w:pPr>
              <w:spacing w:line="360" w:lineRule="auto"/>
              <w:rPr>
                <w:rFonts w:ascii="Book Antiqua" w:hAnsi="Book Antiqua" w:cstheme="majorBidi"/>
              </w:rPr>
            </w:pPr>
            <w:r>
              <w:rPr>
                <w:rFonts w:ascii="Book Antiqua" w:hAnsi="Book Antiqua" w:cstheme="majorBidi"/>
              </w:rPr>
              <w:t>1</w:t>
            </w:r>
          </w:p>
        </w:tc>
        <w:tc>
          <w:tcPr>
            <w:tcW w:w="662" w:type="dxa"/>
          </w:tcPr>
          <w:p>
            <w:pPr>
              <w:spacing w:line="360" w:lineRule="auto"/>
              <w:rPr>
                <w:rFonts w:ascii="Book Antiqua" w:hAnsi="Book Antiqua" w:cstheme="majorBidi"/>
              </w:rPr>
            </w:pPr>
            <w:r>
              <w:rPr>
                <w:rFonts w:ascii="Book Antiqua" w:hAnsi="Book Antiqua" w:cstheme="majorBidi"/>
              </w:rPr>
              <w:t>58</w:t>
            </w:r>
          </w:p>
        </w:tc>
        <w:tc>
          <w:tcPr>
            <w:tcW w:w="554" w:type="dxa"/>
          </w:tcPr>
          <w:p>
            <w:pPr>
              <w:spacing w:line="360" w:lineRule="auto"/>
              <w:rPr>
                <w:rFonts w:ascii="Book Antiqua" w:hAnsi="Book Antiqua" w:cstheme="majorBidi"/>
              </w:rPr>
            </w:pPr>
            <w:r>
              <w:rPr>
                <w:rFonts w:ascii="Book Antiqua" w:hAnsi="Book Antiqua" w:cstheme="majorBidi"/>
              </w:rPr>
              <w:t>F</w:t>
            </w:r>
          </w:p>
        </w:tc>
        <w:tc>
          <w:tcPr>
            <w:tcW w:w="993" w:type="dxa"/>
          </w:tcPr>
          <w:p>
            <w:pPr>
              <w:spacing w:line="360" w:lineRule="auto"/>
              <w:rPr>
                <w:rFonts w:ascii="Book Antiqua" w:hAnsi="Book Antiqua" w:cstheme="majorBidi"/>
              </w:rPr>
            </w:pPr>
            <w:r>
              <w:rPr>
                <w:rFonts w:ascii="Book Antiqua" w:hAnsi="Book Antiqua" w:cs="Segoe UI"/>
                <w:color w:val="212121"/>
                <w:shd w:val="clear" w:color="auto" w:fill="FFFFFF"/>
              </w:rPr>
              <w:t>GBS</w:t>
            </w:r>
          </w:p>
        </w:tc>
        <w:tc>
          <w:tcPr>
            <w:tcW w:w="1338" w:type="dxa"/>
          </w:tcPr>
          <w:p>
            <w:pPr>
              <w:spacing w:line="360" w:lineRule="auto"/>
              <w:rPr>
                <w:rFonts w:ascii="Book Antiqua" w:hAnsi="Book Antiqua" w:cstheme="majorBidi"/>
              </w:rPr>
            </w:pPr>
            <w:r>
              <w:rPr>
                <w:rFonts w:ascii="Book Antiqua" w:hAnsi="Book Antiqua" w:cstheme="majorBidi"/>
              </w:rPr>
              <w:t xml:space="preserve">Constipation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rPr>
                <w:rFonts w:ascii="Book Antiqua" w:hAnsi="Book Antiqua" w:cstheme="majorBidi"/>
              </w:rPr>
            </w:pPr>
            <w:r>
              <w:rPr>
                <w:rFonts w:ascii="Book Antiqua" w:hAnsi="Book Antiqua"/>
                <w:color w:val="212121"/>
                <w:shd w:val="clear" w:color="auto" w:fill="FFFFFF"/>
              </w:rPr>
              <w:t>Eldokla</w:t>
            </w:r>
            <w:r>
              <w:rPr>
                <w:rFonts w:ascii="Book Antiqua" w:hAnsi="Book Antiqua" w:cstheme="majorBidi"/>
              </w:rPr>
              <w:t xml:space="preserve"> </w:t>
            </w:r>
            <w:r>
              <w:rPr>
                <w:rFonts w:ascii="Book Antiqua" w:hAnsi="Book Antiqua" w:cstheme="majorBidi"/>
                <w:i/>
                <w:iCs/>
              </w:rPr>
              <w:t>et al</w:t>
            </w:r>
            <w:r>
              <w:rPr>
                <w:rFonts w:ascii="Book Antiqua" w:hAnsi="Book Antiqua" w:cstheme="majorBidi"/>
                <w:vertAlign w:val="superscript"/>
              </w:rPr>
              <w:t>[82]</w:t>
            </w:r>
            <w:r>
              <w:rPr>
                <w:rFonts w:ascii="Book Antiqua" w:hAnsi="Book Antiqua" w:cstheme="majorBidi"/>
              </w:rPr>
              <w:t>, 2022</w:t>
            </w:r>
          </w:p>
        </w:tc>
        <w:tc>
          <w:tcPr>
            <w:tcW w:w="1180" w:type="dxa"/>
          </w:tcPr>
          <w:p>
            <w:pPr>
              <w:spacing w:line="360" w:lineRule="auto"/>
              <w:rPr>
                <w:rFonts w:ascii="Book Antiqua" w:hAnsi="Book Antiqua" w:cstheme="majorBidi"/>
              </w:rPr>
            </w:pPr>
            <w:r>
              <w:rPr>
                <w:rFonts w:ascii="Book Antiqua" w:hAnsi="Book Antiqua" w:cstheme="majorBidi"/>
              </w:rPr>
              <w:t>Case report</w:t>
            </w:r>
          </w:p>
        </w:tc>
        <w:tc>
          <w:tcPr>
            <w:tcW w:w="737" w:type="dxa"/>
          </w:tcPr>
          <w:p>
            <w:pPr>
              <w:spacing w:line="360" w:lineRule="auto"/>
              <w:rPr>
                <w:rFonts w:ascii="Book Antiqua" w:hAnsi="Book Antiqua" w:cstheme="majorBidi"/>
              </w:rPr>
            </w:pPr>
            <w:r>
              <w:rPr>
                <w:rFonts w:ascii="Book Antiqua" w:hAnsi="Book Antiqua" w:cstheme="majorBidi"/>
              </w:rPr>
              <w:t>United States</w:t>
            </w:r>
          </w:p>
        </w:tc>
        <w:tc>
          <w:tcPr>
            <w:tcW w:w="1433" w:type="dxa"/>
          </w:tcPr>
          <w:p>
            <w:pPr>
              <w:spacing w:line="360" w:lineRule="auto"/>
              <w:rPr>
                <w:rFonts w:ascii="Book Antiqua" w:hAnsi="Book Antiqua" w:cstheme="majorBidi"/>
              </w:rPr>
            </w:pPr>
            <w:r>
              <w:rPr>
                <w:rFonts w:ascii="Book Antiqua" w:hAnsi="Book Antiqua" w:cstheme="majorBidi"/>
              </w:rPr>
              <w:t>Moderna (1) Pfizer/BioNTech (4)</w:t>
            </w:r>
          </w:p>
        </w:tc>
        <w:tc>
          <w:tcPr>
            <w:tcW w:w="697" w:type="dxa"/>
          </w:tcPr>
          <w:p>
            <w:pPr>
              <w:spacing w:line="360" w:lineRule="auto"/>
              <w:rPr>
                <w:rFonts w:ascii="Book Antiqua" w:hAnsi="Book Antiqua" w:cstheme="majorBidi"/>
              </w:rPr>
            </w:pPr>
            <w:r>
              <w:rPr>
                <w:rFonts w:ascii="Book Antiqua" w:hAnsi="Book Antiqua" w:cstheme="majorBidi"/>
              </w:rPr>
              <w:t>1-3 wk</w:t>
            </w:r>
          </w:p>
        </w:tc>
        <w:tc>
          <w:tcPr>
            <w:tcW w:w="741" w:type="dxa"/>
          </w:tcPr>
          <w:p>
            <w:pPr>
              <w:spacing w:line="360" w:lineRule="auto"/>
              <w:rPr>
                <w:rFonts w:ascii="Book Antiqua" w:hAnsi="Book Antiqua" w:cstheme="majorBidi"/>
              </w:rPr>
            </w:pPr>
            <w:r>
              <w:rPr>
                <w:rFonts w:ascii="Book Antiqua" w:hAnsi="Book Antiqua" w:cstheme="majorBidi"/>
              </w:rPr>
              <w:t>5</w:t>
            </w:r>
          </w:p>
        </w:tc>
        <w:tc>
          <w:tcPr>
            <w:tcW w:w="662" w:type="dxa"/>
          </w:tcPr>
          <w:p>
            <w:pPr>
              <w:spacing w:line="360" w:lineRule="auto"/>
              <w:rPr>
                <w:rFonts w:ascii="Book Antiqua" w:hAnsi="Book Antiqua" w:cstheme="majorBidi"/>
              </w:rPr>
            </w:pPr>
            <w:r>
              <w:rPr>
                <w:rFonts w:ascii="Book Antiqua" w:hAnsi="Book Antiqua" w:cstheme="majorBidi"/>
              </w:rPr>
              <w:t>17- 46</w:t>
            </w:r>
          </w:p>
        </w:tc>
        <w:tc>
          <w:tcPr>
            <w:tcW w:w="554" w:type="dxa"/>
          </w:tcPr>
          <w:p>
            <w:pPr>
              <w:spacing w:line="360" w:lineRule="auto"/>
              <w:rPr>
                <w:rFonts w:ascii="Book Antiqua" w:hAnsi="Book Antiqua" w:cstheme="majorBidi"/>
              </w:rPr>
            </w:pPr>
            <w:r>
              <w:rPr>
                <w:rFonts w:ascii="Book Antiqua" w:hAnsi="Book Antiqua" w:cstheme="majorBidi"/>
              </w:rPr>
              <w:t>F</w:t>
            </w:r>
          </w:p>
        </w:tc>
        <w:tc>
          <w:tcPr>
            <w:tcW w:w="993" w:type="dxa"/>
          </w:tcPr>
          <w:p>
            <w:pPr>
              <w:spacing w:line="360" w:lineRule="auto"/>
              <w:rPr>
                <w:rFonts w:ascii="Book Antiqua" w:hAnsi="Book Antiqua" w:cs="Segoe UI"/>
                <w:color w:val="212121"/>
                <w:shd w:val="clear" w:color="auto" w:fill="FFFFFF"/>
              </w:rPr>
            </w:pPr>
            <w:r>
              <w:rPr>
                <w:rFonts w:ascii="Book Antiqua" w:hAnsi="Book Antiqua" w:cstheme="majorBidi"/>
              </w:rPr>
              <w:t>POTS</w:t>
            </w:r>
          </w:p>
        </w:tc>
        <w:tc>
          <w:tcPr>
            <w:tcW w:w="1338" w:type="dxa"/>
          </w:tcPr>
          <w:p>
            <w:pPr>
              <w:spacing w:line="360" w:lineRule="auto"/>
              <w:rPr>
                <w:rFonts w:ascii="Book Antiqua" w:hAnsi="Book Antiqua" w:cstheme="majorBidi"/>
              </w:rPr>
            </w:pPr>
            <w:r>
              <w:rPr>
                <w:rFonts w:ascii="Book Antiqua" w:hAnsi="Book Antiqua" w:cstheme="majorBidi"/>
              </w:rPr>
              <w:t xml:space="preserve">Dry mouth (1), </w:t>
            </w:r>
            <w:r>
              <w:rPr>
                <w:rFonts w:hint="eastAsia" w:ascii="Book Antiqua" w:hAnsi="Book Antiqua" w:cstheme="majorBidi"/>
                <w:lang w:eastAsia="zh-CN"/>
              </w:rPr>
              <w:t>c</w:t>
            </w:r>
            <w:r>
              <w:rPr>
                <w:rFonts w:ascii="Book Antiqua" w:hAnsi="Book Antiqua" w:cstheme="majorBidi"/>
              </w:rPr>
              <w:t xml:space="preserve">onstipation (1), </w:t>
            </w:r>
            <w:r>
              <w:rPr>
                <w:rFonts w:hint="eastAsia" w:ascii="Book Antiqua" w:hAnsi="Book Antiqua" w:cstheme="majorBidi"/>
                <w:lang w:eastAsia="zh-CN"/>
              </w:rPr>
              <w:t>n</w:t>
            </w:r>
            <w:r>
              <w:rPr>
                <w:rFonts w:ascii="Book Antiqua" w:hAnsi="Book Antiqua" w:cstheme="majorBidi"/>
              </w:rPr>
              <w:t xml:space="preserve">ausea (2), </w:t>
            </w:r>
            <w:r>
              <w:rPr>
                <w:rFonts w:hint="eastAsia" w:ascii="Book Antiqua" w:hAnsi="Book Antiqua" w:cstheme="majorBidi"/>
                <w:lang w:eastAsia="zh-CN"/>
              </w:rPr>
              <w:t>b</w:t>
            </w:r>
            <w:r>
              <w:rPr>
                <w:rFonts w:ascii="Book Antiqua" w:hAnsi="Book Antiqua" w:cstheme="majorBidi"/>
              </w:rPr>
              <w:t>loating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rPr>
                <w:rFonts w:ascii="Book Antiqua" w:hAnsi="Book Antiqua" w:cstheme="majorBidi"/>
              </w:rPr>
            </w:pPr>
            <w:r>
              <w:rPr>
                <w:rFonts w:ascii="Book Antiqua" w:hAnsi="Book Antiqua" w:cstheme="majorBidi"/>
              </w:rPr>
              <w:t xml:space="preserve">Tahir </w:t>
            </w:r>
            <w:r>
              <w:rPr>
                <w:rFonts w:ascii="Book Antiqua" w:hAnsi="Book Antiqua" w:cstheme="majorBidi"/>
                <w:i/>
                <w:iCs/>
              </w:rPr>
              <w:t>et al</w:t>
            </w:r>
            <w:r>
              <w:rPr>
                <w:rFonts w:ascii="Book Antiqua" w:hAnsi="Book Antiqua" w:cstheme="majorBidi"/>
                <w:vertAlign w:val="superscript"/>
              </w:rPr>
              <w:t>[83]</w:t>
            </w:r>
            <w:r>
              <w:rPr>
                <w:rFonts w:ascii="Book Antiqua" w:hAnsi="Book Antiqua" w:cstheme="majorBidi"/>
              </w:rPr>
              <w:t>, 2021</w:t>
            </w:r>
          </w:p>
        </w:tc>
        <w:tc>
          <w:tcPr>
            <w:tcW w:w="1180" w:type="dxa"/>
          </w:tcPr>
          <w:p>
            <w:pPr>
              <w:spacing w:line="360" w:lineRule="auto"/>
              <w:rPr>
                <w:rFonts w:ascii="Book Antiqua" w:hAnsi="Book Antiqua" w:cstheme="majorBidi"/>
              </w:rPr>
            </w:pPr>
            <w:r>
              <w:rPr>
                <w:rFonts w:ascii="Book Antiqua" w:hAnsi="Book Antiqua" w:cstheme="majorBidi"/>
              </w:rPr>
              <w:t>Case report</w:t>
            </w:r>
          </w:p>
        </w:tc>
        <w:tc>
          <w:tcPr>
            <w:tcW w:w="737" w:type="dxa"/>
          </w:tcPr>
          <w:p>
            <w:pPr>
              <w:spacing w:line="360" w:lineRule="auto"/>
              <w:rPr>
                <w:rFonts w:ascii="Book Antiqua" w:hAnsi="Book Antiqua" w:cstheme="majorBidi"/>
              </w:rPr>
            </w:pPr>
            <w:r>
              <w:rPr>
                <w:rFonts w:ascii="Book Antiqua" w:hAnsi="Book Antiqua" w:cstheme="majorBidi"/>
              </w:rPr>
              <w:t>United States</w:t>
            </w:r>
          </w:p>
        </w:tc>
        <w:tc>
          <w:tcPr>
            <w:tcW w:w="1433" w:type="dxa"/>
          </w:tcPr>
          <w:p>
            <w:pPr>
              <w:spacing w:line="360" w:lineRule="auto"/>
              <w:rPr>
                <w:rFonts w:ascii="Book Antiqua" w:hAnsi="Book Antiqua" w:cstheme="majorBidi"/>
              </w:rPr>
            </w:pPr>
            <w:r>
              <w:rPr>
                <w:rFonts w:ascii="Book Antiqua" w:hAnsi="Book Antiqua" w:cstheme="majorBidi"/>
              </w:rPr>
              <w:t>Johnson &amp; Johnson/Janssen</w:t>
            </w:r>
          </w:p>
        </w:tc>
        <w:tc>
          <w:tcPr>
            <w:tcW w:w="697" w:type="dxa"/>
          </w:tcPr>
          <w:p>
            <w:pPr>
              <w:spacing w:line="360" w:lineRule="auto"/>
              <w:rPr>
                <w:rFonts w:ascii="Book Antiqua" w:hAnsi="Book Antiqua" w:cstheme="majorBidi"/>
              </w:rPr>
            </w:pPr>
            <w:r>
              <w:rPr>
                <w:rFonts w:ascii="Book Antiqua" w:hAnsi="Book Antiqua" w:cstheme="majorBidi"/>
              </w:rPr>
              <w:t>10 d</w:t>
            </w:r>
          </w:p>
        </w:tc>
        <w:tc>
          <w:tcPr>
            <w:tcW w:w="741" w:type="dxa"/>
          </w:tcPr>
          <w:p>
            <w:pPr>
              <w:spacing w:line="360" w:lineRule="auto"/>
              <w:rPr>
                <w:rFonts w:ascii="Book Antiqua" w:hAnsi="Book Antiqua" w:cstheme="majorBidi"/>
              </w:rPr>
            </w:pPr>
            <w:r>
              <w:rPr>
                <w:rFonts w:ascii="Book Antiqua" w:hAnsi="Book Antiqua" w:cstheme="majorBidi"/>
              </w:rPr>
              <w:t>1</w:t>
            </w:r>
          </w:p>
        </w:tc>
        <w:tc>
          <w:tcPr>
            <w:tcW w:w="662" w:type="dxa"/>
          </w:tcPr>
          <w:p>
            <w:pPr>
              <w:spacing w:line="360" w:lineRule="auto"/>
              <w:rPr>
                <w:rFonts w:ascii="Book Antiqua" w:hAnsi="Book Antiqua" w:cstheme="majorBidi"/>
              </w:rPr>
            </w:pPr>
            <w:r>
              <w:rPr>
                <w:rFonts w:ascii="Book Antiqua" w:hAnsi="Book Antiqua" w:cstheme="majorBidi"/>
              </w:rPr>
              <w:t>44</w:t>
            </w:r>
          </w:p>
        </w:tc>
        <w:tc>
          <w:tcPr>
            <w:tcW w:w="554" w:type="dxa"/>
          </w:tcPr>
          <w:p>
            <w:pPr>
              <w:spacing w:line="360" w:lineRule="auto"/>
              <w:rPr>
                <w:rFonts w:ascii="Book Antiqua" w:hAnsi="Book Antiqua" w:cstheme="majorBidi"/>
              </w:rPr>
            </w:pPr>
            <w:r>
              <w:rPr>
                <w:rFonts w:ascii="Book Antiqua" w:hAnsi="Book Antiqua" w:cstheme="majorBidi"/>
              </w:rPr>
              <w:t>F</w:t>
            </w:r>
          </w:p>
        </w:tc>
        <w:tc>
          <w:tcPr>
            <w:tcW w:w="993" w:type="dxa"/>
          </w:tcPr>
          <w:p>
            <w:pPr>
              <w:spacing w:line="360" w:lineRule="auto"/>
              <w:rPr>
                <w:rFonts w:ascii="Book Antiqua" w:hAnsi="Book Antiqua" w:cstheme="majorBidi"/>
              </w:rPr>
            </w:pPr>
            <w:r>
              <w:rPr>
                <w:rFonts w:ascii="Book Antiqua" w:hAnsi="Book Antiqua" w:cstheme="majorBidi"/>
              </w:rPr>
              <w:t>Transverse myelitis &amp; Bell's palsy</w:t>
            </w:r>
          </w:p>
        </w:tc>
        <w:tc>
          <w:tcPr>
            <w:tcW w:w="1338" w:type="dxa"/>
          </w:tcPr>
          <w:p>
            <w:pPr>
              <w:spacing w:line="360" w:lineRule="auto"/>
              <w:rPr>
                <w:rFonts w:ascii="Book Antiqua" w:hAnsi="Book Antiqua" w:cstheme="majorBidi"/>
              </w:rPr>
            </w:pPr>
            <w:r>
              <w:rPr>
                <w:rFonts w:ascii="Book Antiqua" w:hAnsi="Book Antiqua" w:cstheme="majorBidi"/>
              </w:rPr>
              <w:t>Nausea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rPr>
                <w:rFonts w:ascii="Book Antiqua" w:hAnsi="Book Antiqua" w:cstheme="majorBidi"/>
              </w:rPr>
            </w:pPr>
            <w:r>
              <w:rPr>
                <w:rFonts w:ascii="Book Antiqua" w:hAnsi="Book Antiqua" w:cstheme="majorBidi"/>
              </w:rPr>
              <w:t xml:space="preserve">Hilts </w:t>
            </w:r>
            <w:r>
              <w:rPr>
                <w:rFonts w:ascii="Book Antiqua" w:hAnsi="Book Antiqua" w:cstheme="majorBidi"/>
                <w:i/>
                <w:iCs/>
              </w:rPr>
              <w:t>et al</w:t>
            </w:r>
            <w:r>
              <w:rPr>
                <w:rFonts w:ascii="Book Antiqua" w:hAnsi="Book Antiqua" w:cstheme="majorBidi"/>
                <w:vertAlign w:val="superscript"/>
              </w:rPr>
              <w:t>[84]</w:t>
            </w:r>
            <w:r>
              <w:rPr>
                <w:rFonts w:ascii="Book Antiqua" w:hAnsi="Book Antiqua" w:cstheme="majorBidi"/>
              </w:rPr>
              <w:t>, 2022</w:t>
            </w:r>
          </w:p>
        </w:tc>
        <w:tc>
          <w:tcPr>
            <w:tcW w:w="1180" w:type="dxa"/>
          </w:tcPr>
          <w:p>
            <w:pPr>
              <w:spacing w:line="360" w:lineRule="auto"/>
              <w:rPr>
                <w:rFonts w:ascii="Book Antiqua" w:hAnsi="Book Antiqua" w:cstheme="majorBidi"/>
              </w:rPr>
            </w:pPr>
            <w:r>
              <w:rPr>
                <w:rFonts w:ascii="Book Antiqua" w:hAnsi="Book Antiqua" w:cstheme="majorBidi"/>
              </w:rPr>
              <w:t>Case report</w:t>
            </w:r>
          </w:p>
        </w:tc>
        <w:tc>
          <w:tcPr>
            <w:tcW w:w="737" w:type="dxa"/>
          </w:tcPr>
          <w:p>
            <w:pPr>
              <w:spacing w:line="360" w:lineRule="auto"/>
              <w:rPr>
                <w:rFonts w:ascii="Book Antiqua" w:hAnsi="Book Antiqua" w:cstheme="majorBidi"/>
              </w:rPr>
            </w:pPr>
            <w:r>
              <w:rPr>
                <w:rFonts w:ascii="Book Antiqua" w:hAnsi="Book Antiqua" w:cstheme="majorBidi"/>
              </w:rPr>
              <w:t>United States</w:t>
            </w:r>
          </w:p>
        </w:tc>
        <w:tc>
          <w:tcPr>
            <w:tcW w:w="1433" w:type="dxa"/>
          </w:tcPr>
          <w:p>
            <w:pPr>
              <w:spacing w:line="360" w:lineRule="auto"/>
              <w:rPr>
                <w:rFonts w:ascii="Book Antiqua" w:hAnsi="Book Antiqua" w:cstheme="majorBidi"/>
              </w:rPr>
            </w:pPr>
            <w:r>
              <w:rPr>
                <w:rFonts w:ascii="Book Antiqua" w:hAnsi="Book Antiqua" w:cstheme="majorBidi"/>
              </w:rPr>
              <w:t>Moderna</w:t>
            </w:r>
          </w:p>
        </w:tc>
        <w:tc>
          <w:tcPr>
            <w:tcW w:w="697" w:type="dxa"/>
          </w:tcPr>
          <w:p>
            <w:pPr>
              <w:spacing w:line="360" w:lineRule="auto"/>
              <w:rPr>
                <w:rFonts w:ascii="Book Antiqua" w:hAnsi="Book Antiqua" w:cstheme="majorBidi"/>
              </w:rPr>
            </w:pPr>
            <w:r>
              <w:rPr>
                <w:rFonts w:ascii="Book Antiqua" w:hAnsi="Book Antiqua" w:cstheme="majorBidi"/>
              </w:rPr>
              <w:t>3 d</w:t>
            </w:r>
          </w:p>
        </w:tc>
        <w:tc>
          <w:tcPr>
            <w:tcW w:w="741" w:type="dxa"/>
          </w:tcPr>
          <w:p>
            <w:pPr>
              <w:spacing w:line="360" w:lineRule="auto"/>
              <w:rPr>
                <w:rFonts w:ascii="Book Antiqua" w:hAnsi="Book Antiqua" w:cstheme="majorBidi"/>
              </w:rPr>
            </w:pPr>
            <w:r>
              <w:rPr>
                <w:rFonts w:ascii="Book Antiqua" w:hAnsi="Book Antiqua" w:cstheme="majorBidi"/>
              </w:rPr>
              <w:t>1</w:t>
            </w:r>
          </w:p>
        </w:tc>
        <w:tc>
          <w:tcPr>
            <w:tcW w:w="662" w:type="dxa"/>
          </w:tcPr>
          <w:p>
            <w:pPr>
              <w:spacing w:line="360" w:lineRule="auto"/>
              <w:rPr>
                <w:rFonts w:ascii="Book Antiqua" w:hAnsi="Book Antiqua" w:cstheme="majorBidi"/>
              </w:rPr>
            </w:pPr>
            <w:r>
              <w:rPr>
                <w:rFonts w:ascii="Book Antiqua" w:hAnsi="Book Antiqua" w:cstheme="majorBidi"/>
              </w:rPr>
              <w:t>58</w:t>
            </w:r>
          </w:p>
        </w:tc>
        <w:tc>
          <w:tcPr>
            <w:tcW w:w="554" w:type="dxa"/>
          </w:tcPr>
          <w:p>
            <w:pPr>
              <w:spacing w:line="360" w:lineRule="auto"/>
              <w:rPr>
                <w:rFonts w:ascii="Book Antiqua" w:hAnsi="Book Antiqua" w:cstheme="majorBidi"/>
              </w:rPr>
            </w:pPr>
            <w:r>
              <w:rPr>
                <w:rFonts w:ascii="Book Antiqua" w:hAnsi="Book Antiqua" w:cstheme="majorBidi"/>
              </w:rPr>
              <w:t>M</w:t>
            </w:r>
          </w:p>
        </w:tc>
        <w:tc>
          <w:tcPr>
            <w:tcW w:w="993" w:type="dxa"/>
          </w:tcPr>
          <w:p>
            <w:pPr>
              <w:spacing w:line="360" w:lineRule="auto"/>
              <w:rPr>
                <w:rFonts w:ascii="Book Antiqua" w:hAnsi="Book Antiqua" w:cstheme="majorBidi"/>
              </w:rPr>
            </w:pPr>
            <w:r>
              <w:rPr>
                <w:rFonts w:ascii="Book Antiqua" w:hAnsi="Book Antiqua" w:cstheme="majorBidi"/>
              </w:rPr>
              <w:t>GBS</w:t>
            </w:r>
          </w:p>
        </w:tc>
        <w:tc>
          <w:tcPr>
            <w:tcW w:w="1338" w:type="dxa"/>
          </w:tcPr>
          <w:p>
            <w:pPr>
              <w:spacing w:line="360" w:lineRule="auto"/>
              <w:rPr>
                <w:rFonts w:ascii="Book Antiqua" w:hAnsi="Book Antiqua" w:cstheme="majorBidi"/>
              </w:rPr>
            </w:pPr>
            <w:r>
              <w:rPr>
                <w:rFonts w:ascii="Book Antiqua" w:hAnsi="Book Antiqua" w:cstheme="majorBidi"/>
              </w:rPr>
              <w:t>Diarrhoea (stopped before 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rPr>
                <w:rFonts w:ascii="Book Antiqua" w:hAnsi="Book Antiqua" w:cstheme="majorBidi"/>
              </w:rPr>
            </w:pPr>
            <w:r>
              <w:rPr>
                <w:rFonts w:ascii="Book Antiqua" w:hAnsi="Book Antiqua" w:cstheme="majorBidi"/>
              </w:rPr>
              <w:t xml:space="preserve">Fitzsimmons </w:t>
            </w:r>
            <w:r>
              <w:rPr>
                <w:rFonts w:ascii="Book Antiqua" w:hAnsi="Book Antiqua" w:cstheme="majorBidi"/>
                <w:i/>
                <w:iCs/>
              </w:rPr>
              <w:t>et al</w:t>
            </w:r>
            <w:r>
              <w:rPr>
                <w:rFonts w:ascii="Book Antiqua" w:hAnsi="Book Antiqua" w:cstheme="majorBidi"/>
                <w:vertAlign w:val="superscript"/>
              </w:rPr>
              <w:t>[85]</w:t>
            </w:r>
            <w:r>
              <w:rPr>
                <w:rFonts w:ascii="Book Antiqua" w:hAnsi="Book Antiqua" w:cstheme="majorBidi"/>
              </w:rPr>
              <w:t>,2021</w:t>
            </w:r>
          </w:p>
        </w:tc>
        <w:tc>
          <w:tcPr>
            <w:tcW w:w="1180" w:type="dxa"/>
          </w:tcPr>
          <w:p>
            <w:pPr>
              <w:spacing w:line="360" w:lineRule="auto"/>
              <w:rPr>
                <w:rFonts w:ascii="Book Antiqua" w:hAnsi="Book Antiqua" w:cstheme="majorBidi"/>
              </w:rPr>
            </w:pPr>
            <w:r>
              <w:rPr>
                <w:rFonts w:ascii="Book Antiqua" w:hAnsi="Book Antiqua" w:cstheme="majorBidi"/>
              </w:rPr>
              <w:t>Case report</w:t>
            </w:r>
          </w:p>
        </w:tc>
        <w:tc>
          <w:tcPr>
            <w:tcW w:w="737" w:type="dxa"/>
          </w:tcPr>
          <w:p>
            <w:pPr>
              <w:spacing w:line="360" w:lineRule="auto"/>
              <w:rPr>
                <w:rFonts w:ascii="Book Antiqua" w:hAnsi="Book Antiqua" w:cstheme="majorBidi"/>
              </w:rPr>
            </w:pPr>
            <w:r>
              <w:rPr>
                <w:rFonts w:ascii="Book Antiqua" w:hAnsi="Book Antiqua" w:cstheme="majorBidi"/>
              </w:rPr>
              <w:t>United States</w:t>
            </w:r>
          </w:p>
        </w:tc>
        <w:tc>
          <w:tcPr>
            <w:tcW w:w="1433" w:type="dxa"/>
          </w:tcPr>
          <w:p>
            <w:pPr>
              <w:spacing w:line="360" w:lineRule="auto"/>
              <w:rPr>
                <w:rFonts w:ascii="Book Antiqua" w:hAnsi="Book Antiqua" w:cstheme="majorBidi"/>
              </w:rPr>
            </w:pPr>
            <w:r>
              <w:rPr>
                <w:rFonts w:ascii="Book Antiqua" w:hAnsi="Book Antiqua" w:cstheme="majorBidi"/>
              </w:rPr>
              <w:t>Moderna</w:t>
            </w:r>
          </w:p>
        </w:tc>
        <w:tc>
          <w:tcPr>
            <w:tcW w:w="697" w:type="dxa"/>
          </w:tcPr>
          <w:p>
            <w:pPr>
              <w:spacing w:line="360" w:lineRule="auto"/>
              <w:rPr>
                <w:rFonts w:ascii="Book Antiqua" w:hAnsi="Book Antiqua" w:cstheme="majorBidi"/>
              </w:rPr>
            </w:pPr>
            <w:r>
              <w:rPr>
                <w:rFonts w:ascii="Book Antiqua" w:hAnsi="Book Antiqua" w:cstheme="majorBidi"/>
              </w:rPr>
              <w:t>1 d (2</w:t>
            </w:r>
            <w:r>
              <w:rPr>
                <w:rFonts w:ascii="Book Antiqua" w:hAnsi="Book Antiqua" w:cstheme="majorBidi"/>
                <w:vertAlign w:val="superscript"/>
              </w:rPr>
              <w:t>nd</w:t>
            </w:r>
            <w:r>
              <w:rPr>
                <w:rFonts w:ascii="Book Antiqua" w:hAnsi="Book Antiqua" w:cstheme="majorBidi"/>
              </w:rPr>
              <w:t xml:space="preserve"> dose)</w:t>
            </w:r>
          </w:p>
        </w:tc>
        <w:tc>
          <w:tcPr>
            <w:tcW w:w="741" w:type="dxa"/>
          </w:tcPr>
          <w:p>
            <w:pPr>
              <w:spacing w:line="360" w:lineRule="auto"/>
              <w:rPr>
                <w:rFonts w:ascii="Book Antiqua" w:hAnsi="Book Antiqua" w:cstheme="majorBidi"/>
              </w:rPr>
            </w:pPr>
            <w:r>
              <w:rPr>
                <w:rFonts w:ascii="Book Antiqua" w:hAnsi="Book Antiqua" w:cstheme="majorBidi"/>
              </w:rPr>
              <w:t>1</w:t>
            </w:r>
          </w:p>
        </w:tc>
        <w:tc>
          <w:tcPr>
            <w:tcW w:w="662" w:type="dxa"/>
          </w:tcPr>
          <w:p>
            <w:pPr>
              <w:spacing w:line="360" w:lineRule="auto"/>
              <w:rPr>
                <w:rFonts w:ascii="Book Antiqua" w:hAnsi="Book Antiqua" w:cstheme="majorBidi"/>
              </w:rPr>
            </w:pPr>
            <w:r>
              <w:rPr>
                <w:rFonts w:ascii="Book Antiqua" w:hAnsi="Book Antiqua" w:cstheme="majorBidi"/>
              </w:rPr>
              <w:t>63</w:t>
            </w:r>
          </w:p>
        </w:tc>
        <w:tc>
          <w:tcPr>
            <w:tcW w:w="554" w:type="dxa"/>
          </w:tcPr>
          <w:p>
            <w:pPr>
              <w:spacing w:line="360" w:lineRule="auto"/>
              <w:rPr>
                <w:rFonts w:ascii="Book Antiqua" w:hAnsi="Book Antiqua" w:cstheme="majorBidi"/>
              </w:rPr>
            </w:pPr>
            <w:r>
              <w:rPr>
                <w:rFonts w:ascii="Book Antiqua" w:hAnsi="Book Antiqua" w:cstheme="majorBidi"/>
              </w:rPr>
              <w:t>M</w:t>
            </w:r>
          </w:p>
        </w:tc>
        <w:tc>
          <w:tcPr>
            <w:tcW w:w="993" w:type="dxa"/>
          </w:tcPr>
          <w:p>
            <w:pPr>
              <w:spacing w:line="360" w:lineRule="auto"/>
              <w:rPr>
                <w:rFonts w:ascii="Book Antiqua" w:hAnsi="Book Antiqua" w:cstheme="majorBidi"/>
              </w:rPr>
            </w:pPr>
            <w:r>
              <w:rPr>
                <w:rFonts w:ascii="Book Antiqua" w:hAnsi="Book Antiqua" w:cstheme="majorBidi"/>
              </w:rPr>
              <w:t>Transverse myelitis</w:t>
            </w:r>
          </w:p>
        </w:tc>
        <w:tc>
          <w:tcPr>
            <w:tcW w:w="1338" w:type="dxa"/>
          </w:tcPr>
          <w:p>
            <w:pPr>
              <w:spacing w:line="360" w:lineRule="auto"/>
              <w:rPr>
                <w:rFonts w:ascii="Book Antiqua" w:hAnsi="Book Antiqua" w:cstheme="majorBidi"/>
              </w:rPr>
            </w:pPr>
            <w:r>
              <w:rPr>
                <w:rFonts w:ascii="Book Antiqua" w:hAnsi="Book Antiqua" w:cstheme="majorBidi"/>
              </w:rPr>
              <w:t>Constipation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rPr>
                <w:rFonts w:ascii="Book Antiqua" w:hAnsi="Book Antiqua" w:cstheme="majorBidi"/>
              </w:rPr>
            </w:pPr>
            <w:r>
              <w:rPr>
                <w:rFonts w:ascii="Book Antiqua" w:hAnsi="Book Antiqua" w:cstheme="majorBidi"/>
              </w:rPr>
              <w:t xml:space="preserve">Akaishi </w:t>
            </w:r>
            <w:r>
              <w:rPr>
                <w:rFonts w:ascii="Book Antiqua" w:hAnsi="Book Antiqua" w:cstheme="majorBidi"/>
                <w:i/>
                <w:iCs/>
              </w:rPr>
              <w:t>et al</w:t>
            </w:r>
            <w:r>
              <w:rPr>
                <w:rFonts w:ascii="Book Antiqua" w:hAnsi="Book Antiqua" w:cstheme="majorBidi"/>
                <w:vertAlign w:val="superscript"/>
              </w:rPr>
              <w:t>[86]</w:t>
            </w:r>
            <w:r>
              <w:rPr>
                <w:rFonts w:ascii="Book Antiqua" w:hAnsi="Book Antiqua" w:cstheme="majorBidi"/>
              </w:rPr>
              <w:t>, 2022</w:t>
            </w:r>
          </w:p>
        </w:tc>
        <w:tc>
          <w:tcPr>
            <w:tcW w:w="1180" w:type="dxa"/>
          </w:tcPr>
          <w:p>
            <w:pPr>
              <w:spacing w:line="360" w:lineRule="auto"/>
              <w:rPr>
                <w:rFonts w:ascii="Book Antiqua" w:hAnsi="Book Antiqua" w:cstheme="majorBidi"/>
              </w:rPr>
            </w:pPr>
            <w:r>
              <w:rPr>
                <w:rFonts w:ascii="Book Antiqua" w:hAnsi="Book Antiqua" w:cstheme="majorBidi"/>
              </w:rPr>
              <w:t>Retrospective cohort study</w:t>
            </w:r>
          </w:p>
        </w:tc>
        <w:tc>
          <w:tcPr>
            <w:tcW w:w="737" w:type="dxa"/>
          </w:tcPr>
          <w:p>
            <w:pPr>
              <w:spacing w:line="360" w:lineRule="auto"/>
              <w:rPr>
                <w:rFonts w:ascii="Book Antiqua" w:hAnsi="Book Antiqua" w:cstheme="majorBidi"/>
              </w:rPr>
            </w:pPr>
            <w:r>
              <w:rPr>
                <w:rFonts w:ascii="Book Antiqua" w:hAnsi="Book Antiqua" w:cstheme="majorBidi"/>
              </w:rPr>
              <w:t>Japan</w:t>
            </w:r>
          </w:p>
        </w:tc>
        <w:tc>
          <w:tcPr>
            <w:tcW w:w="1433" w:type="dxa"/>
          </w:tcPr>
          <w:p>
            <w:pPr>
              <w:spacing w:line="360" w:lineRule="auto"/>
              <w:rPr>
                <w:rFonts w:ascii="Book Antiqua" w:hAnsi="Book Antiqua" w:cstheme="majorBidi"/>
              </w:rPr>
            </w:pPr>
            <w:r>
              <w:rPr>
                <w:rFonts w:ascii="Book Antiqua" w:hAnsi="Book Antiqua" w:cstheme="majorBidi"/>
              </w:rPr>
              <w:t>Moderna</w:t>
            </w:r>
          </w:p>
        </w:tc>
        <w:tc>
          <w:tcPr>
            <w:tcW w:w="697" w:type="dxa"/>
          </w:tcPr>
          <w:p>
            <w:pPr>
              <w:spacing w:line="360" w:lineRule="auto"/>
              <w:rPr>
                <w:rFonts w:ascii="Book Antiqua" w:hAnsi="Book Antiqua" w:cstheme="majorBidi"/>
              </w:rPr>
            </w:pPr>
          </w:p>
        </w:tc>
        <w:tc>
          <w:tcPr>
            <w:tcW w:w="741" w:type="dxa"/>
          </w:tcPr>
          <w:p>
            <w:pPr>
              <w:spacing w:line="360" w:lineRule="auto"/>
              <w:rPr>
                <w:rFonts w:ascii="Book Antiqua" w:hAnsi="Book Antiqua" w:cstheme="majorBidi"/>
              </w:rPr>
            </w:pPr>
            <w:r>
              <w:rPr>
                <w:rFonts w:ascii="Book Antiqua" w:hAnsi="Book Antiqua" w:cstheme="majorBidi"/>
              </w:rPr>
              <w:t>131544</w:t>
            </w:r>
          </w:p>
        </w:tc>
        <w:tc>
          <w:tcPr>
            <w:tcW w:w="662" w:type="dxa"/>
          </w:tcPr>
          <w:p>
            <w:pPr>
              <w:spacing w:line="360" w:lineRule="auto"/>
              <w:rPr>
                <w:rFonts w:ascii="Book Antiqua" w:hAnsi="Book Antiqua" w:cstheme="majorBidi"/>
              </w:rPr>
            </w:pPr>
            <w:r>
              <w:rPr>
                <w:rFonts w:ascii="Book Antiqua" w:hAnsi="Book Antiqua" w:cstheme="majorBidi"/>
              </w:rPr>
              <w:t>≥ 16</w:t>
            </w:r>
          </w:p>
        </w:tc>
        <w:tc>
          <w:tcPr>
            <w:tcW w:w="554" w:type="dxa"/>
          </w:tcPr>
          <w:p>
            <w:pPr>
              <w:spacing w:line="360" w:lineRule="auto"/>
              <w:rPr>
                <w:rFonts w:ascii="Book Antiqua" w:hAnsi="Book Antiqua" w:cstheme="majorBidi"/>
              </w:rPr>
            </w:pPr>
            <w:r>
              <w:rPr>
                <w:rFonts w:ascii="Book Antiqua" w:hAnsi="Book Antiqua" w:cstheme="majorBidi"/>
              </w:rPr>
              <w:t>M/F 1.2:1</w:t>
            </w:r>
          </w:p>
        </w:tc>
        <w:tc>
          <w:tcPr>
            <w:tcW w:w="993" w:type="dxa"/>
          </w:tcPr>
          <w:p>
            <w:pPr>
              <w:spacing w:line="360" w:lineRule="auto"/>
              <w:rPr>
                <w:rFonts w:ascii="Book Antiqua" w:hAnsi="Book Antiqua" w:cstheme="majorBidi"/>
              </w:rPr>
            </w:pPr>
            <w:r>
              <w:rPr>
                <w:rFonts w:ascii="Book Antiqua" w:hAnsi="Book Antiqua" w:cstheme="majorBidi"/>
              </w:rPr>
              <w:t>Variable</w:t>
            </w:r>
          </w:p>
        </w:tc>
        <w:tc>
          <w:tcPr>
            <w:tcW w:w="1338" w:type="dxa"/>
          </w:tcPr>
          <w:p>
            <w:pPr>
              <w:spacing w:line="360" w:lineRule="auto"/>
              <w:rPr>
                <w:rFonts w:ascii="Book Antiqua" w:hAnsi="Book Antiqua" w:cstheme="majorBidi"/>
              </w:rPr>
            </w:pPr>
            <w:r>
              <w:rPr>
                <w:rFonts w:ascii="Book Antiqua" w:hAnsi="Book Antiqua" w:cstheme="majorBidi"/>
              </w:rPr>
              <w:t>Nausea (0.27%);</w:t>
            </w:r>
            <w:r>
              <w:rPr>
                <w:rFonts w:hint="eastAsia" w:ascii="Book Antiqua" w:hAnsi="Book Antiqua" w:cstheme="majorBidi"/>
                <w:lang w:eastAsia="zh-CN"/>
              </w:rPr>
              <w:t xml:space="preserve"> a</w:t>
            </w:r>
            <w:r>
              <w:rPr>
                <w:rFonts w:ascii="Book Antiqua" w:hAnsi="Book Antiqua" w:cstheme="majorBidi"/>
              </w:rPr>
              <w:t>bdominal pain (0.006%)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360" w:lineRule="auto"/>
              <w:rPr>
                <w:rFonts w:ascii="Book Antiqua" w:hAnsi="Book Antiqua" w:cstheme="majorBidi"/>
              </w:rPr>
            </w:pPr>
            <w:r>
              <w:rPr>
                <w:rFonts w:ascii="Book Antiqua" w:hAnsi="Book Antiqua" w:cstheme="majorBidi"/>
              </w:rPr>
              <w:t>Antonelli</w:t>
            </w:r>
          </w:p>
          <w:p>
            <w:pPr>
              <w:spacing w:line="360" w:lineRule="auto"/>
              <w:rPr>
                <w:rFonts w:ascii="Book Antiqua" w:hAnsi="Book Antiqua" w:cstheme="majorBidi"/>
              </w:rPr>
            </w:pPr>
            <w:r>
              <w:rPr>
                <w:rFonts w:ascii="Book Antiqua" w:hAnsi="Book Antiqua" w:cstheme="majorBidi"/>
                <w:i/>
                <w:iCs/>
              </w:rPr>
              <w:t>et al</w:t>
            </w:r>
            <w:r>
              <w:rPr>
                <w:rFonts w:ascii="Book Antiqua" w:hAnsi="Book Antiqua" w:cstheme="majorBidi"/>
                <w:vertAlign w:val="superscript"/>
              </w:rPr>
              <w:t>[87]</w:t>
            </w:r>
            <w:r>
              <w:rPr>
                <w:rFonts w:ascii="Book Antiqua" w:hAnsi="Book Antiqua" w:cstheme="majorBidi"/>
              </w:rPr>
              <w:t>, 2022</w:t>
            </w:r>
          </w:p>
        </w:tc>
        <w:tc>
          <w:tcPr>
            <w:tcW w:w="1180" w:type="dxa"/>
          </w:tcPr>
          <w:p>
            <w:pPr>
              <w:spacing w:line="360" w:lineRule="auto"/>
              <w:rPr>
                <w:rFonts w:ascii="Book Antiqua" w:hAnsi="Book Antiqua" w:cstheme="majorBidi"/>
              </w:rPr>
            </w:pPr>
            <w:r>
              <w:rPr>
                <w:rFonts w:ascii="Book Antiqua" w:hAnsi="Book Antiqua" w:cstheme="majorBidi"/>
              </w:rPr>
              <w:t>Prospective community-based case-control</w:t>
            </w:r>
          </w:p>
        </w:tc>
        <w:tc>
          <w:tcPr>
            <w:tcW w:w="737" w:type="dxa"/>
          </w:tcPr>
          <w:p>
            <w:pPr>
              <w:spacing w:line="360" w:lineRule="auto"/>
              <w:rPr>
                <w:rFonts w:ascii="Book Antiqua" w:hAnsi="Book Antiqua" w:cstheme="majorBidi"/>
              </w:rPr>
            </w:pPr>
            <w:r>
              <w:rPr>
                <w:rFonts w:ascii="Book Antiqua" w:hAnsi="Book Antiqua" w:cstheme="majorBidi"/>
              </w:rPr>
              <w:t>United Kingdom</w:t>
            </w:r>
          </w:p>
        </w:tc>
        <w:tc>
          <w:tcPr>
            <w:tcW w:w="1433" w:type="dxa"/>
          </w:tcPr>
          <w:p>
            <w:pPr>
              <w:spacing w:line="360" w:lineRule="auto"/>
              <w:rPr>
                <w:rFonts w:ascii="Book Antiqua" w:hAnsi="Book Antiqua" w:cstheme="majorBidi"/>
              </w:rPr>
            </w:pPr>
            <w:r>
              <w:rPr>
                <w:rFonts w:ascii="Book Antiqua" w:hAnsi="Book Antiqua" w:cstheme="majorBidi"/>
              </w:rPr>
              <w:t>BNT162b2, ChAdOx1 nCoV-19, mRNA-1273</w:t>
            </w:r>
          </w:p>
        </w:tc>
        <w:tc>
          <w:tcPr>
            <w:tcW w:w="697" w:type="dxa"/>
          </w:tcPr>
          <w:p>
            <w:pPr>
              <w:spacing w:line="360" w:lineRule="auto"/>
              <w:rPr>
                <w:rFonts w:ascii="Book Antiqua" w:hAnsi="Book Antiqua" w:cstheme="majorBidi"/>
              </w:rPr>
            </w:pPr>
            <w:r>
              <w:rPr>
                <w:rFonts w:ascii="Book Antiqua" w:hAnsi="Book Antiqua" w:cstheme="majorBidi"/>
              </w:rPr>
              <w:t>1-2 wk</w:t>
            </w:r>
          </w:p>
        </w:tc>
        <w:tc>
          <w:tcPr>
            <w:tcW w:w="741" w:type="dxa"/>
          </w:tcPr>
          <w:p>
            <w:pPr>
              <w:spacing w:line="360" w:lineRule="auto"/>
              <w:rPr>
                <w:rFonts w:ascii="Book Antiqua" w:hAnsi="Book Antiqua" w:cstheme="majorBidi"/>
              </w:rPr>
            </w:pPr>
            <w:r>
              <w:rPr>
                <w:rFonts w:ascii="Book Antiqua" w:hAnsi="Book Antiqua" w:cstheme="majorBidi"/>
              </w:rPr>
              <w:t>9462</w:t>
            </w:r>
          </w:p>
        </w:tc>
        <w:tc>
          <w:tcPr>
            <w:tcW w:w="662" w:type="dxa"/>
          </w:tcPr>
          <w:p>
            <w:pPr>
              <w:spacing w:line="360" w:lineRule="auto"/>
              <w:rPr>
                <w:rFonts w:ascii="Book Antiqua" w:hAnsi="Book Antiqua" w:cstheme="majorBidi"/>
              </w:rPr>
            </w:pPr>
            <w:r>
              <w:rPr>
                <w:rFonts w:ascii="Book Antiqua" w:hAnsi="Book Antiqua" w:cstheme="majorBidi"/>
              </w:rPr>
              <w:t>&gt; 18 Mean age:</w:t>
            </w:r>
          </w:p>
          <w:p>
            <w:pPr>
              <w:spacing w:line="360" w:lineRule="auto"/>
              <w:rPr>
                <w:rFonts w:ascii="Book Antiqua" w:hAnsi="Book Antiqua" w:cstheme="majorBidi"/>
              </w:rPr>
            </w:pPr>
            <w:r>
              <w:rPr>
                <w:rFonts w:ascii="Book Antiqua" w:hAnsi="Book Antiqua" w:cstheme="majorBidi"/>
              </w:rPr>
              <w:t>52.9 years</w:t>
            </w:r>
          </w:p>
        </w:tc>
        <w:tc>
          <w:tcPr>
            <w:tcW w:w="554" w:type="dxa"/>
          </w:tcPr>
          <w:p>
            <w:pPr>
              <w:spacing w:line="360" w:lineRule="auto"/>
              <w:rPr>
                <w:rFonts w:ascii="Book Antiqua" w:hAnsi="Book Antiqua" w:cstheme="majorBidi"/>
              </w:rPr>
            </w:pPr>
          </w:p>
        </w:tc>
        <w:tc>
          <w:tcPr>
            <w:tcW w:w="993" w:type="dxa"/>
          </w:tcPr>
          <w:p>
            <w:pPr>
              <w:spacing w:line="360" w:lineRule="auto"/>
              <w:rPr>
                <w:rFonts w:ascii="Book Antiqua" w:hAnsi="Book Antiqua" w:cstheme="majorBidi"/>
              </w:rPr>
            </w:pPr>
            <w:r>
              <w:rPr>
                <w:rFonts w:ascii="Book Antiqua" w:hAnsi="Book Antiqua" w:cstheme="majorBidi"/>
              </w:rPr>
              <w:t>Variable</w:t>
            </w:r>
          </w:p>
        </w:tc>
        <w:tc>
          <w:tcPr>
            <w:tcW w:w="1338" w:type="dxa"/>
          </w:tcPr>
          <w:p>
            <w:pPr>
              <w:spacing w:line="360" w:lineRule="auto"/>
              <w:rPr>
                <w:rFonts w:ascii="Book Antiqua" w:hAnsi="Book Antiqua" w:cstheme="majorBidi"/>
              </w:rPr>
            </w:pPr>
            <w:r>
              <w:rPr>
                <w:rFonts w:ascii="Book Antiqua" w:hAnsi="Book Antiqua" w:cstheme="majorBidi"/>
              </w:rPr>
              <w:t xml:space="preserve">Abdominal pain, </w:t>
            </w:r>
            <w:r>
              <w:rPr>
                <w:rFonts w:hint="eastAsia" w:ascii="Book Antiqua" w:hAnsi="Book Antiqua" w:cstheme="majorBidi"/>
                <w:lang w:eastAsia="zh-CN"/>
              </w:rPr>
              <w:t>n</w:t>
            </w:r>
            <w:r>
              <w:rPr>
                <w:rFonts w:ascii="Book Antiqua" w:hAnsi="Book Antiqua" w:cstheme="majorBidi"/>
              </w:rPr>
              <w:t xml:space="preserve">ausea, </w:t>
            </w:r>
            <w:r>
              <w:rPr>
                <w:rFonts w:hint="eastAsia" w:ascii="Book Antiqua" w:hAnsi="Book Antiqua" w:cstheme="majorBidi"/>
                <w:lang w:eastAsia="zh-CN"/>
              </w:rPr>
              <w:t>d</w:t>
            </w:r>
            <w:r>
              <w:rPr>
                <w:rFonts w:ascii="Book Antiqua" w:hAnsi="Book Antiqua" w:cstheme="majorBidi"/>
              </w:rPr>
              <w:t>iarrhoea</w:t>
            </w:r>
          </w:p>
        </w:tc>
      </w:tr>
    </w:tbl>
    <w:p>
      <w:pPr>
        <w:spacing w:line="360" w:lineRule="auto"/>
        <w:jc w:val="both"/>
        <w:rPr>
          <w:rFonts w:ascii="Book Antiqua" w:hAnsi="Book Antiqua" w:cstheme="majorBidi"/>
        </w:rPr>
        <w:sectPr>
          <w:pgSz w:w="15840" w:h="12240" w:orient="landscape"/>
          <w:pgMar w:top="1440" w:right="1440" w:bottom="1440" w:left="1440" w:header="720" w:footer="720" w:gutter="0"/>
          <w:cols w:space="720" w:num="1"/>
          <w:docGrid w:linePitch="360" w:charSpace="0"/>
        </w:sectPr>
      </w:pPr>
      <w:r>
        <w:rPr>
          <w:rFonts w:ascii="Book Antiqua" w:hAnsi="Book Antiqua" w:cs="Segoe UI"/>
          <w:color w:val="212121"/>
          <w:shd w:val="clear" w:color="auto" w:fill="FFFFFF"/>
        </w:rPr>
        <w:t>Johnson</w:t>
      </w:r>
      <w:r>
        <w:rPr>
          <w:rFonts w:ascii="Book Antiqua" w:hAnsi="Book Antiqua" w:cstheme="majorBidi"/>
        </w:rPr>
        <w:t xml:space="preserve"> &amp; Johnson/Janssen is Ad26.COV2. Pfizer-BioNTech is an mRNA SARS-CoV-2 vaccine, ChAdOx1 nCoV-19 is Oxford University Vaccine using chimpanzee adenoviral vector ChAdOx1, containing the SARS-CoV-2 structural surface glycoprotein antigen (spike protein; nCoV-19) gene. mRNA-1273 is the Moderna COVID-19 vaccine</w:t>
      </w:r>
      <w:r>
        <w:rPr>
          <w:rFonts w:hint="eastAsia" w:ascii="Book Antiqua" w:hAnsi="Book Antiqua" w:cstheme="majorBidi"/>
          <w:lang w:eastAsia="zh-CN"/>
        </w:rPr>
        <w:t>.</w:t>
      </w:r>
      <w:r>
        <w:rPr>
          <w:rFonts w:ascii="Book Antiqua" w:hAnsi="Book Antiqua" w:cstheme="majorBidi"/>
        </w:rPr>
        <w:t xml:space="preserve"> POTS: Postural orthostatic tachycardia syndrome</w:t>
      </w:r>
      <w:r>
        <w:rPr>
          <w:rFonts w:hint="eastAsia" w:ascii="Book Antiqua" w:hAnsi="Book Antiqua" w:cstheme="majorBidi"/>
          <w:lang w:eastAsia="zh-CN"/>
        </w:rPr>
        <w:t xml:space="preserve">; </w:t>
      </w:r>
      <w:r>
        <w:rPr>
          <w:rFonts w:ascii="Book Antiqua" w:hAnsi="Book Antiqua" w:cstheme="majorBidi"/>
        </w:rPr>
        <w:t xml:space="preserve">Time-interval: The time between vaccination intake and the development of the symptoms. AST: Aspartate aminotransferase; BNT162b2: Pfizer-BioNTech mRNA severe acute respiratory syndrome coronavirus 2 vaccine; GBS: </w:t>
      </w:r>
      <w:bookmarkStart w:id="0" w:name="_Hlk132420254"/>
      <w:r>
        <w:rPr>
          <w:rFonts w:ascii="Book Antiqua" w:hAnsi="Book Antiqua" w:cstheme="majorBidi"/>
        </w:rPr>
        <w:t xml:space="preserve">Guillain-Barre </w:t>
      </w:r>
      <w:bookmarkEnd w:id="0"/>
      <w:r>
        <w:rPr>
          <w:rFonts w:ascii="Book Antiqua" w:hAnsi="Book Antiqua" w:cstheme="majorBidi"/>
        </w:rPr>
        <w:t>syndrome</w:t>
      </w:r>
      <w:r>
        <w:rPr>
          <w:rFonts w:ascii="Book Antiqua" w:hAnsi="Book Antiqua" w:cs="Segoe UI"/>
          <w:color w:val="212121"/>
          <w:shd w:val="clear" w:color="auto" w:fill="FFFFFF"/>
        </w:rPr>
        <w:t>;</w:t>
      </w:r>
      <w:r>
        <w:rPr>
          <w:rFonts w:ascii="Book Antiqua" w:hAnsi="Book Antiqua" w:cstheme="majorBidi"/>
        </w:rPr>
        <w:t xml:space="preserve"> GIT: </w:t>
      </w:r>
      <w:r>
        <w:rPr>
          <w:rFonts w:ascii="Segoe UI" w:hAnsi="Segoe UI" w:cs="Segoe UI"/>
          <w:color w:val="212121"/>
          <w:sz w:val="21"/>
          <w:szCs w:val="21"/>
          <w:shd w:val="clear" w:color="auto" w:fill="FFFFFF"/>
        </w:rPr>
        <w:t xml:space="preserve"> </w:t>
      </w:r>
      <w:r>
        <w:rPr>
          <w:rFonts w:ascii="Book Antiqua" w:hAnsi="Book Antiqua" w:cstheme="majorBidi"/>
        </w:rPr>
        <w:t>Guideline-informed treatment.</w:t>
      </w:r>
    </w:p>
    <w:p>
      <w:pPr>
        <w:spacing w:line="360" w:lineRule="auto"/>
        <w:jc w:val="both"/>
        <w:rPr>
          <w:rFonts w:ascii="Book Antiqua" w:hAnsi="Book Antiqua"/>
          <w:b/>
          <w:bCs/>
        </w:rPr>
      </w:pPr>
      <w:r>
        <w:rPr>
          <w:rFonts w:ascii="Book Antiqua" w:hAnsi="Book Antiqua"/>
          <w:b/>
          <w:bCs/>
        </w:rPr>
        <w:t xml:space="preserve">Table 7 Differential diagnosis of gastrointestinal autonomic dysfunction in patients with </w:t>
      </w:r>
      <w:r>
        <w:rPr>
          <w:rFonts w:ascii="Book Antiqua" w:hAnsi="Book Antiqua"/>
          <w:b/>
          <w:bCs/>
          <w:lang w:val="en-GB"/>
        </w:rPr>
        <w:t>coronavirus disease 2019</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08"/>
        <w:gridCol w:w="2141"/>
        <w:gridCol w:w="552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023" w:type="dxa"/>
            <w:gridSpan w:val="2"/>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Condition</w:t>
            </w:r>
          </w:p>
        </w:tc>
        <w:tc>
          <w:tcPr>
            <w:tcW w:w="5553"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Comments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restart"/>
            <w:tcBorders>
              <w:top w:val="single" w:color="auto" w:sz="4" w:space="0"/>
            </w:tcBorders>
            <w:vAlign w:val="center"/>
          </w:tcPr>
          <w:p>
            <w:pPr>
              <w:spacing w:line="360" w:lineRule="auto"/>
              <w:jc w:val="both"/>
              <w:rPr>
                <w:rFonts w:ascii="Book Antiqua" w:hAnsi="Book Antiqua"/>
              </w:rPr>
            </w:pPr>
            <w:r>
              <w:rPr>
                <w:rFonts w:ascii="Book Antiqua" w:hAnsi="Book Antiqua"/>
              </w:rPr>
              <w:t>Gastrointestinal disorders</w:t>
            </w:r>
          </w:p>
        </w:tc>
        <w:tc>
          <w:tcPr>
            <w:tcW w:w="2115" w:type="dxa"/>
            <w:tcBorders>
              <w:top w:val="single" w:color="auto" w:sz="4" w:space="0"/>
            </w:tcBorders>
          </w:tcPr>
          <w:p>
            <w:pPr>
              <w:spacing w:line="360" w:lineRule="auto"/>
              <w:jc w:val="both"/>
              <w:rPr>
                <w:rFonts w:ascii="Book Antiqua" w:hAnsi="Book Antiqua"/>
              </w:rPr>
            </w:pPr>
            <w:r>
              <w:rPr>
                <w:rFonts w:ascii="Book Antiqua" w:hAnsi="Book Antiqua"/>
              </w:rPr>
              <w:t>Gastrointestinal dysmotility</w:t>
            </w:r>
          </w:p>
        </w:tc>
        <w:tc>
          <w:tcPr>
            <w:tcW w:w="5553" w:type="dxa"/>
            <w:tcBorders>
              <w:top w:val="single" w:color="auto" w:sz="4" w:space="0"/>
            </w:tcBorders>
          </w:tcPr>
          <w:p>
            <w:pPr>
              <w:spacing w:line="360" w:lineRule="auto"/>
              <w:jc w:val="both"/>
              <w:rPr>
                <w:rFonts w:ascii="Book Antiqua" w:hAnsi="Book Antiqua"/>
              </w:rPr>
            </w:pPr>
            <w:r>
              <w:rPr>
                <w:rFonts w:ascii="Book Antiqua" w:hAnsi="Book Antiqua"/>
              </w:rPr>
              <w:t>Gastrointestinal dysmotility refers to abnormal movement in the digestive system that can cause symptoms such as nausea, vomiting, abdominal pain, and bloating. COVID-19-induced gastrointestinal autonomic dysfunction can cause similar symptoms, making it essential to distinguish between the two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Gastroesophageal Reflux disease</w:t>
            </w:r>
          </w:p>
        </w:tc>
        <w:tc>
          <w:tcPr>
            <w:tcW w:w="5553" w:type="dxa"/>
          </w:tcPr>
          <w:p>
            <w:pPr>
              <w:spacing w:line="360" w:lineRule="auto"/>
              <w:jc w:val="both"/>
              <w:rPr>
                <w:rFonts w:ascii="Book Antiqua" w:hAnsi="Book Antiqua"/>
              </w:rPr>
            </w:pPr>
            <w:r>
              <w:rPr>
                <w:rFonts w:ascii="Book Antiqua" w:hAnsi="Book Antiqua"/>
              </w:rPr>
              <w:t xml:space="preserve">Gastroesophageal </w:t>
            </w:r>
            <w:r>
              <w:rPr>
                <w:rFonts w:hint="eastAsia" w:ascii="Book Antiqua" w:hAnsi="Book Antiqua"/>
                <w:lang w:eastAsia="zh-CN"/>
              </w:rPr>
              <w:t>r</w:t>
            </w:r>
            <w:r>
              <w:rPr>
                <w:rFonts w:ascii="Book Antiqua" w:hAnsi="Book Antiqua"/>
              </w:rPr>
              <w:t xml:space="preserve">eflux disease is a common condition that occurs when stomach acid flows back into the esophagus, causing heartburn and other symptoms. It can be diagnosed </w:t>
            </w:r>
            <w:r>
              <w:rPr>
                <w:rFonts w:hint="eastAsia" w:ascii="Book Antiqua" w:hAnsi="Book Antiqua"/>
                <w:lang w:eastAsia="zh-CN"/>
              </w:rPr>
              <w:t>by</w:t>
            </w:r>
            <w:r>
              <w:rPr>
                <w:rFonts w:ascii="Book Antiqua" w:hAnsi="Book Antiqua"/>
              </w:rPr>
              <w:t xml:space="preserve"> an upper endoscopy or an esophageal pH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Gastroparesis</w:t>
            </w:r>
          </w:p>
        </w:tc>
        <w:tc>
          <w:tcPr>
            <w:tcW w:w="5553" w:type="dxa"/>
          </w:tcPr>
          <w:p>
            <w:pPr>
              <w:spacing w:line="360" w:lineRule="auto"/>
              <w:jc w:val="both"/>
              <w:rPr>
                <w:rFonts w:ascii="Book Antiqua" w:hAnsi="Book Antiqua"/>
              </w:rPr>
            </w:pPr>
            <w:r>
              <w:rPr>
                <w:rFonts w:ascii="Book Antiqua" w:hAnsi="Book Antiqua"/>
              </w:rPr>
              <w:t>Gastroparesis is a disorder in which the stomach takes too long to empty its contents, causing symptoms such as nausea, vomiting, and bloating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Gastritis</w:t>
            </w:r>
          </w:p>
        </w:tc>
        <w:tc>
          <w:tcPr>
            <w:tcW w:w="5553" w:type="dxa"/>
          </w:tcPr>
          <w:p>
            <w:pPr>
              <w:spacing w:line="360" w:lineRule="auto"/>
              <w:jc w:val="both"/>
              <w:rPr>
                <w:rFonts w:ascii="Book Antiqua" w:hAnsi="Book Antiqua"/>
              </w:rPr>
            </w:pPr>
            <w:r>
              <w:rPr>
                <w:rFonts w:ascii="Book Antiqua" w:hAnsi="Book Antiqua"/>
              </w:rPr>
              <w:t>This condition is inflammation of the gastric mucosa. It can cause abdominal pain, nausea, and vomiting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Peptic ulcer disease</w:t>
            </w:r>
          </w:p>
        </w:tc>
        <w:tc>
          <w:tcPr>
            <w:tcW w:w="5553" w:type="dxa"/>
          </w:tcPr>
          <w:p>
            <w:pPr>
              <w:spacing w:line="360" w:lineRule="auto"/>
              <w:jc w:val="both"/>
              <w:rPr>
                <w:rFonts w:ascii="Book Antiqua" w:hAnsi="Book Antiqua"/>
              </w:rPr>
            </w:pPr>
            <w:r>
              <w:rPr>
                <w:rFonts w:ascii="Book Antiqua" w:hAnsi="Book Antiqua"/>
              </w:rPr>
              <w:t>This condition is characterized by sores in the lining of the stomach or duodenum and can cause abdominal pain and vomiting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5" w:hRule="atLeast"/>
        </w:trPr>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Gastrointestinal infections</w:t>
            </w:r>
          </w:p>
        </w:tc>
        <w:tc>
          <w:tcPr>
            <w:tcW w:w="5553" w:type="dxa"/>
          </w:tcPr>
          <w:p>
            <w:pPr>
              <w:spacing w:line="360" w:lineRule="auto"/>
              <w:jc w:val="both"/>
              <w:rPr>
                <w:rFonts w:ascii="Book Antiqua" w:hAnsi="Book Antiqua"/>
              </w:rPr>
            </w:pPr>
            <w:r>
              <w:rPr>
                <w:rFonts w:ascii="Book Antiqua" w:hAnsi="Book Antiqua"/>
              </w:rPr>
              <w:t>Viral, bacterial, or parasitic infections can cause similar symptoms to COVID-19-induced gastrointestinal autonomic disorders and may require specific testing and treatment. For example:</w:t>
            </w:r>
            <w:r>
              <w:rPr>
                <w:rFonts w:hint="eastAsia" w:ascii="Book Antiqua" w:hAnsi="Book Antiqua"/>
                <w:lang w:eastAsia="zh-CN"/>
              </w:rPr>
              <w:t xml:space="preserve"> </w:t>
            </w:r>
            <w:r>
              <w:rPr>
                <w:rFonts w:ascii="Book Antiqua" w:hAnsi="Book Antiqua"/>
              </w:rPr>
              <w:t xml:space="preserve">Other viral infections, such as </w:t>
            </w:r>
            <w:r>
              <w:rPr>
                <w:rFonts w:hint="eastAsia" w:ascii="Book Antiqua" w:hAnsi="Book Antiqua"/>
                <w:lang w:eastAsia="zh-CN"/>
              </w:rPr>
              <w:t>n</w:t>
            </w:r>
            <w:r>
              <w:rPr>
                <w:rFonts w:ascii="Book Antiqua" w:hAnsi="Book Antiqua"/>
              </w:rPr>
              <w:t xml:space="preserve">orovirus, </w:t>
            </w:r>
            <w:r>
              <w:rPr>
                <w:rFonts w:hint="eastAsia" w:ascii="Book Antiqua" w:hAnsi="Book Antiqua"/>
                <w:lang w:eastAsia="zh-CN"/>
              </w:rPr>
              <w:t>a</w:t>
            </w:r>
            <w:r>
              <w:rPr>
                <w:rFonts w:ascii="Book Antiqua" w:hAnsi="Book Antiqua"/>
              </w:rPr>
              <w:t xml:space="preserve">denovirus, and </w:t>
            </w:r>
            <w:r>
              <w:rPr>
                <w:rFonts w:hint="eastAsia" w:ascii="Book Antiqua" w:hAnsi="Book Antiqua"/>
                <w:lang w:eastAsia="zh-CN"/>
              </w:rPr>
              <w:t>r</w:t>
            </w:r>
            <w:r>
              <w:rPr>
                <w:rFonts w:ascii="Book Antiqua" w:hAnsi="Book Antiqua"/>
              </w:rPr>
              <w:t>otavirus, can also cause gastrointestinal symptoms like COVID-19-induced gastrointestinal autonomic disorders. Considering these infections in the differential diagnosis is important, especially if the patient has a recent travel history or exposure to infected individuals.</w:t>
            </w:r>
            <w:r>
              <w:rPr>
                <w:rFonts w:hint="eastAsia" w:ascii="Book Antiqua" w:hAnsi="Book Antiqua"/>
                <w:lang w:eastAsia="zh-CN"/>
              </w:rPr>
              <w:t xml:space="preserve"> </w:t>
            </w:r>
            <w:r>
              <w:rPr>
                <w:rFonts w:ascii="Book Antiqua" w:hAnsi="Book Antiqua"/>
              </w:rPr>
              <w:t xml:space="preserve">Some bacterial infections, such as </w:t>
            </w:r>
            <w:r>
              <w:rPr>
                <w:rFonts w:ascii="Book Antiqua" w:hAnsi="Book Antiqua"/>
                <w:i/>
                <w:iCs/>
              </w:rPr>
              <w:t>Clostridium difficile</w:t>
            </w:r>
            <w:r>
              <w:rPr>
                <w:rFonts w:ascii="Book Antiqua" w:hAnsi="Book Antiqua"/>
              </w:rPr>
              <w:t xml:space="preserve"> infection, can cause gastrointestinal symptoms like those of COVID-19. </w:t>
            </w:r>
            <w:r>
              <w:rPr>
                <w:rFonts w:ascii="Book Antiqua" w:hAnsi="Book Antiqua"/>
                <w:i/>
                <w:iCs/>
              </w:rPr>
              <w:t>Clostridium difficile</w:t>
            </w:r>
            <w:r>
              <w:rPr>
                <w:rFonts w:ascii="Book Antiqua" w:hAnsi="Book Antiqua"/>
              </w:rPr>
              <w:t xml:space="preserve"> infection can also cause autonomic dysfunction, leading to symptoms such as dizziness and fainting. Other bacteria like </w:t>
            </w:r>
            <w:r>
              <w:rPr>
                <w:rFonts w:ascii="Book Antiqua" w:hAnsi="Book Antiqua"/>
                <w:i/>
                <w:iCs/>
              </w:rPr>
              <w:t>Salmonella, Shigella, Campylobacter, and Escherichia coli</w:t>
            </w:r>
            <w:r>
              <w:rPr>
                <w:rFonts w:ascii="Book Antiqua" w:hAnsi="Book Antiqua"/>
              </w:rPr>
              <w:t xml:space="preserve"> can produce gastrointestinal symptoms.</w:t>
            </w:r>
            <w:r>
              <w:rPr>
                <w:rFonts w:hint="eastAsia" w:ascii="Book Antiqua" w:hAnsi="Book Antiqua"/>
                <w:lang w:eastAsia="zh-CN"/>
              </w:rPr>
              <w:t xml:space="preserve"> </w:t>
            </w:r>
            <w:r>
              <w:rPr>
                <w:rFonts w:ascii="Book Antiqua" w:hAnsi="Book Antiqua"/>
              </w:rPr>
              <w:t xml:space="preserve">Parasitic infections such as infection with </w:t>
            </w:r>
            <w:r>
              <w:rPr>
                <w:rFonts w:ascii="Book Antiqua" w:hAnsi="Book Antiqua"/>
                <w:i/>
                <w:iCs/>
              </w:rPr>
              <w:t>Giardia lamblia</w:t>
            </w:r>
            <w:r>
              <w:rPr>
                <w:rFonts w:ascii="Book Antiqua" w:hAnsi="Book Antiqua"/>
              </w:rPr>
              <w:t xml:space="preserve">, </w:t>
            </w:r>
            <w:r>
              <w:rPr>
                <w:rFonts w:ascii="Book Antiqua" w:hAnsi="Book Antiqua"/>
                <w:i/>
                <w:iCs/>
              </w:rPr>
              <w:t>Entamoeba histolytica</w:t>
            </w:r>
            <w:r>
              <w:rPr>
                <w:rFonts w:ascii="Book Antiqua" w:hAnsi="Book Antiqua"/>
              </w:rPr>
              <w:t>, and Cryptosporidium can cause diarrhea and other gastrointestinal 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Acute pancreatitis</w:t>
            </w:r>
          </w:p>
        </w:tc>
        <w:tc>
          <w:tcPr>
            <w:tcW w:w="5553" w:type="dxa"/>
          </w:tcPr>
          <w:p>
            <w:pPr>
              <w:spacing w:line="360" w:lineRule="auto"/>
              <w:jc w:val="both"/>
              <w:rPr>
                <w:rFonts w:ascii="Book Antiqua" w:hAnsi="Book Antiqua"/>
              </w:rPr>
            </w:pPr>
            <w:r>
              <w:rPr>
                <w:rFonts w:ascii="Book Antiqua" w:hAnsi="Book Antiqua"/>
              </w:rPr>
              <w:t>This condition can cause abdominal pain, vomiting, and diarrhea, which may be like COVID-19-induced gastrointestinal autonomic dysfunction. Blood tests and imaging studies can help diagnose pancreatitis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Gallstones</w:t>
            </w:r>
          </w:p>
        </w:tc>
        <w:tc>
          <w:tcPr>
            <w:tcW w:w="5553" w:type="dxa"/>
          </w:tcPr>
          <w:p>
            <w:pPr>
              <w:spacing w:line="360" w:lineRule="auto"/>
              <w:jc w:val="both"/>
              <w:rPr>
                <w:rFonts w:ascii="Book Antiqua" w:hAnsi="Book Antiqua"/>
              </w:rPr>
            </w:pPr>
            <w:r>
              <w:rPr>
                <w:rFonts w:ascii="Book Antiqua" w:hAnsi="Book Antiqua"/>
              </w:rPr>
              <w:t>Gallstones can cause abdominal pain, nausea, and vomiting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Cholecystitis</w:t>
            </w:r>
          </w:p>
        </w:tc>
        <w:tc>
          <w:tcPr>
            <w:tcW w:w="5553" w:type="dxa"/>
          </w:tcPr>
          <w:p>
            <w:pPr>
              <w:spacing w:line="360" w:lineRule="auto"/>
              <w:jc w:val="both"/>
              <w:rPr>
                <w:rFonts w:ascii="Book Antiqua" w:hAnsi="Book Antiqua"/>
              </w:rPr>
            </w:pPr>
            <w:r>
              <w:rPr>
                <w:rFonts w:ascii="Book Antiqua" w:hAnsi="Book Antiqua"/>
              </w:rPr>
              <w:t>It is gallbladder inflammation, which can cause symptoms such as abdominal pain, nausea, vomiting, and fever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Inflammatory bowel disease</w:t>
            </w:r>
          </w:p>
        </w:tc>
        <w:tc>
          <w:tcPr>
            <w:tcW w:w="5553" w:type="dxa"/>
          </w:tcPr>
          <w:p>
            <w:pPr>
              <w:spacing w:line="360" w:lineRule="auto"/>
              <w:jc w:val="both"/>
              <w:rPr>
                <w:rFonts w:ascii="Book Antiqua" w:hAnsi="Book Antiqua"/>
              </w:rPr>
            </w:pPr>
            <w:r>
              <w:rPr>
                <w:rFonts w:ascii="Book Antiqua" w:hAnsi="Book Antiqua"/>
              </w:rPr>
              <w:t>Crohn's disease and ulcerative colitis can cause diarrhea, abdominal pain, and vomiting, which may be like COVID-19-induced gastrointestinal autonomic dysfunction. Endoscopy and stool tests can help to distinguish inflammatory bowel disease from other causes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Irritable bowel syndrome</w:t>
            </w:r>
          </w:p>
        </w:tc>
        <w:tc>
          <w:tcPr>
            <w:tcW w:w="5553" w:type="dxa"/>
          </w:tcPr>
          <w:p>
            <w:pPr>
              <w:spacing w:line="360" w:lineRule="auto"/>
              <w:jc w:val="both"/>
              <w:rPr>
                <w:rFonts w:ascii="Book Antiqua" w:hAnsi="Book Antiqua"/>
              </w:rPr>
            </w:pPr>
            <w:r>
              <w:rPr>
                <w:rFonts w:ascii="Book Antiqua" w:hAnsi="Book Antiqua"/>
              </w:rPr>
              <w:t>Irritable bowel syndrome</w:t>
            </w:r>
            <w:r>
              <w:rPr>
                <w:rFonts w:hint="eastAsia" w:ascii="Book Antiqua" w:hAnsi="Book Antiqua"/>
                <w:lang w:eastAsia="zh-CN"/>
              </w:rPr>
              <w:t xml:space="preserve"> </w:t>
            </w:r>
            <w:r>
              <w:rPr>
                <w:rFonts w:ascii="Book Antiqua" w:hAnsi="Book Antiqua"/>
              </w:rPr>
              <w:t xml:space="preserve">is a chronic condition that causes abdominal pain, bloating, and changes in bowel habits. These symptoms may be similar to COVID-19-induced gastrointestinal autonomic dysfunction, but </w:t>
            </w:r>
            <w:r>
              <w:rPr>
                <w:rFonts w:hint="eastAsia" w:ascii="Book Antiqua" w:hAnsi="Book Antiqua"/>
                <w:lang w:eastAsia="zh-CN"/>
              </w:rPr>
              <w:t>i</w:t>
            </w:r>
            <w:r>
              <w:rPr>
                <w:rFonts w:ascii="Book Antiqua" w:hAnsi="Book Antiqua"/>
              </w:rPr>
              <w:t>rritable bowel syndrome is a non-inflammatory condition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Post-infectious irritable bowel syndrome</w:t>
            </w:r>
          </w:p>
        </w:tc>
        <w:tc>
          <w:tcPr>
            <w:tcW w:w="5553" w:type="dxa"/>
          </w:tcPr>
          <w:p>
            <w:pPr>
              <w:spacing w:line="360" w:lineRule="auto"/>
              <w:jc w:val="both"/>
              <w:rPr>
                <w:rFonts w:ascii="Book Antiqua" w:hAnsi="Book Antiqua"/>
              </w:rPr>
            </w:pPr>
            <w:r>
              <w:rPr>
                <w:rFonts w:ascii="Book Antiqua" w:hAnsi="Book Antiqua"/>
              </w:rPr>
              <w:t>Post-infectious irritable bowel syndrome is a subtype of irritable bowel syndrome that occurs following an infection. This condition can cause similar symptoms to COVID-19-induced gastrointestinal autonomic dysfunction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Celiac disease</w:t>
            </w:r>
          </w:p>
        </w:tc>
        <w:tc>
          <w:tcPr>
            <w:tcW w:w="5553" w:type="dxa"/>
          </w:tcPr>
          <w:p>
            <w:pPr>
              <w:spacing w:line="360" w:lineRule="auto"/>
              <w:jc w:val="both"/>
              <w:rPr>
                <w:rFonts w:ascii="Book Antiqua" w:hAnsi="Book Antiqua"/>
              </w:rPr>
            </w:pPr>
            <w:r>
              <w:rPr>
                <w:rFonts w:ascii="Book Antiqua" w:hAnsi="Book Antiqua"/>
              </w:rPr>
              <w:t>Celiac disease is an autoimmune disorder that affects the small intestine, causing symptoms such as diarrhea, abdominal pain, and bloating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Small intestinal bacterial overgrowth</w:t>
            </w:r>
          </w:p>
        </w:tc>
        <w:tc>
          <w:tcPr>
            <w:tcW w:w="5553" w:type="dxa"/>
          </w:tcPr>
          <w:p>
            <w:pPr>
              <w:spacing w:line="360" w:lineRule="auto"/>
              <w:jc w:val="both"/>
              <w:rPr>
                <w:rFonts w:ascii="Book Antiqua" w:hAnsi="Book Antiqua"/>
              </w:rPr>
            </w:pPr>
            <w:r>
              <w:rPr>
                <w:rFonts w:ascii="Book Antiqua" w:hAnsi="Book Antiqua"/>
              </w:rPr>
              <w:t>Small intestinal bacterial overgrowth is a condition in which there is an overgrowth of bacteria in the small intestine, leading to symptoms such as diarrhea, bloating, and abdominal pain. It can be diagnosed through a breath test and a physical exam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Gastrointestinal malignancies</w:t>
            </w:r>
          </w:p>
        </w:tc>
        <w:tc>
          <w:tcPr>
            <w:tcW w:w="5553" w:type="dxa"/>
          </w:tcPr>
          <w:p>
            <w:pPr>
              <w:spacing w:line="360" w:lineRule="auto"/>
              <w:jc w:val="both"/>
              <w:rPr>
                <w:rFonts w:ascii="Book Antiqua" w:hAnsi="Book Antiqua"/>
              </w:rPr>
            </w:pPr>
            <w:r>
              <w:rPr>
                <w:rFonts w:ascii="Book Antiqua" w:hAnsi="Book Antiqua"/>
              </w:rPr>
              <w:t>Gastrointestinal malignancies</w:t>
            </w:r>
            <w:r>
              <w:rPr>
                <w:rFonts w:hint="eastAsia" w:ascii="Book Antiqua" w:hAnsi="Book Antiqua"/>
                <w:lang w:eastAsia="zh-CN"/>
              </w:rPr>
              <w:t xml:space="preserve"> s</w:t>
            </w:r>
            <w:r>
              <w:rPr>
                <w:rFonts w:ascii="Book Antiqua" w:hAnsi="Book Antiqua"/>
              </w:rPr>
              <w:t>uch as colon cancer, gastric cancer, or pancreatic cancer, can cause abdominal pain, bloating, nausea, vomiting, and changes in bowel habits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restart"/>
            <w:vAlign w:val="center"/>
          </w:tcPr>
          <w:p>
            <w:pPr>
              <w:spacing w:line="360" w:lineRule="auto"/>
              <w:jc w:val="both"/>
              <w:rPr>
                <w:rFonts w:ascii="Book Antiqua" w:hAnsi="Book Antiqua"/>
              </w:rPr>
            </w:pPr>
            <w:r>
              <w:rPr>
                <w:rFonts w:ascii="Book Antiqua" w:hAnsi="Book Antiqua"/>
              </w:rPr>
              <w:t>Food-related disorders</w:t>
            </w:r>
          </w:p>
        </w:tc>
        <w:tc>
          <w:tcPr>
            <w:tcW w:w="2115" w:type="dxa"/>
          </w:tcPr>
          <w:p>
            <w:pPr>
              <w:spacing w:line="360" w:lineRule="auto"/>
              <w:jc w:val="both"/>
              <w:rPr>
                <w:rFonts w:ascii="Book Antiqua" w:hAnsi="Book Antiqua"/>
              </w:rPr>
            </w:pPr>
            <w:r>
              <w:rPr>
                <w:rFonts w:ascii="Book Antiqua" w:hAnsi="Book Antiqua"/>
              </w:rPr>
              <w:t>Food poisoning</w:t>
            </w:r>
          </w:p>
        </w:tc>
        <w:tc>
          <w:tcPr>
            <w:tcW w:w="5553" w:type="dxa"/>
          </w:tcPr>
          <w:p>
            <w:pPr>
              <w:spacing w:line="360" w:lineRule="auto"/>
              <w:jc w:val="both"/>
              <w:rPr>
                <w:rFonts w:ascii="Book Antiqua" w:hAnsi="Book Antiqua"/>
              </w:rPr>
            </w:pPr>
            <w:r>
              <w:rPr>
                <w:rFonts w:ascii="Book Antiqua" w:hAnsi="Book Antiqua"/>
              </w:rPr>
              <w:t>Food poisoning is a bacterial or viral infection caused by consuming contaminated food, causing symptoms such as diarrhea, nausea, vomiting, and abdominal pain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Food intolerance</w:t>
            </w:r>
          </w:p>
        </w:tc>
        <w:tc>
          <w:tcPr>
            <w:tcW w:w="5553" w:type="dxa"/>
          </w:tcPr>
          <w:p>
            <w:pPr>
              <w:spacing w:line="360" w:lineRule="auto"/>
              <w:jc w:val="both"/>
              <w:rPr>
                <w:rFonts w:ascii="Book Antiqua" w:hAnsi="Book Antiqua"/>
              </w:rPr>
            </w:pPr>
            <w:r>
              <w:rPr>
                <w:rFonts w:hint="eastAsia" w:ascii="Book Antiqua" w:hAnsi="Book Antiqua"/>
                <w:lang w:eastAsia="zh-CN"/>
              </w:rPr>
              <w:t>L</w:t>
            </w:r>
            <w:r>
              <w:rPr>
                <w:rFonts w:ascii="Book Antiqua" w:hAnsi="Book Antiqua"/>
              </w:rPr>
              <w:t>actose intolerance or gluten intolerance</w:t>
            </w:r>
            <w:r>
              <w:rPr>
                <w:rFonts w:hint="eastAsia" w:ascii="Book Antiqua" w:hAnsi="Book Antiqua"/>
                <w:lang w:eastAsia="zh-CN"/>
              </w:rPr>
              <w:t xml:space="preserve"> </w:t>
            </w:r>
            <w:r>
              <w:rPr>
                <w:rFonts w:ascii="Book Antiqua" w:hAnsi="Book Antiqua"/>
              </w:rPr>
              <w:t>can cause gastrointestinal 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Align w:val="center"/>
          </w:tcPr>
          <w:p>
            <w:pPr>
              <w:spacing w:line="360" w:lineRule="auto"/>
              <w:jc w:val="both"/>
              <w:rPr>
                <w:rFonts w:ascii="Book Antiqua" w:hAnsi="Book Antiqua"/>
              </w:rPr>
            </w:pPr>
            <w:r>
              <w:rPr>
                <w:rFonts w:ascii="Book Antiqua" w:hAnsi="Book Antiqua"/>
              </w:rPr>
              <w:t>Endocrine disorders</w:t>
            </w:r>
          </w:p>
        </w:tc>
        <w:tc>
          <w:tcPr>
            <w:tcW w:w="2115" w:type="dxa"/>
          </w:tcPr>
          <w:p>
            <w:pPr>
              <w:spacing w:line="360" w:lineRule="auto"/>
              <w:jc w:val="both"/>
              <w:rPr>
                <w:rFonts w:ascii="Book Antiqua" w:hAnsi="Book Antiqua"/>
                <w:lang w:eastAsia="zh-CN"/>
              </w:rPr>
            </w:pPr>
            <w:r>
              <w:rPr>
                <w:rFonts w:ascii="Book Antiqua" w:hAnsi="Book Antiqua"/>
              </w:rPr>
              <w:t>Hyperthyroidism</w:t>
            </w:r>
            <w:r>
              <w:rPr>
                <w:rFonts w:hint="eastAsia" w:ascii="Book Antiqua" w:hAnsi="Book Antiqua"/>
                <w:lang w:eastAsia="zh-CN"/>
              </w:rPr>
              <w:t>,</w:t>
            </w:r>
          </w:p>
          <w:p>
            <w:pPr>
              <w:spacing w:line="360" w:lineRule="auto"/>
              <w:jc w:val="both"/>
              <w:rPr>
                <w:rFonts w:ascii="Book Antiqua" w:hAnsi="Book Antiqua"/>
                <w:lang w:eastAsia="zh-CN"/>
              </w:rPr>
            </w:pPr>
            <w:r>
              <w:rPr>
                <w:rFonts w:hint="eastAsia" w:ascii="Book Antiqua" w:hAnsi="Book Antiqua"/>
                <w:lang w:eastAsia="zh-CN"/>
              </w:rPr>
              <w:t>d</w:t>
            </w:r>
            <w:r>
              <w:rPr>
                <w:rFonts w:ascii="Book Antiqua" w:hAnsi="Book Antiqua"/>
              </w:rPr>
              <w:t>iabetes</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adrenal insufficiency</w:t>
            </w:r>
          </w:p>
        </w:tc>
        <w:tc>
          <w:tcPr>
            <w:tcW w:w="5553" w:type="dxa"/>
          </w:tcPr>
          <w:p>
            <w:pPr>
              <w:spacing w:line="360" w:lineRule="auto"/>
              <w:jc w:val="both"/>
              <w:rPr>
                <w:rFonts w:ascii="Book Antiqua" w:hAnsi="Book Antiqua"/>
              </w:rPr>
            </w:pPr>
            <w:r>
              <w:rPr>
                <w:rFonts w:ascii="Book Antiqua" w:hAnsi="Book Antiqua"/>
              </w:rPr>
              <w:t>Certain hormonal imbalances, such as hyperthyroidism, diabetes, or adrenal insufficiency, can cause gastrointestinal symptoms and autonomic dysfunction. For example, in diabetic neuropathy, diabetes can damage the nerves that control the gastrointestinal system, leading to symptoms such as delayed gastric emptying and gastroparesis. Diabetic gastroparesis symptoms include nausea, vomiting, bloating, and early satiety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Align w:val="center"/>
          </w:tcPr>
          <w:p>
            <w:pPr>
              <w:spacing w:line="360" w:lineRule="auto"/>
              <w:jc w:val="both"/>
              <w:rPr>
                <w:rFonts w:ascii="Book Antiqua" w:hAnsi="Book Antiqua"/>
              </w:rPr>
            </w:pPr>
            <w:r>
              <w:rPr>
                <w:rFonts w:ascii="Book Antiqua" w:hAnsi="Book Antiqua"/>
              </w:rPr>
              <w:t>Psychiatric disorders</w:t>
            </w:r>
          </w:p>
        </w:tc>
        <w:tc>
          <w:tcPr>
            <w:tcW w:w="2115" w:type="dxa"/>
          </w:tcPr>
          <w:p>
            <w:pPr>
              <w:spacing w:line="360" w:lineRule="auto"/>
              <w:jc w:val="both"/>
              <w:rPr>
                <w:rFonts w:ascii="Book Antiqua" w:hAnsi="Book Antiqua"/>
                <w:lang w:eastAsia="zh-CN"/>
              </w:rPr>
            </w:pPr>
            <w:r>
              <w:rPr>
                <w:rFonts w:ascii="Book Antiqua" w:hAnsi="Book Antiqua"/>
              </w:rPr>
              <w:t>Stress</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a</w:t>
            </w:r>
            <w:r>
              <w:rPr>
                <w:rFonts w:ascii="Book Antiqua" w:hAnsi="Book Antiqua"/>
              </w:rPr>
              <w:t>nxiety</w:t>
            </w:r>
            <w:r>
              <w:rPr>
                <w:rFonts w:hint="eastAsia" w:ascii="Book Antiqua" w:hAnsi="Book Antiqua"/>
                <w:lang w:eastAsia="zh-CN"/>
              </w:rPr>
              <w:t>,</w:t>
            </w:r>
          </w:p>
          <w:p>
            <w:pPr>
              <w:spacing w:line="360" w:lineRule="auto"/>
              <w:jc w:val="both"/>
              <w:rPr>
                <w:rFonts w:ascii="Book Antiqua" w:hAnsi="Book Antiqua"/>
                <w:lang w:eastAsia="zh-CN"/>
              </w:rPr>
            </w:pPr>
            <w:r>
              <w:rPr>
                <w:rFonts w:ascii="Book Antiqua" w:hAnsi="Book Antiqua"/>
              </w:rPr>
              <w:t>somatization disorders</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depression</w:t>
            </w:r>
          </w:p>
        </w:tc>
        <w:tc>
          <w:tcPr>
            <w:tcW w:w="5553" w:type="dxa"/>
          </w:tcPr>
          <w:p>
            <w:pPr>
              <w:spacing w:line="360" w:lineRule="auto"/>
              <w:jc w:val="both"/>
              <w:rPr>
                <w:rFonts w:ascii="Book Antiqua" w:hAnsi="Book Antiqua"/>
              </w:rPr>
            </w:pPr>
            <w:r>
              <w:rPr>
                <w:rFonts w:ascii="Book Antiqua" w:hAnsi="Book Antiqua"/>
              </w:rPr>
              <w:t>Conditions such as stress, anxiety, somatization disorders, and depression can cause gastrointestinal symptoms such as nausea and vomiting and symptoms of autonomic dysfunction, such as rapid heartbeat and sweating. It is essential to assess the patient's mental health and history of psychiatric disorders to determine if psychological factors may contribute to the patient's presentation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Align w:val="center"/>
          </w:tcPr>
          <w:p>
            <w:pPr>
              <w:spacing w:line="360" w:lineRule="auto"/>
              <w:jc w:val="both"/>
              <w:rPr>
                <w:rFonts w:ascii="Book Antiqua" w:hAnsi="Book Antiqua"/>
              </w:rPr>
            </w:pPr>
            <w:r>
              <w:rPr>
                <w:rFonts w:ascii="Book Antiqua" w:hAnsi="Book Antiqua"/>
              </w:rPr>
              <w:t>Neurological disorders</w:t>
            </w:r>
          </w:p>
        </w:tc>
        <w:tc>
          <w:tcPr>
            <w:tcW w:w="2115" w:type="dxa"/>
          </w:tcPr>
          <w:p>
            <w:pPr>
              <w:spacing w:line="360" w:lineRule="auto"/>
              <w:jc w:val="both"/>
              <w:rPr>
                <w:rFonts w:ascii="Book Antiqua" w:hAnsi="Book Antiqua"/>
                <w:lang w:eastAsia="zh-CN"/>
              </w:rPr>
            </w:pPr>
            <w:r>
              <w:rPr>
                <w:rFonts w:ascii="Book Antiqua" w:hAnsi="Book Antiqua"/>
              </w:rPr>
              <w:t>Parkinson's disease</w:t>
            </w:r>
            <w:r>
              <w:rPr>
                <w:rFonts w:hint="eastAsia" w:ascii="Book Antiqua" w:hAnsi="Book Antiqua"/>
                <w:lang w:eastAsia="zh-CN"/>
              </w:rPr>
              <w:t>, m</w:t>
            </w:r>
            <w:r>
              <w:rPr>
                <w:rFonts w:ascii="Book Antiqua" w:hAnsi="Book Antiqua"/>
              </w:rPr>
              <w:t>ultiple sclerosis</w:t>
            </w:r>
            <w:r>
              <w:rPr>
                <w:rFonts w:hint="eastAsia" w:ascii="Book Antiqua" w:hAnsi="Book Antiqua"/>
                <w:lang w:eastAsia="zh-CN"/>
              </w:rPr>
              <w:t>, m</w:t>
            </w:r>
            <w:r>
              <w:rPr>
                <w:rFonts w:ascii="Book Antiqua" w:hAnsi="Book Antiqua"/>
              </w:rPr>
              <w:t>ultiple system atrophy</w:t>
            </w:r>
            <w:r>
              <w:rPr>
                <w:rFonts w:hint="eastAsia" w:ascii="Book Antiqua" w:hAnsi="Book Antiqua"/>
                <w:lang w:eastAsia="zh-CN"/>
              </w:rPr>
              <w:t>,</w:t>
            </w:r>
          </w:p>
          <w:p>
            <w:pPr>
              <w:spacing w:line="360" w:lineRule="auto"/>
              <w:jc w:val="both"/>
              <w:rPr>
                <w:rFonts w:ascii="Book Antiqua" w:hAnsi="Book Antiqua"/>
              </w:rPr>
            </w:pPr>
            <w:r>
              <w:rPr>
                <w:rFonts w:hint="eastAsia" w:ascii="Book Antiqua" w:hAnsi="Book Antiqua"/>
                <w:lang w:eastAsia="zh-CN"/>
              </w:rPr>
              <w:t>p</w:t>
            </w:r>
            <w:r>
              <w:rPr>
                <w:rFonts w:ascii="Book Antiqua" w:hAnsi="Book Antiqua"/>
              </w:rPr>
              <w:t>ure autonomic failure</w:t>
            </w:r>
          </w:p>
        </w:tc>
        <w:tc>
          <w:tcPr>
            <w:tcW w:w="5553" w:type="dxa"/>
          </w:tcPr>
          <w:p>
            <w:pPr>
              <w:spacing w:line="360" w:lineRule="auto"/>
              <w:jc w:val="both"/>
              <w:rPr>
                <w:rFonts w:ascii="Book Antiqua" w:hAnsi="Book Antiqua"/>
              </w:rPr>
            </w:pPr>
            <w:r>
              <w:rPr>
                <w:rFonts w:ascii="Book Antiqua" w:hAnsi="Book Antiqua"/>
              </w:rPr>
              <w:t>Certain neurological disorders can cause autonomic dysfunction, including Parkinson's disease, multiple sclerosis, multiple system atrophy, and pure autonomic failure. For example, Parkinson's disease can cause gastrointestinal symptoms such as constipation and difficulty swallowing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restart"/>
            <w:vAlign w:val="center"/>
          </w:tcPr>
          <w:p>
            <w:pPr>
              <w:spacing w:line="360" w:lineRule="auto"/>
              <w:jc w:val="both"/>
              <w:rPr>
                <w:rFonts w:ascii="Book Antiqua" w:hAnsi="Book Antiqua"/>
              </w:rPr>
            </w:pPr>
            <w:r>
              <w:rPr>
                <w:rFonts w:ascii="Book Antiqua" w:hAnsi="Book Antiqua"/>
              </w:rPr>
              <w:t>Autonomic nervous system dysfunction</w:t>
            </w:r>
          </w:p>
        </w:tc>
        <w:tc>
          <w:tcPr>
            <w:tcW w:w="2115" w:type="dxa"/>
          </w:tcPr>
          <w:p>
            <w:pPr>
              <w:spacing w:line="360" w:lineRule="auto"/>
              <w:jc w:val="both"/>
              <w:rPr>
                <w:rFonts w:ascii="Book Antiqua" w:hAnsi="Book Antiqua"/>
              </w:rPr>
            </w:pPr>
            <w:r>
              <w:rPr>
                <w:rFonts w:ascii="Book Antiqua" w:hAnsi="Book Antiqua"/>
              </w:rPr>
              <w:t>Postural orthostatic tachycardia syndrome</w:t>
            </w:r>
          </w:p>
        </w:tc>
        <w:tc>
          <w:tcPr>
            <w:tcW w:w="5553" w:type="dxa"/>
          </w:tcPr>
          <w:p>
            <w:pPr>
              <w:spacing w:line="360" w:lineRule="auto"/>
              <w:jc w:val="both"/>
              <w:rPr>
                <w:rFonts w:ascii="Book Antiqua" w:hAnsi="Book Antiqua"/>
              </w:rPr>
            </w:pPr>
            <w:r>
              <w:rPr>
                <w:rFonts w:ascii="Book Antiqua" w:hAnsi="Book Antiqua"/>
              </w:rPr>
              <w:t>Postural orthostatic tachycardia syndrome is a condition that causes an abnormal increase in heart rate when changing position from lying down to standing up. Symptoms can include gastrointestinal symptoms such as nausea, vomiting, and abdominal pain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Merge w:val="continue"/>
            <w:vAlign w:val="center"/>
          </w:tcPr>
          <w:p>
            <w:pPr>
              <w:spacing w:line="360" w:lineRule="auto"/>
              <w:jc w:val="both"/>
              <w:rPr>
                <w:rFonts w:ascii="Book Antiqua" w:hAnsi="Book Antiqua"/>
                <w:b/>
                <w:bCs/>
              </w:rPr>
            </w:pPr>
          </w:p>
        </w:tc>
        <w:tc>
          <w:tcPr>
            <w:tcW w:w="2115" w:type="dxa"/>
          </w:tcPr>
          <w:p>
            <w:pPr>
              <w:spacing w:line="360" w:lineRule="auto"/>
              <w:jc w:val="both"/>
              <w:rPr>
                <w:rFonts w:ascii="Book Antiqua" w:hAnsi="Book Antiqua"/>
              </w:rPr>
            </w:pPr>
            <w:r>
              <w:rPr>
                <w:rFonts w:ascii="Book Antiqua" w:hAnsi="Book Antiqua"/>
              </w:rPr>
              <w:t>Autonomic neuropathy</w:t>
            </w:r>
          </w:p>
        </w:tc>
        <w:tc>
          <w:tcPr>
            <w:tcW w:w="5553" w:type="dxa"/>
          </w:tcPr>
          <w:p>
            <w:pPr>
              <w:spacing w:line="360" w:lineRule="auto"/>
              <w:jc w:val="both"/>
              <w:rPr>
                <w:rFonts w:ascii="Book Antiqua" w:hAnsi="Book Antiqua"/>
              </w:rPr>
            </w:pPr>
            <w:r>
              <w:rPr>
                <w:rFonts w:ascii="Book Antiqua" w:hAnsi="Book Antiqua"/>
              </w:rPr>
              <w:t>Autonomic neuropathy is a condition that affects the nerves that control the body’s automatic functions, including the gastrointestinal system. It can cause symptoms such as delayed gastric emptying, constipation, and gastroparesis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Align w:val="center"/>
          </w:tcPr>
          <w:p>
            <w:pPr>
              <w:spacing w:line="360" w:lineRule="auto"/>
              <w:jc w:val="both"/>
              <w:rPr>
                <w:rFonts w:ascii="Book Antiqua" w:hAnsi="Book Antiqua"/>
              </w:rPr>
            </w:pPr>
            <w:r>
              <w:rPr>
                <w:rFonts w:ascii="Book Antiqua" w:hAnsi="Book Antiqua"/>
              </w:rPr>
              <w:t>Metabolic disorders</w:t>
            </w:r>
          </w:p>
        </w:tc>
        <w:tc>
          <w:tcPr>
            <w:tcW w:w="2115" w:type="dxa"/>
          </w:tcPr>
          <w:p>
            <w:pPr>
              <w:spacing w:line="360" w:lineRule="auto"/>
              <w:jc w:val="both"/>
              <w:rPr>
                <w:rFonts w:ascii="Book Antiqua" w:hAnsi="Book Antiqua"/>
              </w:rPr>
            </w:pPr>
          </w:p>
        </w:tc>
        <w:tc>
          <w:tcPr>
            <w:tcW w:w="5553" w:type="dxa"/>
          </w:tcPr>
          <w:p>
            <w:pPr>
              <w:spacing w:line="360" w:lineRule="auto"/>
              <w:jc w:val="both"/>
              <w:rPr>
                <w:rFonts w:ascii="Book Antiqua" w:hAnsi="Book Antiqua"/>
              </w:rPr>
            </w:pPr>
            <w:r>
              <w:rPr>
                <w:rFonts w:ascii="Book Antiqua" w:hAnsi="Book Antiqua"/>
              </w:rPr>
              <w:t>Metabolic disorders such as liver disease, kidney disease, and electrolyte imbalances can cause gastrointestinal and autonomic 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08" w:type="dxa"/>
            <w:vAlign w:val="center"/>
          </w:tcPr>
          <w:p>
            <w:pPr>
              <w:spacing w:line="360" w:lineRule="auto"/>
              <w:jc w:val="both"/>
              <w:rPr>
                <w:rFonts w:ascii="Book Antiqua" w:hAnsi="Book Antiqua"/>
              </w:rPr>
            </w:pPr>
            <w:r>
              <w:rPr>
                <w:rFonts w:ascii="Book Antiqua" w:hAnsi="Book Antiqua"/>
              </w:rPr>
              <w:t>Medications</w:t>
            </w:r>
          </w:p>
        </w:tc>
        <w:tc>
          <w:tcPr>
            <w:tcW w:w="2115" w:type="dxa"/>
          </w:tcPr>
          <w:p>
            <w:pPr>
              <w:spacing w:line="360" w:lineRule="auto"/>
              <w:jc w:val="both"/>
              <w:rPr>
                <w:rFonts w:ascii="Book Antiqua" w:hAnsi="Book Antiqua"/>
              </w:rPr>
            </w:pPr>
          </w:p>
        </w:tc>
        <w:tc>
          <w:tcPr>
            <w:tcW w:w="5553" w:type="dxa"/>
          </w:tcPr>
          <w:p>
            <w:pPr>
              <w:spacing w:line="360" w:lineRule="auto"/>
              <w:jc w:val="both"/>
              <w:rPr>
                <w:rFonts w:ascii="Book Antiqua" w:hAnsi="Book Antiqua"/>
              </w:rPr>
            </w:pPr>
            <w:r>
              <w:rPr>
                <w:rFonts w:ascii="Book Antiqua" w:hAnsi="Book Antiqua"/>
              </w:rPr>
              <w:t>Certain medications include opioids, anticholinergics, antibiotics, antihypertensives (</w:t>
            </w:r>
            <w:r>
              <w:rPr>
                <w:rFonts w:ascii="Book Antiqua" w:hAnsi="Book Antiqua"/>
                <w:i/>
                <w:iCs/>
              </w:rPr>
              <w:t>e.g.,</w:t>
            </w:r>
            <w:r>
              <w:rPr>
                <w:rFonts w:ascii="Book Antiqua" w:hAnsi="Book Antiqua"/>
              </w:rPr>
              <w:t xml:space="preserve"> calcium channel and beta blockers), nonsteroidal anti-inflammatory drugs, corticosteroids, chemotherapy drugs, and proton pump inhibitors, which can cause gastrointestinal symptoms</w:t>
            </w:r>
          </w:p>
        </w:tc>
      </w:tr>
    </w:tbl>
    <w:p>
      <w:pPr>
        <w:spacing w:line="360" w:lineRule="auto"/>
        <w:jc w:val="both"/>
        <w:rPr>
          <w:rFonts w:ascii="Book Antiqua" w:hAnsi="Book Antiqua"/>
        </w:rPr>
      </w:pPr>
      <w:r>
        <w:rPr>
          <w:rFonts w:ascii="Book Antiqua" w:hAnsi="Book Antiqua"/>
        </w:rPr>
        <w:t>COVID-19: Coronavirus disease 2019.</w:t>
      </w:r>
    </w:p>
    <w:p>
      <w:pPr>
        <w:spacing w:line="360" w:lineRule="auto"/>
        <w:jc w:val="both"/>
        <w:rPr>
          <w:rFonts w:ascii="Book Antiqua" w:hAnsi="Book Antiqua"/>
        </w:rPr>
      </w:pPr>
    </w:p>
    <w:p>
      <w:pPr>
        <w:spacing w:line="360" w:lineRule="auto"/>
        <w:jc w:val="both"/>
        <w:rPr>
          <w:rFonts w:ascii="Book Antiqua" w:hAnsi="Book Antiqua"/>
          <w:b/>
          <w:bCs/>
        </w:rPr>
      </w:pPr>
    </w:p>
    <w:p>
      <w:pPr>
        <w:spacing w:line="360" w:lineRule="auto"/>
        <w:jc w:val="both"/>
        <w:rPr>
          <w:rFonts w:ascii="Book Antiqua" w:hAnsi="Book Antiqua"/>
          <w:b/>
          <w:bCs/>
        </w:rPr>
      </w:pPr>
      <w:r>
        <w:rPr>
          <w:rFonts w:ascii="Book Antiqua" w:hAnsi="Book Antiqua"/>
          <w:b/>
          <w:bCs/>
        </w:rPr>
        <w:br w:type="page"/>
      </w:r>
      <w:r>
        <w:rPr>
          <w:rFonts w:ascii="Book Antiqua" w:hAnsi="Book Antiqua"/>
          <w:b/>
          <w:bCs/>
        </w:rPr>
        <w:t>Table 8 Treatment of gastrointestinal autonomic dysfunction in patients with coronavirus disease 2019</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51"/>
        <w:gridCol w:w="68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Treatment</w:t>
            </w:r>
          </w:p>
        </w:tc>
        <w:tc>
          <w:tcPr>
            <w:tcW w:w="6825"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rPr>
              <w:t>Comments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tcBorders>
              <w:top w:val="single" w:color="auto" w:sz="4" w:space="0"/>
            </w:tcBorders>
          </w:tcPr>
          <w:p>
            <w:pPr>
              <w:spacing w:line="360" w:lineRule="auto"/>
              <w:jc w:val="both"/>
              <w:rPr>
                <w:rFonts w:ascii="Book Antiqua" w:hAnsi="Book Antiqua"/>
              </w:rPr>
            </w:pPr>
            <w:r>
              <w:rPr>
                <w:rFonts w:ascii="Book Antiqua" w:hAnsi="Book Antiqua"/>
              </w:rPr>
              <w:t>Infection control measures</w:t>
            </w:r>
          </w:p>
        </w:tc>
        <w:tc>
          <w:tcPr>
            <w:tcW w:w="6825" w:type="dxa"/>
            <w:tcBorders>
              <w:top w:val="single" w:color="auto" w:sz="4" w:space="0"/>
            </w:tcBorders>
          </w:tcPr>
          <w:p>
            <w:pPr>
              <w:spacing w:line="360" w:lineRule="auto"/>
              <w:jc w:val="both"/>
              <w:rPr>
                <w:rFonts w:ascii="Book Antiqua" w:hAnsi="Book Antiqua"/>
              </w:rPr>
            </w:pPr>
            <w:r>
              <w:rPr>
                <w:rFonts w:ascii="Book Antiqua" w:hAnsi="Book Antiqua"/>
              </w:rPr>
              <w:t xml:space="preserve">To prevent the spread of COVID-19, following the public health guidelines, such as social distancing, wearing a face mask, and practicing </w:t>
            </w:r>
            <w:r>
              <w:rPr>
                <w:rFonts w:ascii="Book Antiqua" w:hAnsi="Book Antiqua"/>
                <w:cs/>
              </w:rPr>
              <w:t>‎</w:t>
            </w:r>
            <w:r>
              <w:rPr>
                <w:rFonts w:ascii="Book Antiqua" w:hAnsi="Book Antiqua"/>
              </w:rPr>
              <w:t>good hand hygiene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restart"/>
          </w:tcPr>
          <w:p>
            <w:pPr>
              <w:spacing w:line="360" w:lineRule="auto"/>
              <w:jc w:val="both"/>
              <w:rPr>
                <w:rFonts w:ascii="Book Antiqua" w:hAnsi="Book Antiqua"/>
              </w:rPr>
            </w:pPr>
            <w:r>
              <w:rPr>
                <w:rFonts w:ascii="Book Antiqua" w:hAnsi="Book Antiqua"/>
              </w:rPr>
              <w:t>Treatment of COVID-19</w:t>
            </w:r>
          </w:p>
        </w:tc>
        <w:tc>
          <w:tcPr>
            <w:tcW w:w="6825" w:type="dxa"/>
          </w:tcPr>
          <w:p>
            <w:pPr>
              <w:spacing w:line="360" w:lineRule="auto"/>
              <w:jc w:val="both"/>
              <w:rPr>
                <w:rFonts w:ascii="Book Antiqua" w:hAnsi="Book Antiqua"/>
              </w:rPr>
            </w:pPr>
            <w:r>
              <w:rPr>
                <w:rFonts w:ascii="Book Antiqua" w:hAnsi="Book Antiqua"/>
              </w:rPr>
              <w:t>Treatment of COVID-19</w:t>
            </w:r>
            <w:r>
              <w:rPr>
                <w:rFonts w:hint="eastAsia" w:ascii="Book Antiqua" w:hAnsi="Book Antiqua"/>
                <w:lang w:eastAsia="zh-CN"/>
              </w:rPr>
              <w:t xml:space="preserve"> s</w:t>
            </w:r>
            <w:r>
              <w:rPr>
                <w:rFonts w:ascii="Book Antiqua" w:hAnsi="Book Antiqua"/>
              </w:rPr>
              <w:t>hould be made on a case-by-case basis, based on the severity of</w:t>
            </w:r>
            <w:r>
              <w:rPr>
                <w:rFonts w:hint="eastAsia" w:ascii="Book Antiqua" w:hAnsi="Book Antiqua"/>
                <w:lang w:eastAsia="zh-CN"/>
              </w:rPr>
              <w:t xml:space="preserve"> </w:t>
            </w:r>
            <w:r>
              <w:rPr>
                <w:rFonts w:ascii="Book Antiqua" w:hAnsi="Book Antiqua"/>
              </w:rPr>
              <w:t>COVID-19</w:t>
            </w:r>
            <w:r>
              <w:rPr>
                <w:rFonts w:hint="eastAsia" w:ascii="Book Antiqua" w:hAnsi="Book Antiqua"/>
                <w:lang w:eastAsia="zh-CN"/>
              </w:rPr>
              <w:t xml:space="preserve"> </w:t>
            </w:r>
            <w:r>
              <w:rPr>
                <w:rFonts w:ascii="Book Antiqua" w:hAnsi="Book Antiqua"/>
              </w:rPr>
              <w:t>and the patient's overall health status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Antiviral therapy</w:t>
            </w:r>
            <w:r>
              <w:rPr>
                <w:rFonts w:hint="eastAsia" w:ascii="Book Antiqua" w:hAnsi="Book Antiqua"/>
                <w:lang w:eastAsia="zh-CN"/>
              </w:rPr>
              <w:t xml:space="preserve"> s</w:t>
            </w:r>
            <w:r>
              <w:rPr>
                <w:rFonts w:ascii="Book Antiqua" w:hAnsi="Book Antiqua"/>
              </w:rPr>
              <w:t>uch as Remdesivir and Molnupiravir, could be used in patients with COVID-19 to reduce the severity and duration of the illness. However, there is limited evidence for the effectiveness of antiviral therapy for COVID-19-induced gastrointestinal autonomic dysfunction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Immunomodulatory therapy in severe cases of COVID-19-induced gastrointestinal autonomic dysfunction, such as corticosteroids or monoclonal antibodies</w:t>
            </w:r>
            <w:r>
              <w:rPr>
                <w:rFonts w:hint="eastAsia" w:ascii="Book Antiqua" w:hAnsi="Book Antiqua"/>
                <w:lang w:eastAsia="zh-CN"/>
              </w:rPr>
              <w:t xml:space="preserve"> </w:t>
            </w:r>
            <w:r>
              <w:rPr>
                <w:rFonts w:ascii="Book Antiqua" w:hAnsi="Book Antiqua"/>
              </w:rPr>
              <w:t>such as Tocilizumab, may be needed to reduce inflammation and prevent complications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Oxygen therapy may be needed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Manage any other COVID-19-related complications that may arise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restart"/>
          </w:tcPr>
          <w:p>
            <w:pPr>
              <w:spacing w:line="360" w:lineRule="auto"/>
              <w:jc w:val="both"/>
              <w:rPr>
                <w:rFonts w:ascii="Book Antiqua" w:hAnsi="Book Antiqua"/>
              </w:rPr>
            </w:pPr>
            <w:r>
              <w:rPr>
                <w:rFonts w:ascii="Book Antiqua" w:hAnsi="Book Antiqua"/>
              </w:rPr>
              <w:t xml:space="preserve">Supportive management </w:t>
            </w:r>
          </w:p>
        </w:tc>
        <w:tc>
          <w:tcPr>
            <w:tcW w:w="6825" w:type="dxa"/>
          </w:tcPr>
          <w:p>
            <w:pPr>
              <w:spacing w:line="360" w:lineRule="auto"/>
              <w:jc w:val="both"/>
              <w:rPr>
                <w:rFonts w:ascii="Book Antiqua" w:hAnsi="Book Antiqua"/>
                <w:lang w:eastAsia="zh-CN"/>
              </w:rPr>
            </w:pPr>
            <w:r>
              <w:rPr>
                <w:rFonts w:ascii="Book Antiqua" w:hAnsi="Book Antiqua"/>
              </w:rPr>
              <w:t>ORT, intravenous fluids, and electrolyte replacement therapy</w:t>
            </w:r>
            <w:r>
              <w:rPr>
                <w:rFonts w:hint="eastAsia" w:ascii="Book Antiqua" w:hAnsi="Book Antiqua"/>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Getting enough rest is crucial to enhance recovery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restart"/>
          </w:tcPr>
          <w:p>
            <w:pPr>
              <w:spacing w:line="360" w:lineRule="auto"/>
              <w:jc w:val="both"/>
              <w:rPr>
                <w:rFonts w:ascii="Book Antiqua" w:hAnsi="Book Antiqua"/>
              </w:rPr>
            </w:pPr>
            <w:r>
              <w:rPr>
                <w:rFonts w:ascii="Book Antiqua" w:hAnsi="Book Antiqua"/>
              </w:rPr>
              <w:t>Symptomatic treatment</w:t>
            </w:r>
          </w:p>
        </w:tc>
        <w:tc>
          <w:tcPr>
            <w:tcW w:w="6825" w:type="dxa"/>
          </w:tcPr>
          <w:p>
            <w:pPr>
              <w:spacing w:line="360" w:lineRule="auto"/>
              <w:jc w:val="both"/>
              <w:rPr>
                <w:rFonts w:ascii="Book Antiqua" w:hAnsi="Book Antiqua"/>
              </w:rPr>
            </w:pPr>
            <w:r>
              <w:rPr>
                <w:rFonts w:hint="eastAsia" w:ascii="Book Antiqua" w:hAnsi="Book Antiqua"/>
                <w:lang w:eastAsia="zh-CN"/>
              </w:rPr>
              <w:t>M</w:t>
            </w:r>
            <w:r>
              <w:rPr>
                <w:rFonts w:ascii="Book Antiqua" w:hAnsi="Book Antiqua"/>
              </w:rPr>
              <w:t>anagement for abdominal pain with antispasmodics and analgesics such as acetaminophen or nonsteroidal anti-inflammatory drugs. Avoid using anticholinergics or opioids, as they can exacerbate gastrointestinal autonomic dysfunction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 xml:space="preserve">For nausea and vomiting: Antiemetic and prokinetics such as ondansetron or metoclopramide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 xml:space="preserve">For </w:t>
            </w:r>
            <w:r>
              <w:rPr>
                <w:rFonts w:hint="eastAsia" w:ascii="Book Antiqua" w:hAnsi="Book Antiqua"/>
                <w:lang w:eastAsia="zh-CN"/>
              </w:rPr>
              <w:t>d</w:t>
            </w:r>
            <w:r>
              <w:rPr>
                <w:rFonts w:ascii="Book Antiqua" w:hAnsi="Book Antiqua"/>
              </w:rPr>
              <w:t>iarrhoea:  Antidiarrheals such as loperamide or bismuth subsalicylate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Constipation: Laxatives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Caution should be taken as symptomatic treatment may mask underlying symptoms of COVID-19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tcPr>
          <w:p>
            <w:pPr>
              <w:spacing w:line="360" w:lineRule="auto"/>
              <w:jc w:val="both"/>
              <w:rPr>
                <w:rFonts w:ascii="Book Antiqua" w:hAnsi="Book Antiqua"/>
              </w:rPr>
            </w:pPr>
            <w:r>
              <w:rPr>
                <w:rFonts w:ascii="Book Antiqua" w:hAnsi="Book Antiqua"/>
              </w:rPr>
              <w:t>Managing autonomic dysfunction</w:t>
            </w:r>
          </w:p>
        </w:tc>
        <w:tc>
          <w:tcPr>
            <w:tcW w:w="6825" w:type="dxa"/>
          </w:tcPr>
          <w:p>
            <w:pPr>
              <w:spacing w:line="360" w:lineRule="auto"/>
              <w:jc w:val="both"/>
              <w:rPr>
                <w:rFonts w:ascii="Book Antiqua" w:hAnsi="Book Antiqua"/>
              </w:rPr>
            </w:pPr>
            <w:r>
              <w:rPr>
                <w:rFonts w:ascii="Book Antiqua" w:hAnsi="Book Antiqua"/>
              </w:rPr>
              <w:t>Using medications such as alpha-adrenergic agonists, beta-blockers, or anticholinergic medications to regulate the autonomic nervous system, depending on the specific symptoms and severity of autonomic dysfunction. However, these medications must be used cautiously, as they can induce side effects and interact with other medications. Specific treatment for orthostatic hypotension, tachycardia, and syncope should be according to the guidelines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restart"/>
          </w:tcPr>
          <w:p>
            <w:pPr>
              <w:spacing w:line="360" w:lineRule="auto"/>
              <w:jc w:val="both"/>
              <w:rPr>
                <w:rFonts w:ascii="Book Antiqua" w:hAnsi="Book Antiqua"/>
                <w:lang w:eastAsia="zh-CN"/>
              </w:rPr>
            </w:pPr>
            <w:r>
              <w:rPr>
                <w:rFonts w:ascii="Book Antiqua" w:hAnsi="Book Antiqua"/>
              </w:rPr>
              <w:t>Treatment of complication</w:t>
            </w:r>
            <w:r>
              <w:rPr>
                <w:rFonts w:hint="eastAsia" w:ascii="Book Antiqua" w:hAnsi="Book Antiqua"/>
                <w:lang w:eastAsia="zh-CN"/>
              </w:rPr>
              <w:t>s</w:t>
            </w:r>
          </w:p>
        </w:tc>
        <w:tc>
          <w:tcPr>
            <w:tcW w:w="6825" w:type="dxa"/>
          </w:tcPr>
          <w:p>
            <w:pPr>
              <w:spacing w:line="360" w:lineRule="auto"/>
              <w:jc w:val="both"/>
              <w:rPr>
                <w:rFonts w:ascii="Book Antiqua" w:hAnsi="Book Antiqua"/>
              </w:rPr>
            </w:pPr>
            <w:r>
              <w:rPr>
                <w:rFonts w:ascii="Book Antiqua" w:hAnsi="Book Antiqua"/>
              </w:rPr>
              <w:t>Treatment of dehydration and electrolyte imbalances, especially in children and the elderly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Treatment of gastroparesis: Prokinetic agents, such as erythromycin or metoclopramide, may be needed to promote gastric emptying, improve gastrointestinal motility, relieve gastroparesis symptoms, and relieve symptoms of constipation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Treatment of malnutrition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 xml:space="preserve">Treatment of bowel obstruction or perforation: </w:t>
            </w:r>
            <w:r>
              <w:rPr>
                <w:rFonts w:hint="eastAsia" w:ascii="Book Antiqua" w:hAnsi="Book Antiqua"/>
                <w:lang w:eastAsia="zh-CN"/>
              </w:rPr>
              <w:t>S</w:t>
            </w:r>
            <w:r>
              <w:rPr>
                <w:rFonts w:ascii="Book Antiqua" w:hAnsi="Book Antiqua"/>
              </w:rPr>
              <w:t>urgical management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Treatment of bacterial superinfections and/or sepsis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Severe disease may</w:t>
            </w:r>
            <w:r>
              <w:rPr>
                <w:rFonts w:hint="eastAsia" w:ascii="Book Antiqua" w:hAnsi="Book Antiqua"/>
                <w:lang w:eastAsia="zh-CN"/>
              </w:rPr>
              <w:t xml:space="preserve"> </w:t>
            </w:r>
            <w:r>
              <w:rPr>
                <w:rFonts w:ascii="Book Antiqua" w:hAnsi="Book Antiqua"/>
              </w:rPr>
              <w:t>may require ICU admission, mechanical ventilation, or ECMO support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restart"/>
          </w:tcPr>
          <w:p>
            <w:pPr>
              <w:spacing w:line="360" w:lineRule="auto"/>
              <w:jc w:val="both"/>
              <w:rPr>
                <w:rFonts w:ascii="Book Antiqua" w:hAnsi="Book Antiqua"/>
              </w:rPr>
            </w:pPr>
            <w:r>
              <w:rPr>
                <w:rFonts w:ascii="Book Antiqua" w:hAnsi="Book Antiqua"/>
              </w:rPr>
              <w:t>Treating underlying conditions</w:t>
            </w:r>
          </w:p>
        </w:tc>
        <w:tc>
          <w:tcPr>
            <w:tcW w:w="6825" w:type="dxa"/>
          </w:tcPr>
          <w:p>
            <w:pPr>
              <w:spacing w:line="360" w:lineRule="auto"/>
              <w:jc w:val="both"/>
              <w:rPr>
                <w:rFonts w:ascii="Book Antiqua" w:hAnsi="Book Antiqua"/>
              </w:rPr>
            </w:pPr>
            <w:r>
              <w:rPr>
                <w:rFonts w:ascii="Book Antiqua" w:hAnsi="Book Antiqua"/>
              </w:rPr>
              <w:t>IBD: Anti-inflammatory drugs, immunosuppressants such as corticosteroids, immunomodulators, biologic therapies, and antibiotics with adjustments to their regular treatment regimen or referral to a specialist. Diet modifications by avoiding trigger foods that exacerbate symptoms may help manage IBD symptoms. A low FODMAP diet may be beneficial for some people with IBD. Stress management and regular exercise could help. Surgery may be indicated in severe cases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3" w:hRule="atLeast"/>
        </w:trPr>
        <w:tc>
          <w:tcPr>
            <w:tcW w:w="2751" w:type="dxa"/>
            <w:vMerge w:val="continue"/>
          </w:tcPr>
          <w:p>
            <w:pPr>
              <w:spacing w:line="360" w:lineRule="auto"/>
              <w:jc w:val="both"/>
              <w:rPr>
                <w:rFonts w:ascii="Book Antiqua" w:hAnsi="Book Antiqua"/>
              </w:rPr>
            </w:pPr>
          </w:p>
        </w:tc>
        <w:tc>
          <w:tcPr>
            <w:tcW w:w="6825" w:type="dxa"/>
          </w:tcPr>
          <w:p>
            <w:pPr>
              <w:spacing w:line="360" w:lineRule="auto"/>
              <w:jc w:val="both"/>
              <w:rPr>
                <w:rFonts w:ascii="Book Antiqua" w:hAnsi="Book Antiqua"/>
              </w:rPr>
            </w:pPr>
            <w:r>
              <w:rPr>
                <w:rFonts w:ascii="Book Antiqua" w:hAnsi="Book Antiqua"/>
              </w:rPr>
              <w:t xml:space="preserve">IBS: </w:t>
            </w:r>
            <w:r>
              <w:rPr>
                <w:rFonts w:hint="eastAsia" w:ascii="Book Antiqua" w:hAnsi="Book Antiqua"/>
                <w:lang w:eastAsia="zh-CN"/>
              </w:rPr>
              <w:t>D</w:t>
            </w:r>
            <w:r>
              <w:rPr>
                <w:rFonts w:ascii="Book Antiqua" w:hAnsi="Book Antiqua"/>
              </w:rPr>
              <w:t>iet modifications</w:t>
            </w:r>
            <w:r>
              <w:rPr>
                <w:rFonts w:hint="eastAsia" w:ascii="Book Antiqua" w:hAnsi="Book Antiqua"/>
                <w:lang w:eastAsia="zh-CN"/>
              </w:rPr>
              <w:t xml:space="preserve"> </w:t>
            </w:r>
            <w:r>
              <w:rPr>
                <w:rFonts w:ascii="Book Antiqua" w:hAnsi="Book Antiqua"/>
              </w:rPr>
              <w:t xml:space="preserve"> medications</w:t>
            </w:r>
            <w:r>
              <w:rPr>
                <w:rFonts w:hint="eastAsia" w:ascii="Book Antiqua" w:hAnsi="Book Antiqua"/>
                <w:lang w:eastAsia="zh-CN"/>
              </w:rPr>
              <w:t xml:space="preserve"> </w:t>
            </w:r>
            <w:r>
              <w:rPr>
                <w:rFonts w:ascii="Book Antiqua" w:hAnsi="Book Antiqua"/>
              </w:rPr>
              <w:t>such as antispasmodics, laxatives, and antidepressants to help alleviate symptoms, probiotics, stress management, and regular exercise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Malignancy</w:t>
            </w:r>
            <w:r>
              <w:rPr>
                <w:rFonts w:hint="eastAsia" w:ascii="Book Antiqua" w:hAnsi="Book Antiqua"/>
                <w:lang w:eastAsia="zh-CN"/>
              </w:rPr>
              <w:t xml:space="preserve"> therapy should</w:t>
            </w:r>
            <w:r>
              <w:rPr>
                <w:rFonts w:ascii="Book Antiqua" w:hAnsi="Book Antiqua"/>
              </w:rPr>
              <w:t xml:space="preserve"> be personalized according to the type of malignancy by surgery, chemotherapy, radiotherapy, palliative therapy, immunomodulators, and supportive care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restart"/>
          </w:tcPr>
          <w:p>
            <w:pPr>
              <w:spacing w:line="360" w:lineRule="auto"/>
              <w:jc w:val="both"/>
              <w:rPr>
                <w:rFonts w:ascii="Book Antiqua" w:hAnsi="Book Antiqua"/>
              </w:rPr>
            </w:pPr>
            <w:r>
              <w:rPr>
                <w:rFonts w:ascii="Book Antiqua" w:hAnsi="Book Antiqua"/>
              </w:rPr>
              <w:t>Nutritional support</w:t>
            </w:r>
          </w:p>
        </w:tc>
        <w:tc>
          <w:tcPr>
            <w:tcW w:w="6825" w:type="dxa"/>
          </w:tcPr>
          <w:p>
            <w:pPr>
              <w:spacing w:line="360" w:lineRule="auto"/>
              <w:jc w:val="both"/>
              <w:rPr>
                <w:rFonts w:ascii="Book Antiqua" w:hAnsi="Book Antiqua"/>
              </w:rPr>
            </w:pPr>
            <w:r>
              <w:rPr>
                <w:rFonts w:ascii="Book Antiqua" w:hAnsi="Book Antiqua"/>
              </w:rPr>
              <w:t>Maintain adequate caloric intake, prevent malnutrition, follow a bland diet, and avoid spicy, fatty, or acidic foods that may worsen symptoms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hint="eastAsia" w:ascii="Book Antiqua" w:hAnsi="Book Antiqua"/>
                <w:lang w:eastAsia="zh-CN"/>
              </w:rPr>
              <w:t>N</w:t>
            </w:r>
            <w:r>
              <w:rPr>
                <w:rFonts w:ascii="Book Antiqua" w:hAnsi="Book Antiqua"/>
              </w:rPr>
              <w:t>utritional support may be necessary for patients with decreased appetite or weight loss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Nutritional supplements or enteral or parenteral nutrition according to the situation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Probiotics positively affect the gut microbiota, improving gut dysbiosis that is common in gastrointestinal disorders and helping improve gastrointestinal symptoms such as bloating, constipation, and diarrhea. Prebiotics promote the growth of beneficial gut bacteria, which can improve gut health and potentially alleviate the associated symptoms. The optimal dosage, duration, and strains of probiotics/prebiotics could differ depending on the patient’s characteristics and the underlying pathophysiology of gastrointestinal autonomic dysfunction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restart"/>
          </w:tcPr>
          <w:p>
            <w:pPr>
              <w:spacing w:line="360" w:lineRule="auto"/>
              <w:jc w:val="both"/>
              <w:rPr>
                <w:rFonts w:ascii="Book Antiqua" w:hAnsi="Book Antiqua"/>
              </w:rPr>
            </w:pPr>
            <w:r>
              <w:rPr>
                <w:rFonts w:ascii="Book Antiqua" w:hAnsi="Book Antiqua"/>
              </w:rPr>
              <w:t>Psychological support</w:t>
            </w:r>
          </w:p>
        </w:tc>
        <w:tc>
          <w:tcPr>
            <w:tcW w:w="6825" w:type="dxa"/>
          </w:tcPr>
          <w:p>
            <w:pPr>
              <w:spacing w:line="360" w:lineRule="auto"/>
              <w:jc w:val="both"/>
              <w:rPr>
                <w:rFonts w:ascii="Book Antiqua" w:hAnsi="Book Antiqua"/>
              </w:rPr>
            </w:pPr>
            <w:r>
              <w:rPr>
                <w:rFonts w:ascii="Book Antiqua" w:hAnsi="Book Antiqua"/>
              </w:rPr>
              <w:t>Treatment of psychological distress induced by the symptoms of gastrointestinal autonomic dysfunction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b/>
                <w:bCs/>
              </w:rPr>
            </w:pPr>
          </w:p>
        </w:tc>
        <w:tc>
          <w:tcPr>
            <w:tcW w:w="6825" w:type="dxa"/>
          </w:tcPr>
          <w:p>
            <w:pPr>
              <w:spacing w:line="360" w:lineRule="auto"/>
              <w:jc w:val="both"/>
              <w:rPr>
                <w:rFonts w:ascii="Book Antiqua" w:hAnsi="Book Antiqua"/>
              </w:rPr>
            </w:pPr>
            <w:r>
              <w:rPr>
                <w:rFonts w:ascii="Book Antiqua" w:hAnsi="Book Antiqua"/>
              </w:rPr>
              <w:t>Psychological support, such as counseling or psychotherapy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restart"/>
          </w:tcPr>
          <w:p>
            <w:pPr>
              <w:spacing w:line="360" w:lineRule="auto"/>
              <w:jc w:val="both"/>
              <w:rPr>
                <w:rFonts w:ascii="Book Antiqua" w:hAnsi="Book Antiqua"/>
              </w:rPr>
            </w:pPr>
            <w:r>
              <w:rPr>
                <w:rFonts w:ascii="Book Antiqua" w:hAnsi="Book Antiqua"/>
              </w:rPr>
              <w:t>Follow-up and Rehabilitation care</w:t>
            </w:r>
          </w:p>
        </w:tc>
        <w:tc>
          <w:tcPr>
            <w:tcW w:w="6825" w:type="dxa"/>
          </w:tcPr>
          <w:p>
            <w:pPr>
              <w:spacing w:line="360" w:lineRule="auto"/>
              <w:jc w:val="both"/>
              <w:rPr>
                <w:rFonts w:ascii="Book Antiqua" w:hAnsi="Book Antiqua"/>
              </w:rPr>
            </w:pPr>
            <w:r>
              <w:rPr>
                <w:rFonts w:ascii="Book Antiqua" w:hAnsi="Book Antiqua"/>
              </w:rPr>
              <w:t xml:space="preserve"> Regular check-ups with a healthcare professional may be necessary depending on the severity of the condition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rPr>
            </w:pPr>
          </w:p>
        </w:tc>
        <w:tc>
          <w:tcPr>
            <w:tcW w:w="6825" w:type="dxa"/>
          </w:tcPr>
          <w:p>
            <w:pPr>
              <w:spacing w:line="360" w:lineRule="auto"/>
              <w:jc w:val="both"/>
              <w:rPr>
                <w:rFonts w:ascii="Book Antiqua" w:hAnsi="Book Antiqua"/>
              </w:rPr>
            </w:pPr>
            <w:r>
              <w:rPr>
                <w:rFonts w:ascii="Book Antiqua" w:hAnsi="Book Antiqua"/>
              </w:rPr>
              <w:t>Aiming to monitor the resolution of symptoms, prevent long-term complications, and improve the patient's quality of life and functional status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rPr>
            </w:pPr>
          </w:p>
        </w:tc>
        <w:tc>
          <w:tcPr>
            <w:tcW w:w="6825" w:type="dxa"/>
          </w:tcPr>
          <w:p>
            <w:pPr>
              <w:spacing w:line="360" w:lineRule="auto"/>
              <w:jc w:val="both"/>
              <w:rPr>
                <w:rFonts w:ascii="Book Antiqua" w:hAnsi="Book Antiqua"/>
              </w:rPr>
            </w:pPr>
            <w:r>
              <w:rPr>
                <w:rFonts w:ascii="Book Antiqua" w:hAnsi="Book Antiqua"/>
              </w:rPr>
              <w:t>Rehabilitation may include occupational therapy, physical therapy, speech therapy, and psychological support to manage potential complications and improve the overall quality of life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1" w:type="dxa"/>
            <w:vMerge w:val="continue"/>
          </w:tcPr>
          <w:p>
            <w:pPr>
              <w:spacing w:line="360" w:lineRule="auto"/>
              <w:jc w:val="both"/>
              <w:rPr>
                <w:rFonts w:ascii="Book Antiqua" w:hAnsi="Book Antiqua"/>
              </w:rPr>
            </w:pPr>
          </w:p>
        </w:tc>
        <w:tc>
          <w:tcPr>
            <w:tcW w:w="6825" w:type="dxa"/>
          </w:tcPr>
          <w:p>
            <w:pPr>
              <w:spacing w:line="360" w:lineRule="auto"/>
              <w:jc w:val="both"/>
              <w:rPr>
                <w:rFonts w:ascii="Book Antiqua" w:hAnsi="Book Antiqua"/>
              </w:rPr>
            </w:pPr>
            <w:r>
              <w:rPr>
                <w:rFonts w:ascii="Book Antiqua" w:hAnsi="Book Antiqua"/>
              </w:rPr>
              <w:t>Physical therapy can help manage autonomic dysfunction symptoms, including gastrointestinal symptoms. Physical activities such as postural changes and deep breathing exercises can facilitate improved blood flow and reduce the symptoms</w:t>
            </w:r>
          </w:p>
        </w:tc>
      </w:tr>
    </w:tbl>
    <w:p>
      <w:pPr>
        <w:spacing w:line="360" w:lineRule="auto"/>
        <w:jc w:val="both"/>
        <w:rPr>
          <w:rFonts w:ascii="Book Antiqua" w:hAnsi="Book Antiqua"/>
        </w:rPr>
      </w:pPr>
      <w:r>
        <w:rPr>
          <w:rFonts w:ascii="Book Antiqua" w:hAnsi="Book Antiqua"/>
        </w:rPr>
        <w:t xml:space="preserve">COVID-19: Coronavirus disease 2019; ECMO: Extracorporeal membrane oxygenation; FODMAP: </w:t>
      </w:r>
      <w:r>
        <w:rPr>
          <w:rFonts w:hint="eastAsia" w:ascii="Book Antiqua" w:hAnsi="Book Antiqua"/>
          <w:lang w:val="en-US" w:eastAsia="zh-CN"/>
        </w:rPr>
        <w:t>F</w:t>
      </w:r>
      <w:r>
        <w:rPr>
          <w:rFonts w:ascii="Book Antiqua" w:hAnsi="Book Antiqua"/>
        </w:rPr>
        <w:t>ermentable oligo-, di-, and monosaccharides and polyols; IBD: Inflammatory bowel disease; IBS: Irritable bowel syndrome; ICU: Intensive car</w:t>
      </w:r>
      <w:bookmarkStart w:id="1" w:name="_GoBack"/>
      <w:bookmarkEnd w:id="1"/>
      <w:r>
        <w:rPr>
          <w:rFonts w:ascii="Book Antiqua" w:hAnsi="Book Antiqua"/>
        </w:rPr>
        <w:t>e unit; ORT: Oral rehydration therapy.</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BookAntiqua">
    <w:altName w:val="Calibri"/>
    <w:panose1 w:val="00000000000000000000"/>
    <w:charset w:val="A1"/>
    <w:family w:val="auto"/>
    <w:pitch w:val="default"/>
    <w:sig w:usb0="00000000" w:usb1="00000000" w:usb2="00000000" w:usb3="00000000" w:csb0="00000008"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07E3B"/>
    <w:rsid w:val="00024B02"/>
    <w:rsid w:val="00030C6F"/>
    <w:rsid w:val="00031372"/>
    <w:rsid w:val="000323A6"/>
    <w:rsid w:val="000414D1"/>
    <w:rsid w:val="00042A5E"/>
    <w:rsid w:val="00044D78"/>
    <w:rsid w:val="0004643D"/>
    <w:rsid w:val="00046DC4"/>
    <w:rsid w:val="0004778C"/>
    <w:rsid w:val="00053260"/>
    <w:rsid w:val="000570DE"/>
    <w:rsid w:val="000608BF"/>
    <w:rsid w:val="00064219"/>
    <w:rsid w:val="000649FD"/>
    <w:rsid w:val="00064ACD"/>
    <w:rsid w:val="00071A41"/>
    <w:rsid w:val="00076FEF"/>
    <w:rsid w:val="000779C6"/>
    <w:rsid w:val="00082404"/>
    <w:rsid w:val="0008565B"/>
    <w:rsid w:val="00086B99"/>
    <w:rsid w:val="00087A10"/>
    <w:rsid w:val="000903A8"/>
    <w:rsid w:val="00091B06"/>
    <w:rsid w:val="000A07E8"/>
    <w:rsid w:val="000A735B"/>
    <w:rsid w:val="000B0515"/>
    <w:rsid w:val="000B17EC"/>
    <w:rsid w:val="000B3F0A"/>
    <w:rsid w:val="000B4818"/>
    <w:rsid w:val="000B4ED7"/>
    <w:rsid w:val="000B5AAF"/>
    <w:rsid w:val="000B5E07"/>
    <w:rsid w:val="000B677F"/>
    <w:rsid w:val="000B67DE"/>
    <w:rsid w:val="000C4898"/>
    <w:rsid w:val="000D0BC1"/>
    <w:rsid w:val="000D0F15"/>
    <w:rsid w:val="000D16D6"/>
    <w:rsid w:val="000D404F"/>
    <w:rsid w:val="000F1836"/>
    <w:rsid w:val="000F3B66"/>
    <w:rsid w:val="000F6B6D"/>
    <w:rsid w:val="0011025B"/>
    <w:rsid w:val="0011161A"/>
    <w:rsid w:val="00111AF3"/>
    <w:rsid w:val="00111BFC"/>
    <w:rsid w:val="00112E68"/>
    <w:rsid w:val="00115D9E"/>
    <w:rsid w:val="001163B2"/>
    <w:rsid w:val="00131EE0"/>
    <w:rsid w:val="00137B5A"/>
    <w:rsid w:val="001401FF"/>
    <w:rsid w:val="001613EC"/>
    <w:rsid w:val="00167A6D"/>
    <w:rsid w:val="00170746"/>
    <w:rsid w:val="001719C0"/>
    <w:rsid w:val="00172AB0"/>
    <w:rsid w:val="00182858"/>
    <w:rsid w:val="00184385"/>
    <w:rsid w:val="0018695F"/>
    <w:rsid w:val="001923F4"/>
    <w:rsid w:val="00194650"/>
    <w:rsid w:val="001A4B9B"/>
    <w:rsid w:val="001A7B72"/>
    <w:rsid w:val="001B07DA"/>
    <w:rsid w:val="001B1E0A"/>
    <w:rsid w:val="001B6A73"/>
    <w:rsid w:val="001B79EF"/>
    <w:rsid w:val="001C0412"/>
    <w:rsid w:val="001C3830"/>
    <w:rsid w:val="001C7BE1"/>
    <w:rsid w:val="001D13C8"/>
    <w:rsid w:val="001D3B57"/>
    <w:rsid w:val="001D5777"/>
    <w:rsid w:val="001D6359"/>
    <w:rsid w:val="001D65C0"/>
    <w:rsid w:val="001D6834"/>
    <w:rsid w:val="001E0512"/>
    <w:rsid w:val="001E20EF"/>
    <w:rsid w:val="001E611F"/>
    <w:rsid w:val="001F03C3"/>
    <w:rsid w:val="001F0CB6"/>
    <w:rsid w:val="001F5507"/>
    <w:rsid w:val="00204A6E"/>
    <w:rsid w:val="002079A2"/>
    <w:rsid w:val="00222859"/>
    <w:rsid w:val="00222F93"/>
    <w:rsid w:val="0022300B"/>
    <w:rsid w:val="002235D0"/>
    <w:rsid w:val="002239FD"/>
    <w:rsid w:val="00231304"/>
    <w:rsid w:val="00240F0F"/>
    <w:rsid w:val="0024312C"/>
    <w:rsid w:val="002440B0"/>
    <w:rsid w:val="00245A52"/>
    <w:rsid w:val="0025037B"/>
    <w:rsid w:val="002515A0"/>
    <w:rsid w:val="0025576A"/>
    <w:rsid w:val="00255E5A"/>
    <w:rsid w:val="0026739F"/>
    <w:rsid w:val="00270604"/>
    <w:rsid w:val="002719A1"/>
    <w:rsid w:val="00271C48"/>
    <w:rsid w:val="00275A2F"/>
    <w:rsid w:val="0028098F"/>
    <w:rsid w:val="00283902"/>
    <w:rsid w:val="00284E35"/>
    <w:rsid w:val="00286715"/>
    <w:rsid w:val="00291A11"/>
    <w:rsid w:val="002939A5"/>
    <w:rsid w:val="0029487B"/>
    <w:rsid w:val="002A428B"/>
    <w:rsid w:val="002A566B"/>
    <w:rsid w:val="002A79EA"/>
    <w:rsid w:val="002A7B4B"/>
    <w:rsid w:val="002B0AA4"/>
    <w:rsid w:val="002B1DE0"/>
    <w:rsid w:val="002B320B"/>
    <w:rsid w:val="002B7D4A"/>
    <w:rsid w:val="002C2537"/>
    <w:rsid w:val="002C29EC"/>
    <w:rsid w:val="002C3FFE"/>
    <w:rsid w:val="002F1D93"/>
    <w:rsid w:val="002F6DD4"/>
    <w:rsid w:val="00302C6F"/>
    <w:rsid w:val="00304990"/>
    <w:rsid w:val="0031379F"/>
    <w:rsid w:val="00320A32"/>
    <w:rsid w:val="00321D2E"/>
    <w:rsid w:val="00321E6D"/>
    <w:rsid w:val="003231DC"/>
    <w:rsid w:val="00323805"/>
    <w:rsid w:val="003238F4"/>
    <w:rsid w:val="003256DA"/>
    <w:rsid w:val="00325A6D"/>
    <w:rsid w:val="00327296"/>
    <w:rsid w:val="0033324C"/>
    <w:rsid w:val="00334106"/>
    <w:rsid w:val="003430B7"/>
    <w:rsid w:val="00343ECB"/>
    <w:rsid w:val="00345FD1"/>
    <w:rsid w:val="00346283"/>
    <w:rsid w:val="00350E5D"/>
    <w:rsid w:val="00351C2D"/>
    <w:rsid w:val="0035315C"/>
    <w:rsid w:val="003611A3"/>
    <w:rsid w:val="00361972"/>
    <w:rsid w:val="003657C8"/>
    <w:rsid w:val="003737FF"/>
    <w:rsid w:val="0037405F"/>
    <w:rsid w:val="00375924"/>
    <w:rsid w:val="00381F21"/>
    <w:rsid w:val="0038542D"/>
    <w:rsid w:val="00387C2E"/>
    <w:rsid w:val="00391B79"/>
    <w:rsid w:val="00391EDB"/>
    <w:rsid w:val="00394260"/>
    <w:rsid w:val="003949FC"/>
    <w:rsid w:val="0039643F"/>
    <w:rsid w:val="003A5372"/>
    <w:rsid w:val="003B24CB"/>
    <w:rsid w:val="003B34F1"/>
    <w:rsid w:val="003B4000"/>
    <w:rsid w:val="003B5F6F"/>
    <w:rsid w:val="003C3045"/>
    <w:rsid w:val="003C757B"/>
    <w:rsid w:val="003D4513"/>
    <w:rsid w:val="003D5542"/>
    <w:rsid w:val="003E0AC7"/>
    <w:rsid w:val="003E7B6C"/>
    <w:rsid w:val="003F1E69"/>
    <w:rsid w:val="003F5516"/>
    <w:rsid w:val="003F5AA6"/>
    <w:rsid w:val="0040610C"/>
    <w:rsid w:val="004143CB"/>
    <w:rsid w:val="00416167"/>
    <w:rsid w:val="00416518"/>
    <w:rsid w:val="00420A85"/>
    <w:rsid w:val="00421F52"/>
    <w:rsid w:val="00444AAD"/>
    <w:rsid w:val="004452E2"/>
    <w:rsid w:val="00446ABE"/>
    <w:rsid w:val="00446EDF"/>
    <w:rsid w:val="00457AE3"/>
    <w:rsid w:val="004628BD"/>
    <w:rsid w:val="00464BF7"/>
    <w:rsid w:val="004710A0"/>
    <w:rsid w:val="0047215D"/>
    <w:rsid w:val="00474E8A"/>
    <w:rsid w:val="004765CC"/>
    <w:rsid w:val="004A5415"/>
    <w:rsid w:val="004B6067"/>
    <w:rsid w:val="004B7300"/>
    <w:rsid w:val="004B7749"/>
    <w:rsid w:val="004C7E5A"/>
    <w:rsid w:val="004D2A7A"/>
    <w:rsid w:val="004D50F3"/>
    <w:rsid w:val="004D53A7"/>
    <w:rsid w:val="00501426"/>
    <w:rsid w:val="005035C8"/>
    <w:rsid w:val="00510E1E"/>
    <w:rsid w:val="0051168B"/>
    <w:rsid w:val="00512383"/>
    <w:rsid w:val="0051782F"/>
    <w:rsid w:val="0052161D"/>
    <w:rsid w:val="00524395"/>
    <w:rsid w:val="005254CA"/>
    <w:rsid w:val="0052656D"/>
    <w:rsid w:val="0052682D"/>
    <w:rsid w:val="00531CD9"/>
    <w:rsid w:val="00532D0A"/>
    <w:rsid w:val="00542E55"/>
    <w:rsid w:val="00543350"/>
    <w:rsid w:val="00544602"/>
    <w:rsid w:val="005546F4"/>
    <w:rsid w:val="005563C5"/>
    <w:rsid w:val="00557008"/>
    <w:rsid w:val="005602E3"/>
    <w:rsid w:val="005622DF"/>
    <w:rsid w:val="00565D7B"/>
    <w:rsid w:val="00565FA2"/>
    <w:rsid w:val="00570862"/>
    <w:rsid w:val="00570D39"/>
    <w:rsid w:val="00580B75"/>
    <w:rsid w:val="00586E42"/>
    <w:rsid w:val="00592321"/>
    <w:rsid w:val="0059602E"/>
    <w:rsid w:val="005A3E24"/>
    <w:rsid w:val="005B243D"/>
    <w:rsid w:val="005B7B96"/>
    <w:rsid w:val="005C16A8"/>
    <w:rsid w:val="005C5B2C"/>
    <w:rsid w:val="005D0CB1"/>
    <w:rsid w:val="005D2130"/>
    <w:rsid w:val="005D3AF6"/>
    <w:rsid w:val="005D4186"/>
    <w:rsid w:val="005D6C08"/>
    <w:rsid w:val="005D7B7E"/>
    <w:rsid w:val="005E3FDA"/>
    <w:rsid w:val="005E6C66"/>
    <w:rsid w:val="005E7883"/>
    <w:rsid w:val="005F4430"/>
    <w:rsid w:val="005F56BC"/>
    <w:rsid w:val="005F7107"/>
    <w:rsid w:val="00605170"/>
    <w:rsid w:val="00610F68"/>
    <w:rsid w:val="0061189D"/>
    <w:rsid w:val="00611A1A"/>
    <w:rsid w:val="0061636A"/>
    <w:rsid w:val="0061763E"/>
    <w:rsid w:val="00621821"/>
    <w:rsid w:val="00622997"/>
    <w:rsid w:val="00630B86"/>
    <w:rsid w:val="00631573"/>
    <w:rsid w:val="006321E3"/>
    <w:rsid w:val="006374F0"/>
    <w:rsid w:val="00640610"/>
    <w:rsid w:val="00650674"/>
    <w:rsid w:val="00650B70"/>
    <w:rsid w:val="00651A00"/>
    <w:rsid w:val="006528E2"/>
    <w:rsid w:val="006537C8"/>
    <w:rsid w:val="00655DED"/>
    <w:rsid w:val="006623B6"/>
    <w:rsid w:val="00667E05"/>
    <w:rsid w:val="00672BC5"/>
    <w:rsid w:val="0067689C"/>
    <w:rsid w:val="006851D7"/>
    <w:rsid w:val="006903F8"/>
    <w:rsid w:val="00693906"/>
    <w:rsid w:val="00693E49"/>
    <w:rsid w:val="0069442B"/>
    <w:rsid w:val="006A1E75"/>
    <w:rsid w:val="006A7D45"/>
    <w:rsid w:val="006B0347"/>
    <w:rsid w:val="006B1CAB"/>
    <w:rsid w:val="006B75F9"/>
    <w:rsid w:val="006C3534"/>
    <w:rsid w:val="006C6BF5"/>
    <w:rsid w:val="006D5E9E"/>
    <w:rsid w:val="006E3B23"/>
    <w:rsid w:val="006E5640"/>
    <w:rsid w:val="006F26B2"/>
    <w:rsid w:val="006F4187"/>
    <w:rsid w:val="006F42C7"/>
    <w:rsid w:val="006F4FBB"/>
    <w:rsid w:val="006F7436"/>
    <w:rsid w:val="00702E6E"/>
    <w:rsid w:val="00707F6D"/>
    <w:rsid w:val="00711A64"/>
    <w:rsid w:val="00711E43"/>
    <w:rsid w:val="00712017"/>
    <w:rsid w:val="007255DF"/>
    <w:rsid w:val="00740D7C"/>
    <w:rsid w:val="007436F6"/>
    <w:rsid w:val="007440EB"/>
    <w:rsid w:val="00746B09"/>
    <w:rsid w:val="00753F5B"/>
    <w:rsid w:val="00756920"/>
    <w:rsid w:val="0075775D"/>
    <w:rsid w:val="00760513"/>
    <w:rsid w:val="0076075C"/>
    <w:rsid w:val="007623C0"/>
    <w:rsid w:val="00763EEF"/>
    <w:rsid w:val="00766ACD"/>
    <w:rsid w:val="00772096"/>
    <w:rsid w:val="00774668"/>
    <w:rsid w:val="007775CD"/>
    <w:rsid w:val="00781334"/>
    <w:rsid w:val="0078535C"/>
    <w:rsid w:val="007904A7"/>
    <w:rsid w:val="00791913"/>
    <w:rsid w:val="00797DDA"/>
    <w:rsid w:val="007A04F2"/>
    <w:rsid w:val="007A1DEC"/>
    <w:rsid w:val="007A25CC"/>
    <w:rsid w:val="007B2364"/>
    <w:rsid w:val="007B349B"/>
    <w:rsid w:val="007B40D1"/>
    <w:rsid w:val="007B6E44"/>
    <w:rsid w:val="007C2443"/>
    <w:rsid w:val="007C2AC1"/>
    <w:rsid w:val="007C2D48"/>
    <w:rsid w:val="007D4543"/>
    <w:rsid w:val="007D6B05"/>
    <w:rsid w:val="007D6BB8"/>
    <w:rsid w:val="007E3F78"/>
    <w:rsid w:val="007F199F"/>
    <w:rsid w:val="00801275"/>
    <w:rsid w:val="00803636"/>
    <w:rsid w:val="0080497C"/>
    <w:rsid w:val="008161C3"/>
    <w:rsid w:val="008175F8"/>
    <w:rsid w:val="00824CFB"/>
    <w:rsid w:val="0083064C"/>
    <w:rsid w:val="0083086A"/>
    <w:rsid w:val="008320AB"/>
    <w:rsid w:val="00833256"/>
    <w:rsid w:val="008361A1"/>
    <w:rsid w:val="00837C3D"/>
    <w:rsid w:val="008403F5"/>
    <w:rsid w:val="008420B8"/>
    <w:rsid w:val="008511CA"/>
    <w:rsid w:val="00853833"/>
    <w:rsid w:val="00861394"/>
    <w:rsid w:val="00862518"/>
    <w:rsid w:val="00867312"/>
    <w:rsid w:val="0087209D"/>
    <w:rsid w:val="00874D13"/>
    <w:rsid w:val="00874F48"/>
    <w:rsid w:val="0088022B"/>
    <w:rsid w:val="00894033"/>
    <w:rsid w:val="008941C4"/>
    <w:rsid w:val="008975EA"/>
    <w:rsid w:val="008A1185"/>
    <w:rsid w:val="008A4482"/>
    <w:rsid w:val="008A5A40"/>
    <w:rsid w:val="008B09BE"/>
    <w:rsid w:val="008C0622"/>
    <w:rsid w:val="008C5F02"/>
    <w:rsid w:val="008E24E7"/>
    <w:rsid w:val="008E2B34"/>
    <w:rsid w:val="008F4462"/>
    <w:rsid w:val="0090106A"/>
    <w:rsid w:val="009049E8"/>
    <w:rsid w:val="00905CCD"/>
    <w:rsid w:val="009078EA"/>
    <w:rsid w:val="009106DE"/>
    <w:rsid w:val="00911A00"/>
    <w:rsid w:val="00916A1B"/>
    <w:rsid w:val="00917303"/>
    <w:rsid w:val="009207A9"/>
    <w:rsid w:val="009222A2"/>
    <w:rsid w:val="00922F26"/>
    <w:rsid w:val="00931A52"/>
    <w:rsid w:val="00933111"/>
    <w:rsid w:val="00936B75"/>
    <w:rsid w:val="0093750B"/>
    <w:rsid w:val="00941403"/>
    <w:rsid w:val="00942E7B"/>
    <w:rsid w:val="009451C2"/>
    <w:rsid w:val="009458CA"/>
    <w:rsid w:val="009520F8"/>
    <w:rsid w:val="009559F6"/>
    <w:rsid w:val="00955BAB"/>
    <w:rsid w:val="00957692"/>
    <w:rsid w:val="009620CA"/>
    <w:rsid w:val="00963CA6"/>
    <w:rsid w:val="009644ED"/>
    <w:rsid w:val="00964EE6"/>
    <w:rsid w:val="009731CD"/>
    <w:rsid w:val="00974C4C"/>
    <w:rsid w:val="00981F03"/>
    <w:rsid w:val="00983177"/>
    <w:rsid w:val="00986491"/>
    <w:rsid w:val="00992FBA"/>
    <w:rsid w:val="009A1597"/>
    <w:rsid w:val="009A235E"/>
    <w:rsid w:val="009A3846"/>
    <w:rsid w:val="009B0B24"/>
    <w:rsid w:val="009B78F1"/>
    <w:rsid w:val="009D1C8E"/>
    <w:rsid w:val="009D4745"/>
    <w:rsid w:val="009D49F0"/>
    <w:rsid w:val="009D50D6"/>
    <w:rsid w:val="009D6D23"/>
    <w:rsid w:val="009E3943"/>
    <w:rsid w:val="00A0111E"/>
    <w:rsid w:val="00A05308"/>
    <w:rsid w:val="00A0698A"/>
    <w:rsid w:val="00A13DD2"/>
    <w:rsid w:val="00A14279"/>
    <w:rsid w:val="00A200EA"/>
    <w:rsid w:val="00A206A1"/>
    <w:rsid w:val="00A20F02"/>
    <w:rsid w:val="00A2196A"/>
    <w:rsid w:val="00A27654"/>
    <w:rsid w:val="00A3139A"/>
    <w:rsid w:val="00A32186"/>
    <w:rsid w:val="00A37089"/>
    <w:rsid w:val="00A43B84"/>
    <w:rsid w:val="00A45D08"/>
    <w:rsid w:val="00A46FE8"/>
    <w:rsid w:val="00A5654F"/>
    <w:rsid w:val="00A64DC4"/>
    <w:rsid w:val="00A66EFB"/>
    <w:rsid w:val="00A77B3E"/>
    <w:rsid w:val="00A84C9B"/>
    <w:rsid w:val="00A95EF8"/>
    <w:rsid w:val="00A96E71"/>
    <w:rsid w:val="00AA1C05"/>
    <w:rsid w:val="00AA42E5"/>
    <w:rsid w:val="00AB1B88"/>
    <w:rsid w:val="00AB5BFF"/>
    <w:rsid w:val="00AB6215"/>
    <w:rsid w:val="00AC3E23"/>
    <w:rsid w:val="00AC52DF"/>
    <w:rsid w:val="00AC5B2B"/>
    <w:rsid w:val="00AC6564"/>
    <w:rsid w:val="00AC711F"/>
    <w:rsid w:val="00AD6892"/>
    <w:rsid w:val="00AD6F2B"/>
    <w:rsid w:val="00AE52F0"/>
    <w:rsid w:val="00AE6E0A"/>
    <w:rsid w:val="00AF344B"/>
    <w:rsid w:val="00AF3F0D"/>
    <w:rsid w:val="00B052AD"/>
    <w:rsid w:val="00B077C6"/>
    <w:rsid w:val="00B12502"/>
    <w:rsid w:val="00B13954"/>
    <w:rsid w:val="00B150F6"/>
    <w:rsid w:val="00B17284"/>
    <w:rsid w:val="00B25FD2"/>
    <w:rsid w:val="00B303A9"/>
    <w:rsid w:val="00B31601"/>
    <w:rsid w:val="00B36644"/>
    <w:rsid w:val="00B3680C"/>
    <w:rsid w:val="00B3753E"/>
    <w:rsid w:val="00B4233A"/>
    <w:rsid w:val="00B42407"/>
    <w:rsid w:val="00B42632"/>
    <w:rsid w:val="00B431CE"/>
    <w:rsid w:val="00B449A5"/>
    <w:rsid w:val="00B46BF4"/>
    <w:rsid w:val="00B5621E"/>
    <w:rsid w:val="00B7098E"/>
    <w:rsid w:val="00B71B1A"/>
    <w:rsid w:val="00B7479C"/>
    <w:rsid w:val="00B77418"/>
    <w:rsid w:val="00B81515"/>
    <w:rsid w:val="00B852C8"/>
    <w:rsid w:val="00B86A63"/>
    <w:rsid w:val="00B91F48"/>
    <w:rsid w:val="00B947C3"/>
    <w:rsid w:val="00B94D77"/>
    <w:rsid w:val="00BA0FD7"/>
    <w:rsid w:val="00BA1AA8"/>
    <w:rsid w:val="00BA201F"/>
    <w:rsid w:val="00BA5E61"/>
    <w:rsid w:val="00BA67E5"/>
    <w:rsid w:val="00BE18A1"/>
    <w:rsid w:val="00BE7EF1"/>
    <w:rsid w:val="00BF2194"/>
    <w:rsid w:val="00C00CEE"/>
    <w:rsid w:val="00C021E2"/>
    <w:rsid w:val="00C0597A"/>
    <w:rsid w:val="00C059B6"/>
    <w:rsid w:val="00C05BB2"/>
    <w:rsid w:val="00C1065D"/>
    <w:rsid w:val="00C1272C"/>
    <w:rsid w:val="00C161F2"/>
    <w:rsid w:val="00C17C11"/>
    <w:rsid w:val="00C17DAA"/>
    <w:rsid w:val="00C254ED"/>
    <w:rsid w:val="00C405D7"/>
    <w:rsid w:val="00C415CF"/>
    <w:rsid w:val="00C42878"/>
    <w:rsid w:val="00C523C3"/>
    <w:rsid w:val="00C54C5D"/>
    <w:rsid w:val="00C6389B"/>
    <w:rsid w:val="00C704BE"/>
    <w:rsid w:val="00C7247E"/>
    <w:rsid w:val="00C76016"/>
    <w:rsid w:val="00C800B2"/>
    <w:rsid w:val="00C80811"/>
    <w:rsid w:val="00C83C37"/>
    <w:rsid w:val="00C87597"/>
    <w:rsid w:val="00C87A5F"/>
    <w:rsid w:val="00C93160"/>
    <w:rsid w:val="00C93F64"/>
    <w:rsid w:val="00C954A9"/>
    <w:rsid w:val="00CA0307"/>
    <w:rsid w:val="00CA263A"/>
    <w:rsid w:val="00CA2A55"/>
    <w:rsid w:val="00CC199F"/>
    <w:rsid w:val="00CC451E"/>
    <w:rsid w:val="00CC4669"/>
    <w:rsid w:val="00CC663E"/>
    <w:rsid w:val="00CD6E28"/>
    <w:rsid w:val="00CE311D"/>
    <w:rsid w:val="00CE4716"/>
    <w:rsid w:val="00CE7C5D"/>
    <w:rsid w:val="00CF1088"/>
    <w:rsid w:val="00D06901"/>
    <w:rsid w:val="00D17500"/>
    <w:rsid w:val="00D1786C"/>
    <w:rsid w:val="00D23043"/>
    <w:rsid w:val="00D2451B"/>
    <w:rsid w:val="00D34004"/>
    <w:rsid w:val="00D430C0"/>
    <w:rsid w:val="00D43AA7"/>
    <w:rsid w:val="00D44BAE"/>
    <w:rsid w:val="00D528B1"/>
    <w:rsid w:val="00D547BA"/>
    <w:rsid w:val="00D57C52"/>
    <w:rsid w:val="00D6472D"/>
    <w:rsid w:val="00D70F99"/>
    <w:rsid w:val="00D714AF"/>
    <w:rsid w:val="00D71652"/>
    <w:rsid w:val="00D7278B"/>
    <w:rsid w:val="00D7373B"/>
    <w:rsid w:val="00D73ADD"/>
    <w:rsid w:val="00D77E92"/>
    <w:rsid w:val="00D824B0"/>
    <w:rsid w:val="00D83C39"/>
    <w:rsid w:val="00D87EF3"/>
    <w:rsid w:val="00DA00B3"/>
    <w:rsid w:val="00DA1C1A"/>
    <w:rsid w:val="00DB28DA"/>
    <w:rsid w:val="00DB5989"/>
    <w:rsid w:val="00DB5BAA"/>
    <w:rsid w:val="00DB788E"/>
    <w:rsid w:val="00DC2342"/>
    <w:rsid w:val="00DC2AC3"/>
    <w:rsid w:val="00DC73C7"/>
    <w:rsid w:val="00DD0E55"/>
    <w:rsid w:val="00DD2167"/>
    <w:rsid w:val="00DD2AEB"/>
    <w:rsid w:val="00DD74FE"/>
    <w:rsid w:val="00DE1D99"/>
    <w:rsid w:val="00DE24D2"/>
    <w:rsid w:val="00DF2457"/>
    <w:rsid w:val="00DF5556"/>
    <w:rsid w:val="00DF6020"/>
    <w:rsid w:val="00DF79D5"/>
    <w:rsid w:val="00E029B1"/>
    <w:rsid w:val="00E055A8"/>
    <w:rsid w:val="00E25A6C"/>
    <w:rsid w:val="00E316D2"/>
    <w:rsid w:val="00E406D0"/>
    <w:rsid w:val="00E47373"/>
    <w:rsid w:val="00E54864"/>
    <w:rsid w:val="00E54E97"/>
    <w:rsid w:val="00E56E9A"/>
    <w:rsid w:val="00E60105"/>
    <w:rsid w:val="00E605BE"/>
    <w:rsid w:val="00E64E79"/>
    <w:rsid w:val="00E65F2E"/>
    <w:rsid w:val="00E668D1"/>
    <w:rsid w:val="00E70706"/>
    <w:rsid w:val="00E70852"/>
    <w:rsid w:val="00E83C76"/>
    <w:rsid w:val="00E83DE7"/>
    <w:rsid w:val="00E90933"/>
    <w:rsid w:val="00E971BE"/>
    <w:rsid w:val="00E9770E"/>
    <w:rsid w:val="00EA0369"/>
    <w:rsid w:val="00EA35D2"/>
    <w:rsid w:val="00EA69C8"/>
    <w:rsid w:val="00EC3E44"/>
    <w:rsid w:val="00EC6674"/>
    <w:rsid w:val="00ED6E60"/>
    <w:rsid w:val="00ED6E8B"/>
    <w:rsid w:val="00ED79C4"/>
    <w:rsid w:val="00EE68A2"/>
    <w:rsid w:val="00EE6CD4"/>
    <w:rsid w:val="00EE77E6"/>
    <w:rsid w:val="00F13951"/>
    <w:rsid w:val="00F158BB"/>
    <w:rsid w:val="00F177AE"/>
    <w:rsid w:val="00F25ABF"/>
    <w:rsid w:val="00F32080"/>
    <w:rsid w:val="00F52AE2"/>
    <w:rsid w:val="00F606B2"/>
    <w:rsid w:val="00F66E7C"/>
    <w:rsid w:val="00F66F69"/>
    <w:rsid w:val="00F6706B"/>
    <w:rsid w:val="00F7181A"/>
    <w:rsid w:val="00F7287E"/>
    <w:rsid w:val="00F7590C"/>
    <w:rsid w:val="00F76AF2"/>
    <w:rsid w:val="00F803C1"/>
    <w:rsid w:val="00F80684"/>
    <w:rsid w:val="00F8070D"/>
    <w:rsid w:val="00F830BB"/>
    <w:rsid w:val="00F861DD"/>
    <w:rsid w:val="00F97864"/>
    <w:rsid w:val="00FA78E4"/>
    <w:rsid w:val="00FB524B"/>
    <w:rsid w:val="00FC4B93"/>
    <w:rsid w:val="00FD1456"/>
    <w:rsid w:val="00FE6F26"/>
    <w:rsid w:val="00FF053A"/>
    <w:rsid w:val="17A41DA7"/>
    <w:rsid w:val="65DF76DE"/>
    <w:rsid w:val="69C570EA"/>
    <w:rsid w:val="69D16911"/>
    <w:rsid w:val="6F7B35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0"/>
  </w:style>
  <w:style w:type="paragraph" w:styleId="3">
    <w:name w:val="footer"/>
    <w:basedOn w:val="1"/>
    <w:link w:val="12"/>
    <w:uiPriority w:val="99"/>
    <w:pPr>
      <w:tabs>
        <w:tab w:val="center" w:pos="4153"/>
        <w:tab w:val="right" w:pos="8306"/>
      </w:tabs>
      <w:snapToGrid w:val="0"/>
    </w:pPr>
    <w:rPr>
      <w:sz w:val="18"/>
      <w:szCs w:val="18"/>
    </w:rPr>
  </w:style>
  <w:style w:type="paragraph" w:styleId="4">
    <w:name w:val="header"/>
    <w:basedOn w:val="1"/>
    <w:link w:val="11"/>
    <w:uiPriority w:val="0"/>
    <w:pP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4"/>
    <w:qFormat/>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Header Char"/>
    <w:basedOn w:val="9"/>
    <w:link w:val="4"/>
    <w:uiPriority w:val="0"/>
    <w:rPr>
      <w:sz w:val="18"/>
      <w:szCs w:val="18"/>
    </w:rPr>
  </w:style>
  <w:style w:type="character" w:customStyle="1" w:styleId="12">
    <w:name w:val="Footer Char"/>
    <w:basedOn w:val="9"/>
    <w:link w:val="3"/>
    <w:uiPriority w:val="99"/>
    <w:rPr>
      <w:sz w:val="18"/>
      <w:szCs w:val="18"/>
    </w:rPr>
  </w:style>
  <w:style w:type="character" w:customStyle="1" w:styleId="13">
    <w:name w:val="Comment Text Char"/>
    <w:basedOn w:val="9"/>
    <w:link w:val="2"/>
    <w:qFormat/>
    <w:uiPriority w:val="0"/>
    <w:rPr>
      <w:sz w:val="24"/>
      <w:szCs w:val="24"/>
    </w:rPr>
  </w:style>
  <w:style w:type="character" w:customStyle="1" w:styleId="14">
    <w:name w:val="Comment Subject Char"/>
    <w:basedOn w:val="13"/>
    <w:link w:val="6"/>
    <w:qFormat/>
    <w:uiPriority w:val="0"/>
    <w:rPr>
      <w:b/>
      <w:bCs/>
      <w:sz w:val="24"/>
      <w:szCs w:val="24"/>
    </w:rPr>
  </w:style>
  <w:style w:type="paragraph" w:styleId="15">
    <w:name w:val="List Paragraph"/>
    <w:basedOn w:val="1"/>
    <w:qFormat/>
    <w:uiPriority w:val="34"/>
    <w:pPr>
      <w:spacing w:after="160" w:line="259" w:lineRule="auto"/>
      <w:ind w:left="720"/>
      <w:contextualSpacing/>
    </w:pPr>
    <w:rPr>
      <w:rFonts w:asciiTheme="minorHAnsi" w:hAnsiTheme="minorHAnsi" w:cstheme="minorBidi"/>
      <w:sz w:val="22"/>
      <w:szCs w:val="22"/>
      <w:lang w:val="en-GB"/>
    </w:rPr>
  </w:style>
  <w:style w:type="paragraph" w:customStyle="1" w:styleId="16">
    <w:name w:val="Revision1"/>
    <w:hidden/>
    <w:semiHidden/>
    <w:qFormat/>
    <w:uiPriority w:val="99"/>
    <w:rPr>
      <w:rFonts w:ascii="Times New Roman" w:hAnsi="Times New Roman" w:cs="Times New Roman" w:eastAsiaTheme="minorEastAsia"/>
      <w:sz w:val="24"/>
      <w:szCs w:val="24"/>
      <w:lang w:val="en-US" w:eastAsia="en-US" w:bidi="ar-SA"/>
    </w:rPr>
  </w:style>
  <w:style w:type="paragraph" w:customStyle="1" w:styleId="17">
    <w:name w:val="Revision"/>
    <w:hidden/>
    <w:unhideWhenUsed/>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F9-8A6A-4623-B892-3371F889040A}">
  <ds:schemaRefs/>
</ds:datastoreItem>
</file>

<file path=docProps/app.xml><?xml version="1.0" encoding="utf-8"?>
<Properties xmlns="http://schemas.openxmlformats.org/officeDocument/2006/extended-properties" xmlns:vt="http://schemas.openxmlformats.org/officeDocument/2006/docPropsVTypes">
  <Template>Normal</Template>
  <Pages>66</Pages>
  <Words>14818</Words>
  <Characters>93164</Characters>
  <Lines>794</Lines>
  <Paragraphs>223</Paragraphs>
  <TotalTime>27</TotalTime>
  <ScaleCrop>false</ScaleCrop>
  <LinksUpToDate>false</LinksUpToDate>
  <CharactersWithSpaces>107442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2023-06-19T10:26:00Z</dcterms:created>
  <dc:creator>baden</dc:creator>
  <cp:lastModifiedBy>WPS_1673360041</cp:lastModifiedBy>
  <dcterms:modified xsi:type="dcterms:W3CDTF">2023-07-06T07:50:09Z</dcterms:modified>
  <cp:revision>765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df19749803ecd20c5a4d4adf98b062ed881b887264bde5de7adb536cabf5c780</vt:lpwstr>
  </property>
  <property fmtid="{D5CDD505-2E9C-101B-9397-08002B2CF9AE}" pid="3" name="KSOProductBuildVer">
    <vt:lpwstr>2052-11.1.0.14036</vt:lpwstr>
  </property>
  <property fmtid="{D5CDD505-2E9C-101B-9397-08002B2CF9AE}" pid="4" name="ICV">
    <vt:lpwstr>BABECC7F27E143FC9325BB8F7D5BDB87_13</vt:lpwstr>
  </property>
</Properties>
</file>