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95F3F" w14:textId="5308D150" w:rsidR="00A77B3E" w:rsidRPr="002E2F24" w:rsidRDefault="00873F32">
      <w:pPr>
        <w:spacing w:line="360" w:lineRule="auto"/>
        <w:jc w:val="both"/>
        <w:rPr>
          <w:rFonts w:ascii="Book Antiqua" w:hAnsi="Book Antiqua"/>
          <w:color w:val="000000" w:themeColor="text1"/>
        </w:rPr>
      </w:pPr>
      <w:bookmarkStart w:id="0" w:name="_GoBack"/>
      <w:bookmarkEnd w:id="0"/>
      <w:r w:rsidRPr="002E2F24">
        <w:rPr>
          <w:rFonts w:ascii="Book Antiqua" w:eastAsia="Book Antiqua" w:hAnsi="Book Antiqua" w:cs="Book Antiqua"/>
          <w:b/>
          <w:color w:val="000000" w:themeColor="text1"/>
        </w:rPr>
        <w:t>Name</w:t>
      </w:r>
      <w:r w:rsidR="00450328" w:rsidRPr="002E2F24">
        <w:rPr>
          <w:rFonts w:ascii="Book Antiqua" w:eastAsia="Book Antiqua" w:hAnsi="Book Antiqua" w:cs="Book Antiqua"/>
          <w:b/>
          <w:color w:val="000000" w:themeColor="text1"/>
        </w:rPr>
        <w:t xml:space="preserve"> </w:t>
      </w:r>
      <w:r w:rsidRPr="002E2F24">
        <w:rPr>
          <w:rFonts w:ascii="Book Antiqua" w:eastAsia="Book Antiqua" w:hAnsi="Book Antiqua" w:cs="Book Antiqua"/>
          <w:b/>
          <w:color w:val="000000" w:themeColor="text1"/>
        </w:rPr>
        <w:t>of</w:t>
      </w:r>
      <w:r w:rsidR="00450328" w:rsidRPr="002E2F24">
        <w:rPr>
          <w:rFonts w:ascii="Book Antiqua" w:eastAsia="Book Antiqua" w:hAnsi="Book Antiqua" w:cs="Book Antiqua"/>
          <w:b/>
          <w:color w:val="000000" w:themeColor="text1"/>
        </w:rPr>
        <w:t xml:space="preserve"> </w:t>
      </w:r>
      <w:r w:rsidRPr="002E2F24">
        <w:rPr>
          <w:rFonts w:ascii="Book Antiqua" w:eastAsia="Book Antiqua" w:hAnsi="Book Antiqua" w:cs="Book Antiqua"/>
          <w:b/>
          <w:color w:val="000000" w:themeColor="text1"/>
        </w:rPr>
        <w:t>Journal:</w:t>
      </w:r>
      <w:r w:rsidR="00450328" w:rsidRPr="002E2F24">
        <w:rPr>
          <w:rFonts w:ascii="Book Antiqua" w:eastAsia="Book Antiqua" w:hAnsi="Book Antiqua" w:cs="Book Antiqua"/>
          <w:b/>
          <w:color w:val="000000" w:themeColor="text1"/>
        </w:rPr>
        <w:t xml:space="preserve"> </w:t>
      </w:r>
      <w:r w:rsidRPr="002E2F24">
        <w:rPr>
          <w:rFonts w:ascii="Book Antiqua" w:eastAsia="Book Antiqua" w:hAnsi="Book Antiqua" w:cs="Book Antiqua"/>
          <w:i/>
          <w:color w:val="000000" w:themeColor="text1"/>
        </w:rPr>
        <w:t>World</w:t>
      </w:r>
      <w:r w:rsidR="00450328" w:rsidRPr="002E2F24">
        <w:rPr>
          <w:rFonts w:ascii="Book Antiqua" w:eastAsia="Book Antiqua" w:hAnsi="Book Antiqua" w:cs="Book Antiqua"/>
          <w:i/>
          <w:color w:val="000000" w:themeColor="text1"/>
        </w:rPr>
        <w:t xml:space="preserve"> </w:t>
      </w:r>
      <w:r w:rsidRPr="002E2F24">
        <w:rPr>
          <w:rFonts w:ascii="Book Antiqua" w:eastAsia="Book Antiqua" w:hAnsi="Book Antiqua" w:cs="Book Antiqua"/>
          <w:i/>
          <w:color w:val="000000" w:themeColor="text1"/>
        </w:rPr>
        <w:t>Journal</w:t>
      </w:r>
      <w:r w:rsidR="00450328" w:rsidRPr="002E2F24">
        <w:rPr>
          <w:rFonts w:ascii="Book Antiqua" w:eastAsia="Book Antiqua" w:hAnsi="Book Antiqua" w:cs="Book Antiqua"/>
          <w:i/>
          <w:color w:val="000000" w:themeColor="text1"/>
        </w:rPr>
        <w:t xml:space="preserve"> </w:t>
      </w:r>
      <w:r w:rsidRPr="002E2F24">
        <w:rPr>
          <w:rFonts w:ascii="Book Antiqua" w:eastAsia="Book Antiqua" w:hAnsi="Book Antiqua" w:cs="Book Antiqua"/>
          <w:i/>
          <w:color w:val="000000" w:themeColor="text1"/>
        </w:rPr>
        <w:t>of</w:t>
      </w:r>
      <w:r w:rsidR="00450328" w:rsidRPr="002E2F24">
        <w:rPr>
          <w:rFonts w:ascii="Book Antiqua" w:eastAsia="Book Antiqua" w:hAnsi="Book Antiqua" w:cs="Book Antiqua"/>
          <w:i/>
          <w:color w:val="000000" w:themeColor="text1"/>
        </w:rPr>
        <w:t xml:space="preserve"> </w:t>
      </w:r>
      <w:r w:rsidRPr="002E2F24">
        <w:rPr>
          <w:rFonts w:ascii="Book Antiqua" w:eastAsia="Book Antiqua" w:hAnsi="Book Antiqua" w:cs="Book Antiqua"/>
          <w:i/>
          <w:color w:val="000000" w:themeColor="text1"/>
        </w:rPr>
        <w:t>Diabetes</w:t>
      </w:r>
    </w:p>
    <w:p w14:paraId="7CD7D54A" w14:textId="3594B7B4"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color w:val="000000" w:themeColor="text1"/>
        </w:rPr>
        <w:t>Manuscript</w:t>
      </w:r>
      <w:r w:rsidR="00450328" w:rsidRPr="002E2F24">
        <w:rPr>
          <w:rFonts w:ascii="Book Antiqua" w:eastAsia="Book Antiqua" w:hAnsi="Book Antiqua" w:cs="Book Antiqua"/>
          <w:b/>
          <w:color w:val="000000" w:themeColor="text1"/>
        </w:rPr>
        <w:t xml:space="preserve"> </w:t>
      </w:r>
      <w:r w:rsidRPr="002E2F24">
        <w:rPr>
          <w:rFonts w:ascii="Book Antiqua" w:eastAsia="Book Antiqua" w:hAnsi="Book Antiqua" w:cs="Book Antiqua"/>
          <w:b/>
          <w:color w:val="000000" w:themeColor="text1"/>
        </w:rPr>
        <w:t>NO:</w:t>
      </w:r>
      <w:r w:rsidR="00450328" w:rsidRPr="002E2F24">
        <w:rPr>
          <w:rFonts w:ascii="Book Antiqua" w:eastAsia="Book Antiqua" w:hAnsi="Book Antiqua" w:cs="Book Antiqua"/>
          <w:b/>
          <w:color w:val="000000" w:themeColor="text1"/>
        </w:rPr>
        <w:t xml:space="preserve"> </w:t>
      </w:r>
      <w:r w:rsidRPr="002E2F24">
        <w:rPr>
          <w:rFonts w:ascii="Book Antiqua" w:eastAsia="Book Antiqua" w:hAnsi="Book Antiqua" w:cs="Book Antiqua"/>
          <w:color w:val="000000" w:themeColor="text1"/>
        </w:rPr>
        <w:t>85375</w:t>
      </w:r>
    </w:p>
    <w:p w14:paraId="7F1E7D2D" w14:textId="39073233"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color w:val="000000" w:themeColor="text1"/>
        </w:rPr>
        <w:t>Manuscript</w:t>
      </w:r>
      <w:r w:rsidR="00450328" w:rsidRPr="002E2F24">
        <w:rPr>
          <w:rFonts w:ascii="Book Antiqua" w:eastAsia="Book Antiqua" w:hAnsi="Book Antiqua" w:cs="Book Antiqua"/>
          <w:b/>
          <w:color w:val="000000" w:themeColor="text1"/>
        </w:rPr>
        <w:t xml:space="preserve"> </w:t>
      </w:r>
      <w:r w:rsidRPr="002E2F24">
        <w:rPr>
          <w:rFonts w:ascii="Book Antiqua" w:eastAsia="Book Antiqua" w:hAnsi="Book Antiqua" w:cs="Book Antiqua"/>
          <w:b/>
          <w:color w:val="000000" w:themeColor="text1"/>
        </w:rPr>
        <w:t>Type:</w:t>
      </w:r>
      <w:r w:rsidR="00450328" w:rsidRPr="002E2F24">
        <w:rPr>
          <w:rFonts w:ascii="Book Antiqua" w:eastAsia="Book Antiqua" w:hAnsi="Book Antiqua" w:cs="Book Antiqua"/>
          <w:b/>
          <w:color w:val="000000" w:themeColor="text1"/>
        </w:rPr>
        <w:t xml:space="preserve"> </w:t>
      </w:r>
      <w:r w:rsidRPr="002E2F24">
        <w:rPr>
          <w:rFonts w:ascii="Book Antiqua" w:eastAsia="Book Antiqua" w:hAnsi="Book Antiqua" w:cs="Book Antiqua"/>
          <w:color w:val="000000" w:themeColor="text1"/>
        </w:rPr>
        <w:t>META-ANALYSIS</w:t>
      </w:r>
    </w:p>
    <w:p w14:paraId="4FB52CF2" w14:textId="77777777" w:rsidR="00A77B3E" w:rsidRPr="002E2F24" w:rsidRDefault="00A77B3E">
      <w:pPr>
        <w:spacing w:line="360" w:lineRule="auto"/>
        <w:jc w:val="both"/>
        <w:rPr>
          <w:rFonts w:ascii="Book Antiqua" w:hAnsi="Book Antiqua"/>
          <w:color w:val="000000" w:themeColor="text1"/>
        </w:rPr>
      </w:pPr>
    </w:p>
    <w:p w14:paraId="748A14A8" w14:textId="644C8B9C"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bCs/>
          <w:color w:val="000000" w:themeColor="text1"/>
          <w:shd w:val="clear" w:color="auto" w:fill="FFFFFF"/>
        </w:rPr>
        <w:t>Sodium-glucose</w:t>
      </w:r>
      <w:r w:rsidR="00450328" w:rsidRPr="002E2F24">
        <w:rPr>
          <w:rFonts w:ascii="Book Antiqua" w:eastAsia="Book Antiqua" w:hAnsi="Book Antiqua" w:cs="Book Antiqua"/>
          <w:b/>
          <w:bCs/>
          <w:color w:val="000000" w:themeColor="text1"/>
          <w:shd w:val="clear" w:color="auto" w:fill="FFFFFF"/>
        </w:rPr>
        <w:t xml:space="preserve"> </w:t>
      </w:r>
      <w:r w:rsidRPr="002E2F24">
        <w:rPr>
          <w:rFonts w:ascii="Book Antiqua" w:eastAsia="Book Antiqua" w:hAnsi="Book Antiqua" w:cs="Book Antiqua"/>
          <w:b/>
          <w:bCs/>
          <w:color w:val="000000" w:themeColor="text1"/>
          <w:shd w:val="clear" w:color="auto" w:fill="FFFFFF"/>
        </w:rPr>
        <w:t>Cotransporter-2</w:t>
      </w:r>
      <w:r w:rsidR="00450328" w:rsidRPr="002E2F24">
        <w:rPr>
          <w:rFonts w:ascii="Book Antiqua" w:eastAsia="Book Antiqua" w:hAnsi="Book Antiqua" w:cs="Book Antiqua"/>
          <w:b/>
          <w:bCs/>
          <w:color w:val="000000" w:themeColor="text1"/>
          <w:shd w:val="clear" w:color="auto" w:fill="FFFFFF"/>
        </w:rPr>
        <w:t xml:space="preserve"> </w:t>
      </w:r>
      <w:r w:rsidRPr="002E2F24">
        <w:rPr>
          <w:rFonts w:ascii="Book Antiqua" w:eastAsia="Book Antiqua" w:hAnsi="Book Antiqua" w:cs="Book Antiqua"/>
          <w:b/>
          <w:bCs/>
          <w:color w:val="000000" w:themeColor="text1"/>
          <w:shd w:val="clear" w:color="auto" w:fill="FFFFFF"/>
        </w:rPr>
        <w:t>Inhibitors</w:t>
      </w:r>
      <w:r w:rsidR="00450328" w:rsidRPr="002E2F24">
        <w:rPr>
          <w:rFonts w:ascii="Book Antiqua" w:eastAsia="Book Antiqua" w:hAnsi="Book Antiqua" w:cs="Book Antiqua"/>
          <w:b/>
          <w:bCs/>
          <w:color w:val="000000" w:themeColor="text1"/>
          <w:shd w:val="clear" w:color="auto" w:fill="FFFFFF"/>
        </w:rPr>
        <w:t xml:space="preserve"> </w:t>
      </w:r>
      <w:r w:rsidRPr="002E2F24">
        <w:rPr>
          <w:rFonts w:ascii="Book Antiqua" w:eastAsia="Book Antiqua" w:hAnsi="Book Antiqua" w:cs="Book Antiqua"/>
          <w:b/>
          <w:bCs/>
          <w:color w:val="000000" w:themeColor="text1"/>
          <w:shd w:val="clear" w:color="auto" w:fill="FFFFFF"/>
        </w:rPr>
        <w:t>induced</w:t>
      </w:r>
      <w:r w:rsidR="00450328" w:rsidRPr="002E2F24">
        <w:rPr>
          <w:rFonts w:ascii="Book Antiqua" w:eastAsia="Book Antiqua" w:hAnsi="Book Antiqua" w:cs="Book Antiqua"/>
          <w:b/>
          <w:bCs/>
          <w:color w:val="000000" w:themeColor="text1"/>
          <w:shd w:val="clear" w:color="auto" w:fill="FFFFFF"/>
        </w:rPr>
        <w:t xml:space="preserve"> </w:t>
      </w:r>
      <w:r w:rsidRPr="002E2F24">
        <w:rPr>
          <w:rFonts w:ascii="Book Antiqua" w:eastAsia="Book Antiqua" w:hAnsi="Book Antiqua" w:cs="Book Antiqua"/>
          <w:b/>
          <w:bCs/>
          <w:color w:val="000000" w:themeColor="text1"/>
          <w:shd w:val="clear" w:color="auto" w:fill="FFFFFF"/>
        </w:rPr>
        <w:t>euglycemic</w:t>
      </w:r>
      <w:r w:rsidR="00450328" w:rsidRPr="002E2F24">
        <w:rPr>
          <w:rFonts w:ascii="Book Antiqua" w:eastAsia="Book Antiqua" w:hAnsi="Book Antiqua" w:cs="Book Antiqua"/>
          <w:b/>
          <w:bCs/>
          <w:color w:val="000000" w:themeColor="text1"/>
          <w:shd w:val="clear" w:color="auto" w:fill="FFFFFF"/>
        </w:rPr>
        <w:t xml:space="preserve"> </w:t>
      </w:r>
      <w:r w:rsidRPr="002E2F24">
        <w:rPr>
          <w:rStyle w:val="il"/>
          <w:rFonts w:ascii="Book Antiqua" w:eastAsia="Book Antiqua" w:hAnsi="Book Antiqua" w:cs="Book Antiqua"/>
          <w:b/>
          <w:bCs/>
          <w:color w:val="000000" w:themeColor="text1"/>
          <w:shd w:val="clear" w:color="auto" w:fill="FFFFFF"/>
        </w:rPr>
        <w:t>diabetic</w:t>
      </w:r>
      <w:r w:rsidR="00450328" w:rsidRPr="002E2F24">
        <w:rPr>
          <w:rFonts w:ascii="Book Antiqua" w:eastAsia="Book Antiqua" w:hAnsi="Book Antiqua" w:cs="Book Antiqua"/>
          <w:b/>
          <w:bCs/>
          <w:color w:val="000000" w:themeColor="text1"/>
          <w:shd w:val="clear" w:color="auto" w:fill="FFFFFF"/>
        </w:rPr>
        <w:t xml:space="preserve"> </w:t>
      </w:r>
      <w:r w:rsidRPr="002E2F24">
        <w:rPr>
          <w:rFonts w:ascii="Book Antiqua" w:eastAsia="Book Antiqua" w:hAnsi="Book Antiqua" w:cs="Book Antiqua"/>
          <w:b/>
          <w:bCs/>
          <w:color w:val="000000" w:themeColor="text1"/>
          <w:shd w:val="clear" w:color="auto" w:fill="FFFFFF"/>
        </w:rPr>
        <w:t>ketoacidosis:</w:t>
      </w:r>
      <w:r w:rsidR="00450328" w:rsidRPr="002E2F24">
        <w:rPr>
          <w:rFonts w:ascii="Book Antiqua" w:eastAsia="Book Antiqua" w:hAnsi="Book Antiqua" w:cs="Book Antiqua"/>
          <w:b/>
          <w:bCs/>
          <w:color w:val="000000" w:themeColor="text1"/>
          <w:shd w:val="clear" w:color="auto" w:fill="FFFFFF"/>
        </w:rPr>
        <w:t xml:space="preserve"> </w:t>
      </w:r>
      <w:r w:rsidRPr="002E2F24">
        <w:rPr>
          <w:rFonts w:ascii="Book Antiqua" w:eastAsia="Book Antiqua" w:hAnsi="Book Antiqua" w:cs="Book Antiqua"/>
          <w:b/>
          <w:bCs/>
          <w:color w:val="000000" w:themeColor="text1"/>
          <w:shd w:val="clear" w:color="auto" w:fill="FFFFFF"/>
        </w:rPr>
        <w:t>A</w:t>
      </w:r>
      <w:r w:rsidR="00450328" w:rsidRPr="002E2F24">
        <w:rPr>
          <w:rFonts w:ascii="Book Antiqua" w:eastAsia="Book Antiqua" w:hAnsi="Book Antiqua" w:cs="Book Antiqua"/>
          <w:b/>
          <w:bCs/>
          <w:color w:val="000000" w:themeColor="text1"/>
          <w:shd w:val="clear" w:color="auto" w:fill="FFFFFF"/>
        </w:rPr>
        <w:t xml:space="preserve"> </w:t>
      </w:r>
      <w:r w:rsidRPr="002E2F24">
        <w:rPr>
          <w:rFonts w:ascii="Book Antiqua" w:eastAsia="Book Antiqua" w:hAnsi="Book Antiqua" w:cs="Book Antiqua"/>
          <w:b/>
          <w:bCs/>
          <w:color w:val="000000" w:themeColor="text1"/>
          <w:shd w:val="clear" w:color="auto" w:fill="FFFFFF"/>
        </w:rPr>
        <w:t>meta</w:t>
      </w:r>
      <w:r w:rsidR="00450328" w:rsidRPr="002E2F24">
        <w:rPr>
          <w:rFonts w:ascii="Book Antiqua" w:eastAsia="Book Antiqua" w:hAnsi="Book Antiqua" w:cs="Book Antiqua"/>
          <w:b/>
          <w:bCs/>
          <w:color w:val="000000" w:themeColor="text1"/>
          <w:shd w:val="clear" w:color="auto" w:fill="FFFFFF"/>
        </w:rPr>
        <w:t xml:space="preserve"> </w:t>
      </w:r>
      <w:r w:rsidRPr="002E2F24">
        <w:rPr>
          <w:rFonts w:ascii="Book Antiqua" w:eastAsia="Book Antiqua" w:hAnsi="Book Antiqua" w:cs="Book Antiqua"/>
          <w:b/>
          <w:bCs/>
          <w:color w:val="000000" w:themeColor="text1"/>
          <w:shd w:val="clear" w:color="auto" w:fill="FFFFFF"/>
        </w:rPr>
        <w:t>summary</w:t>
      </w:r>
      <w:r w:rsidR="00450328" w:rsidRPr="002E2F24">
        <w:rPr>
          <w:rFonts w:ascii="Book Antiqua" w:eastAsia="Book Antiqua" w:hAnsi="Book Antiqua" w:cs="Book Antiqua"/>
          <w:b/>
          <w:bCs/>
          <w:color w:val="000000" w:themeColor="text1"/>
          <w:shd w:val="clear" w:color="auto" w:fill="FFFFFF"/>
        </w:rPr>
        <w:t xml:space="preserve"> </w:t>
      </w:r>
      <w:r w:rsidRPr="002E2F24">
        <w:rPr>
          <w:rFonts w:ascii="Book Antiqua" w:eastAsia="Book Antiqua" w:hAnsi="Book Antiqua" w:cs="Book Antiqua"/>
          <w:b/>
          <w:bCs/>
          <w:color w:val="000000" w:themeColor="text1"/>
          <w:shd w:val="clear" w:color="auto" w:fill="FFFFFF"/>
        </w:rPr>
        <w:t>of</w:t>
      </w:r>
      <w:r w:rsidR="00450328" w:rsidRPr="002E2F24">
        <w:rPr>
          <w:rFonts w:ascii="Book Antiqua" w:eastAsia="Book Antiqua" w:hAnsi="Book Antiqua" w:cs="Book Antiqua"/>
          <w:b/>
          <w:bCs/>
          <w:color w:val="000000" w:themeColor="text1"/>
          <w:shd w:val="clear" w:color="auto" w:fill="FFFFFF"/>
        </w:rPr>
        <w:t xml:space="preserve"> </w:t>
      </w:r>
      <w:r w:rsidRPr="002E2F24">
        <w:rPr>
          <w:rFonts w:ascii="Book Antiqua" w:eastAsia="Book Antiqua" w:hAnsi="Book Antiqua" w:cs="Book Antiqua"/>
          <w:b/>
          <w:bCs/>
          <w:color w:val="000000" w:themeColor="text1"/>
          <w:shd w:val="clear" w:color="auto" w:fill="FFFFFF"/>
        </w:rPr>
        <w:t>case</w:t>
      </w:r>
      <w:r w:rsidR="00450328" w:rsidRPr="002E2F24">
        <w:rPr>
          <w:rFonts w:ascii="Book Antiqua" w:eastAsia="Book Antiqua" w:hAnsi="Book Antiqua" w:cs="Book Antiqua"/>
          <w:b/>
          <w:bCs/>
          <w:color w:val="000000" w:themeColor="text1"/>
          <w:shd w:val="clear" w:color="auto" w:fill="FFFFFF"/>
        </w:rPr>
        <w:t xml:space="preserve"> </w:t>
      </w:r>
      <w:r w:rsidRPr="002E2F24">
        <w:rPr>
          <w:rFonts w:ascii="Book Antiqua" w:eastAsia="Book Antiqua" w:hAnsi="Book Antiqua" w:cs="Book Antiqua"/>
          <w:b/>
          <w:bCs/>
          <w:color w:val="000000" w:themeColor="text1"/>
          <w:shd w:val="clear" w:color="auto" w:fill="FFFFFF"/>
        </w:rPr>
        <w:t>reports</w:t>
      </w:r>
    </w:p>
    <w:p w14:paraId="70475B94" w14:textId="77777777" w:rsidR="00A77B3E" w:rsidRPr="002E2F24" w:rsidRDefault="00A77B3E">
      <w:pPr>
        <w:spacing w:line="360" w:lineRule="auto"/>
        <w:jc w:val="both"/>
        <w:rPr>
          <w:rFonts w:ascii="Book Antiqua" w:hAnsi="Book Antiqua"/>
          <w:color w:val="000000" w:themeColor="text1"/>
        </w:rPr>
      </w:pPr>
    </w:p>
    <w:p w14:paraId="7C9121FE" w14:textId="0FBBEC5D"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color w:val="000000" w:themeColor="text1"/>
        </w:rPr>
        <w:t>Juneja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i/>
          <w:iCs/>
          <w:color w:val="000000" w:themeColor="text1"/>
        </w:rPr>
        <w:t>et</w:t>
      </w:r>
      <w:r w:rsidR="00450328" w:rsidRPr="002E2F24">
        <w:rPr>
          <w:rFonts w:ascii="Book Antiqua" w:eastAsia="Book Antiqua" w:hAnsi="Book Antiqua" w:cs="Book Antiqua"/>
          <w:i/>
          <w:iCs/>
          <w:color w:val="000000" w:themeColor="text1"/>
        </w:rPr>
        <w:t xml:space="preserve"> </w:t>
      </w:r>
      <w:r w:rsidRPr="002E2F24">
        <w:rPr>
          <w:rFonts w:ascii="Book Antiqua" w:eastAsia="Book Antiqua" w:hAnsi="Book Antiqua" w:cs="Book Antiqua"/>
          <w:i/>
          <w:iCs/>
          <w:color w:val="000000" w:themeColor="text1"/>
        </w:rPr>
        <w:t>al</w:t>
      </w:r>
      <w:r w:rsidRPr="002E2F24">
        <w:rPr>
          <w:rFonts w:ascii="Book Antiqua" w:eastAsia="Book Antiqua" w:hAnsi="Book Antiqua" w:cs="Book Antiqua"/>
          <w:color w:val="000000" w:themeColor="text1"/>
        </w:rPr>
        <w: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shd w:val="clear" w:color="auto" w:fill="FFFFFF"/>
        </w:rPr>
        <w:t>SGLT2</w:t>
      </w:r>
      <w:r w:rsidR="00450328" w:rsidRPr="002E2F24">
        <w:rPr>
          <w:rFonts w:ascii="Book Antiqua" w:eastAsia="Book Antiqua" w:hAnsi="Book Antiqua" w:cs="Book Antiqua"/>
          <w:color w:val="000000" w:themeColor="text1"/>
          <w:shd w:val="clear" w:color="auto" w:fill="FFFFFF"/>
        </w:rPr>
        <w:t xml:space="preserve"> </w:t>
      </w:r>
      <w:r w:rsidR="009138FB" w:rsidRPr="002E2F24">
        <w:rPr>
          <w:rFonts w:ascii="Book Antiqua" w:eastAsia="Book Antiqua" w:hAnsi="Book Antiqua" w:cs="Book Antiqua"/>
          <w:color w:val="000000" w:themeColor="text1"/>
          <w:shd w:val="clear" w:color="auto" w:fill="FFFFFF"/>
        </w:rPr>
        <w:t>inhibitors induced euglyce</w:t>
      </w:r>
      <w:r w:rsidRPr="002E2F24">
        <w:rPr>
          <w:rFonts w:ascii="Book Antiqua" w:eastAsia="Book Antiqua" w:hAnsi="Book Antiqua" w:cs="Book Antiqua"/>
          <w:color w:val="000000" w:themeColor="text1"/>
          <w:shd w:val="clear" w:color="auto" w:fill="FFFFFF"/>
        </w:rPr>
        <w:t>mic</w:t>
      </w:r>
      <w:r w:rsidR="00450328" w:rsidRPr="002E2F24">
        <w:rPr>
          <w:rFonts w:ascii="Book Antiqua" w:eastAsia="Book Antiqua" w:hAnsi="Book Antiqua" w:cs="Book Antiqua"/>
          <w:color w:val="000000" w:themeColor="text1"/>
          <w:shd w:val="clear" w:color="auto" w:fill="FFFFFF"/>
        </w:rPr>
        <w:t xml:space="preserve"> </w:t>
      </w:r>
      <w:r w:rsidRPr="002E2F24">
        <w:rPr>
          <w:rStyle w:val="il"/>
          <w:rFonts w:ascii="Book Antiqua" w:eastAsia="Book Antiqua" w:hAnsi="Book Antiqua" w:cs="Book Antiqua"/>
          <w:color w:val="000000" w:themeColor="text1"/>
          <w:shd w:val="clear" w:color="auto" w:fill="FFFFFF"/>
        </w:rPr>
        <w:t>DKA</w:t>
      </w:r>
    </w:p>
    <w:p w14:paraId="66D1F665" w14:textId="77777777" w:rsidR="00A77B3E" w:rsidRPr="002E2F24" w:rsidRDefault="00A77B3E">
      <w:pPr>
        <w:spacing w:line="360" w:lineRule="auto"/>
        <w:jc w:val="both"/>
        <w:rPr>
          <w:rFonts w:ascii="Book Antiqua" w:hAnsi="Book Antiqua"/>
          <w:color w:val="000000" w:themeColor="text1"/>
        </w:rPr>
      </w:pPr>
    </w:p>
    <w:p w14:paraId="1FE67AE7" w14:textId="383A08B6"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color w:val="000000" w:themeColor="text1"/>
        </w:rPr>
        <w:t>Deven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Juneja,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Prashant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Nasa,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Ravi</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Jain,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Omender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Singh</w:t>
      </w:r>
    </w:p>
    <w:p w14:paraId="6805AD35" w14:textId="77777777" w:rsidR="00A77B3E" w:rsidRPr="002E2F24" w:rsidRDefault="00A77B3E">
      <w:pPr>
        <w:spacing w:line="360" w:lineRule="auto"/>
        <w:jc w:val="both"/>
        <w:rPr>
          <w:rFonts w:ascii="Book Antiqua" w:hAnsi="Book Antiqua"/>
          <w:color w:val="000000" w:themeColor="text1"/>
        </w:rPr>
      </w:pPr>
    </w:p>
    <w:p w14:paraId="3CD2BA6C" w14:textId="5CD8DA9F"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bCs/>
          <w:color w:val="000000" w:themeColor="text1"/>
        </w:rPr>
        <w:t>Deven</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Juneja,</w:t>
      </w:r>
      <w:r w:rsidR="00450328" w:rsidRPr="002E2F24">
        <w:rPr>
          <w:rFonts w:ascii="Book Antiqua" w:eastAsia="Book Antiqua" w:hAnsi="Book Antiqua" w:cs="Book Antiqua"/>
          <w:b/>
          <w:bCs/>
          <w:color w:val="000000" w:themeColor="text1"/>
        </w:rPr>
        <w:t xml:space="preserve"> </w:t>
      </w:r>
      <w:r w:rsidR="00EE6DFC" w:rsidRPr="002E2F24">
        <w:rPr>
          <w:rFonts w:ascii="Book Antiqua" w:eastAsia="Book Antiqua" w:hAnsi="Book Antiqua" w:cs="Book Antiqua"/>
          <w:b/>
          <w:bCs/>
          <w:color w:val="000000" w:themeColor="text1"/>
        </w:rPr>
        <w:t xml:space="preserve">Omender Singh, </w:t>
      </w:r>
      <w:r w:rsidR="003558DF" w:rsidRPr="002E2F24">
        <w:rPr>
          <w:rFonts w:ascii="Book Antiqua" w:eastAsia="Book Antiqua" w:hAnsi="Book Antiqua" w:cs="Book Antiqua"/>
          <w:color w:val="000000" w:themeColor="text1"/>
        </w:rPr>
        <w:t xml:space="preserve">Department of </w:t>
      </w:r>
      <w:r w:rsidRPr="002E2F24">
        <w:rPr>
          <w:rFonts w:ascii="Book Antiqua" w:eastAsia="Book Antiqua" w:hAnsi="Book Antiqua" w:cs="Book Antiqua"/>
          <w:color w:val="000000" w:themeColor="text1"/>
        </w:rPr>
        <w:t>Institute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003558DF" w:rsidRPr="002E2F24">
        <w:rPr>
          <w:rFonts w:ascii="Book Antiqua" w:eastAsia="Book Antiqua" w:hAnsi="Book Antiqua" w:cs="Book Antiqua"/>
          <w:color w:val="000000" w:themeColor="text1"/>
        </w:rPr>
        <w:t>Critical Care Medicine</w:t>
      </w:r>
      <w:r w:rsidRPr="002E2F24">
        <w:rPr>
          <w:rFonts w:ascii="Book Antiqua" w:eastAsia="Book Antiqua" w:hAnsi="Book Antiqua" w:cs="Book Antiqua"/>
          <w:color w:val="000000" w:themeColor="text1"/>
        </w:rPr>
        <w: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Max</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Super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Speciality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Hospital,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Saket,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New</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Delhi</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110017,</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India</w:t>
      </w:r>
    </w:p>
    <w:p w14:paraId="7B4697D9" w14:textId="77777777" w:rsidR="00A77B3E" w:rsidRPr="002E2F24" w:rsidRDefault="00A77B3E">
      <w:pPr>
        <w:spacing w:line="360" w:lineRule="auto"/>
        <w:jc w:val="both"/>
        <w:rPr>
          <w:rFonts w:ascii="Book Antiqua" w:hAnsi="Book Antiqua"/>
          <w:color w:val="000000" w:themeColor="text1"/>
        </w:rPr>
      </w:pPr>
    </w:p>
    <w:p w14:paraId="5E3C5F22" w14:textId="086D3ED6" w:rsidR="00A77B3E" w:rsidRPr="002E2F24" w:rsidRDefault="00873F32">
      <w:pPr>
        <w:spacing w:line="360" w:lineRule="auto"/>
        <w:jc w:val="both"/>
        <w:rPr>
          <w:rFonts w:ascii="Book Antiqua" w:eastAsia="Book Antiqua" w:hAnsi="Book Antiqua" w:cs="Book Antiqua"/>
          <w:color w:val="000000" w:themeColor="text1"/>
        </w:rPr>
      </w:pPr>
      <w:r w:rsidRPr="002E2F24">
        <w:rPr>
          <w:rFonts w:ascii="Book Antiqua" w:eastAsia="Book Antiqua" w:hAnsi="Book Antiqua" w:cs="Book Antiqua"/>
          <w:b/>
          <w:bCs/>
          <w:color w:val="000000" w:themeColor="text1"/>
        </w:rPr>
        <w:t>Prashant</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Nasa,</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color w:val="000000" w:themeColor="text1"/>
        </w:rPr>
        <w:t>Department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Critical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Care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Medicine,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NMC</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Specialty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Hospital,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Dubai</w:t>
      </w:r>
      <w:r w:rsidR="00450328" w:rsidRPr="002E2F24">
        <w:rPr>
          <w:rFonts w:ascii="Book Antiqua" w:eastAsia="Book Antiqua" w:hAnsi="Book Antiqua" w:cs="Book Antiqua"/>
          <w:color w:val="000000" w:themeColor="text1"/>
        </w:rPr>
        <w:t xml:space="preserve"> </w:t>
      </w:r>
      <w:r w:rsidR="00AD16F4" w:rsidRPr="002E2F24">
        <w:rPr>
          <w:rFonts w:ascii="Book Antiqua" w:eastAsia="Book Antiqua" w:hAnsi="Book Antiqua" w:cs="Book Antiqua"/>
          <w:color w:val="000000" w:themeColor="text1"/>
        </w:rPr>
        <w:t>7832</w:t>
      </w:r>
      <w:r w:rsidRPr="002E2F24">
        <w:rPr>
          <w:rFonts w:ascii="Book Antiqua" w:eastAsia="Book Antiqua" w:hAnsi="Book Antiqua" w:cs="Book Antiqua"/>
          <w:color w:val="000000" w:themeColor="text1"/>
        </w:rPr>
        <w: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United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Arab</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Emirates</w:t>
      </w:r>
    </w:p>
    <w:p w14:paraId="1C54B955" w14:textId="77777777" w:rsidR="003F651B" w:rsidRPr="002E2F24" w:rsidRDefault="003F651B">
      <w:pPr>
        <w:spacing w:line="360" w:lineRule="auto"/>
        <w:jc w:val="both"/>
        <w:rPr>
          <w:rFonts w:ascii="Book Antiqua" w:eastAsia="Book Antiqua" w:hAnsi="Book Antiqua" w:cs="Book Antiqua"/>
          <w:color w:val="000000" w:themeColor="text1"/>
        </w:rPr>
      </w:pPr>
    </w:p>
    <w:p w14:paraId="5C4164AD" w14:textId="0EB6F572" w:rsidR="00AD16F4" w:rsidRPr="002E2F24" w:rsidRDefault="003F651B">
      <w:pPr>
        <w:spacing w:line="360" w:lineRule="auto"/>
        <w:jc w:val="both"/>
        <w:rPr>
          <w:rFonts w:ascii="Book Antiqua" w:hAnsi="Book Antiqua"/>
          <w:color w:val="000000" w:themeColor="text1"/>
        </w:rPr>
      </w:pPr>
      <w:r w:rsidRPr="002E2F24">
        <w:rPr>
          <w:rFonts w:ascii="Book Antiqua" w:eastAsia="Book Antiqua" w:hAnsi="Book Antiqua" w:cs="Book Antiqua"/>
          <w:b/>
          <w:bCs/>
          <w:color w:val="000000" w:themeColor="text1"/>
        </w:rPr>
        <w:t xml:space="preserve">Prashant Nasa, </w:t>
      </w:r>
      <w:r w:rsidR="008040AD" w:rsidRPr="002E2F24">
        <w:rPr>
          <w:rFonts w:ascii="Book Antiqua" w:eastAsia="Book Antiqua" w:hAnsi="Book Antiqua" w:cs="Book Antiqua"/>
          <w:color w:val="000000" w:themeColor="text1"/>
        </w:rPr>
        <w:t xml:space="preserve">Department of </w:t>
      </w:r>
      <w:r w:rsidR="00AD16F4" w:rsidRPr="002E2F24">
        <w:rPr>
          <w:rFonts w:ascii="Book Antiqua" w:eastAsia="Book Antiqua" w:hAnsi="Book Antiqua" w:cs="Book Antiqua"/>
          <w:color w:val="000000" w:themeColor="text1"/>
        </w:rPr>
        <w:t>Internal Medicine, College of Medicine and Health Sciences, Al Ain 15551, Abu Dhabi, United Arab Emirates</w:t>
      </w:r>
    </w:p>
    <w:p w14:paraId="4D1A8C91" w14:textId="77777777" w:rsidR="00A77B3E" w:rsidRPr="002E2F24" w:rsidRDefault="00A77B3E">
      <w:pPr>
        <w:spacing w:line="360" w:lineRule="auto"/>
        <w:jc w:val="both"/>
        <w:rPr>
          <w:rFonts w:ascii="Book Antiqua" w:hAnsi="Book Antiqua"/>
          <w:color w:val="000000" w:themeColor="text1"/>
        </w:rPr>
      </w:pPr>
    </w:p>
    <w:p w14:paraId="0E8F8220" w14:textId="41094CAB"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bCs/>
          <w:color w:val="000000" w:themeColor="text1"/>
        </w:rPr>
        <w:t>Ravi</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Jain,</w:t>
      </w:r>
      <w:r w:rsidR="00450328" w:rsidRPr="002E2F24">
        <w:rPr>
          <w:rFonts w:ascii="Book Antiqua" w:eastAsia="Book Antiqua" w:hAnsi="Book Antiqua" w:cs="Book Antiqua"/>
          <w:b/>
          <w:bCs/>
          <w:color w:val="000000" w:themeColor="text1"/>
        </w:rPr>
        <w:t xml:space="preserve"> </w:t>
      </w:r>
      <w:r w:rsidR="00C96151" w:rsidRPr="002E2F24">
        <w:rPr>
          <w:rFonts w:ascii="Book Antiqua" w:eastAsia="Book Antiqua" w:hAnsi="Book Antiqua" w:cs="Book Antiqua"/>
          <w:color w:val="000000" w:themeColor="text1"/>
        </w:rPr>
        <w:t xml:space="preserve">Department of </w:t>
      </w:r>
      <w:r w:rsidRPr="002E2F24">
        <w:rPr>
          <w:rFonts w:ascii="Book Antiqua" w:eastAsia="Book Antiqua" w:hAnsi="Book Antiqua" w:cs="Book Antiqua"/>
          <w:color w:val="000000" w:themeColor="text1"/>
        </w:rPr>
        <w:t>Critical</w:t>
      </w:r>
      <w:r w:rsidR="00450328" w:rsidRPr="002E2F24">
        <w:rPr>
          <w:rFonts w:ascii="Book Antiqua" w:eastAsia="Book Antiqua" w:hAnsi="Book Antiqua" w:cs="Book Antiqua"/>
          <w:color w:val="000000" w:themeColor="text1"/>
        </w:rPr>
        <w:t xml:space="preserve"> </w:t>
      </w:r>
      <w:r w:rsidR="00E778D4" w:rsidRPr="002E2F24">
        <w:rPr>
          <w:rFonts w:ascii="Book Antiqua" w:eastAsia="Book Antiqua" w:hAnsi="Book Antiqua" w:cs="Book Antiqua"/>
          <w:color w:val="000000" w:themeColor="text1"/>
        </w:rPr>
        <w:t>Care Medicine</w:t>
      </w:r>
      <w:r w:rsidRPr="002E2F24">
        <w:rPr>
          <w:rFonts w:ascii="Book Antiqua" w:eastAsia="Book Antiqua" w:hAnsi="Book Antiqua" w:cs="Book Antiqua"/>
          <w:color w:val="000000" w:themeColor="text1"/>
        </w:rPr>
        <w: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Mahatma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Gandhi</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Medical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College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Hospital,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Jaipur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302022,</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Rajasthan,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India</w:t>
      </w:r>
    </w:p>
    <w:p w14:paraId="327FCB3C" w14:textId="77777777" w:rsidR="00A77B3E" w:rsidRPr="002E2F24" w:rsidRDefault="00A77B3E">
      <w:pPr>
        <w:spacing w:line="360" w:lineRule="auto"/>
        <w:jc w:val="both"/>
        <w:rPr>
          <w:rFonts w:ascii="Book Antiqua" w:hAnsi="Book Antiqua"/>
          <w:color w:val="000000" w:themeColor="text1"/>
        </w:rPr>
      </w:pPr>
    </w:p>
    <w:p w14:paraId="01D9FA42" w14:textId="7D245A79"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bCs/>
          <w:color w:val="000000" w:themeColor="text1"/>
        </w:rPr>
        <w:t>Author</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contributions:</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color w:val="000000" w:themeColor="text1"/>
        </w:rPr>
        <w:t>Juneja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acquisition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data,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analysis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interpretation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data,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drafting</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article,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final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approval;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Nasa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acquisition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data,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analysis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interpretation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data,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drafting</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article,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final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approval;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Jain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interpretation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data,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revising</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article,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final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approval;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Singh</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designing</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study,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drafting</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article,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final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approval.</w:t>
      </w:r>
    </w:p>
    <w:p w14:paraId="22625A18" w14:textId="77777777" w:rsidR="00A77B3E" w:rsidRPr="002E2F24" w:rsidRDefault="00A77B3E">
      <w:pPr>
        <w:spacing w:line="360" w:lineRule="auto"/>
        <w:jc w:val="both"/>
        <w:rPr>
          <w:rFonts w:ascii="Book Antiqua" w:hAnsi="Book Antiqua"/>
          <w:color w:val="000000" w:themeColor="text1"/>
        </w:rPr>
      </w:pPr>
    </w:p>
    <w:p w14:paraId="32271354" w14:textId="12D163EF"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bCs/>
          <w:color w:val="000000" w:themeColor="text1"/>
        </w:rPr>
        <w:lastRenderedPageBreak/>
        <w:t>Corresponding</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author:</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Deven</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Juneja,</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FCCP,</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MD,</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Director,</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color w:val="000000" w:themeColor="text1"/>
        </w:rPr>
        <w:t>Institute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008C3CFC">
        <w:rPr>
          <w:rFonts w:ascii="Book Antiqua" w:eastAsia="Book Antiqua" w:hAnsi="Book Antiqua" w:cs="Book Antiqua"/>
          <w:color w:val="000000" w:themeColor="text1"/>
        </w:rPr>
        <w:t>C</w:t>
      </w:r>
      <w:r w:rsidRPr="002E2F24">
        <w:rPr>
          <w:rFonts w:ascii="Book Antiqua" w:eastAsia="Book Antiqua" w:hAnsi="Book Antiqua" w:cs="Book Antiqua"/>
          <w:color w:val="000000" w:themeColor="text1"/>
        </w:rPr>
        <w:t>ritical</w:t>
      </w:r>
      <w:r w:rsidR="00450328" w:rsidRPr="002E2F24">
        <w:rPr>
          <w:rFonts w:ascii="Book Antiqua" w:eastAsia="Book Antiqua" w:hAnsi="Book Antiqua" w:cs="Book Antiqua"/>
          <w:color w:val="000000" w:themeColor="text1"/>
        </w:rPr>
        <w:t xml:space="preserve"> </w:t>
      </w:r>
      <w:r w:rsidR="008C3CFC">
        <w:rPr>
          <w:rFonts w:ascii="Book Antiqua" w:eastAsia="Book Antiqua" w:hAnsi="Book Antiqua" w:cs="Book Antiqua"/>
          <w:color w:val="000000" w:themeColor="text1"/>
        </w:rPr>
        <w:t>C</w:t>
      </w:r>
      <w:r w:rsidRPr="002E2F24">
        <w:rPr>
          <w:rFonts w:ascii="Book Antiqua" w:eastAsia="Book Antiqua" w:hAnsi="Book Antiqua" w:cs="Book Antiqua"/>
          <w:color w:val="000000" w:themeColor="text1"/>
        </w:rPr>
        <w:t>are</w:t>
      </w:r>
      <w:r w:rsidR="00450328" w:rsidRPr="002E2F24">
        <w:rPr>
          <w:rFonts w:ascii="Book Antiqua" w:eastAsia="Book Antiqua" w:hAnsi="Book Antiqua" w:cs="Book Antiqua"/>
          <w:color w:val="000000" w:themeColor="text1"/>
        </w:rPr>
        <w:t xml:space="preserve"> </w:t>
      </w:r>
      <w:r w:rsidR="008C3CFC">
        <w:rPr>
          <w:rFonts w:ascii="Book Antiqua" w:eastAsia="Book Antiqua" w:hAnsi="Book Antiqua" w:cs="Book Antiqua"/>
          <w:color w:val="000000" w:themeColor="text1"/>
        </w:rPr>
        <w:t>M</w:t>
      </w:r>
      <w:r w:rsidRPr="002E2F24">
        <w:rPr>
          <w:rFonts w:ascii="Book Antiqua" w:eastAsia="Book Antiqua" w:hAnsi="Book Antiqua" w:cs="Book Antiqua"/>
          <w:color w:val="000000" w:themeColor="text1"/>
        </w:rPr>
        <w:t>edicine,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Max</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Super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Speciality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Hospital,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Saket,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1,</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Press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Enclave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Road,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New</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Delhi</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110017,</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India.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devenjuneja@gmail.com</w:t>
      </w:r>
    </w:p>
    <w:p w14:paraId="201D485F" w14:textId="77777777" w:rsidR="00A77B3E" w:rsidRPr="002E2F24" w:rsidRDefault="00A77B3E">
      <w:pPr>
        <w:spacing w:line="360" w:lineRule="auto"/>
        <w:jc w:val="both"/>
        <w:rPr>
          <w:rFonts w:ascii="Book Antiqua" w:hAnsi="Book Antiqua"/>
          <w:color w:val="000000" w:themeColor="text1"/>
        </w:rPr>
      </w:pPr>
    </w:p>
    <w:p w14:paraId="1E6E2999" w14:textId="4ECAEA80"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bCs/>
          <w:color w:val="000000" w:themeColor="text1"/>
        </w:rPr>
        <w:t>Received:</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color w:val="000000" w:themeColor="text1"/>
        </w:rPr>
        <w:t>April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27,</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2023</w:t>
      </w:r>
    </w:p>
    <w:p w14:paraId="033E9832" w14:textId="190DC787"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bCs/>
          <w:color w:val="000000" w:themeColor="text1"/>
        </w:rPr>
        <w:t>Revised:</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color w:val="000000" w:themeColor="text1"/>
        </w:rPr>
        <w:t>May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20,</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2023</w:t>
      </w:r>
    </w:p>
    <w:p w14:paraId="13615FD4" w14:textId="24D49ACF"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bCs/>
          <w:color w:val="000000" w:themeColor="text1"/>
        </w:rPr>
        <w:t>Accepted:</w:t>
      </w:r>
      <w:r w:rsidR="00450328" w:rsidRPr="002E2F24">
        <w:rPr>
          <w:rFonts w:ascii="Book Antiqua" w:eastAsia="Book Antiqua" w:hAnsi="Book Antiqua" w:cs="Book Antiqua"/>
          <w:b/>
          <w:bCs/>
          <w:color w:val="000000" w:themeColor="text1"/>
        </w:rPr>
        <w:t xml:space="preserve"> </w:t>
      </w:r>
      <w:r w:rsidR="003E00AA" w:rsidRPr="00A90C8E">
        <w:rPr>
          <w:rFonts w:ascii="Book Antiqua" w:eastAsia="Book Antiqua" w:hAnsi="Book Antiqua" w:cs="Book Antiqua"/>
          <w:color w:val="000000" w:themeColor="text1"/>
        </w:rPr>
        <w:t>June 19, 2023</w:t>
      </w:r>
    </w:p>
    <w:p w14:paraId="19A5FB32" w14:textId="20093B4B"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bCs/>
          <w:color w:val="000000" w:themeColor="text1"/>
        </w:rPr>
        <w:t>Published</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online:</w:t>
      </w:r>
      <w:r w:rsidR="00450328" w:rsidRPr="002E2F24">
        <w:rPr>
          <w:rFonts w:ascii="Book Antiqua" w:eastAsia="Book Antiqua" w:hAnsi="Book Antiqua" w:cs="Book Antiqua"/>
          <w:b/>
          <w:bCs/>
          <w:color w:val="000000" w:themeColor="text1"/>
        </w:rPr>
        <w:t xml:space="preserve"> </w:t>
      </w:r>
    </w:p>
    <w:p w14:paraId="0FA279F8" w14:textId="77777777" w:rsidR="00A77B3E" w:rsidRPr="002E2F24" w:rsidRDefault="00A77B3E">
      <w:pPr>
        <w:spacing w:line="360" w:lineRule="auto"/>
        <w:jc w:val="both"/>
        <w:rPr>
          <w:rFonts w:ascii="Book Antiqua" w:hAnsi="Book Antiqua"/>
          <w:color w:val="000000" w:themeColor="text1"/>
        </w:rPr>
        <w:sectPr w:rsidR="00A77B3E" w:rsidRPr="002E2F24">
          <w:footerReference w:type="default" r:id="rId7"/>
          <w:pgSz w:w="12240" w:h="15840"/>
          <w:pgMar w:top="1440" w:right="1440" w:bottom="1440" w:left="1440" w:header="720" w:footer="720" w:gutter="0"/>
          <w:cols w:space="720"/>
          <w:docGrid w:linePitch="360"/>
        </w:sectPr>
      </w:pPr>
    </w:p>
    <w:p w14:paraId="672DD989" w14:textId="77777777"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color w:val="000000" w:themeColor="text1"/>
        </w:rPr>
        <w:lastRenderedPageBreak/>
        <w:t>Abstract</w:t>
      </w:r>
    </w:p>
    <w:p w14:paraId="64FF50AF" w14:textId="77777777"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color w:val="000000" w:themeColor="text1"/>
        </w:rPr>
        <w:t>BACKGROUND</w:t>
      </w:r>
    </w:p>
    <w:p w14:paraId="31C72357" w14:textId="56DD754A"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color w:val="000000" w:themeColor="text1"/>
        </w:rPr>
        <w:t>Sodium</w:t>
      </w:r>
      <w:r w:rsidR="00942C9E" w:rsidRPr="002E2F24">
        <w:rPr>
          <w:rFonts w:ascii="Book Antiqua" w:eastAsia="Book Antiqua" w:hAnsi="Book Antiqua" w:cs="Book Antiqua"/>
          <w:color w:val="000000" w:themeColor="text1"/>
        </w:rPr>
        <w:t>-</w:t>
      </w:r>
      <w:r w:rsidRPr="002E2F24">
        <w:rPr>
          <w:rFonts w:ascii="Book Antiqua" w:eastAsia="Book Antiqua" w:hAnsi="Book Antiqua" w:cs="Book Antiqua"/>
          <w:color w:val="000000" w:themeColor="text1"/>
        </w:rPr>
        <w:t>glucose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cotransporter</w:t>
      </w:r>
      <w:r w:rsidR="009138FB" w:rsidRPr="002E2F24">
        <w:rPr>
          <w:rFonts w:ascii="Book Antiqua" w:eastAsia="Book Antiqua" w:hAnsi="Book Antiqua" w:cs="Book Antiqua"/>
          <w:color w:val="000000" w:themeColor="text1"/>
        </w:rPr>
        <w:t>-</w:t>
      </w:r>
      <w:r w:rsidRPr="002E2F24">
        <w:rPr>
          <w:rFonts w:ascii="Book Antiqua" w:eastAsia="Book Antiqua" w:hAnsi="Book Antiqua" w:cs="Book Antiqua"/>
          <w:color w:val="000000" w:themeColor="text1"/>
        </w:rPr>
        <w:t>2</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inhibitors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(SGLT2i)</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are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commonly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prescribed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to</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manage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patients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with</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diabetes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mellitus.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These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agents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may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rarely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lead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to</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development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euglycemic</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diabetic</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ketoacidosis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(EDKA),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which</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may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complicate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disease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course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these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patients.</w:t>
      </w:r>
    </w:p>
    <w:p w14:paraId="3FA38B4F" w14:textId="77777777" w:rsidR="00A77B3E" w:rsidRPr="002E2F24" w:rsidRDefault="00A77B3E">
      <w:pPr>
        <w:spacing w:line="360" w:lineRule="auto"/>
        <w:jc w:val="both"/>
        <w:rPr>
          <w:rFonts w:ascii="Book Antiqua" w:hAnsi="Book Antiqua"/>
          <w:color w:val="000000" w:themeColor="text1"/>
        </w:rPr>
      </w:pPr>
    </w:p>
    <w:p w14:paraId="00243337" w14:textId="77777777"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color w:val="000000" w:themeColor="text1"/>
        </w:rPr>
        <w:t>AIM</w:t>
      </w:r>
    </w:p>
    <w:p w14:paraId="07CD6C79" w14:textId="6CEA3E34"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color w:val="000000" w:themeColor="text1"/>
        </w:rPr>
        <w:t>To</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analyze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demographic</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profile,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predisposing</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factors,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symptomology,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clinical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interventions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outcomes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patients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presenting</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with</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EDKA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secondary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to</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SGLT2i</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use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by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reviewing</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published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case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reports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series.</w:t>
      </w:r>
    </w:p>
    <w:p w14:paraId="6EC706DE" w14:textId="77777777" w:rsidR="00A77B3E" w:rsidRPr="002E2F24" w:rsidRDefault="00A77B3E">
      <w:pPr>
        <w:spacing w:line="360" w:lineRule="auto"/>
        <w:jc w:val="both"/>
        <w:rPr>
          <w:rFonts w:ascii="Book Antiqua" w:hAnsi="Book Antiqua"/>
          <w:color w:val="000000" w:themeColor="text1"/>
        </w:rPr>
      </w:pPr>
    </w:p>
    <w:p w14:paraId="645F619B" w14:textId="77777777"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color w:val="000000" w:themeColor="text1"/>
        </w:rPr>
        <w:t>METHODS</w:t>
      </w:r>
    </w:p>
    <w:p w14:paraId="3A3068AD" w14:textId="61C09E81"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color w:val="000000" w:themeColor="text1"/>
        </w:rPr>
        <w:t>We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performed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systematic</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search</w:t>
      </w:r>
      <w:r w:rsidR="00450328" w:rsidRPr="002E2F24">
        <w:rPr>
          <w:rFonts w:ascii="Book Antiqua" w:eastAsia="Book Antiqua" w:hAnsi="Book Antiqua" w:cs="Book Antiqua"/>
          <w:color w:val="000000" w:themeColor="text1"/>
        </w:rPr>
        <w:t xml:space="preserve"> </w:t>
      </w:r>
      <w:r w:rsidR="008C3CFC">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PubMed,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Science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Direct,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Google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Scholar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shd w:val="clear" w:color="auto" w:fill="FFFFFF"/>
        </w:rPr>
        <w:t>Reference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Citation</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Analysis</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rPr>
        <w:t>databases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using</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terms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t>
      </w:r>
      <w:r w:rsidRPr="002E2F24">
        <w:rPr>
          <w:rFonts w:ascii="Book Antiqua" w:eastAsia="Book Antiqua" w:hAnsi="Book Antiqua" w:cs="Book Antiqua"/>
          <w:color w:val="000000" w:themeColor="text1"/>
          <w:shd w:val="clear" w:color="auto" w:fill="FFFFFF"/>
        </w:rPr>
        <w:t>canagliflozin”</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OR</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“empagliflozin</w:t>
      </w:r>
      <w:r w:rsidRPr="002E2F24">
        <w:rPr>
          <w:rFonts w:ascii="Book Antiqua" w:eastAsia="Book Antiqua" w:hAnsi="Book Antiqua" w:cs="Book Antiqua"/>
          <w:color w:val="000000" w:themeColor="text1"/>
        </w:rPr>
        <w: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“dapagliflozin”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t>
      </w:r>
      <w:r w:rsidRPr="002E2F24">
        <w:rPr>
          <w:rFonts w:ascii="Book Antiqua" w:eastAsia="Book Antiqua" w:hAnsi="Book Antiqua" w:cs="Book Antiqua"/>
          <w:color w:val="000000" w:themeColor="text1"/>
          <w:shd w:val="clear" w:color="auto" w:fill="FFFFFF"/>
        </w:rPr>
        <w:t>SGLT2</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inhibitors”</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OR</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“Sodium-glucose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cotransporter-2”</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rPr>
        <w:t>AND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“euglycemia”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“euglycemic</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diabetic</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ketoacidosis”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“metabolic</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acidosis”.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inclusion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criteria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were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(1)</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Case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reports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case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series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with</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individual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patient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details;</w:t>
      </w:r>
      <w:r w:rsidR="00450328" w:rsidRPr="002E2F24">
        <w:rPr>
          <w:rFonts w:ascii="Book Antiqua" w:eastAsia="Book Antiqua" w:hAnsi="Book Antiqua" w:cs="Book Antiqua"/>
          <w:color w:val="000000" w:themeColor="text1"/>
        </w:rPr>
        <w:t xml:space="preserve"> </w:t>
      </w:r>
      <w:r w:rsidR="00214AC0" w:rsidRPr="002E2F24">
        <w:rPr>
          <w:rFonts w:ascii="Book Antiqua" w:eastAsia="Book Antiqua" w:hAnsi="Book Antiqua" w:cs="Book Antiqua"/>
          <w:color w:val="000000" w:themeColor="text1"/>
        </w:rPr>
        <w:t xml:space="preserve">and </w:t>
      </w:r>
      <w:r w:rsidRPr="002E2F24">
        <w:rPr>
          <w:rFonts w:ascii="Book Antiqua" w:eastAsia="Book Antiqua" w:hAnsi="Book Antiqua" w:cs="Book Antiqua"/>
          <w:color w:val="000000" w:themeColor="text1"/>
        </w:rPr>
        <w:t>(2)</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Reported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EDKA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secondary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to</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SGLT2i.</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shd w:val="clear" w:color="auto" w:fill="FFFFFF"/>
        </w:rPr>
        <w:t>Further</w:t>
      </w:r>
      <w:r w:rsidR="00377499">
        <w:rPr>
          <w:rFonts w:ascii="Book Antiqua" w:eastAsia="Book Antiqua" w:hAnsi="Book Antiqua" w:cs="Book Antiqua"/>
          <w:color w:val="000000" w:themeColor="text1"/>
          <w:shd w:val="clear" w:color="auto" w:fill="FFFFFF"/>
        </w:rPr>
        <w:t>more</w:t>
      </w:r>
      <w:r w:rsidRPr="002E2F24">
        <w:rPr>
          <w:rFonts w:ascii="Book Antiqua" w:eastAsia="Book Antiqua" w:hAnsi="Book Antiqua" w:cs="Book Antiqua"/>
          <w:color w:val="000000" w:themeColor="text1"/>
          <w:shd w:val="clear" w:color="auto" w:fill="FFFFFF"/>
        </w:rPr>
        <w:t>,</w:t>
      </w:r>
      <w:r w:rsidR="00450328" w:rsidRPr="002E2F24">
        <w:rPr>
          <w:rFonts w:ascii="Book Antiqua" w:eastAsia="Book Antiqua" w:hAnsi="Book Antiqua" w:cs="Book Antiqua"/>
          <w:color w:val="000000" w:themeColor="text1"/>
          <w:shd w:val="clear" w:color="auto" w:fill="FFFFFF"/>
        </w:rPr>
        <w:t xml:space="preserve"> </w:t>
      </w:r>
      <w:r w:rsidR="00377499">
        <w:rPr>
          <w:rFonts w:ascii="Book Antiqua" w:eastAsia="Book Antiqua" w:hAnsi="Book Antiqua" w:cs="Book Antiqua"/>
          <w:color w:val="000000" w:themeColor="text1"/>
          <w:shd w:val="clear" w:color="auto" w:fill="FFFFFF"/>
        </w:rPr>
        <w:t>the data were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filtered</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f</w:t>
      </w:r>
      <w:r w:rsidR="00F815E4">
        <w:rPr>
          <w:rFonts w:ascii="Book Antiqua" w:eastAsia="Book Antiqua" w:hAnsi="Book Antiqua" w:cs="Book Antiqua"/>
          <w:color w:val="000000" w:themeColor="text1"/>
          <w:shd w:val="clear" w:color="auto" w:fill="FFFFFF"/>
        </w:rPr>
        <w:t>rom</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the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literature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published</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in</w:t>
      </w:r>
      <w:r w:rsidR="00450328" w:rsidRPr="002E2F24">
        <w:rPr>
          <w:rFonts w:ascii="Book Antiqua" w:eastAsia="Book Antiqua" w:hAnsi="Book Antiqua" w:cs="Book Antiqua"/>
          <w:color w:val="000000" w:themeColor="text1"/>
          <w:shd w:val="clear" w:color="auto" w:fill="FFFFFF"/>
        </w:rPr>
        <w:t xml:space="preserve"> </w:t>
      </w:r>
      <w:r w:rsidR="00F815E4">
        <w:rPr>
          <w:rFonts w:ascii="Book Antiqua" w:eastAsia="Book Antiqua" w:hAnsi="Book Antiqua" w:cs="Book Antiqua"/>
          <w:color w:val="000000" w:themeColor="text1"/>
          <w:shd w:val="clear" w:color="auto" w:fill="FFFFFF"/>
        </w:rPr>
        <w:t xml:space="preserve">the </w:t>
      </w:r>
      <w:r w:rsidRPr="002E2F24">
        <w:rPr>
          <w:rFonts w:ascii="Book Antiqua" w:eastAsia="Book Antiqua" w:hAnsi="Book Antiqua" w:cs="Book Antiqua"/>
          <w:color w:val="000000" w:themeColor="text1"/>
          <w:shd w:val="clear" w:color="auto" w:fill="FFFFFF"/>
        </w:rPr>
        <w:t>English</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language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and</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on</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adult</w:t>
      </w:r>
      <w:r w:rsidR="00F815E4">
        <w:rPr>
          <w:rFonts w:ascii="Book Antiqua" w:eastAsia="Book Antiqua" w:hAnsi="Book Antiqua" w:cs="Book Antiqua"/>
          <w:color w:val="000000" w:themeColor="text1"/>
          <w:shd w:val="clear" w:color="auto" w:fill="FFFFFF"/>
        </w:rPr>
        <w:t>s</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(&gt;</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18</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years).</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We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excluded</w:t>
      </w:r>
      <w:r w:rsidR="00450328" w:rsidRPr="002E2F24">
        <w:rPr>
          <w:rFonts w:ascii="Book Antiqua" w:eastAsia="Book Antiqua" w:hAnsi="Book Antiqua" w:cs="Book Antiqua"/>
          <w:color w:val="000000" w:themeColor="text1"/>
          <w:shd w:val="clear" w:color="auto" w:fill="FFFFFF"/>
        </w:rPr>
        <w:t xml:space="preserve"> </w:t>
      </w:r>
      <w:r w:rsidR="00214AC0" w:rsidRPr="002E2F24">
        <w:rPr>
          <w:rFonts w:ascii="Book Antiqua" w:eastAsia="Book Antiqua" w:hAnsi="Book Antiqua" w:cs="Book Antiqua"/>
          <w:color w:val="000000" w:themeColor="text1"/>
          <w:shd w:val="clear" w:color="auto" w:fill="FFFFFF"/>
        </w:rPr>
        <w:t>(</w:t>
      </w:r>
      <w:r w:rsidRPr="002E2F24">
        <w:rPr>
          <w:rFonts w:ascii="Book Antiqua" w:eastAsia="Book Antiqua" w:hAnsi="Book Antiqua" w:cs="Book Antiqua"/>
          <w:color w:val="000000" w:themeColor="text1"/>
          <w:shd w:val="clear" w:color="auto" w:fill="FFFFFF"/>
        </w:rPr>
        <w:t>1)</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Conference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abstracts;</w:t>
      </w:r>
      <w:r w:rsidR="00450328" w:rsidRPr="002E2F24">
        <w:rPr>
          <w:rFonts w:ascii="Book Antiqua" w:eastAsia="Book Antiqua" w:hAnsi="Book Antiqua" w:cs="Book Antiqua"/>
          <w:color w:val="000000" w:themeColor="text1"/>
          <w:shd w:val="clear" w:color="auto" w:fill="FFFFFF"/>
        </w:rPr>
        <w:t xml:space="preserve"> </w:t>
      </w:r>
      <w:r w:rsidR="00214AC0" w:rsidRPr="002E2F24">
        <w:rPr>
          <w:rFonts w:ascii="Book Antiqua" w:eastAsia="Book Antiqua" w:hAnsi="Book Antiqua" w:cs="Book Antiqua"/>
          <w:color w:val="000000" w:themeColor="text1"/>
          <w:shd w:val="clear" w:color="auto" w:fill="FFFFFF"/>
        </w:rPr>
        <w:t>and (</w:t>
      </w:r>
      <w:r w:rsidRPr="002E2F24">
        <w:rPr>
          <w:rFonts w:ascii="Book Antiqua" w:eastAsia="Book Antiqua" w:hAnsi="Book Antiqua" w:cs="Book Antiqua"/>
          <w:color w:val="000000" w:themeColor="text1"/>
          <w:shd w:val="clear" w:color="auto" w:fill="FFFFFF"/>
        </w:rPr>
        <w:t>2)</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Case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reports</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or</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series</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which</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did</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not</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have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individual</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biochemical</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data.</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All</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the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case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reports</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and</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case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series</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were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evaluated.</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The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data</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extracted</w:t>
      </w:r>
      <w:r w:rsidR="00450328" w:rsidRPr="002E2F24">
        <w:rPr>
          <w:rFonts w:ascii="Book Antiqua" w:eastAsia="Book Antiqua" w:hAnsi="Book Antiqua" w:cs="Book Antiqua"/>
          <w:color w:val="000000" w:themeColor="text1"/>
          <w:shd w:val="clear" w:color="auto" w:fill="FFFFFF"/>
        </w:rPr>
        <w:t xml:space="preserve"> </w:t>
      </w:r>
      <w:r w:rsidR="00F815E4">
        <w:rPr>
          <w:rFonts w:ascii="Book Antiqua" w:eastAsia="Book Antiqua" w:hAnsi="Book Antiqua" w:cs="Book Antiqua"/>
          <w:color w:val="000000" w:themeColor="text1"/>
          <w:shd w:val="clear" w:color="auto" w:fill="FFFFFF"/>
        </w:rPr>
        <w:t>included</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patient</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demographics,</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clinical</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symptomatology,</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clinical</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interventions,</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intensive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care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unit</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course,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need</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for</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organ</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support</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and</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outcomes.</w:t>
      </w:r>
    </w:p>
    <w:p w14:paraId="6E2C87DE" w14:textId="77777777" w:rsidR="00A77B3E" w:rsidRPr="002E2F24" w:rsidRDefault="00A77B3E">
      <w:pPr>
        <w:spacing w:line="360" w:lineRule="auto"/>
        <w:jc w:val="both"/>
        <w:rPr>
          <w:rFonts w:ascii="Book Antiqua" w:hAnsi="Book Antiqua"/>
          <w:color w:val="000000" w:themeColor="text1"/>
        </w:rPr>
      </w:pPr>
    </w:p>
    <w:p w14:paraId="3D653361" w14:textId="77777777"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color w:val="000000" w:themeColor="text1"/>
        </w:rPr>
        <w:t>RESULTS</w:t>
      </w:r>
    </w:p>
    <w:p w14:paraId="6E70E115" w14:textId="12E3DC3E"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color w:val="000000" w:themeColor="text1"/>
          <w:shd w:val="clear" w:color="auto" w:fill="FFFFFF"/>
        </w:rPr>
        <w:t>Overall,</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108</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case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reports</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and</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17</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cases</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series</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with</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169</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unique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patients</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that</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met</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all</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the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inclusion</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criteria</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were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included.</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majority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patients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were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females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(54.4%,</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i/>
          <w:iCs/>
          <w:color w:val="000000" w:themeColor="text1"/>
        </w:rPr>
        <w:t>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92),</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lastRenderedPageBreak/>
        <w:t>and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commonly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reported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symptoms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were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gastrointestinal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(nausea/vomiting</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65.1%,</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abdominal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pain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37.3%)</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respiratory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(breathlessness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30.8%).</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One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hundred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forty-nine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(88.2%)</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patients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had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underlying</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type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w:t>
      </w:r>
      <w:r w:rsidR="002E6D00" w:rsidRPr="002E2F24">
        <w:rPr>
          <w:rFonts w:ascii="Book Antiqua" w:eastAsia="Book Antiqua" w:hAnsi="Book Antiqua" w:cs="Book Antiqua"/>
          <w:color w:val="000000" w:themeColor="text1"/>
        </w:rPr>
        <w:t>I</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diabetes,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most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commonly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involved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SGLT-2</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inhibitor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reported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was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empagliflozin</w:t>
      </w:r>
      <w:r w:rsidR="00F815E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46.8%</w:t>
      </w:r>
      <w:r w:rsidR="00F815E4">
        <w:rPr>
          <w:rFonts w:ascii="Book Antiqua" w:eastAsia="Book Antiqua" w:hAnsi="Book Antiqua" w:cs="Book Antiqua"/>
          <w:color w:val="000000" w:themeColor="text1"/>
        </w:rPr>
        <w:t>)</w:t>
      </w:r>
      <w:r w:rsidRPr="002E2F24">
        <w:rPr>
          <w:rFonts w:ascii="Book Antiqua" w:eastAsia="Book Antiqua" w:hAnsi="Book Antiqua" w:cs="Book Antiqua"/>
          <w:color w:val="000000" w:themeColor="text1"/>
        </w:rPr>
        <w: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triggering</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factor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was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reported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most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patients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(78.7%),</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commonest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being</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acute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severe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infection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(37.9%),</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which</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included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patients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with</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sepsis,</w:t>
      </w:r>
      <w:r w:rsidR="00450328" w:rsidRPr="002E2F24">
        <w:rPr>
          <w:rFonts w:ascii="Book Antiqua" w:eastAsia="Book Antiqua" w:hAnsi="Book Antiqua" w:cs="Book Antiqua"/>
          <w:color w:val="000000" w:themeColor="text1"/>
        </w:rPr>
        <w:t xml:space="preserve"> </w:t>
      </w:r>
      <w:r w:rsidR="00214AC0" w:rsidRPr="002E2F24">
        <w:rPr>
          <w:rFonts w:ascii="Book Antiqua" w:hAnsi="Book Antiqua"/>
          <w:color w:val="000000" w:themeColor="text1"/>
        </w:rPr>
        <w:t>coronavirus disease 2019</w:t>
      </w:r>
      <w:r w:rsidRPr="002E2F24">
        <w:rPr>
          <w:rFonts w:ascii="Book Antiqua" w:eastAsia="Book Antiqua" w:hAnsi="Book Antiqua" w:cs="Book Antiqua"/>
          <w:color w:val="000000" w:themeColor="text1"/>
        </w:rPr>
        <w: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other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viral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illnesses,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acute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pancreatitis.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61.5%</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were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reported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to</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require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intensive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unit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care,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but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only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minority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patients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required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organ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support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form</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invasive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mechanical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ventilation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(13%),</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vasopressors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(6.5%)</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renal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replacement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therapy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(5.9%).</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overall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mortality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rate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was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only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2.4%.</w:t>
      </w:r>
    </w:p>
    <w:p w14:paraId="7B77E274" w14:textId="77777777" w:rsidR="00A77B3E" w:rsidRPr="002E2F24" w:rsidRDefault="00A77B3E">
      <w:pPr>
        <w:spacing w:line="360" w:lineRule="auto"/>
        <w:jc w:val="both"/>
        <w:rPr>
          <w:rFonts w:ascii="Book Antiqua" w:hAnsi="Book Antiqua"/>
          <w:color w:val="000000" w:themeColor="text1"/>
        </w:rPr>
      </w:pPr>
    </w:p>
    <w:p w14:paraId="413777D9" w14:textId="77777777"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color w:val="000000" w:themeColor="text1"/>
        </w:rPr>
        <w:t>CONCLUSION</w:t>
      </w:r>
    </w:p>
    <w:p w14:paraId="07FD957B" w14:textId="4A84FD41"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color w:val="000000" w:themeColor="text1"/>
        </w:rPr>
        <w:t>Patients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SGLT2i</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may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rarely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develop</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EDKA,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especially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presence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certain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predisposing</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factors,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including</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severe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acute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infections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and</w:t>
      </w:r>
      <w:r w:rsidR="00450328" w:rsidRPr="002E2F24">
        <w:rPr>
          <w:rFonts w:ascii="Book Antiqua" w:eastAsia="Book Antiqua" w:hAnsi="Book Antiqua" w:cs="Book Antiqua"/>
          <w:color w:val="000000" w:themeColor="text1"/>
        </w:rPr>
        <w:t xml:space="preserve"> </w:t>
      </w:r>
      <w:r w:rsidR="00F815E4">
        <w:rPr>
          <w:rFonts w:ascii="Book Antiqua" w:eastAsia="Book Antiqua" w:hAnsi="Book Antiqua" w:cs="Book Antiqua"/>
          <w:color w:val="000000" w:themeColor="text1"/>
        </w:rPr>
        <w:t>following</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major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surgery.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signs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symptoms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EDKA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may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be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similar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to</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that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DKA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but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with</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normal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blood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sugar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levels,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which</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may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make</w:t>
      </w:r>
      <w:r w:rsidR="00450328" w:rsidRPr="002E2F24">
        <w:rPr>
          <w:rFonts w:ascii="Book Antiqua" w:eastAsia="Book Antiqua" w:hAnsi="Book Antiqua" w:cs="Book Antiqua"/>
          <w:color w:val="000000" w:themeColor="text1"/>
        </w:rPr>
        <w:t xml:space="preserve"> </w:t>
      </w:r>
      <w:r w:rsidR="00F815E4">
        <w:rPr>
          <w:rFonts w:ascii="Book Antiqua" w:eastAsia="Book Antiqua" w:hAnsi="Book Antiqua" w:cs="Book Antiqua"/>
          <w:color w:val="000000" w:themeColor="text1"/>
        </w:rPr>
        <w:t xml:space="preserve">the </w:t>
      </w:r>
      <w:r w:rsidRPr="002E2F24">
        <w:rPr>
          <w:rFonts w:ascii="Book Antiqua" w:eastAsia="Book Antiqua" w:hAnsi="Book Antiqua" w:cs="Book Antiqua"/>
          <w:color w:val="000000" w:themeColor="text1"/>
        </w:rPr>
        <w:t>diagnosis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challenging.</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Outcomes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EDKA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are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good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recognized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early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corrective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actions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are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taken.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Hence,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physicians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managing</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such</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patients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must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be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aware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this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potential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complication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must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educate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their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patients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accordingly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to</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ensure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early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diagnosis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management.</w:t>
      </w:r>
    </w:p>
    <w:p w14:paraId="265C3466" w14:textId="77777777" w:rsidR="00A77B3E" w:rsidRPr="002E2F24" w:rsidRDefault="00A77B3E">
      <w:pPr>
        <w:spacing w:line="360" w:lineRule="auto"/>
        <w:jc w:val="both"/>
        <w:rPr>
          <w:rFonts w:ascii="Book Antiqua" w:hAnsi="Book Antiqua"/>
          <w:color w:val="000000" w:themeColor="text1"/>
        </w:rPr>
      </w:pPr>
    </w:p>
    <w:p w14:paraId="3A53070B" w14:textId="428CD78D"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bCs/>
          <w:color w:val="000000" w:themeColor="text1"/>
        </w:rPr>
        <w:t>Key</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Words:</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color w:val="000000" w:themeColor="text1"/>
          <w:shd w:val="clear" w:color="auto" w:fill="FFFFFF"/>
        </w:rPr>
        <w:t>Canagliflozin;</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Empagliflozin;</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Euglycemia;</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Diabetes</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mellitus;</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Diabetic</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ketoacidosis;</w:t>
      </w:r>
      <w:r w:rsidR="00450328" w:rsidRPr="002E2F24">
        <w:rPr>
          <w:rFonts w:ascii="Book Antiqua" w:eastAsia="Book Antiqua" w:hAnsi="Book Antiqua" w:cs="Book Antiqua"/>
          <w:color w:val="000000" w:themeColor="text1"/>
          <w:shd w:val="clear" w:color="auto" w:fill="FFFFFF"/>
        </w:rPr>
        <w:t xml:space="preserve"> </w:t>
      </w:r>
      <w:r w:rsidR="00A70DFE" w:rsidRPr="002E2F24">
        <w:rPr>
          <w:rFonts w:ascii="Book Antiqua" w:eastAsia="Book Antiqua" w:hAnsi="Book Antiqua" w:cs="Book Antiqua"/>
          <w:color w:val="000000" w:themeColor="text1"/>
        </w:rPr>
        <w:t>Sodium</w:t>
      </w:r>
      <w:r w:rsidR="00665E05" w:rsidRPr="002E2F24">
        <w:rPr>
          <w:rFonts w:ascii="Book Antiqua" w:eastAsia="Book Antiqua" w:hAnsi="Book Antiqua" w:cs="Book Antiqua"/>
          <w:color w:val="000000" w:themeColor="text1"/>
        </w:rPr>
        <w:t>-</w:t>
      </w:r>
      <w:r w:rsidR="00A70DFE" w:rsidRPr="002E2F24">
        <w:rPr>
          <w:rFonts w:ascii="Book Antiqua" w:eastAsia="Book Antiqua" w:hAnsi="Book Antiqua" w:cs="Book Antiqua"/>
          <w:color w:val="000000" w:themeColor="text1"/>
        </w:rPr>
        <w:t>glucose cotransporter</w:t>
      </w:r>
      <w:r w:rsidR="00665E05" w:rsidRPr="002E2F24">
        <w:rPr>
          <w:rFonts w:ascii="Book Antiqua" w:eastAsia="Book Antiqua" w:hAnsi="Book Antiqua" w:cs="Book Antiqua"/>
          <w:color w:val="000000" w:themeColor="text1"/>
        </w:rPr>
        <w:t>-</w:t>
      </w:r>
      <w:r w:rsidR="00A70DFE" w:rsidRPr="002E2F24">
        <w:rPr>
          <w:rFonts w:ascii="Book Antiqua" w:eastAsia="Book Antiqua" w:hAnsi="Book Antiqua" w:cs="Book Antiqua"/>
          <w:color w:val="000000" w:themeColor="text1"/>
        </w:rPr>
        <w:t>2</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inhibitors;</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Sodium</w:t>
      </w:r>
      <w:r w:rsidR="00665E05" w:rsidRPr="002E2F24">
        <w:rPr>
          <w:rFonts w:ascii="Book Antiqua" w:eastAsia="Book Antiqua" w:hAnsi="Book Antiqua" w:cs="Book Antiqua"/>
          <w:color w:val="000000" w:themeColor="text1"/>
          <w:shd w:val="clear" w:color="auto" w:fill="FFFFFF"/>
        </w:rPr>
        <w:t>-</w:t>
      </w:r>
      <w:r w:rsidRPr="002E2F24">
        <w:rPr>
          <w:rFonts w:ascii="Book Antiqua" w:eastAsia="Book Antiqua" w:hAnsi="Book Antiqua" w:cs="Book Antiqua"/>
          <w:color w:val="000000" w:themeColor="text1"/>
          <w:shd w:val="clear" w:color="auto" w:fill="FFFFFF"/>
        </w:rPr>
        <w:t>glucose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cotransporter</w:t>
      </w:r>
      <w:r w:rsidR="00665E05" w:rsidRPr="002E2F24">
        <w:rPr>
          <w:rFonts w:ascii="Book Antiqua" w:eastAsia="Book Antiqua" w:hAnsi="Book Antiqua" w:cs="Book Antiqua"/>
          <w:color w:val="000000" w:themeColor="text1"/>
          <w:shd w:val="clear" w:color="auto" w:fill="FFFFFF"/>
        </w:rPr>
        <w:t>-</w:t>
      </w:r>
      <w:r w:rsidRPr="002E2F24">
        <w:rPr>
          <w:rFonts w:ascii="Book Antiqua" w:eastAsia="Book Antiqua" w:hAnsi="Book Antiqua" w:cs="Book Antiqua"/>
          <w:color w:val="000000" w:themeColor="text1"/>
          <w:shd w:val="clear" w:color="auto" w:fill="FFFFFF"/>
        </w:rPr>
        <w:t>2</w:t>
      </w:r>
    </w:p>
    <w:p w14:paraId="1E42109B" w14:textId="77777777" w:rsidR="00A77B3E" w:rsidRPr="002E2F24" w:rsidRDefault="00A77B3E">
      <w:pPr>
        <w:spacing w:line="360" w:lineRule="auto"/>
        <w:jc w:val="both"/>
        <w:rPr>
          <w:rFonts w:ascii="Book Antiqua" w:hAnsi="Book Antiqua"/>
          <w:color w:val="000000" w:themeColor="text1"/>
        </w:rPr>
      </w:pPr>
    </w:p>
    <w:p w14:paraId="6783DB74" w14:textId="180CC732"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color w:val="000000" w:themeColor="text1"/>
        </w:rPr>
        <w:t>Juneja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Nasa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Jain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Singh</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w:t>
      </w:r>
      <w:r w:rsidR="00450328" w:rsidRPr="002E2F24">
        <w:rPr>
          <w:rFonts w:ascii="Book Antiqua" w:eastAsia="Book Antiqua" w:hAnsi="Book Antiqua" w:cs="Book Antiqua"/>
          <w:color w:val="000000" w:themeColor="text1"/>
        </w:rPr>
        <w:t xml:space="preserve"> </w:t>
      </w:r>
      <w:r w:rsidR="00942C9E" w:rsidRPr="002E2F24">
        <w:rPr>
          <w:rFonts w:ascii="Book Antiqua" w:eastAsia="Book Antiqua" w:hAnsi="Book Antiqua" w:cs="Book Antiqua"/>
          <w:color w:val="000000" w:themeColor="text1"/>
        </w:rPr>
        <w:t>Sodium-glucose Cotransporter-2 Inhibitors induced euglycemic diabetic ketoacidosis: A meta summary of case reports</w:t>
      </w:r>
      <w:r w:rsidRPr="002E2F24">
        <w:rPr>
          <w:rFonts w:ascii="Book Antiqua" w:eastAsia="Book Antiqua" w:hAnsi="Book Antiqua" w:cs="Book Antiqua"/>
          <w:color w:val="000000" w:themeColor="text1"/>
        </w:rPr>
        <w: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i/>
          <w:iCs/>
          <w:color w:val="000000" w:themeColor="text1"/>
        </w:rPr>
        <w:t>World</w:t>
      </w:r>
      <w:r w:rsidR="00450328" w:rsidRPr="002E2F24">
        <w:rPr>
          <w:rFonts w:ascii="Book Antiqua" w:eastAsia="Book Antiqua" w:hAnsi="Book Antiqua" w:cs="Book Antiqua"/>
          <w:i/>
          <w:iCs/>
          <w:color w:val="000000" w:themeColor="text1"/>
        </w:rPr>
        <w:t xml:space="preserve"> </w:t>
      </w:r>
      <w:r w:rsidRPr="002E2F24">
        <w:rPr>
          <w:rFonts w:ascii="Book Antiqua" w:eastAsia="Book Antiqua" w:hAnsi="Book Antiqua" w:cs="Book Antiqua"/>
          <w:i/>
          <w:iCs/>
          <w:color w:val="000000" w:themeColor="text1"/>
        </w:rPr>
        <w:t>J</w:t>
      </w:r>
      <w:r w:rsidR="00450328" w:rsidRPr="002E2F24">
        <w:rPr>
          <w:rFonts w:ascii="Book Antiqua" w:eastAsia="Book Antiqua" w:hAnsi="Book Antiqua" w:cs="Book Antiqua"/>
          <w:i/>
          <w:iCs/>
          <w:color w:val="000000" w:themeColor="text1"/>
        </w:rPr>
        <w:t xml:space="preserve"> </w:t>
      </w:r>
      <w:r w:rsidRPr="002E2F24">
        <w:rPr>
          <w:rFonts w:ascii="Book Antiqua" w:eastAsia="Book Antiqua" w:hAnsi="Book Antiqua" w:cs="Book Antiqua"/>
          <w:i/>
          <w:iCs/>
          <w:color w:val="000000" w:themeColor="text1"/>
        </w:rPr>
        <w:t>Diabetes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2023;</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press</w:t>
      </w:r>
    </w:p>
    <w:p w14:paraId="4886E67A" w14:textId="77777777" w:rsidR="00A77B3E" w:rsidRPr="002E2F24" w:rsidRDefault="00A77B3E">
      <w:pPr>
        <w:spacing w:line="360" w:lineRule="auto"/>
        <w:jc w:val="both"/>
        <w:rPr>
          <w:rFonts w:ascii="Book Antiqua" w:hAnsi="Book Antiqua"/>
          <w:color w:val="000000" w:themeColor="text1"/>
        </w:rPr>
      </w:pPr>
    </w:p>
    <w:p w14:paraId="7A44C164" w14:textId="43A294C6"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bCs/>
          <w:color w:val="000000" w:themeColor="text1"/>
        </w:rPr>
        <w:lastRenderedPageBreak/>
        <w:t>Core</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Tip:</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color w:val="000000" w:themeColor="text1"/>
        </w:rPr>
        <w:t>Sodium</w:t>
      </w:r>
      <w:r w:rsidR="00665E05" w:rsidRPr="002E2F24">
        <w:rPr>
          <w:rFonts w:ascii="Book Antiqua" w:eastAsia="Book Antiqua" w:hAnsi="Book Antiqua" w:cs="Book Antiqua"/>
          <w:color w:val="000000" w:themeColor="text1"/>
        </w:rPr>
        <w:t>-</w:t>
      </w:r>
      <w:r w:rsidRPr="002E2F24">
        <w:rPr>
          <w:rFonts w:ascii="Book Antiqua" w:eastAsia="Book Antiqua" w:hAnsi="Book Antiqua" w:cs="Book Antiqua"/>
          <w:color w:val="000000" w:themeColor="text1"/>
        </w:rPr>
        <w:t>glucose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cotransporter</w:t>
      </w:r>
      <w:r w:rsidR="00665E05" w:rsidRPr="002E2F24">
        <w:rPr>
          <w:rFonts w:ascii="Book Antiqua" w:eastAsia="Book Antiqua" w:hAnsi="Book Antiqua" w:cs="Book Antiqua"/>
          <w:color w:val="000000" w:themeColor="text1"/>
        </w:rPr>
        <w:t>-</w:t>
      </w:r>
      <w:r w:rsidRPr="002E2F24">
        <w:rPr>
          <w:rFonts w:ascii="Book Antiqua" w:eastAsia="Book Antiqua" w:hAnsi="Book Antiqua" w:cs="Book Antiqua"/>
          <w:color w:val="000000" w:themeColor="text1"/>
        </w:rPr>
        <w:t>2</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inhibitors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(SGLT2i)</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are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newer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class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oral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hypoglycemic</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drugs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commonly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prescribed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for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managing</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patients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with</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diabetes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mellitus.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Even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though</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these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drugs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are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effective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controlling</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blood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glucose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have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favorable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cardiac</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effects,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may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rarely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lead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to</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development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euglycemic</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diabetic</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ketoacidosis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(EDKA),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which</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may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complicate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disease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course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these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patients.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Certain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risk</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factors,</w:t>
      </w:r>
      <w:r w:rsidR="00450328" w:rsidRPr="002E2F24">
        <w:rPr>
          <w:rFonts w:ascii="Book Antiqua" w:eastAsia="Book Antiqua" w:hAnsi="Book Antiqua" w:cs="Book Antiqua"/>
          <w:color w:val="000000" w:themeColor="text1"/>
        </w:rPr>
        <w:t xml:space="preserve"> </w:t>
      </w:r>
      <w:r w:rsidR="00117F4C">
        <w:rPr>
          <w:rFonts w:ascii="Book Antiqua" w:eastAsia="Book Antiqua" w:hAnsi="Book Antiqua" w:cs="Book Antiqua"/>
          <w:color w:val="000000" w:themeColor="text1"/>
        </w:rPr>
        <w:t>such as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severe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acute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illness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major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surgery,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may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predispose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these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patients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to</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develop</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EDKA.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signs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symptoms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EDKA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are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similar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to</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classic</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symptoms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diabetic</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ketoacidosis,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but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these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patients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have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normal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blood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glucose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levels,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making</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diagnosis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difficult.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Hence,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higher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index</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suspicion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warranted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such</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patients,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delay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diagnosis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may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lead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to</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higher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morbidity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mortality.</w:t>
      </w:r>
    </w:p>
    <w:p w14:paraId="3ABC08D2" w14:textId="77777777" w:rsidR="00A77B3E" w:rsidRPr="002E2F24" w:rsidRDefault="00A77B3E">
      <w:pPr>
        <w:spacing w:line="360" w:lineRule="auto"/>
        <w:jc w:val="both"/>
        <w:rPr>
          <w:rFonts w:ascii="Book Antiqua" w:hAnsi="Book Antiqua"/>
          <w:color w:val="000000" w:themeColor="text1"/>
        </w:rPr>
      </w:pPr>
    </w:p>
    <w:p w14:paraId="5AAB44EB" w14:textId="77777777"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caps/>
          <w:color w:val="000000" w:themeColor="text1"/>
          <w:u w:val="single"/>
        </w:rPr>
        <w:t>INTRODUCTION</w:t>
      </w:r>
    </w:p>
    <w:p w14:paraId="56C7C064" w14:textId="12C2C9F2" w:rsidR="002D4E31" w:rsidRPr="002E2F24" w:rsidRDefault="002D4E31" w:rsidP="002D4E31">
      <w:pPr>
        <w:spacing w:line="360" w:lineRule="auto"/>
        <w:jc w:val="both"/>
        <w:rPr>
          <w:rFonts w:ascii="Book Antiqua" w:hAnsi="Book Antiqua"/>
          <w:color w:val="000000" w:themeColor="text1"/>
        </w:rPr>
      </w:pPr>
      <w:r w:rsidRPr="002E2F24">
        <w:rPr>
          <w:rFonts w:ascii="Book Antiqua" w:eastAsia="Book Antiqua" w:hAnsi="Book Antiqua" w:cs="Book Antiqua"/>
          <w:color w:val="000000" w:themeColor="text1"/>
        </w:rPr>
        <w:t xml:space="preserve">Sodium-glucose cotransporter-2 inhibitors (SGLT2i) are relatively new oral hypoglycemic agents (OHAs), which are increasingly being used to manage patients with diabetes mellitus (DM). The current American Diabetes Association (ADA) guidelines recommend using SGLT2i as one of the second-line agents, along with metformin, in managing patients with type II diabetes mellitus (T2DM). They may also be used as the primary agent in patients with heart failure, chronic kidney disease, risk of atherosclerotic cardiovascular disease, and </w:t>
      </w:r>
      <w:r w:rsidR="00CF33BC" w:rsidRPr="002E2F24">
        <w:rPr>
          <w:rFonts w:ascii="Book Antiqua" w:eastAsia="Book Antiqua" w:hAnsi="Book Antiqua" w:cs="Book Antiqua"/>
          <w:color w:val="000000" w:themeColor="text1"/>
        </w:rPr>
        <w:t xml:space="preserve">those </w:t>
      </w:r>
      <w:r w:rsidR="001275D7">
        <w:rPr>
          <w:rFonts w:ascii="Book Antiqua" w:eastAsia="Book Antiqua" w:hAnsi="Book Antiqua" w:cs="Book Antiqua"/>
          <w:color w:val="000000" w:themeColor="text1"/>
        </w:rPr>
        <w:t xml:space="preserve">who are </w:t>
      </w:r>
      <w:r w:rsidRPr="002E2F24">
        <w:rPr>
          <w:rFonts w:ascii="Book Antiqua" w:eastAsia="Book Antiqua" w:hAnsi="Book Antiqua" w:cs="Book Antiqua"/>
          <w:color w:val="000000" w:themeColor="text1"/>
        </w:rPr>
        <w:t xml:space="preserve">metformin </w:t>
      </w:r>
      <w:r w:rsidR="00A06282">
        <w:rPr>
          <w:rFonts w:ascii="Book Antiqua" w:eastAsia="Book Antiqua" w:hAnsi="Book Antiqua" w:cs="Book Antiqua"/>
          <w:color w:val="000000" w:themeColor="text1"/>
        </w:rPr>
        <w:t>in</w:t>
      </w:r>
      <w:r w:rsidR="00A06282" w:rsidRPr="002E2F24">
        <w:rPr>
          <w:rFonts w:ascii="Book Antiqua" w:eastAsia="Book Antiqua" w:hAnsi="Book Antiqua" w:cs="Book Antiqua"/>
          <w:color w:val="000000" w:themeColor="text1"/>
        </w:rPr>
        <w:t>tolera</w:t>
      </w:r>
      <w:r w:rsidR="00A06282">
        <w:rPr>
          <w:rFonts w:ascii="Book Antiqua" w:eastAsia="Book Antiqua" w:hAnsi="Book Antiqua" w:cs="Book Antiqua"/>
          <w:color w:val="000000" w:themeColor="text1"/>
        </w:rPr>
        <w:t>n</w:t>
      </w:r>
      <w:r w:rsidR="00A06282" w:rsidRPr="002E2F24">
        <w:rPr>
          <w:rFonts w:ascii="Book Antiqua" w:eastAsia="Book Antiqua" w:hAnsi="Book Antiqua" w:cs="Book Antiqua"/>
          <w:color w:val="000000" w:themeColor="text1"/>
        </w:rPr>
        <w:t>t</w:t>
      </w:r>
      <w:r w:rsidR="00A06282">
        <w:rPr>
          <w:rFonts w:ascii="Book Antiqua" w:eastAsia="Book Antiqua" w:hAnsi="Book Antiqua" w:cs="Book Antiqua"/>
          <w:color w:val="000000" w:themeColor="text1"/>
        </w:rPr>
        <w:t xml:space="preserve"> </w:t>
      </w:r>
      <w:r w:rsidR="00CF33BC" w:rsidRPr="002E2F24">
        <w:rPr>
          <w:rFonts w:ascii="Book Antiqua" w:eastAsia="Book Antiqua" w:hAnsi="Book Antiqua" w:cs="Book Antiqua"/>
          <w:color w:val="000000" w:themeColor="text1"/>
        </w:rPr>
        <w:t>or</w:t>
      </w:r>
      <w:r w:rsidRPr="002E2F24">
        <w:rPr>
          <w:rFonts w:ascii="Book Antiqua" w:eastAsia="Book Antiqua" w:hAnsi="Book Antiqua" w:cs="Book Antiqua"/>
          <w:color w:val="000000" w:themeColor="text1"/>
        </w:rPr>
        <w:t xml:space="preserve"> in whom metformin is contraindicated</w:t>
      </w:r>
      <w:r w:rsidRPr="002E2F24">
        <w:rPr>
          <w:rFonts w:ascii="Book Antiqua" w:eastAsia="Book Antiqua" w:hAnsi="Book Antiqua" w:cs="Book Antiqua"/>
          <w:color w:val="000000" w:themeColor="text1"/>
          <w:vertAlign w:val="superscript"/>
        </w:rPr>
        <w:t>[1]</w:t>
      </w:r>
      <w:r w:rsidRPr="002E2F24">
        <w:rPr>
          <w:rFonts w:ascii="Book Antiqua" w:eastAsia="Book Antiqua" w:hAnsi="Book Antiqua" w:cs="Book Antiqua"/>
          <w:color w:val="000000" w:themeColor="text1"/>
        </w:rPr>
        <w:t>.</w:t>
      </w:r>
    </w:p>
    <w:p w14:paraId="482C8F0C" w14:textId="55C9F8A4" w:rsidR="002D4E31" w:rsidRPr="002E2F24" w:rsidRDefault="002D4E31" w:rsidP="002D4E31">
      <w:pPr>
        <w:spacing w:line="360" w:lineRule="auto"/>
        <w:ind w:firstLine="480"/>
        <w:jc w:val="both"/>
        <w:rPr>
          <w:rFonts w:ascii="Book Antiqua" w:hAnsi="Book Antiqua"/>
          <w:color w:val="000000" w:themeColor="text1"/>
        </w:rPr>
      </w:pPr>
      <w:r w:rsidRPr="002E2F24">
        <w:rPr>
          <w:rFonts w:ascii="Book Antiqua" w:eastAsia="Book Antiqua" w:hAnsi="Book Antiqua" w:cs="Book Antiqua"/>
          <w:color w:val="000000" w:themeColor="text1"/>
        </w:rPr>
        <w:t xml:space="preserve">The mechanism of action of SGLT2i is independent of insulin secretion, making them an appealing agent for combination therapy. By inhibiting the SGLT2 receptors in the proximal tubules of the kidneys, </w:t>
      </w:r>
      <w:r w:rsidR="00A06282">
        <w:rPr>
          <w:rFonts w:ascii="Book Antiqua" w:eastAsia="Book Antiqua" w:hAnsi="Book Antiqua" w:cs="Book Antiqua"/>
          <w:color w:val="000000" w:themeColor="text1"/>
        </w:rPr>
        <w:t>this</w:t>
      </w:r>
      <w:r w:rsidRPr="002E2F24">
        <w:rPr>
          <w:rFonts w:ascii="Book Antiqua" w:eastAsia="Book Antiqua" w:hAnsi="Book Antiqua" w:cs="Book Antiqua"/>
          <w:color w:val="000000" w:themeColor="text1"/>
        </w:rPr>
        <w:t xml:space="preserve"> reduces glucose reabsorption and the renal threshold for glucose, thereby increasing renal excretion and reducing serum glucose levels</w:t>
      </w:r>
      <w:r w:rsidRPr="002E2F24">
        <w:rPr>
          <w:rFonts w:ascii="Book Antiqua" w:eastAsia="Book Antiqua" w:hAnsi="Book Antiqua" w:cs="Book Antiqua"/>
          <w:color w:val="000000" w:themeColor="text1"/>
          <w:vertAlign w:val="superscript"/>
        </w:rPr>
        <w:t>[2]</w:t>
      </w:r>
      <w:r w:rsidRPr="002E2F24">
        <w:rPr>
          <w:rFonts w:ascii="Book Antiqua" w:eastAsia="Book Antiqua" w:hAnsi="Book Antiqua" w:cs="Book Antiqua"/>
          <w:color w:val="000000" w:themeColor="text1"/>
        </w:rPr>
        <w:t>.</w:t>
      </w:r>
    </w:p>
    <w:p w14:paraId="7078AD94" w14:textId="6F846649" w:rsidR="002D4E31" w:rsidRPr="002E2F24" w:rsidRDefault="002D4E31" w:rsidP="002D4E31">
      <w:pPr>
        <w:spacing w:line="360" w:lineRule="auto"/>
        <w:ind w:firstLine="480"/>
        <w:jc w:val="both"/>
        <w:rPr>
          <w:rFonts w:ascii="Book Antiqua" w:hAnsi="Book Antiqua"/>
          <w:color w:val="000000" w:themeColor="text1"/>
        </w:rPr>
      </w:pPr>
      <w:r w:rsidRPr="002E2F24">
        <w:rPr>
          <w:rFonts w:ascii="Book Antiqua" w:eastAsia="Book Antiqua" w:hAnsi="Book Antiqua" w:cs="Book Antiqua"/>
          <w:color w:val="000000" w:themeColor="text1"/>
        </w:rPr>
        <w:t>SGLT2i ha</w:t>
      </w:r>
      <w:r w:rsidR="00A06282">
        <w:rPr>
          <w:rFonts w:ascii="Book Antiqua" w:eastAsia="Book Antiqua" w:hAnsi="Book Antiqua" w:cs="Book Antiqua"/>
          <w:color w:val="000000" w:themeColor="text1"/>
        </w:rPr>
        <w:t>ve</w:t>
      </w:r>
      <w:r w:rsidRPr="002E2F24">
        <w:rPr>
          <w:rFonts w:ascii="Book Antiqua" w:eastAsia="Book Antiqua" w:hAnsi="Book Antiqua" w:cs="Book Antiqua"/>
          <w:color w:val="000000" w:themeColor="text1"/>
        </w:rPr>
        <w:t xml:space="preserve"> several clinical advantages, including reduced risk of hypoglycemic episodes, improved blood pressure control, </w:t>
      </w:r>
      <w:r w:rsidR="00A06282">
        <w:rPr>
          <w:rFonts w:ascii="Book Antiqua" w:eastAsia="Book Antiqua" w:hAnsi="Book Antiqua" w:cs="Book Antiqua"/>
          <w:color w:val="000000" w:themeColor="text1"/>
        </w:rPr>
        <w:t xml:space="preserve">weight </w:t>
      </w:r>
      <w:r w:rsidRPr="002E2F24">
        <w:rPr>
          <w:rFonts w:ascii="Book Antiqua" w:eastAsia="Book Antiqua" w:hAnsi="Book Antiqua" w:cs="Book Antiqua"/>
          <w:color w:val="000000" w:themeColor="text1"/>
        </w:rPr>
        <w:t>reduction and positive cardiovascular outcomes</w:t>
      </w:r>
      <w:r w:rsidRPr="002E2F24">
        <w:rPr>
          <w:rFonts w:ascii="Book Antiqua" w:eastAsia="Book Antiqua" w:hAnsi="Book Antiqua" w:cs="Book Antiqua"/>
          <w:color w:val="000000" w:themeColor="text1"/>
          <w:vertAlign w:val="superscript"/>
        </w:rPr>
        <w:t>[2,3]</w:t>
      </w:r>
      <w:r w:rsidRPr="002E2F24">
        <w:rPr>
          <w:rFonts w:ascii="Book Antiqua" w:eastAsia="Book Antiqua" w:hAnsi="Book Antiqua" w:cs="Book Antiqua"/>
          <w:color w:val="000000" w:themeColor="text1"/>
        </w:rPr>
        <w:t xml:space="preserve">. However, the use of SGLT2i is also associated with an </w:t>
      </w:r>
      <w:r w:rsidRPr="002E2F24">
        <w:rPr>
          <w:rFonts w:ascii="Book Antiqua" w:eastAsia="Book Antiqua" w:hAnsi="Book Antiqua" w:cs="Book Antiqua"/>
          <w:color w:val="000000" w:themeColor="text1"/>
        </w:rPr>
        <w:lastRenderedPageBreak/>
        <w:t>increased incidence of genitourinary infections and hypovolemia</w:t>
      </w:r>
      <w:r w:rsidRPr="002E2F24">
        <w:rPr>
          <w:rFonts w:ascii="Book Antiqua" w:eastAsia="Book Antiqua" w:hAnsi="Book Antiqua" w:cs="Book Antiqua"/>
          <w:color w:val="000000" w:themeColor="text1"/>
          <w:vertAlign w:val="superscript"/>
        </w:rPr>
        <w:t>[4]</w:t>
      </w:r>
      <w:r w:rsidRPr="002E2F24">
        <w:rPr>
          <w:rFonts w:ascii="Book Antiqua" w:eastAsia="Book Antiqua" w:hAnsi="Book Antiqua" w:cs="Book Antiqua"/>
          <w:color w:val="000000" w:themeColor="text1"/>
        </w:rPr>
        <w:t xml:space="preserve">. Within months of </w:t>
      </w:r>
      <w:r w:rsidR="006D0FB2" w:rsidRPr="002E2F24">
        <w:rPr>
          <w:rFonts w:ascii="Book Antiqua" w:eastAsia="Book Antiqua" w:hAnsi="Book Antiqua" w:cs="Book Antiqua"/>
          <w:color w:val="000000" w:themeColor="text1"/>
        </w:rPr>
        <w:t>Food and Drug Administration (</w:t>
      </w:r>
      <w:r w:rsidRPr="002E2F24">
        <w:rPr>
          <w:rFonts w:ascii="Book Antiqua" w:eastAsia="Book Antiqua" w:hAnsi="Book Antiqua" w:cs="Book Antiqua"/>
          <w:color w:val="000000" w:themeColor="text1"/>
        </w:rPr>
        <w:t>FDA</w:t>
      </w:r>
      <w:r w:rsidR="006D0FB2" w:rsidRPr="002E2F24">
        <w:rPr>
          <w:rFonts w:ascii="Book Antiqua" w:eastAsia="Book Antiqua" w:hAnsi="Book Antiqua" w:cs="Book Antiqua"/>
          <w:color w:val="000000" w:themeColor="text1"/>
        </w:rPr>
        <w:t>)</w:t>
      </w:r>
      <w:r w:rsidRPr="002E2F24">
        <w:rPr>
          <w:rFonts w:ascii="Book Antiqua" w:eastAsia="Book Antiqua" w:hAnsi="Book Antiqua" w:cs="Book Antiqua"/>
          <w:color w:val="000000" w:themeColor="text1"/>
        </w:rPr>
        <w:t xml:space="preserve"> approval, cases of </w:t>
      </w:r>
      <w:r w:rsidR="00691E6A" w:rsidRPr="002E2F24">
        <w:rPr>
          <w:rFonts w:ascii="Book Antiqua" w:eastAsia="Book Antiqua" w:hAnsi="Book Antiqua" w:cs="Book Antiqua"/>
          <w:color w:val="000000" w:themeColor="text1"/>
        </w:rPr>
        <w:t>diabetic ketoacidosis</w:t>
      </w:r>
      <w:r w:rsidRPr="002E2F24">
        <w:rPr>
          <w:rFonts w:ascii="Book Antiqua" w:eastAsia="Book Antiqua" w:hAnsi="Book Antiqua" w:cs="Book Antiqua"/>
          <w:color w:val="000000" w:themeColor="text1"/>
        </w:rPr>
        <w:t xml:space="preserve"> (DKA) were reported </w:t>
      </w:r>
      <w:r w:rsidR="00CF33BC" w:rsidRPr="002E2F24">
        <w:rPr>
          <w:rFonts w:ascii="Book Antiqua" w:eastAsia="Book Antiqua" w:hAnsi="Book Antiqua" w:cs="Book Antiqua"/>
          <w:color w:val="000000" w:themeColor="text1"/>
        </w:rPr>
        <w:t xml:space="preserve">among those </w:t>
      </w:r>
      <w:r w:rsidRPr="002E2F24">
        <w:rPr>
          <w:rFonts w:ascii="Book Antiqua" w:eastAsia="Book Antiqua" w:hAnsi="Book Antiqua" w:cs="Book Antiqua"/>
          <w:color w:val="000000" w:themeColor="text1"/>
        </w:rPr>
        <w:t>using SGLT2i. In earlier reports, the incidence of DKA was 0.522 per 1000 patient-years in patients taking canagliflozin 100 mg</w:t>
      </w:r>
      <w:r w:rsidR="00377499">
        <w:rPr>
          <w:rFonts w:ascii="Book Antiqua" w:eastAsia="Book Antiqua" w:hAnsi="Book Antiqua" w:cs="Book Antiqua"/>
          <w:color w:val="000000" w:themeColor="text1"/>
        </w:rPr>
        <w:t>/</w:t>
      </w:r>
      <w:r w:rsidR="00CF33BC" w:rsidRPr="002E2F24">
        <w:rPr>
          <w:rFonts w:ascii="Book Antiqua" w:eastAsia="Book Antiqua" w:hAnsi="Book Antiqua" w:cs="Book Antiqua"/>
          <w:color w:val="000000" w:themeColor="text1"/>
        </w:rPr>
        <w:t>d</w:t>
      </w:r>
      <w:r w:rsidRPr="002E2F24">
        <w:rPr>
          <w:rFonts w:ascii="Book Antiqua" w:eastAsia="Book Antiqua" w:hAnsi="Book Antiqua" w:cs="Book Antiqua"/>
          <w:color w:val="000000" w:themeColor="text1"/>
        </w:rPr>
        <w:t>. A higher incidence of 0.763 per 1000 patient-years was reported in patients taking higher doses of 300 mg</w:t>
      </w:r>
      <w:r w:rsidR="00377499">
        <w:rPr>
          <w:rFonts w:ascii="Book Antiqua" w:eastAsia="Book Antiqua" w:hAnsi="Book Antiqua" w:cs="Book Antiqua"/>
          <w:color w:val="000000" w:themeColor="text1"/>
        </w:rPr>
        <w:t>/</w:t>
      </w:r>
      <w:r w:rsidR="00CF33BC" w:rsidRPr="002E2F24">
        <w:rPr>
          <w:rFonts w:ascii="Book Antiqua" w:eastAsia="Book Antiqua" w:hAnsi="Book Antiqua" w:cs="Book Antiqua"/>
          <w:color w:val="000000" w:themeColor="text1"/>
        </w:rPr>
        <w:t>d</w:t>
      </w:r>
      <w:r w:rsidRPr="002E2F24">
        <w:rPr>
          <w:rFonts w:ascii="Book Antiqua" w:eastAsia="Book Antiqua" w:hAnsi="Book Antiqua" w:cs="Book Antiqua"/>
          <w:color w:val="000000" w:themeColor="text1"/>
        </w:rPr>
        <w:t>. However, most patients had blood glucose levels higher than 300 mg/dL, and EDKA has been even more rarely reported</w:t>
      </w:r>
      <w:r w:rsidRPr="002E2F24">
        <w:rPr>
          <w:rFonts w:ascii="Book Antiqua" w:eastAsia="Book Antiqua" w:hAnsi="Book Antiqua" w:cs="Book Antiqua"/>
          <w:color w:val="000000" w:themeColor="text1"/>
          <w:vertAlign w:val="superscript"/>
        </w:rPr>
        <w:t>[5]</w:t>
      </w:r>
      <w:r w:rsidRPr="002E2F24">
        <w:rPr>
          <w:rFonts w:ascii="Book Antiqua" w:eastAsia="Book Antiqua" w:hAnsi="Book Antiqua" w:cs="Book Antiqua"/>
          <w:color w:val="000000" w:themeColor="text1"/>
        </w:rPr>
        <w:t>.</w:t>
      </w:r>
    </w:p>
    <w:p w14:paraId="60A7E805" w14:textId="3BC4AA1B" w:rsidR="002D4E31" w:rsidRPr="002E2F24" w:rsidRDefault="002D4E31" w:rsidP="002D4E31">
      <w:pPr>
        <w:spacing w:line="360" w:lineRule="auto"/>
        <w:ind w:firstLine="480"/>
        <w:jc w:val="both"/>
        <w:rPr>
          <w:rFonts w:ascii="Book Antiqua" w:hAnsi="Book Antiqua"/>
          <w:color w:val="000000" w:themeColor="text1"/>
        </w:rPr>
      </w:pPr>
      <w:r w:rsidRPr="002E2F24">
        <w:rPr>
          <w:rFonts w:ascii="Book Antiqua" w:eastAsia="Book Antiqua" w:hAnsi="Book Antiqua" w:cs="Book Antiqua"/>
          <w:color w:val="000000" w:themeColor="text1"/>
        </w:rPr>
        <w:t xml:space="preserve">DKA is a well-documented complication in patients with T1DM that is often recognized at the time of </w:t>
      </w:r>
      <w:r w:rsidR="00377499">
        <w:rPr>
          <w:rFonts w:ascii="Book Antiqua" w:eastAsia="Book Antiqua" w:hAnsi="Book Antiqua" w:cs="Book Antiqua"/>
          <w:color w:val="000000" w:themeColor="text1"/>
        </w:rPr>
        <w:t xml:space="preserve">a </w:t>
      </w:r>
      <w:r w:rsidRPr="002E2F24">
        <w:rPr>
          <w:rFonts w:ascii="Book Antiqua" w:eastAsia="Book Antiqua" w:hAnsi="Book Antiqua" w:cs="Book Antiqua"/>
          <w:color w:val="000000" w:themeColor="text1"/>
        </w:rPr>
        <w:t>new diagnosis of diabetes and is generally precipitated by poor adherence to treatment or acute infection</w:t>
      </w:r>
      <w:r w:rsidRPr="002E2F24">
        <w:rPr>
          <w:rFonts w:ascii="Book Antiqua" w:eastAsia="Book Antiqua" w:hAnsi="Book Antiqua" w:cs="Book Antiqua"/>
          <w:color w:val="000000" w:themeColor="text1"/>
          <w:vertAlign w:val="superscript"/>
        </w:rPr>
        <w:t>[6]</w:t>
      </w:r>
      <w:r w:rsidRPr="002E2F24">
        <w:rPr>
          <w:rFonts w:ascii="Book Antiqua" w:eastAsia="Book Antiqua" w:hAnsi="Book Antiqua" w:cs="Book Antiqua"/>
          <w:color w:val="000000" w:themeColor="text1"/>
        </w:rPr>
        <w:t>. EDKA is a rare, but mostly missed and under-reported complication of DM management. It is arbitrarily defined as DKA without marked hyperglycemia. The ADA has defined EDKA as the presence of high anion-gap metabolic acidosis and increased plasma ketones in the presence of blood glucose levels below 250 mg/dL (13.9 mmol/L)</w:t>
      </w:r>
      <w:r w:rsidRPr="002E2F24">
        <w:rPr>
          <w:rFonts w:ascii="Book Antiqua" w:eastAsia="Book Antiqua" w:hAnsi="Book Antiqua" w:cs="Book Antiqua"/>
          <w:color w:val="000000" w:themeColor="text1"/>
          <w:vertAlign w:val="superscript"/>
        </w:rPr>
        <w:t>[7]</w:t>
      </w:r>
      <w:r w:rsidRPr="002E2F24">
        <w:rPr>
          <w:rFonts w:ascii="Book Antiqua" w:eastAsia="Book Antiqua" w:hAnsi="Book Antiqua" w:cs="Book Antiqua"/>
          <w:color w:val="000000" w:themeColor="text1"/>
        </w:rPr>
        <w:t>.</w:t>
      </w:r>
      <w:r w:rsidRPr="002E2F24">
        <w:rPr>
          <w:rFonts w:ascii="Book Antiqua" w:eastAsia="Book Antiqua" w:hAnsi="Book Antiqua" w:cs="Book Antiqua"/>
          <w:b/>
          <w:bCs/>
          <w:color w:val="000000" w:themeColor="text1"/>
        </w:rPr>
        <w:t xml:space="preserve"> </w:t>
      </w:r>
    </w:p>
    <w:p w14:paraId="247CFF54" w14:textId="4554F774" w:rsidR="002D4E31" w:rsidRPr="002E2F24" w:rsidRDefault="002D4E31" w:rsidP="002D4E31">
      <w:pPr>
        <w:spacing w:line="360" w:lineRule="auto"/>
        <w:ind w:firstLine="480"/>
        <w:jc w:val="both"/>
        <w:rPr>
          <w:rFonts w:ascii="Book Antiqua" w:hAnsi="Book Antiqua"/>
          <w:color w:val="000000" w:themeColor="text1"/>
        </w:rPr>
      </w:pPr>
      <w:r w:rsidRPr="002E2F24">
        <w:rPr>
          <w:rFonts w:ascii="Book Antiqua" w:eastAsia="Book Antiqua" w:hAnsi="Book Antiqua" w:cs="Book Antiqua"/>
          <w:color w:val="000000" w:themeColor="text1"/>
        </w:rPr>
        <w:t>The main aim of this meta-summary was to identify the predisposing factors, symptomatology, clinical course and outcomes of the patients on SGLT2i presenting with EDKA. This may aid physicians involved in managing such patients to make an early diagnosis and prevent future events.</w:t>
      </w:r>
    </w:p>
    <w:p w14:paraId="6A5C087D" w14:textId="77777777" w:rsidR="002D4E31" w:rsidRPr="002E2F24" w:rsidRDefault="002D4E31" w:rsidP="002D4E31">
      <w:pPr>
        <w:spacing w:line="360" w:lineRule="auto"/>
        <w:ind w:firstLine="480"/>
        <w:jc w:val="both"/>
        <w:rPr>
          <w:rFonts w:ascii="Book Antiqua" w:hAnsi="Book Antiqua"/>
          <w:color w:val="000000" w:themeColor="text1"/>
        </w:rPr>
      </w:pPr>
    </w:p>
    <w:p w14:paraId="67BE8E7B" w14:textId="77777777" w:rsidR="002D4E31" w:rsidRPr="002E2F24" w:rsidRDefault="002D4E31" w:rsidP="002D4E31">
      <w:pPr>
        <w:spacing w:line="360" w:lineRule="auto"/>
        <w:jc w:val="both"/>
        <w:rPr>
          <w:rFonts w:ascii="Book Antiqua" w:hAnsi="Book Antiqua"/>
          <w:color w:val="000000" w:themeColor="text1"/>
        </w:rPr>
      </w:pPr>
      <w:r w:rsidRPr="002E2F24">
        <w:rPr>
          <w:rFonts w:ascii="Book Antiqua" w:eastAsia="Book Antiqua" w:hAnsi="Book Antiqua" w:cs="Book Antiqua"/>
          <w:b/>
          <w:caps/>
          <w:color w:val="000000" w:themeColor="text1"/>
          <w:u w:val="single"/>
        </w:rPr>
        <w:t>MATERIALS AND METHODS</w:t>
      </w:r>
    </w:p>
    <w:p w14:paraId="146CF42E" w14:textId="75E317F0" w:rsidR="002D4E31" w:rsidRPr="002E2F24" w:rsidRDefault="002D4E31" w:rsidP="002D4E31">
      <w:pPr>
        <w:spacing w:line="360" w:lineRule="auto"/>
        <w:jc w:val="both"/>
        <w:rPr>
          <w:rFonts w:ascii="Book Antiqua" w:hAnsi="Book Antiqua"/>
          <w:color w:val="000000" w:themeColor="text1"/>
        </w:rPr>
      </w:pPr>
      <w:r w:rsidRPr="002E2F24">
        <w:rPr>
          <w:rFonts w:ascii="Book Antiqua" w:eastAsia="Book Antiqua" w:hAnsi="Book Antiqua" w:cs="Book Antiqua"/>
          <w:color w:val="000000" w:themeColor="text1"/>
        </w:rPr>
        <w:t xml:space="preserve">For this </w:t>
      </w:r>
      <w:r w:rsidR="0031145E" w:rsidRPr="002E2F24">
        <w:rPr>
          <w:rFonts w:ascii="Book Antiqua" w:eastAsia="Book Antiqua" w:hAnsi="Book Antiqua" w:cs="Book Antiqua"/>
          <w:color w:val="000000" w:themeColor="text1"/>
        </w:rPr>
        <w:t>meta summary</w:t>
      </w:r>
      <w:r w:rsidRPr="002E2F24">
        <w:rPr>
          <w:rFonts w:ascii="Book Antiqua" w:eastAsia="Book Antiqua" w:hAnsi="Book Antiqua" w:cs="Book Antiqua"/>
          <w:color w:val="000000" w:themeColor="text1"/>
        </w:rPr>
        <w:t xml:space="preserve">, a systematic search </w:t>
      </w:r>
      <w:r w:rsidR="00377499">
        <w:rPr>
          <w:rFonts w:ascii="Book Antiqua" w:eastAsia="Book Antiqua" w:hAnsi="Book Antiqua" w:cs="Book Antiqua"/>
          <w:color w:val="000000" w:themeColor="text1"/>
        </w:rPr>
        <w:t xml:space="preserve">of </w:t>
      </w:r>
      <w:r w:rsidRPr="002E2F24">
        <w:rPr>
          <w:rFonts w:ascii="Book Antiqua" w:eastAsia="Book Antiqua" w:hAnsi="Book Antiqua" w:cs="Book Antiqua"/>
          <w:color w:val="000000" w:themeColor="text1"/>
        </w:rPr>
        <w:t xml:space="preserve">PubMed, Science Direct, </w:t>
      </w:r>
      <w:r w:rsidRPr="002E2F24">
        <w:rPr>
          <w:rFonts w:ascii="Book Antiqua" w:eastAsia="Book Antiqua" w:hAnsi="Book Antiqua" w:cs="Book Antiqua"/>
          <w:color w:val="000000" w:themeColor="text1"/>
          <w:shd w:val="clear" w:color="auto" w:fill="FFFFFF"/>
        </w:rPr>
        <w:t>Reference Citation Analysis (</w:t>
      </w:r>
      <w:r w:rsidR="00606694" w:rsidRPr="002E2F24">
        <w:rPr>
          <w:rFonts w:ascii="Book Antiqua" w:eastAsia="Book Antiqua" w:hAnsi="Book Antiqua" w:cs="Book Antiqua"/>
          <w:color w:val="000000" w:themeColor="text1"/>
        </w:rPr>
        <w:t>https://www.referencecitationanalysis.com/</w:t>
      </w:r>
      <w:r w:rsidRPr="002E2F24">
        <w:rPr>
          <w:rFonts w:ascii="Book Antiqua" w:eastAsia="Book Antiqua" w:hAnsi="Book Antiqua" w:cs="Book Antiqua"/>
          <w:color w:val="000000" w:themeColor="text1"/>
        </w:rPr>
        <w:t xml:space="preserve">), and Google Scholar databases </w:t>
      </w:r>
      <w:r w:rsidR="00377499">
        <w:rPr>
          <w:rFonts w:ascii="Book Antiqua" w:eastAsia="Book Antiqua" w:hAnsi="Book Antiqua" w:cs="Book Antiqua"/>
          <w:color w:val="000000" w:themeColor="text1"/>
        </w:rPr>
        <w:t xml:space="preserve">was conducted </w:t>
      </w:r>
      <w:r w:rsidRPr="002E2F24">
        <w:rPr>
          <w:rFonts w:ascii="Book Antiqua" w:eastAsia="Book Antiqua" w:hAnsi="Book Antiqua" w:cs="Book Antiqua"/>
          <w:color w:val="000000" w:themeColor="text1"/>
        </w:rPr>
        <w:t>from January 1</w:t>
      </w:r>
      <w:r w:rsidR="00691E6A" w:rsidRPr="002E2F24">
        <w:rPr>
          <w:rFonts w:ascii="Book Antiqua" w:eastAsia="Book Antiqua" w:hAnsi="Book Antiqua" w:cs="Book Antiqua"/>
          <w:color w:val="000000" w:themeColor="text1"/>
        </w:rPr>
        <w:t>,</w:t>
      </w:r>
      <w:r w:rsidRPr="002E2F24">
        <w:rPr>
          <w:rFonts w:ascii="Book Antiqua" w:eastAsia="Book Antiqua" w:hAnsi="Book Antiqua" w:cs="Book Antiqua"/>
          <w:color w:val="000000" w:themeColor="text1"/>
        </w:rPr>
        <w:t xml:space="preserve"> 2015, t</w:t>
      </w:r>
      <w:r w:rsidR="00377499">
        <w:rPr>
          <w:rFonts w:ascii="Book Antiqua" w:eastAsia="Book Antiqua" w:hAnsi="Book Antiqua" w:cs="Book Antiqua"/>
          <w:color w:val="000000" w:themeColor="text1"/>
        </w:rPr>
        <w:t>o</w:t>
      </w:r>
      <w:r w:rsidRPr="002E2F24">
        <w:rPr>
          <w:rFonts w:ascii="Book Antiqua" w:eastAsia="Book Antiqua" w:hAnsi="Book Antiqua" w:cs="Book Antiqua"/>
          <w:color w:val="000000" w:themeColor="text1"/>
        </w:rPr>
        <w:t xml:space="preserve"> January 31, 2023. The search terms used were "canagliflozin" OR "empagliflozin" OR "dapagliflozin" OR "SGLT2 inhibitors" OR "Sodium-glucose cotransporter 2" AND "euglycemia" OR "euglycemic diabetic ketoacidosis" OR "metabolic acidosis". The inclusion criteria were (1) Case reports or case series with individual patient details</w:t>
      </w:r>
      <w:r w:rsidR="00EF61D3" w:rsidRPr="002E2F24">
        <w:rPr>
          <w:rFonts w:ascii="Book Antiqua" w:eastAsia="Book Antiqua" w:hAnsi="Book Antiqua" w:cs="Book Antiqua"/>
          <w:color w:val="000000" w:themeColor="text1"/>
        </w:rPr>
        <w:t>;</w:t>
      </w:r>
      <w:r w:rsidRPr="002E2F24">
        <w:rPr>
          <w:rFonts w:ascii="Book Antiqua" w:eastAsia="Book Antiqua" w:hAnsi="Book Antiqua" w:cs="Book Antiqua"/>
          <w:color w:val="000000" w:themeColor="text1"/>
        </w:rPr>
        <w:t xml:space="preserve"> and (2) Reported EDKA secondary to SGLT2i. </w:t>
      </w:r>
      <w:r w:rsidRPr="002E2F24">
        <w:rPr>
          <w:rFonts w:ascii="Book Antiqua" w:eastAsia="Book Antiqua" w:hAnsi="Book Antiqua" w:cs="Book Antiqua"/>
          <w:color w:val="000000" w:themeColor="text1"/>
          <w:shd w:val="clear" w:color="auto" w:fill="FFFFFF"/>
        </w:rPr>
        <w:t>Further</w:t>
      </w:r>
      <w:r w:rsidR="00377499">
        <w:rPr>
          <w:rFonts w:ascii="Book Antiqua" w:eastAsia="Book Antiqua" w:hAnsi="Book Antiqua" w:cs="Book Antiqua"/>
          <w:color w:val="000000" w:themeColor="text1"/>
          <w:shd w:val="clear" w:color="auto" w:fill="FFFFFF"/>
        </w:rPr>
        <w:t>more</w:t>
      </w:r>
      <w:r w:rsidRPr="002E2F24">
        <w:rPr>
          <w:rFonts w:ascii="Book Antiqua" w:eastAsia="Book Antiqua" w:hAnsi="Book Antiqua" w:cs="Book Antiqua"/>
          <w:color w:val="000000" w:themeColor="text1"/>
          <w:shd w:val="clear" w:color="auto" w:fill="FFFFFF"/>
        </w:rPr>
        <w:t xml:space="preserve">, </w:t>
      </w:r>
      <w:r w:rsidR="00377499">
        <w:rPr>
          <w:rFonts w:ascii="Book Antiqua" w:eastAsia="Book Antiqua" w:hAnsi="Book Antiqua" w:cs="Book Antiqua"/>
          <w:color w:val="000000" w:themeColor="text1"/>
          <w:shd w:val="clear" w:color="auto" w:fill="FFFFFF"/>
        </w:rPr>
        <w:t>data were</w:t>
      </w:r>
      <w:r w:rsidRPr="002E2F24">
        <w:rPr>
          <w:rFonts w:ascii="Book Antiqua" w:eastAsia="Book Antiqua" w:hAnsi="Book Antiqua" w:cs="Book Antiqua"/>
          <w:color w:val="000000" w:themeColor="text1"/>
          <w:shd w:val="clear" w:color="auto" w:fill="FFFFFF"/>
        </w:rPr>
        <w:t xml:space="preserve"> filtered </w:t>
      </w:r>
      <w:r w:rsidR="00377499">
        <w:rPr>
          <w:rFonts w:ascii="Book Antiqua" w:eastAsia="Book Antiqua" w:hAnsi="Book Antiqua" w:cs="Book Antiqua"/>
          <w:color w:val="000000" w:themeColor="text1"/>
          <w:shd w:val="clear" w:color="auto" w:fill="FFFFFF"/>
        </w:rPr>
        <w:t>from</w:t>
      </w:r>
      <w:r w:rsidRPr="002E2F24">
        <w:rPr>
          <w:rFonts w:ascii="Book Antiqua" w:eastAsia="Book Antiqua" w:hAnsi="Book Antiqua" w:cs="Book Antiqua"/>
          <w:color w:val="000000" w:themeColor="text1"/>
          <w:shd w:val="clear" w:color="auto" w:fill="FFFFFF"/>
        </w:rPr>
        <w:t xml:space="preserve"> the literature published in </w:t>
      </w:r>
      <w:r w:rsidR="00377499">
        <w:rPr>
          <w:rFonts w:ascii="Book Antiqua" w:eastAsia="Book Antiqua" w:hAnsi="Book Antiqua" w:cs="Book Antiqua"/>
          <w:color w:val="000000" w:themeColor="text1"/>
          <w:shd w:val="clear" w:color="auto" w:fill="FFFFFF"/>
        </w:rPr>
        <w:t xml:space="preserve">the </w:t>
      </w:r>
      <w:r w:rsidRPr="002E2F24">
        <w:rPr>
          <w:rFonts w:ascii="Book Antiqua" w:eastAsia="Book Antiqua" w:hAnsi="Book Antiqua" w:cs="Book Antiqua"/>
          <w:color w:val="000000" w:themeColor="text1"/>
          <w:shd w:val="clear" w:color="auto" w:fill="FFFFFF"/>
        </w:rPr>
        <w:t xml:space="preserve">English language and on adult (&gt; 18 years) humans. We excluded </w:t>
      </w:r>
      <w:r w:rsidR="00EF61D3" w:rsidRPr="002E2F24">
        <w:rPr>
          <w:rFonts w:ascii="Book Antiqua" w:eastAsia="Book Antiqua" w:hAnsi="Book Antiqua" w:cs="Book Antiqua"/>
          <w:color w:val="000000" w:themeColor="text1"/>
          <w:shd w:val="clear" w:color="auto" w:fill="FFFFFF"/>
        </w:rPr>
        <w:t>(</w:t>
      </w:r>
      <w:r w:rsidRPr="002E2F24">
        <w:rPr>
          <w:rFonts w:ascii="Book Antiqua" w:eastAsia="Book Antiqua" w:hAnsi="Book Antiqua" w:cs="Book Antiqua"/>
          <w:color w:val="000000" w:themeColor="text1"/>
          <w:shd w:val="clear" w:color="auto" w:fill="FFFFFF"/>
        </w:rPr>
        <w:t xml:space="preserve">1) Conference abstracts; </w:t>
      </w:r>
      <w:r w:rsidR="00EF61D3" w:rsidRPr="002E2F24">
        <w:rPr>
          <w:rFonts w:ascii="Book Antiqua" w:eastAsia="Book Antiqua" w:hAnsi="Book Antiqua" w:cs="Book Antiqua"/>
          <w:color w:val="000000" w:themeColor="text1"/>
          <w:shd w:val="clear" w:color="auto" w:fill="FFFFFF"/>
        </w:rPr>
        <w:t xml:space="preserve">and </w:t>
      </w:r>
      <w:r w:rsidR="00EF61D3" w:rsidRPr="002E2F24">
        <w:rPr>
          <w:rFonts w:ascii="Book Antiqua" w:eastAsia="Book Antiqua" w:hAnsi="Book Antiqua" w:cs="Book Antiqua"/>
          <w:color w:val="000000" w:themeColor="text1"/>
          <w:shd w:val="clear" w:color="auto" w:fill="FFFFFF"/>
        </w:rPr>
        <w:lastRenderedPageBreak/>
        <w:t>(</w:t>
      </w:r>
      <w:r w:rsidRPr="002E2F24">
        <w:rPr>
          <w:rFonts w:ascii="Book Antiqua" w:eastAsia="Book Antiqua" w:hAnsi="Book Antiqua" w:cs="Book Antiqua"/>
          <w:color w:val="000000" w:themeColor="text1"/>
          <w:shd w:val="clear" w:color="auto" w:fill="FFFFFF"/>
        </w:rPr>
        <w:t>2) Case reports or series which did not have individual biochemical data. The authors screened all the search results to include only the relevant literature. Duplicate articles from different search databases were excluded.</w:t>
      </w:r>
    </w:p>
    <w:p w14:paraId="32E046FA" w14:textId="511683E9" w:rsidR="002D4E31" w:rsidRPr="002E2F24" w:rsidRDefault="002D4E31" w:rsidP="002D4E31">
      <w:pPr>
        <w:spacing w:line="360" w:lineRule="auto"/>
        <w:ind w:firstLine="480"/>
        <w:jc w:val="both"/>
        <w:rPr>
          <w:rFonts w:ascii="Book Antiqua" w:hAnsi="Book Antiqua"/>
          <w:color w:val="000000" w:themeColor="text1"/>
        </w:rPr>
      </w:pPr>
      <w:r w:rsidRPr="002E2F24">
        <w:rPr>
          <w:rFonts w:ascii="Book Antiqua" w:eastAsia="Book Antiqua" w:hAnsi="Book Antiqua" w:cs="Book Antiqua"/>
          <w:color w:val="000000" w:themeColor="text1"/>
          <w:shd w:val="clear" w:color="auto" w:fill="FFFFFF"/>
        </w:rPr>
        <w:t xml:space="preserve">All the case reports, and case series were evaluated. The data extracted </w:t>
      </w:r>
      <w:r w:rsidR="008619B9">
        <w:rPr>
          <w:rFonts w:ascii="Book Antiqua" w:eastAsia="Book Antiqua" w:hAnsi="Book Antiqua" w:cs="Book Antiqua"/>
          <w:color w:val="000000" w:themeColor="text1"/>
          <w:shd w:val="clear" w:color="auto" w:fill="FFFFFF"/>
        </w:rPr>
        <w:t>included</w:t>
      </w:r>
      <w:r w:rsidRPr="002E2F24">
        <w:rPr>
          <w:rFonts w:ascii="Book Antiqua" w:eastAsia="Book Antiqua" w:hAnsi="Book Antiqua" w:cs="Book Antiqua"/>
          <w:color w:val="000000" w:themeColor="text1"/>
          <w:shd w:val="clear" w:color="auto" w:fill="FFFFFF"/>
        </w:rPr>
        <w:t xml:space="preserve"> patient demographics, clinical symptomatology, clinical interventions, intensive care unit (ICU) course, need for organ support and outcomes. A datasheet for evaluation was </w:t>
      </w:r>
      <w:r w:rsidR="008619B9">
        <w:rPr>
          <w:rFonts w:ascii="Book Antiqua" w:eastAsia="Book Antiqua" w:hAnsi="Book Antiqua" w:cs="Book Antiqua"/>
          <w:color w:val="000000" w:themeColor="text1"/>
          <w:shd w:val="clear" w:color="auto" w:fill="FFFFFF"/>
        </w:rPr>
        <w:t>also</w:t>
      </w:r>
      <w:r w:rsidRPr="002E2F24">
        <w:rPr>
          <w:rFonts w:ascii="Book Antiqua" w:eastAsia="Book Antiqua" w:hAnsi="Book Antiqua" w:cs="Book Antiqua"/>
          <w:color w:val="000000" w:themeColor="text1"/>
          <w:shd w:val="clear" w:color="auto" w:fill="FFFFFF"/>
        </w:rPr>
        <w:t xml:space="preserve"> prepared.</w:t>
      </w:r>
    </w:p>
    <w:p w14:paraId="610FBC7C" w14:textId="77777777" w:rsidR="002D4E31" w:rsidRPr="002E2F24" w:rsidRDefault="002D4E31" w:rsidP="002D4E31">
      <w:pPr>
        <w:spacing w:line="360" w:lineRule="auto"/>
        <w:ind w:firstLine="480"/>
        <w:jc w:val="both"/>
        <w:rPr>
          <w:rFonts w:ascii="Book Antiqua" w:hAnsi="Book Antiqua"/>
          <w:color w:val="000000" w:themeColor="text1"/>
        </w:rPr>
      </w:pPr>
    </w:p>
    <w:p w14:paraId="33BECED1" w14:textId="77777777" w:rsidR="002D4E31" w:rsidRPr="002E2F24" w:rsidRDefault="002D4E31" w:rsidP="002D4E31">
      <w:pPr>
        <w:spacing w:line="360" w:lineRule="auto"/>
        <w:jc w:val="both"/>
        <w:rPr>
          <w:rFonts w:ascii="Book Antiqua" w:hAnsi="Book Antiqua"/>
          <w:i/>
          <w:iCs/>
          <w:color w:val="000000" w:themeColor="text1"/>
        </w:rPr>
      </w:pPr>
      <w:r w:rsidRPr="002E2F24">
        <w:rPr>
          <w:rFonts w:ascii="Book Antiqua" w:eastAsia="Book Antiqua" w:hAnsi="Book Antiqua" w:cs="Book Antiqua"/>
          <w:b/>
          <w:bCs/>
          <w:i/>
          <w:iCs/>
          <w:color w:val="000000" w:themeColor="text1"/>
          <w:shd w:val="clear" w:color="auto" w:fill="FFFFFF"/>
        </w:rPr>
        <w:t>Statistical analysis</w:t>
      </w:r>
    </w:p>
    <w:p w14:paraId="3A1105BD" w14:textId="234D7D7E" w:rsidR="002D4E31" w:rsidRPr="002E2F24" w:rsidRDefault="002D4E31" w:rsidP="002D4E31">
      <w:pPr>
        <w:spacing w:line="360" w:lineRule="auto"/>
        <w:jc w:val="both"/>
        <w:rPr>
          <w:rFonts w:ascii="Book Antiqua" w:hAnsi="Book Antiqua"/>
          <w:color w:val="000000" w:themeColor="text1"/>
        </w:rPr>
      </w:pPr>
      <w:r w:rsidRPr="002E2F24">
        <w:rPr>
          <w:rFonts w:ascii="Book Antiqua" w:eastAsia="Book Antiqua" w:hAnsi="Book Antiqua" w:cs="Book Antiqua"/>
          <w:color w:val="000000" w:themeColor="text1"/>
        </w:rPr>
        <w:t xml:space="preserve">The prepared datasheet was analyzed </w:t>
      </w:r>
      <w:r w:rsidR="008619B9">
        <w:rPr>
          <w:rFonts w:ascii="Book Antiqua" w:eastAsia="Book Antiqua" w:hAnsi="Book Antiqua" w:cs="Book Antiqua"/>
          <w:color w:val="000000" w:themeColor="text1"/>
        </w:rPr>
        <w:t>using</w:t>
      </w:r>
      <w:r w:rsidRPr="002E2F24">
        <w:rPr>
          <w:rFonts w:ascii="Book Antiqua" w:eastAsia="Book Antiqua" w:hAnsi="Book Antiqua" w:cs="Book Antiqua"/>
          <w:color w:val="000000" w:themeColor="text1"/>
        </w:rPr>
        <w:t xml:space="preserve"> Excel and Microsoft Office 2019. Categorical variables were presented as frequency and percentage. Mean (SD) or median [interquartile range (IQR)] </w:t>
      </w:r>
      <w:r w:rsidR="00EF61D3" w:rsidRPr="002E2F24">
        <w:rPr>
          <w:rFonts w:ascii="Book Antiqua" w:eastAsia="Book Antiqua" w:hAnsi="Book Antiqua" w:cs="Book Antiqua"/>
          <w:color w:val="000000" w:themeColor="text1"/>
        </w:rPr>
        <w:t>was</w:t>
      </w:r>
      <w:r w:rsidRPr="002E2F24">
        <w:rPr>
          <w:rFonts w:ascii="Book Antiqua" w:eastAsia="Book Antiqua" w:hAnsi="Book Antiqua" w:cs="Book Antiqua"/>
          <w:color w:val="000000" w:themeColor="text1"/>
        </w:rPr>
        <w:t xml:space="preserve"> used </w:t>
      </w:r>
      <w:r w:rsidR="008619B9">
        <w:rPr>
          <w:rFonts w:ascii="Book Antiqua" w:eastAsia="Book Antiqua" w:hAnsi="Book Antiqua" w:cs="Book Antiqua"/>
          <w:color w:val="000000" w:themeColor="text1"/>
        </w:rPr>
        <w:t>to</w:t>
      </w:r>
      <w:r w:rsidRPr="002E2F24">
        <w:rPr>
          <w:rFonts w:ascii="Book Antiqua" w:eastAsia="Book Antiqua" w:hAnsi="Book Antiqua" w:cs="Book Antiqua"/>
          <w:color w:val="000000" w:themeColor="text1"/>
        </w:rPr>
        <w:t xml:space="preserve"> describ</w:t>
      </w:r>
      <w:r w:rsidR="008619B9">
        <w:rPr>
          <w:rFonts w:ascii="Book Antiqua" w:eastAsia="Book Antiqua" w:hAnsi="Book Antiqua" w:cs="Book Antiqua"/>
          <w:color w:val="000000" w:themeColor="text1"/>
        </w:rPr>
        <w:t>e</w:t>
      </w:r>
      <w:r w:rsidRPr="002E2F24">
        <w:rPr>
          <w:rFonts w:ascii="Book Antiqua" w:eastAsia="Book Antiqua" w:hAnsi="Book Antiqua" w:cs="Book Antiqua"/>
          <w:color w:val="000000" w:themeColor="text1"/>
        </w:rPr>
        <w:t xml:space="preserve"> the continuous variables. T</w:t>
      </w:r>
      <w:r w:rsidRPr="002E2F24">
        <w:rPr>
          <w:rFonts w:ascii="Book Antiqua" w:eastAsia="Book Antiqua" w:hAnsi="Book Antiqua" w:cs="Book Antiqua"/>
          <w:color w:val="000000" w:themeColor="text1"/>
          <w:shd w:val="clear" w:color="auto" w:fill="FFFFFF"/>
        </w:rPr>
        <w:t>he statistical analyses were performed using SPSS (version 25.0, IBM SPSS Inc., Chicago, IL, United States). MS Office software (MS Office 2019, Microsoft Corp</w:t>
      </w:r>
      <w:r w:rsidR="008619B9">
        <w:rPr>
          <w:rFonts w:ascii="Book Antiqua" w:eastAsia="Book Antiqua" w:hAnsi="Book Antiqua" w:cs="Book Antiqua"/>
          <w:color w:val="000000" w:themeColor="text1"/>
          <w:shd w:val="clear" w:color="auto" w:fill="FFFFFF"/>
        </w:rPr>
        <w:t>.</w:t>
      </w:r>
      <w:r w:rsidRPr="002E2F24">
        <w:rPr>
          <w:rFonts w:ascii="Book Antiqua" w:eastAsia="Book Antiqua" w:hAnsi="Book Antiqua" w:cs="Book Antiqua"/>
          <w:color w:val="000000" w:themeColor="text1"/>
          <w:shd w:val="clear" w:color="auto" w:fill="FFFFFF"/>
        </w:rPr>
        <w:t>, WA, United States) was used for tabulation and final documentation.</w:t>
      </w:r>
    </w:p>
    <w:p w14:paraId="3A15E705" w14:textId="77777777" w:rsidR="002D4E31" w:rsidRPr="002E2F24" w:rsidRDefault="002D4E31" w:rsidP="002D4E31">
      <w:pPr>
        <w:spacing w:line="360" w:lineRule="auto"/>
        <w:ind w:firstLine="480"/>
        <w:jc w:val="both"/>
        <w:rPr>
          <w:rFonts w:ascii="Book Antiqua" w:hAnsi="Book Antiqua"/>
          <w:color w:val="000000" w:themeColor="text1"/>
        </w:rPr>
      </w:pPr>
    </w:p>
    <w:p w14:paraId="754C8FF7" w14:textId="77777777" w:rsidR="002D4E31" w:rsidRPr="002E2F24" w:rsidRDefault="002D4E31" w:rsidP="002D4E31">
      <w:pPr>
        <w:spacing w:line="360" w:lineRule="auto"/>
        <w:jc w:val="both"/>
        <w:rPr>
          <w:rFonts w:ascii="Book Antiqua" w:hAnsi="Book Antiqua"/>
          <w:color w:val="000000" w:themeColor="text1"/>
        </w:rPr>
      </w:pPr>
      <w:r w:rsidRPr="002E2F24">
        <w:rPr>
          <w:rFonts w:ascii="Book Antiqua" w:eastAsia="Book Antiqua" w:hAnsi="Book Antiqua" w:cs="Book Antiqua"/>
          <w:b/>
          <w:caps/>
          <w:color w:val="000000" w:themeColor="text1"/>
          <w:u w:val="single"/>
        </w:rPr>
        <w:t>RESULTS</w:t>
      </w:r>
    </w:p>
    <w:p w14:paraId="153BFF2E" w14:textId="6ED40238" w:rsidR="002D4E31" w:rsidRPr="002E2F24" w:rsidRDefault="002D4E31" w:rsidP="002D4E31">
      <w:pPr>
        <w:spacing w:line="360" w:lineRule="auto"/>
        <w:jc w:val="both"/>
        <w:rPr>
          <w:rFonts w:ascii="Book Antiqua" w:hAnsi="Book Antiqua"/>
          <w:color w:val="000000" w:themeColor="text1"/>
        </w:rPr>
      </w:pPr>
      <w:r w:rsidRPr="002E2F24">
        <w:rPr>
          <w:rFonts w:ascii="Book Antiqua" w:eastAsia="Book Antiqua" w:hAnsi="Book Antiqua" w:cs="Book Antiqua"/>
          <w:color w:val="000000" w:themeColor="text1"/>
          <w:shd w:val="clear" w:color="auto" w:fill="FFFFFF"/>
        </w:rPr>
        <w:t xml:space="preserve">The present review was </w:t>
      </w:r>
      <w:r w:rsidR="008619B9">
        <w:rPr>
          <w:rFonts w:ascii="Book Antiqua" w:eastAsia="Book Antiqua" w:hAnsi="Book Antiqua" w:cs="Book Antiqua"/>
          <w:color w:val="000000" w:themeColor="text1"/>
          <w:shd w:val="clear" w:color="auto" w:fill="FFFFFF"/>
        </w:rPr>
        <w:t>carried out</w:t>
      </w:r>
      <w:r w:rsidRPr="002E2F24">
        <w:rPr>
          <w:rFonts w:ascii="Book Antiqua" w:eastAsia="Book Antiqua" w:hAnsi="Book Antiqua" w:cs="Book Antiqua"/>
          <w:color w:val="000000" w:themeColor="text1"/>
          <w:shd w:val="clear" w:color="auto" w:fill="FFFFFF"/>
        </w:rPr>
        <w:t xml:space="preserve"> using </w:t>
      </w:r>
      <w:r w:rsidR="00606694" w:rsidRPr="002E2F24">
        <w:rPr>
          <w:rFonts w:ascii="Book Antiqua" w:eastAsia="Book Antiqua" w:hAnsi="Book Antiqua" w:cs="Book Antiqua"/>
          <w:color w:val="000000" w:themeColor="text1"/>
          <w:shd w:val="clear" w:color="auto" w:fill="FFFFFF"/>
        </w:rPr>
        <w:t>the preferred reporting items for systematic reviews and meta-analyses</w:t>
      </w:r>
      <w:r w:rsidRPr="002E2F24">
        <w:rPr>
          <w:rFonts w:ascii="Book Antiqua" w:eastAsia="Book Antiqua" w:hAnsi="Book Antiqua" w:cs="Book Antiqua"/>
          <w:color w:val="000000" w:themeColor="text1"/>
          <w:shd w:val="clear" w:color="auto" w:fill="FFFFFF"/>
        </w:rPr>
        <w:t xml:space="preserve"> 2009 checklist (Figure 1). Ultimately, 108 case reports and 17 cases series with 169 unique patients meeting the predefined inclusion criteria were included </w:t>
      </w:r>
      <w:r w:rsidR="00EF61D3" w:rsidRPr="002E2F24">
        <w:rPr>
          <w:rFonts w:ascii="Book Antiqua" w:eastAsia="Book Antiqua" w:hAnsi="Book Antiqua" w:cs="Book Antiqua"/>
          <w:color w:val="000000" w:themeColor="text1"/>
          <w:shd w:val="clear" w:color="auto" w:fill="FFFFFF"/>
        </w:rPr>
        <w:t>(Supplementary material)</w:t>
      </w:r>
      <w:r w:rsidRPr="002E2F24">
        <w:rPr>
          <w:rFonts w:ascii="Book Antiqua" w:eastAsia="Book Antiqua" w:hAnsi="Book Antiqua" w:cs="Book Antiqua"/>
          <w:color w:val="000000" w:themeColor="text1"/>
          <w:shd w:val="clear" w:color="auto" w:fill="FFFFFF"/>
        </w:rPr>
        <w:t xml:space="preserve">. The majority of included patients were from the United States of America (74, 43.8%) and Canada (23, 13.6%) (Figure 2). Most of the patients reported were females (54.4%, </w:t>
      </w:r>
      <w:r w:rsidRPr="002E2F24">
        <w:rPr>
          <w:rFonts w:ascii="Book Antiqua" w:eastAsia="Book Antiqua" w:hAnsi="Book Antiqua" w:cs="Book Antiqua"/>
          <w:i/>
          <w:iCs/>
          <w:color w:val="000000" w:themeColor="text1"/>
          <w:shd w:val="clear" w:color="auto" w:fill="FFFFFF"/>
        </w:rPr>
        <w:t>n</w:t>
      </w:r>
      <w:r w:rsidRPr="002E2F24">
        <w:rPr>
          <w:rFonts w:ascii="Book Antiqua" w:eastAsia="Book Antiqua" w:hAnsi="Book Antiqua" w:cs="Book Antiqua"/>
          <w:color w:val="000000" w:themeColor="text1"/>
          <w:shd w:val="clear" w:color="auto" w:fill="FFFFFF"/>
        </w:rPr>
        <w:t xml:space="preserve"> = 92), and the commonly reported symptoms were gastrointestinal (nausea/vomiting 65.1%, abdominal pain 37.3%) and respiratory (breathlessness 30.8%). One hundred and forty-nine (88.2%) patients had underlying type I</w:t>
      </w:r>
      <w:r w:rsidR="00E06950" w:rsidRPr="002E2F24">
        <w:rPr>
          <w:rFonts w:ascii="Book Antiqua" w:eastAsia="Book Antiqua" w:hAnsi="Book Antiqua" w:cs="Book Antiqua"/>
          <w:color w:val="000000" w:themeColor="text1"/>
          <w:shd w:val="clear" w:color="auto" w:fill="FFFFFF"/>
        </w:rPr>
        <w:t>I</w:t>
      </w:r>
      <w:r w:rsidRPr="002E2F24">
        <w:rPr>
          <w:rFonts w:ascii="Book Antiqua" w:eastAsia="Book Antiqua" w:hAnsi="Book Antiqua" w:cs="Book Antiqua"/>
          <w:color w:val="000000" w:themeColor="text1"/>
          <w:shd w:val="clear" w:color="auto" w:fill="FFFFFF"/>
        </w:rPr>
        <w:t xml:space="preserve"> diabetes; the most commonly involved SGLT2i was empagliflozin, 46.8% (</w:t>
      </w:r>
      <w:r w:rsidR="001A77E5" w:rsidRPr="002E2F24">
        <w:rPr>
          <w:rFonts w:ascii="Book Antiqua" w:eastAsia="Book Antiqua" w:hAnsi="Book Antiqua" w:cs="Book Antiqua"/>
          <w:color w:val="000000" w:themeColor="text1"/>
          <w:shd w:val="clear" w:color="auto" w:fill="FFFFFF"/>
        </w:rPr>
        <w:t>T</w:t>
      </w:r>
      <w:r w:rsidRPr="002E2F24">
        <w:rPr>
          <w:rFonts w:ascii="Book Antiqua" w:eastAsia="Book Antiqua" w:hAnsi="Book Antiqua" w:cs="Book Antiqua"/>
          <w:color w:val="000000" w:themeColor="text1"/>
          <w:shd w:val="clear" w:color="auto" w:fill="FFFFFF"/>
        </w:rPr>
        <w:t xml:space="preserve">able 1). Most patients (78.7%) reported a triggering factor, the commonest being acute severe infection (37.9%), which included patients with sepsis, </w:t>
      </w:r>
      <w:r w:rsidRPr="002E2F24">
        <w:rPr>
          <w:rFonts w:ascii="Book Antiqua" w:hAnsi="Book Antiqua"/>
          <w:color w:val="000000" w:themeColor="text1"/>
        </w:rPr>
        <w:t>coronavirus disease 2019</w:t>
      </w:r>
      <w:r w:rsidRPr="002E2F24">
        <w:rPr>
          <w:rFonts w:ascii="Book Antiqua" w:eastAsia="Book Antiqua" w:hAnsi="Book Antiqua" w:cs="Book Antiqua"/>
          <w:color w:val="000000" w:themeColor="text1"/>
          <w:shd w:val="clear" w:color="auto" w:fill="FFFFFF"/>
        </w:rPr>
        <w:t xml:space="preserve">, other viral illnesses, and acute pancreatitis. The second </w:t>
      </w:r>
      <w:r w:rsidR="008619B9">
        <w:rPr>
          <w:rFonts w:ascii="Book Antiqua" w:eastAsia="Book Antiqua" w:hAnsi="Book Antiqua" w:cs="Book Antiqua"/>
          <w:color w:val="000000" w:themeColor="text1"/>
          <w:shd w:val="clear" w:color="auto" w:fill="FFFFFF"/>
        </w:rPr>
        <w:t xml:space="preserve">most </w:t>
      </w:r>
      <w:r w:rsidRPr="002E2F24">
        <w:rPr>
          <w:rFonts w:ascii="Book Antiqua" w:eastAsia="Book Antiqua" w:hAnsi="Book Antiqua" w:cs="Book Antiqua"/>
          <w:color w:val="000000" w:themeColor="text1"/>
          <w:shd w:val="clear" w:color="auto" w:fill="FFFFFF"/>
        </w:rPr>
        <w:t xml:space="preserve">common triggering factor was a </w:t>
      </w:r>
      <w:r w:rsidRPr="002E2F24">
        <w:rPr>
          <w:rFonts w:ascii="Book Antiqua" w:eastAsia="Book Antiqua" w:hAnsi="Book Antiqua" w:cs="Book Antiqua"/>
          <w:color w:val="000000" w:themeColor="text1"/>
          <w:shd w:val="clear" w:color="auto" w:fill="FFFFFF"/>
        </w:rPr>
        <w:lastRenderedPageBreak/>
        <w:t xml:space="preserve">perioperative period (24.3%), </w:t>
      </w:r>
      <w:r w:rsidR="00E06950" w:rsidRPr="002E2F24">
        <w:rPr>
          <w:rFonts w:ascii="Book Antiqua" w:eastAsia="Book Antiqua" w:hAnsi="Book Antiqua" w:cs="Book Antiqua"/>
          <w:color w:val="000000" w:themeColor="text1"/>
          <w:shd w:val="clear" w:color="auto" w:fill="FFFFFF"/>
        </w:rPr>
        <w:t xml:space="preserve">which </w:t>
      </w:r>
      <w:r w:rsidRPr="002E2F24">
        <w:rPr>
          <w:rFonts w:ascii="Book Antiqua" w:eastAsia="Book Antiqua" w:hAnsi="Book Antiqua" w:cs="Book Antiqua"/>
          <w:color w:val="000000" w:themeColor="text1"/>
          <w:shd w:val="clear" w:color="auto" w:fill="FFFFFF"/>
        </w:rPr>
        <w:t>includ</w:t>
      </w:r>
      <w:r w:rsidR="00E06950" w:rsidRPr="002E2F24">
        <w:rPr>
          <w:rFonts w:ascii="Book Antiqua" w:eastAsia="Book Antiqua" w:hAnsi="Book Antiqua" w:cs="Book Antiqua"/>
          <w:color w:val="000000" w:themeColor="text1"/>
          <w:shd w:val="clear" w:color="auto" w:fill="FFFFFF"/>
        </w:rPr>
        <w:t>ed patients undergoing</w:t>
      </w:r>
      <w:r w:rsidRPr="002E2F24">
        <w:rPr>
          <w:rFonts w:ascii="Book Antiqua" w:eastAsia="Book Antiqua" w:hAnsi="Book Antiqua" w:cs="Book Antiqua"/>
          <w:color w:val="000000" w:themeColor="text1"/>
          <w:shd w:val="clear" w:color="auto" w:fill="FFFFFF"/>
        </w:rPr>
        <w:t xml:space="preserve"> bariatric surgery, coronary artery bypass grafting, orthopedic surgeries, pancreatectomy and cranial nervous system surgeries. Multiple triggering factors were reported in several patients (</w:t>
      </w:r>
      <w:r w:rsidR="001A77E5" w:rsidRPr="002E2F24">
        <w:rPr>
          <w:rFonts w:ascii="Book Antiqua" w:eastAsia="Book Antiqua" w:hAnsi="Book Antiqua" w:cs="Book Antiqua"/>
          <w:color w:val="000000" w:themeColor="text1"/>
          <w:shd w:val="clear" w:color="auto" w:fill="FFFFFF"/>
        </w:rPr>
        <w:t>T</w:t>
      </w:r>
      <w:r w:rsidRPr="002E2F24">
        <w:rPr>
          <w:rFonts w:ascii="Book Antiqua" w:eastAsia="Book Antiqua" w:hAnsi="Book Antiqua" w:cs="Book Antiqua"/>
          <w:color w:val="000000" w:themeColor="text1"/>
          <w:shd w:val="clear" w:color="auto" w:fill="FFFFFF"/>
        </w:rPr>
        <w:t>able 1). The median time on SGLT2i before developing EDKA was 30 d (interquartile range 6.5-165 d)</w:t>
      </w:r>
    </w:p>
    <w:p w14:paraId="39B93259" w14:textId="21AD523A" w:rsidR="002D4E31" w:rsidRPr="002E2F24" w:rsidRDefault="002D4E31" w:rsidP="002D4E31">
      <w:pPr>
        <w:spacing w:line="360" w:lineRule="auto"/>
        <w:ind w:firstLine="480"/>
        <w:jc w:val="both"/>
        <w:rPr>
          <w:rFonts w:ascii="Book Antiqua" w:hAnsi="Book Antiqua"/>
          <w:color w:val="000000" w:themeColor="text1"/>
        </w:rPr>
      </w:pPr>
      <w:r w:rsidRPr="002E2F24">
        <w:rPr>
          <w:rFonts w:ascii="Book Antiqua" w:eastAsia="Book Antiqua" w:hAnsi="Book Antiqua" w:cs="Book Antiqua"/>
          <w:color w:val="000000" w:themeColor="text1"/>
        </w:rPr>
        <w:t xml:space="preserve">The median blood glucose level at presentation was 184.5 mg/dL. Most patients had severe metabolic acidosis with </w:t>
      </w:r>
      <w:r w:rsidR="008619B9">
        <w:rPr>
          <w:rFonts w:ascii="Book Antiqua" w:eastAsia="Book Antiqua" w:hAnsi="Book Antiqua" w:cs="Book Antiqua"/>
          <w:color w:val="000000" w:themeColor="text1"/>
        </w:rPr>
        <w:t xml:space="preserve">a </w:t>
      </w:r>
      <w:r w:rsidRPr="002E2F24">
        <w:rPr>
          <w:rFonts w:ascii="Book Antiqua" w:eastAsia="Book Antiqua" w:hAnsi="Book Antiqua" w:cs="Book Antiqua"/>
          <w:color w:val="000000" w:themeColor="text1"/>
        </w:rPr>
        <w:t>median serum pH of 7.14 and bicarbonate levels of 8.6 mmol/L. Hyperlactatemia was uncommon, with median lactate levels being 1.3 mmol/L (</w:t>
      </w:r>
      <w:r w:rsidR="001A77E5" w:rsidRPr="002E2F24">
        <w:rPr>
          <w:rFonts w:ascii="Book Antiqua" w:eastAsia="Book Antiqua" w:hAnsi="Book Antiqua" w:cs="Book Antiqua"/>
          <w:color w:val="000000" w:themeColor="text1"/>
        </w:rPr>
        <w:t>T</w:t>
      </w:r>
      <w:r w:rsidRPr="002E2F24">
        <w:rPr>
          <w:rFonts w:ascii="Book Antiqua" w:eastAsia="Book Antiqua" w:hAnsi="Book Antiqua" w:cs="Book Antiqua"/>
          <w:color w:val="000000" w:themeColor="text1"/>
        </w:rPr>
        <w:t>able 2). The overall mortality rate was only 2.4%.</w:t>
      </w:r>
    </w:p>
    <w:p w14:paraId="10CD415F" w14:textId="77777777" w:rsidR="002D4E31" w:rsidRPr="002E2F24" w:rsidRDefault="002D4E31" w:rsidP="002D4E31">
      <w:pPr>
        <w:spacing w:line="360" w:lineRule="auto"/>
        <w:ind w:firstLine="480"/>
        <w:jc w:val="both"/>
        <w:rPr>
          <w:rFonts w:ascii="Book Antiqua" w:hAnsi="Book Antiqua"/>
          <w:color w:val="000000" w:themeColor="text1"/>
        </w:rPr>
      </w:pPr>
    </w:p>
    <w:p w14:paraId="2D51A677" w14:textId="77777777" w:rsidR="002D4E31" w:rsidRPr="002E2F24" w:rsidRDefault="002D4E31" w:rsidP="002D4E31">
      <w:pPr>
        <w:spacing w:line="360" w:lineRule="auto"/>
        <w:jc w:val="both"/>
        <w:rPr>
          <w:rFonts w:ascii="Book Antiqua" w:hAnsi="Book Antiqua"/>
          <w:color w:val="000000" w:themeColor="text1"/>
        </w:rPr>
      </w:pPr>
      <w:r w:rsidRPr="002E2F24">
        <w:rPr>
          <w:rFonts w:ascii="Book Antiqua" w:eastAsia="Book Antiqua" w:hAnsi="Book Antiqua" w:cs="Book Antiqua"/>
          <w:b/>
          <w:caps/>
          <w:color w:val="000000" w:themeColor="text1"/>
          <w:u w:val="single"/>
        </w:rPr>
        <w:t>DISCUSSION</w:t>
      </w:r>
    </w:p>
    <w:p w14:paraId="306BEB9D" w14:textId="5C82AD77" w:rsidR="002D4E31" w:rsidRPr="002E2F24" w:rsidRDefault="002D4E31" w:rsidP="002D4E31">
      <w:pPr>
        <w:spacing w:line="360" w:lineRule="auto"/>
        <w:jc w:val="both"/>
        <w:rPr>
          <w:rFonts w:ascii="Book Antiqua" w:hAnsi="Book Antiqua"/>
          <w:color w:val="000000" w:themeColor="text1"/>
        </w:rPr>
      </w:pPr>
      <w:r w:rsidRPr="002E2F24">
        <w:rPr>
          <w:rFonts w:ascii="Book Antiqua" w:eastAsia="Book Antiqua" w:hAnsi="Book Antiqua" w:cs="Book Antiqua"/>
          <w:color w:val="000000" w:themeColor="text1"/>
        </w:rPr>
        <w:t>In the present meta-summary, data from 169 individual case reports were analy</w:t>
      </w:r>
      <w:r w:rsidR="008619B9">
        <w:rPr>
          <w:rFonts w:ascii="Book Antiqua" w:eastAsia="Book Antiqua" w:hAnsi="Book Antiqua" w:cs="Book Antiqua"/>
          <w:color w:val="000000" w:themeColor="text1"/>
        </w:rPr>
        <w:t>z</w:t>
      </w:r>
      <w:r w:rsidRPr="002E2F24">
        <w:rPr>
          <w:rFonts w:ascii="Book Antiqua" w:eastAsia="Book Antiqua" w:hAnsi="Book Antiqua" w:cs="Book Antiqua"/>
          <w:color w:val="000000" w:themeColor="text1"/>
        </w:rPr>
        <w:t xml:space="preserve">ed. Most patients (88.2%) were suffering from </w:t>
      </w:r>
      <w:r w:rsidR="008619B9">
        <w:rPr>
          <w:rFonts w:ascii="Book Antiqua" w:eastAsia="Book Antiqua" w:hAnsi="Book Antiqua" w:cs="Book Antiqua"/>
          <w:color w:val="000000" w:themeColor="text1"/>
        </w:rPr>
        <w:t>T2</w:t>
      </w:r>
      <w:r w:rsidRPr="002E2F24">
        <w:rPr>
          <w:rFonts w:ascii="Book Antiqua" w:eastAsia="Book Antiqua" w:hAnsi="Book Antiqua" w:cs="Book Antiqua"/>
          <w:color w:val="000000" w:themeColor="text1"/>
        </w:rPr>
        <w:t>DM. Common presenting symptoms included nausea, vomiting, and abdominal pain. Empagliflozin was the commonest SGLT2i involved in 46.8% of cases. At presentation, the median blood glucose levels were 184.5 mg/dL, and the median blood pH was 7.14. Nearly 62% of patients were reported to require ICU admission. Even though patients presented with severe metabolic acidosis, the overall mortality rate was only 2.4%.</w:t>
      </w:r>
    </w:p>
    <w:p w14:paraId="373AAB58" w14:textId="364D8080" w:rsidR="002D4E31" w:rsidRPr="002E2F24" w:rsidRDefault="002D4E31" w:rsidP="002D4E31">
      <w:pPr>
        <w:spacing w:line="360" w:lineRule="auto"/>
        <w:ind w:firstLine="480"/>
        <w:jc w:val="both"/>
        <w:rPr>
          <w:rFonts w:ascii="Book Antiqua" w:hAnsi="Book Antiqua"/>
          <w:color w:val="000000" w:themeColor="text1"/>
        </w:rPr>
      </w:pPr>
      <w:r w:rsidRPr="002E2F24">
        <w:rPr>
          <w:rFonts w:ascii="Book Antiqua" w:eastAsia="Book Antiqua" w:hAnsi="Book Antiqua" w:cs="Book Antiqua"/>
          <w:color w:val="000000" w:themeColor="text1"/>
        </w:rPr>
        <w:t xml:space="preserve">DKA is a medical emergency which is diagnosed with hyperglycemia (blood glucose &gt; 250 mg/dL), metabolic acidosis (arterial pH &lt; 7.3, serum bicarbonate &lt; 15 mEq/L), and ketonemia. However, between </w:t>
      </w:r>
      <w:r w:rsidRPr="002E2F24">
        <w:rPr>
          <w:rFonts w:ascii="Book Antiqua" w:eastAsia="Book Antiqua" w:hAnsi="Book Antiqua" w:cs="Book Antiqua"/>
          <w:color w:val="000000" w:themeColor="text1"/>
          <w:shd w:val="clear" w:color="auto" w:fill="FFFFFF"/>
        </w:rPr>
        <w:t>2.6% to 3.2% of DKA admissions may present with normal to near-normal blood glucose levels (blood glucose &lt; 250 mg/dL)</w:t>
      </w:r>
      <w:r w:rsidRPr="002E2F24">
        <w:rPr>
          <w:rFonts w:ascii="Book Antiqua" w:eastAsia="Book Antiqua" w:hAnsi="Book Antiqua" w:cs="Book Antiqua"/>
          <w:color w:val="000000" w:themeColor="text1"/>
          <w:shd w:val="clear" w:color="auto" w:fill="FFFFFF"/>
          <w:vertAlign w:val="superscript"/>
        </w:rPr>
        <w:t>[8,9]</w:t>
      </w:r>
      <w:r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rPr>
        <w:t xml:space="preserve">Even though the association of EDKA with SGLTi is well established, the cause for EDKA secondary to SGLT2i is not well recognized. Several mechanisms have been proposed, including independent action on pancreatic alpha cells, which increases plasma glucagon levels, stimulates hepatic ketogenesis, and reduces renal clearance of ketone bodies (especially </w:t>
      </w:r>
      <w:r w:rsidRPr="002E2F24">
        <w:rPr>
          <w:rFonts w:ascii="Book Antiqua" w:eastAsia="Book Antiqua" w:hAnsi="Book Antiqua" w:cs="Book Antiqua"/>
          <w:color w:val="000000" w:themeColor="text1"/>
          <w:shd w:val="clear" w:color="auto" w:fill="FFFFFF"/>
        </w:rPr>
        <w:t>beta-hydroxybutyrate and acetoacetate)</w:t>
      </w:r>
      <w:r w:rsidRPr="002E2F24">
        <w:rPr>
          <w:rFonts w:ascii="Book Antiqua" w:eastAsia="Book Antiqua" w:hAnsi="Book Antiqua" w:cs="Book Antiqua"/>
          <w:color w:val="000000" w:themeColor="text1"/>
          <w:shd w:val="clear" w:color="auto" w:fill="FFFFFF"/>
          <w:vertAlign w:val="superscript"/>
        </w:rPr>
        <w:t>[2,10]</w:t>
      </w:r>
      <w:r w:rsidRPr="002E2F24">
        <w:rPr>
          <w:rFonts w:ascii="Book Antiqua" w:eastAsia="Book Antiqua" w:hAnsi="Book Antiqua" w:cs="Book Antiqua"/>
          <w:color w:val="000000" w:themeColor="text1"/>
        </w:rPr>
        <w:t xml:space="preserve">. SGLT2i increase renal excretion and block glucose reabsorption from </w:t>
      </w:r>
      <w:r w:rsidRPr="002E2F24">
        <w:rPr>
          <w:rFonts w:ascii="Book Antiqua" w:eastAsia="Book Antiqua" w:hAnsi="Book Antiqua" w:cs="Book Antiqua"/>
          <w:color w:val="000000" w:themeColor="text1"/>
          <w:shd w:val="clear" w:color="auto" w:fill="FFFFFF"/>
        </w:rPr>
        <w:t>the proximal convoluted tubule, thereby</w:t>
      </w:r>
      <w:r w:rsidRPr="002E2F24">
        <w:rPr>
          <w:rFonts w:ascii="Book Antiqua" w:eastAsia="Book Antiqua" w:hAnsi="Book Antiqua" w:cs="Book Antiqua"/>
          <w:color w:val="000000" w:themeColor="text1"/>
        </w:rPr>
        <w:t xml:space="preserve"> reducing serum glucose levels</w:t>
      </w:r>
      <w:r w:rsidRPr="002E2F24">
        <w:rPr>
          <w:rFonts w:ascii="Book Antiqua" w:eastAsia="Book Antiqua" w:hAnsi="Book Antiqua" w:cs="Book Antiqua"/>
          <w:color w:val="000000" w:themeColor="text1"/>
          <w:vertAlign w:val="superscript"/>
        </w:rPr>
        <w:t>[11]</w:t>
      </w:r>
      <w:r w:rsidRPr="002E2F24">
        <w:rPr>
          <w:rFonts w:ascii="Book Antiqua" w:eastAsia="Book Antiqua" w:hAnsi="Book Antiqua" w:cs="Book Antiqua"/>
          <w:color w:val="000000" w:themeColor="text1"/>
        </w:rPr>
        <w:t xml:space="preserve">. The combined effect of these mechanisms </w:t>
      </w:r>
      <w:r w:rsidRPr="002E2F24">
        <w:rPr>
          <w:rFonts w:ascii="Book Antiqua" w:eastAsia="Book Antiqua" w:hAnsi="Book Antiqua" w:cs="Book Antiqua"/>
          <w:color w:val="000000" w:themeColor="text1"/>
        </w:rPr>
        <w:lastRenderedPageBreak/>
        <w:t xml:space="preserve">may lead to ketonemia and ketoacidosis without much </w:t>
      </w:r>
      <w:r w:rsidR="005F3056">
        <w:rPr>
          <w:rFonts w:ascii="Book Antiqua" w:eastAsia="Book Antiqua" w:hAnsi="Book Antiqua" w:cs="Book Antiqua"/>
          <w:color w:val="000000" w:themeColor="text1"/>
        </w:rPr>
        <w:t xml:space="preserve">of an </w:t>
      </w:r>
      <w:r w:rsidRPr="002E2F24">
        <w:rPr>
          <w:rFonts w:ascii="Book Antiqua" w:eastAsia="Book Antiqua" w:hAnsi="Book Antiqua" w:cs="Book Antiqua"/>
          <w:color w:val="000000" w:themeColor="text1"/>
        </w:rPr>
        <w:t>increase in serum glucose levels.</w:t>
      </w:r>
    </w:p>
    <w:p w14:paraId="60CC297B" w14:textId="2A73FE1E" w:rsidR="002D4E31" w:rsidRPr="002E2F24" w:rsidRDefault="002D4E31" w:rsidP="002D4E31">
      <w:pPr>
        <w:spacing w:line="360" w:lineRule="auto"/>
        <w:ind w:firstLine="480"/>
        <w:jc w:val="both"/>
        <w:rPr>
          <w:rFonts w:ascii="Book Antiqua" w:hAnsi="Book Antiqua"/>
          <w:color w:val="000000" w:themeColor="text1"/>
        </w:rPr>
      </w:pPr>
      <w:r w:rsidRPr="002E2F24">
        <w:rPr>
          <w:rFonts w:ascii="Book Antiqua" w:eastAsia="Book Antiqua" w:hAnsi="Book Antiqua" w:cs="Book Antiqua"/>
          <w:color w:val="000000" w:themeColor="text1"/>
        </w:rPr>
        <w:t>In the present meta-summary, most (88.2%) patients had type II diabetes. This could be explained by the fact that type II diabetes is much more common in adults accounting for almost 90% of cases</w:t>
      </w:r>
      <w:r w:rsidRPr="002E2F24">
        <w:rPr>
          <w:rFonts w:ascii="Book Antiqua" w:eastAsia="Book Antiqua" w:hAnsi="Book Antiqua" w:cs="Book Antiqua"/>
          <w:color w:val="000000" w:themeColor="text1"/>
          <w:vertAlign w:val="superscript"/>
        </w:rPr>
        <w:t>[12]</w:t>
      </w:r>
      <w:r w:rsidRPr="002E2F24">
        <w:rPr>
          <w:rFonts w:ascii="Book Antiqua" w:eastAsia="Book Antiqua" w:hAnsi="Book Antiqua" w:cs="Book Antiqua"/>
          <w:color w:val="000000" w:themeColor="text1"/>
        </w:rPr>
        <w:t>. SGLT2i are primarily recommended for treating type II diabetes</w:t>
      </w:r>
      <w:r w:rsidR="00873F32" w:rsidRPr="002E2F24">
        <w:rPr>
          <w:rFonts w:ascii="Book Antiqua" w:eastAsia="Book Antiqua" w:hAnsi="Book Antiqua" w:cs="Book Antiqua"/>
          <w:color w:val="000000" w:themeColor="text1"/>
        </w:rPr>
        <w:t>, but they increase the risk of developing DKA 7-fold in these patients</w:t>
      </w:r>
      <w:r w:rsidR="00873F32" w:rsidRPr="002E2F24">
        <w:rPr>
          <w:rFonts w:ascii="Book Antiqua" w:eastAsia="Book Antiqua" w:hAnsi="Book Antiqua" w:cs="Book Antiqua"/>
          <w:color w:val="000000" w:themeColor="text1"/>
          <w:vertAlign w:val="superscript"/>
        </w:rPr>
        <w:t>[13]</w:t>
      </w:r>
      <w:r w:rsidRPr="002E2F24">
        <w:rPr>
          <w:rFonts w:ascii="Book Antiqua" w:eastAsia="Book Antiqua" w:hAnsi="Book Antiqua" w:cs="Book Antiqua"/>
          <w:color w:val="000000" w:themeColor="text1"/>
        </w:rPr>
        <w:t xml:space="preserve">. </w:t>
      </w:r>
      <w:r w:rsidR="00873F32" w:rsidRPr="002E2F24">
        <w:rPr>
          <w:rFonts w:ascii="Book Antiqua" w:eastAsia="Book Antiqua" w:hAnsi="Book Antiqua" w:cs="Book Antiqua"/>
          <w:color w:val="000000" w:themeColor="text1"/>
        </w:rPr>
        <w:t>SGLT2i</w:t>
      </w:r>
      <w:r w:rsidRPr="002E2F24">
        <w:rPr>
          <w:rFonts w:ascii="Book Antiqua" w:eastAsia="Book Antiqua" w:hAnsi="Book Antiqua" w:cs="Book Antiqua"/>
          <w:color w:val="000000" w:themeColor="text1"/>
        </w:rPr>
        <w:t xml:space="preserve"> are now being prescribed for type I diabetes</w:t>
      </w:r>
      <w:r w:rsidR="00873F32" w:rsidRPr="002E2F24">
        <w:rPr>
          <w:rFonts w:ascii="Book Antiqua" w:eastAsia="Book Antiqua" w:hAnsi="Book Antiqua" w:cs="Book Antiqua"/>
          <w:color w:val="000000" w:themeColor="text1"/>
        </w:rPr>
        <w:t xml:space="preserve"> also</w:t>
      </w:r>
      <w:r w:rsidRPr="002E2F24">
        <w:rPr>
          <w:rFonts w:ascii="Book Antiqua" w:eastAsia="Book Antiqua" w:hAnsi="Book Antiqua" w:cs="Book Antiqua"/>
          <w:color w:val="000000" w:themeColor="text1"/>
        </w:rPr>
        <w:t>, especially in those who failed to achieve glycemic targets with insulin alone, because their use is associated with improved HbA1</w:t>
      </w:r>
      <w:r w:rsidR="005F3056">
        <w:rPr>
          <w:rFonts w:ascii="Book Antiqua" w:eastAsia="Book Antiqua" w:hAnsi="Book Antiqua" w:cs="Book Antiqua"/>
          <w:color w:val="000000" w:themeColor="text1"/>
        </w:rPr>
        <w:t>c</w:t>
      </w:r>
      <w:r w:rsidRPr="002E2F24">
        <w:rPr>
          <w:rFonts w:ascii="Book Antiqua" w:eastAsia="Book Antiqua" w:hAnsi="Book Antiqua" w:cs="Book Antiqua"/>
          <w:color w:val="000000" w:themeColor="text1"/>
        </w:rPr>
        <w:t xml:space="preserve"> levels, reduction in body weight and better blood pressure control in these patients</w:t>
      </w:r>
      <w:r w:rsidRPr="002E2F24">
        <w:rPr>
          <w:rFonts w:ascii="Book Antiqua" w:eastAsia="Book Antiqua" w:hAnsi="Book Antiqua" w:cs="Book Antiqua"/>
          <w:color w:val="000000" w:themeColor="text1"/>
          <w:vertAlign w:val="superscript"/>
        </w:rPr>
        <w:t>[14-16]</w:t>
      </w:r>
      <w:r w:rsidRPr="002E2F24">
        <w:rPr>
          <w:rFonts w:ascii="Book Antiqua" w:eastAsia="Book Antiqua" w:hAnsi="Book Antiqua" w:cs="Book Antiqua"/>
          <w:color w:val="000000" w:themeColor="text1"/>
        </w:rPr>
        <w:t>. However, b</w:t>
      </w:r>
      <w:r w:rsidRPr="002E2F24">
        <w:rPr>
          <w:rFonts w:ascii="Book Antiqua" w:eastAsia="Book Antiqua" w:hAnsi="Book Antiqua" w:cs="Book Antiqua"/>
          <w:color w:val="000000" w:themeColor="text1"/>
          <w:shd w:val="clear" w:color="auto" w:fill="FFFFFF"/>
        </w:rPr>
        <w:t xml:space="preserve">ecause of their increased potential to precipitate EDKA in TIDM, SGLT2i </w:t>
      </w:r>
      <w:r w:rsidR="005F3056">
        <w:rPr>
          <w:rFonts w:ascii="Book Antiqua" w:eastAsia="Book Antiqua" w:hAnsi="Book Antiqua" w:cs="Book Antiqua"/>
          <w:color w:val="000000" w:themeColor="text1"/>
          <w:shd w:val="clear" w:color="auto" w:fill="FFFFFF"/>
        </w:rPr>
        <w:t>are</w:t>
      </w:r>
      <w:r w:rsidRPr="002E2F24">
        <w:rPr>
          <w:rFonts w:ascii="Book Antiqua" w:eastAsia="Book Antiqua" w:hAnsi="Book Antiqua" w:cs="Book Antiqua"/>
          <w:color w:val="000000" w:themeColor="text1"/>
          <w:shd w:val="clear" w:color="auto" w:fill="FFFFFF"/>
        </w:rPr>
        <w:t xml:space="preserve"> generally discouraged in the</w:t>
      </w:r>
      <w:r w:rsidR="005F3056">
        <w:rPr>
          <w:rFonts w:ascii="Book Antiqua" w:eastAsia="Book Antiqua" w:hAnsi="Book Antiqua" w:cs="Book Antiqua"/>
          <w:color w:val="000000" w:themeColor="text1"/>
          <w:shd w:val="clear" w:color="auto" w:fill="FFFFFF"/>
        </w:rPr>
        <w:t>se patients</w:t>
      </w:r>
      <w:r w:rsidRPr="002E2F24">
        <w:rPr>
          <w:rFonts w:ascii="Book Antiqua" w:eastAsia="Book Antiqua" w:hAnsi="Book Antiqua" w:cs="Book Antiqua"/>
          <w:color w:val="000000" w:themeColor="text1"/>
          <w:shd w:val="clear" w:color="auto" w:fill="FFFFFF"/>
          <w:vertAlign w:val="superscript"/>
        </w:rPr>
        <w:t>[7,10,17]</w:t>
      </w:r>
      <w:r w:rsidRPr="002E2F24">
        <w:rPr>
          <w:rFonts w:ascii="Book Antiqua" w:eastAsia="Book Antiqua" w:hAnsi="Book Antiqua" w:cs="Book Antiqua"/>
          <w:color w:val="000000" w:themeColor="text1"/>
          <w:shd w:val="clear" w:color="auto" w:fill="FFFFFF"/>
        </w:rPr>
        <w:t>.</w:t>
      </w:r>
    </w:p>
    <w:p w14:paraId="13603DB6" w14:textId="265434E5" w:rsidR="002D4E31" w:rsidRPr="002E2F24" w:rsidRDefault="002D4E31" w:rsidP="002D4E31">
      <w:pPr>
        <w:spacing w:line="360" w:lineRule="auto"/>
        <w:ind w:firstLine="480"/>
        <w:jc w:val="both"/>
        <w:rPr>
          <w:rFonts w:ascii="Book Antiqua" w:hAnsi="Book Antiqua"/>
          <w:color w:val="000000" w:themeColor="text1"/>
        </w:rPr>
      </w:pPr>
      <w:r w:rsidRPr="002E2F24">
        <w:rPr>
          <w:rFonts w:ascii="Book Antiqua" w:eastAsia="Book Antiqua" w:hAnsi="Book Antiqua" w:cs="Book Antiqua"/>
          <w:color w:val="000000" w:themeColor="text1"/>
        </w:rPr>
        <w:t>A previous meta-summary analy</w:t>
      </w:r>
      <w:r w:rsidR="005F3056">
        <w:rPr>
          <w:rFonts w:ascii="Book Antiqua" w:eastAsia="Book Antiqua" w:hAnsi="Book Antiqua" w:cs="Book Antiqua"/>
          <w:color w:val="000000" w:themeColor="text1"/>
        </w:rPr>
        <w:t>z</w:t>
      </w:r>
      <w:r w:rsidRPr="002E2F24">
        <w:rPr>
          <w:rFonts w:ascii="Book Antiqua" w:eastAsia="Book Antiqua" w:hAnsi="Book Antiqua" w:cs="Book Antiqua"/>
          <w:color w:val="000000" w:themeColor="text1"/>
        </w:rPr>
        <w:t xml:space="preserve">ing data from 77 patients with EDKA associated with SGLT2i also reported a higher incidence among females (67.5%) but reported canagliflozin (44.2%) as the commonest SGLT2 inhibitor involved. However, as our meta-summary shows, empagliflozin (46.8%) was the most commonly implicated agent, followed by canagliflozin (29.6%). This could be explained by the fact that canagliflozin was the first SGLT2 inhibitor commercially available; hence it was more widely prescribed earlier. With changing prescription practices, newer SGLT2i are more widely prescribed, explaining </w:t>
      </w:r>
      <w:r w:rsidR="005F3056">
        <w:rPr>
          <w:rFonts w:ascii="Book Antiqua" w:eastAsia="Book Antiqua" w:hAnsi="Book Antiqua" w:cs="Book Antiqua"/>
          <w:color w:val="000000" w:themeColor="text1"/>
        </w:rPr>
        <w:t xml:space="preserve">the </w:t>
      </w:r>
      <w:r w:rsidRPr="002E2F24">
        <w:rPr>
          <w:rFonts w:ascii="Book Antiqua" w:eastAsia="Book Antiqua" w:hAnsi="Book Antiqua" w:cs="Book Antiqua"/>
          <w:color w:val="000000" w:themeColor="text1"/>
        </w:rPr>
        <w:t xml:space="preserve">increase in reporting of side effects. Other findings </w:t>
      </w:r>
      <w:r w:rsidR="005F3056">
        <w:rPr>
          <w:rFonts w:ascii="Book Antiqua" w:eastAsia="Book Antiqua" w:hAnsi="Book Antiqua" w:cs="Book Antiqua"/>
          <w:color w:val="000000" w:themeColor="text1"/>
        </w:rPr>
        <w:t>in</w:t>
      </w:r>
      <w:r w:rsidRPr="002E2F24">
        <w:rPr>
          <w:rFonts w:ascii="Book Antiqua" w:eastAsia="Book Antiqua" w:hAnsi="Book Antiqua" w:cs="Book Antiqua"/>
          <w:color w:val="000000" w:themeColor="text1"/>
        </w:rPr>
        <w:t xml:space="preserve"> the previous meta-summary were similar to our findings, including the age </w:t>
      </w:r>
      <w:r w:rsidR="005F3056">
        <w:rPr>
          <w:rFonts w:ascii="Book Antiqua" w:eastAsia="Book Antiqua" w:hAnsi="Book Antiqua" w:cs="Book Antiqua"/>
          <w:color w:val="000000" w:themeColor="text1"/>
        </w:rPr>
        <w:t>at</w:t>
      </w:r>
      <w:r w:rsidRPr="002E2F24">
        <w:rPr>
          <w:rFonts w:ascii="Book Antiqua" w:eastAsia="Book Antiqua" w:hAnsi="Book Antiqua" w:cs="Book Antiqua"/>
          <w:color w:val="000000" w:themeColor="text1"/>
        </w:rPr>
        <w:t xml:space="preserve"> presentation (51.3 years), presenting symptoms and preponderance of type II diabetics (83.1%)</w:t>
      </w:r>
      <w:r w:rsidRPr="002E2F24">
        <w:rPr>
          <w:rFonts w:ascii="Book Antiqua" w:eastAsia="Book Antiqua" w:hAnsi="Book Antiqua" w:cs="Book Antiqua"/>
          <w:color w:val="000000" w:themeColor="text1"/>
          <w:vertAlign w:val="superscript"/>
        </w:rPr>
        <w:t>[18]</w:t>
      </w:r>
      <w:r w:rsidRPr="002E2F24">
        <w:rPr>
          <w:rFonts w:ascii="Book Antiqua" w:eastAsia="Book Antiqua" w:hAnsi="Book Antiqua" w:cs="Book Antiqua"/>
          <w:color w:val="000000" w:themeColor="text1"/>
        </w:rPr>
        <w:t>. The risk of developing EDKA is unrelated to the duration of exposure</w:t>
      </w:r>
      <w:r w:rsidRPr="002E2F24">
        <w:rPr>
          <w:rFonts w:ascii="Book Antiqua" w:eastAsia="Book Antiqua" w:hAnsi="Book Antiqua" w:cs="Book Antiqua"/>
          <w:color w:val="000000" w:themeColor="text1"/>
          <w:vertAlign w:val="superscript"/>
        </w:rPr>
        <w:t>[</w:t>
      </w:r>
      <w:r w:rsidR="00873F32" w:rsidRPr="002E2F24">
        <w:rPr>
          <w:rFonts w:ascii="Book Antiqua" w:eastAsia="Book Antiqua" w:hAnsi="Book Antiqua" w:cs="Book Antiqua"/>
          <w:color w:val="000000" w:themeColor="text1"/>
          <w:vertAlign w:val="superscript"/>
        </w:rPr>
        <w:t>13,</w:t>
      </w:r>
      <w:r w:rsidRPr="002E2F24">
        <w:rPr>
          <w:rFonts w:ascii="Book Antiqua" w:eastAsia="Book Antiqua" w:hAnsi="Book Antiqua" w:cs="Book Antiqua"/>
          <w:color w:val="000000" w:themeColor="text1"/>
          <w:vertAlign w:val="superscript"/>
        </w:rPr>
        <w:t>18,19]</w:t>
      </w:r>
      <w:r w:rsidRPr="002E2F24">
        <w:rPr>
          <w:rFonts w:ascii="Book Antiqua" w:eastAsia="Book Antiqua" w:hAnsi="Book Antiqua" w:cs="Book Antiqua"/>
          <w:color w:val="000000" w:themeColor="text1"/>
        </w:rPr>
        <w:t>. In the present study, the median duration of therapy with SGLT2i before the patients developed EDKA was 30 d, but patients developed EDKA even after one day or one dose of therapy</w:t>
      </w:r>
      <w:r w:rsidRPr="002E2F24">
        <w:rPr>
          <w:rFonts w:ascii="Book Antiqua" w:eastAsia="Book Antiqua" w:hAnsi="Book Antiqua" w:cs="Book Antiqua"/>
          <w:color w:val="000000" w:themeColor="text1"/>
          <w:vertAlign w:val="superscript"/>
        </w:rPr>
        <w:t>[20,21]</w:t>
      </w:r>
      <w:r w:rsidRPr="002E2F24">
        <w:rPr>
          <w:rFonts w:ascii="Book Antiqua" w:eastAsia="Book Antiqua" w:hAnsi="Book Antiqua" w:cs="Book Antiqua"/>
          <w:color w:val="000000" w:themeColor="text1"/>
        </w:rPr>
        <w:t>.</w:t>
      </w:r>
    </w:p>
    <w:p w14:paraId="6E2C236A" w14:textId="77777777" w:rsidR="002D4E31" w:rsidRPr="002E2F24" w:rsidRDefault="002D4E31" w:rsidP="002D4E31">
      <w:pPr>
        <w:spacing w:line="360" w:lineRule="auto"/>
        <w:ind w:firstLine="480"/>
        <w:jc w:val="both"/>
        <w:rPr>
          <w:rFonts w:ascii="Book Antiqua" w:hAnsi="Book Antiqua"/>
          <w:color w:val="000000" w:themeColor="text1"/>
        </w:rPr>
      </w:pPr>
      <w:r w:rsidRPr="002E2F24">
        <w:rPr>
          <w:rFonts w:ascii="Book Antiqua" w:eastAsia="Book Antiqua" w:hAnsi="Book Antiqua" w:cs="Book Antiqua"/>
          <w:color w:val="000000" w:themeColor="text1"/>
        </w:rPr>
        <w:t>The symptoms of EDKA are often non-specific and missed or ignored by patients and even their physicians due to misleadingly normal or near-normal blood glucose levels. This may lead them to maintain or reduce their insulin dose, further exacerbating ketosis and metabolic acidosis.</w:t>
      </w:r>
    </w:p>
    <w:p w14:paraId="2E579178" w14:textId="3F22C6EA" w:rsidR="002D4E31" w:rsidRPr="002E2F24" w:rsidRDefault="002D4E31" w:rsidP="002D4E31">
      <w:pPr>
        <w:spacing w:line="360" w:lineRule="auto"/>
        <w:ind w:firstLine="480"/>
        <w:jc w:val="both"/>
        <w:rPr>
          <w:rFonts w:ascii="Book Antiqua" w:hAnsi="Book Antiqua"/>
          <w:color w:val="000000" w:themeColor="text1"/>
        </w:rPr>
      </w:pPr>
      <w:r w:rsidRPr="002E2F24">
        <w:rPr>
          <w:rFonts w:ascii="Book Antiqua" w:eastAsia="Book Antiqua" w:hAnsi="Book Antiqua" w:cs="Book Antiqua"/>
          <w:color w:val="000000" w:themeColor="text1"/>
        </w:rPr>
        <w:lastRenderedPageBreak/>
        <w:t xml:space="preserve">Testing for urinary ketone bodies remains a standard test for </w:t>
      </w:r>
      <w:r w:rsidR="005F3056">
        <w:rPr>
          <w:rFonts w:ascii="Book Antiqua" w:eastAsia="Book Antiqua" w:hAnsi="Book Antiqua" w:cs="Book Antiqua"/>
          <w:color w:val="000000" w:themeColor="text1"/>
        </w:rPr>
        <w:t xml:space="preserve">the </w:t>
      </w:r>
      <w:r w:rsidRPr="002E2F24">
        <w:rPr>
          <w:rFonts w:ascii="Book Antiqua" w:eastAsia="Book Antiqua" w:hAnsi="Book Antiqua" w:cs="Book Antiqua"/>
          <w:color w:val="000000" w:themeColor="text1"/>
        </w:rPr>
        <w:t>diagnosis of DKA. However, urine screening of ketones by nitroprusside agent</w:t>
      </w:r>
      <w:r w:rsidR="005F3056">
        <w:rPr>
          <w:rFonts w:ascii="Book Antiqua" w:eastAsia="Book Antiqua" w:hAnsi="Book Antiqua" w:cs="Book Antiqua"/>
          <w:color w:val="000000" w:themeColor="text1"/>
        </w:rPr>
        <w:t>s</w:t>
      </w:r>
      <w:r w:rsidRPr="002E2F24">
        <w:rPr>
          <w:rFonts w:ascii="Book Antiqua" w:eastAsia="Book Antiqua" w:hAnsi="Book Antiqua" w:cs="Book Antiqua"/>
          <w:color w:val="000000" w:themeColor="text1"/>
        </w:rPr>
        <w:t xml:space="preserve"> only measures acetone and acetoacetate and does not detect beta-hydroxybutyrate, resulting in missing ketonuria. Hence, testing for blood ketones (b-hydroxybutyrate) is generally recommended</w:t>
      </w:r>
      <w:r w:rsidRPr="002E2F24">
        <w:rPr>
          <w:rFonts w:ascii="Book Antiqua" w:eastAsia="Book Antiqua" w:hAnsi="Book Antiqua" w:cs="Book Antiqua"/>
          <w:color w:val="000000" w:themeColor="text1"/>
          <w:vertAlign w:val="superscript"/>
        </w:rPr>
        <w:t>[7]</w:t>
      </w:r>
      <w:r w:rsidRPr="002E2F24">
        <w:rPr>
          <w:rFonts w:ascii="Book Antiqua" w:eastAsia="Book Antiqua" w:hAnsi="Book Antiqua" w:cs="Book Antiqua"/>
          <w:color w:val="000000" w:themeColor="text1"/>
        </w:rPr>
        <w:t xml:space="preserve">. However, urinary ketones remained a standard test in the present meta-summary and </w:t>
      </w:r>
      <w:r w:rsidR="006A0260" w:rsidRPr="002E2F24">
        <w:rPr>
          <w:rFonts w:ascii="Book Antiqua" w:eastAsia="Book Antiqua" w:hAnsi="Book Antiqua" w:cs="Book Antiqua"/>
          <w:color w:val="000000" w:themeColor="text1"/>
        </w:rPr>
        <w:t xml:space="preserve">was </w:t>
      </w:r>
      <w:r w:rsidRPr="002E2F24">
        <w:rPr>
          <w:rFonts w:ascii="Book Antiqua" w:eastAsia="Book Antiqua" w:hAnsi="Book Antiqua" w:cs="Book Antiqua"/>
          <w:color w:val="000000" w:themeColor="text1"/>
        </w:rPr>
        <w:t>solely relied upon in 36.7% of cases.</w:t>
      </w:r>
    </w:p>
    <w:p w14:paraId="70747B16" w14:textId="077DEF6A" w:rsidR="002D4E31" w:rsidRPr="002E2F24" w:rsidRDefault="002D4E31" w:rsidP="002D4E31">
      <w:pPr>
        <w:spacing w:line="360" w:lineRule="auto"/>
        <w:ind w:firstLine="480"/>
        <w:jc w:val="both"/>
        <w:rPr>
          <w:rFonts w:ascii="Book Antiqua" w:hAnsi="Book Antiqua"/>
          <w:color w:val="000000" w:themeColor="text1"/>
        </w:rPr>
      </w:pPr>
      <w:r w:rsidRPr="002E2F24">
        <w:rPr>
          <w:rFonts w:ascii="Book Antiqua" w:eastAsia="Book Antiqua" w:hAnsi="Book Antiqua" w:cs="Book Antiqua"/>
          <w:color w:val="000000" w:themeColor="text1"/>
        </w:rPr>
        <w:t>Identifying precipitating factors can have significant clinical implications in preventing and managing EDKA. In the present study, acute infection and perioperative stress were found to be common triggering factors. Any major illness, trauma or surgery may result in a stress response associated with an increased release of catecholamines, heightened production of cortisol and reduced secretion and utili</w:t>
      </w:r>
      <w:r w:rsidR="005F3056">
        <w:rPr>
          <w:rFonts w:ascii="Book Antiqua" w:eastAsia="Book Antiqua" w:hAnsi="Book Antiqua" w:cs="Book Antiqua"/>
          <w:color w:val="000000" w:themeColor="text1"/>
        </w:rPr>
        <w:t>z</w:t>
      </w:r>
      <w:r w:rsidRPr="002E2F24">
        <w:rPr>
          <w:rFonts w:ascii="Book Antiqua" w:eastAsia="Book Antiqua" w:hAnsi="Book Antiqua" w:cs="Book Antiqua"/>
          <w:color w:val="000000" w:themeColor="text1"/>
        </w:rPr>
        <w:t>ation of insulin</w:t>
      </w:r>
      <w:r w:rsidRPr="002E2F24">
        <w:rPr>
          <w:rFonts w:ascii="Book Antiqua" w:eastAsia="Book Antiqua" w:hAnsi="Book Antiqua" w:cs="Book Antiqua"/>
          <w:color w:val="000000" w:themeColor="text1"/>
          <w:vertAlign w:val="superscript"/>
        </w:rPr>
        <w:t>[22]</w:t>
      </w:r>
      <w:r w:rsidRPr="002E2F24">
        <w:rPr>
          <w:rFonts w:ascii="Book Antiqua" w:eastAsia="Book Antiqua" w:hAnsi="Book Antiqua" w:cs="Book Antiqua"/>
          <w:color w:val="000000" w:themeColor="text1"/>
        </w:rPr>
        <w:t>. If patients continue their SGLT2i, reduced plasma glucose levels may mask the precise insulin requirements, increasing the risk of developing DKA.</w:t>
      </w:r>
    </w:p>
    <w:p w14:paraId="3FA2FAAC" w14:textId="05566E28" w:rsidR="002D4E31" w:rsidRPr="002E2F24" w:rsidRDefault="002D4E31" w:rsidP="002D4E31">
      <w:pPr>
        <w:spacing w:line="360" w:lineRule="auto"/>
        <w:ind w:firstLine="480"/>
        <w:jc w:val="both"/>
        <w:rPr>
          <w:rFonts w:ascii="Book Antiqua" w:hAnsi="Book Antiqua"/>
          <w:color w:val="000000" w:themeColor="text1"/>
        </w:rPr>
      </w:pPr>
      <w:r w:rsidRPr="002E2F24">
        <w:rPr>
          <w:rFonts w:ascii="Book Antiqua" w:eastAsia="Book Antiqua" w:hAnsi="Book Antiqua" w:cs="Book Antiqua"/>
          <w:color w:val="000000" w:themeColor="text1"/>
        </w:rPr>
        <w:t>As major surgery is an important factor that may precipitate EDKA, taking due precautions before surgery is imperative. Even the current recommendation by FDA and International Consensus Review on SGLT2i is to stop these drugs three days before surgery</w:t>
      </w:r>
      <w:r w:rsidRPr="002E2F24">
        <w:rPr>
          <w:rFonts w:ascii="Book Antiqua" w:eastAsia="Book Antiqua" w:hAnsi="Book Antiqua" w:cs="Book Antiqua"/>
          <w:color w:val="000000" w:themeColor="text1"/>
          <w:vertAlign w:val="superscript"/>
        </w:rPr>
        <w:t>[23,24]</w:t>
      </w:r>
      <w:r w:rsidRPr="002E2F24">
        <w:rPr>
          <w:rFonts w:ascii="Book Antiqua" w:eastAsia="Book Antiqua" w:hAnsi="Book Antiqua" w:cs="Book Antiqua"/>
          <w:color w:val="000000" w:themeColor="text1"/>
        </w:rPr>
        <w:t xml:space="preserve">. As these drugs are primarily excreted through the kidneys, it may be prudent to stop them even earlier in patients with renal </w:t>
      </w:r>
      <w:r w:rsidR="005F3056">
        <w:rPr>
          <w:rFonts w:ascii="Book Antiqua" w:eastAsia="Book Antiqua" w:hAnsi="Book Antiqua" w:cs="Book Antiqua"/>
          <w:color w:val="000000" w:themeColor="text1"/>
        </w:rPr>
        <w:t>dys</w:t>
      </w:r>
      <w:r w:rsidRPr="002E2F24">
        <w:rPr>
          <w:rFonts w:ascii="Book Antiqua" w:eastAsia="Book Antiqua" w:hAnsi="Book Antiqua" w:cs="Book Antiqua"/>
          <w:color w:val="000000" w:themeColor="text1"/>
        </w:rPr>
        <w:t>function</w:t>
      </w:r>
      <w:r w:rsidRPr="002E2F24">
        <w:rPr>
          <w:rFonts w:ascii="Book Antiqua" w:eastAsia="Book Antiqua" w:hAnsi="Book Antiqua" w:cs="Book Antiqua"/>
          <w:color w:val="000000" w:themeColor="text1"/>
          <w:vertAlign w:val="superscript"/>
        </w:rPr>
        <w:t>[25]</w:t>
      </w:r>
      <w:r w:rsidRPr="002E2F24">
        <w:rPr>
          <w:rFonts w:ascii="Book Antiqua" w:eastAsia="Book Antiqua" w:hAnsi="Book Antiqua" w:cs="Book Antiqua"/>
          <w:color w:val="000000" w:themeColor="text1"/>
        </w:rPr>
        <w:t>.</w:t>
      </w:r>
    </w:p>
    <w:p w14:paraId="6A775FBD" w14:textId="2E27C684" w:rsidR="002D4E31" w:rsidRPr="002E2F24" w:rsidRDefault="002D4E31" w:rsidP="002D4E31">
      <w:pPr>
        <w:spacing w:line="360" w:lineRule="auto"/>
        <w:ind w:firstLine="480"/>
        <w:jc w:val="both"/>
        <w:rPr>
          <w:rFonts w:ascii="Book Antiqua" w:hAnsi="Book Antiqua"/>
          <w:color w:val="000000" w:themeColor="text1"/>
        </w:rPr>
      </w:pPr>
      <w:r w:rsidRPr="002E2F24">
        <w:rPr>
          <w:rFonts w:ascii="Book Antiqua" w:eastAsia="Book Antiqua" w:hAnsi="Book Antiqua" w:cs="Book Antiqua"/>
          <w:color w:val="000000" w:themeColor="text1"/>
          <w:shd w:val="clear" w:color="auto" w:fill="FFFFFF"/>
        </w:rPr>
        <w:t>Other common factors which may predispose patients to develop EDKA include prolonged fasting, low carbohydrate or ketogenic diet, excessive alcohol intake, dehydration and reduction in insulin dosage</w:t>
      </w:r>
      <w:r w:rsidRPr="002E2F24">
        <w:rPr>
          <w:rFonts w:ascii="Book Antiqua" w:eastAsia="Book Antiqua" w:hAnsi="Book Antiqua" w:cs="Book Antiqua"/>
          <w:color w:val="000000" w:themeColor="text1"/>
          <w:shd w:val="clear" w:color="auto" w:fill="FFFFFF"/>
          <w:vertAlign w:val="superscript"/>
        </w:rPr>
        <w:t>[18,19,26]</w:t>
      </w:r>
      <w:r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rPr>
        <w:t xml:space="preserve">High protein and low carbohydrate diets may increase serum glucagon and reduce serum insulin levels. </w:t>
      </w:r>
      <w:r w:rsidR="00B055A1">
        <w:rPr>
          <w:rFonts w:ascii="Book Antiqua" w:eastAsia="Book Antiqua" w:hAnsi="Book Antiqua" w:cs="Book Antiqua"/>
          <w:color w:val="000000" w:themeColor="text1"/>
        </w:rPr>
        <w:t>They</w:t>
      </w:r>
      <w:r w:rsidRPr="002E2F24">
        <w:rPr>
          <w:rFonts w:ascii="Book Antiqua" w:eastAsia="Book Antiqua" w:hAnsi="Book Antiqua" w:cs="Book Antiqua"/>
          <w:color w:val="000000" w:themeColor="text1"/>
        </w:rPr>
        <w:t xml:space="preserve"> may also cause an increase in counterregulatory hormones (epinephrine and cortisol), leading to increased free fatty acids and increased production of ketone bodies. As the reduction in insulin dosage may also precipitate DKA, stopping or drastically reducing the dose abruptly is not recommended. Moreover, the stress response </w:t>
      </w:r>
      <w:r w:rsidR="00B055A1">
        <w:rPr>
          <w:rFonts w:ascii="Book Antiqua" w:eastAsia="Book Antiqua" w:hAnsi="Book Antiqua" w:cs="Book Antiqua"/>
          <w:color w:val="000000" w:themeColor="text1"/>
        </w:rPr>
        <w:t>due to</w:t>
      </w:r>
      <w:r w:rsidRPr="002E2F24">
        <w:rPr>
          <w:rFonts w:ascii="Book Antiqua" w:eastAsia="Book Antiqua" w:hAnsi="Book Antiqua" w:cs="Book Antiqua"/>
          <w:color w:val="000000" w:themeColor="text1"/>
        </w:rPr>
        <w:t xml:space="preserve"> a systemic illness or major surgery is a common trigger; hence, timely discontinuation of SGLT</w:t>
      </w:r>
      <w:r w:rsidR="00E76847" w:rsidRPr="002E2F24">
        <w:rPr>
          <w:rFonts w:ascii="Book Antiqua" w:eastAsia="Book Antiqua" w:hAnsi="Book Antiqua" w:cs="Book Antiqua"/>
          <w:color w:val="000000" w:themeColor="text1"/>
        </w:rPr>
        <w:t>2</w:t>
      </w:r>
      <w:r w:rsidRPr="002E2F24">
        <w:rPr>
          <w:rFonts w:ascii="Book Antiqua" w:eastAsia="Book Antiqua" w:hAnsi="Book Antiqua" w:cs="Book Antiqua"/>
          <w:color w:val="000000" w:themeColor="text1"/>
        </w:rPr>
        <w:t xml:space="preserve">i should be considered in acute stressful conditions </w:t>
      </w:r>
      <w:r w:rsidR="00B055A1">
        <w:rPr>
          <w:rFonts w:ascii="Book Antiqua" w:eastAsia="Book Antiqua" w:hAnsi="Book Antiqua" w:cs="Book Antiqua"/>
          <w:color w:val="000000" w:themeColor="text1"/>
        </w:rPr>
        <w:t>such as</w:t>
      </w:r>
      <w:r w:rsidRPr="002E2F24">
        <w:rPr>
          <w:rFonts w:ascii="Book Antiqua" w:eastAsia="Book Antiqua" w:hAnsi="Book Antiqua" w:cs="Book Antiqua"/>
          <w:color w:val="000000" w:themeColor="text1"/>
        </w:rPr>
        <w:t xml:space="preserve"> a major illness or post-operatively</w:t>
      </w:r>
      <w:r w:rsidRPr="002E2F24">
        <w:rPr>
          <w:rFonts w:ascii="Book Antiqua" w:eastAsia="Book Antiqua" w:hAnsi="Book Antiqua" w:cs="Book Antiqua"/>
          <w:color w:val="000000" w:themeColor="text1"/>
          <w:vertAlign w:val="superscript"/>
        </w:rPr>
        <w:t>[</w:t>
      </w:r>
      <w:r w:rsidR="00873F32" w:rsidRPr="002E2F24">
        <w:rPr>
          <w:rFonts w:ascii="Book Antiqua" w:eastAsia="Book Antiqua" w:hAnsi="Book Antiqua" w:cs="Book Antiqua"/>
          <w:color w:val="000000" w:themeColor="text1"/>
          <w:vertAlign w:val="superscript"/>
        </w:rPr>
        <w:t>23</w:t>
      </w:r>
      <w:r w:rsidRPr="002E2F24">
        <w:rPr>
          <w:rFonts w:ascii="Book Antiqua" w:eastAsia="Book Antiqua" w:hAnsi="Book Antiqua" w:cs="Book Antiqua"/>
          <w:color w:val="000000" w:themeColor="text1"/>
          <w:vertAlign w:val="superscript"/>
        </w:rPr>
        <w:t>]</w:t>
      </w:r>
      <w:r w:rsidRPr="002E2F24">
        <w:rPr>
          <w:rFonts w:ascii="Book Antiqua" w:eastAsia="Book Antiqua" w:hAnsi="Book Antiqua" w:cs="Book Antiqua"/>
          <w:color w:val="000000" w:themeColor="text1"/>
        </w:rPr>
        <w:t>. Patient education and pre-operative discontinuation of SGLT</w:t>
      </w:r>
      <w:r w:rsidR="00E76847" w:rsidRPr="002E2F24">
        <w:rPr>
          <w:rFonts w:ascii="Book Antiqua" w:eastAsia="Book Antiqua" w:hAnsi="Book Antiqua" w:cs="Book Antiqua"/>
          <w:color w:val="000000" w:themeColor="text1"/>
        </w:rPr>
        <w:t>2</w:t>
      </w:r>
      <w:r w:rsidRPr="002E2F24">
        <w:rPr>
          <w:rFonts w:ascii="Book Antiqua" w:eastAsia="Book Antiqua" w:hAnsi="Book Antiqua" w:cs="Book Antiqua"/>
          <w:color w:val="000000" w:themeColor="text1"/>
        </w:rPr>
        <w:t xml:space="preserve">i and switching to insulin </w:t>
      </w:r>
      <w:r w:rsidRPr="002E2F24">
        <w:rPr>
          <w:rFonts w:ascii="Book Antiqua" w:eastAsia="Book Antiqua" w:hAnsi="Book Antiqua" w:cs="Book Antiqua"/>
          <w:color w:val="000000" w:themeColor="text1"/>
        </w:rPr>
        <w:lastRenderedPageBreak/>
        <w:t>may aid in curtailing the risk of EDKA. Further</w:t>
      </w:r>
      <w:r w:rsidR="00B055A1">
        <w:rPr>
          <w:rFonts w:ascii="Book Antiqua" w:eastAsia="Book Antiqua" w:hAnsi="Book Antiqua" w:cs="Book Antiqua"/>
          <w:color w:val="000000" w:themeColor="text1"/>
        </w:rPr>
        <w:t>more</w:t>
      </w:r>
      <w:r w:rsidRPr="002E2F24">
        <w:rPr>
          <w:rFonts w:ascii="Book Antiqua" w:eastAsia="Book Antiqua" w:hAnsi="Book Antiqua" w:cs="Book Antiqua"/>
          <w:color w:val="000000" w:themeColor="text1"/>
        </w:rPr>
        <w:t>, the European Medicines Agency suggests stopping SGLT2i immediately if symptoms or signs of DKA are suspected and not starting them until EDKA is excluded and an apparent precipitating factor has been identified and resolved</w:t>
      </w:r>
      <w:r w:rsidRPr="002E2F24">
        <w:rPr>
          <w:rFonts w:ascii="Book Antiqua" w:eastAsia="Book Antiqua" w:hAnsi="Book Antiqua" w:cs="Book Antiqua"/>
          <w:color w:val="000000" w:themeColor="text1"/>
          <w:vertAlign w:val="superscript"/>
        </w:rPr>
        <w:t>[</w:t>
      </w:r>
      <w:r w:rsidR="00873F32" w:rsidRPr="002E2F24">
        <w:rPr>
          <w:rFonts w:ascii="Book Antiqua" w:eastAsia="Book Antiqua" w:hAnsi="Book Antiqua" w:cs="Book Antiqua"/>
          <w:color w:val="000000" w:themeColor="text1"/>
          <w:vertAlign w:val="superscript"/>
        </w:rPr>
        <w:t>27</w:t>
      </w:r>
      <w:r w:rsidRPr="002E2F24">
        <w:rPr>
          <w:rFonts w:ascii="Book Antiqua" w:eastAsia="Book Antiqua" w:hAnsi="Book Antiqua" w:cs="Book Antiqua"/>
          <w:color w:val="000000" w:themeColor="text1"/>
          <w:vertAlign w:val="superscript"/>
        </w:rPr>
        <w:t>]</w:t>
      </w:r>
      <w:r w:rsidRPr="002E2F24">
        <w:rPr>
          <w:rFonts w:ascii="Book Antiqua" w:eastAsia="Book Antiqua" w:hAnsi="Book Antiqua" w:cs="Book Antiqua"/>
          <w:color w:val="000000" w:themeColor="text1"/>
        </w:rPr>
        <w:t>.</w:t>
      </w:r>
    </w:p>
    <w:p w14:paraId="00A0CBE7" w14:textId="77777777" w:rsidR="002D4E31" w:rsidRPr="002E2F24" w:rsidRDefault="002D4E31" w:rsidP="002D4E31">
      <w:pPr>
        <w:spacing w:line="360" w:lineRule="auto"/>
        <w:jc w:val="both"/>
        <w:rPr>
          <w:rFonts w:ascii="Book Antiqua" w:hAnsi="Book Antiqua" w:cs="Book Antiqua"/>
          <w:b/>
          <w:bCs/>
          <w:i/>
          <w:iCs/>
          <w:color w:val="000000" w:themeColor="text1"/>
          <w:shd w:val="clear" w:color="auto" w:fill="FFFFFF"/>
          <w:lang w:eastAsia="zh-CN"/>
        </w:rPr>
      </w:pPr>
    </w:p>
    <w:p w14:paraId="33BB0229" w14:textId="77777777" w:rsidR="002D4E31" w:rsidRPr="002E2F24" w:rsidRDefault="002D4E31" w:rsidP="002D4E31">
      <w:pPr>
        <w:spacing w:line="360" w:lineRule="auto"/>
        <w:jc w:val="both"/>
        <w:rPr>
          <w:rFonts w:ascii="Book Antiqua" w:hAnsi="Book Antiqua"/>
          <w:color w:val="000000" w:themeColor="text1"/>
        </w:rPr>
      </w:pPr>
      <w:r w:rsidRPr="002E2F24">
        <w:rPr>
          <w:rFonts w:ascii="Book Antiqua" w:eastAsia="Book Antiqua" w:hAnsi="Book Antiqua" w:cs="Book Antiqua"/>
          <w:b/>
          <w:bCs/>
          <w:i/>
          <w:iCs/>
          <w:color w:val="000000" w:themeColor="text1"/>
          <w:shd w:val="clear" w:color="auto" w:fill="FFFFFF"/>
        </w:rPr>
        <w:t>Strength and limitations</w:t>
      </w:r>
    </w:p>
    <w:p w14:paraId="284E9CF0" w14:textId="46F774E5" w:rsidR="002D4E31" w:rsidRPr="002E2F24" w:rsidRDefault="002D4E31" w:rsidP="002D4E31">
      <w:pPr>
        <w:spacing w:line="360" w:lineRule="auto"/>
        <w:jc w:val="both"/>
        <w:rPr>
          <w:rFonts w:ascii="Book Antiqua" w:hAnsi="Book Antiqua"/>
          <w:color w:val="000000" w:themeColor="text1"/>
        </w:rPr>
      </w:pPr>
      <w:r w:rsidRPr="002E2F24">
        <w:rPr>
          <w:rFonts w:ascii="Book Antiqua" w:eastAsia="Book Antiqua" w:hAnsi="Book Antiqua" w:cs="Book Antiqua"/>
          <w:color w:val="000000" w:themeColor="text1"/>
        </w:rPr>
        <w:t xml:space="preserve">The present meta-analysis compiled 125 global studies involving 169 unique patients who had developed EDKA secondary to </w:t>
      </w:r>
      <w:r w:rsidR="00B055A1">
        <w:rPr>
          <w:rFonts w:ascii="Book Antiqua" w:eastAsia="Book Antiqua" w:hAnsi="Book Antiqua" w:cs="Book Antiqua"/>
          <w:color w:val="000000" w:themeColor="text1"/>
        </w:rPr>
        <w:t xml:space="preserve">the use of </w:t>
      </w:r>
      <w:r w:rsidRPr="002E2F24">
        <w:rPr>
          <w:rFonts w:ascii="Book Antiqua" w:eastAsia="Book Antiqua" w:hAnsi="Book Antiqua" w:cs="Book Antiqua"/>
          <w:color w:val="000000" w:themeColor="text1"/>
        </w:rPr>
        <w:t>SGLT</w:t>
      </w:r>
      <w:r w:rsidR="00E76847" w:rsidRPr="002E2F24">
        <w:rPr>
          <w:rFonts w:ascii="Book Antiqua" w:eastAsia="Book Antiqua" w:hAnsi="Book Antiqua" w:cs="Book Antiqua"/>
          <w:color w:val="000000" w:themeColor="text1"/>
        </w:rPr>
        <w:t>2</w:t>
      </w:r>
      <w:r w:rsidRPr="002E2F24">
        <w:rPr>
          <w:rFonts w:ascii="Book Antiqua" w:eastAsia="Book Antiqua" w:hAnsi="Book Antiqua" w:cs="Book Antiqua"/>
          <w:color w:val="000000" w:themeColor="text1"/>
        </w:rPr>
        <w:t>i. Additionally, we included only those studies which had individual patient details to compare patient demographics, precipitating factors and clinical outcomes. This is the largest such analysis, which adds strength to this review. However, the included studies were only case reports and case series which had no control arm. The studies were heterogeneous, and had a high risk of bias and missing data, which may affect the generalizability of the results. Additionally, because we did not include the c</w:t>
      </w:r>
      <w:r w:rsidRPr="002E2F24">
        <w:rPr>
          <w:rFonts w:ascii="Book Antiqua" w:eastAsia="Book Antiqua" w:hAnsi="Book Antiqua" w:cs="Book Antiqua"/>
          <w:color w:val="000000" w:themeColor="text1"/>
          <w:shd w:val="clear" w:color="auto" w:fill="FFFFFF"/>
        </w:rPr>
        <w:t>ase reports or series which did not report individual biochemical data, we may have missed some relevant reports.</w:t>
      </w:r>
    </w:p>
    <w:p w14:paraId="6AE77173" w14:textId="77777777" w:rsidR="002D4E31" w:rsidRPr="002E2F24" w:rsidRDefault="002D4E31" w:rsidP="002D4E31">
      <w:pPr>
        <w:spacing w:line="360" w:lineRule="auto"/>
        <w:ind w:firstLine="480"/>
        <w:jc w:val="both"/>
        <w:rPr>
          <w:rFonts w:ascii="Book Antiqua" w:hAnsi="Book Antiqua"/>
          <w:color w:val="000000" w:themeColor="text1"/>
        </w:rPr>
      </w:pPr>
    </w:p>
    <w:p w14:paraId="4BF82B32" w14:textId="77777777" w:rsidR="002D4E31" w:rsidRPr="002E2F24" w:rsidRDefault="002D4E31" w:rsidP="002D4E31">
      <w:pPr>
        <w:spacing w:line="360" w:lineRule="auto"/>
        <w:jc w:val="both"/>
        <w:rPr>
          <w:rFonts w:ascii="Book Antiqua" w:hAnsi="Book Antiqua"/>
          <w:color w:val="000000" w:themeColor="text1"/>
        </w:rPr>
      </w:pPr>
      <w:r w:rsidRPr="002E2F24">
        <w:rPr>
          <w:rFonts w:ascii="Book Antiqua" w:eastAsia="Book Antiqua" w:hAnsi="Book Antiqua" w:cs="Book Antiqua"/>
          <w:b/>
          <w:caps/>
          <w:color w:val="000000" w:themeColor="text1"/>
          <w:u w:val="single"/>
        </w:rPr>
        <w:t>CONCLUSION</w:t>
      </w:r>
    </w:p>
    <w:p w14:paraId="0A9DFA4E" w14:textId="1E4C3ED9" w:rsidR="002D4E31" w:rsidRPr="002E2F24" w:rsidRDefault="002D4E31" w:rsidP="002D4E31">
      <w:pPr>
        <w:spacing w:line="360" w:lineRule="auto"/>
        <w:jc w:val="both"/>
        <w:rPr>
          <w:rFonts w:ascii="Book Antiqua" w:hAnsi="Book Antiqua"/>
          <w:color w:val="000000" w:themeColor="text1"/>
        </w:rPr>
      </w:pPr>
      <w:r w:rsidRPr="002E2F24">
        <w:rPr>
          <w:rFonts w:ascii="Book Antiqua" w:eastAsia="Book Antiqua" w:hAnsi="Book Antiqua" w:cs="Book Antiqua"/>
          <w:color w:val="000000" w:themeColor="text1"/>
        </w:rPr>
        <w:t xml:space="preserve">Patients on SGLT2i may rarely develop EDKA, primarily due to certain predisposing factors, including severe acute infections and </w:t>
      </w:r>
      <w:r w:rsidR="00B055A1">
        <w:rPr>
          <w:rFonts w:ascii="Book Antiqua" w:eastAsia="Book Antiqua" w:hAnsi="Book Antiqua" w:cs="Book Antiqua"/>
          <w:color w:val="000000" w:themeColor="text1"/>
        </w:rPr>
        <w:t>following</w:t>
      </w:r>
      <w:r w:rsidRPr="002E2F24">
        <w:rPr>
          <w:rFonts w:ascii="Book Antiqua" w:eastAsia="Book Antiqua" w:hAnsi="Book Antiqua" w:cs="Book Antiqua"/>
          <w:color w:val="000000" w:themeColor="text1"/>
        </w:rPr>
        <w:t xml:space="preserve"> major surgery. The signs and symptoms may be similar to DKA but with normal blood sugar levels, making </w:t>
      </w:r>
      <w:r w:rsidR="00B055A1">
        <w:rPr>
          <w:rFonts w:ascii="Book Antiqua" w:eastAsia="Book Antiqua" w:hAnsi="Book Antiqua" w:cs="Book Antiqua"/>
          <w:color w:val="000000" w:themeColor="text1"/>
        </w:rPr>
        <w:t xml:space="preserve">the </w:t>
      </w:r>
      <w:r w:rsidRPr="002E2F24">
        <w:rPr>
          <w:rFonts w:ascii="Book Antiqua" w:eastAsia="Book Antiqua" w:hAnsi="Book Antiqua" w:cs="Book Antiqua"/>
          <w:color w:val="000000" w:themeColor="text1"/>
        </w:rPr>
        <w:t>diagnosis challenging. EDKA outcomes are good if recognized timely and corrective actions are taken. Hence, physicians managing such patients must be aware of this potential complication and educate patients accordingly to ensure early diagnosis and management.</w:t>
      </w:r>
    </w:p>
    <w:p w14:paraId="519B22D7" w14:textId="77777777" w:rsidR="00A77B3E" w:rsidRPr="002E2F24" w:rsidRDefault="00A77B3E">
      <w:pPr>
        <w:spacing w:line="360" w:lineRule="auto"/>
        <w:jc w:val="both"/>
        <w:rPr>
          <w:rFonts w:ascii="Book Antiqua" w:hAnsi="Book Antiqua"/>
          <w:color w:val="000000" w:themeColor="text1"/>
        </w:rPr>
      </w:pPr>
    </w:p>
    <w:p w14:paraId="47947F5A" w14:textId="086FF29C"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caps/>
          <w:color w:val="000000" w:themeColor="text1"/>
          <w:u w:val="single"/>
        </w:rPr>
        <w:t>ARTICLE</w:t>
      </w:r>
      <w:r w:rsidR="00450328" w:rsidRPr="002E2F24">
        <w:rPr>
          <w:rFonts w:ascii="Book Antiqua" w:eastAsia="Book Antiqua" w:hAnsi="Book Antiqua" w:cs="Book Antiqua"/>
          <w:b/>
          <w:caps/>
          <w:color w:val="000000" w:themeColor="text1"/>
          <w:u w:val="single"/>
        </w:rPr>
        <w:t xml:space="preserve"> </w:t>
      </w:r>
      <w:r w:rsidRPr="002E2F24">
        <w:rPr>
          <w:rFonts w:ascii="Book Antiqua" w:eastAsia="Book Antiqua" w:hAnsi="Book Antiqua" w:cs="Book Antiqua"/>
          <w:b/>
          <w:caps/>
          <w:color w:val="000000" w:themeColor="text1"/>
          <w:u w:val="single"/>
        </w:rPr>
        <w:t>HIGHLIGHTS</w:t>
      </w:r>
    </w:p>
    <w:p w14:paraId="26E67318" w14:textId="262D840C"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i/>
          <w:color w:val="000000" w:themeColor="text1"/>
        </w:rPr>
        <w:t>Research</w:t>
      </w:r>
      <w:r w:rsidR="00450328" w:rsidRPr="002E2F24">
        <w:rPr>
          <w:rFonts w:ascii="Book Antiqua" w:eastAsia="Book Antiqua" w:hAnsi="Book Antiqua" w:cs="Book Antiqua"/>
          <w:b/>
          <w:i/>
          <w:color w:val="000000" w:themeColor="text1"/>
        </w:rPr>
        <w:t xml:space="preserve"> </w:t>
      </w:r>
      <w:r w:rsidRPr="002E2F24">
        <w:rPr>
          <w:rFonts w:ascii="Book Antiqua" w:eastAsia="Book Antiqua" w:hAnsi="Book Antiqua" w:cs="Book Antiqua"/>
          <w:b/>
          <w:i/>
          <w:color w:val="000000" w:themeColor="text1"/>
        </w:rPr>
        <w:t>background</w:t>
      </w:r>
    </w:p>
    <w:p w14:paraId="71DA1990" w14:textId="09A629C7"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color w:val="000000" w:themeColor="text1"/>
        </w:rPr>
        <w:t>Sodium</w:t>
      </w:r>
      <w:r w:rsidR="002D4E31" w:rsidRPr="002E2F24">
        <w:rPr>
          <w:rFonts w:ascii="Book Antiqua" w:eastAsia="Book Antiqua" w:hAnsi="Book Antiqua" w:cs="Book Antiqua"/>
          <w:color w:val="000000" w:themeColor="text1"/>
        </w:rPr>
        <w:t>-</w:t>
      </w:r>
      <w:r w:rsidRPr="002E2F24">
        <w:rPr>
          <w:rFonts w:ascii="Book Antiqua" w:eastAsia="Book Antiqua" w:hAnsi="Book Antiqua" w:cs="Book Antiqua"/>
          <w:color w:val="000000" w:themeColor="text1"/>
        </w:rPr>
        <w:t>glucose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cotransporter</w:t>
      </w:r>
      <w:r w:rsidR="002D4E31" w:rsidRPr="002E2F24">
        <w:rPr>
          <w:rFonts w:ascii="Book Antiqua" w:eastAsia="Book Antiqua" w:hAnsi="Book Antiqua" w:cs="Book Antiqua"/>
          <w:color w:val="000000" w:themeColor="text1"/>
        </w:rPr>
        <w:t>-</w:t>
      </w:r>
      <w:r w:rsidRPr="002E2F24">
        <w:rPr>
          <w:rFonts w:ascii="Book Antiqua" w:eastAsia="Book Antiqua" w:hAnsi="Book Antiqua" w:cs="Book Antiqua"/>
          <w:color w:val="000000" w:themeColor="text1"/>
        </w:rPr>
        <w:t>2</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inhibitors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(SGLT2i)</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are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commonly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prescribed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drugs</w:t>
      </w:r>
      <w:r w:rsidR="00450328" w:rsidRPr="002E2F24">
        <w:rPr>
          <w:rFonts w:ascii="Book Antiqua" w:eastAsia="Book Antiqua" w:hAnsi="Book Antiqua" w:cs="Book Antiqua"/>
          <w:color w:val="000000" w:themeColor="text1"/>
        </w:rPr>
        <w:t xml:space="preserve"> </w:t>
      </w:r>
      <w:r w:rsidR="00B055A1">
        <w:rPr>
          <w:rFonts w:ascii="Book Antiqua" w:eastAsia="Book Antiqua" w:hAnsi="Book Antiqua" w:cs="Book Antiqua"/>
          <w:color w:val="000000" w:themeColor="text1"/>
        </w:rPr>
        <w:t>in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manag</w:t>
      </w:r>
      <w:r w:rsidR="00B055A1">
        <w:rPr>
          <w:rFonts w:ascii="Book Antiqua" w:eastAsia="Book Antiqua" w:hAnsi="Book Antiqua" w:cs="Book Antiqua"/>
          <w:color w:val="000000" w:themeColor="text1"/>
        </w:rPr>
        <w:t>ing</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patients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with</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diabetes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mellitus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(DM).</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These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agents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may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rarely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lead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to</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lastRenderedPageBreak/>
        <w:t>development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euglycemic</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diabetic</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ketoacidosis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(EDKA),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which</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may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complicate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disease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course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these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patients.</w:t>
      </w:r>
    </w:p>
    <w:p w14:paraId="57138BD8" w14:textId="77777777" w:rsidR="00A77B3E" w:rsidRPr="002E2F24" w:rsidRDefault="00A77B3E">
      <w:pPr>
        <w:spacing w:line="360" w:lineRule="auto"/>
        <w:jc w:val="both"/>
        <w:rPr>
          <w:rFonts w:ascii="Book Antiqua" w:hAnsi="Book Antiqua"/>
          <w:color w:val="000000" w:themeColor="text1"/>
        </w:rPr>
      </w:pPr>
    </w:p>
    <w:p w14:paraId="23E8B1EA" w14:textId="28C78667"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i/>
          <w:color w:val="000000" w:themeColor="text1"/>
        </w:rPr>
        <w:t>Research</w:t>
      </w:r>
      <w:r w:rsidR="00450328" w:rsidRPr="002E2F24">
        <w:rPr>
          <w:rFonts w:ascii="Book Antiqua" w:eastAsia="Book Antiqua" w:hAnsi="Book Antiqua" w:cs="Book Antiqua"/>
          <w:b/>
          <w:i/>
          <w:color w:val="000000" w:themeColor="text1"/>
        </w:rPr>
        <w:t xml:space="preserve"> </w:t>
      </w:r>
      <w:r w:rsidRPr="002E2F24">
        <w:rPr>
          <w:rFonts w:ascii="Book Antiqua" w:eastAsia="Book Antiqua" w:hAnsi="Book Antiqua" w:cs="Book Antiqua"/>
          <w:b/>
          <w:i/>
          <w:color w:val="000000" w:themeColor="text1"/>
        </w:rPr>
        <w:t>motivation</w:t>
      </w:r>
    </w:p>
    <w:p w14:paraId="30FE2CAF" w14:textId="40554FBF"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color w:val="000000" w:themeColor="text1"/>
        </w:rPr>
        <w:t>EDKA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rare,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but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mostly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missed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under-reported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complication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DM</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management.</w:t>
      </w:r>
      <w:r w:rsidR="00450328" w:rsidRPr="002E2F24">
        <w:rPr>
          <w:rFonts w:ascii="Book Antiqua" w:eastAsia="Book Antiqua" w:hAnsi="Book Antiqua" w:cs="Book Antiqua"/>
          <w:color w:val="000000" w:themeColor="text1"/>
        </w:rPr>
        <w:t xml:space="preserve"> </w:t>
      </w:r>
      <w:r w:rsidR="001A77E5" w:rsidRPr="002E2F24">
        <w:rPr>
          <w:rFonts w:ascii="Book Antiqua" w:eastAsia="Book Antiqua" w:hAnsi="Book Antiqua" w:cs="Book Antiqua"/>
          <w:color w:val="000000" w:themeColor="text1"/>
        </w:rPr>
        <w:t>The use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SGLT2i</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may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increase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risk</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developing</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EDKA.</w:t>
      </w:r>
    </w:p>
    <w:p w14:paraId="220504C7" w14:textId="77777777" w:rsidR="00A77B3E" w:rsidRPr="002E2F24" w:rsidRDefault="00A77B3E">
      <w:pPr>
        <w:spacing w:line="360" w:lineRule="auto"/>
        <w:jc w:val="both"/>
        <w:rPr>
          <w:rFonts w:ascii="Book Antiqua" w:hAnsi="Book Antiqua"/>
          <w:color w:val="000000" w:themeColor="text1"/>
        </w:rPr>
      </w:pPr>
    </w:p>
    <w:p w14:paraId="3594F98B" w14:textId="02E9FC75"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i/>
          <w:color w:val="000000" w:themeColor="text1"/>
        </w:rPr>
        <w:t>Research</w:t>
      </w:r>
      <w:r w:rsidR="00450328" w:rsidRPr="002E2F24">
        <w:rPr>
          <w:rFonts w:ascii="Book Antiqua" w:eastAsia="Book Antiqua" w:hAnsi="Book Antiqua" w:cs="Book Antiqua"/>
          <w:b/>
          <w:i/>
          <w:color w:val="000000" w:themeColor="text1"/>
        </w:rPr>
        <w:t xml:space="preserve"> </w:t>
      </w:r>
      <w:r w:rsidRPr="002E2F24">
        <w:rPr>
          <w:rFonts w:ascii="Book Antiqua" w:eastAsia="Book Antiqua" w:hAnsi="Book Antiqua" w:cs="Book Antiqua"/>
          <w:b/>
          <w:i/>
          <w:color w:val="000000" w:themeColor="text1"/>
        </w:rPr>
        <w:t>objectives</w:t>
      </w:r>
    </w:p>
    <w:p w14:paraId="2F362CA1" w14:textId="56B94753"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main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aim</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this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meta-summary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was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to</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identify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predisposing</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factors,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symptomatology,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clinical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course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outcomes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patients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SGLT2i</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presenting</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with</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EDKA.</w:t>
      </w:r>
      <w:r w:rsidR="00450328" w:rsidRPr="002E2F24">
        <w:rPr>
          <w:rFonts w:ascii="Book Antiqua" w:eastAsia="Book Antiqua" w:hAnsi="Book Antiqua" w:cs="Book Antiqua"/>
          <w:color w:val="000000" w:themeColor="text1"/>
        </w:rPr>
        <w:t xml:space="preserve"> </w:t>
      </w:r>
    </w:p>
    <w:p w14:paraId="4C5ADBE1" w14:textId="77777777" w:rsidR="00A77B3E" w:rsidRPr="002E2F24" w:rsidRDefault="00A77B3E">
      <w:pPr>
        <w:spacing w:line="360" w:lineRule="auto"/>
        <w:jc w:val="both"/>
        <w:rPr>
          <w:rFonts w:ascii="Book Antiqua" w:hAnsi="Book Antiqua"/>
          <w:color w:val="000000" w:themeColor="text1"/>
        </w:rPr>
      </w:pPr>
    </w:p>
    <w:p w14:paraId="54B213D7" w14:textId="120758D0"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i/>
          <w:color w:val="000000" w:themeColor="text1"/>
        </w:rPr>
        <w:t>Research</w:t>
      </w:r>
      <w:r w:rsidR="00450328" w:rsidRPr="002E2F24">
        <w:rPr>
          <w:rFonts w:ascii="Book Antiqua" w:eastAsia="Book Antiqua" w:hAnsi="Book Antiqua" w:cs="Book Antiqua"/>
          <w:b/>
          <w:i/>
          <w:color w:val="000000" w:themeColor="text1"/>
        </w:rPr>
        <w:t xml:space="preserve"> </w:t>
      </w:r>
      <w:r w:rsidRPr="002E2F24">
        <w:rPr>
          <w:rFonts w:ascii="Book Antiqua" w:eastAsia="Book Antiqua" w:hAnsi="Book Antiqua" w:cs="Book Antiqua"/>
          <w:b/>
          <w:i/>
          <w:color w:val="000000" w:themeColor="text1"/>
        </w:rPr>
        <w:t>methods</w:t>
      </w:r>
    </w:p>
    <w:p w14:paraId="4EAFF56C" w14:textId="469D5B09"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color w:val="000000" w:themeColor="text1"/>
        </w:rPr>
        <w:t>We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performed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systematic</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search</w:t>
      </w:r>
      <w:r w:rsidR="00450328" w:rsidRPr="002E2F24">
        <w:rPr>
          <w:rFonts w:ascii="Book Antiqua" w:eastAsia="Book Antiqua" w:hAnsi="Book Antiqua" w:cs="Book Antiqua"/>
          <w:color w:val="000000" w:themeColor="text1"/>
        </w:rPr>
        <w:t xml:space="preserve"> </w:t>
      </w:r>
      <w:r w:rsidR="00B055A1">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PubMed,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Science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Direct,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Google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Scholar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shd w:val="clear" w:color="auto" w:fill="FFFFFF"/>
        </w:rPr>
        <w:t>Reference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Citation</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Analysis</w:t>
      </w:r>
      <w:r w:rsidR="001A77E5" w:rsidRPr="002E2F24">
        <w:rPr>
          <w:rFonts w:ascii="Book Antiqua" w:eastAsia="Book Antiqua" w:hAnsi="Book Antiqua" w:cs="Book Antiqua"/>
          <w:color w:val="000000" w:themeColor="text1"/>
          <w:shd w:val="clear" w:color="auto" w:fill="FFFFFF"/>
        </w:rPr>
        <w:t xml:space="preserve"> (https://www.referencecitationanalysis.com/)</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rPr>
        <w:t>databases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using</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terms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t>
      </w:r>
      <w:r w:rsidRPr="002E2F24">
        <w:rPr>
          <w:rFonts w:ascii="Book Antiqua" w:eastAsia="Book Antiqua" w:hAnsi="Book Antiqua" w:cs="Book Antiqua"/>
          <w:color w:val="000000" w:themeColor="text1"/>
          <w:shd w:val="clear" w:color="auto" w:fill="FFFFFF"/>
        </w:rPr>
        <w:t>canagliflozin”</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OR</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“empagliflozin</w:t>
      </w:r>
      <w:r w:rsidRPr="002E2F24">
        <w:rPr>
          <w:rFonts w:ascii="Book Antiqua" w:eastAsia="Book Antiqua" w:hAnsi="Book Antiqua" w:cs="Book Antiqua"/>
          <w:color w:val="000000" w:themeColor="text1"/>
        </w:rPr>
        <w: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“dapagliflozin”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t>
      </w:r>
      <w:r w:rsidRPr="002E2F24">
        <w:rPr>
          <w:rFonts w:ascii="Book Antiqua" w:eastAsia="Book Antiqua" w:hAnsi="Book Antiqua" w:cs="Book Antiqua"/>
          <w:color w:val="000000" w:themeColor="text1"/>
          <w:shd w:val="clear" w:color="auto" w:fill="FFFFFF"/>
        </w:rPr>
        <w:t>SGLT2</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inhibitors”</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OR</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“Sodium-glucose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cotransporter-2”</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rPr>
        <w:t>AND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“euglycemia”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“euglycemic</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diabetic</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ketoacidosis”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“metabolic</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acidosis”.</w:t>
      </w:r>
    </w:p>
    <w:p w14:paraId="4F6713AA" w14:textId="77777777" w:rsidR="00A77B3E" w:rsidRPr="002E2F24" w:rsidRDefault="00A77B3E">
      <w:pPr>
        <w:spacing w:line="360" w:lineRule="auto"/>
        <w:jc w:val="both"/>
        <w:rPr>
          <w:rFonts w:ascii="Book Antiqua" w:hAnsi="Book Antiqua"/>
          <w:color w:val="000000" w:themeColor="text1"/>
        </w:rPr>
      </w:pPr>
    </w:p>
    <w:p w14:paraId="406A3C05" w14:textId="2B78399E"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i/>
          <w:color w:val="000000" w:themeColor="text1"/>
        </w:rPr>
        <w:t>Research</w:t>
      </w:r>
      <w:r w:rsidR="00450328" w:rsidRPr="002E2F24">
        <w:rPr>
          <w:rFonts w:ascii="Book Antiqua" w:eastAsia="Book Antiqua" w:hAnsi="Book Antiqua" w:cs="Book Antiqua"/>
          <w:b/>
          <w:i/>
          <w:color w:val="000000" w:themeColor="text1"/>
        </w:rPr>
        <w:t xml:space="preserve"> </w:t>
      </w:r>
      <w:r w:rsidRPr="002E2F24">
        <w:rPr>
          <w:rFonts w:ascii="Book Antiqua" w:eastAsia="Book Antiqua" w:hAnsi="Book Antiqua" w:cs="Book Antiqua"/>
          <w:b/>
          <w:i/>
          <w:color w:val="000000" w:themeColor="text1"/>
        </w:rPr>
        <w:t>results</w:t>
      </w:r>
    </w:p>
    <w:p w14:paraId="468D6ECC" w14:textId="0B78F584"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color w:val="000000" w:themeColor="text1"/>
          <w:shd w:val="clear" w:color="auto" w:fill="FFFFFF"/>
        </w:rPr>
        <w:t>Overall,</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108</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case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reports</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and</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17</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cases</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series</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with</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169</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unique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patients</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were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included.</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rPr>
        <w:t>One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hundred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forty-nine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(88.2%)</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patients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had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underlying</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type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w:t>
      </w:r>
      <w:r w:rsidR="00E76847" w:rsidRPr="002E2F24">
        <w:rPr>
          <w:rFonts w:ascii="Book Antiqua" w:eastAsia="Book Antiqua" w:hAnsi="Book Antiqua" w:cs="Book Antiqua"/>
          <w:color w:val="000000" w:themeColor="text1"/>
        </w:rPr>
        <w:t>I</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diabetes,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most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commonly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involved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SGLT2</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inhibitor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reported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was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empagliflozin</w:t>
      </w:r>
      <w:r w:rsidR="00B055A1">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46.8%</w:t>
      </w:r>
      <w:r w:rsidR="00B055A1">
        <w:rPr>
          <w:rFonts w:ascii="Book Antiqua" w:eastAsia="Book Antiqua" w:hAnsi="Book Antiqua" w:cs="Book Antiqua"/>
          <w:color w:val="000000" w:themeColor="text1"/>
        </w:rPr>
        <w:t>)</w:t>
      </w:r>
      <w:r w:rsidRPr="002E2F24">
        <w:rPr>
          <w:rFonts w:ascii="Book Antiqua" w:eastAsia="Book Antiqua" w:hAnsi="Book Antiqua" w:cs="Book Antiqua"/>
          <w:color w:val="000000" w:themeColor="text1"/>
        </w:rPr>
        <w: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triggering</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factor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was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reported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most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patients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(78.7%),</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commonest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being</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acute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severe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infection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(37.9%).</w:t>
      </w:r>
      <w:r w:rsidR="00450328" w:rsidRPr="002E2F24">
        <w:rPr>
          <w:rFonts w:ascii="Book Antiqua" w:eastAsia="Book Antiqua" w:hAnsi="Book Antiqua" w:cs="Book Antiqua"/>
          <w:color w:val="000000" w:themeColor="text1"/>
        </w:rPr>
        <w:t xml:space="preserve"> </w:t>
      </w:r>
      <w:r w:rsidR="002D4E31" w:rsidRPr="002E2F24">
        <w:rPr>
          <w:rFonts w:ascii="Book Antiqua" w:eastAsia="Book Antiqua" w:hAnsi="Book Antiqua" w:cs="Book Antiqua"/>
          <w:color w:val="000000" w:themeColor="text1"/>
        </w:rPr>
        <w:t>Sixty-one-point-five percent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were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reported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to</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require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intensive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unit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care,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but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only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minority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patients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required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organ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support.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overall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mortality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rate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was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only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2.4%.</w:t>
      </w:r>
    </w:p>
    <w:p w14:paraId="3AE05FED" w14:textId="77777777" w:rsidR="00A77B3E" w:rsidRPr="002E2F24" w:rsidRDefault="00A77B3E">
      <w:pPr>
        <w:spacing w:line="360" w:lineRule="auto"/>
        <w:jc w:val="both"/>
        <w:rPr>
          <w:rFonts w:ascii="Book Antiqua" w:hAnsi="Book Antiqua"/>
          <w:color w:val="000000" w:themeColor="text1"/>
        </w:rPr>
      </w:pPr>
    </w:p>
    <w:p w14:paraId="4CCCDC71" w14:textId="39CFC999"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i/>
          <w:color w:val="000000" w:themeColor="text1"/>
        </w:rPr>
        <w:t>Research</w:t>
      </w:r>
      <w:r w:rsidR="00450328" w:rsidRPr="002E2F24">
        <w:rPr>
          <w:rFonts w:ascii="Book Antiqua" w:eastAsia="Book Antiqua" w:hAnsi="Book Antiqua" w:cs="Book Antiqua"/>
          <w:b/>
          <w:i/>
          <w:color w:val="000000" w:themeColor="text1"/>
        </w:rPr>
        <w:t xml:space="preserve"> </w:t>
      </w:r>
      <w:r w:rsidRPr="002E2F24">
        <w:rPr>
          <w:rFonts w:ascii="Book Antiqua" w:eastAsia="Book Antiqua" w:hAnsi="Book Antiqua" w:cs="Book Antiqua"/>
          <w:b/>
          <w:i/>
          <w:color w:val="000000" w:themeColor="text1"/>
        </w:rPr>
        <w:t>conclusions</w:t>
      </w:r>
    </w:p>
    <w:p w14:paraId="6A31B09E" w14:textId="3A6F6EDE"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color w:val="000000" w:themeColor="text1"/>
        </w:rPr>
        <w:lastRenderedPageBreak/>
        <w:t>Patients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SGLT2i</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may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rarely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develop</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EDKA,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especially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presence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certain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predisposing</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factors.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signs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symptoms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EDKA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may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be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similar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to</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w:t>
      </w:r>
      <w:r w:rsidR="00B055A1">
        <w:rPr>
          <w:rFonts w:ascii="Book Antiqua" w:eastAsia="Book Antiqua" w:hAnsi="Book Antiqua" w:cs="Book Antiqua"/>
          <w:color w:val="000000" w:themeColor="text1"/>
        </w:rPr>
        <w:t>ose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DKA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but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with</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normal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blood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sugar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levels.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Outcomes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EDKA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are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good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recognized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early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corrective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actions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are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taken.</w:t>
      </w:r>
      <w:r w:rsidR="00450328" w:rsidRPr="002E2F24">
        <w:rPr>
          <w:rFonts w:ascii="Book Antiqua" w:eastAsia="Book Antiqua" w:hAnsi="Book Antiqua" w:cs="Book Antiqua"/>
          <w:color w:val="000000" w:themeColor="text1"/>
        </w:rPr>
        <w:t xml:space="preserve"> </w:t>
      </w:r>
    </w:p>
    <w:p w14:paraId="0F5187E0" w14:textId="77777777" w:rsidR="00A77B3E" w:rsidRPr="002E2F24" w:rsidRDefault="00A77B3E">
      <w:pPr>
        <w:spacing w:line="360" w:lineRule="auto"/>
        <w:jc w:val="both"/>
        <w:rPr>
          <w:rFonts w:ascii="Book Antiqua" w:hAnsi="Book Antiqua"/>
          <w:color w:val="000000" w:themeColor="text1"/>
        </w:rPr>
      </w:pPr>
    </w:p>
    <w:p w14:paraId="45D6541F" w14:textId="69A3478E"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i/>
          <w:color w:val="000000" w:themeColor="text1"/>
        </w:rPr>
        <w:t>Research</w:t>
      </w:r>
      <w:r w:rsidR="00450328" w:rsidRPr="002E2F24">
        <w:rPr>
          <w:rFonts w:ascii="Book Antiqua" w:eastAsia="Book Antiqua" w:hAnsi="Book Antiqua" w:cs="Book Antiqua"/>
          <w:b/>
          <w:i/>
          <w:color w:val="000000" w:themeColor="text1"/>
        </w:rPr>
        <w:t xml:space="preserve"> </w:t>
      </w:r>
      <w:r w:rsidRPr="002E2F24">
        <w:rPr>
          <w:rFonts w:ascii="Book Antiqua" w:eastAsia="Book Antiqua" w:hAnsi="Book Antiqua" w:cs="Book Antiqua"/>
          <w:b/>
          <w:i/>
          <w:color w:val="000000" w:themeColor="text1"/>
        </w:rPr>
        <w:t>perspectives</w:t>
      </w:r>
    </w:p>
    <w:p w14:paraId="4A66087F" w14:textId="07DD650F"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color w:val="000000" w:themeColor="text1"/>
        </w:rPr>
        <w:t>Large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scale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studies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must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be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conducted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to</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find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out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true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incidence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clinical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impact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of</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EDKA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patients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using</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SGLT2i.</w:t>
      </w:r>
    </w:p>
    <w:p w14:paraId="4760C4CE" w14:textId="77777777" w:rsidR="00A77B3E" w:rsidRPr="002E2F24" w:rsidRDefault="00A77B3E">
      <w:pPr>
        <w:spacing w:line="360" w:lineRule="auto"/>
        <w:jc w:val="both"/>
        <w:rPr>
          <w:rFonts w:ascii="Book Antiqua" w:hAnsi="Book Antiqua"/>
          <w:color w:val="000000" w:themeColor="text1"/>
        </w:rPr>
      </w:pPr>
    </w:p>
    <w:p w14:paraId="666AF66A" w14:textId="77777777"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color w:val="000000" w:themeColor="text1"/>
        </w:rPr>
        <w:t>REFERENCES</w:t>
      </w:r>
    </w:p>
    <w:p w14:paraId="39726FB2" w14:textId="77777777" w:rsidR="004845F0" w:rsidRPr="002E2F24" w:rsidRDefault="004845F0" w:rsidP="004845F0">
      <w:pPr>
        <w:adjustRightInd w:val="0"/>
        <w:snapToGrid w:val="0"/>
        <w:spacing w:line="360" w:lineRule="auto"/>
        <w:jc w:val="both"/>
        <w:rPr>
          <w:rFonts w:ascii="Book Antiqua" w:hAnsi="Book Antiqua"/>
          <w:color w:val="000000" w:themeColor="text1"/>
        </w:rPr>
      </w:pPr>
      <w:r w:rsidRPr="002E2F24">
        <w:rPr>
          <w:rFonts w:ascii="Book Antiqua" w:hAnsi="Book Antiqua"/>
          <w:color w:val="000000" w:themeColor="text1"/>
        </w:rPr>
        <w:t xml:space="preserve">1 </w:t>
      </w:r>
      <w:r w:rsidRPr="002E2F24">
        <w:rPr>
          <w:rFonts w:ascii="Book Antiqua" w:hAnsi="Book Antiqua"/>
          <w:b/>
          <w:bCs/>
          <w:color w:val="000000" w:themeColor="text1"/>
        </w:rPr>
        <w:t>American Diabetes Association</w:t>
      </w:r>
      <w:r w:rsidRPr="002E2F24">
        <w:rPr>
          <w:rFonts w:ascii="Book Antiqua" w:hAnsi="Book Antiqua"/>
          <w:color w:val="000000" w:themeColor="text1"/>
        </w:rPr>
        <w:t xml:space="preserve">. Disclosures: Standards of Care in Diabetes—2023. </w:t>
      </w:r>
      <w:r w:rsidRPr="002E2F24">
        <w:rPr>
          <w:rFonts w:ascii="Book Antiqua" w:hAnsi="Book Antiqua"/>
          <w:i/>
          <w:iCs/>
          <w:color w:val="000000" w:themeColor="text1"/>
        </w:rPr>
        <w:t>Diabetes Care</w:t>
      </w:r>
      <w:r w:rsidRPr="002E2F24">
        <w:rPr>
          <w:rFonts w:ascii="Book Antiqua" w:hAnsi="Book Antiqua"/>
          <w:color w:val="000000" w:themeColor="text1"/>
        </w:rPr>
        <w:t xml:space="preserve"> 2023; </w:t>
      </w:r>
      <w:r w:rsidRPr="002E2F24">
        <w:rPr>
          <w:rFonts w:ascii="Book Antiqua" w:hAnsi="Book Antiqua"/>
          <w:b/>
          <w:bCs/>
          <w:color w:val="000000" w:themeColor="text1"/>
        </w:rPr>
        <w:t>46</w:t>
      </w:r>
      <w:r w:rsidRPr="002E2F24">
        <w:rPr>
          <w:rFonts w:ascii="Book Antiqua" w:hAnsi="Book Antiqua"/>
          <w:color w:val="000000" w:themeColor="text1"/>
        </w:rPr>
        <w:t>(Suppl 1): S1-292 [DOI:10.2337/dc23-Sdis]</w:t>
      </w:r>
    </w:p>
    <w:p w14:paraId="7633D3F5" w14:textId="77777777" w:rsidR="004845F0" w:rsidRPr="002E2F24" w:rsidRDefault="004845F0" w:rsidP="004845F0">
      <w:pPr>
        <w:adjustRightInd w:val="0"/>
        <w:snapToGrid w:val="0"/>
        <w:spacing w:line="360" w:lineRule="auto"/>
        <w:jc w:val="both"/>
        <w:rPr>
          <w:rFonts w:ascii="Book Antiqua" w:hAnsi="Book Antiqua"/>
          <w:color w:val="000000" w:themeColor="text1"/>
        </w:rPr>
      </w:pPr>
      <w:r w:rsidRPr="002E2F24">
        <w:rPr>
          <w:rFonts w:ascii="Book Antiqua" w:hAnsi="Book Antiqua"/>
          <w:color w:val="000000" w:themeColor="text1"/>
        </w:rPr>
        <w:t xml:space="preserve">2 </w:t>
      </w:r>
      <w:r w:rsidRPr="002E2F24">
        <w:rPr>
          <w:rFonts w:ascii="Book Antiqua" w:hAnsi="Book Antiqua"/>
          <w:b/>
          <w:bCs/>
          <w:color w:val="000000" w:themeColor="text1"/>
        </w:rPr>
        <w:t>Taylor SI</w:t>
      </w:r>
      <w:r w:rsidRPr="002E2F24">
        <w:rPr>
          <w:rFonts w:ascii="Book Antiqua" w:hAnsi="Book Antiqua"/>
          <w:color w:val="000000" w:themeColor="text1"/>
        </w:rPr>
        <w:t xml:space="preserve">, Blau JE, Rother KI. SGLT2 Inhibitors May Predispose to Ketoacidosis. </w:t>
      </w:r>
      <w:r w:rsidRPr="002E2F24">
        <w:rPr>
          <w:rFonts w:ascii="Book Antiqua" w:hAnsi="Book Antiqua"/>
          <w:i/>
          <w:iCs/>
          <w:color w:val="000000" w:themeColor="text1"/>
        </w:rPr>
        <w:t>J Clin Endocrinol Metab</w:t>
      </w:r>
      <w:r w:rsidRPr="002E2F24">
        <w:rPr>
          <w:rFonts w:ascii="Book Antiqua" w:hAnsi="Book Antiqua"/>
          <w:color w:val="000000" w:themeColor="text1"/>
        </w:rPr>
        <w:t xml:space="preserve"> 2015; </w:t>
      </w:r>
      <w:r w:rsidRPr="002E2F24">
        <w:rPr>
          <w:rFonts w:ascii="Book Antiqua" w:hAnsi="Book Antiqua"/>
          <w:b/>
          <w:bCs/>
          <w:color w:val="000000" w:themeColor="text1"/>
        </w:rPr>
        <w:t>100</w:t>
      </w:r>
      <w:r w:rsidRPr="002E2F24">
        <w:rPr>
          <w:rFonts w:ascii="Book Antiqua" w:hAnsi="Book Antiqua"/>
          <w:color w:val="000000" w:themeColor="text1"/>
        </w:rPr>
        <w:t>: 2849-2852 [PMID: 26086329 DOI: 10.1210/jc.2015-1884]</w:t>
      </w:r>
    </w:p>
    <w:p w14:paraId="3D57451B" w14:textId="77777777" w:rsidR="004845F0" w:rsidRPr="002E2F24" w:rsidRDefault="004845F0" w:rsidP="004845F0">
      <w:pPr>
        <w:adjustRightInd w:val="0"/>
        <w:snapToGrid w:val="0"/>
        <w:spacing w:line="360" w:lineRule="auto"/>
        <w:jc w:val="both"/>
        <w:rPr>
          <w:rFonts w:ascii="Book Antiqua" w:hAnsi="Book Antiqua"/>
          <w:color w:val="000000" w:themeColor="text1"/>
        </w:rPr>
      </w:pPr>
      <w:r w:rsidRPr="002E2F24">
        <w:rPr>
          <w:rFonts w:ascii="Book Antiqua" w:hAnsi="Book Antiqua"/>
          <w:color w:val="000000" w:themeColor="text1"/>
        </w:rPr>
        <w:t xml:space="preserve">3 </w:t>
      </w:r>
      <w:r w:rsidRPr="002E2F24">
        <w:rPr>
          <w:rFonts w:ascii="Book Antiqua" w:hAnsi="Book Antiqua"/>
          <w:b/>
          <w:bCs/>
          <w:color w:val="000000" w:themeColor="text1"/>
        </w:rPr>
        <w:t>Zinman B</w:t>
      </w:r>
      <w:r w:rsidRPr="002E2F24">
        <w:rPr>
          <w:rFonts w:ascii="Book Antiqua" w:hAnsi="Book Antiqua"/>
          <w:color w:val="000000" w:themeColor="text1"/>
        </w:rPr>
        <w:t xml:space="preserve">, Wanner C, Lachin JM, Fitchett D, Bluhmki E, Hantel S, Mattheus M, Devins T, Johansen OE, Woerle HJ, Broedl UC, Inzucchi SE; EMPA-REG OUTCOME Investigators. Empagliflozin, Cardiovascular Outcomes, and Mortality in Type 2 Diabetes. </w:t>
      </w:r>
      <w:r w:rsidRPr="002E2F24">
        <w:rPr>
          <w:rFonts w:ascii="Book Antiqua" w:hAnsi="Book Antiqua"/>
          <w:i/>
          <w:iCs/>
          <w:color w:val="000000" w:themeColor="text1"/>
        </w:rPr>
        <w:t>N Engl J Med</w:t>
      </w:r>
      <w:r w:rsidRPr="002E2F24">
        <w:rPr>
          <w:rFonts w:ascii="Book Antiqua" w:hAnsi="Book Antiqua"/>
          <w:color w:val="000000" w:themeColor="text1"/>
        </w:rPr>
        <w:t xml:space="preserve"> 2015; </w:t>
      </w:r>
      <w:r w:rsidRPr="002E2F24">
        <w:rPr>
          <w:rFonts w:ascii="Book Antiqua" w:hAnsi="Book Antiqua"/>
          <w:b/>
          <w:bCs/>
          <w:color w:val="000000" w:themeColor="text1"/>
        </w:rPr>
        <w:t>373</w:t>
      </w:r>
      <w:r w:rsidRPr="002E2F24">
        <w:rPr>
          <w:rFonts w:ascii="Book Antiqua" w:hAnsi="Book Antiqua"/>
          <w:color w:val="000000" w:themeColor="text1"/>
        </w:rPr>
        <w:t>: 2117-2128 [PMID: 26378978 DOI: 10.1056/NEJMoa1504720]</w:t>
      </w:r>
    </w:p>
    <w:p w14:paraId="5802F440" w14:textId="77777777" w:rsidR="004845F0" w:rsidRPr="002E2F24" w:rsidRDefault="004845F0" w:rsidP="004845F0">
      <w:pPr>
        <w:adjustRightInd w:val="0"/>
        <w:snapToGrid w:val="0"/>
        <w:spacing w:line="360" w:lineRule="auto"/>
        <w:jc w:val="both"/>
        <w:rPr>
          <w:rFonts w:ascii="Book Antiqua" w:hAnsi="Book Antiqua"/>
          <w:color w:val="000000" w:themeColor="text1"/>
        </w:rPr>
      </w:pPr>
      <w:r w:rsidRPr="002E2F24">
        <w:rPr>
          <w:rFonts w:ascii="Book Antiqua" w:hAnsi="Book Antiqua"/>
          <w:color w:val="000000" w:themeColor="text1"/>
        </w:rPr>
        <w:t xml:space="preserve">4 </w:t>
      </w:r>
      <w:r w:rsidRPr="002E2F24">
        <w:rPr>
          <w:rFonts w:ascii="Book Antiqua" w:hAnsi="Book Antiqua"/>
          <w:b/>
          <w:bCs/>
          <w:color w:val="000000" w:themeColor="text1"/>
        </w:rPr>
        <w:t>Mosley JF 2nd</w:t>
      </w:r>
      <w:r w:rsidRPr="002E2F24">
        <w:rPr>
          <w:rFonts w:ascii="Book Antiqua" w:hAnsi="Book Antiqua"/>
          <w:color w:val="000000" w:themeColor="text1"/>
        </w:rPr>
        <w:t xml:space="preserve">, Smith L, Everton E, Fellner C. Sodium-Glucose Linked Transporter 2 (SGLT2) Inhibitors in the Management Of Type-2 Diabetes: A Drug Class Overview. </w:t>
      </w:r>
      <w:r w:rsidRPr="002E2F24">
        <w:rPr>
          <w:rFonts w:ascii="Book Antiqua" w:hAnsi="Book Antiqua"/>
          <w:i/>
          <w:iCs/>
          <w:color w:val="000000" w:themeColor="text1"/>
        </w:rPr>
        <w:t>P T</w:t>
      </w:r>
      <w:r w:rsidRPr="002E2F24">
        <w:rPr>
          <w:rFonts w:ascii="Book Antiqua" w:hAnsi="Book Antiqua"/>
          <w:color w:val="000000" w:themeColor="text1"/>
        </w:rPr>
        <w:t xml:space="preserve"> 2015; </w:t>
      </w:r>
      <w:r w:rsidRPr="002E2F24">
        <w:rPr>
          <w:rFonts w:ascii="Book Antiqua" w:hAnsi="Book Antiqua"/>
          <w:b/>
          <w:bCs/>
          <w:color w:val="000000" w:themeColor="text1"/>
        </w:rPr>
        <w:t>40</w:t>
      </w:r>
      <w:r w:rsidRPr="002E2F24">
        <w:rPr>
          <w:rFonts w:ascii="Book Antiqua" w:hAnsi="Book Antiqua"/>
          <w:color w:val="000000" w:themeColor="text1"/>
        </w:rPr>
        <w:t>: 451-462 [PMID: 26185406]</w:t>
      </w:r>
    </w:p>
    <w:p w14:paraId="0461141E" w14:textId="77777777" w:rsidR="004845F0" w:rsidRPr="002E2F24" w:rsidRDefault="004845F0" w:rsidP="004845F0">
      <w:pPr>
        <w:adjustRightInd w:val="0"/>
        <w:snapToGrid w:val="0"/>
        <w:spacing w:line="360" w:lineRule="auto"/>
        <w:jc w:val="both"/>
        <w:rPr>
          <w:rFonts w:ascii="Book Antiqua" w:hAnsi="Book Antiqua"/>
          <w:color w:val="000000" w:themeColor="text1"/>
        </w:rPr>
      </w:pPr>
      <w:r w:rsidRPr="002E2F24">
        <w:rPr>
          <w:rFonts w:ascii="Book Antiqua" w:hAnsi="Book Antiqua"/>
          <w:color w:val="000000" w:themeColor="text1"/>
        </w:rPr>
        <w:t xml:space="preserve">5 </w:t>
      </w:r>
      <w:r w:rsidRPr="002E2F24">
        <w:rPr>
          <w:rFonts w:ascii="Book Antiqua" w:hAnsi="Book Antiqua"/>
          <w:b/>
          <w:bCs/>
          <w:color w:val="000000" w:themeColor="text1"/>
        </w:rPr>
        <w:t>Erondu N</w:t>
      </w:r>
      <w:r w:rsidRPr="002E2F24">
        <w:rPr>
          <w:rFonts w:ascii="Book Antiqua" w:hAnsi="Book Antiqua"/>
          <w:color w:val="000000" w:themeColor="text1"/>
        </w:rPr>
        <w:t xml:space="preserve">, Desai M, Ways K, Meininger G. Diabetic Ketoacidosis and Related Events in the Canagliflozin Type 2 Diabetes Clinical Program. </w:t>
      </w:r>
      <w:r w:rsidRPr="002E2F24">
        <w:rPr>
          <w:rFonts w:ascii="Book Antiqua" w:hAnsi="Book Antiqua"/>
          <w:i/>
          <w:iCs/>
          <w:color w:val="000000" w:themeColor="text1"/>
        </w:rPr>
        <w:t>Diabetes Care</w:t>
      </w:r>
      <w:r w:rsidRPr="002E2F24">
        <w:rPr>
          <w:rFonts w:ascii="Book Antiqua" w:hAnsi="Book Antiqua"/>
          <w:color w:val="000000" w:themeColor="text1"/>
        </w:rPr>
        <w:t xml:space="preserve"> 2015; </w:t>
      </w:r>
      <w:r w:rsidRPr="002E2F24">
        <w:rPr>
          <w:rFonts w:ascii="Book Antiqua" w:hAnsi="Book Antiqua"/>
          <w:b/>
          <w:bCs/>
          <w:color w:val="000000" w:themeColor="text1"/>
        </w:rPr>
        <w:t>38</w:t>
      </w:r>
      <w:r w:rsidRPr="002E2F24">
        <w:rPr>
          <w:rFonts w:ascii="Book Antiqua" w:hAnsi="Book Antiqua"/>
          <w:color w:val="000000" w:themeColor="text1"/>
        </w:rPr>
        <w:t>: 1680-1686 [PMID: 26203064 DOI: 10.2337/dc15-1251]</w:t>
      </w:r>
    </w:p>
    <w:p w14:paraId="1B4D86B6" w14:textId="77777777" w:rsidR="004845F0" w:rsidRPr="002E2F24" w:rsidRDefault="004845F0" w:rsidP="004845F0">
      <w:pPr>
        <w:adjustRightInd w:val="0"/>
        <w:snapToGrid w:val="0"/>
        <w:spacing w:line="360" w:lineRule="auto"/>
        <w:jc w:val="both"/>
        <w:rPr>
          <w:rFonts w:ascii="Book Antiqua" w:hAnsi="Book Antiqua"/>
          <w:color w:val="000000" w:themeColor="text1"/>
        </w:rPr>
      </w:pPr>
      <w:r w:rsidRPr="002E2F24">
        <w:rPr>
          <w:rFonts w:ascii="Book Antiqua" w:hAnsi="Book Antiqua"/>
          <w:color w:val="000000" w:themeColor="text1"/>
        </w:rPr>
        <w:t xml:space="preserve">6 </w:t>
      </w:r>
      <w:r w:rsidRPr="002E2F24">
        <w:rPr>
          <w:rFonts w:ascii="Book Antiqua" w:hAnsi="Book Antiqua"/>
          <w:b/>
          <w:bCs/>
          <w:color w:val="000000" w:themeColor="text1"/>
        </w:rPr>
        <w:t>Umpierrez G</w:t>
      </w:r>
      <w:r w:rsidRPr="002E2F24">
        <w:rPr>
          <w:rFonts w:ascii="Book Antiqua" w:hAnsi="Book Antiqua"/>
          <w:color w:val="000000" w:themeColor="text1"/>
        </w:rPr>
        <w:t xml:space="preserve">, Korytkowski M. Diabetic emergencies - ketoacidosis, hyperglycaemic hyperosmolar state and hypoglycaemia. </w:t>
      </w:r>
      <w:r w:rsidRPr="002E2F24">
        <w:rPr>
          <w:rFonts w:ascii="Book Antiqua" w:hAnsi="Book Antiqua"/>
          <w:i/>
          <w:iCs/>
          <w:color w:val="000000" w:themeColor="text1"/>
        </w:rPr>
        <w:t>Nat Rev Endocrinol</w:t>
      </w:r>
      <w:r w:rsidRPr="002E2F24">
        <w:rPr>
          <w:rFonts w:ascii="Book Antiqua" w:hAnsi="Book Antiqua"/>
          <w:color w:val="000000" w:themeColor="text1"/>
        </w:rPr>
        <w:t xml:space="preserve"> 2016; </w:t>
      </w:r>
      <w:r w:rsidRPr="002E2F24">
        <w:rPr>
          <w:rFonts w:ascii="Book Antiqua" w:hAnsi="Book Antiqua"/>
          <w:b/>
          <w:bCs/>
          <w:color w:val="000000" w:themeColor="text1"/>
        </w:rPr>
        <w:t>12</w:t>
      </w:r>
      <w:r w:rsidRPr="002E2F24">
        <w:rPr>
          <w:rFonts w:ascii="Book Antiqua" w:hAnsi="Book Antiqua"/>
          <w:color w:val="000000" w:themeColor="text1"/>
        </w:rPr>
        <w:t>: 222-232 [PMID: 26893262 DOI: 10.1038/nrendo.2016.15]</w:t>
      </w:r>
    </w:p>
    <w:p w14:paraId="0835B65C" w14:textId="77777777" w:rsidR="004845F0" w:rsidRPr="002E2F24" w:rsidRDefault="004845F0" w:rsidP="004845F0">
      <w:pPr>
        <w:adjustRightInd w:val="0"/>
        <w:snapToGrid w:val="0"/>
        <w:spacing w:line="360" w:lineRule="auto"/>
        <w:jc w:val="both"/>
        <w:rPr>
          <w:rFonts w:ascii="Book Antiqua" w:hAnsi="Book Antiqua"/>
          <w:color w:val="000000" w:themeColor="text1"/>
        </w:rPr>
      </w:pPr>
      <w:r w:rsidRPr="002E2F24">
        <w:rPr>
          <w:rFonts w:ascii="Book Antiqua" w:hAnsi="Book Antiqua"/>
          <w:color w:val="000000" w:themeColor="text1"/>
        </w:rPr>
        <w:lastRenderedPageBreak/>
        <w:t xml:space="preserve">7 </w:t>
      </w:r>
      <w:r w:rsidRPr="002E2F24">
        <w:rPr>
          <w:rFonts w:ascii="Book Antiqua" w:hAnsi="Book Antiqua"/>
          <w:b/>
          <w:bCs/>
          <w:color w:val="000000" w:themeColor="text1"/>
        </w:rPr>
        <w:t>Peters AL</w:t>
      </w:r>
      <w:r w:rsidRPr="002E2F24">
        <w:rPr>
          <w:rFonts w:ascii="Book Antiqua" w:hAnsi="Book Antiqua"/>
          <w:color w:val="000000" w:themeColor="text1"/>
        </w:rPr>
        <w:t xml:space="preserve">, Buschur EO, Buse JB, Cohan P, Diner JC, Hirsch IB. Euglycemic Diabetic Ketoacidosis: A Potential Complication of Treatment With Sodium-Glucose Cotransporter 2 Inhibition. </w:t>
      </w:r>
      <w:r w:rsidRPr="002E2F24">
        <w:rPr>
          <w:rFonts w:ascii="Book Antiqua" w:hAnsi="Book Antiqua"/>
          <w:i/>
          <w:iCs/>
          <w:color w:val="000000" w:themeColor="text1"/>
        </w:rPr>
        <w:t>Diabetes Care</w:t>
      </w:r>
      <w:r w:rsidRPr="002E2F24">
        <w:rPr>
          <w:rFonts w:ascii="Book Antiqua" w:hAnsi="Book Antiqua"/>
          <w:color w:val="000000" w:themeColor="text1"/>
        </w:rPr>
        <w:t xml:space="preserve"> 2015; </w:t>
      </w:r>
      <w:r w:rsidRPr="002E2F24">
        <w:rPr>
          <w:rFonts w:ascii="Book Antiqua" w:hAnsi="Book Antiqua"/>
          <w:b/>
          <w:bCs/>
          <w:color w:val="000000" w:themeColor="text1"/>
        </w:rPr>
        <w:t>38</w:t>
      </w:r>
      <w:r w:rsidRPr="002E2F24">
        <w:rPr>
          <w:rFonts w:ascii="Book Antiqua" w:hAnsi="Book Antiqua"/>
          <w:color w:val="000000" w:themeColor="text1"/>
        </w:rPr>
        <w:t>: 1687-1693 [PMID: 26078479 DOI: 10.2337/dc15-0843]</w:t>
      </w:r>
    </w:p>
    <w:p w14:paraId="0FA18A6B" w14:textId="77777777" w:rsidR="004845F0" w:rsidRPr="002E2F24" w:rsidRDefault="004845F0" w:rsidP="004845F0">
      <w:pPr>
        <w:adjustRightInd w:val="0"/>
        <w:snapToGrid w:val="0"/>
        <w:spacing w:line="360" w:lineRule="auto"/>
        <w:jc w:val="both"/>
        <w:rPr>
          <w:rFonts w:ascii="Book Antiqua" w:hAnsi="Book Antiqua"/>
          <w:color w:val="000000" w:themeColor="text1"/>
        </w:rPr>
      </w:pPr>
      <w:r w:rsidRPr="002E2F24">
        <w:rPr>
          <w:rFonts w:ascii="Book Antiqua" w:hAnsi="Book Antiqua"/>
          <w:color w:val="000000" w:themeColor="text1"/>
        </w:rPr>
        <w:t xml:space="preserve">8 </w:t>
      </w:r>
      <w:r w:rsidRPr="002E2F24">
        <w:rPr>
          <w:rFonts w:ascii="Book Antiqua" w:hAnsi="Book Antiqua"/>
          <w:b/>
          <w:bCs/>
          <w:color w:val="000000" w:themeColor="text1"/>
        </w:rPr>
        <w:t>Yu X</w:t>
      </w:r>
      <w:r w:rsidRPr="002E2F24">
        <w:rPr>
          <w:rFonts w:ascii="Book Antiqua" w:hAnsi="Book Antiqua"/>
          <w:color w:val="000000" w:themeColor="text1"/>
        </w:rPr>
        <w:t xml:space="preserve">, Zhang S, Zhang L. Newer Perspectives of Mechanisms for Euglycemic Diabetic Ketoacidosis. </w:t>
      </w:r>
      <w:r w:rsidRPr="002E2F24">
        <w:rPr>
          <w:rFonts w:ascii="Book Antiqua" w:hAnsi="Book Antiqua"/>
          <w:i/>
          <w:iCs/>
          <w:color w:val="000000" w:themeColor="text1"/>
        </w:rPr>
        <w:t>Int J Endocrinol</w:t>
      </w:r>
      <w:r w:rsidRPr="002E2F24">
        <w:rPr>
          <w:rFonts w:ascii="Book Antiqua" w:hAnsi="Book Antiqua"/>
          <w:color w:val="000000" w:themeColor="text1"/>
        </w:rPr>
        <w:t xml:space="preserve"> 2018; </w:t>
      </w:r>
      <w:r w:rsidRPr="002E2F24">
        <w:rPr>
          <w:rFonts w:ascii="Book Antiqua" w:hAnsi="Book Antiqua"/>
          <w:b/>
          <w:bCs/>
          <w:color w:val="000000" w:themeColor="text1"/>
        </w:rPr>
        <w:t>2018</w:t>
      </w:r>
      <w:r w:rsidRPr="002E2F24">
        <w:rPr>
          <w:rFonts w:ascii="Book Antiqua" w:hAnsi="Book Antiqua"/>
          <w:color w:val="000000" w:themeColor="text1"/>
        </w:rPr>
        <w:t>: 7074868 [PMID: 30369948 DOI: 10.1155/2018/7074868]</w:t>
      </w:r>
    </w:p>
    <w:p w14:paraId="4347D7AE" w14:textId="77777777" w:rsidR="004845F0" w:rsidRPr="002E2F24" w:rsidRDefault="004845F0" w:rsidP="004845F0">
      <w:pPr>
        <w:adjustRightInd w:val="0"/>
        <w:snapToGrid w:val="0"/>
        <w:spacing w:line="360" w:lineRule="auto"/>
        <w:jc w:val="both"/>
        <w:rPr>
          <w:rFonts w:ascii="Book Antiqua" w:hAnsi="Book Antiqua"/>
          <w:color w:val="000000" w:themeColor="text1"/>
        </w:rPr>
      </w:pPr>
      <w:r w:rsidRPr="002E2F24">
        <w:rPr>
          <w:rFonts w:ascii="Book Antiqua" w:hAnsi="Book Antiqua"/>
          <w:color w:val="000000" w:themeColor="text1"/>
        </w:rPr>
        <w:t xml:space="preserve">9 </w:t>
      </w:r>
      <w:r w:rsidRPr="002E2F24">
        <w:rPr>
          <w:rFonts w:ascii="Book Antiqua" w:hAnsi="Book Antiqua"/>
          <w:b/>
          <w:bCs/>
          <w:color w:val="000000" w:themeColor="text1"/>
        </w:rPr>
        <w:t>Jenkins D</w:t>
      </w:r>
      <w:r w:rsidRPr="002E2F24">
        <w:rPr>
          <w:rFonts w:ascii="Book Antiqua" w:hAnsi="Book Antiqua"/>
          <w:color w:val="000000" w:themeColor="text1"/>
        </w:rPr>
        <w:t xml:space="preserve">, Close CF, Krentz AJ, Nattrass M, Wright AD. Euglycaemic diabetic ketoacidosis: does it exist? </w:t>
      </w:r>
      <w:r w:rsidRPr="002E2F24">
        <w:rPr>
          <w:rFonts w:ascii="Book Antiqua" w:hAnsi="Book Antiqua"/>
          <w:i/>
          <w:iCs/>
          <w:color w:val="000000" w:themeColor="text1"/>
        </w:rPr>
        <w:t>Acta Diabetol</w:t>
      </w:r>
      <w:r w:rsidRPr="002E2F24">
        <w:rPr>
          <w:rFonts w:ascii="Book Antiqua" w:hAnsi="Book Antiqua"/>
          <w:color w:val="000000" w:themeColor="text1"/>
        </w:rPr>
        <w:t xml:space="preserve"> 1993; </w:t>
      </w:r>
      <w:r w:rsidRPr="002E2F24">
        <w:rPr>
          <w:rFonts w:ascii="Book Antiqua" w:hAnsi="Book Antiqua"/>
          <w:b/>
          <w:bCs/>
          <w:color w:val="000000" w:themeColor="text1"/>
        </w:rPr>
        <w:t>30</w:t>
      </w:r>
      <w:r w:rsidRPr="002E2F24">
        <w:rPr>
          <w:rFonts w:ascii="Book Antiqua" w:hAnsi="Book Antiqua"/>
          <w:color w:val="000000" w:themeColor="text1"/>
        </w:rPr>
        <w:t>: 251-253 [PMID: 8180418 DOI: 10.1007/BF00569937]</w:t>
      </w:r>
    </w:p>
    <w:p w14:paraId="3629F984" w14:textId="77777777" w:rsidR="004845F0" w:rsidRPr="002E2F24" w:rsidRDefault="004845F0" w:rsidP="004845F0">
      <w:pPr>
        <w:adjustRightInd w:val="0"/>
        <w:snapToGrid w:val="0"/>
        <w:spacing w:line="360" w:lineRule="auto"/>
        <w:jc w:val="both"/>
        <w:rPr>
          <w:rFonts w:ascii="Book Antiqua" w:hAnsi="Book Antiqua"/>
          <w:color w:val="000000" w:themeColor="text1"/>
        </w:rPr>
      </w:pPr>
      <w:r w:rsidRPr="002E2F24">
        <w:rPr>
          <w:rFonts w:ascii="Book Antiqua" w:hAnsi="Book Antiqua"/>
          <w:color w:val="000000" w:themeColor="text1"/>
        </w:rPr>
        <w:t xml:space="preserve">10 </w:t>
      </w:r>
      <w:r w:rsidRPr="002E2F24">
        <w:rPr>
          <w:rFonts w:ascii="Book Antiqua" w:hAnsi="Book Antiqua"/>
          <w:b/>
          <w:bCs/>
          <w:color w:val="000000" w:themeColor="text1"/>
        </w:rPr>
        <w:t>Rosenstock J</w:t>
      </w:r>
      <w:r w:rsidRPr="002E2F24">
        <w:rPr>
          <w:rFonts w:ascii="Book Antiqua" w:hAnsi="Book Antiqua"/>
          <w:color w:val="000000" w:themeColor="text1"/>
        </w:rPr>
        <w:t xml:space="preserve">, Ferrannini E. Euglycemic Diabetic Ketoacidosis: A Predictable, Detectable, and Preventable Safety Concern With SGLT2 Inhibitors. </w:t>
      </w:r>
      <w:r w:rsidRPr="002E2F24">
        <w:rPr>
          <w:rFonts w:ascii="Book Antiqua" w:hAnsi="Book Antiqua"/>
          <w:i/>
          <w:iCs/>
          <w:color w:val="000000" w:themeColor="text1"/>
        </w:rPr>
        <w:t>Diabetes Care</w:t>
      </w:r>
      <w:r w:rsidRPr="002E2F24">
        <w:rPr>
          <w:rFonts w:ascii="Book Antiqua" w:hAnsi="Book Antiqua"/>
          <w:color w:val="000000" w:themeColor="text1"/>
        </w:rPr>
        <w:t xml:space="preserve"> 2015; </w:t>
      </w:r>
      <w:r w:rsidRPr="002E2F24">
        <w:rPr>
          <w:rFonts w:ascii="Book Antiqua" w:hAnsi="Book Antiqua"/>
          <w:b/>
          <w:bCs/>
          <w:color w:val="000000" w:themeColor="text1"/>
        </w:rPr>
        <w:t>38</w:t>
      </w:r>
      <w:r w:rsidRPr="002E2F24">
        <w:rPr>
          <w:rFonts w:ascii="Book Antiqua" w:hAnsi="Book Antiqua"/>
          <w:color w:val="000000" w:themeColor="text1"/>
        </w:rPr>
        <w:t>: 1638-1642 [PMID: 26294774 DOI: 10.2337/dc15-1380]</w:t>
      </w:r>
    </w:p>
    <w:p w14:paraId="0356057D" w14:textId="77777777" w:rsidR="004845F0" w:rsidRPr="002E2F24" w:rsidRDefault="004845F0" w:rsidP="004845F0">
      <w:pPr>
        <w:adjustRightInd w:val="0"/>
        <w:snapToGrid w:val="0"/>
        <w:spacing w:line="360" w:lineRule="auto"/>
        <w:jc w:val="both"/>
        <w:rPr>
          <w:rFonts w:ascii="Book Antiqua" w:hAnsi="Book Antiqua"/>
          <w:color w:val="000000" w:themeColor="text1"/>
        </w:rPr>
      </w:pPr>
      <w:r w:rsidRPr="002E2F24">
        <w:rPr>
          <w:rFonts w:ascii="Book Antiqua" w:hAnsi="Book Antiqua"/>
          <w:color w:val="000000" w:themeColor="text1"/>
        </w:rPr>
        <w:t xml:space="preserve">11 </w:t>
      </w:r>
      <w:r w:rsidRPr="002E2F24">
        <w:rPr>
          <w:rFonts w:ascii="Book Antiqua" w:hAnsi="Book Antiqua"/>
          <w:b/>
          <w:bCs/>
          <w:color w:val="000000" w:themeColor="text1"/>
        </w:rPr>
        <w:t>Pfützner A</w:t>
      </w:r>
      <w:r w:rsidRPr="002E2F24">
        <w:rPr>
          <w:rFonts w:ascii="Book Antiqua" w:hAnsi="Book Antiqua"/>
          <w:color w:val="000000" w:themeColor="text1"/>
        </w:rPr>
        <w:t xml:space="preserve">, Klonoff D, Heinemann L, Ejskjaer N, Pickup J. Euglycemic ketosis in patients with type 2 diabetes on SGLT2-inhibitor therapy-an emerging problem and solutions offered by diabetes technology. </w:t>
      </w:r>
      <w:r w:rsidRPr="002E2F24">
        <w:rPr>
          <w:rFonts w:ascii="Book Antiqua" w:hAnsi="Book Antiqua"/>
          <w:i/>
          <w:iCs/>
          <w:color w:val="000000" w:themeColor="text1"/>
        </w:rPr>
        <w:t>Endocrine</w:t>
      </w:r>
      <w:r w:rsidRPr="002E2F24">
        <w:rPr>
          <w:rFonts w:ascii="Book Antiqua" w:hAnsi="Book Antiqua"/>
          <w:color w:val="000000" w:themeColor="text1"/>
        </w:rPr>
        <w:t xml:space="preserve"> 2017; </w:t>
      </w:r>
      <w:r w:rsidRPr="002E2F24">
        <w:rPr>
          <w:rFonts w:ascii="Book Antiqua" w:hAnsi="Book Antiqua"/>
          <w:b/>
          <w:bCs/>
          <w:color w:val="000000" w:themeColor="text1"/>
        </w:rPr>
        <w:t>56</w:t>
      </w:r>
      <w:r w:rsidRPr="002E2F24">
        <w:rPr>
          <w:rFonts w:ascii="Book Antiqua" w:hAnsi="Book Antiqua"/>
          <w:color w:val="000000" w:themeColor="text1"/>
        </w:rPr>
        <w:t>: 212-216 [PMID: 28303514 DOI: 10.1007/s12020-017-1264-y]</w:t>
      </w:r>
    </w:p>
    <w:p w14:paraId="161D394C" w14:textId="77777777" w:rsidR="004845F0" w:rsidRPr="002E2F24" w:rsidRDefault="004845F0" w:rsidP="004845F0">
      <w:pPr>
        <w:adjustRightInd w:val="0"/>
        <w:snapToGrid w:val="0"/>
        <w:spacing w:line="360" w:lineRule="auto"/>
        <w:jc w:val="both"/>
        <w:rPr>
          <w:rFonts w:ascii="Book Antiqua" w:hAnsi="Book Antiqua"/>
          <w:color w:val="000000" w:themeColor="text1"/>
        </w:rPr>
      </w:pPr>
      <w:r w:rsidRPr="002E2F24">
        <w:rPr>
          <w:rFonts w:ascii="Book Antiqua" w:hAnsi="Book Antiqua"/>
          <w:color w:val="000000" w:themeColor="text1"/>
        </w:rPr>
        <w:t xml:space="preserve">12 </w:t>
      </w:r>
      <w:r w:rsidRPr="002E2F24">
        <w:rPr>
          <w:rFonts w:ascii="Book Antiqua" w:hAnsi="Book Antiqua"/>
          <w:b/>
          <w:bCs/>
          <w:color w:val="000000" w:themeColor="text1"/>
        </w:rPr>
        <w:t>NCD Risk Factor Collaboration (NCD-RisC)</w:t>
      </w:r>
      <w:r w:rsidRPr="002E2F24">
        <w:rPr>
          <w:rFonts w:ascii="Book Antiqua" w:hAnsi="Book Antiqua"/>
          <w:color w:val="000000" w:themeColor="text1"/>
        </w:rPr>
        <w:t xml:space="preserve">. Worldwide trends in diabetes since 1980: a pooled analysis of 751 population-based studies with 4.4 million participants. </w:t>
      </w:r>
      <w:r w:rsidRPr="002E2F24">
        <w:rPr>
          <w:rFonts w:ascii="Book Antiqua" w:hAnsi="Book Antiqua"/>
          <w:i/>
          <w:iCs/>
          <w:color w:val="000000" w:themeColor="text1"/>
        </w:rPr>
        <w:t>Lancet</w:t>
      </w:r>
      <w:r w:rsidRPr="002E2F24">
        <w:rPr>
          <w:rFonts w:ascii="Book Antiqua" w:hAnsi="Book Antiqua"/>
          <w:color w:val="000000" w:themeColor="text1"/>
        </w:rPr>
        <w:t xml:space="preserve"> 2016; </w:t>
      </w:r>
      <w:r w:rsidRPr="002E2F24">
        <w:rPr>
          <w:rFonts w:ascii="Book Antiqua" w:hAnsi="Book Antiqua"/>
          <w:b/>
          <w:bCs/>
          <w:color w:val="000000" w:themeColor="text1"/>
        </w:rPr>
        <w:t>387</w:t>
      </w:r>
      <w:r w:rsidRPr="002E2F24">
        <w:rPr>
          <w:rFonts w:ascii="Book Antiqua" w:hAnsi="Book Antiqua"/>
          <w:color w:val="000000" w:themeColor="text1"/>
        </w:rPr>
        <w:t>: 1513-1530 [PMID: 27061677 DOI: 10.1016/S0140-6736(16)00618-8]</w:t>
      </w:r>
    </w:p>
    <w:p w14:paraId="7A2BC484" w14:textId="77777777" w:rsidR="004845F0" w:rsidRPr="002E2F24" w:rsidRDefault="004845F0" w:rsidP="004845F0">
      <w:pPr>
        <w:adjustRightInd w:val="0"/>
        <w:snapToGrid w:val="0"/>
        <w:spacing w:line="360" w:lineRule="auto"/>
        <w:jc w:val="both"/>
        <w:rPr>
          <w:rFonts w:ascii="Book Antiqua" w:hAnsi="Book Antiqua"/>
          <w:color w:val="000000" w:themeColor="text1"/>
        </w:rPr>
      </w:pPr>
      <w:r w:rsidRPr="002E2F24">
        <w:rPr>
          <w:rFonts w:ascii="Book Antiqua" w:hAnsi="Book Antiqua"/>
          <w:color w:val="000000" w:themeColor="text1"/>
        </w:rPr>
        <w:t xml:space="preserve">13 </w:t>
      </w:r>
      <w:r w:rsidRPr="002E2F24">
        <w:rPr>
          <w:rFonts w:ascii="Book Antiqua" w:hAnsi="Book Antiqua"/>
          <w:b/>
          <w:bCs/>
          <w:color w:val="000000" w:themeColor="text1"/>
        </w:rPr>
        <w:t>Blau JE</w:t>
      </w:r>
      <w:r w:rsidRPr="002E2F24">
        <w:rPr>
          <w:rFonts w:ascii="Book Antiqua" w:hAnsi="Book Antiqua"/>
          <w:color w:val="000000" w:themeColor="text1"/>
        </w:rPr>
        <w:t xml:space="preserve">, Tella SH, Taylor SI, Rother KI. Ketoacidosis associated with SGLT2 inhibitor treatment: Analysis of FAERS data. </w:t>
      </w:r>
      <w:r w:rsidRPr="002E2F24">
        <w:rPr>
          <w:rFonts w:ascii="Book Antiqua" w:hAnsi="Book Antiqua"/>
          <w:i/>
          <w:iCs/>
          <w:color w:val="000000" w:themeColor="text1"/>
        </w:rPr>
        <w:t>Diabetes Metab Res Rev</w:t>
      </w:r>
      <w:r w:rsidRPr="002E2F24">
        <w:rPr>
          <w:rFonts w:ascii="Book Antiqua" w:hAnsi="Book Antiqua"/>
          <w:color w:val="000000" w:themeColor="text1"/>
        </w:rPr>
        <w:t xml:space="preserve"> 2017; </w:t>
      </w:r>
      <w:r w:rsidRPr="002E2F24">
        <w:rPr>
          <w:rFonts w:ascii="Book Antiqua" w:hAnsi="Book Antiqua"/>
          <w:b/>
          <w:bCs/>
          <w:color w:val="000000" w:themeColor="text1"/>
        </w:rPr>
        <w:t>33</w:t>
      </w:r>
      <w:r w:rsidRPr="002E2F24">
        <w:rPr>
          <w:rFonts w:ascii="Book Antiqua" w:hAnsi="Book Antiqua"/>
          <w:color w:val="000000" w:themeColor="text1"/>
        </w:rPr>
        <w:t xml:space="preserve"> [PMID: 28736981 DOI: 10.1002/dmrr.2924]</w:t>
      </w:r>
    </w:p>
    <w:p w14:paraId="7C1EE6B9" w14:textId="77777777" w:rsidR="004845F0" w:rsidRPr="002E2F24" w:rsidRDefault="004845F0" w:rsidP="004845F0">
      <w:pPr>
        <w:adjustRightInd w:val="0"/>
        <w:snapToGrid w:val="0"/>
        <w:spacing w:line="360" w:lineRule="auto"/>
        <w:jc w:val="both"/>
        <w:rPr>
          <w:rFonts w:ascii="Book Antiqua" w:hAnsi="Book Antiqua"/>
          <w:color w:val="000000" w:themeColor="text1"/>
        </w:rPr>
      </w:pPr>
      <w:r w:rsidRPr="002E2F24">
        <w:rPr>
          <w:rFonts w:ascii="Book Antiqua" w:hAnsi="Book Antiqua"/>
          <w:color w:val="000000" w:themeColor="text1"/>
        </w:rPr>
        <w:t xml:space="preserve">14 </w:t>
      </w:r>
      <w:r w:rsidRPr="002E2F24">
        <w:rPr>
          <w:rFonts w:ascii="Book Antiqua" w:hAnsi="Book Antiqua"/>
          <w:b/>
          <w:bCs/>
          <w:color w:val="000000" w:themeColor="text1"/>
        </w:rPr>
        <w:t>Dandona P</w:t>
      </w:r>
      <w:r w:rsidRPr="002E2F24">
        <w:rPr>
          <w:rFonts w:ascii="Book Antiqua" w:hAnsi="Book Antiqua"/>
          <w:color w:val="000000" w:themeColor="text1"/>
        </w:rPr>
        <w:t xml:space="preserve">, Mathieu C, Phillip M, Hansen L, Tschöpe D, Thorén F, Xu J, Langkilde AM; DEPICT-1 Investigators. Efficacy and Safety of Dapagliflozin in Patients With Inadequately Controlled Type 1 Diabetes: The DEPICT-1 52-Week Study. </w:t>
      </w:r>
      <w:r w:rsidRPr="002E2F24">
        <w:rPr>
          <w:rFonts w:ascii="Book Antiqua" w:hAnsi="Book Antiqua"/>
          <w:i/>
          <w:iCs/>
          <w:color w:val="000000" w:themeColor="text1"/>
        </w:rPr>
        <w:t>Diabetes Care</w:t>
      </w:r>
      <w:r w:rsidRPr="002E2F24">
        <w:rPr>
          <w:rFonts w:ascii="Book Antiqua" w:hAnsi="Book Antiqua"/>
          <w:color w:val="000000" w:themeColor="text1"/>
        </w:rPr>
        <w:t xml:space="preserve"> 2018; </w:t>
      </w:r>
      <w:r w:rsidRPr="002E2F24">
        <w:rPr>
          <w:rFonts w:ascii="Book Antiqua" w:hAnsi="Book Antiqua"/>
          <w:b/>
          <w:bCs/>
          <w:color w:val="000000" w:themeColor="text1"/>
        </w:rPr>
        <w:t>41</w:t>
      </w:r>
      <w:r w:rsidRPr="002E2F24">
        <w:rPr>
          <w:rFonts w:ascii="Book Antiqua" w:hAnsi="Book Antiqua"/>
          <w:color w:val="000000" w:themeColor="text1"/>
        </w:rPr>
        <w:t>: 2552-2559 [PMID: 30352894 DOI: 10.2337/dc18-1087]</w:t>
      </w:r>
    </w:p>
    <w:p w14:paraId="48864144" w14:textId="77777777" w:rsidR="004845F0" w:rsidRPr="002E2F24" w:rsidRDefault="004845F0" w:rsidP="004845F0">
      <w:pPr>
        <w:adjustRightInd w:val="0"/>
        <w:snapToGrid w:val="0"/>
        <w:spacing w:line="360" w:lineRule="auto"/>
        <w:jc w:val="both"/>
        <w:rPr>
          <w:rFonts w:ascii="Book Antiqua" w:hAnsi="Book Antiqua"/>
          <w:color w:val="000000" w:themeColor="text1"/>
        </w:rPr>
      </w:pPr>
      <w:r w:rsidRPr="002E2F24">
        <w:rPr>
          <w:rFonts w:ascii="Book Antiqua" w:hAnsi="Book Antiqua"/>
          <w:color w:val="000000" w:themeColor="text1"/>
        </w:rPr>
        <w:t xml:space="preserve">15 </w:t>
      </w:r>
      <w:r w:rsidRPr="002E2F24">
        <w:rPr>
          <w:rFonts w:ascii="Book Antiqua" w:hAnsi="Book Antiqua"/>
          <w:b/>
          <w:bCs/>
          <w:color w:val="000000" w:themeColor="text1"/>
        </w:rPr>
        <w:t>Rosenstock J</w:t>
      </w:r>
      <w:r w:rsidRPr="002E2F24">
        <w:rPr>
          <w:rFonts w:ascii="Book Antiqua" w:hAnsi="Book Antiqua"/>
          <w:color w:val="000000" w:themeColor="text1"/>
        </w:rPr>
        <w:t xml:space="preserve">, Marquard J, Laffel LM, Neubacher D, Kaspers S, Cherney DZ, Zinman B, Skyler JS, George J, Soleymanlou N, Perkins BA. Empagliflozin as Adjunctive to </w:t>
      </w:r>
      <w:r w:rsidRPr="002E2F24">
        <w:rPr>
          <w:rFonts w:ascii="Book Antiqua" w:hAnsi="Book Antiqua"/>
          <w:color w:val="000000" w:themeColor="text1"/>
        </w:rPr>
        <w:lastRenderedPageBreak/>
        <w:t xml:space="preserve">Insulin Therapy in Type 1 Diabetes: The EASE Trials. </w:t>
      </w:r>
      <w:r w:rsidRPr="002E2F24">
        <w:rPr>
          <w:rFonts w:ascii="Book Antiqua" w:hAnsi="Book Antiqua"/>
          <w:i/>
          <w:iCs/>
          <w:color w:val="000000" w:themeColor="text1"/>
        </w:rPr>
        <w:t>Diabetes Care</w:t>
      </w:r>
      <w:r w:rsidRPr="002E2F24">
        <w:rPr>
          <w:rFonts w:ascii="Book Antiqua" w:hAnsi="Book Antiqua"/>
          <w:color w:val="000000" w:themeColor="text1"/>
        </w:rPr>
        <w:t xml:space="preserve"> 2018; </w:t>
      </w:r>
      <w:r w:rsidRPr="002E2F24">
        <w:rPr>
          <w:rFonts w:ascii="Book Antiqua" w:hAnsi="Book Antiqua"/>
          <w:b/>
          <w:bCs/>
          <w:color w:val="000000" w:themeColor="text1"/>
        </w:rPr>
        <w:t>41</w:t>
      </w:r>
      <w:r w:rsidRPr="002E2F24">
        <w:rPr>
          <w:rFonts w:ascii="Book Antiqua" w:hAnsi="Book Antiqua"/>
          <w:color w:val="000000" w:themeColor="text1"/>
        </w:rPr>
        <w:t>: 2560-2569 [PMID: 30287422 DOI: 10.2337/dc18-1749]</w:t>
      </w:r>
    </w:p>
    <w:p w14:paraId="6182A37F" w14:textId="77777777" w:rsidR="004845F0" w:rsidRPr="002E2F24" w:rsidRDefault="004845F0" w:rsidP="004845F0">
      <w:pPr>
        <w:adjustRightInd w:val="0"/>
        <w:snapToGrid w:val="0"/>
        <w:spacing w:line="360" w:lineRule="auto"/>
        <w:jc w:val="both"/>
        <w:rPr>
          <w:rFonts w:ascii="Book Antiqua" w:hAnsi="Book Antiqua"/>
          <w:color w:val="000000" w:themeColor="text1"/>
        </w:rPr>
      </w:pPr>
      <w:r w:rsidRPr="002E2F24">
        <w:rPr>
          <w:rFonts w:ascii="Book Antiqua" w:hAnsi="Book Antiqua"/>
          <w:color w:val="000000" w:themeColor="text1"/>
        </w:rPr>
        <w:t xml:space="preserve">16 </w:t>
      </w:r>
      <w:r w:rsidRPr="002E2F24">
        <w:rPr>
          <w:rFonts w:ascii="Book Antiqua" w:hAnsi="Book Antiqua"/>
          <w:b/>
          <w:bCs/>
          <w:color w:val="000000" w:themeColor="text1"/>
        </w:rPr>
        <w:t>Snaith JR</w:t>
      </w:r>
      <w:r w:rsidRPr="002E2F24">
        <w:rPr>
          <w:rFonts w:ascii="Book Antiqua" w:hAnsi="Book Antiqua"/>
          <w:color w:val="000000" w:themeColor="text1"/>
        </w:rPr>
        <w:t xml:space="preserve">, Holmes-Walker DJ, Greenfield JR. Reducing Type 1 Diabetes Mortality: Role for Adjunctive Therapies? </w:t>
      </w:r>
      <w:r w:rsidRPr="002E2F24">
        <w:rPr>
          <w:rFonts w:ascii="Book Antiqua" w:hAnsi="Book Antiqua"/>
          <w:i/>
          <w:iCs/>
          <w:color w:val="000000" w:themeColor="text1"/>
        </w:rPr>
        <w:t>Trends Endocrinol Metab</w:t>
      </w:r>
      <w:r w:rsidRPr="002E2F24">
        <w:rPr>
          <w:rFonts w:ascii="Book Antiqua" w:hAnsi="Book Antiqua"/>
          <w:color w:val="000000" w:themeColor="text1"/>
        </w:rPr>
        <w:t xml:space="preserve"> 2020; </w:t>
      </w:r>
      <w:r w:rsidRPr="002E2F24">
        <w:rPr>
          <w:rFonts w:ascii="Book Antiqua" w:hAnsi="Book Antiqua"/>
          <w:b/>
          <w:bCs/>
          <w:color w:val="000000" w:themeColor="text1"/>
        </w:rPr>
        <w:t>31</w:t>
      </w:r>
      <w:r w:rsidRPr="002E2F24">
        <w:rPr>
          <w:rFonts w:ascii="Book Antiqua" w:hAnsi="Book Antiqua"/>
          <w:color w:val="000000" w:themeColor="text1"/>
        </w:rPr>
        <w:t>: 150-164 [PMID: 31822381 DOI: 10.1016/j.tem.2019.11.007]</w:t>
      </w:r>
    </w:p>
    <w:p w14:paraId="6BC71826" w14:textId="77777777" w:rsidR="004845F0" w:rsidRPr="002E2F24" w:rsidRDefault="004845F0" w:rsidP="004845F0">
      <w:pPr>
        <w:adjustRightInd w:val="0"/>
        <w:snapToGrid w:val="0"/>
        <w:spacing w:line="360" w:lineRule="auto"/>
        <w:jc w:val="both"/>
        <w:rPr>
          <w:rFonts w:ascii="Book Antiqua" w:hAnsi="Book Antiqua"/>
          <w:color w:val="000000" w:themeColor="text1"/>
        </w:rPr>
      </w:pPr>
      <w:r w:rsidRPr="002E2F24">
        <w:rPr>
          <w:rFonts w:ascii="Book Antiqua" w:hAnsi="Book Antiqua"/>
          <w:color w:val="000000" w:themeColor="text1"/>
        </w:rPr>
        <w:t xml:space="preserve">17 </w:t>
      </w:r>
      <w:r w:rsidRPr="002E2F24">
        <w:rPr>
          <w:rFonts w:ascii="Book Antiqua" w:hAnsi="Book Antiqua"/>
          <w:b/>
          <w:bCs/>
          <w:color w:val="000000" w:themeColor="text1"/>
        </w:rPr>
        <w:t>Henry RR</w:t>
      </w:r>
      <w:r w:rsidRPr="002E2F24">
        <w:rPr>
          <w:rFonts w:ascii="Book Antiqua" w:hAnsi="Book Antiqua"/>
          <w:color w:val="000000" w:themeColor="text1"/>
        </w:rPr>
        <w:t xml:space="preserve">, Thakkar P, Tong C, Polidori D, Alba M. Efficacy and Safety of Canagliflozin, a Sodium-Glucose Cotransporter 2 Inhibitor, as Add-on to Insulin in Patients With Type 1 Diabetes. </w:t>
      </w:r>
      <w:r w:rsidRPr="002E2F24">
        <w:rPr>
          <w:rFonts w:ascii="Book Antiqua" w:hAnsi="Book Antiqua"/>
          <w:i/>
          <w:iCs/>
          <w:color w:val="000000" w:themeColor="text1"/>
        </w:rPr>
        <w:t>Diabetes Care</w:t>
      </w:r>
      <w:r w:rsidRPr="002E2F24">
        <w:rPr>
          <w:rFonts w:ascii="Book Antiqua" w:hAnsi="Book Antiqua"/>
          <w:color w:val="000000" w:themeColor="text1"/>
        </w:rPr>
        <w:t xml:space="preserve"> 2015; </w:t>
      </w:r>
      <w:r w:rsidRPr="002E2F24">
        <w:rPr>
          <w:rFonts w:ascii="Book Antiqua" w:hAnsi="Book Antiqua"/>
          <w:b/>
          <w:bCs/>
          <w:color w:val="000000" w:themeColor="text1"/>
        </w:rPr>
        <w:t>38</w:t>
      </w:r>
      <w:r w:rsidRPr="002E2F24">
        <w:rPr>
          <w:rFonts w:ascii="Book Antiqua" w:hAnsi="Book Antiqua"/>
          <w:color w:val="000000" w:themeColor="text1"/>
        </w:rPr>
        <w:t>: 2258-2265 [PMID: 26486192 DOI: 10.2337/dc15-1730]</w:t>
      </w:r>
    </w:p>
    <w:p w14:paraId="4FF661EA" w14:textId="77777777" w:rsidR="004845F0" w:rsidRPr="002E2F24" w:rsidRDefault="004845F0" w:rsidP="004845F0">
      <w:pPr>
        <w:adjustRightInd w:val="0"/>
        <w:snapToGrid w:val="0"/>
        <w:spacing w:line="360" w:lineRule="auto"/>
        <w:jc w:val="both"/>
        <w:rPr>
          <w:rFonts w:ascii="Book Antiqua" w:hAnsi="Book Antiqua"/>
          <w:color w:val="000000" w:themeColor="text1"/>
        </w:rPr>
      </w:pPr>
      <w:r w:rsidRPr="002E2F24">
        <w:rPr>
          <w:rFonts w:ascii="Book Antiqua" w:hAnsi="Book Antiqua"/>
          <w:color w:val="000000" w:themeColor="text1"/>
        </w:rPr>
        <w:t xml:space="preserve">18 </w:t>
      </w:r>
      <w:r w:rsidRPr="002E2F24">
        <w:rPr>
          <w:rFonts w:ascii="Book Antiqua" w:hAnsi="Book Antiqua"/>
          <w:b/>
          <w:bCs/>
          <w:color w:val="000000" w:themeColor="text1"/>
        </w:rPr>
        <w:t>Dutta S</w:t>
      </w:r>
      <w:r w:rsidRPr="002E2F24">
        <w:rPr>
          <w:rFonts w:ascii="Book Antiqua" w:hAnsi="Book Antiqua"/>
          <w:color w:val="000000" w:themeColor="text1"/>
        </w:rPr>
        <w:t xml:space="preserve">, Kumar T, Singh S, Ambwani S, Charan J, Varthya SB. Euglycemic diabetic ketoacidosis associated with SGLT2 inhibitors: A systematic review and quantitative analysis. </w:t>
      </w:r>
      <w:r w:rsidRPr="002E2F24">
        <w:rPr>
          <w:rFonts w:ascii="Book Antiqua" w:hAnsi="Book Antiqua"/>
          <w:i/>
          <w:iCs/>
          <w:color w:val="000000" w:themeColor="text1"/>
        </w:rPr>
        <w:t>J Family Med Prim Care</w:t>
      </w:r>
      <w:r w:rsidRPr="002E2F24">
        <w:rPr>
          <w:rFonts w:ascii="Book Antiqua" w:hAnsi="Book Antiqua"/>
          <w:color w:val="000000" w:themeColor="text1"/>
        </w:rPr>
        <w:t xml:space="preserve"> 2022; </w:t>
      </w:r>
      <w:r w:rsidRPr="002E2F24">
        <w:rPr>
          <w:rFonts w:ascii="Book Antiqua" w:hAnsi="Book Antiqua"/>
          <w:b/>
          <w:bCs/>
          <w:color w:val="000000" w:themeColor="text1"/>
        </w:rPr>
        <w:t>11</w:t>
      </w:r>
      <w:r w:rsidRPr="002E2F24">
        <w:rPr>
          <w:rFonts w:ascii="Book Antiqua" w:hAnsi="Book Antiqua"/>
          <w:color w:val="000000" w:themeColor="text1"/>
        </w:rPr>
        <w:t>: 927-940 [PMID: 35495849 DOI: 10.4103/jfmpc.jfmpc_644_21]</w:t>
      </w:r>
    </w:p>
    <w:p w14:paraId="3A172E71" w14:textId="77777777" w:rsidR="004845F0" w:rsidRPr="002E2F24" w:rsidRDefault="004845F0" w:rsidP="004845F0">
      <w:pPr>
        <w:adjustRightInd w:val="0"/>
        <w:snapToGrid w:val="0"/>
        <w:spacing w:line="360" w:lineRule="auto"/>
        <w:jc w:val="both"/>
        <w:rPr>
          <w:rFonts w:ascii="Book Antiqua" w:hAnsi="Book Antiqua"/>
          <w:color w:val="000000" w:themeColor="text1"/>
          <w:lang w:val="pt-PT"/>
        </w:rPr>
      </w:pPr>
      <w:r w:rsidRPr="002E2F24">
        <w:rPr>
          <w:rFonts w:ascii="Book Antiqua" w:hAnsi="Book Antiqua"/>
          <w:color w:val="000000" w:themeColor="text1"/>
        </w:rPr>
        <w:t xml:space="preserve">19 </w:t>
      </w:r>
      <w:r w:rsidRPr="002E2F24">
        <w:rPr>
          <w:rFonts w:ascii="Book Antiqua" w:hAnsi="Book Antiqua"/>
          <w:b/>
          <w:bCs/>
          <w:color w:val="000000" w:themeColor="text1"/>
        </w:rPr>
        <w:t>Burke KR</w:t>
      </w:r>
      <w:r w:rsidRPr="002E2F24">
        <w:rPr>
          <w:rFonts w:ascii="Book Antiqua" w:hAnsi="Book Antiqua"/>
          <w:color w:val="000000" w:themeColor="text1"/>
        </w:rPr>
        <w:t xml:space="preserve">, Schumacher CA, Harpe SE. SGLT2 Inhibitors: A Systematic Review of Diabetic Ketoacidosis and Related Risk Factors in the Primary Literature. </w:t>
      </w:r>
      <w:r w:rsidRPr="002E2F24">
        <w:rPr>
          <w:rFonts w:ascii="Book Antiqua" w:hAnsi="Book Antiqua"/>
          <w:i/>
          <w:iCs/>
          <w:color w:val="000000" w:themeColor="text1"/>
          <w:lang w:val="pt-PT"/>
        </w:rPr>
        <w:t>Pharmacotherapy</w:t>
      </w:r>
      <w:r w:rsidRPr="002E2F24">
        <w:rPr>
          <w:rFonts w:ascii="Book Antiqua" w:hAnsi="Book Antiqua"/>
          <w:color w:val="000000" w:themeColor="text1"/>
          <w:lang w:val="pt-PT"/>
        </w:rPr>
        <w:t xml:space="preserve"> 2017; </w:t>
      </w:r>
      <w:r w:rsidRPr="002E2F24">
        <w:rPr>
          <w:rFonts w:ascii="Book Antiqua" w:hAnsi="Book Antiqua"/>
          <w:b/>
          <w:bCs/>
          <w:color w:val="000000" w:themeColor="text1"/>
          <w:lang w:val="pt-PT"/>
        </w:rPr>
        <w:t>37</w:t>
      </w:r>
      <w:r w:rsidRPr="002E2F24">
        <w:rPr>
          <w:rFonts w:ascii="Book Antiqua" w:hAnsi="Book Antiqua"/>
          <w:color w:val="000000" w:themeColor="text1"/>
          <w:lang w:val="pt-PT"/>
        </w:rPr>
        <w:t>: 187-194 [PMID: 27931088 DOI: 10.1002/phar.1881]</w:t>
      </w:r>
    </w:p>
    <w:p w14:paraId="265D7620" w14:textId="77777777" w:rsidR="004845F0" w:rsidRPr="002E2F24" w:rsidRDefault="004845F0" w:rsidP="004845F0">
      <w:pPr>
        <w:adjustRightInd w:val="0"/>
        <w:snapToGrid w:val="0"/>
        <w:spacing w:line="360" w:lineRule="auto"/>
        <w:jc w:val="both"/>
        <w:rPr>
          <w:rFonts w:ascii="Book Antiqua" w:hAnsi="Book Antiqua"/>
          <w:color w:val="000000" w:themeColor="text1"/>
        </w:rPr>
      </w:pPr>
      <w:r w:rsidRPr="002E2F24">
        <w:rPr>
          <w:rFonts w:ascii="Book Antiqua" w:hAnsi="Book Antiqua"/>
          <w:color w:val="000000" w:themeColor="text1"/>
          <w:lang w:val="pt-PT"/>
        </w:rPr>
        <w:t xml:space="preserve">20 </w:t>
      </w:r>
      <w:r w:rsidRPr="002E2F24">
        <w:rPr>
          <w:rFonts w:ascii="Book Antiqua" w:hAnsi="Book Antiqua"/>
          <w:b/>
          <w:bCs/>
          <w:color w:val="000000" w:themeColor="text1"/>
          <w:lang w:val="pt-PT"/>
        </w:rPr>
        <w:t>Calçada MB</w:t>
      </w:r>
      <w:r w:rsidRPr="002E2F24">
        <w:rPr>
          <w:rFonts w:ascii="Book Antiqua" w:hAnsi="Book Antiqua"/>
          <w:color w:val="000000" w:themeColor="text1"/>
          <w:lang w:val="pt-PT"/>
        </w:rPr>
        <w:t xml:space="preserve">, Fernandes L, Soares Costa R, Montezinho S, Martins Duarte F, Frutuoso L, Freitas AR. </w:t>
      </w:r>
      <w:r w:rsidRPr="002E2F24">
        <w:rPr>
          <w:rFonts w:ascii="Book Antiqua" w:hAnsi="Book Antiqua"/>
          <w:color w:val="000000" w:themeColor="text1"/>
        </w:rPr>
        <w:t xml:space="preserve">Euglycemic Diabetic Ketoacidosis after a Single Dose of Empagliflozin in a Patient with Pancreatitis. </w:t>
      </w:r>
      <w:r w:rsidRPr="002E2F24">
        <w:rPr>
          <w:rFonts w:ascii="Book Antiqua" w:hAnsi="Book Antiqua"/>
          <w:i/>
          <w:iCs/>
          <w:color w:val="000000" w:themeColor="text1"/>
        </w:rPr>
        <w:t>Clin Pract</w:t>
      </w:r>
      <w:r w:rsidRPr="002E2F24">
        <w:rPr>
          <w:rFonts w:ascii="Book Antiqua" w:hAnsi="Book Antiqua"/>
          <w:color w:val="000000" w:themeColor="text1"/>
        </w:rPr>
        <w:t xml:space="preserve"> 2021; </w:t>
      </w:r>
      <w:r w:rsidRPr="002E2F24">
        <w:rPr>
          <w:rFonts w:ascii="Book Antiqua" w:hAnsi="Book Antiqua"/>
          <w:b/>
          <w:bCs/>
          <w:color w:val="000000" w:themeColor="text1"/>
        </w:rPr>
        <w:t>11</w:t>
      </w:r>
      <w:r w:rsidRPr="002E2F24">
        <w:rPr>
          <w:rFonts w:ascii="Book Antiqua" w:hAnsi="Book Antiqua"/>
          <w:color w:val="000000" w:themeColor="text1"/>
        </w:rPr>
        <w:t>: 216-218 [PMID: 33917274 DOI: 10.3390/clinpract11020031]</w:t>
      </w:r>
    </w:p>
    <w:p w14:paraId="6A8971A1" w14:textId="77777777" w:rsidR="004845F0" w:rsidRPr="002E2F24" w:rsidRDefault="004845F0" w:rsidP="004845F0">
      <w:pPr>
        <w:adjustRightInd w:val="0"/>
        <w:snapToGrid w:val="0"/>
        <w:spacing w:line="360" w:lineRule="auto"/>
        <w:jc w:val="both"/>
        <w:rPr>
          <w:rFonts w:ascii="Book Antiqua" w:hAnsi="Book Antiqua"/>
          <w:color w:val="000000" w:themeColor="text1"/>
        </w:rPr>
      </w:pPr>
      <w:r w:rsidRPr="002E2F24">
        <w:rPr>
          <w:rFonts w:ascii="Book Antiqua" w:hAnsi="Book Antiqua"/>
          <w:color w:val="000000" w:themeColor="text1"/>
        </w:rPr>
        <w:t xml:space="preserve">21 </w:t>
      </w:r>
      <w:r w:rsidRPr="002E2F24">
        <w:rPr>
          <w:rFonts w:ascii="Book Antiqua" w:hAnsi="Book Antiqua"/>
          <w:b/>
          <w:bCs/>
          <w:color w:val="000000" w:themeColor="text1"/>
        </w:rPr>
        <w:t>Dizon S</w:t>
      </w:r>
      <w:r w:rsidRPr="002E2F24">
        <w:rPr>
          <w:rFonts w:ascii="Book Antiqua" w:hAnsi="Book Antiqua"/>
          <w:color w:val="000000" w:themeColor="text1"/>
        </w:rPr>
        <w:t xml:space="preserve">, Keely EJ, Malcolm J, Arnaout A. Insights Into the Recognition and Management of SGLT2-Inhibitor-Associated Ketoacidosis: It's Not Just Euglycemic Diabetic Ketoacidosis. </w:t>
      </w:r>
      <w:r w:rsidRPr="002E2F24">
        <w:rPr>
          <w:rFonts w:ascii="Book Antiqua" w:hAnsi="Book Antiqua"/>
          <w:i/>
          <w:iCs/>
          <w:color w:val="000000" w:themeColor="text1"/>
        </w:rPr>
        <w:t>Can J Diabetes</w:t>
      </w:r>
      <w:r w:rsidRPr="002E2F24">
        <w:rPr>
          <w:rFonts w:ascii="Book Antiqua" w:hAnsi="Book Antiqua"/>
          <w:color w:val="000000" w:themeColor="text1"/>
        </w:rPr>
        <w:t xml:space="preserve"> 2017; </w:t>
      </w:r>
      <w:r w:rsidRPr="002E2F24">
        <w:rPr>
          <w:rFonts w:ascii="Book Antiqua" w:hAnsi="Book Antiqua"/>
          <w:b/>
          <w:bCs/>
          <w:color w:val="000000" w:themeColor="text1"/>
        </w:rPr>
        <w:t>41</w:t>
      </w:r>
      <w:r w:rsidRPr="002E2F24">
        <w:rPr>
          <w:rFonts w:ascii="Book Antiqua" w:hAnsi="Book Antiqua"/>
          <w:color w:val="000000" w:themeColor="text1"/>
        </w:rPr>
        <w:t>: 499-503 [PMID: 28797889 DOI: 10.1016/j.jcjd.2017.05.004]</w:t>
      </w:r>
    </w:p>
    <w:p w14:paraId="35D91CAF" w14:textId="77777777" w:rsidR="004845F0" w:rsidRPr="002E2F24" w:rsidRDefault="004845F0" w:rsidP="004845F0">
      <w:pPr>
        <w:adjustRightInd w:val="0"/>
        <w:snapToGrid w:val="0"/>
        <w:spacing w:line="360" w:lineRule="auto"/>
        <w:jc w:val="both"/>
        <w:rPr>
          <w:rFonts w:ascii="Book Antiqua" w:hAnsi="Book Antiqua"/>
          <w:color w:val="000000" w:themeColor="text1"/>
        </w:rPr>
      </w:pPr>
      <w:r w:rsidRPr="002E2F24">
        <w:rPr>
          <w:rFonts w:ascii="Book Antiqua" w:hAnsi="Book Antiqua"/>
          <w:color w:val="000000" w:themeColor="text1"/>
        </w:rPr>
        <w:t xml:space="preserve">22 </w:t>
      </w:r>
      <w:r w:rsidRPr="002E2F24">
        <w:rPr>
          <w:rFonts w:ascii="Book Antiqua" w:hAnsi="Book Antiqua"/>
          <w:b/>
          <w:bCs/>
          <w:color w:val="000000" w:themeColor="text1"/>
        </w:rPr>
        <w:t>Desborough JP</w:t>
      </w:r>
      <w:r w:rsidRPr="002E2F24">
        <w:rPr>
          <w:rFonts w:ascii="Book Antiqua" w:hAnsi="Book Antiqua"/>
          <w:color w:val="000000" w:themeColor="text1"/>
        </w:rPr>
        <w:t xml:space="preserve">. The stress response to trauma and surgery. </w:t>
      </w:r>
      <w:r w:rsidRPr="002E2F24">
        <w:rPr>
          <w:rFonts w:ascii="Book Antiqua" w:hAnsi="Book Antiqua"/>
          <w:i/>
          <w:iCs/>
          <w:color w:val="000000" w:themeColor="text1"/>
        </w:rPr>
        <w:t>Br J Anaesth</w:t>
      </w:r>
      <w:r w:rsidRPr="002E2F24">
        <w:rPr>
          <w:rFonts w:ascii="Book Antiqua" w:hAnsi="Book Antiqua"/>
          <w:color w:val="000000" w:themeColor="text1"/>
        </w:rPr>
        <w:t xml:space="preserve"> 2000; </w:t>
      </w:r>
      <w:r w:rsidRPr="002E2F24">
        <w:rPr>
          <w:rFonts w:ascii="Book Antiqua" w:hAnsi="Book Antiqua"/>
          <w:b/>
          <w:bCs/>
          <w:color w:val="000000" w:themeColor="text1"/>
        </w:rPr>
        <w:t>85</w:t>
      </w:r>
      <w:r w:rsidRPr="002E2F24">
        <w:rPr>
          <w:rFonts w:ascii="Book Antiqua" w:hAnsi="Book Antiqua"/>
          <w:color w:val="000000" w:themeColor="text1"/>
        </w:rPr>
        <w:t>: 109-117 [PMID: 10927999 DOI: 10.1093/bja/85.1.109]</w:t>
      </w:r>
    </w:p>
    <w:p w14:paraId="652E2E54" w14:textId="77777777" w:rsidR="004845F0" w:rsidRPr="002E2F24" w:rsidRDefault="004845F0" w:rsidP="004845F0">
      <w:pPr>
        <w:adjustRightInd w:val="0"/>
        <w:snapToGrid w:val="0"/>
        <w:spacing w:line="360" w:lineRule="auto"/>
        <w:jc w:val="both"/>
        <w:rPr>
          <w:rFonts w:ascii="Book Antiqua" w:hAnsi="Book Antiqua"/>
          <w:color w:val="000000" w:themeColor="text1"/>
        </w:rPr>
      </w:pPr>
      <w:r w:rsidRPr="002E2F24">
        <w:rPr>
          <w:rFonts w:ascii="Book Antiqua" w:hAnsi="Book Antiqua"/>
          <w:color w:val="000000" w:themeColor="text1"/>
        </w:rPr>
        <w:t xml:space="preserve">23 </w:t>
      </w:r>
      <w:r w:rsidRPr="002E2F24">
        <w:rPr>
          <w:rFonts w:ascii="Book Antiqua" w:hAnsi="Book Antiqua"/>
          <w:b/>
          <w:bCs/>
          <w:color w:val="000000" w:themeColor="text1"/>
        </w:rPr>
        <w:t>Handelsman Y</w:t>
      </w:r>
      <w:r w:rsidRPr="002E2F24">
        <w:rPr>
          <w:rFonts w:ascii="Book Antiqua" w:hAnsi="Book Antiqua"/>
          <w:color w:val="000000" w:themeColor="text1"/>
        </w:rPr>
        <w:t xml:space="preserve">, Henry RR, Bloomgarden ZT, Dagogo-Jack S, DeFronzo RA, Einhorn D, Ferrannini E, Fonseca VA, Garber AJ, Grunberger G, LeRoith D, Umpierrez GE, Weir MR. American association of clinical endocrinologists and american college of </w:t>
      </w:r>
      <w:r w:rsidRPr="002E2F24">
        <w:rPr>
          <w:rFonts w:ascii="Book Antiqua" w:hAnsi="Book Antiqua"/>
          <w:color w:val="000000" w:themeColor="text1"/>
        </w:rPr>
        <w:lastRenderedPageBreak/>
        <w:t xml:space="preserve">endocrinology position statement on the association of sglt-2 inhibitors and diabetic ketoacidosis. </w:t>
      </w:r>
      <w:r w:rsidRPr="002E2F24">
        <w:rPr>
          <w:rFonts w:ascii="Book Antiqua" w:hAnsi="Book Antiqua"/>
          <w:i/>
          <w:iCs/>
          <w:color w:val="000000" w:themeColor="text1"/>
        </w:rPr>
        <w:t>Endocr Pract</w:t>
      </w:r>
      <w:r w:rsidRPr="002E2F24">
        <w:rPr>
          <w:rFonts w:ascii="Book Antiqua" w:hAnsi="Book Antiqua"/>
          <w:color w:val="000000" w:themeColor="text1"/>
        </w:rPr>
        <w:t xml:space="preserve"> 2016; </w:t>
      </w:r>
      <w:r w:rsidRPr="002E2F24">
        <w:rPr>
          <w:rFonts w:ascii="Book Antiqua" w:hAnsi="Book Antiqua"/>
          <w:b/>
          <w:bCs/>
          <w:color w:val="000000" w:themeColor="text1"/>
        </w:rPr>
        <w:t>22</w:t>
      </w:r>
      <w:r w:rsidRPr="002E2F24">
        <w:rPr>
          <w:rFonts w:ascii="Book Antiqua" w:hAnsi="Book Antiqua"/>
          <w:color w:val="000000" w:themeColor="text1"/>
        </w:rPr>
        <w:t>: 753-762 [PMID: 27082665 DOI: 10.4158/EP161292.PS]</w:t>
      </w:r>
    </w:p>
    <w:p w14:paraId="37B434AB" w14:textId="77777777" w:rsidR="004845F0" w:rsidRPr="002E2F24" w:rsidRDefault="004845F0" w:rsidP="004845F0">
      <w:pPr>
        <w:adjustRightInd w:val="0"/>
        <w:snapToGrid w:val="0"/>
        <w:spacing w:line="360" w:lineRule="auto"/>
        <w:jc w:val="both"/>
        <w:rPr>
          <w:rFonts w:ascii="Book Antiqua" w:hAnsi="Book Antiqua"/>
          <w:color w:val="000000" w:themeColor="text1"/>
        </w:rPr>
      </w:pPr>
      <w:r w:rsidRPr="002E2F24">
        <w:rPr>
          <w:rFonts w:ascii="Book Antiqua" w:hAnsi="Book Antiqua"/>
          <w:color w:val="000000" w:themeColor="text1"/>
        </w:rPr>
        <w:t xml:space="preserve">24 </w:t>
      </w:r>
      <w:r w:rsidRPr="002E2F24">
        <w:rPr>
          <w:rFonts w:ascii="Book Antiqua" w:hAnsi="Book Antiqua"/>
          <w:b/>
          <w:bCs/>
          <w:color w:val="000000" w:themeColor="text1"/>
        </w:rPr>
        <w:t>Danne T</w:t>
      </w:r>
      <w:r w:rsidRPr="002E2F24">
        <w:rPr>
          <w:rFonts w:ascii="Book Antiqua" w:hAnsi="Book Antiqua"/>
          <w:color w:val="000000" w:themeColor="text1"/>
        </w:rPr>
        <w:t xml:space="preserve">, Garg S, Peters AL, Buse JB, Mathieu C, Pettus JH, Alexander CM, Battelino T, Ampudia-Blasco FJ, Bode BW, Cariou B, Close KL, Dandona P, Dutta S, Ferrannini E, Fourlanos S, Grunberger G, Heller SR, Henry RR, Kurian MJ, Kushner JA, Oron T, Parkin CG, Pieber TR, Rodbard HW, Schatz D, Skyler JS, Tamborlane WV, Yokote K, Phillip M. International Consensus on Risk Management of Diabetic Ketoacidosis in Patients With Type 1 Diabetes Treated With Sodium-Glucose Cotransporter (SGLT) Inhibitors. </w:t>
      </w:r>
      <w:r w:rsidRPr="002E2F24">
        <w:rPr>
          <w:rFonts w:ascii="Book Antiqua" w:hAnsi="Book Antiqua"/>
          <w:i/>
          <w:iCs/>
          <w:color w:val="000000" w:themeColor="text1"/>
        </w:rPr>
        <w:t>Diabetes Care</w:t>
      </w:r>
      <w:r w:rsidRPr="002E2F24">
        <w:rPr>
          <w:rFonts w:ascii="Book Antiqua" w:hAnsi="Book Antiqua"/>
          <w:color w:val="000000" w:themeColor="text1"/>
        </w:rPr>
        <w:t xml:space="preserve"> 2019; </w:t>
      </w:r>
      <w:r w:rsidRPr="002E2F24">
        <w:rPr>
          <w:rFonts w:ascii="Book Antiqua" w:hAnsi="Book Antiqua"/>
          <w:b/>
          <w:bCs/>
          <w:color w:val="000000" w:themeColor="text1"/>
        </w:rPr>
        <w:t>42</w:t>
      </w:r>
      <w:r w:rsidRPr="002E2F24">
        <w:rPr>
          <w:rFonts w:ascii="Book Antiqua" w:hAnsi="Book Antiqua"/>
          <w:color w:val="000000" w:themeColor="text1"/>
        </w:rPr>
        <w:t>: 1147-1154 [PMID: 30728224 DOI: 10.2337/dc18-2316]</w:t>
      </w:r>
    </w:p>
    <w:p w14:paraId="17554A08" w14:textId="77777777" w:rsidR="004845F0" w:rsidRPr="002E2F24" w:rsidRDefault="004845F0" w:rsidP="004845F0">
      <w:pPr>
        <w:adjustRightInd w:val="0"/>
        <w:snapToGrid w:val="0"/>
        <w:spacing w:line="360" w:lineRule="auto"/>
        <w:jc w:val="both"/>
        <w:rPr>
          <w:rFonts w:ascii="Book Antiqua" w:hAnsi="Book Antiqua"/>
          <w:color w:val="000000" w:themeColor="text1"/>
        </w:rPr>
      </w:pPr>
      <w:r w:rsidRPr="002E2F24">
        <w:rPr>
          <w:rFonts w:ascii="Book Antiqua" w:hAnsi="Book Antiqua"/>
          <w:color w:val="000000" w:themeColor="text1"/>
        </w:rPr>
        <w:t xml:space="preserve">25 </w:t>
      </w:r>
      <w:r w:rsidRPr="002E2F24">
        <w:rPr>
          <w:rFonts w:ascii="Book Antiqua" w:hAnsi="Book Antiqua"/>
          <w:b/>
          <w:bCs/>
          <w:color w:val="000000" w:themeColor="text1"/>
        </w:rPr>
        <w:t>Pace DJ</w:t>
      </w:r>
      <w:r w:rsidRPr="002E2F24">
        <w:rPr>
          <w:rFonts w:ascii="Book Antiqua" w:hAnsi="Book Antiqua"/>
          <w:color w:val="000000" w:themeColor="text1"/>
        </w:rPr>
        <w:t xml:space="preserve">, Dukleska K, Phillips S, Gleason V, Yeo CJ. Euglycemic Diabetic Ketoacidosis Due to Sodium-Glucose Cotransporter 2 Inhibitor Use in Two Patients Undergoing Pancreatectomy. </w:t>
      </w:r>
      <w:r w:rsidRPr="002E2F24">
        <w:rPr>
          <w:rFonts w:ascii="Book Antiqua" w:hAnsi="Book Antiqua"/>
          <w:i/>
          <w:iCs/>
          <w:color w:val="000000" w:themeColor="text1"/>
        </w:rPr>
        <w:t>J Pancreat Cancer</w:t>
      </w:r>
      <w:r w:rsidRPr="002E2F24">
        <w:rPr>
          <w:rFonts w:ascii="Book Antiqua" w:hAnsi="Book Antiqua"/>
          <w:color w:val="000000" w:themeColor="text1"/>
        </w:rPr>
        <w:t xml:space="preserve"> 2018; </w:t>
      </w:r>
      <w:r w:rsidRPr="002E2F24">
        <w:rPr>
          <w:rFonts w:ascii="Book Antiqua" w:hAnsi="Book Antiqua"/>
          <w:b/>
          <w:bCs/>
          <w:color w:val="000000" w:themeColor="text1"/>
        </w:rPr>
        <w:t>4</w:t>
      </w:r>
      <w:r w:rsidRPr="002E2F24">
        <w:rPr>
          <w:rFonts w:ascii="Book Antiqua" w:hAnsi="Book Antiqua"/>
          <w:color w:val="000000" w:themeColor="text1"/>
        </w:rPr>
        <w:t>: 95-99 [PMID: 30631862 DOI: 10.1089/pancan.2018.0016]</w:t>
      </w:r>
    </w:p>
    <w:p w14:paraId="3E05DA71" w14:textId="77777777" w:rsidR="004845F0" w:rsidRPr="002E2F24" w:rsidRDefault="004845F0" w:rsidP="004845F0">
      <w:pPr>
        <w:adjustRightInd w:val="0"/>
        <w:snapToGrid w:val="0"/>
        <w:spacing w:line="360" w:lineRule="auto"/>
        <w:jc w:val="both"/>
        <w:rPr>
          <w:rFonts w:ascii="Book Antiqua" w:hAnsi="Book Antiqua"/>
          <w:color w:val="000000" w:themeColor="text1"/>
        </w:rPr>
      </w:pPr>
      <w:r w:rsidRPr="002E2F24">
        <w:rPr>
          <w:rFonts w:ascii="Book Antiqua" w:hAnsi="Book Antiqua"/>
          <w:color w:val="000000" w:themeColor="text1"/>
        </w:rPr>
        <w:t xml:space="preserve">26 </w:t>
      </w:r>
      <w:r w:rsidRPr="002E2F24">
        <w:rPr>
          <w:rFonts w:ascii="Book Antiqua" w:hAnsi="Book Antiqua"/>
          <w:b/>
          <w:bCs/>
          <w:color w:val="000000" w:themeColor="text1"/>
        </w:rPr>
        <w:t>Patel K</w:t>
      </w:r>
      <w:r w:rsidRPr="002E2F24">
        <w:rPr>
          <w:rFonts w:ascii="Book Antiqua" w:hAnsi="Book Antiqua"/>
          <w:color w:val="000000" w:themeColor="text1"/>
        </w:rPr>
        <w:t xml:space="preserve">, Nair A. A Literature Review of the Therapeutic Perspectives of Sodium-Glucose Cotransporter-2 (SGLT2) Inhibitor-Induced Euglycemic Diabetic Ketoacidosis. </w:t>
      </w:r>
      <w:r w:rsidRPr="002E2F24">
        <w:rPr>
          <w:rFonts w:ascii="Book Antiqua" w:hAnsi="Book Antiqua"/>
          <w:i/>
          <w:iCs/>
          <w:color w:val="000000" w:themeColor="text1"/>
        </w:rPr>
        <w:t>Cureus</w:t>
      </w:r>
      <w:r w:rsidRPr="002E2F24">
        <w:rPr>
          <w:rFonts w:ascii="Book Antiqua" w:hAnsi="Book Antiqua"/>
          <w:color w:val="000000" w:themeColor="text1"/>
        </w:rPr>
        <w:t xml:space="preserve"> 2022; </w:t>
      </w:r>
      <w:r w:rsidRPr="002E2F24">
        <w:rPr>
          <w:rFonts w:ascii="Book Antiqua" w:hAnsi="Book Antiqua"/>
          <w:b/>
          <w:bCs/>
          <w:color w:val="000000" w:themeColor="text1"/>
        </w:rPr>
        <w:t>14</w:t>
      </w:r>
      <w:r w:rsidRPr="002E2F24">
        <w:rPr>
          <w:rFonts w:ascii="Book Antiqua" w:hAnsi="Book Antiqua"/>
          <w:color w:val="000000" w:themeColor="text1"/>
        </w:rPr>
        <w:t>: e29652 [PMID: 36320965 DOI: 10.7759/cureus.29652]</w:t>
      </w:r>
    </w:p>
    <w:p w14:paraId="61794862" w14:textId="18957B08" w:rsidR="00A77B3E" w:rsidRPr="002E2F24" w:rsidRDefault="004845F0" w:rsidP="004845F0">
      <w:pPr>
        <w:adjustRightInd w:val="0"/>
        <w:snapToGrid w:val="0"/>
        <w:spacing w:line="360" w:lineRule="auto"/>
        <w:jc w:val="both"/>
        <w:rPr>
          <w:rFonts w:ascii="Book Antiqua" w:hAnsi="Book Antiqua"/>
          <w:color w:val="000000" w:themeColor="text1"/>
        </w:rPr>
      </w:pPr>
      <w:r w:rsidRPr="002E2F24">
        <w:rPr>
          <w:rFonts w:ascii="Book Antiqua" w:hAnsi="Book Antiqua"/>
          <w:color w:val="000000" w:themeColor="text1"/>
        </w:rPr>
        <w:t xml:space="preserve">27 </w:t>
      </w:r>
      <w:r w:rsidRPr="002E2F24">
        <w:rPr>
          <w:rFonts w:ascii="Book Antiqua" w:hAnsi="Book Antiqua"/>
          <w:b/>
          <w:bCs/>
          <w:color w:val="000000" w:themeColor="text1"/>
        </w:rPr>
        <w:t>European Medicines Agency</w:t>
      </w:r>
      <w:r w:rsidRPr="002E2F24">
        <w:rPr>
          <w:rFonts w:ascii="Book Antiqua" w:hAnsi="Book Antiqua"/>
          <w:color w:val="000000" w:themeColor="text1"/>
        </w:rPr>
        <w:t>. EMA confirms recommendations to minimise ketoacidosis risk with SGLT2 inhibitors for diabetes. Feb 25, 2016. [cited 23 May 2023]. Available from: https://www.ema.europa.eu/en/medicines/human/referrals/sglt2-inhibitors</w:t>
      </w:r>
    </w:p>
    <w:p w14:paraId="04DAC1EE" w14:textId="77777777" w:rsidR="00A77B3E" w:rsidRPr="002E2F24" w:rsidRDefault="00A77B3E">
      <w:pPr>
        <w:spacing w:line="360" w:lineRule="auto"/>
        <w:jc w:val="both"/>
        <w:rPr>
          <w:rFonts w:ascii="Book Antiqua" w:hAnsi="Book Antiqua"/>
          <w:color w:val="000000" w:themeColor="text1"/>
        </w:rPr>
        <w:sectPr w:rsidR="00A77B3E" w:rsidRPr="002E2F24">
          <w:pgSz w:w="12240" w:h="15840"/>
          <w:pgMar w:top="1440" w:right="1440" w:bottom="1440" w:left="1440" w:header="720" w:footer="720" w:gutter="0"/>
          <w:cols w:space="720"/>
          <w:docGrid w:linePitch="360"/>
        </w:sectPr>
      </w:pPr>
    </w:p>
    <w:p w14:paraId="574E7145" w14:textId="77777777"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color w:val="000000" w:themeColor="text1"/>
        </w:rPr>
        <w:lastRenderedPageBreak/>
        <w:t>Footnotes</w:t>
      </w:r>
    </w:p>
    <w:p w14:paraId="08992E93" w14:textId="77777777" w:rsidR="000A2E5D" w:rsidRPr="002E2F24" w:rsidRDefault="00873F32" w:rsidP="000A2E5D">
      <w:pPr>
        <w:snapToGrid w:val="0"/>
        <w:spacing w:line="360" w:lineRule="auto"/>
        <w:rPr>
          <w:rFonts w:ascii="Book Antiqua" w:eastAsia="SimSun" w:hAnsi="Book Antiqua" w:cs="SimSun"/>
          <w:color w:val="000000" w:themeColor="text1"/>
        </w:rPr>
      </w:pPr>
      <w:r w:rsidRPr="002E2F24">
        <w:rPr>
          <w:rFonts w:ascii="Book Antiqua" w:eastAsia="Book Antiqua" w:hAnsi="Book Antiqua" w:cs="Book Antiqua"/>
          <w:b/>
          <w:bCs/>
          <w:color w:val="000000" w:themeColor="text1"/>
        </w:rPr>
        <w:t>Conflict-of-interest</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statement:</w:t>
      </w:r>
      <w:r w:rsidR="00450328" w:rsidRPr="002E2F24">
        <w:rPr>
          <w:rFonts w:ascii="Book Antiqua" w:eastAsia="Book Antiqua" w:hAnsi="Book Antiqua" w:cs="Book Antiqua"/>
          <w:b/>
          <w:bCs/>
          <w:color w:val="000000" w:themeColor="text1"/>
        </w:rPr>
        <w:t xml:space="preserve"> </w:t>
      </w:r>
      <w:bookmarkStart w:id="1" w:name="_Hlk130828251"/>
      <w:r w:rsidR="000A2E5D" w:rsidRPr="002E2F24">
        <w:rPr>
          <w:rFonts w:ascii="Book Antiqua" w:eastAsia="SimSun" w:hAnsi="Book Antiqua" w:cs="SimSun"/>
          <w:color w:val="000000" w:themeColor="text1"/>
        </w:rPr>
        <w:t>All the authors report no relevant conflicts of interest for this article.</w:t>
      </w:r>
    </w:p>
    <w:bookmarkEnd w:id="1"/>
    <w:p w14:paraId="2ACAE76B" w14:textId="779C5FCB" w:rsidR="00A77B3E" w:rsidRPr="002E2F24" w:rsidRDefault="00A77B3E">
      <w:pPr>
        <w:spacing w:line="360" w:lineRule="auto"/>
        <w:jc w:val="both"/>
        <w:rPr>
          <w:rFonts w:ascii="Book Antiqua" w:hAnsi="Book Antiqua"/>
          <w:color w:val="000000" w:themeColor="text1"/>
        </w:rPr>
      </w:pPr>
    </w:p>
    <w:p w14:paraId="451CB821" w14:textId="4ABA9347"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bCs/>
          <w:color w:val="000000" w:themeColor="text1"/>
        </w:rPr>
        <w:t>PRISMA</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2009</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Checklist</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statement:</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color w:val="000000" w:themeColor="text1"/>
          <w:shd w:val="clear" w:color="auto" w:fill="FFFFFF"/>
        </w:rPr>
        <w:t>The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authors</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have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read</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the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PRISMA</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2009</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Checklist,</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and</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the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manuscript</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was</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prepared</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and</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revised</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according</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to</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the</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PRISMA</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2009</w:t>
      </w:r>
      <w:r w:rsidR="00450328" w:rsidRPr="002E2F24">
        <w:rPr>
          <w:rFonts w:ascii="Book Antiqua" w:eastAsia="Book Antiqua" w:hAnsi="Book Antiqua" w:cs="Book Antiqua"/>
          <w:color w:val="000000" w:themeColor="text1"/>
          <w:shd w:val="clear" w:color="auto" w:fill="FFFFFF"/>
        </w:rPr>
        <w:t xml:space="preserve"> </w:t>
      </w:r>
      <w:r w:rsidRPr="002E2F24">
        <w:rPr>
          <w:rFonts w:ascii="Book Antiqua" w:eastAsia="Book Antiqua" w:hAnsi="Book Antiqua" w:cs="Book Antiqua"/>
          <w:color w:val="000000" w:themeColor="text1"/>
          <w:shd w:val="clear" w:color="auto" w:fill="FFFFFF"/>
        </w:rPr>
        <w:t>Checklist.</w:t>
      </w:r>
    </w:p>
    <w:p w14:paraId="79D0B608" w14:textId="77777777" w:rsidR="00A77B3E" w:rsidRPr="002E2F24" w:rsidRDefault="00A77B3E">
      <w:pPr>
        <w:spacing w:line="360" w:lineRule="auto"/>
        <w:jc w:val="both"/>
        <w:rPr>
          <w:rFonts w:ascii="Book Antiqua" w:hAnsi="Book Antiqua"/>
          <w:color w:val="000000" w:themeColor="text1"/>
        </w:rPr>
      </w:pPr>
    </w:p>
    <w:p w14:paraId="56E44E43" w14:textId="4A6A0988"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bCs/>
          <w:color w:val="000000" w:themeColor="text1"/>
        </w:rPr>
        <w:t>Open-Access:</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color w:val="000000" w:themeColor="text1"/>
        </w:rPr>
        <w:t>This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article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open-access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article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that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was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selected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by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in-house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editor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fully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peer-reviewed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by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external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reviewers.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distributed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accordance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with</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Creative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Commons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Attribution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NonCommercial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(CC</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BY-NC</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4.0)</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license,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which</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permits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others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to</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distribute,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remix,</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adapt,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build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upon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this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work</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non-commercially,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license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their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derivative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works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on</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different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terms,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provided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original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work</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properly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cited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and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use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is</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non-commercial.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See: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https://creativecommons.org/Licenses/by-nc/4.0/</w:t>
      </w:r>
    </w:p>
    <w:p w14:paraId="0F9B35D6" w14:textId="77777777" w:rsidR="00A77B3E" w:rsidRPr="002E2F24" w:rsidRDefault="00A77B3E">
      <w:pPr>
        <w:spacing w:line="360" w:lineRule="auto"/>
        <w:jc w:val="both"/>
        <w:rPr>
          <w:rFonts w:ascii="Book Antiqua" w:hAnsi="Book Antiqua"/>
          <w:color w:val="000000" w:themeColor="text1"/>
        </w:rPr>
      </w:pPr>
    </w:p>
    <w:p w14:paraId="506D0FE2" w14:textId="281DD079" w:rsidR="00A77B3E" w:rsidRPr="002E2F24" w:rsidRDefault="00873F32">
      <w:pPr>
        <w:spacing w:line="360" w:lineRule="auto"/>
        <w:jc w:val="both"/>
        <w:rPr>
          <w:rFonts w:ascii="Book Antiqua" w:eastAsia="Book Antiqua" w:hAnsi="Book Antiqua" w:cs="Book Antiqua"/>
          <w:color w:val="000000" w:themeColor="text1"/>
        </w:rPr>
      </w:pPr>
      <w:r w:rsidRPr="002E2F24">
        <w:rPr>
          <w:rFonts w:ascii="Book Antiqua" w:eastAsia="Book Antiqua" w:hAnsi="Book Antiqua" w:cs="Book Antiqua"/>
          <w:b/>
          <w:color w:val="000000" w:themeColor="text1"/>
        </w:rPr>
        <w:t>Provenance</w:t>
      </w:r>
      <w:r w:rsidR="00450328" w:rsidRPr="002E2F24">
        <w:rPr>
          <w:rFonts w:ascii="Book Antiqua" w:eastAsia="Book Antiqua" w:hAnsi="Book Antiqua" w:cs="Book Antiqua"/>
          <w:b/>
          <w:color w:val="000000" w:themeColor="text1"/>
        </w:rPr>
        <w:t xml:space="preserve"> </w:t>
      </w:r>
      <w:r w:rsidRPr="002E2F24">
        <w:rPr>
          <w:rFonts w:ascii="Book Antiqua" w:eastAsia="Book Antiqua" w:hAnsi="Book Antiqua" w:cs="Book Antiqua"/>
          <w:b/>
          <w:color w:val="000000" w:themeColor="text1"/>
        </w:rPr>
        <w:t>and</w:t>
      </w:r>
      <w:r w:rsidR="00450328" w:rsidRPr="002E2F24">
        <w:rPr>
          <w:rFonts w:ascii="Book Antiqua" w:eastAsia="Book Antiqua" w:hAnsi="Book Antiqua" w:cs="Book Antiqua"/>
          <w:b/>
          <w:color w:val="000000" w:themeColor="text1"/>
        </w:rPr>
        <w:t xml:space="preserve"> </w:t>
      </w:r>
      <w:r w:rsidRPr="002E2F24">
        <w:rPr>
          <w:rFonts w:ascii="Book Antiqua" w:eastAsia="Book Antiqua" w:hAnsi="Book Antiqua" w:cs="Book Antiqua"/>
          <w:b/>
          <w:color w:val="000000" w:themeColor="text1"/>
        </w:rPr>
        <w:t>peer</w:t>
      </w:r>
      <w:r w:rsidR="00450328" w:rsidRPr="002E2F24">
        <w:rPr>
          <w:rFonts w:ascii="Book Antiqua" w:eastAsia="Book Antiqua" w:hAnsi="Book Antiqua" w:cs="Book Antiqua"/>
          <w:b/>
          <w:color w:val="000000" w:themeColor="text1"/>
        </w:rPr>
        <w:t xml:space="preserve"> </w:t>
      </w:r>
      <w:r w:rsidRPr="002E2F24">
        <w:rPr>
          <w:rFonts w:ascii="Book Antiqua" w:eastAsia="Book Antiqua" w:hAnsi="Book Antiqua" w:cs="Book Antiqua"/>
          <w:b/>
          <w:color w:val="000000" w:themeColor="text1"/>
        </w:rPr>
        <w:t>review:</w:t>
      </w:r>
      <w:r w:rsidR="00450328" w:rsidRPr="002E2F24">
        <w:rPr>
          <w:rFonts w:ascii="Book Antiqua" w:eastAsia="Book Antiqua" w:hAnsi="Book Antiqua" w:cs="Book Antiqua"/>
          <w:b/>
          <w:color w:val="000000" w:themeColor="text1"/>
        </w:rPr>
        <w:t xml:space="preserve"> </w:t>
      </w:r>
      <w:r w:rsidRPr="002E2F24">
        <w:rPr>
          <w:rFonts w:ascii="Book Antiqua" w:eastAsia="Book Antiqua" w:hAnsi="Book Antiqua" w:cs="Book Antiqua"/>
          <w:color w:val="000000" w:themeColor="text1"/>
        </w:rPr>
        <w:t>Invited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article;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Externally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peer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reviewed.</w:t>
      </w:r>
    </w:p>
    <w:p w14:paraId="553C2961" w14:textId="77777777" w:rsidR="000A2E5D" w:rsidRPr="002E2F24" w:rsidRDefault="000A2E5D">
      <w:pPr>
        <w:spacing w:line="360" w:lineRule="auto"/>
        <w:jc w:val="both"/>
        <w:rPr>
          <w:rFonts w:ascii="Book Antiqua" w:hAnsi="Book Antiqua"/>
          <w:color w:val="000000" w:themeColor="text1"/>
        </w:rPr>
      </w:pPr>
    </w:p>
    <w:p w14:paraId="03073356" w14:textId="29C099BB"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color w:val="000000" w:themeColor="text1"/>
        </w:rPr>
        <w:t>Peer-review</w:t>
      </w:r>
      <w:r w:rsidR="00450328" w:rsidRPr="002E2F24">
        <w:rPr>
          <w:rFonts w:ascii="Book Antiqua" w:eastAsia="Book Antiqua" w:hAnsi="Book Antiqua" w:cs="Book Antiqua"/>
          <w:b/>
          <w:color w:val="000000" w:themeColor="text1"/>
        </w:rPr>
        <w:t xml:space="preserve"> </w:t>
      </w:r>
      <w:r w:rsidRPr="002E2F24">
        <w:rPr>
          <w:rFonts w:ascii="Book Antiqua" w:eastAsia="Book Antiqua" w:hAnsi="Book Antiqua" w:cs="Book Antiqua"/>
          <w:b/>
          <w:color w:val="000000" w:themeColor="text1"/>
        </w:rPr>
        <w:t>model:</w:t>
      </w:r>
      <w:r w:rsidR="00450328" w:rsidRPr="002E2F24">
        <w:rPr>
          <w:rFonts w:ascii="Book Antiqua" w:eastAsia="Book Antiqua" w:hAnsi="Book Antiqua" w:cs="Book Antiqua"/>
          <w:b/>
          <w:color w:val="000000" w:themeColor="text1"/>
        </w:rPr>
        <w:t xml:space="preserve"> </w:t>
      </w:r>
      <w:r w:rsidRPr="002E2F24">
        <w:rPr>
          <w:rFonts w:ascii="Book Antiqua" w:eastAsia="Book Antiqua" w:hAnsi="Book Antiqua" w:cs="Book Antiqua"/>
          <w:color w:val="000000" w:themeColor="text1"/>
        </w:rPr>
        <w:t>Single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blind</w:t>
      </w:r>
    </w:p>
    <w:p w14:paraId="464922BD" w14:textId="77777777" w:rsidR="00A77B3E" w:rsidRPr="002E2F24" w:rsidRDefault="00A77B3E">
      <w:pPr>
        <w:spacing w:line="360" w:lineRule="auto"/>
        <w:jc w:val="both"/>
        <w:rPr>
          <w:rFonts w:ascii="Book Antiqua" w:hAnsi="Book Antiqua"/>
          <w:color w:val="000000" w:themeColor="text1"/>
        </w:rPr>
      </w:pPr>
    </w:p>
    <w:p w14:paraId="7EC684D9" w14:textId="616BEBB7"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color w:val="000000" w:themeColor="text1"/>
        </w:rPr>
        <w:t>Peer-review</w:t>
      </w:r>
      <w:r w:rsidR="00450328" w:rsidRPr="002E2F24">
        <w:rPr>
          <w:rFonts w:ascii="Book Antiqua" w:eastAsia="Book Antiqua" w:hAnsi="Book Antiqua" w:cs="Book Antiqua"/>
          <w:b/>
          <w:color w:val="000000" w:themeColor="text1"/>
        </w:rPr>
        <w:t xml:space="preserve"> </w:t>
      </w:r>
      <w:r w:rsidRPr="002E2F24">
        <w:rPr>
          <w:rFonts w:ascii="Book Antiqua" w:eastAsia="Book Antiqua" w:hAnsi="Book Antiqua" w:cs="Book Antiqua"/>
          <w:b/>
          <w:color w:val="000000" w:themeColor="text1"/>
        </w:rPr>
        <w:t>started:</w:t>
      </w:r>
      <w:r w:rsidR="00450328" w:rsidRPr="002E2F24">
        <w:rPr>
          <w:rFonts w:ascii="Book Antiqua" w:eastAsia="Book Antiqua" w:hAnsi="Book Antiqua" w:cs="Book Antiqua"/>
          <w:b/>
          <w:color w:val="000000" w:themeColor="text1"/>
        </w:rPr>
        <w:t xml:space="preserve"> </w:t>
      </w:r>
      <w:r w:rsidRPr="002E2F24">
        <w:rPr>
          <w:rFonts w:ascii="Book Antiqua" w:eastAsia="Book Antiqua" w:hAnsi="Book Antiqua" w:cs="Book Antiqua"/>
          <w:color w:val="000000" w:themeColor="text1"/>
        </w:rPr>
        <w:t>April</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27,</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2023</w:t>
      </w:r>
    </w:p>
    <w:p w14:paraId="20E38806" w14:textId="0779017D"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color w:val="000000" w:themeColor="text1"/>
        </w:rPr>
        <w:t>First</w:t>
      </w:r>
      <w:r w:rsidR="00450328" w:rsidRPr="002E2F24">
        <w:rPr>
          <w:rFonts w:ascii="Book Antiqua" w:eastAsia="Book Antiqua" w:hAnsi="Book Antiqua" w:cs="Book Antiqua"/>
          <w:b/>
          <w:color w:val="000000" w:themeColor="text1"/>
        </w:rPr>
        <w:t xml:space="preserve"> </w:t>
      </w:r>
      <w:r w:rsidRPr="002E2F24">
        <w:rPr>
          <w:rFonts w:ascii="Book Antiqua" w:eastAsia="Book Antiqua" w:hAnsi="Book Antiqua" w:cs="Book Antiqua"/>
          <w:b/>
          <w:color w:val="000000" w:themeColor="text1"/>
        </w:rPr>
        <w:t>decision:</w:t>
      </w:r>
      <w:r w:rsidR="00450328" w:rsidRPr="002E2F24">
        <w:rPr>
          <w:rFonts w:ascii="Book Antiqua" w:eastAsia="Book Antiqua" w:hAnsi="Book Antiqua" w:cs="Book Antiqua"/>
          <w:b/>
          <w:color w:val="000000" w:themeColor="text1"/>
        </w:rPr>
        <w:t xml:space="preserve"> </w:t>
      </w:r>
      <w:r w:rsidRPr="002E2F24">
        <w:rPr>
          <w:rFonts w:ascii="Book Antiqua" w:eastAsia="Book Antiqua" w:hAnsi="Book Antiqua" w:cs="Book Antiqua"/>
          <w:color w:val="000000" w:themeColor="text1"/>
        </w:rPr>
        <w:t>May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19,</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2023</w:t>
      </w:r>
    </w:p>
    <w:p w14:paraId="53E60626" w14:textId="6661871A"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color w:val="000000" w:themeColor="text1"/>
        </w:rPr>
        <w:t>Article</w:t>
      </w:r>
      <w:r w:rsidR="00450328" w:rsidRPr="002E2F24">
        <w:rPr>
          <w:rFonts w:ascii="Book Antiqua" w:eastAsia="Book Antiqua" w:hAnsi="Book Antiqua" w:cs="Book Antiqua"/>
          <w:b/>
          <w:color w:val="000000" w:themeColor="text1"/>
        </w:rPr>
        <w:t xml:space="preserve"> </w:t>
      </w:r>
      <w:r w:rsidRPr="002E2F24">
        <w:rPr>
          <w:rFonts w:ascii="Book Antiqua" w:eastAsia="Book Antiqua" w:hAnsi="Book Antiqua" w:cs="Book Antiqua"/>
          <w:b/>
          <w:color w:val="000000" w:themeColor="text1"/>
        </w:rPr>
        <w:t>in</w:t>
      </w:r>
      <w:r w:rsidR="00450328" w:rsidRPr="002E2F24">
        <w:rPr>
          <w:rFonts w:ascii="Book Antiqua" w:eastAsia="Book Antiqua" w:hAnsi="Book Antiqua" w:cs="Book Antiqua"/>
          <w:b/>
          <w:color w:val="000000" w:themeColor="text1"/>
        </w:rPr>
        <w:t xml:space="preserve"> </w:t>
      </w:r>
      <w:r w:rsidRPr="002E2F24">
        <w:rPr>
          <w:rFonts w:ascii="Book Antiqua" w:eastAsia="Book Antiqua" w:hAnsi="Book Antiqua" w:cs="Book Antiqua"/>
          <w:b/>
          <w:color w:val="000000" w:themeColor="text1"/>
        </w:rPr>
        <w:t>press:</w:t>
      </w:r>
      <w:r w:rsidR="00450328" w:rsidRPr="002E2F24">
        <w:rPr>
          <w:rFonts w:ascii="Book Antiqua" w:eastAsia="Book Antiqua" w:hAnsi="Book Antiqua" w:cs="Book Antiqua"/>
          <w:b/>
          <w:color w:val="000000" w:themeColor="text1"/>
        </w:rPr>
        <w:t xml:space="preserve"> </w:t>
      </w:r>
    </w:p>
    <w:p w14:paraId="3A86D3F2" w14:textId="77777777" w:rsidR="00A77B3E" w:rsidRPr="002E2F24" w:rsidRDefault="00A77B3E">
      <w:pPr>
        <w:spacing w:line="360" w:lineRule="auto"/>
        <w:jc w:val="both"/>
        <w:rPr>
          <w:rFonts w:ascii="Book Antiqua" w:hAnsi="Book Antiqua"/>
          <w:color w:val="000000" w:themeColor="text1"/>
        </w:rPr>
      </w:pPr>
    </w:p>
    <w:p w14:paraId="617DB338" w14:textId="2656189F"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color w:val="000000" w:themeColor="text1"/>
        </w:rPr>
        <w:t>Specialty</w:t>
      </w:r>
      <w:r w:rsidR="00450328" w:rsidRPr="002E2F24">
        <w:rPr>
          <w:rFonts w:ascii="Book Antiqua" w:eastAsia="Book Antiqua" w:hAnsi="Book Antiqua" w:cs="Book Antiqua"/>
          <w:b/>
          <w:color w:val="000000" w:themeColor="text1"/>
        </w:rPr>
        <w:t xml:space="preserve"> </w:t>
      </w:r>
      <w:r w:rsidRPr="002E2F24">
        <w:rPr>
          <w:rFonts w:ascii="Book Antiqua" w:eastAsia="Book Antiqua" w:hAnsi="Book Antiqua" w:cs="Book Antiqua"/>
          <w:b/>
          <w:color w:val="000000" w:themeColor="text1"/>
        </w:rPr>
        <w:t>type:</w:t>
      </w:r>
      <w:r w:rsidR="00450328" w:rsidRPr="002E2F24">
        <w:rPr>
          <w:rFonts w:ascii="Book Antiqua" w:eastAsia="Book Antiqua" w:hAnsi="Book Antiqua" w:cs="Book Antiqua"/>
          <w:b/>
          <w:color w:val="000000" w:themeColor="text1"/>
        </w:rPr>
        <w:t xml:space="preserve"> </w:t>
      </w:r>
      <w:r w:rsidR="000A2E5D" w:rsidRPr="002E2F24">
        <w:rPr>
          <w:rFonts w:ascii="Book Antiqua" w:eastAsia="Microsoft YaHei" w:hAnsi="Book Antiqua" w:cs="SimSun"/>
          <w:color w:val="000000" w:themeColor="text1"/>
        </w:rPr>
        <w:t>Endocrinology and metabolism</w:t>
      </w:r>
    </w:p>
    <w:p w14:paraId="2E51500C" w14:textId="238B5D84"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color w:val="000000" w:themeColor="text1"/>
        </w:rPr>
        <w:t>Country/Territory</w:t>
      </w:r>
      <w:r w:rsidR="00450328" w:rsidRPr="002E2F24">
        <w:rPr>
          <w:rFonts w:ascii="Book Antiqua" w:eastAsia="Book Antiqua" w:hAnsi="Book Antiqua" w:cs="Book Antiqua"/>
          <w:b/>
          <w:color w:val="000000" w:themeColor="text1"/>
        </w:rPr>
        <w:t xml:space="preserve"> </w:t>
      </w:r>
      <w:r w:rsidRPr="002E2F24">
        <w:rPr>
          <w:rFonts w:ascii="Book Antiqua" w:eastAsia="Book Antiqua" w:hAnsi="Book Antiqua" w:cs="Book Antiqua"/>
          <w:b/>
          <w:color w:val="000000" w:themeColor="text1"/>
        </w:rPr>
        <w:t>of</w:t>
      </w:r>
      <w:r w:rsidR="00450328" w:rsidRPr="002E2F24">
        <w:rPr>
          <w:rFonts w:ascii="Book Antiqua" w:eastAsia="Book Antiqua" w:hAnsi="Book Antiqua" w:cs="Book Antiqua"/>
          <w:b/>
          <w:color w:val="000000" w:themeColor="text1"/>
        </w:rPr>
        <w:t xml:space="preserve"> </w:t>
      </w:r>
      <w:r w:rsidRPr="002E2F24">
        <w:rPr>
          <w:rFonts w:ascii="Book Antiqua" w:eastAsia="Book Antiqua" w:hAnsi="Book Antiqua" w:cs="Book Antiqua"/>
          <w:b/>
          <w:color w:val="000000" w:themeColor="text1"/>
        </w:rPr>
        <w:t>origin:</w:t>
      </w:r>
      <w:r w:rsidR="00450328" w:rsidRPr="002E2F24">
        <w:rPr>
          <w:rFonts w:ascii="Book Antiqua" w:eastAsia="Book Antiqua" w:hAnsi="Book Antiqua" w:cs="Book Antiqua"/>
          <w:b/>
          <w:color w:val="000000" w:themeColor="text1"/>
        </w:rPr>
        <w:t xml:space="preserve"> </w:t>
      </w:r>
      <w:r w:rsidRPr="002E2F24">
        <w:rPr>
          <w:rFonts w:ascii="Book Antiqua" w:eastAsia="Book Antiqua" w:hAnsi="Book Antiqua" w:cs="Book Antiqua"/>
          <w:color w:val="000000" w:themeColor="text1"/>
        </w:rPr>
        <w:t>India</w:t>
      </w:r>
    </w:p>
    <w:p w14:paraId="0078BAFF" w14:textId="563F4679"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color w:val="000000" w:themeColor="text1"/>
        </w:rPr>
        <w:t>Peer-review</w:t>
      </w:r>
      <w:r w:rsidR="00450328" w:rsidRPr="002E2F24">
        <w:rPr>
          <w:rFonts w:ascii="Book Antiqua" w:eastAsia="Book Antiqua" w:hAnsi="Book Antiqua" w:cs="Book Antiqua"/>
          <w:b/>
          <w:color w:val="000000" w:themeColor="text1"/>
        </w:rPr>
        <w:t xml:space="preserve"> </w:t>
      </w:r>
      <w:r w:rsidRPr="002E2F24">
        <w:rPr>
          <w:rFonts w:ascii="Book Antiqua" w:eastAsia="Book Antiqua" w:hAnsi="Book Antiqua" w:cs="Book Antiqua"/>
          <w:b/>
          <w:color w:val="000000" w:themeColor="text1"/>
        </w:rPr>
        <w:t>report’s</w:t>
      </w:r>
      <w:r w:rsidR="00450328" w:rsidRPr="002E2F24">
        <w:rPr>
          <w:rFonts w:ascii="Book Antiqua" w:eastAsia="Book Antiqua" w:hAnsi="Book Antiqua" w:cs="Book Antiqua"/>
          <w:b/>
          <w:color w:val="000000" w:themeColor="text1"/>
        </w:rPr>
        <w:t xml:space="preserve"> </w:t>
      </w:r>
      <w:r w:rsidRPr="002E2F24">
        <w:rPr>
          <w:rFonts w:ascii="Book Antiqua" w:eastAsia="Book Antiqua" w:hAnsi="Book Antiqua" w:cs="Book Antiqua"/>
          <w:b/>
          <w:color w:val="000000" w:themeColor="text1"/>
        </w:rPr>
        <w:t>scientific</w:t>
      </w:r>
      <w:r w:rsidR="00450328" w:rsidRPr="002E2F24">
        <w:rPr>
          <w:rFonts w:ascii="Book Antiqua" w:eastAsia="Book Antiqua" w:hAnsi="Book Antiqua" w:cs="Book Antiqua"/>
          <w:b/>
          <w:color w:val="000000" w:themeColor="text1"/>
        </w:rPr>
        <w:t xml:space="preserve"> </w:t>
      </w:r>
      <w:r w:rsidRPr="002E2F24">
        <w:rPr>
          <w:rFonts w:ascii="Book Antiqua" w:eastAsia="Book Antiqua" w:hAnsi="Book Antiqua" w:cs="Book Antiqua"/>
          <w:b/>
          <w:color w:val="000000" w:themeColor="text1"/>
        </w:rPr>
        <w:t>quality</w:t>
      </w:r>
      <w:r w:rsidR="00450328" w:rsidRPr="002E2F24">
        <w:rPr>
          <w:rFonts w:ascii="Book Antiqua" w:eastAsia="Book Antiqua" w:hAnsi="Book Antiqua" w:cs="Book Antiqua"/>
          <w:b/>
          <w:color w:val="000000" w:themeColor="text1"/>
        </w:rPr>
        <w:t xml:space="preserve"> </w:t>
      </w:r>
      <w:r w:rsidRPr="002E2F24">
        <w:rPr>
          <w:rFonts w:ascii="Book Antiqua" w:eastAsia="Book Antiqua" w:hAnsi="Book Antiqua" w:cs="Book Antiqua"/>
          <w:b/>
          <w:color w:val="000000" w:themeColor="text1"/>
        </w:rPr>
        <w:t>classification</w:t>
      </w:r>
    </w:p>
    <w:p w14:paraId="32AA8BEC" w14:textId="20DCCE1E"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color w:val="000000" w:themeColor="text1"/>
        </w:rPr>
        <w:t>Grade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(Excellent):</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0</w:t>
      </w:r>
    </w:p>
    <w:p w14:paraId="53C6BAEB" w14:textId="3B9314C0"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color w:val="000000" w:themeColor="text1"/>
        </w:rPr>
        <w:t>Grade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B</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(Very</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good):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0</w:t>
      </w:r>
    </w:p>
    <w:p w14:paraId="09FDBB14" w14:textId="18C543D6"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color w:val="000000" w:themeColor="text1"/>
        </w:rPr>
        <w:t>Grade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(Good):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w:t>
      </w:r>
    </w:p>
    <w:p w14:paraId="65FEA70F" w14:textId="66649C9F"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color w:val="000000" w:themeColor="text1"/>
        </w:rPr>
        <w:lastRenderedPageBreak/>
        <w:t>Grade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D</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(Fair):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0</w:t>
      </w:r>
    </w:p>
    <w:p w14:paraId="755BDE83" w14:textId="48936EA5"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color w:val="000000" w:themeColor="text1"/>
        </w:rPr>
        <w:t>Grade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(Poor):</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0</w:t>
      </w:r>
    </w:p>
    <w:p w14:paraId="60742F4A" w14:textId="77777777" w:rsidR="00A77B3E" w:rsidRPr="002E2F24" w:rsidRDefault="00A77B3E">
      <w:pPr>
        <w:spacing w:line="360" w:lineRule="auto"/>
        <w:jc w:val="both"/>
        <w:rPr>
          <w:rFonts w:ascii="Book Antiqua" w:hAnsi="Book Antiqua"/>
          <w:color w:val="000000" w:themeColor="text1"/>
        </w:rPr>
      </w:pPr>
    </w:p>
    <w:p w14:paraId="1A111B03" w14:textId="5FFD110A" w:rsidR="00A77B3E" w:rsidRPr="002E2F24" w:rsidRDefault="00873F32">
      <w:pPr>
        <w:spacing w:line="360" w:lineRule="auto"/>
        <w:jc w:val="both"/>
        <w:rPr>
          <w:rFonts w:ascii="Book Antiqua" w:eastAsia="Book Antiqua" w:hAnsi="Book Antiqua" w:cs="Book Antiqua"/>
          <w:b/>
          <w:color w:val="000000" w:themeColor="text1"/>
        </w:rPr>
      </w:pPr>
      <w:r w:rsidRPr="002E2F24">
        <w:rPr>
          <w:rFonts w:ascii="Book Antiqua" w:eastAsia="Book Antiqua" w:hAnsi="Book Antiqua" w:cs="Book Antiqua"/>
          <w:b/>
          <w:color w:val="000000" w:themeColor="text1"/>
        </w:rPr>
        <w:t>P-Reviewer:</w:t>
      </w:r>
      <w:r w:rsidR="00450328" w:rsidRPr="002E2F24">
        <w:rPr>
          <w:rFonts w:ascii="Book Antiqua" w:eastAsia="Book Antiqua" w:hAnsi="Book Antiqua" w:cs="Book Antiqua"/>
          <w:b/>
          <w:color w:val="000000" w:themeColor="text1"/>
        </w:rPr>
        <w:t xml:space="preserve"> </w:t>
      </w:r>
      <w:r w:rsidRPr="002E2F24">
        <w:rPr>
          <w:rFonts w:ascii="Book Antiqua" w:eastAsia="Book Antiqua" w:hAnsi="Book Antiqua" w:cs="Book Antiqua"/>
          <w:color w:val="000000" w:themeColor="text1"/>
        </w:rPr>
        <w:t>He</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Z,</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China;</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Shi</w:t>
      </w:r>
      <w:r w:rsidR="00450328" w:rsidRPr="002E2F24">
        <w:rPr>
          <w:rFonts w:ascii="Book Antiqua" w:eastAsia="Book Antiqua" w:hAnsi="Book Antiqua" w:cs="Book Antiqua"/>
          <w:color w:val="000000" w:themeColor="text1"/>
        </w:rPr>
        <w:t xml:space="preserve"> </w:t>
      </w:r>
      <w:r w:rsidRPr="002E2F24">
        <w:rPr>
          <w:rFonts w:ascii="Book Antiqua" w:eastAsia="Book Antiqua" w:hAnsi="Book Antiqua" w:cs="Book Antiqua"/>
          <w:color w:val="000000" w:themeColor="text1"/>
        </w:rPr>
        <w:t>J</w:t>
      </w:r>
      <w:r w:rsidR="00C7696E" w:rsidRPr="002E2F24">
        <w:rPr>
          <w:rFonts w:ascii="Book Antiqua" w:eastAsia="Book Antiqua" w:hAnsi="Book Antiqua" w:cs="Book Antiqua"/>
          <w:color w:val="000000" w:themeColor="text1"/>
        </w:rPr>
        <w:t>, China</w:t>
      </w:r>
      <w:r w:rsidR="00450328" w:rsidRPr="002E2F24">
        <w:rPr>
          <w:rFonts w:ascii="Book Antiqua" w:eastAsia="Book Antiqua" w:hAnsi="Book Antiqua" w:cs="Book Antiqua"/>
          <w:b/>
          <w:color w:val="000000" w:themeColor="text1"/>
        </w:rPr>
        <w:t xml:space="preserve"> </w:t>
      </w:r>
      <w:r w:rsidRPr="002E2F24">
        <w:rPr>
          <w:rFonts w:ascii="Book Antiqua" w:eastAsia="Book Antiqua" w:hAnsi="Book Antiqua" w:cs="Book Antiqua"/>
          <w:b/>
          <w:color w:val="000000" w:themeColor="text1"/>
        </w:rPr>
        <w:t>S-Editor:</w:t>
      </w:r>
      <w:r w:rsidR="00450328" w:rsidRPr="002E2F24">
        <w:rPr>
          <w:rFonts w:ascii="Book Antiqua" w:eastAsia="Book Antiqua" w:hAnsi="Book Antiqua" w:cs="Book Antiqua"/>
          <w:b/>
          <w:color w:val="000000" w:themeColor="text1"/>
        </w:rPr>
        <w:t xml:space="preserve"> </w:t>
      </w:r>
      <w:r w:rsidR="00C7696E" w:rsidRPr="002E2F24">
        <w:rPr>
          <w:rFonts w:ascii="Book Antiqua" w:eastAsia="Book Antiqua" w:hAnsi="Book Antiqua" w:cs="Book Antiqua"/>
          <w:bCs/>
          <w:color w:val="000000" w:themeColor="text1"/>
        </w:rPr>
        <w:t xml:space="preserve">Li L </w:t>
      </w:r>
      <w:r w:rsidRPr="002E2F24">
        <w:rPr>
          <w:rFonts w:ascii="Book Antiqua" w:eastAsia="Book Antiqua" w:hAnsi="Book Antiqua" w:cs="Book Antiqua"/>
          <w:b/>
          <w:color w:val="000000" w:themeColor="text1"/>
        </w:rPr>
        <w:t>L-Editor:</w:t>
      </w:r>
      <w:r w:rsidR="00450328" w:rsidRPr="002E2F24">
        <w:rPr>
          <w:rFonts w:ascii="Book Antiqua" w:eastAsia="Book Antiqua" w:hAnsi="Book Antiqua" w:cs="Book Antiqua"/>
          <w:b/>
          <w:color w:val="000000" w:themeColor="text1"/>
        </w:rPr>
        <w:t xml:space="preserve"> </w:t>
      </w:r>
      <w:r w:rsidR="00B055A1" w:rsidRPr="00B055A1">
        <w:rPr>
          <w:rFonts w:ascii="Book Antiqua" w:eastAsia="Book Antiqua" w:hAnsi="Book Antiqua" w:cs="Book Antiqua"/>
          <w:color w:val="000000" w:themeColor="text1"/>
        </w:rPr>
        <w:t>Webster JR</w:t>
      </w:r>
      <w:r w:rsidR="006C468A" w:rsidRPr="002E2F24">
        <w:rPr>
          <w:rFonts w:ascii="Book Antiqua" w:eastAsia="Book Antiqua" w:hAnsi="Book Antiqua" w:cs="Book Antiqua"/>
          <w:bCs/>
          <w:color w:val="000000" w:themeColor="text1"/>
        </w:rPr>
        <w:t xml:space="preserve"> </w:t>
      </w:r>
      <w:r w:rsidRPr="002E2F24">
        <w:rPr>
          <w:rFonts w:ascii="Book Antiqua" w:eastAsia="Book Antiqua" w:hAnsi="Book Antiqua" w:cs="Book Antiqua"/>
          <w:b/>
          <w:color w:val="000000" w:themeColor="text1"/>
        </w:rPr>
        <w:t>P-Editor:</w:t>
      </w:r>
      <w:r w:rsidR="00450328" w:rsidRPr="002E2F24">
        <w:rPr>
          <w:rFonts w:ascii="Book Antiqua" w:eastAsia="Book Antiqua" w:hAnsi="Book Antiqua" w:cs="Book Antiqua"/>
          <w:b/>
          <w:color w:val="000000" w:themeColor="text1"/>
        </w:rPr>
        <w:t xml:space="preserve"> </w:t>
      </w:r>
    </w:p>
    <w:p w14:paraId="644712B5" w14:textId="1D2839E6" w:rsidR="00C7696E" w:rsidRPr="002E2F24" w:rsidRDefault="00C7696E">
      <w:pPr>
        <w:spacing w:line="360" w:lineRule="auto"/>
        <w:jc w:val="both"/>
        <w:rPr>
          <w:rFonts w:ascii="Book Antiqua" w:hAnsi="Book Antiqua"/>
          <w:color w:val="000000" w:themeColor="text1"/>
        </w:rPr>
        <w:sectPr w:rsidR="00C7696E" w:rsidRPr="002E2F24">
          <w:pgSz w:w="12240" w:h="15840"/>
          <w:pgMar w:top="1440" w:right="1440" w:bottom="1440" w:left="1440" w:header="720" w:footer="720" w:gutter="0"/>
          <w:cols w:space="720"/>
          <w:docGrid w:linePitch="360"/>
        </w:sectPr>
      </w:pPr>
    </w:p>
    <w:p w14:paraId="15A58804" w14:textId="5A67788E" w:rsidR="00A77B3E" w:rsidRPr="002E2F24" w:rsidRDefault="00873F32">
      <w:pPr>
        <w:spacing w:line="360" w:lineRule="auto"/>
        <w:jc w:val="both"/>
        <w:rPr>
          <w:rFonts w:ascii="Book Antiqua" w:eastAsia="Book Antiqua" w:hAnsi="Book Antiqua" w:cs="Book Antiqua"/>
          <w:b/>
          <w:color w:val="000000" w:themeColor="text1"/>
        </w:rPr>
      </w:pPr>
      <w:r w:rsidRPr="002E2F24">
        <w:rPr>
          <w:rFonts w:ascii="Book Antiqua" w:eastAsia="Book Antiqua" w:hAnsi="Book Antiqua" w:cs="Book Antiqua"/>
          <w:b/>
          <w:color w:val="000000" w:themeColor="text1"/>
        </w:rPr>
        <w:lastRenderedPageBreak/>
        <w:t>Figure</w:t>
      </w:r>
      <w:r w:rsidR="00450328" w:rsidRPr="002E2F24">
        <w:rPr>
          <w:rFonts w:ascii="Book Antiqua" w:eastAsia="Book Antiqua" w:hAnsi="Book Antiqua" w:cs="Book Antiqua"/>
          <w:b/>
          <w:color w:val="000000" w:themeColor="text1"/>
        </w:rPr>
        <w:t xml:space="preserve"> </w:t>
      </w:r>
      <w:r w:rsidRPr="002E2F24">
        <w:rPr>
          <w:rFonts w:ascii="Book Antiqua" w:eastAsia="Book Antiqua" w:hAnsi="Book Antiqua" w:cs="Book Antiqua"/>
          <w:b/>
          <w:color w:val="000000" w:themeColor="text1"/>
        </w:rPr>
        <w:t>Legends</w:t>
      </w:r>
    </w:p>
    <w:p w14:paraId="04F8C3B2" w14:textId="4B4FDFA9" w:rsidR="0025391B" w:rsidRPr="002E2F24" w:rsidRDefault="00B84560">
      <w:pPr>
        <w:spacing w:line="360" w:lineRule="auto"/>
        <w:jc w:val="both"/>
        <w:rPr>
          <w:rFonts w:ascii="Book Antiqua" w:hAnsi="Book Antiqua"/>
          <w:color w:val="000000" w:themeColor="text1"/>
        </w:rPr>
      </w:pPr>
      <w:r w:rsidRPr="002E2F24">
        <w:rPr>
          <w:rFonts w:ascii="Book Antiqua" w:hAnsi="Book Antiqua"/>
          <w:noProof/>
          <w:color w:val="000000" w:themeColor="text1"/>
          <w:lang w:val="en-GB" w:eastAsia="zh-CN"/>
        </w:rPr>
        <w:drawing>
          <wp:inline distT="0" distB="0" distL="0" distR="0" wp14:anchorId="524429DD" wp14:editId="72363BDC">
            <wp:extent cx="5943600" cy="2624455"/>
            <wp:effectExtent l="0" t="0" r="0" b="0"/>
            <wp:docPr id="466320882" name="图片 1" descr="图形用户界面, 文本, 应用程序, 电子邮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320882" name="图片 1" descr="图形用户界面, 文本, 应用程序, 电子邮件&#10;&#10;描述已自动生成"/>
                    <pic:cNvPicPr/>
                  </pic:nvPicPr>
                  <pic:blipFill>
                    <a:blip r:embed="rId8"/>
                    <a:stretch>
                      <a:fillRect/>
                    </a:stretch>
                  </pic:blipFill>
                  <pic:spPr>
                    <a:xfrm>
                      <a:off x="0" y="0"/>
                      <a:ext cx="5943600" cy="2624455"/>
                    </a:xfrm>
                    <a:prstGeom prst="rect">
                      <a:avLst/>
                    </a:prstGeom>
                  </pic:spPr>
                </pic:pic>
              </a:graphicData>
            </a:graphic>
          </wp:inline>
        </w:drawing>
      </w:r>
    </w:p>
    <w:p w14:paraId="0A5FC844" w14:textId="437A537F"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bCs/>
          <w:color w:val="000000" w:themeColor="text1"/>
        </w:rPr>
        <w:t>Figure</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1</w:t>
      </w:r>
      <w:r w:rsidR="00450328" w:rsidRPr="002E2F24">
        <w:rPr>
          <w:rFonts w:ascii="Book Antiqua" w:eastAsia="Book Antiqua" w:hAnsi="Book Antiqua" w:cs="Book Antiqua"/>
          <w:b/>
          <w:bCs/>
          <w:color w:val="000000" w:themeColor="text1"/>
        </w:rPr>
        <w:t xml:space="preserve"> </w:t>
      </w:r>
      <w:r w:rsidR="00B84560" w:rsidRPr="002E2F24">
        <w:rPr>
          <w:rFonts w:ascii="Book Antiqua" w:eastAsia="Book Antiqua" w:hAnsi="Book Antiqua" w:cs="Book Antiqua"/>
          <w:b/>
          <w:bCs/>
          <w:color w:val="000000" w:themeColor="text1"/>
        </w:rPr>
        <w:t xml:space="preserve">The preferred reporting items for systematic reviews and meta-analyses flow </w:t>
      </w:r>
      <w:r w:rsidRPr="002E2F24">
        <w:rPr>
          <w:rFonts w:ascii="Book Antiqua" w:eastAsia="Book Antiqua" w:hAnsi="Book Antiqua" w:cs="Book Antiqua"/>
          <w:b/>
          <w:bCs/>
          <w:color w:val="000000" w:themeColor="text1"/>
        </w:rPr>
        <w:t>diagram</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for</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the</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selected</w:t>
      </w:r>
      <w:r w:rsidR="00450328" w:rsidRPr="002E2F24">
        <w:rPr>
          <w:rFonts w:ascii="Book Antiqua" w:eastAsia="Book Antiqua" w:hAnsi="Book Antiqua" w:cs="Book Antiqua"/>
          <w:b/>
          <w:bCs/>
          <w:color w:val="000000" w:themeColor="text1"/>
        </w:rPr>
        <w:t xml:space="preserve"> </w:t>
      </w:r>
      <w:commentRangeStart w:id="2"/>
      <w:r w:rsidRPr="002E2F24">
        <w:rPr>
          <w:rFonts w:ascii="Book Antiqua" w:eastAsia="Book Antiqua" w:hAnsi="Book Antiqua" w:cs="Book Antiqua"/>
          <w:b/>
          <w:bCs/>
          <w:color w:val="000000" w:themeColor="text1"/>
        </w:rPr>
        <w:t>literature</w:t>
      </w:r>
      <w:commentRangeEnd w:id="2"/>
      <w:r w:rsidR="00B055A1">
        <w:rPr>
          <w:rStyle w:val="CommentReference"/>
        </w:rPr>
        <w:commentReference w:id="2"/>
      </w:r>
      <w:r w:rsidRPr="002E2F24">
        <w:rPr>
          <w:rFonts w:ascii="Book Antiqua" w:eastAsia="Book Antiqua" w:hAnsi="Book Antiqua" w:cs="Book Antiqua"/>
          <w:b/>
          <w:bCs/>
          <w:color w:val="000000" w:themeColor="text1"/>
        </w:rPr>
        <w:t>.</w:t>
      </w:r>
      <w:r w:rsidR="00B055A1">
        <w:rPr>
          <w:rFonts w:ascii="Book Antiqua" w:eastAsia="Book Antiqua" w:hAnsi="Book Antiqua" w:cs="Book Antiqua"/>
          <w:b/>
          <w:bCs/>
          <w:color w:val="000000" w:themeColor="text1"/>
        </w:rPr>
        <w:t xml:space="preserve"> </w:t>
      </w:r>
    </w:p>
    <w:p w14:paraId="17927EC5" w14:textId="72D6DE9F" w:rsidR="00A77B3E" w:rsidRPr="002E2F24" w:rsidRDefault="00E05170">
      <w:pPr>
        <w:spacing w:line="360" w:lineRule="auto"/>
        <w:jc w:val="both"/>
        <w:rPr>
          <w:rFonts w:ascii="Book Antiqua" w:hAnsi="Book Antiqua"/>
          <w:color w:val="000000" w:themeColor="text1"/>
        </w:rPr>
      </w:pPr>
      <w:r w:rsidRPr="002E2F24">
        <w:rPr>
          <w:rFonts w:ascii="Book Antiqua" w:hAnsi="Book Antiqua"/>
          <w:noProof/>
          <w:color w:val="000000" w:themeColor="text1"/>
          <w:lang w:val="en-GB" w:eastAsia="zh-CN"/>
        </w:rPr>
        <w:drawing>
          <wp:inline distT="0" distB="0" distL="0" distR="0" wp14:anchorId="382772C6" wp14:editId="0CB7D573">
            <wp:extent cx="5943600" cy="2858770"/>
            <wp:effectExtent l="0" t="0" r="0" b="0"/>
            <wp:docPr id="1880857149" name="图片 1" descr="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857149" name="图片 1" descr="地图&#10;&#10;描述已自动生成"/>
                    <pic:cNvPicPr/>
                  </pic:nvPicPr>
                  <pic:blipFill>
                    <a:blip r:embed="rId10"/>
                    <a:stretch>
                      <a:fillRect/>
                    </a:stretch>
                  </pic:blipFill>
                  <pic:spPr>
                    <a:xfrm>
                      <a:off x="0" y="0"/>
                      <a:ext cx="5943600" cy="2858770"/>
                    </a:xfrm>
                    <a:prstGeom prst="rect">
                      <a:avLst/>
                    </a:prstGeom>
                  </pic:spPr>
                </pic:pic>
              </a:graphicData>
            </a:graphic>
          </wp:inline>
        </w:drawing>
      </w:r>
    </w:p>
    <w:p w14:paraId="6A160988" w14:textId="57AA41A6" w:rsidR="00A77B3E" w:rsidRPr="002E2F24" w:rsidRDefault="00873F32">
      <w:pPr>
        <w:spacing w:line="360" w:lineRule="auto"/>
        <w:jc w:val="both"/>
        <w:rPr>
          <w:rFonts w:ascii="Book Antiqua" w:hAnsi="Book Antiqua"/>
          <w:color w:val="000000" w:themeColor="text1"/>
        </w:rPr>
      </w:pPr>
      <w:r w:rsidRPr="002E2F24">
        <w:rPr>
          <w:rFonts w:ascii="Book Antiqua" w:eastAsia="Book Antiqua" w:hAnsi="Book Antiqua" w:cs="Book Antiqua"/>
          <w:b/>
          <w:bCs/>
          <w:color w:val="000000" w:themeColor="text1"/>
        </w:rPr>
        <w:t>Figure</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2</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Geographical</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distribution</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of</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the</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patients</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reported</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with</w:t>
      </w:r>
      <w:r w:rsidR="00450328" w:rsidRPr="002E2F24">
        <w:rPr>
          <w:rFonts w:ascii="Book Antiqua" w:eastAsia="Book Antiqua" w:hAnsi="Book Antiqua" w:cs="Book Antiqua"/>
          <w:b/>
          <w:bCs/>
          <w:color w:val="000000" w:themeColor="text1"/>
        </w:rPr>
        <w:t xml:space="preserve"> </w:t>
      </w:r>
      <w:r w:rsidR="004D1FAC" w:rsidRPr="002E2F24">
        <w:rPr>
          <w:rFonts w:ascii="Book Antiqua" w:eastAsia="Book Antiqua" w:hAnsi="Book Antiqua" w:cs="Book Antiqua"/>
          <w:b/>
          <w:bCs/>
          <w:color w:val="000000" w:themeColor="text1"/>
        </w:rPr>
        <w:t>Sodium-glucose cotransporter-2</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inhibitors</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associated</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euglycemic</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diabetic</w:t>
      </w:r>
      <w:r w:rsidR="00450328" w:rsidRPr="002E2F24">
        <w:rPr>
          <w:rFonts w:ascii="Book Antiqua" w:eastAsia="Book Antiqua" w:hAnsi="Book Antiqua" w:cs="Book Antiqua"/>
          <w:b/>
          <w:bCs/>
          <w:color w:val="000000" w:themeColor="text1"/>
        </w:rPr>
        <w:t xml:space="preserve"> </w:t>
      </w:r>
      <w:r w:rsidRPr="002E2F24">
        <w:rPr>
          <w:rFonts w:ascii="Book Antiqua" w:eastAsia="Book Antiqua" w:hAnsi="Book Antiqua" w:cs="Book Antiqua"/>
          <w:b/>
          <w:bCs/>
          <w:color w:val="000000" w:themeColor="text1"/>
        </w:rPr>
        <w:t>ketoacidosis.</w:t>
      </w:r>
    </w:p>
    <w:p w14:paraId="0ECEDEB9" w14:textId="77777777" w:rsidR="00012FA1" w:rsidRPr="002E2F24" w:rsidRDefault="00012FA1" w:rsidP="00012FA1">
      <w:pPr>
        <w:spacing w:line="360" w:lineRule="auto"/>
        <w:jc w:val="both"/>
        <w:rPr>
          <w:rFonts w:ascii="Book Antiqua" w:hAnsi="Book Antiqua"/>
          <w:color w:val="000000" w:themeColor="text1"/>
        </w:rPr>
      </w:pPr>
    </w:p>
    <w:p w14:paraId="1E0DD50C" w14:textId="77777777" w:rsidR="00012FA1" w:rsidRPr="002E2F24" w:rsidRDefault="00012FA1" w:rsidP="00012FA1">
      <w:pPr>
        <w:spacing w:line="360" w:lineRule="auto"/>
        <w:jc w:val="both"/>
        <w:rPr>
          <w:rFonts w:ascii="Book Antiqua" w:hAnsi="Book Antiqua" w:cs="Book Antiqua"/>
          <w:b/>
          <w:bCs/>
          <w:color w:val="000000" w:themeColor="text1"/>
          <w:lang w:eastAsia="zh-CN"/>
        </w:rPr>
        <w:sectPr w:rsidR="00012FA1" w:rsidRPr="002E2F24">
          <w:pgSz w:w="12240" w:h="15840"/>
          <w:pgMar w:top="1440" w:right="1440" w:bottom="1440" w:left="1440" w:header="720" w:footer="720" w:gutter="0"/>
          <w:cols w:space="720"/>
          <w:docGrid w:linePitch="360"/>
        </w:sectPr>
      </w:pPr>
    </w:p>
    <w:p w14:paraId="31430EF0" w14:textId="7545E50C" w:rsidR="00012FA1" w:rsidRPr="002E2F24" w:rsidRDefault="00012FA1" w:rsidP="00012FA1">
      <w:pPr>
        <w:spacing w:line="360" w:lineRule="auto"/>
        <w:jc w:val="both"/>
        <w:rPr>
          <w:rFonts w:ascii="Book Antiqua" w:hAnsi="Book Antiqua" w:cs="Book Antiqua"/>
          <w:b/>
          <w:bCs/>
          <w:color w:val="000000" w:themeColor="text1"/>
          <w:lang w:eastAsia="zh-CN"/>
        </w:rPr>
      </w:pPr>
      <w:r w:rsidRPr="002E2F24">
        <w:rPr>
          <w:rFonts w:ascii="Book Antiqua" w:hAnsi="Book Antiqua" w:cs="Book Antiqua"/>
          <w:b/>
          <w:bCs/>
          <w:color w:val="000000" w:themeColor="text1"/>
          <w:lang w:eastAsia="zh-CN"/>
        </w:rPr>
        <w:lastRenderedPageBreak/>
        <w:t xml:space="preserve">Table 1 </w:t>
      </w:r>
      <w:r w:rsidR="00B055A1">
        <w:rPr>
          <w:rFonts w:ascii="Book Antiqua" w:hAnsi="Book Antiqua" w:cs="Book Antiqua"/>
          <w:b/>
          <w:bCs/>
          <w:color w:val="000000" w:themeColor="text1"/>
          <w:lang w:eastAsia="zh-CN"/>
        </w:rPr>
        <w:t>B</w:t>
      </w:r>
      <w:r w:rsidRPr="002E2F24">
        <w:rPr>
          <w:rFonts w:ascii="Book Antiqua" w:eastAsia="Book Antiqua" w:hAnsi="Book Antiqua" w:cs="Book Antiqua"/>
          <w:b/>
          <w:color w:val="000000" w:themeColor="text1"/>
        </w:rPr>
        <w:t>aseline patient parameters</w:t>
      </w:r>
    </w:p>
    <w:tbl>
      <w:tblPr>
        <w:tblW w:w="8630" w:type="dxa"/>
        <w:tblInd w:w="113" w:type="dxa"/>
        <w:tblBorders>
          <w:top w:val="single" w:sz="4" w:space="0" w:color="auto"/>
          <w:bottom w:val="single" w:sz="4" w:space="0" w:color="auto"/>
        </w:tblBorders>
        <w:tblLook w:val="04A0" w:firstRow="1" w:lastRow="0" w:firstColumn="1" w:lastColumn="0" w:noHBand="0" w:noVBand="1"/>
      </w:tblPr>
      <w:tblGrid>
        <w:gridCol w:w="4452"/>
        <w:gridCol w:w="4178"/>
      </w:tblGrid>
      <w:tr w:rsidR="002E2F24" w:rsidRPr="002E2F24" w14:paraId="5E0CA296" w14:textId="77777777" w:rsidTr="00B91B98">
        <w:trPr>
          <w:trHeight w:val="312"/>
        </w:trPr>
        <w:tc>
          <w:tcPr>
            <w:tcW w:w="4452" w:type="dxa"/>
            <w:tcBorders>
              <w:top w:val="single" w:sz="4" w:space="0" w:color="auto"/>
              <w:bottom w:val="single" w:sz="4" w:space="0" w:color="auto"/>
            </w:tcBorders>
            <w:shd w:val="clear" w:color="auto" w:fill="auto"/>
            <w:noWrap/>
            <w:vAlign w:val="center"/>
            <w:hideMark/>
          </w:tcPr>
          <w:p w14:paraId="27BA7BC4" w14:textId="77777777" w:rsidR="00012FA1" w:rsidRPr="002E2F24" w:rsidRDefault="00012FA1" w:rsidP="00B91B98">
            <w:pPr>
              <w:widowControl w:val="0"/>
              <w:spacing w:line="360" w:lineRule="auto"/>
              <w:jc w:val="both"/>
              <w:rPr>
                <w:rFonts w:ascii="Book Antiqua" w:eastAsia="DengXian" w:hAnsi="Book Antiqua" w:cs="SimSun"/>
                <w:b/>
                <w:bCs/>
                <w:color w:val="000000" w:themeColor="text1"/>
              </w:rPr>
            </w:pPr>
            <w:r w:rsidRPr="002E2F24">
              <w:rPr>
                <w:rFonts w:ascii="Book Antiqua" w:eastAsia="DengXian" w:hAnsi="Book Antiqua" w:cs="SimSun"/>
                <w:b/>
                <w:bCs/>
                <w:color w:val="000000" w:themeColor="text1"/>
                <w:lang w:val="en-IN"/>
              </w:rPr>
              <w:t>Parameter</w:t>
            </w:r>
          </w:p>
        </w:tc>
        <w:tc>
          <w:tcPr>
            <w:tcW w:w="4178" w:type="dxa"/>
            <w:tcBorders>
              <w:top w:val="single" w:sz="4" w:space="0" w:color="auto"/>
              <w:bottom w:val="single" w:sz="4" w:space="0" w:color="auto"/>
            </w:tcBorders>
            <w:shd w:val="clear" w:color="auto" w:fill="auto"/>
            <w:noWrap/>
            <w:vAlign w:val="center"/>
            <w:hideMark/>
          </w:tcPr>
          <w:p w14:paraId="382AD3D0" w14:textId="77777777" w:rsidR="00012FA1" w:rsidRPr="002E2F24" w:rsidRDefault="00012FA1" w:rsidP="00B91B98">
            <w:pPr>
              <w:widowControl w:val="0"/>
              <w:spacing w:line="360" w:lineRule="auto"/>
              <w:jc w:val="both"/>
              <w:rPr>
                <w:rFonts w:ascii="Book Antiqua" w:eastAsia="DengXian" w:hAnsi="Book Antiqua" w:cs="SimSun"/>
                <w:b/>
                <w:bCs/>
                <w:color w:val="000000" w:themeColor="text1"/>
              </w:rPr>
            </w:pPr>
            <w:r w:rsidRPr="002E2F24">
              <w:rPr>
                <w:rFonts w:ascii="Book Antiqua" w:eastAsia="DengXian" w:hAnsi="Book Antiqua" w:cs="SimSun"/>
                <w:b/>
                <w:bCs/>
                <w:color w:val="000000" w:themeColor="text1"/>
                <w:lang w:val="en-IN"/>
              </w:rPr>
              <w:t>Number of patients (</w:t>
            </w:r>
            <w:r w:rsidRPr="002E2F24">
              <w:rPr>
                <w:rFonts w:ascii="Book Antiqua" w:eastAsia="DengXian" w:hAnsi="Book Antiqua" w:cs="SimSun"/>
                <w:b/>
                <w:bCs/>
                <w:i/>
                <w:iCs/>
                <w:color w:val="000000" w:themeColor="text1"/>
                <w:lang w:val="en-IN"/>
              </w:rPr>
              <w:t>n</w:t>
            </w:r>
            <w:r w:rsidRPr="002E2F24">
              <w:rPr>
                <w:rFonts w:ascii="Book Antiqua" w:eastAsia="DengXian" w:hAnsi="Book Antiqua" w:cs="SimSun"/>
                <w:b/>
                <w:bCs/>
                <w:color w:val="000000" w:themeColor="text1"/>
                <w:lang w:val="en-IN"/>
              </w:rPr>
              <w:t xml:space="preserve"> = 169)</w:t>
            </w:r>
          </w:p>
        </w:tc>
      </w:tr>
      <w:tr w:rsidR="002E2F24" w:rsidRPr="002E2F24" w14:paraId="4FF5070C" w14:textId="77777777" w:rsidTr="00B91B98">
        <w:trPr>
          <w:trHeight w:val="276"/>
        </w:trPr>
        <w:tc>
          <w:tcPr>
            <w:tcW w:w="4452" w:type="dxa"/>
            <w:tcBorders>
              <w:top w:val="single" w:sz="4" w:space="0" w:color="auto"/>
            </w:tcBorders>
            <w:shd w:val="clear" w:color="auto" w:fill="auto"/>
            <w:noWrap/>
            <w:vAlign w:val="center"/>
            <w:hideMark/>
          </w:tcPr>
          <w:p w14:paraId="25C62E09"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Age (± SD), yr</w:t>
            </w:r>
          </w:p>
        </w:tc>
        <w:tc>
          <w:tcPr>
            <w:tcW w:w="4178" w:type="dxa"/>
            <w:tcBorders>
              <w:top w:val="single" w:sz="4" w:space="0" w:color="auto"/>
            </w:tcBorders>
            <w:shd w:val="clear" w:color="auto" w:fill="auto"/>
            <w:noWrap/>
            <w:vAlign w:val="center"/>
            <w:hideMark/>
          </w:tcPr>
          <w:p w14:paraId="3EE0C512"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51.7 (13.8)</w:t>
            </w:r>
          </w:p>
        </w:tc>
      </w:tr>
      <w:tr w:rsidR="002E2F24" w:rsidRPr="002E2F24" w14:paraId="51083A12" w14:textId="77777777" w:rsidTr="00B91B98">
        <w:trPr>
          <w:trHeight w:val="324"/>
        </w:trPr>
        <w:tc>
          <w:tcPr>
            <w:tcW w:w="4452" w:type="dxa"/>
            <w:shd w:val="clear" w:color="auto" w:fill="auto"/>
            <w:noWrap/>
            <w:vAlign w:val="center"/>
            <w:hideMark/>
          </w:tcPr>
          <w:p w14:paraId="061C4A74"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 xml:space="preserve">Gender, </w:t>
            </w:r>
            <w:r w:rsidRPr="002E2F24">
              <w:rPr>
                <w:rFonts w:ascii="Book Antiqua" w:eastAsia="DengXian" w:hAnsi="Book Antiqua" w:cs="SimSun"/>
                <w:i/>
                <w:iCs/>
                <w:color w:val="000000" w:themeColor="text1"/>
                <w:lang w:val="en-IN"/>
              </w:rPr>
              <w:t>n</w:t>
            </w:r>
            <w:r w:rsidRPr="002E2F24">
              <w:rPr>
                <w:rFonts w:ascii="Book Antiqua" w:eastAsia="DengXian" w:hAnsi="Book Antiqua" w:cs="SimSun"/>
                <w:color w:val="000000" w:themeColor="text1"/>
                <w:lang w:val="en-IN"/>
              </w:rPr>
              <w:t xml:space="preserve"> (%)</w:t>
            </w:r>
          </w:p>
        </w:tc>
        <w:tc>
          <w:tcPr>
            <w:tcW w:w="4178" w:type="dxa"/>
            <w:shd w:val="clear" w:color="auto" w:fill="auto"/>
            <w:noWrap/>
            <w:vAlign w:val="center"/>
            <w:hideMark/>
          </w:tcPr>
          <w:p w14:paraId="0660F79F"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Females, 92 (54.4)</w:t>
            </w:r>
          </w:p>
        </w:tc>
      </w:tr>
      <w:tr w:rsidR="002E2F24" w:rsidRPr="002E2F24" w14:paraId="6BDF08B0" w14:textId="77777777" w:rsidTr="00B91B98">
        <w:trPr>
          <w:trHeight w:val="276"/>
        </w:trPr>
        <w:tc>
          <w:tcPr>
            <w:tcW w:w="4452" w:type="dxa"/>
            <w:shd w:val="clear" w:color="auto" w:fill="auto"/>
            <w:noWrap/>
            <w:vAlign w:val="center"/>
            <w:hideMark/>
          </w:tcPr>
          <w:p w14:paraId="43A89DEE"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36BF81B0"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Males, 77 (45.6)</w:t>
            </w:r>
          </w:p>
        </w:tc>
      </w:tr>
      <w:tr w:rsidR="002E2F24" w:rsidRPr="002E2F24" w14:paraId="6953FF1B" w14:textId="77777777" w:rsidTr="00B91B98">
        <w:trPr>
          <w:trHeight w:val="276"/>
        </w:trPr>
        <w:tc>
          <w:tcPr>
            <w:tcW w:w="4452" w:type="dxa"/>
            <w:shd w:val="clear" w:color="auto" w:fill="auto"/>
            <w:noWrap/>
            <w:vAlign w:val="center"/>
            <w:hideMark/>
          </w:tcPr>
          <w:p w14:paraId="665D3A47"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 xml:space="preserve">Type of diabetes, </w:t>
            </w:r>
            <w:r w:rsidRPr="00A90C8E">
              <w:rPr>
                <w:rFonts w:ascii="Book Antiqua" w:eastAsia="DengXian" w:hAnsi="Book Antiqua" w:cs="SimSun"/>
                <w:i/>
                <w:color w:val="000000" w:themeColor="text1"/>
                <w:lang w:val="en-IN"/>
              </w:rPr>
              <w:t>n</w:t>
            </w:r>
            <w:r w:rsidRPr="002E2F24">
              <w:rPr>
                <w:rFonts w:ascii="Book Antiqua" w:eastAsia="DengXian" w:hAnsi="Book Antiqua" w:cs="SimSun"/>
                <w:color w:val="000000" w:themeColor="text1"/>
                <w:lang w:val="en-IN"/>
              </w:rPr>
              <w:t xml:space="preserve"> (%)</w:t>
            </w:r>
          </w:p>
        </w:tc>
        <w:tc>
          <w:tcPr>
            <w:tcW w:w="4178" w:type="dxa"/>
            <w:shd w:val="clear" w:color="auto" w:fill="auto"/>
            <w:noWrap/>
            <w:vAlign w:val="center"/>
            <w:hideMark/>
          </w:tcPr>
          <w:p w14:paraId="219196D4"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Type I, 18 (10.7)</w:t>
            </w:r>
          </w:p>
        </w:tc>
      </w:tr>
      <w:tr w:rsidR="002E2F24" w:rsidRPr="002E2F24" w14:paraId="0A858362" w14:textId="77777777" w:rsidTr="00B91B98">
        <w:trPr>
          <w:trHeight w:val="276"/>
        </w:trPr>
        <w:tc>
          <w:tcPr>
            <w:tcW w:w="4452" w:type="dxa"/>
            <w:shd w:val="clear" w:color="auto" w:fill="auto"/>
            <w:noWrap/>
            <w:vAlign w:val="center"/>
            <w:hideMark/>
          </w:tcPr>
          <w:p w14:paraId="566EA292"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6D5FAD3A"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Type II, 149 (88.2)</w:t>
            </w:r>
          </w:p>
        </w:tc>
      </w:tr>
      <w:tr w:rsidR="002E2F24" w:rsidRPr="002E2F24" w14:paraId="5D5B3634" w14:textId="77777777" w:rsidTr="00B91B98">
        <w:trPr>
          <w:trHeight w:val="276"/>
        </w:trPr>
        <w:tc>
          <w:tcPr>
            <w:tcW w:w="4452" w:type="dxa"/>
            <w:shd w:val="clear" w:color="auto" w:fill="auto"/>
            <w:noWrap/>
            <w:vAlign w:val="center"/>
            <w:hideMark/>
          </w:tcPr>
          <w:p w14:paraId="3F0DFD13"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16B29DC4"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Not mentioned, 2 (1.1)</w:t>
            </w:r>
          </w:p>
        </w:tc>
      </w:tr>
      <w:tr w:rsidR="002E2F24" w:rsidRPr="002E2F24" w14:paraId="5E859DC7" w14:textId="77777777" w:rsidTr="00B91B98">
        <w:trPr>
          <w:trHeight w:val="276"/>
        </w:trPr>
        <w:tc>
          <w:tcPr>
            <w:tcW w:w="4452" w:type="dxa"/>
            <w:shd w:val="clear" w:color="auto" w:fill="auto"/>
            <w:noWrap/>
            <w:vAlign w:val="center"/>
            <w:hideMark/>
          </w:tcPr>
          <w:p w14:paraId="0F3B461B"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Body mass index (± SD)</w:t>
            </w:r>
          </w:p>
        </w:tc>
        <w:tc>
          <w:tcPr>
            <w:tcW w:w="4178" w:type="dxa"/>
            <w:shd w:val="clear" w:color="auto" w:fill="auto"/>
            <w:noWrap/>
            <w:vAlign w:val="center"/>
            <w:hideMark/>
          </w:tcPr>
          <w:p w14:paraId="6FFD2BC8"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29.6 (6.4)</w:t>
            </w:r>
          </w:p>
        </w:tc>
      </w:tr>
      <w:tr w:rsidR="002E2F24" w:rsidRPr="002E2F24" w14:paraId="68DAA6B2" w14:textId="77777777" w:rsidTr="00B91B98">
        <w:trPr>
          <w:trHeight w:val="324"/>
        </w:trPr>
        <w:tc>
          <w:tcPr>
            <w:tcW w:w="4452" w:type="dxa"/>
            <w:shd w:val="clear" w:color="auto" w:fill="auto"/>
            <w:noWrap/>
            <w:vAlign w:val="center"/>
            <w:hideMark/>
          </w:tcPr>
          <w:p w14:paraId="4702BA87"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 xml:space="preserve">Clinical presentation, </w:t>
            </w:r>
            <w:r w:rsidRPr="002E2F24">
              <w:rPr>
                <w:rFonts w:ascii="Book Antiqua" w:eastAsia="DengXian" w:hAnsi="Book Antiqua" w:cs="SimSun"/>
                <w:i/>
                <w:iCs/>
                <w:color w:val="000000" w:themeColor="text1"/>
                <w:lang w:val="en-IN"/>
              </w:rPr>
              <w:t>n</w:t>
            </w:r>
            <w:r w:rsidRPr="002E2F24">
              <w:rPr>
                <w:rFonts w:ascii="Book Antiqua" w:eastAsia="DengXian" w:hAnsi="Book Antiqua" w:cs="SimSun"/>
                <w:color w:val="000000" w:themeColor="text1"/>
                <w:lang w:val="en-IN"/>
              </w:rPr>
              <w:t xml:space="preserve"> (%)</w:t>
            </w:r>
          </w:p>
        </w:tc>
        <w:tc>
          <w:tcPr>
            <w:tcW w:w="4178" w:type="dxa"/>
            <w:shd w:val="clear" w:color="auto" w:fill="auto"/>
            <w:noWrap/>
            <w:vAlign w:val="center"/>
            <w:hideMark/>
          </w:tcPr>
          <w:p w14:paraId="4EBAA1B6" w14:textId="334D453C"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Nause</w:t>
            </w:r>
            <w:r w:rsidR="00AD16F4" w:rsidRPr="002E2F24">
              <w:rPr>
                <w:rFonts w:ascii="Book Antiqua" w:eastAsia="DengXian" w:hAnsi="Book Antiqua" w:cs="SimSun"/>
                <w:color w:val="000000" w:themeColor="text1"/>
                <w:lang w:val="en-IN"/>
              </w:rPr>
              <w:t>a</w:t>
            </w:r>
            <w:r w:rsidRPr="002E2F24">
              <w:rPr>
                <w:rFonts w:ascii="Book Antiqua" w:eastAsia="DengXian" w:hAnsi="Book Antiqua" w:cs="SimSun"/>
                <w:color w:val="000000" w:themeColor="text1"/>
                <w:lang w:val="en-IN"/>
              </w:rPr>
              <w:t>/Vomiting, 110 (65.1)</w:t>
            </w:r>
          </w:p>
        </w:tc>
      </w:tr>
      <w:tr w:rsidR="002E2F24" w:rsidRPr="002E2F24" w14:paraId="33C16EBF" w14:textId="77777777" w:rsidTr="00B91B98">
        <w:trPr>
          <w:trHeight w:val="276"/>
        </w:trPr>
        <w:tc>
          <w:tcPr>
            <w:tcW w:w="4452" w:type="dxa"/>
            <w:shd w:val="clear" w:color="auto" w:fill="auto"/>
            <w:noWrap/>
            <w:vAlign w:val="center"/>
            <w:hideMark/>
          </w:tcPr>
          <w:p w14:paraId="2739E3DD"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72E77005"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Abdominal pain, 63 (37.3)</w:t>
            </w:r>
          </w:p>
        </w:tc>
      </w:tr>
      <w:tr w:rsidR="002E2F24" w:rsidRPr="002E2F24" w14:paraId="2D12D409" w14:textId="77777777" w:rsidTr="00B91B98">
        <w:trPr>
          <w:trHeight w:val="276"/>
        </w:trPr>
        <w:tc>
          <w:tcPr>
            <w:tcW w:w="4452" w:type="dxa"/>
            <w:shd w:val="clear" w:color="auto" w:fill="auto"/>
            <w:noWrap/>
            <w:vAlign w:val="center"/>
            <w:hideMark/>
          </w:tcPr>
          <w:p w14:paraId="1EC263D7"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227CE967"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Breathlessness, 52 (30.8)</w:t>
            </w:r>
          </w:p>
        </w:tc>
      </w:tr>
      <w:tr w:rsidR="002E2F24" w:rsidRPr="002E2F24" w14:paraId="77BFCBEB" w14:textId="77777777" w:rsidTr="00B91B98">
        <w:trPr>
          <w:trHeight w:val="276"/>
        </w:trPr>
        <w:tc>
          <w:tcPr>
            <w:tcW w:w="4452" w:type="dxa"/>
            <w:shd w:val="clear" w:color="auto" w:fill="auto"/>
            <w:noWrap/>
            <w:vAlign w:val="center"/>
            <w:hideMark/>
          </w:tcPr>
          <w:p w14:paraId="465D18EA"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7C9192F5"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Fatigue, 46 (27.2)</w:t>
            </w:r>
          </w:p>
        </w:tc>
      </w:tr>
      <w:tr w:rsidR="002E2F24" w:rsidRPr="002E2F24" w14:paraId="6ABCEA48" w14:textId="77777777" w:rsidTr="00B91B98">
        <w:trPr>
          <w:trHeight w:val="276"/>
        </w:trPr>
        <w:tc>
          <w:tcPr>
            <w:tcW w:w="4452" w:type="dxa"/>
            <w:shd w:val="clear" w:color="auto" w:fill="auto"/>
            <w:noWrap/>
            <w:vAlign w:val="center"/>
            <w:hideMark/>
          </w:tcPr>
          <w:p w14:paraId="13FEED96"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35ED46AB"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Altered mental status, 34 (20.1)</w:t>
            </w:r>
          </w:p>
        </w:tc>
      </w:tr>
      <w:tr w:rsidR="002E2F24" w:rsidRPr="002E2F24" w14:paraId="1F15A9B1" w14:textId="77777777" w:rsidTr="00B91B98">
        <w:trPr>
          <w:trHeight w:val="276"/>
        </w:trPr>
        <w:tc>
          <w:tcPr>
            <w:tcW w:w="4452" w:type="dxa"/>
            <w:shd w:val="clear" w:color="auto" w:fill="auto"/>
            <w:noWrap/>
            <w:vAlign w:val="center"/>
            <w:hideMark/>
          </w:tcPr>
          <w:p w14:paraId="6C74B607"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54781DA2"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Loss of consciousness, 11 (6.5)</w:t>
            </w:r>
          </w:p>
        </w:tc>
      </w:tr>
      <w:tr w:rsidR="002E2F24" w:rsidRPr="002E2F24" w14:paraId="070ED410" w14:textId="77777777" w:rsidTr="00B91B98">
        <w:trPr>
          <w:trHeight w:val="276"/>
        </w:trPr>
        <w:tc>
          <w:tcPr>
            <w:tcW w:w="4452" w:type="dxa"/>
            <w:shd w:val="clear" w:color="auto" w:fill="auto"/>
            <w:noWrap/>
            <w:vAlign w:val="center"/>
            <w:hideMark/>
          </w:tcPr>
          <w:p w14:paraId="1D1BBCFA"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4C2D75D9"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Chest pain, 5 (3)</w:t>
            </w:r>
          </w:p>
        </w:tc>
      </w:tr>
      <w:tr w:rsidR="002E2F24" w:rsidRPr="002E2F24" w14:paraId="03C56A89" w14:textId="77777777" w:rsidTr="00B91B98">
        <w:trPr>
          <w:trHeight w:val="276"/>
        </w:trPr>
        <w:tc>
          <w:tcPr>
            <w:tcW w:w="4452" w:type="dxa"/>
            <w:shd w:val="clear" w:color="auto" w:fill="auto"/>
            <w:noWrap/>
            <w:vAlign w:val="center"/>
            <w:hideMark/>
          </w:tcPr>
          <w:p w14:paraId="5EEA0F33"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545609DE"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Shock, 4 (2.4)</w:t>
            </w:r>
          </w:p>
        </w:tc>
      </w:tr>
      <w:tr w:rsidR="002E2F24" w:rsidRPr="002E2F24" w14:paraId="30CE481A" w14:textId="77777777" w:rsidTr="00B91B98">
        <w:trPr>
          <w:trHeight w:val="276"/>
        </w:trPr>
        <w:tc>
          <w:tcPr>
            <w:tcW w:w="4452" w:type="dxa"/>
            <w:shd w:val="clear" w:color="auto" w:fill="auto"/>
            <w:noWrap/>
            <w:vAlign w:val="center"/>
            <w:hideMark/>
          </w:tcPr>
          <w:p w14:paraId="4794B7ED"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2F60D4BE"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Fever, 4 (2.4)</w:t>
            </w:r>
          </w:p>
        </w:tc>
      </w:tr>
      <w:tr w:rsidR="002E2F24" w:rsidRPr="002E2F24" w14:paraId="687EDDF8" w14:textId="77777777" w:rsidTr="00B91B98">
        <w:trPr>
          <w:trHeight w:val="276"/>
        </w:trPr>
        <w:tc>
          <w:tcPr>
            <w:tcW w:w="4452" w:type="dxa"/>
            <w:shd w:val="clear" w:color="auto" w:fill="auto"/>
            <w:noWrap/>
            <w:vAlign w:val="center"/>
            <w:hideMark/>
          </w:tcPr>
          <w:p w14:paraId="74B0E76E"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41AB6CEF"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Others, 12 (7.1)</w:t>
            </w:r>
          </w:p>
        </w:tc>
      </w:tr>
      <w:tr w:rsidR="002E2F24" w:rsidRPr="002E2F24" w14:paraId="1C663567" w14:textId="77777777" w:rsidTr="00B91B98">
        <w:trPr>
          <w:trHeight w:val="324"/>
        </w:trPr>
        <w:tc>
          <w:tcPr>
            <w:tcW w:w="4452" w:type="dxa"/>
            <w:shd w:val="clear" w:color="auto" w:fill="auto"/>
            <w:noWrap/>
            <w:vAlign w:val="center"/>
            <w:hideMark/>
          </w:tcPr>
          <w:p w14:paraId="6616686E"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 xml:space="preserve">Comorbidities, </w:t>
            </w:r>
            <w:r w:rsidRPr="002E2F24">
              <w:rPr>
                <w:rFonts w:ascii="Book Antiqua" w:eastAsia="DengXian" w:hAnsi="Book Antiqua" w:cs="SimSun"/>
                <w:i/>
                <w:iCs/>
                <w:color w:val="000000" w:themeColor="text1"/>
                <w:lang w:val="en-IN"/>
              </w:rPr>
              <w:t>n</w:t>
            </w:r>
            <w:r w:rsidRPr="002E2F24">
              <w:rPr>
                <w:rFonts w:ascii="Book Antiqua" w:eastAsia="DengXian" w:hAnsi="Book Antiqua" w:cs="SimSun"/>
                <w:color w:val="000000" w:themeColor="text1"/>
                <w:lang w:val="en-IN"/>
              </w:rPr>
              <w:t xml:space="preserve"> (%)</w:t>
            </w:r>
          </w:p>
        </w:tc>
        <w:tc>
          <w:tcPr>
            <w:tcW w:w="4178" w:type="dxa"/>
            <w:shd w:val="clear" w:color="auto" w:fill="auto"/>
            <w:noWrap/>
            <w:vAlign w:val="center"/>
            <w:hideMark/>
          </w:tcPr>
          <w:p w14:paraId="04B12F0A"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Diabetes, 166 (98.2)</w:t>
            </w:r>
          </w:p>
        </w:tc>
      </w:tr>
      <w:tr w:rsidR="002E2F24" w:rsidRPr="002E2F24" w14:paraId="048C9CEF" w14:textId="77777777" w:rsidTr="00B91B98">
        <w:trPr>
          <w:trHeight w:val="276"/>
        </w:trPr>
        <w:tc>
          <w:tcPr>
            <w:tcW w:w="4452" w:type="dxa"/>
            <w:shd w:val="clear" w:color="auto" w:fill="auto"/>
            <w:noWrap/>
            <w:vAlign w:val="center"/>
            <w:hideMark/>
          </w:tcPr>
          <w:p w14:paraId="181B6EB0"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6F72073D"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Hypertension, 45 (26.6)</w:t>
            </w:r>
          </w:p>
        </w:tc>
      </w:tr>
      <w:tr w:rsidR="002E2F24" w:rsidRPr="002E2F24" w14:paraId="7E85A86C" w14:textId="77777777" w:rsidTr="00B91B98">
        <w:trPr>
          <w:trHeight w:val="276"/>
        </w:trPr>
        <w:tc>
          <w:tcPr>
            <w:tcW w:w="4452" w:type="dxa"/>
            <w:shd w:val="clear" w:color="auto" w:fill="auto"/>
            <w:noWrap/>
            <w:vAlign w:val="center"/>
            <w:hideMark/>
          </w:tcPr>
          <w:p w14:paraId="216D3459"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757E04A8"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Coronary artery disease, 20 (11.8)</w:t>
            </w:r>
          </w:p>
        </w:tc>
      </w:tr>
      <w:tr w:rsidR="002E2F24" w:rsidRPr="002E2F24" w14:paraId="141B9F00" w14:textId="77777777" w:rsidTr="00B91B98">
        <w:trPr>
          <w:trHeight w:val="276"/>
        </w:trPr>
        <w:tc>
          <w:tcPr>
            <w:tcW w:w="4452" w:type="dxa"/>
            <w:shd w:val="clear" w:color="auto" w:fill="auto"/>
            <w:noWrap/>
            <w:vAlign w:val="center"/>
            <w:hideMark/>
          </w:tcPr>
          <w:p w14:paraId="689B4020"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26F8066F" w14:textId="1570E0B8" w:rsidR="00012FA1" w:rsidRPr="002E2F24" w:rsidRDefault="00012FA1" w:rsidP="00B055A1">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Dyslipidemia, 13 (7.7)</w:t>
            </w:r>
          </w:p>
        </w:tc>
      </w:tr>
      <w:tr w:rsidR="002E2F24" w:rsidRPr="002E2F24" w14:paraId="24DBB036" w14:textId="77777777" w:rsidTr="00B91B98">
        <w:trPr>
          <w:trHeight w:val="276"/>
        </w:trPr>
        <w:tc>
          <w:tcPr>
            <w:tcW w:w="4452" w:type="dxa"/>
            <w:shd w:val="clear" w:color="auto" w:fill="auto"/>
            <w:noWrap/>
            <w:vAlign w:val="center"/>
            <w:hideMark/>
          </w:tcPr>
          <w:p w14:paraId="02AF9234"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24888825"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Cancer, 4 (2.4)</w:t>
            </w:r>
          </w:p>
        </w:tc>
      </w:tr>
      <w:tr w:rsidR="002E2F24" w:rsidRPr="002E2F24" w14:paraId="17F7EBC5" w14:textId="77777777" w:rsidTr="00B91B98">
        <w:trPr>
          <w:trHeight w:val="276"/>
        </w:trPr>
        <w:tc>
          <w:tcPr>
            <w:tcW w:w="4452" w:type="dxa"/>
            <w:shd w:val="clear" w:color="auto" w:fill="auto"/>
            <w:noWrap/>
            <w:vAlign w:val="center"/>
            <w:hideMark/>
          </w:tcPr>
          <w:p w14:paraId="1B03DE03"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7E68DD1F"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Others, 24 (14.4)</w:t>
            </w:r>
          </w:p>
        </w:tc>
      </w:tr>
      <w:tr w:rsidR="002E2F24" w:rsidRPr="002E2F24" w14:paraId="17F1FE85" w14:textId="77777777" w:rsidTr="00B91B98">
        <w:trPr>
          <w:trHeight w:val="324"/>
        </w:trPr>
        <w:tc>
          <w:tcPr>
            <w:tcW w:w="4452" w:type="dxa"/>
            <w:shd w:val="clear" w:color="auto" w:fill="auto"/>
            <w:noWrap/>
            <w:vAlign w:val="center"/>
            <w:hideMark/>
          </w:tcPr>
          <w:p w14:paraId="1D1CA1A3"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 xml:space="preserve">SGLT-2 inhibitor involved, </w:t>
            </w:r>
            <w:r w:rsidRPr="002E2F24">
              <w:rPr>
                <w:rFonts w:ascii="Book Antiqua" w:eastAsia="DengXian" w:hAnsi="Book Antiqua" w:cs="SimSun"/>
                <w:i/>
                <w:iCs/>
                <w:color w:val="000000" w:themeColor="text1"/>
                <w:lang w:val="en-IN"/>
              </w:rPr>
              <w:t>n</w:t>
            </w:r>
            <w:r w:rsidRPr="002E2F24">
              <w:rPr>
                <w:rFonts w:ascii="Book Antiqua" w:eastAsia="DengXian" w:hAnsi="Book Antiqua" w:cs="SimSun"/>
                <w:color w:val="000000" w:themeColor="text1"/>
                <w:lang w:val="en-IN"/>
              </w:rPr>
              <w:t xml:space="preserve"> (%)</w:t>
            </w:r>
          </w:p>
        </w:tc>
        <w:tc>
          <w:tcPr>
            <w:tcW w:w="4178" w:type="dxa"/>
            <w:shd w:val="clear" w:color="auto" w:fill="auto"/>
            <w:noWrap/>
            <w:vAlign w:val="center"/>
            <w:hideMark/>
          </w:tcPr>
          <w:p w14:paraId="6E719F1D"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bookmarkStart w:id="3" w:name="RANGE!B25"/>
            <w:r w:rsidRPr="002E2F24">
              <w:rPr>
                <w:rFonts w:ascii="Book Antiqua" w:eastAsia="DengXian" w:hAnsi="Book Antiqua" w:cs="SimSun"/>
                <w:color w:val="000000" w:themeColor="text1"/>
              </w:rPr>
              <w:t>Empagliflozin, 79 (46.8)</w:t>
            </w:r>
            <w:bookmarkEnd w:id="3"/>
          </w:p>
        </w:tc>
      </w:tr>
      <w:tr w:rsidR="002E2F24" w:rsidRPr="002E2F24" w14:paraId="145EA91B" w14:textId="77777777" w:rsidTr="00B91B98">
        <w:trPr>
          <w:trHeight w:val="276"/>
        </w:trPr>
        <w:tc>
          <w:tcPr>
            <w:tcW w:w="4452" w:type="dxa"/>
            <w:shd w:val="clear" w:color="auto" w:fill="auto"/>
            <w:noWrap/>
            <w:vAlign w:val="center"/>
            <w:hideMark/>
          </w:tcPr>
          <w:p w14:paraId="39BDE5D8"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45276BC8"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rPr>
              <w:t>Canagliflozin, 50 (29.6)</w:t>
            </w:r>
          </w:p>
        </w:tc>
      </w:tr>
      <w:tr w:rsidR="002E2F24" w:rsidRPr="002E2F24" w14:paraId="04FBD460" w14:textId="77777777" w:rsidTr="00B91B98">
        <w:trPr>
          <w:trHeight w:val="276"/>
        </w:trPr>
        <w:tc>
          <w:tcPr>
            <w:tcW w:w="4452" w:type="dxa"/>
            <w:shd w:val="clear" w:color="auto" w:fill="auto"/>
            <w:noWrap/>
            <w:vAlign w:val="center"/>
            <w:hideMark/>
          </w:tcPr>
          <w:p w14:paraId="0E8A354C"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672B58D5"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rPr>
              <w:t>Dapagliflozin, 39 (23.1)</w:t>
            </w:r>
          </w:p>
        </w:tc>
      </w:tr>
      <w:tr w:rsidR="002E2F24" w:rsidRPr="002E2F24" w14:paraId="2B307C5A" w14:textId="77777777" w:rsidTr="00B91B98">
        <w:trPr>
          <w:trHeight w:val="276"/>
        </w:trPr>
        <w:tc>
          <w:tcPr>
            <w:tcW w:w="4452" w:type="dxa"/>
            <w:shd w:val="clear" w:color="auto" w:fill="auto"/>
            <w:noWrap/>
            <w:vAlign w:val="center"/>
            <w:hideMark/>
          </w:tcPr>
          <w:p w14:paraId="4C0F170E"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79F4460E"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it-IT"/>
              </w:rPr>
              <w:t>Ipragliflozin, 1 (0.6)</w:t>
            </w:r>
          </w:p>
        </w:tc>
      </w:tr>
      <w:tr w:rsidR="002E2F24" w:rsidRPr="002E2F24" w14:paraId="1E905C56" w14:textId="77777777" w:rsidTr="00B91B98">
        <w:trPr>
          <w:trHeight w:val="276"/>
        </w:trPr>
        <w:tc>
          <w:tcPr>
            <w:tcW w:w="4452" w:type="dxa"/>
            <w:shd w:val="clear" w:color="auto" w:fill="auto"/>
            <w:noWrap/>
            <w:vAlign w:val="center"/>
            <w:hideMark/>
          </w:tcPr>
          <w:p w14:paraId="7E1F4682"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10E0E3D0"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it-IT"/>
              </w:rPr>
              <w:t>Tofogliflozin, 1 (0.6)</w:t>
            </w:r>
          </w:p>
        </w:tc>
      </w:tr>
      <w:tr w:rsidR="002E2F24" w:rsidRPr="002E2F24" w14:paraId="297F0AD4" w14:textId="77777777" w:rsidTr="00B91B98">
        <w:trPr>
          <w:trHeight w:val="324"/>
        </w:trPr>
        <w:tc>
          <w:tcPr>
            <w:tcW w:w="4452" w:type="dxa"/>
            <w:shd w:val="clear" w:color="auto" w:fill="auto"/>
            <w:noWrap/>
            <w:vAlign w:val="center"/>
            <w:hideMark/>
          </w:tcPr>
          <w:p w14:paraId="23330472"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 xml:space="preserve">Other OHAs prescribed, </w:t>
            </w:r>
            <w:r w:rsidRPr="002E2F24">
              <w:rPr>
                <w:rFonts w:ascii="Book Antiqua" w:eastAsia="DengXian" w:hAnsi="Book Antiqua" w:cs="SimSun"/>
                <w:i/>
                <w:iCs/>
                <w:color w:val="000000" w:themeColor="text1"/>
                <w:lang w:val="en-IN"/>
              </w:rPr>
              <w:t>n</w:t>
            </w:r>
            <w:r w:rsidRPr="002E2F24">
              <w:rPr>
                <w:rFonts w:ascii="Book Antiqua" w:eastAsia="DengXian" w:hAnsi="Book Antiqua" w:cs="SimSun"/>
                <w:color w:val="000000" w:themeColor="text1"/>
                <w:lang w:val="en-IN"/>
              </w:rPr>
              <w:t xml:space="preserve"> (%)</w:t>
            </w:r>
          </w:p>
        </w:tc>
        <w:tc>
          <w:tcPr>
            <w:tcW w:w="4178" w:type="dxa"/>
            <w:shd w:val="clear" w:color="auto" w:fill="auto"/>
            <w:noWrap/>
            <w:vAlign w:val="center"/>
            <w:hideMark/>
          </w:tcPr>
          <w:p w14:paraId="773E3B8A"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Yes, 135 (79.9)</w:t>
            </w:r>
          </w:p>
        </w:tc>
      </w:tr>
      <w:tr w:rsidR="002E2F24" w:rsidRPr="002E2F24" w14:paraId="7BD49C31" w14:textId="77777777" w:rsidTr="00B91B98">
        <w:trPr>
          <w:trHeight w:val="276"/>
        </w:trPr>
        <w:tc>
          <w:tcPr>
            <w:tcW w:w="4452" w:type="dxa"/>
            <w:shd w:val="clear" w:color="auto" w:fill="auto"/>
            <w:noWrap/>
            <w:vAlign w:val="center"/>
            <w:hideMark/>
          </w:tcPr>
          <w:p w14:paraId="09CF3DDC"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6E84E867"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No, 25 (14.8)</w:t>
            </w:r>
          </w:p>
        </w:tc>
      </w:tr>
      <w:tr w:rsidR="002E2F24" w:rsidRPr="002E2F24" w14:paraId="7404A940" w14:textId="77777777" w:rsidTr="00B91B98">
        <w:trPr>
          <w:trHeight w:val="276"/>
        </w:trPr>
        <w:tc>
          <w:tcPr>
            <w:tcW w:w="4452" w:type="dxa"/>
            <w:shd w:val="clear" w:color="auto" w:fill="auto"/>
            <w:noWrap/>
            <w:vAlign w:val="center"/>
            <w:hideMark/>
          </w:tcPr>
          <w:p w14:paraId="26790FD8"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0D6197AE"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Not mentioned, 9 (5.1)</w:t>
            </w:r>
          </w:p>
        </w:tc>
      </w:tr>
      <w:tr w:rsidR="002E2F24" w:rsidRPr="002E2F24" w14:paraId="09C46877" w14:textId="77777777" w:rsidTr="00B91B98">
        <w:trPr>
          <w:trHeight w:val="324"/>
        </w:trPr>
        <w:tc>
          <w:tcPr>
            <w:tcW w:w="4452" w:type="dxa"/>
            <w:shd w:val="clear" w:color="auto" w:fill="auto"/>
            <w:noWrap/>
            <w:vAlign w:val="center"/>
            <w:hideMark/>
          </w:tcPr>
          <w:p w14:paraId="71DE018B"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 xml:space="preserve">Other diabetes medications involved, </w:t>
            </w:r>
            <w:r w:rsidRPr="002E2F24">
              <w:rPr>
                <w:rFonts w:ascii="Book Antiqua" w:eastAsia="DengXian" w:hAnsi="Book Antiqua" w:cs="SimSun"/>
                <w:i/>
                <w:iCs/>
                <w:color w:val="000000" w:themeColor="text1"/>
                <w:lang w:val="en-IN"/>
              </w:rPr>
              <w:t>n</w:t>
            </w:r>
            <w:r w:rsidRPr="002E2F24">
              <w:rPr>
                <w:rFonts w:ascii="Book Antiqua" w:eastAsia="DengXian" w:hAnsi="Book Antiqua" w:cs="SimSun"/>
                <w:color w:val="000000" w:themeColor="text1"/>
                <w:lang w:val="en-IN"/>
              </w:rPr>
              <w:t xml:space="preserve"> (%)</w:t>
            </w:r>
          </w:p>
        </w:tc>
        <w:tc>
          <w:tcPr>
            <w:tcW w:w="4178" w:type="dxa"/>
            <w:shd w:val="clear" w:color="auto" w:fill="auto"/>
            <w:noWrap/>
            <w:vAlign w:val="center"/>
            <w:hideMark/>
          </w:tcPr>
          <w:p w14:paraId="6CEE3717"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Metformin, 119 (70.4)</w:t>
            </w:r>
          </w:p>
        </w:tc>
      </w:tr>
      <w:tr w:rsidR="002E2F24" w:rsidRPr="002E2F24" w14:paraId="0B793380" w14:textId="77777777" w:rsidTr="00B91B98">
        <w:trPr>
          <w:trHeight w:val="276"/>
        </w:trPr>
        <w:tc>
          <w:tcPr>
            <w:tcW w:w="4452" w:type="dxa"/>
            <w:shd w:val="clear" w:color="auto" w:fill="auto"/>
            <w:noWrap/>
            <w:vAlign w:val="center"/>
            <w:hideMark/>
          </w:tcPr>
          <w:p w14:paraId="4EE8617D"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43F0E475"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Dipeptidyl peptidase 4 inhibitors, 42 (24.9)</w:t>
            </w:r>
          </w:p>
        </w:tc>
      </w:tr>
      <w:tr w:rsidR="002E2F24" w:rsidRPr="002E2F24" w14:paraId="2F34239D" w14:textId="77777777" w:rsidTr="00B91B98">
        <w:trPr>
          <w:trHeight w:val="312"/>
        </w:trPr>
        <w:tc>
          <w:tcPr>
            <w:tcW w:w="4452" w:type="dxa"/>
            <w:shd w:val="clear" w:color="auto" w:fill="auto"/>
            <w:noWrap/>
            <w:vAlign w:val="center"/>
            <w:hideMark/>
          </w:tcPr>
          <w:p w14:paraId="43B9648E"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3A537820"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Sulfonylureas, 26 (15.4)</w:t>
            </w:r>
          </w:p>
        </w:tc>
      </w:tr>
      <w:tr w:rsidR="002E2F24" w:rsidRPr="002E2F24" w14:paraId="5D7450F8" w14:textId="77777777" w:rsidTr="00B91B98">
        <w:trPr>
          <w:trHeight w:val="312"/>
        </w:trPr>
        <w:tc>
          <w:tcPr>
            <w:tcW w:w="4452" w:type="dxa"/>
            <w:shd w:val="clear" w:color="auto" w:fill="auto"/>
            <w:noWrap/>
            <w:vAlign w:val="center"/>
            <w:hideMark/>
          </w:tcPr>
          <w:p w14:paraId="7E471C84"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091DF608"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Thiazolidinediones, 10 (5.9)</w:t>
            </w:r>
          </w:p>
        </w:tc>
      </w:tr>
      <w:tr w:rsidR="002E2F24" w:rsidRPr="002E2F24" w14:paraId="1DB9C395" w14:textId="77777777" w:rsidTr="00B91B98">
        <w:trPr>
          <w:trHeight w:val="312"/>
        </w:trPr>
        <w:tc>
          <w:tcPr>
            <w:tcW w:w="4452" w:type="dxa"/>
            <w:shd w:val="clear" w:color="auto" w:fill="auto"/>
            <w:noWrap/>
            <w:vAlign w:val="center"/>
            <w:hideMark/>
          </w:tcPr>
          <w:p w14:paraId="52531F8C"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59EE1573"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Meglitinides, 3 (1.8)</w:t>
            </w:r>
          </w:p>
        </w:tc>
      </w:tr>
      <w:tr w:rsidR="002E2F24" w:rsidRPr="002E2F24" w14:paraId="28456FEB" w14:textId="77777777" w:rsidTr="00B91B98">
        <w:trPr>
          <w:trHeight w:val="276"/>
        </w:trPr>
        <w:tc>
          <w:tcPr>
            <w:tcW w:w="4452" w:type="dxa"/>
            <w:shd w:val="clear" w:color="auto" w:fill="auto"/>
            <w:noWrap/>
            <w:vAlign w:val="center"/>
            <w:hideMark/>
          </w:tcPr>
          <w:p w14:paraId="7A90E6B2"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23EF2404"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α-Glucosidase inhibitors, 2 (1.2)</w:t>
            </w:r>
          </w:p>
        </w:tc>
      </w:tr>
      <w:tr w:rsidR="002E2F24" w:rsidRPr="002E2F24" w14:paraId="730AB8CD" w14:textId="77777777" w:rsidTr="00B91B98">
        <w:trPr>
          <w:trHeight w:val="276"/>
        </w:trPr>
        <w:tc>
          <w:tcPr>
            <w:tcW w:w="4452" w:type="dxa"/>
            <w:shd w:val="clear" w:color="auto" w:fill="auto"/>
            <w:noWrap/>
            <w:vAlign w:val="center"/>
            <w:hideMark/>
          </w:tcPr>
          <w:p w14:paraId="0AE34245"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4B7217E0"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Insulins, 57 (33.7)</w:t>
            </w:r>
          </w:p>
        </w:tc>
      </w:tr>
      <w:tr w:rsidR="002E2F24" w:rsidRPr="002E2F24" w14:paraId="2539DE54" w14:textId="77777777" w:rsidTr="00B91B98">
        <w:trPr>
          <w:trHeight w:val="276"/>
        </w:trPr>
        <w:tc>
          <w:tcPr>
            <w:tcW w:w="4452" w:type="dxa"/>
            <w:shd w:val="clear" w:color="auto" w:fill="auto"/>
            <w:noWrap/>
            <w:vAlign w:val="center"/>
            <w:hideMark/>
          </w:tcPr>
          <w:p w14:paraId="7D6074CC"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786DBEB3"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Glucagon-like peptide-1 receptor agonist, 21 (12.4)</w:t>
            </w:r>
          </w:p>
        </w:tc>
      </w:tr>
      <w:tr w:rsidR="002E2F24" w:rsidRPr="002E2F24" w14:paraId="6031496E" w14:textId="77777777" w:rsidTr="00B91B98">
        <w:trPr>
          <w:trHeight w:val="276"/>
        </w:trPr>
        <w:tc>
          <w:tcPr>
            <w:tcW w:w="4452" w:type="dxa"/>
            <w:shd w:val="clear" w:color="auto" w:fill="auto"/>
            <w:noWrap/>
            <w:vAlign w:val="center"/>
            <w:hideMark/>
          </w:tcPr>
          <w:p w14:paraId="3812F563"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4A5CABA2"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Not mentioned, 11 (6.5)</w:t>
            </w:r>
          </w:p>
        </w:tc>
      </w:tr>
      <w:tr w:rsidR="002E2F24" w:rsidRPr="002E2F24" w14:paraId="28897C6B" w14:textId="77777777" w:rsidTr="00B91B98">
        <w:trPr>
          <w:trHeight w:val="324"/>
        </w:trPr>
        <w:tc>
          <w:tcPr>
            <w:tcW w:w="4452" w:type="dxa"/>
            <w:shd w:val="clear" w:color="auto" w:fill="auto"/>
            <w:noWrap/>
            <w:vAlign w:val="center"/>
            <w:hideMark/>
          </w:tcPr>
          <w:p w14:paraId="5DDAEA29"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 xml:space="preserve">History of alcohol use, </w:t>
            </w:r>
            <w:r w:rsidRPr="002E2F24">
              <w:rPr>
                <w:rFonts w:ascii="Book Antiqua" w:eastAsia="DengXian" w:hAnsi="Book Antiqua" w:cs="SimSun"/>
                <w:i/>
                <w:iCs/>
                <w:color w:val="000000" w:themeColor="text1"/>
                <w:lang w:val="en-IN"/>
              </w:rPr>
              <w:t>n</w:t>
            </w:r>
            <w:r w:rsidRPr="002E2F24">
              <w:rPr>
                <w:rFonts w:ascii="Book Antiqua" w:eastAsia="DengXian" w:hAnsi="Book Antiqua" w:cs="SimSun"/>
                <w:color w:val="000000" w:themeColor="text1"/>
                <w:lang w:val="en-IN"/>
              </w:rPr>
              <w:t xml:space="preserve"> (%)</w:t>
            </w:r>
          </w:p>
        </w:tc>
        <w:tc>
          <w:tcPr>
            <w:tcW w:w="4178" w:type="dxa"/>
            <w:shd w:val="clear" w:color="auto" w:fill="auto"/>
            <w:noWrap/>
            <w:vAlign w:val="center"/>
            <w:hideMark/>
          </w:tcPr>
          <w:p w14:paraId="325601A2"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6 (3.6)</w:t>
            </w:r>
          </w:p>
        </w:tc>
      </w:tr>
      <w:tr w:rsidR="002E2F24" w:rsidRPr="002E2F24" w14:paraId="37E0A49C" w14:textId="77777777" w:rsidTr="00B91B98">
        <w:trPr>
          <w:trHeight w:val="324"/>
        </w:trPr>
        <w:tc>
          <w:tcPr>
            <w:tcW w:w="4452" w:type="dxa"/>
            <w:shd w:val="clear" w:color="auto" w:fill="auto"/>
            <w:noWrap/>
            <w:vAlign w:val="center"/>
            <w:hideMark/>
          </w:tcPr>
          <w:p w14:paraId="3D76E32C"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 xml:space="preserve">Identifiable triggering factor, </w:t>
            </w:r>
            <w:r w:rsidRPr="002E2F24">
              <w:rPr>
                <w:rFonts w:ascii="Book Antiqua" w:eastAsia="DengXian" w:hAnsi="Book Antiqua" w:cs="SimSun"/>
                <w:i/>
                <w:iCs/>
                <w:color w:val="000000" w:themeColor="text1"/>
                <w:lang w:val="en-IN"/>
              </w:rPr>
              <w:t>n</w:t>
            </w:r>
            <w:r w:rsidRPr="002E2F24">
              <w:rPr>
                <w:rFonts w:ascii="Book Antiqua" w:eastAsia="DengXian" w:hAnsi="Book Antiqua" w:cs="SimSun"/>
                <w:color w:val="000000" w:themeColor="text1"/>
                <w:lang w:val="en-IN"/>
              </w:rPr>
              <w:t xml:space="preserve"> (%)</w:t>
            </w:r>
          </w:p>
        </w:tc>
        <w:tc>
          <w:tcPr>
            <w:tcW w:w="4178" w:type="dxa"/>
            <w:shd w:val="clear" w:color="auto" w:fill="auto"/>
            <w:noWrap/>
            <w:vAlign w:val="center"/>
            <w:hideMark/>
          </w:tcPr>
          <w:p w14:paraId="14F5E1B5"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Present, 133 (78.7)</w:t>
            </w:r>
          </w:p>
        </w:tc>
      </w:tr>
      <w:tr w:rsidR="002E2F24" w:rsidRPr="002E2F24" w14:paraId="03F45BE9" w14:textId="77777777" w:rsidTr="00B91B98">
        <w:trPr>
          <w:trHeight w:val="324"/>
        </w:trPr>
        <w:tc>
          <w:tcPr>
            <w:tcW w:w="4452" w:type="dxa"/>
            <w:shd w:val="clear" w:color="auto" w:fill="auto"/>
            <w:noWrap/>
            <w:vAlign w:val="center"/>
            <w:hideMark/>
          </w:tcPr>
          <w:p w14:paraId="4017D5EE"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 xml:space="preserve">Triggering factor, </w:t>
            </w:r>
            <w:r w:rsidRPr="002E2F24">
              <w:rPr>
                <w:rFonts w:ascii="Book Antiqua" w:eastAsia="DengXian" w:hAnsi="Book Antiqua" w:cs="SimSun"/>
                <w:i/>
                <w:iCs/>
                <w:color w:val="000000" w:themeColor="text1"/>
                <w:lang w:val="en-IN"/>
              </w:rPr>
              <w:t>n</w:t>
            </w:r>
            <w:r w:rsidRPr="002E2F24">
              <w:rPr>
                <w:rFonts w:ascii="Book Antiqua" w:eastAsia="DengXian" w:hAnsi="Book Antiqua" w:cs="SimSun"/>
                <w:color w:val="000000" w:themeColor="text1"/>
                <w:lang w:val="en-IN"/>
              </w:rPr>
              <w:t xml:space="preserve"> (%)</w:t>
            </w:r>
          </w:p>
        </w:tc>
        <w:tc>
          <w:tcPr>
            <w:tcW w:w="4178" w:type="dxa"/>
            <w:shd w:val="clear" w:color="auto" w:fill="auto"/>
            <w:noWrap/>
            <w:vAlign w:val="center"/>
            <w:hideMark/>
          </w:tcPr>
          <w:p w14:paraId="6D76DC75"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Infection, 64 (37.9)</w:t>
            </w:r>
          </w:p>
        </w:tc>
      </w:tr>
      <w:tr w:rsidR="002E2F24" w:rsidRPr="002E2F24" w14:paraId="4EA43805" w14:textId="77777777" w:rsidTr="00B91B98">
        <w:trPr>
          <w:trHeight w:val="276"/>
        </w:trPr>
        <w:tc>
          <w:tcPr>
            <w:tcW w:w="4452" w:type="dxa"/>
            <w:shd w:val="clear" w:color="auto" w:fill="auto"/>
            <w:noWrap/>
            <w:vAlign w:val="center"/>
            <w:hideMark/>
          </w:tcPr>
          <w:p w14:paraId="5076A03B"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71EDE62D"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Major surgery, 41 (24.3)</w:t>
            </w:r>
          </w:p>
        </w:tc>
      </w:tr>
      <w:tr w:rsidR="002E2F24" w:rsidRPr="002E2F24" w14:paraId="560074B0" w14:textId="77777777" w:rsidTr="00B91B98">
        <w:trPr>
          <w:trHeight w:val="276"/>
        </w:trPr>
        <w:tc>
          <w:tcPr>
            <w:tcW w:w="4452" w:type="dxa"/>
            <w:shd w:val="clear" w:color="auto" w:fill="auto"/>
            <w:noWrap/>
            <w:vAlign w:val="center"/>
            <w:hideMark/>
          </w:tcPr>
          <w:p w14:paraId="0D05F268"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38314A69"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Reduced food intake, 32 (18.9)</w:t>
            </w:r>
          </w:p>
        </w:tc>
      </w:tr>
      <w:tr w:rsidR="002E2F24" w:rsidRPr="002E2F24" w14:paraId="0582AA9B" w14:textId="77777777" w:rsidTr="00B91B98">
        <w:trPr>
          <w:trHeight w:val="276"/>
        </w:trPr>
        <w:tc>
          <w:tcPr>
            <w:tcW w:w="4452" w:type="dxa"/>
            <w:shd w:val="clear" w:color="auto" w:fill="auto"/>
            <w:noWrap/>
            <w:vAlign w:val="center"/>
            <w:hideMark/>
          </w:tcPr>
          <w:p w14:paraId="6A8955E8"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31B19A8C"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Any major illness, 17 (10.1)</w:t>
            </w:r>
          </w:p>
        </w:tc>
      </w:tr>
      <w:tr w:rsidR="002E2F24" w:rsidRPr="002E2F24" w14:paraId="71B6790F" w14:textId="77777777" w:rsidTr="00B91B98">
        <w:trPr>
          <w:trHeight w:val="276"/>
        </w:trPr>
        <w:tc>
          <w:tcPr>
            <w:tcW w:w="4452" w:type="dxa"/>
            <w:shd w:val="clear" w:color="auto" w:fill="auto"/>
            <w:noWrap/>
            <w:vAlign w:val="center"/>
            <w:hideMark/>
          </w:tcPr>
          <w:p w14:paraId="00D7A333"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6B9C996A"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Reduced carbohydrate/ketogenic diet 14 (18.3)</w:t>
            </w:r>
          </w:p>
        </w:tc>
      </w:tr>
      <w:tr w:rsidR="002E2F24" w:rsidRPr="002E2F24" w14:paraId="4F4862BB" w14:textId="77777777" w:rsidTr="00B91B98">
        <w:trPr>
          <w:trHeight w:val="276"/>
        </w:trPr>
        <w:tc>
          <w:tcPr>
            <w:tcW w:w="4452" w:type="dxa"/>
            <w:shd w:val="clear" w:color="auto" w:fill="auto"/>
            <w:noWrap/>
            <w:vAlign w:val="center"/>
            <w:hideMark/>
          </w:tcPr>
          <w:p w14:paraId="004F1C14"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75F4E6D5"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Dehydration, 14 (8.3)</w:t>
            </w:r>
          </w:p>
        </w:tc>
      </w:tr>
      <w:tr w:rsidR="002E2F24" w:rsidRPr="002E2F24" w14:paraId="7A46E0AC" w14:textId="77777777" w:rsidTr="00B91B98">
        <w:trPr>
          <w:trHeight w:val="276"/>
        </w:trPr>
        <w:tc>
          <w:tcPr>
            <w:tcW w:w="4452" w:type="dxa"/>
            <w:shd w:val="clear" w:color="auto" w:fill="auto"/>
            <w:noWrap/>
            <w:vAlign w:val="center"/>
            <w:hideMark/>
          </w:tcPr>
          <w:p w14:paraId="270070A2"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56EDC261"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Reduced insulin dosages, 10 (5.9)</w:t>
            </w:r>
          </w:p>
        </w:tc>
      </w:tr>
      <w:tr w:rsidR="002E2F24" w:rsidRPr="002E2F24" w14:paraId="5C17F677" w14:textId="77777777" w:rsidTr="00B91B98">
        <w:trPr>
          <w:trHeight w:val="276"/>
        </w:trPr>
        <w:tc>
          <w:tcPr>
            <w:tcW w:w="4452" w:type="dxa"/>
            <w:shd w:val="clear" w:color="auto" w:fill="auto"/>
            <w:noWrap/>
            <w:vAlign w:val="center"/>
            <w:hideMark/>
          </w:tcPr>
          <w:p w14:paraId="0C2613BC"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2BCFC07B"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Prolonged fasting, 9 (5.3)</w:t>
            </w:r>
          </w:p>
        </w:tc>
      </w:tr>
      <w:tr w:rsidR="002E2F24" w:rsidRPr="002E2F24" w14:paraId="1CE8955A" w14:textId="77777777" w:rsidTr="00B91B98">
        <w:trPr>
          <w:trHeight w:val="276"/>
        </w:trPr>
        <w:tc>
          <w:tcPr>
            <w:tcW w:w="4452" w:type="dxa"/>
            <w:shd w:val="clear" w:color="auto" w:fill="auto"/>
            <w:noWrap/>
            <w:vAlign w:val="center"/>
            <w:hideMark/>
          </w:tcPr>
          <w:p w14:paraId="1E570D85"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0CAE7C70"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Trauma, 2 (1.2)</w:t>
            </w:r>
          </w:p>
        </w:tc>
      </w:tr>
      <w:tr w:rsidR="002E2F24" w:rsidRPr="002E2F24" w14:paraId="082DD81C" w14:textId="77777777" w:rsidTr="00B91B98">
        <w:trPr>
          <w:trHeight w:val="324"/>
        </w:trPr>
        <w:tc>
          <w:tcPr>
            <w:tcW w:w="4452" w:type="dxa"/>
            <w:shd w:val="clear" w:color="auto" w:fill="auto"/>
            <w:noWrap/>
            <w:vAlign w:val="center"/>
            <w:hideMark/>
          </w:tcPr>
          <w:p w14:paraId="21B66E2C"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 xml:space="preserve">Ketones for diagnosis, </w:t>
            </w:r>
            <w:r w:rsidRPr="002E2F24">
              <w:rPr>
                <w:rFonts w:ascii="Book Antiqua" w:eastAsia="DengXian" w:hAnsi="Book Antiqua" w:cs="SimSun"/>
                <w:i/>
                <w:iCs/>
                <w:color w:val="000000" w:themeColor="text1"/>
                <w:lang w:val="en-IN"/>
              </w:rPr>
              <w:t>n</w:t>
            </w:r>
            <w:r w:rsidRPr="002E2F24">
              <w:rPr>
                <w:rFonts w:ascii="Book Antiqua" w:eastAsia="DengXian" w:hAnsi="Book Antiqua" w:cs="SimSun"/>
                <w:color w:val="000000" w:themeColor="text1"/>
                <w:lang w:val="en-IN"/>
              </w:rPr>
              <w:t xml:space="preserve"> (%)</w:t>
            </w:r>
          </w:p>
        </w:tc>
        <w:tc>
          <w:tcPr>
            <w:tcW w:w="4178" w:type="dxa"/>
            <w:shd w:val="clear" w:color="auto" w:fill="auto"/>
            <w:noWrap/>
            <w:vAlign w:val="center"/>
            <w:hideMark/>
          </w:tcPr>
          <w:p w14:paraId="6EAD449B"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Only urine, 62 (36.7)</w:t>
            </w:r>
          </w:p>
        </w:tc>
      </w:tr>
      <w:tr w:rsidR="002E2F24" w:rsidRPr="002E2F24" w14:paraId="41408F88" w14:textId="77777777" w:rsidTr="00B91B98">
        <w:trPr>
          <w:trHeight w:val="276"/>
        </w:trPr>
        <w:tc>
          <w:tcPr>
            <w:tcW w:w="4452" w:type="dxa"/>
            <w:shd w:val="clear" w:color="auto" w:fill="auto"/>
            <w:noWrap/>
            <w:vAlign w:val="center"/>
            <w:hideMark/>
          </w:tcPr>
          <w:p w14:paraId="61C86FEE"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617ADB6B"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Only plasma, 36 (21.3)</w:t>
            </w:r>
          </w:p>
        </w:tc>
      </w:tr>
      <w:tr w:rsidR="002E2F24" w:rsidRPr="002E2F24" w14:paraId="56EC54DB" w14:textId="77777777" w:rsidTr="00B91B98">
        <w:trPr>
          <w:trHeight w:val="276"/>
        </w:trPr>
        <w:tc>
          <w:tcPr>
            <w:tcW w:w="4452" w:type="dxa"/>
            <w:shd w:val="clear" w:color="auto" w:fill="auto"/>
            <w:noWrap/>
            <w:vAlign w:val="center"/>
            <w:hideMark/>
          </w:tcPr>
          <w:p w14:paraId="64CF3151"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7BA3D341"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Both, 60 (35.5)</w:t>
            </w:r>
          </w:p>
        </w:tc>
      </w:tr>
      <w:tr w:rsidR="002E2F24" w:rsidRPr="002E2F24" w14:paraId="39DF9446" w14:textId="77777777" w:rsidTr="00B91B98">
        <w:trPr>
          <w:trHeight w:val="276"/>
        </w:trPr>
        <w:tc>
          <w:tcPr>
            <w:tcW w:w="4452" w:type="dxa"/>
            <w:shd w:val="clear" w:color="auto" w:fill="auto"/>
            <w:noWrap/>
            <w:vAlign w:val="center"/>
            <w:hideMark/>
          </w:tcPr>
          <w:p w14:paraId="4380334B"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283CA701"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Not mentioned, 11 (6.5)</w:t>
            </w:r>
          </w:p>
        </w:tc>
      </w:tr>
      <w:tr w:rsidR="002E2F24" w:rsidRPr="002E2F24" w14:paraId="4FF05592" w14:textId="77777777" w:rsidTr="00B91B98">
        <w:trPr>
          <w:trHeight w:val="324"/>
        </w:trPr>
        <w:tc>
          <w:tcPr>
            <w:tcW w:w="4452" w:type="dxa"/>
            <w:shd w:val="clear" w:color="auto" w:fill="auto"/>
            <w:noWrap/>
            <w:vAlign w:val="center"/>
            <w:hideMark/>
          </w:tcPr>
          <w:p w14:paraId="51482323"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 xml:space="preserve">Organ failure, </w:t>
            </w:r>
            <w:r w:rsidRPr="002E2F24">
              <w:rPr>
                <w:rFonts w:ascii="Book Antiqua" w:eastAsia="DengXian" w:hAnsi="Book Antiqua" w:cs="SimSun"/>
                <w:i/>
                <w:iCs/>
                <w:color w:val="000000" w:themeColor="text1"/>
                <w:lang w:val="en-IN"/>
              </w:rPr>
              <w:t>n</w:t>
            </w:r>
            <w:r w:rsidRPr="002E2F24">
              <w:rPr>
                <w:rFonts w:ascii="Book Antiqua" w:eastAsia="DengXian" w:hAnsi="Book Antiqua" w:cs="SimSun"/>
                <w:color w:val="000000" w:themeColor="text1"/>
                <w:lang w:val="en-IN"/>
              </w:rPr>
              <w:t xml:space="preserve"> (%)</w:t>
            </w:r>
          </w:p>
        </w:tc>
        <w:tc>
          <w:tcPr>
            <w:tcW w:w="4178" w:type="dxa"/>
            <w:shd w:val="clear" w:color="auto" w:fill="auto"/>
            <w:noWrap/>
            <w:vAlign w:val="center"/>
            <w:hideMark/>
          </w:tcPr>
          <w:p w14:paraId="5778CA28"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Respiratory, 20 (11.8)</w:t>
            </w:r>
          </w:p>
        </w:tc>
      </w:tr>
      <w:tr w:rsidR="002E2F24" w:rsidRPr="002E2F24" w14:paraId="50FB510F" w14:textId="77777777" w:rsidTr="00B91B98">
        <w:trPr>
          <w:trHeight w:val="276"/>
        </w:trPr>
        <w:tc>
          <w:tcPr>
            <w:tcW w:w="4452" w:type="dxa"/>
            <w:shd w:val="clear" w:color="auto" w:fill="auto"/>
            <w:noWrap/>
            <w:vAlign w:val="center"/>
            <w:hideMark/>
          </w:tcPr>
          <w:p w14:paraId="520F913D"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3A43AAC6"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Cardiac, 11 (6.5)</w:t>
            </w:r>
          </w:p>
        </w:tc>
      </w:tr>
      <w:tr w:rsidR="002E2F24" w:rsidRPr="002E2F24" w14:paraId="377D6397" w14:textId="77777777" w:rsidTr="00B91B98">
        <w:trPr>
          <w:trHeight w:val="276"/>
        </w:trPr>
        <w:tc>
          <w:tcPr>
            <w:tcW w:w="4452" w:type="dxa"/>
            <w:shd w:val="clear" w:color="auto" w:fill="auto"/>
            <w:noWrap/>
            <w:vAlign w:val="center"/>
            <w:hideMark/>
          </w:tcPr>
          <w:p w14:paraId="54619233"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3E32A1FE"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Renal, 8 (4.7)</w:t>
            </w:r>
          </w:p>
        </w:tc>
      </w:tr>
      <w:tr w:rsidR="002E2F24" w:rsidRPr="002E2F24" w14:paraId="22132DA4" w14:textId="77777777" w:rsidTr="00B91B98">
        <w:trPr>
          <w:trHeight w:val="324"/>
        </w:trPr>
        <w:tc>
          <w:tcPr>
            <w:tcW w:w="4452" w:type="dxa"/>
            <w:shd w:val="clear" w:color="auto" w:fill="auto"/>
            <w:noWrap/>
            <w:vAlign w:val="center"/>
            <w:hideMark/>
          </w:tcPr>
          <w:p w14:paraId="60627B49"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 xml:space="preserve">Need for organ support, </w:t>
            </w:r>
            <w:r w:rsidRPr="002E2F24">
              <w:rPr>
                <w:rFonts w:ascii="Book Antiqua" w:eastAsia="DengXian" w:hAnsi="Book Antiqua" w:cs="SimSun"/>
                <w:i/>
                <w:iCs/>
                <w:color w:val="000000" w:themeColor="text1"/>
                <w:lang w:val="en-IN"/>
              </w:rPr>
              <w:t>n</w:t>
            </w:r>
            <w:r w:rsidRPr="002E2F24">
              <w:rPr>
                <w:rFonts w:ascii="Book Antiqua" w:eastAsia="DengXian" w:hAnsi="Book Antiqua" w:cs="SimSun"/>
                <w:color w:val="000000" w:themeColor="text1"/>
                <w:lang w:val="en-IN"/>
              </w:rPr>
              <w:t xml:space="preserve"> (%)</w:t>
            </w:r>
          </w:p>
        </w:tc>
        <w:tc>
          <w:tcPr>
            <w:tcW w:w="4178" w:type="dxa"/>
            <w:shd w:val="clear" w:color="auto" w:fill="auto"/>
            <w:noWrap/>
            <w:vAlign w:val="center"/>
            <w:hideMark/>
          </w:tcPr>
          <w:p w14:paraId="3D207AC8"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Invasive mechanical ventilation, 22 (13)</w:t>
            </w:r>
          </w:p>
        </w:tc>
      </w:tr>
      <w:tr w:rsidR="002E2F24" w:rsidRPr="002E2F24" w14:paraId="101B62D2" w14:textId="77777777" w:rsidTr="00B91B98">
        <w:trPr>
          <w:trHeight w:val="276"/>
        </w:trPr>
        <w:tc>
          <w:tcPr>
            <w:tcW w:w="4452" w:type="dxa"/>
            <w:shd w:val="clear" w:color="auto" w:fill="auto"/>
            <w:noWrap/>
            <w:vAlign w:val="center"/>
            <w:hideMark/>
          </w:tcPr>
          <w:p w14:paraId="54CA9E08"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7C1D6E3F"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Vasopressors, 11 (6.5)</w:t>
            </w:r>
          </w:p>
        </w:tc>
      </w:tr>
      <w:tr w:rsidR="002E2F24" w:rsidRPr="002E2F24" w14:paraId="3BC42F46" w14:textId="77777777" w:rsidTr="00B91B98">
        <w:trPr>
          <w:trHeight w:val="276"/>
        </w:trPr>
        <w:tc>
          <w:tcPr>
            <w:tcW w:w="4452" w:type="dxa"/>
            <w:shd w:val="clear" w:color="auto" w:fill="auto"/>
            <w:noWrap/>
            <w:vAlign w:val="center"/>
            <w:hideMark/>
          </w:tcPr>
          <w:p w14:paraId="05AAD68D"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05F5A4E9"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RRT, 10 (5.9)</w:t>
            </w:r>
          </w:p>
        </w:tc>
      </w:tr>
      <w:tr w:rsidR="002E2F24" w:rsidRPr="002E2F24" w14:paraId="0E638694" w14:textId="77777777" w:rsidTr="00B91B98">
        <w:trPr>
          <w:trHeight w:val="324"/>
        </w:trPr>
        <w:tc>
          <w:tcPr>
            <w:tcW w:w="4452" w:type="dxa"/>
            <w:shd w:val="clear" w:color="auto" w:fill="auto"/>
            <w:noWrap/>
            <w:vAlign w:val="center"/>
            <w:hideMark/>
          </w:tcPr>
          <w:p w14:paraId="705665D8"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 xml:space="preserve">Other treatments given, </w:t>
            </w:r>
            <w:r w:rsidRPr="002E2F24">
              <w:rPr>
                <w:rFonts w:ascii="Book Antiqua" w:eastAsia="DengXian" w:hAnsi="Book Antiqua" w:cs="SimSun"/>
                <w:i/>
                <w:iCs/>
                <w:color w:val="000000" w:themeColor="text1"/>
                <w:lang w:val="en-IN"/>
              </w:rPr>
              <w:t>n</w:t>
            </w:r>
            <w:r w:rsidRPr="002E2F24">
              <w:rPr>
                <w:rFonts w:ascii="Book Antiqua" w:eastAsia="DengXian" w:hAnsi="Book Antiqua" w:cs="SimSun"/>
                <w:color w:val="000000" w:themeColor="text1"/>
                <w:lang w:val="en-IN"/>
              </w:rPr>
              <w:t xml:space="preserve"> (%)</w:t>
            </w:r>
          </w:p>
        </w:tc>
        <w:tc>
          <w:tcPr>
            <w:tcW w:w="4178" w:type="dxa"/>
            <w:shd w:val="clear" w:color="auto" w:fill="auto"/>
            <w:noWrap/>
            <w:vAlign w:val="center"/>
            <w:hideMark/>
          </w:tcPr>
          <w:p w14:paraId="3D8E125E"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Sodium bicarbonate, 21 (12.4)</w:t>
            </w:r>
          </w:p>
        </w:tc>
      </w:tr>
      <w:tr w:rsidR="002E2F24" w:rsidRPr="002E2F24" w14:paraId="6707E79B" w14:textId="77777777" w:rsidTr="00B91B98">
        <w:trPr>
          <w:trHeight w:val="324"/>
        </w:trPr>
        <w:tc>
          <w:tcPr>
            <w:tcW w:w="4452" w:type="dxa"/>
            <w:shd w:val="clear" w:color="auto" w:fill="auto"/>
            <w:noWrap/>
            <w:vAlign w:val="center"/>
            <w:hideMark/>
          </w:tcPr>
          <w:p w14:paraId="1B2E9ADC"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 xml:space="preserve">Need for ICU, </w:t>
            </w:r>
            <w:r w:rsidRPr="002E2F24">
              <w:rPr>
                <w:rFonts w:ascii="Book Antiqua" w:eastAsia="DengXian" w:hAnsi="Book Antiqua" w:cs="SimSun"/>
                <w:i/>
                <w:iCs/>
                <w:color w:val="000000" w:themeColor="text1"/>
                <w:lang w:val="en-IN"/>
              </w:rPr>
              <w:t>n</w:t>
            </w:r>
            <w:r w:rsidRPr="002E2F24">
              <w:rPr>
                <w:rFonts w:ascii="Book Antiqua" w:eastAsia="DengXian" w:hAnsi="Book Antiqua" w:cs="SimSun"/>
                <w:color w:val="000000" w:themeColor="text1"/>
                <w:lang w:val="en-IN"/>
              </w:rPr>
              <w:t xml:space="preserve"> (%)</w:t>
            </w:r>
          </w:p>
        </w:tc>
        <w:tc>
          <w:tcPr>
            <w:tcW w:w="4178" w:type="dxa"/>
            <w:shd w:val="clear" w:color="auto" w:fill="auto"/>
            <w:noWrap/>
            <w:vAlign w:val="center"/>
            <w:hideMark/>
          </w:tcPr>
          <w:p w14:paraId="65F79B26"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104 (61.5)</w:t>
            </w:r>
          </w:p>
        </w:tc>
      </w:tr>
      <w:tr w:rsidR="002E2F24" w:rsidRPr="002E2F24" w14:paraId="28B69BE7" w14:textId="77777777" w:rsidTr="00B91B98">
        <w:trPr>
          <w:trHeight w:val="276"/>
        </w:trPr>
        <w:tc>
          <w:tcPr>
            <w:tcW w:w="4452" w:type="dxa"/>
            <w:shd w:val="clear" w:color="auto" w:fill="auto"/>
            <w:noWrap/>
            <w:vAlign w:val="center"/>
            <w:hideMark/>
          </w:tcPr>
          <w:p w14:paraId="354D073E"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Days in ICU (± SD)</w:t>
            </w:r>
          </w:p>
        </w:tc>
        <w:tc>
          <w:tcPr>
            <w:tcW w:w="4178" w:type="dxa"/>
            <w:shd w:val="clear" w:color="auto" w:fill="auto"/>
            <w:noWrap/>
            <w:vAlign w:val="center"/>
            <w:hideMark/>
          </w:tcPr>
          <w:p w14:paraId="671B9882"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3.4 (5.4) d</w:t>
            </w:r>
          </w:p>
        </w:tc>
      </w:tr>
      <w:tr w:rsidR="002E2F24" w:rsidRPr="002E2F24" w14:paraId="5DFC4D14" w14:textId="77777777" w:rsidTr="00B91B98">
        <w:trPr>
          <w:trHeight w:val="276"/>
        </w:trPr>
        <w:tc>
          <w:tcPr>
            <w:tcW w:w="4452" w:type="dxa"/>
            <w:shd w:val="clear" w:color="auto" w:fill="auto"/>
            <w:noWrap/>
            <w:vAlign w:val="center"/>
            <w:hideMark/>
          </w:tcPr>
          <w:p w14:paraId="0087BD3F"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Days in hospital (± SD)</w:t>
            </w:r>
          </w:p>
        </w:tc>
        <w:tc>
          <w:tcPr>
            <w:tcW w:w="4178" w:type="dxa"/>
            <w:shd w:val="clear" w:color="auto" w:fill="auto"/>
            <w:noWrap/>
            <w:vAlign w:val="center"/>
            <w:hideMark/>
          </w:tcPr>
          <w:p w14:paraId="7273C292"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9.3 (10.4) d</w:t>
            </w:r>
          </w:p>
        </w:tc>
      </w:tr>
      <w:tr w:rsidR="002E2F24" w:rsidRPr="002E2F24" w14:paraId="5681F0A6" w14:textId="77777777" w:rsidTr="00B91B98">
        <w:trPr>
          <w:trHeight w:val="324"/>
        </w:trPr>
        <w:tc>
          <w:tcPr>
            <w:tcW w:w="4452" w:type="dxa"/>
            <w:shd w:val="clear" w:color="auto" w:fill="auto"/>
            <w:noWrap/>
            <w:vAlign w:val="center"/>
            <w:hideMark/>
          </w:tcPr>
          <w:p w14:paraId="3325EF2E"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 xml:space="preserve">Outcome, </w:t>
            </w:r>
            <w:r w:rsidRPr="002E2F24">
              <w:rPr>
                <w:rFonts w:ascii="Book Antiqua" w:eastAsia="DengXian" w:hAnsi="Book Antiqua" w:cs="SimSun"/>
                <w:i/>
                <w:iCs/>
                <w:color w:val="000000" w:themeColor="text1"/>
                <w:lang w:val="en-IN"/>
              </w:rPr>
              <w:t>n</w:t>
            </w:r>
            <w:r w:rsidRPr="002E2F24">
              <w:rPr>
                <w:rFonts w:ascii="Book Antiqua" w:eastAsia="DengXian" w:hAnsi="Book Antiqua" w:cs="SimSun"/>
                <w:color w:val="000000" w:themeColor="text1"/>
                <w:lang w:val="en-IN"/>
              </w:rPr>
              <w:t xml:space="preserve"> (%)</w:t>
            </w:r>
          </w:p>
        </w:tc>
        <w:tc>
          <w:tcPr>
            <w:tcW w:w="4178" w:type="dxa"/>
            <w:shd w:val="clear" w:color="auto" w:fill="auto"/>
            <w:noWrap/>
            <w:vAlign w:val="center"/>
            <w:hideMark/>
          </w:tcPr>
          <w:p w14:paraId="5155754D"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Alive, 164 (97)</w:t>
            </w:r>
          </w:p>
        </w:tc>
      </w:tr>
      <w:tr w:rsidR="002E2F24" w:rsidRPr="002E2F24" w14:paraId="6202B3B3" w14:textId="77777777" w:rsidTr="00B91B98">
        <w:trPr>
          <w:trHeight w:val="276"/>
        </w:trPr>
        <w:tc>
          <w:tcPr>
            <w:tcW w:w="4452" w:type="dxa"/>
            <w:shd w:val="clear" w:color="auto" w:fill="auto"/>
            <w:noWrap/>
            <w:vAlign w:val="center"/>
            <w:hideMark/>
          </w:tcPr>
          <w:p w14:paraId="51F9FCCD"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7E641EE8"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Death, 4 (2.4)</w:t>
            </w:r>
          </w:p>
        </w:tc>
      </w:tr>
      <w:tr w:rsidR="002E2F24" w:rsidRPr="002E2F24" w14:paraId="1BD6CCBF" w14:textId="77777777" w:rsidTr="00B91B98">
        <w:trPr>
          <w:trHeight w:val="276"/>
        </w:trPr>
        <w:tc>
          <w:tcPr>
            <w:tcW w:w="4452" w:type="dxa"/>
            <w:shd w:val="clear" w:color="auto" w:fill="auto"/>
            <w:noWrap/>
            <w:vAlign w:val="center"/>
            <w:hideMark/>
          </w:tcPr>
          <w:p w14:paraId="1CB4B8F7"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p>
        </w:tc>
        <w:tc>
          <w:tcPr>
            <w:tcW w:w="4178" w:type="dxa"/>
            <w:shd w:val="clear" w:color="auto" w:fill="auto"/>
            <w:noWrap/>
            <w:vAlign w:val="center"/>
            <w:hideMark/>
          </w:tcPr>
          <w:p w14:paraId="5C289486" w14:textId="77777777" w:rsidR="00012FA1" w:rsidRPr="002E2F24" w:rsidRDefault="00012FA1" w:rsidP="00B91B98">
            <w:pPr>
              <w:widowControl w:val="0"/>
              <w:spacing w:line="360" w:lineRule="auto"/>
              <w:jc w:val="both"/>
              <w:rPr>
                <w:rFonts w:ascii="Book Antiqua" w:eastAsia="DengXian" w:hAnsi="Book Antiqua" w:cs="SimSun"/>
                <w:color w:val="000000" w:themeColor="text1"/>
              </w:rPr>
            </w:pPr>
            <w:r w:rsidRPr="002E2F24">
              <w:rPr>
                <w:rFonts w:ascii="Book Antiqua" w:eastAsia="DengXian" w:hAnsi="Book Antiqua" w:cs="SimSun"/>
                <w:color w:val="000000" w:themeColor="text1"/>
                <w:lang w:val="en-IN"/>
              </w:rPr>
              <w:t>Not mentioned, 1 (0.6)</w:t>
            </w:r>
          </w:p>
        </w:tc>
      </w:tr>
    </w:tbl>
    <w:p w14:paraId="1835416A" w14:textId="2669A0C7" w:rsidR="00012FA1" w:rsidRPr="002E2F24" w:rsidRDefault="00012FA1" w:rsidP="00012FA1">
      <w:pPr>
        <w:spacing w:line="360" w:lineRule="auto"/>
        <w:jc w:val="both"/>
        <w:rPr>
          <w:rFonts w:ascii="Book Antiqua" w:hAnsi="Book Antiqua"/>
          <w:color w:val="000000" w:themeColor="text1"/>
        </w:rPr>
      </w:pPr>
      <w:r w:rsidRPr="002E2F24">
        <w:rPr>
          <w:rFonts w:ascii="Book Antiqua" w:hAnsi="Book Antiqua"/>
          <w:color w:val="000000" w:themeColor="text1"/>
        </w:rPr>
        <w:t>SGLT: Sodium-Glucose-Cotransporter; OHA: Oral hypoglycemic agent; RRT</w:t>
      </w:r>
      <w:r w:rsidRPr="002E2F24">
        <w:rPr>
          <w:rFonts w:ascii="Book Antiqua" w:hAnsi="Book Antiqua"/>
          <w:color w:val="000000" w:themeColor="text1"/>
          <w:lang w:eastAsia="zh-CN"/>
        </w:rPr>
        <w:t>:</w:t>
      </w:r>
      <w:r w:rsidRPr="002E2F24">
        <w:rPr>
          <w:rFonts w:ascii="Book Antiqua" w:hAnsi="Book Antiqua"/>
          <w:color w:val="000000" w:themeColor="text1"/>
        </w:rPr>
        <w:t xml:space="preserve"> Renal replacement therapy</w:t>
      </w:r>
      <w:r w:rsidRPr="002E2F24">
        <w:rPr>
          <w:rFonts w:ascii="Book Antiqua" w:hAnsi="Book Antiqua"/>
          <w:color w:val="000000" w:themeColor="text1"/>
          <w:lang w:eastAsia="zh-CN"/>
        </w:rPr>
        <w:t xml:space="preserve">; </w:t>
      </w:r>
      <w:r w:rsidRPr="002E2F24">
        <w:rPr>
          <w:rFonts w:ascii="Book Antiqua" w:hAnsi="Book Antiqua"/>
          <w:color w:val="000000" w:themeColor="text1"/>
        </w:rPr>
        <w:t xml:space="preserve">IMV: Invasive mechanical ventilation; ICU: </w:t>
      </w:r>
      <w:r w:rsidRPr="002E2F24">
        <w:rPr>
          <w:rFonts w:ascii="Book Antiqua" w:hAnsi="Book Antiqua" w:cs="Book Antiqua"/>
          <w:color w:val="000000" w:themeColor="text1"/>
          <w:shd w:val="clear" w:color="auto" w:fill="FFFFFF"/>
          <w:lang w:eastAsia="zh-CN"/>
        </w:rPr>
        <w:t>I</w:t>
      </w:r>
      <w:r w:rsidRPr="002E2F24">
        <w:rPr>
          <w:rFonts w:ascii="Book Antiqua" w:eastAsia="Book Antiqua" w:hAnsi="Book Antiqua" w:cs="Book Antiqua"/>
          <w:color w:val="000000" w:themeColor="text1"/>
          <w:shd w:val="clear" w:color="auto" w:fill="FFFFFF"/>
        </w:rPr>
        <w:t>ntensive care unit</w:t>
      </w:r>
      <w:r w:rsidRPr="002E2F24">
        <w:rPr>
          <w:rFonts w:ascii="Book Antiqua" w:hAnsi="Book Antiqua"/>
          <w:color w:val="000000" w:themeColor="text1"/>
        </w:rPr>
        <w:t>.</w:t>
      </w:r>
    </w:p>
    <w:p w14:paraId="4E1B2DE3" w14:textId="77777777" w:rsidR="00012FA1" w:rsidRPr="002E2F24" w:rsidRDefault="00012FA1" w:rsidP="00012FA1">
      <w:pPr>
        <w:spacing w:line="360" w:lineRule="auto"/>
        <w:jc w:val="both"/>
        <w:rPr>
          <w:rFonts w:ascii="Book Antiqua" w:hAnsi="Book Antiqua"/>
          <w:color w:val="000000" w:themeColor="text1"/>
        </w:rPr>
      </w:pPr>
    </w:p>
    <w:p w14:paraId="03BC4804" w14:textId="77777777" w:rsidR="00012FA1" w:rsidRPr="002E2F24" w:rsidRDefault="00012FA1" w:rsidP="00012FA1">
      <w:pPr>
        <w:spacing w:line="360" w:lineRule="auto"/>
        <w:jc w:val="both"/>
        <w:rPr>
          <w:rFonts w:ascii="Book Antiqua" w:hAnsi="Book Antiqua" w:cs="Book Antiqua"/>
          <w:b/>
          <w:bCs/>
          <w:color w:val="000000" w:themeColor="text1"/>
          <w:lang w:eastAsia="zh-CN"/>
        </w:rPr>
      </w:pPr>
    </w:p>
    <w:p w14:paraId="6923802A" w14:textId="77777777" w:rsidR="00012FA1" w:rsidRPr="002E2F24" w:rsidRDefault="00012FA1" w:rsidP="00012FA1">
      <w:pPr>
        <w:spacing w:line="360" w:lineRule="auto"/>
        <w:jc w:val="both"/>
        <w:rPr>
          <w:rFonts w:ascii="Book Antiqua" w:hAnsi="Book Antiqua" w:cs="Book Antiqua"/>
          <w:b/>
          <w:bCs/>
          <w:color w:val="000000" w:themeColor="text1"/>
          <w:lang w:eastAsia="zh-CN"/>
        </w:rPr>
      </w:pPr>
    </w:p>
    <w:p w14:paraId="11F8CCBD" w14:textId="77777777" w:rsidR="00012FA1" w:rsidRPr="002E2F24" w:rsidRDefault="00012FA1" w:rsidP="00012FA1">
      <w:pPr>
        <w:spacing w:line="360" w:lineRule="auto"/>
        <w:jc w:val="both"/>
        <w:rPr>
          <w:rFonts w:ascii="Book Antiqua" w:hAnsi="Book Antiqua" w:cs="Book Antiqua"/>
          <w:b/>
          <w:bCs/>
          <w:color w:val="000000" w:themeColor="text1"/>
          <w:lang w:eastAsia="zh-CN"/>
        </w:rPr>
      </w:pPr>
    </w:p>
    <w:p w14:paraId="10D31D58" w14:textId="77777777" w:rsidR="00012FA1" w:rsidRPr="002E2F24" w:rsidRDefault="00012FA1" w:rsidP="00012FA1">
      <w:pPr>
        <w:spacing w:line="360" w:lineRule="auto"/>
        <w:jc w:val="both"/>
        <w:rPr>
          <w:rFonts w:ascii="Book Antiqua" w:hAnsi="Book Antiqua" w:cs="Book Antiqua"/>
          <w:b/>
          <w:bCs/>
          <w:color w:val="000000" w:themeColor="text1"/>
          <w:lang w:eastAsia="zh-CN"/>
        </w:rPr>
      </w:pPr>
    </w:p>
    <w:p w14:paraId="0E1972AB" w14:textId="77777777" w:rsidR="00012FA1" w:rsidRPr="002E2F24" w:rsidRDefault="00012FA1" w:rsidP="00012FA1">
      <w:pPr>
        <w:spacing w:line="360" w:lineRule="auto"/>
        <w:jc w:val="both"/>
        <w:rPr>
          <w:rFonts w:ascii="Book Antiqua" w:hAnsi="Book Antiqua" w:cs="Book Antiqua"/>
          <w:b/>
          <w:bCs/>
          <w:color w:val="000000" w:themeColor="text1"/>
          <w:lang w:eastAsia="zh-CN"/>
        </w:rPr>
      </w:pPr>
    </w:p>
    <w:p w14:paraId="0150B85B" w14:textId="77777777" w:rsidR="00012FA1" w:rsidRPr="002E2F24" w:rsidRDefault="00012FA1" w:rsidP="00012FA1">
      <w:pPr>
        <w:spacing w:line="360" w:lineRule="auto"/>
        <w:jc w:val="both"/>
        <w:rPr>
          <w:rFonts w:ascii="Book Antiqua" w:hAnsi="Book Antiqua" w:cs="Book Antiqua"/>
          <w:b/>
          <w:bCs/>
          <w:color w:val="000000" w:themeColor="text1"/>
          <w:lang w:eastAsia="zh-CN"/>
        </w:rPr>
      </w:pPr>
    </w:p>
    <w:p w14:paraId="10BD314F" w14:textId="77777777" w:rsidR="00012FA1" w:rsidRPr="002E2F24" w:rsidRDefault="00012FA1" w:rsidP="00012FA1">
      <w:pPr>
        <w:spacing w:line="360" w:lineRule="auto"/>
        <w:jc w:val="both"/>
        <w:rPr>
          <w:rFonts w:ascii="Book Antiqua" w:hAnsi="Book Antiqua" w:cs="Book Antiqua"/>
          <w:b/>
          <w:bCs/>
          <w:color w:val="000000" w:themeColor="text1"/>
          <w:lang w:eastAsia="zh-CN"/>
        </w:rPr>
      </w:pPr>
    </w:p>
    <w:p w14:paraId="48E2C2C8" w14:textId="3D49B308" w:rsidR="00012FA1" w:rsidRPr="002E2F24" w:rsidRDefault="00012FA1" w:rsidP="00012FA1">
      <w:pPr>
        <w:spacing w:line="360" w:lineRule="auto"/>
        <w:jc w:val="both"/>
        <w:rPr>
          <w:rFonts w:ascii="Book Antiqua" w:hAnsi="Book Antiqua" w:cs="Book Antiqua"/>
          <w:b/>
          <w:color w:val="000000" w:themeColor="text1"/>
          <w:lang w:eastAsia="zh-CN"/>
        </w:rPr>
      </w:pPr>
      <w:r w:rsidRPr="002E2F24">
        <w:rPr>
          <w:rFonts w:ascii="Book Antiqua" w:hAnsi="Book Antiqua" w:cs="Book Antiqua"/>
          <w:b/>
          <w:bCs/>
          <w:color w:val="000000" w:themeColor="text1"/>
          <w:lang w:eastAsia="zh-CN"/>
        </w:rPr>
        <w:lastRenderedPageBreak/>
        <w:t xml:space="preserve">Table 2 </w:t>
      </w:r>
      <w:r w:rsidR="001275D7">
        <w:rPr>
          <w:rFonts w:ascii="Book Antiqua" w:hAnsi="Book Antiqua" w:cs="Book Antiqua"/>
          <w:b/>
          <w:bCs/>
          <w:color w:val="000000" w:themeColor="text1"/>
          <w:lang w:eastAsia="zh-CN"/>
        </w:rPr>
        <w:t>B</w:t>
      </w:r>
      <w:r w:rsidRPr="002E2F24">
        <w:rPr>
          <w:rFonts w:ascii="Book Antiqua" w:eastAsia="Book Antiqua" w:hAnsi="Book Antiqua" w:cs="Book Antiqua"/>
          <w:b/>
          <w:color w:val="000000" w:themeColor="text1"/>
        </w:rPr>
        <w:t>aseline laboratory parameters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763"/>
      </w:tblGrid>
      <w:tr w:rsidR="00537034" w:rsidRPr="002E2F24" w14:paraId="53D7828C" w14:textId="77777777" w:rsidTr="00B91B98">
        <w:tc>
          <w:tcPr>
            <w:tcW w:w="2513" w:type="pct"/>
            <w:tcBorders>
              <w:top w:val="single" w:sz="4" w:space="0" w:color="auto"/>
              <w:bottom w:val="single" w:sz="4" w:space="0" w:color="auto"/>
            </w:tcBorders>
          </w:tcPr>
          <w:p w14:paraId="3E573CC3" w14:textId="77777777" w:rsidR="00012FA1" w:rsidRPr="002E2F24" w:rsidRDefault="00012FA1" w:rsidP="00B91B98">
            <w:pPr>
              <w:spacing w:line="360" w:lineRule="auto"/>
              <w:jc w:val="both"/>
              <w:rPr>
                <w:rFonts w:ascii="Book Antiqua" w:hAnsi="Book Antiqua"/>
                <w:b/>
                <w:bCs/>
                <w:color w:val="000000" w:themeColor="text1"/>
              </w:rPr>
            </w:pPr>
            <w:r w:rsidRPr="002E2F24">
              <w:rPr>
                <w:rFonts w:ascii="Book Antiqua" w:hAnsi="Book Antiqua"/>
                <w:b/>
                <w:bCs/>
                <w:color w:val="000000" w:themeColor="text1"/>
              </w:rPr>
              <w:t>Parameter</w:t>
            </w:r>
          </w:p>
        </w:tc>
        <w:tc>
          <w:tcPr>
            <w:tcW w:w="2487" w:type="pct"/>
            <w:tcBorders>
              <w:top w:val="single" w:sz="4" w:space="0" w:color="auto"/>
              <w:bottom w:val="single" w:sz="4" w:space="0" w:color="auto"/>
            </w:tcBorders>
          </w:tcPr>
          <w:p w14:paraId="33C2D0F8" w14:textId="4F661159" w:rsidR="00012FA1" w:rsidRPr="002E2F24" w:rsidRDefault="00012FA1" w:rsidP="001275D7">
            <w:pPr>
              <w:spacing w:line="360" w:lineRule="auto"/>
              <w:jc w:val="both"/>
              <w:rPr>
                <w:rFonts w:ascii="Book Antiqua" w:hAnsi="Book Antiqua"/>
                <w:b/>
                <w:bCs/>
                <w:color w:val="000000" w:themeColor="text1"/>
              </w:rPr>
            </w:pPr>
            <w:r w:rsidRPr="002E2F24">
              <w:rPr>
                <w:rFonts w:ascii="Book Antiqua" w:hAnsi="Book Antiqua"/>
                <w:b/>
                <w:bCs/>
                <w:color w:val="000000" w:themeColor="text1"/>
              </w:rPr>
              <w:t xml:space="preserve">Median </w:t>
            </w:r>
            <w:r w:rsidR="001275D7">
              <w:rPr>
                <w:rFonts w:ascii="Book Antiqua" w:hAnsi="Book Antiqua"/>
                <w:b/>
                <w:bCs/>
                <w:color w:val="000000" w:themeColor="text1"/>
              </w:rPr>
              <w:t>v</w:t>
            </w:r>
            <w:r w:rsidRPr="002E2F24">
              <w:rPr>
                <w:rFonts w:ascii="Book Antiqua" w:hAnsi="Book Antiqua"/>
                <w:b/>
                <w:bCs/>
                <w:color w:val="000000" w:themeColor="text1"/>
              </w:rPr>
              <w:t>alues</w:t>
            </w:r>
          </w:p>
        </w:tc>
      </w:tr>
      <w:tr w:rsidR="00537034" w:rsidRPr="002E2F24" w14:paraId="09CA283B" w14:textId="77777777" w:rsidTr="00B91B98">
        <w:tc>
          <w:tcPr>
            <w:tcW w:w="2513" w:type="pct"/>
            <w:tcBorders>
              <w:top w:val="single" w:sz="4" w:space="0" w:color="auto"/>
            </w:tcBorders>
          </w:tcPr>
          <w:p w14:paraId="0DB82781" w14:textId="77777777" w:rsidR="00012FA1" w:rsidRPr="002E2F24" w:rsidRDefault="00012FA1" w:rsidP="00B91B98">
            <w:pPr>
              <w:spacing w:line="360" w:lineRule="auto"/>
              <w:jc w:val="both"/>
              <w:rPr>
                <w:rFonts w:ascii="Book Antiqua" w:hAnsi="Book Antiqua"/>
                <w:color w:val="000000" w:themeColor="text1"/>
                <w:lang w:eastAsia="zh-CN"/>
              </w:rPr>
            </w:pPr>
            <w:r w:rsidRPr="002E2F24">
              <w:rPr>
                <w:rFonts w:ascii="Book Antiqua" w:hAnsi="Book Antiqua"/>
                <w:color w:val="000000" w:themeColor="text1"/>
              </w:rPr>
              <w:t>Blood glucose (IQR)</w:t>
            </w:r>
          </w:p>
        </w:tc>
        <w:tc>
          <w:tcPr>
            <w:tcW w:w="2487" w:type="pct"/>
            <w:tcBorders>
              <w:top w:val="single" w:sz="4" w:space="0" w:color="auto"/>
            </w:tcBorders>
          </w:tcPr>
          <w:p w14:paraId="6CD02FE4" w14:textId="77777777" w:rsidR="00012FA1" w:rsidRPr="002E2F24" w:rsidRDefault="00012FA1" w:rsidP="00B91B98">
            <w:pPr>
              <w:spacing w:line="360" w:lineRule="auto"/>
              <w:jc w:val="both"/>
              <w:rPr>
                <w:rFonts w:ascii="Book Antiqua" w:hAnsi="Book Antiqua"/>
                <w:color w:val="000000" w:themeColor="text1"/>
                <w:lang w:eastAsia="zh-CN"/>
              </w:rPr>
            </w:pPr>
            <w:r w:rsidRPr="002E2F24">
              <w:rPr>
                <w:rFonts w:ascii="Book Antiqua" w:eastAsia="Times New Roman" w:hAnsi="Book Antiqua"/>
                <w:color w:val="000000" w:themeColor="text1"/>
              </w:rPr>
              <w:t>184.5</w:t>
            </w:r>
            <w:r w:rsidRPr="002E2F24">
              <w:rPr>
                <w:rFonts w:ascii="Book Antiqua" w:hAnsi="Book Antiqua"/>
                <w:color w:val="000000" w:themeColor="text1"/>
              </w:rPr>
              <w:t xml:space="preserve"> (151.8-219.3) mg/dL</w:t>
            </w:r>
          </w:p>
        </w:tc>
      </w:tr>
      <w:tr w:rsidR="00537034" w:rsidRPr="002E2F24" w14:paraId="486F86C0" w14:textId="77777777" w:rsidTr="00B91B98">
        <w:tc>
          <w:tcPr>
            <w:tcW w:w="2513" w:type="pct"/>
          </w:tcPr>
          <w:p w14:paraId="2B761037" w14:textId="77777777" w:rsidR="00012FA1" w:rsidRPr="002E2F24" w:rsidRDefault="00012FA1" w:rsidP="00B91B98">
            <w:pPr>
              <w:spacing w:line="360" w:lineRule="auto"/>
              <w:jc w:val="both"/>
              <w:rPr>
                <w:rFonts w:ascii="Book Antiqua" w:hAnsi="Book Antiqua"/>
                <w:color w:val="000000" w:themeColor="text1"/>
                <w:lang w:eastAsia="zh-CN"/>
              </w:rPr>
            </w:pPr>
            <w:r w:rsidRPr="002E2F24">
              <w:rPr>
                <w:rFonts w:ascii="Book Antiqua" w:hAnsi="Book Antiqua"/>
                <w:color w:val="000000" w:themeColor="text1"/>
                <w:lang w:eastAsia="zh-CN"/>
              </w:rPr>
              <w:t>Serum osmolality (</w:t>
            </w:r>
            <w:r w:rsidRPr="002E2F24">
              <w:rPr>
                <w:rFonts w:ascii="Book Antiqua" w:hAnsi="Book Antiqua"/>
                <w:color w:val="000000" w:themeColor="text1"/>
              </w:rPr>
              <w:t>IQR</w:t>
            </w:r>
            <w:r w:rsidRPr="002E2F24">
              <w:rPr>
                <w:rFonts w:ascii="Book Antiqua" w:hAnsi="Book Antiqua"/>
                <w:color w:val="000000" w:themeColor="text1"/>
                <w:lang w:eastAsia="zh-CN"/>
              </w:rPr>
              <w:t>)</w:t>
            </w:r>
          </w:p>
        </w:tc>
        <w:tc>
          <w:tcPr>
            <w:tcW w:w="2487" w:type="pct"/>
          </w:tcPr>
          <w:p w14:paraId="6B58CAF8" w14:textId="19B45C33" w:rsidR="00012FA1" w:rsidRPr="002E2F24" w:rsidRDefault="00012FA1" w:rsidP="001275D7">
            <w:pPr>
              <w:spacing w:line="360" w:lineRule="auto"/>
              <w:jc w:val="both"/>
              <w:rPr>
                <w:rFonts w:ascii="Book Antiqua" w:hAnsi="Book Antiqua"/>
                <w:color w:val="000000" w:themeColor="text1"/>
                <w:lang w:eastAsia="zh-CN"/>
              </w:rPr>
            </w:pPr>
            <w:r w:rsidRPr="002E2F24">
              <w:rPr>
                <w:rFonts w:ascii="Book Antiqua" w:hAnsi="Book Antiqua"/>
                <w:color w:val="000000" w:themeColor="text1"/>
              </w:rPr>
              <w:t>297 (290.8-</w:t>
            </w:r>
            <w:r w:rsidRPr="002E2F24">
              <w:rPr>
                <w:rFonts w:ascii="Book Antiqua" w:eastAsia="Times New Roman" w:hAnsi="Book Antiqua"/>
                <w:color w:val="000000" w:themeColor="text1"/>
              </w:rPr>
              <w:t>312.8</w:t>
            </w:r>
            <w:r w:rsidRPr="002E2F24">
              <w:rPr>
                <w:rFonts w:ascii="Book Antiqua" w:hAnsi="Book Antiqua"/>
                <w:color w:val="000000" w:themeColor="text1"/>
              </w:rPr>
              <w:t xml:space="preserve">) </w:t>
            </w:r>
            <w:r w:rsidRPr="002E2F24">
              <w:rPr>
                <w:rFonts w:ascii="Book Antiqua" w:eastAsia="Times New Roman" w:hAnsi="Book Antiqua"/>
                <w:color w:val="000000" w:themeColor="text1"/>
              </w:rPr>
              <w:t>mmol/</w:t>
            </w:r>
            <w:r w:rsidR="001275D7">
              <w:rPr>
                <w:rFonts w:ascii="Book Antiqua" w:eastAsia="Times New Roman" w:hAnsi="Book Antiqua"/>
                <w:color w:val="000000" w:themeColor="text1"/>
              </w:rPr>
              <w:t>k</w:t>
            </w:r>
            <w:r w:rsidRPr="002E2F24">
              <w:rPr>
                <w:rFonts w:ascii="Book Antiqua" w:eastAsia="Times New Roman" w:hAnsi="Book Antiqua"/>
                <w:color w:val="000000" w:themeColor="text1"/>
              </w:rPr>
              <w:t>g</w:t>
            </w:r>
          </w:p>
        </w:tc>
      </w:tr>
      <w:tr w:rsidR="00537034" w:rsidRPr="002E2F24" w14:paraId="12D193F9" w14:textId="77777777" w:rsidTr="00B91B98">
        <w:tc>
          <w:tcPr>
            <w:tcW w:w="2513" w:type="pct"/>
          </w:tcPr>
          <w:p w14:paraId="79915AEC" w14:textId="77777777" w:rsidR="00012FA1" w:rsidRPr="002E2F24" w:rsidRDefault="00012FA1" w:rsidP="00B91B98">
            <w:pPr>
              <w:spacing w:line="360" w:lineRule="auto"/>
              <w:jc w:val="both"/>
              <w:rPr>
                <w:rFonts w:ascii="Book Antiqua" w:hAnsi="Book Antiqua"/>
                <w:color w:val="000000" w:themeColor="text1"/>
                <w:lang w:eastAsia="zh-CN"/>
              </w:rPr>
            </w:pPr>
            <w:r w:rsidRPr="002E2F24">
              <w:rPr>
                <w:rFonts w:ascii="Book Antiqua" w:hAnsi="Book Antiqua"/>
                <w:color w:val="000000" w:themeColor="text1"/>
                <w:lang w:eastAsia="zh-CN"/>
              </w:rPr>
              <w:t xml:space="preserve">pH </w:t>
            </w:r>
            <w:r w:rsidRPr="002E2F24">
              <w:rPr>
                <w:rFonts w:ascii="Book Antiqua" w:hAnsi="Book Antiqua"/>
                <w:color w:val="000000" w:themeColor="text1"/>
              </w:rPr>
              <w:t>(IQR)</w:t>
            </w:r>
          </w:p>
        </w:tc>
        <w:tc>
          <w:tcPr>
            <w:tcW w:w="2487" w:type="pct"/>
          </w:tcPr>
          <w:p w14:paraId="585A1482" w14:textId="77777777" w:rsidR="00012FA1" w:rsidRPr="002E2F24" w:rsidRDefault="00012FA1" w:rsidP="00B91B98">
            <w:pPr>
              <w:spacing w:line="360" w:lineRule="auto"/>
              <w:jc w:val="both"/>
              <w:rPr>
                <w:rFonts w:ascii="Book Antiqua" w:hAnsi="Book Antiqua"/>
                <w:color w:val="000000" w:themeColor="text1"/>
              </w:rPr>
            </w:pPr>
            <w:r w:rsidRPr="002E2F24">
              <w:rPr>
                <w:rFonts w:ascii="Book Antiqua" w:hAnsi="Book Antiqua"/>
                <w:color w:val="000000" w:themeColor="text1"/>
              </w:rPr>
              <w:t>7.14 (7.05-</w:t>
            </w:r>
            <w:r w:rsidRPr="002E2F24">
              <w:rPr>
                <w:rFonts w:ascii="Book Antiqua" w:eastAsia="Times New Roman" w:hAnsi="Book Antiqua"/>
                <w:color w:val="000000" w:themeColor="text1"/>
              </w:rPr>
              <w:t>7.24</w:t>
            </w:r>
            <w:r w:rsidRPr="002E2F24">
              <w:rPr>
                <w:rFonts w:ascii="Book Antiqua" w:hAnsi="Book Antiqua"/>
                <w:color w:val="000000" w:themeColor="text1"/>
              </w:rPr>
              <w:t>)</w:t>
            </w:r>
          </w:p>
        </w:tc>
      </w:tr>
      <w:tr w:rsidR="00537034" w:rsidRPr="002E2F24" w14:paraId="08983326" w14:textId="77777777" w:rsidTr="00B91B98">
        <w:tc>
          <w:tcPr>
            <w:tcW w:w="2513" w:type="pct"/>
          </w:tcPr>
          <w:p w14:paraId="0D267BA5" w14:textId="77777777" w:rsidR="00012FA1" w:rsidRPr="002E2F24" w:rsidRDefault="00012FA1" w:rsidP="00B91B98">
            <w:pPr>
              <w:spacing w:line="360" w:lineRule="auto"/>
              <w:jc w:val="both"/>
              <w:rPr>
                <w:rFonts w:ascii="Book Antiqua" w:hAnsi="Book Antiqua"/>
                <w:color w:val="000000" w:themeColor="text1"/>
                <w:lang w:eastAsia="zh-CN"/>
              </w:rPr>
            </w:pPr>
            <w:r w:rsidRPr="002E2F24">
              <w:rPr>
                <w:rFonts w:ascii="Book Antiqua" w:hAnsi="Book Antiqua"/>
                <w:color w:val="000000" w:themeColor="text1"/>
                <w:lang w:eastAsia="zh-CN"/>
              </w:rPr>
              <w:t xml:space="preserve">Bicarbonate </w:t>
            </w:r>
            <w:r w:rsidRPr="002E2F24">
              <w:rPr>
                <w:rFonts w:ascii="Book Antiqua" w:hAnsi="Book Antiqua"/>
                <w:color w:val="000000" w:themeColor="text1"/>
              </w:rPr>
              <w:t>(IQR)</w:t>
            </w:r>
          </w:p>
        </w:tc>
        <w:tc>
          <w:tcPr>
            <w:tcW w:w="2487" w:type="pct"/>
          </w:tcPr>
          <w:p w14:paraId="186227A9" w14:textId="77777777" w:rsidR="00012FA1" w:rsidRPr="002E2F24" w:rsidRDefault="00012FA1" w:rsidP="00B91B98">
            <w:pPr>
              <w:spacing w:line="360" w:lineRule="auto"/>
              <w:jc w:val="both"/>
              <w:rPr>
                <w:rFonts w:ascii="Book Antiqua" w:hAnsi="Book Antiqua"/>
                <w:color w:val="000000" w:themeColor="text1"/>
              </w:rPr>
            </w:pPr>
            <w:r w:rsidRPr="002E2F24">
              <w:rPr>
                <w:rFonts w:ascii="Book Antiqua" w:hAnsi="Book Antiqua"/>
                <w:color w:val="000000" w:themeColor="text1"/>
              </w:rPr>
              <w:t xml:space="preserve">8.6 (6-11) </w:t>
            </w:r>
            <w:r w:rsidRPr="002E2F24">
              <w:rPr>
                <w:rFonts w:ascii="Book Antiqua" w:eastAsia="Times New Roman" w:hAnsi="Book Antiqua"/>
                <w:color w:val="000000" w:themeColor="text1"/>
              </w:rPr>
              <w:t>mmol/L</w:t>
            </w:r>
          </w:p>
        </w:tc>
      </w:tr>
      <w:tr w:rsidR="00537034" w:rsidRPr="002E2F24" w14:paraId="2EFAC067" w14:textId="77777777" w:rsidTr="00B91B98">
        <w:tc>
          <w:tcPr>
            <w:tcW w:w="2513" w:type="pct"/>
          </w:tcPr>
          <w:p w14:paraId="51EEE77C" w14:textId="77777777" w:rsidR="00012FA1" w:rsidRPr="002E2F24" w:rsidRDefault="00012FA1" w:rsidP="00B91B98">
            <w:pPr>
              <w:spacing w:line="360" w:lineRule="auto"/>
              <w:jc w:val="both"/>
              <w:rPr>
                <w:rFonts w:ascii="Book Antiqua" w:hAnsi="Book Antiqua"/>
                <w:color w:val="000000" w:themeColor="text1"/>
              </w:rPr>
            </w:pPr>
            <w:r w:rsidRPr="002E2F24">
              <w:rPr>
                <w:rFonts w:ascii="Book Antiqua" w:hAnsi="Book Antiqua"/>
                <w:color w:val="000000" w:themeColor="text1"/>
              </w:rPr>
              <w:t>Lactates (IQR)</w:t>
            </w:r>
          </w:p>
        </w:tc>
        <w:tc>
          <w:tcPr>
            <w:tcW w:w="2487" w:type="pct"/>
          </w:tcPr>
          <w:p w14:paraId="5533601B" w14:textId="77777777" w:rsidR="00012FA1" w:rsidRPr="002E2F24" w:rsidRDefault="00012FA1" w:rsidP="00B91B98">
            <w:pPr>
              <w:spacing w:line="360" w:lineRule="auto"/>
              <w:jc w:val="both"/>
              <w:rPr>
                <w:rFonts w:ascii="Book Antiqua" w:hAnsi="Book Antiqua"/>
                <w:color w:val="000000" w:themeColor="text1"/>
              </w:rPr>
            </w:pPr>
            <w:r w:rsidRPr="002E2F24">
              <w:rPr>
                <w:rFonts w:ascii="Book Antiqua" w:hAnsi="Book Antiqua"/>
                <w:color w:val="000000" w:themeColor="text1"/>
              </w:rPr>
              <w:t xml:space="preserve">1.3 (1.1-1.8) </w:t>
            </w:r>
            <w:r w:rsidRPr="002E2F24">
              <w:rPr>
                <w:rFonts w:ascii="Book Antiqua" w:eastAsia="Times New Roman" w:hAnsi="Book Antiqua"/>
                <w:color w:val="000000" w:themeColor="text1"/>
              </w:rPr>
              <w:t>mmol/L</w:t>
            </w:r>
          </w:p>
        </w:tc>
      </w:tr>
      <w:tr w:rsidR="00537034" w:rsidRPr="002E2F24" w14:paraId="7470D9A5" w14:textId="77777777" w:rsidTr="00B91B98">
        <w:tc>
          <w:tcPr>
            <w:tcW w:w="2513" w:type="pct"/>
          </w:tcPr>
          <w:p w14:paraId="64B40C07" w14:textId="77777777" w:rsidR="00012FA1" w:rsidRPr="002E2F24" w:rsidRDefault="00012FA1" w:rsidP="00B91B98">
            <w:pPr>
              <w:spacing w:line="360" w:lineRule="auto"/>
              <w:jc w:val="both"/>
              <w:rPr>
                <w:rFonts w:ascii="Book Antiqua" w:hAnsi="Book Antiqua"/>
                <w:color w:val="000000" w:themeColor="text1"/>
              </w:rPr>
            </w:pPr>
            <w:r w:rsidRPr="002E2F24">
              <w:rPr>
                <w:rFonts w:ascii="Book Antiqua" w:hAnsi="Book Antiqua"/>
                <w:color w:val="000000" w:themeColor="text1"/>
              </w:rPr>
              <w:t>Anion gap</w:t>
            </w:r>
            <w:r w:rsidRPr="002E2F24">
              <w:rPr>
                <w:rFonts w:ascii="Book Antiqua" w:hAnsi="Book Antiqua"/>
                <w:color w:val="000000" w:themeColor="text1"/>
                <w:lang w:eastAsia="zh-CN"/>
              </w:rPr>
              <w:t xml:space="preserve"> (IQR)</w:t>
            </w:r>
          </w:p>
        </w:tc>
        <w:tc>
          <w:tcPr>
            <w:tcW w:w="2487" w:type="pct"/>
          </w:tcPr>
          <w:p w14:paraId="6A3E55DC" w14:textId="77777777" w:rsidR="00012FA1" w:rsidRPr="002E2F24" w:rsidRDefault="00012FA1" w:rsidP="00B91B98">
            <w:pPr>
              <w:spacing w:line="360" w:lineRule="auto"/>
              <w:jc w:val="both"/>
              <w:rPr>
                <w:rFonts w:ascii="Book Antiqua" w:hAnsi="Book Antiqua" w:cs="Arial"/>
                <w:color w:val="000000" w:themeColor="text1"/>
                <w:lang w:eastAsia="zh-CN"/>
              </w:rPr>
            </w:pPr>
            <w:r w:rsidRPr="002E2F24">
              <w:rPr>
                <w:rFonts w:ascii="Book Antiqua" w:eastAsia="Times New Roman" w:hAnsi="Book Antiqua"/>
                <w:color w:val="000000" w:themeColor="text1"/>
              </w:rPr>
              <w:t>22.50</w:t>
            </w:r>
            <w:r w:rsidRPr="002E2F24">
              <w:rPr>
                <w:rFonts w:ascii="Book Antiqua" w:eastAsia="Times New Roman" w:hAnsi="Book Antiqua" w:cs="Arial"/>
                <w:color w:val="000000" w:themeColor="text1"/>
                <w:lang w:eastAsia="en-IN"/>
              </w:rPr>
              <w:t xml:space="preserve"> (19-28) </w:t>
            </w:r>
            <w:r w:rsidRPr="002E2F24">
              <w:rPr>
                <w:rFonts w:ascii="Book Antiqua" w:eastAsia="Times New Roman" w:hAnsi="Book Antiqua"/>
                <w:color w:val="000000" w:themeColor="text1"/>
              </w:rPr>
              <w:t>mmol/L</w:t>
            </w:r>
          </w:p>
        </w:tc>
      </w:tr>
    </w:tbl>
    <w:p w14:paraId="6A78888F" w14:textId="0148B5EF" w:rsidR="00A77B3E" w:rsidRPr="002E2F24" w:rsidRDefault="00012FA1">
      <w:pPr>
        <w:spacing w:line="360" w:lineRule="auto"/>
        <w:jc w:val="both"/>
        <w:rPr>
          <w:rFonts w:ascii="Book Antiqua" w:hAnsi="Book Antiqua"/>
          <w:color w:val="000000" w:themeColor="text1"/>
        </w:rPr>
      </w:pPr>
      <w:r w:rsidRPr="002E2F24">
        <w:rPr>
          <w:rFonts w:ascii="Book Antiqua" w:hAnsi="Book Antiqua"/>
          <w:color w:val="000000" w:themeColor="text1"/>
        </w:rPr>
        <w:t>IQR: Interquartile range.</w:t>
      </w:r>
    </w:p>
    <w:sectPr w:rsidR="00A77B3E" w:rsidRPr="002E2F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rw" w:date="2023-06-20T19:03:00Z" w:initials="j">
    <w:p w14:paraId="6574338A" w14:textId="12E03649" w:rsidR="00B055A1" w:rsidRDefault="00B055A1">
      <w:pPr>
        <w:pStyle w:val="CommentText"/>
      </w:pPr>
      <w:r>
        <w:rPr>
          <w:rStyle w:val="CommentReference"/>
        </w:rPr>
        <w:annotationRef/>
      </w:r>
      <w:r>
        <w:t>Adults patients should be changed to adult patients in Figure 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F48BD" w14:textId="77777777" w:rsidR="00C92B12" w:rsidRDefault="00C92B12" w:rsidP="00743CDC">
      <w:r>
        <w:separator/>
      </w:r>
    </w:p>
  </w:endnote>
  <w:endnote w:type="continuationSeparator" w:id="0">
    <w:p w14:paraId="1125E482" w14:textId="77777777" w:rsidR="00C92B12" w:rsidRDefault="00C92B12" w:rsidP="0074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686019977"/>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358DFC77" w14:textId="4EA65FA1" w:rsidR="00743CDC" w:rsidRPr="00743CDC" w:rsidRDefault="00450328">
            <w:pPr>
              <w:pStyle w:val="Footer"/>
              <w:jc w:val="right"/>
              <w:rPr>
                <w:rFonts w:ascii="Book Antiqua" w:hAnsi="Book Antiqua"/>
                <w:sz w:val="24"/>
                <w:szCs w:val="24"/>
              </w:rPr>
            </w:pPr>
            <w:r>
              <w:rPr>
                <w:rFonts w:ascii="Book Antiqua" w:hAnsi="Book Antiqua"/>
                <w:sz w:val="24"/>
                <w:szCs w:val="24"/>
                <w:lang w:val="zh-CN" w:eastAsia="zh-CN"/>
              </w:rPr>
              <w:t xml:space="preserve"> </w:t>
            </w:r>
            <w:r w:rsidR="00743CDC" w:rsidRPr="00743CDC">
              <w:rPr>
                <w:rFonts w:ascii="Book Antiqua" w:hAnsi="Book Antiqua"/>
                <w:b/>
                <w:bCs/>
                <w:sz w:val="24"/>
                <w:szCs w:val="24"/>
              </w:rPr>
              <w:fldChar w:fldCharType="begin"/>
            </w:r>
            <w:r w:rsidR="00743CDC" w:rsidRPr="00743CDC">
              <w:rPr>
                <w:rFonts w:ascii="Book Antiqua" w:hAnsi="Book Antiqua"/>
                <w:b/>
                <w:bCs/>
                <w:sz w:val="24"/>
                <w:szCs w:val="24"/>
              </w:rPr>
              <w:instrText>PAGE</w:instrText>
            </w:r>
            <w:r w:rsidR="00743CDC" w:rsidRPr="00743CDC">
              <w:rPr>
                <w:rFonts w:ascii="Book Antiqua" w:hAnsi="Book Antiqua"/>
                <w:b/>
                <w:bCs/>
                <w:sz w:val="24"/>
                <w:szCs w:val="24"/>
              </w:rPr>
              <w:fldChar w:fldCharType="separate"/>
            </w:r>
            <w:r w:rsidR="00A90C8E">
              <w:rPr>
                <w:rFonts w:ascii="Book Antiqua" w:hAnsi="Book Antiqua"/>
                <w:b/>
                <w:bCs/>
                <w:noProof/>
                <w:sz w:val="24"/>
                <w:szCs w:val="24"/>
              </w:rPr>
              <w:t>1</w:t>
            </w:r>
            <w:r w:rsidR="00743CDC" w:rsidRPr="00743CDC">
              <w:rPr>
                <w:rFonts w:ascii="Book Antiqua" w:hAnsi="Book Antiqua"/>
                <w:b/>
                <w:bCs/>
                <w:sz w:val="24"/>
                <w:szCs w:val="24"/>
              </w:rPr>
              <w:fldChar w:fldCharType="end"/>
            </w:r>
            <w:r>
              <w:rPr>
                <w:rFonts w:ascii="Book Antiqua" w:hAnsi="Book Antiqua"/>
                <w:sz w:val="24"/>
                <w:szCs w:val="24"/>
                <w:lang w:val="zh-CN" w:eastAsia="zh-CN"/>
              </w:rPr>
              <w:t xml:space="preserve"> </w:t>
            </w:r>
            <w:r w:rsidR="00743CDC" w:rsidRPr="00743CDC">
              <w:rPr>
                <w:rFonts w:ascii="Book Antiqua" w:hAnsi="Book Antiqua"/>
                <w:sz w:val="24"/>
                <w:szCs w:val="24"/>
                <w:lang w:val="zh-CN" w:eastAsia="zh-CN"/>
              </w:rPr>
              <w:t>/</w:t>
            </w:r>
            <w:r>
              <w:rPr>
                <w:rFonts w:ascii="Book Antiqua" w:hAnsi="Book Antiqua"/>
                <w:sz w:val="24"/>
                <w:szCs w:val="24"/>
                <w:lang w:val="zh-CN" w:eastAsia="zh-CN"/>
              </w:rPr>
              <w:t xml:space="preserve"> </w:t>
            </w:r>
            <w:r w:rsidR="00743CDC" w:rsidRPr="00743CDC">
              <w:rPr>
                <w:rFonts w:ascii="Book Antiqua" w:hAnsi="Book Antiqua"/>
                <w:b/>
                <w:bCs/>
                <w:sz w:val="24"/>
                <w:szCs w:val="24"/>
              </w:rPr>
              <w:fldChar w:fldCharType="begin"/>
            </w:r>
            <w:r w:rsidR="00743CDC" w:rsidRPr="00743CDC">
              <w:rPr>
                <w:rFonts w:ascii="Book Antiqua" w:hAnsi="Book Antiqua"/>
                <w:b/>
                <w:bCs/>
                <w:sz w:val="24"/>
                <w:szCs w:val="24"/>
              </w:rPr>
              <w:instrText>NUMPAGES</w:instrText>
            </w:r>
            <w:r w:rsidR="00743CDC" w:rsidRPr="00743CDC">
              <w:rPr>
                <w:rFonts w:ascii="Book Antiqua" w:hAnsi="Book Antiqua"/>
                <w:b/>
                <w:bCs/>
                <w:sz w:val="24"/>
                <w:szCs w:val="24"/>
              </w:rPr>
              <w:fldChar w:fldCharType="separate"/>
            </w:r>
            <w:r w:rsidR="00A90C8E">
              <w:rPr>
                <w:rFonts w:ascii="Book Antiqua" w:hAnsi="Book Antiqua"/>
                <w:b/>
                <w:bCs/>
                <w:noProof/>
                <w:sz w:val="24"/>
                <w:szCs w:val="24"/>
              </w:rPr>
              <w:t>23</w:t>
            </w:r>
            <w:r w:rsidR="00743CDC" w:rsidRPr="00743CDC">
              <w:rPr>
                <w:rFonts w:ascii="Book Antiqua" w:hAnsi="Book Antiqua"/>
                <w:b/>
                <w:bCs/>
                <w:sz w:val="24"/>
                <w:szCs w:val="24"/>
              </w:rPr>
              <w:fldChar w:fldCharType="end"/>
            </w:r>
          </w:p>
        </w:sdtContent>
      </w:sdt>
    </w:sdtContent>
  </w:sdt>
  <w:p w14:paraId="521262D4" w14:textId="77777777" w:rsidR="00743CDC" w:rsidRPr="00743CDC" w:rsidRDefault="00743CDC">
    <w:pPr>
      <w:pStyle w:val="Footer"/>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39873" w14:textId="77777777" w:rsidR="00C92B12" w:rsidRDefault="00C92B12" w:rsidP="00743CDC">
      <w:r>
        <w:separator/>
      </w:r>
    </w:p>
  </w:footnote>
  <w:footnote w:type="continuationSeparator" w:id="0">
    <w:p w14:paraId="603F7B1E" w14:textId="77777777" w:rsidR="00C92B12" w:rsidRDefault="00C92B12" w:rsidP="00743CD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FA1"/>
    <w:rsid w:val="000366C2"/>
    <w:rsid w:val="000830C0"/>
    <w:rsid w:val="000A2E5D"/>
    <w:rsid w:val="000B2754"/>
    <w:rsid w:val="00103B1D"/>
    <w:rsid w:val="00117F4C"/>
    <w:rsid w:val="001275D7"/>
    <w:rsid w:val="00170074"/>
    <w:rsid w:val="001953B8"/>
    <w:rsid w:val="001A77E5"/>
    <w:rsid w:val="00214AC0"/>
    <w:rsid w:val="00223EBC"/>
    <w:rsid w:val="0025391B"/>
    <w:rsid w:val="002C6CD0"/>
    <w:rsid w:val="002D4E31"/>
    <w:rsid w:val="002D5C12"/>
    <w:rsid w:val="002E2F24"/>
    <w:rsid w:val="002E6D00"/>
    <w:rsid w:val="0031145E"/>
    <w:rsid w:val="003558DF"/>
    <w:rsid w:val="00377499"/>
    <w:rsid w:val="00384501"/>
    <w:rsid w:val="003D0611"/>
    <w:rsid w:val="003E00AA"/>
    <w:rsid w:val="003E77AE"/>
    <w:rsid w:val="003F52DF"/>
    <w:rsid w:val="003F651B"/>
    <w:rsid w:val="00450328"/>
    <w:rsid w:val="004845F0"/>
    <w:rsid w:val="004D1FAC"/>
    <w:rsid w:val="00537034"/>
    <w:rsid w:val="00550C91"/>
    <w:rsid w:val="005963A9"/>
    <w:rsid w:val="005F3056"/>
    <w:rsid w:val="00606694"/>
    <w:rsid w:val="00665E05"/>
    <w:rsid w:val="00691E6A"/>
    <w:rsid w:val="006A0260"/>
    <w:rsid w:val="006C468A"/>
    <w:rsid w:val="006D0FB2"/>
    <w:rsid w:val="007202CF"/>
    <w:rsid w:val="00743CDC"/>
    <w:rsid w:val="007807A7"/>
    <w:rsid w:val="008040AD"/>
    <w:rsid w:val="008619B9"/>
    <w:rsid w:val="00873F32"/>
    <w:rsid w:val="008C3CFC"/>
    <w:rsid w:val="009138FB"/>
    <w:rsid w:val="0093624A"/>
    <w:rsid w:val="00942C9E"/>
    <w:rsid w:val="009E0BD4"/>
    <w:rsid w:val="00A06282"/>
    <w:rsid w:val="00A14C46"/>
    <w:rsid w:val="00A35238"/>
    <w:rsid w:val="00A70DFE"/>
    <w:rsid w:val="00A77B3E"/>
    <w:rsid w:val="00A90804"/>
    <w:rsid w:val="00A90C8E"/>
    <w:rsid w:val="00A92B68"/>
    <w:rsid w:val="00A95A16"/>
    <w:rsid w:val="00AD16F4"/>
    <w:rsid w:val="00AE116A"/>
    <w:rsid w:val="00B055A1"/>
    <w:rsid w:val="00B63966"/>
    <w:rsid w:val="00B718DB"/>
    <w:rsid w:val="00B84560"/>
    <w:rsid w:val="00B937CA"/>
    <w:rsid w:val="00BC138E"/>
    <w:rsid w:val="00C06A33"/>
    <w:rsid w:val="00C7696E"/>
    <w:rsid w:val="00C92B12"/>
    <w:rsid w:val="00C96151"/>
    <w:rsid w:val="00CA2A55"/>
    <w:rsid w:val="00CF33BC"/>
    <w:rsid w:val="00D16F00"/>
    <w:rsid w:val="00E05170"/>
    <w:rsid w:val="00E06950"/>
    <w:rsid w:val="00E76847"/>
    <w:rsid w:val="00E778D4"/>
    <w:rsid w:val="00EE6DFC"/>
    <w:rsid w:val="00EF61D3"/>
    <w:rsid w:val="00F00810"/>
    <w:rsid w:val="00F05AB6"/>
    <w:rsid w:val="00F815E4"/>
    <w:rsid w:val="00FF1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8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annotation subjec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style>
  <w:style w:type="paragraph" w:styleId="Header">
    <w:name w:val="header"/>
    <w:basedOn w:val="Normal"/>
    <w:link w:val="HeaderChar"/>
    <w:unhideWhenUsed/>
    <w:rsid w:val="00743C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43CDC"/>
    <w:rPr>
      <w:sz w:val="18"/>
      <w:szCs w:val="18"/>
    </w:rPr>
  </w:style>
  <w:style w:type="paragraph" w:styleId="Footer">
    <w:name w:val="footer"/>
    <w:basedOn w:val="Normal"/>
    <w:link w:val="FooterChar"/>
    <w:uiPriority w:val="99"/>
    <w:unhideWhenUsed/>
    <w:rsid w:val="00743CD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43CDC"/>
    <w:rPr>
      <w:sz w:val="18"/>
      <w:szCs w:val="18"/>
    </w:rPr>
  </w:style>
  <w:style w:type="character" w:styleId="CommentReference">
    <w:name w:val="annotation reference"/>
    <w:basedOn w:val="DefaultParagraphFont"/>
    <w:uiPriority w:val="99"/>
    <w:semiHidden/>
    <w:unhideWhenUsed/>
    <w:rsid w:val="002D4E31"/>
    <w:rPr>
      <w:sz w:val="21"/>
      <w:szCs w:val="21"/>
    </w:rPr>
  </w:style>
  <w:style w:type="paragraph" w:styleId="CommentText">
    <w:name w:val="annotation text"/>
    <w:basedOn w:val="Normal"/>
    <w:link w:val="CommentTextChar"/>
    <w:uiPriority w:val="99"/>
    <w:unhideWhenUsed/>
    <w:rsid w:val="002D4E31"/>
  </w:style>
  <w:style w:type="character" w:customStyle="1" w:styleId="CommentTextChar">
    <w:name w:val="Comment Text Char"/>
    <w:basedOn w:val="DefaultParagraphFont"/>
    <w:link w:val="CommentText"/>
    <w:uiPriority w:val="99"/>
    <w:rsid w:val="002D4E31"/>
    <w:rPr>
      <w:sz w:val="24"/>
      <w:szCs w:val="24"/>
    </w:rPr>
  </w:style>
  <w:style w:type="paragraph" w:styleId="CommentSubject">
    <w:name w:val="annotation subject"/>
    <w:basedOn w:val="CommentText"/>
    <w:next w:val="CommentText"/>
    <w:link w:val="CommentSubjectChar"/>
    <w:uiPriority w:val="99"/>
    <w:semiHidden/>
    <w:unhideWhenUsed/>
    <w:rsid w:val="002D4E31"/>
    <w:rPr>
      <w:b/>
      <w:bCs/>
    </w:rPr>
  </w:style>
  <w:style w:type="character" w:customStyle="1" w:styleId="CommentSubjectChar">
    <w:name w:val="Comment Subject Char"/>
    <w:basedOn w:val="CommentTextChar"/>
    <w:link w:val="CommentSubject"/>
    <w:uiPriority w:val="99"/>
    <w:semiHidden/>
    <w:rsid w:val="002D4E31"/>
    <w:rPr>
      <w:b/>
      <w:bCs/>
      <w:sz w:val="24"/>
      <w:szCs w:val="24"/>
    </w:rPr>
  </w:style>
  <w:style w:type="table" w:styleId="TableGrid">
    <w:name w:val="Table Grid"/>
    <w:basedOn w:val="TableNormal"/>
    <w:uiPriority w:val="39"/>
    <w:rsid w:val="00012FA1"/>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0C91"/>
    <w:rPr>
      <w:sz w:val="24"/>
      <w:szCs w:val="24"/>
    </w:rPr>
  </w:style>
  <w:style w:type="paragraph" w:styleId="BalloonText">
    <w:name w:val="Balloon Text"/>
    <w:basedOn w:val="Normal"/>
    <w:link w:val="BalloonTextChar"/>
    <w:rsid w:val="008C3CFC"/>
    <w:rPr>
      <w:rFonts w:ascii="Tahoma" w:hAnsi="Tahoma" w:cs="Tahoma"/>
      <w:sz w:val="16"/>
      <w:szCs w:val="16"/>
    </w:rPr>
  </w:style>
  <w:style w:type="character" w:customStyle="1" w:styleId="BalloonTextChar">
    <w:name w:val="Balloon Text Char"/>
    <w:basedOn w:val="DefaultParagraphFont"/>
    <w:link w:val="BalloonText"/>
    <w:rsid w:val="008C3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annotation subjec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style>
  <w:style w:type="paragraph" w:styleId="Header">
    <w:name w:val="header"/>
    <w:basedOn w:val="Normal"/>
    <w:link w:val="HeaderChar"/>
    <w:unhideWhenUsed/>
    <w:rsid w:val="00743C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43CDC"/>
    <w:rPr>
      <w:sz w:val="18"/>
      <w:szCs w:val="18"/>
    </w:rPr>
  </w:style>
  <w:style w:type="paragraph" w:styleId="Footer">
    <w:name w:val="footer"/>
    <w:basedOn w:val="Normal"/>
    <w:link w:val="FooterChar"/>
    <w:uiPriority w:val="99"/>
    <w:unhideWhenUsed/>
    <w:rsid w:val="00743CD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43CDC"/>
    <w:rPr>
      <w:sz w:val="18"/>
      <w:szCs w:val="18"/>
    </w:rPr>
  </w:style>
  <w:style w:type="character" w:styleId="CommentReference">
    <w:name w:val="annotation reference"/>
    <w:basedOn w:val="DefaultParagraphFont"/>
    <w:uiPriority w:val="99"/>
    <w:semiHidden/>
    <w:unhideWhenUsed/>
    <w:rsid w:val="002D4E31"/>
    <w:rPr>
      <w:sz w:val="21"/>
      <w:szCs w:val="21"/>
    </w:rPr>
  </w:style>
  <w:style w:type="paragraph" w:styleId="CommentText">
    <w:name w:val="annotation text"/>
    <w:basedOn w:val="Normal"/>
    <w:link w:val="CommentTextChar"/>
    <w:uiPriority w:val="99"/>
    <w:unhideWhenUsed/>
    <w:rsid w:val="002D4E31"/>
  </w:style>
  <w:style w:type="character" w:customStyle="1" w:styleId="CommentTextChar">
    <w:name w:val="Comment Text Char"/>
    <w:basedOn w:val="DefaultParagraphFont"/>
    <w:link w:val="CommentText"/>
    <w:uiPriority w:val="99"/>
    <w:rsid w:val="002D4E31"/>
    <w:rPr>
      <w:sz w:val="24"/>
      <w:szCs w:val="24"/>
    </w:rPr>
  </w:style>
  <w:style w:type="paragraph" w:styleId="CommentSubject">
    <w:name w:val="annotation subject"/>
    <w:basedOn w:val="CommentText"/>
    <w:next w:val="CommentText"/>
    <w:link w:val="CommentSubjectChar"/>
    <w:uiPriority w:val="99"/>
    <w:semiHidden/>
    <w:unhideWhenUsed/>
    <w:rsid w:val="002D4E31"/>
    <w:rPr>
      <w:b/>
      <w:bCs/>
    </w:rPr>
  </w:style>
  <w:style w:type="character" w:customStyle="1" w:styleId="CommentSubjectChar">
    <w:name w:val="Comment Subject Char"/>
    <w:basedOn w:val="CommentTextChar"/>
    <w:link w:val="CommentSubject"/>
    <w:uiPriority w:val="99"/>
    <w:semiHidden/>
    <w:rsid w:val="002D4E31"/>
    <w:rPr>
      <w:b/>
      <w:bCs/>
      <w:sz w:val="24"/>
      <w:szCs w:val="24"/>
    </w:rPr>
  </w:style>
  <w:style w:type="table" w:styleId="TableGrid">
    <w:name w:val="Table Grid"/>
    <w:basedOn w:val="TableNormal"/>
    <w:uiPriority w:val="39"/>
    <w:rsid w:val="00012FA1"/>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0C91"/>
    <w:rPr>
      <w:sz w:val="24"/>
      <w:szCs w:val="24"/>
    </w:rPr>
  </w:style>
  <w:style w:type="paragraph" w:styleId="BalloonText">
    <w:name w:val="Balloon Text"/>
    <w:basedOn w:val="Normal"/>
    <w:link w:val="BalloonTextChar"/>
    <w:rsid w:val="008C3CFC"/>
    <w:rPr>
      <w:rFonts w:ascii="Tahoma" w:hAnsi="Tahoma" w:cs="Tahoma"/>
      <w:sz w:val="16"/>
      <w:szCs w:val="16"/>
    </w:rPr>
  </w:style>
  <w:style w:type="character" w:customStyle="1" w:styleId="BalloonTextChar">
    <w:name w:val="Balloon Text Char"/>
    <w:basedOn w:val="DefaultParagraphFont"/>
    <w:link w:val="BalloonText"/>
    <w:rsid w:val="008C3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20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4864</Words>
  <Characters>27730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Deven Juneja</dc:creator>
  <cp:lastModifiedBy>jrw</cp:lastModifiedBy>
  <cp:revision>2</cp:revision>
  <dcterms:created xsi:type="dcterms:W3CDTF">2023-06-21T09:08:00Z</dcterms:created>
  <dcterms:modified xsi:type="dcterms:W3CDTF">2023-06-21T09:08:00Z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16c1057cbe0d86fa4fd1b444216db14eee5d881e4405c8cee41e9a74f2f436e9</vt:lpwstr>
  </property>
</Properties>
</file>