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85470</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Epithelioid malignant peripheral nerve sheath tumor of the bladder and concomitant urothelial carcinoma: A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0" w:name="OLE_LINK1"/>
      <w:bookmarkStart w:id="1" w:name="OLE_LINK2"/>
      <w:r>
        <w:rPr>
          <w:rFonts w:ascii="Book Antiqua" w:hAnsi="Book Antiqua" w:eastAsia="Book Antiqua" w:cs="Book Antiqua"/>
          <w:color w:val="000000"/>
        </w:rPr>
        <w:t xml:space="preserve">Ozden SB </w:t>
      </w:r>
      <w:r>
        <w:rPr>
          <w:rFonts w:ascii="Book Antiqua" w:hAnsi="Book Antiqua" w:eastAsia="Book Antiqua" w:cs="Book Antiqua"/>
          <w:i/>
          <w:color w:val="000000"/>
        </w:rPr>
        <w:t>et al</w:t>
      </w:r>
      <w:r>
        <w:rPr>
          <w:rFonts w:ascii="Book Antiqua" w:hAnsi="Book Antiqua" w:eastAsia="Book Antiqua" w:cs="Book Antiqua"/>
          <w:color w:val="000000"/>
        </w:rPr>
        <w:t xml:space="preserve">. </w:t>
      </w:r>
      <w:r>
        <w:rPr>
          <w:rFonts w:ascii="Book Antiqua" w:hAnsi="Book Antiqua" w:eastAsia="Book Antiqua" w:cs="Book Antiqua"/>
        </w:rPr>
        <w:t>Bladder EMPNST</w:t>
      </w:r>
      <w:r>
        <w:rPr>
          <w:rFonts w:ascii="Book Antiqua" w:hAnsi="Book Antiqua"/>
        </w:rPr>
        <w:t xml:space="preserve"> </w:t>
      </w:r>
      <w:r>
        <w:rPr>
          <w:rFonts w:ascii="Book Antiqua" w:hAnsi="Book Antiqua" w:eastAsia="Book Antiqua" w:cs="Book Antiqua"/>
        </w:rPr>
        <w:t>and concomitant urothelial carcinoma</w:t>
      </w:r>
    </w:p>
    <w:bookmarkEnd w:id="0"/>
    <w:bookmarkEnd w:id="1"/>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color w:val="000000"/>
        </w:rPr>
        <w:t>Sami Berk Ozden, Muhammed Fatih Simsekoglu, Ipek Sertbudak, Cetin Demirdag, Iclal Gurses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Sami Berk Ozden, Muhammed Fatih Simsekoglu, Cetin Demirdag, </w:t>
      </w:r>
      <w:r>
        <w:rPr>
          <w:rFonts w:ascii="Book Antiqua" w:hAnsi="Book Antiqua" w:eastAsia="Book Antiqua" w:cs="Book Antiqua"/>
          <w:color w:val="000000"/>
        </w:rPr>
        <w:t>Istanbul University-Cerrahpasa, Cerrahpasa School of Medicine Department of Urology, Istanbul 34100, Fatih, Turkey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Ipek Sertbudak, Iclal Gurses, </w:t>
      </w:r>
      <w:r>
        <w:rPr>
          <w:rFonts w:ascii="Book Antiqua" w:hAnsi="Book Antiqua" w:eastAsia="Book Antiqua" w:cs="Book Antiqua"/>
          <w:color w:val="000000"/>
        </w:rPr>
        <w:t>Istanbul University-Cerrahpasa, Cerrahpasa School of Medicine Department of Pathology, Istanbul 34100, Fatih, Turkey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Demirdag C was head surgeon; Gurses I was head pathologist; Ozden SB wrote the manuscript; Sertbudak I constructed the study design; Şimşekoğlu MF revised the text and collected patient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Sami Berk Ozden, MD, Academic Research, Researcher, </w:t>
      </w:r>
      <w:r>
        <w:rPr>
          <w:rFonts w:ascii="Book Antiqua" w:hAnsi="Book Antiqua" w:eastAsia="Book Antiqua" w:cs="Book Antiqua"/>
          <w:color w:val="000000"/>
        </w:rPr>
        <w:t>Istanbul University-Cerrahpasa, Cerrahpasa School of Medicine Department of Urology, Cerrahpaşa Tıp Fakültesi Yerleşkesi Kocamustafapaşa Caddesi No: 53 Cerrahpaşa 34098 Fatih/İstanbul, Istanbul 34100, Fatih, Turkey. s.berkozden@gmail.com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April 28,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August 8,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August 17,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January 26,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 xml:space="preserve">Epithelioid malignant peripheral nerve sheath tumor (EMPNST) of the bladder is a rare entity with devastating features. These tumors are thought to originate from malignant transformation of pre-existing schwannomas of pelvic autonomic nerve plexuses, and unlike the conventional malignant peripheral nerve sheath tumor (MPNST), are not associated with neurofibromatosis. The tumor has distinctive morphological, immunohistochemical and molecular features. Additionally, it tends to be more aggressive and have a higher mortality. This is the first case that presents with a synchronous urothelial carcinoma of the bladder and the epithelioid variant of MPNST in the literature. It’s also the second reported case of EMPNST originating from the bladder wall.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In this case report, we present the detailed clinical course of a 71-year-old patient with EMPNST of the bladder alongside a literature 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During the management of EMPNST cases, offering aggressive treatment modalities to the patient, such as radical cystectomy, is appropriate for the best chance to contain the disease, regardless of the tumor stage and the extent of local disease at initial diagnosis.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 xml:space="preserve">Epithelioid; Peripheral nerve sheath tumor; Bladder; Case report; Urothelial; </w:t>
      </w:r>
      <w:r>
        <w:rPr>
          <w:rFonts w:ascii="Book Antiqua" w:hAnsi="Book Antiqua" w:eastAsia="Book Antiqua" w:cs="Book Antiqua"/>
          <w:color w:val="000000"/>
        </w:rPr>
        <w:t>Cystoprostatectomy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Ozden SB, Simsekoglu MF, Sertbudak I, Demirdag C, Gurses I. Epithelioid malignant peripheral nerve sheath tumor of the bladder and concomitant urothelial carcinoma: A case report. </w:t>
      </w:r>
      <w:r>
        <w:rPr>
          <w:rFonts w:ascii="Book Antiqua" w:hAnsi="Book Antiqua" w:eastAsia="Book Antiqua" w:cs="Book Antiqua"/>
          <w:i/>
          <w:iCs/>
        </w:rPr>
        <w:t>World J Clin Cases</w:t>
      </w:r>
      <w:r>
        <w:rPr>
          <w:rFonts w:ascii="Book Antiqua" w:hAnsi="Book Antiqua" w:eastAsia="Book Antiqua" w:cs="Book Antiqua"/>
        </w:rPr>
        <w:t xml:space="preserve"> 202</w:t>
      </w:r>
      <w:r>
        <w:rPr>
          <w:rFonts w:hint="eastAsia" w:ascii="Book Antiqua" w:hAnsi="Book Antiqua" w:eastAsia="宋体" w:cs="Book Antiqua"/>
          <w:lang w:val="en-US" w:eastAsia="zh-CN"/>
        </w:rPr>
        <w:t>4</w:t>
      </w:r>
      <w:r>
        <w:rPr>
          <w:rFonts w:ascii="Book Antiqua" w:hAnsi="Book Antiqua" w:eastAsia="Book Antiqua" w:cs="Book Antiqua"/>
        </w:rPr>
        <w:t>; 12(</w:t>
      </w:r>
      <w:r>
        <w:rPr>
          <w:rFonts w:hint="eastAsia" w:ascii="Book Antiqua" w:hAnsi="Book Antiqua" w:eastAsia="宋体" w:cs="Book Antiqua"/>
          <w:lang w:val="en-US" w:eastAsia="zh-CN"/>
        </w:rPr>
        <w:t>3</w:t>
      </w:r>
      <w:r>
        <w:rPr>
          <w:rFonts w:ascii="Book Antiqua" w:hAnsi="Book Antiqua" w:eastAsia="Book Antiqua" w:cs="Book Antiqua"/>
        </w:rPr>
        <w:t xml:space="preserve">): </w:t>
      </w:r>
      <w:r>
        <w:rPr>
          <w:rStyle w:val="16"/>
          <w:rFonts w:hint="default" w:ascii="Book Antiqua" w:hAnsi="Book Antiqua" w:eastAsia="宋体" w:cs="Book Antiqua"/>
          <w:sz w:val="24"/>
          <w:szCs w:val="24"/>
          <w:lang w:val="en-US" w:eastAsia="zh-CN" w:bidi="ar"/>
        </w:rPr>
        <w:t>551-559</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https://www.wjgnet.com/2307-8960/full/v12/i</w:t>
      </w:r>
      <w:r>
        <w:rPr>
          <w:rFonts w:hint="eastAsia" w:ascii="Book Antiqua" w:hAnsi="Book Antiqua" w:eastAsia="宋体" w:cs="Book Antiqua"/>
          <w:lang w:val="en-US" w:eastAsia="zh-CN"/>
        </w:rPr>
        <w:t>3</w:t>
      </w:r>
      <w:r>
        <w:rPr>
          <w:rFonts w:ascii="Book Antiqua" w:hAnsi="Book Antiqua" w:eastAsia="Book Antiqua" w:cs="Book Antiqua"/>
        </w:rPr>
        <w:t>/</w:t>
      </w:r>
      <w:r>
        <w:rPr>
          <w:rStyle w:val="16"/>
          <w:rFonts w:hint="default" w:ascii="Book Antiqua" w:hAnsi="Book Antiqua" w:eastAsia="宋体" w:cs="Book Antiqua"/>
          <w:sz w:val="24"/>
          <w:szCs w:val="24"/>
          <w:lang w:val="en-US" w:eastAsia="zh-CN" w:bidi="ar"/>
        </w:rPr>
        <w:t>551</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https://dx.doi.org/10.12998/wjcc.v12.i</w:t>
      </w:r>
      <w:r>
        <w:rPr>
          <w:rFonts w:hint="eastAsia" w:ascii="Book Antiqua" w:hAnsi="Book Antiqua" w:eastAsia="宋体" w:cs="Book Antiqua"/>
          <w:lang w:val="en-US" w:eastAsia="zh-CN"/>
        </w:rPr>
        <w:t>3</w:t>
      </w:r>
      <w:r>
        <w:rPr>
          <w:rFonts w:ascii="Book Antiqua" w:hAnsi="Book Antiqua" w:eastAsia="Book Antiqua" w:cs="Book Antiqua"/>
        </w:rPr>
        <w:t>.</w:t>
      </w:r>
      <w:r>
        <w:rPr>
          <w:rStyle w:val="16"/>
          <w:rFonts w:hint="default" w:ascii="Book Antiqua" w:hAnsi="Book Antiqua" w:eastAsia="宋体" w:cs="Book Antiqua"/>
          <w:sz w:val="24"/>
          <w:szCs w:val="24"/>
          <w:lang w:val="en-US" w:eastAsia="zh-CN" w:bidi="ar"/>
        </w:rPr>
        <w:t>551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In this case report, we describe a patient diagnosed with epithelioid variant of malignant peripheral nerve sheath tumor of the bladder wall after thorough pathologic examination. The case is noteworthy, as it is the second reported case that provides information regarding the patient’s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Malignant peripheral nerve sheath tumors (MPNSTs) are sarcomas that originate from peripheral nerves from a pre-existing benign nerve sheath tumor or seldomly from a neurofibroma in neurofibromatosis type 1 (NF1) patients</w:t>
      </w:r>
      <w:r>
        <w:rPr>
          <w:rFonts w:ascii="Book Antiqua" w:hAnsi="Book Antiqua" w:eastAsia="Book Antiqua" w:cs="Book Antiqua"/>
          <w:color w:val="000000"/>
          <w:vertAlign w:val="superscript"/>
        </w:rPr>
        <w:t>[1]</w:t>
      </w:r>
      <w:r>
        <w:rPr>
          <w:rFonts w:ascii="Book Antiqua" w:hAnsi="Book Antiqua" w:eastAsia="Book Antiqua" w:cs="Book Antiqua"/>
          <w:color w:val="000000"/>
        </w:rPr>
        <w:t>. In the absence of these settings, particularly in sporadic de novo or radiotherapy-associated tumors, the diagnosis is based on the histological and immunohistochemical features suggesting Schwannian differentiation</w:t>
      </w:r>
      <w:r>
        <w:rPr>
          <w:rFonts w:ascii="Book Antiqua" w:hAnsi="Book Antiqua" w:eastAsia="Book Antiqua" w:cs="Book Antiqua"/>
          <w:color w:val="000000"/>
          <w:vertAlign w:val="superscript"/>
        </w:rPr>
        <w:t>[2]</w:t>
      </w:r>
      <w:r>
        <w:rPr>
          <w:rFonts w:ascii="Book Antiqua" w:hAnsi="Book Antiqua" w:eastAsia="Book Antiqua" w:cs="Book Antiqua"/>
          <w:color w:val="000000"/>
        </w:rPr>
        <w:t>. The incidence of the neoplasm is thought to be 0.001 percent in the general population</w:t>
      </w:r>
      <w:r>
        <w:rPr>
          <w:rFonts w:ascii="Book Antiqua" w:hAnsi="Book Antiqua" w:eastAsia="Book Antiqua" w:cs="Book Antiqua"/>
          <w:color w:val="000000"/>
          <w:vertAlign w:val="superscript"/>
        </w:rPr>
        <w:t>[3]</w:t>
      </w:r>
      <w:r>
        <w:rPr>
          <w:rFonts w:ascii="Book Antiqua" w:hAnsi="Book Antiqua" w:eastAsia="Book Antiqua" w:cs="Book Antiqua"/>
          <w:color w:val="000000"/>
        </w:rPr>
        <w:t>. Epithelioid variant of the MPNST (EMPNST) is a rare subtype of MPNST with distinctive morphological, immunohistochemical and molecular changes</w:t>
      </w:r>
      <w:r>
        <w:rPr>
          <w:rFonts w:ascii="Book Antiqua" w:hAnsi="Book Antiqua" w:eastAsia="Book Antiqua" w:cs="Book Antiqua"/>
          <w:color w:val="000000"/>
          <w:vertAlign w:val="superscript"/>
        </w:rPr>
        <w:t>[4]</w:t>
      </w:r>
      <w:r>
        <w:rPr>
          <w:rFonts w:ascii="Book Antiqua" w:hAnsi="Book Antiqua" w:eastAsia="Book Antiqua" w:cs="Book Antiqua"/>
          <w:color w:val="000000"/>
        </w:rPr>
        <w:t>. Among the MPNST subtypes, EMPNST occurs in approximately 5% of cases and has only been reported as case series</w:t>
      </w:r>
      <w:r>
        <w:rPr>
          <w:rFonts w:ascii="Book Antiqua" w:hAnsi="Book Antiqua" w:eastAsia="Book Antiqua" w:cs="Book Antiqua"/>
          <w:color w:val="000000"/>
          <w:vertAlign w:val="superscript"/>
        </w:rPr>
        <w:t>[4]</w:t>
      </w:r>
      <w:r>
        <w:rPr>
          <w:rFonts w:ascii="Book Antiqua" w:hAnsi="Book Antiqua" w:eastAsia="Book Antiqua" w:cs="Book Antiqua"/>
          <w:color w:val="000000"/>
        </w:rPr>
        <w:t>. Because of its rarity, there are no high-volume studies that clearly report the disease characteristics. Although it is hard to make solid statements regarding the course of the disease, there are strong clinical opinions supported by observation. In contrast to conventional MPNST, EMPNST is not associated with neurofibromatosis. It is thought to originate from the malignant transformation of pre-existing epithelioid schwannomas of deep neural tissues with loss of genes like SMARCB/INI1</w:t>
      </w:r>
      <w:r>
        <w:rPr>
          <w:rFonts w:ascii="Book Antiqua" w:hAnsi="Book Antiqua" w:eastAsia="Book Antiqua" w:cs="Book Antiqua"/>
          <w:color w:val="000000"/>
          <w:vertAlign w:val="superscript"/>
        </w:rPr>
        <w:t>[5,6]</w:t>
      </w:r>
      <w:r>
        <w:rPr>
          <w:rFonts w:ascii="Book Antiqua" w:hAnsi="Book Antiqua" w:eastAsia="Book Antiqua" w:cs="Book Antiqua"/>
          <w:color w:val="000000"/>
        </w:rPr>
        <w:t>. EMPNSTs rarely have genetic alterations in the neurofibromin (NF1), p16/p15 (CDKN2A/CDKN2B), and PRC2 pathways. EMPNST typically shows diffuse strong staining with S100 and SOX10 in contrast to conventional MPNST</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w:t>
      </w:r>
      <w:r>
        <w:rPr>
          <w:rFonts w:ascii="Book Antiqua" w:hAnsi="Book Antiqua" w:eastAsia="Book Antiqua" w:cs="Book Antiqua"/>
          <w:i/>
          <w:color w:val="000000"/>
        </w:rPr>
        <w:t>SMARCB1</w:t>
      </w:r>
      <w:r>
        <w:rPr>
          <w:rFonts w:ascii="Book Antiqua" w:hAnsi="Book Antiqua" w:eastAsia="Book Antiqua" w:cs="Book Antiqua"/>
          <w:color w:val="000000"/>
        </w:rPr>
        <w:t xml:space="preserve"> gene inactivation resulting in SMARCB1 loss by immunohistochemistry is observed in approximately 75% of cases</w:t>
      </w:r>
      <w:r>
        <w:rPr>
          <w:rFonts w:ascii="Book Antiqua" w:hAnsi="Book Antiqua" w:eastAsia="Book Antiqua" w:cs="Book Antiqua"/>
          <w:color w:val="000000"/>
          <w:vertAlign w:val="superscript"/>
        </w:rPr>
        <w:t>[6]</w:t>
      </w:r>
      <w:r>
        <w:rPr>
          <w:rFonts w:ascii="Book Antiqua" w:hAnsi="Book Antiqua" w:eastAsia="Book Antiqua" w:cs="Book Antiqua"/>
          <w:color w:val="000000"/>
        </w:rPr>
        <w:t>. In addition, EMPNSTs tend to be more aggressive and have higher mortality</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first case published on this specific neoplasm was described to have a non-neoplastic bladder mucosa and occurred as an isolated EMPNST</w:t>
      </w:r>
      <w:r>
        <w:rPr>
          <w:rFonts w:ascii="Book Antiqua" w:hAnsi="Book Antiqua" w:eastAsia="Book Antiqua" w:cs="Book Antiqua"/>
          <w:color w:val="000000"/>
          <w:vertAlign w:val="superscript"/>
        </w:rPr>
        <w:t>[8]</w:t>
      </w:r>
      <w:r>
        <w:rPr>
          <w:rFonts w:ascii="Book Antiqua" w:hAnsi="Book Antiqua" w:eastAsia="Book Antiqua" w:cs="Book Antiqua"/>
          <w:color w:val="000000"/>
        </w:rPr>
        <w:t>. Our case is unique, as it is the first case that presents with a synchronous urothelial carcinoma of the bladder and the epithelioid variant of MPNST in the literature. It is also the second EMPNST case reported originating from the bladder wall.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71-year-old elderly patient presenting with 1 mo of painless intermittent macroscopic hematuria with a history of the frequency with intermittency was admitted to our outpatient clinic. The patient was an ex-smoker (50 pack/year) and had diabetes and chronic kidney disease. He was on routine surveillance for an incidental tubulo-villous adenoma on the sigmoid colon by our general surgery department. The patient had no history of a previous radiotherapy or neurofibromatosis disease.</w:t>
      </w:r>
    </w:p>
    <w:p>
      <w:pPr>
        <w:spacing w:line="360" w:lineRule="auto"/>
        <w:ind w:firstLine="480" w:firstLineChars="200"/>
        <w:jc w:val="both"/>
        <w:rPr>
          <w:rFonts w:ascii="Book Antiqua" w:hAnsi="Book Antiqua"/>
        </w:rPr>
      </w:pPr>
      <w:r>
        <w:rPr>
          <w:rFonts w:ascii="Book Antiqua" w:hAnsi="Book Antiqua" w:eastAsia="Book Antiqua" w:cs="Book Antiqua"/>
          <w:color w:val="000000"/>
        </w:rPr>
        <w:t>On physical examination, there was no remarkable finding during the inspection. No skin lesions (neurofibromas, café-au-lait spots) were noted. On digital rectal examination, prostate was found to be moderately enlarged with no stiffness or irregularities. Blood samples were collected at admission; the prostate-specific antigen (PSA) level (2.46 ng/mL) was within normal range (0-4 ng/mL), while the levels of blood urea nitrogen (BUN) (69 mg/dL; normal range: 10-50 mg/dL) and creatinine (1.30 mg/dL; normal range: 0.3-1.1 mg/dL) were elevated. The collected urine sample revealed microscopic hematuria (33 erythrocyte/hpf; normal range: 0-5 erythrocyte/hpf).</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urinary ultrasound scan was conducted revealing a diverticulum with a 45 mm × 35 mm diameter harboring a suspicious papillary projection with a dimension of 30 mm × 20 mm on the posterior bladder wall. A prompt cystoscopy was performed revealing one papillary lesion with a 30 mm × 30 mm diameter on the prementioned diverticulum wall and another 10 mm × 10 mm lesion on the right posterolateral bladder wall. Transurethral resection of bladder tumor (TURBT) was performed on both lesions. Because one of the lesions was located on the diverticulum wall, the resection was performed superficially. On pathological evaluation, both resection materials were found to be non-invasive low grade papillary urothelial carcinoma (</w:t>
      </w:r>
      <w:r>
        <w:rPr>
          <w:rFonts w:ascii="Book Antiqua" w:hAnsi="Book Antiqua" w:eastAsia="Book Antiqua" w:cs="Book Antiqua"/>
          <w:bCs/>
          <w:color w:val="000000"/>
        </w:rPr>
        <w:t>Figure 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After the initial procedure, the patient’s hematuria regressed. The patient then underwent a routine control cystoscopy session 3 mo after the primary resection. Suspicious papillary projections on both old resection sites and in proximity to the right ureteric orifice were identified. Complete resection was performed with respective deep resection biopsies. On pathological examination, both lesions had non-invasive low grade papillary urothelial carcinoma. The tissue sample resected near the right ureteric orifice was found to have atypical mesenchymal cell infiltration in the lamina propria. The cells stained positive with S100, SOX10 and vimentin, suggesting that the cells had a neural origin (</w:t>
      </w:r>
      <w:r>
        <w:rPr>
          <w:rFonts w:ascii="Book Antiqua" w:hAnsi="Book Antiqua" w:eastAsia="Book Antiqua" w:cs="Book Antiqua"/>
          <w:bCs/>
          <w:color w:val="000000"/>
        </w:rPr>
        <w:t>Figure 1</w:t>
      </w:r>
      <w:r>
        <w:rPr>
          <w:rFonts w:ascii="Book Antiqua" w:hAnsi="Book Antiqua" w:eastAsia="Book Antiqua" w:cs="Book Antiqua"/>
          <w:color w:val="000000"/>
        </w:rPr>
        <w:t>). The blood sample was sent to our Genetics department for NF-1 mutation analysis, but it was not detected on fluorescent in situ hybridization.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re-TURBT was planned 2 wk later for the proper reassessment of the tumor. However, due to lack of adherence by the patient, it was performed 4 mo later. The patient had weight loss and intermittent hematuria with clot passage during the time span. On cystoscopic examination, suspicious bladder wall irregularities including diffuse solid lesions protruding into the bladder lumen were observed in a 5 cm × 5 cm area extending from one lateral wall to the other, including the bladder trigone. An incomplete resection could have been performed due to the tumor size. Microscopically, the tumor comprised a relatively uniform but clearly atypical population of epithelioid cells and a smaller proportion of fascicle-forming spindle cells. The epithelioid tumor cell population showed a multilobular growth pattern with lobules, nests and cords surrounded by fibrous and focal myxoid stroma. The polygonal tumor cells had round vesicular nuclei, prominent nucleoli and abundant pale eosinophilic to amphophilic cytoplasm. Mitotic rate was 42/10 HPF and atypical mitotic figures were seen. Necrosis was present. The background was occasionally infiltrated with neutrophils. The tumor was highly dedifferentiated and was in concordance with grade 3 sarcoma according to FNCLCC (Fédération Nationale des Centres de Lutte Contre le Cancer) sarcoma grading system</w:t>
      </w:r>
      <w:r>
        <w:rPr>
          <w:rFonts w:ascii="Book Antiqua" w:hAnsi="Book Antiqua" w:eastAsia="Book Antiqua" w:cs="Book Antiqua"/>
          <w:color w:val="000000"/>
          <w:vertAlign w:val="superscript"/>
        </w:rPr>
        <w:t>[9]</w:t>
      </w:r>
      <w:r>
        <w:rPr>
          <w:rFonts w:ascii="Book Antiqua" w:hAnsi="Book Antiqua" w:eastAsia="Book Antiqua" w:cs="Book Antiqua"/>
          <w:color w:val="000000"/>
        </w:rPr>
        <w:t>. Immunohistochemically, the tumor cells showed strong and diffuse staining for S100, SOX10, vimentin, p16 and focal staining for cytokeratin 7 (CK7), epithelial membrane antigen (EMA), collagen type 4 (</w:t>
      </w:r>
      <w:r>
        <w:rPr>
          <w:rFonts w:ascii="Book Antiqua" w:hAnsi="Book Antiqua" w:eastAsia="Book Antiqua" w:cs="Book Antiqua"/>
          <w:bCs/>
          <w:color w:val="000000"/>
        </w:rPr>
        <w:t>Figure 2</w:t>
      </w:r>
      <w:r>
        <w:rPr>
          <w:rFonts w:ascii="Book Antiqua" w:hAnsi="Book Antiqua" w:eastAsia="Book Antiqua" w:cs="Book Antiqua"/>
          <w:color w:val="000000"/>
        </w:rPr>
        <w:t>). There was no expression of the melanocytic markers Myo-D1, desmin, CD34, smooth muscle actin (SMA), myogenin, CD117, GATA3 or ALK. No loss of INI1 expression was observed. Ki67 proliferative index was 10%. The pathological diagnosis was in concordance with high-grade EMPNST. A sample was sent to the molecular pathology laboratory for BRAFv600 mutation analysis for evaluating the availability of novel systemic treatment agents, but it was not detected.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full body fluorodeoxyglucose positron emission tomography computed tomography (FDG-PET CT) scan was performed to rule out distant metastases and for local staging. On abdominopelvic cross-sectional images, an intrapelvic mass was bordering the posterior bladder wall and causing compression and distortion of pelvic structures. No distinctive border could be identified between the mass and the bladder wall. Increased FDG uptake on both the right external iliac and right common iliac lymph nodes was noted. An isolated paracaval lymph node just above the right iliac bifurcation had increased FDG uptake. On cross-sectional thoracal images, a nodular lesion on the right upper lobe of the lung with a 14 mm × 13 mm diameter was observed. The lesion also had nuclear material uptake, making it a candidate for metastases of the primary lesion (</w:t>
      </w:r>
      <w:r>
        <w:rPr>
          <w:rFonts w:ascii="Book Antiqua" w:hAnsi="Book Antiqua" w:eastAsia="Book Antiqua" w:cs="Book Antiqua"/>
          <w:bCs/>
          <w:color w:val="000000"/>
        </w:rPr>
        <w:t>Figure 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patient was discussed in a multidisciplinary uro-oncology meeting with the participation of urology, oncology, pathology, and radiation oncology departments. It had been decided to perform a radical cystoprostatectomy and extended lymph node resection for providing local disease control. The patient underwent radical cystoprostatectomy with ileal loop repair and bilateral ilioinguinal lymph node dissection. During the surgery, no notable adhesions, stiff tissues, or pathologic bodies along the perivesical spaces, rectovesical borders, and retropubic area were noted. These perioperative findings indicated that the tumor anatomically originated from the bladder rather than the pelvic plexuses. There were no operation-related complications during the hospital stay. The patient was discharged 7 d after the surgery following the drain removal.</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Through the pathologic examination of the cystoprostatectomy specimen, full-thickness infiltrating EMPNST into the bladder wall was identified. There was also a heterologous component (mature bone) in the focal area within the tumor. No other peripheral nerve sheath-associated tumor types (schwannoma, neurofibroma or perineuroma) were noted. In addition, acinar adenocarcinoma (Gleason score 3 + 3 = 6) was detected incidentally in the prostate. EMPNST metastases were detected in 2 of 11 right pelvic lymph nodes removed. The number of bilaterally excised lymph nodes was 18.</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 intravenous contrast-enhanced CT scan was performed 3 mo after the cystectomy. The lesion located on the apical portion of the right lung was found to be increased in diameter (13 mm ×</w:t>
      </w:r>
      <w:r>
        <w:rPr>
          <w:rFonts w:hint="eastAsia" w:ascii="Book Antiqua" w:hAnsi="Book Antiqua" w:cs="Book Antiqua"/>
          <w:color w:val="000000"/>
          <w:lang w:eastAsia="zh-CN"/>
        </w:rPr>
        <w:t xml:space="preserve"> </w:t>
      </w:r>
      <w:r>
        <w:rPr>
          <w:rFonts w:ascii="Book Antiqua" w:hAnsi="Book Antiqua" w:eastAsia="Book Antiqua" w:cs="Book Antiqua"/>
          <w:color w:val="000000"/>
        </w:rPr>
        <w:t>14 mm) and another nodular lesion with contrast uptake was added to the inferior lobe of the right lung. The patient could not receive any additional systemic therapy due to frailty. The patient passed away 4 mo after the cystectomy and 12 mo after the initial diagnosis due to emerging type 1 respiratory failure causing cardiac arrest after intensive care unit (ICU) admission.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Tubulovillous adenoma of sigmoid colon was detected prior to endourological intervention.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Patient has known diabetes and chronic kidney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was an ex-smoker (50 pack/year). No remarkable family history of chronic illness was recorded.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On physical examination, there was no remarkable finding during the inspection. No skin lesions (neurofibromas, café-au-lait spots) were noted. On digital rectal examination, the prostate was moderately enlarged with no stiffness or irregularities.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Blood samples were collected at admission. The PSA level was within normal range 2.46 ng/mL (0 to 4), and BUN and creatinine levels were elevated (69 mg/dL and 1.30 mg/dL, respectively). The collected urine sample indicated microscopic hematuria (33 erythrocyte/hpf).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 urinary ultrasound scan was conducted revealing a diverticulum with a 45 mm × 35 mm diameter harboring a suspicious papillary projection with a dimension of 30 mm × 20 mm on the posterior bladder wall.</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full body FDG-PET CT scan was performed to rule out distant metastases and for local staging. On abdominopelvic cross-sectional images, an intrapelvic mass was bordering the posterior bladder wall and causing compression and distortion of pelvic structures. No distinctive border could be identified between the mass and the bladder wall. Increased FDG uptake on both the right external iliac and right common iliac lymph nodes was noted. An isolated paracaval lymph node just above the right iliac bifurcation had increased FDG uptake. On cross-sectional thoracal images, a nodular lesion on the right upper lobe of the lung with a 14 mm × 13 mm diameter was observed. The lesion also had nuclear material uptake, making it a candidate for metastases of the primary lesion.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It was decided to perform a radical cystoprostatectomy and extended lymph node resection for local disease control.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pathological diagnosis was in concordance with high-grade EMPNST of the bladder.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The patient underwent radical cystoprostatectomy with ileal loop repair and bilateral ilioinguinal lymph node dissection.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passed away 4 mo after the cystectomy and 12 mo after the initial diagnosis due to emerging type 1 respiratory failure causing cardiac arrest after ICU admission.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Mesenchymal tumors comprise 0.04% of all malignant tumors of the whole urinary system</w:t>
      </w:r>
      <w:r>
        <w:rPr>
          <w:rFonts w:ascii="Book Antiqua" w:hAnsi="Book Antiqua" w:eastAsia="Book Antiqua" w:cs="Book Antiqua"/>
          <w:color w:val="000000"/>
          <w:vertAlign w:val="superscript"/>
        </w:rPr>
        <w:t>[10]</w:t>
      </w:r>
      <w:r>
        <w:rPr>
          <w:rFonts w:ascii="Book Antiqua" w:hAnsi="Book Antiqua" w:eastAsia="Book Antiqua" w:cs="Book Antiqua"/>
          <w:color w:val="000000"/>
        </w:rPr>
        <w:t>. Bladder-originating MPNST is a lesser-known entity that originates from pelvic autonomic nerve plexuses. MPNST is only occasionally documented in the case reports in the literature, making the process of diagnosis and treatment harder due to a lack of evidence-based data. Most reported patients are diagnosed with NF-1 disease and are below the age of 40. Published cases mostly presented with hematuria, suprapubic mass, and urinary retention. Most cases were not distinguished from urothelial carcinoma during cystoscopy and transurethral resection</w:t>
      </w:r>
      <w:r>
        <w:rPr>
          <w:rFonts w:ascii="Book Antiqua" w:hAnsi="Book Antiqua" w:eastAsia="Book Antiqua" w:cs="Book Antiqua"/>
          <w:color w:val="000000"/>
          <w:vertAlign w:val="superscript"/>
        </w:rPr>
        <w:t>[8,11,12]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Even though EMPNST has been known since 1957, EMPNST alone only constitutes 5% of all MPNSTs. Due to its rarity, information regarding the clinical presentation and prognosis remains the same. Yet, the understanding of the tumor's histopathologic features has evolved through the years by the refinement of histopathological diagnostic tools</w:t>
      </w:r>
      <w:r>
        <w:rPr>
          <w:rFonts w:ascii="Book Antiqua" w:hAnsi="Book Antiqua" w:eastAsia="Book Antiqua" w:cs="Book Antiqua"/>
          <w:color w:val="000000"/>
          <w:vertAlign w:val="superscript"/>
        </w:rPr>
        <w:t>[4-6]</w:t>
      </w:r>
      <w:r>
        <w:rPr>
          <w:rFonts w:ascii="Book Antiqua" w:hAnsi="Book Antiqua" w:eastAsia="Book Antiqua" w:cs="Book Antiqua"/>
          <w:color w:val="000000"/>
        </w:rPr>
        <w:t>. EMPNST of the bladder alone is a much rarer entity with aggressive features and a very poor prognosis, making it hard to be studied under prospective randomized clinical trials. The two known risk factors for conventional MPNSTs are radiation exposure and neurofibromatosis type 1</w:t>
      </w:r>
      <w:r>
        <w:rPr>
          <w:rFonts w:ascii="Book Antiqua" w:hAnsi="Book Antiqua" w:eastAsia="Book Antiqua" w:cs="Book Antiqua"/>
          <w:color w:val="000000"/>
          <w:vertAlign w:val="superscript"/>
        </w:rPr>
        <w:t>[3]</w:t>
      </w:r>
      <w:r>
        <w:rPr>
          <w:rFonts w:ascii="Book Antiqua" w:hAnsi="Book Antiqua" w:eastAsia="Book Antiqua" w:cs="Book Antiqua"/>
          <w:color w:val="000000"/>
        </w:rPr>
        <w:t>. Though in a comprehensive case series, no EMPNST patients had neurofibromatosis and some had benign schwannoma areas in resected tumor samples, suggesting that the tumor originates from a benign neoplasm in contrast to conventional MPNSTs</w:t>
      </w:r>
      <w:r>
        <w:rPr>
          <w:rFonts w:ascii="Book Antiqua" w:hAnsi="Book Antiqua" w:eastAsia="Book Antiqua" w:cs="Book Antiqua"/>
          <w:color w:val="000000"/>
          <w:vertAlign w:val="superscript"/>
        </w:rPr>
        <w:t>[4]</w:t>
      </w:r>
      <w:r>
        <w:rPr>
          <w:rFonts w:ascii="Book Antiqua" w:hAnsi="Book Antiqua" w:eastAsia="Book Antiqua" w:cs="Book Antiqua"/>
          <w:color w:val="000000"/>
        </w:rPr>
        <w:t>. They are thought to originate from malignant transformation of pre-existing epithelioid schwannomas of the deep neural tissues.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It is challenging to differentiate EMPNST from urothelial carcinoma by clinical evaluation. Ultrasonography, CT, or magnetic resonance imaging cannot differentiate EMPNST from urothelial carcinoma. Therefore, it is important to evaluate the pathology in detail with appropriate methods</w:t>
      </w:r>
      <w:r>
        <w:rPr>
          <w:rFonts w:ascii="Book Antiqua" w:hAnsi="Book Antiqua" w:eastAsia="Book Antiqua" w:cs="Book Antiqua"/>
          <w:color w:val="000000"/>
          <w:vertAlign w:val="superscript"/>
        </w:rPr>
        <w:t>[8,13]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Typically, EMPNSTs are composed of spindle cells growing in a haphazard manner consisting of interlacing sheets and nodules accompanied by atypical round polygonal ovoid cells with eosinophilic cytoplasm</w:t>
      </w:r>
      <w:r>
        <w:rPr>
          <w:rFonts w:ascii="Book Antiqua" w:hAnsi="Book Antiqua" w:eastAsia="Book Antiqua" w:cs="Book Antiqua"/>
          <w:color w:val="000000"/>
          <w:vertAlign w:val="superscript"/>
        </w:rPr>
        <w:t>[14]</w:t>
      </w:r>
      <w:r>
        <w:rPr>
          <w:rFonts w:ascii="Book Antiqua" w:hAnsi="Book Antiqua" w:eastAsia="Book Antiqua" w:cs="Book Antiqua"/>
          <w:color w:val="000000"/>
        </w:rPr>
        <w:t>. More than 50% of tumor cells should be in polygonal morphology. In addition to these features, they present with interstitial infiltration of inflammatory cells namely mononuclear cells, neutrophils, and eosinophils</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This entity has a distinct immunophenotypic characteristic. Unlike conventional MPNSTs, EMPNSTs show strong and diffuse staining for S100 and SOX10, alongside the absence of melanoma markers. They may also be positive for keratin and retain expression of H3K27me3</w:t>
      </w:r>
      <w:r>
        <w:rPr>
          <w:rFonts w:ascii="Book Antiqua" w:hAnsi="Book Antiqua" w:eastAsia="Book Antiqua" w:cs="Book Antiqua"/>
          <w:color w:val="000000"/>
          <w:vertAlign w:val="superscript"/>
        </w:rPr>
        <w:t>[4,5,8]</w:t>
      </w:r>
      <w:r>
        <w:rPr>
          <w:rFonts w:ascii="Book Antiqua" w:hAnsi="Book Antiqua" w:eastAsia="Book Antiqua" w:cs="Book Antiqua"/>
          <w:color w:val="000000"/>
        </w:rPr>
        <w:t>. Molecular distinction of EMPNSTs from conventional MPNSTs can be further elaborated. SMARCB1 gene inactivation resulting in SMARCB1 loss by immunohistochemistry is observed in approximately 75% of cases</w:t>
      </w:r>
      <w:r>
        <w:rPr>
          <w:rFonts w:ascii="Book Antiqua" w:hAnsi="Book Antiqua" w:eastAsia="Book Antiqua" w:cs="Book Antiqua"/>
          <w:color w:val="000000"/>
          <w:vertAlign w:val="superscript"/>
        </w:rPr>
        <w:t>[6]</w:t>
      </w:r>
      <w:r>
        <w:rPr>
          <w:rFonts w:ascii="Book Antiqua" w:hAnsi="Book Antiqua" w:eastAsia="Book Antiqua" w:cs="Book Antiqua"/>
          <w:color w:val="000000"/>
        </w:rPr>
        <w:t>. They rarely have genetic alterations in the neurofibromin (NF1), p16/p15 (CDKN2A/CDKN2B), and PRC2 pathways</w:t>
      </w:r>
      <w:r>
        <w:rPr>
          <w:rFonts w:ascii="Book Antiqua" w:hAnsi="Book Antiqua" w:eastAsia="Book Antiqua" w:cs="Book Antiqua"/>
          <w:color w:val="000000"/>
          <w:vertAlign w:val="superscript"/>
        </w:rPr>
        <w:t>[4,7]</w:t>
      </w:r>
      <w:r>
        <w:rPr>
          <w:rFonts w:ascii="Book Antiqua" w:hAnsi="Book Antiqua" w:eastAsia="Book Antiqua" w:cs="Book Antiqua"/>
          <w:color w:val="000000"/>
        </w:rPr>
        <w:t>. In addition, they tend to be more aggressive and have higher mortality than MPNSTs</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Sarcomatoid urothelial carcinoma, leiomyosarcoma, epithelioid angiosarcoma, melanoma and perivascular epithelioid cell tumors (PEComas) fall into pathological differential diagnosis of this neoplasm. The first tumor to be considered in the differential diagnosis of our case was sarcomatoid urothelial carcinoma. No macroscopic or microscopic relationship was identified between the urothelial tumor in the bladder mucosa and the tumor in the bladder wall. Furthermore, the mucosal tumor consisted entirely of non-invasive low grade papillary urothelial carcinoma; no high grade foci or lamina propria invasion was observed. The EMPNST in the bladder wall was diffusely positive for SOX10 and S100, while urothelial tumors stain negative for these markers. Epithelial markers (EMA, CK7) were focally positive, in contrast to anticipated diffuse staining in urothelial carcinomas. GATA3 was also negative in the tumor, whereas urothelial carcinoma specimens are GATA3+. The lobular growth pattern in the epithelioid component and the presence of myxoid stroma, albeit focal in the periphery, were other microscopic findings supporting the EMPNST diagnosis.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patient has no history of melanoma, and no in situ melanocytic lesion in the bladder was observed. Some nuclei were wavy in the spindle areas of the tumor and no pigment (melanin) was detected. In melanoma, positivity of epithelial markers is not expected, whereas focal positivity can be seen in EMPNST, as in our case. In addition to morphological findings, leiomyosarcoma and angiosarcoma were ruled out due to negative muscle and vessel markers. PEComas are composed of epithelioid and/or spindle cells with clear to eosinophilic granular cytoplasm. Epithelioid cells are arranged in dyscohesive nests surrounded by delicate thin-walled vessels and/or in sheets, whereas spindle cells often form fascicles. Radial/perivascular distribution of tumor cells is a valuable finding. Conventional PEComas express HMB45, mela-A and smooth muscle markers with variable intensity and extent. HMB45 is a more sensitive marker, being positive in nearly all PEComas, whereas melan-A is a more specific marker, being positive in at least half of the tumors</w:t>
      </w:r>
      <w:r>
        <w:rPr>
          <w:rFonts w:ascii="Book Antiqua" w:hAnsi="Book Antiqua" w:eastAsia="Book Antiqua" w:cs="Book Antiqua"/>
          <w:color w:val="000000"/>
          <w:vertAlign w:val="superscript"/>
        </w:rPr>
        <w:t>[15]</w:t>
      </w:r>
      <w:r>
        <w:rPr>
          <w:rFonts w:ascii="Book Antiqua" w:hAnsi="Book Antiqua" w:eastAsia="Book Antiqua" w:cs="Book Antiqua"/>
          <w:color w:val="000000"/>
        </w:rPr>
        <w:t>. Melanocytic markers were exclusively negative in the tumor within the bladder wall.</w:t>
      </w:r>
    </w:p>
    <w:p>
      <w:pPr>
        <w:spacing w:line="360" w:lineRule="auto"/>
        <w:ind w:firstLine="480" w:firstLineChars="200"/>
        <w:jc w:val="both"/>
        <w:rPr>
          <w:rFonts w:ascii="Book Antiqua" w:hAnsi="Book Antiqua"/>
        </w:rPr>
      </w:pPr>
      <w:r>
        <w:rPr>
          <w:rFonts w:ascii="Book Antiqua" w:hAnsi="Book Antiqua" w:eastAsia="Book Antiqua" w:cs="Book Antiqua"/>
          <w:color w:val="000000"/>
        </w:rPr>
        <w:t>Primary treatment modality for conventional MPNSTs is surgical resection if no gross solid organ metastases are present. Adjuvant radiotherapy can be given to provide local disease control after resection. Unfortunately, the distant metastases are almost always present or may become evident within 2 mo after initial diagnosis. Although the effectiveness is still controversial, patients with unresectable tumors on the trunk or extremities may benefit from anthracycline regimens plus doxorobucin, ifosfamide, etoposide regimens</w:t>
      </w:r>
      <w:r>
        <w:rPr>
          <w:rFonts w:ascii="Book Antiqua" w:hAnsi="Book Antiqua" w:eastAsia="Book Antiqua" w:cs="Book Antiqua"/>
          <w:color w:val="000000"/>
          <w:vertAlign w:val="superscript"/>
        </w:rPr>
        <w:t>[16,17]</w:t>
      </w:r>
      <w:r>
        <w:rPr>
          <w:rFonts w:ascii="Book Antiqua" w:hAnsi="Book Antiqua" w:eastAsia="Book Antiqua" w:cs="Book Antiqua"/>
          <w:color w:val="000000"/>
        </w:rPr>
        <w:t>. Furthermore, since the sarcoma deploys from a neural crest originated stem cell, it may express BRAFv600E mutations, which may respond to targeted systemic therapy with vemurafenib</w:t>
      </w:r>
      <w:r>
        <w:rPr>
          <w:rFonts w:ascii="Book Antiqua" w:hAnsi="Book Antiqua" w:eastAsia="Book Antiqua" w:cs="Book Antiqua"/>
          <w:color w:val="000000"/>
          <w:vertAlign w:val="superscript"/>
        </w:rPr>
        <w:t>[18,19]</w:t>
      </w:r>
      <w:r>
        <w:rPr>
          <w:rFonts w:ascii="Book Antiqua" w:hAnsi="Book Antiqua" w:eastAsia="Book Antiqua" w:cs="Book Antiqua"/>
          <w:color w:val="000000"/>
        </w:rPr>
        <w:t xml:space="preserve">. There are some continuing molecular and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cell culture studies to identify tumor vulnerability in advance for a potential targeted therapy</w:t>
      </w:r>
      <w:r>
        <w:rPr>
          <w:rFonts w:ascii="Book Antiqua" w:hAnsi="Book Antiqua" w:eastAsia="Book Antiqua" w:cs="Book Antiqua"/>
          <w:color w:val="000000"/>
          <w:vertAlign w:val="superscript"/>
        </w:rPr>
        <w:t>[19-21]</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For the MPNST of the bladder, the data regarding the disease stems from cases reported at different clinics around the globe. There is no high-volume study covering patient demographics, prognosis, or clinical data, such as overall survival or disease-free survival after undergoing different treatment modalities.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Nevertheless, the disease has mostly been recorded in patients younger than the fourth decade of their lives. The majority of patients have type 1 neurofibromatosis with the exception of a few sporadic cases</w:t>
      </w:r>
      <w:r>
        <w:rPr>
          <w:rFonts w:ascii="Book Antiqua" w:hAnsi="Book Antiqua" w:eastAsia="Book Antiqua" w:cs="Book Antiqua"/>
          <w:color w:val="000000"/>
          <w:vertAlign w:val="superscript"/>
        </w:rPr>
        <w:t>[14]</w:t>
      </w:r>
      <w:r>
        <w:rPr>
          <w:rFonts w:ascii="Book Antiqua" w:hAnsi="Book Antiqua" w:eastAsia="Book Antiqua" w:cs="Book Antiqua"/>
          <w:color w:val="000000"/>
        </w:rPr>
        <w:t>. The youngest patient reported in the literature had neurofibromatosis type 1 disease and was 9-years-old at the time of diagnosis. The patient underwent cystectomy and was treated with systemic therapy</w:t>
      </w:r>
      <w:r>
        <w:rPr>
          <w:rFonts w:ascii="Book Antiqua" w:hAnsi="Book Antiqua" w:eastAsia="Book Antiqua" w:cs="Book Antiqua"/>
          <w:color w:val="000000"/>
          <w:vertAlign w:val="superscript"/>
        </w:rPr>
        <w:t>[22]</w:t>
      </w:r>
      <w:r>
        <w:rPr>
          <w:rFonts w:ascii="Book Antiqua" w:hAnsi="Book Antiqua" w:eastAsia="Book Antiqua" w:cs="Book Antiqua"/>
          <w:color w:val="000000"/>
        </w:rPr>
        <w:t>. The disease may present with painless hematuria, abdominal mass, weight loss or nonspecific irritative urinary symptoms. No clinically significant tumor-specific centricity has been noted in the literature, and the neoplasm may arise from the trigone, dome, or the lateral walls of the bladder. Although long-term follow ups are not disclosed in case reports, it is known that the prognosis is poor and that the disease is generally at an advanced stage at the time of diagnosis</w:t>
      </w:r>
      <w:r>
        <w:rPr>
          <w:rFonts w:ascii="Book Antiqua" w:hAnsi="Book Antiqua" w:eastAsia="Book Antiqua" w:cs="Book Antiqua"/>
          <w:color w:val="000000"/>
          <w:vertAlign w:val="superscript"/>
        </w:rPr>
        <w:t>[8</w:t>
      </w:r>
      <w:r>
        <w:rPr>
          <w:rFonts w:hint="eastAsia" w:ascii="Book Antiqua" w:hAnsi="Book Antiqua" w:cs="Book Antiqua"/>
          <w:color w:val="000000"/>
          <w:vertAlign w:val="superscript"/>
          <w:lang w:eastAsia="zh-CN"/>
        </w:rPr>
        <w:t>,</w:t>
      </w:r>
      <w:r>
        <w:rPr>
          <w:rFonts w:ascii="Book Antiqua" w:hAnsi="Book Antiqua" w:cs="Book Antiqua"/>
          <w:color w:val="000000"/>
          <w:vertAlign w:val="superscript"/>
          <w:lang w:eastAsia="zh-CN"/>
        </w:rPr>
        <w:t>9</w:t>
      </w:r>
      <w:r>
        <w:rPr>
          <w:rFonts w:hint="eastAsia" w:ascii="Book Antiqua" w:hAnsi="Book Antiqua" w:cs="Book Antiqua"/>
          <w:color w:val="000000"/>
          <w:vertAlign w:val="superscript"/>
          <w:lang w:eastAsia="zh-CN"/>
        </w:rPr>
        <w:t>,</w:t>
      </w:r>
      <w:r>
        <w:rPr>
          <w:rFonts w:ascii="Book Antiqua" w:hAnsi="Book Antiqua" w:cs="Book Antiqua"/>
          <w:color w:val="000000"/>
          <w:vertAlign w:val="superscript"/>
          <w:lang w:eastAsia="zh-CN"/>
        </w:rPr>
        <w:t>11,23,24</w:t>
      </w:r>
      <w:r>
        <w:rPr>
          <w:rFonts w:ascii="Book Antiqua" w:hAnsi="Book Antiqua" w:eastAsia="Book Antiqua" w:cs="Book Antiqua"/>
          <w:color w:val="000000"/>
          <w:vertAlign w:val="superscript"/>
        </w:rPr>
        <w:t>]</w:t>
      </w:r>
      <w:r>
        <w:rPr>
          <w:rFonts w:ascii="Book Antiqua" w:hAnsi="Book Antiqua" w:eastAsia="Book Antiqua" w:cs="Book Antiqua"/>
          <w:color w:val="000000"/>
        </w:rPr>
        <w:t>. Even though there is a single reported case cured with transurethral resection of the tumor, the patient’s long-term follow-up is unknown. Moreover, the epithelial variant of the tumor has only been reported once in the literature, and very little is known regarding the prognosis of the reported patient</w:t>
      </w:r>
      <w:r>
        <w:rPr>
          <w:rFonts w:ascii="Book Antiqua" w:hAnsi="Book Antiqua" w:eastAsia="Book Antiqua" w:cs="Book Antiqua"/>
          <w:color w:val="000000"/>
          <w:vertAlign w:val="superscript"/>
        </w:rPr>
        <w:t>[8]</w:t>
      </w:r>
      <w:r>
        <w:rPr>
          <w:rFonts w:ascii="Book Antiqua" w:hAnsi="Book Antiqua" w:eastAsia="Book Antiqua" w:cs="Book Antiqua"/>
          <w:color w:val="000000"/>
        </w:rPr>
        <w:t>. Our case is unique because the patient presents with a synchronous EPMNST and urothelial carcinoma, the first known report of such a case. The patient was initially diagnosed with non-invasive bladder carcinoma, and the EPMNST was identified 7 mo after admission. Cystectomy was performed 8 mo after the initial admission. During the pathological evaluation of the cystoprostatectomy material, a metachronous Gleason score (3 + 3) 6 prostate adenocarcinoma was in addition to the EPMNST and urothelial carcinoma. The patient passed away 12 mo after diagnosis due to respiratory failure related to lung metastases. It is unknown whether the tumor would have had any response to systemic therapy since the patient was unable to receive any treatment.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Our presented case is unique; it is the first case that presents with a synchronous urothelial carcinoma of the bladder and epithelioid variant of MPNST. It is the second reported case of bladder EMPNST.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during the management of EMPNST cases, offering aggressive treatment modalities such as radical cystectomy to the patient is appropriate for the chance of containing the disease, regardless of tumor stage and the extent of local disease at the initial diagnosis. There is no oncological consensus or evidence-based data on the use of systemic therapy for MPNST originating from the urogenital system. It is not known whether performing radical surgery has any effect on prognosis and it should be further investigated on studies with higher patient volume.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Perrin RG</w:t>
      </w:r>
      <w:r>
        <w:rPr>
          <w:rFonts w:ascii="Book Antiqua" w:hAnsi="Book Antiqua"/>
        </w:rPr>
        <w:t xml:space="preserve">, Guha A. Malignant peripheral nerve sheath tumors. </w:t>
      </w:r>
      <w:r>
        <w:rPr>
          <w:rFonts w:ascii="Book Antiqua" w:hAnsi="Book Antiqua"/>
          <w:i/>
          <w:iCs/>
        </w:rPr>
        <w:t>Neurosurg Clin N Am</w:t>
      </w:r>
      <w:r>
        <w:rPr>
          <w:rFonts w:ascii="Book Antiqua" w:hAnsi="Book Antiqua"/>
        </w:rPr>
        <w:t xml:space="preserve"> 2004; </w:t>
      </w:r>
      <w:r>
        <w:rPr>
          <w:rFonts w:ascii="Book Antiqua" w:hAnsi="Book Antiqua"/>
          <w:b/>
          <w:bCs/>
        </w:rPr>
        <w:t>15</w:t>
      </w:r>
      <w:r>
        <w:rPr>
          <w:rFonts w:ascii="Book Antiqua" w:hAnsi="Book Antiqua"/>
        </w:rPr>
        <w:t>: 203-216 [PMID: 15177319 DOI: 10.1016/j.nec.2004.02.004]</w:t>
      </w:r>
    </w:p>
    <w:p>
      <w:pPr>
        <w:spacing w:line="360" w:lineRule="auto"/>
        <w:jc w:val="both"/>
        <w:rPr>
          <w:rFonts w:ascii="Book Antiqua" w:hAnsi="Book Antiqua"/>
        </w:rPr>
      </w:pPr>
      <w:r>
        <w:rPr>
          <w:rFonts w:ascii="Book Antiqua" w:hAnsi="Book Antiqua"/>
        </w:rPr>
        <w:t xml:space="preserve">2 </w:t>
      </w:r>
      <w:r>
        <w:rPr>
          <w:rFonts w:ascii="Book Antiqua" w:hAnsi="Book Antiqua"/>
          <w:b/>
          <w:bCs/>
        </w:rPr>
        <w:t>Miettinen MM</w:t>
      </w:r>
      <w:r>
        <w:rPr>
          <w:rFonts w:ascii="Book Antiqua" w:hAnsi="Book Antiqua"/>
        </w:rPr>
        <w:t xml:space="preserve">, Antonescu CR, Fletcher CDM, Kim A, Lazar AJ, Quezado MM, Reilly KM, Stemmer-Rachamimov A, Stewart DR, Viskochil D, Widemann B, Perry A. Histopathologic evaluation of atypical neurofibromatous tumors and their transformation into malignant peripheral nerve sheath tumor in patients with neurofibromatosis 1-a consensus overview. </w:t>
      </w:r>
      <w:r>
        <w:rPr>
          <w:rFonts w:ascii="Book Antiqua" w:hAnsi="Book Antiqua"/>
          <w:i/>
          <w:iCs/>
        </w:rPr>
        <w:t>Hum Pathol</w:t>
      </w:r>
      <w:r>
        <w:rPr>
          <w:rFonts w:ascii="Book Antiqua" w:hAnsi="Book Antiqua"/>
        </w:rPr>
        <w:t xml:space="preserve"> 2017; </w:t>
      </w:r>
      <w:r>
        <w:rPr>
          <w:rFonts w:ascii="Book Antiqua" w:hAnsi="Book Antiqua"/>
          <w:b/>
          <w:bCs/>
        </w:rPr>
        <w:t>67</w:t>
      </w:r>
      <w:r>
        <w:rPr>
          <w:rFonts w:ascii="Book Antiqua" w:hAnsi="Book Antiqua"/>
        </w:rPr>
        <w:t>: 1-10 [PMID: 28551330 DOI: 10.1016/j.humpath.2017.05.010]</w:t>
      </w:r>
    </w:p>
    <w:p>
      <w:pPr>
        <w:spacing w:line="360" w:lineRule="auto"/>
        <w:jc w:val="both"/>
        <w:rPr>
          <w:rFonts w:ascii="Book Antiqua" w:hAnsi="Book Antiqua"/>
        </w:rPr>
      </w:pPr>
      <w:r>
        <w:rPr>
          <w:rFonts w:ascii="Book Antiqua" w:hAnsi="Book Antiqua"/>
        </w:rPr>
        <w:t xml:space="preserve">3 </w:t>
      </w:r>
      <w:r>
        <w:rPr>
          <w:rFonts w:ascii="Book Antiqua" w:hAnsi="Book Antiqua"/>
          <w:b/>
          <w:bCs/>
        </w:rPr>
        <w:t>Kim DH</w:t>
      </w:r>
      <w:r>
        <w:rPr>
          <w:rFonts w:ascii="Book Antiqua" w:hAnsi="Book Antiqua"/>
        </w:rPr>
        <w:t xml:space="preserve">, Murovic JA, Tiel RL, Moes G, Kline DG. A series of 397 peripheral neural sheath tumors: 30-year experience at Louisiana State University Health Sciences Center. </w:t>
      </w:r>
      <w:r>
        <w:rPr>
          <w:rFonts w:ascii="Book Antiqua" w:hAnsi="Book Antiqua"/>
          <w:i/>
          <w:iCs/>
        </w:rPr>
        <w:t>J Neurosurg</w:t>
      </w:r>
      <w:r>
        <w:rPr>
          <w:rFonts w:ascii="Book Antiqua" w:hAnsi="Book Antiqua"/>
        </w:rPr>
        <w:t xml:space="preserve"> 2005; </w:t>
      </w:r>
      <w:r>
        <w:rPr>
          <w:rFonts w:ascii="Book Antiqua" w:hAnsi="Book Antiqua"/>
          <w:b/>
          <w:bCs/>
        </w:rPr>
        <w:t>102</w:t>
      </w:r>
      <w:r>
        <w:rPr>
          <w:rFonts w:ascii="Book Antiqua" w:hAnsi="Book Antiqua"/>
        </w:rPr>
        <w:t>: 246-255 [PMID: 15739552 DOI: 10.3171/jns.2005.102.2.0246]</w:t>
      </w:r>
    </w:p>
    <w:p>
      <w:pPr>
        <w:spacing w:line="360" w:lineRule="auto"/>
        <w:jc w:val="both"/>
        <w:rPr>
          <w:rFonts w:ascii="Book Antiqua" w:hAnsi="Book Antiqua"/>
        </w:rPr>
      </w:pPr>
      <w:r>
        <w:rPr>
          <w:rFonts w:ascii="Book Antiqua" w:hAnsi="Book Antiqua"/>
        </w:rPr>
        <w:t xml:space="preserve">4 </w:t>
      </w:r>
      <w:r>
        <w:rPr>
          <w:rFonts w:ascii="Book Antiqua" w:hAnsi="Book Antiqua"/>
          <w:b/>
          <w:bCs/>
        </w:rPr>
        <w:t>Laskin WB</w:t>
      </w:r>
      <w:r>
        <w:rPr>
          <w:rFonts w:ascii="Book Antiqua" w:hAnsi="Book Antiqua"/>
        </w:rPr>
        <w:t xml:space="preserve">, Weiss SW, Bratthauer GL. Epithelioid variant of malignant peripheral nerve sheath tumor (malignant epithelioid schwannoma). </w:t>
      </w:r>
      <w:r>
        <w:rPr>
          <w:rFonts w:ascii="Book Antiqua" w:hAnsi="Book Antiqua"/>
          <w:i/>
          <w:iCs/>
        </w:rPr>
        <w:t>Am J Surg Pathol</w:t>
      </w:r>
      <w:r>
        <w:rPr>
          <w:rFonts w:ascii="Book Antiqua" w:hAnsi="Book Antiqua"/>
        </w:rPr>
        <w:t xml:space="preserve"> 1991; </w:t>
      </w:r>
      <w:r>
        <w:rPr>
          <w:rFonts w:ascii="Book Antiqua" w:hAnsi="Book Antiqua"/>
          <w:b/>
          <w:bCs/>
        </w:rPr>
        <w:t>15</w:t>
      </w:r>
      <w:r>
        <w:rPr>
          <w:rFonts w:ascii="Book Antiqua" w:hAnsi="Book Antiqua"/>
        </w:rPr>
        <w:t>: 1136-1145 [PMID: 1746681 DOI: 10.1097/00000478-199112000-00004]</w:t>
      </w:r>
    </w:p>
    <w:p>
      <w:pPr>
        <w:spacing w:line="360" w:lineRule="auto"/>
        <w:jc w:val="both"/>
        <w:rPr>
          <w:rFonts w:ascii="Book Antiqua" w:hAnsi="Book Antiqua"/>
        </w:rPr>
      </w:pPr>
      <w:r>
        <w:rPr>
          <w:rFonts w:ascii="Book Antiqua" w:hAnsi="Book Antiqua"/>
        </w:rPr>
        <w:t xml:space="preserve">5 </w:t>
      </w:r>
      <w:r>
        <w:rPr>
          <w:rFonts w:ascii="Book Antiqua" w:hAnsi="Book Antiqua"/>
          <w:b/>
          <w:bCs/>
        </w:rPr>
        <w:t>Lee W</w:t>
      </w:r>
      <w:r>
        <w:rPr>
          <w:rFonts w:ascii="Book Antiqua" w:hAnsi="Book Antiqua"/>
        </w:rPr>
        <w:t xml:space="preserve">, Teckie S, Wiesner T, Ran L, Prieto Granada CN, Lin M, Zhu S, Cao Z, Liang Y, Sboner A, Tap WD, Fletcher JA, Huberman KH, Qin LX, Viale A, Singer S, Zheng D, Berger MF, Chen Y, Antonescu CR, Chi P. PRC2 is recurrently inactivated through EED or SUZ12 loss in malignant peripheral nerve sheath tumors. </w:t>
      </w:r>
      <w:r>
        <w:rPr>
          <w:rFonts w:ascii="Book Antiqua" w:hAnsi="Book Antiqua"/>
          <w:i/>
          <w:iCs/>
        </w:rPr>
        <w:t>Nat Genet</w:t>
      </w:r>
      <w:r>
        <w:rPr>
          <w:rFonts w:ascii="Book Antiqua" w:hAnsi="Book Antiqua"/>
        </w:rPr>
        <w:t xml:space="preserve"> 2014; </w:t>
      </w:r>
      <w:r>
        <w:rPr>
          <w:rFonts w:ascii="Book Antiqua" w:hAnsi="Book Antiqua"/>
          <w:b/>
          <w:bCs/>
        </w:rPr>
        <w:t>46</w:t>
      </w:r>
      <w:r>
        <w:rPr>
          <w:rFonts w:ascii="Book Antiqua" w:hAnsi="Book Antiqua"/>
        </w:rPr>
        <w:t>: 1227-1232 [PMID: 25240281 DOI: 10.1038/ng.3095]</w:t>
      </w:r>
    </w:p>
    <w:p>
      <w:pPr>
        <w:spacing w:line="360" w:lineRule="auto"/>
        <w:jc w:val="both"/>
        <w:rPr>
          <w:rFonts w:ascii="Book Antiqua" w:hAnsi="Book Antiqua"/>
        </w:rPr>
      </w:pPr>
      <w:r>
        <w:rPr>
          <w:rFonts w:ascii="Book Antiqua" w:hAnsi="Book Antiqua"/>
        </w:rPr>
        <w:t xml:space="preserve">6 </w:t>
      </w:r>
      <w:r>
        <w:rPr>
          <w:rFonts w:ascii="Book Antiqua" w:hAnsi="Book Antiqua"/>
          <w:b/>
          <w:bCs/>
        </w:rPr>
        <w:t>Schaefer IM</w:t>
      </w:r>
      <w:r>
        <w:rPr>
          <w:rFonts w:ascii="Book Antiqua" w:hAnsi="Book Antiqua"/>
        </w:rPr>
        <w:t xml:space="preserve">, Dong F, Garcia EP, Fletcher CDM, Jo VY. Recurrent SMARCB1 Inactivation in Epithelioid Malignant Peripheral Nerve Sheath Tumors. </w:t>
      </w:r>
      <w:r>
        <w:rPr>
          <w:rFonts w:ascii="Book Antiqua" w:hAnsi="Book Antiqua"/>
          <w:i/>
          <w:iCs/>
        </w:rPr>
        <w:t>Am J Surg Pathol</w:t>
      </w:r>
      <w:r>
        <w:rPr>
          <w:rFonts w:ascii="Book Antiqua" w:hAnsi="Book Antiqua"/>
        </w:rPr>
        <w:t xml:space="preserve"> 2019; </w:t>
      </w:r>
      <w:r>
        <w:rPr>
          <w:rFonts w:ascii="Book Antiqua" w:hAnsi="Book Antiqua"/>
          <w:b/>
          <w:bCs/>
        </w:rPr>
        <w:t>43</w:t>
      </w:r>
      <w:r>
        <w:rPr>
          <w:rFonts w:ascii="Book Antiqua" w:hAnsi="Book Antiqua"/>
        </w:rPr>
        <w:t>: 835-843 [PMID: 30864974 DOI: 10.1097/PAS.0000000000001242]</w:t>
      </w:r>
    </w:p>
    <w:p>
      <w:pPr>
        <w:spacing w:line="360" w:lineRule="auto"/>
        <w:jc w:val="both"/>
        <w:rPr>
          <w:rFonts w:ascii="Book Antiqua" w:hAnsi="Book Antiqua"/>
        </w:rPr>
      </w:pPr>
      <w:r>
        <w:rPr>
          <w:rFonts w:ascii="Book Antiqua" w:hAnsi="Book Antiqua"/>
        </w:rPr>
        <w:t xml:space="preserve">7 </w:t>
      </w:r>
      <w:r>
        <w:rPr>
          <w:rFonts w:ascii="Book Antiqua" w:hAnsi="Book Antiqua"/>
          <w:b/>
          <w:bCs/>
        </w:rPr>
        <w:t>Jo VY</w:t>
      </w:r>
      <w:r>
        <w:rPr>
          <w:rFonts w:ascii="Book Antiqua" w:hAnsi="Book Antiqua"/>
        </w:rPr>
        <w:t xml:space="preserve">, Fletcher CDM. SMARCB1/INI1 Loss in Epithelioid Schwannoma: A Clinicopathologic and Immunohistochemical Study of 65 Cases. </w:t>
      </w:r>
      <w:r>
        <w:rPr>
          <w:rFonts w:ascii="Book Antiqua" w:hAnsi="Book Antiqua"/>
          <w:i/>
          <w:iCs/>
        </w:rPr>
        <w:t>Am J Surg Pathol</w:t>
      </w:r>
      <w:r>
        <w:rPr>
          <w:rFonts w:ascii="Book Antiqua" w:hAnsi="Book Antiqua"/>
        </w:rPr>
        <w:t xml:space="preserve"> 2017; </w:t>
      </w:r>
      <w:r>
        <w:rPr>
          <w:rFonts w:ascii="Book Antiqua" w:hAnsi="Book Antiqua"/>
          <w:b/>
          <w:bCs/>
        </w:rPr>
        <w:t>41</w:t>
      </w:r>
      <w:r>
        <w:rPr>
          <w:rFonts w:ascii="Book Antiqua" w:hAnsi="Book Antiqua"/>
        </w:rPr>
        <w:t>: 1013-1022 [PMID: 28368924 DOI: 10.1097/PAS.0000000000000849]</w:t>
      </w:r>
    </w:p>
    <w:p>
      <w:pPr>
        <w:spacing w:line="360" w:lineRule="auto"/>
        <w:jc w:val="both"/>
        <w:rPr>
          <w:rFonts w:ascii="Book Antiqua" w:hAnsi="Book Antiqua"/>
        </w:rPr>
      </w:pPr>
      <w:r>
        <w:rPr>
          <w:rFonts w:ascii="Book Antiqua" w:hAnsi="Book Antiqua"/>
        </w:rPr>
        <w:t xml:space="preserve">8 </w:t>
      </w:r>
      <w:r>
        <w:rPr>
          <w:rFonts w:ascii="Book Antiqua" w:hAnsi="Book Antiqua"/>
          <w:b/>
          <w:bCs/>
        </w:rPr>
        <w:t>Eltoum IA</w:t>
      </w:r>
      <w:r>
        <w:rPr>
          <w:rFonts w:ascii="Book Antiqua" w:hAnsi="Book Antiqua"/>
        </w:rPr>
        <w:t xml:space="preserve">, Moore RJ 3rd, Cook W, Crowe DR, Rodgers WH, Siegal GP. Epithelioid variant of malignant peripheral nerve sheath tumor (malignant schwannoma) of the urinary bladder. </w:t>
      </w:r>
      <w:r>
        <w:rPr>
          <w:rFonts w:ascii="Book Antiqua" w:hAnsi="Book Antiqua"/>
          <w:i/>
          <w:iCs/>
        </w:rPr>
        <w:t>Ann Diagn Pathol</w:t>
      </w:r>
      <w:r>
        <w:rPr>
          <w:rFonts w:ascii="Book Antiqua" w:hAnsi="Book Antiqua"/>
        </w:rPr>
        <w:t xml:space="preserve"> 1999; </w:t>
      </w:r>
      <w:r>
        <w:rPr>
          <w:rFonts w:ascii="Book Antiqua" w:hAnsi="Book Antiqua"/>
          <w:b/>
          <w:bCs/>
        </w:rPr>
        <w:t>3</w:t>
      </w:r>
      <w:r>
        <w:rPr>
          <w:rFonts w:ascii="Book Antiqua" w:hAnsi="Book Antiqua"/>
        </w:rPr>
        <w:t>: 304-308 [PMID: 10556478 DOI: 10.1016/s1092-9134(99)80027-6]</w:t>
      </w:r>
    </w:p>
    <w:p>
      <w:pPr>
        <w:spacing w:line="360" w:lineRule="auto"/>
        <w:jc w:val="both"/>
        <w:rPr>
          <w:rFonts w:ascii="Book Antiqua" w:hAnsi="Book Antiqua"/>
        </w:rPr>
      </w:pPr>
      <w:r>
        <w:rPr>
          <w:rFonts w:ascii="Book Antiqua" w:hAnsi="Book Antiqua"/>
        </w:rPr>
        <w:t xml:space="preserve">9 </w:t>
      </w:r>
      <w:r>
        <w:rPr>
          <w:rFonts w:ascii="Book Antiqua" w:hAnsi="Book Antiqua"/>
          <w:b/>
          <w:bCs/>
        </w:rPr>
        <w:t>Neuville A</w:t>
      </w:r>
      <w:r>
        <w:rPr>
          <w:rFonts w:ascii="Book Antiqua" w:hAnsi="Book Antiqua"/>
        </w:rPr>
        <w:t xml:space="preserve">, Chibon F, Coindre JM. Grading of soft tissue sarcomas: from histological to molecular assessment. </w:t>
      </w:r>
      <w:r>
        <w:rPr>
          <w:rFonts w:ascii="Book Antiqua" w:hAnsi="Book Antiqua"/>
          <w:i/>
          <w:iCs/>
        </w:rPr>
        <w:t>Pathology</w:t>
      </w:r>
      <w:r>
        <w:rPr>
          <w:rFonts w:ascii="Book Antiqua" w:hAnsi="Book Antiqua"/>
        </w:rPr>
        <w:t xml:space="preserve"> 2014; </w:t>
      </w:r>
      <w:r>
        <w:rPr>
          <w:rFonts w:ascii="Book Antiqua" w:hAnsi="Book Antiqua"/>
          <w:b/>
          <w:bCs/>
        </w:rPr>
        <w:t>46</w:t>
      </w:r>
      <w:r>
        <w:rPr>
          <w:rFonts w:ascii="Book Antiqua" w:hAnsi="Book Antiqua"/>
        </w:rPr>
        <w:t>: 113-120 [PMID: 24378389 DOI: 10.1097/PAT.0000000000000048]</w:t>
      </w:r>
    </w:p>
    <w:p>
      <w:pPr>
        <w:spacing w:line="360" w:lineRule="auto"/>
        <w:jc w:val="both"/>
        <w:rPr>
          <w:rFonts w:ascii="Book Antiqua" w:hAnsi="Book Antiqua"/>
        </w:rPr>
      </w:pPr>
      <w:r>
        <w:rPr>
          <w:rFonts w:ascii="Book Antiqua" w:hAnsi="Book Antiqua"/>
        </w:rPr>
        <w:t xml:space="preserve">10 </w:t>
      </w:r>
      <w:r>
        <w:rPr>
          <w:rFonts w:ascii="Book Antiqua" w:hAnsi="Book Antiqua"/>
          <w:b/>
          <w:bCs/>
        </w:rPr>
        <w:t>Dotan ZA</w:t>
      </w:r>
      <w:r>
        <w:rPr>
          <w:rFonts w:ascii="Book Antiqua" w:hAnsi="Book Antiqua"/>
        </w:rPr>
        <w:t xml:space="preserve">, Tal R, Golijanin D, Snyder ME, Antonescu C, Brennan MF, Russo P. Adult genitourinary sarcoma: the 25-year Memorial Sloan-Kettering experience. </w:t>
      </w:r>
      <w:r>
        <w:rPr>
          <w:rFonts w:ascii="Book Antiqua" w:hAnsi="Book Antiqua"/>
          <w:i/>
          <w:iCs/>
        </w:rPr>
        <w:t>J Urol</w:t>
      </w:r>
      <w:r>
        <w:rPr>
          <w:rFonts w:ascii="Book Antiqua" w:hAnsi="Book Antiqua"/>
        </w:rPr>
        <w:t xml:space="preserve"> 2006; </w:t>
      </w:r>
      <w:r>
        <w:rPr>
          <w:rFonts w:ascii="Book Antiqua" w:hAnsi="Book Antiqua"/>
          <w:b/>
          <w:bCs/>
        </w:rPr>
        <w:t>176</w:t>
      </w:r>
      <w:r>
        <w:rPr>
          <w:rFonts w:ascii="Book Antiqua" w:hAnsi="Book Antiqua"/>
        </w:rPr>
        <w:t>: 2033-8; discussion 2038-9 [PMID: 17070247 DOI: 10.1016/j.juro.2006.07.021]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Petracco G</w:t>
      </w:r>
      <w:r>
        <w:rPr>
          <w:rFonts w:ascii="Book Antiqua" w:hAnsi="Book Antiqua"/>
        </w:rPr>
        <w:t xml:space="preserve">, Patriarca C, Spasciani R, Parafioriti A. Malignant peripheral nerve sheath tumor of the bladder A case report. </w:t>
      </w:r>
      <w:r>
        <w:rPr>
          <w:rFonts w:ascii="Book Antiqua" w:hAnsi="Book Antiqua"/>
          <w:i/>
          <w:iCs/>
        </w:rPr>
        <w:t>Pathologica</w:t>
      </w:r>
      <w:r>
        <w:rPr>
          <w:rFonts w:ascii="Book Antiqua" w:hAnsi="Book Antiqua"/>
        </w:rPr>
        <w:t xml:space="preserve"> 2019; </w:t>
      </w:r>
      <w:r>
        <w:rPr>
          <w:rFonts w:ascii="Book Antiqua" w:hAnsi="Book Antiqua"/>
          <w:b/>
          <w:bCs/>
        </w:rPr>
        <w:t>111</w:t>
      </w:r>
      <w:r>
        <w:rPr>
          <w:rFonts w:ascii="Book Antiqua" w:hAnsi="Book Antiqua"/>
        </w:rPr>
        <w:t>: 365-368 [PMID: 31965114 DOI: 10.32074/1591-951X-33-19]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Karatzoglou P</w:t>
      </w:r>
      <w:r>
        <w:rPr>
          <w:rFonts w:ascii="Book Antiqua" w:hAnsi="Book Antiqua"/>
        </w:rPr>
        <w:t xml:space="preserve">, Karagiannidis A, Kountouras J, Christofiridis CV, Karavalaki M, Zavos C, Gavalas E, Patsiaoura K, Vougiouklis N. Von Recklinghausen's disease associated with malignant peripheral nerve sheath thmor presenting with constipation and urinary retention: a case report and review of the literature. </w:t>
      </w:r>
      <w:r>
        <w:rPr>
          <w:rFonts w:ascii="Book Antiqua" w:hAnsi="Book Antiqua"/>
          <w:i/>
          <w:iCs/>
        </w:rPr>
        <w:t>Anticancer Res</w:t>
      </w:r>
      <w:r>
        <w:rPr>
          <w:rFonts w:ascii="Book Antiqua" w:hAnsi="Book Antiqua"/>
        </w:rPr>
        <w:t xml:space="preserve"> 2008; </w:t>
      </w:r>
      <w:r>
        <w:rPr>
          <w:rFonts w:ascii="Book Antiqua" w:hAnsi="Book Antiqua"/>
          <w:b/>
          <w:bCs/>
        </w:rPr>
        <w:t>28</w:t>
      </w:r>
      <w:r>
        <w:rPr>
          <w:rFonts w:ascii="Book Antiqua" w:hAnsi="Book Antiqua"/>
        </w:rPr>
        <w:t>: 3107-3113 [PMID: 19031965 DOI: 10.1111/j.1601-0825.1999.tb00310.x]</w:t>
      </w:r>
    </w:p>
    <w:p>
      <w:pPr>
        <w:spacing w:line="360" w:lineRule="auto"/>
        <w:jc w:val="both"/>
        <w:rPr>
          <w:rFonts w:ascii="Book Antiqua" w:hAnsi="Book Antiqua"/>
        </w:rPr>
      </w:pPr>
      <w:r>
        <w:rPr>
          <w:rFonts w:ascii="Book Antiqua" w:hAnsi="Book Antiqua"/>
        </w:rPr>
        <w:t xml:space="preserve">13 </w:t>
      </w:r>
      <w:r>
        <w:rPr>
          <w:rFonts w:ascii="Book Antiqua" w:hAnsi="Book Antiqua"/>
          <w:b/>
          <w:bCs/>
        </w:rPr>
        <w:t>Jiwani S</w:t>
      </w:r>
      <w:r>
        <w:rPr>
          <w:rFonts w:ascii="Book Antiqua" w:hAnsi="Book Antiqua"/>
        </w:rPr>
        <w:t xml:space="preserve">, Gokden M, Lindberg M, Ali S, Jeffus S. Fine-needle aspiration cytology of epithelioid malignant peripheral nerve sheath tumor: A case report and review of the literature. </w:t>
      </w:r>
      <w:r>
        <w:rPr>
          <w:rFonts w:ascii="Book Antiqua" w:hAnsi="Book Antiqua"/>
          <w:i/>
          <w:iCs/>
        </w:rPr>
        <w:t>Diagn Cytopathol</w:t>
      </w:r>
      <w:r>
        <w:rPr>
          <w:rFonts w:ascii="Book Antiqua" w:hAnsi="Book Antiqua"/>
        </w:rPr>
        <w:t xml:space="preserve"> 2016; </w:t>
      </w:r>
      <w:r>
        <w:rPr>
          <w:rFonts w:ascii="Book Antiqua" w:hAnsi="Book Antiqua"/>
          <w:b/>
          <w:bCs/>
        </w:rPr>
        <w:t>44</w:t>
      </w:r>
      <w:r>
        <w:rPr>
          <w:rFonts w:ascii="Book Antiqua" w:hAnsi="Book Antiqua"/>
        </w:rPr>
        <w:t>: 226-231 [PMID: 26646298 DOI: 10.1002/dc.23401]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Cheng L,</w:t>
      </w:r>
      <w:r>
        <w:rPr>
          <w:rFonts w:ascii="Book Antiqua" w:hAnsi="Book Antiqua"/>
        </w:rPr>
        <w:t xml:space="preserve"> MacLennan GT, Bostwick DG. Urologic Surgical Pathology. Fourth edition. Elsevier; 2020. (pp 300-302) [DOI: 10.1016/b978-0-323-54941-7.09992-8]</w:t>
      </w:r>
    </w:p>
    <w:p>
      <w:pPr>
        <w:spacing w:line="360" w:lineRule="auto"/>
        <w:jc w:val="both"/>
        <w:rPr>
          <w:rFonts w:ascii="Book Antiqua" w:hAnsi="Book Antiqua"/>
        </w:rPr>
      </w:pPr>
      <w:r>
        <w:rPr>
          <w:rFonts w:ascii="Book Antiqua" w:hAnsi="Book Antiqua"/>
        </w:rPr>
        <w:t xml:space="preserve">15 </w:t>
      </w:r>
      <w:r>
        <w:rPr>
          <w:rFonts w:ascii="Book Antiqua" w:hAnsi="Book Antiqua"/>
          <w:b/>
          <w:bCs/>
        </w:rPr>
        <w:t>Hamza A</w:t>
      </w:r>
      <w:r>
        <w:rPr>
          <w:rFonts w:ascii="Book Antiqua" w:hAnsi="Book Antiqua"/>
        </w:rPr>
        <w:t xml:space="preserve">, Guo CC. Perivascular Epithelioid Cell Tumor of the Urinary Bladder: A Systematic Review. </w:t>
      </w:r>
      <w:r>
        <w:rPr>
          <w:rFonts w:ascii="Book Antiqua" w:hAnsi="Book Antiqua"/>
          <w:i/>
          <w:iCs/>
        </w:rPr>
        <w:t>Int J Surg Pathol</w:t>
      </w:r>
      <w:r>
        <w:rPr>
          <w:rFonts w:ascii="Book Antiqua" w:hAnsi="Book Antiqua"/>
        </w:rPr>
        <w:t xml:space="preserve"> 2020; </w:t>
      </w:r>
      <w:r>
        <w:rPr>
          <w:rFonts w:ascii="Book Antiqua" w:hAnsi="Book Antiqua"/>
          <w:b/>
          <w:bCs/>
        </w:rPr>
        <w:t>28</w:t>
      </w:r>
      <w:r>
        <w:rPr>
          <w:rFonts w:ascii="Book Antiqua" w:hAnsi="Book Antiqua"/>
        </w:rPr>
        <w:t>: 393-400 [PMID: 31865807 DOI: 10.1177/1066896919895810]</w:t>
      </w:r>
    </w:p>
    <w:p>
      <w:pPr>
        <w:spacing w:line="360" w:lineRule="auto"/>
        <w:jc w:val="both"/>
        <w:rPr>
          <w:rFonts w:ascii="Book Antiqua" w:hAnsi="Book Antiqua"/>
        </w:rPr>
      </w:pPr>
      <w:r>
        <w:rPr>
          <w:rFonts w:ascii="Book Antiqua" w:hAnsi="Book Antiqua"/>
        </w:rPr>
        <w:t xml:space="preserve">16 </w:t>
      </w:r>
      <w:r>
        <w:rPr>
          <w:rFonts w:ascii="Book Antiqua" w:hAnsi="Book Antiqua"/>
          <w:b/>
          <w:bCs/>
        </w:rPr>
        <w:t>Kroep JR</w:t>
      </w:r>
      <w:r>
        <w:rPr>
          <w:rFonts w:ascii="Book Antiqua" w:hAnsi="Book Antiqua"/>
        </w:rPr>
        <w:t xml:space="preserve">, Ouali M, Gelderblom H, Le Cesne A, Dekker TJA, Van Glabbeke M, Hogendoorn PCW, Hohenberger P. First-line chemotherapy for malignant peripheral nerve sheath tumor (MPNST) versus other histological soft tissue sarcoma subtypes and as a prognostic factor for MPNST: an EORTC soft tissue and bone sarcoma group study. </w:t>
      </w:r>
      <w:r>
        <w:rPr>
          <w:rFonts w:ascii="Book Antiqua" w:hAnsi="Book Antiqua"/>
          <w:i/>
          <w:iCs/>
        </w:rPr>
        <w:t>Ann Oncol</w:t>
      </w:r>
      <w:r>
        <w:rPr>
          <w:rFonts w:ascii="Book Antiqua" w:hAnsi="Book Antiqua"/>
        </w:rPr>
        <w:t xml:space="preserve"> 2011; </w:t>
      </w:r>
      <w:r>
        <w:rPr>
          <w:rFonts w:ascii="Book Antiqua" w:hAnsi="Book Antiqua"/>
          <w:b/>
          <w:bCs/>
        </w:rPr>
        <w:t>22</w:t>
      </w:r>
      <w:r>
        <w:rPr>
          <w:rFonts w:ascii="Book Antiqua" w:hAnsi="Book Antiqua"/>
        </w:rPr>
        <w:t>: 207-214 [PMID: 20656792 DOI: 10.1093/annonc/mdq338]</w:t>
      </w:r>
    </w:p>
    <w:p>
      <w:pPr>
        <w:spacing w:line="360" w:lineRule="auto"/>
        <w:jc w:val="both"/>
        <w:rPr>
          <w:rFonts w:ascii="Book Antiqua" w:hAnsi="Book Antiqua"/>
        </w:rPr>
      </w:pPr>
      <w:r>
        <w:rPr>
          <w:rFonts w:ascii="Book Antiqua" w:hAnsi="Book Antiqua"/>
        </w:rPr>
        <w:t xml:space="preserve">17 </w:t>
      </w:r>
      <w:r>
        <w:rPr>
          <w:rFonts w:ascii="Book Antiqua" w:hAnsi="Book Antiqua"/>
          <w:b/>
          <w:bCs/>
        </w:rPr>
        <w:t>Bradford D</w:t>
      </w:r>
      <w:r>
        <w:rPr>
          <w:rFonts w:ascii="Book Antiqua" w:hAnsi="Book Antiqua"/>
        </w:rPr>
        <w:t xml:space="preserve">, Kim A. Current treatment options for malignant peripheral nerve sheath tumors. </w:t>
      </w:r>
      <w:r>
        <w:rPr>
          <w:rFonts w:ascii="Book Antiqua" w:hAnsi="Book Antiqua"/>
          <w:i/>
          <w:iCs/>
        </w:rPr>
        <w:t>Curr Treat Options Oncol</w:t>
      </w:r>
      <w:r>
        <w:rPr>
          <w:rFonts w:ascii="Book Antiqua" w:hAnsi="Book Antiqua"/>
        </w:rPr>
        <w:t xml:space="preserve"> 2015; </w:t>
      </w:r>
      <w:r>
        <w:rPr>
          <w:rFonts w:ascii="Book Antiqua" w:hAnsi="Book Antiqua"/>
          <w:b/>
          <w:bCs/>
        </w:rPr>
        <w:t>16</w:t>
      </w:r>
      <w:r>
        <w:rPr>
          <w:rFonts w:ascii="Book Antiqua" w:hAnsi="Book Antiqua"/>
        </w:rPr>
        <w:t>: 328 [PMID: 25777573 DOI: 10.1007/s11864-015-0328-6]</w:t>
      </w:r>
    </w:p>
    <w:p>
      <w:pPr>
        <w:spacing w:line="360" w:lineRule="auto"/>
        <w:jc w:val="both"/>
        <w:rPr>
          <w:rFonts w:ascii="Book Antiqua" w:hAnsi="Book Antiqua"/>
        </w:rPr>
      </w:pPr>
      <w:r>
        <w:rPr>
          <w:rFonts w:ascii="Book Antiqua" w:hAnsi="Book Antiqua"/>
        </w:rPr>
        <w:t xml:space="preserve">18 </w:t>
      </w:r>
      <w:r>
        <w:rPr>
          <w:rFonts w:ascii="Book Antiqua" w:hAnsi="Book Antiqua"/>
          <w:b/>
          <w:bCs/>
        </w:rPr>
        <w:t>Rekhi B</w:t>
      </w:r>
      <w:r>
        <w:rPr>
          <w:rFonts w:ascii="Book Antiqua" w:hAnsi="Book Antiqua"/>
        </w:rPr>
        <w:t xml:space="preserve">, Kosemehmetoglu K, Tezel GG, Dervisoglu S. Clinicopathologic features and immunohistochemical spectrum of 11 cases of epithelioid malignant peripheral nerve sheath tumors, including INI1/SMARCB1 results and BRAF V600E analysis. </w:t>
      </w:r>
      <w:r>
        <w:rPr>
          <w:rFonts w:ascii="Book Antiqua" w:hAnsi="Book Antiqua"/>
          <w:i/>
          <w:iCs/>
        </w:rPr>
        <w:t>APMIS</w:t>
      </w:r>
      <w:r>
        <w:rPr>
          <w:rFonts w:ascii="Book Antiqua" w:hAnsi="Book Antiqua"/>
        </w:rPr>
        <w:t xml:space="preserve"> 2017; </w:t>
      </w:r>
      <w:r>
        <w:rPr>
          <w:rFonts w:ascii="Book Antiqua" w:hAnsi="Book Antiqua"/>
          <w:b/>
          <w:bCs/>
        </w:rPr>
        <w:t>125</w:t>
      </w:r>
      <w:r>
        <w:rPr>
          <w:rFonts w:ascii="Book Antiqua" w:hAnsi="Book Antiqua"/>
        </w:rPr>
        <w:t>: 679-689 [PMID: 28452074 DOI: 10.1111/apm.12702]</w:t>
      </w:r>
    </w:p>
    <w:p>
      <w:pPr>
        <w:spacing w:line="360" w:lineRule="auto"/>
        <w:jc w:val="both"/>
        <w:rPr>
          <w:rFonts w:ascii="Book Antiqua" w:hAnsi="Book Antiqua"/>
        </w:rPr>
      </w:pPr>
      <w:r>
        <w:rPr>
          <w:rFonts w:ascii="Book Antiqua" w:hAnsi="Book Antiqua"/>
        </w:rPr>
        <w:t xml:space="preserve">19 </w:t>
      </w:r>
      <w:r>
        <w:rPr>
          <w:rFonts w:ascii="Book Antiqua" w:hAnsi="Book Antiqua"/>
          <w:b/>
          <w:bCs/>
        </w:rPr>
        <w:t>Yang K</w:t>
      </w:r>
      <w:r>
        <w:rPr>
          <w:rFonts w:ascii="Book Antiqua" w:hAnsi="Book Antiqua"/>
        </w:rPr>
        <w:t xml:space="preserve">, Du J, Shi D, Ji F, Ji Y, Pan J, Lv F, Zhang Y, Zhang J. Knockdown of MSI2 inhibits metastasis by interacting with caveolin-1 and inhibiting its ubiquitylation in human NF1-MPNST cells. </w:t>
      </w:r>
      <w:r>
        <w:rPr>
          <w:rFonts w:ascii="Book Antiqua" w:hAnsi="Book Antiqua"/>
          <w:i/>
          <w:iCs/>
        </w:rPr>
        <w:t>Cell Death Dis</w:t>
      </w:r>
      <w:r>
        <w:rPr>
          <w:rFonts w:ascii="Book Antiqua" w:hAnsi="Book Antiqua"/>
        </w:rPr>
        <w:t xml:space="preserve"> 2020; </w:t>
      </w:r>
      <w:r>
        <w:rPr>
          <w:rFonts w:ascii="Book Antiqua" w:hAnsi="Book Antiqua"/>
          <w:b/>
          <w:bCs/>
        </w:rPr>
        <w:t>11</w:t>
      </w:r>
      <w:r>
        <w:rPr>
          <w:rFonts w:ascii="Book Antiqua" w:hAnsi="Book Antiqua"/>
        </w:rPr>
        <w:t>: 489 [PMID: 32606289 DOI: 10.1038/s41419-020-2703-x]</w:t>
      </w:r>
    </w:p>
    <w:p>
      <w:pPr>
        <w:spacing w:line="360" w:lineRule="auto"/>
        <w:jc w:val="both"/>
        <w:rPr>
          <w:rFonts w:ascii="Book Antiqua" w:hAnsi="Book Antiqua"/>
        </w:rPr>
      </w:pPr>
      <w:r>
        <w:rPr>
          <w:rFonts w:ascii="Book Antiqua" w:hAnsi="Book Antiqua"/>
        </w:rPr>
        <w:t xml:space="preserve">20 </w:t>
      </w:r>
      <w:r>
        <w:rPr>
          <w:rFonts w:ascii="Book Antiqua" w:hAnsi="Book Antiqua"/>
          <w:b/>
          <w:bCs/>
        </w:rPr>
        <w:t>Terribas E</w:t>
      </w:r>
      <w:r>
        <w:rPr>
          <w:rFonts w:ascii="Book Antiqua" w:hAnsi="Book Antiqua"/>
        </w:rPr>
        <w:t xml:space="preserve">, Fernández M, Mazuelas H, Fernández-Rodríguez J, Biayna J, Blanco I, Bernal G, Ramos-Oliver I, Thomas C, Guha R, Zhang X, Gel B, Romagosa C, Ferrer M, Lázaro C, Serra E. KIF11 and KIF15 mitotic kinesins are potential therapeutic vulnerabilities for malignant peripheral nerve sheath tumors. </w:t>
      </w:r>
      <w:r>
        <w:rPr>
          <w:rFonts w:ascii="Book Antiqua" w:hAnsi="Book Antiqua"/>
          <w:i/>
          <w:iCs/>
        </w:rPr>
        <w:t>Neurooncol Adv</w:t>
      </w:r>
      <w:r>
        <w:rPr>
          <w:rFonts w:ascii="Book Antiqua" w:hAnsi="Book Antiqua"/>
        </w:rPr>
        <w:t xml:space="preserve"> 2020; </w:t>
      </w:r>
      <w:r>
        <w:rPr>
          <w:rFonts w:ascii="Book Antiqua" w:hAnsi="Book Antiqua"/>
          <w:b/>
          <w:bCs/>
        </w:rPr>
        <w:t>2</w:t>
      </w:r>
      <w:r>
        <w:rPr>
          <w:rFonts w:ascii="Book Antiqua" w:hAnsi="Book Antiqua"/>
        </w:rPr>
        <w:t>: i62-i74 [PMID: 32642733 DOI: 10.1093/noajnl/vdz061]</w:t>
      </w:r>
    </w:p>
    <w:p>
      <w:pPr>
        <w:spacing w:line="360" w:lineRule="auto"/>
        <w:jc w:val="both"/>
        <w:rPr>
          <w:rFonts w:ascii="Book Antiqua" w:hAnsi="Book Antiqua"/>
        </w:rPr>
      </w:pPr>
      <w:r>
        <w:rPr>
          <w:rFonts w:ascii="Book Antiqua" w:hAnsi="Book Antiqua"/>
        </w:rPr>
        <w:t xml:space="preserve">21 </w:t>
      </w:r>
      <w:r>
        <w:rPr>
          <w:rFonts w:ascii="Book Antiqua" w:hAnsi="Book Antiqua"/>
          <w:b/>
          <w:bCs/>
        </w:rPr>
        <w:t>Gampala S</w:t>
      </w:r>
      <w:r>
        <w:rPr>
          <w:rFonts w:ascii="Book Antiqua" w:hAnsi="Book Antiqua"/>
        </w:rPr>
        <w:t xml:space="preserve">, Shah F, Zhang C, Rhodes SD, Babb O, Grimard M, Wireman RS, Rad E, Calver B, Bai RY, Staedtke V, Hulsey EL, Saadatzadeh MR, Pollok KE, Tong Y, Smith AE, Clapp DW, Tee AR, Kelley MR, Fishel ML. Exploring transcriptional regulators Ref-1 and STAT3 as therapeutic targets in malignant peripheral nerve sheath tumours. </w:t>
      </w:r>
      <w:r>
        <w:rPr>
          <w:rFonts w:ascii="Book Antiqua" w:hAnsi="Book Antiqua"/>
          <w:i/>
          <w:iCs/>
        </w:rPr>
        <w:t>Br J Cancer</w:t>
      </w:r>
      <w:r>
        <w:rPr>
          <w:rFonts w:ascii="Book Antiqua" w:hAnsi="Book Antiqua"/>
        </w:rPr>
        <w:t xml:space="preserve"> 2021; </w:t>
      </w:r>
      <w:r>
        <w:rPr>
          <w:rFonts w:ascii="Book Antiqua" w:hAnsi="Book Antiqua"/>
          <w:b/>
          <w:bCs/>
        </w:rPr>
        <w:t>124</w:t>
      </w:r>
      <w:r>
        <w:rPr>
          <w:rFonts w:ascii="Book Antiqua" w:hAnsi="Book Antiqua"/>
        </w:rPr>
        <w:t>: 1566-1580 [PMID: 33658640 DOI: 10.1038/s41416-021-01270-8]</w:t>
      </w:r>
    </w:p>
    <w:p>
      <w:pPr>
        <w:spacing w:line="360" w:lineRule="auto"/>
        <w:jc w:val="both"/>
        <w:rPr>
          <w:rFonts w:ascii="Book Antiqua" w:hAnsi="Book Antiqua"/>
        </w:rPr>
      </w:pPr>
      <w:r>
        <w:rPr>
          <w:rFonts w:ascii="Book Antiqua" w:hAnsi="Book Antiqua"/>
        </w:rPr>
        <w:t xml:space="preserve">22 </w:t>
      </w:r>
      <w:r>
        <w:rPr>
          <w:rFonts w:ascii="Book Antiqua" w:hAnsi="Book Antiqua"/>
          <w:b/>
          <w:bCs/>
        </w:rPr>
        <w:t>Bouty A</w:t>
      </w:r>
      <w:r>
        <w:rPr>
          <w:rFonts w:ascii="Book Antiqua" w:hAnsi="Book Antiqua"/>
        </w:rPr>
        <w:t xml:space="preserve">, Dobremez E, Harper L, Harambat J, Bouteiller C, Zaghet B, Wolkenstein P, Ducassou S, Lefevre Y. Bladder Dysfunction in Children with Neurofibromatosis Type I: Report of Four Cases and Review of the Literature. </w:t>
      </w:r>
      <w:r>
        <w:rPr>
          <w:rFonts w:ascii="Book Antiqua" w:hAnsi="Book Antiqua"/>
          <w:i/>
          <w:iCs/>
        </w:rPr>
        <w:t>Urol Int</w:t>
      </w:r>
      <w:r>
        <w:rPr>
          <w:rFonts w:ascii="Book Antiqua" w:hAnsi="Book Antiqua"/>
        </w:rPr>
        <w:t xml:space="preserve"> 2018; </w:t>
      </w:r>
      <w:r>
        <w:rPr>
          <w:rFonts w:ascii="Book Antiqua" w:hAnsi="Book Antiqua"/>
          <w:b/>
          <w:bCs/>
        </w:rPr>
        <w:t>100</w:t>
      </w:r>
      <w:r>
        <w:rPr>
          <w:rFonts w:ascii="Book Antiqua" w:hAnsi="Book Antiqua"/>
        </w:rPr>
        <w:t>: 339-345 [PMID: 29514154 DOI: 10.1159/000487193]</w:t>
      </w:r>
    </w:p>
    <w:p>
      <w:pPr>
        <w:spacing w:line="360" w:lineRule="auto"/>
        <w:jc w:val="both"/>
        <w:rPr>
          <w:rFonts w:ascii="Book Antiqua" w:hAnsi="Book Antiqua"/>
        </w:rPr>
      </w:pPr>
      <w:r>
        <w:rPr>
          <w:rFonts w:ascii="Book Antiqua" w:hAnsi="Book Antiqua"/>
        </w:rPr>
        <w:t xml:space="preserve">23 </w:t>
      </w:r>
      <w:r>
        <w:rPr>
          <w:rFonts w:ascii="Book Antiqua" w:hAnsi="Book Antiqua"/>
          <w:b/>
          <w:bCs/>
        </w:rPr>
        <w:t>Somatilaka BN</w:t>
      </w:r>
      <w:r>
        <w:rPr>
          <w:rFonts w:ascii="Book Antiqua" w:hAnsi="Book Antiqua"/>
        </w:rPr>
        <w:t xml:space="preserve">, Sadek A, McKay RM, Le LQ. Malignant peripheral nerve sheath tumor: models, biology, and translation. </w:t>
      </w:r>
      <w:r>
        <w:rPr>
          <w:rFonts w:ascii="Book Antiqua" w:hAnsi="Book Antiqua"/>
          <w:i/>
          <w:iCs/>
        </w:rPr>
        <w:t>Oncogene</w:t>
      </w:r>
      <w:r>
        <w:rPr>
          <w:rFonts w:ascii="Book Antiqua" w:hAnsi="Book Antiqua"/>
        </w:rPr>
        <w:t xml:space="preserve"> 2022; </w:t>
      </w:r>
      <w:r>
        <w:rPr>
          <w:rFonts w:ascii="Book Antiqua" w:hAnsi="Book Antiqua"/>
          <w:b/>
          <w:bCs/>
        </w:rPr>
        <w:t>41</w:t>
      </w:r>
      <w:r>
        <w:rPr>
          <w:rFonts w:ascii="Book Antiqua" w:hAnsi="Book Antiqua"/>
        </w:rPr>
        <w:t>: 2405-2421 [PMID: 35393544 DOI: 10.1038/s41388-022-02290-1]</w:t>
      </w:r>
    </w:p>
    <w:p>
      <w:pPr>
        <w:spacing w:line="360" w:lineRule="auto"/>
        <w:jc w:val="both"/>
        <w:rPr>
          <w:rFonts w:ascii="Book Antiqua" w:hAnsi="Book Antiqua"/>
        </w:rPr>
      </w:pPr>
      <w:r>
        <w:rPr>
          <w:rFonts w:ascii="Book Antiqua" w:hAnsi="Book Antiqua"/>
        </w:rPr>
        <w:t xml:space="preserve">24 </w:t>
      </w:r>
      <w:r>
        <w:rPr>
          <w:rFonts w:ascii="Book Antiqua" w:hAnsi="Book Antiqua"/>
          <w:b/>
          <w:bCs/>
        </w:rPr>
        <w:t>O'Brien J</w:t>
      </w:r>
      <w:r>
        <w:rPr>
          <w:rFonts w:ascii="Book Antiqua" w:hAnsi="Book Antiqua"/>
        </w:rPr>
        <w:t xml:space="preserve">, Aherne S, Buckley O, Daly P, Torreggiani WC. Malignant peripheral nerve sheath tumour of the bladder associated with neurofibromatosis I. </w:t>
      </w:r>
      <w:r>
        <w:rPr>
          <w:rFonts w:ascii="Book Antiqua" w:hAnsi="Book Antiqua"/>
          <w:i/>
          <w:iCs/>
        </w:rPr>
        <w:t>Can Urol Assoc J</w:t>
      </w:r>
      <w:r>
        <w:rPr>
          <w:rFonts w:ascii="Book Antiqua" w:hAnsi="Book Antiqua"/>
        </w:rPr>
        <w:t xml:space="preserve"> 2008; </w:t>
      </w:r>
      <w:r>
        <w:rPr>
          <w:rFonts w:ascii="Book Antiqua" w:hAnsi="Book Antiqua"/>
          <w:b/>
          <w:bCs/>
        </w:rPr>
        <w:t>2</w:t>
      </w:r>
      <w:r>
        <w:rPr>
          <w:rFonts w:ascii="Book Antiqua" w:hAnsi="Book Antiqua"/>
        </w:rPr>
        <w:t>: 637-638 [PMID: 19066687 DOI: 10.5489/cuaj.985]</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Informed consent was obtained from all participants included in the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bCs/>
        </w:rPr>
        <w:t>All t</w:t>
      </w:r>
      <w:r>
        <w:rPr>
          <w:rFonts w:ascii="Book Antiqua" w:hAnsi="Book Antiqua" w:eastAsia="Book Antiqua" w:cs="Book Antiqua"/>
          <w:color w:val="000000"/>
        </w:rPr>
        <w: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rPr>
        <w:t>European Association of Urology, No. 110323.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April 28,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July 27,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August 17,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Urology and nephrology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Turkey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Alkhatib AJ, Jordan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Filipodia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5941060" cy="6967855"/>
            <wp:effectExtent l="0" t="0" r="2540" b="4445"/>
            <wp:docPr id="1" name="图片 1" descr="WJCC-12-55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2-551-g001"/>
                    <pic:cNvPicPr>
                      <a:picLocks noChangeAspect="1"/>
                    </pic:cNvPicPr>
                  </pic:nvPicPr>
                  <pic:blipFill>
                    <a:blip r:embed="rId5"/>
                    <a:stretch>
                      <a:fillRect/>
                    </a:stretch>
                  </pic:blipFill>
                  <pic:spPr>
                    <a:xfrm>
                      <a:off x="0" y="0"/>
                      <a:ext cx="5941060" cy="696785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1</w:t>
      </w:r>
      <w:r>
        <w:rPr>
          <w:rFonts w:ascii="Book Antiqua" w:hAnsi="Book Antiqua" w:eastAsia="Book Antiqua" w:cs="Book Antiqua"/>
          <w:b/>
        </w:rPr>
        <w:t xml:space="preserve"> Epithelioid malignant peripheral nerve sheath tumor of the bladder.</w:t>
      </w:r>
      <w:r>
        <w:rPr>
          <w:rFonts w:ascii="Book Antiqua" w:hAnsi="Book Antiqua" w:eastAsia="Book Antiqua" w:cs="Book Antiqua"/>
        </w:rPr>
        <w:t xml:space="preserve"> </w:t>
      </w:r>
      <w:r>
        <w:rPr>
          <w:rFonts w:ascii="Book Antiqua" w:hAnsi="Book Antiqua" w:eastAsia="Book Antiqua" w:cs="Book Antiqua"/>
          <w:bCs/>
        </w:rPr>
        <w:t>A:</w:t>
      </w:r>
      <w:r>
        <w:rPr>
          <w:rFonts w:ascii="Book Antiqua" w:hAnsi="Book Antiqua" w:eastAsia="Book Antiqua" w:cs="Book Antiqua"/>
        </w:rPr>
        <w:t xml:space="preserve"> Non-invasive low grade papillary urothelial carcinoma seen on initial biopsy; </w:t>
      </w:r>
      <w:r>
        <w:rPr>
          <w:rFonts w:ascii="Book Antiqua" w:hAnsi="Book Antiqua" w:eastAsia="Book Antiqua" w:cs="Book Antiqua"/>
          <w:bCs/>
        </w:rPr>
        <w:t>B:</w:t>
      </w:r>
      <w:r>
        <w:rPr>
          <w:rFonts w:ascii="Book Antiqua" w:hAnsi="Book Antiqua" w:eastAsia="Book Antiqua" w:cs="Book Antiqua"/>
        </w:rPr>
        <w:t xml:space="preserve"> Non-invasive low grade papillary urothelial carcinoma and atypical mesenchymal cell infiltration in the lamina propria determined on second biopsy (the area within the circle)</w:t>
      </w:r>
      <w:r>
        <w:rPr>
          <w:rFonts w:hint="eastAsia" w:ascii="Book Antiqua" w:hAnsi="Book Antiqua"/>
          <w:lang w:eastAsia="zh-CN"/>
        </w:rPr>
        <w:t>;</w:t>
      </w:r>
      <w:r>
        <w:rPr>
          <w:rFonts w:ascii="Book Antiqua" w:hAnsi="Book Antiqua"/>
          <w:lang w:eastAsia="zh-CN"/>
        </w:rPr>
        <w:t xml:space="preserve"> </w:t>
      </w:r>
      <w:r>
        <w:rPr>
          <w:rFonts w:ascii="Book Antiqua" w:hAnsi="Book Antiqua" w:eastAsia="Book Antiqua" w:cs="Book Antiqua"/>
          <w:bCs/>
        </w:rPr>
        <w:t>C:</w:t>
      </w:r>
      <w:r>
        <w:rPr>
          <w:rFonts w:ascii="Book Antiqua" w:hAnsi="Book Antiqua" w:eastAsia="Book Antiqua" w:cs="Book Antiqua"/>
        </w:rPr>
        <w:t xml:space="preserve"> SOX-10 immunopositivity in atypical mesenchymal cells (the area annotated with ellipse) located in the lamina propria in one of the tissue fragments representing the non-invasive papillary urothelial carcinoma; </w:t>
      </w:r>
      <w:r>
        <w:rPr>
          <w:rFonts w:ascii="Book Antiqua" w:hAnsi="Book Antiqua" w:eastAsia="Book Antiqua" w:cs="Book Antiqua"/>
          <w:bCs/>
        </w:rPr>
        <w:t>D:</w:t>
      </w:r>
      <w:r>
        <w:rPr>
          <w:rFonts w:ascii="Book Antiqua" w:hAnsi="Book Antiqua" w:eastAsia="Book Antiqua" w:cs="Book Antiqua"/>
        </w:rPr>
        <w:t xml:space="preserve"> Focal myxoid stroma at the periphery of the tumor with a lobular growth pattern (an arc is used to distinguish normal urothelium from tumoral tissue)</w:t>
      </w:r>
      <w:r>
        <w:rPr>
          <w:rFonts w:hint="eastAsia" w:ascii="Book Antiqua" w:hAnsi="Book Antiqua"/>
          <w:lang w:eastAsia="zh-CN"/>
        </w:rPr>
        <w:t>;</w:t>
      </w:r>
      <w:r>
        <w:rPr>
          <w:rFonts w:ascii="Book Antiqua" w:hAnsi="Book Antiqua"/>
          <w:lang w:eastAsia="zh-CN"/>
        </w:rPr>
        <w:t xml:space="preserve"> </w:t>
      </w:r>
      <w:r>
        <w:rPr>
          <w:rFonts w:ascii="Book Antiqua" w:hAnsi="Book Antiqua" w:eastAsia="Book Antiqua" w:cs="Book Antiqua"/>
          <w:bCs/>
        </w:rPr>
        <w:t>E:</w:t>
      </w:r>
      <w:r>
        <w:rPr>
          <w:rFonts w:ascii="Book Antiqua" w:hAnsi="Book Antiqua" w:eastAsia="Book Antiqua" w:cs="Book Antiqua"/>
        </w:rPr>
        <w:t xml:space="preserve"> Epithelioid tumor cells with round vesicular nuclei, prominent nucleoli and abundant eosinophilic cytoplasm; necrosis in the upper left corner; </w:t>
      </w:r>
      <w:r>
        <w:rPr>
          <w:rFonts w:ascii="Book Antiqua" w:hAnsi="Book Antiqua" w:eastAsia="Book Antiqua" w:cs="Book Antiqua"/>
          <w:bCs/>
        </w:rPr>
        <w:t>F:</w:t>
      </w:r>
      <w:r>
        <w:rPr>
          <w:rFonts w:ascii="Book Antiqua" w:hAnsi="Book Antiqua" w:eastAsia="Book Antiqua" w:cs="Book Antiqua"/>
        </w:rPr>
        <w:t xml:space="preserve"> Spindle tumor cells with fascicular growth (hematoxylin and eosin, SOX10, × 40, × 100 and × 200).</w:t>
      </w:r>
    </w:p>
    <w:p>
      <w:pPr>
        <w:spacing w:line="360" w:lineRule="auto"/>
        <w:jc w:val="both"/>
        <w:rPr>
          <w:lang w:eastAsia="zh-CN"/>
        </w:rPr>
      </w:pPr>
      <w:r>
        <w:rPr>
          <w:rFonts w:ascii="Book Antiqua" w:hAnsi="Book Antiqua" w:eastAsia="Book Antiqua" w:cs="Book Antiqua"/>
        </w:rPr>
        <w:br w:type="page"/>
      </w:r>
      <w:r>
        <w:rPr>
          <w:lang w:eastAsia="zh-CN"/>
        </w:rPr>
        <w:drawing>
          <wp:inline distT="0" distB="0" distL="114300" distR="114300">
            <wp:extent cx="5941060" cy="4657725"/>
            <wp:effectExtent l="0" t="0" r="2540" b="0"/>
            <wp:docPr id="2" name="图片 2" descr="WJCC-12-55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2-551-g002"/>
                    <pic:cNvPicPr>
                      <a:picLocks noChangeAspect="1"/>
                    </pic:cNvPicPr>
                  </pic:nvPicPr>
                  <pic:blipFill>
                    <a:blip r:embed="rId6"/>
                    <a:stretch>
                      <a:fillRect/>
                    </a:stretch>
                  </pic:blipFill>
                  <pic:spPr>
                    <a:xfrm>
                      <a:off x="0" y="0"/>
                      <a:ext cx="5941060" cy="465772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2</w:t>
      </w:r>
      <w:r>
        <w:rPr>
          <w:rFonts w:ascii="Book Antiqua" w:hAnsi="Book Antiqua" w:eastAsia="Book Antiqua" w:cs="Book Antiqua"/>
          <w:b/>
        </w:rPr>
        <w:t xml:space="preserve"> Immunohistochemical findings of epithelioid malignant peripheral nerve sheath tumor.</w:t>
      </w:r>
      <w:r>
        <w:rPr>
          <w:rFonts w:hint="eastAsia" w:ascii="Book Antiqua" w:hAnsi="Book Antiqua"/>
          <w:lang w:eastAsia="zh-CN"/>
        </w:rPr>
        <w:t xml:space="preserve"> </w:t>
      </w:r>
      <w:r>
        <w:rPr>
          <w:rFonts w:ascii="Book Antiqua" w:hAnsi="Book Antiqua" w:eastAsia="Book Antiqua" w:cs="Book Antiqua"/>
          <w:bCs/>
        </w:rPr>
        <w:t>A:</w:t>
      </w:r>
      <w:r>
        <w:rPr>
          <w:rFonts w:ascii="Book Antiqua" w:hAnsi="Book Antiqua" w:eastAsia="Book Antiqua" w:cs="Book Antiqua"/>
        </w:rPr>
        <w:t xml:space="preserve"> Immunohistochemistry for SOX10 showing strong nuclear positivity of epithelioid tumor cells; </w:t>
      </w:r>
      <w:r>
        <w:rPr>
          <w:rFonts w:ascii="Book Antiqua" w:hAnsi="Book Antiqua" w:eastAsia="Book Antiqua" w:cs="Book Antiqua"/>
          <w:bCs/>
        </w:rPr>
        <w:t>B:</w:t>
      </w:r>
      <w:r>
        <w:rPr>
          <w:rFonts w:ascii="Book Antiqua" w:hAnsi="Book Antiqua" w:eastAsia="Book Antiqua" w:cs="Book Antiqua"/>
        </w:rPr>
        <w:t xml:space="preserve"> Diffuse and strong immunopositivity for S100; </w:t>
      </w:r>
      <w:r>
        <w:rPr>
          <w:rFonts w:ascii="Book Antiqua" w:hAnsi="Book Antiqua" w:eastAsia="Book Antiqua" w:cs="Book Antiqua"/>
          <w:bCs/>
        </w:rPr>
        <w:t>C:</w:t>
      </w:r>
      <w:r>
        <w:rPr>
          <w:rFonts w:ascii="Book Antiqua" w:hAnsi="Book Antiqua" w:eastAsia="Book Antiqua" w:cs="Book Antiqua"/>
        </w:rPr>
        <w:t xml:space="preserve"> CK7 immunohistochemistry shows patchy cytoplasmic positivity (staining cells are annotated with an ellipse)</w:t>
      </w:r>
      <w:r>
        <w:rPr>
          <w:rFonts w:hint="eastAsia" w:ascii="Book Antiqua" w:hAnsi="Book Antiqua"/>
          <w:lang w:eastAsia="zh-CN"/>
        </w:rPr>
        <w:t>;</w:t>
      </w:r>
      <w:r>
        <w:rPr>
          <w:rFonts w:ascii="Book Antiqua" w:hAnsi="Book Antiqua"/>
          <w:lang w:eastAsia="zh-CN"/>
        </w:rPr>
        <w:t xml:space="preserve"> </w:t>
      </w:r>
      <w:r>
        <w:rPr>
          <w:rFonts w:ascii="Book Antiqua" w:hAnsi="Book Antiqua" w:eastAsia="Book Antiqua" w:cs="Book Antiqua"/>
          <w:bCs/>
        </w:rPr>
        <w:t>D:</w:t>
      </w:r>
      <w:r>
        <w:rPr>
          <w:rFonts w:ascii="Book Antiqua" w:hAnsi="Book Antiqua" w:eastAsia="Book Antiqua" w:cs="Book Antiqua"/>
        </w:rPr>
        <w:t xml:space="preserve"> Occasional cells are positive for EMA (x 200). Arrows used to denote dispersed tumoral cells positively stained.</w:t>
      </w:r>
    </w:p>
    <w:p>
      <w:pPr>
        <w:spacing w:line="360" w:lineRule="auto"/>
        <w:jc w:val="both"/>
        <w:rPr>
          <w:lang w:eastAsia="zh-CN"/>
        </w:rPr>
      </w:pPr>
      <w:r>
        <w:rPr>
          <w:lang w:eastAsia="zh-CN"/>
        </w:rPr>
        <w:drawing>
          <wp:inline distT="0" distB="0" distL="114300" distR="114300">
            <wp:extent cx="5941060" cy="5905500"/>
            <wp:effectExtent l="0" t="0" r="2540" b="0"/>
            <wp:docPr id="3" name="图片 3" descr="WJCC-12-55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551-g003"/>
                    <pic:cNvPicPr>
                      <a:picLocks noChangeAspect="1"/>
                    </pic:cNvPicPr>
                  </pic:nvPicPr>
                  <pic:blipFill>
                    <a:blip r:embed="rId7"/>
                    <a:stretch>
                      <a:fillRect/>
                    </a:stretch>
                  </pic:blipFill>
                  <pic:spPr>
                    <a:xfrm>
                      <a:off x="0" y="0"/>
                      <a:ext cx="5941060" cy="5905500"/>
                    </a:xfrm>
                    <a:prstGeom prst="rect">
                      <a:avLst/>
                    </a:prstGeom>
                  </pic:spPr>
                </pic:pic>
              </a:graphicData>
            </a:graphic>
          </wp:inline>
        </w:drawing>
      </w:r>
      <w:bookmarkStart w:id="2" w:name="_GoBack"/>
      <w:bookmarkEnd w:id="2"/>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Figure 3</w:t>
      </w:r>
      <w:r>
        <w:rPr>
          <w:rFonts w:ascii="Book Antiqua" w:hAnsi="Book Antiqua" w:eastAsia="Book Antiqua" w:cs="Book Antiqua"/>
          <w:b/>
        </w:rPr>
        <w:t xml:space="preserve"> Radiological findings of epithelioid malignant peripheral nerve sheath tumor. </w:t>
      </w:r>
      <w:r>
        <w:rPr>
          <w:rFonts w:ascii="Book Antiqua" w:hAnsi="Book Antiqua" w:eastAsia="Book Antiqua" w:cs="Book Antiqua"/>
          <w:bCs/>
        </w:rPr>
        <w:t>A-B:</w:t>
      </w:r>
      <w:r>
        <w:rPr>
          <w:rFonts w:ascii="Book Antiqua" w:hAnsi="Book Antiqua" w:eastAsia="Book Antiqua" w:cs="Book Antiqua"/>
        </w:rPr>
        <w:t xml:space="preserve"> Ultrasonography and computed tomography images of patient; </w:t>
      </w:r>
      <w:r>
        <w:rPr>
          <w:rFonts w:ascii="Book Antiqua" w:hAnsi="Book Antiqua" w:eastAsia="Book Antiqua" w:cs="Book Antiqua"/>
          <w:bCs/>
        </w:rPr>
        <w:t>B-C:</w:t>
      </w:r>
      <w:r>
        <w:rPr>
          <w:rFonts w:ascii="Book Antiqua" w:hAnsi="Book Antiqua" w:eastAsia="Book Antiqua" w:cs="Book Antiqua"/>
        </w:rPr>
        <w:t xml:space="preserve"> The positron emission tomography computed tomography slices of the patient show a large radiodense mass filling the diverticulum and extending through the posterior wall of the bladder with significant </w:t>
      </w:r>
      <w:r>
        <w:rPr>
          <w:rFonts w:ascii="Book Antiqua" w:hAnsi="Book Antiqua" w:eastAsia="Book Antiqua" w:cs="Book Antiqua"/>
          <w:color w:val="000000"/>
        </w:rPr>
        <w:t>fluorodeoxyglucose (FDG)</w:t>
      </w:r>
      <w:r>
        <w:rPr>
          <w:rFonts w:ascii="Book Antiqua" w:hAnsi="Book Antiqua" w:eastAsia="Book Antiqua" w:cs="Book Antiqua"/>
        </w:rPr>
        <w:t xml:space="preserve"> uptake; </w:t>
      </w:r>
      <w:r>
        <w:rPr>
          <w:rFonts w:ascii="Book Antiqua" w:hAnsi="Book Antiqua" w:eastAsia="Book Antiqua" w:cs="Book Antiqua"/>
          <w:bCs/>
        </w:rPr>
        <w:t xml:space="preserve">D: </w:t>
      </w:r>
      <w:r>
        <w:rPr>
          <w:rFonts w:ascii="Book Antiqua" w:hAnsi="Book Antiqua" w:eastAsia="Book Antiqua" w:cs="Book Antiqua"/>
        </w:rPr>
        <w:t>Foci of metastasis on right lung detected on FDG-positron emission tomography scan (arrows on A-D used to annotate the descriptions).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Book Antiqua" w:cs="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6785124"/>
      <w:docPartObj>
        <w:docPartGallery w:val="autotext"/>
      </w:docPartObj>
    </w:sdtPr>
    <w:sdtContent>
      <w:sdt>
        <w:sdtPr>
          <w:id w:val="-1769616900"/>
          <w:docPartObj>
            <w:docPartGallery w:val="autotext"/>
          </w:docPartObj>
        </w:sdtPr>
        <w:sdtContent>
          <w:p>
            <w:pPr>
              <w:pStyle w:val="4"/>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23</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10DC6"/>
    <w:rsid w:val="00017F20"/>
    <w:rsid w:val="00021D6D"/>
    <w:rsid w:val="00021F0E"/>
    <w:rsid w:val="000262E4"/>
    <w:rsid w:val="000445E2"/>
    <w:rsid w:val="00046A0D"/>
    <w:rsid w:val="00071452"/>
    <w:rsid w:val="000A592F"/>
    <w:rsid w:val="000A7A0C"/>
    <w:rsid w:val="000B3A4B"/>
    <w:rsid w:val="000B4F02"/>
    <w:rsid w:val="000C0ADB"/>
    <w:rsid w:val="000C35F6"/>
    <w:rsid w:val="000D2D2D"/>
    <w:rsid w:val="000D2EB5"/>
    <w:rsid w:val="000E59D6"/>
    <w:rsid w:val="000E5FDA"/>
    <w:rsid w:val="000F017E"/>
    <w:rsid w:val="000F5A64"/>
    <w:rsid w:val="000F7FB3"/>
    <w:rsid w:val="00114613"/>
    <w:rsid w:val="001200ED"/>
    <w:rsid w:val="001213B2"/>
    <w:rsid w:val="00151FE7"/>
    <w:rsid w:val="00152836"/>
    <w:rsid w:val="001564C5"/>
    <w:rsid w:val="00157345"/>
    <w:rsid w:val="00157813"/>
    <w:rsid w:val="00157D2A"/>
    <w:rsid w:val="00164AE4"/>
    <w:rsid w:val="00176344"/>
    <w:rsid w:val="00194CC6"/>
    <w:rsid w:val="001B4801"/>
    <w:rsid w:val="001C067C"/>
    <w:rsid w:val="001D0AD2"/>
    <w:rsid w:val="001D151F"/>
    <w:rsid w:val="001E5EE3"/>
    <w:rsid w:val="001F3BE4"/>
    <w:rsid w:val="001F441A"/>
    <w:rsid w:val="00204803"/>
    <w:rsid w:val="002067E1"/>
    <w:rsid w:val="0020740F"/>
    <w:rsid w:val="002223E5"/>
    <w:rsid w:val="00246F03"/>
    <w:rsid w:val="002515EC"/>
    <w:rsid w:val="00277BCB"/>
    <w:rsid w:val="002808E8"/>
    <w:rsid w:val="0028154E"/>
    <w:rsid w:val="002825C6"/>
    <w:rsid w:val="002C117C"/>
    <w:rsid w:val="002F361F"/>
    <w:rsid w:val="0030584D"/>
    <w:rsid w:val="0031322B"/>
    <w:rsid w:val="003158C6"/>
    <w:rsid w:val="0032065D"/>
    <w:rsid w:val="00327AC0"/>
    <w:rsid w:val="00327E6E"/>
    <w:rsid w:val="00335D9B"/>
    <w:rsid w:val="00363E8E"/>
    <w:rsid w:val="00370F74"/>
    <w:rsid w:val="003748CA"/>
    <w:rsid w:val="00374F70"/>
    <w:rsid w:val="00376B24"/>
    <w:rsid w:val="00392D1A"/>
    <w:rsid w:val="003B1078"/>
    <w:rsid w:val="003C3144"/>
    <w:rsid w:val="003C32F1"/>
    <w:rsid w:val="004013AF"/>
    <w:rsid w:val="00422211"/>
    <w:rsid w:val="004262C8"/>
    <w:rsid w:val="004275C1"/>
    <w:rsid w:val="004327E3"/>
    <w:rsid w:val="0043331F"/>
    <w:rsid w:val="00445FB0"/>
    <w:rsid w:val="00445FED"/>
    <w:rsid w:val="004476F0"/>
    <w:rsid w:val="004552C4"/>
    <w:rsid w:val="00464B38"/>
    <w:rsid w:val="00465240"/>
    <w:rsid w:val="00476B91"/>
    <w:rsid w:val="00484A37"/>
    <w:rsid w:val="00490FEE"/>
    <w:rsid w:val="004941FF"/>
    <w:rsid w:val="004979E2"/>
    <w:rsid w:val="004B5D5D"/>
    <w:rsid w:val="004C14FE"/>
    <w:rsid w:val="004C2BFB"/>
    <w:rsid w:val="004D4085"/>
    <w:rsid w:val="004D5E73"/>
    <w:rsid w:val="004D773D"/>
    <w:rsid w:val="004E3D8B"/>
    <w:rsid w:val="004F262C"/>
    <w:rsid w:val="00513ED5"/>
    <w:rsid w:val="00523AC7"/>
    <w:rsid w:val="00523B67"/>
    <w:rsid w:val="00532A64"/>
    <w:rsid w:val="00561C99"/>
    <w:rsid w:val="00564FCC"/>
    <w:rsid w:val="00584756"/>
    <w:rsid w:val="005903F5"/>
    <w:rsid w:val="005A3E99"/>
    <w:rsid w:val="005A49A9"/>
    <w:rsid w:val="005E17C8"/>
    <w:rsid w:val="00601BE3"/>
    <w:rsid w:val="00615BF1"/>
    <w:rsid w:val="00616C11"/>
    <w:rsid w:val="00632760"/>
    <w:rsid w:val="00632BA4"/>
    <w:rsid w:val="00634D78"/>
    <w:rsid w:val="00647674"/>
    <w:rsid w:val="0065628E"/>
    <w:rsid w:val="00680571"/>
    <w:rsid w:val="00683245"/>
    <w:rsid w:val="00685D04"/>
    <w:rsid w:val="00692D2C"/>
    <w:rsid w:val="006948BF"/>
    <w:rsid w:val="006A585C"/>
    <w:rsid w:val="006A5C7C"/>
    <w:rsid w:val="006A7E38"/>
    <w:rsid w:val="006C488B"/>
    <w:rsid w:val="006E2D98"/>
    <w:rsid w:val="006F14DC"/>
    <w:rsid w:val="00702D32"/>
    <w:rsid w:val="00713D3C"/>
    <w:rsid w:val="007340F5"/>
    <w:rsid w:val="007571C5"/>
    <w:rsid w:val="007834C5"/>
    <w:rsid w:val="007A045E"/>
    <w:rsid w:val="007A42D8"/>
    <w:rsid w:val="007B7D8E"/>
    <w:rsid w:val="007D5C73"/>
    <w:rsid w:val="007D708D"/>
    <w:rsid w:val="007E2BAC"/>
    <w:rsid w:val="008116BC"/>
    <w:rsid w:val="00833639"/>
    <w:rsid w:val="00844A87"/>
    <w:rsid w:val="00856F22"/>
    <w:rsid w:val="0086326C"/>
    <w:rsid w:val="00864F12"/>
    <w:rsid w:val="00873768"/>
    <w:rsid w:val="0088089E"/>
    <w:rsid w:val="00884BA7"/>
    <w:rsid w:val="008864D2"/>
    <w:rsid w:val="008A49A9"/>
    <w:rsid w:val="008A4D2D"/>
    <w:rsid w:val="008C3A94"/>
    <w:rsid w:val="008D235C"/>
    <w:rsid w:val="008E7827"/>
    <w:rsid w:val="008F0549"/>
    <w:rsid w:val="00906BD7"/>
    <w:rsid w:val="00914553"/>
    <w:rsid w:val="00941F15"/>
    <w:rsid w:val="0094493C"/>
    <w:rsid w:val="009614E1"/>
    <w:rsid w:val="00964CEB"/>
    <w:rsid w:val="009750E9"/>
    <w:rsid w:val="00975850"/>
    <w:rsid w:val="009A222E"/>
    <w:rsid w:val="009A53AF"/>
    <w:rsid w:val="009B6D9F"/>
    <w:rsid w:val="009B6FD0"/>
    <w:rsid w:val="009D227F"/>
    <w:rsid w:val="00A01F52"/>
    <w:rsid w:val="00A1611A"/>
    <w:rsid w:val="00A162F3"/>
    <w:rsid w:val="00A24C23"/>
    <w:rsid w:val="00A348F2"/>
    <w:rsid w:val="00A4011D"/>
    <w:rsid w:val="00A671D8"/>
    <w:rsid w:val="00A769B7"/>
    <w:rsid w:val="00A77B3E"/>
    <w:rsid w:val="00A8035B"/>
    <w:rsid w:val="00A86BA7"/>
    <w:rsid w:val="00A97544"/>
    <w:rsid w:val="00AA2480"/>
    <w:rsid w:val="00AB17D2"/>
    <w:rsid w:val="00AB19A7"/>
    <w:rsid w:val="00AB4EE3"/>
    <w:rsid w:val="00AB50E0"/>
    <w:rsid w:val="00AC7E56"/>
    <w:rsid w:val="00AD2623"/>
    <w:rsid w:val="00AD267B"/>
    <w:rsid w:val="00AD552C"/>
    <w:rsid w:val="00AD7A10"/>
    <w:rsid w:val="00AE312D"/>
    <w:rsid w:val="00B12D7A"/>
    <w:rsid w:val="00B13CAD"/>
    <w:rsid w:val="00B22027"/>
    <w:rsid w:val="00B2756F"/>
    <w:rsid w:val="00B36DC8"/>
    <w:rsid w:val="00B445E5"/>
    <w:rsid w:val="00B570EF"/>
    <w:rsid w:val="00B633D8"/>
    <w:rsid w:val="00B6466A"/>
    <w:rsid w:val="00B865F8"/>
    <w:rsid w:val="00BA16C5"/>
    <w:rsid w:val="00BA4C9D"/>
    <w:rsid w:val="00BD372F"/>
    <w:rsid w:val="00BE4C24"/>
    <w:rsid w:val="00BE7112"/>
    <w:rsid w:val="00C03C7D"/>
    <w:rsid w:val="00C11D93"/>
    <w:rsid w:val="00C16CF0"/>
    <w:rsid w:val="00C209D6"/>
    <w:rsid w:val="00C27164"/>
    <w:rsid w:val="00C3480B"/>
    <w:rsid w:val="00C54255"/>
    <w:rsid w:val="00C82D5A"/>
    <w:rsid w:val="00CA2A55"/>
    <w:rsid w:val="00CB30F0"/>
    <w:rsid w:val="00CC40BD"/>
    <w:rsid w:val="00CE738B"/>
    <w:rsid w:val="00CF27A4"/>
    <w:rsid w:val="00CF4DDA"/>
    <w:rsid w:val="00D30DEB"/>
    <w:rsid w:val="00D30F16"/>
    <w:rsid w:val="00D42BFD"/>
    <w:rsid w:val="00D50EB8"/>
    <w:rsid w:val="00D55671"/>
    <w:rsid w:val="00D57E2C"/>
    <w:rsid w:val="00D6075E"/>
    <w:rsid w:val="00D70618"/>
    <w:rsid w:val="00D7704C"/>
    <w:rsid w:val="00D97341"/>
    <w:rsid w:val="00DA118B"/>
    <w:rsid w:val="00DA627F"/>
    <w:rsid w:val="00DA682D"/>
    <w:rsid w:val="00E25611"/>
    <w:rsid w:val="00E33B79"/>
    <w:rsid w:val="00E363BD"/>
    <w:rsid w:val="00E446A6"/>
    <w:rsid w:val="00E44DB4"/>
    <w:rsid w:val="00E61D15"/>
    <w:rsid w:val="00E650BE"/>
    <w:rsid w:val="00E75991"/>
    <w:rsid w:val="00E83846"/>
    <w:rsid w:val="00E91CA2"/>
    <w:rsid w:val="00EB138F"/>
    <w:rsid w:val="00EB2C84"/>
    <w:rsid w:val="00EB573C"/>
    <w:rsid w:val="00EB659C"/>
    <w:rsid w:val="00EB6AB9"/>
    <w:rsid w:val="00EC009C"/>
    <w:rsid w:val="00EC35EF"/>
    <w:rsid w:val="00EF12B3"/>
    <w:rsid w:val="00F015FE"/>
    <w:rsid w:val="00F02740"/>
    <w:rsid w:val="00F05F05"/>
    <w:rsid w:val="00F10A27"/>
    <w:rsid w:val="00F12F24"/>
    <w:rsid w:val="00F2701A"/>
    <w:rsid w:val="00F37F44"/>
    <w:rsid w:val="00F43CFA"/>
    <w:rsid w:val="00F4545A"/>
    <w:rsid w:val="00F53FED"/>
    <w:rsid w:val="00F66B53"/>
    <w:rsid w:val="00FA0E5B"/>
    <w:rsid w:val="00FA7F36"/>
    <w:rsid w:val="00FD3FE7"/>
    <w:rsid w:val="00FF16C8"/>
    <w:rsid w:val="00FF5587"/>
    <w:rsid w:val="17E07225"/>
    <w:rsid w:val="367073AF"/>
    <w:rsid w:val="45B32F48"/>
    <w:rsid w:val="51EA08FE"/>
    <w:rsid w:val="61AB23B5"/>
    <w:rsid w:val="63DB7CB7"/>
    <w:rsid w:val="64C62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0"/>
    <w:semiHidden/>
    <w:unhideWhenUsed/>
    <w:uiPriority w:val="0"/>
  </w:style>
  <w:style w:type="paragraph" w:styleId="3">
    <w:name w:val="Balloon Text"/>
    <w:basedOn w:val="1"/>
    <w:link w:val="12"/>
    <w:autoRedefine/>
    <w:semiHidden/>
    <w:unhideWhenUsed/>
    <w:qFormat/>
    <w:uiPriority w:val="0"/>
    <w:rPr>
      <w:sz w:val="18"/>
      <w:szCs w:val="18"/>
    </w:rPr>
  </w:style>
  <w:style w:type="paragraph" w:styleId="4">
    <w:name w:val="footer"/>
    <w:basedOn w:val="1"/>
    <w:link w:val="14"/>
    <w:autoRedefine/>
    <w:unhideWhenUsed/>
    <w:qFormat/>
    <w:uiPriority w:val="99"/>
    <w:pPr>
      <w:tabs>
        <w:tab w:val="center" w:pos="4153"/>
        <w:tab w:val="right" w:pos="8306"/>
      </w:tabs>
      <w:snapToGrid w:val="0"/>
    </w:pPr>
    <w:rPr>
      <w:sz w:val="18"/>
      <w:szCs w:val="18"/>
    </w:rPr>
  </w:style>
  <w:style w:type="paragraph" w:styleId="5">
    <w:name w:val="header"/>
    <w:basedOn w:val="1"/>
    <w:link w:val="1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autoRedefine/>
    <w:semiHidden/>
    <w:unhideWhenUsed/>
    <w:qFormat/>
    <w:uiPriority w:val="0"/>
    <w:rPr>
      <w:b/>
      <w:bCs/>
    </w:rPr>
  </w:style>
  <w:style w:type="character" w:styleId="9">
    <w:name w:val="annotation reference"/>
    <w:basedOn w:val="8"/>
    <w:autoRedefine/>
    <w:semiHidden/>
    <w:unhideWhenUsed/>
    <w:qFormat/>
    <w:uiPriority w:val="0"/>
    <w:rPr>
      <w:sz w:val="21"/>
      <w:szCs w:val="21"/>
    </w:rPr>
  </w:style>
  <w:style w:type="character" w:customStyle="1" w:styleId="10">
    <w:name w:val="Comment Text Char"/>
    <w:basedOn w:val="8"/>
    <w:link w:val="2"/>
    <w:autoRedefine/>
    <w:semiHidden/>
    <w:qFormat/>
    <w:uiPriority w:val="0"/>
    <w:rPr>
      <w:sz w:val="24"/>
      <w:szCs w:val="24"/>
    </w:rPr>
  </w:style>
  <w:style w:type="character" w:customStyle="1" w:styleId="11">
    <w:name w:val="Comment Subject Char"/>
    <w:basedOn w:val="10"/>
    <w:link w:val="6"/>
    <w:autoRedefine/>
    <w:semiHidden/>
    <w:qFormat/>
    <w:uiPriority w:val="0"/>
    <w:rPr>
      <w:b/>
      <w:bCs/>
      <w:sz w:val="24"/>
      <w:szCs w:val="24"/>
    </w:rPr>
  </w:style>
  <w:style w:type="character" w:customStyle="1" w:styleId="12">
    <w:name w:val="Balloon Text Char"/>
    <w:basedOn w:val="8"/>
    <w:link w:val="3"/>
    <w:autoRedefine/>
    <w:semiHidden/>
    <w:qFormat/>
    <w:uiPriority w:val="0"/>
    <w:rPr>
      <w:sz w:val="18"/>
      <w:szCs w:val="18"/>
    </w:rPr>
  </w:style>
  <w:style w:type="character" w:customStyle="1" w:styleId="13">
    <w:name w:val="Header Char"/>
    <w:basedOn w:val="8"/>
    <w:link w:val="5"/>
    <w:autoRedefine/>
    <w:qFormat/>
    <w:uiPriority w:val="0"/>
    <w:rPr>
      <w:sz w:val="18"/>
      <w:szCs w:val="18"/>
    </w:rPr>
  </w:style>
  <w:style w:type="character" w:customStyle="1" w:styleId="14">
    <w:name w:val="Footer Char"/>
    <w:basedOn w:val="8"/>
    <w:link w:val="4"/>
    <w:autoRedefine/>
    <w:qFormat/>
    <w:uiPriority w:val="99"/>
    <w:rPr>
      <w:sz w:val="18"/>
      <w:szCs w:val="18"/>
    </w:rPr>
  </w:style>
  <w:style w:type="paragraph" w:customStyle="1" w:styleId="15">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font5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5186</Words>
  <Characters>29564</Characters>
  <Lines>246</Lines>
  <Paragraphs>69</Paragraphs>
  <TotalTime>0</TotalTime>
  <ScaleCrop>false</ScaleCrop>
  <LinksUpToDate>false</LinksUpToDate>
  <CharactersWithSpaces>34681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2023-12-30T07:45:00Z</dcterms:created>
  <dc:creator>10436</dc:creator>
  <cp:lastModifiedBy>xzh</cp:lastModifiedBy>
  <dcterms:modified xsi:type="dcterms:W3CDTF">2024-01-18T00:25:46Z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2E7961F12A144D298BEA71CECC7204F8_12</vt:lpwstr>
  </property>
</Properties>
</file>